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CE" w:rsidRPr="005C1076" w:rsidRDefault="000D6296" w:rsidP="005C1076">
      <w:pPr>
        <w:pStyle w:val="Title"/>
        <w:ind w:left="720" w:hanging="720"/>
      </w:pPr>
      <w:bookmarkStart w:id="0" w:name="_Toc440895073"/>
      <w:r w:rsidRPr="005C1076">
        <w:t>7.08</w:t>
      </w:r>
      <w:r w:rsidR="00B60939" w:rsidRPr="005C1076">
        <w:tab/>
      </w:r>
      <w:r w:rsidR="008016CE" w:rsidRPr="005C1076">
        <w:t>Riociguat</w:t>
      </w:r>
      <w:r w:rsidR="00F90B5E" w:rsidRPr="005C1076">
        <w:t xml:space="preserve">, </w:t>
      </w:r>
      <w:r w:rsidRPr="005C1076">
        <w:br/>
      </w:r>
      <w:r w:rsidR="008016CE" w:rsidRPr="005C1076">
        <w:rPr>
          <w:rStyle w:val="BodyTextChar"/>
          <w:snapToGrid w:val="0"/>
          <w:sz w:val="28"/>
        </w:rPr>
        <w:t>500</w:t>
      </w:r>
      <w:r w:rsidRPr="005C1076">
        <w:rPr>
          <w:rStyle w:val="BodyTextChar"/>
          <w:snapToGrid w:val="0"/>
          <w:sz w:val="28"/>
        </w:rPr>
        <w:t xml:space="preserve"> </w:t>
      </w:r>
      <w:r w:rsidR="00FE3984" w:rsidRPr="005C1076">
        <w:rPr>
          <w:rStyle w:val="BodyTextChar"/>
          <w:snapToGrid w:val="0"/>
          <w:sz w:val="28"/>
        </w:rPr>
        <w:t xml:space="preserve">microgram </w:t>
      </w:r>
      <w:r w:rsidR="008016CE" w:rsidRPr="005C1076">
        <w:rPr>
          <w:rStyle w:val="BodyTextChar"/>
          <w:snapToGrid w:val="0"/>
          <w:sz w:val="28"/>
        </w:rPr>
        <w:t>tablet, 42 and 84,</w:t>
      </w:r>
      <w:r w:rsidR="00094ABA" w:rsidRPr="005C1076">
        <w:rPr>
          <w:rStyle w:val="BodyTextChar"/>
          <w:snapToGrid w:val="0"/>
          <w:sz w:val="28"/>
        </w:rPr>
        <w:t xml:space="preserve"> </w:t>
      </w:r>
      <w:r w:rsidR="008016CE" w:rsidRPr="005C1076">
        <w:rPr>
          <w:rStyle w:val="BodyTextChar"/>
          <w:snapToGrid w:val="0"/>
          <w:sz w:val="28"/>
        </w:rPr>
        <w:t>1</w:t>
      </w:r>
      <w:r w:rsidRPr="005C1076">
        <w:rPr>
          <w:rStyle w:val="BodyTextChar"/>
          <w:snapToGrid w:val="0"/>
          <w:sz w:val="28"/>
        </w:rPr>
        <w:t xml:space="preserve"> </w:t>
      </w:r>
      <w:r w:rsidR="008016CE" w:rsidRPr="005C1076">
        <w:rPr>
          <w:rStyle w:val="BodyTextChar"/>
          <w:snapToGrid w:val="0"/>
          <w:sz w:val="28"/>
        </w:rPr>
        <w:t>mg tablet, 42 and 84</w:t>
      </w:r>
      <w:r w:rsidR="00094ABA" w:rsidRPr="005C1076">
        <w:rPr>
          <w:rStyle w:val="BodyTextChar"/>
          <w:snapToGrid w:val="0"/>
          <w:sz w:val="28"/>
        </w:rPr>
        <w:t xml:space="preserve">, </w:t>
      </w:r>
      <w:r w:rsidR="008016CE" w:rsidRPr="005C1076">
        <w:rPr>
          <w:rStyle w:val="BodyTextChar"/>
          <w:snapToGrid w:val="0"/>
          <w:sz w:val="28"/>
        </w:rPr>
        <w:t>1.5</w:t>
      </w:r>
      <w:r w:rsidRPr="005C1076">
        <w:rPr>
          <w:rStyle w:val="BodyTextChar"/>
          <w:snapToGrid w:val="0"/>
          <w:sz w:val="28"/>
        </w:rPr>
        <w:t> </w:t>
      </w:r>
      <w:r w:rsidR="008016CE" w:rsidRPr="005C1076">
        <w:rPr>
          <w:rStyle w:val="BodyTextChar"/>
          <w:snapToGrid w:val="0"/>
          <w:sz w:val="28"/>
        </w:rPr>
        <w:t>mg tablet, 42 and 84</w:t>
      </w:r>
      <w:r w:rsidR="00094ABA" w:rsidRPr="005C1076">
        <w:rPr>
          <w:rStyle w:val="BodyTextChar"/>
          <w:snapToGrid w:val="0"/>
          <w:sz w:val="28"/>
        </w:rPr>
        <w:t xml:space="preserve">, </w:t>
      </w:r>
      <w:r w:rsidR="008016CE" w:rsidRPr="005C1076">
        <w:rPr>
          <w:rStyle w:val="BodyTextChar"/>
          <w:snapToGrid w:val="0"/>
          <w:sz w:val="28"/>
        </w:rPr>
        <w:t>2</w:t>
      </w:r>
      <w:r w:rsidRPr="005C1076">
        <w:rPr>
          <w:rStyle w:val="BodyTextChar"/>
          <w:snapToGrid w:val="0"/>
          <w:sz w:val="28"/>
        </w:rPr>
        <w:t xml:space="preserve"> </w:t>
      </w:r>
      <w:r w:rsidR="008016CE" w:rsidRPr="005C1076">
        <w:rPr>
          <w:rStyle w:val="BodyTextChar"/>
          <w:snapToGrid w:val="0"/>
          <w:sz w:val="28"/>
        </w:rPr>
        <w:t>mg tablet, 42 and 84</w:t>
      </w:r>
      <w:r w:rsidR="00094ABA" w:rsidRPr="005C1076">
        <w:rPr>
          <w:rStyle w:val="BodyTextChar"/>
          <w:snapToGrid w:val="0"/>
          <w:sz w:val="28"/>
        </w:rPr>
        <w:t>,</w:t>
      </w:r>
      <w:r w:rsidR="00D03E7D" w:rsidRPr="005C1076">
        <w:rPr>
          <w:rStyle w:val="BodyTextChar"/>
          <w:snapToGrid w:val="0"/>
          <w:sz w:val="28"/>
        </w:rPr>
        <w:t xml:space="preserve"> 2.5</w:t>
      </w:r>
      <w:r w:rsidRPr="005C1076">
        <w:rPr>
          <w:rStyle w:val="BodyTextChar"/>
          <w:snapToGrid w:val="0"/>
          <w:sz w:val="28"/>
        </w:rPr>
        <w:t xml:space="preserve"> </w:t>
      </w:r>
      <w:r w:rsidR="00D03E7D" w:rsidRPr="005C1076">
        <w:rPr>
          <w:rStyle w:val="BodyTextChar"/>
          <w:snapToGrid w:val="0"/>
          <w:sz w:val="28"/>
        </w:rPr>
        <w:t>mg tablet, 42 and 84,</w:t>
      </w:r>
      <w:r w:rsidR="00094ABA" w:rsidRPr="005C1076">
        <w:rPr>
          <w:rStyle w:val="BodyTextChar"/>
          <w:snapToGrid w:val="0"/>
          <w:sz w:val="28"/>
        </w:rPr>
        <w:t xml:space="preserve"> </w:t>
      </w:r>
      <w:r w:rsidR="000C7A45" w:rsidRPr="005C1076">
        <w:rPr>
          <w:rStyle w:val="BodyTextChar"/>
          <w:snapToGrid w:val="0"/>
          <w:sz w:val="28"/>
        </w:rPr>
        <w:br/>
      </w:r>
      <w:r w:rsidR="008016CE" w:rsidRPr="005C1076">
        <w:rPr>
          <w:rStyle w:val="BodyTextChar"/>
          <w:snapToGrid w:val="0"/>
          <w:sz w:val="28"/>
        </w:rPr>
        <w:t xml:space="preserve">Adempas®, </w:t>
      </w:r>
      <w:r w:rsidR="000C7A45" w:rsidRPr="005C1076">
        <w:rPr>
          <w:rStyle w:val="BodyTextChar"/>
          <w:snapToGrid w:val="0"/>
          <w:sz w:val="28"/>
        </w:rPr>
        <w:br/>
      </w:r>
      <w:r w:rsidR="008016CE" w:rsidRPr="005C1076">
        <w:rPr>
          <w:rStyle w:val="BodyTextChar"/>
          <w:snapToGrid w:val="0"/>
          <w:sz w:val="28"/>
        </w:rPr>
        <w:t>Bayer Australia Ltd</w:t>
      </w:r>
      <w:bookmarkEnd w:id="0"/>
    </w:p>
    <w:p w:rsidR="00B220FE" w:rsidRPr="00272261" w:rsidRDefault="00B220FE" w:rsidP="00F24244">
      <w:pPr>
        <w:pStyle w:val="BodyText"/>
      </w:pPr>
      <w:bookmarkStart w:id="1" w:name="_Toc416959980"/>
      <w:bookmarkStart w:id="2" w:name="_Toc440895074"/>
    </w:p>
    <w:bookmarkEnd w:id="1"/>
    <w:bookmarkEnd w:id="2"/>
    <w:p w:rsidR="00600DA6" w:rsidRPr="00272261" w:rsidRDefault="00600DA6" w:rsidP="00E57161">
      <w:pPr>
        <w:widowControl/>
        <w:rPr>
          <w:highlight w:val="yellow"/>
        </w:rPr>
      </w:pPr>
    </w:p>
    <w:p w:rsidR="002F36A9" w:rsidRPr="00AB1438" w:rsidRDefault="002F36A9" w:rsidP="00AB1438">
      <w:pPr>
        <w:pStyle w:val="Heading1"/>
      </w:pPr>
      <w:bookmarkStart w:id="3" w:name="_Toc416959981"/>
      <w:bookmarkStart w:id="4" w:name="_Toc440895075"/>
      <w:r w:rsidRPr="00AB1438">
        <w:t>Purpose of Application</w:t>
      </w:r>
      <w:bookmarkEnd w:id="3"/>
      <w:bookmarkEnd w:id="4"/>
    </w:p>
    <w:p w:rsidR="002F36A9" w:rsidRPr="00272261" w:rsidRDefault="002F36A9" w:rsidP="00E57161">
      <w:pPr>
        <w:keepNext/>
        <w:widowControl/>
        <w:rPr>
          <w:szCs w:val="22"/>
        </w:rPr>
      </w:pPr>
    </w:p>
    <w:p w:rsidR="002F36A9" w:rsidRPr="00272261" w:rsidRDefault="00144E85" w:rsidP="00E57161">
      <w:pPr>
        <w:pStyle w:val="ListParagraph"/>
        <w:widowControl/>
        <w:numPr>
          <w:ilvl w:val="1"/>
          <w:numId w:val="2"/>
        </w:numPr>
        <w:rPr>
          <w:szCs w:val="22"/>
        </w:rPr>
      </w:pPr>
      <w:r w:rsidRPr="00272261">
        <w:t xml:space="preserve">The </w:t>
      </w:r>
      <w:r w:rsidR="00474097" w:rsidRPr="00272261">
        <w:t>re-</w:t>
      </w:r>
      <w:r w:rsidRPr="00272261">
        <w:t xml:space="preserve">submission requested </w:t>
      </w:r>
      <w:r w:rsidR="002F36A9" w:rsidRPr="00272261">
        <w:t xml:space="preserve">Section 100, Authority </w:t>
      </w:r>
      <w:r w:rsidR="004839A8" w:rsidRPr="00272261">
        <w:t>r</w:t>
      </w:r>
      <w:r w:rsidR="002F36A9" w:rsidRPr="00272261">
        <w:t xml:space="preserve">equired listing for riociguat for </w:t>
      </w:r>
      <w:r w:rsidR="00C563D4" w:rsidRPr="00272261">
        <w:t xml:space="preserve">the </w:t>
      </w:r>
      <w:r w:rsidR="002F36A9" w:rsidRPr="00272261">
        <w:t xml:space="preserve">treatment of inoperable chronic thromboembolic pulmonary hypertension (CTEPH) or persistent </w:t>
      </w:r>
      <w:r w:rsidR="005D08A7" w:rsidRPr="00272261">
        <w:t>CTEPH</w:t>
      </w:r>
      <w:r w:rsidR="002F36A9" w:rsidRPr="00272261">
        <w:t xml:space="preserve"> subsequent to pulmonary endarterectomy (PEA).</w:t>
      </w:r>
    </w:p>
    <w:p w:rsidR="002F36A9" w:rsidRPr="00272261" w:rsidRDefault="002F36A9" w:rsidP="00E57161">
      <w:pPr>
        <w:widowControl/>
      </w:pPr>
    </w:p>
    <w:p w:rsidR="002F36A9" w:rsidRPr="00272261" w:rsidRDefault="002F36A9" w:rsidP="00E57161">
      <w:pPr>
        <w:widowControl/>
      </w:pPr>
    </w:p>
    <w:p w:rsidR="002F36A9" w:rsidRPr="00272261" w:rsidRDefault="002F36A9" w:rsidP="009532E4">
      <w:pPr>
        <w:pStyle w:val="Heading1"/>
      </w:pPr>
      <w:bookmarkStart w:id="5" w:name="_Toc416959982"/>
      <w:bookmarkStart w:id="6" w:name="_Toc440895076"/>
      <w:r w:rsidRPr="00272261">
        <w:t>Requested listing</w:t>
      </w:r>
      <w:bookmarkEnd w:id="5"/>
      <w:bookmarkEnd w:id="6"/>
    </w:p>
    <w:p w:rsidR="002F36A9" w:rsidRPr="00272261" w:rsidRDefault="002F36A9" w:rsidP="00E57161">
      <w:pPr>
        <w:keepNext/>
        <w:widowControl/>
        <w:rPr>
          <w:highlight w:val="yellow"/>
        </w:rPr>
      </w:pPr>
    </w:p>
    <w:p w:rsidR="00B9342C" w:rsidRPr="00272261" w:rsidRDefault="00B9342C" w:rsidP="00E57161">
      <w:pPr>
        <w:pStyle w:val="ListParagraph"/>
        <w:widowControl/>
        <w:numPr>
          <w:ilvl w:val="1"/>
          <w:numId w:val="2"/>
        </w:numPr>
      </w:pPr>
      <w:r w:rsidRPr="00272261">
        <w:t xml:space="preserve">Suggestions and additions proposed by the Secretariat to </w:t>
      </w:r>
      <w:r w:rsidR="009A6749" w:rsidRPr="00272261">
        <w:t xml:space="preserve">an </w:t>
      </w:r>
      <w:r w:rsidR="008D6D55" w:rsidRPr="00272261">
        <w:t>abbreviated</w:t>
      </w:r>
      <w:r w:rsidRPr="00272261">
        <w:t xml:space="preserve"> </w:t>
      </w:r>
      <w:r w:rsidR="009A6749" w:rsidRPr="00272261">
        <w:t xml:space="preserve">version of the </w:t>
      </w:r>
      <w:r w:rsidRPr="00272261">
        <w:t>requested listing are added in italics and suggested deletions are crossed out with strikethrough.</w:t>
      </w:r>
    </w:p>
    <w:p w:rsidR="002F36A9" w:rsidRPr="00272261" w:rsidRDefault="002F36A9" w:rsidP="00E57161">
      <w:pPr>
        <w:widowControl/>
      </w:pPr>
    </w:p>
    <w:tbl>
      <w:tblPr>
        <w:tblW w:w="8505" w:type="dxa"/>
        <w:tblInd w:w="817" w:type="dxa"/>
        <w:tblLayout w:type="fixed"/>
        <w:tblLook w:val="0000" w:firstRow="0" w:lastRow="0" w:firstColumn="0" w:lastColumn="0" w:noHBand="0" w:noVBand="0"/>
      </w:tblPr>
      <w:tblGrid>
        <w:gridCol w:w="1701"/>
        <w:gridCol w:w="851"/>
        <w:gridCol w:w="567"/>
        <w:gridCol w:w="850"/>
        <w:gridCol w:w="2268"/>
        <w:gridCol w:w="1276"/>
        <w:gridCol w:w="992"/>
      </w:tblGrid>
      <w:tr w:rsidR="00B9342C" w:rsidRPr="00272261" w:rsidTr="00BE45D0">
        <w:trPr>
          <w:cantSplit/>
          <w:trHeight w:val="471"/>
        </w:trPr>
        <w:tc>
          <w:tcPr>
            <w:tcW w:w="2552" w:type="dxa"/>
            <w:gridSpan w:val="2"/>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Name, Restriction,</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Manner of administration and form</w:t>
            </w:r>
          </w:p>
        </w:tc>
        <w:tc>
          <w:tcPr>
            <w:tcW w:w="567" w:type="dxa"/>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Max.</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Qty</w:t>
            </w:r>
          </w:p>
        </w:tc>
        <w:tc>
          <w:tcPr>
            <w:tcW w:w="850" w:type="dxa"/>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№.of</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Rpts</w:t>
            </w:r>
          </w:p>
        </w:tc>
        <w:tc>
          <w:tcPr>
            <w:tcW w:w="2268" w:type="dxa"/>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Dispensed Price for Max. Qty</w:t>
            </w:r>
          </w:p>
        </w:tc>
        <w:tc>
          <w:tcPr>
            <w:tcW w:w="2268" w:type="dxa"/>
            <w:gridSpan w:val="2"/>
            <w:tcBorders>
              <w:bottom w:val="single" w:sz="4" w:space="0" w:color="auto"/>
            </w:tcBorders>
          </w:tcPr>
          <w:p w:rsidR="00B9342C" w:rsidRPr="00272261" w:rsidRDefault="00B9342C" w:rsidP="00E57161">
            <w:pPr>
              <w:keepNext/>
              <w:widowControl/>
              <w:rPr>
                <w:rFonts w:ascii="Arial Narrow" w:hAnsi="Arial Narrow"/>
                <w:sz w:val="20"/>
                <w:szCs w:val="20"/>
              </w:rPr>
            </w:pPr>
            <w:r w:rsidRPr="00272261">
              <w:rPr>
                <w:rFonts w:ascii="Arial Narrow" w:hAnsi="Arial Narrow"/>
                <w:sz w:val="20"/>
                <w:szCs w:val="20"/>
              </w:rPr>
              <w:t>Proprietary Name and Manufacturer</w:t>
            </w:r>
          </w:p>
        </w:tc>
      </w:tr>
      <w:tr w:rsidR="00B9342C" w:rsidRPr="00272261" w:rsidTr="00BE45D0">
        <w:trPr>
          <w:cantSplit/>
          <w:trHeight w:val="577"/>
        </w:trPr>
        <w:tc>
          <w:tcPr>
            <w:tcW w:w="2552" w:type="dxa"/>
            <w:gridSpan w:val="2"/>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mallCaps/>
                <w:sz w:val="20"/>
                <w:szCs w:val="20"/>
              </w:rPr>
              <w:t>RIOCIGUAT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0.5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1.0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1.5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2.0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2.5 mg tablet</w:t>
            </w:r>
          </w:p>
        </w:tc>
        <w:tc>
          <w:tcPr>
            <w:tcW w:w="567" w:type="dxa"/>
          </w:tcPr>
          <w:p w:rsidR="00B9342C" w:rsidRPr="00272261" w:rsidRDefault="00B9342C" w:rsidP="00E57161">
            <w:pPr>
              <w:keepNext/>
              <w:widowControl/>
              <w:ind w:left="-108"/>
              <w:rPr>
                <w:rFonts w:ascii="Arial Narrow" w:hAnsi="Arial Narrow"/>
                <w:sz w:val="20"/>
                <w:szCs w:val="20"/>
              </w:rPr>
            </w:pP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42</w:t>
            </w:r>
          </w:p>
        </w:tc>
        <w:tc>
          <w:tcPr>
            <w:tcW w:w="850" w:type="dxa"/>
          </w:tcPr>
          <w:p w:rsidR="00B9342C" w:rsidRPr="00272261" w:rsidRDefault="00B9342C" w:rsidP="00E57161">
            <w:pPr>
              <w:keepNext/>
              <w:widowControl/>
              <w:ind w:left="-108"/>
              <w:rPr>
                <w:rFonts w:ascii="Arial Narrow" w:hAnsi="Arial Narrow"/>
                <w:sz w:val="20"/>
                <w:szCs w:val="20"/>
              </w:rPr>
            </w:pP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0</w:t>
            </w:r>
          </w:p>
        </w:tc>
        <w:tc>
          <w:tcPr>
            <w:tcW w:w="2268" w:type="dxa"/>
            <w:vAlign w:val="center"/>
          </w:tcPr>
          <w:p w:rsidR="00B9342C" w:rsidRPr="00272261" w:rsidRDefault="00B9342C" w:rsidP="00E57161">
            <w:pPr>
              <w:keepNext/>
              <w:widowControl/>
              <w:ind w:left="-108"/>
              <w:jc w:val="center"/>
              <w:rPr>
                <w:rFonts w:ascii="Arial Narrow" w:hAnsi="Arial Narrow"/>
                <w:sz w:val="20"/>
                <w:szCs w:val="20"/>
              </w:rPr>
            </w:pPr>
          </w:p>
          <w:p w:rsidR="00B9342C" w:rsidRPr="00272261" w:rsidRDefault="00B9342C" w:rsidP="00E57161">
            <w:pPr>
              <w:keepNext/>
              <w:widowControl/>
              <w:jc w:val="center"/>
              <w:rPr>
                <w:rFonts w:ascii="Arial Narrow" w:hAnsi="Arial Narrow"/>
                <w:sz w:val="20"/>
              </w:rPr>
            </w:pPr>
            <w:r w:rsidRPr="00272261">
              <w:rPr>
                <w:rFonts w:ascii="Arial Narrow" w:hAnsi="Arial Narrow"/>
                <w:sz w:val="20"/>
              </w:rPr>
              <w:t>$</w:t>
            </w:r>
            <w:r w:rsidR="00EF7FDB">
              <w:rPr>
                <w:rFonts w:ascii="Arial Narrow" w:hAnsi="Arial Narrow"/>
                <w:noProof/>
                <w:color w:val="000000"/>
                <w:sz w:val="20"/>
                <w:highlight w:val="black"/>
              </w:rPr>
              <w:t>'''''''''''''''''''</w:t>
            </w:r>
            <w:r w:rsidRPr="00272261">
              <w:rPr>
                <w:rFonts w:ascii="Arial Narrow" w:hAnsi="Arial Narrow"/>
                <w:sz w:val="20"/>
              </w:rPr>
              <w:t xml:space="preserve"> (Public hospital)</w:t>
            </w:r>
          </w:p>
          <w:p w:rsidR="00B9342C" w:rsidRPr="00272261" w:rsidRDefault="00B9342C" w:rsidP="00E57161">
            <w:pPr>
              <w:keepNext/>
              <w:widowControl/>
              <w:jc w:val="center"/>
              <w:rPr>
                <w:rFonts w:ascii="Arial Narrow" w:hAnsi="Arial Narrow"/>
                <w:sz w:val="20"/>
              </w:rPr>
            </w:pPr>
            <w:r w:rsidRPr="00272261">
              <w:rPr>
                <w:rFonts w:ascii="Arial Narrow" w:hAnsi="Arial Narrow"/>
                <w:sz w:val="20"/>
              </w:rPr>
              <w:t>$</w:t>
            </w:r>
            <w:r w:rsidR="00EF7FDB">
              <w:rPr>
                <w:rFonts w:ascii="Arial Narrow" w:hAnsi="Arial Narrow"/>
                <w:noProof/>
                <w:color w:val="000000"/>
                <w:sz w:val="20"/>
                <w:highlight w:val="black"/>
              </w:rPr>
              <w:t>'''''''''''''''''''''</w:t>
            </w:r>
            <w:r w:rsidRPr="00272261">
              <w:rPr>
                <w:rFonts w:ascii="Arial Narrow" w:hAnsi="Arial Narrow"/>
                <w:sz w:val="20"/>
              </w:rPr>
              <w:t xml:space="preserve"> (Private hospital)</w:t>
            </w:r>
          </w:p>
          <w:p w:rsidR="00B9342C" w:rsidRPr="00272261" w:rsidRDefault="00B9342C" w:rsidP="00E57161">
            <w:pPr>
              <w:keepNext/>
              <w:widowControl/>
              <w:ind w:left="-108"/>
              <w:jc w:val="center"/>
              <w:rPr>
                <w:rFonts w:ascii="Arial Narrow" w:hAnsi="Arial Narrow"/>
                <w:sz w:val="20"/>
                <w:szCs w:val="20"/>
              </w:rPr>
            </w:pPr>
            <w:r w:rsidRPr="00272261">
              <w:rPr>
                <w:rFonts w:ascii="Arial Narrow" w:hAnsi="Arial Narrow"/>
                <w:sz w:val="20"/>
              </w:rPr>
              <w:t>$</w:t>
            </w:r>
            <w:r w:rsidR="00EF7FDB">
              <w:rPr>
                <w:rFonts w:ascii="Arial Narrow" w:hAnsi="Arial Narrow"/>
                <w:noProof/>
                <w:color w:val="000000"/>
                <w:sz w:val="20"/>
                <w:highlight w:val="black"/>
              </w:rPr>
              <w:t>''''''''''''''</w:t>
            </w:r>
            <w:r w:rsidRPr="00272261">
              <w:rPr>
                <w:rFonts w:ascii="Arial Narrow" w:hAnsi="Arial Narrow"/>
                <w:sz w:val="20"/>
              </w:rPr>
              <w:t xml:space="preserve"> (Effective price)</w:t>
            </w:r>
          </w:p>
        </w:tc>
        <w:tc>
          <w:tcPr>
            <w:tcW w:w="1276" w:type="dxa"/>
          </w:tcPr>
          <w:p w:rsidR="00B9342C" w:rsidRPr="00272261" w:rsidRDefault="00B9342C" w:rsidP="00E57161">
            <w:pPr>
              <w:keepNext/>
              <w:widowControl/>
              <w:rPr>
                <w:rFonts w:ascii="Arial Narrow" w:hAnsi="Arial Narrow"/>
                <w:sz w:val="20"/>
              </w:rPr>
            </w:pPr>
            <w:r w:rsidRPr="00272261">
              <w:rPr>
                <w:rFonts w:ascii="Arial Narrow" w:hAnsi="Arial Narrow"/>
                <w:sz w:val="20"/>
              </w:rPr>
              <w:t>Adempas</w:t>
            </w:r>
            <w:r w:rsidRPr="00272261">
              <w:rPr>
                <w:rFonts w:ascii="Arial Narrow" w:hAnsi="Arial Narrow"/>
                <w:sz w:val="20"/>
                <w:vertAlign w:val="superscript"/>
              </w:rPr>
              <w:t>®</w:t>
            </w:r>
          </w:p>
        </w:tc>
        <w:tc>
          <w:tcPr>
            <w:tcW w:w="992" w:type="dxa"/>
          </w:tcPr>
          <w:p w:rsidR="00B9342C" w:rsidRPr="00272261" w:rsidRDefault="00B9342C" w:rsidP="00E57161">
            <w:pPr>
              <w:keepNext/>
              <w:widowControl/>
              <w:rPr>
                <w:rFonts w:ascii="Arial Narrow" w:hAnsi="Arial Narrow"/>
                <w:sz w:val="20"/>
              </w:rPr>
            </w:pPr>
            <w:r w:rsidRPr="00272261">
              <w:rPr>
                <w:rFonts w:ascii="Arial Narrow" w:hAnsi="Arial Narrow"/>
                <w:sz w:val="20"/>
              </w:rPr>
              <w:t>BN</w:t>
            </w:r>
          </w:p>
        </w:tc>
      </w:tr>
      <w:tr w:rsidR="00B9342C" w:rsidRPr="00272261" w:rsidTr="00B9342C">
        <w:trPr>
          <w:cantSplit/>
          <w:trHeight w:val="360"/>
        </w:trPr>
        <w:tc>
          <w:tcPr>
            <w:tcW w:w="8505" w:type="dxa"/>
            <w:gridSpan w:val="7"/>
            <w:tcBorders>
              <w:bottom w:val="single" w:sz="4" w:space="0" w:color="auto"/>
            </w:tcBorders>
          </w:tcPr>
          <w:p w:rsidR="00B9342C" w:rsidRPr="00272261" w:rsidRDefault="00B9342C" w:rsidP="00E57161">
            <w:pPr>
              <w:widowControl/>
              <w:rPr>
                <w:rFonts w:ascii="Arial Narrow" w:hAnsi="Arial Narrow"/>
                <w:sz w:val="20"/>
                <w:szCs w:val="20"/>
              </w:rPr>
            </w:pP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 xml:space="preserve">Category / </w:t>
            </w:r>
          </w:p>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t>Section 100 – Highly Specialised Drugs Program</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fldChar w:fldCharType="begin">
                <w:ffData>
                  <w:name w:val="Check1"/>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 xml:space="preserve">Dental  </w:t>
            </w:r>
            <w:r w:rsidRPr="00272261">
              <w:rPr>
                <w:rFonts w:ascii="Arial Narrow" w:hAnsi="Arial Narrow"/>
                <w:sz w:val="20"/>
                <w:szCs w:val="20"/>
              </w:rPr>
              <w:fldChar w:fldCharType="begin">
                <w:ffData>
                  <w:name w:val=""/>
                  <w:enabled/>
                  <w:calcOnExit w:val="0"/>
                  <w:checkBox>
                    <w:sizeAuto/>
                    <w:default w:val="1"/>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 xml:space="preserve">Medical Practitioners  </w:t>
            </w:r>
            <w:r w:rsidRPr="00272261">
              <w:rPr>
                <w:rFonts w:ascii="Arial Narrow" w:hAnsi="Arial Narrow"/>
                <w:sz w:val="20"/>
                <w:szCs w:val="20"/>
              </w:rPr>
              <w:fldChar w:fldCharType="begin">
                <w:ffData>
                  <w:name w:val="Check3"/>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 xml:space="preserve">Nurse practitioners  </w:t>
            </w:r>
            <w:r w:rsidRPr="00272261">
              <w:rPr>
                <w:rFonts w:ascii="Arial Narrow" w:hAnsi="Arial Narrow"/>
                <w:sz w:val="20"/>
                <w:szCs w:val="20"/>
              </w:rPr>
              <w:fldChar w:fldCharType="begin">
                <w:ffData>
                  <w:name w:val=""/>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Optometrists</w:t>
            </w:r>
          </w:p>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fldChar w:fldCharType="begin">
                <w:ffData>
                  <w:name w:val="Check5"/>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Midwives</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i/>
                <w:sz w:val="20"/>
                <w:szCs w:val="20"/>
              </w:rPr>
            </w:pPr>
            <w:r w:rsidRPr="00272261">
              <w:rPr>
                <w:rFonts w:ascii="Arial Narrow" w:hAnsi="Arial Narrow"/>
                <w:i/>
                <w:sz w:val="20"/>
                <w:szCs w:val="20"/>
              </w:rPr>
              <w:t>Chronic</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snapToGrid w:val="0"/>
              <w:spacing w:line="20" w:lineRule="atLeast"/>
              <w:jc w:val="left"/>
              <w:rPr>
                <w:rFonts w:ascii="Arial Narrow" w:hAnsi="Arial Narrow"/>
                <w:strike/>
                <w:sz w:val="20"/>
              </w:rPr>
            </w:pPr>
            <w:r w:rsidRPr="00272261">
              <w:rPr>
                <w:rFonts w:ascii="Arial Narrow" w:hAnsi="Arial Narrow"/>
                <w:strike/>
                <w:sz w:val="20"/>
              </w:rPr>
              <w:t>WHO Functional Class II-IV</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rPr>
            </w:pPr>
            <w:r w:rsidRPr="00272261">
              <w:rPr>
                <w:rFonts w:ascii="Arial Narrow" w:hAnsi="Arial Narrow"/>
                <w:strike/>
                <w:sz w:val="20"/>
              </w:rPr>
              <w:t>Inoperable</w:t>
            </w:r>
            <w:r w:rsidRPr="00272261">
              <w:rPr>
                <w:rFonts w:ascii="Arial Narrow" w:hAnsi="Arial Narrow"/>
                <w:i/>
                <w:sz w:val="20"/>
              </w:rPr>
              <w:t xml:space="preserve"> thromboembolic pulmonary hypertension </w:t>
            </w:r>
            <w:r w:rsidRPr="00272261">
              <w:rPr>
                <w:rFonts w:ascii="Arial Narrow" w:hAnsi="Arial Narrow"/>
                <w:strike/>
                <w:sz w:val="20"/>
              </w:rPr>
              <w:t>CTEPH or Persistent CTEPH subsequent to PEA</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i/>
                <w:sz w:val="20"/>
                <w:szCs w:val="20"/>
              </w:rPr>
            </w:pPr>
            <w:r w:rsidRPr="00272261">
              <w:rPr>
                <w:rFonts w:ascii="Arial Narrow" w:hAnsi="Arial Narrow"/>
                <w:i/>
                <w:sz w:val="20"/>
                <w:szCs w:val="20"/>
              </w:rPr>
              <w:t>Chronic</w:t>
            </w:r>
            <w:r w:rsidRPr="00272261">
              <w:rPr>
                <w:rFonts w:ascii="Arial Narrow" w:hAnsi="Arial Narrow"/>
                <w:i/>
                <w:sz w:val="20"/>
              </w:rPr>
              <w:t xml:space="preserve"> thromboembolic pulmonary hypertension</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t>Initial treatment</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Restriction Level / Method:</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fldChar w:fldCharType="begin">
                <w:ffData>
                  <w:name w:val=""/>
                  <w:enabled/>
                  <w:calcOnExit w:val="0"/>
                  <w:checkBox>
                    <w:sizeAuto/>
                    <w:default w:val="1"/>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Authority Required - In Writing</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trike/>
                <w:sz w:val="20"/>
                <w:szCs w:val="20"/>
              </w:rPr>
            </w:pPr>
            <w:r w:rsidRPr="00272261">
              <w:rPr>
                <w:rFonts w:ascii="Arial Narrow" w:hAnsi="Arial Narrow"/>
                <w:strike/>
                <w:sz w:val="20"/>
              </w:rPr>
              <w:t>Persistent or recurrent CTEPH after surgical treatment or inoperable CTEPH in adult patients with WHO functional Class II, lll or IV symptoms</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lastRenderedPageBreak/>
              <w:t>Clinical criteria:</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i/>
                <w:sz w:val="20"/>
              </w:rPr>
            </w:pPr>
            <w:r w:rsidRPr="00272261">
              <w:rPr>
                <w:rFonts w:ascii="Arial Narrow" w:hAnsi="Arial Narrow"/>
                <w:i/>
                <w:sz w:val="20"/>
              </w:rPr>
              <w:t xml:space="preserve">Patient must have WHO functional class II, III or IV symptoms, </w:t>
            </w:r>
          </w:p>
          <w:p w:rsidR="00B9342C" w:rsidRPr="00272261" w:rsidRDefault="00B9342C" w:rsidP="00E57161">
            <w:pPr>
              <w:widowControl/>
              <w:jc w:val="left"/>
              <w:rPr>
                <w:rFonts w:ascii="Arial Narrow" w:hAnsi="Arial Narrow"/>
                <w:i/>
                <w:sz w:val="20"/>
              </w:rPr>
            </w:pPr>
            <w:r w:rsidRPr="00272261">
              <w:rPr>
                <w:rFonts w:ascii="Arial Narrow" w:hAnsi="Arial Narrow"/>
                <w:i/>
                <w:sz w:val="20"/>
              </w:rPr>
              <w:t>AND</w:t>
            </w:r>
          </w:p>
          <w:p w:rsidR="00B9342C" w:rsidRPr="00272261" w:rsidRDefault="00B9342C" w:rsidP="00E57161">
            <w:pPr>
              <w:widowControl/>
              <w:jc w:val="left"/>
              <w:rPr>
                <w:rFonts w:ascii="Arial Narrow" w:hAnsi="Arial Narrow"/>
                <w:sz w:val="20"/>
              </w:rPr>
            </w:pPr>
            <w:r w:rsidRPr="00272261">
              <w:rPr>
                <w:rFonts w:ascii="Arial Narrow" w:hAnsi="Arial Narrow"/>
                <w:sz w:val="20"/>
              </w:rPr>
              <w:t xml:space="preserve">Patient must have been assessed by a physician </w:t>
            </w:r>
            <w:r w:rsidRPr="00272261">
              <w:rPr>
                <w:rFonts w:ascii="Arial Narrow" w:hAnsi="Arial Narrow"/>
                <w:i/>
                <w:sz w:val="20"/>
              </w:rPr>
              <w:t>at</w:t>
            </w:r>
            <w:r w:rsidRPr="00272261">
              <w:rPr>
                <w:rFonts w:ascii="Arial Narrow" w:hAnsi="Arial Narrow"/>
                <w:sz w:val="20"/>
              </w:rPr>
              <w:t xml:space="preserve"> </w:t>
            </w:r>
            <w:r w:rsidRPr="00272261">
              <w:rPr>
                <w:rFonts w:ascii="Arial Narrow" w:hAnsi="Arial Narrow"/>
                <w:strike/>
                <w:sz w:val="20"/>
              </w:rPr>
              <w:t>from</w:t>
            </w:r>
            <w:r w:rsidRPr="00272261">
              <w:rPr>
                <w:rFonts w:ascii="Arial Narrow" w:hAnsi="Arial Narrow"/>
                <w:sz w:val="20"/>
              </w:rPr>
              <w:t xml:space="preserve"> a designated hospital,</w:t>
            </w:r>
          </w:p>
          <w:p w:rsidR="00B9342C" w:rsidRPr="00272261" w:rsidRDefault="00B9342C" w:rsidP="00E57161">
            <w:pPr>
              <w:widowControl/>
              <w:jc w:val="left"/>
              <w:rPr>
                <w:rFonts w:ascii="Arial Narrow" w:hAnsi="Arial Narrow"/>
                <w:sz w:val="20"/>
              </w:rPr>
            </w:pPr>
            <w:r w:rsidRPr="00272261">
              <w:rPr>
                <w:rFonts w:ascii="Arial Narrow" w:hAnsi="Arial Narrow"/>
                <w:sz w:val="20"/>
              </w:rPr>
              <w:t>AND</w:t>
            </w:r>
          </w:p>
          <w:p w:rsidR="00B9342C" w:rsidRPr="00272261" w:rsidRDefault="00B9342C" w:rsidP="00E57161">
            <w:pPr>
              <w:widowControl/>
              <w:jc w:val="left"/>
              <w:rPr>
                <w:rFonts w:ascii="Arial Narrow" w:hAnsi="Arial Narrow"/>
                <w:strike/>
                <w:sz w:val="20"/>
              </w:rPr>
            </w:pPr>
            <w:r w:rsidRPr="00272261">
              <w:rPr>
                <w:rFonts w:ascii="Arial Narrow" w:hAnsi="Arial Narrow"/>
                <w:sz w:val="20"/>
              </w:rPr>
              <w:t xml:space="preserve">Patient must have diagnosis of inoperable </w:t>
            </w:r>
            <w:r w:rsidRPr="00272261">
              <w:rPr>
                <w:rFonts w:ascii="Arial Narrow" w:hAnsi="Arial Narrow"/>
                <w:i/>
                <w:sz w:val="20"/>
                <w:szCs w:val="20"/>
              </w:rPr>
              <w:t>chronic</w:t>
            </w:r>
            <w:r w:rsidRPr="00272261">
              <w:rPr>
                <w:rFonts w:ascii="Arial Narrow" w:hAnsi="Arial Narrow"/>
                <w:i/>
                <w:sz w:val="20"/>
              </w:rPr>
              <w:t xml:space="preserve"> thromboembolic pulmonary hypertension</w:t>
            </w:r>
            <w:r w:rsidRPr="00272261">
              <w:rPr>
                <w:rFonts w:ascii="Arial Narrow" w:hAnsi="Arial Narrow"/>
                <w:sz w:val="20"/>
              </w:rPr>
              <w:t xml:space="preserve"> (CTEPH) assessed by local expert </w:t>
            </w:r>
            <w:r w:rsidRPr="00272261">
              <w:rPr>
                <w:rFonts w:ascii="Arial Narrow" w:hAnsi="Arial Narrow"/>
                <w:i/>
                <w:sz w:val="20"/>
              </w:rPr>
              <w:t>pulmonary endarterectomy</w:t>
            </w:r>
            <w:r w:rsidRPr="00272261">
              <w:rPr>
                <w:rFonts w:ascii="Arial Narrow" w:hAnsi="Arial Narrow"/>
                <w:sz w:val="20"/>
              </w:rPr>
              <w:t xml:space="preserve"> </w:t>
            </w:r>
            <w:r w:rsidRPr="00272261">
              <w:rPr>
                <w:rFonts w:ascii="Arial Narrow" w:hAnsi="Arial Narrow"/>
                <w:i/>
                <w:sz w:val="20"/>
              </w:rPr>
              <w:t>(</w:t>
            </w:r>
            <w:r w:rsidRPr="00272261">
              <w:rPr>
                <w:rFonts w:ascii="Arial Narrow" w:hAnsi="Arial Narrow"/>
                <w:sz w:val="20"/>
              </w:rPr>
              <w:t>PEA</w:t>
            </w:r>
            <w:r w:rsidRPr="00272261">
              <w:rPr>
                <w:rFonts w:ascii="Arial Narrow" w:hAnsi="Arial Narrow"/>
                <w:i/>
                <w:sz w:val="20"/>
              </w:rPr>
              <w:t>)</w:t>
            </w:r>
            <w:r w:rsidRPr="00272261">
              <w:rPr>
                <w:rFonts w:ascii="Arial Narrow" w:hAnsi="Arial Narrow"/>
                <w:sz w:val="20"/>
              </w:rPr>
              <w:t xml:space="preserve"> centre,</w:t>
            </w:r>
            <w:r w:rsidRPr="00272261">
              <w:rPr>
                <w:rFonts w:ascii="Arial Narrow" w:hAnsi="Arial Narrow"/>
                <w:strike/>
                <w:sz w:val="20"/>
              </w:rPr>
              <w:t xml:space="preserve"> with </w:t>
            </w:r>
          </w:p>
          <w:p w:rsidR="00B9342C" w:rsidRPr="00272261" w:rsidRDefault="00B9342C" w:rsidP="00E57161">
            <w:pPr>
              <w:widowControl/>
              <w:numPr>
                <w:ilvl w:val="0"/>
                <w:numId w:val="6"/>
              </w:numPr>
              <w:jc w:val="left"/>
              <w:rPr>
                <w:rFonts w:ascii="Arial Narrow" w:hAnsi="Arial Narrow"/>
                <w:strike/>
                <w:sz w:val="20"/>
              </w:rPr>
            </w:pPr>
            <w:r w:rsidRPr="00272261">
              <w:rPr>
                <w:rFonts w:ascii="Arial Narrow" w:hAnsi="Arial Narrow"/>
                <w:strike/>
                <w:sz w:val="20"/>
              </w:rPr>
              <w:t>RHC demonstrating PVR of &gt;300 dyn*sec*cm</w:t>
            </w:r>
            <w:r w:rsidRPr="00272261">
              <w:rPr>
                <w:rFonts w:ascii="Arial Narrow" w:hAnsi="Arial Narrow"/>
                <w:strike/>
                <w:sz w:val="20"/>
                <w:vertAlign w:val="superscript"/>
              </w:rPr>
              <w:t>-5</w:t>
            </w:r>
            <w:r w:rsidRPr="00272261">
              <w:rPr>
                <w:rFonts w:ascii="Arial Narrow" w:hAnsi="Arial Narrow"/>
                <w:strike/>
                <w:sz w:val="20"/>
              </w:rPr>
              <w:t xml:space="preserve"> measured at least 90 days after start of full anticoagulation, AND</w:t>
            </w:r>
          </w:p>
          <w:p w:rsidR="00B9342C" w:rsidRPr="00272261" w:rsidRDefault="00B9342C" w:rsidP="00E57161">
            <w:pPr>
              <w:widowControl/>
              <w:numPr>
                <w:ilvl w:val="0"/>
                <w:numId w:val="6"/>
              </w:numPr>
              <w:jc w:val="left"/>
              <w:rPr>
                <w:rFonts w:ascii="Arial Narrow" w:hAnsi="Arial Narrow"/>
                <w:strike/>
                <w:sz w:val="20"/>
              </w:rPr>
            </w:pPr>
            <w:r w:rsidRPr="00272261">
              <w:rPr>
                <w:rFonts w:ascii="Arial Narrow" w:hAnsi="Arial Narrow"/>
                <w:strike/>
                <w:sz w:val="20"/>
              </w:rPr>
              <w:t xml:space="preserve">PAPmean &gt;25 mmHg, OR </w:t>
            </w:r>
          </w:p>
          <w:p w:rsidR="00B9342C" w:rsidRPr="00272261" w:rsidRDefault="00B9342C" w:rsidP="00E57161">
            <w:pPr>
              <w:widowControl/>
              <w:numPr>
                <w:ilvl w:val="0"/>
                <w:numId w:val="6"/>
              </w:numPr>
              <w:jc w:val="left"/>
              <w:rPr>
                <w:rFonts w:ascii="Arial Narrow" w:hAnsi="Arial Narrow"/>
                <w:strike/>
                <w:sz w:val="20"/>
              </w:rPr>
            </w:pPr>
            <w:r w:rsidRPr="00272261">
              <w:rPr>
                <w:rFonts w:ascii="Arial Narrow" w:hAnsi="Arial Narrow"/>
                <w:strike/>
                <w:sz w:val="20"/>
              </w:rPr>
              <w:t>Right ventricular function assessed by echocardiography (ECHO) demonstrating right ventricular dysfunction where a RHC cannot be performed on justifiable clinical grounds,</w:t>
            </w:r>
          </w:p>
          <w:p w:rsidR="00B9342C" w:rsidRPr="00272261" w:rsidRDefault="00B9342C" w:rsidP="00E57161">
            <w:pPr>
              <w:widowControl/>
              <w:jc w:val="left"/>
              <w:rPr>
                <w:rFonts w:ascii="Arial Narrow" w:hAnsi="Arial Narrow"/>
                <w:sz w:val="20"/>
              </w:rPr>
            </w:pPr>
            <w:r w:rsidRPr="00272261">
              <w:rPr>
                <w:rFonts w:ascii="Arial Narrow" w:hAnsi="Arial Narrow"/>
                <w:sz w:val="20"/>
              </w:rPr>
              <w:t>OR</w:t>
            </w:r>
          </w:p>
          <w:p w:rsidR="00B9342C" w:rsidRPr="00272261" w:rsidRDefault="00B9342C" w:rsidP="00E57161">
            <w:pPr>
              <w:widowControl/>
              <w:jc w:val="left"/>
              <w:rPr>
                <w:rFonts w:ascii="Arial Narrow" w:hAnsi="Arial Narrow"/>
                <w:strike/>
                <w:sz w:val="20"/>
              </w:rPr>
            </w:pPr>
            <w:r w:rsidRPr="00272261">
              <w:rPr>
                <w:rFonts w:ascii="Arial Narrow" w:hAnsi="Arial Narrow"/>
                <w:sz w:val="20"/>
              </w:rPr>
              <w:t xml:space="preserve">Patient must have diagnosis of persistent </w:t>
            </w:r>
            <w:r w:rsidRPr="00272261">
              <w:rPr>
                <w:rFonts w:ascii="Arial Narrow" w:hAnsi="Arial Narrow"/>
                <w:i/>
                <w:sz w:val="20"/>
                <w:szCs w:val="20"/>
              </w:rPr>
              <w:t>chronic</w:t>
            </w:r>
            <w:r w:rsidRPr="00272261">
              <w:rPr>
                <w:rFonts w:ascii="Arial Narrow" w:hAnsi="Arial Narrow"/>
                <w:i/>
                <w:sz w:val="20"/>
              </w:rPr>
              <w:t xml:space="preserve"> thromboembolic pulmonary hypertension</w:t>
            </w:r>
            <w:r w:rsidRPr="00272261">
              <w:rPr>
                <w:rFonts w:ascii="Arial Narrow" w:hAnsi="Arial Narrow"/>
                <w:sz w:val="20"/>
              </w:rPr>
              <w:t xml:space="preserve"> (CTEPH) subsequent to </w:t>
            </w:r>
            <w:r w:rsidRPr="00272261">
              <w:rPr>
                <w:rFonts w:ascii="Arial Narrow" w:hAnsi="Arial Narrow"/>
                <w:i/>
                <w:sz w:val="20"/>
              </w:rPr>
              <w:t>pulmonary endarterectomy</w:t>
            </w:r>
            <w:r w:rsidRPr="00272261">
              <w:rPr>
                <w:rFonts w:ascii="Arial Narrow" w:hAnsi="Arial Narrow"/>
                <w:sz w:val="20"/>
              </w:rPr>
              <w:t xml:space="preserve"> </w:t>
            </w:r>
            <w:r w:rsidRPr="00272261">
              <w:rPr>
                <w:rFonts w:ascii="Arial Narrow" w:hAnsi="Arial Narrow"/>
                <w:i/>
                <w:sz w:val="20"/>
              </w:rPr>
              <w:t>(</w:t>
            </w:r>
            <w:r w:rsidRPr="00272261">
              <w:rPr>
                <w:rFonts w:ascii="Arial Narrow" w:hAnsi="Arial Narrow"/>
                <w:sz w:val="20"/>
              </w:rPr>
              <w:t>PEA</w:t>
            </w:r>
            <w:r w:rsidRPr="00272261">
              <w:rPr>
                <w:rFonts w:ascii="Arial Narrow" w:hAnsi="Arial Narrow"/>
                <w:i/>
                <w:sz w:val="20"/>
              </w:rPr>
              <w:t>).</w:t>
            </w:r>
            <w:r w:rsidRPr="00272261">
              <w:rPr>
                <w:rFonts w:ascii="Arial Narrow" w:hAnsi="Arial Narrow"/>
                <w:sz w:val="20"/>
              </w:rPr>
              <w:t xml:space="preserve"> </w:t>
            </w:r>
            <w:r w:rsidRPr="00272261">
              <w:rPr>
                <w:rFonts w:ascii="Arial Narrow" w:hAnsi="Arial Narrow"/>
                <w:strike/>
                <w:sz w:val="20"/>
              </w:rPr>
              <w:t xml:space="preserve">with </w:t>
            </w:r>
          </w:p>
          <w:p w:rsidR="00B9342C" w:rsidRPr="00272261" w:rsidRDefault="00B9342C" w:rsidP="00E57161">
            <w:pPr>
              <w:widowControl/>
              <w:numPr>
                <w:ilvl w:val="0"/>
                <w:numId w:val="7"/>
              </w:numPr>
              <w:jc w:val="left"/>
              <w:rPr>
                <w:rFonts w:ascii="Arial Narrow" w:hAnsi="Arial Narrow"/>
                <w:strike/>
                <w:sz w:val="20"/>
              </w:rPr>
            </w:pPr>
            <w:r w:rsidRPr="00272261">
              <w:rPr>
                <w:rFonts w:ascii="Arial Narrow" w:hAnsi="Arial Narrow"/>
                <w:strike/>
                <w:sz w:val="20"/>
              </w:rPr>
              <w:t>RHC demonstrating a PVR &gt;300 dyn*sec*cm</w:t>
            </w:r>
            <w:r w:rsidRPr="00272261">
              <w:rPr>
                <w:rFonts w:ascii="Arial Narrow" w:hAnsi="Arial Narrow"/>
                <w:strike/>
                <w:sz w:val="20"/>
                <w:vertAlign w:val="superscript"/>
              </w:rPr>
              <w:t>-5</w:t>
            </w:r>
            <w:r w:rsidRPr="00272261">
              <w:rPr>
                <w:rFonts w:ascii="Arial Narrow" w:hAnsi="Arial Narrow"/>
                <w:strike/>
                <w:sz w:val="20"/>
              </w:rPr>
              <w:t xml:space="preserve"> measured at least 180 days after surgery, OR </w:t>
            </w:r>
          </w:p>
          <w:p w:rsidR="00B9342C" w:rsidRPr="00272261" w:rsidRDefault="00B9342C" w:rsidP="00E57161">
            <w:pPr>
              <w:widowControl/>
              <w:numPr>
                <w:ilvl w:val="0"/>
                <w:numId w:val="7"/>
              </w:numPr>
              <w:jc w:val="left"/>
              <w:rPr>
                <w:rFonts w:ascii="Arial Narrow" w:hAnsi="Arial Narrow"/>
                <w:sz w:val="20"/>
              </w:rPr>
            </w:pPr>
            <w:r w:rsidRPr="00272261">
              <w:rPr>
                <w:rFonts w:ascii="Arial Narrow" w:hAnsi="Arial Narrow"/>
                <w:strike/>
                <w:sz w:val="20"/>
              </w:rPr>
              <w:t>Right ventricular function assessed by echocardiography (ECHO) demonstrating right ventricular dysfunction where a RHC cannot be performed on justifiable clinical grounds.</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i/>
                <w:sz w:val="20"/>
                <w:szCs w:val="20"/>
              </w:rPr>
            </w:pPr>
            <w:r w:rsidRPr="00272261">
              <w:rPr>
                <w:rFonts w:ascii="Arial Narrow" w:hAnsi="Arial Narrow"/>
                <w:i/>
                <w:sz w:val="20"/>
                <w:szCs w:val="20"/>
              </w:rPr>
              <w:t>Patient must be an adult.</w:t>
            </w:r>
          </w:p>
        </w:tc>
      </w:tr>
    </w:tbl>
    <w:p w:rsidR="00B9342C" w:rsidRPr="00272261" w:rsidRDefault="00B9342C" w:rsidP="00E57161">
      <w:pPr>
        <w:widowControl/>
      </w:pPr>
    </w:p>
    <w:p w:rsidR="00C563D4" w:rsidRPr="00272261" w:rsidRDefault="00C563D4" w:rsidP="00E57161">
      <w:pPr>
        <w:widowControl/>
      </w:pPr>
    </w:p>
    <w:tbl>
      <w:tblPr>
        <w:tblW w:w="8505" w:type="dxa"/>
        <w:tblInd w:w="817" w:type="dxa"/>
        <w:tblLayout w:type="fixed"/>
        <w:tblLook w:val="0000" w:firstRow="0" w:lastRow="0" w:firstColumn="0" w:lastColumn="0" w:noHBand="0" w:noVBand="0"/>
      </w:tblPr>
      <w:tblGrid>
        <w:gridCol w:w="1701"/>
        <w:gridCol w:w="851"/>
        <w:gridCol w:w="567"/>
        <w:gridCol w:w="850"/>
        <w:gridCol w:w="2268"/>
        <w:gridCol w:w="1276"/>
        <w:gridCol w:w="992"/>
      </w:tblGrid>
      <w:tr w:rsidR="00B9342C" w:rsidRPr="00272261" w:rsidTr="00B9342C">
        <w:trPr>
          <w:cantSplit/>
          <w:trHeight w:val="471"/>
        </w:trPr>
        <w:tc>
          <w:tcPr>
            <w:tcW w:w="2552" w:type="dxa"/>
            <w:gridSpan w:val="2"/>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Name, Restriction,</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Manner of administration and form</w:t>
            </w:r>
          </w:p>
        </w:tc>
        <w:tc>
          <w:tcPr>
            <w:tcW w:w="567" w:type="dxa"/>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Max.</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Qty</w:t>
            </w:r>
          </w:p>
        </w:tc>
        <w:tc>
          <w:tcPr>
            <w:tcW w:w="850" w:type="dxa"/>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№.of</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Rpts</w:t>
            </w:r>
          </w:p>
        </w:tc>
        <w:tc>
          <w:tcPr>
            <w:tcW w:w="2268" w:type="dxa"/>
            <w:tcBorders>
              <w:bottom w:val="single" w:sz="4" w:space="0" w:color="auto"/>
            </w:tcBorders>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Dispensed Price for Max. Qty</w:t>
            </w:r>
          </w:p>
        </w:tc>
        <w:tc>
          <w:tcPr>
            <w:tcW w:w="2268" w:type="dxa"/>
            <w:gridSpan w:val="2"/>
            <w:tcBorders>
              <w:bottom w:val="single" w:sz="4" w:space="0" w:color="auto"/>
            </w:tcBorders>
          </w:tcPr>
          <w:p w:rsidR="00B9342C" w:rsidRPr="00272261" w:rsidRDefault="00B9342C" w:rsidP="00E57161">
            <w:pPr>
              <w:keepNext/>
              <w:widowControl/>
              <w:rPr>
                <w:rFonts w:ascii="Arial Narrow" w:hAnsi="Arial Narrow"/>
                <w:sz w:val="20"/>
                <w:szCs w:val="20"/>
              </w:rPr>
            </w:pPr>
            <w:r w:rsidRPr="00272261">
              <w:rPr>
                <w:rFonts w:ascii="Arial Narrow" w:hAnsi="Arial Narrow"/>
                <w:sz w:val="20"/>
                <w:szCs w:val="20"/>
              </w:rPr>
              <w:t>Proprietary Name and Manufacturer</w:t>
            </w:r>
          </w:p>
        </w:tc>
      </w:tr>
      <w:tr w:rsidR="00B9342C" w:rsidRPr="00272261" w:rsidTr="00BE45D0">
        <w:trPr>
          <w:cantSplit/>
          <w:trHeight w:val="577"/>
        </w:trPr>
        <w:tc>
          <w:tcPr>
            <w:tcW w:w="2552" w:type="dxa"/>
            <w:gridSpan w:val="2"/>
          </w:tcPr>
          <w:p w:rsidR="00B9342C" w:rsidRPr="00272261" w:rsidRDefault="00B9342C" w:rsidP="00E57161">
            <w:pPr>
              <w:keepNext/>
              <w:widowControl/>
              <w:ind w:left="-108"/>
              <w:rPr>
                <w:rFonts w:ascii="Arial Narrow" w:hAnsi="Arial Narrow"/>
                <w:sz w:val="20"/>
                <w:szCs w:val="20"/>
              </w:rPr>
            </w:pPr>
            <w:r w:rsidRPr="00272261">
              <w:rPr>
                <w:rFonts w:ascii="Arial Narrow" w:hAnsi="Arial Narrow"/>
                <w:smallCaps/>
                <w:sz w:val="20"/>
                <w:szCs w:val="20"/>
              </w:rPr>
              <w:t>RIOCIGUAT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0.5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1.0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1.5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2.0 mg tablet</w:t>
            </w: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2.5 mg tablet</w:t>
            </w:r>
          </w:p>
        </w:tc>
        <w:tc>
          <w:tcPr>
            <w:tcW w:w="567" w:type="dxa"/>
          </w:tcPr>
          <w:p w:rsidR="00B9342C" w:rsidRPr="00272261" w:rsidRDefault="00B9342C" w:rsidP="00E57161">
            <w:pPr>
              <w:keepNext/>
              <w:widowControl/>
              <w:ind w:left="-108"/>
              <w:rPr>
                <w:rFonts w:ascii="Arial Narrow" w:hAnsi="Arial Narrow"/>
                <w:sz w:val="20"/>
                <w:szCs w:val="20"/>
              </w:rPr>
            </w:pP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84</w:t>
            </w:r>
          </w:p>
        </w:tc>
        <w:tc>
          <w:tcPr>
            <w:tcW w:w="850" w:type="dxa"/>
          </w:tcPr>
          <w:p w:rsidR="00B9342C" w:rsidRPr="00272261" w:rsidRDefault="00B9342C" w:rsidP="00E57161">
            <w:pPr>
              <w:keepNext/>
              <w:widowControl/>
              <w:ind w:left="-108"/>
              <w:rPr>
                <w:rFonts w:ascii="Arial Narrow" w:hAnsi="Arial Narrow"/>
                <w:sz w:val="20"/>
                <w:szCs w:val="20"/>
              </w:rPr>
            </w:pPr>
          </w:p>
          <w:p w:rsidR="00B9342C" w:rsidRPr="00272261" w:rsidRDefault="00B9342C" w:rsidP="00E57161">
            <w:pPr>
              <w:keepNext/>
              <w:widowControl/>
              <w:ind w:left="-108"/>
              <w:rPr>
                <w:rFonts w:ascii="Arial Narrow" w:hAnsi="Arial Narrow"/>
                <w:sz w:val="20"/>
                <w:szCs w:val="20"/>
              </w:rPr>
            </w:pPr>
            <w:r w:rsidRPr="00272261">
              <w:rPr>
                <w:rFonts w:ascii="Arial Narrow" w:hAnsi="Arial Narrow"/>
                <w:sz w:val="20"/>
                <w:szCs w:val="20"/>
              </w:rPr>
              <w:t>5</w:t>
            </w:r>
          </w:p>
        </w:tc>
        <w:tc>
          <w:tcPr>
            <w:tcW w:w="2268" w:type="dxa"/>
            <w:vAlign w:val="center"/>
          </w:tcPr>
          <w:p w:rsidR="00B9342C" w:rsidRPr="00272261" w:rsidRDefault="00B9342C" w:rsidP="00E57161">
            <w:pPr>
              <w:keepNext/>
              <w:widowControl/>
              <w:ind w:left="-108"/>
              <w:jc w:val="center"/>
              <w:rPr>
                <w:rFonts w:ascii="Arial Narrow" w:hAnsi="Arial Narrow"/>
                <w:sz w:val="20"/>
                <w:szCs w:val="20"/>
              </w:rPr>
            </w:pPr>
          </w:p>
          <w:p w:rsidR="00B9342C" w:rsidRPr="00272261" w:rsidRDefault="00B9342C" w:rsidP="00E57161">
            <w:pPr>
              <w:keepNext/>
              <w:widowControl/>
              <w:jc w:val="center"/>
              <w:rPr>
                <w:rFonts w:ascii="Arial Narrow" w:hAnsi="Arial Narrow"/>
                <w:sz w:val="20"/>
              </w:rPr>
            </w:pPr>
            <w:r w:rsidRPr="00272261">
              <w:rPr>
                <w:rFonts w:ascii="Arial Narrow" w:hAnsi="Arial Narrow"/>
                <w:sz w:val="20"/>
              </w:rPr>
              <w:t>$</w:t>
            </w:r>
            <w:r w:rsidR="00EF7FDB">
              <w:rPr>
                <w:rFonts w:ascii="Arial Narrow" w:hAnsi="Arial Narrow"/>
                <w:noProof/>
                <w:color w:val="000000"/>
                <w:sz w:val="20"/>
                <w:highlight w:val="black"/>
              </w:rPr>
              <w:t>'''''''''''''''''''</w:t>
            </w:r>
            <w:r w:rsidRPr="00272261">
              <w:rPr>
                <w:rFonts w:ascii="Arial Narrow" w:hAnsi="Arial Narrow"/>
                <w:sz w:val="20"/>
              </w:rPr>
              <w:t xml:space="preserve"> (Public hospital)</w:t>
            </w:r>
          </w:p>
          <w:p w:rsidR="00B9342C" w:rsidRPr="00272261" w:rsidRDefault="00B9342C" w:rsidP="00E57161">
            <w:pPr>
              <w:keepNext/>
              <w:widowControl/>
              <w:jc w:val="center"/>
              <w:rPr>
                <w:rFonts w:ascii="Arial Narrow" w:hAnsi="Arial Narrow"/>
                <w:sz w:val="20"/>
              </w:rPr>
            </w:pPr>
            <w:r w:rsidRPr="00272261">
              <w:rPr>
                <w:rFonts w:ascii="Arial Narrow" w:hAnsi="Arial Narrow"/>
                <w:sz w:val="20"/>
              </w:rPr>
              <w:t>$</w:t>
            </w:r>
            <w:r w:rsidR="00EF7FDB">
              <w:rPr>
                <w:rFonts w:ascii="Arial Narrow" w:hAnsi="Arial Narrow"/>
                <w:noProof/>
                <w:color w:val="000000"/>
                <w:sz w:val="20"/>
                <w:highlight w:val="black"/>
              </w:rPr>
              <w:t>'''''''''''''''''''''</w:t>
            </w:r>
            <w:r w:rsidRPr="00272261">
              <w:rPr>
                <w:rFonts w:ascii="Arial Narrow" w:hAnsi="Arial Narrow"/>
                <w:sz w:val="20"/>
              </w:rPr>
              <w:t xml:space="preserve"> (Private hospital)</w:t>
            </w:r>
          </w:p>
          <w:p w:rsidR="00B9342C" w:rsidRPr="00272261" w:rsidRDefault="00B9342C" w:rsidP="00E57161">
            <w:pPr>
              <w:keepNext/>
              <w:widowControl/>
              <w:ind w:left="-108"/>
              <w:jc w:val="center"/>
              <w:rPr>
                <w:rFonts w:ascii="Arial Narrow" w:hAnsi="Arial Narrow"/>
                <w:sz w:val="20"/>
                <w:szCs w:val="20"/>
              </w:rPr>
            </w:pPr>
            <w:r w:rsidRPr="00272261">
              <w:rPr>
                <w:rFonts w:ascii="Arial Narrow" w:hAnsi="Arial Narrow"/>
                <w:sz w:val="20"/>
              </w:rPr>
              <w:t>$</w:t>
            </w:r>
            <w:r w:rsidR="00EF7FDB">
              <w:rPr>
                <w:rFonts w:ascii="Arial Narrow" w:hAnsi="Arial Narrow"/>
                <w:noProof/>
                <w:color w:val="000000"/>
                <w:sz w:val="20"/>
                <w:highlight w:val="black"/>
              </w:rPr>
              <w:t>'''''''''''''</w:t>
            </w:r>
            <w:r w:rsidRPr="00272261">
              <w:rPr>
                <w:rFonts w:ascii="Arial Narrow" w:hAnsi="Arial Narrow"/>
                <w:sz w:val="20"/>
              </w:rPr>
              <w:t xml:space="preserve"> (Effective price)</w:t>
            </w:r>
          </w:p>
        </w:tc>
        <w:tc>
          <w:tcPr>
            <w:tcW w:w="1276" w:type="dxa"/>
          </w:tcPr>
          <w:p w:rsidR="00B9342C" w:rsidRPr="00272261" w:rsidRDefault="00B9342C" w:rsidP="00E57161">
            <w:pPr>
              <w:keepNext/>
              <w:widowControl/>
              <w:rPr>
                <w:rFonts w:ascii="Arial Narrow" w:hAnsi="Arial Narrow"/>
                <w:sz w:val="20"/>
              </w:rPr>
            </w:pPr>
            <w:r w:rsidRPr="00272261">
              <w:rPr>
                <w:rFonts w:ascii="Arial Narrow" w:hAnsi="Arial Narrow"/>
                <w:sz w:val="20"/>
              </w:rPr>
              <w:t>Adempas</w:t>
            </w:r>
            <w:r w:rsidRPr="00272261">
              <w:rPr>
                <w:rFonts w:ascii="Arial Narrow" w:hAnsi="Arial Narrow"/>
                <w:sz w:val="20"/>
                <w:vertAlign w:val="superscript"/>
              </w:rPr>
              <w:t>®</w:t>
            </w:r>
          </w:p>
        </w:tc>
        <w:tc>
          <w:tcPr>
            <w:tcW w:w="992" w:type="dxa"/>
          </w:tcPr>
          <w:p w:rsidR="00B9342C" w:rsidRPr="00272261" w:rsidRDefault="00B9342C" w:rsidP="00E57161">
            <w:pPr>
              <w:keepNext/>
              <w:widowControl/>
              <w:rPr>
                <w:rFonts w:ascii="Arial Narrow" w:hAnsi="Arial Narrow"/>
                <w:sz w:val="20"/>
              </w:rPr>
            </w:pPr>
            <w:r w:rsidRPr="00272261">
              <w:rPr>
                <w:rFonts w:ascii="Arial Narrow" w:hAnsi="Arial Narrow"/>
                <w:sz w:val="20"/>
              </w:rPr>
              <w:t>BN</w:t>
            </w:r>
          </w:p>
        </w:tc>
      </w:tr>
      <w:tr w:rsidR="00B9342C" w:rsidRPr="00272261" w:rsidTr="00B9342C">
        <w:trPr>
          <w:cantSplit/>
          <w:trHeight w:val="360"/>
        </w:trPr>
        <w:tc>
          <w:tcPr>
            <w:tcW w:w="8505" w:type="dxa"/>
            <w:gridSpan w:val="7"/>
            <w:tcBorders>
              <w:bottom w:val="single" w:sz="4" w:space="0" w:color="auto"/>
            </w:tcBorders>
          </w:tcPr>
          <w:p w:rsidR="00B9342C" w:rsidRPr="00272261" w:rsidRDefault="00B9342C" w:rsidP="00E57161">
            <w:pPr>
              <w:widowControl/>
              <w:rPr>
                <w:rFonts w:ascii="Arial Narrow" w:hAnsi="Arial Narrow"/>
                <w:sz w:val="20"/>
                <w:szCs w:val="20"/>
              </w:rPr>
            </w:pP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 xml:space="preserve">Category / </w:t>
            </w:r>
          </w:p>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t>Section 100 – Highly Specialised Drugs Program</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fldChar w:fldCharType="begin">
                <w:ffData>
                  <w:name w:val="Check1"/>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 xml:space="preserve">Dental  </w:t>
            </w:r>
            <w:r w:rsidRPr="00272261">
              <w:rPr>
                <w:rFonts w:ascii="Arial Narrow" w:hAnsi="Arial Narrow"/>
                <w:sz w:val="20"/>
                <w:szCs w:val="20"/>
              </w:rPr>
              <w:fldChar w:fldCharType="begin">
                <w:ffData>
                  <w:name w:val=""/>
                  <w:enabled/>
                  <w:calcOnExit w:val="0"/>
                  <w:checkBox>
                    <w:sizeAuto/>
                    <w:default w:val="1"/>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 xml:space="preserve">Medical Practitioners  </w:t>
            </w:r>
            <w:r w:rsidRPr="00272261">
              <w:rPr>
                <w:rFonts w:ascii="Arial Narrow" w:hAnsi="Arial Narrow"/>
                <w:sz w:val="20"/>
                <w:szCs w:val="20"/>
              </w:rPr>
              <w:fldChar w:fldCharType="begin">
                <w:ffData>
                  <w:name w:val="Check3"/>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 xml:space="preserve">Nurse practitioners  </w:t>
            </w:r>
            <w:r w:rsidRPr="00272261">
              <w:rPr>
                <w:rFonts w:ascii="Arial Narrow" w:hAnsi="Arial Narrow"/>
                <w:sz w:val="20"/>
                <w:szCs w:val="20"/>
              </w:rPr>
              <w:fldChar w:fldCharType="begin">
                <w:ffData>
                  <w:name w:val=""/>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Optometrists</w:t>
            </w:r>
          </w:p>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fldChar w:fldCharType="begin">
                <w:ffData>
                  <w:name w:val="Check5"/>
                  <w:enabled/>
                  <w:calcOnExit w:val="0"/>
                  <w:checkBox>
                    <w:sizeAuto/>
                    <w:default w:val="0"/>
                  </w:checkBox>
                </w:ffData>
              </w:fldChar>
            </w:r>
            <w:r w:rsidRPr="00272261">
              <w:rPr>
                <w:rFonts w:ascii="Arial Narrow" w:hAnsi="Arial Narrow"/>
                <w:sz w:val="20"/>
                <w:szCs w:val="20"/>
              </w:rPr>
              <w:instrText xml:space="preserve"> FORMCHECKBOX </w:instrText>
            </w:r>
            <w:r w:rsidR="003C2BAF">
              <w:rPr>
                <w:rFonts w:ascii="Arial Narrow" w:hAnsi="Arial Narrow"/>
                <w:sz w:val="20"/>
                <w:szCs w:val="20"/>
              </w:rPr>
            </w:r>
            <w:r w:rsidR="003C2BAF">
              <w:rPr>
                <w:rFonts w:ascii="Arial Narrow" w:hAnsi="Arial Narrow"/>
                <w:sz w:val="20"/>
                <w:szCs w:val="20"/>
              </w:rPr>
              <w:fldChar w:fldCharType="separate"/>
            </w:r>
            <w:r w:rsidRPr="00272261">
              <w:rPr>
                <w:rFonts w:ascii="Arial Narrow" w:hAnsi="Arial Narrow"/>
                <w:sz w:val="20"/>
                <w:szCs w:val="20"/>
              </w:rPr>
              <w:fldChar w:fldCharType="end"/>
            </w:r>
            <w:r w:rsidRPr="00272261">
              <w:rPr>
                <w:rFonts w:ascii="Arial Narrow" w:hAnsi="Arial Narrow"/>
                <w:sz w:val="20"/>
                <w:szCs w:val="20"/>
              </w:rPr>
              <w:t>Midwives</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i/>
                <w:sz w:val="20"/>
                <w:szCs w:val="20"/>
              </w:rPr>
            </w:pPr>
            <w:r w:rsidRPr="00272261">
              <w:rPr>
                <w:rFonts w:ascii="Arial Narrow" w:hAnsi="Arial Narrow"/>
                <w:i/>
                <w:sz w:val="20"/>
                <w:szCs w:val="20"/>
              </w:rPr>
              <w:t>Chronic</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snapToGrid w:val="0"/>
              <w:spacing w:line="20" w:lineRule="atLeast"/>
              <w:jc w:val="left"/>
              <w:rPr>
                <w:rFonts w:ascii="Arial Narrow" w:hAnsi="Arial Narrow"/>
                <w:strike/>
                <w:sz w:val="20"/>
              </w:rPr>
            </w:pPr>
            <w:r w:rsidRPr="00272261">
              <w:rPr>
                <w:rFonts w:ascii="Arial Narrow" w:hAnsi="Arial Narrow"/>
                <w:strike/>
                <w:sz w:val="20"/>
              </w:rPr>
              <w:t>WHO Functional Class II-IV</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rPr>
            </w:pPr>
            <w:r w:rsidRPr="00272261">
              <w:rPr>
                <w:rFonts w:ascii="Arial Narrow" w:hAnsi="Arial Narrow"/>
                <w:strike/>
                <w:sz w:val="20"/>
              </w:rPr>
              <w:t>Inoperable</w:t>
            </w:r>
            <w:r w:rsidRPr="00272261">
              <w:rPr>
                <w:rFonts w:ascii="Arial Narrow" w:hAnsi="Arial Narrow"/>
                <w:i/>
                <w:sz w:val="20"/>
              </w:rPr>
              <w:t xml:space="preserve"> thromboembolic pulmonary hypertension </w:t>
            </w:r>
            <w:r w:rsidRPr="00272261">
              <w:rPr>
                <w:rFonts w:ascii="Arial Narrow" w:hAnsi="Arial Narrow"/>
                <w:strike/>
                <w:sz w:val="20"/>
              </w:rPr>
              <w:t>CTEPH or Persistent CTEPH subsequent to PEA</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i/>
                <w:sz w:val="20"/>
                <w:szCs w:val="20"/>
              </w:rPr>
            </w:pPr>
            <w:r w:rsidRPr="00272261">
              <w:rPr>
                <w:rFonts w:ascii="Arial Narrow" w:hAnsi="Arial Narrow"/>
                <w:i/>
                <w:sz w:val="20"/>
                <w:szCs w:val="20"/>
              </w:rPr>
              <w:t>Chronic</w:t>
            </w:r>
            <w:r w:rsidRPr="00272261">
              <w:rPr>
                <w:rFonts w:ascii="Arial Narrow" w:hAnsi="Arial Narrow"/>
                <w:i/>
                <w:sz w:val="20"/>
              </w:rPr>
              <w:t xml:space="preserve"> thromboembolic pulmonary hypertension </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t>Continuing treatment</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Restriction Level / Method:</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szCs w:val="20"/>
              </w:rPr>
            </w:pPr>
            <w:r w:rsidRPr="00272261">
              <w:rPr>
                <w:rFonts w:ascii="Arial Narrow" w:hAnsi="Arial Narrow"/>
                <w:sz w:val="20"/>
                <w:szCs w:val="20"/>
              </w:rPr>
              <w:t>Authority Required - In Writing</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trike/>
                <w:sz w:val="20"/>
                <w:szCs w:val="20"/>
              </w:rPr>
            </w:pPr>
            <w:r w:rsidRPr="00272261">
              <w:rPr>
                <w:rFonts w:ascii="Arial Narrow" w:hAnsi="Arial Narrow"/>
                <w:strike/>
                <w:sz w:val="20"/>
              </w:rPr>
              <w:t>Persistent or recurrent CTEPH after surgical treatment or inoperable CTEPH in adult patients with WHO functional Class II, lll or IV symptoms</w:t>
            </w:r>
          </w:p>
        </w:tc>
      </w:tr>
      <w:tr w:rsidR="00B9342C" w:rsidRPr="00272261" w:rsidTr="00E67BED">
        <w:trPr>
          <w:cantSplit/>
          <w:trHeight w:val="360"/>
        </w:trPr>
        <w:tc>
          <w:tcPr>
            <w:tcW w:w="1701" w:type="dxa"/>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b/>
                <w:sz w:val="20"/>
                <w:szCs w:val="20"/>
              </w:rPr>
            </w:pPr>
            <w:r w:rsidRPr="00272261">
              <w:rPr>
                <w:rFonts w:ascii="Arial Narrow" w:hAnsi="Arial Narrow"/>
                <w:b/>
                <w:sz w:val="20"/>
                <w:szCs w:val="20"/>
              </w:rPr>
              <w:lastRenderedPageBreak/>
              <w:t>Clinical criteria:</w:t>
            </w:r>
          </w:p>
        </w:tc>
        <w:tc>
          <w:tcPr>
            <w:tcW w:w="6804" w:type="dxa"/>
            <w:gridSpan w:val="6"/>
            <w:tcBorders>
              <w:top w:val="single" w:sz="4" w:space="0" w:color="auto"/>
              <w:left w:val="single" w:sz="4" w:space="0" w:color="auto"/>
              <w:bottom w:val="single" w:sz="4" w:space="0" w:color="auto"/>
              <w:right w:val="single" w:sz="4" w:space="0" w:color="auto"/>
            </w:tcBorders>
          </w:tcPr>
          <w:p w:rsidR="00B9342C" w:rsidRPr="00272261" w:rsidRDefault="00B9342C" w:rsidP="00E57161">
            <w:pPr>
              <w:widowControl/>
              <w:jc w:val="left"/>
              <w:rPr>
                <w:rFonts w:ascii="Arial Narrow" w:hAnsi="Arial Narrow"/>
                <w:sz w:val="20"/>
              </w:rPr>
            </w:pPr>
            <w:r w:rsidRPr="00272261">
              <w:rPr>
                <w:rFonts w:ascii="Arial Narrow" w:hAnsi="Arial Narrow"/>
                <w:sz w:val="20"/>
              </w:rPr>
              <w:t xml:space="preserve">Patients must have </w:t>
            </w:r>
            <w:r w:rsidRPr="00272261">
              <w:rPr>
                <w:rFonts w:ascii="Arial Narrow" w:hAnsi="Arial Narrow"/>
                <w:i/>
                <w:sz w:val="20"/>
              </w:rPr>
              <w:t>previously</w:t>
            </w:r>
            <w:r w:rsidRPr="00272261">
              <w:rPr>
                <w:rFonts w:ascii="Arial Narrow" w:hAnsi="Arial Narrow"/>
                <w:sz w:val="20"/>
              </w:rPr>
              <w:t xml:space="preserve"> received approval for initial PBS-subsidised treatment with this drug</w:t>
            </w:r>
          </w:p>
          <w:p w:rsidR="00B9342C" w:rsidRPr="00272261" w:rsidRDefault="00B9342C" w:rsidP="00E57161">
            <w:pPr>
              <w:widowControl/>
              <w:jc w:val="left"/>
              <w:rPr>
                <w:rFonts w:ascii="Arial Narrow" w:hAnsi="Arial Narrow"/>
                <w:sz w:val="20"/>
              </w:rPr>
            </w:pPr>
            <w:r w:rsidRPr="00272261">
              <w:rPr>
                <w:rFonts w:ascii="Arial Narrow" w:hAnsi="Arial Narrow"/>
                <w:sz w:val="20"/>
              </w:rPr>
              <w:t>AND</w:t>
            </w:r>
          </w:p>
          <w:p w:rsidR="00B9342C" w:rsidRPr="00272261" w:rsidRDefault="00B9342C" w:rsidP="00E57161">
            <w:pPr>
              <w:widowControl/>
              <w:jc w:val="left"/>
              <w:rPr>
                <w:rFonts w:ascii="Arial Narrow" w:hAnsi="Arial Narrow"/>
                <w:sz w:val="20"/>
              </w:rPr>
            </w:pPr>
            <w:r w:rsidRPr="00272261">
              <w:rPr>
                <w:rFonts w:ascii="Arial Narrow" w:hAnsi="Arial Narrow"/>
                <w:sz w:val="20"/>
              </w:rPr>
              <w:t>Patient must have been assessed by a physician from a designated hospital to have achieved a response to their most recent course of treatment with this agent</w:t>
            </w:r>
          </w:p>
          <w:p w:rsidR="00B9342C" w:rsidRPr="00272261" w:rsidRDefault="00B9342C" w:rsidP="00E57161">
            <w:pPr>
              <w:widowControl/>
              <w:jc w:val="left"/>
              <w:rPr>
                <w:rFonts w:ascii="Arial Narrow" w:hAnsi="Arial Narrow"/>
                <w:sz w:val="20"/>
              </w:rPr>
            </w:pPr>
            <w:r w:rsidRPr="00272261">
              <w:rPr>
                <w:rFonts w:ascii="Arial Narrow" w:hAnsi="Arial Narrow"/>
                <w:sz w:val="20"/>
              </w:rPr>
              <w:t>AND</w:t>
            </w:r>
          </w:p>
          <w:p w:rsidR="00B9342C" w:rsidRPr="00272261" w:rsidRDefault="00B9342C" w:rsidP="00E57161">
            <w:pPr>
              <w:widowControl/>
              <w:jc w:val="left"/>
              <w:rPr>
                <w:rFonts w:ascii="Arial Narrow" w:hAnsi="Arial Narrow"/>
                <w:sz w:val="20"/>
              </w:rPr>
            </w:pPr>
            <w:r w:rsidRPr="00272261">
              <w:rPr>
                <w:rFonts w:ascii="Arial Narrow" w:hAnsi="Arial Narrow"/>
                <w:sz w:val="20"/>
              </w:rPr>
              <w:t>Patient must undergo assessment of the following tests every 6 months:</w:t>
            </w:r>
          </w:p>
          <w:p w:rsidR="00B9342C" w:rsidRPr="00272261" w:rsidRDefault="00B9342C" w:rsidP="00E57161">
            <w:pPr>
              <w:widowControl/>
              <w:ind w:left="720"/>
              <w:jc w:val="left"/>
              <w:rPr>
                <w:rFonts w:ascii="Arial Narrow" w:hAnsi="Arial Narrow"/>
                <w:sz w:val="20"/>
              </w:rPr>
            </w:pPr>
            <w:r w:rsidRPr="00272261">
              <w:rPr>
                <w:rFonts w:ascii="Arial Narrow" w:hAnsi="Arial Narrow"/>
                <w:sz w:val="20"/>
              </w:rPr>
              <w:t>(i) RHC composite assessment; and/or</w:t>
            </w:r>
          </w:p>
          <w:p w:rsidR="00B9342C" w:rsidRPr="00272261" w:rsidRDefault="00B9342C" w:rsidP="00E57161">
            <w:pPr>
              <w:widowControl/>
              <w:ind w:left="720"/>
              <w:jc w:val="left"/>
              <w:rPr>
                <w:rFonts w:ascii="Arial Narrow" w:hAnsi="Arial Narrow"/>
                <w:sz w:val="20"/>
              </w:rPr>
            </w:pPr>
            <w:r w:rsidRPr="00272261">
              <w:rPr>
                <w:rFonts w:ascii="Arial Narrow" w:hAnsi="Arial Narrow"/>
                <w:sz w:val="20"/>
              </w:rPr>
              <w:t>(ii) ECHO composite assessment; and</w:t>
            </w:r>
          </w:p>
          <w:p w:rsidR="00B9342C" w:rsidRPr="00272261" w:rsidRDefault="00B9342C" w:rsidP="00E57161">
            <w:pPr>
              <w:widowControl/>
              <w:ind w:left="720"/>
              <w:jc w:val="left"/>
              <w:rPr>
                <w:rFonts w:ascii="Arial Narrow" w:hAnsi="Arial Narrow"/>
                <w:sz w:val="20"/>
              </w:rPr>
            </w:pPr>
            <w:r w:rsidRPr="00272261">
              <w:rPr>
                <w:rFonts w:ascii="Arial Narrow" w:hAnsi="Arial Narrow"/>
                <w:sz w:val="20"/>
              </w:rPr>
              <w:t>(iii) 6MWT</w:t>
            </w:r>
          </w:p>
        </w:tc>
      </w:tr>
    </w:tbl>
    <w:p w:rsidR="00B9342C" w:rsidRPr="00272261" w:rsidRDefault="00B9342C" w:rsidP="00E57161">
      <w:pPr>
        <w:widowControl/>
      </w:pPr>
    </w:p>
    <w:p w:rsidR="002F36A9" w:rsidRPr="00272261" w:rsidRDefault="00EF42E2" w:rsidP="00E57161">
      <w:pPr>
        <w:pStyle w:val="ListParagraph"/>
        <w:widowControl/>
        <w:numPr>
          <w:ilvl w:val="1"/>
          <w:numId w:val="2"/>
        </w:numPr>
        <w:rPr>
          <w:szCs w:val="22"/>
        </w:rPr>
      </w:pPr>
      <w:r w:rsidRPr="00272261">
        <w:rPr>
          <w:szCs w:val="22"/>
        </w:rPr>
        <w:t>T</w:t>
      </w:r>
      <w:r w:rsidR="002F36A9" w:rsidRPr="00272261">
        <w:rPr>
          <w:szCs w:val="22"/>
        </w:rPr>
        <w:t xml:space="preserve">he re-submission sought listing for riociguat on the basis of a cost utility analysis comparing riociguat </w:t>
      </w:r>
      <w:r w:rsidR="0060498B" w:rsidRPr="00272261">
        <w:rPr>
          <w:szCs w:val="22"/>
        </w:rPr>
        <w:t>to</w:t>
      </w:r>
      <w:r w:rsidR="002F36A9" w:rsidRPr="00272261">
        <w:rPr>
          <w:szCs w:val="22"/>
        </w:rPr>
        <w:t xml:space="preserve"> placebo</w:t>
      </w:r>
      <w:r w:rsidR="004C0313" w:rsidRPr="00272261">
        <w:rPr>
          <w:szCs w:val="22"/>
        </w:rPr>
        <w:t xml:space="preserve"> for patients with inoperable CTEPH and patients with persistent CTEPH following PEA</w:t>
      </w:r>
      <w:r w:rsidR="003E07F0" w:rsidRPr="00272261">
        <w:rPr>
          <w:szCs w:val="22"/>
        </w:rPr>
        <w:t>, with these patient cohorts</w:t>
      </w:r>
      <w:r w:rsidR="004C0313" w:rsidRPr="00272261">
        <w:rPr>
          <w:szCs w:val="22"/>
        </w:rPr>
        <w:t xml:space="preserve"> modelled separately</w:t>
      </w:r>
      <w:r w:rsidR="002F36A9" w:rsidRPr="00272261">
        <w:rPr>
          <w:szCs w:val="22"/>
        </w:rPr>
        <w:t>.</w:t>
      </w:r>
      <w:r w:rsidR="003E07F0" w:rsidRPr="00272261">
        <w:rPr>
          <w:szCs w:val="22"/>
        </w:rPr>
        <w:t xml:space="preserve">  This was different to the July 2015 re-submission, which modelled a combined patient cohort.</w:t>
      </w:r>
    </w:p>
    <w:p w:rsidR="002F36A9" w:rsidRPr="00272261" w:rsidRDefault="002F36A9" w:rsidP="00E57161">
      <w:pPr>
        <w:widowControl/>
        <w:rPr>
          <w:szCs w:val="22"/>
        </w:rPr>
      </w:pPr>
    </w:p>
    <w:p w:rsidR="002F36A9" w:rsidRPr="00272261" w:rsidRDefault="00EF42E2" w:rsidP="00E57161">
      <w:pPr>
        <w:pStyle w:val="ListParagraph"/>
        <w:widowControl/>
        <w:numPr>
          <w:ilvl w:val="1"/>
          <w:numId w:val="2"/>
        </w:numPr>
        <w:rPr>
          <w:szCs w:val="22"/>
        </w:rPr>
      </w:pPr>
      <w:r w:rsidRPr="00272261">
        <w:rPr>
          <w:szCs w:val="22"/>
        </w:rPr>
        <w:t xml:space="preserve">The </w:t>
      </w:r>
      <w:r w:rsidR="001B29E4" w:rsidRPr="00272261">
        <w:rPr>
          <w:szCs w:val="22"/>
        </w:rPr>
        <w:t xml:space="preserve">submission requested a Special Pricing Arrangement with an </w:t>
      </w:r>
      <w:r w:rsidRPr="00272261">
        <w:rPr>
          <w:szCs w:val="22"/>
        </w:rPr>
        <w:t>effective price of $</w:t>
      </w:r>
      <w:r w:rsidR="00EF7FDB">
        <w:rPr>
          <w:noProof/>
          <w:color w:val="000000"/>
          <w:szCs w:val="22"/>
          <w:highlight w:val="black"/>
        </w:rPr>
        <w:t>'''''''''''''</w:t>
      </w:r>
      <w:r w:rsidRPr="00272261">
        <w:rPr>
          <w:szCs w:val="22"/>
        </w:rPr>
        <w:t xml:space="preserve"> for initial treatment and $</w:t>
      </w:r>
      <w:r w:rsidR="00EF7FDB">
        <w:rPr>
          <w:noProof/>
          <w:color w:val="000000"/>
          <w:szCs w:val="22"/>
          <w:highlight w:val="black"/>
        </w:rPr>
        <w:t>''''''''''''''</w:t>
      </w:r>
      <w:r w:rsidRPr="00272261">
        <w:rPr>
          <w:szCs w:val="22"/>
        </w:rPr>
        <w:t xml:space="preserve"> for continuing treatment</w:t>
      </w:r>
      <w:r w:rsidR="001B29E4" w:rsidRPr="00272261">
        <w:rPr>
          <w:szCs w:val="22"/>
        </w:rPr>
        <w:t>. T</w:t>
      </w:r>
      <w:r w:rsidR="00F77FAB" w:rsidRPr="00272261">
        <w:rPr>
          <w:szCs w:val="22"/>
        </w:rPr>
        <w:t xml:space="preserve">he </w:t>
      </w:r>
      <w:r w:rsidR="001B29E4" w:rsidRPr="00272261">
        <w:rPr>
          <w:szCs w:val="22"/>
        </w:rPr>
        <w:t xml:space="preserve">pre-PBAC response for the July 2015 re-submission offered the same </w:t>
      </w:r>
      <w:r w:rsidR="004A5BD8" w:rsidRPr="00272261">
        <w:rPr>
          <w:szCs w:val="22"/>
        </w:rPr>
        <w:t xml:space="preserve">effective price of </w:t>
      </w:r>
      <w:r w:rsidR="001B29E4" w:rsidRPr="00272261">
        <w:rPr>
          <w:szCs w:val="22"/>
        </w:rPr>
        <w:t>$</w:t>
      </w:r>
      <w:r w:rsidR="00EF7FDB">
        <w:rPr>
          <w:noProof/>
          <w:color w:val="000000"/>
          <w:szCs w:val="22"/>
          <w:highlight w:val="black"/>
        </w:rPr>
        <w:t>''''''''''''''</w:t>
      </w:r>
      <w:r w:rsidR="001B29E4" w:rsidRPr="00272261">
        <w:rPr>
          <w:szCs w:val="22"/>
        </w:rPr>
        <w:t xml:space="preserve"> for </w:t>
      </w:r>
      <w:r w:rsidR="00C76452" w:rsidRPr="00272261">
        <w:rPr>
          <w:szCs w:val="22"/>
        </w:rPr>
        <w:t xml:space="preserve">continuing </w:t>
      </w:r>
      <w:r w:rsidR="001B29E4" w:rsidRPr="00272261">
        <w:rPr>
          <w:szCs w:val="22"/>
        </w:rPr>
        <w:t xml:space="preserve">treatment, </w:t>
      </w:r>
      <w:r w:rsidR="00576C22" w:rsidRPr="00272261">
        <w:rPr>
          <w:szCs w:val="22"/>
        </w:rPr>
        <w:t>represent</w:t>
      </w:r>
      <w:r w:rsidR="001B29E4" w:rsidRPr="00272261">
        <w:rPr>
          <w:szCs w:val="22"/>
        </w:rPr>
        <w:t>ing</w:t>
      </w:r>
      <w:r w:rsidR="00576C22" w:rsidRPr="00272261">
        <w:rPr>
          <w:szCs w:val="22"/>
        </w:rPr>
        <w:t xml:space="preserve"> a </w:t>
      </w:r>
      <w:r w:rsidR="00EF7FDB">
        <w:rPr>
          <w:noProof/>
          <w:color w:val="000000"/>
          <w:szCs w:val="22"/>
          <w:highlight w:val="black"/>
        </w:rPr>
        <w:t>'''''''</w:t>
      </w:r>
      <w:r w:rsidR="00576C22" w:rsidRPr="00272261">
        <w:rPr>
          <w:szCs w:val="22"/>
        </w:rPr>
        <w:t xml:space="preserve">% price reduction from </w:t>
      </w:r>
      <w:r w:rsidR="00A27763" w:rsidRPr="00272261">
        <w:rPr>
          <w:szCs w:val="22"/>
        </w:rPr>
        <w:t xml:space="preserve">the </w:t>
      </w:r>
      <w:r w:rsidR="00C76452" w:rsidRPr="00272261">
        <w:rPr>
          <w:szCs w:val="22"/>
        </w:rPr>
        <w:t xml:space="preserve">continuing </w:t>
      </w:r>
      <w:r w:rsidR="001B29E4" w:rsidRPr="00272261">
        <w:rPr>
          <w:szCs w:val="22"/>
        </w:rPr>
        <w:t xml:space="preserve">treatment price </w:t>
      </w:r>
      <w:r w:rsidR="00576C22" w:rsidRPr="00272261">
        <w:rPr>
          <w:szCs w:val="22"/>
        </w:rPr>
        <w:t xml:space="preserve">requested in the July 2015 </w:t>
      </w:r>
      <w:r w:rsidRPr="00272261">
        <w:rPr>
          <w:szCs w:val="22"/>
        </w:rPr>
        <w:t>re-submission</w:t>
      </w:r>
      <w:r w:rsidR="00F77FAB" w:rsidRPr="00272261">
        <w:rPr>
          <w:szCs w:val="22"/>
        </w:rPr>
        <w:t>.</w:t>
      </w:r>
      <w:r w:rsidR="00477B20" w:rsidRPr="00272261">
        <w:rPr>
          <w:szCs w:val="22"/>
        </w:rPr>
        <w:t xml:space="preserve"> The pre-PBAC response</w:t>
      </w:r>
      <w:r w:rsidR="00C563D4" w:rsidRPr="00272261">
        <w:rPr>
          <w:szCs w:val="22"/>
        </w:rPr>
        <w:t xml:space="preserve"> (p3)</w:t>
      </w:r>
      <w:r w:rsidR="00477B20" w:rsidRPr="00272261">
        <w:rPr>
          <w:szCs w:val="22"/>
        </w:rPr>
        <w:t xml:space="preserve"> for the current re-submission offered an additional </w:t>
      </w:r>
      <w:r w:rsidR="00EF7FDB">
        <w:rPr>
          <w:noProof/>
          <w:color w:val="000000"/>
          <w:szCs w:val="22"/>
          <w:highlight w:val="black"/>
        </w:rPr>
        <w:t>''''''</w:t>
      </w:r>
      <w:r w:rsidR="00477B20" w:rsidRPr="00272261">
        <w:rPr>
          <w:szCs w:val="22"/>
        </w:rPr>
        <w:t>% price reduction</w:t>
      </w:r>
      <w:r w:rsidR="00C563D4" w:rsidRPr="00272261">
        <w:rPr>
          <w:szCs w:val="22"/>
        </w:rPr>
        <w:t xml:space="preserve"> </w:t>
      </w:r>
      <w:r w:rsidR="00477B20" w:rsidRPr="00272261">
        <w:rPr>
          <w:szCs w:val="22"/>
        </w:rPr>
        <w:t xml:space="preserve">for the continuing treatment (84 </w:t>
      </w:r>
      <w:r w:rsidR="00272261" w:rsidRPr="00272261">
        <w:rPr>
          <w:szCs w:val="22"/>
        </w:rPr>
        <w:t>tablets</w:t>
      </w:r>
      <w:r w:rsidR="00477B20" w:rsidRPr="00272261">
        <w:rPr>
          <w:szCs w:val="22"/>
        </w:rPr>
        <w:t>) pack of riociguat</w:t>
      </w:r>
      <w:r w:rsidR="00C563D4" w:rsidRPr="00272261">
        <w:rPr>
          <w:szCs w:val="22"/>
        </w:rPr>
        <w:t xml:space="preserve"> resulting in an effective AEMP of $</w:t>
      </w:r>
      <w:r w:rsidR="00EF7FDB">
        <w:rPr>
          <w:noProof/>
          <w:color w:val="000000"/>
          <w:szCs w:val="22"/>
          <w:highlight w:val="black"/>
        </w:rPr>
        <w:t>'''''''''''''''''''''</w:t>
      </w:r>
      <w:r w:rsidR="00477B20" w:rsidRPr="00272261">
        <w:rPr>
          <w:szCs w:val="22"/>
        </w:rPr>
        <w:t>.</w:t>
      </w:r>
    </w:p>
    <w:p w:rsidR="006012E8" w:rsidRPr="00272261" w:rsidRDefault="006012E8" w:rsidP="00E57161">
      <w:pPr>
        <w:pStyle w:val="ListParagraph"/>
        <w:widowControl/>
        <w:rPr>
          <w:szCs w:val="22"/>
        </w:rPr>
      </w:pPr>
    </w:p>
    <w:p w:rsidR="006012E8" w:rsidRPr="00272261" w:rsidRDefault="006044A8" w:rsidP="00E57161">
      <w:pPr>
        <w:pStyle w:val="ListParagraph"/>
        <w:widowControl/>
        <w:numPr>
          <w:ilvl w:val="1"/>
          <w:numId w:val="2"/>
        </w:numPr>
        <w:rPr>
          <w:szCs w:val="22"/>
        </w:rPr>
      </w:pPr>
      <w:r w:rsidRPr="00272261">
        <w:rPr>
          <w:szCs w:val="22"/>
        </w:rPr>
        <w:t xml:space="preserve">Compared </w:t>
      </w:r>
      <w:r w:rsidR="00282384" w:rsidRPr="00272261">
        <w:rPr>
          <w:szCs w:val="22"/>
        </w:rPr>
        <w:t xml:space="preserve">with </w:t>
      </w:r>
      <w:r w:rsidRPr="00272261">
        <w:rPr>
          <w:szCs w:val="22"/>
        </w:rPr>
        <w:t>the July 2015 re-submission, t</w:t>
      </w:r>
      <w:r w:rsidR="006012E8" w:rsidRPr="00272261">
        <w:rPr>
          <w:szCs w:val="22"/>
        </w:rPr>
        <w:t xml:space="preserve">he </w:t>
      </w:r>
      <w:r w:rsidRPr="00272261">
        <w:rPr>
          <w:szCs w:val="22"/>
        </w:rPr>
        <w:t>requested restriction n</w:t>
      </w:r>
      <w:r w:rsidR="0060498B" w:rsidRPr="00272261">
        <w:rPr>
          <w:szCs w:val="22"/>
        </w:rPr>
        <w:t xml:space="preserve">o longer </w:t>
      </w:r>
      <w:r w:rsidR="00282384" w:rsidRPr="00272261">
        <w:rPr>
          <w:szCs w:val="22"/>
        </w:rPr>
        <w:t xml:space="preserve">included </w:t>
      </w:r>
      <w:r w:rsidR="0060498B" w:rsidRPr="00272261">
        <w:rPr>
          <w:szCs w:val="22"/>
        </w:rPr>
        <w:t xml:space="preserve">a requirement for </w:t>
      </w:r>
      <w:r w:rsidR="000D6296" w:rsidRPr="00272261">
        <w:rPr>
          <w:szCs w:val="22"/>
        </w:rPr>
        <w:t>prior vasodilator treatment.</w:t>
      </w:r>
      <w:r w:rsidR="006012E8" w:rsidRPr="00272261">
        <w:rPr>
          <w:szCs w:val="22"/>
        </w:rPr>
        <w:t xml:space="preserve"> This amendment </w:t>
      </w:r>
      <w:r w:rsidR="00A5625E" w:rsidRPr="00272261">
        <w:rPr>
          <w:szCs w:val="22"/>
        </w:rPr>
        <w:t>wa</w:t>
      </w:r>
      <w:r w:rsidR="006012E8" w:rsidRPr="00272261">
        <w:rPr>
          <w:szCs w:val="22"/>
        </w:rPr>
        <w:t>s appropriate, given that prior vasodilator treatment appears to inappropriately require the use of inferior or unsubstantiated treatments prior to riociguat (July 2015</w:t>
      </w:r>
      <w:r w:rsidR="0026048E" w:rsidRPr="00272261">
        <w:rPr>
          <w:szCs w:val="22"/>
        </w:rPr>
        <w:t xml:space="preserve"> PSD, paragraph 2.3).</w:t>
      </w:r>
    </w:p>
    <w:p w:rsidR="002F36A9" w:rsidRPr="00272261" w:rsidRDefault="002F36A9" w:rsidP="00E57161">
      <w:pPr>
        <w:widowControl/>
        <w:rPr>
          <w:szCs w:val="22"/>
          <w:highlight w:val="yellow"/>
        </w:rPr>
      </w:pPr>
    </w:p>
    <w:p w:rsidR="006012E8" w:rsidRPr="00272261" w:rsidRDefault="00863829" w:rsidP="00E57161">
      <w:pPr>
        <w:pStyle w:val="ListParagraph"/>
        <w:widowControl/>
        <w:numPr>
          <w:ilvl w:val="1"/>
          <w:numId w:val="2"/>
        </w:numPr>
        <w:rPr>
          <w:szCs w:val="22"/>
        </w:rPr>
      </w:pPr>
      <w:r w:rsidRPr="00272261">
        <w:rPr>
          <w:szCs w:val="22"/>
        </w:rPr>
        <w:t xml:space="preserve">The proposed </w:t>
      </w:r>
      <w:r w:rsidR="002F36A9" w:rsidRPr="00272261">
        <w:rPr>
          <w:szCs w:val="22"/>
        </w:rPr>
        <w:t xml:space="preserve">initial </w:t>
      </w:r>
      <w:r w:rsidRPr="00272261">
        <w:rPr>
          <w:szCs w:val="22"/>
        </w:rPr>
        <w:t>and</w:t>
      </w:r>
      <w:r w:rsidR="002F36A9" w:rsidRPr="00272261">
        <w:rPr>
          <w:szCs w:val="22"/>
        </w:rPr>
        <w:t xml:space="preserve"> continuing response measurements for right heart catheterisation (RHC), </w:t>
      </w:r>
      <w:r w:rsidR="00C9706C" w:rsidRPr="00272261">
        <w:rPr>
          <w:szCs w:val="22"/>
        </w:rPr>
        <w:t>pulmonary arterial pressure (</w:t>
      </w:r>
      <w:r w:rsidR="00DC6845" w:rsidRPr="00272261">
        <w:rPr>
          <w:szCs w:val="22"/>
        </w:rPr>
        <w:t>PAPmean</w:t>
      </w:r>
      <w:r w:rsidR="00C9706C" w:rsidRPr="00272261">
        <w:rPr>
          <w:szCs w:val="22"/>
        </w:rPr>
        <w:t>)</w:t>
      </w:r>
      <w:r w:rsidR="00DC6845" w:rsidRPr="00272261">
        <w:rPr>
          <w:szCs w:val="22"/>
        </w:rPr>
        <w:t xml:space="preserve"> </w:t>
      </w:r>
      <w:r w:rsidRPr="00272261">
        <w:rPr>
          <w:szCs w:val="22"/>
        </w:rPr>
        <w:t xml:space="preserve">and </w:t>
      </w:r>
      <w:r w:rsidR="002F36A9" w:rsidRPr="00272261">
        <w:rPr>
          <w:szCs w:val="22"/>
        </w:rPr>
        <w:t>echocardiogram (ECHO)</w:t>
      </w:r>
      <w:r w:rsidR="00AD36A8" w:rsidRPr="00272261">
        <w:rPr>
          <w:szCs w:val="22"/>
        </w:rPr>
        <w:t xml:space="preserve"> were inclusion criteria in the CHEST-1 trial. These</w:t>
      </w:r>
      <w:r w:rsidR="002F36A9" w:rsidRPr="00272261">
        <w:rPr>
          <w:szCs w:val="22"/>
        </w:rPr>
        <w:t xml:space="preserve"> </w:t>
      </w:r>
      <w:r w:rsidR="00A5625E" w:rsidRPr="00272261">
        <w:rPr>
          <w:szCs w:val="22"/>
        </w:rPr>
        <w:t>we</w:t>
      </w:r>
      <w:r w:rsidRPr="00272261">
        <w:rPr>
          <w:szCs w:val="22"/>
        </w:rPr>
        <w:t xml:space="preserve">re </w:t>
      </w:r>
      <w:r w:rsidR="00AD36A8" w:rsidRPr="00272261">
        <w:rPr>
          <w:szCs w:val="22"/>
        </w:rPr>
        <w:t>appropriate</w:t>
      </w:r>
      <w:r w:rsidR="002F36A9" w:rsidRPr="00272261">
        <w:rPr>
          <w:szCs w:val="22"/>
        </w:rPr>
        <w:t xml:space="preserve"> </w:t>
      </w:r>
      <w:r w:rsidR="007D73A6" w:rsidRPr="00272261">
        <w:rPr>
          <w:szCs w:val="22"/>
        </w:rPr>
        <w:t xml:space="preserve">to include </w:t>
      </w:r>
      <w:r w:rsidR="00D63D61" w:rsidRPr="00272261">
        <w:rPr>
          <w:szCs w:val="22"/>
        </w:rPr>
        <w:t xml:space="preserve">as part of the </w:t>
      </w:r>
      <w:r w:rsidR="007D73A6" w:rsidRPr="00272261">
        <w:rPr>
          <w:szCs w:val="22"/>
        </w:rPr>
        <w:t xml:space="preserve">assessment of eligibility for treatment of </w:t>
      </w:r>
      <w:r w:rsidR="00D63D61" w:rsidRPr="00272261">
        <w:rPr>
          <w:szCs w:val="22"/>
        </w:rPr>
        <w:t xml:space="preserve">patients with </w:t>
      </w:r>
      <w:r w:rsidR="002F36A9" w:rsidRPr="00272261">
        <w:rPr>
          <w:szCs w:val="22"/>
        </w:rPr>
        <w:t>C</w:t>
      </w:r>
      <w:r w:rsidR="00D63D61" w:rsidRPr="00272261">
        <w:rPr>
          <w:szCs w:val="22"/>
        </w:rPr>
        <w:t>TEPH or persistent CTEPH</w:t>
      </w:r>
      <w:r w:rsidR="00AD36A8" w:rsidRPr="00272261">
        <w:rPr>
          <w:szCs w:val="22"/>
        </w:rPr>
        <w:t>.</w:t>
      </w:r>
    </w:p>
    <w:p w:rsidR="006012E8" w:rsidRPr="00272261" w:rsidRDefault="006012E8" w:rsidP="00E57161">
      <w:pPr>
        <w:widowControl/>
        <w:rPr>
          <w:szCs w:val="22"/>
        </w:rPr>
      </w:pPr>
    </w:p>
    <w:p w:rsidR="00AC7AF6" w:rsidRPr="00272261" w:rsidRDefault="00863829" w:rsidP="00E57161">
      <w:pPr>
        <w:pStyle w:val="ListParagraph"/>
        <w:widowControl/>
        <w:numPr>
          <w:ilvl w:val="1"/>
          <w:numId w:val="2"/>
        </w:numPr>
        <w:rPr>
          <w:szCs w:val="22"/>
        </w:rPr>
      </w:pPr>
      <w:r w:rsidRPr="00272261">
        <w:rPr>
          <w:szCs w:val="22"/>
        </w:rPr>
        <w:t>The re-submission did not include the 6</w:t>
      </w:r>
      <w:r w:rsidR="00E507EF" w:rsidRPr="00272261">
        <w:rPr>
          <w:szCs w:val="22"/>
        </w:rPr>
        <w:t>-</w:t>
      </w:r>
      <w:r w:rsidR="006012E8" w:rsidRPr="00272261">
        <w:rPr>
          <w:szCs w:val="22"/>
        </w:rPr>
        <w:t>m</w:t>
      </w:r>
      <w:r w:rsidRPr="00272261">
        <w:rPr>
          <w:szCs w:val="22"/>
        </w:rPr>
        <w:t xml:space="preserve">inute walking distance </w:t>
      </w:r>
      <w:r w:rsidR="00C76452" w:rsidRPr="00272261">
        <w:rPr>
          <w:szCs w:val="22"/>
        </w:rPr>
        <w:t xml:space="preserve">(6MWD) </w:t>
      </w:r>
      <w:r w:rsidRPr="00272261">
        <w:rPr>
          <w:szCs w:val="22"/>
        </w:rPr>
        <w:t xml:space="preserve">test </w:t>
      </w:r>
      <w:r w:rsidR="00C9706C" w:rsidRPr="00272261">
        <w:rPr>
          <w:szCs w:val="22"/>
        </w:rPr>
        <w:t>as a dia</w:t>
      </w:r>
      <w:r w:rsidR="00AC7AF6" w:rsidRPr="00272261">
        <w:rPr>
          <w:szCs w:val="22"/>
        </w:rPr>
        <w:t xml:space="preserve">gnostic criteria of eligibility. The re-submission stated that </w:t>
      </w:r>
      <w:r w:rsidR="00C9706C" w:rsidRPr="00272261">
        <w:rPr>
          <w:szCs w:val="22"/>
        </w:rPr>
        <w:t xml:space="preserve">while 6MWD should be measured at baseline, that RHC and haemodynamic evaluation </w:t>
      </w:r>
      <w:r w:rsidR="00AC7AF6" w:rsidRPr="00272261">
        <w:rPr>
          <w:szCs w:val="22"/>
        </w:rPr>
        <w:t>a</w:t>
      </w:r>
      <w:r w:rsidR="00C9706C" w:rsidRPr="00272261">
        <w:rPr>
          <w:szCs w:val="22"/>
        </w:rPr>
        <w:t xml:space="preserve">re most important for the confirmatory diagnosis of eligibility. </w:t>
      </w:r>
    </w:p>
    <w:p w:rsidR="00AC7AF6" w:rsidRPr="00272261" w:rsidRDefault="00AC7AF6" w:rsidP="00E57161">
      <w:pPr>
        <w:pStyle w:val="ListParagraph"/>
        <w:widowControl/>
        <w:rPr>
          <w:szCs w:val="22"/>
        </w:rPr>
      </w:pPr>
    </w:p>
    <w:p w:rsidR="002F36A9" w:rsidRPr="00272261" w:rsidRDefault="00AD36A8" w:rsidP="00E57161">
      <w:pPr>
        <w:pStyle w:val="ListParagraph"/>
        <w:widowControl/>
        <w:numPr>
          <w:ilvl w:val="1"/>
          <w:numId w:val="2"/>
        </w:numPr>
        <w:rPr>
          <w:szCs w:val="22"/>
        </w:rPr>
      </w:pPr>
      <w:r w:rsidRPr="00272261">
        <w:rPr>
          <w:szCs w:val="22"/>
        </w:rPr>
        <w:t>The re-submission proposed that t</w:t>
      </w:r>
      <w:r w:rsidR="00AC7AF6" w:rsidRPr="00272261">
        <w:rPr>
          <w:szCs w:val="22"/>
        </w:rPr>
        <w:t xml:space="preserve">he requirement for assessment of operability </w:t>
      </w:r>
      <w:r w:rsidRPr="00272261">
        <w:rPr>
          <w:szCs w:val="22"/>
        </w:rPr>
        <w:t>is conf</w:t>
      </w:r>
      <w:r w:rsidR="00AC7AF6" w:rsidRPr="00272261">
        <w:rPr>
          <w:szCs w:val="22"/>
        </w:rPr>
        <w:t>irmed by a local expert PEA centre</w:t>
      </w:r>
      <w:r w:rsidRPr="00272261">
        <w:rPr>
          <w:szCs w:val="22"/>
        </w:rPr>
        <w:t xml:space="preserve">. This </w:t>
      </w:r>
      <w:r w:rsidR="00770D40" w:rsidRPr="00272261">
        <w:rPr>
          <w:szCs w:val="22"/>
        </w:rPr>
        <w:t>served, in part, to address</w:t>
      </w:r>
      <w:r w:rsidR="00A8431B" w:rsidRPr="00272261">
        <w:rPr>
          <w:szCs w:val="22"/>
        </w:rPr>
        <w:t xml:space="preserve"> </w:t>
      </w:r>
      <w:r w:rsidR="00C76452" w:rsidRPr="00272261">
        <w:rPr>
          <w:szCs w:val="22"/>
        </w:rPr>
        <w:t xml:space="preserve">a </w:t>
      </w:r>
      <w:r w:rsidR="00AC7AF6" w:rsidRPr="00272261">
        <w:rPr>
          <w:szCs w:val="22"/>
        </w:rPr>
        <w:t xml:space="preserve">concern </w:t>
      </w:r>
      <w:r w:rsidR="006012E8" w:rsidRPr="00272261">
        <w:rPr>
          <w:szCs w:val="22"/>
        </w:rPr>
        <w:t>raised during the evaluation of</w:t>
      </w:r>
      <w:r w:rsidR="00AC7AF6" w:rsidRPr="00272261">
        <w:rPr>
          <w:szCs w:val="22"/>
        </w:rPr>
        <w:t xml:space="preserve"> the July 2015 re-submission (</w:t>
      </w:r>
      <w:r w:rsidR="00380BD4" w:rsidRPr="00272261">
        <w:rPr>
          <w:szCs w:val="22"/>
        </w:rPr>
        <w:t>July 2015 PSD</w:t>
      </w:r>
      <w:r w:rsidR="00AC7AF6" w:rsidRPr="00272261">
        <w:rPr>
          <w:szCs w:val="22"/>
        </w:rPr>
        <w:t xml:space="preserve">, paragraph </w:t>
      </w:r>
      <w:r w:rsidR="00006B66" w:rsidRPr="00272261">
        <w:rPr>
          <w:szCs w:val="22"/>
        </w:rPr>
        <w:t>2.3</w:t>
      </w:r>
      <w:r w:rsidR="006012E8" w:rsidRPr="00272261">
        <w:rPr>
          <w:szCs w:val="22"/>
        </w:rPr>
        <w:t xml:space="preserve">) </w:t>
      </w:r>
      <w:r w:rsidRPr="00272261">
        <w:rPr>
          <w:szCs w:val="22"/>
        </w:rPr>
        <w:t xml:space="preserve">regarding the determination of inoperable CTEPH. </w:t>
      </w:r>
    </w:p>
    <w:p w:rsidR="00B220FE" w:rsidRPr="00272261" w:rsidRDefault="00B220FE" w:rsidP="00E57161">
      <w:pPr>
        <w:pStyle w:val="BodyText"/>
        <w:widowControl/>
        <w:rPr>
          <w:i/>
          <w:szCs w:val="22"/>
          <w:highlight w:val="yellow"/>
        </w:rPr>
      </w:pPr>
    </w:p>
    <w:p w:rsidR="00B220FE" w:rsidRPr="00272261" w:rsidRDefault="00B220FE" w:rsidP="00EA15BC">
      <w:pPr>
        <w:pStyle w:val="BodyText"/>
        <w:widowControl/>
        <w:ind w:firstLine="720"/>
        <w:rPr>
          <w:szCs w:val="22"/>
        </w:rPr>
      </w:pPr>
      <w:r w:rsidRPr="00272261">
        <w:rPr>
          <w:i/>
          <w:szCs w:val="22"/>
        </w:rPr>
        <w:t>For more detail on PBAC’s view, see section 7 “PBAC outcome”</w:t>
      </w:r>
    </w:p>
    <w:p w:rsidR="002F36A9" w:rsidRPr="00272261" w:rsidRDefault="002F36A9" w:rsidP="00E57161">
      <w:pPr>
        <w:widowControl/>
      </w:pPr>
    </w:p>
    <w:p w:rsidR="000258FE" w:rsidRDefault="000258FE">
      <w:pPr>
        <w:widowControl/>
        <w:jc w:val="left"/>
      </w:pPr>
      <w:r>
        <w:br w:type="page"/>
      </w:r>
    </w:p>
    <w:p w:rsidR="00EF42E2" w:rsidRPr="00272261" w:rsidRDefault="00EF42E2" w:rsidP="00E57161">
      <w:pPr>
        <w:widowControl/>
      </w:pPr>
    </w:p>
    <w:p w:rsidR="002F36A9" w:rsidRPr="00272261" w:rsidRDefault="002F36A9" w:rsidP="009532E4">
      <w:pPr>
        <w:pStyle w:val="Heading1"/>
      </w:pPr>
      <w:bookmarkStart w:id="7" w:name="_Toc416959983"/>
      <w:bookmarkStart w:id="8" w:name="_Toc440895077"/>
      <w:r w:rsidRPr="00272261">
        <w:t>Background</w:t>
      </w:r>
      <w:bookmarkEnd w:id="7"/>
      <w:bookmarkEnd w:id="8"/>
    </w:p>
    <w:p w:rsidR="002F36A9" w:rsidRPr="00272261" w:rsidRDefault="002F36A9" w:rsidP="00E57161">
      <w:pPr>
        <w:widowControl/>
        <w:rPr>
          <w:szCs w:val="22"/>
        </w:rPr>
      </w:pPr>
    </w:p>
    <w:p w:rsidR="00BE7AC9" w:rsidRPr="00272261" w:rsidRDefault="00BE7AC9" w:rsidP="00E57161">
      <w:pPr>
        <w:pStyle w:val="ListParagraph"/>
        <w:widowControl/>
        <w:numPr>
          <w:ilvl w:val="1"/>
          <w:numId w:val="2"/>
        </w:numPr>
        <w:rPr>
          <w:szCs w:val="22"/>
        </w:rPr>
      </w:pPr>
      <w:r w:rsidRPr="00272261">
        <w:rPr>
          <w:szCs w:val="22"/>
        </w:rPr>
        <w:t xml:space="preserve">The TGA registered riociguat </w:t>
      </w:r>
      <w:r w:rsidR="0026048E" w:rsidRPr="00272261">
        <w:rPr>
          <w:szCs w:val="22"/>
        </w:rPr>
        <w:t xml:space="preserve">for </w:t>
      </w:r>
      <w:r w:rsidR="00C563D4" w:rsidRPr="00272261">
        <w:rPr>
          <w:szCs w:val="22"/>
        </w:rPr>
        <w:t xml:space="preserve">the treatment of patients with </w:t>
      </w:r>
      <w:r w:rsidR="0026048E" w:rsidRPr="00272261">
        <w:rPr>
          <w:szCs w:val="22"/>
        </w:rPr>
        <w:t xml:space="preserve">pulmonary arterial hypertension (PAH) and CTEPH in April 2014. </w:t>
      </w:r>
    </w:p>
    <w:p w:rsidR="00BE7AC9" w:rsidRPr="00272261" w:rsidRDefault="00BE7AC9" w:rsidP="00E57161">
      <w:pPr>
        <w:pStyle w:val="ListParagraph"/>
        <w:widowControl/>
        <w:rPr>
          <w:szCs w:val="22"/>
        </w:rPr>
      </w:pPr>
    </w:p>
    <w:p w:rsidR="00C563D4" w:rsidRPr="00272261" w:rsidRDefault="0026048E" w:rsidP="00E57161">
      <w:pPr>
        <w:pStyle w:val="ListParagraph"/>
        <w:widowControl/>
        <w:numPr>
          <w:ilvl w:val="1"/>
          <w:numId w:val="2"/>
        </w:numPr>
        <w:rPr>
          <w:szCs w:val="22"/>
        </w:rPr>
      </w:pPr>
      <w:r w:rsidRPr="00272261">
        <w:rPr>
          <w:szCs w:val="22"/>
        </w:rPr>
        <w:t>Riociguat received a positive PBAC recommendation for the treatment of PAH in March 2014, however, it was not listed on the PBS for PAH at the time of PBAC consideration of this re-submission (March</w:t>
      </w:r>
      <w:r w:rsidR="001B29E4" w:rsidRPr="00272261">
        <w:rPr>
          <w:szCs w:val="22"/>
        </w:rPr>
        <w:t> </w:t>
      </w:r>
      <w:r w:rsidRPr="00272261">
        <w:rPr>
          <w:szCs w:val="22"/>
        </w:rPr>
        <w:t>2016).</w:t>
      </w:r>
      <w:r w:rsidR="00BE7AC9" w:rsidRPr="00272261">
        <w:rPr>
          <w:szCs w:val="22"/>
        </w:rPr>
        <w:t xml:space="preserve"> </w:t>
      </w:r>
    </w:p>
    <w:p w:rsidR="00C563D4" w:rsidRPr="00272261" w:rsidRDefault="00C563D4" w:rsidP="00C563D4">
      <w:pPr>
        <w:pStyle w:val="ListParagraph"/>
        <w:rPr>
          <w:szCs w:val="22"/>
        </w:rPr>
      </w:pPr>
    </w:p>
    <w:p w:rsidR="00E336FC" w:rsidRPr="00272261" w:rsidRDefault="002F36A9" w:rsidP="00E57161">
      <w:pPr>
        <w:pStyle w:val="ListParagraph"/>
        <w:widowControl/>
        <w:numPr>
          <w:ilvl w:val="1"/>
          <w:numId w:val="2"/>
        </w:numPr>
        <w:rPr>
          <w:szCs w:val="22"/>
        </w:rPr>
      </w:pPr>
      <w:r w:rsidRPr="00272261">
        <w:rPr>
          <w:szCs w:val="22"/>
        </w:rPr>
        <w:t xml:space="preserve">Riociguat for the treatment of inoperable </w:t>
      </w:r>
      <w:r w:rsidR="00EE593F" w:rsidRPr="00272261">
        <w:rPr>
          <w:szCs w:val="22"/>
        </w:rPr>
        <w:t>CTEPH</w:t>
      </w:r>
      <w:r w:rsidRPr="00272261">
        <w:rPr>
          <w:szCs w:val="22"/>
        </w:rPr>
        <w:t xml:space="preserve"> or persistent CTEPH following PEA was previously considered by the PBAC in November 2014</w:t>
      </w:r>
      <w:r w:rsidR="00F30742" w:rsidRPr="00272261">
        <w:rPr>
          <w:szCs w:val="22"/>
        </w:rPr>
        <w:t xml:space="preserve"> and </w:t>
      </w:r>
      <w:r w:rsidR="0025485E" w:rsidRPr="00272261">
        <w:rPr>
          <w:szCs w:val="22"/>
        </w:rPr>
        <w:t>again in</w:t>
      </w:r>
      <w:r w:rsidR="00F30742" w:rsidRPr="00272261">
        <w:rPr>
          <w:szCs w:val="22"/>
        </w:rPr>
        <w:t xml:space="preserve"> July 2015</w:t>
      </w:r>
      <w:r w:rsidR="00E336FC" w:rsidRPr="00272261">
        <w:rPr>
          <w:szCs w:val="22"/>
        </w:rPr>
        <w:t>.</w:t>
      </w:r>
    </w:p>
    <w:p w:rsidR="002F36A9" w:rsidRPr="00272261" w:rsidRDefault="002F36A9" w:rsidP="00C563D4">
      <w:pPr>
        <w:pStyle w:val="ListParagraph"/>
        <w:widowControl/>
        <w:numPr>
          <w:ilvl w:val="2"/>
          <w:numId w:val="2"/>
        </w:numPr>
        <w:ind w:left="993" w:hanging="284"/>
        <w:rPr>
          <w:szCs w:val="22"/>
        </w:rPr>
      </w:pPr>
      <w:r w:rsidRPr="00272261">
        <w:rPr>
          <w:szCs w:val="22"/>
        </w:rPr>
        <w:t>At the November 2014 meeting, the PBAC rejected the submission on the basis that the cost-effectiveness of riociguat for CTEPH had not been established again</w:t>
      </w:r>
      <w:r w:rsidR="0026048E" w:rsidRPr="00272261">
        <w:rPr>
          <w:szCs w:val="22"/>
        </w:rPr>
        <w:t xml:space="preserve">st the appropriate comparator. </w:t>
      </w:r>
      <w:r w:rsidRPr="00272261">
        <w:rPr>
          <w:szCs w:val="22"/>
        </w:rPr>
        <w:t>The PBAC did not accept the claim that the comparative effectiveness and safety for riociguat in the previously recommended PAH population was equivalent to the effectiveness and safety for riociguat in the p</w:t>
      </w:r>
      <w:r w:rsidR="0026048E" w:rsidRPr="00272261">
        <w:rPr>
          <w:szCs w:val="22"/>
        </w:rPr>
        <w:t xml:space="preserve">roposed CTEPH population. </w:t>
      </w:r>
      <w:r w:rsidRPr="00272261">
        <w:rPr>
          <w:szCs w:val="22"/>
        </w:rPr>
        <w:t>The PBAC considered that the same functional improvemen</w:t>
      </w:r>
      <w:r w:rsidR="00DD3FE1" w:rsidRPr="00272261">
        <w:rPr>
          <w:szCs w:val="22"/>
        </w:rPr>
        <w:t xml:space="preserve">t in the </w:t>
      </w:r>
      <w:r w:rsidRPr="00272261">
        <w:rPr>
          <w:szCs w:val="22"/>
        </w:rPr>
        <w:t>6MWD from baseline in the PAH and CTEPH populations could not be assumed to have the same clinical implications in terms of functional class changes and overall survival because of differences in the diseases and trial population characteristics (</w:t>
      </w:r>
      <w:r w:rsidR="007E7C5B" w:rsidRPr="00272261">
        <w:rPr>
          <w:szCs w:val="22"/>
        </w:rPr>
        <w:t>November 2014</w:t>
      </w:r>
      <w:r w:rsidR="005B3879" w:rsidRPr="00272261">
        <w:rPr>
          <w:szCs w:val="22"/>
        </w:rPr>
        <w:t xml:space="preserve"> PSD</w:t>
      </w:r>
      <w:r w:rsidR="007E7C5B" w:rsidRPr="00272261">
        <w:rPr>
          <w:szCs w:val="22"/>
        </w:rPr>
        <w:t>,</w:t>
      </w:r>
      <w:r w:rsidRPr="00272261">
        <w:rPr>
          <w:szCs w:val="22"/>
        </w:rPr>
        <w:t xml:space="preserve"> paragraph 7.4).</w:t>
      </w:r>
    </w:p>
    <w:p w:rsidR="009A6749" w:rsidRPr="00272261" w:rsidRDefault="0025485E" w:rsidP="00C563D4">
      <w:pPr>
        <w:pStyle w:val="ListParagraph"/>
        <w:widowControl/>
        <w:numPr>
          <w:ilvl w:val="2"/>
          <w:numId w:val="2"/>
        </w:numPr>
        <w:ind w:left="993" w:hanging="284"/>
        <w:rPr>
          <w:szCs w:val="22"/>
        </w:rPr>
      </w:pPr>
      <w:r w:rsidRPr="00272261">
        <w:rPr>
          <w:szCs w:val="22"/>
        </w:rPr>
        <w:t xml:space="preserve">At the July 2015 meeting, the PBAC rejected the request to list riociguat on the PBS under Section 100 (Highly Specialised Drugs Programme) for the treatment of patients with inoperable CTEPH or persistent CTEPH following PEA on the basis of uncertain cost effectiveness </w:t>
      </w:r>
      <w:r w:rsidR="00C76452" w:rsidRPr="00272261">
        <w:rPr>
          <w:szCs w:val="22"/>
        </w:rPr>
        <w:t xml:space="preserve">compared with placebo </w:t>
      </w:r>
      <w:r w:rsidRPr="00272261">
        <w:rPr>
          <w:szCs w:val="22"/>
        </w:rPr>
        <w:t>(July 2015 PSD, paragraph 7.1).</w:t>
      </w:r>
      <w:r w:rsidR="009A6749" w:rsidRPr="00272261">
        <w:rPr>
          <w:szCs w:val="22"/>
        </w:rPr>
        <w:t xml:space="preserve"> The following table presents a comparison of the November 2014 and July 2015 submissions with the current re-submission.</w:t>
      </w:r>
    </w:p>
    <w:p w:rsidR="002F36A9" w:rsidRPr="00272261" w:rsidRDefault="002810A9" w:rsidP="00E57161">
      <w:pPr>
        <w:widowControl/>
      </w:pPr>
      <w:r w:rsidRPr="00272261">
        <w:rPr>
          <w:szCs w:val="22"/>
        </w:rPr>
        <w:t xml:space="preserve"> </w:t>
      </w:r>
    </w:p>
    <w:p w:rsidR="00BE45D0" w:rsidRPr="00272261" w:rsidRDefault="00BE45D0" w:rsidP="00E57161">
      <w:pPr>
        <w:keepNext/>
        <w:widowControl/>
        <w:ind w:left="709"/>
        <w:rPr>
          <w:rStyle w:val="CommentReference"/>
          <w:sz w:val="19"/>
          <w:szCs w:val="19"/>
        </w:rPr>
      </w:pPr>
      <w:r w:rsidRPr="00272261">
        <w:rPr>
          <w:rStyle w:val="CommentReference"/>
          <w:sz w:val="19"/>
          <w:szCs w:val="19"/>
        </w:rPr>
        <w:t xml:space="preserve">Table 1: Summary of key components </w:t>
      </w:r>
      <w:r w:rsidR="00AE2AE2">
        <w:rPr>
          <w:rStyle w:val="CommentReference"/>
          <w:sz w:val="19"/>
          <w:szCs w:val="19"/>
        </w:rPr>
        <w:t xml:space="preserve">of </w:t>
      </w:r>
      <w:r w:rsidRPr="00272261">
        <w:rPr>
          <w:rStyle w:val="CommentReference"/>
          <w:sz w:val="19"/>
          <w:szCs w:val="19"/>
        </w:rPr>
        <w:t>the November 2014 submission, the July 2015 re-submission and the March 2016 re-submission</w:t>
      </w:r>
    </w:p>
    <w:tbl>
      <w:tblPr>
        <w:tblStyle w:val="TableGrid"/>
        <w:tblW w:w="4622" w:type="pct"/>
        <w:tblInd w:w="737" w:type="dxa"/>
        <w:tblLayout w:type="fixed"/>
        <w:tblCellMar>
          <w:left w:w="28" w:type="dxa"/>
          <w:right w:w="28" w:type="dxa"/>
        </w:tblCellMar>
        <w:tblLook w:val="04A0" w:firstRow="1" w:lastRow="0" w:firstColumn="1" w:lastColumn="0" w:noHBand="0" w:noVBand="1"/>
        <w:tblCaption w:val="Summary of key components of the November 2014 submission, July 2015 resubmission and March 2016 resubmission"/>
      </w:tblPr>
      <w:tblGrid>
        <w:gridCol w:w="426"/>
        <w:gridCol w:w="2657"/>
        <w:gridCol w:w="2656"/>
        <w:gridCol w:w="2656"/>
      </w:tblGrid>
      <w:tr w:rsidR="00BE45D0" w:rsidRPr="00272261" w:rsidTr="00BE45D0">
        <w:trPr>
          <w:tblHeader/>
        </w:trPr>
        <w:tc>
          <w:tcPr>
            <w:tcW w:w="253" w:type="pct"/>
            <w:vAlign w:val="center"/>
          </w:tcPr>
          <w:p w:rsidR="00BE45D0" w:rsidRPr="00272261" w:rsidRDefault="00BE45D0" w:rsidP="00E57161">
            <w:pPr>
              <w:keepNext/>
              <w:widowControl/>
              <w:jc w:val="center"/>
              <w:rPr>
                <w:rStyle w:val="CommentReference"/>
                <w:sz w:val="19"/>
                <w:szCs w:val="19"/>
              </w:rPr>
            </w:pPr>
          </w:p>
        </w:tc>
        <w:tc>
          <w:tcPr>
            <w:tcW w:w="1582" w:type="pct"/>
          </w:tcPr>
          <w:p w:rsidR="00BE45D0" w:rsidRPr="00272261" w:rsidRDefault="00BE45D0" w:rsidP="00E57161">
            <w:pPr>
              <w:keepNext/>
              <w:widowControl/>
              <w:jc w:val="left"/>
              <w:rPr>
                <w:rStyle w:val="CommentReference"/>
                <w:sz w:val="19"/>
                <w:szCs w:val="19"/>
              </w:rPr>
            </w:pPr>
            <w:r w:rsidRPr="00272261">
              <w:rPr>
                <w:rStyle w:val="CommentReference"/>
                <w:sz w:val="19"/>
                <w:szCs w:val="19"/>
              </w:rPr>
              <w:t>November 2014 submission</w:t>
            </w:r>
          </w:p>
        </w:tc>
        <w:tc>
          <w:tcPr>
            <w:tcW w:w="1582" w:type="pct"/>
          </w:tcPr>
          <w:p w:rsidR="00BE45D0" w:rsidRPr="00272261" w:rsidRDefault="00BE45D0" w:rsidP="00E57161">
            <w:pPr>
              <w:keepNext/>
              <w:widowControl/>
              <w:jc w:val="left"/>
              <w:rPr>
                <w:rStyle w:val="CommentReference"/>
                <w:sz w:val="19"/>
                <w:szCs w:val="19"/>
              </w:rPr>
            </w:pPr>
            <w:r w:rsidRPr="00272261">
              <w:rPr>
                <w:rStyle w:val="CommentReference"/>
                <w:sz w:val="19"/>
                <w:szCs w:val="19"/>
              </w:rPr>
              <w:t>July 2015 re-submission</w:t>
            </w:r>
          </w:p>
        </w:tc>
        <w:tc>
          <w:tcPr>
            <w:tcW w:w="1582" w:type="pct"/>
          </w:tcPr>
          <w:p w:rsidR="00BE45D0" w:rsidRPr="00272261" w:rsidRDefault="00BE45D0" w:rsidP="00E57161">
            <w:pPr>
              <w:keepNext/>
              <w:widowControl/>
              <w:jc w:val="left"/>
              <w:rPr>
                <w:rStyle w:val="CommentReference"/>
                <w:sz w:val="19"/>
                <w:szCs w:val="19"/>
              </w:rPr>
            </w:pPr>
            <w:r w:rsidRPr="00272261">
              <w:rPr>
                <w:rStyle w:val="CommentReference"/>
                <w:sz w:val="19"/>
                <w:szCs w:val="19"/>
              </w:rPr>
              <w:t>March 2016 re-submission</w:t>
            </w:r>
          </w:p>
        </w:tc>
      </w:tr>
      <w:tr w:rsidR="00BE45D0" w:rsidRPr="00272261" w:rsidTr="00BE45D0">
        <w:trPr>
          <w:cantSplit/>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Requested restriction</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Treatment of inoperable or persistent/recurrent CTEPH post PEA in patients with WHO functional class II-IV and a mean RAP of ≤8mmHg.  </w:t>
            </w:r>
          </w:p>
          <w:p w:rsidR="00BE45D0" w:rsidRPr="00272261" w:rsidRDefault="00BE45D0" w:rsidP="00E57161">
            <w:pPr>
              <w:widowControl/>
              <w:jc w:val="left"/>
              <w:rPr>
                <w:rStyle w:val="CommentReference"/>
                <w:b w:val="0"/>
                <w:sz w:val="19"/>
                <w:szCs w:val="19"/>
              </w:rPr>
            </w:pPr>
            <w:r w:rsidRPr="00272261">
              <w:rPr>
                <w:rStyle w:val="CommentReference"/>
                <w:sz w:val="19"/>
                <w:szCs w:val="19"/>
              </w:rPr>
              <w:t xml:space="preserve">PBAC comment: </w:t>
            </w:r>
            <w:r w:rsidRPr="00272261">
              <w:rPr>
                <w:rStyle w:val="CommentReference"/>
                <w:b w:val="0"/>
                <w:sz w:val="19"/>
                <w:szCs w:val="19"/>
              </w:rPr>
              <w:t>Section 100 (Highly Specialised Drug Program) for consistency with the recommended restriction of riociguat for PAH may be more appropriate (para 2.2).</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Section 100 HSD listing requested.</w:t>
            </w:r>
          </w:p>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Eligibility criterion requiring a right arterial pressure of ≤8 mmHg was removed. </w:t>
            </w:r>
          </w:p>
          <w:p w:rsidR="00BE45D0" w:rsidRPr="00272261" w:rsidRDefault="00BE45D0" w:rsidP="00E57161">
            <w:pPr>
              <w:widowControl/>
              <w:jc w:val="left"/>
              <w:rPr>
                <w:rFonts w:ascii="Arial Narrow" w:hAnsi="Arial Narrow"/>
                <w:sz w:val="19"/>
                <w:szCs w:val="19"/>
              </w:rPr>
            </w:pPr>
            <w:r w:rsidRPr="00272261">
              <w:rPr>
                <w:rStyle w:val="CommentReference"/>
                <w:sz w:val="19"/>
                <w:szCs w:val="19"/>
              </w:rPr>
              <w:t>PBAC comment:</w:t>
            </w:r>
            <w:r w:rsidRPr="00272261">
              <w:rPr>
                <w:rFonts w:ascii="Arial Narrow" w:hAnsi="Arial Narrow"/>
                <w:sz w:val="19"/>
                <w:szCs w:val="19"/>
              </w:rPr>
              <w:t xml:space="preserve"> Removal of this criterion was appropriate (para 2.2).</w:t>
            </w:r>
          </w:p>
          <w:p w:rsidR="00BE45D0" w:rsidRPr="00272261" w:rsidRDefault="00BE45D0" w:rsidP="00E57161">
            <w:pPr>
              <w:widowControl/>
              <w:jc w:val="left"/>
              <w:rPr>
                <w:rFonts w:ascii="Arial Narrow" w:hAnsi="Arial Narrow"/>
                <w:sz w:val="19"/>
                <w:szCs w:val="19"/>
              </w:rPr>
            </w:pPr>
            <w:r w:rsidRPr="00272261">
              <w:rPr>
                <w:rFonts w:ascii="Arial Narrow" w:hAnsi="Arial Narrow"/>
                <w:b/>
                <w:sz w:val="19"/>
                <w:szCs w:val="19"/>
              </w:rPr>
              <w:t>PBAC comment</w:t>
            </w:r>
            <w:r w:rsidRPr="00272261">
              <w:rPr>
                <w:rFonts w:ascii="Arial Narrow" w:hAnsi="Arial Narrow"/>
                <w:sz w:val="19"/>
                <w:szCs w:val="19"/>
              </w:rPr>
              <w:t>: Assessment of operability can be subjective and a broader interpretation rather than strictly surgically inaccessible CTEPH may be applied. The PSCR (p4) proposed that adjudication by a local expert PEA centre be considered (para 2.3).</w:t>
            </w:r>
          </w:p>
          <w:p w:rsidR="00BE45D0" w:rsidRPr="00272261" w:rsidRDefault="00BE45D0" w:rsidP="00E57161">
            <w:pPr>
              <w:widowControl/>
              <w:jc w:val="left"/>
              <w:rPr>
                <w:rStyle w:val="CommentReference"/>
                <w:b w:val="0"/>
                <w:sz w:val="19"/>
                <w:szCs w:val="19"/>
              </w:rPr>
            </w:pPr>
            <w:r w:rsidRPr="00272261">
              <w:rPr>
                <w:rFonts w:ascii="Arial Narrow" w:hAnsi="Arial Narrow"/>
                <w:b/>
                <w:sz w:val="19"/>
                <w:szCs w:val="19"/>
              </w:rPr>
              <w:t>PBAC comment:</w:t>
            </w:r>
            <w:r w:rsidRPr="00272261">
              <w:rPr>
                <w:rFonts w:ascii="Arial Narrow" w:hAnsi="Arial Narrow"/>
                <w:sz w:val="19"/>
                <w:szCs w:val="19"/>
              </w:rPr>
              <w:t xml:space="preserve"> Requirement to have failed vasodilators appears to inappropriately require the use of inferior or unsubstantiated treatments prior to riociguat (para 2.3).</w:t>
            </w:r>
          </w:p>
        </w:tc>
        <w:tc>
          <w:tcPr>
            <w:tcW w:w="1582" w:type="pct"/>
            <w:shd w:val="clear" w:color="auto" w:fill="auto"/>
          </w:tcPr>
          <w:p w:rsidR="00BE45D0" w:rsidRPr="00272261" w:rsidRDefault="00BE45D0" w:rsidP="00E57161">
            <w:pPr>
              <w:widowControl/>
              <w:jc w:val="left"/>
              <w:rPr>
                <w:rFonts w:ascii="Arial Narrow" w:hAnsi="Arial Narrow"/>
                <w:snapToGrid/>
                <w:color w:val="000000"/>
                <w:sz w:val="19"/>
                <w:szCs w:val="19"/>
              </w:rPr>
            </w:pPr>
            <w:r w:rsidRPr="00272261">
              <w:rPr>
                <w:rStyle w:val="CommentReference"/>
                <w:b w:val="0"/>
                <w:sz w:val="19"/>
                <w:szCs w:val="19"/>
              </w:rPr>
              <w:t>Requirement for inoperability to be assessed by a PEA centre. Eligibility criterion for initial treatment of inoperable CTEPH to include:</w:t>
            </w:r>
          </w:p>
          <w:p w:rsidR="00BE45D0" w:rsidRPr="00272261" w:rsidRDefault="00BE45D0" w:rsidP="00E57161">
            <w:pPr>
              <w:pStyle w:val="ListParagraph"/>
              <w:widowControl/>
              <w:numPr>
                <w:ilvl w:val="0"/>
                <w:numId w:val="8"/>
              </w:numPr>
              <w:ind w:left="243" w:hanging="142"/>
              <w:jc w:val="left"/>
              <w:rPr>
                <w:rFonts w:ascii="Arial Narrow" w:hAnsi="Arial Narrow"/>
                <w:sz w:val="19"/>
                <w:szCs w:val="19"/>
              </w:rPr>
            </w:pPr>
            <w:r w:rsidRPr="00272261">
              <w:rPr>
                <w:rFonts w:ascii="Arial Narrow" w:hAnsi="Arial Narrow"/>
                <w:sz w:val="19"/>
                <w:szCs w:val="19"/>
              </w:rPr>
              <w:t>RHC demonstrating PVR of &gt;300 dyn*sec*cm</w:t>
            </w:r>
            <w:r w:rsidRPr="00272261">
              <w:rPr>
                <w:rFonts w:ascii="Arial Narrow" w:hAnsi="Arial Narrow"/>
                <w:sz w:val="19"/>
                <w:szCs w:val="19"/>
                <w:vertAlign w:val="superscript"/>
              </w:rPr>
              <w:t>-5</w:t>
            </w:r>
            <w:r w:rsidRPr="00272261">
              <w:rPr>
                <w:rFonts w:ascii="Arial Narrow" w:hAnsi="Arial Narrow"/>
                <w:sz w:val="19"/>
                <w:szCs w:val="19"/>
              </w:rPr>
              <w:t xml:space="preserve"> </w:t>
            </w:r>
            <w:r w:rsidRPr="00272261">
              <w:rPr>
                <w:rFonts w:ascii="Arial Narrow" w:hAnsi="Arial Narrow" w:cs="Times New Roman"/>
                <w:sz w:val="19"/>
                <w:szCs w:val="19"/>
              </w:rPr>
              <w:t>≥</w:t>
            </w:r>
            <w:r w:rsidRPr="00272261">
              <w:rPr>
                <w:rFonts w:ascii="Arial Narrow" w:hAnsi="Arial Narrow"/>
                <w:sz w:val="19"/>
                <w:szCs w:val="19"/>
              </w:rPr>
              <w:t>90 days after start of full anticoagulation, AND</w:t>
            </w:r>
          </w:p>
          <w:p w:rsidR="00BE45D0" w:rsidRPr="00272261" w:rsidRDefault="00BE45D0" w:rsidP="00E57161">
            <w:pPr>
              <w:widowControl/>
              <w:numPr>
                <w:ilvl w:val="0"/>
                <w:numId w:val="6"/>
              </w:numPr>
              <w:ind w:left="243" w:hanging="142"/>
              <w:jc w:val="left"/>
              <w:rPr>
                <w:rFonts w:ascii="Arial Narrow" w:hAnsi="Arial Narrow"/>
                <w:sz w:val="19"/>
                <w:szCs w:val="19"/>
              </w:rPr>
            </w:pPr>
            <w:r w:rsidRPr="00272261">
              <w:rPr>
                <w:rFonts w:ascii="Arial Narrow" w:hAnsi="Arial Narrow"/>
                <w:sz w:val="19"/>
                <w:szCs w:val="19"/>
              </w:rPr>
              <w:t>PAPmean &gt;25 mmHg, OR</w:t>
            </w:r>
          </w:p>
          <w:p w:rsidR="00BE45D0" w:rsidRPr="00272261" w:rsidRDefault="00BE45D0" w:rsidP="00E57161">
            <w:pPr>
              <w:widowControl/>
              <w:numPr>
                <w:ilvl w:val="0"/>
                <w:numId w:val="6"/>
              </w:numPr>
              <w:ind w:left="243" w:hanging="142"/>
              <w:jc w:val="left"/>
              <w:rPr>
                <w:rFonts w:ascii="Arial Narrow" w:hAnsi="Arial Narrow"/>
                <w:sz w:val="19"/>
                <w:szCs w:val="19"/>
              </w:rPr>
            </w:pPr>
            <w:r w:rsidRPr="00272261">
              <w:rPr>
                <w:rFonts w:ascii="Arial Narrow" w:hAnsi="Arial Narrow"/>
                <w:sz w:val="19"/>
                <w:szCs w:val="19"/>
              </w:rPr>
              <w:t>Right ventricular function assessed by echocardiography demonstrating right ventricular dysfunction.</w:t>
            </w:r>
          </w:p>
          <w:p w:rsidR="00BE45D0" w:rsidRPr="00272261" w:rsidRDefault="00BE45D0" w:rsidP="00E57161">
            <w:pPr>
              <w:widowControl/>
              <w:jc w:val="left"/>
              <w:rPr>
                <w:rFonts w:ascii="Arial Narrow" w:hAnsi="Arial Narrow"/>
                <w:sz w:val="19"/>
                <w:szCs w:val="19"/>
              </w:rPr>
            </w:pPr>
            <w:r w:rsidRPr="00272261">
              <w:rPr>
                <w:rFonts w:ascii="Arial Narrow" w:hAnsi="Arial Narrow"/>
                <w:sz w:val="19"/>
                <w:szCs w:val="19"/>
              </w:rPr>
              <w:t>For persistent CTEPH, as for inoperable but no requirement for PAPmean.</w:t>
            </w:r>
          </w:p>
          <w:p w:rsidR="00BE45D0" w:rsidRPr="00272261" w:rsidRDefault="00BE45D0" w:rsidP="00E57161">
            <w:pPr>
              <w:widowControl/>
              <w:jc w:val="left"/>
              <w:rPr>
                <w:rStyle w:val="CommentReference"/>
                <w:b w:val="0"/>
                <w:sz w:val="19"/>
                <w:szCs w:val="19"/>
              </w:rPr>
            </w:pPr>
            <w:r w:rsidRPr="00272261">
              <w:rPr>
                <w:rFonts w:ascii="Arial Narrow" w:hAnsi="Arial Narrow"/>
                <w:sz w:val="19"/>
                <w:szCs w:val="19"/>
              </w:rPr>
              <w:t>Requirement to have failed</w:t>
            </w:r>
            <w:r w:rsidRPr="00272261">
              <w:rPr>
                <w:rFonts w:ascii="Arial Narrow" w:eastAsiaTheme="minorHAnsi" w:hAnsi="Arial Narrow"/>
                <w:snapToGrid/>
                <w:color w:val="000000"/>
                <w:sz w:val="19"/>
                <w:szCs w:val="19"/>
              </w:rPr>
              <w:t xml:space="preserve"> </w:t>
            </w:r>
            <w:r w:rsidRPr="00272261">
              <w:rPr>
                <w:rFonts w:ascii="Arial Narrow" w:hAnsi="Arial Narrow"/>
                <w:sz w:val="19"/>
                <w:szCs w:val="19"/>
              </w:rPr>
              <w:t xml:space="preserve">to respond to </w:t>
            </w:r>
            <w:r w:rsidRPr="00272261">
              <w:rPr>
                <w:rFonts w:ascii="Arial Narrow" w:hAnsi="Arial Narrow" w:cs="Times New Roman"/>
                <w:sz w:val="19"/>
                <w:szCs w:val="19"/>
              </w:rPr>
              <w:t>≥</w:t>
            </w:r>
            <w:r w:rsidRPr="00272261">
              <w:rPr>
                <w:rFonts w:ascii="Arial Narrow" w:hAnsi="Arial Narrow"/>
                <w:sz w:val="19"/>
                <w:szCs w:val="19"/>
              </w:rPr>
              <w:t xml:space="preserve"> 6 or more weeks of vasodilator treatment was removed from the requested restriction.</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lastRenderedPageBreak/>
              <w:t>Effective price</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Initial</w:t>
            </w:r>
            <w:r w:rsidR="002810A9" w:rsidRPr="00272261">
              <w:rPr>
                <w:rStyle w:val="CommentReference"/>
                <w:b w:val="0"/>
                <w:sz w:val="19"/>
                <w:szCs w:val="19"/>
              </w:rPr>
              <w:t xml:space="preserve">  (42 tablet pack)</w:t>
            </w:r>
            <w:r w:rsidRPr="00272261">
              <w:rPr>
                <w:rStyle w:val="CommentReference"/>
                <w:b w:val="0"/>
                <w:sz w:val="19"/>
                <w:szCs w:val="19"/>
              </w:rPr>
              <w:t>: $</w:t>
            </w:r>
            <w:r w:rsidR="00EF7FDB">
              <w:rPr>
                <w:rStyle w:val="CommentReference"/>
                <w:b w:val="0"/>
                <w:noProof/>
                <w:color w:val="000000"/>
                <w:sz w:val="19"/>
                <w:szCs w:val="19"/>
                <w:highlight w:val="black"/>
              </w:rPr>
              <w:t>''''''''''''''''''''''</w:t>
            </w:r>
            <w:r w:rsidRPr="00272261">
              <w:rPr>
                <w:rStyle w:val="CommentReference"/>
                <w:b w:val="0"/>
                <w:sz w:val="19"/>
                <w:szCs w:val="19"/>
              </w:rPr>
              <w:t>; Continuing</w:t>
            </w:r>
            <w:r w:rsidR="002810A9" w:rsidRPr="00272261">
              <w:rPr>
                <w:rStyle w:val="CommentReference"/>
                <w:b w:val="0"/>
                <w:sz w:val="19"/>
                <w:szCs w:val="19"/>
              </w:rPr>
              <w:t xml:space="preserve"> (84 tablet pack)</w:t>
            </w:r>
            <w:r w:rsidRPr="00272261">
              <w:rPr>
                <w:rStyle w:val="CommentReference"/>
                <w:b w:val="0"/>
                <w:sz w:val="19"/>
                <w:szCs w:val="19"/>
              </w:rPr>
              <w:t>: $</w:t>
            </w:r>
            <w:r w:rsidR="00EF7FDB">
              <w:rPr>
                <w:rStyle w:val="CommentReference"/>
                <w:b w:val="0"/>
                <w:noProof/>
                <w:color w:val="000000"/>
                <w:sz w:val="19"/>
                <w:szCs w:val="19"/>
                <w:highlight w:val="black"/>
              </w:rPr>
              <w:t>''''''''''''''''''''</w:t>
            </w:r>
          </w:p>
          <w:p w:rsidR="00BE45D0" w:rsidRPr="00272261" w:rsidRDefault="00BE45D0" w:rsidP="00E57161">
            <w:pPr>
              <w:widowControl/>
              <w:jc w:val="left"/>
              <w:rPr>
                <w:rStyle w:val="CommentReference"/>
                <w:b w:val="0"/>
                <w:sz w:val="19"/>
                <w:szCs w:val="19"/>
              </w:rPr>
            </w:pPr>
            <w:r w:rsidRPr="00272261">
              <w:rPr>
                <w:rStyle w:val="CommentReference"/>
                <w:sz w:val="19"/>
                <w:szCs w:val="19"/>
              </w:rPr>
              <w:t>PBAC comment:</w:t>
            </w:r>
            <w:r w:rsidRPr="00272261">
              <w:rPr>
                <w:rStyle w:val="CommentReference"/>
                <w:b w:val="0"/>
                <w:sz w:val="19"/>
                <w:szCs w:val="19"/>
              </w:rPr>
              <w:t xml:space="preserve"> Effective price is the same as the PBAC recommended price of riociguat for the treatment of PAH (para 6.26).</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No change from November 2014: Initial</w:t>
            </w:r>
            <w:r w:rsidR="002810A9" w:rsidRPr="00272261">
              <w:rPr>
                <w:rStyle w:val="CommentReference"/>
                <w:b w:val="0"/>
                <w:sz w:val="19"/>
                <w:szCs w:val="19"/>
              </w:rPr>
              <w:t xml:space="preserve"> (42 tablet pack)</w:t>
            </w:r>
            <w:r w:rsidRPr="00272261">
              <w:rPr>
                <w:rStyle w:val="CommentReference"/>
                <w:b w:val="0"/>
                <w:sz w:val="19"/>
                <w:szCs w:val="19"/>
              </w:rPr>
              <w:t>: $</w:t>
            </w:r>
            <w:r w:rsidR="00EF7FDB">
              <w:rPr>
                <w:rStyle w:val="CommentReference"/>
                <w:b w:val="0"/>
                <w:noProof/>
                <w:color w:val="000000"/>
                <w:sz w:val="19"/>
                <w:szCs w:val="19"/>
                <w:highlight w:val="black"/>
              </w:rPr>
              <w:t>''''''''''''''''''''''</w:t>
            </w:r>
            <w:r w:rsidRPr="00272261">
              <w:rPr>
                <w:rStyle w:val="CommentReference"/>
                <w:b w:val="0"/>
                <w:sz w:val="19"/>
                <w:szCs w:val="19"/>
              </w:rPr>
              <w:t>; Continuing</w:t>
            </w:r>
            <w:r w:rsidR="002810A9" w:rsidRPr="00272261">
              <w:rPr>
                <w:rStyle w:val="CommentReference"/>
                <w:b w:val="0"/>
                <w:sz w:val="19"/>
                <w:szCs w:val="19"/>
              </w:rPr>
              <w:t xml:space="preserve"> (84 tablet pack)</w:t>
            </w:r>
            <w:r w:rsidRPr="00272261">
              <w:rPr>
                <w:rStyle w:val="CommentReference"/>
                <w:b w:val="0"/>
                <w:sz w:val="19"/>
                <w:szCs w:val="19"/>
              </w:rPr>
              <w:t>: $</w:t>
            </w:r>
            <w:r w:rsidR="00EF7FDB">
              <w:rPr>
                <w:rStyle w:val="CommentReference"/>
                <w:b w:val="0"/>
                <w:noProof/>
                <w:color w:val="000000"/>
                <w:sz w:val="19"/>
                <w:szCs w:val="19"/>
                <w:highlight w:val="black"/>
              </w:rPr>
              <w:t>''''''''''''''''''''</w:t>
            </w:r>
            <w:r w:rsidRPr="00272261">
              <w:rPr>
                <w:rStyle w:val="CommentReference"/>
                <w:b w:val="0"/>
                <w:sz w:val="19"/>
                <w:szCs w:val="19"/>
              </w:rPr>
              <w:t xml:space="preserve">. </w:t>
            </w:r>
          </w:p>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The effective price </w:t>
            </w:r>
            <w:r w:rsidR="00A27763" w:rsidRPr="00272261">
              <w:rPr>
                <w:rStyle w:val="CommentReference"/>
                <w:b w:val="0"/>
                <w:sz w:val="19"/>
                <w:szCs w:val="19"/>
              </w:rPr>
              <w:t xml:space="preserve">of the 84 tablet pack </w:t>
            </w:r>
            <w:r w:rsidRPr="00272261">
              <w:rPr>
                <w:rStyle w:val="CommentReference"/>
                <w:b w:val="0"/>
                <w:sz w:val="19"/>
                <w:szCs w:val="19"/>
              </w:rPr>
              <w:t xml:space="preserve">was reduced in the pre-PBAC response by </w:t>
            </w:r>
            <w:r w:rsidR="00EF7FDB">
              <w:rPr>
                <w:rStyle w:val="CommentReference"/>
                <w:b w:val="0"/>
                <w:noProof/>
                <w:color w:val="000000"/>
                <w:sz w:val="19"/>
                <w:szCs w:val="19"/>
                <w:highlight w:val="black"/>
              </w:rPr>
              <w:t>'''''''''</w:t>
            </w:r>
            <w:r w:rsidRPr="00272261">
              <w:rPr>
                <w:rStyle w:val="CommentReference"/>
                <w:b w:val="0"/>
                <w:sz w:val="19"/>
                <w:szCs w:val="19"/>
              </w:rPr>
              <w:t>% to $</w:t>
            </w:r>
            <w:r w:rsidR="00EF7FDB">
              <w:rPr>
                <w:rStyle w:val="CommentReference"/>
                <w:b w:val="0"/>
                <w:noProof/>
                <w:color w:val="000000"/>
                <w:sz w:val="19"/>
                <w:szCs w:val="19"/>
                <w:highlight w:val="black"/>
              </w:rPr>
              <w:t>'''''''''''''</w:t>
            </w:r>
            <w:r w:rsidRPr="00272261">
              <w:rPr>
                <w:rStyle w:val="CommentReference"/>
                <w:b w:val="0"/>
                <w:sz w:val="19"/>
                <w:szCs w:val="19"/>
              </w:rPr>
              <w:t>.</w:t>
            </w:r>
          </w:p>
        </w:tc>
        <w:tc>
          <w:tcPr>
            <w:tcW w:w="1582" w:type="pct"/>
            <w:shd w:val="clear" w:color="auto" w:fill="auto"/>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Initial</w:t>
            </w:r>
            <w:r w:rsidR="002810A9" w:rsidRPr="00272261">
              <w:rPr>
                <w:rStyle w:val="CommentReference"/>
                <w:b w:val="0"/>
                <w:sz w:val="19"/>
                <w:szCs w:val="19"/>
              </w:rPr>
              <w:t xml:space="preserve"> (42 tablet pack)</w:t>
            </w:r>
            <w:r w:rsidRPr="00272261">
              <w:rPr>
                <w:rStyle w:val="CommentReference"/>
                <w:b w:val="0"/>
                <w:sz w:val="19"/>
                <w:szCs w:val="19"/>
              </w:rPr>
              <w:t>: $</w:t>
            </w:r>
            <w:r w:rsidR="00EF7FDB">
              <w:rPr>
                <w:rStyle w:val="CommentReference"/>
                <w:b w:val="0"/>
                <w:noProof/>
                <w:color w:val="000000"/>
                <w:sz w:val="19"/>
                <w:szCs w:val="19"/>
                <w:highlight w:val="black"/>
              </w:rPr>
              <w:t>''''''''''''''</w:t>
            </w:r>
            <w:r w:rsidRPr="00272261">
              <w:rPr>
                <w:rStyle w:val="CommentReference"/>
                <w:b w:val="0"/>
                <w:sz w:val="19"/>
                <w:szCs w:val="19"/>
              </w:rPr>
              <w:t>; Continuing</w:t>
            </w:r>
            <w:r w:rsidR="00A27763" w:rsidRPr="00272261">
              <w:rPr>
                <w:rStyle w:val="CommentReference"/>
                <w:b w:val="0"/>
                <w:sz w:val="19"/>
                <w:szCs w:val="19"/>
              </w:rPr>
              <w:t xml:space="preserve"> (84 tablet pack)</w:t>
            </w:r>
            <w:r w:rsidRPr="00272261">
              <w:rPr>
                <w:rStyle w:val="CommentReference"/>
                <w:b w:val="0"/>
                <w:sz w:val="19"/>
                <w:szCs w:val="19"/>
              </w:rPr>
              <w:t>: $</w:t>
            </w:r>
            <w:r w:rsidR="00EF7FDB">
              <w:rPr>
                <w:rStyle w:val="CommentReference"/>
                <w:b w:val="0"/>
                <w:noProof/>
                <w:color w:val="000000"/>
                <w:sz w:val="19"/>
                <w:szCs w:val="19"/>
                <w:highlight w:val="black"/>
              </w:rPr>
              <w:t>'''''''''''''</w:t>
            </w:r>
          </w:p>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A </w:t>
            </w:r>
            <w:r w:rsidR="00EF7FDB">
              <w:rPr>
                <w:rStyle w:val="CommentReference"/>
                <w:b w:val="0"/>
                <w:noProof/>
                <w:color w:val="000000"/>
                <w:sz w:val="19"/>
                <w:szCs w:val="19"/>
                <w:highlight w:val="black"/>
              </w:rPr>
              <w:t>''''''''</w:t>
            </w:r>
            <w:r w:rsidRPr="00272261">
              <w:rPr>
                <w:rStyle w:val="CommentReference"/>
                <w:b w:val="0"/>
                <w:sz w:val="19"/>
                <w:szCs w:val="19"/>
              </w:rPr>
              <w:t xml:space="preserve">% reduction in the effective price </w:t>
            </w:r>
            <w:r w:rsidR="00C76452" w:rsidRPr="00272261">
              <w:rPr>
                <w:rStyle w:val="CommentReference"/>
                <w:b w:val="0"/>
                <w:sz w:val="19"/>
                <w:szCs w:val="19"/>
              </w:rPr>
              <w:t xml:space="preserve">for the initial and continuing packs </w:t>
            </w:r>
            <w:r w:rsidRPr="00272261">
              <w:rPr>
                <w:rStyle w:val="CommentReference"/>
                <w:b w:val="0"/>
                <w:sz w:val="19"/>
                <w:szCs w:val="19"/>
              </w:rPr>
              <w:t>was offered from the recommended price of riociguat for the treatment of PAH.</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Main comparator</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Placebo</w:t>
            </w:r>
          </w:p>
          <w:p w:rsidR="00BE45D0" w:rsidRPr="00272261" w:rsidRDefault="00BE45D0" w:rsidP="00E57161">
            <w:pPr>
              <w:widowControl/>
              <w:jc w:val="left"/>
              <w:rPr>
                <w:rStyle w:val="CommentReference"/>
                <w:b w:val="0"/>
                <w:sz w:val="19"/>
                <w:szCs w:val="19"/>
              </w:rPr>
            </w:pPr>
            <w:r w:rsidRPr="00272261">
              <w:rPr>
                <w:rStyle w:val="CommentReference"/>
                <w:sz w:val="19"/>
                <w:szCs w:val="19"/>
              </w:rPr>
              <w:t>PBAC comment:</w:t>
            </w:r>
            <w:r w:rsidRPr="00272261">
              <w:rPr>
                <w:rStyle w:val="CommentReference"/>
                <w:b w:val="0"/>
                <w:sz w:val="19"/>
                <w:szCs w:val="19"/>
              </w:rPr>
              <w:t xml:space="preserve"> Placebo is the appropriate comparator; in clinical practice, PAH treatments such as bosentan and sildenafil may be used off-label (para 7.2).</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Same as November 2014: placebo.</w:t>
            </w:r>
          </w:p>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Due to the current off label use of pulmonary hypertension specific therapies, an indirect comparison of riociguat with bosentan and sildenafil was presented. </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Same as July 2015.</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Clinical evidence</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CHEST-1 (n=261): randomised, double blind trial comparing riociguat and placebo over 16 weeks</w:t>
            </w:r>
          </w:p>
          <w:p w:rsidR="00BE45D0" w:rsidRPr="00272261" w:rsidRDefault="00BE45D0" w:rsidP="00E57161">
            <w:pPr>
              <w:widowControl/>
              <w:jc w:val="left"/>
              <w:rPr>
                <w:rStyle w:val="CommentReference"/>
                <w:b w:val="0"/>
                <w:sz w:val="19"/>
                <w:szCs w:val="19"/>
              </w:rPr>
            </w:pPr>
            <w:r w:rsidRPr="00272261">
              <w:rPr>
                <w:rStyle w:val="CommentReference"/>
                <w:b w:val="0"/>
                <w:sz w:val="19"/>
                <w:szCs w:val="19"/>
              </w:rPr>
              <w:t>CHEST-2 (n=182): supplementary long term extension study</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No changes to the direct evidence, however the re-submission presented a literature review investigating the relationship between the 6MWD, WHO FC and OS; additional post-hoc analyses exploring the predictive nature of WHO FC and OS, as well as indirect comparisons: riociguat vs. bosentan; riociguat vs sildenafil; and an updated PSUR.</w:t>
            </w:r>
            <w:r w:rsidRPr="00272261" w:rsidDel="00E578F4">
              <w:rPr>
                <w:rStyle w:val="CommentReference"/>
                <w:b w:val="0"/>
                <w:sz w:val="19"/>
                <w:szCs w:val="19"/>
              </w:rPr>
              <w:t xml:space="preserve"> </w:t>
            </w:r>
          </w:p>
          <w:p w:rsidR="002810A9" w:rsidRPr="00272261" w:rsidRDefault="002810A9" w:rsidP="00E57161">
            <w:pPr>
              <w:widowControl/>
              <w:jc w:val="left"/>
              <w:rPr>
                <w:rStyle w:val="CommentReference"/>
                <w:sz w:val="19"/>
                <w:szCs w:val="19"/>
              </w:rPr>
            </w:pPr>
            <w:r w:rsidRPr="00272261">
              <w:rPr>
                <w:rStyle w:val="CommentReference"/>
                <w:sz w:val="19"/>
                <w:szCs w:val="19"/>
              </w:rPr>
              <w:t xml:space="preserve">PBAC comment: </w:t>
            </w:r>
            <w:r w:rsidRPr="00272261">
              <w:rPr>
                <w:rStyle w:val="CommentReference"/>
                <w:b w:val="0"/>
                <w:sz w:val="19"/>
                <w:szCs w:val="19"/>
              </w:rPr>
              <w:t>The PBAC considered that while changes in the 6MWD are likely to predict a survival gain the magnitude of the effect was not certain, and that the claim of a relationship between changes in WHO functional class and survival was not adequately supported and could not be quantified (para 7.5).</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While no new clinical trial evidence was presented, the re-submission found two additional citations in the literature review investigating the relationship between the 6MWD, WHO FC and OS. This didn’t change the conclusion regarding this relationship from the July 2015 re-submission.</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Key efficacy data</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CHEST-1: riociguat vs placebo</w:t>
            </w:r>
          </w:p>
          <w:p w:rsidR="00BE45D0" w:rsidRPr="00272261" w:rsidRDefault="00BE45D0" w:rsidP="00E57161">
            <w:pPr>
              <w:pStyle w:val="ListParagraph"/>
              <w:widowControl/>
              <w:numPr>
                <w:ilvl w:val="0"/>
                <w:numId w:val="3"/>
              </w:numPr>
              <w:ind w:left="113" w:hanging="94"/>
              <w:jc w:val="left"/>
              <w:rPr>
                <w:rStyle w:val="CommentReference"/>
                <w:b w:val="0"/>
                <w:sz w:val="19"/>
                <w:szCs w:val="19"/>
              </w:rPr>
            </w:pPr>
            <w:r w:rsidRPr="00272261">
              <w:rPr>
                <w:rStyle w:val="CommentReference"/>
                <w:b w:val="0"/>
                <w:sz w:val="19"/>
                <w:szCs w:val="19"/>
              </w:rPr>
              <w:t>LSMD for change in 6MWD (metres): 45.69, (95% CI: 24.74, 66.63)</w:t>
            </w:r>
          </w:p>
          <w:p w:rsidR="00BE45D0" w:rsidRPr="00272261" w:rsidRDefault="00BE45D0" w:rsidP="00E57161">
            <w:pPr>
              <w:pStyle w:val="ListParagraph"/>
              <w:widowControl/>
              <w:numPr>
                <w:ilvl w:val="0"/>
                <w:numId w:val="3"/>
              </w:numPr>
              <w:ind w:left="113" w:hanging="94"/>
              <w:jc w:val="left"/>
              <w:rPr>
                <w:rStyle w:val="CommentReference"/>
                <w:b w:val="0"/>
                <w:sz w:val="19"/>
                <w:szCs w:val="19"/>
              </w:rPr>
            </w:pPr>
            <w:r w:rsidRPr="00272261">
              <w:rPr>
                <w:rStyle w:val="CommentReference"/>
                <w:b w:val="0"/>
                <w:sz w:val="19"/>
                <w:szCs w:val="19"/>
              </w:rPr>
              <w:t>Improvement of ≥1 WHO functional class: RR = 2.2, (95% CI: 1.28, 3.80)</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Direct comparison: riociguat vs placebo - no change from November 2014.</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Direct comparison: riociguat vs placebo – no change from July 2015.</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Key safety data</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CHEST-1: riociguat vs placebo: </w:t>
            </w:r>
          </w:p>
          <w:p w:rsidR="00BE45D0" w:rsidRPr="00272261" w:rsidRDefault="00BE45D0" w:rsidP="00E57161">
            <w:pPr>
              <w:pStyle w:val="ListParagraph"/>
              <w:widowControl/>
              <w:numPr>
                <w:ilvl w:val="0"/>
                <w:numId w:val="3"/>
              </w:numPr>
              <w:ind w:left="113" w:hanging="94"/>
              <w:jc w:val="left"/>
              <w:rPr>
                <w:rStyle w:val="CommentReference"/>
                <w:b w:val="0"/>
                <w:sz w:val="19"/>
                <w:szCs w:val="19"/>
              </w:rPr>
            </w:pPr>
            <w:r w:rsidRPr="00272261">
              <w:rPr>
                <w:rStyle w:val="CommentReference"/>
                <w:b w:val="0"/>
                <w:sz w:val="19"/>
                <w:szCs w:val="19"/>
              </w:rPr>
              <w:t>Statistically significant differences observed for dizziness (RD% = 11.6, 95% CI: 5.1, 18.2) and hypotension (RD% = 8.1, 95% CI: 2.3, 13.9).</w:t>
            </w:r>
          </w:p>
        </w:tc>
        <w:tc>
          <w:tcPr>
            <w:tcW w:w="1582" w:type="pct"/>
          </w:tcPr>
          <w:p w:rsidR="00BE45D0" w:rsidRPr="00272261" w:rsidRDefault="00BE45D0" w:rsidP="00E57161">
            <w:pPr>
              <w:widowControl/>
              <w:ind w:left="27"/>
              <w:jc w:val="left"/>
              <w:rPr>
                <w:rStyle w:val="CommentReference"/>
                <w:b w:val="0"/>
                <w:sz w:val="19"/>
                <w:szCs w:val="19"/>
              </w:rPr>
            </w:pPr>
            <w:r w:rsidRPr="00272261">
              <w:rPr>
                <w:rStyle w:val="CommentReference"/>
                <w:b w:val="0"/>
                <w:sz w:val="19"/>
                <w:szCs w:val="19"/>
              </w:rPr>
              <w:t>Direct comparison: riociguat vs placebo - no change from November 2014.</w:t>
            </w:r>
          </w:p>
          <w:p w:rsidR="00BE45D0" w:rsidRPr="00272261" w:rsidRDefault="00BE45D0" w:rsidP="00E57161">
            <w:pPr>
              <w:widowControl/>
              <w:ind w:left="27"/>
              <w:jc w:val="left"/>
              <w:rPr>
                <w:rStyle w:val="CommentReference"/>
                <w:b w:val="0"/>
                <w:sz w:val="19"/>
                <w:szCs w:val="19"/>
              </w:rPr>
            </w:pPr>
            <w:r w:rsidRPr="00272261">
              <w:rPr>
                <w:rStyle w:val="CommentReference"/>
                <w:b w:val="0"/>
                <w:sz w:val="19"/>
                <w:szCs w:val="19"/>
              </w:rPr>
              <w:t>PSUR: Updated PSUR data provided.</w:t>
            </w:r>
            <w:r w:rsidRPr="00272261">
              <w:rPr>
                <w:rStyle w:val="CommentReference"/>
                <w:b w:val="0"/>
                <w:i/>
                <w:sz w:val="19"/>
                <w:szCs w:val="19"/>
              </w:rPr>
              <w:t xml:space="preserve">  </w:t>
            </w:r>
          </w:p>
        </w:tc>
        <w:tc>
          <w:tcPr>
            <w:tcW w:w="1582" w:type="pct"/>
          </w:tcPr>
          <w:p w:rsidR="00BE45D0" w:rsidRPr="00272261" w:rsidRDefault="00BE45D0" w:rsidP="00E57161">
            <w:pPr>
              <w:widowControl/>
              <w:ind w:left="27"/>
              <w:jc w:val="left"/>
              <w:rPr>
                <w:rStyle w:val="CommentReference"/>
                <w:b w:val="0"/>
                <w:sz w:val="19"/>
                <w:szCs w:val="19"/>
              </w:rPr>
            </w:pPr>
            <w:r w:rsidRPr="00272261">
              <w:rPr>
                <w:rStyle w:val="CommentReference"/>
                <w:b w:val="0"/>
                <w:sz w:val="19"/>
                <w:szCs w:val="19"/>
              </w:rPr>
              <w:t>Direct comparison: riociguat vs placebo – change from July 2015.</w:t>
            </w:r>
          </w:p>
          <w:p w:rsidR="00BE45D0" w:rsidRPr="00272261" w:rsidRDefault="00BE45D0" w:rsidP="00E57161">
            <w:pPr>
              <w:widowControl/>
              <w:ind w:left="27"/>
              <w:jc w:val="left"/>
              <w:rPr>
                <w:rStyle w:val="CommentReference"/>
                <w:b w:val="0"/>
                <w:sz w:val="19"/>
                <w:szCs w:val="19"/>
              </w:rPr>
            </w:pPr>
            <w:r w:rsidRPr="00272261">
              <w:rPr>
                <w:rStyle w:val="CommentReference"/>
                <w:b w:val="0"/>
                <w:sz w:val="19"/>
                <w:szCs w:val="19"/>
              </w:rPr>
              <w:t>PSUR: An updated PSUR was provided.</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Clinical claim</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Comparative effectiveness and safety for riociguat in the PBAC recommended PAH population is equivalent to the effectiveness and safety for riociguat in the proposed CTEPH population</w:t>
            </w:r>
          </w:p>
          <w:p w:rsidR="00BE45D0" w:rsidRPr="00272261" w:rsidRDefault="00BE45D0" w:rsidP="00E57161">
            <w:pPr>
              <w:widowControl/>
              <w:jc w:val="left"/>
              <w:rPr>
                <w:rStyle w:val="CommentReference"/>
                <w:b w:val="0"/>
                <w:sz w:val="19"/>
                <w:szCs w:val="19"/>
              </w:rPr>
            </w:pPr>
            <w:r w:rsidRPr="00272261">
              <w:rPr>
                <w:rStyle w:val="CommentReference"/>
                <w:sz w:val="19"/>
                <w:szCs w:val="19"/>
              </w:rPr>
              <w:t>PBAC comment:</w:t>
            </w:r>
            <w:r w:rsidRPr="00272261">
              <w:rPr>
                <w:rStyle w:val="CommentReference"/>
                <w:b w:val="0"/>
                <w:sz w:val="19"/>
                <w:szCs w:val="19"/>
              </w:rPr>
              <w:t xml:space="preserve"> The PBAC did not accept this (para 7.4), noting superiority of riociguat for comparative effectiveness using change in 6MWD from baseline and inferiority to placebo for comparative safety (para 6.15).</w:t>
            </w:r>
          </w:p>
        </w:tc>
        <w:tc>
          <w:tcPr>
            <w:tcW w:w="1582" w:type="pct"/>
          </w:tcPr>
          <w:p w:rsidR="00BE45D0" w:rsidRPr="00272261" w:rsidRDefault="00BE45D0" w:rsidP="00E57161">
            <w:pPr>
              <w:widowControl/>
              <w:ind w:left="27"/>
              <w:jc w:val="left"/>
              <w:rPr>
                <w:rStyle w:val="CommentReference"/>
                <w:b w:val="0"/>
                <w:sz w:val="19"/>
                <w:szCs w:val="19"/>
              </w:rPr>
            </w:pPr>
            <w:r w:rsidRPr="00272261">
              <w:rPr>
                <w:rStyle w:val="CommentReference"/>
                <w:b w:val="0"/>
                <w:sz w:val="19"/>
                <w:szCs w:val="19"/>
              </w:rPr>
              <w:t xml:space="preserve">Riociguat is superior to placebo for the treatment of CTEPH and non-inferior for safety. </w:t>
            </w:r>
          </w:p>
          <w:p w:rsidR="00BE45D0" w:rsidRPr="00272261" w:rsidRDefault="00BE45D0" w:rsidP="00E57161">
            <w:pPr>
              <w:widowControl/>
              <w:jc w:val="left"/>
              <w:rPr>
                <w:rStyle w:val="CommentReference"/>
                <w:b w:val="0"/>
                <w:i/>
                <w:sz w:val="19"/>
                <w:szCs w:val="19"/>
              </w:rPr>
            </w:pPr>
            <w:r w:rsidRPr="00272261">
              <w:rPr>
                <w:rStyle w:val="CommentReference"/>
                <w:sz w:val="19"/>
                <w:szCs w:val="19"/>
              </w:rPr>
              <w:t>PBAC comment:</w:t>
            </w:r>
            <w:r w:rsidRPr="00272261">
              <w:rPr>
                <w:rStyle w:val="CommentReference"/>
                <w:b w:val="0"/>
                <w:sz w:val="19"/>
                <w:szCs w:val="19"/>
              </w:rPr>
              <w:t xml:space="preserve"> </w:t>
            </w:r>
            <w:r w:rsidRPr="00272261">
              <w:rPr>
                <w:rFonts w:ascii="Arial Narrow" w:hAnsi="Arial Narrow"/>
                <w:bCs/>
                <w:sz w:val="19"/>
                <w:szCs w:val="19"/>
              </w:rPr>
              <w:t xml:space="preserve">The PBAC considered that superior comparative effectiveness was a reasonable claim for  improvements in 6MWD and WHO functional class (paragraph 6.20) and that the </w:t>
            </w:r>
            <w:r w:rsidRPr="00272261">
              <w:rPr>
                <w:rFonts w:ascii="Arial Narrow" w:hAnsi="Arial Narrow"/>
                <w:sz w:val="19"/>
                <w:szCs w:val="19"/>
              </w:rPr>
              <w:t>claim of non-inferior comparative safety was not adequately supported (para 6.19).</w:t>
            </w:r>
          </w:p>
        </w:tc>
        <w:tc>
          <w:tcPr>
            <w:tcW w:w="1582" w:type="pct"/>
          </w:tcPr>
          <w:p w:rsidR="00BE45D0" w:rsidRPr="00272261" w:rsidRDefault="00BE45D0" w:rsidP="00E57161">
            <w:pPr>
              <w:widowControl/>
              <w:ind w:left="27"/>
              <w:jc w:val="left"/>
              <w:rPr>
                <w:rStyle w:val="CommentReference"/>
                <w:b w:val="0"/>
                <w:sz w:val="19"/>
                <w:szCs w:val="19"/>
              </w:rPr>
            </w:pPr>
            <w:r w:rsidRPr="00272261">
              <w:rPr>
                <w:rFonts w:ascii="Arial Narrow" w:hAnsi="Arial Narrow"/>
                <w:sz w:val="19"/>
                <w:szCs w:val="19"/>
              </w:rPr>
              <w:t>Riociguat is superior to placebo for the treatment of CTEPH and although riociguat is associated with a higher incidence of dizziness and hypotension and inferior to placebo, the risk benefit profile remains very favourable.</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lastRenderedPageBreak/>
              <w:t>Economic analysis</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None presented</w:t>
            </w:r>
          </w:p>
          <w:p w:rsidR="00BE45D0" w:rsidRPr="00272261" w:rsidRDefault="00BE45D0" w:rsidP="00E57161">
            <w:pPr>
              <w:widowControl/>
              <w:jc w:val="left"/>
              <w:rPr>
                <w:rStyle w:val="CommentReference"/>
                <w:b w:val="0"/>
                <w:sz w:val="19"/>
                <w:szCs w:val="19"/>
              </w:rPr>
            </w:pPr>
            <w:r w:rsidRPr="00272261">
              <w:rPr>
                <w:rStyle w:val="CommentReference"/>
                <w:sz w:val="19"/>
                <w:szCs w:val="19"/>
              </w:rPr>
              <w:t xml:space="preserve">PBAC comment: </w:t>
            </w:r>
            <w:r w:rsidRPr="00272261">
              <w:rPr>
                <w:rStyle w:val="CommentReference"/>
                <w:b w:val="0"/>
                <w:sz w:val="19"/>
                <w:szCs w:val="19"/>
              </w:rPr>
              <w:t>At this time, the value for money of riociguat treatment for patients with CTEPH, relative to placebo, is unknown (para 7.5).</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Cost utility analysis for the comparison of riociguat and placebo presented (base case corrected^ ICER = </w:t>
            </w:r>
            <w:r w:rsidR="009E35EC">
              <w:rPr>
                <w:rStyle w:val="CommentReference"/>
                <w:b w:val="0"/>
                <w:sz w:val="19"/>
                <w:szCs w:val="19"/>
              </w:rPr>
              <w:t>$45,000-$75,000</w:t>
            </w:r>
            <w:r w:rsidRPr="00272261">
              <w:rPr>
                <w:rStyle w:val="CommentReference"/>
                <w:b w:val="0"/>
                <w:sz w:val="19"/>
                <w:szCs w:val="19"/>
              </w:rPr>
              <w:t xml:space="preserve">).  Pre-PBAC response: revised with gradual reduction in bosentan substitution and reduced effective price: </w:t>
            </w:r>
            <w:r w:rsidR="008D2AF7">
              <w:rPr>
                <w:rStyle w:val="CommentReference"/>
                <w:b w:val="0"/>
                <w:sz w:val="19"/>
                <w:szCs w:val="19"/>
              </w:rPr>
              <w:t>$45,000-$75,000</w:t>
            </w:r>
            <w:r w:rsidRPr="00272261">
              <w:rPr>
                <w:rStyle w:val="CommentReference"/>
                <w:b w:val="0"/>
                <w:sz w:val="19"/>
                <w:szCs w:val="19"/>
              </w:rPr>
              <w:t xml:space="preserve"> overall (</w:t>
            </w:r>
            <w:r w:rsidR="008D2AF7">
              <w:rPr>
                <w:rStyle w:val="CommentReference"/>
                <w:b w:val="0"/>
                <w:sz w:val="19"/>
                <w:szCs w:val="19"/>
              </w:rPr>
              <w:t>$45,000-$75,000</w:t>
            </w:r>
            <w:r w:rsidRPr="00272261">
              <w:rPr>
                <w:rStyle w:val="CommentReference"/>
                <w:b w:val="0"/>
                <w:sz w:val="19"/>
                <w:szCs w:val="19"/>
              </w:rPr>
              <w:t xml:space="preserve"> for surgical and </w:t>
            </w:r>
            <w:r w:rsidR="008D2AF7">
              <w:rPr>
                <w:rStyle w:val="CommentReference"/>
                <w:b w:val="0"/>
                <w:sz w:val="19"/>
                <w:szCs w:val="19"/>
              </w:rPr>
              <w:t>$15,000-$45,000</w:t>
            </w:r>
            <w:r w:rsidRPr="00272261">
              <w:rPr>
                <w:rStyle w:val="CommentReference"/>
                <w:b w:val="0"/>
                <w:sz w:val="19"/>
                <w:szCs w:val="19"/>
              </w:rPr>
              <w:t xml:space="preserve"> for non-surgical patients).</w:t>
            </w:r>
          </w:p>
          <w:p w:rsidR="00BE45D0" w:rsidRPr="00272261" w:rsidRDefault="00BE45D0" w:rsidP="00E57161">
            <w:pPr>
              <w:widowControl/>
              <w:jc w:val="left"/>
              <w:rPr>
                <w:rStyle w:val="CommentReference"/>
                <w:sz w:val="19"/>
                <w:szCs w:val="19"/>
              </w:rPr>
            </w:pPr>
            <w:r w:rsidRPr="00272261">
              <w:rPr>
                <w:rStyle w:val="CommentReference"/>
                <w:sz w:val="19"/>
                <w:szCs w:val="19"/>
              </w:rPr>
              <w:t xml:space="preserve">PBAC comment: </w:t>
            </w:r>
            <w:r w:rsidRPr="00272261">
              <w:rPr>
                <w:rStyle w:val="CommentReference"/>
                <w:b w:val="0"/>
                <w:sz w:val="19"/>
                <w:szCs w:val="19"/>
              </w:rPr>
              <w:t>There was a</w:t>
            </w:r>
            <w:r w:rsidRPr="00272261">
              <w:rPr>
                <w:rStyle w:val="CommentReference"/>
                <w:sz w:val="19"/>
                <w:szCs w:val="19"/>
              </w:rPr>
              <w:t xml:space="preserve"> </w:t>
            </w:r>
            <w:r w:rsidRPr="00272261">
              <w:rPr>
                <w:rFonts w:ascii="Arial Narrow" w:hAnsi="Arial Narrow"/>
                <w:bCs/>
                <w:sz w:val="19"/>
                <w:szCs w:val="19"/>
              </w:rPr>
              <w:t>disconnect between the model and the clinical data and uncertainty regarding the survival gain (para 7.</w:t>
            </w:r>
            <w:r w:rsidR="00A27763" w:rsidRPr="00272261">
              <w:rPr>
                <w:rFonts w:ascii="Arial Narrow" w:hAnsi="Arial Narrow"/>
                <w:bCs/>
                <w:sz w:val="19"/>
                <w:szCs w:val="19"/>
              </w:rPr>
              <w:t>7</w:t>
            </w:r>
            <w:r w:rsidRPr="00272261">
              <w:rPr>
                <w:rFonts w:ascii="Arial Narrow" w:hAnsi="Arial Narrow"/>
                <w:bCs/>
                <w:sz w:val="19"/>
                <w:szCs w:val="19"/>
              </w:rPr>
              <w:t xml:space="preserve">). There were inadequate patient numbers to reliably determine transition probabilities and utilities associated with WHO functional class IV, and inadequate justification that the costs of bosentan will apply for 30% of placebo patients and ongoing treatment benefits for riociguat over 15 years.  The use of placebo survival estimates based on a non-surgical cohort from Condliffe 2008 overestimated incremental difference in survival (para 7.8). </w:t>
            </w:r>
          </w:p>
        </w:tc>
        <w:tc>
          <w:tcPr>
            <w:tcW w:w="1582" w:type="pct"/>
          </w:tcPr>
          <w:p w:rsidR="00BE45D0" w:rsidRPr="00272261" w:rsidRDefault="00BE45D0" w:rsidP="0065764A">
            <w:pPr>
              <w:widowControl/>
              <w:jc w:val="left"/>
              <w:rPr>
                <w:rStyle w:val="CommentReference"/>
                <w:b w:val="0"/>
                <w:sz w:val="19"/>
                <w:szCs w:val="19"/>
              </w:rPr>
            </w:pPr>
            <w:r w:rsidRPr="00272261">
              <w:rPr>
                <w:rStyle w:val="CommentReference"/>
                <w:b w:val="0"/>
                <w:sz w:val="19"/>
                <w:szCs w:val="19"/>
              </w:rPr>
              <w:t>Cost utility analysis for riociguat versus placebo (with 74% use of off</w:t>
            </w:r>
            <w:r w:rsidR="00E67BED" w:rsidRPr="00272261">
              <w:rPr>
                <w:rStyle w:val="CommentReference"/>
                <w:b w:val="0"/>
                <w:sz w:val="19"/>
                <w:szCs w:val="19"/>
              </w:rPr>
              <w:noBreakHyphen/>
            </w:r>
            <w:r w:rsidRPr="00272261">
              <w:rPr>
                <w:rStyle w:val="CommentReference"/>
                <w:b w:val="0"/>
                <w:sz w:val="19"/>
                <w:szCs w:val="19"/>
              </w:rPr>
              <w:t>label therapies) presented in the re</w:t>
            </w:r>
            <w:r w:rsidR="00E67BED" w:rsidRPr="00272261">
              <w:rPr>
                <w:rStyle w:val="CommentReference"/>
                <w:b w:val="0"/>
                <w:sz w:val="19"/>
                <w:szCs w:val="19"/>
              </w:rPr>
              <w:noBreakHyphen/>
            </w:r>
            <w:r w:rsidRPr="00272261">
              <w:rPr>
                <w:rStyle w:val="CommentReference"/>
                <w:b w:val="0"/>
                <w:sz w:val="19"/>
                <w:szCs w:val="19"/>
              </w:rPr>
              <w:t xml:space="preserve">submission.  Model based on extrapolated survival with inoperable and persistent PH after surgery modelled in separate cohorts. Base case ICER in re-submission of </w:t>
            </w:r>
            <w:r w:rsidR="00B4237E">
              <w:rPr>
                <w:rStyle w:val="CommentReference"/>
                <w:b w:val="0"/>
                <w:sz w:val="19"/>
                <w:szCs w:val="19"/>
              </w:rPr>
              <w:t>$15,000-$45,000</w:t>
            </w:r>
            <w:r w:rsidRPr="00272261">
              <w:rPr>
                <w:rStyle w:val="CommentReference"/>
                <w:b w:val="0"/>
                <w:sz w:val="19"/>
                <w:szCs w:val="19"/>
              </w:rPr>
              <w:t xml:space="preserve">; </w:t>
            </w:r>
            <w:r w:rsidR="00B4237E">
              <w:rPr>
                <w:rStyle w:val="CommentReference"/>
                <w:b w:val="0"/>
                <w:sz w:val="19"/>
                <w:szCs w:val="19"/>
              </w:rPr>
              <w:t>$15,000-$45,000</w:t>
            </w:r>
            <w:r w:rsidRPr="00272261">
              <w:rPr>
                <w:rStyle w:val="CommentReference"/>
                <w:b w:val="0"/>
                <w:sz w:val="19"/>
                <w:szCs w:val="19"/>
              </w:rPr>
              <w:t xml:space="preserve"> for inoperable patients and </w:t>
            </w:r>
            <w:r w:rsidR="008158EC">
              <w:rPr>
                <w:rStyle w:val="CommentReference"/>
                <w:b w:val="0"/>
                <w:sz w:val="19"/>
                <w:szCs w:val="19"/>
              </w:rPr>
              <w:t>$45,000-$75,000</w:t>
            </w:r>
            <w:r w:rsidRPr="00272261">
              <w:rPr>
                <w:rStyle w:val="CommentReference"/>
                <w:b w:val="0"/>
                <w:sz w:val="19"/>
                <w:szCs w:val="19"/>
              </w:rPr>
              <w:t xml:space="preserve"> for persistent patients.  Corrected base case ICER* </w:t>
            </w:r>
            <w:r w:rsidR="0065764A">
              <w:rPr>
                <w:rStyle w:val="CommentReference"/>
                <w:b w:val="0"/>
                <w:sz w:val="19"/>
                <w:szCs w:val="19"/>
              </w:rPr>
              <w:t>$45,000-$75,000</w:t>
            </w:r>
            <w:r w:rsidRPr="00272261">
              <w:rPr>
                <w:rStyle w:val="CommentReference"/>
                <w:b w:val="0"/>
                <w:sz w:val="19"/>
                <w:szCs w:val="19"/>
              </w:rPr>
              <w:t xml:space="preserve">; </w:t>
            </w:r>
            <w:r w:rsidR="0065764A">
              <w:rPr>
                <w:rStyle w:val="CommentReference"/>
                <w:b w:val="0"/>
                <w:sz w:val="19"/>
                <w:szCs w:val="19"/>
              </w:rPr>
              <w:t>$45,000-$75,000</w:t>
            </w:r>
            <w:r w:rsidRPr="00272261">
              <w:rPr>
                <w:rStyle w:val="CommentReference"/>
                <w:b w:val="0"/>
                <w:sz w:val="19"/>
                <w:szCs w:val="19"/>
              </w:rPr>
              <w:t xml:space="preserve"> for inoperable and </w:t>
            </w:r>
            <w:r w:rsidR="0065764A">
              <w:rPr>
                <w:rStyle w:val="CommentReference"/>
                <w:b w:val="0"/>
                <w:sz w:val="19"/>
                <w:szCs w:val="19"/>
              </w:rPr>
              <w:t>$45,000-$75,000</w:t>
            </w:r>
            <w:r w:rsidRPr="00272261">
              <w:rPr>
                <w:rStyle w:val="CommentReference"/>
                <w:b w:val="0"/>
                <w:sz w:val="19"/>
                <w:szCs w:val="19"/>
              </w:rPr>
              <w:t xml:space="preserve"> for persistent patients.</w:t>
            </w:r>
          </w:p>
        </w:tc>
      </w:tr>
      <w:tr w:rsidR="00BE45D0" w:rsidRPr="00272261" w:rsidTr="00BE45D0">
        <w:trPr>
          <w:cantSplit/>
          <w:trHeight w:val="1134"/>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9"/>
                <w:szCs w:val="19"/>
              </w:rPr>
              <w:t>Estimated net cost to government</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Submission: Year 1: </w:t>
            </w:r>
            <w:r w:rsidR="00855C1C">
              <w:rPr>
                <w:rStyle w:val="CommentReference"/>
                <w:b w:val="0"/>
                <w:sz w:val="19"/>
                <w:szCs w:val="19"/>
              </w:rPr>
              <w:t>less than $10 million</w:t>
            </w:r>
            <w:r w:rsidRPr="00272261">
              <w:rPr>
                <w:rStyle w:val="CommentReference"/>
                <w:b w:val="0"/>
                <w:sz w:val="19"/>
                <w:szCs w:val="19"/>
              </w:rPr>
              <w:t xml:space="preserve">, Year 5: </w:t>
            </w:r>
            <w:r w:rsidR="00855C1C">
              <w:rPr>
                <w:rStyle w:val="CommentReference"/>
                <w:b w:val="0"/>
                <w:sz w:val="19"/>
                <w:szCs w:val="19"/>
              </w:rPr>
              <w:t>$10-$20 million</w:t>
            </w:r>
            <w:r w:rsidRPr="00272261">
              <w:rPr>
                <w:rStyle w:val="CommentReference"/>
                <w:b w:val="0"/>
                <w:sz w:val="19"/>
                <w:szCs w:val="19"/>
              </w:rPr>
              <w:t xml:space="preserve">. Total Years 1-5: </w:t>
            </w:r>
            <w:r w:rsidR="00855C1C">
              <w:rPr>
                <w:rStyle w:val="CommentReference"/>
                <w:b w:val="0"/>
                <w:sz w:val="19"/>
                <w:szCs w:val="19"/>
              </w:rPr>
              <w:t>$30-$60 million</w:t>
            </w:r>
          </w:p>
          <w:p w:rsidR="00BE45D0" w:rsidRPr="00272261" w:rsidRDefault="00BE45D0" w:rsidP="00E57161">
            <w:pPr>
              <w:widowControl/>
              <w:jc w:val="left"/>
              <w:rPr>
                <w:rStyle w:val="CommentReference"/>
                <w:b w:val="0"/>
                <w:sz w:val="19"/>
                <w:szCs w:val="19"/>
              </w:rPr>
            </w:pPr>
            <w:r w:rsidRPr="00272261">
              <w:rPr>
                <w:rStyle w:val="CommentReference"/>
                <w:b w:val="0"/>
                <w:sz w:val="19"/>
                <w:szCs w:val="19"/>
              </w:rPr>
              <w:t xml:space="preserve">Pre-PBAC response: Year 1: </w:t>
            </w:r>
            <w:r w:rsidR="00855C1C">
              <w:rPr>
                <w:rStyle w:val="CommentReference"/>
                <w:b w:val="0"/>
                <w:sz w:val="19"/>
                <w:szCs w:val="19"/>
              </w:rPr>
              <w:t>less than $10 million</w:t>
            </w:r>
            <w:r w:rsidRPr="00272261">
              <w:rPr>
                <w:rStyle w:val="CommentReference"/>
                <w:b w:val="0"/>
                <w:sz w:val="19"/>
                <w:szCs w:val="19"/>
              </w:rPr>
              <w:t xml:space="preserve">; Year 5: </w:t>
            </w:r>
            <w:r w:rsidR="00855C1C">
              <w:rPr>
                <w:rStyle w:val="CommentReference"/>
                <w:b w:val="0"/>
                <w:sz w:val="19"/>
                <w:szCs w:val="19"/>
              </w:rPr>
              <w:t>less than $10 million</w:t>
            </w:r>
            <w:r w:rsidRPr="00272261">
              <w:rPr>
                <w:rStyle w:val="CommentReference"/>
                <w:b w:val="0"/>
                <w:sz w:val="19"/>
                <w:szCs w:val="19"/>
              </w:rPr>
              <w:t xml:space="preserve">. </w:t>
            </w:r>
          </w:p>
          <w:p w:rsidR="00BE45D0" w:rsidRPr="00272261" w:rsidRDefault="00BE45D0" w:rsidP="00E57161">
            <w:pPr>
              <w:widowControl/>
              <w:jc w:val="left"/>
              <w:rPr>
                <w:rStyle w:val="CommentReference"/>
                <w:b w:val="0"/>
                <w:sz w:val="19"/>
                <w:szCs w:val="19"/>
              </w:rPr>
            </w:pPr>
            <w:r w:rsidRPr="00272261">
              <w:rPr>
                <w:rStyle w:val="CommentReference"/>
                <w:sz w:val="19"/>
                <w:szCs w:val="19"/>
              </w:rPr>
              <w:t xml:space="preserve">PBAC comment: </w:t>
            </w:r>
            <w:r w:rsidRPr="00272261">
              <w:rPr>
                <w:rStyle w:val="CommentReference"/>
                <w:b w:val="0"/>
                <w:sz w:val="19"/>
                <w:szCs w:val="19"/>
              </w:rPr>
              <w:t>The pre-PBAC response patient numbers and financial estimates were updated in line with the DUSC advice (para 6.25).</w:t>
            </w:r>
          </w:p>
        </w:tc>
        <w:tc>
          <w:tcPr>
            <w:tcW w:w="1582" w:type="pct"/>
          </w:tcPr>
          <w:p w:rsidR="00BE45D0" w:rsidRPr="00272261" w:rsidRDefault="00BE45D0" w:rsidP="00E57161">
            <w:pPr>
              <w:widowControl/>
              <w:ind w:left="27"/>
              <w:jc w:val="left"/>
              <w:rPr>
                <w:rStyle w:val="CommentReference"/>
                <w:b w:val="0"/>
                <w:sz w:val="19"/>
                <w:szCs w:val="19"/>
              </w:rPr>
            </w:pPr>
            <w:r w:rsidRPr="00272261">
              <w:rPr>
                <w:rStyle w:val="CommentReference"/>
                <w:b w:val="0"/>
                <w:sz w:val="19"/>
                <w:szCs w:val="19"/>
              </w:rPr>
              <w:t>While revisions from the pre-PBAC response were carried through to the re-submission’s financial estimates, additional cost off-sets associated with an assumed reduction in bosentan off-label use were included in the financial estimates: and were revised in the pre-PBAC response to Year 1:</w:t>
            </w:r>
            <w:r w:rsidR="0053136A">
              <w:rPr>
                <w:rStyle w:val="CommentReference"/>
                <w:b w:val="0"/>
                <w:sz w:val="19"/>
                <w:szCs w:val="19"/>
              </w:rPr>
              <w:t>less than $10 million</w:t>
            </w:r>
            <w:r w:rsidRPr="00272261">
              <w:rPr>
                <w:rStyle w:val="CommentReference"/>
                <w:b w:val="0"/>
                <w:sz w:val="19"/>
                <w:szCs w:val="19"/>
              </w:rPr>
              <w:t xml:space="preserve">; Year 5: </w:t>
            </w:r>
            <w:r w:rsidR="0053136A">
              <w:rPr>
                <w:rStyle w:val="CommentReference"/>
                <w:b w:val="0"/>
                <w:sz w:val="19"/>
                <w:szCs w:val="19"/>
              </w:rPr>
              <w:t>less than $10 million</w:t>
            </w:r>
            <w:r w:rsidRPr="00272261">
              <w:rPr>
                <w:rStyle w:val="CommentReference"/>
                <w:b w:val="0"/>
                <w:sz w:val="19"/>
                <w:szCs w:val="19"/>
              </w:rPr>
              <w:t xml:space="preserve">. Total Years 1-5: </w:t>
            </w:r>
            <w:r w:rsidR="0053136A">
              <w:rPr>
                <w:rStyle w:val="CommentReference"/>
                <w:b w:val="0"/>
                <w:sz w:val="19"/>
                <w:szCs w:val="19"/>
              </w:rPr>
              <w:t>$30-$60 million</w:t>
            </w:r>
            <w:r w:rsidR="00CA0549">
              <w:rPr>
                <w:rStyle w:val="CommentReference"/>
                <w:b w:val="0"/>
                <w:sz w:val="19"/>
                <w:szCs w:val="19"/>
              </w:rPr>
              <w:t>.</w:t>
            </w:r>
          </w:p>
          <w:p w:rsidR="00BE45D0" w:rsidRPr="00272261" w:rsidRDefault="00BE45D0" w:rsidP="00E57161">
            <w:pPr>
              <w:widowControl/>
              <w:jc w:val="left"/>
              <w:rPr>
                <w:rStyle w:val="CommentReference"/>
                <w:b w:val="0"/>
                <w:i/>
                <w:sz w:val="19"/>
                <w:szCs w:val="19"/>
              </w:rPr>
            </w:pPr>
            <w:r w:rsidRPr="00272261">
              <w:rPr>
                <w:rStyle w:val="CommentReference"/>
                <w:sz w:val="19"/>
                <w:szCs w:val="19"/>
              </w:rPr>
              <w:t>PBAC comment:</w:t>
            </w:r>
            <w:r w:rsidRPr="00272261">
              <w:rPr>
                <w:rFonts w:ascii="Arial Narrow" w:hAnsi="Arial Narrow"/>
                <w:sz w:val="19"/>
                <w:szCs w:val="19"/>
              </w:rPr>
              <w:t xml:space="preserve"> Savings from reduced use of bosentan may not be realised (para 7.9).</w:t>
            </w:r>
          </w:p>
        </w:tc>
        <w:tc>
          <w:tcPr>
            <w:tcW w:w="1582" w:type="pct"/>
          </w:tcPr>
          <w:p w:rsidR="00BE45D0" w:rsidRPr="00272261" w:rsidRDefault="00BE45D0" w:rsidP="00D27A77">
            <w:pPr>
              <w:widowControl/>
              <w:ind w:left="27"/>
              <w:jc w:val="left"/>
              <w:rPr>
                <w:rStyle w:val="CommentReference"/>
                <w:b w:val="0"/>
                <w:sz w:val="19"/>
                <w:szCs w:val="19"/>
              </w:rPr>
            </w:pPr>
            <w:r w:rsidRPr="00272261">
              <w:rPr>
                <w:rStyle w:val="CommentReference"/>
                <w:b w:val="0"/>
                <w:sz w:val="19"/>
                <w:szCs w:val="19"/>
              </w:rPr>
              <w:t xml:space="preserve">Additional cost off-sets due to an expected 74% substitution of bosentan, ambrisentan, sildenafil and tadalafil in Year 1, with a gradual reduction in switches to zero by Year 5. Year 1: </w:t>
            </w:r>
            <w:r w:rsidR="00D27A77">
              <w:rPr>
                <w:rStyle w:val="CommentReference"/>
                <w:b w:val="0"/>
                <w:sz w:val="19"/>
                <w:szCs w:val="19"/>
              </w:rPr>
              <w:t>less than $10 million</w:t>
            </w:r>
            <w:r w:rsidRPr="00272261">
              <w:rPr>
                <w:rStyle w:val="CommentReference"/>
                <w:b w:val="0"/>
                <w:sz w:val="19"/>
                <w:szCs w:val="19"/>
              </w:rPr>
              <w:t>; Year 5:</w:t>
            </w:r>
            <w:r w:rsidR="00D27A77">
              <w:rPr>
                <w:rStyle w:val="CommentReference"/>
                <w:b w:val="0"/>
                <w:sz w:val="19"/>
                <w:szCs w:val="19"/>
              </w:rPr>
              <w:t>less than $10 million</w:t>
            </w:r>
            <w:r w:rsidRPr="00272261">
              <w:rPr>
                <w:rStyle w:val="CommentReference"/>
                <w:b w:val="0"/>
                <w:sz w:val="19"/>
                <w:szCs w:val="19"/>
              </w:rPr>
              <w:t xml:space="preserve">; Total Years 1-5: </w:t>
            </w:r>
            <w:r w:rsidR="00D27A77">
              <w:rPr>
                <w:rStyle w:val="CommentReference"/>
                <w:b w:val="0"/>
                <w:sz w:val="19"/>
                <w:szCs w:val="19"/>
              </w:rPr>
              <w:t>$10-$20 million.</w:t>
            </w:r>
          </w:p>
        </w:tc>
      </w:tr>
      <w:tr w:rsidR="00BE45D0" w:rsidRPr="00272261" w:rsidTr="00BE45D0">
        <w:trPr>
          <w:cantSplit/>
          <w:trHeight w:val="892"/>
        </w:trPr>
        <w:tc>
          <w:tcPr>
            <w:tcW w:w="253" w:type="pct"/>
            <w:textDirection w:val="btLr"/>
            <w:vAlign w:val="center"/>
          </w:tcPr>
          <w:p w:rsidR="00BE45D0" w:rsidRPr="00272261" w:rsidRDefault="00BE45D0" w:rsidP="00E57161">
            <w:pPr>
              <w:widowControl/>
              <w:ind w:left="113" w:right="113"/>
              <w:jc w:val="center"/>
              <w:rPr>
                <w:rStyle w:val="CommentReference"/>
                <w:b w:val="0"/>
                <w:sz w:val="19"/>
                <w:szCs w:val="19"/>
              </w:rPr>
            </w:pPr>
            <w:r w:rsidRPr="00272261">
              <w:rPr>
                <w:rStyle w:val="CommentReference"/>
                <w:b w:val="0"/>
                <w:sz w:val="18"/>
                <w:szCs w:val="18"/>
              </w:rPr>
              <w:t>PBAC outcom</w:t>
            </w:r>
            <w:r w:rsidRPr="00272261">
              <w:rPr>
                <w:rStyle w:val="CommentReference"/>
                <w:b w:val="0"/>
                <w:sz w:val="19"/>
                <w:szCs w:val="19"/>
              </w:rPr>
              <w:t>e</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Reject</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Reject</w:t>
            </w:r>
          </w:p>
        </w:tc>
        <w:tc>
          <w:tcPr>
            <w:tcW w:w="1582" w:type="pct"/>
          </w:tcPr>
          <w:p w:rsidR="00BE45D0" w:rsidRPr="00272261" w:rsidRDefault="00BE45D0" w:rsidP="00E57161">
            <w:pPr>
              <w:widowControl/>
              <w:jc w:val="left"/>
              <w:rPr>
                <w:rStyle w:val="CommentReference"/>
                <w:b w:val="0"/>
                <w:sz w:val="19"/>
                <w:szCs w:val="19"/>
              </w:rPr>
            </w:pPr>
            <w:r w:rsidRPr="00272261">
              <w:rPr>
                <w:rStyle w:val="CommentReference"/>
                <w:b w:val="0"/>
                <w:sz w:val="19"/>
                <w:szCs w:val="19"/>
              </w:rPr>
              <w:t>NA</w:t>
            </w:r>
          </w:p>
        </w:tc>
      </w:tr>
    </w:tbl>
    <w:p w:rsidR="00BE45D0" w:rsidRPr="00272261" w:rsidRDefault="00BE45D0" w:rsidP="00E57161">
      <w:pPr>
        <w:widowControl/>
        <w:ind w:left="709"/>
        <w:rPr>
          <w:rStyle w:val="CommentReference"/>
          <w:b w:val="0"/>
          <w:sz w:val="18"/>
        </w:rPr>
      </w:pPr>
      <w:r w:rsidRPr="00272261">
        <w:rPr>
          <w:rStyle w:val="CommentReference"/>
          <w:b w:val="0"/>
          <w:sz w:val="18"/>
        </w:rPr>
        <w:t>^ A minor calculation error associated with the calculation of placebo transition probabilities for WHO functional class II to III was located during the evaluation.  *Updated during the evaluation to include 6 monthly RHC for patients in WHO FC II.</w:t>
      </w:r>
    </w:p>
    <w:p w:rsidR="00BE45D0" w:rsidRPr="00272261" w:rsidRDefault="00BE45D0" w:rsidP="00E57161">
      <w:pPr>
        <w:widowControl/>
        <w:ind w:left="709"/>
        <w:rPr>
          <w:rStyle w:val="CommentReference"/>
          <w:b w:val="0"/>
          <w:sz w:val="18"/>
        </w:rPr>
      </w:pPr>
      <w:r w:rsidRPr="00272261">
        <w:rPr>
          <w:rStyle w:val="CommentReference"/>
          <w:b w:val="0"/>
          <w:sz w:val="18"/>
        </w:rPr>
        <w:t>6MWD = 6 minute walk distance test; CTEPH = chronic thromboembolic pulmonary hypertension; ECHO = echocardiogram; LSMD = least square mean difference; MCID = minimal clinically important difference; MD = mean difference; NA = not applicable; PEA = pulmonary endarterectomy; PAH = pulmonary arterial hypertension; OS = overall survival; PSUR = periodic safety update report; RAP = right atrial pressure; RHC = right heart catheterisation; RD = risk difference; RR = relative risk; PSCR = pre subcommittee response; FC = functional class; OS = overall survival; p</w:t>
      </w:r>
      <w:r w:rsidR="00C563D4" w:rsidRPr="00272261">
        <w:rPr>
          <w:rStyle w:val="CommentReference"/>
          <w:b w:val="0"/>
          <w:sz w:val="18"/>
        </w:rPr>
        <w:t>ara</w:t>
      </w:r>
      <w:r w:rsidRPr="00272261">
        <w:rPr>
          <w:rStyle w:val="CommentReference"/>
          <w:b w:val="0"/>
          <w:sz w:val="18"/>
        </w:rPr>
        <w:t xml:space="preserve"> = paragraph</w:t>
      </w:r>
      <w:r w:rsidR="00C563D4" w:rsidRPr="00272261">
        <w:rPr>
          <w:rStyle w:val="CommentReference"/>
          <w:b w:val="0"/>
          <w:sz w:val="18"/>
        </w:rPr>
        <w:t>.</w:t>
      </w:r>
      <w:r w:rsidRPr="00272261">
        <w:rPr>
          <w:rStyle w:val="CommentReference"/>
          <w:b w:val="0"/>
          <w:sz w:val="18"/>
        </w:rPr>
        <w:t xml:space="preserve"> Source: constructed during the evaluation. Paragraph references refer to</w:t>
      </w:r>
      <w:r w:rsidR="005565D2">
        <w:rPr>
          <w:rStyle w:val="CommentReference"/>
          <w:b w:val="0"/>
          <w:sz w:val="18"/>
        </w:rPr>
        <w:t xml:space="preserve"> the November 2014 PSD</w:t>
      </w:r>
      <w:r w:rsidRPr="00272261">
        <w:rPr>
          <w:rStyle w:val="CommentReference"/>
          <w:b w:val="0"/>
          <w:sz w:val="18"/>
        </w:rPr>
        <w:t xml:space="preserve"> </w:t>
      </w:r>
      <w:r w:rsidR="005565D2">
        <w:rPr>
          <w:rStyle w:val="CommentReference"/>
          <w:b w:val="0"/>
          <w:sz w:val="18"/>
        </w:rPr>
        <w:t>or July 2015 PSD</w:t>
      </w:r>
      <w:r w:rsidRPr="00272261">
        <w:rPr>
          <w:rStyle w:val="CommentReference"/>
          <w:b w:val="0"/>
          <w:sz w:val="18"/>
        </w:rPr>
        <w:t>, depending on the respective column the reference is made in relation to, for riociguat.</w:t>
      </w:r>
    </w:p>
    <w:p w:rsidR="00B220FE" w:rsidRPr="00272261" w:rsidRDefault="00B220FE" w:rsidP="00E57161">
      <w:pPr>
        <w:widowControl/>
        <w:jc w:val="left"/>
        <w:rPr>
          <w:i/>
          <w:szCs w:val="22"/>
          <w:highlight w:val="yellow"/>
        </w:rPr>
      </w:pPr>
    </w:p>
    <w:p w:rsidR="00B220FE" w:rsidRPr="00272261" w:rsidRDefault="00B220FE" w:rsidP="00EA15BC">
      <w:pPr>
        <w:widowControl/>
        <w:ind w:firstLine="709"/>
        <w:jc w:val="left"/>
        <w:rPr>
          <w:szCs w:val="22"/>
        </w:rPr>
      </w:pPr>
      <w:r w:rsidRPr="00272261">
        <w:rPr>
          <w:i/>
          <w:szCs w:val="22"/>
        </w:rPr>
        <w:t>For more detail on PBAC’s view, see section 7 “PBAC outcome”</w:t>
      </w:r>
    </w:p>
    <w:p w:rsidR="00BE45D0" w:rsidRPr="00272261" w:rsidRDefault="00BE45D0" w:rsidP="00E57161">
      <w:pPr>
        <w:widowControl/>
      </w:pPr>
    </w:p>
    <w:p w:rsidR="002F36A9" w:rsidRPr="00272261" w:rsidRDefault="002F36A9" w:rsidP="00E57161">
      <w:pPr>
        <w:widowControl/>
      </w:pPr>
    </w:p>
    <w:p w:rsidR="002F36A9" w:rsidRPr="00272261" w:rsidRDefault="002F36A9" w:rsidP="009532E4">
      <w:pPr>
        <w:pStyle w:val="Heading1"/>
      </w:pPr>
      <w:bookmarkStart w:id="9" w:name="_Toc416959984"/>
      <w:bookmarkStart w:id="10" w:name="_Toc440895078"/>
      <w:r w:rsidRPr="00272261">
        <w:t>Clinical place for the proposed therapy</w:t>
      </w:r>
      <w:bookmarkEnd w:id="9"/>
      <w:bookmarkEnd w:id="10"/>
    </w:p>
    <w:p w:rsidR="002F36A9" w:rsidRPr="00272261" w:rsidRDefault="002F36A9" w:rsidP="00E57161">
      <w:pPr>
        <w:keepNext/>
        <w:widowControl/>
        <w:rPr>
          <w:szCs w:val="22"/>
        </w:rPr>
      </w:pPr>
    </w:p>
    <w:p w:rsidR="002F36A9" w:rsidRPr="00272261" w:rsidRDefault="005D08A7" w:rsidP="00E57161">
      <w:pPr>
        <w:pStyle w:val="ListParagraph"/>
        <w:widowControl/>
        <w:numPr>
          <w:ilvl w:val="1"/>
          <w:numId w:val="2"/>
        </w:numPr>
        <w:rPr>
          <w:szCs w:val="22"/>
        </w:rPr>
      </w:pPr>
      <w:r w:rsidRPr="00272261">
        <w:rPr>
          <w:szCs w:val="22"/>
        </w:rPr>
        <w:t>CTEPH</w:t>
      </w:r>
      <w:r w:rsidR="002F36A9" w:rsidRPr="00272261">
        <w:rPr>
          <w:szCs w:val="22"/>
        </w:rPr>
        <w:t xml:space="preserve"> (PH Group 4) is a progressive disease where </w:t>
      </w:r>
      <w:r w:rsidR="00A5625E" w:rsidRPr="00272261">
        <w:rPr>
          <w:szCs w:val="22"/>
        </w:rPr>
        <w:t>pulmonary vascular resistance (</w:t>
      </w:r>
      <w:r w:rsidR="001D3574" w:rsidRPr="00272261">
        <w:rPr>
          <w:szCs w:val="22"/>
        </w:rPr>
        <w:t>PVR</w:t>
      </w:r>
      <w:r w:rsidR="00A5625E" w:rsidRPr="00272261">
        <w:rPr>
          <w:szCs w:val="22"/>
        </w:rPr>
        <w:t>)</w:t>
      </w:r>
      <w:r w:rsidR="002F36A9" w:rsidRPr="00272261">
        <w:rPr>
          <w:szCs w:val="22"/>
        </w:rPr>
        <w:t xml:space="preserve"> increases progressively</w:t>
      </w:r>
      <w:r w:rsidR="00C83057" w:rsidRPr="00272261">
        <w:rPr>
          <w:szCs w:val="22"/>
        </w:rPr>
        <w:t>,</w:t>
      </w:r>
      <w:r w:rsidR="002F36A9" w:rsidRPr="00272261">
        <w:rPr>
          <w:szCs w:val="22"/>
        </w:rPr>
        <w:t xml:space="preserve"> ultimately resulting in right heart failure and death</w:t>
      </w:r>
      <w:r w:rsidR="00C83057" w:rsidRPr="00272261">
        <w:rPr>
          <w:szCs w:val="22"/>
        </w:rPr>
        <w:t>.</w:t>
      </w:r>
    </w:p>
    <w:p w:rsidR="002F36A9" w:rsidRPr="00272261" w:rsidRDefault="002F36A9" w:rsidP="00E57161">
      <w:pPr>
        <w:widowControl/>
        <w:rPr>
          <w:szCs w:val="22"/>
        </w:rPr>
      </w:pPr>
    </w:p>
    <w:p w:rsidR="002F36A9" w:rsidRPr="00272261" w:rsidRDefault="002F36A9" w:rsidP="00E57161">
      <w:pPr>
        <w:pStyle w:val="ListParagraph"/>
        <w:widowControl/>
        <w:numPr>
          <w:ilvl w:val="1"/>
          <w:numId w:val="2"/>
        </w:numPr>
        <w:rPr>
          <w:szCs w:val="22"/>
        </w:rPr>
      </w:pPr>
      <w:r w:rsidRPr="00272261">
        <w:rPr>
          <w:szCs w:val="22"/>
        </w:rPr>
        <w:t>PEA is a potentially curative surgical intervention for CTEPH.</w:t>
      </w:r>
      <w:r w:rsidRPr="00272261">
        <w:rPr>
          <w:color w:val="3366FF"/>
          <w:szCs w:val="22"/>
        </w:rPr>
        <w:t xml:space="preserve"> </w:t>
      </w:r>
      <w:r w:rsidRPr="00272261">
        <w:rPr>
          <w:szCs w:val="22"/>
        </w:rPr>
        <w:t>The re-submission propose</w:t>
      </w:r>
      <w:r w:rsidR="00A5625E" w:rsidRPr="00272261">
        <w:rPr>
          <w:szCs w:val="22"/>
        </w:rPr>
        <w:t>d</w:t>
      </w:r>
      <w:r w:rsidRPr="00272261">
        <w:rPr>
          <w:szCs w:val="22"/>
        </w:rPr>
        <w:t xml:space="preserve"> that riociguat be used </w:t>
      </w:r>
      <w:r w:rsidR="005D08A7" w:rsidRPr="00272261">
        <w:rPr>
          <w:szCs w:val="22"/>
        </w:rPr>
        <w:t>for patients</w:t>
      </w:r>
      <w:r w:rsidRPr="00272261">
        <w:rPr>
          <w:szCs w:val="22"/>
        </w:rPr>
        <w:t xml:space="preserve"> who cannot receive PEA (inoperable) or those who have persistent CTEPH after surgery, replacing either no treatment </w:t>
      </w:r>
      <w:r w:rsidR="00826A30" w:rsidRPr="00272261">
        <w:rPr>
          <w:szCs w:val="22"/>
        </w:rPr>
        <w:t>(placebo) or medical therapies.</w:t>
      </w:r>
      <w:r w:rsidRPr="00272261">
        <w:rPr>
          <w:szCs w:val="22"/>
        </w:rPr>
        <w:t xml:space="preserve"> Currently, medical therapy may include the use of </w:t>
      </w:r>
      <w:r w:rsidR="00681F74" w:rsidRPr="00272261">
        <w:rPr>
          <w:szCs w:val="22"/>
        </w:rPr>
        <w:t>endothelin receptor antagonists (ERAs) such as bosentan and ambrisentan, and phosphodiesterase-5 (PDE-5) inhibitors such as sildenafil and tadalafil</w:t>
      </w:r>
      <w:r w:rsidR="00A53D26" w:rsidRPr="00272261">
        <w:rPr>
          <w:szCs w:val="22"/>
        </w:rPr>
        <w:t>, although none of these drugs are PBS-listed for CTEPH</w:t>
      </w:r>
      <w:r w:rsidRPr="00272261">
        <w:rPr>
          <w:szCs w:val="22"/>
        </w:rPr>
        <w:t>.</w:t>
      </w:r>
    </w:p>
    <w:p w:rsidR="002F36A9" w:rsidRPr="00272261" w:rsidRDefault="002F36A9" w:rsidP="00E57161">
      <w:pPr>
        <w:widowControl/>
        <w:rPr>
          <w:szCs w:val="22"/>
        </w:rPr>
      </w:pPr>
    </w:p>
    <w:p w:rsidR="002F36A9" w:rsidRPr="00272261" w:rsidRDefault="002F36A9" w:rsidP="00E57161">
      <w:pPr>
        <w:pStyle w:val="Header"/>
        <w:widowControl/>
        <w:rPr>
          <w:szCs w:val="22"/>
        </w:rPr>
      </w:pPr>
    </w:p>
    <w:p w:rsidR="002F36A9" w:rsidRPr="00272261" w:rsidRDefault="002F36A9" w:rsidP="009532E4">
      <w:pPr>
        <w:pStyle w:val="Heading1"/>
      </w:pPr>
      <w:bookmarkStart w:id="11" w:name="_Toc440895079"/>
      <w:r w:rsidRPr="00272261">
        <w:t>Comparator</w:t>
      </w:r>
      <w:bookmarkEnd w:id="11"/>
    </w:p>
    <w:p w:rsidR="002F36A9" w:rsidRPr="00272261" w:rsidRDefault="002F36A9" w:rsidP="00E57161">
      <w:pPr>
        <w:widowControl/>
        <w:rPr>
          <w:highlight w:val="yellow"/>
        </w:rPr>
      </w:pPr>
    </w:p>
    <w:p w:rsidR="002F36A9" w:rsidRPr="00272261" w:rsidRDefault="002F36A9" w:rsidP="00E57161">
      <w:pPr>
        <w:pStyle w:val="ListParagraph"/>
        <w:widowControl/>
        <w:numPr>
          <w:ilvl w:val="1"/>
          <w:numId w:val="2"/>
        </w:numPr>
        <w:rPr>
          <w:szCs w:val="22"/>
        </w:rPr>
      </w:pPr>
      <w:r w:rsidRPr="00272261">
        <w:t>As in the November 2014 submission</w:t>
      </w:r>
      <w:r w:rsidR="00C42A7E" w:rsidRPr="00272261">
        <w:t xml:space="preserve"> and the July 2015 re-submission</w:t>
      </w:r>
      <w:r w:rsidR="00BF04D4" w:rsidRPr="00272261">
        <w:t>, the re</w:t>
      </w:r>
      <w:r w:rsidR="00BF04D4" w:rsidRPr="00272261">
        <w:noBreakHyphen/>
      </w:r>
      <w:r w:rsidRPr="00272261">
        <w:t>submission nominate</w:t>
      </w:r>
      <w:r w:rsidR="004111F1" w:rsidRPr="00272261">
        <w:t>d</w:t>
      </w:r>
      <w:r w:rsidRPr="00272261">
        <w:t xml:space="preserve"> placebo as the main comparator.</w:t>
      </w:r>
      <w:r w:rsidRPr="00272261">
        <w:rPr>
          <w:color w:val="3366FF"/>
        </w:rPr>
        <w:t xml:space="preserve"> </w:t>
      </w:r>
      <w:r w:rsidRPr="00272261">
        <w:t>The PBAC previously accepted placebo as the main comparator, although noted that in clinical practice, other PAH treatments such as bosentan and sildenafil may be used off-label (November 2014</w:t>
      </w:r>
      <w:r w:rsidR="005B3879" w:rsidRPr="00272261">
        <w:t xml:space="preserve"> </w:t>
      </w:r>
      <w:r w:rsidR="005B3879" w:rsidRPr="00272261">
        <w:rPr>
          <w:szCs w:val="22"/>
        </w:rPr>
        <w:t>riociguat PSD</w:t>
      </w:r>
      <w:r w:rsidRPr="00272261">
        <w:t>, paragraph 7.2).</w:t>
      </w:r>
      <w:r w:rsidR="00E60CD1" w:rsidRPr="00272261">
        <w:t xml:space="preserve"> </w:t>
      </w:r>
      <w:r w:rsidR="008B47B6" w:rsidRPr="00272261">
        <w:t xml:space="preserve">An indirect comparison of riociguat to bosentan and a separate comparison to sildenafil </w:t>
      </w:r>
      <w:r w:rsidR="00D315B1" w:rsidRPr="00272261">
        <w:t>were</w:t>
      </w:r>
      <w:r w:rsidR="008B47B6" w:rsidRPr="00272261">
        <w:t xml:space="preserve"> provided in the July 2015 re-submission. </w:t>
      </w:r>
      <w:r w:rsidR="001C0F09" w:rsidRPr="00272261">
        <w:t>Given the re-submission’s assertion that 74% of inoperable CTEPH or persistent CTEPH after PEA patients are taking either an ERA or a PDE-5 inhibitor</w:t>
      </w:r>
      <w:r w:rsidR="00C76452" w:rsidRPr="00272261">
        <w:t>,</w:t>
      </w:r>
      <w:r w:rsidR="001C0F09" w:rsidRPr="00272261">
        <w:t xml:space="preserve"> </w:t>
      </w:r>
      <w:r w:rsidR="00E67BED" w:rsidRPr="00272261">
        <w:t xml:space="preserve">the evaluation considered that it </w:t>
      </w:r>
      <w:r w:rsidR="001C0F09" w:rsidRPr="00272261">
        <w:t>may be reasonable to consider bosentan or sildenafil as an alternate comparator. The re-submission raise</w:t>
      </w:r>
      <w:r w:rsidR="00F24434" w:rsidRPr="00272261">
        <w:t>d</w:t>
      </w:r>
      <w:r w:rsidR="001C0F09" w:rsidRPr="00272261">
        <w:t xml:space="preserve"> th</w:t>
      </w:r>
      <w:r w:rsidR="00C563D4" w:rsidRPr="00272261">
        <w:t>is possibility, although there wa</w:t>
      </w:r>
      <w:r w:rsidR="001C0F09" w:rsidRPr="00272261">
        <w:t>s no comparative economic evidence against such an alternate comparator provided</w:t>
      </w:r>
      <w:r w:rsidR="00E60CD1" w:rsidRPr="00272261">
        <w:t>.</w:t>
      </w:r>
    </w:p>
    <w:p w:rsidR="00816F1D" w:rsidRPr="00272261" w:rsidRDefault="00816F1D" w:rsidP="00E57161">
      <w:pPr>
        <w:pStyle w:val="ListParagraph"/>
        <w:widowControl/>
        <w:rPr>
          <w:szCs w:val="22"/>
        </w:rPr>
      </w:pPr>
    </w:p>
    <w:p w:rsidR="00E67BED" w:rsidRPr="00272261" w:rsidRDefault="00816F1D" w:rsidP="00E57161">
      <w:pPr>
        <w:pStyle w:val="ListParagraph"/>
        <w:widowControl/>
        <w:numPr>
          <w:ilvl w:val="1"/>
          <w:numId w:val="2"/>
        </w:numPr>
        <w:rPr>
          <w:szCs w:val="22"/>
        </w:rPr>
      </w:pPr>
      <w:r w:rsidRPr="00272261">
        <w:t>The</w:t>
      </w:r>
      <w:r w:rsidR="001E33C1" w:rsidRPr="00272261">
        <w:t xml:space="preserve"> Pre-Sub-Committee Response</w:t>
      </w:r>
      <w:r w:rsidRPr="00272261">
        <w:t xml:space="preserve"> </w:t>
      </w:r>
      <w:r w:rsidR="001E33C1" w:rsidRPr="00272261">
        <w:t>(</w:t>
      </w:r>
      <w:r w:rsidRPr="00272261">
        <w:rPr>
          <w:rFonts w:cstheme="minorHAnsi"/>
          <w:bCs/>
          <w:szCs w:val="22"/>
          <w:lang w:eastAsia="en-AU"/>
        </w:rPr>
        <w:t>PSCR</w:t>
      </w:r>
      <w:r w:rsidR="001E33C1" w:rsidRPr="00272261">
        <w:rPr>
          <w:rFonts w:cstheme="minorHAnsi"/>
          <w:bCs/>
          <w:szCs w:val="22"/>
          <w:lang w:eastAsia="en-AU"/>
        </w:rPr>
        <w:t>,</w:t>
      </w:r>
      <w:r w:rsidRPr="00272261">
        <w:rPr>
          <w:rFonts w:cstheme="minorHAnsi"/>
          <w:bCs/>
          <w:szCs w:val="22"/>
          <w:lang w:eastAsia="en-AU"/>
        </w:rPr>
        <w:t xml:space="preserve"> p1) argued that “…neither bosentan nor sildenafil have the clinical evidence to support the use in the </w:t>
      </w:r>
      <w:r w:rsidR="00CF0840" w:rsidRPr="00272261">
        <w:rPr>
          <w:rFonts w:cstheme="minorHAnsi"/>
          <w:bCs/>
          <w:szCs w:val="22"/>
          <w:lang w:eastAsia="en-AU"/>
        </w:rPr>
        <w:t xml:space="preserve">treatment of patients with CTEPH, despite being used off-label extensively as demonstrated in the current re-submission. </w:t>
      </w:r>
      <w:r w:rsidRPr="00272261">
        <w:rPr>
          <w:rFonts w:cstheme="minorHAnsi"/>
          <w:bCs/>
          <w:szCs w:val="22"/>
          <w:lang w:eastAsia="en-AU"/>
        </w:rPr>
        <w:t>Riociguat is the first and only therapy with a demonstrated clinical benefit in the proposed patient population, and a placebo is therefore the relevant main comparator. It follows that with the exception of including the drug cost of both therapies in the economic analysis, there is no clinical basis to support a comparative economic evidence assessment, especially since the neither</w:t>
      </w:r>
      <w:r w:rsidR="00CF0840" w:rsidRPr="00272261">
        <w:rPr>
          <w:rFonts w:cstheme="minorHAnsi"/>
          <w:bCs/>
          <w:szCs w:val="22"/>
          <w:lang w:eastAsia="en-AU"/>
        </w:rPr>
        <w:t xml:space="preserve"> [sic]</w:t>
      </w:r>
      <w:r w:rsidRPr="00272261">
        <w:rPr>
          <w:rFonts w:cstheme="minorHAnsi"/>
          <w:bCs/>
          <w:szCs w:val="22"/>
          <w:lang w:eastAsia="en-AU"/>
        </w:rPr>
        <w:t xml:space="preserve"> clinical effectiveness nor the </w:t>
      </w:r>
      <w:r w:rsidR="00CF0840" w:rsidRPr="00272261">
        <w:rPr>
          <w:rFonts w:cstheme="minorHAnsi"/>
          <w:bCs/>
          <w:szCs w:val="22"/>
          <w:lang w:eastAsia="en-AU"/>
        </w:rPr>
        <w:t>cost</w:t>
      </w:r>
      <w:r w:rsidR="00CF0840" w:rsidRPr="00272261">
        <w:rPr>
          <w:rFonts w:cstheme="minorHAnsi"/>
          <w:bCs/>
          <w:szCs w:val="22"/>
          <w:lang w:eastAsia="en-AU"/>
        </w:rPr>
        <w:noBreakHyphen/>
      </w:r>
      <w:r w:rsidRPr="00272261">
        <w:rPr>
          <w:rFonts w:cstheme="minorHAnsi"/>
          <w:bCs/>
          <w:szCs w:val="22"/>
          <w:lang w:eastAsia="en-AU"/>
        </w:rPr>
        <w:t>effectiveness of these treatments in CTEPH has been established or assessed by the TGA and PBAC.</w:t>
      </w:r>
      <w:r w:rsidR="00CF0840" w:rsidRPr="00272261">
        <w:rPr>
          <w:rFonts w:cstheme="minorHAnsi"/>
          <w:bCs/>
          <w:szCs w:val="22"/>
          <w:lang w:eastAsia="en-AU"/>
        </w:rPr>
        <w:t xml:space="preserve">” </w:t>
      </w:r>
    </w:p>
    <w:p w:rsidR="00E67BED" w:rsidRPr="00272261" w:rsidRDefault="00E67BED" w:rsidP="00E57161">
      <w:pPr>
        <w:pStyle w:val="ListParagraph"/>
        <w:widowControl/>
        <w:rPr>
          <w:szCs w:val="22"/>
        </w:rPr>
      </w:pPr>
    </w:p>
    <w:p w:rsidR="00816F1D" w:rsidRPr="00272261" w:rsidRDefault="00CF0840" w:rsidP="00E57161">
      <w:pPr>
        <w:pStyle w:val="ListParagraph"/>
        <w:widowControl/>
        <w:numPr>
          <w:ilvl w:val="1"/>
          <w:numId w:val="2"/>
        </w:numPr>
        <w:rPr>
          <w:szCs w:val="22"/>
        </w:rPr>
      </w:pPr>
      <w:r w:rsidRPr="00272261">
        <w:rPr>
          <w:rFonts w:cstheme="minorHAnsi"/>
          <w:bCs/>
          <w:szCs w:val="22"/>
          <w:lang w:eastAsia="en-AU"/>
        </w:rPr>
        <w:t xml:space="preserve">The ESC agreed with the PSCR that placebo was the appropriate comparator. However, the ESC did not agree </w:t>
      </w:r>
      <w:r w:rsidR="00D54874" w:rsidRPr="00272261">
        <w:rPr>
          <w:rFonts w:cstheme="minorHAnsi"/>
          <w:bCs/>
          <w:szCs w:val="22"/>
          <w:lang w:eastAsia="en-AU"/>
        </w:rPr>
        <w:t xml:space="preserve">that there should be an </w:t>
      </w:r>
      <w:r w:rsidRPr="00272261">
        <w:rPr>
          <w:rFonts w:cstheme="minorHAnsi"/>
          <w:bCs/>
          <w:szCs w:val="22"/>
          <w:lang w:eastAsia="en-AU"/>
        </w:rPr>
        <w:t xml:space="preserve">exception </w:t>
      </w:r>
      <w:r w:rsidR="00D54874" w:rsidRPr="00272261">
        <w:rPr>
          <w:rFonts w:cstheme="minorHAnsi"/>
          <w:bCs/>
          <w:szCs w:val="22"/>
          <w:lang w:eastAsia="en-AU"/>
        </w:rPr>
        <w:t xml:space="preserve">for </w:t>
      </w:r>
      <w:r w:rsidRPr="00272261">
        <w:rPr>
          <w:rFonts w:cstheme="minorHAnsi"/>
          <w:bCs/>
          <w:szCs w:val="22"/>
          <w:lang w:eastAsia="en-AU"/>
        </w:rPr>
        <w:t xml:space="preserve">including the drug cost of </w:t>
      </w:r>
      <w:r w:rsidR="00A601F5" w:rsidRPr="00272261">
        <w:rPr>
          <w:rFonts w:cstheme="minorHAnsi"/>
          <w:bCs/>
          <w:szCs w:val="22"/>
          <w:lang w:eastAsia="en-AU"/>
        </w:rPr>
        <w:t xml:space="preserve">off-label </w:t>
      </w:r>
      <w:r w:rsidRPr="00272261">
        <w:rPr>
          <w:rFonts w:cstheme="minorHAnsi"/>
          <w:bCs/>
          <w:szCs w:val="22"/>
          <w:lang w:eastAsia="en-AU"/>
        </w:rPr>
        <w:t xml:space="preserve">therapies in the </w:t>
      </w:r>
      <w:r w:rsidR="00A601F5" w:rsidRPr="00272261">
        <w:rPr>
          <w:rFonts w:cstheme="minorHAnsi"/>
          <w:bCs/>
          <w:szCs w:val="22"/>
          <w:lang w:eastAsia="en-AU"/>
        </w:rPr>
        <w:t xml:space="preserve">base case </w:t>
      </w:r>
      <w:r w:rsidRPr="00272261">
        <w:rPr>
          <w:rFonts w:cstheme="minorHAnsi"/>
          <w:bCs/>
          <w:szCs w:val="22"/>
          <w:lang w:eastAsia="en-AU"/>
        </w:rPr>
        <w:t>economic anal</w:t>
      </w:r>
      <w:r w:rsidRPr="00B97824">
        <w:rPr>
          <w:rFonts w:cstheme="minorHAnsi"/>
          <w:bCs/>
          <w:szCs w:val="22"/>
          <w:lang w:eastAsia="en-AU"/>
        </w:rPr>
        <w:t xml:space="preserve">ysis </w:t>
      </w:r>
      <w:r w:rsidR="00C76452" w:rsidRPr="00B97824">
        <w:rPr>
          <w:rFonts w:cstheme="minorHAnsi"/>
          <w:bCs/>
          <w:szCs w:val="22"/>
          <w:lang w:eastAsia="en-AU"/>
        </w:rPr>
        <w:t>(</w:t>
      </w:r>
      <w:r w:rsidR="00E25838" w:rsidRPr="00B97824">
        <w:rPr>
          <w:rFonts w:cstheme="minorHAnsi"/>
          <w:bCs/>
          <w:szCs w:val="22"/>
          <w:lang w:eastAsia="en-AU"/>
        </w:rPr>
        <w:t>see paragraph 6.</w:t>
      </w:r>
      <w:r w:rsidR="00274C7F" w:rsidRPr="00B97824">
        <w:rPr>
          <w:rFonts w:cstheme="minorHAnsi"/>
          <w:bCs/>
          <w:szCs w:val="22"/>
          <w:lang w:eastAsia="en-AU"/>
        </w:rPr>
        <w:t>26</w:t>
      </w:r>
      <w:r w:rsidR="00E25838" w:rsidRPr="00B97824">
        <w:rPr>
          <w:rFonts w:cstheme="minorHAnsi"/>
          <w:bCs/>
          <w:szCs w:val="22"/>
          <w:lang w:eastAsia="en-AU"/>
        </w:rPr>
        <w:t>)</w:t>
      </w:r>
      <w:r w:rsidRPr="00B97824">
        <w:rPr>
          <w:rFonts w:cstheme="minorHAnsi"/>
          <w:bCs/>
          <w:szCs w:val="22"/>
          <w:lang w:eastAsia="en-AU"/>
        </w:rPr>
        <w:t>.</w:t>
      </w:r>
      <w:r w:rsidR="001776A5" w:rsidRPr="00B97824">
        <w:rPr>
          <w:rFonts w:cstheme="minorHAnsi"/>
          <w:bCs/>
          <w:szCs w:val="22"/>
          <w:lang w:eastAsia="en-AU"/>
        </w:rPr>
        <w:t xml:space="preserve"> Rather, </w:t>
      </w:r>
      <w:r w:rsidR="00A601F5" w:rsidRPr="00B97824">
        <w:rPr>
          <w:rFonts w:cstheme="minorHAnsi"/>
          <w:bCs/>
          <w:szCs w:val="22"/>
          <w:lang w:eastAsia="en-AU"/>
        </w:rPr>
        <w:t>the ESC considered that if the costs of these dr</w:t>
      </w:r>
      <w:r w:rsidR="00A601F5" w:rsidRPr="00272261">
        <w:rPr>
          <w:rFonts w:cstheme="minorHAnsi"/>
          <w:bCs/>
          <w:szCs w:val="22"/>
          <w:lang w:eastAsia="en-AU"/>
        </w:rPr>
        <w:t xml:space="preserve">ugs were to be included it should be in </w:t>
      </w:r>
      <w:r w:rsidR="001776A5" w:rsidRPr="00272261">
        <w:rPr>
          <w:rFonts w:cstheme="minorHAnsi"/>
          <w:bCs/>
          <w:szCs w:val="22"/>
          <w:lang w:eastAsia="en-AU"/>
        </w:rPr>
        <w:t>sensitivity analyses</w:t>
      </w:r>
      <w:r w:rsidR="00A601F5" w:rsidRPr="00272261">
        <w:rPr>
          <w:rFonts w:cstheme="minorHAnsi"/>
          <w:bCs/>
          <w:szCs w:val="22"/>
          <w:lang w:eastAsia="en-AU"/>
        </w:rPr>
        <w:t>.</w:t>
      </w:r>
    </w:p>
    <w:p w:rsidR="00B220FE" w:rsidRPr="00272261" w:rsidRDefault="00B220FE" w:rsidP="00E57161">
      <w:pPr>
        <w:pStyle w:val="BodyText"/>
        <w:widowControl/>
        <w:rPr>
          <w:i/>
          <w:szCs w:val="22"/>
        </w:rPr>
      </w:pPr>
    </w:p>
    <w:p w:rsidR="00B220FE" w:rsidRPr="00272261" w:rsidRDefault="00B220FE" w:rsidP="00EA15BC">
      <w:pPr>
        <w:pStyle w:val="BodyText"/>
        <w:widowControl/>
        <w:ind w:firstLine="720"/>
        <w:rPr>
          <w:szCs w:val="22"/>
        </w:rPr>
      </w:pPr>
      <w:r w:rsidRPr="00272261">
        <w:rPr>
          <w:i/>
          <w:szCs w:val="22"/>
        </w:rPr>
        <w:t>For more detail on PBAC’s view, see section 7 “PBAC outcome”</w:t>
      </w:r>
    </w:p>
    <w:p w:rsidR="00F90F64" w:rsidRPr="00272261" w:rsidRDefault="00F90F64" w:rsidP="00E57161">
      <w:pPr>
        <w:widowControl/>
        <w:rPr>
          <w:szCs w:val="22"/>
          <w:highlight w:val="yellow"/>
        </w:rPr>
      </w:pPr>
    </w:p>
    <w:p w:rsidR="00FF1FB1" w:rsidRDefault="00FF1FB1">
      <w:pPr>
        <w:widowControl/>
        <w:jc w:val="left"/>
        <w:rPr>
          <w:szCs w:val="22"/>
          <w:highlight w:val="yellow"/>
        </w:rPr>
      </w:pPr>
      <w:r>
        <w:rPr>
          <w:szCs w:val="22"/>
          <w:highlight w:val="yellow"/>
        </w:rPr>
        <w:br w:type="page"/>
      </w:r>
    </w:p>
    <w:p w:rsidR="00826A30" w:rsidRPr="00272261" w:rsidRDefault="00826A30" w:rsidP="00E57161">
      <w:pPr>
        <w:widowControl/>
        <w:rPr>
          <w:szCs w:val="22"/>
          <w:highlight w:val="yellow"/>
        </w:rPr>
      </w:pPr>
    </w:p>
    <w:p w:rsidR="002F36A9" w:rsidRPr="00272261" w:rsidRDefault="002F36A9" w:rsidP="009532E4">
      <w:pPr>
        <w:pStyle w:val="Heading1"/>
      </w:pPr>
      <w:bookmarkStart w:id="12" w:name="_Toc416959985"/>
      <w:bookmarkStart w:id="13" w:name="_Toc440895080"/>
      <w:r w:rsidRPr="00272261">
        <w:t>Consideration of the evidence</w:t>
      </w:r>
      <w:bookmarkEnd w:id="12"/>
      <w:bookmarkEnd w:id="13"/>
    </w:p>
    <w:p w:rsidR="00B220FE" w:rsidRPr="00272261" w:rsidRDefault="00B220FE" w:rsidP="00E57161">
      <w:pPr>
        <w:pStyle w:val="PBACheading10"/>
        <w:ind w:firstLine="0"/>
        <w:rPr>
          <w:highlight w:val="yellow"/>
        </w:rPr>
      </w:pPr>
    </w:p>
    <w:p w:rsidR="00B220FE" w:rsidRPr="00C24C8E" w:rsidRDefault="00B220FE" w:rsidP="00C24C8E">
      <w:pPr>
        <w:pStyle w:val="Heading2"/>
        <w:widowControl/>
        <w:rPr>
          <w:i/>
        </w:rPr>
      </w:pPr>
      <w:r w:rsidRPr="00C24C8E">
        <w:rPr>
          <w:i/>
        </w:rPr>
        <w:t>Sponsor hearing</w:t>
      </w:r>
    </w:p>
    <w:p w:rsidR="00B220FE" w:rsidRPr="00272261" w:rsidRDefault="00B220FE" w:rsidP="00E57161">
      <w:pPr>
        <w:pStyle w:val="PBACheading10"/>
        <w:rPr>
          <w:b/>
          <w:i/>
        </w:rPr>
      </w:pPr>
    </w:p>
    <w:p w:rsidR="00B220FE" w:rsidRPr="00272261" w:rsidRDefault="00B220FE" w:rsidP="00E57161">
      <w:pPr>
        <w:pStyle w:val="ListParagraph"/>
        <w:widowControl/>
        <w:numPr>
          <w:ilvl w:val="1"/>
          <w:numId w:val="12"/>
        </w:numPr>
        <w:rPr>
          <w:bCs/>
          <w:szCs w:val="22"/>
        </w:rPr>
      </w:pPr>
      <w:r w:rsidRPr="00272261">
        <w:rPr>
          <w:bCs/>
          <w:szCs w:val="22"/>
        </w:rPr>
        <w:t>The</w:t>
      </w:r>
      <w:r w:rsidR="002D58BE" w:rsidRPr="00272261">
        <w:rPr>
          <w:bCs/>
          <w:szCs w:val="22"/>
        </w:rPr>
        <w:t>re was no hearing for this item</w:t>
      </w:r>
      <w:r w:rsidRPr="00272261">
        <w:rPr>
          <w:bCs/>
          <w:szCs w:val="22"/>
        </w:rPr>
        <w:t>.</w:t>
      </w:r>
    </w:p>
    <w:p w:rsidR="00B220FE" w:rsidRPr="00272261" w:rsidRDefault="00B220FE" w:rsidP="00E57161">
      <w:pPr>
        <w:pStyle w:val="ListParagraph"/>
        <w:widowControl/>
        <w:rPr>
          <w:bCs/>
          <w:szCs w:val="22"/>
          <w:highlight w:val="yellow"/>
        </w:rPr>
      </w:pPr>
    </w:p>
    <w:p w:rsidR="00B220FE" w:rsidRPr="00C24C8E" w:rsidRDefault="00B220FE" w:rsidP="00C24C8E">
      <w:pPr>
        <w:pStyle w:val="Heading2"/>
        <w:widowControl/>
        <w:rPr>
          <w:bCs/>
          <w:i/>
          <w:szCs w:val="22"/>
        </w:rPr>
      </w:pPr>
      <w:r w:rsidRPr="00C24C8E">
        <w:rPr>
          <w:bCs/>
          <w:i/>
          <w:szCs w:val="22"/>
        </w:rPr>
        <w:t>Consumer comments</w:t>
      </w:r>
    </w:p>
    <w:p w:rsidR="00B220FE" w:rsidRPr="00272261" w:rsidRDefault="00B220FE" w:rsidP="00C563D4">
      <w:pPr>
        <w:keepNext/>
        <w:widowControl/>
        <w:rPr>
          <w:bCs/>
          <w:szCs w:val="22"/>
          <w:highlight w:val="yellow"/>
        </w:rPr>
      </w:pPr>
    </w:p>
    <w:p w:rsidR="00B220FE" w:rsidRPr="00272261" w:rsidRDefault="00B220FE" w:rsidP="00E57161">
      <w:pPr>
        <w:pStyle w:val="ListParagraph"/>
        <w:widowControl/>
        <w:numPr>
          <w:ilvl w:val="1"/>
          <w:numId w:val="12"/>
        </w:numPr>
        <w:rPr>
          <w:bCs/>
          <w:szCs w:val="22"/>
        </w:rPr>
      </w:pPr>
      <w:r w:rsidRPr="00272261">
        <w:rPr>
          <w:bCs/>
          <w:szCs w:val="22"/>
        </w:rPr>
        <w:t>The PBAC noted and welcomed the input from</w:t>
      </w:r>
      <w:r w:rsidR="002D58BE" w:rsidRPr="00272261">
        <w:rPr>
          <w:bCs/>
          <w:szCs w:val="22"/>
        </w:rPr>
        <w:t xml:space="preserve"> an</w:t>
      </w:r>
      <w:r w:rsidRPr="00272261">
        <w:rPr>
          <w:bCs/>
          <w:szCs w:val="22"/>
        </w:rPr>
        <w:t xml:space="preserve"> i</w:t>
      </w:r>
      <w:r w:rsidR="002D58BE" w:rsidRPr="00272261">
        <w:rPr>
          <w:bCs/>
          <w:szCs w:val="22"/>
        </w:rPr>
        <w:t>ndividual (1</w:t>
      </w:r>
      <w:r w:rsidRPr="00272261">
        <w:rPr>
          <w:bCs/>
          <w:szCs w:val="22"/>
        </w:rPr>
        <w:t xml:space="preserve">) via the Consumer Comments facility on the PBS website. The comment </w:t>
      </w:r>
      <w:r w:rsidR="002D58BE" w:rsidRPr="00272261">
        <w:rPr>
          <w:bCs/>
          <w:szCs w:val="22"/>
        </w:rPr>
        <w:t xml:space="preserve">indicated that the individual would like to </w:t>
      </w:r>
      <w:r w:rsidR="00BE7AC9" w:rsidRPr="00272261">
        <w:rPr>
          <w:bCs/>
          <w:szCs w:val="22"/>
        </w:rPr>
        <w:t xml:space="preserve">have </w:t>
      </w:r>
      <w:r w:rsidR="002D58BE" w:rsidRPr="00272261">
        <w:rPr>
          <w:bCs/>
          <w:szCs w:val="22"/>
        </w:rPr>
        <w:t>increased mobility</w:t>
      </w:r>
      <w:r w:rsidR="00BE7AC9" w:rsidRPr="00272261">
        <w:rPr>
          <w:bCs/>
          <w:szCs w:val="22"/>
        </w:rPr>
        <w:t xml:space="preserve">, </w:t>
      </w:r>
      <w:r w:rsidR="002D58BE" w:rsidRPr="00272261">
        <w:rPr>
          <w:bCs/>
          <w:szCs w:val="22"/>
        </w:rPr>
        <w:t>fewer side effects, better quality of life and a decrease</w:t>
      </w:r>
      <w:r w:rsidRPr="00272261">
        <w:rPr>
          <w:bCs/>
          <w:szCs w:val="22"/>
        </w:rPr>
        <w:t xml:space="preserve"> </w:t>
      </w:r>
      <w:r w:rsidR="002D58BE" w:rsidRPr="00272261">
        <w:rPr>
          <w:bCs/>
          <w:szCs w:val="22"/>
        </w:rPr>
        <w:t>in progression of the disease.</w:t>
      </w:r>
    </w:p>
    <w:p w:rsidR="002F36A9" w:rsidRPr="00272261" w:rsidRDefault="002F36A9" w:rsidP="00E57161">
      <w:pPr>
        <w:keepNext/>
        <w:widowControl/>
      </w:pPr>
    </w:p>
    <w:p w:rsidR="002F36A9" w:rsidRPr="00272261" w:rsidRDefault="002F36A9" w:rsidP="00E57161">
      <w:pPr>
        <w:pStyle w:val="Heading2"/>
        <w:widowControl/>
        <w:rPr>
          <w:i/>
        </w:rPr>
      </w:pPr>
      <w:bookmarkStart w:id="14" w:name="_Toc416959986"/>
      <w:bookmarkStart w:id="15" w:name="_Toc440895081"/>
      <w:r w:rsidRPr="00272261">
        <w:rPr>
          <w:i/>
        </w:rPr>
        <w:t>Clinical trials</w:t>
      </w:r>
      <w:bookmarkEnd w:id="14"/>
      <w:bookmarkEnd w:id="15"/>
    </w:p>
    <w:p w:rsidR="002F36A9" w:rsidRPr="00272261" w:rsidRDefault="002F36A9" w:rsidP="00E57161">
      <w:pPr>
        <w:widowControl/>
        <w:rPr>
          <w:szCs w:val="22"/>
        </w:rPr>
      </w:pPr>
    </w:p>
    <w:p w:rsidR="002F36A9" w:rsidRPr="00272261" w:rsidRDefault="002F36A9" w:rsidP="00E57161">
      <w:pPr>
        <w:pStyle w:val="ListParagraph"/>
        <w:widowControl/>
        <w:numPr>
          <w:ilvl w:val="1"/>
          <w:numId w:val="14"/>
        </w:numPr>
        <w:rPr>
          <w:szCs w:val="22"/>
        </w:rPr>
      </w:pPr>
      <w:r w:rsidRPr="00272261">
        <w:t xml:space="preserve">As with the </w:t>
      </w:r>
      <w:r w:rsidR="003A6361" w:rsidRPr="00272261">
        <w:t>November 2014 submission and the July 2015</w:t>
      </w:r>
      <w:r w:rsidRPr="00272261">
        <w:t xml:space="preserve"> </w:t>
      </w:r>
      <w:r w:rsidR="003A6361" w:rsidRPr="00272261">
        <w:t>re-</w:t>
      </w:r>
      <w:r w:rsidRPr="00272261">
        <w:t>sub</w:t>
      </w:r>
      <w:r w:rsidR="00BF04D4" w:rsidRPr="00272261">
        <w:t>mission, the re</w:t>
      </w:r>
      <w:r w:rsidR="00BF04D4" w:rsidRPr="00272261">
        <w:noBreakHyphen/>
      </w:r>
      <w:r w:rsidRPr="00272261">
        <w:t xml:space="preserve">submission </w:t>
      </w:r>
      <w:r w:rsidR="00310243" w:rsidRPr="00272261">
        <w:t xml:space="preserve">was </w:t>
      </w:r>
      <w:r w:rsidRPr="00272261">
        <w:t>based on one head-to-head trial (CHEST-1, n=261) comparing riociguat to placebo and one supplementary extension study (CHEST-2, n=</w:t>
      </w:r>
      <w:r w:rsidR="005D1CBA" w:rsidRPr="00272261">
        <w:t>237 enrolled</w:t>
      </w:r>
      <w:r w:rsidR="00D54874" w:rsidRPr="00272261">
        <w:t>).</w:t>
      </w:r>
      <w:r w:rsidRPr="00272261">
        <w:t xml:space="preserve"> </w:t>
      </w:r>
      <w:r w:rsidR="00284104" w:rsidRPr="00272261">
        <w:t xml:space="preserve">The re-submission did not present any new clinical trial evidence. </w:t>
      </w:r>
      <w:r w:rsidR="003A6361" w:rsidRPr="00272261">
        <w:t>The re</w:t>
      </w:r>
      <w:r w:rsidR="00BE7AC9" w:rsidRPr="00272261">
        <w:noBreakHyphen/>
      </w:r>
      <w:r w:rsidR="003A6361" w:rsidRPr="00272261">
        <w:t>submission presented an</w:t>
      </w:r>
      <w:r w:rsidR="006D15B0" w:rsidRPr="00272261">
        <w:t xml:space="preserve"> updated </w:t>
      </w:r>
      <w:r w:rsidRPr="00272261">
        <w:t>periodic safety update rep</w:t>
      </w:r>
      <w:r w:rsidR="003A6361" w:rsidRPr="00272261">
        <w:t>ort and</w:t>
      </w:r>
      <w:r w:rsidRPr="00272261">
        <w:t xml:space="preserve"> </w:t>
      </w:r>
      <w:r w:rsidR="006D15B0" w:rsidRPr="00272261">
        <w:t xml:space="preserve">a </w:t>
      </w:r>
      <w:r w:rsidRPr="00272261">
        <w:t>revised clinical claim.</w:t>
      </w:r>
    </w:p>
    <w:p w:rsidR="002F36A9" w:rsidRPr="00272261" w:rsidRDefault="002F36A9" w:rsidP="00E57161">
      <w:pPr>
        <w:widowControl/>
        <w:rPr>
          <w:szCs w:val="22"/>
          <w:highlight w:val="yellow"/>
        </w:rPr>
      </w:pPr>
    </w:p>
    <w:p w:rsidR="002F36A9" w:rsidRPr="00272261" w:rsidRDefault="002F36A9" w:rsidP="00E57161">
      <w:pPr>
        <w:pStyle w:val="ListParagraph"/>
        <w:widowControl/>
        <w:numPr>
          <w:ilvl w:val="1"/>
          <w:numId w:val="2"/>
        </w:numPr>
        <w:rPr>
          <w:szCs w:val="22"/>
        </w:rPr>
      </w:pPr>
      <w:r w:rsidRPr="00272261">
        <w:rPr>
          <w:szCs w:val="22"/>
        </w:rPr>
        <w:t xml:space="preserve">Details of the trials presented in the </w:t>
      </w:r>
      <w:r w:rsidR="00B66FC4" w:rsidRPr="00272261">
        <w:rPr>
          <w:szCs w:val="22"/>
        </w:rPr>
        <w:t>re-</w:t>
      </w:r>
      <w:r w:rsidRPr="00272261">
        <w:rPr>
          <w:szCs w:val="22"/>
        </w:rPr>
        <w:t xml:space="preserve">submission </w:t>
      </w:r>
      <w:r w:rsidR="00C76452" w:rsidRPr="00272261">
        <w:rPr>
          <w:szCs w:val="22"/>
        </w:rPr>
        <w:t xml:space="preserve">are </w:t>
      </w:r>
      <w:r w:rsidR="00BF04D4" w:rsidRPr="00272261">
        <w:rPr>
          <w:szCs w:val="22"/>
        </w:rPr>
        <w:t>unchanged from the July </w:t>
      </w:r>
      <w:r w:rsidR="005D21CB" w:rsidRPr="00272261">
        <w:rPr>
          <w:szCs w:val="22"/>
        </w:rPr>
        <w:t>2015 re-submission</w:t>
      </w:r>
      <w:r w:rsidR="00C76452" w:rsidRPr="00272261">
        <w:rPr>
          <w:szCs w:val="22"/>
        </w:rPr>
        <w:t>, with the exception of the addition of two studies published in 2015,</w:t>
      </w:r>
      <w:r w:rsidR="005D21CB" w:rsidRPr="00272261">
        <w:rPr>
          <w:szCs w:val="22"/>
        </w:rPr>
        <w:t xml:space="preserve"> and are summarised</w:t>
      </w:r>
      <w:r w:rsidRPr="00272261">
        <w:rPr>
          <w:szCs w:val="22"/>
        </w:rPr>
        <w:t xml:space="preserve"> in the </w:t>
      </w:r>
      <w:r w:rsidR="006D15B0" w:rsidRPr="00272261">
        <w:rPr>
          <w:szCs w:val="22"/>
        </w:rPr>
        <w:t xml:space="preserve">following </w:t>
      </w:r>
      <w:r w:rsidRPr="00272261">
        <w:rPr>
          <w:szCs w:val="22"/>
        </w:rPr>
        <w:t>table.</w:t>
      </w:r>
    </w:p>
    <w:p w:rsidR="00FF1FB1" w:rsidRDefault="00FF1FB1">
      <w:pPr>
        <w:widowControl/>
        <w:jc w:val="left"/>
        <w:rPr>
          <w:szCs w:val="22"/>
        </w:rPr>
      </w:pPr>
      <w:r>
        <w:rPr>
          <w:szCs w:val="22"/>
        </w:rPr>
        <w:br w:type="page"/>
      </w:r>
    </w:p>
    <w:p w:rsidR="002F36A9" w:rsidRPr="00272261" w:rsidRDefault="002F36A9" w:rsidP="00E57161">
      <w:pPr>
        <w:widowControl/>
        <w:rPr>
          <w:szCs w:val="22"/>
        </w:rPr>
      </w:pPr>
    </w:p>
    <w:p w:rsidR="002F36A9" w:rsidRPr="00272261" w:rsidRDefault="002F36A9" w:rsidP="00E57161">
      <w:pPr>
        <w:keepNext/>
        <w:widowControl/>
        <w:ind w:firstLine="720"/>
        <w:rPr>
          <w:rStyle w:val="CommentReference"/>
        </w:rPr>
      </w:pPr>
      <w:r w:rsidRPr="00272261">
        <w:rPr>
          <w:rStyle w:val="CommentReference"/>
        </w:rPr>
        <w:t xml:space="preserve">Table </w:t>
      </w:r>
      <w:r w:rsidR="00785CE1" w:rsidRPr="00272261">
        <w:rPr>
          <w:rStyle w:val="CommentReference"/>
        </w:rPr>
        <w:t>2</w:t>
      </w:r>
      <w:r w:rsidRPr="00272261">
        <w:rPr>
          <w:rStyle w:val="CommentReference"/>
        </w:rPr>
        <w:t>: Trials and associated reports presented in the re-submission</w:t>
      </w:r>
    </w:p>
    <w:tbl>
      <w:tblPr>
        <w:tblW w:w="842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79"/>
        <w:gridCol w:w="6125"/>
        <w:gridCol w:w="1617"/>
      </w:tblGrid>
      <w:tr w:rsidR="002F36A9" w:rsidRPr="00272261" w:rsidTr="00C563D4">
        <w:trPr>
          <w:cantSplit/>
        </w:trPr>
        <w:tc>
          <w:tcPr>
            <w:tcW w:w="679" w:type="dxa"/>
          </w:tcPr>
          <w:p w:rsidR="002F36A9" w:rsidRPr="00272261" w:rsidRDefault="002F36A9" w:rsidP="00E57161">
            <w:pPr>
              <w:keepNext/>
              <w:widowControl/>
              <w:jc w:val="left"/>
              <w:rPr>
                <w:rFonts w:ascii="Arial Narrow" w:hAnsi="Arial Narrow"/>
                <w:b/>
                <w:sz w:val="20"/>
              </w:rPr>
            </w:pPr>
            <w:r w:rsidRPr="00272261">
              <w:rPr>
                <w:rFonts w:ascii="Arial Narrow" w:hAnsi="Arial Narrow"/>
                <w:b/>
                <w:sz w:val="20"/>
              </w:rPr>
              <w:t>Trial ID</w:t>
            </w:r>
          </w:p>
        </w:tc>
        <w:tc>
          <w:tcPr>
            <w:tcW w:w="6125" w:type="dxa"/>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Protocol title/ Publication title</w:t>
            </w:r>
          </w:p>
        </w:tc>
        <w:tc>
          <w:tcPr>
            <w:tcW w:w="1617" w:type="dxa"/>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Publication citation</w:t>
            </w:r>
          </w:p>
        </w:tc>
      </w:tr>
      <w:tr w:rsidR="002F36A9" w:rsidRPr="00272261" w:rsidTr="00C563D4">
        <w:trPr>
          <w:cantSplit/>
        </w:trPr>
        <w:tc>
          <w:tcPr>
            <w:tcW w:w="8421" w:type="dxa"/>
            <w:gridSpan w:val="3"/>
            <w:tcBorders>
              <w:bottom w:val="single" w:sz="4" w:space="0" w:color="auto"/>
            </w:tcBorders>
          </w:tcPr>
          <w:p w:rsidR="002F36A9" w:rsidRPr="00272261" w:rsidRDefault="002F36A9" w:rsidP="00E57161">
            <w:pPr>
              <w:keepNext/>
              <w:widowControl/>
              <w:jc w:val="left"/>
              <w:rPr>
                <w:rFonts w:ascii="Arial Narrow" w:hAnsi="Arial Narrow"/>
                <w:b/>
                <w:sz w:val="20"/>
              </w:rPr>
            </w:pPr>
            <w:r w:rsidRPr="00272261">
              <w:rPr>
                <w:rFonts w:ascii="Arial Narrow" w:hAnsi="Arial Narrow"/>
                <w:b/>
                <w:sz w:val="20"/>
              </w:rPr>
              <w:t>Direct randomised trial</w:t>
            </w:r>
          </w:p>
        </w:tc>
      </w:tr>
      <w:tr w:rsidR="002F36A9" w:rsidRPr="00272261" w:rsidTr="00C563D4">
        <w:trPr>
          <w:cantSplit/>
        </w:trPr>
        <w:tc>
          <w:tcPr>
            <w:tcW w:w="679" w:type="dxa"/>
            <w:tcBorders>
              <w:bottom w:val="nil"/>
            </w:tcBorders>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CHEST-1</w:t>
            </w:r>
          </w:p>
        </w:tc>
        <w:tc>
          <w:tcPr>
            <w:tcW w:w="6125" w:type="dxa"/>
            <w:tcBorders>
              <w:bottom w:val="nil"/>
            </w:tcBorders>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Randomised, double-blind, placebo-controlled, multicentre, multi-national study to evaluate the efficacy and safety of oral BAY 63-2521 (1 mg, 1.5 mg, 2 mg or 2.5 mg tid) in patients with chronic thromboembolic pulmonary hypertension (CTEPH).</w:t>
            </w:r>
          </w:p>
          <w:p w:rsidR="002F36A9" w:rsidRPr="00272261" w:rsidRDefault="002F36A9" w:rsidP="00E57161">
            <w:pPr>
              <w:keepNext/>
              <w:widowControl/>
              <w:jc w:val="left"/>
              <w:rPr>
                <w:rFonts w:ascii="Arial Narrow" w:hAnsi="Arial Narrow"/>
                <w:b/>
                <w:sz w:val="20"/>
              </w:rPr>
            </w:pPr>
          </w:p>
        </w:tc>
        <w:tc>
          <w:tcPr>
            <w:tcW w:w="1617" w:type="dxa"/>
            <w:tcBorders>
              <w:bottom w:val="nil"/>
            </w:tcBorders>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30</w:t>
            </w:r>
            <w:r w:rsidRPr="00272261">
              <w:rPr>
                <w:rFonts w:ascii="Arial Narrow" w:hAnsi="Arial Narrow"/>
                <w:sz w:val="20"/>
                <w:vertAlign w:val="superscript"/>
              </w:rPr>
              <w:t>th</w:t>
            </w:r>
            <w:r w:rsidRPr="00272261">
              <w:rPr>
                <w:rFonts w:ascii="Arial Narrow" w:hAnsi="Arial Narrow"/>
                <w:sz w:val="20"/>
              </w:rPr>
              <w:t xml:space="preserve"> Oct 2012</w:t>
            </w:r>
          </w:p>
          <w:p w:rsidR="002F36A9" w:rsidRPr="00272261" w:rsidRDefault="002F36A9" w:rsidP="00E57161">
            <w:pPr>
              <w:keepNext/>
              <w:widowControl/>
              <w:jc w:val="left"/>
              <w:rPr>
                <w:rFonts w:ascii="Arial Narrow" w:hAnsi="Arial Narrow"/>
                <w:b/>
                <w:sz w:val="20"/>
              </w:rPr>
            </w:pP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Ghofrani HA, D'Armini AM, Grimminger F, Hoeper MM, Jansa P, Kim NH, Mayer E, Simonneau G, Wilkins MR, Fritsch A, Neuser D, Weimann G and Wang C. Riociguat for the treatment of chronic thromb</w:t>
            </w:r>
            <w:bookmarkStart w:id="16" w:name="_GoBack"/>
            <w:bookmarkEnd w:id="16"/>
            <w:r w:rsidRPr="00272261">
              <w:rPr>
                <w:rFonts w:ascii="Arial Narrow" w:hAnsi="Arial Narrow"/>
                <w:sz w:val="20"/>
              </w:rPr>
              <w:t>oembolic pulmonary hypertension.</w:t>
            </w:r>
          </w:p>
          <w:p w:rsidR="002F36A9" w:rsidRPr="00272261" w:rsidRDefault="002F36A9" w:rsidP="00E57161">
            <w:pPr>
              <w:widowControl/>
              <w:jc w:val="left"/>
              <w:rPr>
                <w:rFonts w:ascii="Arial Narrow" w:hAnsi="Arial Narrow"/>
                <w:b/>
                <w:sz w:val="20"/>
              </w:rPr>
            </w:pPr>
          </w:p>
        </w:tc>
        <w:tc>
          <w:tcPr>
            <w:tcW w:w="1617"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i/>
                <w:sz w:val="20"/>
              </w:rPr>
              <w:t>New England Journal of Medicine.</w:t>
            </w:r>
            <w:r w:rsidRPr="00272261">
              <w:rPr>
                <w:rFonts w:ascii="Arial Narrow" w:hAnsi="Arial Narrow"/>
                <w:sz w:val="20"/>
              </w:rPr>
              <w:t xml:space="preserve"> 2013; 369(4):319-29</w:t>
            </w:r>
          </w:p>
          <w:p w:rsidR="002F36A9" w:rsidRPr="00272261" w:rsidRDefault="002F36A9" w:rsidP="00E57161">
            <w:pPr>
              <w:widowControl/>
              <w:jc w:val="left"/>
              <w:rPr>
                <w:rFonts w:ascii="Arial Narrow" w:hAnsi="Arial Narrow"/>
                <w:b/>
                <w:sz w:val="20"/>
              </w:rPr>
            </w:pP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sz w:val="20"/>
              </w:rPr>
              <w:t xml:space="preserve">Ghofrani HA, Hoeper MM, Halank M, Meyer FJ, Stahler G, Behr J,, Ewert R, Weinmann G, Neuser D, and Grimminger F. Riociguat For Chronic Thromboembolic Pulmonary Hypertension And Pulmonary Arterial Hypertension: Long-Term Safety, Tolerability, And Efficacy. </w:t>
            </w:r>
          </w:p>
        </w:tc>
        <w:tc>
          <w:tcPr>
            <w:tcW w:w="1617"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i/>
                <w:sz w:val="20"/>
              </w:rPr>
              <w:t xml:space="preserve">American Journal of Respiratory </w:t>
            </w:r>
            <w:r w:rsidR="00A614D2" w:rsidRPr="00272261">
              <w:rPr>
                <w:rFonts w:ascii="Arial Narrow" w:hAnsi="Arial Narrow"/>
                <w:i/>
                <w:sz w:val="20"/>
              </w:rPr>
              <w:t>&amp;</w:t>
            </w:r>
            <w:r w:rsidRPr="00272261">
              <w:rPr>
                <w:rFonts w:ascii="Arial Narrow" w:hAnsi="Arial Narrow"/>
                <w:i/>
                <w:sz w:val="20"/>
              </w:rPr>
              <w:t xml:space="preserve"> Critical Care Medicine.</w:t>
            </w:r>
            <w:r w:rsidRPr="00272261">
              <w:rPr>
                <w:rFonts w:ascii="Arial Narrow" w:hAnsi="Arial Narrow"/>
                <w:sz w:val="20"/>
              </w:rPr>
              <w:t xml:space="preserve"> 2012; 185: A2370</w:t>
            </w:r>
          </w:p>
          <w:p w:rsidR="002F36A9" w:rsidRPr="00272261" w:rsidRDefault="002F36A9" w:rsidP="00E57161">
            <w:pPr>
              <w:widowControl/>
              <w:jc w:val="left"/>
              <w:rPr>
                <w:rFonts w:ascii="Arial Narrow" w:hAnsi="Arial Narrow"/>
                <w:b/>
                <w:sz w:val="20"/>
              </w:rPr>
            </w:pP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 xml:space="preserve">D’Armini A, Ghofrani HA, Kim NH, Mayer E, Simonneau G, Wilkins MR, Pulido T, Fritsch A, Davie N, Hoeper MM. Riociguat for the treatment of inoperable CTEPH or persistent/recurrent PH after pulmonary endarterectomy (PEA): A responder analysis from the phase III CHEST-1 study. </w:t>
            </w:r>
          </w:p>
          <w:p w:rsidR="002F36A9" w:rsidRPr="00272261" w:rsidRDefault="002F36A9" w:rsidP="00E57161">
            <w:pPr>
              <w:widowControl/>
              <w:jc w:val="left"/>
              <w:rPr>
                <w:rFonts w:ascii="Arial Narrow" w:hAnsi="Arial Narrow"/>
                <w:b/>
                <w:sz w:val="20"/>
              </w:rPr>
            </w:pPr>
          </w:p>
        </w:tc>
        <w:tc>
          <w:tcPr>
            <w:tcW w:w="1617" w:type="dxa"/>
            <w:tcBorders>
              <w:top w:val="nil"/>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i/>
                <w:sz w:val="20"/>
              </w:rPr>
              <w:t xml:space="preserve">European Respiratory Journal. </w:t>
            </w:r>
            <w:r w:rsidRPr="00272261">
              <w:rPr>
                <w:rFonts w:ascii="Arial Narrow" w:hAnsi="Arial Narrow"/>
                <w:sz w:val="20"/>
              </w:rPr>
              <w:t>2013; 42. Suppl 57, P2598</w:t>
            </w: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Ghofrani HA, Grimminger F, Hoeper MM, Nick K, Meyer E, Neuser D, Pena J, Simonneau G and Wilkins M. Riociguat for the treatment of inoperable chronic thromboembolic pulmonary hypertension: A randomized, double-blind, placebo-controlled study (CHEST-1).</w:t>
            </w:r>
          </w:p>
          <w:p w:rsidR="002F36A9" w:rsidRPr="00272261" w:rsidRDefault="002F36A9" w:rsidP="00E57161">
            <w:pPr>
              <w:widowControl/>
              <w:jc w:val="left"/>
              <w:rPr>
                <w:rFonts w:ascii="Arial Narrow" w:hAnsi="Arial Narrow"/>
                <w:b/>
                <w:sz w:val="20"/>
              </w:rPr>
            </w:pPr>
          </w:p>
        </w:tc>
        <w:tc>
          <w:tcPr>
            <w:tcW w:w="1617" w:type="dxa"/>
            <w:tcBorders>
              <w:top w:val="nil"/>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i/>
                <w:sz w:val="20"/>
              </w:rPr>
              <w:t xml:space="preserve">Chest </w:t>
            </w:r>
            <w:r w:rsidRPr="00272261">
              <w:rPr>
                <w:rFonts w:ascii="Arial Narrow" w:hAnsi="Arial Narrow"/>
                <w:sz w:val="20"/>
              </w:rPr>
              <w:t xml:space="preserve"> 2012; 142 (4_MeetingAbstracts):1023A</w:t>
            </w: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Ghofrani HA, Grimminger F, Hoeper MM, Kim NH, Mayer E, Simonneau G, Sikirica M, Fritsch A, Davie N, Luong B, Wilkins MR. Impact of riociguat on health-related quality of life (HRQoL) in patients with chronic thromboembolic pulmonary hypertension (CTEPH).</w:t>
            </w:r>
          </w:p>
          <w:p w:rsidR="002F36A9" w:rsidRPr="00272261" w:rsidRDefault="002F36A9" w:rsidP="00E57161">
            <w:pPr>
              <w:widowControl/>
              <w:jc w:val="left"/>
              <w:rPr>
                <w:rFonts w:ascii="Arial Narrow" w:hAnsi="Arial Narrow"/>
                <w:b/>
                <w:sz w:val="20"/>
              </w:rPr>
            </w:pPr>
          </w:p>
        </w:tc>
        <w:tc>
          <w:tcPr>
            <w:tcW w:w="1617" w:type="dxa"/>
            <w:tcBorders>
              <w:top w:val="nil"/>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i/>
                <w:sz w:val="20"/>
              </w:rPr>
              <w:t xml:space="preserve">European Respiratory Journal. </w:t>
            </w:r>
            <w:r w:rsidRPr="00272261">
              <w:rPr>
                <w:rFonts w:ascii="Arial Narrow" w:hAnsi="Arial Narrow"/>
                <w:sz w:val="20"/>
              </w:rPr>
              <w:t>2013; 42. Suppl 57, P3418</w:t>
            </w: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Jansa P, Ghofrani H-A, Hoeper MM, Kim NH, Mayer E, Neurohr C, et al. Comparison of hemodynamic parameters in patients with inoperable and persistent/recurrent chronic thromboembolic pulmonary hypertension (CTEPH) in the Phase III CHEST-1 study.</w:t>
            </w:r>
          </w:p>
          <w:p w:rsidR="00785CE1" w:rsidRPr="00272261" w:rsidRDefault="00785CE1" w:rsidP="00E57161">
            <w:pPr>
              <w:widowControl/>
              <w:jc w:val="left"/>
              <w:rPr>
                <w:rFonts w:ascii="Arial Narrow" w:hAnsi="Arial Narrow"/>
                <w:sz w:val="20"/>
              </w:rPr>
            </w:pPr>
          </w:p>
        </w:tc>
        <w:tc>
          <w:tcPr>
            <w:tcW w:w="1617" w:type="dxa"/>
            <w:tcBorders>
              <w:top w:val="nil"/>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i/>
                <w:sz w:val="20"/>
              </w:rPr>
              <w:t>European Heart Journal.</w:t>
            </w:r>
            <w:r w:rsidRPr="00272261">
              <w:rPr>
                <w:rFonts w:ascii="Arial Narrow" w:hAnsi="Arial Narrow"/>
                <w:sz w:val="20"/>
              </w:rPr>
              <w:t xml:space="preserve"> 2013; 34 (suppl 1): 187</w:t>
            </w:r>
          </w:p>
        </w:tc>
      </w:tr>
      <w:tr w:rsidR="00785CE1" w:rsidRPr="00272261" w:rsidTr="009F2CF5">
        <w:trPr>
          <w:cantSplit/>
          <w:trHeight w:val="3431"/>
        </w:trPr>
        <w:tc>
          <w:tcPr>
            <w:tcW w:w="679" w:type="dxa"/>
            <w:tcBorders>
              <w:top w:val="nil"/>
            </w:tcBorders>
          </w:tcPr>
          <w:p w:rsidR="00785CE1" w:rsidRPr="00272261" w:rsidRDefault="00785CE1" w:rsidP="00E57161">
            <w:pPr>
              <w:widowControl/>
              <w:jc w:val="left"/>
              <w:rPr>
                <w:rFonts w:ascii="Arial Narrow" w:hAnsi="Arial Narrow"/>
                <w:sz w:val="20"/>
              </w:rPr>
            </w:pPr>
          </w:p>
        </w:tc>
        <w:tc>
          <w:tcPr>
            <w:tcW w:w="6125" w:type="dxa"/>
            <w:tcBorders>
              <w:top w:val="nil"/>
            </w:tcBorders>
          </w:tcPr>
          <w:p w:rsidR="00785CE1" w:rsidRPr="00272261" w:rsidRDefault="00785CE1" w:rsidP="00E57161">
            <w:pPr>
              <w:widowControl/>
              <w:jc w:val="left"/>
              <w:rPr>
                <w:rFonts w:ascii="Arial Narrow" w:hAnsi="Arial Narrow"/>
                <w:sz w:val="20"/>
              </w:rPr>
            </w:pPr>
            <w:r w:rsidRPr="00272261">
              <w:rPr>
                <w:rFonts w:ascii="Arial Narrow" w:hAnsi="Arial Narrow"/>
                <w:sz w:val="20"/>
              </w:rPr>
              <w:t>Marra AM, Egenlauf B, Ehlken N, Fischer C, et al. Change of right heart size and function by long-term therapy with riociguat in patients with pulmonary arterial hypertension and chronic thromboembolic pulmonary hypertension.</w:t>
            </w:r>
          </w:p>
        </w:tc>
        <w:tc>
          <w:tcPr>
            <w:tcW w:w="1617" w:type="dxa"/>
            <w:tcBorders>
              <w:top w:val="nil"/>
            </w:tcBorders>
          </w:tcPr>
          <w:p w:rsidR="00785CE1" w:rsidRPr="00272261" w:rsidRDefault="00785CE1" w:rsidP="00E57161">
            <w:pPr>
              <w:widowControl/>
              <w:jc w:val="left"/>
              <w:rPr>
                <w:rFonts w:ascii="Arial Narrow" w:hAnsi="Arial Narrow"/>
                <w:i/>
                <w:sz w:val="20"/>
              </w:rPr>
            </w:pPr>
            <w:r w:rsidRPr="00272261">
              <w:rPr>
                <w:rFonts w:ascii="Arial Narrow" w:hAnsi="Arial Narrow"/>
                <w:i/>
                <w:sz w:val="20"/>
              </w:rPr>
              <w:t>International Journal of Cardiology 2015; 195, 19-26</w:t>
            </w:r>
          </w:p>
        </w:tc>
      </w:tr>
      <w:tr w:rsidR="002F36A9" w:rsidRPr="00272261" w:rsidTr="00C563D4">
        <w:trPr>
          <w:cantSplit/>
        </w:trPr>
        <w:tc>
          <w:tcPr>
            <w:tcW w:w="8421" w:type="dxa"/>
            <w:gridSpan w:val="3"/>
            <w:tcBorders>
              <w:bottom w:val="single" w:sz="4" w:space="0" w:color="auto"/>
            </w:tcBorders>
          </w:tcPr>
          <w:p w:rsidR="002F36A9" w:rsidRPr="00272261" w:rsidRDefault="002F36A9" w:rsidP="00E57161">
            <w:pPr>
              <w:keepNext/>
              <w:widowControl/>
              <w:jc w:val="left"/>
              <w:rPr>
                <w:rFonts w:ascii="Arial Narrow" w:hAnsi="Arial Narrow"/>
                <w:b/>
                <w:sz w:val="20"/>
              </w:rPr>
            </w:pPr>
            <w:r w:rsidRPr="00272261">
              <w:rPr>
                <w:rFonts w:ascii="Arial Narrow" w:hAnsi="Arial Narrow"/>
                <w:b/>
                <w:sz w:val="20"/>
              </w:rPr>
              <w:lastRenderedPageBreak/>
              <w:t>Extension study</w:t>
            </w:r>
          </w:p>
        </w:tc>
      </w:tr>
      <w:tr w:rsidR="002F36A9" w:rsidRPr="00272261" w:rsidTr="00C563D4">
        <w:trPr>
          <w:cantSplit/>
        </w:trPr>
        <w:tc>
          <w:tcPr>
            <w:tcW w:w="679" w:type="dxa"/>
            <w:tcBorders>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CHEST-2</w:t>
            </w:r>
          </w:p>
        </w:tc>
        <w:tc>
          <w:tcPr>
            <w:tcW w:w="6125" w:type="dxa"/>
            <w:tcBorders>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Long-term extension, multi-centre, multi-national study to evaluate the safety and tolerability of oral BAY 63 2521 (1 mg, 1.5 mg, 2 mg or 2.5 mg tid) in patients with Chronic Thromboembolic Pulmonary Hypertension (CTEPH).</w:t>
            </w:r>
          </w:p>
          <w:p w:rsidR="002F36A9" w:rsidRPr="00272261" w:rsidRDefault="002F36A9" w:rsidP="00E57161">
            <w:pPr>
              <w:widowControl/>
              <w:jc w:val="left"/>
              <w:rPr>
                <w:rFonts w:ascii="Arial Narrow" w:hAnsi="Arial Narrow"/>
                <w:b/>
                <w:sz w:val="20"/>
              </w:rPr>
            </w:pPr>
          </w:p>
        </w:tc>
        <w:tc>
          <w:tcPr>
            <w:tcW w:w="1617" w:type="dxa"/>
            <w:tcBorders>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sz w:val="20"/>
              </w:rPr>
              <w:t>3</w:t>
            </w:r>
            <w:r w:rsidRPr="00272261">
              <w:rPr>
                <w:rFonts w:ascii="Arial Narrow" w:hAnsi="Arial Narrow"/>
                <w:sz w:val="20"/>
                <w:vertAlign w:val="superscript"/>
              </w:rPr>
              <w:t>rd</w:t>
            </w:r>
            <w:r w:rsidRPr="00272261">
              <w:rPr>
                <w:rFonts w:ascii="Arial Narrow" w:hAnsi="Arial Narrow"/>
                <w:sz w:val="20"/>
              </w:rPr>
              <w:t xml:space="preserve"> May 2012</w:t>
            </w: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sz w:val="20"/>
              </w:rPr>
              <w:t>Simonneau G, D’Armini AM, Ghofrani HA, Grimminger F, Hoeper MM, Jansa P, Nick K, Wang C, Wilkins M, Fritsch A, Davie N,</w:t>
            </w:r>
            <w:r w:rsidR="008C065C" w:rsidRPr="00272261">
              <w:rPr>
                <w:rFonts w:ascii="Arial Narrow" w:hAnsi="Arial Narrow"/>
                <w:sz w:val="20"/>
              </w:rPr>
              <w:t xml:space="preserve"> </w:t>
            </w:r>
            <w:r w:rsidRPr="00272261">
              <w:rPr>
                <w:rFonts w:ascii="Arial Narrow" w:hAnsi="Arial Narrow"/>
                <w:sz w:val="20"/>
              </w:rPr>
              <w:t xml:space="preserve">Weimann G and Meyer E. Riociguat for the treatment of chronic thromboembolic pulmonary hypertension (CTEPH): 1-year results from the CHEST-2 long-term extension study. </w:t>
            </w:r>
          </w:p>
          <w:p w:rsidR="002F36A9" w:rsidRPr="00272261" w:rsidRDefault="002F36A9" w:rsidP="00E57161">
            <w:pPr>
              <w:widowControl/>
              <w:jc w:val="left"/>
              <w:rPr>
                <w:rFonts w:ascii="Arial Narrow" w:hAnsi="Arial Narrow"/>
                <w:b/>
                <w:sz w:val="20"/>
              </w:rPr>
            </w:pPr>
          </w:p>
        </w:tc>
        <w:tc>
          <w:tcPr>
            <w:tcW w:w="1617" w:type="dxa"/>
            <w:tcBorders>
              <w:top w:val="nil"/>
              <w:bottom w:val="nil"/>
            </w:tcBorders>
          </w:tcPr>
          <w:p w:rsidR="002F36A9" w:rsidRPr="00272261" w:rsidRDefault="002F36A9" w:rsidP="00E57161">
            <w:pPr>
              <w:widowControl/>
              <w:jc w:val="left"/>
              <w:rPr>
                <w:rFonts w:ascii="Arial Narrow" w:hAnsi="Arial Narrow"/>
                <w:b/>
                <w:sz w:val="20"/>
              </w:rPr>
            </w:pPr>
            <w:r w:rsidRPr="00272261">
              <w:rPr>
                <w:rFonts w:ascii="Arial Narrow" w:hAnsi="Arial Narrow"/>
                <w:i/>
                <w:sz w:val="20"/>
              </w:rPr>
              <w:t>Chest.</w:t>
            </w:r>
            <w:r w:rsidRPr="00272261">
              <w:rPr>
                <w:rFonts w:ascii="Arial Narrow" w:hAnsi="Arial Narrow"/>
                <w:sz w:val="20"/>
              </w:rPr>
              <w:t xml:space="preserve"> 2013; 144 (4_MeetingAbstracts):1023A</w:t>
            </w:r>
          </w:p>
        </w:tc>
      </w:tr>
      <w:tr w:rsidR="002F36A9" w:rsidRPr="00272261" w:rsidTr="00C563D4">
        <w:trPr>
          <w:cantSplit/>
        </w:trPr>
        <w:tc>
          <w:tcPr>
            <w:tcW w:w="679" w:type="dxa"/>
            <w:tcBorders>
              <w:top w:val="nil"/>
              <w:bottom w:val="nil"/>
            </w:tcBorders>
          </w:tcPr>
          <w:p w:rsidR="002F36A9" w:rsidRPr="00272261" w:rsidRDefault="002F36A9" w:rsidP="00E57161">
            <w:pPr>
              <w:widowControl/>
              <w:jc w:val="left"/>
              <w:rPr>
                <w:rFonts w:ascii="Arial Narrow" w:hAnsi="Arial Narrow"/>
                <w:sz w:val="20"/>
              </w:rPr>
            </w:pPr>
          </w:p>
        </w:tc>
        <w:tc>
          <w:tcPr>
            <w:tcW w:w="6125" w:type="dxa"/>
            <w:tcBorders>
              <w:top w:val="nil"/>
              <w:bottom w:val="nil"/>
            </w:tcBorders>
          </w:tcPr>
          <w:p w:rsidR="00696927" w:rsidRPr="00272261" w:rsidRDefault="002F36A9" w:rsidP="00E57161">
            <w:pPr>
              <w:widowControl/>
              <w:jc w:val="left"/>
              <w:rPr>
                <w:rFonts w:ascii="Arial Narrow" w:hAnsi="Arial Narrow"/>
                <w:sz w:val="20"/>
              </w:rPr>
            </w:pPr>
            <w:r w:rsidRPr="00272261">
              <w:rPr>
                <w:rFonts w:ascii="Arial Narrow" w:hAnsi="Arial Narrow"/>
                <w:sz w:val="20"/>
              </w:rPr>
              <w:t>Wang C, D’Armini A, Ghofrani HA, Grimminger F, Hoeper M, Jansa P, Kim N, Simonneau G, Torbicki, Wilkins M, Fritsch A, Davie N and Mayer E. Long-term riociguat treatment in inoperable and persistent/recurrent CTEPH patients in who functional class (FC) I/II versus FC III/IV at baseline: Results from the 16-week phase III CHEST-1 study and CHEST-2 open-label extension.</w:t>
            </w:r>
          </w:p>
          <w:p w:rsidR="00696927" w:rsidRPr="00272261" w:rsidRDefault="00696927" w:rsidP="00E57161">
            <w:pPr>
              <w:widowControl/>
              <w:jc w:val="left"/>
              <w:rPr>
                <w:rFonts w:ascii="Arial Narrow" w:hAnsi="Arial Narrow"/>
                <w:sz w:val="20"/>
              </w:rPr>
            </w:pPr>
          </w:p>
        </w:tc>
        <w:tc>
          <w:tcPr>
            <w:tcW w:w="1617" w:type="dxa"/>
            <w:tcBorders>
              <w:top w:val="nil"/>
              <w:bottom w:val="nil"/>
            </w:tcBorders>
          </w:tcPr>
          <w:p w:rsidR="002F36A9" w:rsidRPr="00272261" w:rsidRDefault="002F36A9" w:rsidP="00E57161">
            <w:pPr>
              <w:widowControl/>
              <w:jc w:val="left"/>
              <w:rPr>
                <w:rFonts w:ascii="Arial Narrow" w:hAnsi="Arial Narrow"/>
                <w:sz w:val="20"/>
              </w:rPr>
            </w:pPr>
            <w:r w:rsidRPr="00272261">
              <w:rPr>
                <w:rFonts w:ascii="Arial Narrow" w:hAnsi="Arial Narrow"/>
                <w:i/>
                <w:sz w:val="20"/>
              </w:rPr>
              <w:t>Chest.</w:t>
            </w:r>
            <w:r w:rsidRPr="00272261">
              <w:rPr>
                <w:rFonts w:ascii="Arial Narrow" w:hAnsi="Arial Narrow"/>
                <w:sz w:val="20"/>
              </w:rPr>
              <w:t xml:space="preserve"> 2014; 145 (3_MeetingAbstracts):535B</w:t>
            </w:r>
          </w:p>
          <w:p w:rsidR="002F36A9" w:rsidRPr="00272261" w:rsidRDefault="002F36A9" w:rsidP="00E57161">
            <w:pPr>
              <w:widowControl/>
              <w:jc w:val="left"/>
              <w:rPr>
                <w:rFonts w:ascii="Arial Narrow" w:hAnsi="Arial Narrow"/>
                <w:sz w:val="20"/>
              </w:rPr>
            </w:pPr>
          </w:p>
        </w:tc>
      </w:tr>
      <w:tr w:rsidR="00696927" w:rsidRPr="00272261" w:rsidTr="00C563D4">
        <w:trPr>
          <w:cantSplit/>
        </w:trPr>
        <w:tc>
          <w:tcPr>
            <w:tcW w:w="679" w:type="dxa"/>
            <w:tcBorders>
              <w:top w:val="nil"/>
              <w:bottom w:val="nil"/>
            </w:tcBorders>
          </w:tcPr>
          <w:p w:rsidR="00696927" w:rsidRPr="00272261" w:rsidRDefault="00696927" w:rsidP="00E57161">
            <w:pPr>
              <w:widowControl/>
              <w:jc w:val="left"/>
              <w:rPr>
                <w:rFonts w:ascii="Arial Narrow" w:hAnsi="Arial Narrow"/>
                <w:sz w:val="20"/>
              </w:rPr>
            </w:pPr>
          </w:p>
        </w:tc>
        <w:tc>
          <w:tcPr>
            <w:tcW w:w="6125" w:type="dxa"/>
            <w:tcBorders>
              <w:top w:val="nil"/>
              <w:bottom w:val="nil"/>
            </w:tcBorders>
          </w:tcPr>
          <w:p w:rsidR="00D54874" w:rsidRPr="00272261" w:rsidRDefault="00D54874" w:rsidP="00E57161">
            <w:pPr>
              <w:widowControl/>
              <w:jc w:val="left"/>
              <w:rPr>
                <w:rFonts w:ascii="Arial Narrow" w:hAnsi="Arial Narrow"/>
                <w:sz w:val="20"/>
                <w:szCs w:val="20"/>
              </w:rPr>
            </w:pPr>
            <w:r w:rsidRPr="00272261">
              <w:rPr>
                <w:rFonts w:ascii="Arial Narrow" w:hAnsi="Arial Narrow"/>
                <w:sz w:val="20"/>
                <w:szCs w:val="20"/>
              </w:rPr>
              <w:t xml:space="preserve">Simonneau </w:t>
            </w:r>
            <w:r w:rsidR="00E67BED" w:rsidRPr="00272261">
              <w:rPr>
                <w:rFonts w:ascii="Arial Narrow" w:hAnsi="Arial Narrow"/>
                <w:sz w:val="20"/>
                <w:szCs w:val="20"/>
              </w:rPr>
              <w:t>G</w:t>
            </w:r>
            <w:r w:rsidR="008C065C" w:rsidRPr="00272261">
              <w:rPr>
                <w:rFonts w:ascii="Arial Narrow" w:hAnsi="Arial Narrow"/>
                <w:sz w:val="20"/>
                <w:szCs w:val="20"/>
              </w:rPr>
              <w:t xml:space="preserve">, </w:t>
            </w:r>
            <w:r w:rsidR="008C065C" w:rsidRPr="00272261">
              <w:rPr>
                <w:rFonts w:ascii="Arial Narrow" w:hAnsi="Arial Narrow"/>
                <w:sz w:val="20"/>
              </w:rPr>
              <w:t xml:space="preserve">D’Armini AM, Ghofrani HA, Grimminger F, </w:t>
            </w:r>
            <w:r w:rsidR="00785CE1" w:rsidRPr="00272261">
              <w:rPr>
                <w:rFonts w:ascii="Arial Narrow" w:hAnsi="Arial Narrow"/>
                <w:sz w:val="20"/>
              </w:rPr>
              <w:t>et al</w:t>
            </w:r>
            <w:r w:rsidRPr="00272261">
              <w:rPr>
                <w:rFonts w:ascii="Arial Narrow" w:hAnsi="Arial Narrow"/>
                <w:sz w:val="20"/>
                <w:szCs w:val="20"/>
              </w:rPr>
              <w:t xml:space="preserve">. </w:t>
            </w:r>
            <w:r w:rsidR="006440F7" w:rsidRPr="00272261">
              <w:rPr>
                <w:rFonts w:ascii="Arial Narrow" w:hAnsi="Arial Narrow"/>
                <w:sz w:val="20"/>
                <w:szCs w:val="20"/>
              </w:rPr>
              <w:t>Riociguat for the treatment of chronic thromboembolic pulmonary hypertension: A long-term extension study (CHEST-2).</w:t>
            </w:r>
          </w:p>
          <w:p w:rsidR="005D1CBA" w:rsidRPr="00272261" w:rsidRDefault="005D1CBA" w:rsidP="00E57161">
            <w:pPr>
              <w:widowControl/>
              <w:jc w:val="left"/>
              <w:rPr>
                <w:rFonts w:ascii="Arial Narrow" w:hAnsi="Arial Narrow"/>
                <w:i/>
                <w:sz w:val="20"/>
                <w:szCs w:val="20"/>
              </w:rPr>
            </w:pPr>
          </w:p>
        </w:tc>
        <w:tc>
          <w:tcPr>
            <w:tcW w:w="1617" w:type="dxa"/>
            <w:tcBorders>
              <w:top w:val="nil"/>
              <w:bottom w:val="nil"/>
            </w:tcBorders>
          </w:tcPr>
          <w:p w:rsidR="00696927" w:rsidRPr="00272261" w:rsidRDefault="00D54874" w:rsidP="00E57161">
            <w:pPr>
              <w:widowControl/>
              <w:jc w:val="left"/>
              <w:rPr>
                <w:rFonts w:ascii="Arial Narrow" w:hAnsi="Arial Narrow"/>
                <w:i/>
                <w:sz w:val="20"/>
                <w:szCs w:val="20"/>
              </w:rPr>
            </w:pPr>
            <w:r w:rsidRPr="00272261">
              <w:rPr>
                <w:rFonts w:ascii="Arial Narrow" w:hAnsi="Arial Narrow"/>
                <w:i/>
                <w:sz w:val="20"/>
                <w:szCs w:val="20"/>
              </w:rPr>
              <w:t>European Respiratory Journal</w:t>
            </w:r>
            <w:r w:rsidR="00785CE1" w:rsidRPr="00272261">
              <w:rPr>
                <w:rFonts w:ascii="Arial Narrow" w:hAnsi="Arial Narrow"/>
                <w:i/>
                <w:sz w:val="20"/>
                <w:szCs w:val="20"/>
              </w:rPr>
              <w:t xml:space="preserve"> 2015</w:t>
            </w:r>
            <w:r w:rsidRPr="00272261">
              <w:rPr>
                <w:rFonts w:ascii="Arial Narrow" w:hAnsi="Arial Narrow"/>
                <w:i/>
                <w:sz w:val="20"/>
                <w:szCs w:val="20"/>
              </w:rPr>
              <w:t>; 4</w:t>
            </w:r>
            <w:r w:rsidR="00E67BED" w:rsidRPr="00272261">
              <w:rPr>
                <w:rFonts w:ascii="Arial Narrow" w:hAnsi="Arial Narrow"/>
                <w:i/>
                <w:sz w:val="20"/>
                <w:szCs w:val="20"/>
              </w:rPr>
              <w:t>5</w:t>
            </w:r>
            <w:r w:rsidR="008C065C" w:rsidRPr="00272261">
              <w:rPr>
                <w:rFonts w:ascii="Arial Narrow" w:hAnsi="Arial Narrow"/>
                <w:i/>
                <w:sz w:val="20"/>
                <w:szCs w:val="20"/>
              </w:rPr>
              <w:t>, 1293-1302.</w:t>
            </w:r>
          </w:p>
        </w:tc>
      </w:tr>
      <w:tr w:rsidR="005D1CBA" w:rsidRPr="00272261" w:rsidTr="00C563D4">
        <w:trPr>
          <w:cantSplit/>
        </w:trPr>
        <w:tc>
          <w:tcPr>
            <w:tcW w:w="679" w:type="dxa"/>
            <w:tcBorders>
              <w:top w:val="nil"/>
            </w:tcBorders>
          </w:tcPr>
          <w:p w:rsidR="005D1CBA" w:rsidRPr="00272261" w:rsidRDefault="005D1CBA" w:rsidP="00E57161">
            <w:pPr>
              <w:widowControl/>
              <w:jc w:val="left"/>
              <w:rPr>
                <w:rFonts w:ascii="Arial Narrow" w:hAnsi="Arial Narrow"/>
                <w:sz w:val="20"/>
              </w:rPr>
            </w:pPr>
          </w:p>
        </w:tc>
        <w:tc>
          <w:tcPr>
            <w:tcW w:w="6125" w:type="dxa"/>
            <w:tcBorders>
              <w:top w:val="nil"/>
            </w:tcBorders>
          </w:tcPr>
          <w:p w:rsidR="005D1CBA" w:rsidRPr="00272261" w:rsidRDefault="005D1CBA" w:rsidP="00E57161">
            <w:pPr>
              <w:widowControl/>
              <w:jc w:val="left"/>
              <w:rPr>
                <w:rFonts w:ascii="Arial Narrow" w:hAnsi="Arial Narrow"/>
                <w:sz w:val="20"/>
                <w:szCs w:val="20"/>
              </w:rPr>
            </w:pPr>
            <w:r w:rsidRPr="00272261">
              <w:rPr>
                <w:rFonts w:ascii="Arial Narrow" w:hAnsi="Arial Narrow"/>
                <w:sz w:val="20"/>
                <w:szCs w:val="20"/>
              </w:rPr>
              <w:t xml:space="preserve">Simonneau G, D'Armini AM, Ghofrani HA, Grimminger F, et al. Late breaking abstract: Riociguat for the treatment of chronic thromboembolic pulmonary hypertension (CTEPH): 2-year results from the CHEST-2 long term extension. </w:t>
            </w:r>
          </w:p>
        </w:tc>
        <w:tc>
          <w:tcPr>
            <w:tcW w:w="1617" w:type="dxa"/>
            <w:tcBorders>
              <w:top w:val="nil"/>
            </w:tcBorders>
          </w:tcPr>
          <w:p w:rsidR="005D1CBA" w:rsidRPr="00272261" w:rsidRDefault="005D1CBA" w:rsidP="00E57161">
            <w:pPr>
              <w:widowControl/>
              <w:jc w:val="left"/>
              <w:rPr>
                <w:rFonts w:ascii="Arial Narrow" w:hAnsi="Arial Narrow"/>
                <w:i/>
                <w:sz w:val="20"/>
                <w:szCs w:val="20"/>
              </w:rPr>
            </w:pPr>
            <w:r w:rsidRPr="00272261">
              <w:rPr>
                <w:rFonts w:ascii="Arial Narrow" w:hAnsi="Arial Narrow"/>
                <w:i/>
                <w:sz w:val="20"/>
                <w:szCs w:val="20"/>
              </w:rPr>
              <w:t>European Respiratory Journal 2014; 44: Suppl 58.</w:t>
            </w:r>
          </w:p>
        </w:tc>
      </w:tr>
    </w:tbl>
    <w:p w:rsidR="002F36A9" w:rsidRPr="00272261" w:rsidRDefault="002F36A9" w:rsidP="00E57161">
      <w:pPr>
        <w:pStyle w:val="TableFooter"/>
        <w:widowControl/>
        <w:ind w:firstLine="720"/>
        <w:rPr>
          <w:szCs w:val="22"/>
        </w:rPr>
      </w:pPr>
      <w:r w:rsidRPr="00272261">
        <w:t>Source: Table B.2-2, p</w:t>
      </w:r>
      <w:r w:rsidR="00284104" w:rsidRPr="00272261">
        <w:t>41-42</w:t>
      </w:r>
      <w:r w:rsidRPr="00272261">
        <w:t xml:space="preserve"> of the re-submission</w:t>
      </w:r>
      <w:r w:rsidR="006D15B0" w:rsidRPr="00272261">
        <w:t>.</w:t>
      </w:r>
    </w:p>
    <w:p w:rsidR="002F36A9" w:rsidRPr="00272261" w:rsidRDefault="002F36A9" w:rsidP="00E57161">
      <w:pPr>
        <w:widowControl/>
        <w:rPr>
          <w:szCs w:val="22"/>
        </w:rPr>
      </w:pPr>
    </w:p>
    <w:p w:rsidR="002F36A9" w:rsidRPr="00272261" w:rsidRDefault="002F36A9" w:rsidP="00E57161">
      <w:pPr>
        <w:pStyle w:val="ListParagraph"/>
        <w:widowControl/>
        <w:numPr>
          <w:ilvl w:val="1"/>
          <w:numId w:val="2"/>
        </w:numPr>
        <w:rPr>
          <w:szCs w:val="22"/>
        </w:rPr>
      </w:pPr>
      <w:r w:rsidRPr="00272261">
        <w:rPr>
          <w:szCs w:val="22"/>
        </w:rPr>
        <w:t xml:space="preserve">The key features of the </w:t>
      </w:r>
      <w:r w:rsidR="00B66FC4" w:rsidRPr="00272261">
        <w:rPr>
          <w:szCs w:val="22"/>
        </w:rPr>
        <w:t>CHEST-1</w:t>
      </w:r>
      <w:r w:rsidRPr="00272261">
        <w:rPr>
          <w:szCs w:val="22"/>
        </w:rPr>
        <w:t xml:space="preserve"> trial </w:t>
      </w:r>
      <w:r w:rsidR="00C76452" w:rsidRPr="00272261">
        <w:rPr>
          <w:szCs w:val="22"/>
        </w:rPr>
        <w:t xml:space="preserve">and the CHEST-2 extension study </w:t>
      </w:r>
      <w:r w:rsidRPr="00272261">
        <w:rPr>
          <w:szCs w:val="22"/>
        </w:rPr>
        <w:t xml:space="preserve">are summarised in the </w:t>
      </w:r>
      <w:r w:rsidR="006D15B0" w:rsidRPr="00272261">
        <w:rPr>
          <w:szCs w:val="22"/>
        </w:rPr>
        <w:t xml:space="preserve">following </w:t>
      </w:r>
      <w:r w:rsidRPr="00272261">
        <w:rPr>
          <w:szCs w:val="22"/>
        </w:rPr>
        <w:t>table.</w:t>
      </w:r>
    </w:p>
    <w:p w:rsidR="002F36A9" w:rsidRPr="00272261" w:rsidRDefault="002F36A9" w:rsidP="00E57161">
      <w:pPr>
        <w:widowControl/>
        <w:rPr>
          <w:szCs w:val="22"/>
        </w:rPr>
      </w:pPr>
    </w:p>
    <w:p w:rsidR="002F36A9" w:rsidRPr="00272261" w:rsidRDefault="002F36A9" w:rsidP="00E57161">
      <w:pPr>
        <w:keepNext/>
        <w:widowControl/>
        <w:ind w:firstLine="720"/>
        <w:rPr>
          <w:rStyle w:val="CommentReference"/>
        </w:rPr>
      </w:pPr>
      <w:r w:rsidRPr="00272261">
        <w:rPr>
          <w:rStyle w:val="CommentReference"/>
        </w:rPr>
        <w:t xml:space="preserve">Table </w:t>
      </w:r>
      <w:r w:rsidR="00826A30" w:rsidRPr="00272261">
        <w:rPr>
          <w:rStyle w:val="CommentReference"/>
        </w:rPr>
        <w:t>3</w:t>
      </w:r>
      <w:r w:rsidRPr="00272261">
        <w:rPr>
          <w:rStyle w:val="CommentReference"/>
        </w:rPr>
        <w:t>: Key features of the included evidence</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4"/>
        <w:gridCol w:w="473"/>
        <w:gridCol w:w="851"/>
        <w:gridCol w:w="711"/>
        <w:gridCol w:w="1133"/>
        <w:gridCol w:w="990"/>
        <w:gridCol w:w="3459"/>
      </w:tblGrid>
      <w:tr w:rsidR="002F36A9" w:rsidRPr="00272261" w:rsidTr="002F36A9">
        <w:tc>
          <w:tcPr>
            <w:tcW w:w="477" w:type="pct"/>
            <w:shd w:val="clear" w:color="auto" w:fill="auto"/>
            <w:vAlign w:val="center"/>
          </w:tcPr>
          <w:p w:rsidR="002F36A9" w:rsidRPr="00272261" w:rsidRDefault="002F36A9" w:rsidP="00E57161">
            <w:pPr>
              <w:keepNext/>
              <w:widowControl/>
              <w:jc w:val="left"/>
              <w:rPr>
                <w:rFonts w:ascii="Arial Narrow" w:hAnsi="Arial Narrow"/>
                <w:b/>
                <w:sz w:val="20"/>
              </w:rPr>
            </w:pPr>
            <w:r w:rsidRPr="00272261">
              <w:rPr>
                <w:rFonts w:ascii="Arial Narrow" w:hAnsi="Arial Narrow"/>
                <w:b/>
                <w:sz w:val="20"/>
              </w:rPr>
              <w:t>Trial</w:t>
            </w:r>
          </w:p>
        </w:tc>
        <w:tc>
          <w:tcPr>
            <w:tcW w:w="281"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N</w:t>
            </w:r>
          </w:p>
        </w:tc>
        <w:tc>
          <w:tcPr>
            <w:tcW w:w="505"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Design/ duration</w:t>
            </w:r>
          </w:p>
        </w:tc>
        <w:tc>
          <w:tcPr>
            <w:tcW w:w="422"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Risk of bias</w:t>
            </w:r>
          </w:p>
        </w:tc>
        <w:tc>
          <w:tcPr>
            <w:tcW w:w="673"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Patient population</w:t>
            </w:r>
          </w:p>
        </w:tc>
        <w:tc>
          <w:tcPr>
            <w:tcW w:w="588"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Outcome</w:t>
            </w:r>
          </w:p>
        </w:tc>
        <w:tc>
          <w:tcPr>
            <w:tcW w:w="2054"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Use in modelled evaluation</w:t>
            </w:r>
          </w:p>
        </w:tc>
      </w:tr>
      <w:tr w:rsidR="002F36A9" w:rsidRPr="00272261" w:rsidTr="002F36A9">
        <w:tc>
          <w:tcPr>
            <w:tcW w:w="5000" w:type="pct"/>
            <w:gridSpan w:val="7"/>
            <w:shd w:val="clear" w:color="auto" w:fill="auto"/>
            <w:vAlign w:val="center"/>
          </w:tcPr>
          <w:p w:rsidR="002F36A9" w:rsidRPr="00272261" w:rsidRDefault="002F36A9" w:rsidP="00E57161">
            <w:pPr>
              <w:keepNext/>
              <w:widowControl/>
              <w:jc w:val="left"/>
              <w:rPr>
                <w:rFonts w:ascii="Arial Narrow" w:hAnsi="Arial Narrow"/>
                <w:b/>
                <w:sz w:val="20"/>
              </w:rPr>
            </w:pPr>
            <w:r w:rsidRPr="00272261">
              <w:rPr>
                <w:rFonts w:ascii="Arial Narrow" w:hAnsi="Arial Narrow"/>
                <w:b/>
                <w:sz w:val="20"/>
              </w:rPr>
              <w:t>Riociguat vs placebo</w:t>
            </w:r>
          </w:p>
        </w:tc>
      </w:tr>
      <w:tr w:rsidR="002F36A9" w:rsidRPr="00272261" w:rsidTr="002F36A9">
        <w:tc>
          <w:tcPr>
            <w:tcW w:w="477" w:type="pct"/>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CHEST-1</w:t>
            </w:r>
          </w:p>
        </w:tc>
        <w:tc>
          <w:tcPr>
            <w:tcW w:w="281" w:type="pct"/>
            <w:shd w:val="clear" w:color="auto" w:fill="auto"/>
            <w:vAlign w:val="center"/>
          </w:tcPr>
          <w:p w:rsidR="002F36A9" w:rsidRPr="00272261" w:rsidRDefault="002F36A9" w:rsidP="00E57161">
            <w:pPr>
              <w:keepNext/>
              <w:widowControl/>
              <w:jc w:val="center"/>
              <w:rPr>
                <w:rFonts w:ascii="Arial Narrow" w:hAnsi="Arial Narrow"/>
                <w:sz w:val="20"/>
              </w:rPr>
            </w:pPr>
            <w:r w:rsidRPr="00272261">
              <w:rPr>
                <w:rFonts w:ascii="Arial Narrow" w:hAnsi="Arial Narrow"/>
                <w:sz w:val="20"/>
              </w:rPr>
              <w:t>261</w:t>
            </w:r>
          </w:p>
        </w:tc>
        <w:tc>
          <w:tcPr>
            <w:tcW w:w="505" w:type="pct"/>
            <w:shd w:val="clear" w:color="auto" w:fill="auto"/>
            <w:vAlign w:val="center"/>
          </w:tcPr>
          <w:p w:rsidR="002F36A9" w:rsidRPr="00272261" w:rsidRDefault="002F36A9" w:rsidP="00E57161">
            <w:pPr>
              <w:keepNext/>
              <w:widowControl/>
              <w:jc w:val="center"/>
              <w:rPr>
                <w:rFonts w:ascii="Arial Narrow" w:hAnsi="Arial Narrow"/>
                <w:sz w:val="20"/>
              </w:rPr>
            </w:pPr>
            <w:r w:rsidRPr="00272261">
              <w:rPr>
                <w:rFonts w:ascii="Arial Narrow" w:hAnsi="Arial Narrow"/>
                <w:sz w:val="20"/>
              </w:rPr>
              <w:t>R, DB, 16 weeks</w:t>
            </w:r>
          </w:p>
        </w:tc>
        <w:tc>
          <w:tcPr>
            <w:tcW w:w="422" w:type="pct"/>
            <w:shd w:val="clear" w:color="auto" w:fill="auto"/>
            <w:vAlign w:val="center"/>
          </w:tcPr>
          <w:p w:rsidR="002F36A9" w:rsidRPr="00272261" w:rsidRDefault="002F36A9" w:rsidP="00E57161">
            <w:pPr>
              <w:keepNext/>
              <w:widowControl/>
              <w:jc w:val="center"/>
              <w:rPr>
                <w:rFonts w:ascii="Arial Narrow" w:hAnsi="Arial Narrow"/>
                <w:sz w:val="20"/>
              </w:rPr>
            </w:pPr>
            <w:r w:rsidRPr="00272261">
              <w:rPr>
                <w:rFonts w:ascii="Arial Narrow" w:hAnsi="Arial Narrow"/>
                <w:sz w:val="20"/>
              </w:rPr>
              <w:t>Low</w:t>
            </w:r>
          </w:p>
        </w:tc>
        <w:tc>
          <w:tcPr>
            <w:tcW w:w="673" w:type="pct"/>
            <w:shd w:val="clear" w:color="auto" w:fill="auto"/>
            <w:vAlign w:val="center"/>
          </w:tcPr>
          <w:p w:rsidR="002F36A9" w:rsidRPr="00272261" w:rsidRDefault="002F36A9" w:rsidP="00E57161">
            <w:pPr>
              <w:keepNext/>
              <w:widowControl/>
              <w:jc w:val="center"/>
              <w:rPr>
                <w:rFonts w:ascii="Arial Narrow" w:hAnsi="Arial Narrow"/>
                <w:sz w:val="20"/>
              </w:rPr>
            </w:pPr>
            <w:r w:rsidRPr="00272261">
              <w:rPr>
                <w:rFonts w:ascii="Arial Narrow" w:hAnsi="Arial Narrow"/>
                <w:sz w:val="20"/>
              </w:rPr>
              <w:t>Inoperable and persistent CTEPH</w:t>
            </w:r>
          </w:p>
        </w:tc>
        <w:tc>
          <w:tcPr>
            <w:tcW w:w="588" w:type="pct"/>
            <w:shd w:val="clear" w:color="auto" w:fill="auto"/>
            <w:vAlign w:val="center"/>
          </w:tcPr>
          <w:p w:rsidR="002F36A9" w:rsidRPr="00272261" w:rsidRDefault="002F36A9" w:rsidP="00E57161">
            <w:pPr>
              <w:keepNext/>
              <w:widowControl/>
              <w:jc w:val="center"/>
              <w:rPr>
                <w:rFonts w:ascii="Arial Narrow" w:hAnsi="Arial Narrow"/>
                <w:sz w:val="20"/>
              </w:rPr>
            </w:pPr>
            <w:r w:rsidRPr="00272261">
              <w:rPr>
                <w:rFonts w:ascii="Arial Narrow" w:hAnsi="Arial Narrow"/>
                <w:sz w:val="20"/>
              </w:rPr>
              <w:t>6MWD, WHO FC</w:t>
            </w:r>
          </w:p>
        </w:tc>
        <w:tc>
          <w:tcPr>
            <w:tcW w:w="2054" w:type="pct"/>
            <w:shd w:val="clear" w:color="auto" w:fill="auto"/>
            <w:vAlign w:val="center"/>
          </w:tcPr>
          <w:p w:rsidR="002F36A9" w:rsidRPr="00272261" w:rsidRDefault="002F36A9" w:rsidP="00E57161">
            <w:pPr>
              <w:keepNext/>
              <w:widowControl/>
              <w:jc w:val="center"/>
              <w:rPr>
                <w:rFonts w:ascii="Arial Narrow" w:hAnsi="Arial Narrow"/>
                <w:sz w:val="20"/>
              </w:rPr>
            </w:pPr>
            <w:r w:rsidRPr="00272261">
              <w:rPr>
                <w:rFonts w:ascii="Arial Narrow" w:hAnsi="Arial Narrow"/>
                <w:sz w:val="20"/>
              </w:rPr>
              <w:t>Parametric extrapolations for change in WHO FC (first cycle)</w:t>
            </w:r>
            <w:r w:rsidR="00B66FC4" w:rsidRPr="00272261">
              <w:rPr>
                <w:rFonts w:ascii="Arial Narrow" w:hAnsi="Arial Narrow"/>
                <w:sz w:val="20"/>
              </w:rPr>
              <w:t>;</w:t>
            </w:r>
            <w:r w:rsidRPr="00272261">
              <w:rPr>
                <w:rFonts w:ascii="Arial Narrow" w:hAnsi="Arial Narrow"/>
                <w:sz w:val="20"/>
              </w:rPr>
              <w:t xml:space="preserve"> initial distribution of patients by WHO FC; EQ-5D</w:t>
            </w:r>
            <w:r w:rsidR="00B66FC4" w:rsidRPr="00272261">
              <w:rPr>
                <w:rFonts w:ascii="Arial Narrow" w:hAnsi="Arial Narrow"/>
                <w:sz w:val="20"/>
              </w:rPr>
              <w:t>;</w:t>
            </w:r>
            <w:r w:rsidRPr="00272261">
              <w:rPr>
                <w:rFonts w:ascii="Arial Narrow" w:hAnsi="Arial Narrow"/>
                <w:sz w:val="20"/>
              </w:rPr>
              <w:t xml:space="preserve"> transition probabilities for discontinuation of</w:t>
            </w:r>
            <w:r w:rsidR="00EC61F2" w:rsidRPr="00272261">
              <w:rPr>
                <w:rFonts w:ascii="Arial Narrow" w:hAnsi="Arial Narrow"/>
                <w:sz w:val="20"/>
              </w:rPr>
              <w:t xml:space="preserve"> treatment; parametric extrapolations for overall survival for riociguat</w:t>
            </w:r>
          </w:p>
        </w:tc>
      </w:tr>
      <w:tr w:rsidR="00785CE1" w:rsidRPr="00272261" w:rsidTr="002F36A9">
        <w:tc>
          <w:tcPr>
            <w:tcW w:w="477" w:type="pct"/>
            <w:shd w:val="clear" w:color="auto" w:fill="auto"/>
            <w:vAlign w:val="center"/>
          </w:tcPr>
          <w:p w:rsidR="00785CE1" w:rsidRPr="00272261" w:rsidRDefault="00785CE1" w:rsidP="00E57161">
            <w:pPr>
              <w:keepNext/>
              <w:widowControl/>
              <w:jc w:val="left"/>
              <w:rPr>
                <w:rFonts w:ascii="Arial Narrow" w:hAnsi="Arial Narrow"/>
                <w:sz w:val="20"/>
              </w:rPr>
            </w:pPr>
            <w:r w:rsidRPr="00272261">
              <w:rPr>
                <w:rFonts w:ascii="Arial Narrow" w:hAnsi="Arial Narrow"/>
                <w:sz w:val="20"/>
              </w:rPr>
              <w:t>CHEST-2</w:t>
            </w:r>
          </w:p>
        </w:tc>
        <w:tc>
          <w:tcPr>
            <w:tcW w:w="281" w:type="pct"/>
            <w:shd w:val="clear" w:color="auto" w:fill="auto"/>
            <w:vAlign w:val="center"/>
          </w:tcPr>
          <w:p w:rsidR="00785CE1" w:rsidRPr="00272261" w:rsidRDefault="005D1CBA" w:rsidP="00E57161">
            <w:pPr>
              <w:keepNext/>
              <w:widowControl/>
              <w:jc w:val="center"/>
              <w:rPr>
                <w:rFonts w:ascii="Arial Narrow" w:hAnsi="Arial Narrow"/>
                <w:sz w:val="20"/>
              </w:rPr>
            </w:pPr>
            <w:r w:rsidRPr="00272261">
              <w:rPr>
                <w:rFonts w:ascii="Arial Narrow" w:hAnsi="Arial Narrow"/>
                <w:sz w:val="20"/>
                <w:szCs w:val="20"/>
              </w:rPr>
              <w:t>237*</w:t>
            </w:r>
          </w:p>
        </w:tc>
        <w:tc>
          <w:tcPr>
            <w:tcW w:w="505" w:type="pct"/>
            <w:shd w:val="clear" w:color="auto" w:fill="auto"/>
            <w:vAlign w:val="center"/>
          </w:tcPr>
          <w:p w:rsidR="00785CE1" w:rsidRPr="00272261" w:rsidRDefault="00785CE1" w:rsidP="00E57161">
            <w:pPr>
              <w:keepNext/>
              <w:widowControl/>
              <w:jc w:val="center"/>
              <w:rPr>
                <w:rFonts w:ascii="Arial Narrow" w:hAnsi="Arial Narrow"/>
                <w:sz w:val="20"/>
              </w:rPr>
            </w:pPr>
            <w:r w:rsidRPr="00272261">
              <w:rPr>
                <w:rFonts w:ascii="Arial Narrow" w:hAnsi="Arial Narrow"/>
                <w:sz w:val="20"/>
                <w:szCs w:val="20"/>
              </w:rPr>
              <w:t>SB titration for 8 weeks, LTE, 4.8 years</w:t>
            </w:r>
            <w:r w:rsidR="005D1CBA" w:rsidRPr="00272261">
              <w:rPr>
                <w:rFonts w:ascii="Arial Narrow" w:hAnsi="Arial Narrow"/>
                <w:sz w:val="20"/>
                <w:szCs w:val="20"/>
              </w:rPr>
              <w:t>**</w:t>
            </w:r>
          </w:p>
        </w:tc>
        <w:tc>
          <w:tcPr>
            <w:tcW w:w="422" w:type="pct"/>
            <w:shd w:val="clear" w:color="auto" w:fill="auto"/>
            <w:vAlign w:val="center"/>
          </w:tcPr>
          <w:p w:rsidR="00785CE1" w:rsidRPr="00272261" w:rsidRDefault="00785CE1" w:rsidP="00E57161">
            <w:pPr>
              <w:keepNext/>
              <w:widowControl/>
              <w:jc w:val="center"/>
              <w:rPr>
                <w:rFonts w:ascii="Arial Narrow" w:hAnsi="Arial Narrow"/>
                <w:sz w:val="20"/>
              </w:rPr>
            </w:pPr>
            <w:r w:rsidRPr="00272261">
              <w:rPr>
                <w:rFonts w:ascii="Arial Narrow" w:hAnsi="Arial Narrow"/>
                <w:sz w:val="20"/>
                <w:szCs w:val="20"/>
              </w:rPr>
              <w:t>Low</w:t>
            </w:r>
          </w:p>
        </w:tc>
        <w:tc>
          <w:tcPr>
            <w:tcW w:w="673" w:type="pct"/>
            <w:shd w:val="clear" w:color="auto" w:fill="auto"/>
            <w:vAlign w:val="center"/>
          </w:tcPr>
          <w:p w:rsidR="00785CE1" w:rsidRPr="00272261" w:rsidRDefault="00785CE1" w:rsidP="00E57161">
            <w:pPr>
              <w:keepNext/>
              <w:widowControl/>
              <w:jc w:val="center"/>
              <w:rPr>
                <w:rFonts w:ascii="Arial Narrow" w:hAnsi="Arial Narrow"/>
                <w:sz w:val="20"/>
              </w:rPr>
            </w:pPr>
            <w:r w:rsidRPr="00272261">
              <w:rPr>
                <w:rFonts w:ascii="Arial Narrow" w:hAnsi="Arial Narrow"/>
                <w:sz w:val="20"/>
                <w:szCs w:val="20"/>
              </w:rPr>
              <w:t>Inoperable and persistent CTEPH</w:t>
            </w:r>
          </w:p>
        </w:tc>
        <w:tc>
          <w:tcPr>
            <w:tcW w:w="588" w:type="pct"/>
            <w:shd w:val="clear" w:color="auto" w:fill="auto"/>
            <w:vAlign w:val="center"/>
          </w:tcPr>
          <w:p w:rsidR="00785CE1" w:rsidRPr="00272261" w:rsidRDefault="00785CE1" w:rsidP="00E57161">
            <w:pPr>
              <w:keepNext/>
              <w:widowControl/>
              <w:snapToGrid w:val="0"/>
              <w:jc w:val="center"/>
              <w:rPr>
                <w:rFonts w:ascii="Arial Narrow" w:eastAsiaTheme="minorHAnsi" w:hAnsi="Arial Narrow"/>
                <w:sz w:val="20"/>
                <w:szCs w:val="20"/>
              </w:rPr>
            </w:pPr>
            <w:r w:rsidRPr="00272261">
              <w:rPr>
                <w:rFonts w:ascii="Arial Narrow" w:hAnsi="Arial Narrow"/>
                <w:sz w:val="20"/>
                <w:szCs w:val="20"/>
              </w:rPr>
              <w:t>6MWD,</w:t>
            </w:r>
          </w:p>
          <w:p w:rsidR="00785CE1" w:rsidRPr="00272261" w:rsidRDefault="00785CE1" w:rsidP="00E57161">
            <w:pPr>
              <w:keepNext/>
              <w:widowControl/>
              <w:jc w:val="center"/>
              <w:rPr>
                <w:rFonts w:ascii="Arial Narrow" w:hAnsi="Arial Narrow"/>
                <w:sz w:val="20"/>
              </w:rPr>
            </w:pPr>
            <w:r w:rsidRPr="00272261">
              <w:rPr>
                <w:rFonts w:ascii="Arial Narrow" w:hAnsi="Arial Narrow"/>
                <w:sz w:val="20"/>
                <w:szCs w:val="20"/>
              </w:rPr>
              <w:t>WHO FC</w:t>
            </w:r>
          </w:p>
        </w:tc>
        <w:tc>
          <w:tcPr>
            <w:tcW w:w="2054" w:type="pct"/>
            <w:shd w:val="clear" w:color="auto" w:fill="auto"/>
            <w:vAlign w:val="center"/>
          </w:tcPr>
          <w:p w:rsidR="00785CE1" w:rsidRPr="00272261" w:rsidRDefault="00785CE1" w:rsidP="00E57161">
            <w:pPr>
              <w:keepNext/>
              <w:widowControl/>
              <w:jc w:val="center"/>
              <w:rPr>
                <w:rFonts w:ascii="Arial Narrow" w:hAnsi="Arial Narrow"/>
                <w:sz w:val="20"/>
              </w:rPr>
            </w:pPr>
            <w:r w:rsidRPr="00272261">
              <w:rPr>
                <w:rFonts w:ascii="Arial Narrow" w:hAnsi="Arial Narrow"/>
                <w:sz w:val="20"/>
                <w:szCs w:val="20"/>
              </w:rPr>
              <w:t>Parametric extrapolations for overall survival for riociguat; parametric extrapolations for change in WHO FC</w:t>
            </w:r>
            <w:r w:rsidRPr="00272261">
              <w:rPr>
                <w:rFonts w:ascii="Arial Narrow" w:hAnsi="Arial Narrow"/>
                <w:color w:val="1F497D"/>
                <w:sz w:val="20"/>
                <w:szCs w:val="20"/>
              </w:rPr>
              <w:t xml:space="preserve"> </w:t>
            </w:r>
            <w:r w:rsidRPr="00272261">
              <w:rPr>
                <w:rFonts w:ascii="Arial Narrow" w:hAnsi="Arial Narrow"/>
                <w:sz w:val="20"/>
                <w:szCs w:val="20"/>
              </w:rPr>
              <w:t>(subsequent cycles)</w:t>
            </w:r>
          </w:p>
        </w:tc>
      </w:tr>
    </w:tbl>
    <w:p w:rsidR="002F36A9" w:rsidRPr="00272261" w:rsidRDefault="002F36A9" w:rsidP="00E57161">
      <w:pPr>
        <w:pStyle w:val="TableFooter"/>
        <w:keepNext/>
        <w:widowControl/>
        <w:ind w:left="720"/>
      </w:pPr>
      <w:r w:rsidRPr="00272261">
        <w:t>6MWD = 6</w:t>
      </w:r>
      <w:r w:rsidR="00125792" w:rsidRPr="00272261">
        <w:t>-</w:t>
      </w:r>
      <w:r w:rsidRPr="00272261">
        <w:t>minute walking distance test; CTEPH = chronic thromboembolic pulmonary hypertension; DB</w:t>
      </w:r>
      <w:r w:rsidR="00125792" w:rsidRPr="00272261">
        <w:t xml:space="preserve"> </w:t>
      </w:r>
      <w:r w:rsidRPr="00272261">
        <w:t>=</w:t>
      </w:r>
      <w:r w:rsidR="00125792" w:rsidRPr="00272261">
        <w:t xml:space="preserve"> </w:t>
      </w:r>
      <w:r w:rsidR="00BF04D4" w:rsidRPr="00272261">
        <w:t>double blind; FC = </w:t>
      </w:r>
      <w:r w:rsidRPr="00272261">
        <w:t>functional class; R</w:t>
      </w:r>
      <w:r w:rsidR="00125792" w:rsidRPr="00272261">
        <w:t xml:space="preserve"> </w:t>
      </w:r>
      <w:r w:rsidRPr="00272261">
        <w:t>=</w:t>
      </w:r>
      <w:r w:rsidR="00125792" w:rsidRPr="00272261">
        <w:t xml:space="preserve"> </w:t>
      </w:r>
      <w:r w:rsidRPr="00272261">
        <w:t>randomised</w:t>
      </w:r>
      <w:r w:rsidR="00785CE1" w:rsidRPr="00272261">
        <w:t xml:space="preserve">; </w:t>
      </w:r>
      <w:r w:rsidR="00785CE1" w:rsidRPr="00272261">
        <w:rPr>
          <w:szCs w:val="18"/>
        </w:rPr>
        <w:t>SB = single blind; LTE = long-term extension</w:t>
      </w:r>
      <w:r w:rsidRPr="00272261">
        <w:t xml:space="preserve">. </w:t>
      </w:r>
      <w:r w:rsidR="005D1CBA" w:rsidRPr="00272261">
        <w:rPr>
          <w:szCs w:val="18"/>
        </w:rPr>
        <w:t>Note: *number of enrolled patients; **maximum period of follow-up.</w:t>
      </w:r>
      <w:r w:rsidRPr="00272261">
        <w:t xml:space="preserve"> Source: compiled during the evaluation</w:t>
      </w:r>
      <w:r w:rsidR="006D15B0" w:rsidRPr="00272261">
        <w:t>.</w:t>
      </w:r>
    </w:p>
    <w:p w:rsidR="002F36A9" w:rsidRPr="00272261" w:rsidRDefault="002F36A9" w:rsidP="00E57161">
      <w:pPr>
        <w:widowControl/>
      </w:pPr>
    </w:p>
    <w:p w:rsidR="002F36A9" w:rsidRPr="00272261" w:rsidRDefault="002F36A9" w:rsidP="00E57161">
      <w:pPr>
        <w:pStyle w:val="Heading2"/>
        <w:widowControl/>
        <w:rPr>
          <w:i/>
        </w:rPr>
      </w:pPr>
      <w:bookmarkStart w:id="17" w:name="_Toc416959987"/>
      <w:bookmarkStart w:id="18" w:name="_Toc440895082"/>
      <w:r w:rsidRPr="00272261">
        <w:rPr>
          <w:i/>
        </w:rPr>
        <w:t>Comparative effectiveness</w:t>
      </w:r>
      <w:bookmarkEnd w:id="17"/>
      <w:bookmarkEnd w:id="18"/>
    </w:p>
    <w:p w:rsidR="002F36A9" w:rsidRPr="00272261" w:rsidRDefault="002F36A9" w:rsidP="00E57161">
      <w:pPr>
        <w:widowControl/>
        <w:rPr>
          <w:szCs w:val="22"/>
        </w:rPr>
      </w:pPr>
    </w:p>
    <w:p w:rsidR="002F36A9" w:rsidRPr="00272261" w:rsidRDefault="002F36A9" w:rsidP="00E57161">
      <w:pPr>
        <w:pStyle w:val="ListParagraph"/>
        <w:widowControl/>
        <w:numPr>
          <w:ilvl w:val="1"/>
          <w:numId w:val="2"/>
        </w:numPr>
        <w:rPr>
          <w:szCs w:val="22"/>
        </w:rPr>
      </w:pPr>
      <w:r w:rsidRPr="00272261">
        <w:rPr>
          <w:szCs w:val="22"/>
        </w:rPr>
        <w:t xml:space="preserve">At the November 2014 meeting, the PBAC noted </w:t>
      </w:r>
      <w:r w:rsidR="005D08A7" w:rsidRPr="00272261">
        <w:rPr>
          <w:szCs w:val="22"/>
        </w:rPr>
        <w:t>the</w:t>
      </w:r>
      <w:r w:rsidRPr="00272261">
        <w:rPr>
          <w:szCs w:val="22"/>
        </w:rPr>
        <w:t xml:space="preserve"> statistical significance of treatment effect in terms of the primary endpoint change in 6MWD fav</w:t>
      </w:r>
      <w:r w:rsidR="00BF04D4" w:rsidRPr="00272261">
        <w:rPr>
          <w:szCs w:val="22"/>
        </w:rPr>
        <w:t xml:space="preserve">ouring riociguat over placebo. </w:t>
      </w:r>
      <w:r w:rsidRPr="00272261">
        <w:rPr>
          <w:szCs w:val="22"/>
        </w:rPr>
        <w:t xml:space="preserve">The </w:t>
      </w:r>
      <w:r w:rsidR="00B66FC4" w:rsidRPr="00272261">
        <w:rPr>
          <w:szCs w:val="22"/>
        </w:rPr>
        <w:t xml:space="preserve">Committee </w:t>
      </w:r>
      <w:r w:rsidRPr="00272261">
        <w:rPr>
          <w:szCs w:val="22"/>
        </w:rPr>
        <w:t>further noted that the mean difference (45.7 metres) was within the minimal clinically important difference (MCID) of 35 to 50 metres it had previously accepted (November 2014</w:t>
      </w:r>
      <w:r w:rsidR="006D6E89" w:rsidRPr="00272261">
        <w:rPr>
          <w:szCs w:val="22"/>
        </w:rPr>
        <w:t xml:space="preserve"> </w:t>
      </w:r>
      <w:r w:rsidR="005B3879" w:rsidRPr="00272261">
        <w:rPr>
          <w:szCs w:val="22"/>
        </w:rPr>
        <w:t>PSD</w:t>
      </w:r>
      <w:r w:rsidR="00BF04D4" w:rsidRPr="00272261">
        <w:rPr>
          <w:szCs w:val="22"/>
        </w:rPr>
        <w:t>, paragraph 7.3).</w:t>
      </w:r>
      <w:r w:rsidRPr="00272261">
        <w:rPr>
          <w:szCs w:val="22"/>
        </w:rPr>
        <w:t xml:space="preserve"> Key results from the pivotal trial (CHEST-1) are </w:t>
      </w:r>
      <w:r w:rsidR="00CB22A8" w:rsidRPr="00272261">
        <w:rPr>
          <w:szCs w:val="22"/>
        </w:rPr>
        <w:t>unchanged from the July 2015 re-submission, and are summarised</w:t>
      </w:r>
      <w:r w:rsidRPr="00272261">
        <w:rPr>
          <w:szCs w:val="22"/>
        </w:rPr>
        <w:t xml:space="preserve"> </w:t>
      </w:r>
      <w:r w:rsidR="00E67BED" w:rsidRPr="00272261">
        <w:rPr>
          <w:szCs w:val="22"/>
        </w:rPr>
        <w:t xml:space="preserve">in </w:t>
      </w:r>
      <w:r w:rsidRPr="00272261">
        <w:rPr>
          <w:szCs w:val="22"/>
        </w:rPr>
        <w:t xml:space="preserve">the </w:t>
      </w:r>
      <w:r w:rsidR="00E67BED" w:rsidRPr="00272261">
        <w:rPr>
          <w:szCs w:val="22"/>
        </w:rPr>
        <w:t xml:space="preserve">following </w:t>
      </w:r>
      <w:r w:rsidRPr="00272261">
        <w:rPr>
          <w:szCs w:val="22"/>
        </w:rPr>
        <w:t>table.</w:t>
      </w:r>
    </w:p>
    <w:p w:rsidR="002F36A9" w:rsidRPr="00272261" w:rsidRDefault="002F36A9" w:rsidP="00E57161">
      <w:pPr>
        <w:widowControl/>
        <w:ind w:left="720"/>
        <w:rPr>
          <w:szCs w:val="22"/>
          <w:highlight w:val="yellow"/>
        </w:rPr>
      </w:pPr>
    </w:p>
    <w:p w:rsidR="002F36A9" w:rsidRPr="00272261" w:rsidRDefault="002F36A9" w:rsidP="00E57161">
      <w:pPr>
        <w:keepNext/>
        <w:widowControl/>
        <w:ind w:left="720"/>
        <w:rPr>
          <w:rStyle w:val="CommentReference"/>
        </w:rPr>
      </w:pPr>
      <w:r w:rsidRPr="00272261">
        <w:rPr>
          <w:rStyle w:val="CommentReference"/>
        </w:rPr>
        <w:t xml:space="preserve">Table </w:t>
      </w:r>
      <w:r w:rsidR="00826A30" w:rsidRPr="00272261">
        <w:rPr>
          <w:rStyle w:val="CommentReference"/>
        </w:rPr>
        <w:t>4</w:t>
      </w:r>
      <w:r w:rsidRPr="00272261">
        <w:rPr>
          <w:rStyle w:val="CommentReference"/>
        </w:rPr>
        <w:t>: Summary of key results from CHEST-1</w:t>
      </w:r>
    </w:p>
    <w:tbl>
      <w:tblPr>
        <w:tblStyle w:val="TableGrid"/>
        <w:tblW w:w="0" w:type="auto"/>
        <w:tblInd w:w="737" w:type="dxa"/>
        <w:tblCellMar>
          <w:left w:w="28" w:type="dxa"/>
          <w:right w:w="28" w:type="dxa"/>
        </w:tblCellMar>
        <w:tblLook w:val="04A0" w:firstRow="1" w:lastRow="0" w:firstColumn="1" w:lastColumn="0" w:noHBand="0" w:noVBand="1"/>
        <w:tblCaption w:val="Summary of key results from CHEST-1"/>
      </w:tblPr>
      <w:tblGrid>
        <w:gridCol w:w="3969"/>
        <w:gridCol w:w="2188"/>
        <w:gridCol w:w="2188"/>
      </w:tblGrid>
      <w:tr w:rsidR="002F36A9" w:rsidRPr="00272261" w:rsidTr="00F33487">
        <w:trPr>
          <w:tblHeader/>
        </w:trPr>
        <w:tc>
          <w:tcPr>
            <w:tcW w:w="3969" w:type="dxa"/>
          </w:tcPr>
          <w:p w:rsidR="002F36A9" w:rsidRPr="00272261" w:rsidRDefault="002F36A9" w:rsidP="00E57161">
            <w:pPr>
              <w:keepNext/>
              <w:widowControl/>
              <w:rPr>
                <w:rStyle w:val="CommentReference"/>
                <w:rFonts w:eastAsia="SimSun"/>
              </w:rPr>
            </w:pPr>
          </w:p>
        </w:tc>
        <w:tc>
          <w:tcPr>
            <w:tcW w:w="2188" w:type="dxa"/>
            <w:vAlign w:val="center"/>
          </w:tcPr>
          <w:p w:rsidR="002F36A9" w:rsidRPr="00272261" w:rsidRDefault="002F36A9" w:rsidP="00E57161">
            <w:pPr>
              <w:keepNext/>
              <w:widowControl/>
              <w:jc w:val="center"/>
              <w:rPr>
                <w:rStyle w:val="CommentReference"/>
                <w:rFonts w:eastAsia="SimSun"/>
              </w:rPr>
            </w:pPr>
            <w:r w:rsidRPr="00272261">
              <w:rPr>
                <w:rStyle w:val="CommentReference"/>
                <w:rFonts w:eastAsia="SimSun"/>
              </w:rPr>
              <w:t>Riociguat (n=173)</w:t>
            </w:r>
          </w:p>
        </w:tc>
        <w:tc>
          <w:tcPr>
            <w:tcW w:w="2188" w:type="dxa"/>
            <w:vAlign w:val="center"/>
          </w:tcPr>
          <w:p w:rsidR="002F36A9" w:rsidRPr="00272261" w:rsidRDefault="002F36A9" w:rsidP="00E57161">
            <w:pPr>
              <w:keepNext/>
              <w:widowControl/>
              <w:jc w:val="center"/>
              <w:rPr>
                <w:rStyle w:val="CommentReference"/>
                <w:rFonts w:eastAsia="SimSun"/>
              </w:rPr>
            </w:pPr>
            <w:r w:rsidRPr="00272261">
              <w:rPr>
                <w:rStyle w:val="CommentReference"/>
                <w:rFonts w:eastAsia="SimSun"/>
              </w:rPr>
              <w:t>Placebo (n=88)</w:t>
            </w:r>
          </w:p>
        </w:tc>
      </w:tr>
      <w:tr w:rsidR="002F36A9" w:rsidRPr="00272261" w:rsidTr="002F36A9">
        <w:tc>
          <w:tcPr>
            <w:tcW w:w="8345" w:type="dxa"/>
            <w:gridSpan w:val="3"/>
            <w:vAlign w:val="center"/>
          </w:tcPr>
          <w:p w:rsidR="002F36A9" w:rsidRPr="00272261" w:rsidRDefault="002F36A9" w:rsidP="00E57161">
            <w:pPr>
              <w:keepNext/>
              <w:widowControl/>
              <w:jc w:val="left"/>
              <w:rPr>
                <w:rStyle w:val="CommentReference"/>
                <w:rFonts w:eastAsia="SimSun"/>
              </w:rPr>
            </w:pPr>
            <w:r w:rsidRPr="00272261">
              <w:rPr>
                <w:rStyle w:val="CommentReference"/>
                <w:rFonts w:eastAsia="SimSun"/>
              </w:rPr>
              <w:t>6MWD, metres</w:t>
            </w:r>
          </w:p>
        </w:tc>
      </w:tr>
      <w:tr w:rsidR="002F36A9" w:rsidRPr="00272261" w:rsidTr="002F36A9">
        <w:tc>
          <w:tcPr>
            <w:tcW w:w="3969" w:type="dxa"/>
          </w:tcPr>
          <w:p w:rsidR="002F36A9" w:rsidRPr="00272261" w:rsidRDefault="002F36A9" w:rsidP="00E57161">
            <w:pPr>
              <w:keepNext/>
              <w:widowControl/>
              <w:rPr>
                <w:rStyle w:val="CommentReference"/>
                <w:rFonts w:eastAsia="SimSun"/>
                <w:b w:val="0"/>
              </w:rPr>
            </w:pPr>
            <w:r w:rsidRPr="00272261">
              <w:rPr>
                <w:rStyle w:val="CommentReference"/>
                <w:rFonts w:eastAsia="SimSun"/>
                <w:b w:val="0"/>
              </w:rPr>
              <w:t>Baseline, mean (SD)</w:t>
            </w:r>
          </w:p>
        </w:tc>
        <w:tc>
          <w:tcPr>
            <w:tcW w:w="2188" w:type="dxa"/>
            <w:vAlign w:val="center"/>
          </w:tcPr>
          <w:p w:rsidR="002F36A9" w:rsidRPr="00272261" w:rsidRDefault="002F36A9" w:rsidP="00E57161">
            <w:pPr>
              <w:keepNext/>
              <w:widowControl/>
              <w:jc w:val="center"/>
              <w:rPr>
                <w:rStyle w:val="CommentReference"/>
                <w:rFonts w:eastAsia="SimSun"/>
                <w:b w:val="0"/>
              </w:rPr>
            </w:pPr>
            <w:r w:rsidRPr="00272261">
              <w:rPr>
                <w:rStyle w:val="CommentReference"/>
                <w:rFonts w:eastAsia="SimSun"/>
                <w:b w:val="0"/>
              </w:rPr>
              <w:t>342.3 (81.9)</w:t>
            </w:r>
          </w:p>
        </w:tc>
        <w:tc>
          <w:tcPr>
            <w:tcW w:w="2188" w:type="dxa"/>
            <w:vAlign w:val="center"/>
          </w:tcPr>
          <w:p w:rsidR="002F36A9" w:rsidRPr="00272261" w:rsidRDefault="002F36A9" w:rsidP="00E57161">
            <w:pPr>
              <w:keepNext/>
              <w:widowControl/>
              <w:jc w:val="center"/>
              <w:rPr>
                <w:rStyle w:val="CommentReference"/>
                <w:rFonts w:eastAsia="SimSun"/>
                <w:b w:val="0"/>
              </w:rPr>
            </w:pPr>
            <w:r w:rsidRPr="00272261">
              <w:rPr>
                <w:rStyle w:val="CommentReference"/>
                <w:rFonts w:eastAsia="SimSun"/>
                <w:b w:val="0"/>
              </w:rPr>
              <w:t>356.0 (74.7)</w:t>
            </w:r>
          </w:p>
        </w:tc>
      </w:tr>
      <w:tr w:rsidR="002F36A9" w:rsidRPr="00272261" w:rsidTr="002F36A9">
        <w:tc>
          <w:tcPr>
            <w:tcW w:w="3969" w:type="dxa"/>
          </w:tcPr>
          <w:p w:rsidR="002F36A9" w:rsidRPr="00272261" w:rsidRDefault="002F36A9" w:rsidP="00E57161">
            <w:pPr>
              <w:keepNext/>
              <w:widowControl/>
              <w:rPr>
                <w:rStyle w:val="CommentReference"/>
                <w:rFonts w:eastAsia="SimSun"/>
                <w:b w:val="0"/>
              </w:rPr>
            </w:pPr>
            <w:r w:rsidRPr="00272261">
              <w:rPr>
                <w:rStyle w:val="CommentReference"/>
                <w:rFonts w:eastAsia="SimSun"/>
                <w:b w:val="0"/>
              </w:rPr>
              <w:t>Change from baseline at 16 weeks</w:t>
            </w:r>
          </w:p>
        </w:tc>
        <w:tc>
          <w:tcPr>
            <w:tcW w:w="2188" w:type="dxa"/>
            <w:vAlign w:val="center"/>
          </w:tcPr>
          <w:p w:rsidR="002F36A9" w:rsidRPr="00272261" w:rsidRDefault="002F36A9" w:rsidP="00E57161">
            <w:pPr>
              <w:keepNext/>
              <w:widowControl/>
              <w:jc w:val="center"/>
              <w:rPr>
                <w:rStyle w:val="CommentReference"/>
                <w:rFonts w:eastAsia="SimSun"/>
                <w:b w:val="0"/>
              </w:rPr>
            </w:pPr>
            <w:r w:rsidRPr="00272261">
              <w:rPr>
                <w:rStyle w:val="CommentReference"/>
                <w:rFonts w:eastAsia="SimSun"/>
                <w:b w:val="0"/>
              </w:rPr>
              <w:t>38.9 (79.3)</w:t>
            </w:r>
          </w:p>
        </w:tc>
        <w:tc>
          <w:tcPr>
            <w:tcW w:w="2188" w:type="dxa"/>
            <w:vAlign w:val="center"/>
          </w:tcPr>
          <w:p w:rsidR="002F36A9" w:rsidRPr="00272261" w:rsidRDefault="002F36A9" w:rsidP="00E57161">
            <w:pPr>
              <w:keepNext/>
              <w:widowControl/>
              <w:jc w:val="center"/>
              <w:rPr>
                <w:rStyle w:val="CommentReference"/>
                <w:rFonts w:eastAsia="SimSun"/>
                <w:b w:val="0"/>
              </w:rPr>
            </w:pPr>
            <w:r w:rsidRPr="00272261">
              <w:rPr>
                <w:rStyle w:val="CommentReference"/>
                <w:rFonts w:eastAsia="SimSun"/>
                <w:b w:val="0"/>
              </w:rPr>
              <w:t>-5.5 (84.3)</w:t>
            </w:r>
          </w:p>
        </w:tc>
      </w:tr>
      <w:tr w:rsidR="002F36A9" w:rsidRPr="00272261" w:rsidTr="002F36A9">
        <w:tc>
          <w:tcPr>
            <w:tcW w:w="3969" w:type="dxa"/>
            <w:tcBorders>
              <w:bottom w:val="double" w:sz="4" w:space="0" w:color="auto"/>
            </w:tcBorders>
          </w:tcPr>
          <w:p w:rsidR="002F36A9" w:rsidRPr="00272261" w:rsidRDefault="002F36A9" w:rsidP="00E57161">
            <w:pPr>
              <w:keepNext/>
              <w:widowControl/>
              <w:rPr>
                <w:rStyle w:val="CommentReference"/>
                <w:rFonts w:eastAsia="SimSun"/>
                <w:b w:val="0"/>
              </w:rPr>
            </w:pPr>
            <w:r w:rsidRPr="00272261">
              <w:rPr>
                <w:rStyle w:val="CommentReference"/>
                <w:rFonts w:eastAsia="SimSun"/>
                <w:b w:val="0"/>
              </w:rPr>
              <w:t xml:space="preserve">Least square mean difference (95% CI) </w:t>
            </w:r>
          </w:p>
        </w:tc>
        <w:tc>
          <w:tcPr>
            <w:tcW w:w="4376" w:type="dxa"/>
            <w:gridSpan w:val="2"/>
            <w:tcBorders>
              <w:bottom w:val="double" w:sz="4" w:space="0" w:color="auto"/>
            </w:tcBorders>
            <w:vAlign w:val="center"/>
          </w:tcPr>
          <w:p w:rsidR="002F36A9" w:rsidRPr="00272261" w:rsidRDefault="002F36A9" w:rsidP="00E57161">
            <w:pPr>
              <w:keepNext/>
              <w:widowControl/>
              <w:jc w:val="center"/>
              <w:rPr>
                <w:rStyle w:val="CommentReference"/>
                <w:rFonts w:eastAsia="SimSun"/>
              </w:rPr>
            </w:pPr>
            <w:r w:rsidRPr="00272261">
              <w:rPr>
                <w:rStyle w:val="CommentReference"/>
                <w:rFonts w:eastAsia="SimSun"/>
              </w:rPr>
              <w:t>45.69 (24.74, 66.63)</w:t>
            </w:r>
          </w:p>
        </w:tc>
      </w:tr>
      <w:tr w:rsidR="002F36A9" w:rsidRPr="00272261" w:rsidTr="002F36A9">
        <w:tc>
          <w:tcPr>
            <w:tcW w:w="8345" w:type="dxa"/>
            <w:gridSpan w:val="3"/>
            <w:tcBorders>
              <w:top w:val="double" w:sz="4" w:space="0" w:color="auto"/>
            </w:tcBorders>
            <w:vAlign w:val="center"/>
          </w:tcPr>
          <w:p w:rsidR="002F36A9" w:rsidRPr="00272261" w:rsidRDefault="002F36A9" w:rsidP="00E57161">
            <w:pPr>
              <w:keepNext/>
              <w:widowControl/>
              <w:jc w:val="left"/>
              <w:rPr>
                <w:rStyle w:val="CommentReference"/>
                <w:rFonts w:eastAsia="SimSun"/>
              </w:rPr>
            </w:pPr>
            <w:r w:rsidRPr="00272261">
              <w:rPr>
                <w:rStyle w:val="CommentReference"/>
                <w:rFonts w:eastAsia="SimSun"/>
              </w:rPr>
              <w:t xml:space="preserve">Change in WHO functional </w:t>
            </w:r>
            <w:r w:rsidR="00466AD4" w:rsidRPr="00272261">
              <w:rPr>
                <w:rStyle w:val="CommentReference"/>
                <w:rFonts w:eastAsia="SimSun"/>
              </w:rPr>
              <w:t>class</w:t>
            </w:r>
            <w:r w:rsidR="00FC3261" w:rsidRPr="00272261">
              <w:rPr>
                <w:rStyle w:val="CommentReference"/>
                <w:rFonts w:eastAsia="SimSun"/>
              </w:rPr>
              <w:t xml:space="preserve"> (baseline to 16 weeks)</w:t>
            </w:r>
          </w:p>
        </w:tc>
      </w:tr>
      <w:tr w:rsidR="002F36A9" w:rsidRPr="00272261" w:rsidTr="002F36A9">
        <w:tc>
          <w:tcPr>
            <w:tcW w:w="3969" w:type="dxa"/>
          </w:tcPr>
          <w:p w:rsidR="002F36A9" w:rsidRPr="00272261" w:rsidRDefault="002F36A9" w:rsidP="00E57161">
            <w:pPr>
              <w:keepNext/>
              <w:widowControl/>
              <w:rPr>
                <w:rStyle w:val="CommentReference"/>
                <w:rFonts w:eastAsia="SimSun"/>
                <w:b w:val="0"/>
              </w:rPr>
            </w:pPr>
            <w:r w:rsidRPr="00272261">
              <w:rPr>
                <w:rStyle w:val="CommentReference"/>
                <w:rFonts w:eastAsia="SimSun"/>
                <w:b w:val="0"/>
              </w:rPr>
              <w:t>Improvement of ≥1 class (95% CI)</w:t>
            </w:r>
          </w:p>
        </w:tc>
        <w:tc>
          <w:tcPr>
            <w:tcW w:w="4376" w:type="dxa"/>
            <w:gridSpan w:val="2"/>
            <w:vAlign w:val="center"/>
          </w:tcPr>
          <w:p w:rsidR="002F36A9" w:rsidRPr="00272261" w:rsidRDefault="002F36A9" w:rsidP="00E57161">
            <w:pPr>
              <w:keepNext/>
              <w:widowControl/>
              <w:jc w:val="center"/>
              <w:rPr>
                <w:rStyle w:val="CommentReference"/>
                <w:rFonts w:eastAsia="SimSun"/>
              </w:rPr>
            </w:pPr>
            <w:r w:rsidRPr="00272261">
              <w:rPr>
                <w:rStyle w:val="CommentReference"/>
                <w:rFonts w:eastAsia="SimSun"/>
              </w:rPr>
              <w:t>RR* = 2.20 (1.28, 3.80)</w:t>
            </w:r>
          </w:p>
        </w:tc>
      </w:tr>
      <w:tr w:rsidR="002F36A9" w:rsidRPr="00272261" w:rsidTr="002F36A9">
        <w:tc>
          <w:tcPr>
            <w:tcW w:w="3969" w:type="dxa"/>
          </w:tcPr>
          <w:p w:rsidR="002F36A9" w:rsidRPr="00272261" w:rsidRDefault="002F36A9" w:rsidP="00E57161">
            <w:pPr>
              <w:keepNext/>
              <w:widowControl/>
              <w:rPr>
                <w:rStyle w:val="CommentReference"/>
                <w:rFonts w:eastAsia="SimSun"/>
                <w:b w:val="0"/>
              </w:rPr>
            </w:pPr>
            <w:r w:rsidRPr="00272261">
              <w:rPr>
                <w:rStyle w:val="CommentReference"/>
                <w:rFonts w:eastAsia="SimSun"/>
                <w:b w:val="0"/>
              </w:rPr>
              <w:t>Stable or improvement of ≥ 1 class (95% CI)</w:t>
            </w:r>
          </w:p>
        </w:tc>
        <w:tc>
          <w:tcPr>
            <w:tcW w:w="4376" w:type="dxa"/>
            <w:gridSpan w:val="2"/>
            <w:vAlign w:val="center"/>
          </w:tcPr>
          <w:p w:rsidR="002F36A9" w:rsidRPr="00272261" w:rsidRDefault="002F36A9" w:rsidP="00E57161">
            <w:pPr>
              <w:keepNext/>
              <w:widowControl/>
              <w:jc w:val="center"/>
              <w:rPr>
                <w:rStyle w:val="CommentReference"/>
                <w:rFonts w:eastAsia="SimSun"/>
                <w:b w:val="0"/>
              </w:rPr>
            </w:pPr>
            <w:r w:rsidRPr="00272261">
              <w:rPr>
                <w:rStyle w:val="CommentReference"/>
                <w:rFonts w:eastAsia="SimSun"/>
                <w:b w:val="0"/>
              </w:rPr>
              <w:t>RR* = 1.02 (0.95, 1.09)</w:t>
            </w:r>
          </w:p>
        </w:tc>
      </w:tr>
    </w:tbl>
    <w:p w:rsidR="002F36A9" w:rsidRPr="00272261" w:rsidRDefault="00C563D4" w:rsidP="00E57161">
      <w:pPr>
        <w:pStyle w:val="TableFooter"/>
        <w:keepNext/>
        <w:widowControl/>
        <w:ind w:left="720"/>
        <w:rPr>
          <w:rStyle w:val="CommentReference"/>
          <w:b w:val="0"/>
          <w:sz w:val="18"/>
        </w:rPr>
      </w:pPr>
      <w:r w:rsidRPr="00272261">
        <w:rPr>
          <w:rStyle w:val="CommentReference"/>
          <w:b w:val="0"/>
          <w:sz w:val="18"/>
        </w:rPr>
        <w:t>*</w:t>
      </w:r>
      <w:r w:rsidR="002F36A9" w:rsidRPr="00272261">
        <w:rPr>
          <w:rStyle w:val="CommentReference"/>
          <w:b w:val="0"/>
          <w:sz w:val="18"/>
        </w:rPr>
        <w:t xml:space="preserve">Relative risks calculated during the evaluation using StatsDirect Version 2.7.9.  </w:t>
      </w:r>
      <w:r w:rsidR="00CB3DAB" w:rsidRPr="00272261">
        <w:rPr>
          <w:rStyle w:val="CommentReference"/>
          <w:sz w:val="18"/>
        </w:rPr>
        <w:t xml:space="preserve">Values in bold represent statistically significant differences observed between </w:t>
      </w:r>
      <w:r w:rsidR="00C7727B" w:rsidRPr="00272261">
        <w:rPr>
          <w:rStyle w:val="CommentReference"/>
          <w:sz w:val="18"/>
        </w:rPr>
        <w:t xml:space="preserve">treatment </w:t>
      </w:r>
      <w:r w:rsidR="00CB3DAB" w:rsidRPr="00272261">
        <w:rPr>
          <w:rStyle w:val="CommentReference"/>
          <w:sz w:val="18"/>
        </w:rPr>
        <w:t xml:space="preserve">groups. </w:t>
      </w:r>
      <w:r w:rsidR="00CB3DAB" w:rsidRPr="00272261">
        <w:rPr>
          <w:rStyle w:val="CommentReference"/>
          <w:b w:val="0"/>
          <w:sz w:val="18"/>
        </w:rPr>
        <w:t xml:space="preserve"> </w:t>
      </w:r>
      <w:r w:rsidR="002F36A9" w:rsidRPr="00272261">
        <w:rPr>
          <w:rStyle w:val="CommentReference"/>
          <w:b w:val="0"/>
          <w:sz w:val="18"/>
        </w:rPr>
        <w:t>6MWD = 6</w:t>
      </w:r>
      <w:r w:rsidR="00125792" w:rsidRPr="00272261">
        <w:rPr>
          <w:rStyle w:val="CommentReference"/>
          <w:b w:val="0"/>
          <w:sz w:val="18"/>
        </w:rPr>
        <w:t>-</w:t>
      </w:r>
      <w:r w:rsidR="002F36A9" w:rsidRPr="00272261">
        <w:rPr>
          <w:rStyle w:val="CommentReference"/>
          <w:b w:val="0"/>
          <w:sz w:val="18"/>
        </w:rPr>
        <w:t>minute walking distance test; RR = relative risk</w:t>
      </w:r>
      <w:r w:rsidR="006D15B0" w:rsidRPr="00272261">
        <w:rPr>
          <w:rStyle w:val="CommentReference"/>
          <w:b w:val="0"/>
          <w:sz w:val="18"/>
        </w:rPr>
        <w:t>; SD = standard deviation</w:t>
      </w:r>
      <w:r w:rsidR="00026F71" w:rsidRPr="00272261">
        <w:rPr>
          <w:rStyle w:val="CommentReference"/>
          <w:b w:val="0"/>
          <w:sz w:val="18"/>
        </w:rPr>
        <w:t>; 95%CI = 95% confidence interval</w:t>
      </w:r>
      <w:r w:rsidR="002F36A9" w:rsidRPr="00272261">
        <w:rPr>
          <w:rStyle w:val="CommentReference"/>
          <w:b w:val="0"/>
          <w:sz w:val="18"/>
        </w:rPr>
        <w:t>.  Source: Table B.6-1, p</w:t>
      </w:r>
      <w:r w:rsidR="00284104" w:rsidRPr="00272261">
        <w:rPr>
          <w:rStyle w:val="CommentReference"/>
          <w:b w:val="0"/>
          <w:sz w:val="18"/>
        </w:rPr>
        <w:t>99</w:t>
      </w:r>
      <w:r w:rsidR="002F36A9" w:rsidRPr="00272261">
        <w:rPr>
          <w:rStyle w:val="CommentReference"/>
          <w:b w:val="0"/>
          <w:sz w:val="18"/>
        </w:rPr>
        <w:t>; Table B.6-6, p</w:t>
      </w:r>
      <w:r w:rsidR="00284104" w:rsidRPr="00272261">
        <w:rPr>
          <w:rStyle w:val="CommentReference"/>
          <w:b w:val="0"/>
          <w:sz w:val="18"/>
        </w:rPr>
        <w:t>107</w:t>
      </w:r>
      <w:r w:rsidR="002F36A9" w:rsidRPr="00272261">
        <w:rPr>
          <w:rStyle w:val="CommentReference"/>
          <w:b w:val="0"/>
          <w:sz w:val="18"/>
        </w:rPr>
        <w:t xml:space="preserve"> of the re-submission</w:t>
      </w:r>
      <w:r w:rsidR="006D15B0" w:rsidRPr="00272261">
        <w:rPr>
          <w:rStyle w:val="CommentReference"/>
          <w:b w:val="0"/>
          <w:sz w:val="18"/>
        </w:rPr>
        <w:t>.</w:t>
      </w:r>
    </w:p>
    <w:p w:rsidR="002F36A9" w:rsidRPr="00272261" w:rsidRDefault="002F36A9" w:rsidP="00E57161">
      <w:pPr>
        <w:widowControl/>
        <w:rPr>
          <w:szCs w:val="22"/>
          <w:highlight w:val="yellow"/>
        </w:rPr>
      </w:pPr>
    </w:p>
    <w:p w:rsidR="002F36A9" w:rsidRPr="00272261" w:rsidRDefault="002F36A9" w:rsidP="00E57161">
      <w:pPr>
        <w:pStyle w:val="Heading2"/>
        <w:widowControl/>
        <w:rPr>
          <w:i/>
        </w:rPr>
      </w:pPr>
      <w:bookmarkStart w:id="19" w:name="_Toc416959988"/>
      <w:bookmarkStart w:id="20" w:name="_Toc440895083"/>
      <w:r w:rsidRPr="00272261">
        <w:rPr>
          <w:i/>
        </w:rPr>
        <w:t>Comparative harms</w:t>
      </w:r>
      <w:bookmarkEnd w:id="19"/>
      <w:bookmarkEnd w:id="20"/>
    </w:p>
    <w:p w:rsidR="002F36A9" w:rsidRPr="00272261" w:rsidRDefault="002F36A9" w:rsidP="00E57161">
      <w:pPr>
        <w:widowControl/>
        <w:ind w:left="720" w:hanging="720"/>
        <w:rPr>
          <w:szCs w:val="22"/>
        </w:rPr>
      </w:pPr>
    </w:p>
    <w:p w:rsidR="002F36A9" w:rsidRPr="00272261" w:rsidRDefault="00CB22A8" w:rsidP="00E57161">
      <w:pPr>
        <w:pStyle w:val="ListParagraph"/>
        <w:widowControl/>
        <w:numPr>
          <w:ilvl w:val="1"/>
          <w:numId w:val="2"/>
        </w:numPr>
        <w:rPr>
          <w:szCs w:val="22"/>
        </w:rPr>
      </w:pPr>
      <w:r w:rsidRPr="00272261">
        <w:t xml:space="preserve">The comparative harms for riociguat versus placebo </w:t>
      </w:r>
      <w:r w:rsidR="00125792" w:rsidRPr="00272261">
        <w:t>we</w:t>
      </w:r>
      <w:r w:rsidR="00BF04D4" w:rsidRPr="00272261">
        <w:t>re unchanged from the July </w:t>
      </w:r>
      <w:r w:rsidRPr="00272261">
        <w:t>2015 re-submission and are summarised as follows: i</w:t>
      </w:r>
      <w:r w:rsidR="002F36A9" w:rsidRPr="00272261">
        <w:t>n the CHEST-1 trial there was a statistically significant increased incidence of dizzines</w:t>
      </w:r>
      <w:r w:rsidR="00BF04D4" w:rsidRPr="00272261">
        <w:t>s (RD% 11.6, 95% CI: </w:t>
      </w:r>
      <w:r w:rsidR="0079227D" w:rsidRPr="00272261">
        <w:t xml:space="preserve">5.1, 18.2) and </w:t>
      </w:r>
      <w:r w:rsidR="002F36A9" w:rsidRPr="00272261">
        <w:t>hypotension (RD%: 8.1, 95%</w:t>
      </w:r>
      <w:r w:rsidR="00D92969" w:rsidRPr="00272261">
        <w:t> </w:t>
      </w:r>
      <w:r w:rsidR="002F36A9" w:rsidRPr="00272261">
        <w:t>CI:</w:t>
      </w:r>
      <w:r w:rsidR="00D92969" w:rsidRPr="00272261">
        <w:t> </w:t>
      </w:r>
      <w:r w:rsidR="002F36A9" w:rsidRPr="00272261">
        <w:t>2.3,</w:t>
      </w:r>
      <w:r w:rsidR="00D92969" w:rsidRPr="00272261">
        <w:t> </w:t>
      </w:r>
      <w:r w:rsidR="002F36A9" w:rsidRPr="00272261">
        <w:t>13.9)</w:t>
      </w:r>
      <w:r w:rsidR="0079227D" w:rsidRPr="00272261">
        <w:t xml:space="preserve"> </w:t>
      </w:r>
      <w:r w:rsidR="002F36A9" w:rsidRPr="00272261">
        <w:t xml:space="preserve">in the riociguat treatment arm compared </w:t>
      </w:r>
      <w:r w:rsidR="00E67BED" w:rsidRPr="00272261">
        <w:t xml:space="preserve">with </w:t>
      </w:r>
      <w:r w:rsidR="002F36A9" w:rsidRPr="00272261">
        <w:t xml:space="preserve">placebo. Additional data </w:t>
      </w:r>
      <w:r w:rsidRPr="00272261">
        <w:t>presented in the re</w:t>
      </w:r>
      <w:r w:rsidR="00E67BED" w:rsidRPr="00272261">
        <w:noBreakHyphen/>
      </w:r>
      <w:r w:rsidRPr="00272261">
        <w:t xml:space="preserve">submission in the form of an updated </w:t>
      </w:r>
      <w:r w:rsidR="002F36A9" w:rsidRPr="00272261">
        <w:t>periodic safety update report did not suggest any new safety concerns.</w:t>
      </w:r>
    </w:p>
    <w:p w:rsidR="002F36A9" w:rsidRPr="00272261" w:rsidRDefault="002F36A9" w:rsidP="00E57161">
      <w:pPr>
        <w:pStyle w:val="ListParagraph"/>
        <w:widowControl/>
        <w:ind w:left="0"/>
        <w:rPr>
          <w:szCs w:val="22"/>
        </w:rPr>
      </w:pPr>
    </w:p>
    <w:p w:rsidR="002F36A9" w:rsidRPr="00272261" w:rsidRDefault="002F36A9" w:rsidP="00E57161">
      <w:pPr>
        <w:pStyle w:val="Heading2"/>
        <w:keepNext/>
        <w:widowControl/>
        <w:rPr>
          <w:i/>
          <w:szCs w:val="22"/>
        </w:rPr>
      </w:pPr>
      <w:bookmarkStart w:id="21" w:name="_Toc416959989"/>
      <w:bookmarkStart w:id="22" w:name="_Toc440895084"/>
      <w:r w:rsidRPr="00272261">
        <w:rPr>
          <w:i/>
        </w:rPr>
        <w:t>Benefits/harms</w:t>
      </w:r>
      <w:bookmarkEnd w:id="21"/>
      <w:bookmarkEnd w:id="22"/>
    </w:p>
    <w:p w:rsidR="002F36A9" w:rsidRPr="00272261" w:rsidRDefault="002F36A9" w:rsidP="00E57161">
      <w:pPr>
        <w:pStyle w:val="ListParagraph"/>
        <w:keepNext/>
        <w:widowControl/>
        <w:ind w:left="0"/>
        <w:rPr>
          <w:szCs w:val="22"/>
          <w:highlight w:val="yellow"/>
        </w:rPr>
      </w:pPr>
    </w:p>
    <w:p w:rsidR="002F36A9" w:rsidRPr="00272261" w:rsidRDefault="00CB22A8" w:rsidP="00E57161">
      <w:pPr>
        <w:pStyle w:val="ListParagraph"/>
        <w:widowControl/>
        <w:numPr>
          <w:ilvl w:val="1"/>
          <w:numId w:val="2"/>
        </w:numPr>
        <w:rPr>
          <w:szCs w:val="22"/>
        </w:rPr>
      </w:pPr>
      <w:r w:rsidRPr="00272261">
        <w:rPr>
          <w:szCs w:val="22"/>
        </w:rPr>
        <w:t xml:space="preserve">The comparative benefits and harms for riociguat versus placebo </w:t>
      </w:r>
      <w:r w:rsidR="00E66F4F" w:rsidRPr="00272261">
        <w:rPr>
          <w:szCs w:val="22"/>
        </w:rPr>
        <w:t>we</w:t>
      </w:r>
      <w:r w:rsidRPr="00272261">
        <w:rPr>
          <w:szCs w:val="22"/>
        </w:rPr>
        <w:t>re unchanged from the July 2015 re-submission and are summarised i</w:t>
      </w:r>
      <w:r w:rsidR="002F36A9" w:rsidRPr="00272261">
        <w:rPr>
          <w:szCs w:val="22"/>
        </w:rPr>
        <w:t xml:space="preserve">n the </w:t>
      </w:r>
      <w:r w:rsidR="00BF04D4" w:rsidRPr="00272261">
        <w:rPr>
          <w:szCs w:val="22"/>
        </w:rPr>
        <w:t xml:space="preserve">following </w:t>
      </w:r>
      <w:r w:rsidR="002F36A9" w:rsidRPr="00272261">
        <w:rPr>
          <w:szCs w:val="22"/>
        </w:rPr>
        <w:t xml:space="preserve">table. </w:t>
      </w:r>
    </w:p>
    <w:p w:rsidR="002F36A9" w:rsidRPr="00272261" w:rsidRDefault="002F36A9" w:rsidP="00E57161">
      <w:pPr>
        <w:widowControl/>
        <w:ind w:left="720"/>
        <w:rPr>
          <w:szCs w:val="22"/>
        </w:rPr>
      </w:pPr>
    </w:p>
    <w:p w:rsidR="002F36A9" w:rsidRPr="00272261" w:rsidRDefault="002F36A9" w:rsidP="00E57161">
      <w:pPr>
        <w:keepNext/>
        <w:widowControl/>
        <w:ind w:firstLine="720"/>
        <w:rPr>
          <w:rStyle w:val="CommentReference"/>
        </w:rPr>
      </w:pPr>
      <w:r w:rsidRPr="00272261">
        <w:rPr>
          <w:rStyle w:val="CommentReference"/>
        </w:rPr>
        <w:t xml:space="preserve">Table </w:t>
      </w:r>
      <w:r w:rsidR="00826A30" w:rsidRPr="00272261">
        <w:rPr>
          <w:rStyle w:val="CommentReference"/>
        </w:rPr>
        <w:t>5</w:t>
      </w:r>
      <w:r w:rsidRPr="00272261">
        <w:rPr>
          <w:rStyle w:val="CommentReference"/>
        </w:rPr>
        <w:t>: Summary of comparative benefits and harms for riociguat and placebo (CHEST-1)</w:t>
      </w:r>
    </w:p>
    <w:tbl>
      <w:tblPr>
        <w:tblStyle w:val="TableGrid"/>
        <w:tblW w:w="4616" w:type="pct"/>
        <w:tblInd w:w="698" w:type="dxa"/>
        <w:tblLayout w:type="fixed"/>
        <w:tblCellMar>
          <w:left w:w="28" w:type="dxa"/>
          <w:right w:w="28" w:type="dxa"/>
        </w:tblCellMar>
        <w:tblLook w:val="04A0" w:firstRow="1" w:lastRow="0" w:firstColumn="1" w:lastColumn="0" w:noHBand="0" w:noVBand="1"/>
        <w:tblCaption w:val="Summary of comparative benefits and harms for riociguat and placebo (CHEST-1)"/>
      </w:tblPr>
      <w:tblGrid>
        <w:gridCol w:w="1032"/>
        <w:gridCol w:w="803"/>
        <w:gridCol w:w="402"/>
        <w:gridCol w:w="401"/>
        <w:gridCol w:w="805"/>
        <w:gridCol w:w="850"/>
        <w:gridCol w:w="555"/>
        <w:gridCol w:w="25"/>
        <w:gridCol w:w="270"/>
        <w:gridCol w:w="849"/>
        <w:gridCol w:w="1040"/>
        <w:gridCol w:w="37"/>
        <w:gridCol w:w="1316"/>
      </w:tblGrid>
      <w:tr w:rsidR="002F36A9" w:rsidRPr="00272261" w:rsidTr="00F24244">
        <w:trPr>
          <w:trHeight w:val="20"/>
          <w:tblHeader/>
        </w:trPr>
        <w:tc>
          <w:tcPr>
            <w:tcW w:w="615" w:type="pct"/>
            <w:vMerge w:val="restart"/>
            <w:shd w:val="clear" w:color="auto" w:fill="auto"/>
            <w:vAlign w:val="center"/>
          </w:tcPr>
          <w:p w:rsidR="002F36A9" w:rsidRPr="00272261" w:rsidRDefault="002F36A9" w:rsidP="00E57161">
            <w:pPr>
              <w:keepNext/>
              <w:widowControl/>
              <w:rPr>
                <w:rFonts w:ascii="Arial Narrow" w:hAnsi="Arial Narrow"/>
                <w:b/>
                <w:color w:val="000000"/>
                <w:sz w:val="20"/>
                <w:szCs w:val="18"/>
              </w:rPr>
            </w:pPr>
          </w:p>
        </w:tc>
        <w:tc>
          <w:tcPr>
            <w:tcW w:w="1438" w:type="pct"/>
            <w:gridSpan w:val="4"/>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Riociguat</w:t>
            </w:r>
          </w:p>
        </w:tc>
        <w:tc>
          <w:tcPr>
            <w:tcW w:w="1520" w:type="pct"/>
            <w:gridSpan w:val="5"/>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Placebo</w:t>
            </w:r>
          </w:p>
        </w:tc>
        <w:tc>
          <w:tcPr>
            <w:tcW w:w="1427" w:type="pct"/>
            <w:gridSpan w:val="3"/>
            <w:vMerge w:val="restart"/>
            <w:vAlign w:val="center"/>
          </w:tcPr>
          <w:p w:rsidR="002F36A9" w:rsidRPr="00272261" w:rsidRDefault="002F36A9" w:rsidP="00E57161">
            <w:pPr>
              <w:keepNext/>
              <w:widowControl/>
              <w:jc w:val="center"/>
              <w:rPr>
                <w:rFonts w:ascii="Arial Narrow" w:hAnsi="Arial Narrow"/>
                <w:b/>
                <w:sz w:val="20"/>
                <w:szCs w:val="18"/>
              </w:rPr>
            </w:pPr>
            <w:r w:rsidRPr="00272261">
              <w:rPr>
                <w:rFonts w:ascii="Arial Narrow" w:hAnsi="Arial Narrow"/>
                <w:b/>
                <w:sz w:val="20"/>
              </w:rPr>
              <w:t>LSMD: Riociguat vs. placebo (95% CI)</w:t>
            </w:r>
          </w:p>
        </w:tc>
      </w:tr>
      <w:tr w:rsidR="002F36A9" w:rsidRPr="00272261" w:rsidTr="00F24244">
        <w:trPr>
          <w:trHeight w:val="70"/>
          <w:tblHeader/>
        </w:trPr>
        <w:tc>
          <w:tcPr>
            <w:tcW w:w="615" w:type="pct"/>
            <w:vMerge/>
            <w:shd w:val="clear" w:color="auto" w:fill="auto"/>
            <w:vAlign w:val="center"/>
          </w:tcPr>
          <w:p w:rsidR="002F36A9" w:rsidRPr="00272261" w:rsidRDefault="002F36A9" w:rsidP="00E57161">
            <w:pPr>
              <w:keepNext/>
              <w:widowControl/>
              <w:rPr>
                <w:rFonts w:ascii="Arial Narrow" w:hAnsi="Arial Narrow"/>
                <w:b/>
                <w:color w:val="000000"/>
                <w:sz w:val="20"/>
                <w:szCs w:val="18"/>
              </w:rPr>
            </w:pPr>
          </w:p>
        </w:tc>
        <w:tc>
          <w:tcPr>
            <w:tcW w:w="479" w:type="pct"/>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n</w:t>
            </w:r>
          </w:p>
        </w:tc>
        <w:tc>
          <w:tcPr>
            <w:tcW w:w="479" w:type="pct"/>
            <w:gridSpan w:val="2"/>
            <w:vAlign w:val="center"/>
          </w:tcPr>
          <w:p w:rsidR="002F36A9" w:rsidRPr="00272261" w:rsidRDefault="002F36A9" w:rsidP="00E57161">
            <w:pPr>
              <w:keepNext/>
              <w:widowControl/>
              <w:jc w:val="center"/>
              <w:rPr>
                <w:rFonts w:ascii="Arial Narrow" w:hAnsi="Arial Narrow"/>
                <w:b/>
                <w:sz w:val="20"/>
                <w:szCs w:val="18"/>
              </w:rPr>
            </w:pPr>
            <w:r w:rsidRPr="00272261">
              <w:rPr>
                <w:rFonts w:ascii="Arial Narrow" w:hAnsi="Arial Narrow"/>
                <w:b/>
                <w:sz w:val="20"/>
                <w:szCs w:val="18"/>
              </w:rPr>
              <w:t>Mean ∆ baseline</w:t>
            </w:r>
          </w:p>
        </w:tc>
        <w:tc>
          <w:tcPr>
            <w:tcW w:w="480" w:type="pct"/>
            <w:vAlign w:val="center"/>
          </w:tcPr>
          <w:p w:rsidR="002F36A9" w:rsidRPr="00272261" w:rsidRDefault="002F36A9" w:rsidP="00E57161">
            <w:pPr>
              <w:keepNext/>
              <w:widowControl/>
              <w:jc w:val="center"/>
              <w:rPr>
                <w:rFonts w:ascii="Arial Narrow" w:hAnsi="Arial Narrow"/>
                <w:b/>
                <w:sz w:val="20"/>
                <w:szCs w:val="18"/>
              </w:rPr>
            </w:pPr>
            <w:r w:rsidRPr="00272261">
              <w:rPr>
                <w:rFonts w:ascii="Arial Narrow" w:hAnsi="Arial Narrow"/>
                <w:b/>
                <w:sz w:val="20"/>
                <w:szCs w:val="18"/>
              </w:rPr>
              <w:t>SD</w:t>
            </w:r>
          </w:p>
        </w:tc>
        <w:tc>
          <w:tcPr>
            <w:tcW w:w="507" w:type="pct"/>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n</w:t>
            </w:r>
          </w:p>
        </w:tc>
        <w:tc>
          <w:tcPr>
            <w:tcW w:w="507" w:type="pct"/>
            <w:gridSpan w:val="3"/>
            <w:vAlign w:val="center"/>
          </w:tcPr>
          <w:p w:rsidR="002F36A9" w:rsidRPr="00272261" w:rsidRDefault="002F36A9" w:rsidP="00E57161">
            <w:pPr>
              <w:keepNext/>
              <w:widowControl/>
              <w:jc w:val="center"/>
              <w:rPr>
                <w:rFonts w:ascii="Arial Narrow" w:hAnsi="Arial Narrow"/>
                <w:b/>
                <w:sz w:val="20"/>
                <w:szCs w:val="18"/>
              </w:rPr>
            </w:pPr>
            <w:r w:rsidRPr="00272261">
              <w:rPr>
                <w:rFonts w:ascii="Arial Narrow" w:hAnsi="Arial Narrow"/>
                <w:b/>
                <w:sz w:val="20"/>
                <w:szCs w:val="18"/>
              </w:rPr>
              <w:t xml:space="preserve">Mean ∆ baseline </w:t>
            </w:r>
          </w:p>
        </w:tc>
        <w:tc>
          <w:tcPr>
            <w:tcW w:w="506" w:type="pct"/>
            <w:vAlign w:val="center"/>
          </w:tcPr>
          <w:p w:rsidR="002F36A9" w:rsidRPr="00272261" w:rsidRDefault="002F36A9" w:rsidP="00E57161">
            <w:pPr>
              <w:keepNext/>
              <w:widowControl/>
              <w:jc w:val="center"/>
              <w:rPr>
                <w:rFonts w:ascii="Arial Narrow" w:hAnsi="Arial Narrow"/>
                <w:b/>
                <w:sz w:val="20"/>
                <w:szCs w:val="18"/>
              </w:rPr>
            </w:pPr>
            <w:r w:rsidRPr="00272261">
              <w:rPr>
                <w:rFonts w:ascii="Arial Narrow" w:hAnsi="Arial Narrow"/>
                <w:b/>
                <w:sz w:val="20"/>
                <w:szCs w:val="18"/>
              </w:rPr>
              <w:t>SD</w:t>
            </w:r>
          </w:p>
        </w:tc>
        <w:tc>
          <w:tcPr>
            <w:tcW w:w="1427" w:type="pct"/>
            <w:gridSpan w:val="3"/>
            <w:vMerge/>
            <w:vAlign w:val="center"/>
          </w:tcPr>
          <w:p w:rsidR="002F36A9" w:rsidRPr="00272261" w:rsidRDefault="002F36A9" w:rsidP="00E57161">
            <w:pPr>
              <w:keepNext/>
              <w:widowControl/>
              <w:jc w:val="center"/>
              <w:rPr>
                <w:rFonts w:ascii="Arial Narrow" w:hAnsi="Arial Narrow"/>
                <w:b/>
                <w:sz w:val="20"/>
                <w:szCs w:val="18"/>
              </w:rPr>
            </w:pPr>
          </w:p>
        </w:tc>
      </w:tr>
      <w:tr w:rsidR="002F36A9" w:rsidRPr="00272261" w:rsidTr="002F36A9">
        <w:trPr>
          <w:trHeight w:val="20"/>
        </w:trPr>
        <w:tc>
          <w:tcPr>
            <w:tcW w:w="5000" w:type="pct"/>
            <w:gridSpan w:val="13"/>
            <w:shd w:val="clear" w:color="auto" w:fill="auto"/>
            <w:vAlign w:val="center"/>
          </w:tcPr>
          <w:p w:rsidR="002F36A9" w:rsidRPr="00272261" w:rsidRDefault="002F36A9" w:rsidP="00E57161">
            <w:pPr>
              <w:keepNext/>
              <w:widowControl/>
              <w:rPr>
                <w:rFonts w:ascii="Arial Narrow" w:hAnsi="Arial Narrow"/>
                <w:b/>
                <w:color w:val="000000"/>
                <w:sz w:val="20"/>
                <w:szCs w:val="18"/>
              </w:rPr>
            </w:pPr>
            <w:r w:rsidRPr="00272261">
              <w:rPr>
                <w:rFonts w:ascii="Arial Narrow" w:hAnsi="Arial Narrow"/>
                <w:b/>
                <w:color w:val="000000"/>
                <w:sz w:val="20"/>
                <w:szCs w:val="18"/>
              </w:rPr>
              <w:t>Benefits</w:t>
            </w:r>
          </w:p>
        </w:tc>
      </w:tr>
      <w:tr w:rsidR="002F36A9" w:rsidRPr="00272261" w:rsidTr="002F36A9">
        <w:trPr>
          <w:trHeight w:val="20"/>
        </w:trPr>
        <w:tc>
          <w:tcPr>
            <w:tcW w:w="5000" w:type="pct"/>
            <w:gridSpan w:val="13"/>
            <w:tcBorders>
              <w:top w:val="single" w:sz="4" w:space="0" w:color="auto"/>
            </w:tcBorders>
            <w:shd w:val="clear" w:color="auto" w:fill="auto"/>
            <w:vAlign w:val="center"/>
          </w:tcPr>
          <w:p w:rsidR="002F36A9" w:rsidRPr="00272261" w:rsidRDefault="002F36A9" w:rsidP="00E57161">
            <w:pPr>
              <w:keepNext/>
              <w:widowControl/>
              <w:rPr>
                <w:rFonts w:ascii="Arial Narrow" w:hAnsi="Arial Narrow"/>
                <w:b/>
                <w:i/>
                <w:color w:val="000000"/>
                <w:sz w:val="20"/>
                <w:szCs w:val="18"/>
              </w:rPr>
            </w:pPr>
            <w:r w:rsidRPr="00272261">
              <w:rPr>
                <w:rFonts w:ascii="Arial Narrow" w:hAnsi="Arial Narrow"/>
                <w:b/>
                <w:i/>
                <w:sz w:val="20"/>
              </w:rPr>
              <w:t>Change in 6MWD, metres</w:t>
            </w:r>
          </w:p>
        </w:tc>
      </w:tr>
      <w:tr w:rsidR="002F36A9" w:rsidRPr="00272261" w:rsidTr="002F36A9">
        <w:trPr>
          <w:trHeight w:val="20"/>
        </w:trPr>
        <w:tc>
          <w:tcPr>
            <w:tcW w:w="615" w:type="pct"/>
            <w:tcBorders>
              <w:bottom w:val="double" w:sz="4" w:space="0" w:color="auto"/>
            </w:tcBorders>
            <w:shd w:val="clear" w:color="auto" w:fill="auto"/>
            <w:vAlign w:val="center"/>
          </w:tcPr>
          <w:p w:rsidR="002F36A9" w:rsidRPr="00272261" w:rsidRDefault="002F36A9" w:rsidP="00E57161">
            <w:pPr>
              <w:keepNext/>
              <w:widowControl/>
              <w:rPr>
                <w:rFonts w:ascii="Arial Narrow" w:hAnsi="Arial Narrow"/>
                <w:color w:val="000000"/>
                <w:sz w:val="20"/>
                <w:szCs w:val="18"/>
              </w:rPr>
            </w:pPr>
            <w:r w:rsidRPr="00272261">
              <w:rPr>
                <w:rFonts w:ascii="Arial Narrow" w:hAnsi="Arial Narrow"/>
                <w:color w:val="000000"/>
                <w:sz w:val="20"/>
                <w:szCs w:val="18"/>
              </w:rPr>
              <w:t>CHEST-1</w:t>
            </w:r>
          </w:p>
        </w:tc>
        <w:tc>
          <w:tcPr>
            <w:tcW w:w="479" w:type="pct"/>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173</w:t>
            </w:r>
          </w:p>
        </w:tc>
        <w:tc>
          <w:tcPr>
            <w:tcW w:w="479" w:type="pct"/>
            <w:gridSpan w:val="2"/>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38.9</w:t>
            </w:r>
          </w:p>
        </w:tc>
        <w:tc>
          <w:tcPr>
            <w:tcW w:w="480" w:type="pct"/>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79.3</w:t>
            </w:r>
          </w:p>
        </w:tc>
        <w:tc>
          <w:tcPr>
            <w:tcW w:w="507" w:type="pct"/>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88</w:t>
            </w:r>
          </w:p>
        </w:tc>
        <w:tc>
          <w:tcPr>
            <w:tcW w:w="507" w:type="pct"/>
            <w:gridSpan w:val="3"/>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-5.5</w:t>
            </w:r>
          </w:p>
        </w:tc>
        <w:tc>
          <w:tcPr>
            <w:tcW w:w="506" w:type="pct"/>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84.3</w:t>
            </w:r>
          </w:p>
        </w:tc>
        <w:tc>
          <w:tcPr>
            <w:tcW w:w="1427" w:type="pct"/>
            <w:gridSpan w:val="3"/>
            <w:tcBorders>
              <w:bottom w:val="double" w:sz="4" w:space="0" w:color="auto"/>
            </w:tcBorders>
            <w:vAlign w:val="center"/>
          </w:tcPr>
          <w:p w:rsidR="002F36A9" w:rsidRPr="00272261" w:rsidRDefault="002F36A9" w:rsidP="00E57161">
            <w:pPr>
              <w:keepNext/>
              <w:widowControl/>
              <w:jc w:val="center"/>
              <w:rPr>
                <w:rFonts w:ascii="Arial Narrow" w:hAnsi="Arial Narrow"/>
                <w:sz w:val="20"/>
                <w:szCs w:val="18"/>
              </w:rPr>
            </w:pPr>
            <w:r w:rsidRPr="00272261">
              <w:rPr>
                <w:rFonts w:ascii="Arial Narrow" w:hAnsi="Arial Narrow"/>
                <w:sz w:val="20"/>
              </w:rPr>
              <w:t>45.</w:t>
            </w:r>
            <w:r w:rsidR="005777B5" w:rsidRPr="00272261">
              <w:rPr>
                <w:rFonts w:ascii="Arial Narrow" w:hAnsi="Arial Narrow"/>
                <w:sz w:val="20"/>
              </w:rPr>
              <w:t xml:space="preserve">7 </w:t>
            </w:r>
            <w:r w:rsidRPr="00272261">
              <w:rPr>
                <w:rFonts w:ascii="Arial Narrow" w:hAnsi="Arial Narrow"/>
                <w:sz w:val="20"/>
              </w:rPr>
              <w:t>(24.7, 66.6)</w:t>
            </w:r>
          </w:p>
        </w:tc>
      </w:tr>
      <w:tr w:rsidR="002F36A9" w:rsidRPr="00272261" w:rsidTr="002F36A9">
        <w:trPr>
          <w:trHeight w:val="20"/>
        </w:trPr>
        <w:tc>
          <w:tcPr>
            <w:tcW w:w="615" w:type="pct"/>
            <w:vMerge w:val="restart"/>
            <w:tcBorders>
              <w:top w:val="double" w:sz="4" w:space="0" w:color="auto"/>
            </w:tcBorders>
            <w:shd w:val="clear" w:color="auto" w:fill="auto"/>
            <w:vAlign w:val="center"/>
          </w:tcPr>
          <w:p w:rsidR="002F36A9" w:rsidRPr="00272261" w:rsidRDefault="002F36A9" w:rsidP="00E57161">
            <w:pPr>
              <w:keepNext/>
              <w:widowControl/>
              <w:rPr>
                <w:rFonts w:ascii="Arial Narrow" w:hAnsi="Arial Narrow"/>
                <w:b/>
                <w:color w:val="000000"/>
                <w:sz w:val="20"/>
                <w:szCs w:val="18"/>
              </w:rPr>
            </w:pPr>
          </w:p>
        </w:tc>
        <w:tc>
          <w:tcPr>
            <w:tcW w:w="719" w:type="pct"/>
            <w:gridSpan w:val="2"/>
            <w:vMerge w:val="restart"/>
            <w:tcBorders>
              <w:top w:val="double" w:sz="4" w:space="0" w:color="auto"/>
            </w:tcBorders>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Riociguat</w:t>
            </w:r>
          </w:p>
        </w:tc>
        <w:tc>
          <w:tcPr>
            <w:tcW w:w="719" w:type="pct"/>
            <w:gridSpan w:val="2"/>
            <w:vMerge w:val="restart"/>
            <w:tcBorders>
              <w:top w:val="double" w:sz="4" w:space="0" w:color="auto"/>
            </w:tcBorders>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Placebo</w:t>
            </w:r>
          </w:p>
        </w:tc>
        <w:tc>
          <w:tcPr>
            <w:tcW w:w="853" w:type="pct"/>
            <w:gridSpan w:val="3"/>
            <w:vMerge w:val="restart"/>
            <w:tcBorders>
              <w:top w:val="double" w:sz="4" w:space="0" w:color="auto"/>
            </w:tcBorders>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RR (95% CI)</w:t>
            </w:r>
          </w:p>
        </w:tc>
        <w:tc>
          <w:tcPr>
            <w:tcW w:w="1287" w:type="pct"/>
            <w:gridSpan w:val="3"/>
            <w:tcBorders>
              <w:top w:val="double" w:sz="4" w:space="0" w:color="auto"/>
            </w:tcBorders>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 xml:space="preserve">Event rate/100 patients* </w:t>
            </w:r>
          </w:p>
        </w:tc>
        <w:tc>
          <w:tcPr>
            <w:tcW w:w="807" w:type="pct"/>
            <w:gridSpan w:val="2"/>
            <w:vMerge w:val="restart"/>
            <w:tcBorders>
              <w:top w:val="double" w:sz="4" w:space="0" w:color="auto"/>
            </w:tcBorders>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RD% (95% CI)</w:t>
            </w:r>
          </w:p>
        </w:tc>
      </w:tr>
      <w:tr w:rsidR="002F36A9" w:rsidRPr="00272261" w:rsidTr="002F36A9">
        <w:trPr>
          <w:trHeight w:val="20"/>
        </w:trPr>
        <w:tc>
          <w:tcPr>
            <w:tcW w:w="615" w:type="pct"/>
            <w:vMerge/>
            <w:shd w:val="clear" w:color="auto" w:fill="auto"/>
            <w:vAlign w:val="center"/>
          </w:tcPr>
          <w:p w:rsidR="002F36A9" w:rsidRPr="00272261" w:rsidRDefault="002F36A9" w:rsidP="00E57161">
            <w:pPr>
              <w:keepNext/>
              <w:widowControl/>
              <w:rPr>
                <w:rFonts w:ascii="Arial Narrow" w:hAnsi="Arial Narrow"/>
                <w:b/>
                <w:color w:val="000000"/>
                <w:sz w:val="20"/>
                <w:szCs w:val="18"/>
              </w:rPr>
            </w:pPr>
          </w:p>
        </w:tc>
        <w:tc>
          <w:tcPr>
            <w:tcW w:w="719" w:type="pct"/>
            <w:gridSpan w:val="2"/>
            <w:vMerge/>
            <w:vAlign w:val="center"/>
          </w:tcPr>
          <w:p w:rsidR="002F36A9" w:rsidRPr="00272261" w:rsidRDefault="002F36A9" w:rsidP="00E57161">
            <w:pPr>
              <w:keepNext/>
              <w:widowControl/>
              <w:jc w:val="center"/>
              <w:rPr>
                <w:rFonts w:ascii="Arial Narrow" w:hAnsi="Arial Narrow"/>
                <w:b/>
                <w:color w:val="000000"/>
                <w:sz w:val="20"/>
                <w:szCs w:val="18"/>
              </w:rPr>
            </w:pPr>
          </w:p>
        </w:tc>
        <w:tc>
          <w:tcPr>
            <w:tcW w:w="719" w:type="pct"/>
            <w:gridSpan w:val="2"/>
            <w:vMerge/>
            <w:vAlign w:val="center"/>
          </w:tcPr>
          <w:p w:rsidR="002F36A9" w:rsidRPr="00272261" w:rsidRDefault="002F36A9" w:rsidP="00E57161">
            <w:pPr>
              <w:keepNext/>
              <w:widowControl/>
              <w:jc w:val="center"/>
              <w:rPr>
                <w:rFonts w:ascii="Arial Narrow" w:hAnsi="Arial Narrow"/>
                <w:b/>
                <w:color w:val="000000"/>
                <w:sz w:val="20"/>
                <w:szCs w:val="18"/>
              </w:rPr>
            </w:pPr>
          </w:p>
        </w:tc>
        <w:tc>
          <w:tcPr>
            <w:tcW w:w="853" w:type="pct"/>
            <w:gridSpan w:val="3"/>
            <w:vMerge/>
            <w:vAlign w:val="center"/>
          </w:tcPr>
          <w:p w:rsidR="002F36A9" w:rsidRPr="00272261" w:rsidRDefault="002F36A9" w:rsidP="00E57161">
            <w:pPr>
              <w:keepNext/>
              <w:widowControl/>
              <w:jc w:val="center"/>
              <w:rPr>
                <w:rFonts w:ascii="Arial Narrow" w:hAnsi="Arial Narrow"/>
                <w:b/>
                <w:color w:val="000000"/>
                <w:sz w:val="20"/>
                <w:szCs w:val="18"/>
              </w:rPr>
            </w:pPr>
          </w:p>
        </w:tc>
        <w:tc>
          <w:tcPr>
            <w:tcW w:w="667" w:type="pct"/>
            <w:gridSpan w:val="2"/>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Riociguat</w:t>
            </w:r>
          </w:p>
        </w:tc>
        <w:tc>
          <w:tcPr>
            <w:tcW w:w="620" w:type="pct"/>
            <w:vAlign w:val="center"/>
          </w:tcPr>
          <w:p w:rsidR="002F36A9" w:rsidRPr="00272261" w:rsidRDefault="002F36A9" w:rsidP="00E57161">
            <w:pPr>
              <w:keepNext/>
              <w:widowControl/>
              <w:jc w:val="center"/>
              <w:rPr>
                <w:rFonts w:ascii="Arial Narrow" w:hAnsi="Arial Narrow"/>
                <w:b/>
                <w:color w:val="000000"/>
                <w:sz w:val="20"/>
                <w:szCs w:val="18"/>
              </w:rPr>
            </w:pPr>
            <w:r w:rsidRPr="00272261">
              <w:rPr>
                <w:rFonts w:ascii="Arial Narrow" w:hAnsi="Arial Narrow"/>
                <w:b/>
                <w:color w:val="000000"/>
                <w:sz w:val="20"/>
                <w:szCs w:val="18"/>
              </w:rPr>
              <w:t>Placebo</w:t>
            </w:r>
          </w:p>
        </w:tc>
        <w:tc>
          <w:tcPr>
            <w:tcW w:w="807" w:type="pct"/>
            <w:gridSpan w:val="2"/>
            <w:vMerge/>
            <w:vAlign w:val="center"/>
          </w:tcPr>
          <w:p w:rsidR="002F36A9" w:rsidRPr="00272261" w:rsidRDefault="002F36A9" w:rsidP="00E57161">
            <w:pPr>
              <w:keepNext/>
              <w:widowControl/>
              <w:jc w:val="center"/>
              <w:rPr>
                <w:rFonts w:ascii="Arial Narrow" w:hAnsi="Arial Narrow"/>
                <w:b/>
                <w:color w:val="000000"/>
                <w:sz w:val="20"/>
                <w:szCs w:val="18"/>
              </w:rPr>
            </w:pPr>
          </w:p>
        </w:tc>
      </w:tr>
      <w:tr w:rsidR="002F36A9" w:rsidRPr="00272261" w:rsidTr="002F36A9">
        <w:trPr>
          <w:trHeight w:val="20"/>
        </w:trPr>
        <w:tc>
          <w:tcPr>
            <w:tcW w:w="5000" w:type="pct"/>
            <w:gridSpan w:val="13"/>
            <w:shd w:val="clear" w:color="auto" w:fill="auto"/>
            <w:vAlign w:val="center"/>
          </w:tcPr>
          <w:p w:rsidR="002F36A9" w:rsidRPr="00272261" w:rsidRDefault="002F36A9" w:rsidP="00E57161">
            <w:pPr>
              <w:keepNext/>
              <w:widowControl/>
              <w:jc w:val="left"/>
              <w:rPr>
                <w:rFonts w:ascii="Arial Narrow" w:hAnsi="Arial Narrow"/>
                <w:b/>
                <w:i/>
                <w:sz w:val="20"/>
              </w:rPr>
            </w:pPr>
            <w:r w:rsidRPr="00272261">
              <w:rPr>
                <w:rFonts w:ascii="Arial Narrow" w:hAnsi="Arial Narrow"/>
                <w:b/>
                <w:i/>
                <w:color w:val="000000"/>
                <w:sz w:val="20"/>
              </w:rPr>
              <w:t>Improvement by ≥1 WHO Functional class</w:t>
            </w:r>
          </w:p>
        </w:tc>
      </w:tr>
      <w:tr w:rsidR="002F36A9" w:rsidRPr="00272261" w:rsidTr="002F36A9">
        <w:trPr>
          <w:trHeight w:val="20"/>
        </w:trPr>
        <w:tc>
          <w:tcPr>
            <w:tcW w:w="615" w:type="pct"/>
            <w:tcBorders>
              <w:bottom w:val="double" w:sz="4" w:space="0" w:color="auto"/>
            </w:tcBorders>
            <w:shd w:val="clear" w:color="auto" w:fill="auto"/>
            <w:vAlign w:val="center"/>
          </w:tcPr>
          <w:p w:rsidR="002F36A9" w:rsidRPr="00272261" w:rsidRDefault="002F36A9" w:rsidP="00E57161">
            <w:pPr>
              <w:keepNext/>
              <w:widowControl/>
              <w:rPr>
                <w:rFonts w:ascii="Arial Narrow" w:hAnsi="Arial Narrow"/>
                <w:color w:val="000000"/>
                <w:sz w:val="20"/>
                <w:szCs w:val="18"/>
              </w:rPr>
            </w:pPr>
            <w:r w:rsidRPr="00272261">
              <w:rPr>
                <w:rFonts w:ascii="Arial Narrow" w:hAnsi="Arial Narrow"/>
                <w:color w:val="000000"/>
                <w:sz w:val="20"/>
                <w:szCs w:val="18"/>
              </w:rPr>
              <w:t>CHEST-1</w:t>
            </w:r>
          </w:p>
        </w:tc>
        <w:tc>
          <w:tcPr>
            <w:tcW w:w="719" w:type="pct"/>
            <w:gridSpan w:val="2"/>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57/173</w:t>
            </w:r>
          </w:p>
        </w:tc>
        <w:tc>
          <w:tcPr>
            <w:tcW w:w="719" w:type="pct"/>
            <w:gridSpan w:val="2"/>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13/</w:t>
            </w:r>
            <w:r w:rsidR="006E4315" w:rsidRPr="00272261">
              <w:rPr>
                <w:rFonts w:ascii="Arial Narrow" w:hAnsi="Arial Narrow"/>
                <w:color w:val="000000"/>
                <w:sz w:val="20"/>
              </w:rPr>
              <w:t>87</w:t>
            </w:r>
          </w:p>
        </w:tc>
        <w:tc>
          <w:tcPr>
            <w:tcW w:w="853" w:type="pct"/>
            <w:gridSpan w:val="3"/>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sz w:val="20"/>
              </w:rPr>
              <w:t>2.2 (1.</w:t>
            </w:r>
            <w:r w:rsidR="005777B5" w:rsidRPr="00272261">
              <w:rPr>
                <w:rFonts w:ascii="Arial Narrow" w:hAnsi="Arial Narrow"/>
                <w:sz w:val="20"/>
              </w:rPr>
              <w:t>3</w:t>
            </w:r>
            <w:r w:rsidRPr="00272261">
              <w:rPr>
                <w:rFonts w:ascii="Arial Narrow" w:hAnsi="Arial Narrow"/>
                <w:sz w:val="20"/>
              </w:rPr>
              <w:t>, 3.8)</w:t>
            </w:r>
          </w:p>
        </w:tc>
        <w:tc>
          <w:tcPr>
            <w:tcW w:w="667" w:type="pct"/>
            <w:gridSpan w:val="2"/>
            <w:tcBorders>
              <w:bottom w:val="double" w:sz="4" w:space="0" w:color="auto"/>
            </w:tcBorders>
            <w:vAlign w:val="center"/>
          </w:tcPr>
          <w:p w:rsidR="002F36A9" w:rsidRPr="00272261" w:rsidRDefault="005777B5" w:rsidP="00E57161">
            <w:pPr>
              <w:keepNext/>
              <w:widowControl/>
              <w:jc w:val="center"/>
              <w:rPr>
                <w:rFonts w:ascii="Arial Narrow" w:hAnsi="Arial Narrow"/>
                <w:color w:val="000000"/>
                <w:sz w:val="20"/>
                <w:szCs w:val="18"/>
              </w:rPr>
            </w:pPr>
            <w:r w:rsidRPr="00272261">
              <w:rPr>
                <w:rFonts w:ascii="Arial Narrow" w:hAnsi="Arial Narrow"/>
                <w:color w:val="000000"/>
                <w:sz w:val="20"/>
              </w:rPr>
              <w:t>32.9</w:t>
            </w:r>
          </w:p>
        </w:tc>
        <w:tc>
          <w:tcPr>
            <w:tcW w:w="620" w:type="pct"/>
            <w:tcBorders>
              <w:bottom w:val="double" w:sz="4" w:space="0" w:color="auto"/>
            </w:tcBorders>
            <w:vAlign w:val="center"/>
          </w:tcPr>
          <w:p w:rsidR="002F36A9" w:rsidRPr="00272261" w:rsidRDefault="005777B5" w:rsidP="00E57161">
            <w:pPr>
              <w:keepNext/>
              <w:widowControl/>
              <w:jc w:val="center"/>
              <w:rPr>
                <w:rFonts w:ascii="Arial Narrow" w:hAnsi="Arial Narrow"/>
                <w:color w:val="000000"/>
                <w:sz w:val="20"/>
                <w:szCs w:val="18"/>
              </w:rPr>
            </w:pPr>
            <w:r w:rsidRPr="00272261">
              <w:rPr>
                <w:rFonts w:ascii="Arial Narrow" w:hAnsi="Arial Narrow"/>
                <w:color w:val="000000"/>
                <w:sz w:val="20"/>
              </w:rPr>
              <w:t>14.9</w:t>
            </w:r>
          </w:p>
        </w:tc>
        <w:tc>
          <w:tcPr>
            <w:tcW w:w="807" w:type="pct"/>
            <w:gridSpan w:val="2"/>
            <w:tcBorders>
              <w:bottom w:val="double" w:sz="4" w:space="0" w:color="auto"/>
            </w:tcBorders>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sz w:val="20"/>
              </w:rPr>
              <w:t>18</w:t>
            </w:r>
            <w:r w:rsidR="005777B5" w:rsidRPr="00272261">
              <w:rPr>
                <w:rFonts w:ascii="Arial Narrow" w:hAnsi="Arial Narrow"/>
                <w:sz w:val="20"/>
              </w:rPr>
              <w:t>.0</w:t>
            </w:r>
            <w:r w:rsidRPr="00272261">
              <w:rPr>
                <w:rFonts w:ascii="Arial Narrow" w:hAnsi="Arial Narrow"/>
                <w:sz w:val="20"/>
              </w:rPr>
              <w:t xml:space="preserve"> (7.7, 28.3)</w:t>
            </w:r>
          </w:p>
        </w:tc>
      </w:tr>
      <w:tr w:rsidR="002F36A9" w:rsidRPr="00272261" w:rsidTr="002F36A9">
        <w:trPr>
          <w:trHeight w:val="20"/>
        </w:trPr>
        <w:tc>
          <w:tcPr>
            <w:tcW w:w="5000" w:type="pct"/>
            <w:gridSpan w:val="13"/>
            <w:tcBorders>
              <w:top w:val="double" w:sz="4" w:space="0" w:color="auto"/>
            </w:tcBorders>
            <w:shd w:val="clear" w:color="auto" w:fill="auto"/>
            <w:vAlign w:val="center"/>
          </w:tcPr>
          <w:p w:rsidR="002F36A9" w:rsidRPr="00272261" w:rsidRDefault="002F36A9" w:rsidP="00E57161">
            <w:pPr>
              <w:keepNext/>
              <w:widowControl/>
              <w:rPr>
                <w:rFonts w:ascii="Arial Narrow" w:hAnsi="Arial Narrow"/>
                <w:b/>
                <w:color w:val="000000"/>
                <w:sz w:val="20"/>
                <w:szCs w:val="18"/>
              </w:rPr>
            </w:pPr>
            <w:r w:rsidRPr="00272261">
              <w:rPr>
                <w:rFonts w:ascii="Arial Narrow" w:hAnsi="Arial Narrow"/>
                <w:b/>
                <w:color w:val="000000"/>
                <w:sz w:val="20"/>
                <w:szCs w:val="18"/>
              </w:rPr>
              <w:t xml:space="preserve">Harms </w:t>
            </w:r>
          </w:p>
        </w:tc>
      </w:tr>
      <w:tr w:rsidR="002F36A9" w:rsidRPr="00272261" w:rsidTr="002F36A9">
        <w:trPr>
          <w:trHeight w:val="20"/>
        </w:trPr>
        <w:tc>
          <w:tcPr>
            <w:tcW w:w="615" w:type="pct"/>
            <w:shd w:val="clear" w:color="auto" w:fill="auto"/>
            <w:vAlign w:val="center"/>
          </w:tcPr>
          <w:p w:rsidR="002F36A9" w:rsidRPr="00272261" w:rsidRDefault="002F36A9" w:rsidP="00E57161">
            <w:pPr>
              <w:keepNext/>
              <w:widowControl/>
              <w:rPr>
                <w:rFonts w:ascii="Arial Narrow" w:hAnsi="Arial Narrow"/>
                <w:color w:val="000000"/>
                <w:sz w:val="20"/>
                <w:szCs w:val="18"/>
              </w:rPr>
            </w:pPr>
            <w:r w:rsidRPr="00272261">
              <w:rPr>
                <w:rFonts w:ascii="Arial Narrow" w:hAnsi="Arial Narrow"/>
                <w:color w:val="000000"/>
                <w:sz w:val="20"/>
                <w:szCs w:val="18"/>
              </w:rPr>
              <w:t>Dizziness</w:t>
            </w:r>
          </w:p>
        </w:tc>
        <w:tc>
          <w:tcPr>
            <w:tcW w:w="719"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26/173</w:t>
            </w:r>
          </w:p>
        </w:tc>
        <w:tc>
          <w:tcPr>
            <w:tcW w:w="719"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3/88</w:t>
            </w:r>
          </w:p>
        </w:tc>
        <w:tc>
          <w:tcPr>
            <w:tcW w:w="838"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4.4 (1.</w:t>
            </w:r>
            <w:r w:rsidR="005777B5" w:rsidRPr="00272261">
              <w:rPr>
                <w:rFonts w:ascii="Arial Narrow" w:hAnsi="Arial Narrow"/>
                <w:color w:val="000000"/>
                <w:sz w:val="20"/>
              </w:rPr>
              <w:t>4</w:t>
            </w:r>
            <w:r w:rsidRPr="00272261">
              <w:rPr>
                <w:rFonts w:ascii="Arial Narrow" w:hAnsi="Arial Narrow"/>
                <w:color w:val="000000"/>
                <w:sz w:val="20"/>
              </w:rPr>
              <w:t>, 14.</w:t>
            </w:r>
            <w:r w:rsidR="005777B5" w:rsidRPr="00272261">
              <w:rPr>
                <w:rFonts w:ascii="Arial Narrow" w:hAnsi="Arial Narrow"/>
                <w:color w:val="000000"/>
                <w:sz w:val="20"/>
              </w:rPr>
              <w:t>2</w:t>
            </w:r>
            <w:r w:rsidRPr="00272261">
              <w:rPr>
                <w:rFonts w:ascii="Arial Narrow" w:hAnsi="Arial Narrow"/>
                <w:color w:val="000000"/>
                <w:sz w:val="20"/>
              </w:rPr>
              <w:t>)</w:t>
            </w:r>
          </w:p>
        </w:tc>
        <w:tc>
          <w:tcPr>
            <w:tcW w:w="682" w:type="pct"/>
            <w:gridSpan w:val="3"/>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15</w:t>
            </w:r>
            <w:r w:rsidR="00FA3B60" w:rsidRPr="00272261">
              <w:rPr>
                <w:rFonts w:ascii="Arial Narrow" w:hAnsi="Arial Narrow"/>
                <w:color w:val="000000"/>
                <w:sz w:val="20"/>
              </w:rPr>
              <w:t>.0</w:t>
            </w:r>
          </w:p>
        </w:tc>
        <w:tc>
          <w:tcPr>
            <w:tcW w:w="642"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3.4</w:t>
            </w:r>
          </w:p>
        </w:tc>
        <w:tc>
          <w:tcPr>
            <w:tcW w:w="785" w:type="pct"/>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11.6 (5.1, 18.2)</w:t>
            </w:r>
          </w:p>
        </w:tc>
      </w:tr>
      <w:tr w:rsidR="002F36A9" w:rsidRPr="00272261" w:rsidTr="002F36A9">
        <w:trPr>
          <w:trHeight w:val="20"/>
        </w:trPr>
        <w:tc>
          <w:tcPr>
            <w:tcW w:w="615" w:type="pct"/>
            <w:shd w:val="clear" w:color="auto" w:fill="auto"/>
            <w:vAlign w:val="center"/>
          </w:tcPr>
          <w:p w:rsidR="002F36A9" w:rsidRPr="00272261" w:rsidRDefault="002F36A9" w:rsidP="00E57161">
            <w:pPr>
              <w:keepNext/>
              <w:widowControl/>
              <w:rPr>
                <w:rFonts w:ascii="Arial Narrow" w:hAnsi="Arial Narrow"/>
                <w:color w:val="000000"/>
                <w:sz w:val="20"/>
                <w:szCs w:val="18"/>
              </w:rPr>
            </w:pPr>
            <w:r w:rsidRPr="00272261">
              <w:rPr>
                <w:rFonts w:ascii="Arial Narrow" w:hAnsi="Arial Narrow"/>
                <w:color w:val="000000"/>
                <w:sz w:val="20"/>
                <w:szCs w:val="18"/>
              </w:rPr>
              <w:t>Hypotension</w:t>
            </w:r>
          </w:p>
        </w:tc>
        <w:tc>
          <w:tcPr>
            <w:tcW w:w="719"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14/173</w:t>
            </w:r>
          </w:p>
        </w:tc>
        <w:tc>
          <w:tcPr>
            <w:tcW w:w="719"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0/88</w:t>
            </w:r>
          </w:p>
        </w:tc>
        <w:tc>
          <w:tcPr>
            <w:tcW w:w="838"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NC</w:t>
            </w:r>
          </w:p>
        </w:tc>
        <w:tc>
          <w:tcPr>
            <w:tcW w:w="682" w:type="pct"/>
            <w:gridSpan w:val="3"/>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8.1</w:t>
            </w:r>
          </w:p>
        </w:tc>
        <w:tc>
          <w:tcPr>
            <w:tcW w:w="642" w:type="pct"/>
            <w:gridSpan w:val="2"/>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0</w:t>
            </w:r>
            <w:r w:rsidR="00FA3B60" w:rsidRPr="00272261">
              <w:rPr>
                <w:rFonts w:ascii="Arial Narrow" w:hAnsi="Arial Narrow"/>
                <w:color w:val="000000"/>
                <w:sz w:val="20"/>
              </w:rPr>
              <w:t>.0</w:t>
            </w:r>
          </w:p>
        </w:tc>
        <w:tc>
          <w:tcPr>
            <w:tcW w:w="785" w:type="pct"/>
            <w:vAlign w:val="center"/>
          </w:tcPr>
          <w:p w:rsidR="002F36A9" w:rsidRPr="00272261" w:rsidRDefault="002F36A9" w:rsidP="00E57161">
            <w:pPr>
              <w:keepNext/>
              <w:widowControl/>
              <w:jc w:val="center"/>
              <w:rPr>
                <w:rFonts w:ascii="Arial Narrow" w:hAnsi="Arial Narrow"/>
                <w:color w:val="000000"/>
                <w:sz w:val="20"/>
                <w:szCs w:val="18"/>
              </w:rPr>
            </w:pPr>
            <w:r w:rsidRPr="00272261">
              <w:rPr>
                <w:rFonts w:ascii="Arial Narrow" w:hAnsi="Arial Narrow"/>
                <w:color w:val="000000"/>
                <w:sz w:val="20"/>
              </w:rPr>
              <w:t>8.1 (2.3, 13.9)</w:t>
            </w:r>
          </w:p>
        </w:tc>
      </w:tr>
    </w:tbl>
    <w:p w:rsidR="002F36A9" w:rsidRPr="00272261" w:rsidRDefault="002F36A9" w:rsidP="00E57161">
      <w:pPr>
        <w:pStyle w:val="TableFooter"/>
        <w:keepNext/>
        <w:widowControl/>
        <w:ind w:left="720"/>
      </w:pPr>
      <w:r w:rsidRPr="00272261">
        <w:t>*CHEST-1 trial duration = 16 weeks.  Abbreviations: 6MWD = 6</w:t>
      </w:r>
      <w:r w:rsidR="00672A19" w:rsidRPr="00272261">
        <w:t>-</w:t>
      </w:r>
      <w:r w:rsidRPr="00272261">
        <w:t>minute walk</w:t>
      </w:r>
      <w:r w:rsidR="00B66FC4" w:rsidRPr="00272261">
        <w:t>ing</w:t>
      </w:r>
      <w:r w:rsidRPr="00272261">
        <w:t xml:space="preserve"> distance test; LSMD = least square mean difference; NC = not calculable; SD = standard deviation; RD = risk difference; RR = risk ratio; CI = confidence interval.</w:t>
      </w:r>
      <w:r w:rsidR="00FB5C40" w:rsidRPr="00272261">
        <w:t xml:space="preserve"> </w:t>
      </w:r>
      <w:r w:rsidR="00475FCC" w:rsidRPr="00272261">
        <w:t>Source: p</w:t>
      </w:r>
      <w:r w:rsidR="0079227D" w:rsidRPr="00272261">
        <w:t xml:space="preserve">117 </w:t>
      </w:r>
      <w:r w:rsidRPr="00272261">
        <w:t>of the re-submission</w:t>
      </w:r>
      <w:r w:rsidR="0079227D" w:rsidRPr="00272261">
        <w:t xml:space="preserve"> </w:t>
      </w:r>
    </w:p>
    <w:p w:rsidR="002F36A9" w:rsidRPr="00272261" w:rsidRDefault="002F36A9" w:rsidP="00E57161">
      <w:pPr>
        <w:widowControl/>
      </w:pPr>
    </w:p>
    <w:p w:rsidR="002F36A9" w:rsidRPr="00272261" w:rsidRDefault="002F36A9" w:rsidP="00E57161">
      <w:pPr>
        <w:pStyle w:val="ListParagraph"/>
        <w:widowControl/>
        <w:numPr>
          <w:ilvl w:val="1"/>
          <w:numId w:val="2"/>
        </w:numPr>
        <w:rPr>
          <w:szCs w:val="22"/>
        </w:rPr>
      </w:pPr>
      <w:r w:rsidRPr="00272261">
        <w:t xml:space="preserve">On the basis of the direct evidence presented by the </w:t>
      </w:r>
      <w:r w:rsidR="005D08A7" w:rsidRPr="00272261">
        <w:t>re-</w:t>
      </w:r>
      <w:r w:rsidRPr="00272261">
        <w:t>submission, treatment with riociguat in comparison to placebo over 16 weeks resulted in:</w:t>
      </w:r>
    </w:p>
    <w:p w:rsidR="002F36A9" w:rsidRPr="00272261" w:rsidRDefault="002F36A9" w:rsidP="00E57161">
      <w:pPr>
        <w:pStyle w:val="ListParagraph"/>
        <w:widowControl/>
        <w:numPr>
          <w:ilvl w:val="0"/>
          <w:numId w:val="1"/>
        </w:numPr>
        <w:ind w:left="993" w:hanging="284"/>
      </w:pPr>
      <w:r w:rsidRPr="00272261">
        <w:t xml:space="preserve">An average increase of 46 metres in the distance able to be walked in 6 minutes.  </w:t>
      </w:r>
      <w:r w:rsidR="008C065C" w:rsidRPr="00272261">
        <w:t xml:space="preserve">By comparison, </w:t>
      </w:r>
      <w:r w:rsidRPr="00272261">
        <w:t>participants were able to walk approximately 350 metres in 6</w:t>
      </w:r>
      <w:r w:rsidR="00681C64" w:rsidRPr="00272261">
        <w:t> </w:t>
      </w:r>
      <w:r w:rsidRPr="00272261">
        <w:t>minutes</w:t>
      </w:r>
      <w:r w:rsidR="008C065C" w:rsidRPr="00272261">
        <w:t xml:space="preserve"> at the beginning of the trial</w:t>
      </w:r>
      <w:r w:rsidRPr="00272261">
        <w:t>.</w:t>
      </w:r>
    </w:p>
    <w:p w:rsidR="00C46C2E" w:rsidRPr="00272261" w:rsidRDefault="00C46C2E" w:rsidP="00E57161">
      <w:pPr>
        <w:widowControl/>
      </w:pPr>
    </w:p>
    <w:p w:rsidR="00C46C2E" w:rsidRPr="00272261" w:rsidRDefault="00C46C2E" w:rsidP="00E57161">
      <w:pPr>
        <w:pStyle w:val="ListParagraph"/>
        <w:widowControl/>
        <w:numPr>
          <w:ilvl w:val="1"/>
          <w:numId w:val="2"/>
        </w:numPr>
      </w:pPr>
      <w:r w:rsidRPr="00272261">
        <w:lastRenderedPageBreak/>
        <w:t>On the basis of the direct evidence presented by the re-submission, every 100</w:t>
      </w:r>
      <w:r w:rsidR="00681C64" w:rsidRPr="00272261">
        <w:t> </w:t>
      </w:r>
      <w:r w:rsidRPr="00272261">
        <w:t>patients treated with riociguat in comparison to placebo</w:t>
      </w:r>
      <w:r w:rsidR="00FA3B60" w:rsidRPr="00272261">
        <w:t xml:space="preserve"> resulted in</w:t>
      </w:r>
      <w:r w:rsidR="00F33487" w:rsidRPr="00272261">
        <w:t>:</w:t>
      </w:r>
    </w:p>
    <w:p w:rsidR="002F36A9" w:rsidRPr="00272261" w:rsidRDefault="00C46C2E" w:rsidP="00E57161">
      <w:pPr>
        <w:pStyle w:val="ListParagraph"/>
        <w:widowControl/>
        <w:numPr>
          <w:ilvl w:val="0"/>
          <w:numId w:val="1"/>
        </w:numPr>
        <w:ind w:left="993" w:hanging="284"/>
      </w:pPr>
      <w:r w:rsidRPr="00272261">
        <w:t>Approximately</w:t>
      </w:r>
      <w:r w:rsidR="002F36A9" w:rsidRPr="00272261">
        <w:t xml:space="preserve"> 18 additional patients with an improvement by ≥1 WHO functional class</w:t>
      </w:r>
      <w:r w:rsidRPr="00272261">
        <w:t xml:space="preserve"> over 16 weeks</w:t>
      </w:r>
      <w:r w:rsidR="00F33487" w:rsidRPr="00272261">
        <w:t xml:space="preserve">.  </w:t>
      </w:r>
    </w:p>
    <w:p w:rsidR="002F36A9" w:rsidRPr="00272261" w:rsidRDefault="00C46C2E" w:rsidP="00E57161">
      <w:pPr>
        <w:pStyle w:val="ListParagraph"/>
        <w:widowControl/>
        <w:numPr>
          <w:ilvl w:val="0"/>
          <w:numId w:val="1"/>
        </w:numPr>
        <w:ind w:left="993" w:hanging="284"/>
      </w:pPr>
      <w:r w:rsidRPr="00272261">
        <w:t xml:space="preserve">Approximately </w:t>
      </w:r>
      <w:r w:rsidR="002F36A9" w:rsidRPr="00272261">
        <w:t>12 additional patients with dizziness</w:t>
      </w:r>
      <w:r w:rsidRPr="00272261">
        <w:t xml:space="preserve"> over 16 weeks</w:t>
      </w:r>
      <w:r w:rsidR="006F33BA" w:rsidRPr="00272261">
        <w:t>.</w:t>
      </w:r>
      <w:r w:rsidR="00F33487" w:rsidRPr="00272261">
        <w:t xml:space="preserve">  </w:t>
      </w:r>
    </w:p>
    <w:p w:rsidR="0079227D" w:rsidRPr="00272261" w:rsidRDefault="00C46C2E" w:rsidP="00E57161">
      <w:pPr>
        <w:pStyle w:val="ListParagraph"/>
        <w:widowControl/>
        <w:numPr>
          <w:ilvl w:val="0"/>
          <w:numId w:val="1"/>
        </w:numPr>
        <w:ind w:left="993" w:hanging="284"/>
        <w:rPr>
          <w:szCs w:val="22"/>
        </w:rPr>
      </w:pPr>
      <w:r w:rsidRPr="00272261">
        <w:t xml:space="preserve">Approximately </w:t>
      </w:r>
      <w:r w:rsidR="002F36A9" w:rsidRPr="00272261">
        <w:t>8 additional patients with hypotension</w:t>
      </w:r>
      <w:r w:rsidRPr="00272261">
        <w:t xml:space="preserve"> over 16 weeks</w:t>
      </w:r>
      <w:r w:rsidR="0079227D" w:rsidRPr="00272261">
        <w:t>.</w:t>
      </w:r>
    </w:p>
    <w:p w:rsidR="002F36A9" w:rsidRPr="00272261" w:rsidRDefault="002F36A9" w:rsidP="00E57161">
      <w:pPr>
        <w:widowControl/>
      </w:pPr>
    </w:p>
    <w:p w:rsidR="002F36A9" w:rsidRPr="00272261" w:rsidRDefault="002F36A9" w:rsidP="00E57161">
      <w:pPr>
        <w:pStyle w:val="Heading2"/>
        <w:widowControl/>
        <w:rPr>
          <w:i/>
        </w:rPr>
      </w:pPr>
      <w:bookmarkStart w:id="23" w:name="_Toc416959990"/>
      <w:bookmarkStart w:id="24" w:name="_Toc440895085"/>
      <w:r w:rsidRPr="00272261">
        <w:rPr>
          <w:i/>
        </w:rPr>
        <w:t>Clinical claim</w:t>
      </w:r>
      <w:bookmarkEnd w:id="23"/>
      <w:bookmarkEnd w:id="24"/>
    </w:p>
    <w:p w:rsidR="00D34B27" w:rsidRPr="00272261" w:rsidRDefault="00D34B27" w:rsidP="00E57161">
      <w:pPr>
        <w:widowControl/>
        <w:rPr>
          <w:szCs w:val="22"/>
        </w:rPr>
      </w:pPr>
    </w:p>
    <w:p w:rsidR="00932BE9" w:rsidRPr="00272261" w:rsidRDefault="00932BE9" w:rsidP="00E57161">
      <w:pPr>
        <w:pStyle w:val="ListParagraph"/>
        <w:widowControl/>
        <w:numPr>
          <w:ilvl w:val="1"/>
          <w:numId w:val="2"/>
        </w:numPr>
        <w:rPr>
          <w:szCs w:val="22"/>
        </w:rPr>
      </w:pPr>
      <w:r w:rsidRPr="00272261">
        <w:rPr>
          <w:szCs w:val="22"/>
        </w:rPr>
        <w:t>At the July 2015 meeting, the PBAC noted that the re-submission did not adequately justify a claim of non-inferiority in regard to comparative safety (</w:t>
      </w:r>
      <w:r w:rsidR="00BF04D4" w:rsidRPr="00272261">
        <w:rPr>
          <w:szCs w:val="22"/>
        </w:rPr>
        <w:t>July 2015 PSD, paragraph 6.17).</w:t>
      </w:r>
      <w:r w:rsidRPr="00272261">
        <w:rPr>
          <w:szCs w:val="22"/>
        </w:rPr>
        <w:t xml:space="preserve"> The re-submission updated the clinical claim</w:t>
      </w:r>
      <w:r w:rsidR="00681C64" w:rsidRPr="00272261">
        <w:rPr>
          <w:szCs w:val="22"/>
        </w:rPr>
        <w:t xml:space="preserve"> (p139)</w:t>
      </w:r>
      <w:r w:rsidRPr="00272261">
        <w:rPr>
          <w:szCs w:val="22"/>
        </w:rPr>
        <w:t>, concluding that riociguat is superior to placebo for the treatment of CTEPH and although riociguat is associated with a higher incidence of dizziness and hypotension and inferior to placebo, the risk benefit p</w:t>
      </w:r>
      <w:r w:rsidR="00BF04D4" w:rsidRPr="00272261">
        <w:rPr>
          <w:szCs w:val="22"/>
        </w:rPr>
        <w:t>rofile remains very favourable.</w:t>
      </w:r>
      <w:r w:rsidRPr="00272261">
        <w:rPr>
          <w:szCs w:val="22"/>
        </w:rPr>
        <w:t xml:space="preserve"> Overall, riociguat is considered to be inferior compared </w:t>
      </w:r>
      <w:r w:rsidR="00E64035" w:rsidRPr="00272261">
        <w:rPr>
          <w:szCs w:val="22"/>
        </w:rPr>
        <w:t xml:space="preserve">with </w:t>
      </w:r>
      <w:r w:rsidR="00BF04D4" w:rsidRPr="00272261">
        <w:rPr>
          <w:szCs w:val="22"/>
        </w:rPr>
        <w:t xml:space="preserve">placebo in regard to safety. </w:t>
      </w:r>
      <w:r w:rsidRPr="00272261">
        <w:rPr>
          <w:szCs w:val="22"/>
        </w:rPr>
        <w:t>The clinical claim presented did not unequivocally state this.</w:t>
      </w:r>
    </w:p>
    <w:p w:rsidR="00990553" w:rsidRPr="00272261" w:rsidRDefault="00990553" w:rsidP="00E57161">
      <w:pPr>
        <w:pStyle w:val="ListParagraph"/>
        <w:widowControl/>
        <w:rPr>
          <w:szCs w:val="22"/>
        </w:rPr>
      </w:pPr>
    </w:p>
    <w:p w:rsidR="00990553" w:rsidRPr="00272261" w:rsidRDefault="00990553" w:rsidP="00E57161">
      <w:pPr>
        <w:pStyle w:val="ListParagraph"/>
        <w:widowControl/>
        <w:numPr>
          <w:ilvl w:val="1"/>
          <w:numId w:val="2"/>
        </w:numPr>
        <w:rPr>
          <w:szCs w:val="22"/>
        </w:rPr>
      </w:pPr>
      <w:r w:rsidRPr="00272261">
        <w:rPr>
          <w:szCs w:val="22"/>
        </w:rPr>
        <w:t xml:space="preserve">The ESC </w:t>
      </w:r>
      <w:r w:rsidR="000533C6" w:rsidRPr="00272261">
        <w:rPr>
          <w:szCs w:val="22"/>
        </w:rPr>
        <w:t>noted</w:t>
      </w:r>
      <w:r w:rsidR="00B5543A" w:rsidRPr="00272261">
        <w:rPr>
          <w:szCs w:val="22"/>
        </w:rPr>
        <w:t xml:space="preserve"> </w:t>
      </w:r>
      <w:r w:rsidRPr="00272261">
        <w:rPr>
          <w:szCs w:val="22"/>
        </w:rPr>
        <w:t>the statistically significant treatment effect in 6MWD</w:t>
      </w:r>
      <w:r w:rsidR="00C76452" w:rsidRPr="00272261">
        <w:rPr>
          <w:szCs w:val="22"/>
        </w:rPr>
        <w:t xml:space="preserve"> and WHO functional class</w:t>
      </w:r>
      <w:r w:rsidRPr="00272261">
        <w:rPr>
          <w:szCs w:val="22"/>
        </w:rPr>
        <w:t xml:space="preserve"> associated with riociguat (compared with placebo)</w:t>
      </w:r>
      <w:r w:rsidR="00C76452" w:rsidRPr="00272261">
        <w:rPr>
          <w:szCs w:val="22"/>
        </w:rPr>
        <w:t>.</w:t>
      </w:r>
      <w:r w:rsidR="00B5543A" w:rsidRPr="00272261">
        <w:rPr>
          <w:szCs w:val="22"/>
        </w:rPr>
        <w:t xml:space="preserve"> </w:t>
      </w:r>
      <w:r w:rsidR="00E64035" w:rsidRPr="00272261">
        <w:rPr>
          <w:szCs w:val="22"/>
        </w:rPr>
        <w:t xml:space="preserve">The ESC also noted that riociguat is inferior </w:t>
      </w:r>
      <w:r w:rsidR="00B5543A" w:rsidRPr="00272261">
        <w:rPr>
          <w:szCs w:val="22"/>
        </w:rPr>
        <w:t xml:space="preserve">to </w:t>
      </w:r>
      <w:r w:rsidR="00E64035" w:rsidRPr="00272261">
        <w:rPr>
          <w:szCs w:val="22"/>
        </w:rPr>
        <w:t>placebo with regard to safety.</w:t>
      </w:r>
    </w:p>
    <w:p w:rsidR="00B220FE" w:rsidRPr="00272261" w:rsidRDefault="00B220FE" w:rsidP="00E57161">
      <w:pPr>
        <w:widowControl/>
      </w:pPr>
    </w:p>
    <w:p w:rsidR="00B220FE" w:rsidRPr="00272261" w:rsidRDefault="00B220FE" w:rsidP="00E57161">
      <w:pPr>
        <w:pStyle w:val="ListParagraph"/>
        <w:widowControl/>
        <w:numPr>
          <w:ilvl w:val="1"/>
          <w:numId w:val="15"/>
        </w:numPr>
        <w:jc w:val="left"/>
        <w:rPr>
          <w:bCs/>
        </w:rPr>
      </w:pPr>
      <w:r w:rsidRPr="00272261">
        <w:rPr>
          <w:bCs/>
          <w:szCs w:val="22"/>
        </w:rPr>
        <w:t>The PBAC considered that the claim of superior comparative effectiveness</w:t>
      </w:r>
      <w:r w:rsidR="00BE7AC9" w:rsidRPr="00272261">
        <w:rPr>
          <w:bCs/>
          <w:szCs w:val="22"/>
        </w:rPr>
        <w:t xml:space="preserve">, with regards to improvement in 6MWD and WHO functional class, </w:t>
      </w:r>
      <w:r w:rsidRPr="00272261">
        <w:rPr>
          <w:bCs/>
          <w:szCs w:val="22"/>
        </w:rPr>
        <w:t>was reasonable.</w:t>
      </w:r>
    </w:p>
    <w:p w:rsidR="00B220FE" w:rsidRPr="00272261" w:rsidRDefault="00B220FE" w:rsidP="00E57161">
      <w:pPr>
        <w:pStyle w:val="ListParagraph"/>
        <w:widowControl/>
        <w:jc w:val="left"/>
        <w:rPr>
          <w:bCs/>
          <w:szCs w:val="22"/>
        </w:rPr>
      </w:pPr>
    </w:p>
    <w:p w:rsidR="00B220FE" w:rsidRPr="00272261" w:rsidRDefault="00B220FE" w:rsidP="00E57161">
      <w:pPr>
        <w:pStyle w:val="ListParagraph"/>
        <w:widowControl/>
        <w:numPr>
          <w:ilvl w:val="1"/>
          <w:numId w:val="15"/>
        </w:numPr>
        <w:rPr>
          <w:szCs w:val="22"/>
        </w:rPr>
      </w:pPr>
      <w:r w:rsidRPr="00272261">
        <w:rPr>
          <w:szCs w:val="22"/>
        </w:rPr>
        <w:t xml:space="preserve">The PBAC considered that </w:t>
      </w:r>
      <w:r w:rsidR="00C563D4" w:rsidRPr="00272261">
        <w:rPr>
          <w:szCs w:val="22"/>
        </w:rPr>
        <w:t>a</w:t>
      </w:r>
      <w:r w:rsidRPr="00272261">
        <w:rPr>
          <w:szCs w:val="22"/>
        </w:rPr>
        <w:t xml:space="preserve"> claim of inferior comparative safety</w:t>
      </w:r>
      <w:r w:rsidR="009C7BEC" w:rsidRPr="00272261">
        <w:rPr>
          <w:szCs w:val="22"/>
        </w:rPr>
        <w:t>, with regards to a higher incidence of dizziness and hypotension</w:t>
      </w:r>
      <w:r w:rsidRPr="00272261">
        <w:rPr>
          <w:szCs w:val="22"/>
        </w:rPr>
        <w:t xml:space="preserve"> was reasonable.</w:t>
      </w:r>
    </w:p>
    <w:p w:rsidR="00932BE9" w:rsidRPr="00272261" w:rsidRDefault="00932BE9" w:rsidP="00E57161">
      <w:pPr>
        <w:pStyle w:val="ListParagraph"/>
        <w:widowControl/>
        <w:rPr>
          <w:szCs w:val="22"/>
        </w:rPr>
      </w:pPr>
    </w:p>
    <w:p w:rsidR="002F36A9" w:rsidRPr="00272261" w:rsidRDefault="002F36A9" w:rsidP="00E57161">
      <w:pPr>
        <w:pStyle w:val="Heading2"/>
        <w:keepNext/>
        <w:widowControl/>
        <w:rPr>
          <w:i/>
        </w:rPr>
      </w:pPr>
      <w:bookmarkStart w:id="25" w:name="_Toc416959991"/>
      <w:bookmarkStart w:id="26" w:name="_Toc440895086"/>
      <w:r w:rsidRPr="00272261">
        <w:rPr>
          <w:i/>
        </w:rPr>
        <w:t>Economic analysis</w:t>
      </w:r>
      <w:bookmarkEnd w:id="25"/>
      <w:bookmarkEnd w:id="26"/>
    </w:p>
    <w:p w:rsidR="002F36A9" w:rsidRPr="00272261" w:rsidRDefault="002F36A9" w:rsidP="00E57161">
      <w:pPr>
        <w:keepNext/>
        <w:widowControl/>
        <w:ind w:left="720" w:hanging="720"/>
        <w:rPr>
          <w:szCs w:val="22"/>
        </w:rPr>
      </w:pPr>
    </w:p>
    <w:p w:rsidR="002F36A9" w:rsidRPr="00272261" w:rsidRDefault="002F36A9" w:rsidP="00E57161">
      <w:pPr>
        <w:pStyle w:val="ListParagraph"/>
        <w:widowControl/>
        <w:numPr>
          <w:ilvl w:val="1"/>
          <w:numId w:val="16"/>
        </w:numPr>
        <w:rPr>
          <w:szCs w:val="22"/>
        </w:rPr>
      </w:pPr>
      <w:r w:rsidRPr="00272261">
        <w:rPr>
          <w:szCs w:val="22"/>
        </w:rPr>
        <w:t>The re-submission presented</w:t>
      </w:r>
      <w:r w:rsidR="003C5241" w:rsidRPr="00272261">
        <w:rPr>
          <w:szCs w:val="22"/>
        </w:rPr>
        <w:t xml:space="preserve"> a</w:t>
      </w:r>
      <w:r w:rsidRPr="00272261">
        <w:rPr>
          <w:szCs w:val="22"/>
        </w:rPr>
        <w:t xml:space="preserve"> </w:t>
      </w:r>
      <w:r w:rsidR="003C5241" w:rsidRPr="00272261">
        <w:rPr>
          <w:szCs w:val="22"/>
        </w:rPr>
        <w:t xml:space="preserve">modelled </w:t>
      </w:r>
      <w:r w:rsidRPr="00272261">
        <w:rPr>
          <w:szCs w:val="22"/>
        </w:rPr>
        <w:t xml:space="preserve">cost utility analysis. </w:t>
      </w:r>
      <w:r w:rsidR="0088269F" w:rsidRPr="00272261">
        <w:rPr>
          <w:szCs w:val="22"/>
        </w:rPr>
        <w:t xml:space="preserve">The economic model differed from the model presented in the July 2015 re-submission in that survival was </w:t>
      </w:r>
      <w:r w:rsidR="00DD59FC" w:rsidRPr="00272261">
        <w:rPr>
          <w:szCs w:val="22"/>
        </w:rPr>
        <w:t xml:space="preserve">modelled on the basis of overall survival rather than being </w:t>
      </w:r>
      <w:r w:rsidR="0088269F" w:rsidRPr="00272261">
        <w:rPr>
          <w:szCs w:val="22"/>
        </w:rPr>
        <w:t xml:space="preserve">dependent upon changes in WHO functional class, and </w:t>
      </w:r>
      <w:r w:rsidR="0023322D" w:rsidRPr="00272261">
        <w:rPr>
          <w:szCs w:val="22"/>
        </w:rPr>
        <w:t xml:space="preserve">the costs and outcomes associated with the treatment of patients with inoperable CTEPH and those with </w:t>
      </w:r>
      <w:r w:rsidR="00B340B3" w:rsidRPr="00272261">
        <w:rPr>
          <w:szCs w:val="22"/>
        </w:rPr>
        <w:t>persistent</w:t>
      </w:r>
      <w:r w:rsidR="0023322D" w:rsidRPr="00272261">
        <w:rPr>
          <w:szCs w:val="22"/>
        </w:rPr>
        <w:t xml:space="preserve"> </w:t>
      </w:r>
      <w:r w:rsidR="00D022BE" w:rsidRPr="00272261">
        <w:rPr>
          <w:szCs w:val="22"/>
        </w:rPr>
        <w:t>CTE</w:t>
      </w:r>
      <w:r w:rsidR="0023322D" w:rsidRPr="00272261">
        <w:rPr>
          <w:szCs w:val="22"/>
        </w:rPr>
        <w:t>PH after surgery were evaluated as separate cohorts, rather than as a single cohort.</w:t>
      </w:r>
    </w:p>
    <w:p w:rsidR="002F36A9" w:rsidRPr="00272261" w:rsidRDefault="002F36A9" w:rsidP="00E57161">
      <w:pPr>
        <w:widowControl/>
        <w:rPr>
          <w:szCs w:val="22"/>
        </w:rPr>
      </w:pPr>
    </w:p>
    <w:p w:rsidR="002F36A9" w:rsidRPr="00272261" w:rsidRDefault="002F36A9" w:rsidP="00E57161">
      <w:pPr>
        <w:keepNext/>
        <w:widowControl/>
        <w:ind w:firstLine="720"/>
        <w:rPr>
          <w:rStyle w:val="CommentReference"/>
        </w:rPr>
      </w:pPr>
      <w:r w:rsidRPr="00272261">
        <w:rPr>
          <w:rStyle w:val="CommentReference"/>
        </w:rPr>
        <w:lastRenderedPageBreak/>
        <w:t xml:space="preserve">Table </w:t>
      </w:r>
      <w:r w:rsidR="00826A30" w:rsidRPr="00272261">
        <w:rPr>
          <w:rStyle w:val="CommentReference"/>
        </w:rPr>
        <w:t>6</w:t>
      </w:r>
      <w:r w:rsidRPr="00272261">
        <w:rPr>
          <w:rStyle w:val="CommentReference"/>
        </w:rPr>
        <w:t>: Summary of model structure and rationale</w:t>
      </w:r>
    </w:p>
    <w:tbl>
      <w:tblPr>
        <w:tblW w:w="4571" w:type="pc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40"/>
        <w:gridCol w:w="850"/>
        <w:gridCol w:w="1124"/>
        <w:gridCol w:w="2285"/>
        <w:gridCol w:w="2904"/>
      </w:tblGrid>
      <w:tr w:rsidR="002F36A9" w:rsidRPr="00272261" w:rsidTr="00C563D4">
        <w:trPr>
          <w:tblHeader/>
        </w:trPr>
        <w:tc>
          <w:tcPr>
            <w:tcW w:w="686" w:type="pct"/>
            <w:shd w:val="clear" w:color="auto" w:fill="auto"/>
            <w:vAlign w:val="center"/>
          </w:tcPr>
          <w:p w:rsidR="002F36A9" w:rsidRPr="00272261" w:rsidRDefault="002F36A9" w:rsidP="00E57161">
            <w:pPr>
              <w:keepNext/>
              <w:widowControl/>
              <w:jc w:val="left"/>
              <w:rPr>
                <w:rFonts w:ascii="Arial Narrow" w:hAnsi="Arial Narrow"/>
                <w:b/>
                <w:sz w:val="20"/>
              </w:rPr>
            </w:pPr>
            <w:r w:rsidRPr="00272261">
              <w:rPr>
                <w:rFonts w:ascii="Arial Narrow" w:hAnsi="Arial Narrow"/>
                <w:b/>
                <w:sz w:val="20"/>
              </w:rPr>
              <w:t>Component</w:t>
            </w:r>
          </w:p>
        </w:tc>
        <w:tc>
          <w:tcPr>
            <w:tcW w:w="4314" w:type="pct"/>
            <w:gridSpan w:val="4"/>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Summary</w:t>
            </w:r>
          </w:p>
        </w:tc>
      </w:tr>
      <w:tr w:rsidR="002F36A9" w:rsidRPr="00272261" w:rsidTr="00C563D4">
        <w:tc>
          <w:tcPr>
            <w:tcW w:w="686" w:type="pct"/>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Time horizon</w:t>
            </w:r>
          </w:p>
        </w:tc>
        <w:tc>
          <w:tcPr>
            <w:tcW w:w="4314" w:type="pct"/>
            <w:gridSpan w:val="4"/>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15 years in the model base case versus 16 weeks in the head to head trial (CHEST-1)</w:t>
            </w:r>
            <w:r w:rsidR="00D94297" w:rsidRPr="00272261">
              <w:rPr>
                <w:rFonts w:ascii="Arial Narrow" w:hAnsi="Arial Narrow"/>
                <w:sz w:val="20"/>
              </w:rPr>
              <w:t xml:space="preserve">.  A </w:t>
            </w:r>
            <w:r w:rsidR="00AE6D8C" w:rsidRPr="00272261">
              <w:rPr>
                <w:rFonts w:ascii="Arial Narrow" w:hAnsi="Arial Narrow"/>
                <w:sz w:val="20"/>
              </w:rPr>
              <w:t>maximum</w:t>
            </w:r>
            <w:r w:rsidR="00D94297" w:rsidRPr="00272261">
              <w:rPr>
                <w:rFonts w:ascii="Arial Narrow" w:hAnsi="Arial Narrow"/>
                <w:sz w:val="20"/>
              </w:rPr>
              <w:t xml:space="preserve"> of 4.8 years follow-up was available for riociguat treated patients (CHEST-2)</w:t>
            </w:r>
            <w:r w:rsidR="00226AE3" w:rsidRPr="00272261">
              <w:rPr>
                <w:rFonts w:ascii="Arial Narrow" w:hAnsi="Arial Narrow"/>
                <w:sz w:val="20"/>
              </w:rPr>
              <w:t>.</w:t>
            </w:r>
          </w:p>
        </w:tc>
      </w:tr>
      <w:tr w:rsidR="002F36A9" w:rsidRPr="00272261" w:rsidTr="00C563D4">
        <w:tc>
          <w:tcPr>
            <w:tcW w:w="686" w:type="pct"/>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Outcomes</w:t>
            </w:r>
          </w:p>
        </w:tc>
        <w:tc>
          <w:tcPr>
            <w:tcW w:w="4314" w:type="pct"/>
            <w:gridSpan w:val="4"/>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Cost/improvement of ≥1 WHO FC, Cost/LYG, Cost/QALY (trial based EQ-5D utilities)</w:t>
            </w:r>
          </w:p>
        </w:tc>
      </w:tr>
      <w:tr w:rsidR="002F36A9" w:rsidRPr="00272261" w:rsidTr="00C563D4">
        <w:tc>
          <w:tcPr>
            <w:tcW w:w="686" w:type="pct"/>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Methods used to generate results</w:t>
            </w:r>
          </w:p>
        </w:tc>
        <w:tc>
          <w:tcPr>
            <w:tcW w:w="4314" w:type="pct"/>
            <w:gridSpan w:val="4"/>
            <w:shd w:val="clear" w:color="auto" w:fill="auto"/>
            <w:vAlign w:val="center"/>
          </w:tcPr>
          <w:p w:rsidR="002F36A9" w:rsidRPr="00272261" w:rsidRDefault="009A6F04" w:rsidP="00E57161">
            <w:pPr>
              <w:keepNext/>
              <w:widowControl/>
              <w:jc w:val="left"/>
              <w:rPr>
                <w:rFonts w:ascii="Arial Narrow" w:hAnsi="Arial Narrow"/>
                <w:sz w:val="20"/>
              </w:rPr>
            </w:pPr>
            <w:r w:rsidRPr="00272261">
              <w:rPr>
                <w:rFonts w:ascii="Arial Narrow" w:hAnsi="Arial Narrow"/>
                <w:sz w:val="20"/>
              </w:rPr>
              <w:t>A partitioned survival model comprising four health states: WHO FC health states (II, III, IV) and death</w:t>
            </w:r>
            <w:r w:rsidR="002F36A9" w:rsidRPr="00272261">
              <w:rPr>
                <w:rFonts w:ascii="Arial Narrow" w:hAnsi="Arial Narrow"/>
                <w:sz w:val="20"/>
              </w:rPr>
              <w:t xml:space="preserve">: patients enter the model in either </w:t>
            </w:r>
            <w:r w:rsidR="003C5241" w:rsidRPr="00272261">
              <w:rPr>
                <w:rFonts w:ascii="Arial Narrow" w:hAnsi="Arial Narrow"/>
                <w:sz w:val="20"/>
              </w:rPr>
              <w:t xml:space="preserve">WHO </w:t>
            </w:r>
            <w:r w:rsidR="002F36A9" w:rsidRPr="00272261">
              <w:rPr>
                <w:rFonts w:ascii="Arial Narrow" w:hAnsi="Arial Narrow"/>
                <w:sz w:val="20"/>
              </w:rPr>
              <w:t xml:space="preserve">FC II, III or IV according to the observed baseline distribution of </w:t>
            </w:r>
            <w:r w:rsidR="00BF04D4" w:rsidRPr="00272261">
              <w:rPr>
                <w:rFonts w:ascii="Arial Narrow" w:hAnsi="Arial Narrow"/>
                <w:sz w:val="20"/>
              </w:rPr>
              <w:t xml:space="preserve">patients in the CHEST-1 trial. </w:t>
            </w:r>
            <w:r w:rsidR="002F36A9" w:rsidRPr="00272261">
              <w:rPr>
                <w:rFonts w:ascii="Arial Narrow" w:hAnsi="Arial Narrow"/>
                <w:sz w:val="20"/>
              </w:rPr>
              <w:t>With each cycle, patients may have a stepwise transition to a better</w:t>
            </w:r>
            <w:r w:rsidR="003C5241" w:rsidRPr="00272261">
              <w:rPr>
                <w:rFonts w:ascii="Arial Narrow" w:hAnsi="Arial Narrow"/>
                <w:sz w:val="20"/>
              </w:rPr>
              <w:t>/worse</w:t>
            </w:r>
            <w:r w:rsidR="002F36A9" w:rsidRPr="00272261">
              <w:rPr>
                <w:rFonts w:ascii="Arial Narrow" w:hAnsi="Arial Narrow"/>
                <w:sz w:val="20"/>
              </w:rPr>
              <w:t xml:space="preserve"> FC health state, remain stable or transition to the self</w:t>
            </w:r>
            <w:r w:rsidR="009F0CE9" w:rsidRPr="00272261">
              <w:rPr>
                <w:rFonts w:ascii="Arial Narrow" w:hAnsi="Arial Narrow"/>
                <w:sz w:val="20"/>
              </w:rPr>
              <w:noBreakHyphen/>
            </w:r>
            <w:r w:rsidR="002F36A9" w:rsidRPr="00272261">
              <w:rPr>
                <w:rFonts w:ascii="Arial Narrow" w:hAnsi="Arial Narrow"/>
                <w:sz w:val="20"/>
              </w:rPr>
              <w:t>absorbing death heal</w:t>
            </w:r>
            <w:r w:rsidR="00BF04D4" w:rsidRPr="00272261">
              <w:rPr>
                <w:rFonts w:ascii="Arial Narrow" w:hAnsi="Arial Narrow"/>
                <w:sz w:val="20"/>
              </w:rPr>
              <w:t xml:space="preserve">th state at any time. </w:t>
            </w:r>
            <w:r w:rsidR="002F36A9" w:rsidRPr="00272261">
              <w:rPr>
                <w:rFonts w:ascii="Arial Narrow" w:hAnsi="Arial Narrow"/>
                <w:sz w:val="20"/>
              </w:rPr>
              <w:t xml:space="preserve">Probability of death was </w:t>
            </w:r>
            <w:r w:rsidR="00672A19" w:rsidRPr="00272261">
              <w:rPr>
                <w:rFonts w:ascii="Arial Narrow" w:hAnsi="Arial Narrow"/>
                <w:sz w:val="20"/>
              </w:rPr>
              <w:t xml:space="preserve">modelled by </w:t>
            </w:r>
            <w:r w:rsidR="004B44E0" w:rsidRPr="00272261">
              <w:rPr>
                <w:rFonts w:ascii="Arial Narrow" w:hAnsi="Arial Narrow"/>
                <w:sz w:val="20"/>
              </w:rPr>
              <w:t>exponential extrapolation</w:t>
            </w:r>
            <w:r w:rsidR="00BF04D4" w:rsidRPr="00272261">
              <w:rPr>
                <w:rFonts w:ascii="Arial Narrow" w:hAnsi="Arial Narrow"/>
                <w:sz w:val="20"/>
              </w:rPr>
              <w:t xml:space="preserve">. </w:t>
            </w:r>
            <w:r w:rsidR="00C3585D" w:rsidRPr="00272261">
              <w:rPr>
                <w:rFonts w:ascii="Arial Narrow" w:hAnsi="Arial Narrow"/>
                <w:sz w:val="20"/>
              </w:rPr>
              <w:t xml:space="preserve">It was assumed that placebo patients could either improve or worsen in WHO FC in the first cycle.  </w:t>
            </w:r>
            <w:r w:rsidR="004B44E0" w:rsidRPr="00272261">
              <w:rPr>
                <w:rFonts w:ascii="Arial Narrow" w:hAnsi="Arial Narrow"/>
                <w:sz w:val="20"/>
              </w:rPr>
              <w:t>Subsequent to the</w:t>
            </w:r>
            <w:r w:rsidR="002F36A9" w:rsidRPr="00272261">
              <w:rPr>
                <w:rFonts w:ascii="Arial Narrow" w:hAnsi="Arial Narrow"/>
                <w:sz w:val="20"/>
              </w:rPr>
              <w:t xml:space="preserve"> first cycle, placebo patients were only permitted to have a worsening of </w:t>
            </w:r>
            <w:r w:rsidR="004B44E0" w:rsidRPr="00272261">
              <w:rPr>
                <w:rFonts w:ascii="Arial Narrow" w:hAnsi="Arial Narrow"/>
                <w:sz w:val="20"/>
              </w:rPr>
              <w:t xml:space="preserve">WHO </w:t>
            </w:r>
            <w:r w:rsidR="00BF04D4" w:rsidRPr="00272261">
              <w:rPr>
                <w:rFonts w:ascii="Arial Narrow" w:hAnsi="Arial Narrow"/>
                <w:sz w:val="20"/>
              </w:rPr>
              <w:t>FC.</w:t>
            </w:r>
            <w:r w:rsidR="002F36A9" w:rsidRPr="00272261">
              <w:rPr>
                <w:rFonts w:ascii="Arial Narrow" w:hAnsi="Arial Narrow"/>
                <w:sz w:val="20"/>
              </w:rPr>
              <w:t xml:space="preserve"> </w:t>
            </w:r>
            <w:r w:rsidR="00672A19" w:rsidRPr="00272261">
              <w:rPr>
                <w:rFonts w:ascii="Arial Narrow" w:hAnsi="Arial Narrow"/>
                <w:sz w:val="20"/>
              </w:rPr>
              <w:t>It was</w:t>
            </w:r>
            <w:r w:rsidR="00D34B27" w:rsidRPr="00272261">
              <w:rPr>
                <w:rFonts w:ascii="Arial Narrow" w:hAnsi="Arial Narrow"/>
                <w:sz w:val="20"/>
              </w:rPr>
              <w:t xml:space="preserve"> assumed that for riociguat, </w:t>
            </w:r>
            <w:r w:rsidR="009242D5" w:rsidRPr="00272261">
              <w:rPr>
                <w:rFonts w:ascii="Arial Narrow" w:hAnsi="Arial Narrow"/>
                <w:sz w:val="20"/>
              </w:rPr>
              <w:t>that there were no functional class improvements from WHO FC IV to III.</w:t>
            </w:r>
          </w:p>
        </w:tc>
      </w:tr>
      <w:tr w:rsidR="002F36A9" w:rsidRPr="00272261" w:rsidTr="00C563D4">
        <w:tc>
          <w:tcPr>
            <w:tcW w:w="686" w:type="pct"/>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Health states</w:t>
            </w:r>
          </w:p>
        </w:tc>
        <w:tc>
          <w:tcPr>
            <w:tcW w:w="4314" w:type="pct"/>
            <w:gridSpan w:val="4"/>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WHO FC II, III and IV and death</w:t>
            </w:r>
          </w:p>
        </w:tc>
      </w:tr>
      <w:tr w:rsidR="002F36A9" w:rsidRPr="00272261" w:rsidTr="00C563D4">
        <w:tc>
          <w:tcPr>
            <w:tcW w:w="686" w:type="pct"/>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Cycle length</w:t>
            </w:r>
          </w:p>
        </w:tc>
        <w:tc>
          <w:tcPr>
            <w:tcW w:w="4314" w:type="pct"/>
            <w:gridSpan w:val="4"/>
            <w:shd w:val="clear" w:color="auto" w:fill="auto"/>
            <w:vAlign w:val="center"/>
          </w:tcPr>
          <w:p w:rsidR="002F36A9" w:rsidRPr="00272261" w:rsidRDefault="002F36A9" w:rsidP="00E57161">
            <w:pPr>
              <w:keepNext/>
              <w:widowControl/>
              <w:jc w:val="left"/>
              <w:rPr>
                <w:rFonts w:ascii="Arial Narrow" w:hAnsi="Arial Narrow"/>
                <w:sz w:val="20"/>
              </w:rPr>
            </w:pPr>
            <w:r w:rsidRPr="00272261">
              <w:rPr>
                <w:rFonts w:ascii="Arial Narrow" w:hAnsi="Arial Narrow"/>
                <w:sz w:val="20"/>
              </w:rPr>
              <w:t>First cycle: 112 days; subsequent cycles: 122 days; half cycle correction applied</w:t>
            </w:r>
          </w:p>
        </w:tc>
      </w:tr>
      <w:tr w:rsidR="00395CDB" w:rsidRPr="00272261" w:rsidTr="00C563D4">
        <w:trPr>
          <w:trHeight w:val="93"/>
        </w:trPr>
        <w:tc>
          <w:tcPr>
            <w:tcW w:w="686" w:type="pct"/>
            <w:vMerge w:val="restart"/>
            <w:shd w:val="clear" w:color="auto" w:fill="auto"/>
            <w:vAlign w:val="center"/>
          </w:tcPr>
          <w:p w:rsidR="00395CDB" w:rsidRPr="00272261" w:rsidRDefault="00395CDB" w:rsidP="00E57161">
            <w:pPr>
              <w:keepNext/>
              <w:widowControl/>
              <w:jc w:val="left"/>
              <w:rPr>
                <w:rFonts w:ascii="Arial Narrow" w:hAnsi="Arial Narrow"/>
                <w:sz w:val="20"/>
              </w:rPr>
            </w:pPr>
            <w:r w:rsidRPr="00272261">
              <w:rPr>
                <w:rFonts w:ascii="Arial Narrow" w:hAnsi="Arial Narrow"/>
                <w:sz w:val="20"/>
              </w:rPr>
              <w:t>Transition probabilities</w:t>
            </w:r>
          </w:p>
        </w:tc>
        <w:tc>
          <w:tcPr>
            <w:tcW w:w="512" w:type="pct"/>
            <w:vMerge w:val="restart"/>
            <w:shd w:val="clear" w:color="auto" w:fill="auto"/>
            <w:vAlign w:val="center"/>
          </w:tcPr>
          <w:p w:rsidR="00395CDB" w:rsidRPr="00272261" w:rsidRDefault="00395CDB" w:rsidP="00E57161">
            <w:pPr>
              <w:keepNext/>
              <w:widowControl/>
              <w:jc w:val="left"/>
              <w:rPr>
                <w:rFonts w:ascii="Arial Narrow" w:hAnsi="Arial Narrow"/>
                <w:sz w:val="20"/>
              </w:rPr>
            </w:pPr>
          </w:p>
        </w:tc>
        <w:tc>
          <w:tcPr>
            <w:tcW w:w="2053" w:type="pct"/>
            <w:gridSpan w:val="2"/>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b/>
                <w:sz w:val="20"/>
              </w:rPr>
              <w:t>WHO FC: deterioration (II to III, III to IV) &amp; improvement (IV to III and III to II)</w:t>
            </w:r>
          </w:p>
        </w:tc>
        <w:tc>
          <w:tcPr>
            <w:tcW w:w="1749" w:type="pct"/>
            <w:vMerge w:val="restart"/>
            <w:shd w:val="clear" w:color="auto" w:fill="auto"/>
            <w:vAlign w:val="center"/>
          </w:tcPr>
          <w:p w:rsidR="00395CDB" w:rsidRPr="00272261" w:rsidRDefault="00395CDB" w:rsidP="00E57161">
            <w:pPr>
              <w:keepNext/>
              <w:widowControl/>
              <w:jc w:val="center"/>
              <w:rPr>
                <w:rFonts w:ascii="Arial Narrow" w:hAnsi="Arial Narrow"/>
                <w:b/>
                <w:sz w:val="20"/>
              </w:rPr>
            </w:pPr>
            <w:r w:rsidRPr="00272261">
              <w:rPr>
                <w:rFonts w:ascii="Arial Narrow" w:hAnsi="Arial Narrow"/>
                <w:b/>
                <w:sz w:val="20"/>
              </w:rPr>
              <w:t>Death</w:t>
            </w:r>
          </w:p>
        </w:tc>
      </w:tr>
      <w:tr w:rsidR="00BC1FAD" w:rsidRPr="00272261" w:rsidTr="00C563D4">
        <w:trPr>
          <w:trHeight w:val="70"/>
        </w:trPr>
        <w:tc>
          <w:tcPr>
            <w:tcW w:w="686" w:type="pct"/>
            <w:vMerge/>
            <w:shd w:val="clear" w:color="auto" w:fill="auto"/>
            <w:vAlign w:val="center"/>
          </w:tcPr>
          <w:p w:rsidR="00395CDB" w:rsidRPr="00272261" w:rsidRDefault="00395CDB" w:rsidP="00E57161">
            <w:pPr>
              <w:keepNext/>
              <w:widowControl/>
              <w:jc w:val="left"/>
              <w:rPr>
                <w:rFonts w:ascii="Arial Narrow" w:hAnsi="Arial Narrow"/>
                <w:sz w:val="20"/>
              </w:rPr>
            </w:pPr>
          </w:p>
        </w:tc>
        <w:tc>
          <w:tcPr>
            <w:tcW w:w="512" w:type="pct"/>
            <w:vMerge/>
            <w:shd w:val="clear" w:color="auto" w:fill="auto"/>
            <w:vAlign w:val="center"/>
          </w:tcPr>
          <w:p w:rsidR="00395CDB" w:rsidRPr="00272261" w:rsidRDefault="00395CDB" w:rsidP="00E57161">
            <w:pPr>
              <w:keepNext/>
              <w:widowControl/>
              <w:jc w:val="left"/>
              <w:rPr>
                <w:rFonts w:ascii="Arial Narrow" w:hAnsi="Arial Narrow"/>
                <w:sz w:val="20"/>
              </w:rPr>
            </w:pPr>
          </w:p>
        </w:tc>
        <w:tc>
          <w:tcPr>
            <w:tcW w:w="677" w:type="pct"/>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b/>
                <w:sz w:val="20"/>
              </w:rPr>
              <w:t>First cycle</w:t>
            </w:r>
          </w:p>
        </w:tc>
        <w:tc>
          <w:tcPr>
            <w:tcW w:w="1376" w:type="pct"/>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b/>
                <w:sz w:val="20"/>
              </w:rPr>
              <w:t>Subsequent cycles</w:t>
            </w:r>
          </w:p>
        </w:tc>
        <w:tc>
          <w:tcPr>
            <w:tcW w:w="1749" w:type="pct"/>
            <w:vMerge/>
            <w:shd w:val="clear" w:color="auto" w:fill="auto"/>
            <w:vAlign w:val="center"/>
          </w:tcPr>
          <w:p w:rsidR="00395CDB" w:rsidRPr="00272261" w:rsidRDefault="00395CDB" w:rsidP="00E57161">
            <w:pPr>
              <w:keepNext/>
              <w:widowControl/>
              <w:jc w:val="center"/>
              <w:rPr>
                <w:rFonts w:ascii="Arial Narrow" w:hAnsi="Arial Narrow"/>
                <w:sz w:val="20"/>
              </w:rPr>
            </w:pPr>
          </w:p>
        </w:tc>
      </w:tr>
      <w:tr w:rsidR="00BC1FAD" w:rsidRPr="00272261" w:rsidTr="00C563D4">
        <w:trPr>
          <w:trHeight w:val="469"/>
        </w:trPr>
        <w:tc>
          <w:tcPr>
            <w:tcW w:w="686" w:type="pct"/>
            <w:vMerge/>
            <w:shd w:val="clear" w:color="auto" w:fill="auto"/>
            <w:vAlign w:val="center"/>
          </w:tcPr>
          <w:p w:rsidR="00395CDB" w:rsidRPr="00272261" w:rsidRDefault="00395CDB" w:rsidP="00E57161">
            <w:pPr>
              <w:keepNext/>
              <w:widowControl/>
              <w:jc w:val="left"/>
              <w:rPr>
                <w:rFonts w:ascii="Arial Narrow" w:hAnsi="Arial Narrow"/>
                <w:sz w:val="20"/>
              </w:rPr>
            </w:pPr>
          </w:p>
        </w:tc>
        <w:tc>
          <w:tcPr>
            <w:tcW w:w="512" w:type="pct"/>
            <w:shd w:val="clear" w:color="auto" w:fill="auto"/>
            <w:vAlign w:val="center"/>
          </w:tcPr>
          <w:p w:rsidR="00395CDB" w:rsidRPr="00272261" w:rsidRDefault="00395CDB" w:rsidP="00E57161">
            <w:pPr>
              <w:keepNext/>
              <w:widowControl/>
              <w:jc w:val="left"/>
              <w:rPr>
                <w:rFonts w:ascii="Arial Narrow" w:hAnsi="Arial Narrow"/>
                <w:sz w:val="20"/>
              </w:rPr>
            </w:pPr>
            <w:r w:rsidRPr="00272261">
              <w:rPr>
                <w:rFonts w:ascii="Arial Narrow" w:hAnsi="Arial Narrow"/>
                <w:sz w:val="20"/>
              </w:rPr>
              <w:t>Riociguat</w:t>
            </w:r>
          </w:p>
        </w:tc>
        <w:tc>
          <w:tcPr>
            <w:tcW w:w="677" w:type="pct"/>
            <w:vMerge w:val="restart"/>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sz w:val="20"/>
              </w:rPr>
              <w:t xml:space="preserve">CHEST-1: </w:t>
            </w:r>
          </w:p>
          <w:p w:rsidR="00395CDB" w:rsidRPr="00272261" w:rsidRDefault="00395CDB" w:rsidP="00E57161">
            <w:pPr>
              <w:keepNext/>
              <w:widowControl/>
              <w:jc w:val="center"/>
              <w:rPr>
                <w:rFonts w:ascii="Arial Narrow" w:hAnsi="Arial Narrow"/>
                <w:sz w:val="20"/>
              </w:rPr>
            </w:pPr>
            <w:r w:rsidRPr="00272261">
              <w:rPr>
                <w:rFonts w:ascii="Arial Narrow" w:hAnsi="Arial Narrow"/>
                <w:sz w:val="20"/>
              </w:rPr>
              <w:t>Log-normal extrapolation</w:t>
            </w:r>
          </w:p>
        </w:tc>
        <w:tc>
          <w:tcPr>
            <w:tcW w:w="1376" w:type="pct"/>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sz w:val="20"/>
              </w:rPr>
              <w:t xml:space="preserve">CHEST-2: </w:t>
            </w:r>
          </w:p>
          <w:p w:rsidR="00395CDB" w:rsidRPr="00272261" w:rsidRDefault="00395CDB" w:rsidP="00E57161">
            <w:pPr>
              <w:keepNext/>
              <w:widowControl/>
              <w:jc w:val="center"/>
              <w:rPr>
                <w:rFonts w:ascii="Arial Narrow" w:hAnsi="Arial Narrow"/>
                <w:sz w:val="20"/>
              </w:rPr>
            </w:pPr>
            <w:r w:rsidRPr="00272261">
              <w:rPr>
                <w:rFonts w:ascii="Arial Narrow" w:hAnsi="Arial Narrow"/>
                <w:sz w:val="20"/>
              </w:rPr>
              <w:t>Log-normal extrapolation</w:t>
            </w:r>
            <w:r w:rsidR="00BC1FAD" w:rsidRPr="00272261">
              <w:rPr>
                <w:rFonts w:ascii="Arial Narrow" w:hAnsi="Arial Narrow"/>
                <w:sz w:val="20"/>
              </w:rPr>
              <w:t>*</w:t>
            </w:r>
          </w:p>
        </w:tc>
        <w:tc>
          <w:tcPr>
            <w:tcW w:w="1749" w:type="pct"/>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sz w:val="20"/>
              </w:rPr>
              <w:t>CHEST-1 &amp; 2 (dataset 1): Exponential extrapolation</w:t>
            </w:r>
          </w:p>
        </w:tc>
      </w:tr>
      <w:tr w:rsidR="00BC1FAD" w:rsidRPr="00272261" w:rsidTr="00C563D4">
        <w:trPr>
          <w:trHeight w:val="469"/>
        </w:trPr>
        <w:tc>
          <w:tcPr>
            <w:tcW w:w="686" w:type="pct"/>
            <w:vMerge/>
            <w:shd w:val="clear" w:color="auto" w:fill="auto"/>
            <w:vAlign w:val="center"/>
          </w:tcPr>
          <w:p w:rsidR="00395CDB" w:rsidRPr="00272261" w:rsidRDefault="00395CDB" w:rsidP="00E57161">
            <w:pPr>
              <w:keepNext/>
              <w:widowControl/>
              <w:jc w:val="left"/>
              <w:rPr>
                <w:rFonts w:ascii="Arial Narrow" w:hAnsi="Arial Narrow"/>
                <w:sz w:val="20"/>
              </w:rPr>
            </w:pPr>
          </w:p>
        </w:tc>
        <w:tc>
          <w:tcPr>
            <w:tcW w:w="512" w:type="pct"/>
            <w:shd w:val="clear" w:color="auto" w:fill="auto"/>
            <w:vAlign w:val="center"/>
          </w:tcPr>
          <w:p w:rsidR="00395CDB" w:rsidRPr="00272261" w:rsidRDefault="00395CDB" w:rsidP="00E57161">
            <w:pPr>
              <w:keepNext/>
              <w:widowControl/>
              <w:jc w:val="left"/>
              <w:rPr>
                <w:rFonts w:ascii="Arial Narrow" w:hAnsi="Arial Narrow"/>
                <w:sz w:val="20"/>
              </w:rPr>
            </w:pPr>
            <w:r w:rsidRPr="00272261">
              <w:rPr>
                <w:rFonts w:ascii="Arial Narrow" w:hAnsi="Arial Narrow"/>
                <w:sz w:val="20"/>
              </w:rPr>
              <w:t>Placebo</w:t>
            </w:r>
          </w:p>
        </w:tc>
        <w:tc>
          <w:tcPr>
            <w:tcW w:w="677" w:type="pct"/>
            <w:vMerge/>
            <w:shd w:val="clear" w:color="auto" w:fill="auto"/>
            <w:vAlign w:val="center"/>
          </w:tcPr>
          <w:p w:rsidR="00395CDB" w:rsidRPr="00272261" w:rsidRDefault="00395CDB" w:rsidP="00E57161">
            <w:pPr>
              <w:keepNext/>
              <w:widowControl/>
              <w:jc w:val="center"/>
              <w:rPr>
                <w:rFonts w:ascii="Arial Narrow" w:hAnsi="Arial Narrow"/>
                <w:sz w:val="20"/>
              </w:rPr>
            </w:pPr>
          </w:p>
        </w:tc>
        <w:tc>
          <w:tcPr>
            <w:tcW w:w="1376" w:type="pct"/>
            <w:shd w:val="clear" w:color="auto" w:fill="auto"/>
            <w:vAlign w:val="center"/>
          </w:tcPr>
          <w:p w:rsidR="00395CDB" w:rsidRPr="00272261" w:rsidRDefault="00395CDB" w:rsidP="00E57161">
            <w:pPr>
              <w:keepNext/>
              <w:widowControl/>
              <w:jc w:val="center"/>
              <w:rPr>
                <w:rFonts w:ascii="Arial Narrow" w:hAnsi="Arial Narrow"/>
                <w:sz w:val="20"/>
              </w:rPr>
            </w:pPr>
            <w:r w:rsidRPr="00272261">
              <w:rPr>
                <w:rFonts w:ascii="Arial Narrow" w:hAnsi="Arial Narrow"/>
                <w:sz w:val="20"/>
              </w:rPr>
              <w:t xml:space="preserve">CHEST-1: </w:t>
            </w:r>
          </w:p>
          <w:p w:rsidR="00395CDB" w:rsidRPr="00272261" w:rsidRDefault="00395CDB" w:rsidP="00E57161">
            <w:pPr>
              <w:keepNext/>
              <w:widowControl/>
              <w:jc w:val="center"/>
              <w:rPr>
                <w:rFonts w:ascii="Arial Narrow" w:hAnsi="Arial Narrow"/>
                <w:sz w:val="20"/>
              </w:rPr>
            </w:pPr>
            <w:r w:rsidRPr="00272261">
              <w:rPr>
                <w:rFonts w:ascii="Arial Narrow" w:hAnsi="Arial Narrow"/>
                <w:sz w:val="20"/>
              </w:rPr>
              <w:t>Log-normal extrapolation^</w:t>
            </w:r>
          </w:p>
        </w:tc>
        <w:tc>
          <w:tcPr>
            <w:tcW w:w="1749" w:type="pct"/>
            <w:shd w:val="clear" w:color="auto" w:fill="auto"/>
            <w:vAlign w:val="center"/>
          </w:tcPr>
          <w:p w:rsidR="00395CDB" w:rsidRPr="00272261" w:rsidRDefault="00C563D4" w:rsidP="00E57161">
            <w:pPr>
              <w:keepNext/>
              <w:widowControl/>
              <w:jc w:val="center"/>
              <w:rPr>
                <w:rFonts w:ascii="Arial Narrow" w:hAnsi="Arial Narrow"/>
                <w:sz w:val="20"/>
              </w:rPr>
            </w:pPr>
            <w:r w:rsidRPr="00272261">
              <w:rPr>
                <w:rFonts w:ascii="Arial Narrow" w:hAnsi="Arial Narrow"/>
                <w:sz w:val="20"/>
              </w:rPr>
              <w:t>Inoperable: Condliffe 2008 (non</w:t>
            </w:r>
            <w:r w:rsidRPr="00272261">
              <w:rPr>
                <w:rFonts w:ascii="Arial Narrow" w:hAnsi="Arial Narrow"/>
                <w:sz w:val="20"/>
              </w:rPr>
              <w:noBreakHyphen/>
            </w:r>
            <w:r w:rsidR="00395CDB" w:rsidRPr="00272261">
              <w:rPr>
                <w:rFonts w:ascii="Arial Narrow" w:hAnsi="Arial Narrow"/>
                <w:sz w:val="20"/>
              </w:rPr>
              <w:t>surgical CTEPH cohort) diagnosed from 2003: HR = 3.52</w:t>
            </w:r>
          </w:p>
          <w:p w:rsidR="00395CDB" w:rsidRPr="00272261" w:rsidRDefault="00677F30" w:rsidP="00E57161">
            <w:pPr>
              <w:keepNext/>
              <w:widowControl/>
              <w:jc w:val="center"/>
              <w:rPr>
                <w:rFonts w:ascii="Arial Narrow" w:hAnsi="Arial Narrow"/>
                <w:sz w:val="20"/>
              </w:rPr>
            </w:pPr>
            <w:r w:rsidRPr="00272261">
              <w:rPr>
                <w:rFonts w:ascii="Arial Narrow" w:hAnsi="Arial Narrow"/>
                <w:sz w:val="20"/>
              </w:rPr>
              <w:t>Persistent</w:t>
            </w:r>
            <w:r w:rsidR="00395CDB" w:rsidRPr="00272261">
              <w:rPr>
                <w:rFonts w:ascii="Arial Narrow" w:hAnsi="Arial Narrow"/>
                <w:sz w:val="20"/>
              </w:rPr>
              <w:t>: Con</w:t>
            </w:r>
            <w:r w:rsidR="00D022BE" w:rsidRPr="00272261">
              <w:rPr>
                <w:rFonts w:ascii="Arial Narrow" w:hAnsi="Arial Narrow"/>
                <w:sz w:val="20"/>
              </w:rPr>
              <w:t>d</w:t>
            </w:r>
            <w:r w:rsidR="00395CDB" w:rsidRPr="00272261">
              <w:rPr>
                <w:rFonts w:ascii="Arial Narrow" w:hAnsi="Arial Narrow"/>
                <w:sz w:val="20"/>
              </w:rPr>
              <w:t>liffe 2008 (all surgical cohort) : HR=1.38</w:t>
            </w:r>
          </w:p>
        </w:tc>
      </w:tr>
      <w:tr w:rsidR="00395CDB" w:rsidRPr="00272261" w:rsidTr="00C563D4">
        <w:trPr>
          <w:trHeight w:val="70"/>
        </w:trPr>
        <w:tc>
          <w:tcPr>
            <w:tcW w:w="686" w:type="pct"/>
            <w:vMerge/>
            <w:shd w:val="clear" w:color="auto" w:fill="auto"/>
            <w:vAlign w:val="center"/>
          </w:tcPr>
          <w:p w:rsidR="00395CDB" w:rsidRPr="00272261" w:rsidRDefault="00395CDB" w:rsidP="00E57161">
            <w:pPr>
              <w:keepNext/>
              <w:widowControl/>
              <w:jc w:val="left"/>
              <w:rPr>
                <w:rFonts w:ascii="Arial Narrow" w:hAnsi="Arial Narrow"/>
                <w:sz w:val="20"/>
              </w:rPr>
            </w:pPr>
          </w:p>
        </w:tc>
        <w:tc>
          <w:tcPr>
            <w:tcW w:w="4314" w:type="pct"/>
            <w:gridSpan w:val="4"/>
            <w:shd w:val="clear" w:color="auto" w:fill="auto"/>
            <w:vAlign w:val="center"/>
          </w:tcPr>
          <w:p w:rsidR="00395CDB" w:rsidRPr="00272261" w:rsidRDefault="00395CDB" w:rsidP="00E57161">
            <w:pPr>
              <w:keepNext/>
              <w:widowControl/>
              <w:jc w:val="left"/>
              <w:rPr>
                <w:rFonts w:ascii="Arial Narrow" w:hAnsi="Arial Narrow"/>
                <w:sz w:val="20"/>
              </w:rPr>
            </w:pPr>
            <w:r w:rsidRPr="00272261">
              <w:rPr>
                <w:rFonts w:ascii="Arial Narrow" w:hAnsi="Arial Narrow"/>
                <w:sz w:val="20"/>
              </w:rPr>
              <w:t>Probability of treatment discontinuation: CHEST-1</w:t>
            </w:r>
          </w:p>
        </w:tc>
      </w:tr>
    </w:tbl>
    <w:p w:rsidR="007A4209" w:rsidRPr="00272261" w:rsidRDefault="007A4209" w:rsidP="00E57161">
      <w:pPr>
        <w:pStyle w:val="TableFooter"/>
        <w:widowControl/>
        <w:ind w:left="720"/>
      </w:pPr>
      <w:r w:rsidRPr="00272261">
        <w:t xml:space="preserve">*Following the first cycle, the re-submission assumes no functional class improvement from WHO FC IV to III for riociguat treated patients. </w:t>
      </w:r>
      <w:r w:rsidR="00BC1FAD" w:rsidRPr="00272261">
        <w:t>^</w:t>
      </w:r>
      <w:r w:rsidRPr="00272261">
        <w:t>Following the first cycle, the re-submission assume</w:t>
      </w:r>
      <w:r w:rsidR="00F24434" w:rsidRPr="00272261">
        <w:t>d</w:t>
      </w:r>
      <w:r w:rsidRPr="00272261">
        <w:t xml:space="preserve"> no functional class improvements for placebo treated patients.  </w:t>
      </w:r>
      <w:r w:rsidR="00677F30" w:rsidRPr="00272261">
        <w:t>FC = functional class; HR = hazard ratio; LYG = life years gained; QALY = qual</w:t>
      </w:r>
      <w:r w:rsidR="00BF04D4" w:rsidRPr="00272261">
        <w:t>ity adjusted life year; CTEPH = </w:t>
      </w:r>
      <w:r w:rsidR="00677F30" w:rsidRPr="00272261">
        <w:t xml:space="preserve">chronic thromboembolic pulmonary hypertension. </w:t>
      </w:r>
      <w:r w:rsidRPr="00272261">
        <w:t>Source: compiled during the evaluation</w:t>
      </w:r>
      <w:r w:rsidR="001370D8" w:rsidRPr="00272261">
        <w:t>.</w:t>
      </w:r>
    </w:p>
    <w:p w:rsidR="000258FE" w:rsidRDefault="000258FE">
      <w:pPr>
        <w:widowControl/>
        <w:jc w:val="left"/>
        <w:rPr>
          <w:szCs w:val="22"/>
          <w:highlight w:val="yellow"/>
        </w:rPr>
      </w:pPr>
      <w:r>
        <w:rPr>
          <w:szCs w:val="22"/>
          <w:highlight w:val="yellow"/>
        </w:rPr>
        <w:br w:type="page"/>
      </w:r>
    </w:p>
    <w:p w:rsidR="002F36A9" w:rsidRPr="00272261" w:rsidRDefault="002F36A9" w:rsidP="00E57161">
      <w:pPr>
        <w:widowControl/>
        <w:rPr>
          <w:szCs w:val="22"/>
          <w:highlight w:val="yellow"/>
        </w:rPr>
      </w:pPr>
    </w:p>
    <w:p w:rsidR="002F36A9" w:rsidRPr="00272261" w:rsidRDefault="002F36A9" w:rsidP="00E57161">
      <w:pPr>
        <w:widowControl/>
        <w:ind w:firstLine="720"/>
        <w:rPr>
          <w:rStyle w:val="CommentReference"/>
        </w:rPr>
      </w:pPr>
      <w:r w:rsidRPr="00272261">
        <w:rPr>
          <w:rStyle w:val="CommentReference"/>
        </w:rPr>
        <w:t xml:space="preserve">Table </w:t>
      </w:r>
      <w:r w:rsidR="00826A30" w:rsidRPr="00272261">
        <w:rPr>
          <w:rStyle w:val="CommentReference"/>
        </w:rPr>
        <w:t>7</w:t>
      </w:r>
      <w:r w:rsidRPr="00272261">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4111"/>
        <w:gridCol w:w="2957"/>
      </w:tblGrid>
      <w:tr w:rsidR="002F36A9" w:rsidRPr="00272261" w:rsidTr="004A1EE3">
        <w:trPr>
          <w:tblHeader/>
        </w:trPr>
        <w:tc>
          <w:tcPr>
            <w:tcW w:w="765" w:type="pct"/>
            <w:shd w:val="clear" w:color="auto" w:fill="auto"/>
            <w:vAlign w:val="center"/>
          </w:tcPr>
          <w:p w:rsidR="002F36A9" w:rsidRPr="00272261" w:rsidRDefault="002F36A9" w:rsidP="00E57161">
            <w:pPr>
              <w:widowControl/>
              <w:jc w:val="left"/>
              <w:rPr>
                <w:rFonts w:ascii="Arial Narrow" w:hAnsi="Arial Narrow"/>
                <w:b/>
                <w:sz w:val="20"/>
              </w:rPr>
            </w:pPr>
            <w:r w:rsidRPr="00272261">
              <w:rPr>
                <w:rFonts w:ascii="Arial Narrow" w:hAnsi="Arial Narrow"/>
                <w:b/>
                <w:sz w:val="20"/>
              </w:rPr>
              <w:t>Description</w:t>
            </w:r>
          </w:p>
        </w:tc>
        <w:tc>
          <w:tcPr>
            <w:tcW w:w="2463" w:type="pct"/>
            <w:shd w:val="clear" w:color="auto" w:fill="auto"/>
            <w:vAlign w:val="center"/>
          </w:tcPr>
          <w:p w:rsidR="002F36A9" w:rsidRPr="00272261" w:rsidRDefault="002F36A9" w:rsidP="00E57161">
            <w:pPr>
              <w:widowControl/>
              <w:jc w:val="center"/>
              <w:rPr>
                <w:rFonts w:ascii="Arial Narrow" w:hAnsi="Arial Narrow"/>
                <w:b/>
                <w:sz w:val="20"/>
              </w:rPr>
            </w:pPr>
            <w:r w:rsidRPr="00272261">
              <w:rPr>
                <w:rFonts w:ascii="Arial Narrow" w:hAnsi="Arial Narrow"/>
                <w:b/>
                <w:sz w:val="20"/>
              </w:rPr>
              <w:t>Method/Value</w:t>
            </w:r>
          </w:p>
        </w:tc>
        <w:tc>
          <w:tcPr>
            <w:tcW w:w="1772" w:type="pct"/>
            <w:shd w:val="clear" w:color="auto" w:fill="auto"/>
            <w:vAlign w:val="center"/>
          </w:tcPr>
          <w:p w:rsidR="002F36A9" w:rsidRPr="00272261" w:rsidRDefault="002F36A9" w:rsidP="00E57161">
            <w:pPr>
              <w:widowControl/>
              <w:jc w:val="center"/>
              <w:rPr>
                <w:rFonts w:ascii="Arial Narrow" w:hAnsi="Arial Narrow"/>
                <w:b/>
                <w:sz w:val="20"/>
              </w:rPr>
            </w:pPr>
            <w:r w:rsidRPr="00272261">
              <w:rPr>
                <w:rFonts w:ascii="Arial Narrow" w:hAnsi="Arial Narrow"/>
                <w:b/>
                <w:sz w:val="20"/>
              </w:rPr>
              <w:t>Impact</w:t>
            </w:r>
          </w:p>
        </w:tc>
      </w:tr>
      <w:tr w:rsidR="002F36A9" w:rsidRPr="00272261" w:rsidTr="004A1EE3">
        <w:tc>
          <w:tcPr>
            <w:tcW w:w="765" w:type="pct"/>
            <w:shd w:val="clear" w:color="auto" w:fill="auto"/>
            <w:vAlign w:val="center"/>
          </w:tcPr>
          <w:p w:rsidR="002F36A9" w:rsidRPr="00272261" w:rsidRDefault="002F36A9" w:rsidP="00E57161">
            <w:pPr>
              <w:widowControl/>
              <w:jc w:val="left"/>
              <w:rPr>
                <w:rFonts w:ascii="Arial Narrow" w:hAnsi="Arial Narrow"/>
                <w:sz w:val="20"/>
              </w:rPr>
            </w:pPr>
            <w:r w:rsidRPr="00272261">
              <w:rPr>
                <w:rFonts w:ascii="Arial Narrow" w:hAnsi="Arial Narrow"/>
                <w:sz w:val="20"/>
              </w:rPr>
              <w:t>Placebo survival extrapolation</w:t>
            </w:r>
          </w:p>
        </w:tc>
        <w:tc>
          <w:tcPr>
            <w:tcW w:w="2463" w:type="pct"/>
            <w:shd w:val="clear" w:color="auto" w:fill="auto"/>
            <w:vAlign w:val="center"/>
          </w:tcPr>
          <w:p w:rsidR="002F36A9" w:rsidRPr="00272261" w:rsidRDefault="002F36A9" w:rsidP="00E57161">
            <w:pPr>
              <w:widowControl/>
              <w:jc w:val="center"/>
              <w:rPr>
                <w:rFonts w:ascii="Arial Narrow" w:hAnsi="Arial Narrow"/>
                <w:sz w:val="20"/>
              </w:rPr>
            </w:pPr>
            <w:r w:rsidRPr="00272261">
              <w:rPr>
                <w:rFonts w:ascii="Arial Narrow" w:hAnsi="Arial Narrow"/>
                <w:sz w:val="20"/>
              </w:rPr>
              <w:t>Constant hazards approach derived from Condliffe 2008 (non-surgical CTEPH cohort): HR = 3.</w:t>
            </w:r>
            <w:r w:rsidR="00677F30" w:rsidRPr="00272261">
              <w:rPr>
                <w:rFonts w:ascii="Arial Narrow" w:hAnsi="Arial Narrow"/>
                <w:sz w:val="20"/>
              </w:rPr>
              <w:t>52; (all surgical cohort): HR = 1.38</w:t>
            </w:r>
          </w:p>
        </w:tc>
        <w:tc>
          <w:tcPr>
            <w:tcW w:w="1772" w:type="pct"/>
            <w:shd w:val="clear" w:color="auto" w:fill="auto"/>
            <w:vAlign w:val="center"/>
          </w:tcPr>
          <w:p w:rsidR="002F36A9" w:rsidRPr="00272261" w:rsidRDefault="002F36A9" w:rsidP="00E57161">
            <w:pPr>
              <w:widowControl/>
              <w:jc w:val="center"/>
              <w:rPr>
                <w:rFonts w:ascii="Arial Narrow" w:hAnsi="Arial Narrow"/>
                <w:sz w:val="20"/>
              </w:rPr>
            </w:pPr>
            <w:r w:rsidRPr="00272261">
              <w:rPr>
                <w:rFonts w:ascii="Arial Narrow" w:hAnsi="Arial Narrow"/>
                <w:sz w:val="20"/>
              </w:rPr>
              <w:t>High, favours riociguat</w:t>
            </w:r>
          </w:p>
        </w:tc>
      </w:tr>
      <w:tr w:rsidR="002F36A9" w:rsidRPr="00272261" w:rsidTr="004A1EE3">
        <w:tc>
          <w:tcPr>
            <w:tcW w:w="765" w:type="pct"/>
            <w:shd w:val="clear" w:color="auto" w:fill="auto"/>
            <w:vAlign w:val="center"/>
          </w:tcPr>
          <w:p w:rsidR="002F36A9" w:rsidRPr="00272261" w:rsidRDefault="000418B8" w:rsidP="00E57161">
            <w:pPr>
              <w:widowControl/>
              <w:jc w:val="left"/>
              <w:rPr>
                <w:rFonts w:ascii="Arial Narrow" w:hAnsi="Arial Narrow"/>
                <w:sz w:val="20"/>
              </w:rPr>
            </w:pPr>
            <w:r w:rsidRPr="00272261">
              <w:rPr>
                <w:rFonts w:ascii="Arial Narrow" w:hAnsi="Arial Narrow"/>
                <w:sz w:val="20"/>
              </w:rPr>
              <w:t>Off-label therapies</w:t>
            </w:r>
          </w:p>
        </w:tc>
        <w:tc>
          <w:tcPr>
            <w:tcW w:w="2463" w:type="pct"/>
            <w:shd w:val="clear" w:color="auto" w:fill="auto"/>
            <w:vAlign w:val="center"/>
          </w:tcPr>
          <w:p w:rsidR="002F36A9" w:rsidRPr="00272261" w:rsidRDefault="000418B8" w:rsidP="00E57161">
            <w:pPr>
              <w:widowControl/>
              <w:jc w:val="center"/>
              <w:rPr>
                <w:rFonts w:ascii="Arial Narrow" w:hAnsi="Arial Narrow"/>
                <w:sz w:val="20"/>
              </w:rPr>
            </w:pPr>
            <w:r w:rsidRPr="00272261">
              <w:rPr>
                <w:rFonts w:ascii="Arial Narrow" w:hAnsi="Arial Narrow"/>
                <w:sz w:val="20"/>
              </w:rPr>
              <w:t>Assumption of 74% use of off-label therapies for placebo patients</w:t>
            </w:r>
          </w:p>
        </w:tc>
        <w:tc>
          <w:tcPr>
            <w:tcW w:w="1772" w:type="pct"/>
            <w:shd w:val="clear" w:color="auto" w:fill="auto"/>
            <w:vAlign w:val="center"/>
          </w:tcPr>
          <w:p w:rsidR="002F36A9" w:rsidRPr="00272261" w:rsidRDefault="002F36A9" w:rsidP="00E57161">
            <w:pPr>
              <w:widowControl/>
              <w:jc w:val="center"/>
              <w:rPr>
                <w:rFonts w:ascii="Arial Narrow" w:hAnsi="Arial Narrow"/>
                <w:sz w:val="20"/>
              </w:rPr>
            </w:pPr>
            <w:r w:rsidRPr="00272261">
              <w:rPr>
                <w:rFonts w:ascii="Arial Narrow" w:hAnsi="Arial Narrow"/>
                <w:sz w:val="20"/>
              </w:rPr>
              <w:t>High, favours riociguat</w:t>
            </w:r>
          </w:p>
        </w:tc>
      </w:tr>
      <w:tr w:rsidR="002F36A9" w:rsidRPr="00272261" w:rsidTr="004A1EE3">
        <w:tc>
          <w:tcPr>
            <w:tcW w:w="765" w:type="pct"/>
            <w:shd w:val="clear" w:color="auto" w:fill="auto"/>
            <w:vAlign w:val="center"/>
          </w:tcPr>
          <w:p w:rsidR="002F36A9" w:rsidRPr="00272261" w:rsidRDefault="002F36A9" w:rsidP="00E57161">
            <w:pPr>
              <w:widowControl/>
              <w:jc w:val="left"/>
              <w:rPr>
                <w:rFonts w:ascii="Arial Narrow" w:hAnsi="Arial Narrow"/>
                <w:sz w:val="20"/>
              </w:rPr>
            </w:pPr>
            <w:r w:rsidRPr="00272261">
              <w:rPr>
                <w:rFonts w:ascii="Arial Narrow" w:hAnsi="Arial Narrow"/>
                <w:sz w:val="20"/>
              </w:rPr>
              <w:t>Time horizon</w:t>
            </w:r>
          </w:p>
        </w:tc>
        <w:tc>
          <w:tcPr>
            <w:tcW w:w="2463" w:type="pct"/>
            <w:shd w:val="clear" w:color="auto" w:fill="auto"/>
            <w:vAlign w:val="center"/>
          </w:tcPr>
          <w:p w:rsidR="002F36A9" w:rsidRPr="00272261" w:rsidRDefault="002F36A9" w:rsidP="00E57161">
            <w:pPr>
              <w:widowControl/>
              <w:jc w:val="center"/>
              <w:rPr>
                <w:rFonts w:ascii="Arial Narrow" w:hAnsi="Arial Narrow"/>
                <w:sz w:val="20"/>
              </w:rPr>
            </w:pPr>
            <w:r w:rsidRPr="00272261">
              <w:rPr>
                <w:rFonts w:ascii="Arial Narrow" w:hAnsi="Arial Narrow"/>
                <w:sz w:val="20"/>
              </w:rPr>
              <w:t>15 years</w:t>
            </w:r>
          </w:p>
        </w:tc>
        <w:tc>
          <w:tcPr>
            <w:tcW w:w="1772" w:type="pct"/>
            <w:shd w:val="clear" w:color="auto" w:fill="auto"/>
            <w:vAlign w:val="center"/>
          </w:tcPr>
          <w:p w:rsidR="002F36A9" w:rsidRPr="00272261" w:rsidRDefault="002F36A9" w:rsidP="00E57161">
            <w:pPr>
              <w:widowControl/>
              <w:jc w:val="center"/>
              <w:rPr>
                <w:rFonts w:ascii="Arial Narrow" w:hAnsi="Arial Narrow"/>
                <w:sz w:val="20"/>
              </w:rPr>
            </w:pPr>
            <w:r w:rsidRPr="00272261">
              <w:rPr>
                <w:rFonts w:ascii="Arial Narrow" w:hAnsi="Arial Narrow"/>
                <w:sz w:val="20"/>
              </w:rPr>
              <w:t>Moderate, favours riociguat</w:t>
            </w:r>
          </w:p>
        </w:tc>
      </w:tr>
    </w:tbl>
    <w:p w:rsidR="002F36A9" w:rsidRPr="00272261" w:rsidRDefault="001D5723" w:rsidP="00E57161">
      <w:pPr>
        <w:pStyle w:val="TableFooter"/>
        <w:widowControl/>
        <w:ind w:left="709" w:firstLine="11"/>
      </w:pPr>
      <w:r w:rsidRPr="00272261">
        <w:t>CTEPH = chronic thromboembolic pulmonary hypertension;</w:t>
      </w:r>
      <w:r w:rsidR="002F36A9" w:rsidRPr="00272261">
        <w:t xml:space="preserve"> FCTP = functional class transition probability</w:t>
      </w:r>
      <w:r w:rsidRPr="00272261">
        <w:t>; HR = hazard ratio</w:t>
      </w:r>
      <w:r w:rsidR="002F36A9" w:rsidRPr="00272261">
        <w:t>.  Source: compiled during the evaluation</w:t>
      </w:r>
      <w:r w:rsidRPr="00272261">
        <w:t>.</w:t>
      </w:r>
    </w:p>
    <w:p w:rsidR="002F36A9" w:rsidRPr="00272261" w:rsidRDefault="002F36A9" w:rsidP="00E57161">
      <w:pPr>
        <w:widowControl/>
        <w:rPr>
          <w:szCs w:val="22"/>
        </w:rPr>
      </w:pPr>
    </w:p>
    <w:p w:rsidR="002F36A9" w:rsidRPr="00272261" w:rsidRDefault="002F36A9" w:rsidP="00E57161">
      <w:pPr>
        <w:pStyle w:val="ListParagraph"/>
        <w:widowControl/>
        <w:numPr>
          <w:ilvl w:val="1"/>
          <w:numId w:val="2"/>
        </w:numPr>
        <w:rPr>
          <w:szCs w:val="22"/>
        </w:rPr>
      </w:pPr>
      <w:r w:rsidRPr="00272261">
        <w:rPr>
          <w:szCs w:val="22"/>
        </w:rPr>
        <w:t xml:space="preserve">The </w:t>
      </w:r>
      <w:r w:rsidR="000533C6" w:rsidRPr="00272261">
        <w:rPr>
          <w:szCs w:val="22"/>
        </w:rPr>
        <w:t xml:space="preserve">ESC considered that the </w:t>
      </w:r>
      <w:r w:rsidRPr="00272261">
        <w:rPr>
          <w:szCs w:val="22"/>
        </w:rPr>
        <w:t>reliability of the economic model was compromised by the following factors:</w:t>
      </w:r>
    </w:p>
    <w:p w:rsidR="00282384" w:rsidRPr="00272261" w:rsidRDefault="002F36A9" w:rsidP="00E57161">
      <w:pPr>
        <w:pStyle w:val="ListParagraph"/>
        <w:widowControl/>
        <w:numPr>
          <w:ilvl w:val="0"/>
          <w:numId w:val="1"/>
        </w:numPr>
        <w:ind w:left="993" w:hanging="284"/>
        <w:rPr>
          <w:szCs w:val="22"/>
        </w:rPr>
      </w:pPr>
      <w:r w:rsidRPr="00272261">
        <w:rPr>
          <w:szCs w:val="22"/>
        </w:rPr>
        <w:t xml:space="preserve">Persistence of treatment benefits </w:t>
      </w:r>
      <w:r w:rsidR="00672A19" w:rsidRPr="00272261">
        <w:rPr>
          <w:szCs w:val="22"/>
        </w:rPr>
        <w:t>for riociguat throughout the 15-</w:t>
      </w:r>
      <w:r w:rsidRPr="00272261">
        <w:rPr>
          <w:szCs w:val="22"/>
        </w:rPr>
        <w:t xml:space="preserve">year </w:t>
      </w:r>
      <w:r w:rsidR="00E53E86" w:rsidRPr="00272261">
        <w:rPr>
          <w:szCs w:val="22"/>
        </w:rPr>
        <w:t xml:space="preserve">timeframe of the economic model. </w:t>
      </w:r>
      <w:r w:rsidRPr="00272261">
        <w:rPr>
          <w:szCs w:val="22"/>
        </w:rPr>
        <w:t>Although the CHEST-2 extension study provided a maximum</w:t>
      </w:r>
      <w:r w:rsidR="009211A6" w:rsidRPr="00272261">
        <w:rPr>
          <w:szCs w:val="22"/>
        </w:rPr>
        <w:t xml:space="preserve"> of</w:t>
      </w:r>
      <w:r w:rsidRPr="00272261">
        <w:rPr>
          <w:szCs w:val="22"/>
        </w:rPr>
        <w:t xml:space="preserve"> 4.8 years of follow-up for riociguat treated patients, there was inadequate trial based evidence (16 weeks) to reliably calculate placebo transition probabilities for </w:t>
      </w:r>
      <w:r w:rsidR="00C86758" w:rsidRPr="00272261">
        <w:rPr>
          <w:szCs w:val="22"/>
        </w:rPr>
        <w:t xml:space="preserve">overall survival or for </w:t>
      </w:r>
      <w:r w:rsidRPr="00272261">
        <w:rPr>
          <w:szCs w:val="22"/>
        </w:rPr>
        <w:t xml:space="preserve">WHO functional class. </w:t>
      </w:r>
      <w:r w:rsidR="0004343A" w:rsidRPr="00272261">
        <w:t xml:space="preserve">In addition, the assumption of ongoing survival benefits for riociguat was an optimistic interpretation of the evidence considering the observational dataset used to inform placebo survival (refer below). </w:t>
      </w:r>
      <w:r w:rsidRPr="00272261">
        <w:rPr>
          <w:szCs w:val="22"/>
        </w:rPr>
        <w:t xml:space="preserve"> A more conservative approach would have been the use of placebo based transition probabilities following the median duration of treatment for the March 2014 cut-off from CHEST-2. </w:t>
      </w:r>
    </w:p>
    <w:p w:rsidR="0004343A" w:rsidRPr="00272261" w:rsidRDefault="0004343A" w:rsidP="00E57161">
      <w:pPr>
        <w:pStyle w:val="ListParagraph"/>
        <w:widowControl/>
        <w:numPr>
          <w:ilvl w:val="1"/>
          <w:numId w:val="1"/>
        </w:numPr>
        <w:rPr>
          <w:szCs w:val="22"/>
        </w:rPr>
      </w:pPr>
      <w:r w:rsidRPr="00272261">
        <w:rPr>
          <w:szCs w:val="22"/>
        </w:rPr>
        <w:t xml:space="preserve">The PSCR (p2) argued that an ongoing survival benefit for riociguat is likely given that patients must continue to receive treatment benefit for continued access to riociguat on the PBS. The ESC considered that there is no clinical evidence that the incremental benefit will remain the same over time. </w:t>
      </w:r>
    </w:p>
    <w:p w:rsidR="002F36A9" w:rsidRPr="00272261" w:rsidRDefault="00DD59FC" w:rsidP="00E57161">
      <w:pPr>
        <w:pStyle w:val="ListParagraph"/>
        <w:widowControl/>
        <w:numPr>
          <w:ilvl w:val="1"/>
          <w:numId w:val="1"/>
        </w:numPr>
        <w:rPr>
          <w:szCs w:val="22"/>
        </w:rPr>
      </w:pPr>
      <w:r w:rsidRPr="00272261">
        <w:t xml:space="preserve">The PSCR (p2) further argued that the more conservative approach </w:t>
      </w:r>
      <w:r w:rsidR="009211A6" w:rsidRPr="00272261">
        <w:t xml:space="preserve">proposed by the evaluation </w:t>
      </w:r>
      <w:r w:rsidR="00C563D4" w:rsidRPr="00272261">
        <w:t>was not reasonable as it assumed</w:t>
      </w:r>
      <w:r w:rsidRPr="00272261">
        <w:t xml:space="preserve"> that all treatment </w:t>
      </w:r>
      <w:r w:rsidR="009211A6" w:rsidRPr="00272261">
        <w:t xml:space="preserve">benefit dissipates immediately. </w:t>
      </w:r>
      <w:r w:rsidRPr="00272261">
        <w:t>The ESC reconfirmed that this conservative approach, given the absence of any evidence of the continuation of a benefit beyond the treatment period, would have been more appropriate</w:t>
      </w:r>
      <w:r w:rsidR="009211A6" w:rsidRPr="00272261">
        <w:t xml:space="preserve"> than assuming the benefit would remain unchanged</w:t>
      </w:r>
      <w:r w:rsidRPr="00272261">
        <w:t>.</w:t>
      </w:r>
    </w:p>
    <w:p w:rsidR="00E53E86" w:rsidRPr="00272261" w:rsidRDefault="00E53E86" w:rsidP="00E57161">
      <w:pPr>
        <w:pStyle w:val="ListParagraph"/>
        <w:widowControl/>
        <w:numPr>
          <w:ilvl w:val="0"/>
          <w:numId w:val="1"/>
        </w:numPr>
        <w:ind w:left="993" w:hanging="284"/>
        <w:rPr>
          <w:szCs w:val="22"/>
        </w:rPr>
      </w:pPr>
      <w:r w:rsidRPr="00272261">
        <w:rPr>
          <w:szCs w:val="22"/>
        </w:rPr>
        <w:t>The assumption of a constant hazard ratio and non-convergence of the survival curves at 15 years. This overestimates the benefit of riociguat.</w:t>
      </w:r>
    </w:p>
    <w:p w:rsidR="00BC089E" w:rsidRPr="00272261" w:rsidRDefault="00BC089E" w:rsidP="00E57161">
      <w:pPr>
        <w:pStyle w:val="ListParagraph"/>
        <w:widowControl/>
        <w:numPr>
          <w:ilvl w:val="1"/>
          <w:numId w:val="1"/>
        </w:numPr>
        <w:rPr>
          <w:szCs w:val="22"/>
        </w:rPr>
      </w:pPr>
      <w:r w:rsidRPr="00272261">
        <w:rPr>
          <w:szCs w:val="22"/>
        </w:rPr>
        <w:t>The PSCR (</w:t>
      </w:r>
      <w:r w:rsidR="009831DF" w:rsidRPr="00272261">
        <w:rPr>
          <w:szCs w:val="22"/>
        </w:rPr>
        <w:t>p2</w:t>
      </w:r>
      <w:r w:rsidRPr="00272261">
        <w:rPr>
          <w:szCs w:val="22"/>
        </w:rPr>
        <w:t xml:space="preserve">) argued </w:t>
      </w:r>
      <w:r w:rsidR="009831DF" w:rsidRPr="00272261">
        <w:rPr>
          <w:szCs w:val="22"/>
        </w:rPr>
        <w:t xml:space="preserve">that the difference in survival between the treatment groups at 15 years is small and </w:t>
      </w:r>
      <w:r w:rsidR="009211A6" w:rsidRPr="00272261">
        <w:rPr>
          <w:szCs w:val="22"/>
        </w:rPr>
        <w:t>has</w:t>
      </w:r>
      <w:r w:rsidR="009831DF" w:rsidRPr="00272261">
        <w:rPr>
          <w:szCs w:val="22"/>
        </w:rPr>
        <w:t xml:space="preserve"> a negligible effect on overestimation of the survival benefit.</w:t>
      </w:r>
    </w:p>
    <w:p w:rsidR="0020286B" w:rsidRPr="00272261" w:rsidRDefault="00265F98" w:rsidP="00E57161">
      <w:pPr>
        <w:pStyle w:val="ListParagraph"/>
        <w:widowControl/>
        <w:numPr>
          <w:ilvl w:val="0"/>
          <w:numId w:val="1"/>
        </w:numPr>
        <w:ind w:left="993" w:hanging="284"/>
        <w:rPr>
          <w:szCs w:val="22"/>
        </w:rPr>
      </w:pPr>
      <w:r w:rsidRPr="00272261">
        <w:rPr>
          <w:szCs w:val="22"/>
        </w:rPr>
        <w:t xml:space="preserve">The high proportion of off-label therapy use </w:t>
      </w:r>
      <w:r w:rsidR="0047319E" w:rsidRPr="00272261">
        <w:rPr>
          <w:szCs w:val="22"/>
        </w:rPr>
        <w:t xml:space="preserve">(74%) assumed in the model was </w:t>
      </w:r>
      <w:r w:rsidRPr="00272261">
        <w:rPr>
          <w:szCs w:val="22"/>
        </w:rPr>
        <w:t xml:space="preserve">based on data obtained from the </w:t>
      </w:r>
      <w:r w:rsidR="006A467E" w:rsidRPr="00272261">
        <w:rPr>
          <w:szCs w:val="22"/>
        </w:rPr>
        <w:t>Pulmonary Hypertension Society of Australia and New Zealand (</w:t>
      </w:r>
      <w:r w:rsidRPr="00272261">
        <w:rPr>
          <w:szCs w:val="22"/>
        </w:rPr>
        <w:t>PHSANZ</w:t>
      </w:r>
      <w:r w:rsidR="006A467E" w:rsidRPr="00272261">
        <w:rPr>
          <w:szCs w:val="22"/>
        </w:rPr>
        <w:t>)</w:t>
      </w:r>
      <w:r w:rsidRPr="00272261">
        <w:rPr>
          <w:szCs w:val="22"/>
        </w:rPr>
        <w:t xml:space="preserve"> registry. </w:t>
      </w:r>
      <w:r w:rsidR="00672A19" w:rsidRPr="00272261">
        <w:rPr>
          <w:szCs w:val="22"/>
        </w:rPr>
        <w:t xml:space="preserve">It is not clear </w:t>
      </w:r>
      <w:r w:rsidR="00C86758" w:rsidRPr="00272261">
        <w:rPr>
          <w:szCs w:val="22"/>
        </w:rPr>
        <w:t>whether</w:t>
      </w:r>
      <w:r w:rsidR="00672A19" w:rsidRPr="00272261">
        <w:rPr>
          <w:szCs w:val="22"/>
        </w:rPr>
        <w:t xml:space="preserve"> the PHSANZ registry data </w:t>
      </w:r>
      <w:r w:rsidR="006A467E" w:rsidRPr="00272261">
        <w:rPr>
          <w:szCs w:val="22"/>
        </w:rPr>
        <w:t>wa</w:t>
      </w:r>
      <w:r w:rsidR="00672A19" w:rsidRPr="00272261">
        <w:rPr>
          <w:szCs w:val="22"/>
        </w:rPr>
        <w:t>s representative of the proposed PBS population for riociguat.</w:t>
      </w:r>
      <w:r w:rsidR="0047319E" w:rsidRPr="00272261">
        <w:rPr>
          <w:szCs w:val="22"/>
        </w:rPr>
        <w:t xml:space="preserve"> The evaluation considered that it is more likely that patients will be included on a registry if they have received some form of active treatment and that the registry had a much smaller proportion of inoperable CTEPH patients (34/235 = </w:t>
      </w:r>
      <w:r w:rsidR="00C563D4" w:rsidRPr="00272261">
        <w:rPr>
          <w:szCs w:val="22"/>
        </w:rPr>
        <w:t>14%) than the submission assumed</w:t>
      </w:r>
      <w:r w:rsidR="0047319E" w:rsidRPr="00272261">
        <w:rPr>
          <w:szCs w:val="22"/>
        </w:rPr>
        <w:t xml:space="preserve"> will be included in the PBS population (74% inoperable versus 26% persistent following surgery). In addition, the registry captures patients from New Zealand who may have different patterns of use of these therapies. Accordingly, the evaluation considered that it is likely that the proportion of off-label use of ERAs and PDE-5 inhibitors is substantially lower than 74%.</w:t>
      </w:r>
    </w:p>
    <w:p w:rsidR="00265F98" w:rsidRPr="00272261" w:rsidRDefault="0020286B" w:rsidP="00E57161">
      <w:pPr>
        <w:pStyle w:val="ListParagraph"/>
        <w:widowControl/>
        <w:numPr>
          <w:ilvl w:val="1"/>
          <w:numId w:val="1"/>
        </w:numPr>
        <w:rPr>
          <w:szCs w:val="22"/>
        </w:rPr>
      </w:pPr>
      <w:r w:rsidRPr="00272261">
        <w:rPr>
          <w:szCs w:val="22"/>
        </w:rPr>
        <w:lastRenderedPageBreak/>
        <w:t xml:space="preserve">The PSCR </w:t>
      </w:r>
      <w:r w:rsidR="009831DF" w:rsidRPr="00272261">
        <w:rPr>
          <w:szCs w:val="22"/>
        </w:rPr>
        <w:t xml:space="preserve">(p3) </w:t>
      </w:r>
      <w:r w:rsidRPr="00272261">
        <w:rPr>
          <w:szCs w:val="22"/>
        </w:rPr>
        <w:t xml:space="preserve">stated that information on the proportion of New Zealand patients in the PHSANZ registry has been requested and that this will be provided to the PBAC when it becomes available. The PSCR stated that the risk of bias from the inclusion of New Zealand patients in the registry </w:t>
      </w:r>
      <w:r w:rsidR="00BC089E" w:rsidRPr="00272261">
        <w:rPr>
          <w:szCs w:val="22"/>
        </w:rPr>
        <w:t>is likely to be low since only two</w:t>
      </w:r>
      <w:r w:rsidRPr="00272261">
        <w:rPr>
          <w:szCs w:val="22"/>
        </w:rPr>
        <w:t xml:space="preserve"> centres out of 18 that provide data for the registry are New Zealand centres.</w:t>
      </w:r>
      <w:r w:rsidR="0047319E" w:rsidRPr="00272261">
        <w:rPr>
          <w:szCs w:val="22"/>
        </w:rPr>
        <w:t xml:space="preserve"> The PSCR (p3) further argued that “the distribution of patient</w:t>
      </w:r>
      <w:r w:rsidR="009211A6" w:rsidRPr="00272261">
        <w:rPr>
          <w:szCs w:val="22"/>
        </w:rPr>
        <w:t>s</w:t>
      </w:r>
      <w:r w:rsidR="0047319E" w:rsidRPr="00272261">
        <w:rPr>
          <w:szCs w:val="22"/>
        </w:rPr>
        <w:t xml:space="preserve"> with inoperable and those with persistent CTEPH after surgery does not impact on whether these patients are treated or not, nor the types of treatments that are being used”.</w:t>
      </w:r>
    </w:p>
    <w:p w:rsidR="0004343A" w:rsidRPr="00272261" w:rsidRDefault="0004343A" w:rsidP="00E57161">
      <w:pPr>
        <w:pStyle w:val="ListParagraph"/>
        <w:widowControl/>
        <w:numPr>
          <w:ilvl w:val="0"/>
          <w:numId w:val="1"/>
        </w:numPr>
        <w:ind w:left="993" w:hanging="284"/>
        <w:rPr>
          <w:szCs w:val="22"/>
        </w:rPr>
      </w:pPr>
      <w:r w:rsidRPr="00272261">
        <w:rPr>
          <w:szCs w:val="22"/>
        </w:rPr>
        <w:t xml:space="preserve">Placebo extrapolations of survival are likely to be underestimated in the economic model with the Condliffe 2008 survival estimates not fully </w:t>
      </w:r>
      <w:r w:rsidR="00CE1F82" w:rsidRPr="00272261">
        <w:t>representing contemporary patients. The Condliffe historical cohort appear to have more severe disease and are not similar to the patients being considered, for example with respect to</w:t>
      </w:r>
      <w:r w:rsidR="00CE1F82" w:rsidRPr="00272261">
        <w:rPr>
          <w:szCs w:val="22"/>
        </w:rPr>
        <w:t xml:space="preserve"> </w:t>
      </w:r>
      <w:r w:rsidRPr="00272261">
        <w:rPr>
          <w:szCs w:val="22"/>
        </w:rPr>
        <w:t>the proportion of patients predicted in the re-submission to be taking ERA or PDE-5 inhibitors.</w:t>
      </w:r>
    </w:p>
    <w:p w:rsidR="0004343A" w:rsidRPr="00272261" w:rsidRDefault="0004343A" w:rsidP="00E57161">
      <w:pPr>
        <w:pStyle w:val="ListParagraph"/>
        <w:widowControl/>
        <w:numPr>
          <w:ilvl w:val="1"/>
          <w:numId w:val="1"/>
        </w:numPr>
        <w:rPr>
          <w:szCs w:val="22"/>
        </w:rPr>
      </w:pPr>
      <w:r w:rsidRPr="00272261">
        <w:rPr>
          <w:szCs w:val="22"/>
        </w:rPr>
        <w:t xml:space="preserve">The PSCR indicated that with 90% of </w:t>
      </w:r>
      <w:r w:rsidR="00993A22" w:rsidRPr="00272261">
        <w:rPr>
          <w:szCs w:val="22"/>
        </w:rPr>
        <w:t xml:space="preserve">non-surgical </w:t>
      </w:r>
      <w:r w:rsidRPr="00272261">
        <w:rPr>
          <w:szCs w:val="22"/>
        </w:rPr>
        <w:t>patients treated with an ERA, PDE-5 inhibitor or prostanoid therapy, survival for placebo patients is unlikely to have improved from that estimated using Condliffe 2008.</w:t>
      </w:r>
      <w:r w:rsidR="009211A6" w:rsidRPr="00272261">
        <w:rPr>
          <w:szCs w:val="22"/>
        </w:rPr>
        <w:t xml:space="preserve"> The ESC noted that there is no evidence of a benefit of treatment with the off-label therapies in any case, as stated by the PSCR (p1).</w:t>
      </w:r>
    </w:p>
    <w:p w:rsidR="00A614D2" w:rsidRPr="00272261" w:rsidRDefault="00A614D2" w:rsidP="00E57161">
      <w:pPr>
        <w:pStyle w:val="ListParagraph"/>
        <w:widowControl/>
        <w:numPr>
          <w:ilvl w:val="0"/>
          <w:numId w:val="1"/>
        </w:numPr>
        <w:ind w:left="993" w:hanging="284"/>
        <w:rPr>
          <w:szCs w:val="22"/>
        </w:rPr>
      </w:pPr>
      <w:r w:rsidRPr="00272261">
        <w:rPr>
          <w:szCs w:val="22"/>
        </w:rPr>
        <w:t>Inadequate patient numbers (n≤10) to reliably determine transition probabilities and utilities associated with WHO functional class IV.</w:t>
      </w:r>
    </w:p>
    <w:p w:rsidR="00CE1F82" w:rsidRPr="00272261" w:rsidRDefault="00CE1F82" w:rsidP="00E57161">
      <w:pPr>
        <w:pStyle w:val="ListParagraph"/>
        <w:widowControl/>
        <w:numPr>
          <w:ilvl w:val="0"/>
          <w:numId w:val="1"/>
        </w:numPr>
        <w:ind w:left="993" w:hanging="284"/>
        <w:rPr>
          <w:szCs w:val="22"/>
        </w:rPr>
      </w:pPr>
      <w:r w:rsidRPr="00272261">
        <w:rPr>
          <w:szCs w:val="22"/>
        </w:rPr>
        <w:t>The ESC noted that while it was appropriate that life years gained was modelled on the basis of overall survival instead of WHO functional class, data against this outcome was not provided in Section B of the submission.</w:t>
      </w:r>
    </w:p>
    <w:p w:rsidR="002F36A9" w:rsidRPr="00272261" w:rsidRDefault="002F36A9" w:rsidP="00E57161">
      <w:pPr>
        <w:widowControl/>
        <w:rPr>
          <w:szCs w:val="22"/>
        </w:rPr>
      </w:pPr>
    </w:p>
    <w:p w:rsidR="0020286B" w:rsidRPr="00272261" w:rsidRDefault="008970DF" w:rsidP="00E57161">
      <w:pPr>
        <w:pStyle w:val="ListParagraph"/>
        <w:widowControl/>
        <w:numPr>
          <w:ilvl w:val="1"/>
          <w:numId w:val="2"/>
        </w:numPr>
        <w:rPr>
          <w:szCs w:val="22"/>
        </w:rPr>
      </w:pPr>
      <w:r w:rsidRPr="00272261">
        <w:rPr>
          <w:szCs w:val="22"/>
        </w:rPr>
        <w:t xml:space="preserve">During the evaluation, the </w:t>
      </w:r>
      <w:r w:rsidR="002F36A9" w:rsidRPr="00272261">
        <w:rPr>
          <w:szCs w:val="22"/>
        </w:rPr>
        <w:t xml:space="preserve">economic model was </w:t>
      </w:r>
      <w:r w:rsidRPr="00272261">
        <w:rPr>
          <w:szCs w:val="22"/>
        </w:rPr>
        <w:t xml:space="preserve">adjusted to include RHC tests for patients in WHO functional class II every 6 months, as required for continuing treatment under the requested restriction. </w:t>
      </w:r>
      <w:r w:rsidR="0020286B" w:rsidRPr="00272261">
        <w:rPr>
          <w:szCs w:val="22"/>
        </w:rPr>
        <w:t xml:space="preserve">The PSCR argued that this was inappropriate as RHC is not a mandatory test to be performed every 6 months and that ECHO can be used instead. </w:t>
      </w:r>
      <w:r w:rsidR="00A05173" w:rsidRPr="00272261">
        <w:rPr>
          <w:szCs w:val="22"/>
        </w:rPr>
        <w:t>The ESC considered that while</w:t>
      </w:r>
      <w:r w:rsidR="0020286B" w:rsidRPr="00272261">
        <w:rPr>
          <w:szCs w:val="22"/>
        </w:rPr>
        <w:t xml:space="preserve"> ECHO is an alternate test listed in the proposed restriction, it is only an alternative test for patients in whom RHC cannot be justified on clinical grounds. The PSCR noted the impact on the ICER is marginal in any case.</w:t>
      </w:r>
    </w:p>
    <w:p w:rsidR="0020286B" w:rsidRPr="00272261" w:rsidRDefault="0020286B" w:rsidP="00E57161">
      <w:pPr>
        <w:pStyle w:val="ListParagraph"/>
        <w:widowControl/>
        <w:rPr>
          <w:szCs w:val="22"/>
        </w:rPr>
      </w:pPr>
    </w:p>
    <w:p w:rsidR="002F36A9" w:rsidRPr="00272261" w:rsidRDefault="002F36A9" w:rsidP="00E57161">
      <w:pPr>
        <w:pStyle w:val="ListParagraph"/>
        <w:widowControl/>
        <w:numPr>
          <w:ilvl w:val="1"/>
          <w:numId w:val="2"/>
        </w:numPr>
        <w:rPr>
          <w:szCs w:val="22"/>
        </w:rPr>
      </w:pPr>
      <w:r w:rsidRPr="00272261">
        <w:rPr>
          <w:szCs w:val="22"/>
        </w:rPr>
        <w:t xml:space="preserve">Results </w:t>
      </w:r>
      <w:r w:rsidR="003C5241" w:rsidRPr="00272261">
        <w:rPr>
          <w:szCs w:val="22"/>
        </w:rPr>
        <w:t>for</w:t>
      </w:r>
      <w:r w:rsidRPr="00272261">
        <w:rPr>
          <w:szCs w:val="22"/>
        </w:rPr>
        <w:t xml:space="preserve"> the economic evaluation</w:t>
      </w:r>
      <w:r w:rsidR="00B25471" w:rsidRPr="00272261">
        <w:rPr>
          <w:szCs w:val="22"/>
        </w:rPr>
        <w:t>,</w:t>
      </w:r>
      <w:r w:rsidRPr="00272261">
        <w:rPr>
          <w:szCs w:val="22"/>
        </w:rPr>
        <w:t xml:space="preserve"> </w:t>
      </w:r>
      <w:r w:rsidR="00896039" w:rsidRPr="00272261">
        <w:rPr>
          <w:szCs w:val="22"/>
        </w:rPr>
        <w:t>presented in the table below</w:t>
      </w:r>
      <w:r w:rsidR="00B25471" w:rsidRPr="00272261">
        <w:rPr>
          <w:szCs w:val="22"/>
        </w:rPr>
        <w:t>,</w:t>
      </w:r>
      <w:r w:rsidR="00896039" w:rsidRPr="00272261">
        <w:rPr>
          <w:szCs w:val="22"/>
        </w:rPr>
        <w:t xml:space="preserve"> </w:t>
      </w:r>
      <w:r w:rsidRPr="00272261">
        <w:rPr>
          <w:szCs w:val="22"/>
        </w:rPr>
        <w:t xml:space="preserve">incorporate </w:t>
      </w:r>
      <w:r w:rsidR="00664F63" w:rsidRPr="00272261">
        <w:rPr>
          <w:szCs w:val="22"/>
        </w:rPr>
        <w:t>the cost for the</w:t>
      </w:r>
      <w:r w:rsidR="0020286B" w:rsidRPr="00272261">
        <w:rPr>
          <w:szCs w:val="22"/>
        </w:rPr>
        <w:t xml:space="preserve"> RHC</w:t>
      </w:r>
      <w:r w:rsidR="00664F63" w:rsidRPr="00272261">
        <w:rPr>
          <w:szCs w:val="22"/>
        </w:rPr>
        <w:t xml:space="preserve"> tests</w:t>
      </w:r>
      <w:r w:rsidRPr="00272261">
        <w:rPr>
          <w:szCs w:val="22"/>
        </w:rPr>
        <w:t>.</w:t>
      </w:r>
    </w:p>
    <w:p w:rsidR="002F36A9" w:rsidRPr="00272261" w:rsidRDefault="002F36A9" w:rsidP="00E57161">
      <w:pPr>
        <w:widowControl/>
        <w:rPr>
          <w:szCs w:val="22"/>
          <w:highlight w:val="yellow"/>
        </w:rPr>
      </w:pPr>
    </w:p>
    <w:p w:rsidR="002F36A9" w:rsidRPr="00272261" w:rsidRDefault="002F36A9" w:rsidP="00E57161">
      <w:pPr>
        <w:keepNext/>
        <w:widowControl/>
        <w:ind w:firstLine="720"/>
        <w:rPr>
          <w:rStyle w:val="CommentReference"/>
        </w:rPr>
      </w:pPr>
      <w:r w:rsidRPr="00272261">
        <w:rPr>
          <w:rStyle w:val="CommentReference"/>
        </w:rPr>
        <w:lastRenderedPageBreak/>
        <w:t xml:space="preserve">Table </w:t>
      </w:r>
      <w:r w:rsidR="00826A30" w:rsidRPr="00272261">
        <w:rPr>
          <w:rStyle w:val="CommentReference"/>
        </w:rPr>
        <w:t>8</w:t>
      </w:r>
      <w:r w:rsidRPr="00272261">
        <w:rPr>
          <w:rStyle w:val="CommentReference"/>
        </w:rPr>
        <w:t>: Results of the stepped economic evaluation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6"/>
        <w:gridCol w:w="834"/>
        <w:gridCol w:w="854"/>
        <w:gridCol w:w="857"/>
        <w:gridCol w:w="856"/>
        <w:gridCol w:w="857"/>
        <w:gridCol w:w="715"/>
        <w:gridCol w:w="861"/>
        <w:gridCol w:w="852"/>
        <w:gridCol w:w="662"/>
      </w:tblGrid>
      <w:tr w:rsidR="00115751" w:rsidRPr="00272261" w:rsidTr="00664F63">
        <w:trPr>
          <w:tblHeader/>
        </w:trPr>
        <w:tc>
          <w:tcPr>
            <w:tcW w:w="612" w:type="pct"/>
            <w:vAlign w:val="center"/>
          </w:tcPr>
          <w:p w:rsidR="00115751" w:rsidRPr="00272261" w:rsidRDefault="00115751" w:rsidP="00E57161">
            <w:pPr>
              <w:keepNext/>
              <w:widowControl/>
              <w:jc w:val="left"/>
              <w:rPr>
                <w:rFonts w:ascii="Arial Narrow" w:hAnsi="Arial Narrow" w:cs="Times New Roman"/>
                <w:b/>
                <w:sz w:val="20"/>
              </w:rPr>
            </w:pPr>
            <w:r w:rsidRPr="00272261">
              <w:rPr>
                <w:rFonts w:ascii="Arial Narrow" w:hAnsi="Arial Narrow" w:cs="Times New Roman"/>
                <w:b/>
                <w:sz w:val="20"/>
              </w:rPr>
              <w:t>Step and component</w:t>
            </w:r>
          </w:p>
        </w:tc>
        <w:tc>
          <w:tcPr>
            <w:tcW w:w="1520" w:type="pct"/>
            <w:gridSpan w:val="3"/>
            <w:vAlign w:val="center"/>
          </w:tcPr>
          <w:p w:rsidR="00115751" w:rsidRPr="00272261" w:rsidRDefault="00115751" w:rsidP="00E57161">
            <w:pPr>
              <w:keepNext/>
              <w:widowControl/>
              <w:jc w:val="center"/>
              <w:rPr>
                <w:rFonts w:ascii="Arial Narrow" w:hAnsi="Arial Narrow" w:cs="Times New Roman"/>
                <w:b/>
                <w:sz w:val="20"/>
              </w:rPr>
            </w:pPr>
            <w:r w:rsidRPr="00272261">
              <w:rPr>
                <w:rFonts w:ascii="Arial Narrow" w:hAnsi="Arial Narrow" w:cs="Times New Roman"/>
                <w:b/>
                <w:sz w:val="20"/>
              </w:rPr>
              <w:t>Riociguat</w:t>
            </w:r>
          </w:p>
        </w:tc>
        <w:tc>
          <w:tcPr>
            <w:tcW w:w="1450" w:type="pct"/>
            <w:gridSpan w:val="3"/>
            <w:vAlign w:val="center"/>
          </w:tcPr>
          <w:p w:rsidR="00115751" w:rsidRPr="00272261" w:rsidRDefault="00115751" w:rsidP="00E57161">
            <w:pPr>
              <w:keepNext/>
              <w:widowControl/>
              <w:jc w:val="center"/>
              <w:rPr>
                <w:rFonts w:ascii="Arial Narrow" w:hAnsi="Arial Narrow" w:cs="Times New Roman"/>
                <w:b/>
                <w:sz w:val="20"/>
              </w:rPr>
            </w:pPr>
            <w:r w:rsidRPr="00272261">
              <w:rPr>
                <w:rFonts w:ascii="Arial Narrow" w:hAnsi="Arial Narrow" w:cs="Times New Roman"/>
                <w:b/>
                <w:sz w:val="20"/>
              </w:rPr>
              <w:t>Placebo</w:t>
            </w:r>
          </w:p>
        </w:tc>
        <w:tc>
          <w:tcPr>
            <w:tcW w:w="1419" w:type="pct"/>
            <w:gridSpan w:val="3"/>
            <w:vAlign w:val="center"/>
          </w:tcPr>
          <w:p w:rsidR="00115751" w:rsidRPr="00272261" w:rsidRDefault="00115751" w:rsidP="00E57161">
            <w:pPr>
              <w:keepNext/>
              <w:widowControl/>
              <w:jc w:val="center"/>
              <w:rPr>
                <w:rFonts w:ascii="Arial Narrow" w:hAnsi="Arial Narrow" w:cs="Times New Roman"/>
                <w:b/>
                <w:sz w:val="20"/>
              </w:rPr>
            </w:pPr>
            <w:r w:rsidRPr="00272261">
              <w:rPr>
                <w:rFonts w:ascii="Arial Narrow" w:hAnsi="Arial Narrow" w:cs="Times New Roman"/>
                <w:b/>
                <w:sz w:val="20"/>
              </w:rPr>
              <w:t>Increment</w:t>
            </w:r>
          </w:p>
        </w:tc>
      </w:tr>
      <w:tr w:rsidR="00115751" w:rsidRPr="00272261" w:rsidTr="00115751">
        <w:tc>
          <w:tcPr>
            <w:tcW w:w="5000" w:type="pct"/>
            <w:gridSpan w:val="10"/>
            <w:vAlign w:val="center"/>
          </w:tcPr>
          <w:p w:rsidR="00115751" w:rsidRPr="00272261" w:rsidRDefault="00115751" w:rsidP="00E57161">
            <w:pPr>
              <w:keepNext/>
              <w:widowControl/>
              <w:jc w:val="left"/>
              <w:rPr>
                <w:rFonts w:ascii="Arial Narrow" w:hAnsi="Arial Narrow" w:cs="Arial Narrow"/>
                <w:b/>
                <w:bCs/>
                <w:sz w:val="20"/>
              </w:rPr>
            </w:pPr>
            <w:r w:rsidRPr="00272261">
              <w:rPr>
                <w:rFonts w:ascii="Arial Narrow" w:hAnsi="Arial Narrow" w:cs="Arial Narrow"/>
                <w:b/>
                <w:bCs/>
                <w:sz w:val="20"/>
              </w:rPr>
              <w:t>Step 1: trial based economic evaluation (16 weeks)</w:t>
            </w:r>
          </w:p>
        </w:tc>
      </w:tr>
      <w:tr w:rsidR="00115751"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Costs*</w:t>
            </w:r>
          </w:p>
        </w:tc>
        <w:tc>
          <w:tcPr>
            <w:tcW w:w="1520"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1450"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Pr="000258FE">
              <w:rPr>
                <w:rFonts w:ascii="Arial Narrow" w:hAnsi="Arial Narrow" w:cs="Times New Roman"/>
                <w:sz w:val="20"/>
              </w:rPr>
              <w:t>85.55</w:t>
            </w:r>
          </w:p>
        </w:tc>
        <w:tc>
          <w:tcPr>
            <w:tcW w:w="1419"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115751" w:rsidRPr="00272261" w:rsidTr="00664F63">
        <w:trPr>
          <w:trHeight w:val="70"/>
        </w:trPr>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Improvement of ≥1 WHO functional class</w:t>
            </w:r>
          </w:p>
        </w:tc>
        <w:tc>
          <w:tcPr>
            <w:tcW w:w="2969" w:type="pct"/>
            <w:gridSpan w:val="6"/>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Risk difference = 0.18</w:t>
            </w:r>
          </w:p>
        </w:tc>
        <w:tc>
          <w:tcPr>
            <w:tcW w:w="1419"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NNT = 5.56</w:t>
            </w:r>
          </w:p>
        </w:tc>
      </w:tr>
      <w:tr w:rsidR="000D241A" w:rsidRPr="00272261" w:rsidTr="000D241A">
        <w:tc>
          <w:tcPr>
            <w:tcW w:w="3581" w:type="pct"/>
            <w:gridSpan w:val="7"/>
            <w:vAlign w:val="center"/>
          </w:tcPr>
          <w:p w:rsidR="00115751" w:rsidRPr="00272261" w:rsidRDefault="00115751" w:rsidP="00E57161">
            <w:pPr>
              <w:keepNext/>
              <w:widowControl/>
              <w:jc w:val="left"/>
              <w:rPr>
                <w:rFonts w:ascii="Arial Narrow" w:hAnsi="Arial Narrow" w:cs="Times New Roman"/>
                <w:b/>
                <w:sz w:val="20"/>
              </w:rPr>
            </w:pPr>
            <w:r w:rsidRPr="00272261">
              <w:rPr>
                <w:rFonts w:ascii="Arial Narrow" w:hAnsi="Arial Narrow" w:cs="Times New Roman"/>
                <w:b/>
                <w:snapToGrid/>
                <w:sz w:val="20"/>
              </w:rPr>
              <w:t>Incremental cost/i</w:t>
            </w:r>
            <w:r w:rsidRPr="00272261">
              <w:rPr>
                <w:rFonts w:ascii="Arial Narrow" w:hAnsi="Arial Narrow" w:cs="Times New Roman"/>
                <w:b/>
                <w:sz w:val="20"/>
              </w:rPr>
              <w:t>mprovement of ≥1 WHO functional class</w:t>
            </w:r>
          </w:p>
        </w:tc>
        <w:tc>
          <w:tcPr>
            <w:tcW w:w="1419"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115751" w:rsidRPr="00272261" w:rsidTr="00115751">
        <w:tc>
          <w:tcPr>
            <w:tcW w:w="5000" w:type="pct"/>
            <w:gridSpan w:val="10"/>
            <w:vAlign w:val="center"/>
          </w:tcPr>
          <w:p w:rsidR="00115751" w:rsidRPr="00272261" w:rsidRDefault="00115751" w:rsidP="00E57161">
            <w:pPr>
              <w:keepNext/>
              <w:widowControl/>
              <w:jc w:val="left"/>
              <w:rPr>
                <w:rFonts w:ascii="Arial Narrow" w:hAnsi="Arial Narrow" w:cs="Arial Narrow"/>
                <w:b/>
                <w:bCs/>
                <w:sz w:val="20"/>
              </w:rPr>
            </w:pPr>
            <w:r w:rsidRPr="00272261">
              <w:rPr>
                <w:rFonts w:ascii="Arial Narrow" w:hAnsi="Arial Narrow" w:cs="Arial Narrow"/>
                <w:b/>
                <w:bCs/>
                <w:sz w:val="20"/>
              </w:rPr>
              <w:t>Step 2: modelled economic evaluation: extrapolation to 15 years</w:t>
            </w:r>
          </w:p>
        </w:tc>
      </w:tr>
      <w:tr w:rsidR="00115751"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Costs*</w:t>
            </w:r>
          </w:p>
        </w:tc>
        <w:tc>
          <w:tcPr>
            <w:tcW w:w="1520"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1450"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Pr="000258FE">
              <w:rPr>
                <w:rFonts w:ascii="Arial Narrow" w:hAnsi="Arial Narrow" w:cs="Times New Roman"/>
                <w:sz w:val="20"/>
              </w:rPr>
              <w:t>42.78</w:t>
            </w:r>
          </w:p>
        </w:tc>
        <w:tc>
          <w:tcPr>
            <w:tcW w:w="1419"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115751"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LYG</w:t>
            </w:r>
          </w:p>
        </w:tc>
        <w:tc>
          <w:tcPr>
            <w:tcW w:w="1520"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5.96</w:t>
            </w:r>
          </w:p>
        </w:tc>
        <w:tc>
          <w:tcPr>
            <w:tcW w:w="1450"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5.03</w:t>
            </w:r>
          </w:p>
        </w:tc>
        <w:tc>
          <w:tcPr>
            <w:tcW w:w="1419"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sz w:val="20"/>
              </w:rPr>
              <w:t>0.93</w:t>
            </w:r>
          </w:p>
        </w:tc>
      </w:tr>
      <w:tr w:rsidR="000D241A" w:rsidRPr="00272261" w:rsidTr="000D241A">
        <w:trPr>
          <w:trHeight w:val="70"/>
        </w:trPr>
        <w:tc>
          <w:tcPr>
            <w:tcW w:w="3581" w:type="pct"/>
            <w:gridSpan w:val="7"/>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b/>
                <w:snapToGrid/>
                <w:sz w:val="20"/>
              </w:rPr>
              <w:t>Incremental cost/LYG</w:t>
            </w:r>
          </w:p>
        </w:tc>
        <w:tc>
          <w:tcPr>
            <w:tcW w:w="1419" w:type="pct"/>
            <w:gridSpan w:val="3"/>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115751" w:rsidRPr="00272261" w:rsidTr="00115751">
        <w:tc>
          <w:tcPr>
            <w:tcW w:w="5000" w:type="pct"/>
            <w:gridSpan w:val="10"/>
            <w:vAlign w:val="center"/>
          </w:tcPr>
          <w:p w:rsidR="00115751" w:rsidRPr="00272261" w:rsidRDefault="00115751" w:rsidP="00E57161">
            <w:pPr>
              <w:keepNext/>
              <w:widowControl/>
              <w:jc w:val="left"/>
              <w:rPr>
                <w:rFonts w:ascii="Arial Narrow" w:hAnsi="Arial Narrow" w:cs="Arial Narrow"/>
                <w:b/>
                <w:bCs/>
                <w:sz w:val="20"/>
              </w:rPr>
            </w:pPr>
            <w:r w:rsidRPr="00272261">
              <w:rPr>
                <w:rFonts w:ascii="Arial Narrow" w:hAnsi="Arial Narrow" w:cs="Arial Narrow"/>
                <w:b/>
                <w:bCs/>
                <w:sz w:val="20"/>
              </w:rPr>
              <w:t>Step 3: modelled economic evaluation: all resource use</w:t>
            </w:r>
          </w:p>
        </w:tc>
      </w:tr>
      <w:tr w:rsidR="000D241A" w:rsidRPr="00272261" w:rsidTr="00664F63">
        <w:trPr>
          <w:tblHeader/>
        </w:trPr>
        <w:tc>
          <w:tcPr>
            <w:tcW w:w="612" w:type="pct"/>
            <w:vAlign w:val="center"/>
          </w:tcPr>
          <w:p w:rsidR="00115751" w:rsidRPr="00272261" w:rsidRDefault="00115751" w:rsidP="00E57161">
            <w:pPr>
              <w:keepNext/>
              <w:widowControl/>
              <w:jc w:val="left"/>
              <w:rPr>
                <w:rFonts w:ascii="Arial Narrow" w:hAnsi="Arial Narrow" w:cs="Times New Roman"/>
                <w:b/>
                <w:sz w:val="20"/>
              </w:rPr>
            </w:pPr>
          </w:p>
        </w:tc>
        <w:tc>
          <w:tcPr>
            <w:tcW w:w="498"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Inoperable</w:t>
            </w:r>
          </w:p>
        </w:tc>
        <w:tc>
          <w:tcPr>
            <w:tcW w:w="510"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Persistent</w:t>
            </w:r>
          </w:p>
        </w:tc>
        <w:tc>
          <w:tcPr>
            <w:tcW w:w="512"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Total</w:t>
            </w:r>
          </w:p>
        </w:tc>
        <w:tc>
          <w:tcPr>
            <w:tcW w:w="511"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Inoperable</w:t>
            </w:r>
          </w:p>
        </w:tc>
        <w:tc>
          <w:tcPr>
            <w:tcW w:w="512"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Persistent</w:t>
            </w:r>
          </w:p>
        </w:tc>
        <w:tc>
          <w:tcPr>
            <w:tcW w:w="427"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Total</w:t>
            </w:r>
          </w:p>
        </w:tc>
        <w:tc>
          <w:tcPr>
            <w:tcW w:w="514"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Inoperable</w:t>
            </w:r>
          </w:p>
        </w:tc>
        <w:tc>
          <w:tcPr>
            <w:tcW w:w="509"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Persistent</w:t>
            </w:r>
          </w:p>
        </w:tc>
        <w:tc>
          <w:tcPr>
            <w:tcW w:w="396"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Total**</w:t>
            </w:r>
          </w:p>
        </w:tc>
      </w:tr>
      <w:tr w:rsidR="000D241A"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Costs</w:t>
            </w:r>
          </w:p>
        </w:tc>
        <w:tc>
          <w:tcPr>
            <w:tcW w:w="498"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0"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1"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427"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4"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09"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396"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0D241A"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LYG</w:t>
            </w:r>
          </w:p>
        </w:tc>
        <w:tc>
          <w:tcPr>
            <w:tcW w:w="498"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5.89</w:t>
            </w:r>
          </w:p>
        </w:tc>
        <w:tc>
          <w:tcPr>
            <w:tcW w:w="510"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6.16</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5.96</w:t>
            </w:r>
          </w:p>
        </w:tc>
        <w:tc>
          <w:tcPr>
            <w:tcW w:w="511"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4.74</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5.82</w:t>
            </w:r>
          </w:p>
        </w:tc>
        <w:tc>
          <w:tcPr>
            <w:tcW w:w="427"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5.03</w:t>
            </w:r>
          </w:p>
        </w:tc>
        <w:tc>
          <w:tcPr>
            <w:tcW w:w="514"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1.15</w:t>
            </w:r>
          </w:p>
        </w:tc>
        <w:tc>
          <w:tcPr>
            <w:tcW w:w="509"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0.34</w:t>
            </w:r>
          </w:p>
        </w:tc>
        <w:tc>
          <w:tcPr>
            <w:tcW w:w="396"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0.93</w:t>
            </w:r>
          </w:p>
        </w:tc>
      </w:tr>
      <w:tr w:rsidR="00115751" w:rsidRPr="00272261" w:rsidTr="000D241A">
        <w:tc>
          <w:tcPr>
            <w:tcW w:w="3581" w:type="pct"/>
            <w:gridSpan w:val="7"/>
            <w:vAlign w:val="center"/>
          </w:tcPr>
          <w:p w:rsidR="00115751" w:rsidRPr="00272261" w:rsidRDefault="00115751" w:rsidP="00E57161">
            <w:pPr>
              <w:keepNext/>
              <w:widowControl/>
              <w:jc w:val="left"/>
              <w:rPr>
                <w:rFonts w:ascii="Arial Narrow" w:hAnsi="Arial Narrow" w:cs="Times New Roman"/>
                <w:b/>
                <w:sz w:val="20"/>
              </w:rPr>
            </w:pPr>
            <w:r w:rsidRPr="00272261">
              <w:rPr>
                <w:rFonts w:ascii="Arial Narrow" w:hAnsi="Arial Narrow" w:cs="Times New Roman"/>
                <w:b/>
                <w:sz w:val="20"/>
              </w:rPr>
              <w:t>Incremental cost/LYG</w:t>
            </w:r>
          </w:p>
        </w:tc>
        <w:tc>
          <w:tcPr>
            <w:tcW w:w="514"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09"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396"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115751" w:rsidRPr="00272261" w:rsidTr="00115751">
        <w:tc>
          <w:tcPr>
            <w:tcW w:w="5000" w:type="pct"/>
            <w:gridSpan w:val="10"/>
            <w:vAlign w:val="center"/>
          </w:tcPr>
          <w:p w:rsidR="00115751" w:rsidRPr="00272261" w:rsidRDefault="00115751" w:rsidP="00E57161">
            <w:pPr>
              <w:keepNext/>
              <w:widowControl/>
              <w:jc w:val="left"/>
              <w:rPr>
                <w:rFonts w:ascii="Arial Narrow" w:hAnsi="Arial Narrow" w:cs="Arial Narrow"/>
                <w:b/>
                <w:bCs/>
                <w:sz w:val="20"/>
              </w:rPr>
            </w:pPr>
            <w:r w:rsidRPr="00272261">
              <w:rPr>
                <w:rFonts w:ascii="Arial Narrow" w:hAnsi="Arial Narrow" w:cs="Arial Narrow"/>
                <w:b/>
                <w:bCs/>
                <w:sz w:val="20"/>
              </w:rPr>
              <w:t>Step 4: modelled economic evaluation: inclusion of utilities</w:t>
            </w:r>
          </w:p>
        </w:tc>
      </w:tr>
      <w:tr w:rsidR="000D241A" w:rsidRPr="00272261" w:rsidTr="00664F63">
        <w:trPr>
          <w:tblHeader/>
        </w:trPr>
        <w:tc>
          <w:tcPr>
            <w:tcW w:w="612" w:type="pct"/>
            <w:vAlign w:val="center"/>
          </w:tcPr>
          <w:p w:rsidR="00115751" w:rsidRPr="00272261" w:rsidRDefault="00115751" w:rsidP="00E57161">
            <w:pPr>
              <w:keepNext/>
              <w:widowControl/>
              <w:jc w:val="left"/>
              <w:rPr>
                <w:rFonts w:ascii="Arial Narrow" w:hAnsi="Arial Narrow" w:cs="Times New Roman"/>
                <w:b/>
                <w:sz w:val="20"/>
              </w:rPr>
            </w:pPr>
          </w:p>
        </w:tc>
        <w:tc>
          <w:tcPr>
            <w:tcW w:w="498"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Inoperable</w:t>
            </w:r>
          </w:p>
        </w:tc>
        <w:tc>
          <w:tcPr>
            <w:tcW w:w="510"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Persistent</w:t>
            </w:r>
          </w:p>
        </w:tc>
        <w:tc>
          <w:tcPr>
            <w:tcW w:w="512"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Total</w:t>
            </w:r>
          </w:p>
        </w:tc>
        <w:tc>
          <w:tcPr>
            <w:tcW w:w="511"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Inoperable</w:t>
            </w:r>
          </w:p>
        </w:tc>
        <w:tc>
          <w:tcPr>
            <w:tcW w:w="512"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Persistent</w:t>
            </w:r>
          </w:p>
        </w:tc>
        <w:tc>
          <w:tcPr>
            <w:tcW w:w="427"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Total</w:t>
            </w:r>
          </w:p>
        </w:tc>
        <w:tc>
          <w:tcPr>
            <w:tcW w:w="514"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Inoperable</w:t>
            </w:r>
          </w:p>
        </w:tc>
        <w:tc>
          <w:tcPr>
            <w:tcW w:w="509"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Persistent</w:t>
            </w:r>
          </w:p>
        </w:tc>
        <w:tc>
          <w:tcPr>
            <w:tcW w:w="396" w:type="pct"/>
            <w:vAlign w:val="center"/>
          </w:tcPr>
          <w:p w:rsidR="00115751" w:rsidRPr="00272261" w:rsidRDefault="00115751" w:rsidP="00E57161">
            <w:pPr>
              <w:keepNext/>
              <w:widowControl/>
              <w:jc w:val="center"/>
              <w:rPr>
                <w:rFonts w:ascii="Arial Narrow" w:hAnsi="Arial Narrow" w:cs="Times New Roman"/>
                <w:sz w:val="18"/>
                <w:szCs w:val="18"/>
              </w:rPr>
            </w:pPr>
            <w:r w:rsidRPr="00272261">
              <w:rPr>
                <w:rFonts w:ascii="Arial Narrow" w:hAnsi="Arial Narrow" w:cs="Times New Roman"/>
                <w:sz w:val="18"/>
                <w:szCs w:val="18"/>
              </w:rPr>
              <w:t>Total</w:t>
            </w:r>
          </w:p>
        </w:tc>
      </w:tr>
      <w:tr w:rsidR="000D241A"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Costs</w:t>
            </w:r>
          </w:p>
        </w:tc>
        <w:tc>
          <w:tcPr>
            <w:tcW w:w="498"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0"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1"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427"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14"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509"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396"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r>
      <w:tr w:rsidR="000D241A" w:rsidRPr="00272261" w:rsidTr="00664F63">
        <w:tc>
          <w:tcPr>
            <w:tcW w:w="612" w:type="pct"/>
            <w:vAlign w:val="center"/>
          </w:tcPr>
          <w:p w:rsidR="00115751" w:rsidRPr="00272261" w:rsidRDefault="00115751" w:rsidP="00E57161">
            <w:pPr>
              <w:keepNext/>
              <w:widowControl/>
              <w:jc w:val="left"/>
              <w:rPr>
                <w:rFonts w:ascii="Arial Narrow" w:hAnsi="Arial Narrow" w:cs="Times New Roman"/>
                <w:sz w:val="20"/>
              </w:rPr>
            </w:pPr>
            <w:r w:rsidRPr="00272261">
              <w:rPr>
                <w:rFonts w:ascii="Arial Narrow" w:hAnsi="Arial Narrow" w:cs="Times New Roman"/>
                <w:sz w:val="20"/>
              </w:rPr>
              <w:t>QALY</w:t>
            </w:r>
          </w:p>
        </w:tc>
        <w:tc>
          <w:tcPr>
            <w:tcW w:w="498"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3.80</w:t>
            </w:r>
          </w:p>
        </w:tc>
        <w:tc>
          <w:tcPr>
            <w:tcW w:w="510"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4.28</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3.93</w:t>
            </w:r>
          </w:p>
        </w:tc>
        <w:tc>
          <w:tcPr>
            <w:tcW w:w="511"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2.95</w:t>
            </w:r>
          </w:p>
        </w:tc>
        <w:tc>
          <w:tcPr>
            <w:tcW w:w="512"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3.81</w:t>
            </w:r>
          </w:p>
        </w:tc>
        <w:tc>
          <w:tcPr>
            <w:tcW w:w="427"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3.18</w:t>
            </w:r>
          </w:p>
        </w:tc>
        <w:tc>
          <w:tcPr>
            <w:tcW w:w="514"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0.85</w:t>
            </w:r>
          </w:p>
        </w:tc>
        <w:tc>
          <w:tcPr>
            <w:tcW w:w="509"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0.47</w:t>
            </w:r>
          </w:p>
        </w:tc>
        <w:tc>
          <w:tcPr>
            <w:tcW w:w="396" w:type="pct"/>
            <w:vAlign w:val="center"/>
          </w:tcPr>
          <w:p w:rsidR="00115751" w:rsidRPr="00272261" w:rsidRDefault="00115751" w:rsidP="00E57161">
            <w:pPr>
              <w:keepNext/>
              <w:widowControl/>
              <w:jc w:val="center"/>
              <w:rPr>
                <w:rFonts w:ascii="Arial Narrow" w:hAnsi="Arial Narrow" w:cs="Times New Roman"/>
                <w:sz w:val="20"/>
              </w:rPr>
            </w:pPr>
            <w:r w:rsidRPr="00272261">
              <w:rPr>
                <w:rFonts w:ascii="Arial Narrow" w:hAnsi="Arial Narrow" w:cs="Times New Roman"/>
                <w:sz w:val="20"/>
              </w:rPr>
              <w:t>0.75</w:t>
            </w:r>
          </w:p>
        </w:tc>
      </w:tr>
      <w:tr w:rsidR="00115751" w:rsidRPr="00272261" w:rsidTr="000D241A">
        <w:trPr>
          <w:trHeight w:val="70"/>
        </w:trPr>
        <w:tc>
          <w:tcPr>
            <w:tcW w:w="3581" w:type="pct"/>
            <w:gridSpan w:val="7"/>
            <w:vAlign w:val="center"/>
          </w:tcPr>
          <w:p w:rsidR="00115751" w:rsidRPr="00272261" w:rsidRDefault="00115751" w:rsidP="00E57161">
            <w:pPr>
              <w:keepNext/>
              <w:widowControl/>
              <w:jc w:val="left"/>
              <w:rPr>
                <w:rFonts w:ascii="Arial Narrow" w:hAnsi="Arial Narrow" w:cs="Times New Roman"/>
                <w:b/>
                <w:sz w:val="20"/>
              </w:rPr>
            </w:pPr>
            <w:r w:rsidRPr="00272261">
              <w:rPr>
                <w:rFonts w:ascii="Arial Narrow" w:hAnsi="Arial Narrow" w:cs="Times New Roman"/>
                <w:b/>
                <w:sz w:val="20"/>
              </w:rPr>
              <w:t>Incremental cost/QALY</w:t>
            </w:r>
          </w:p>
        </w:tc>
        <w:tc>
          <w:tcPr>
            <w:tcW w:w="514" w:type="pct"/>
            <w:vAlign w:val="center"/>
          </w:tcPr>
          <w:p w:rsidR="00115751" w:rsidRPr="00272261" w:rsidRDefault="00115751" w:rsidP="00E57161">
            <w:pPr>
              <w:keepNext/>
              <w:widowControl/>
              <w:jc w:val="center"/>
              <w:rPr>
                <w:rFonts w:ascii="Arial Narrow" w:hAnsi="Arial Narrow" w:cs="Times New Roman"/>
                <w:b/>
                <w:sz w:val="20"/>
              </w:rPr>
            </w:pPr>
            <w:r w:rsidRPr="00272261">
              <w:rPr>
                <w:rFonts w:ascii="Arial Narrow" w:hAnsi="Arial Narrow" w:cs="Times New Roman"/>
                <w:b/>
                <w:sz w:val="20"/>
              </w:rPr>
              <w:t>$</w:t>
            </w:r>
            <w:r w:rsidR="00EF7FDB">
              <w:rPr>
                <w:rFonts w:ascii="Arial Narrow" w:hAnsi="Arial Narrow" w:cs="Times New Roman"/>
                <w:b/>
                <w:noProof/>
                <w:color w:val="000000"/>
                <w:sz w:val="20"/>
                <w:highlight w:val="black"/>
              </w:rPr>
              <w:t>''''''''''''''</w:t>
            </w:r>
          </w:p>
        </w:tc>
        <w:tc>
          <w:tcPr>
            <w:tcW w:w="509" w:type="pct"/>
            <w:vAlign w:val="center"/>
          </w:tcPr>
          <w:p w:rsidR="00115751" w:rsidRPr="00272261" w:rsidRDefault="00115751" w:rsidP="00E57161">
            <w:pPr>
              <w:keepNext/>
              <w:widowControl/>
              <w:jc w:val="center"/>
              <w:rPr>
                <w:rFonts w:ascii="Arial Narrow" w:hAnsi="Arial Narrow" w:cs="Times New Roman"/>
                <w:b/>
                <w:sz w:val="20"/>
              </w:rPr>
            </w:pPr>
            <w:r w:rsidRPr="00272261">
              <w:rPr>
                <w:rFonts w:ascii="Arial Narrow" w:hAnsi="Arial Narrow" w:cs="Times New Roman"/>
                <w:b/>
                <w:sz w:val="20"/>
              </w:rPr>
              <w:t>$</w:t>
            </w:r>
            <w:r w:rsidR="00EF7FDB">
              <w:rPr>
                <w:rFonts w:ascii="Arial Narrow" w:hAnsi="Arial Narrow" w:cs="Times New Roman"/>
                <w:b/>
                <w:noProof/>
                <w:color w:val="000000"/>
                <w:sz w:val="20"/>
                <w:highlight w:val="black"/>
              </w:rPr>
              <w:t>''''''''''''</w:t>
            </w:r>
          </w:p>
        </w:tc>
        <w:tc>
          <w:tcPr>
            <w:tcW w:w="396" w:type="pct"/>
            <w:vAlign w:val="center"/>
          </w:tcPr>
          <w:p w:rsidR="00115751" w:rsidRPr="00272261" w:rsidRDefault="00115751" w:rsidP="00E57161">
            <w:pPr>
              <w:keepNext/>
              <w:widowControl/>
              <w:jc w:val="center"/>
              <w:rPr>
                <w:rFonts w:ascii="Arial Narrow" w:hAnsi="Arial Narrow" w:cs="Times New Roman"/>
                <w:b/>
                <w:sz w:val="20"/>
              </w:rPr>
            </w:pPr>
            <w:r w:rsidRPr="00272261">
              <w:rPr>
                <w:rFonts w:ascii="Arial Narrow" w:hAnsi="Arial Narrow" w:cs="Times New Roman"/>
                <w:b/>
                <w:sz w:val="20"/>
              </w:rPr>
              <w:t>$</w:t>
            </w:r>
            <w:r w:rsidR="00EF7FDB">
              <w:rPr>
                <w:rFonts w:ascii="Arial Narrow" w:hAnsi="Arial Narrow" w:cs="Times New Roman"/>
                <w:b/>
                <w:noProof/>
                <w:color w:val="000000"/>
                <w:sz w:val="20"/>
                <w:highlight w:val="black"/>
              </w:rPr>
              <w:t>'''''''''''''</w:t>
            </w:r>
          </w:p>
        </w:tc>
      </w:tr>
    </w:tbl>
    <w:p w:rsidR="00115751" w:rsidRPr="00272261" w:rsidRDefault="00115751" w:rsidP="00E57161">
      <w:pPr>
        <w:pStyle w:val="TableFooter"/>
        <w:widowControl/>
        <w:ind w:left="720"/>
      </w:pPr>
      <w:r w:rsidRPr="00272261">
        <w:t xml:space="preserve">Note: </w:t>
      </w:r>
      <w:r w:rsidR="0020286B" w:rsidRPr="00272261">
        <w:t xml:space="preserve">The costs in steps 3 and 4 </w:t>
      </w:r>
      <w:r w:rsidRPr="00272261">
        <w:t>were updated during the evaluation to include 6 monthly RHC</w:t>
      </w:r>
      <w:r w:rsidR="006A467E" w:rsidRPr="00272261">
        <w:t xml:space="preserve"> tests</w:t>
      </w:r>
      <w:r w:rsidRPr="00272261">
        <w:t xml:space="preserve"> for patients in WHO FC II. *drug only plus dose titration costs and excluding off-label therapies. **assuming weighting of costs and outcomes according to use in clinical practice of 73% inoperable and 27% persistent.</w:t>
      </w:r>
      <w:r w:rsidR="00E81FF6" w:rsidRPr="00272261">
        <w:t xml:space="preserve"> NNT = number needed to treat; LYG</w:t>
      </w:r>
      <w:r w:rsidR="006E34E2" w:rsidRPr="00272261">
        <w:t> </w:t>
      </w:r>
      <w:r w:rsidR="00E81FF6" w:rsidRPr="00272261">
        <w:t>=</w:t>
      </w:r>
      <w:r w:rsidR="006E34E2" w:rsidRPr="00272261">
        <w:t> </w:t>
      </w:r>
      <w:r w:rsidR="00E81FF6" w:rsidRPr="00272261">
        <w:t>life years gained; QALY = quality adjusted life year.</w:t>
      </w:r>
      <w:r w:rsidRPr="00272261">
        <w:rPr>
          <w:i/>
        </w:rPr>
        <w:t xml:space="preserve"> </w:t>
      </w:r>
      <w:r w:rsidRPr="00272261">
        <w:t>Source: Table D.5-1, D.5-2, D.5-3, and D.5-4, pp243-250 of the re</w:t>
      </w:r>
      <w:r w:rsidR="006E34E2" w:rsidRPr="00272261">
        <w:noBreakHyphen/>
      </w:r>
      <w:r w:rsidRPr="00272261">
        <w:t>submission</w:t>
      </w:r>
      <w:r w:rsidR="006E34E2" w:rsidRPr="00272261">
        <w:t>.</w:t>
      </w:r>
    </w:p>
    <w:p w:rsidR="002F36A9" w:rsidRDefault="002F36A9" w:rsidP="00E57161">
      <w:pPr>
        <w:widowControl/>
        <w:rPr>
          <w:szCs w:val="22"/>
        </w:rPr>
      </w:pPr>
    </w:p>
    <w:p w:rsidR="004A061D" w:rsidRDefault="004A061D" w:rsidP="00E57161">
      <w:pPr>
        <w:widowControl/>
        <w:rPr>
          <w:szCs w:val="22"/>
        </w:rPr>
      </w:pPr>
      <w:r>
        <w:rPr>
          <w:szCs w:val="22"/>
        </w:rPr>
        <w:tab/>
        <w:t>The redacted table shows ICERs in the range of $45,000/QALY - $75,000/QALY</w:t>
      </w:r>
      <w:r w:rsidR="008B4CC3">
        <w:rPr>
          <w:szCs w:val="22"/>
        </w:rPr>
        <w:t>.</w:t>
      </w:r>
      <w:r>
        <w:rPr>
          <w:szCs w:val="22"/>
        </w:rPr>
        <w:tab/>
      </w:r>
    </w:p>
    <w:p w:rsidR="004A061D" w:rsidRPr="00272261" w:rsidRDefault="004A061D" w:rsidP="00E57161">
      <w:pPr>
        <w:widowControl/>
        <w:rPr>
          <w:szCs w:val="22"/>
        </w:rPr>
      </w:pPr>
    </w:p>
    <w:p w:rsidR="00E41BAE" w:rsidRPr="00272261" w:rsidRDefault="006A467E" w:rsidP="00E57161">
      <w:pPr>
        <w:pStyle w:val="ListParagraph"/>
        <w:widowControl/>
        <w:numPr>
          <w:ilvl w:val="1"/>
          <w:numId w:val="2"/>
        </w:numPr>
        <w:rPr>
          <w:szCs w:val="22"/>
        </w:rPr>
      </w:pPr>
      <w:r w:rsidRPr="00272261">
        <w:rPr>
          <w:szCs w:val="22"/>
        </w:rPr>
        <w:t>The</w:t>
      </w:r>
      <w:r w:rsidR="009604E3" w:rsidRPr="00272261">
        <w:rPr>
          <w:szCs w:val="22"/>
        </w:rPr>
        <w:t xml:space="preserve"> ICER, </w:t>
      </w:r>
      <w:r w:rsidRPr="00272261">
        <w:rPr>
          <w:szCs w:val="22"/>
        </w:rPr>
        <w:t xml:space="preserve">of </w:t>
      </w:r>
      <w:r w:rsidR="00441733">
        <w:rPr>
          <w:szCs w:val="22"/>
        </w:rPr>
        <w:t>$45,000 - $75,000</w:t>
      </w:r>
      <w:r w:rsidRPr="00272261">
        <w:rPr>
          <w:szCs w:val="22"/>
        </w:rPr>
        <w:t xml:space="preserve"> per QALY saved</w:t>
      </w:r>
      <w:r w:rsidR="00526E64" w:rsidRPr="00272261">
        <w:rPr>
          <w:szCs w:val="22"/>
        </w:rPr>
        <w:t>,</w:t>
      </w:r>
      <w:r w:rsidRPr="00272261">
        <w:rPr>
          <w:szCs w:val="22"/>
        </w:rPr>
        <w:t xml:space="preserve"> </w:t>
      </w:r>
      <w:r w:rsidR="00DA1C1C" w:rsidRPr="00272261">
        <w:rPr>
          <w:szCs w:val="22"/>
        </w:rPr>
        <w:t>wa</w:t>
      </w:r>
      <w:r w:rsidR="00700F76" w:rsidRPr="00272261">
        <w:rPr>
          <w:szCs w:val="22"/>
        </w:rPr>
        <w:t>s similar to that estimated in the July 2015 pre-PBAC response</w:t>
      </w:r>
      <w:r w:rsidRPr="00272261">
        <w:rPr>
          <w:szCs w:val="22"/>
        </w:rPr>
        <w:t xml:space="preserve"> of </w:t>
      </w:r>
      <w:r w:rsidR="00441733">
        <w:rPr>
          <w:szCs w:val="22"/>
        </w:rPr>
        <w:t>$45,000 - $75,000</w:t>
      </w:r>
      <w:r w:rsidR="009604E3" w:rsidRPr="00272261">
        <w:rPr>
          <w:szCs w:val="22"/>
        </w:rPr>
        <w:t>.</w:t>
      </w:r>
      <w:r w:rsidR="00C563D4" w:rsidRPr="00272261">
        <w:rPr>
          <w:szCs w:val="22"/>
        </w:rPr>
        <w:t xml:space="preserve"> The base case ICER presented in the submission (which did not incorporate the cost for RHC tests) was </w:t>
      </w:r>
      <w:r w:rsidR="002F0AA6">
        <w:rPr>
          <w:szCs w:val="22"/>
        </w:rPr>
        <w:t>$15,000 - $45,000 per QALY saved</w:t>
      </w:r>
      <w:r w:rsidR="00C563D4" w:rsidRPr="00272261">
        <w:rPr>
          <w:szCs w:val="22"/>
        </w:rPr>
        <w:t>.</w:t>
      </w:r>
    </w:p>
    <w:p w:rsidR="00E41BAE" w:rsidRPr="00272261" w:rsidRDefault="00E41BAE" w:rsidP="00E57161">
      <w:pPr>
        <w:pStyle w:val="ListParagraph"/>
        <w:widowControl/>
        <w:rPr>
          <w:szCs w:val="22"/>
        </w:rPr>
      </w:pPr>
    </w:p>
    <w:p w:rsidR="009604E3" w:rsidRPr="00272261" w:rsidRDefault="00E41BAE" w:rsidP="00E57161">
      <w:pPr>
        <w:pStyle w:val="ListParagraph"/>
        <w:widowControl/>
        <w:numPr>
          <w:ilvl w:val="1"/>
          <w:numId w:val="2"/>
        </w:numPr>
        <w:rPr>
          <w:szCs w:val="22"/>
        </w:rPr>
      </w:pPr>
      <w:r w:rsidRPr="00272261">
        <w:rPr>
          <w:szCs w:val="22"/>
        </w:rPr>
        <w:t xml:space="preserve">The re-submission </w:t>
      </w:r>
      <w:r w:rsidRPr="00272261">
        <w:rPr>
          <w:rFonts w:eastAsiaTheme="minorHAnsi"/>
          <w:snapToGrid/>
          <w:szCs w:val="22"/>
        </w:rPr>
        <w:t>calculated the disutility associated with treatment emergent adverse events (dizziness, headache and hypotension) to be 0.0467</w:t>
      </w:r>
      <w:r w:rsidR="00546A13" w:rsidRPr="00272261">
        <w:rPr>
          <w:szCs w:val="22"/>
        </w:rPr>
        <w:t>. The re</w:t>
      </w:r>
      <w:r w:rsidR="00546A13" w:rsidRPr="00272261">
        <w:rPr>
          <w:szCs w:val="22"/>
        </w:rPr>
        <w:noBreakHyphen/>
      </w:r>
      <w:r w:rsidRPr="00272261">
        <w:rPr>
          <w:szCs w:val="22"/>
        </w:rPr>
        <w:t xml:space="preserve">submission stated that it did not include this disutility in the base case to avoid double counting. The evaluation </w:t>
      </w:r>
      <w:r w:rsidR="009604E3" w:rsidRPr="00272261">
        <w:rPr>
          <w:szCs w:val="22"/>
        </w:rPr>
        <w:t>considered</w:t>
      </w:r>
      <w:r w:rsidRPr="00272261">
        <w:rPr>
          <w:szCs w:val="22"/>
        </w:rPr>
        <w:t>, however,</w:t>
      </w:r>
      <w:r w:rsidR="009604E3" w:rsidRPr="00272261">
        <w:rPr>
          <w:szCs w:val="22"/>
        </w:rPr>
        <w:t xml:space="preserve"> that </w:t>
      </w:r>
      <w:r w:rsidRPr="00272261">
        <w:rPr>
          <w:rFonts w:eastAsiaTheme="minorHAnsi"/>
          <w:snapToGrid/>
          <w:szCs w:val="22"/>
        </w:rPr>
        <w:t>the disutility for these events for riociguat treated patients should be included in the base case of the economic evaluation</w:t>
      </w:r>
      <w:r w:rsidR="00546A13" w:rsidRPr="00272261">
        <w:rPr>
          <w:rFonts w:eastAsiaTheme="minorHAnsi"/>
          <w:snapToGrid/>
          <w:szCs w:val="22"/>
        </w:rPr>
        <w:t xml:space="preserve">. </w:t>
      </w:r>
      <w:r w:rsidRPr="00272261">
        <w:rPr>
          <w:rFonts w:eastAsiaTheme="minorHAnsi"/>
          <w:snapToGrid/>
          <w:szCs w:val="22"/>
        </w:rPr>
        <w:t xml:space="preserve">The evaluation </w:t>
      </w:r>
      <w:r w:rsidR="00546A13" w:rsidRPr="00272261">
        <w:rPr>
          <w:rFonts w:eastAsiaTheme="minorHAnsi"/>
          <w:snapToGrid/>
          <w:szCs w:val="22"/>
        </w:rPr>
        <w:t>stated that since</w:t>
      </w:r>
      <w:r w:rsidRPr="00272261">
        <w:rPr>
          <w:rFonts w:eastAsiaTheme="minorHAnsi"/>
          <w:snapToGrid/>
          <w:szCs w:val="22"/>
        </w:rPr>
        <w:t xml:space="preserve"> treatment specific values were not used in the economic evaluation, the utility scores by WHO functional class (being pooled and not treatment specific values) only partially capture the disutility associated with riociguat.</w:t>
      </w:r>
      <w:r w:rsidR="00546A13" w:rsidRPr="00272261">
        <w:rPr>
          <w:rFonts w:eastAsiaTheme="minorHAnsi"/>
          <w:snapToGrid/>
          <w:szCs w:val="22"/>
        </w:rPr>
        <w:t xml:space="preserve"> Including this disutility </w:t>
      </w:r>
      <w:r w:rsidRPr="00272261">
        <w:rPr>
          <w:szCs w:val="22"/>
        </w:rPr>
        <w:t xml:space="preserve">resulted in an ICER of </w:t>
      </w:r>
      <w:r w:rsidR="00AB3546">
        <w:rPr>
          <w:szCs w:val="22"/>
        </w:rPr>
        <w:t>$45,000-$75,000</w:t>
      </w:r>
      <w:r w:rsidRPr="00272261">
        <w:rPr>
          <w:szCs w:val="22"/>
        </w:rPr>
        <w:t xml:space="preserve"> per QALY saved</w:t>
      </w:r>
      <w:r w:rsidR="00AF0F2F" w:rsidRPr="00272261">
        <w:rPr>
          <w:szCs w:val="22"/>
        </w:rPr>
        <w:t xml:space="preserve"> (</w:t>
      </w:r>
      <w:r w:rsidR="00AB3546">
        <w:rPr>
          <w:szCs w:val="22"/>
        </w:rPr>
        <w:t>$45,000-$75,000</w:t>
      </w:r>
      <w:r w:rsidR="001A1B7E" w:rsidRPr="00272261">
        <w:rPr>
          <w:szCs w:val="22"/>
        </w:rPr>
        <w:t xml:space="preserve"> for inoperable CTEPH and </w:t>
      </w:r>
      <w:r w:rsidR="00A93B3D">
        <w:rPr>
          <w:szCs w:val="22"/>
        </w:rPr>
        <w:t>$75,000 - $105,000</w:t>
      </w:r>
      <w:r w:rsidR="001A1B7E" w:rsidRPr="00272261">
        <w:rPr>
          <w:szCs w:val="22"/>
        </w:rPr>
        <w:t xml:space="preserve"> for persistent PH after PEA).</w:t>
      </w:r>
      <w:r w:rsidR="00546A13" w:rsidRPr="00272261">
        <w:rPr>
          <w:szCs w:val="22"/>
        </w:rPr>
        <w:t xml:space="preserve"> </w:t>
      </w:r>
    </w:p>
    <w:p w:rsidR="00866CEA" w:rsidRPr="00272261" w:rsidRDefault="001267EE" w:rsidP="00E57161">
      <w:pPr>
        <w:pStyle w:val="ListParagraph"/>
        <w:widowControl/>
        <w:numPr>
          <w:ilvl w:val="1"/>
          <w:numId w:val="5"/>
        </w:numPr>
        <w:ind w:left="993" w:hanging="284"/>
        <w:rPr>
          <w:szCs w:val="22"/>
        </w:rPr>
      </w:pPr>
      <w:r w:rsidRPr="00272261">
        <w:rPr>
          <w:szCs w:val="22"/>
        </w:rPr>
        <w:t>The PSCR (p4) agreed that it would have been more appropriate to use treatment specific utility values (mean of the baseline and last visit values) and notes that the ICER decreases when these utility values are used. The PSCR state</w:t>
      </w:r>
      <w:r w:rsidR="00866CEA" w:rsidRPr="00272261">
        <w:rPr>
          <w:szCs w:val="22"/>
        </w:rPr>
        <w:t>d</w:t>
      </w:r>
      <w:r w:rsidRPr="00272261">
        <w:rPr>
          <w:szCs w:val="22"/>
        </w:rPr>
        <w:t xml:space="preserve"> that due to high stratification the treatment and cohort specific utilities were derived from a reduced number of observations. The PSCR therefore presents an alternate approach using treatment specific utility values for the ITT population that were </w:t>
      </w:r>
      <w:r w:rsidRPr="00272261">
        <w:rPr>
          <w:szCs w:val="22"/>
        </w:rPr>
        <w:lastRenderedPageBreak/>
        <w:t xml:space="preserve">not stratified by operability status. </w:t>
      </w:r>
      <w:r w:rsidR="00866CEA" w:rsidRPr="00272261">
        <w:rPr>
          <w:szCs w:val="22"/>
        </w:rPr>
        <w:t>The PSCR calculated</w:t>
      </w:r>
      <w:r w:rsidRPr="00272261">
        <w:rPr>
          <w:szCs w:val="22"/>
        </w:rPr>
        <w:t xml:space="preserve"> that the ICER improve</w:t>
      </w:r>
      <w:r w:rsidR="00866CEA" w:rsidRPr="00272261">
        <w:rPr>
          <w:szCs w:val="22"/>
        </w:rPr>
        <w:t>d</w:t>
      </w:r>
      <w:r w:rsidRPr="00272261">
        <w:rPr>
          <w:szCs w:val="22"/>
        </w:rPr>
        <w:t xml:space="preserve"> from </w:t>
      </w:r>
      <w:r w:rsidR="00B102F7">
        <w:rPr>
          <w:szCs w:val="22"/>
        </w:rPr>
        <w:t>$45,000/QALY - $75,000/QALY</w:t>
      </w:r>
      <w:r w:rsidRPr="00272261">
        <w:rPr>
          <w:szCs w:val="22"/>
        </w:rPr>
        <w:t xml:space="preserve"> to </w:t>
      </w:r>
      <w:r w:rsidR="00B102F7">
        <w:rPr>
          <w:szCs w:val="22"/>
        </w:rPr>
        <w:t>$15,000</w:t>
      </w:r>
      <w:r w:rsidRPr="00272261">
        <w:rPr>
          <w:szCs w:val="22"/>
        </w:rPr>
        <w:t>/QALY</w:t>
      </w:r>
      <w:r w:rsidR="00B102F7">
        <w:rPr>
          <w:szCs w:val="22"/>
        </w:rPr>
        <w:t xml:space="preserve"> - $45,000/QALY</w:t>
      </w:r>
      <w:r w:rsidRPr="00272261">
        <w:rPr>
          <w:szCs w:val="22"/>
        </w:rPr>
        <w:t xml:space="preserve"> using the approach in the commentary, and that it further improves to </w:t>
      </w:r>
      <w:r w:rsidR="003C58C0">
        <w:rPr>
          <w:szCs w:val="22"/>
        </w:rPr>
        <w:t>$15,000/QALY - $45,000/QALY</w:t>
      </w:r>
      <w:r w:rsidRPr="00272261">
        <w:rPr>
          <w:szCs w:val="22"/>
        </w:rPr>
        <w:t xml:space="preserve"> using the alternate approach. The ESC was unable to verify these alternate calculations of the ICER. </w:t>
      </w:r>
    </w:p>
    <w:p w:rsidR="001267EE" w:rsidRPr="00272261" w:rsidRDefault="001267EE" w:rsidP="00E57161">
      <w:pPr>
        <w:pStyle w:val="ListParagraph"/>
        <w:widowControl/>
        <w:numPr>
          <w:ilvl w:val="1"/>
          <w:numId w:val="5"/>
        </w:numPr>
        <w:ind w:left="993" w:hanging="284"/>
        <w:rPr>
          <w:szCs w:val="22"/>
        </w:rPr>
      </w:pPr>
      <w:r w:rsidRPr="00272261">
        <w:rPr>
          <w:szCs w:val="22"/>
        </w:rPr>
        <w:t>The PSCR correctly acknowledged that any disutility from treatment emergent adverse events on ‘active’ placebo would not have been captured using treatment specific utility values since the CHEST-1 trial evaluated true placebo. However, the PSCR incorrectly states this biases the results against riociguat when the reverse is true.</w:t>
      </w:r>
    </w:p>
    <w:p w:rsidR="009604E3" w:rsidRPr="00272261" w:rsidRDefault="009604E3" w:rsidP="00E57161">
      <w:pPr>
        <w:widowControl/>
        <w:rPr>
          <w:szCs w:val="22"/>
        </w:rPr>
      </w:pPr>
    </w:p>
    <w:p w:rsidR="00904374" w:rsidRPr="00272261" w:rsidRDefault="009604E3" w:rsidP="00E57161">
      <w:pPr>
        <w:pStyle w:val="ListParagraph"/>
        <w:widowControl/>
        <w:numPr>
          <w:ilvl w:val="1"/>
          <w:numId w:val="2"/>
        </w:numPr>
        <w:rPr>
          <w:szCs w:val="22"/>
        </w:rPr>
      </w:pPr>
      <w:r w:rsidRPr="00272261">
        <w:rPr>
          <w:szCs w:val="22"/>
        </w:rPr>
        <w:t xml:space="preserve">Overall, </w:t>
      </w:r>
      <w:r w:rsidR="00507E30" w:rsidRPr="00272261">
        <w:rPr>
          <w:szCs w:val="22"/>
        </w:rPr>
        <w:t>r</w:t>
      </w:r>
      <w:r w:rsidR="00700F76" w:rsidRPr="00272261">
        <w:rPr>
          <w:szCs w:val="22"/>
        </w:rPr>
        <w:t>iociguat appear</w:t>
      </w:r>
      <w:r w:rsidR="00DA1C1C" w:rsidRPr="00272261">
        <w:rPr>
          <w:szCs w:val="22"/>
        </w:rPr>
        <w:t>ed</w:t>
      </w:r>
      <w:r w:rsidR="00700F76" w:rsidRPr="00272261">
        <w:rPr>
          <w:szCs w:val="22"/>
        </w:rPr>
        <w:t xml:space="preserve"> to be more cost-effective for the treatment of patients with inoperable CTEPH</w:t>
      </w:r>
      <w:r w:rsidR="00F24434" w:rsidRPr="00272261">
        <w:rPr>
          <w:szCs w:val="22"/>
        </w:rPr>
        <w:t xml:space="preserve">: the </w:t>
      </w:r>
      <w:r w:rsidR="00700F76" w:rsidRPr="00272261">
        <w:rPr>
          <w:szCs w:val="22"/>
        </w:rPr>
        <w:t xml:space="preserve">base case ICER </w:t>
      </w:r>
      <w:r w:rsidRPr="00272261">
        <w:rPr>
          <w:szCs w:val="22"/>
        </w:rPr>
        <w:t xml:space="preserve">without disutility included </w:t>
      </w:r>
      <w:r w:rsidR="00F24434" w:rsidRPr="00272261">
        <w:rPr>
          <w:szCs w:val="22"/>
        </w:rPr>
        <w:t>was</w:t>
      </w:r>
      <w:r w:rsidR="00700F76" w:rsidRPr="00272261">
        <w:rPr>
          <w:szCs w:val="22"/>
        </w:rPr>
        <w:t xml:space="preserve"> </w:t>
      </w:r>
      <w:r w:rsidR="000025B5">
        <w:rPr>
          <w:szCs w:val="22"/>
        </w:rPr>
        <w:t>$45,000-$75,000</w:t>
      </w:r>
      <w:r w:rsidR="00700F76" w:rsidRPr="00272261">
        <w:rPr>
          <w:szCs w:val="22"/>
        </w:rPr>
        <w:t xml:space="preserve"> for inoperable patients versus </w:t>
      </w:r>
      <w:r w:rsidR="000025B5">
        <w:rPr>
          <w:szCs w:val="22"/>
        </w:rPr>
        <w:t>$45,000-$75,000</w:t>
      </w:r>
      <w:r w:rsidR="00700F76" w:rsidRPr="00272261">
        <w:rPr>
          <w:szCs w:val="22"/>
        </w:rPr>
        <w:t xml:space="preserve"> for patients with persistent CTEPH after PEA.</w:t>
      </w:r>
      <w:r w:rsidR="00507E30" w:rsidRPr="00272261">
        <w:rPr>
          <w:szCs w:val="22"/>
        </w:rPr>
        <w:t xml:space="preserve"> The re-submission state</w:t>
      </w:r>
      <w:r w:rsidR="00DA1C1C" w:rsidRPr="00272261">
        <w:rPr>
          <w:szCs w:val="22"/>
        </w:rPr>
        <w:t>d</w:t>
      </w:r>
      <w:r w:rsidR="00507E30" w:rsidRPr="00272261">
        <w:rPr>
          <w:szCs w:val="22"/>
        </w:rPr>
        <w:t xml:space="preserve"> (p247) that if it </w:t>
      </w:r>
      <w:r w:rsidR="00FC6C7B" w:rsidRPr="00272261">
        <w:rPr>
          <w:szCs w:val="22"/>
        </w:rPr>
        <w:t xml:space="preserve">was </w:t>
      </w:r>
      <w:r w:rsidR="00507E30" w:rsidRPr="00272261">
        <w:rPr>
          <w:szCs w:val="22"/>
        </w:rPr>
        <w:t xml:space="preserve">assumed that riociguat offers no incremental treatment benefit for patients with persistent/recurrent pulmonary hypertension after surgery, </w:t>
      </w:r>
      <w:r w:rsidR="00B340B3" w:rsidRPr="00272261">
        <w:rPr>
          <w:szCs w:val="22"/>
        </w:rPr>
        <w:t>“</w:t>
      </w:r>
      <w:r w:rsidR="00507E30" w:rsidRPr="00272261">
        <w:rPr>
          <w:szCs w:val="22"/>
        </w:rPr>
        <w:t>the maximum cost of treatment with riociguat should be the same as that with treatment with off-label therapies. The cost of off-label therapies is approximately 32% lower than that with riociguat at the currently proposed cost-effective price specifically within this subgroup. In the event that a ‘cost-minimisation analysis’ approach is adopted for patients with persistent/recurrent pulmonary hypertension, the cost of riociguat per d</w:t>
      </w:r>
      <w:r w:rsidR="00BF04D4" w:rsidRPr="00272261">
        <w:rPr>
          <w:szCs w:val="22"/>
        </w:rPr>
        <w:t>ay would be $</w:t>
      </w:r>
      <w:r w:rsidR="00EF7FDB">
        <w:rPr>
          <w:noProof/>
          <w:color w:val="000000"/>
          <w:szCs w:val="22"/>
          <w:highlight w:val="black"/>
        </w:rPr>
        <w:t>''''''''''''</w:t>
      </w:r>
      <w:r w:rsidR="00BF04D4" w:rsidRPr="00272261">
        <w:rPr>
          <w:szCs w:val="22"/>
        </w:rPr>
        <w:t xml:space="preserve"> for this sub</w:t>
      </w:r>
      <w:r w:rsidR="00BF04D4" w:rsidRPr="00272261">
        <w:rPr>
          <w:szCs w:val="22"/>
        </w:rPr>
        <w:noBreakHyphen/>
      </w:r>
      <w:r w:rsidR="00507E30" w:rsidRPr="00272261">
        <w:rPr>
          <w:szCs w:val="22"/>
        </w:rPr>
        <w:t>group representing 27% of total cohort”.</w:t>
      </w:r>
      <w:r w:rsidRPr="00272261">
        <w:rPr>
          <w:szCs w:val="22"/>
        </w:rPr>
        <w:t xml:space="preserve">  </w:t>
      </w:r>
      <w:r w:rsidR="00CA6F03" w:rsidRPr="00272261">
        <w:rPr>
          <w:szCs w:val="22"/>
        </w:rPr>
        <w:t xml:space="preserve">A lower cost-minimised price compared </w:t>
      </w:r>
      <w:r w:rsidR="00BF04D4" w:rsidRPr="00272261">
        <w:rPr>
          <w:szCs w:val="22"/>
        </w:rPr>
        <w:t>with</w:t>
      </w:r>
      <w:r w:rsidR="00CA6F03" w:rsidRPr="00272261">
        <w:rPr>
          <w:szCs w:val="22"/>
        </w:rPr>
        <w:t xml:space="preserve"> off-label therapies may be appropriate for this patient cohort.</w:t>
      </w:r>
      <w:r w:rsidR="00904374" w:rsidRPr="00272261">
        <w:rPr>
          <w:szCs w:val="22"/>
        </w:rPr>
        <w:t xml:space="preserve"> It is not clear however, what that price should be, as the cost-effectiveness of off-label therapies for the treatment of CTEPH has not yet been determined.</w:t>
      </w:r>
      <w:r w:rsidR="00546A13" w:rsidRPr="00272261">
        <w:rPr>
          <w:szCs w:val="22"/>
        </w:rPr>
        <w:t xml:space="preserve"> The ESC considered that applying a cost minimisation approach against the off-label therapies </w:t>
      </w:r>
      <w:r w:rsidR="00D42D61" w:rsidRPr="00272261">
        <w:rPr>
          <w:szCs w:val="22"/>
        </w:rPr>
        <w:t xml:space="preserve">for persistent CTEPH patients following surgery </w:t>
      </w:r>
      <w:r w:rsidR="00546A13" w:rsidRPr="00272261">
        <w:rPr>
          <w:szCs w:val="22"/>
        </w:rPr>
        <w:t>would be inappropriate given that there is no clinical evidence to support their use in the treatment of patients with CTEPH.</w:t>
      </w:r>
    </w:p>
    <w:p w:rsidR="009604E3" w:rsidRPr="00272261" w:rsidRDefault="00700F76" w:rsidP="00E57161">
      <w:pPr>
        <w:widowControl/>
        <w:rPr>
          <w:szCs w:val="22"/>
        </w:rPr>
      </w:pPr>
      <w:r w:rsidRPr="00272261">
        <w:rPr>
          <w:szCs w:val="22"/>
        </w:rPr>
        <w:t xml:space="preserve"> </w:t>
      </w:r>
    </w:p>
    <w:p w:rsidR="001B1389" w:rsidRPr="00272261" w:rsidRDefault="001B1389" w:rsidP="00E57161">
      <w:pPr>
        <w:pStyle w:val="ListParagraph"/>
        <w:widowControl/>
        <w:numPr>
          <w:ilvl w:val="1"/>
          <w:numId w:val="2"/>
        </w:numPr>
        <w:rPr>
          <w:szCs w:val="22"/>
        </w:rPr>
      </w:pPr>
      <w:r w:rsidRPr="00272261">
        <w:rPr>
          <w:szCs w:val="22"/>
        </w:rPr>
        <w:t>While a significant treatment effect was predicted by the economic model, the ESC considered that the ICER was underestimated by the re</w:t>
      </w:r>
      <w:r w:rsidRPr="00272261">
        <w:rPr>
          <w:szCs w:val="22"/>
        </w:rPr>
        <w:noBreakHyphen/>
        <w:t>submission due to:</w:t>
      </w:r>
    </w:p>
    <w:p w:rsidR="001B1389" w:rsidRPr="00272261" w:rsidRDefault="001B1389" w:rsidP="00E57161">
      <w:pPr>
        <w:pStyle w:val="ListParagraph"/>
        <w:widowControl/>
        <w:numPr>
          <w:ilvl w:val="1"/>
          <w:numId w:val="5"/>
        </w:numPr>
        <w:ind w:left="993" w:hanging="284"/>
        <w:rPr>
          <w:szCs w:val="22"/>
        </w:rPr>
      </w:pPr>
      <w:r w:rsidRPr="00272261">
        <w:rPr>
          <w:szCs w:val="22"/>
        </w:rPr>
        <w:t>the assumption of ongoing treatment benefits for riociguat across the 15-year duration of the model;</w:t>
      </w:r>
    </w:p>
    <w:p w:rsidR="001B1389" w:rsidRPr="00C30B39" w:rsidRDefault="001B1389" w:rsidP="00E57161">
      <w:pPr>
        <w:pStyle w:val="ListParagraph"/>
        <w:widowControl/>
        <w:numPr>
          <w:ilvl w:val="1"/>
          <w:numId w:val="5"/>
        </w:numPr>
        <w:ind w:left="993" w:hanging="284"/>
        <w:rPr>
          <w:szCs w:val="22"/>
        </w:rPr>
      </w:pPr>
      <w:r w:rsidRPr="00272261">
        <w:rPr>
          <w:szCs w:val="22"/>
        </w:rPr>
        <w:t xml:space="preserve">the derivation of placebo survival from cohorts that may underestimate survival </w:t>
      </w:r>
      <w:r w:rsidRPr="00C30B39">
        <w:rPr>
          <w:szCs w:val="22"/>
        </w:rPr>
        <w:t xml:space="preserve">(Condliffe 2008), see </w:t>
      </w:r>
      <w:r w:rsidR="00274C7F" w:rsidRPr="00C30B39">
        <w:rPr>
          <w:szCs w:val="22"/>
        </w:rPr>
        <w:t>paragraph 6.20</w:t>
      </w:r>
      <w:r w:rsidRPr="00C30B39">
        <w:rPr>
          <w:szCs w:val="22"/>
        </w:rPr>
        <w:t xml:space="preserve"> above; and</w:t>
      </w:r>
    </w:p>
    <w:p w:rsidR="001B1389" w:rsidRPr="00272261" w:rsidRDefault="001B1389" w:rsidP="00E57161">
      <w:pPr>
        <w:pStyle w:val="ListParagraph"/>
        <w:widowControl/>
        <w:numPr>
          <w:ilvl w:val="1"/>
          <w:numId w:val="5"/>
        </w:numPr>
        <w:ind w:left="993" w:hanging="284"/>
        <w:rPr>
          <w:szCs w:val="22"/>
        </w:rPr>
      </w:pPr>
      <w:r w:rsidRPr="00272261">
        <w:rPr>
          <w:szCs w:val="22"/>
        </w:rPr>
        <w:t>the assumption that 74% of placebo patients will receive treatment with an ERA or PDE-5 inhibitor. In particular, the ESC considered that the inclusion of the costs of off</w:t>
      </w:r>
      <w:r w:rsidRPr="00272261">
        <w:rPr>
          <w:szCs w:val="22"/>
        </w:rPr>
        <w:noBreakHyphen/>
        <w:t xml:space="preserve">label therapies in the base case was not appropriate given that placebo is the comparator of interest. In this regard, the ESC noted that the base case ICER increased to </w:t>
      </w:r>
      <w:r w:rsidR="00187058">
        <w:rPr>
          <w:szCs w:val="22"/>
        </w:rPr>
        <w:t>$75,000</w:t>
      </w:r>
      <w:r w:rsidR="006640C8">
        <w:rPr>
          <w:szCs w:val="22"/>
        </w:rPr>
        <w:t xml:space="preserve">/QALY </w:t>
      </w:r>
      <w:r w:rsidR="00187058">
        <w:rPr>
          <w:szCs w:val="22"/>
        </w:rPr>
        <w:t>-</w:t>
      </w:r>
      <w:r w:rsidR="006640C8">
        <w:rPr>
          <w:szCs w:val="22"/>
        </w:rPr>
        <w:t xml:space="preserve"> </w:t>
      </w:r>
      <w:r w:rsidR="00187058">
        <w:rPr>
          <w:szCs w:val="22"/>
        </w:rPr>
        <w:t>$105,000</w:t>
      </w:r>
      <w:r w:rsidR="006640C8">
        <w:rPr>
          <w:szCs w:val="22"/>
        </w:rPr>
        <w:t>/QALY</w:t>
      </w:r>
      <w:r w:rsidRPr="00272261">
        <w:rPr>
          <w:szCs w:val="22"/>
        </w:rPr>
        <w:t xml:space="preserve"> with the cost of off-label drugs removed. </w:t>
      </w:r>
    </w:p>
    <w:p w:rsidR="001B1389" w:rsidRPr="00272261" w:rsidRDefault="001B1389" w:rsidP="00E57161">
      <w:pPr>
        <w:pStyle w:val="ListParagraph"/>
        <w:widowControl/>
        <w:ind w:left="993"/>
        <w:rPr>
          <w:szCs w:val="22"/>
        </w:rPr>
      </w:pPr>
    </w:p>
    <w:p w:rsidR="002F36A9" w:rsidRPr="00272261" w:rsidRDefault="001B1389" w:rsidP="00E57161">
      <w:pPr>
        <w:pStyle w:val="ListParagraph"/>
        <w:widowControl/>
        <w:numPr>
          <w:ilvl w:val="1"/>
          <w:numId w:val="2"/>
        </w:numPr>
        <w:rPr>
          <w:szCs w:val="22"/>
        </w:rPr>
      </w:pPr>
      <w:r w:rsidRPr="00272261">
        <w:rPr>
          <w:szCs w:val="22"/>
        </w:rPr>
        <w:t>In addition to the scenario of removing the cost of off-label medications, v</w:t>
      </w:r>
      <w:r w:rsidR="009604E3" w:rsidRPr="00272261">
        <w:rPr>
          <w:szCs w:val="22"/>
        </w:rPr>
        <w:t xml:space="preserve">arious </w:t>
      </w:r>
      <w:r w:rsidRPr="00272261">
        <w:rPr>
          <w:szCs w:val="22"/>
        </w:rPr>
        <w:t xml:space="preserve">other </w:t>
      </w:r>
      <w:r w:rsidR="009604E3" w:rsidRPr="00272261">
        <w:rPr>
          <w:szCs w:val="22"/>
        </w:rPr>
        <w:t>parameters were tested in the sensitivity analysis and t</w:t>
      </w:r>
      <w:r w:rsidR="00F05A0B" w:rsidRPr="00272261">
        <w:rPr>
          <w:szCs w:val="22"/>
        </w:rPr>
        <w:t xml:space="preserve">he ICER was most sensitive to </w:t>
      </w:r>
      <w:r w:rsidR="00F05A0B" w:rsidRPr="00272261">
        <w:t xml:space="preserve">the inclusion of a </w:t>
      </w:r>
      <w:r w:rsidR="00FC6C7B" w:rsidRPr="00272261">
        <w:t xml:space="preserve">disutility value for adverse events of riociguat (ICER increased to </w:t>
      </w:r>
      <w:r w:rsidR="00011955">
        <w:t>$45,000</w:t>
      </w:r>
      <w:r w:rsidR="000258FE">
        <w:t xml:space="preserve">/QALY </w:t>
      </w:r>
      <w:r w:rsidR="00011955">
        <w:t>-</w:t>
      </w:r>
      <w:r w:rsidR="000258FE">
        <w:t xml:space="preserve"> </w:t>
      </w:r>
      <w:r w:rsidR="00011955">
        <w:t>$75,000</w:t>
      </w:r>
      <w:r w:rsidR="000258FE">
        <w:t>/QALY</w:t>
      </w:r>
      <w:r w:rsidR="00FC6C7B" w:rsidRPr="00272261">
        <w:t xml:space="preserve"> for a disutility of 0.0467), the timeframe of the model (ICER increased to </w:t>
      </w:r>
      <w:r w:rsidR="00011955">
        <w:t>$75,000</w:t>
      </w:r>
      <w:r w:rsidR="000258FE">
        <w:t xml:space="preserve">/QALY </w:t>
      </w:r>
      <w:r w:rsidR="00011955">
        <w:t>-</w:t>
      </w:r>
      <w:r w:rsidR="000258FE">
        <w:t xml:space="preserve"> </w:t>
      </w:r>
      <w:r w:rsidR="00011955">
        <w:t>$105,000</w:t>
      </w:r>
      <w:r w:rsidR="000258FE">
        <w:t>/QALY</w:t>
      </w:r>
      <w:r w:rsidR="00FC6C7B" w:rsidRPr="00272261">
        <w:t xml:space="preserve"> for a 5-year model), and the 95% confidence intervals for placebo mortality (ICER increased to </w:t>
      </w:r>
      <w:r w:rsidR="006E29DB">
        <w:t>$75,000</w:t>
      </w:r>
      <w:r w:rsidR="000258FE">
        <w:t xml:space="preserve">/QALY </w:t>
      </w:r>
      <w:r w:rsidR="006E29DB">
        <w:t>-</w:t>
      </w:r>
      <w:r w:rsidR="000258FE">
        <w:t xml:space="preserve"> </w:t>
      </w:r>
      <w:r w:rsidR="006E29DB">
        <w:t>$105,000</w:t>
      </w:r>
      <w:r w:rsidR="000258FE">
        <w:t>/QALY</w:t>
      </w:r>
      <w:r w:rsidR="00FC6C7B" w:rsidRPr="00272261">
        <w:t xml:space="preserve"> for the lower 95% CI).</w:t>
      </w:r>
    </w:p>
    <w:p w:rsidR="00C563D4" w:rsidRPr="00272261" w:rsidRDefault="00C563D4" w:rsidP="00C563D4">
      <w:pPr>
        <w:pStyle w:val="ListParagraph"/>
        <w:widowControl/>
        <w:rPr>
          <w:szCs w:val="22"/>
        </w:rPr>
      </w:pPr>
    </w:p>
    <w:p w:rsidR="00C563D4" w:rsidRPr="00272261" w:rsidRDefault="00C563D4" w:rsidP="00E57161">
      <w:pPr>
        <w:pStyle w:val="ListParagraph"/>
        <w:widowControl/>
        <w:numPr>
          <w:ilvl w:val="1"/>
          <w:numId w:val="2"/>
        </w:numPr>
        <w:rPr>
          <w:szCs w:val="22"/>
        </w:rPr>
      </w:pPr>
      <w:r w:rsidRPr="00272261">
        <w:t>The pre-PBAC response (p3) presented new ICERs on the basis of a new price (effective AEMP of $</w:t>
      </w:r>
      <w:r w:rsidR="00EF7FDB">
        <w:rPr>
          <w:noProof/>
          <w:color w:val="000000"/>
          <w:highlight w:val="black"/>
        </w:rPr>
        <w:t>'''''''''''''''''''</w:t>
      </w:r>
      <w:r w:rsidR="00274C7F" w:rsidRPr="00272261">
        <w:t xml:space="preserve"> for the 84 tablet pack)</w:t>
      </w:r>
      <w:r w:rsidRPr="00272261">
        <w:t xml:space="preserve"> under various scenarios (see the following table)</w:t>
      </w:r>
      <w:r w:rsidRPr="00272261">
        <w:rPr>
          <w:szCs w:val="22"/>
        </w:rPr>
        <w:t xml:space="preserve">. </w:t>
      </w:r>
    </w:p>
    <w:p w:rsidR="00C563D4" w:rsidRPr="00272261" w:rsidRDefault="00C563D4" w:rsidP="00C563D4">
      <w:pPr>
        <w:pStyle w:val="ListParagraph"/>
        <w:rPr>
          <w:szCs w:val="22"/>
        </w:rPr>
      </w:pPr>
    </w:p>
    <w:p w:rsidR="00C563D4" w:rsidRPr="00272261" w:rsidRDefault="00C563D4" w:rsidP="00C563D4">
      <w:pPr>
        <w:keepNext/>
        <w:widowControl/>
        <w:ind w:firstLine="720"/>
        <w:rPr>
          <w:rStyle w:val="CommentReference"/>
        </w:rPr>
      </w:pPr>
      <w:r w:rsidRPr="00272261">
        <w:rPr>
          <w:rStyle w:val="CommentReference"/>
        </w:rPr>
        <w:t>Table 9: Revised b</w:t>
      </w:r>
      <w:r w:rsidR="00274C7F" w:rsidRPr="00272261">
        <w:rPr>
          <w:rStyle w:val="CommentReference"/>
        </w:rPr>
        <w:t>ase case and sensitivity analyse</w:t>
      </w:r>
      <w:r w:rsidRPr="00272261">
        <w:rPr>
          <w:rStyle w:val="CommentReference"/>
        </w:rPr>
        <w:t xml:space="preserve">s </w:t>
      </w:r>
    </w:p>
    <w:tbl>
      <w:tblPr>
        <w:tblStyle w:val="TableGrid"/>
        <w:tblW w:w="4581" w:type="pct"/>
        <w:tblInd w:w="817" w:type="dxa"/>
        <w:tblLook w:val="04A0" w:firstRow="1" w:lastRow="0" w:firstColumn="1" w:lastColumn="0" w:noHBand="0" w:noVBand="1"/>
        <w:tblCaption w:val="Revised base case and sensitivity analyses"/>
      </w:tblPr>
      <w:tblGrid>
        <w:gridCol w:w="2550"/>
        <w:gridCol w:w="1239"/>
        <w:gridCol w:w="1240"/>
        <w:gridCol w:w="1240"/>
        <w:gridCol w:w="1240"/>
        <w:gridCol w:w="959"/>
      </w:tblGrid>
      <w:tr w:rsidR="00C563D4" w:rsidRPr="00272261" w:rsidTr="00C24C8E">
        <w:trPr>
          <w:trHeight w:val="214"/>
          <w:tblHeader/>
        </w:trPr>
        <w:tc>
          <w:tcPr>
            <w:tcW w:w="1506" w:type="pct"/>
            <w:vMerge w:val="restart"/>
            <w:shd w:val="clear" w:color="auto" w:fill="auto"/>
          </w:tcPr>
          <w:p w:rsidR="00C563D4" w:rsidRPr="00272261" w:rsidRDefault="00C563D4" w:rsidP="00272261">
            <w:pPr>
              <w:keepNext/>
              <w:jc w:val="center"/>
              <w:rPr>
                <w:rFonts w:ascii="Arial Narrow" w:hAnsi="Arial Narrow"/>
                <w:b/>
                <w:sz w:val="20"/>
                <w:szCs w:val="20"/>
              </w:rPr>
            </w:pPr>
          </w:p>
        </w:tc>
        <w:tc>
          <w:tcPr>
            <w:tcW w:w="1464" w:type="pct"/>
            <w:gridSpan w:val="2"/>
            <w:shd w:val="clear" w:color="auto" w:fill="auto"/>
            <w:vAlign w:val="center"/>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 xml:space="preserve">Riociguat </w:t>
            </w:r>
          </w:p>
        </w:tc>
        <w:tc>
          <w:tcPr>
            <w:tcW w:w="1464" w:type="pct"/>
            <w:gridSpan w:val="2"/>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Placebo</w:t>
            </w:r>
          </w:p>
        </w:tc>
        <w:tc>
          <w:tcPr>
            <w:tcW w:w="566" w:type="pct"/>
            <w:vMerge w:val="restart"/>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$/QALY</w:t>
            </w:r>
          </w:p>
        </w:tc>
      </w:tr>
      <w:tr w:rsidR="00C563D4" w:rsidRPr="00272261" w:rsidTr="00C24C8E">
        <w:trPr>
          <w:trHeight w:val="129"/>
          <w:tblHeader/>
        </w:trPr>
        <w:tc>
          <w:tcPr>
            <w:tcW w:w="1506" w:type="pct"/>
            <w:vMerge/>
            <w:shd w:val="clear" w:color="auto" w:fill="auto"/>
          </w:tcPr>
          <w:p w:rsidR="00C563D4" w:rsidRPr="00272261" w:rsidRDefault="00C563D4" w:rsidP="00272261">
            <w:pPr>
              <w:keepNext/>
              <w:jc w:val="center"/>
              <w:rPr>
                <w:rFonts w:ascii="Arial Narrow" w:hAnsi="Arial Narrow"/>
                <w:b/>
                <w:sz w:val="20"/>
                <w:szCs w:val="20"/>
              </w:rPr>
            </w:pPr>
          </w:p>
        </w:tc>
        <w:tc>
          <w:tcPr>
            <w:tcW w:w="732" w:type="pct"/>
            <w:shd w:val="clear" w:color="auto" w:fill="auto"/>
            <w:vAlign w:val="center"/>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Cost ($)</w:t>
            </w:r>
          </w:p>
        </w:tc>
        <w:tc>
          <w:tcPr>
            <w:tcW w:w="732" w:type="pct"/>
            <w:shd w:val="clear" w:color="auto" w:fill="auto"/>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QALY’s</w:t>
            </w:r>
          </w:p>
        </w:tc>
        <w:tc>
          <w:tcPr>
            <w:tcW w:w="732" w:type="pct"/>
            <w:vAlign w:val="center"/>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Cost ($)</w:t>
            </w:r>
          </w:p>
        </w:tc>
        <w:tc>
          <w:tcPr>
            <w:tcW w:w="732" w:type="pct"/>
          </w:tcPr>
          <w:p w:rsidR="00C563D4" w:rsidRPr="00272261" w:rsidRDefault="00C563D4" w:rsidP="00272261">
            <w:pPr>
              <w:keepNext/>
              <w:jc w:val="center"/>
              <w:rPr>
                <w:rFonts w:ascii="Arial Narrow" w:hAnsi="Arial Narrow"/>
                <w:b/>
                <w:sz w:val="20"/>
                <w:szCs w:val="20"/>
              </w:rPr>
            </w:pPr>
            <w:r w:rsidRPr="00272261">
              <w:rPr>
                <w:rFonts w:ascii="Arial Narrow" w:hAnsi="Arial Narrow"/>
                <w:b/>
                <w:sz w:val="20"/>
                <w:szCs w:val="20"/>
              </w:rPr>
              <w:t>QALY’s</w:t>
            </w:r>
          </w:p>
        </w:tc>
        <w:tc>
          <w:tcPr>
            <w:tcW w:w="566" w:type="pct"/>
            <w:vMerge/>
          </w:tcPr>
          <w:p w:rsidR="00C563D4" w:rsidRPr="00272261" w:rsidRDefault="00C563D4" w:rsidP="00272261">
            <w:pPr>
              <w:keepNext/>
              <w:jc w:val="center"/>
              <w:rPr>
                <w:rFonts w:ascii="Arial Narrow" w:hAnsi="Arial Narrow"/>
                <w:b/>
                <w:sz w:val="20"/>
                <w:szCs w:val="20"/>
              </w:rPr>
            </w:pPr>
          </w:p>
        </w:tc>
      </w:tr>
      <w:tr w:rsidR="003B4930" w:rsidRPr="00272261" w:rsidTr="00272261">
        <w:trPr>
          <w:trHeight w:val="214"/>
        </w:trPr>
        <w:tc>
          <w:tcPr>
            <w:tcW w:w="1506" w:type="pct"/>
            <w:shd w:val="clear" w:color="auto" w:fill="auto"/>
          </w:tcPr>
          <w:p w:rsidR="003B4930" w:rsidRPr="00272261" w:rsidRDefault="003B4930" w:rsidP="00272261">
            <w:pPr>
              <w:keepNext/>
              <w:rPr>
                <w:rFonts w:ascii="Arial Narrow" w:hAnsi="Arial Narrow"/>
                <w:sz w:val="20"/>
                <w:szCs w:val="20"/>
              </w:rPr>
            </w:pPr>
            <w:r w:rsidRPr="00272261">
              <w:rPr>
                <w:rFonts w:ascii="Arial Narrow" w:hAnsi="Arial Narrow"/>
                <w:sz w:val="20"/>
                <w:szCs w:val="20"/>
              </w:rPr>
              <w:t>Submission base case</w:t>
            </w:r>
          </w:p>
        </w:tc>
        <w:tc>
          <w:tcPr>
            <w:tcW w:w="732" w:type="pct"/>
          </w:tcPr>
          <w:p w:rsidR="003B4930" w:rsidRPr="00272261" w:rsidRDefault="003B4930" w:rsidP="00272261">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tcPr>
          <w:p w:rsidR="003B4930" w:rsidRPr="00272261" w:rsidRDefault="003B4930" w:rsidP="00272261">
            <w:pPr>
              <w:keepNext/>
              <w:jc w:val="center"/>
              <w:rPr>
                <w:rFonts w:ascii="Arial Narrow" w:hAnsi="Arial Narrow"/>
                <w:sz w:val="20"/>
                <w:szCs w:val="20"/>
              </w:rPr>
            </w:pPr>
            <w:r w:rsidRPr="00272261">
              <w:rPr>
                <w:rFonts w:ascii="Arial Narrow" w:hAnsi="Arial Narrow"/>
                <w:sz w:val="20"/>
                <w:szCs w:val="20"/>
              </w:rPr>
              <w:t>3.93</w:t>
            </w:r>
          </w:p>
        </w:tc>
        <w:tc>
          <w:tcPr>
            <w:tcW w:w="732" w:type="pct"/>
          </w:tcPr>
          <w:p w:rsidR="003B4930" w:rsidRPr="00272261" w:rsidRDefault="003B4930"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tcPr>
          <w:p w:rsidR="003B4930" w:rsidRPr="00272261" w:rsidRDefault="003B4930" w:rsidP="00272261">
            <w:pPr>
              <w:keepNext/>
              <w:jc w:val="center"/>
              <w:rPr>
                <w:rFonts w:ascii="Arial Narrow" w:hAnsi="Arial Narrow"/>
                <w:sz w:val="20"/>
                <w:szCs w:val="20"/>
              </w:rPr>
            </w:pPr>
            <w:r w:rsidRPr="00272261">
              <w:rPr>
                <w:rFonts w:ascii="Arial Narrow" w:hAnsi="Arial Narrow"/>
                <w:sz w:val="20"/>
                <w:szCs w:val="20"/>
              </w:rPr>
              <w:t>3.18</w:t>
            </w:r>
          </w:p>
        </w:tc>
        <w:tc>
          <w:tcPr>
            <w:tcW w:w="566" w:type="pct"/>
          </w:tcPr>
          <w:p w:rsidR="003B4930" w:rsidRPr="00272261" w:rsidRDefault="003B4930"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3B4930" w:rsidRPr="00272261" w:rsidTr="00C563D4">
        <w:trPr>
          <w:trHeight w:val="214"/>
        </w:trPr>
        <w:tc>
          <w:tcPr>
            <w:tcW w:w="1506" w:type="pct"/>
            <w:shd w:val="clear" w:color="auto" w:fill="auto"/>
          </w:tcPr>
          <w:p w:rsidR="003B4930" w:rsidRPr="00272261" w:rsidRDefault="003B4930" w:rsidP="00272261">
            <w:pPr>
              <w:keepNext/>
              <w:rPr>
                <w:rFonts w:ascii="Arial Narrow" w:hAnsi="Arial Narrow"/>
                <w:sz w:val="20"/>
                <w:szCs w:val="20"/>
              </w:rPr>
            </w:pPr>
            <w:r w:rsidRPr="00272261">
              <w:rPr>
                <w:rFonts w:ascii="Arial Narrow" w:hAnsi="Arial Narrow"/>
                <w:sz w:val="20"/>
                <w:szCs w:val="20"/>
              </w:rPr>
              <w:t>Submission base case + RHC</w:t>
            </w:r>
          </w:p>
        </w:tc>
        <w:tc>
          <w:tcPr>
            <w:tcW w:w="732" w:type="pct"/>
            <w:vAlign w:val="center"/>
          </w:tcPr>
          <w:p w:rsidR="003B4930" w:rsidRPr="00272261" w:rsidRDefault="003B4930" w:rsidP="00272261">
            <w:pPr>
              <w:keepNext/>
              <w:jc w:val="center"/>
              <w:rPr>
                <w:rFonts w:ascii="Arial Narrow" w:hAnsi="Arial Narrow"/>
                <w:sz w:val="20"/>
                <w:szCs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732" w:type="pct"/>
            <w:vAlign w:val="center"/>
          </w:tcPr>
          <w:p w:rsidR="003B4930" w:rsidRPr="00272261" w:rsidRDefault="003B4930" w:rsidP="00272261">
            <w:pPr>
              <w:keepNext/>
              <w:jc w:val="center"/>
              <w:rPr>
                <w:rFonts w:ascii="Arial Narrow" w:hAnsi="Arial Narrow"/>
                <w:sz w:val="20"/>
                <w:szCs w:val="20"/>
              </w:rPr>
            </w:pPr>
            <w:r w:rsidRPr="00272261">
              <w:rPr>
                <w:rFonts w:ascii="Arial Narrow" w:hAnsi="Arial Narrow"/>
                <w:sz w:val="20"/>
                <w:szCs w:val="20"/>
              </w:rPr>
              <w:t>3.93</w:t>
            </w:r>
          </w:p>
        </w:tc>
        <w:tc>
          <w:tcPr>
            <w:tcW w:w="732" w:type="pct"/>
            <w:vAlign w:val="center"/>
          </w:tcPr>
          <w:p w:rsidR="003B4930" w:rsidRPr="00272261" w:rsidRDefault="003B4930" w:rsidP="00272261">
            <w:pPr>
              <w:keepNext/>
              <w:jc w:val="center"/>
              <w:rPr>
                <w:rFonts w:ascii="Arial Narrow" w:hAnsi="Arial Narrow"/>
                <w:sz w:val="20"/>
                <w:szCs w:val="20"/>
              </w:rPr>
            </w:pPr>
            <w:r w:rsidRPr="00272261">
              <w:rPr>
                <w:rFonts w:ascii="Arial Narrow" w:hAnsi="Arial Narrow" w:cs="Times New Roman"/>
                <w:sz w:val="20"/>
              </w:rPr>
              <w:t>$</w:t>
            </w:r>
            <w:r w:rsidR="00EF7FDB">
              <w:rPr>
                <w:rFonts w:ascii="Arial Narrow" w:hAnsi="Arial Narrow" w:cs="Times New Roman"/>
                <w:noProof/>
                <w:color w:val="000000"/>
                <w:sz w:val="20"/>
                <w:highlight w:val="black"/>
              </w:rPr>
              <w:t>''''''''''''''''</w:t>
            </w:r>
          </w:p>
        </w:tc>
        <w:tc>
          <w:tcPr>
            <w:tcW w:w="732" w:type="pct"/>
            <w:vAlign w:val="center"/>
          </w:tcPr>
          <w:p w:rsidR="003B4930" w:rsidRPr="00272261" w:rsidRDefault="003B4930" w:rsidP="00272261">
            <w:pPr>
              <w:keepNext/>
              <w:jc w:val="center"/>
              <w:rPr>
                <w:rFonts w:ascii="Arial Narrow" w:hAnsi="Arial Narrow"/>
                <w:sz w:val="20"/>
                <w:szCs w:val="20"/>
              </w:rPr>
            </w:pPr>
            <w:r w:rsidRPr="00272261">
              <w:rPr>
                <w:rFonts w:ascii="Arial Narrow" w:hAnsi="Arial Narrow"/>
                <w:sz w:val="20"/>
                <w:szCs w:val="20"/>
              </w:rPr>
              <w:t>3.18</w:t>
            </w:r>
          </w:p>
        </w:tc>
        <w:tc>
          <w:tcPr>
            <w:tcW w:w="566" w:type="pct"/>
            <w:vAlign w:val="center"/>
          </w:tcPr>
          <w:p w:rsidR="003B4930" w:rsidRPr="00272261" w:rsidRDefault="003B4930" w:rsidP="00272261">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3B4930" w:rsidRPr="00272261" w:rsidTr="003B4930">
        <w:trPr>
          <w:trHeight w:val="214"/>
        </w:trPr>
        <w:tc>
          <w:tcPr>
            <w:tcW w:w="5000" w:type="pct"/>
            <w:gridSpan w:val="6"/>
            <w:shd w:val="clear" w:color="auto" w:fill="auto"/>
            <w:vAlign w:val="center"/>
          </w:tcPr>
          <w:p w:rsidR="003B4930" w:rsidRPr="00272261" w:rsidRDefault="003B4930" w:rsidP="003B4930">
            <w:pPr>
              <w:keepNext/>
              <w:jc w:val="left"/>
              <w:rPr>
                <w:rFonts w:ascii="Arial Narrow" w:hAnsi="Arial Narrow"/>
                <w:b/>
                <w:sz w:val="20"/>
                <w:szCs w:val="20"/>
              </w:rPr>
            </w:pPr>
            <w:r w:rsidRPr="00272261">
              <w:rPr>
                <w:rFonts w:ascii="Arial Narrow" w:hAnsi="Arial Narrow"/>
                <w:b/>
                <w:sz w:val="20"/>
                <w:szCs w:val="20"/>
              </w:rPr>
              <w:t>Revised base case with pre-PBAC response price offer</w:t>
            </w:r>
          </w:p>
        </w:tc>
      </w:tr>
      <w:tr w:rsidR="00C563D4" w:rsidRPr="00272261" w:rsidTr="00C563D4">
        <w:trPr>
          <w:trHeight w:val="214"/>
        </w:trPr>
        <w:tc>
          <w:tcPr>
            <w:tcW w:w="1506" w:type="pct"/>
            <w:shd w:val="clear" w:color="auto" w:fill="auto"/>
          </w:tcPr>
          <w:p w:rsidR="00C563D4" w:rsidRPr="00272261" w:rsidRDefault="00C563D4" w:rsidP="00272261">
            <w:pPr>
              <w:keepNext/>
              <w:rPr>
                <w:rFonts w:ascii="Arial Narrow" w:hAnsi="Arial Narrow"/>
                <w:sz w:val="20"/>
                <w:szCs w:val="20"/>
              </w:rPr>
            </w:pPr>
            <w:r w:rsidRPr="00272261">
              <w:rPr>
                <w:rFonts w:ascii="Arial Narrow" w:hAnsi="Arial Narrow"/>
                <w:sz w:val="20"/>
                <w:szCs w:val="20"/>
              </w:rPr>
              <w:t xml:space="preserve">Revised base case </w:t>
            </w:r>
          </w:p>
        </w:tc>
        <w:tc>
          <w:tcPr>
            <w:tcW w:w="732" w:type="pct"/>
            <w:vAlign w:val="center"/>
          </w:tcPr>
          <w:p w:rsidR="00C563D4" w:rsidRPr="00272261" w:rsidRDefault="003B4930" w:rsidP="00272261">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3.93</w:t>
            </w:r>
          </w:p>
        </w:tc>
        <w:tc>
          <w:tcPr>
            <w:tcW w:w="732"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3.18</w:t>
            </w:r>
          </w:p>
        </w:tc>
        <w:tc>
          <w:tcPr>
            <w:tcW w:w="566"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C563D4" w:rsidRPr="00272261" w:rsidTr="00C563D4">
        <w:trPr>
          <w:trHeight w:val="429"/>
        </w:trPr>
        <w:tc>
          <w:tcPr>
            <w:tcW w:w="1506" w:type="pct"/>
            <w:shd w:val="clear" w:color="auto" w:fill="auto"/>
          </w:tcPr>
          <w:p w:rsidR="00C563D4" w:rsidRPr="00272261" w:rsidRDefault="00C563D4" w:rsidP="00272261">
            <w:pPr>
              <w:keepNext/>
              <w:rPr>
                <w:rFonts w:ascii="Arial Narrow" w:hAnsi="Arial Narrow"/>
                <w:sz w:val="20"/>
                <w:szCs w:val="20"/>
              </w:rPr>
            </w:pPr>
            <w:r w:rsidRPr="00272261">
              <w:rPr>
                <w:rFonts w:ascii="Arial Narrow" w:hAnsi="Arial Narrow"/>
                <w:sz w:val="20"/>
                <w:szCs w:val="20"/>
              </w:rPr>
              <w:t>Revised base case + 50% off-label</w:t>
            </w:r>
          </w:p>
        </w:tc>
        <w:tc>
          <w:tcPr>
            <w:tcW w:w="732" w:type="pct"/>
            <w:vAlign w:val="center"/>
          </w:tcPr>
          <w:p w:rsidR="00C563D4" w:rsidRPr="00272261" w:rsidRDefault="003B4930" w:rsidP="00272261">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3.93</w:t>
            </w:r>
          </w:p>
        </w:tc>
        <w:tc>
          <w:tcPr>
            <w:tcW w:w="732"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3.18</w:t>
            </w:r>
          </w:p>
        </w:tc>
        <w:tc>
          <w:tcPr>
            <w:tcW w:w="566"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075AD5" w:rsidRPr="00272261" w:rsidTr="00075AD5">
        <w:trPr>
          <w:trHeight w:val="429"/>
        </w:trPr>
        <w:tc>
          <w:tcPr>
            <w:tcW w:w="1506" w:type="pct"/>
            <w:shd w:val="clear" w:color="auto" w:fill="auto"/>
          </w:tcPr>
          <w:p w:rsidR="00075AD5" w:rsidRPr="00272261" w:rsidRDefault="00075AD5" w:rsidP="00272261">
            <w:pPr>
              <w:keepNext/>
              <w:rPr>
                <w:rFonts w:ascii="Arial Narrow" w:hAnsi="Arial Narrow"/>
                <w:sz w:val="20"/>
                <w:szCs w:val="20"/>
              </w:rPr>
            </w:pPr>
            <w:r w:rsidRPr="00272261">
              <w:rPr>
                <w:rFonts w:ascii="Arial Narrow" w:hAnsi="Arial Narrow"/>
                <w:sz w:val="20"/>
                <w:szCs w:val="20"/>
              </w:rPr>
              <w:t>Revised base case + 50% off-label + RHC</w:t>
            </w:r>
          </w:p>
        </w:tc>
        <w:tc>
          <w:tcPr>
            <w:tcW w:w="732" w:type="pct"/>
            <w:vAlign w:val="center"/>
          </w:tcPr>
          <w:p w:rsidR="00075AD5" w:rsidRPr="00272261" w:rsidRDefault="00075AD5" w:rsidP="00075AD5">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075AD5" w:rsidRPr="00272261" w:rsidRDefault="00075AD5" w:rsidP="00075AD5">
            <w:pPr>
              <w:keepNext/>
              <w:jc w:val="center"/>
              <w:rPr>
                <w:rFonts w:ascii="Arial Narrow" w:hAnsi="Arial Narrow"/>
                <w:sz w:val="20"/>
                <w:szCs w:val="20"/>
              </w:rPr>
            </w:pPr>
            <w:r w:rsidRPr="00272261">
              <w:rPr>
                <w:rFonts w:ascii="Arial Narrow" w:hAnsi="Arial Narrow"/>
                <w:sz w:val="20"/>
                <w:szCs w:val="20"/>
              </w:rPr>
              <w:t>3.93</w:t>
            </w:r>
          </w:p>
        </w:tc>
        <w:tc>
          <w:tcPr>
            <w:tcW w:w="732" w:type="pct"/>
            <w:vAlign w:val="center"/>
          </w:tcPr>
          <w:p w:rsidR="00075AD5" w:rsidRPr="00272261" w:rsidRDefault="00075AD5" w:rsidP="00075AD5">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075AD5" w:rsidRPr="00272261" w:rsidRDefault="00075AD5" w:rsidP="00075AD5">
            <w:pPr>
              <w:keepNext/>
              <w:jc w:val="center"/>
              <w:rPr>
                <w:rFonts w:ascii="Arial Narrow" w:hAnsi="Arial Narrow"/>
                <w:sz w:val="20"/>
                <w:szCs w:val="20"/>
              </w:rPr>
            </w:pPr>
            <w:r w:rsidRPr="00272261">
              <w:rPr>
                <w:rFonts w:ascii="Arial Narrow" w:hAnsi="Arial Narrow"/>
                <w:sz w:val="20"/>
                <w:szCs w:val="20"/>
              </w:rPr>
              <w:t>3.18</w:t>
            </w:r>
          </w:p>
        </w:tc>
        <w:tc>
          <w:tcPr>
            <w:tcW w:w="566" w:type="pct"/>
            <w:vAlign w:val="center"/>
          </w:tcPr>
          <w:p w:rsidR="00075AD5" w:rsidRPr="00272261" w:rsidRDefault="00075AD5" w:rsidP="00075AD5">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C563D4" w:rsidRPr="00272261" w:rsidTr="00C563D4">
        <w:trPr>
          <w:trHeight w:val="429"/>
        </w:trPr>
        <w:tc>
          <w:tcPr>
            <w:tcW w:w="1506" w:type="pct"/>
            <w:shd w:val="clear" w:color="auto" w:fill="auto"/>
          </w:tcPr>
          <w:p w:rsidR="00C563D4" w:rsidRPr="00272261" w:rsidRDefault="00C563D4" w:rsidP="00272261">
            <w:pPr>
              <w:keepNext/>
              <w:rPr>
                <w:rFonts w:ascii="Arial Narrow" w:hAnsi="Arial Narrow"/>
                <w:sz w:val="20"/>
                <w:szCs w:val="20"/>
              </w:rPr>
            </w:pPr>
            <w:r w:rsidRPr="00272261">
              <w:rPr>
                <w:rFonts w:ascii="Arial Narrow" w:hAnsi="Arial Narrow"/>
                <w:sz w:val="20"/>
                <w:szCs w:val="20"/>
              </w:rPr>
              <w:t>Revised base case + Treatment specific utility + RHC</w:t>
            </w:r>
          </w:p>
        </w:tc>
        <w:tc>
          <w:tcPr>
            <w:tcW w:w="732"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3.85</w:t>
            </w:r>
          </w:p>
        </w:tc>
        <w:tc>
          <w:tcPr>
            <w:tcW w:w="732"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2.86</w:t>
            </w:r>
          </w:p>
        </w:tc>
        <w:tc>
          <w:tcPr>
            <w:tcW w:w="566"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C563D4" w:rsidRPr="00272261" w:rsidTr="00C563D4">
        <w:trPr>
          <w:trHeight w:val="657"/>
        </w:trPr>
        <w:tc>
          <w:tcPr>
            <w:tcW w:w="1506" w:type="pct"/>
            <w:shd w:val="clear" w:color="auto" w:fill="auto"/>
          </w:tcPr>
          <w:p w:rsidR="00C563D4" w:rsidRPr="00272261" w:rsidRDefault="00C563D4" w:rsidP="00272261">
            <w:pPr>
              <w:keepNext/>
              <w:rPr>
                <w:rFonts w:ascii="Arial Narrow" w:hAnsi="Arial Narrow"/>
                <w:sz w:val="20"/>
                <w:szCs w:val="20"/>
              </w:rPr>
            </w:pPr>
            <w:r w:rsidRPr="00272261">
              <w:rPr>
                <w:rFonts w:ascii="Arial Narrow" w:hAnsi="Arial Narrow"/>
                <w:sz w:val="20"/>
                <w:szCs w:val="20"/>
              </w:rPr>
              <w:t>Revised base case + Treatment specific utility + RHC + 50% off-label</w:t>
            </w:r>
          </w:p>
        </w:tc>
        <w:tc>
          <w:tcPr>
            <w:tcW w:w="732"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3.85</w:t>
            </w:r>
          </w:p>
        </w:tc>
        <w:tc>
          <w:tcPr>
            <w:tcW w:w="732"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732" w:type="pct"/>
            <w:vAlign w:val="center"/>
          </w:tcPr>
          <w:p w:rsidR="00C563D4" w:rsidRPr="00272261" w:rsidRDefault="00C563D4" w:rsidP="00272261">
            <w:pPr>
              <w:keepNext/>
              <w:jc w:val="center"/>
              <w:rPr>
                <w:rFonts w:ascii="Arial Narrow" w:hAnsi="Arial Narrow"/>
                <w:sz w:val="20"/>
                <w:szCs w:val="20"/>
              </w:rPr>
            </w:pPr>
            <w:r w:rsidRPr="00272261">
              <w:rPr>
                <w:rFonts w:ascii="Arial Narrow" w:hAnsi="Arial Narrow"/>
                <w:sz w:val="20"/>
                <w:szCs w:val="20"/>
              </w:rPr>
              <w:t>2.86</w:t>
            </w:r>
          </w:p>
        </w:tc>
        <w:tc>
          <w:tcPr>
            <w:tcW w:w="566" w:type="pct"/>
            <w:vAlign w:val="center"/>
          </w:tcPr>
          <w:p w:rsidR="00C563D4" w:rsidRPr="00272261" w:rsidRDefault="00C563D4" w:rsidP="003B4930">
            <w:pPr>
              <w:keepNext/>
              <w:jc w:val="center"/>
              <w:rPr>
                <w:rFonts w:ascii="Arial Narrow" w:hAnsi="Arial Narrow"/>
                <w:sz w:val="2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bl>
    <w:p w:rsidR="00C563D4" w:rsidRPr="00272261" w:rsidRDefault="00C563D4" w:rsidP="00C563D4">
      <w:pPr>
        <w:pStyle w:val="ListParagraph"/>
        <w:widowControl/>
        <w:rPr>
          <w:rFonts w:ascii="Arial Narrow" w:hAnsi="Arial Narrow"/>
          <w:sz w:val="18"/>
          <w:szCs w:val="18"/>
        </w:rPr>
      </w:pPr>
      <w:r w:rsidRPr="00272261">
        <w:rPr>
          <w:rFonts w:ascii="Arial Narrow" w:hAnsi="Arial Narrow"/>
          <w:sz w:val="18"/>
          <w:szCs w:val="18"/>
        </w:rPr>
        <w:t>Source: Pre-PBAC response</w:t>
      </w:r>
      <w:r w:rsidR="003B4930" w:rsidRPr="00272261">
        <w:rPr>
          <w:rFonts w:ascii="Arial Narrow" w:hAnsi="Arial Narrow"/>
          <w:sz w:val="18"/>
          <w:szCs w:val="18"/>
        </w:rPr>
        <w:t xml:space="preserve"> and calculated</w:t>
      </w:r>
    </w:p>
    <w:p w:rsidR="002F36A9" w:rsidRPr="007E64F0" w:rsidRDefault="002F36A9" w:rsidP="00E57161">
      <w:pPr>
        <w:widowControl/>
        <w:rPr>
          <w:szCs w:val="22"/>
        </w:rPr>
      </w:pPr>
    </w:p>
    <w:p w:rsidR="007E64F0" w:rsidRDefault="007E64F0" w:rsidP="003B1469">
      <w:pPr>
        <w:widowControl/>
        <w:jc w:val="left"/>
        <w:rPr>
          <w:szCs w:val="22"/>
        </w:rPr>
      </w:pPr>
      <w:r w:rsidRPr="007E64F0">
        <w:rPr>
          <w:szCs w:val="22"/>
        </w:rPr>
        <w:tab/>
        <w:t>The r</w:t>
      </w:r>
      <w:r>
        <w:rPr>
          <w:szCs w:val="22"/>
        </w:rPr>
        <w:t>edacted table above shows ICERs in the range of:</w:t>
      </w:r>
    </w:p>
    <w:p w:rsidR="007E64F0" w:rsidRPr="007E64F0" w:rsidRDefault="007E64F0" w:rsidP="003B1469">
      <w:pPr>
        <w:pStyle w:val="ListParagraph"/>
        <w:widowControl/>
        <w:numPr>
          <w:ilvl w:val="0"/>
          <w:numId w:val="33"/>
        </w:numPr>
        <w:jc w:val="left"/>
        <w:rPr>
          <w:szCs w:val="22"/>
        </w:rPr>
      </w:pPr>
      <w:r>
        <w:rPr>
          <w:szCs w:val="22"/>
        </w:rPr>
        <w:t>Revised base case: $15,000/QALY - $45,000/QALY</w:t>
      </w:r>
    </w:p>
    <w:p w:rsidR="007E64F0" w:rsidRPr="007E64F0" w:rsidRDefault="007E64F0" w:rsidP="003B1469">
      <w:pPr>
        <w:pStyle w:val="ListParagraph"/>
        <w:widowControl/>
        <w:numPr>
          <w:ilvl w:val="0"/>
          <w:numId w:val="33"/>
        </w:numPr>
        <w:jc w:val="left"/>
        <w:rPr>
          <w:szCs w:val="22"/>
        </w:rPr>
      </w:pPr>
      <w:r w:rsidRPr="007E64F0">
        <w:rPr>
          <w:szCs w:val="22"/>
        </w:rPr>
        <w:t>Revised base case + 50% off-label</w:t>
      </w:r>
      <w:r w:rsidR="00C33AE9">
        <w:rPr>
          <w:szCs w:val="22"/>
        </w:rPr>
        <w:t>: $45,000/QALY - $75,000/QALY</w:t>
      </w:r>
    </w:p>
    <w:p w:rsidR="007E64F0" w:rsidRPr="007E64F0" w:rsidRDefault="007E64F0" w:rsidP="003B1469">
      <w:pPr>
        <w:pStyle w:val="ListParagraph"/>
        <w:widowControl/>
        <w:numPr>
          <w:ilvl w:val="0"/>
          <w:numId w:val="33"/>
        </w:numPr>
        <w:jc w:val="left"/>
        <w:rPr>
          <w:szCs w:val="22"/>
        </w:rPr>
      </w:pPr>
      <w:r w:rsidRPr="007E64F0">
        <w:rPr>
          <w:szCs w:val="22"/>
        </w:rPr>
        <w:t>Revised base case + 50% off-label + RHC</w:t>
      </w:r>
      <w:r w:rsidR="00EE0423">
        <w:rPr>
          <w:szCs w:val="22"/>
        </w:rPr>
        <w:t>: $45,000/QALY - $75,000/QALY</w:t>
      </w:r>
    </w:p>
    <w:p w:rsidR="007E64F0" w:rsidRPr="007E64F0" w:rsidRDefault="007E64F0" w:rsidP="003B1469">
      <w:pPr>
        <w:pStyle w:val="ListParagraph"/>
        <w:widowControl/>
        <w:numPr>
          <w:ilvl w:val="0"/>
          <w:numId w:val="33"/>
        </w:numPr>
        <w:jc w:val="left"/>
        <w:rPr>
          <w:szCs w:val="22"/>
        </w:rPr>
      </w:pPr>
      <w:r w:rsidRPr="007E64F0">
        <w:rPr>
          <w:szCs w:val="22"/>
        </w:rPr>
        <w:t>Revised base case + Treatment specific utility + RHC</w:t>
      </w:r>
      <w:r w:rsidR="00EE0423">
        <w:rPr>
          <w:szCs w:val="22"/>
        </w:rPr>
        <w:t>: $15,000/QALY - $45,000/QALY</w:t>
      </w:r>
    </w:p>
    <w:p w:rsidR="007E64F0" w:rsidRPr="00EE0423" w:rsidRDefault="007E64F0" w:rsidP="003B1469">
      <w:pPr>
        <w:pStyle w:val="ListParagraph"/>
        <w:widowControl/>
        <w:numPr>
          <w:ilvl w:val="0"/>
          <w:numId w:val="33"/>
        </w:numPr>
        <w:jc w:val="left"/>
        <w:rPr>
          <w:szCs w:val="22"/>
        </w:rPr>
      </w:pPr>
      <w:r w:rsidRPr="007E64F0">
        <w:rPr>
          <w:szCs w:val="22"/>
        </w:rPr>
        <w:t>Revised base case + Treatment specific utility + RHC + 50% off-label</w:t>
      </w:r>
      <w:r w:rsidR="00EE0423">
        <w:rPr>
          <w:szCs w:val="22"/>
        </w:rPr>
        <w:t>: $15,000/QALY - $45,000/QALY</w:t>
      </w:r>
    </w:p>
    <w:p w:rsidR="007E64F0" w:rsidRPr="007E64F0" w:rsidRDefault="007E64F0" w:rsidP="00E57161">
      <w:pPr>
        <w:widowControl/>
        <w:rPr>
          <w:szCs w:val="22"/>
        </w:rPr>
      </w:pPr>
    </w:p>
    <w:p w:rsidR="00075AD5" w:rsidRPr="00272261" w:rsidRDefault="002A5C4A" w:rsidP="002A5C4A">
      <w:pPr>
        <w:pStyle w:val="ListParagraph"/>
        <w:widowControl/>
        <w:numPr>
          <w:ilvl w:val="1"/>
          <w:numId w:val="2"/>
        </w:numPr>
        <w:rPr>
          <w:szCs w:val="22"/>
        </w:rPr>
      </w:pPr>
      <w:r w:rsidRPr="00272261">
        <w:rPr>
          <w:szCs w:val="22"/>
        </w:rPr>
        <w:t xml:space="preserve">The PBAC agreed with the ESC that the reliability of the model was uncertain due to </w:t>
      </w:r>
      <w:r w:rsidRPr="00C30B39">
        <w:rPr>
          <w:szCs w:val="22"/>
        </w:rPr>
        <w:t xml:space="preserve">the issues raised in paragraphs </w:t>
      </w:r>
      <w:r w:rsidR="00077337" w:rsidRPr="00C30B39">
        <w:rPr>
          <w:szCs w:val="22"/>
        </w:rPr>
        <w:t>6.20 and</w:t>
      </w:r>
      <w:r w:rsidRPr="00C30B39">
        <w:rPr>
          <w:szCs w:val="22"/>
        </w:rPr>
        <w:t xml:space="preserve"> </w:t>
      </w:r>
      <w:r w:rsidR="00077337" w:rsidRPr="00C30B39">
        <w:rPr>
          <w:szCs w:val="22"/>
        </w:rPr>
        <w:t>6.26</w:t>
      </w:r>
      <w:r w:rsidRPr="00C30B39">
        <w:rPr>
          <w:szCs w:val="22"/>
        </w:rPr>
        <w:t xml:space="preserve">. </w:t>
      </w:r>
      <w:r w:rsidR="00075AD5" w:rsidRPr="00C30B39">
        <w:rPr>
          <w:szCs w:val="22"/>
        </w:rPr>
        <w:t>The PBAC acknowledged the</w:t>
      </w:r>
      <w:r w:rsidR="00075AD5" w:rsidRPr="00272261">
        <w:rPr>
          <w:szCs w:val="22"/>
        </w:rPr>
        <w:t xml:space="preserve"> limitations in the available data and considered that the reduced price for the 84 tablet pack offered in the pre-PBAC response addressed some of this uncertainty. In this context, </w:t>
      </w:r>
      <w:r w:rsidR="00077337" w:rsidRPr="00272261">
        <w:rPr>
          <w:szCs w:val="22"/>
        </w:rPr>
        <w:t>t</w:t>
      </w:r>
      <w:r w:rsidR="00075AD5" w:rsidRPr="00272261">
        <w:rPr>
          <w:szCs w:val="22"/>
        </w:rPr>
        <w:t xml:space="preserve">he PBAC considered that the most appropriate base case for decision making in this instance should include: </w:t>
      </w:r>
    </w:p>
    <w:p w:rsidR="00075AD5" w:rsidRPr="00272261" w:rsidRDefault="00075AD5" w:rsidP="00075AD5">
      <w:pPr>
        <w:pStyle w:val="ListParagraph"/>
        <w:widowControl/>
        <w:numPr>
          <w:ilvl w:val="2"/>
          <w:numId w:val="2"/>
        </w:numPr>
        <w:ind w:left="993" w:hanging="284"/>
        <w:rPr>
          <w:szCs w:val="22"/>
        </w:rPr>
      </w:pPr>
      <w:r w:rsidRPr="00272261">
        <w:rPr>
          <w:szCs w:val="22"/>
        </w:rPr>
        <w:t>t</w:t>
      </w:r>
      <w:r w:rsidR="002A5C4A" w:rsidRPr="00272261">
        <w:rPr>
          <w:szCs w:val="22"/>
        </w:rPr>
        <w:t xml:space="preserve">he cost </w:t>
      </w:r>
      <w:r w:rsidRPr="00272261">
        <w:rPr>
          <w:szCs w:val="22"/>
        </w:rPr>
        <w:t>of RHC tests;</w:t>
      </w:r>
    </w:p>
    <w:p w:rsidR="00075AD5" w:rsidRPr="00272261" w:rsidRDefault="002A5C4A" w:rsidP="00075AD5">
      <w:pPr>
        <w:pStyle w:val="ListParagraph"/>
        <w:widowControl/>
        <w:numPr>
          <w:ilvl w:val="2"/>
          <w:numId w:val="2"/>
        </w:numPr>
        <w:ind w:left="993" w:hanging="284"/>
        <w:rPr>
          <w:szCs w:val="22"/>
        </w:rPr>
      </w:pPr>
      <w:r w:rsidRPr="00272261">
        <w:rPr>
          <w:szCs w:val="22"/>
        </w:rPr>
        <w:t xml:space="preserve">some acknowledgement of the use of off-label </w:t>
      </w:r>
      <w:r w:rsidR="00075AD5" w:rsidRPr="00272261">
        <w:rPr>
          <w:szCs w:val="22"/>
        </w:rPr>
        <w:t>drugs</w:t>
      </w:r>
      <w:r w:rsidRPr="00272261">
        <w:rPr>
          <w:szCs w:val="22"/>
        </w:rPr>
        <w:t xml:space="preserve"> in the estimate of cost effectiveness </w:t>
      </w:r>
      <w:r w:rsidR="00274C7F" w:rsidRPr="00272261">
        <w:rPr>
          <w:szCs w:val="22"/>
        </w:rPr>
        <w:t xml:space="preserve">(but less than 74% of placebo patients) </w:t>
      </w:r>
      <w:r w:rsidR="00075AD5" w:rsidRPr="00272261">
        <w:rPr>
          <w:szCs w:val="22"/>
        </w:rPr>
        <w:t>due to the likely widespread use in this patient population;</w:t>
      </w:r>
    </w:p>
    <w:p w:rsidR="00075AD5" w:rsidRPr="00272261" w:rsidRDefault="002A5C4A" w:rsidP="00075AD5">
      <w:pPr>
        <w:pStyle w:val="ListParagraph"/>
        <w:widowControl/>
        <w:numPr>
          <w:ilvl w:val="2"/>
          <w:numId w:val="2"/>
        </w:numPr>
        <w:ind w:left="993" w:hanging="284"/>
        <w:rPr>
          <w:szCs w:val="22"/>
        </w:rPr>
      </w:pPr>
      <w:r w:rsidRPr="00272261">
        <w:rPr>
          <w:szCs w:val="22"/>
        </w:rPr>
        <w:t xml:space="preserve">the original submission </w:t>
      </w:r>
      <w:r w:rsidR="00075AD5" w:rsidRPr="00272261">
        <w:rPr>
          <w:szCs w:val="22"/>
        </w:rPr>
        <w:t xml:space="preserve">utilities which appeared to be more conservative </w:t>
      </w:r>
      <w:r w:rsidR="00274C7F" w:rsidRPr="00272261">
        <w:rPr>
          <w:szCs w:val="22"/>
        </w:rPr>
        <w:t>(</w:t>
      </w:r>
      <w:r w:rsidR="00075AD5" w:rsidRPr="00272261">
        <w:rPr>
          <w:szCs w:val="22"/>
        </w:rPr>
        <w:t>and noting that the ESC was unable to verify the treatment specific utilities</w:t>
      </w:r>
      <w:r w:rsidR="00274C7F" w:rsidRPr="00272261">
        <w:rPr>
          <w:szCs w:val="22"/>
        </w:rPr>
        <w:t xml:space="preserve"> used in the PSCR and pre-PBAC response)</w:t>
      </w:r>
      <w:r w:rsidRPr="00272261">
        <w:rPr>
          <w:szCs w:val="22"/>
        </w:rPr>
        <w:t>.</w:t>
      </w:r>
      <w:r w:rsidR="00075AD5" w:rsidRPr="00272261">
        <w:rPr>
          <w:szCs w:val="22"/>
        </w:rPr>
        <w:t xml:space="preserve"> </w:t>
      </w:r>
    </w:p>
    <w:p w:rsidR="00075AD5" w:rsidRPr="00272261" w:rsidRDefault="00075AD5" w:rsidP="00075AD5">
      <w:pPr>
        <w:widowControl/>
        <w:ind w:left="709"/>
        <w:rPr>
          <w:szCs w:val="22"/>
        </w:rPr>
      </w:pPr>
      <w:r w:rsidRPr="00272261">
        <w:rPr>
          <w:szCs w:val="22"/>
        </w:rPr>
        <w:t xml:space="preserve">The PBAC noted that the ICER for this scenario was estimated to be around </w:t>
      </w:r>
      <w:r w:rsidR="003B1469">
        <w:rPr>
          <w:szCs w:val="22"/>
        </w:rPr>
        <w:t>$45,</w:t>
      </w:r>
      <w:r w:rsidR="003B1469">
        <w:t>000 - $75,000</w:t>
      </w:r>
      <w:r w:rsidRPr="00272261">
        <w:rPr>
          <w:szCs w:val="22"/>
        </w:rPr>
        <w:t xml:space="preserve"> per QALY</w:t>
      </w:r>
      <w:r w:rsidR="00F7733C" w:rsidRPr="00272261">
        <w:rPr>
          <w:szCs w:val="22"/>
        </w:rPr>
        <w:t>.</w:t>
      </w:r>
    </w:p>
    <w:p w:rsidR="002A5C4A" w:rsidRPr="00272261" w:rsidRDefault="002A5C4A" w:rsidP="00E57161">
      <w:pPr>
        <w:widowControl/>
        <w:rPr>
          <w:szCs w:val="22"/>
          <w:highlight w:val="yellow"/>
        </w:rPr>
      </w:pPr>
    </w:p>
    <w:p w:rsidR="002F36A9" w:rsidRPr="00272261" w:rsidRDefault="002F36A9" w:rsidP="00E57161">
      <w:pPr>
        <w:pStyle w:val="Heading2"/>
        <w:keepNext/>
        <w:widowControl/>
        <w:rPr>
          <w:i/>
          <w:szCs w:val="22"/>
        </w:rPr>
      </w:pPr>
      <w:bookmarkStart w:id="27" w:name="_Toc416959992"/>
      <w:bookmarkStart w:id="28" w:name="_Toc440895087"/>
      <w:r w:rsidRPr="00272261">
        <w:rPr>
          <w:i/>
        </w:rPr>
        <w:lastRenderedPageBreak/>
        <w:t>Drug cost/patient/year: $</w:t>
      </w:r>
      <w:bookmarkEnd w:id="27"/>
      <w:bookmarkEnd w:id="28"/>
      <w:r w:rsidR="00EF7FDB">
        <w:rPr>
          <w:i/>
          <w:noProof/>
          <w:color w:val="000000"/>
          <w:highlight w:val="black"/>
        </w:rPr>
        <w:t>'''''''''''''''''''''</w:t>
      </w:r>
    </w:p>
    <w:p w:rsidR="002F36A9" w:rsidRPr="00272261" w:rsidRDefault="002F36A9" w:rsidP="00E57161">
      <w:pPr>
        <w:keepNext/>
        <w:widowControl/>
        <w:rPr>
          <w:szCs w:val="22"/>
        </w:rPr>
      </w:pPr>
    </w:p>
    <w:p w:rsidR="002F36A9" w:rsidRPr="00272261" w:rsidRDefault="002F36A9" w:rsidP="00E57161">
      <w:pPr>
        <w:pStyle w:val="ListParagraph"/>
        <w:widowControl/>
        <w:numPr>
          <w:ilvl w:val="1"/>
          <w:numId w:val="2"/>
        </w:numPr>
        <w:rPr>
          <w:szCs w:val="22"/>
        </w:rPr>
      </w:pPr>
      <w:r w:rsidRPr="00272261">
        <w:rPr>
          <w:szCs w:val="22"/>
        </w:rPr>
        <w:t xml:space="preserve">The estimated drug cost/patient/year was </w:t>
      </w:r>
      <w:r w:rsidR="00B00C0E" w:rsidRPr="00272261">
        <w:rPr>
          <w:szCs w:val="22"/>
        </w:rPr>
        <w:t xml:space="preserve">calculated from </w:t>
      </w:r>
      <w:r w:rsidRPr="00272261">
        <w:rPr>
          <w:szCs w:val="22"/>
        </w:rPr>
        <w:t>an expected comp</w:t>
      </w:r>
      <w:r w:rsidR="00B00C0E" w:rsidRPr="00272261">
        <w:rPr>
          <w:szCs w:val="22"/>
        </w:rPr>
        <w:t xml:space="preserve">liance rate of 10 </w:t>
      </w:r>
      <w:r w:rsidR="006C35F6" w:rsidRPr="00272261">
        <w:rPr>
          <w:szCs w:val="22"/>
        </w:rPr>
        <w:t xml:space="preserve">continuing treatment </w:t>
      </w:r>
      <w:r w:rsidR="00B00C0E" w:rsidRPr="00272261">
        <w:rPr>
          <w:szCs w:val="22"/>
        </w:rPr>
        <w:t>prescriptions</w:t>
      </w:r>
      <w:r w:rsidR="006C35F6" w:rsidRPr="00272261">
        <w:rPr>
          <w:szCs w:val="22"/>
        </w:rPr>
        <w:t xml:space="preserve"> per </w:t>
      </w:r>
      <w:r w:rsidR="00B72DA2" w:rsidRPr="00272261">
        <w:rPr>
          <w:szCs w:val="22"/>
        </w:rPr>
        <w:t>patient</w:t>
      </w:r>
      <w:r w:rsidR="006C35F6" w:rsidRPr="00272261">
        <w:rPr>
          <w:szCs w:val="22"/>
        </w:rPr>
        <w:t xml:space="preserve"> per </w:t>
      </w:r>
      <w:r w:rsidR="00B72DA2" w:rsidRPr="00272261">
        <w:rPr>
          <w:szCs w:val="22"/>
        </w:rPr>
        <w:t>year</w:t>
      </w:r>
      <w:r w:rsidR="00B00C0E" w:rsidRPr="00272261">
        <w:rPr>
          <w:szCs w:val="22"/>
        </w:rPr>
        <w:t>. This compliance rate was based</w:t>
      </w:r>
      <w:r w:rsidRPr="00272261">
        <w:rPr>
          <w:szCs w:val="22"/>
        </w:rPr>
        <w:t xml:space="preserve"> on a 10% sample of Medicare data for bosentan utilisation </w:t>
      </w:r>
      <w:r w:rsidR="00B00C0E" w:rsidRPr="00272261">
        <w:rPr>
          <w:szCs w:val="22"/>
        </w:rPr>
        <w:t>(</w:t>
      </w:r>
      <w:r w:rsidR="00DD3FE1" w:rsidRPr="00272261">
        <w:rPr>
          <w:szCs w:val="22"/>
        </w:rPr>
        <w:t>2010</w:t>
      </w:r>
      <w:r w:rsidR="00DD3FE1" w:rsidRPr="00272261">
        <w:rPr>
          <w:szCs w:val="22"/>
        </w:rPr>
        <w:noBreakHyphen/>
      </w:r>
      <w:r w:rsidRPr="00272261">
        <w:rPr>
          <w:szCs w:val="22"/>
        </w:rPr>
        <w:t>2013</w:t>
      </w:r>
      <w:r w:rsidR="00B00C0E" w:rsidRPr="00272261">
        <w:rPr>
          <w:szCs w:val="22"/>
        </w:rPr>
        <w:t>)</w:t>
      </w:r>
      <w:r w:rsidRPr="00272261">
        <w:rPr>
          <w:szCs w:val="22"/>
        </w:rPr>
        <w:t xml:space="preserve">. </w:t>
      </w:r>
      <w:r w:rsidR="00C60173" w:rsidRPr="00272261">
        <w:rPr>
          <w:szCs w:val="22"/>
        </w:rPr>
        <w:t xml:space="preserve">In October 2014, the </w:t>
      </w:r>
      <w:r w:rsidRPr="00272261">
        <w:rPr>
          <w:szCs w:val="22"/>
        </w:rPr>
        <w:t xml:space="preserve">DUSC considered </w:t>
      </w:r>
      <w:r w:rsidR="00C60173" w:rsidRPr="00272261">
        <w:rPr>
          <w:szCs w:val="22"/>
        </w:rPr>
        <w:t xml:space="preserve">that </w:t>
      </w:r>
      <w:r w:rsidRPr="00272261">
        <w:rPr>
          <w:szCs w:val="22"/>
        </w:rPr>
        <w:t xml:space="preserve">this </w:t>
      </w:r>
      <w:r w:rsidR="00C60173" w:rsidRPr="00272261">
        <w:rPr>
          <w:szCs w:val="22"/>
        </w:rPr>
        <w:t xml:space="preserve">was </w:t>
      </w:r>
      <w:r w:rsidR="00B00C0E" w:rsidRPr="00272261">
        <w:rPr>
          <w:szCs w:val="22"/>
        </w:rPr>
        <w:t xml:space="preserve">an appropriate </w:t>
      </w:r>
      <w:r w:rsidR="00B72DA2" w:rsidRPr="00272261">
        <w:rPr>
          <w:szCs w:val="22"/>
        </w:rPr>
        <w:t>approach for determining</w:t>
      </w:r>
      <w:r w:rsidR="00B00C0E" w:rsidRPr="00272261">
        <w:rPr>
          <w:szCs w:val="22"/>
        </w:rPr>
        <w:t xml:space="preserve"> riociguat compliance</w:t>
      </w:r>
      <w:r w:rsidRPr="00272261">
        <w:rPr>
          <w:szCs w:val="22"/>
        </w:rPr>
        <w:t xml:space="preserve">. </w:t>
      </w:r>
      <w:r w:rsidR="00E32818" w:rsidRPr="00272261">
        <w:rPr>
          <w:szCs w:val="22"/>
        </w:rPr>
        <w:t>G</w:t>
      </w:r>
      <w:r w:rsidR="006C35F6" w:rsidRPr="00272261">
        <w:rPr>
          <w:szCs w:val="22"/>
        </w:rPr>
        <w:t xml:space="preserve">iven </w:t>
      </w:r>
      <w:r w:rsidR="00E32818" w:rsidRPr="00272261">
        <w:rPr>
          <w:szCs w:val="22"/>
        </w:rPr>
        <w:t>an</w:t>
      </w:r>
      <w:r w:rsidR="006C35F6" w:rsidRPr="00272261">
        <w:rPr>
          <w:szCs w:val="22"/>
        </w:rPr>
        <w:t xml:space="preserve"> effective price of $</w:t>
      </w:r>
      <w:r w:rsidR="00EF7FDB">
        <w:rPr>
          <w:noProof/>
          <w:color w:val="000000"/>
          <w:szCs w:val="22"/>
          <w:highlight w:val="black"/>
        </w:rPr>
        <w:t>'''''''''''''''</w:t>
      </w:r>
      <w:r w:rsidR="006C35F6" w:rsidRPr="00272261">
        <w:rPr>
          <w:szCs w:val="22"/>
        </w:rPr>
        <w:t xml:space="preserve"> per continuing prescription </w:t>
      </w:r>
      <w:r w:rsidR="00E32818" w:rsidRPr="00272261">
        <w:rPr>
          <w:szCs w:val="22"/>
        </w:rPr>
        <w:t>for</w:t>
      </w:r>
      <w:r w:rsidR="006C35F6" w:rsidRPr="00272261">
        <w:rPr>
          <w:szCs w:val="22"/>
        </w:rPr>
        <w:t xml:space="preserve"> all riociguat </w:t>
      </w:r>
      <w:r w:rsidR="00E32818" w:rsidRPr="00272261">
        <w:rPr>
          <w:szCs w:val="22"/>
        </w:rPr>
        <w:t>strengths</w:t>
      </w:r>
      <w:r w:rsidR="006C35F6" w:rsidRPr="00272261">
        <w:rPr>
          <w:szCs w:val="22"/>
        </w:rPr>
        <w:t xml:space="preserve">, </w:t>
      </w:r>
      <w:r w:rsidR="009E4DE1" w:rsidRPr="00272261">
        <w:rPr>
          <w:szCs w:val="22"/>
        </w:rPr>
        <w:t xml:space="preserve">the </w:t>
      </w:r>
      <w:r w:rsidR="00E32818" w:rsidRPr="00272261">
        <w:rPr>
          <w:szCs w:val="22"/>
        </w:rPr>
        <w:t>cost/patient/</w:t>
      </w:r>
      <w:r w:rsidR="006C35F6" w:rsidRPr="00272261">
        <w:rPr>
          <w:szCs w:val="22"/>
        </w:rPr>
        <w:t>year was estimated to be $</w:t>
      </w:r>
      <w:r w:rsidR="00EF7FDB">
        <w:rPr>
          <w:noProof/>
          <w:color w:val="000000"/>
          <w:szCs w:val="22"/>
          <w:highlight w:val="black"/>
        </w:rPr>
        <w:t>'''''''''''''''''</w:t>
      </w:r>
      <w:r w:rsidR="006C35F6" w:rsidRPr="00272261">
        <w:rPr>
          <w:szCs w:val="22"/>
        </w:rPr>
        <w:t>.</w:t>
      </w:r>
    </w:p>
    <w:p w:rsidR="00BE229B" w:rsidRPr="00272261" w:rsidRDefault="00BE229B" w:rsidP="00BE229B">
      <w:pPr>
        <w:pStyle w:val="ListParagraph"/>
        <w:widowControl/>
        <w:rPr>
          <w:szCs w:val="22"/>
        </w:rPr>
      </w:pPr>
    </w:p>
    <w:p w:rsidR="00BE229B" w:rsidRPr="00272261" w:rsidRDefault="00BE229B" w:rsidP="00E57161">
      <w:pPr>
        <w:pStyle w:val="ListParagraph"/>
        <w:widowControl/>
        <w:numPr>
          <w:ilvl w:val="1"/>
          <w:numId w:val="2"/>
        </w:numPr>
        <w:rPr>
          <w:szCs w:val="22"/>
        </w:rPr>
      </w:pPr>
      <w:r w:rsidRPr="00272261">
        <w:rPr>
          <w:szCs w:val="22"/>
        </w:rPr>
        <w:t>Using the revised price offer in the pre-PBAC response (of $</w:t>
      </w:r>
      <w:r w:rsidR="00EF7FDB">
        <w:rPr>
          <w:noProof/>
          <w:color w:val="000000"/>
          <w:szCs w:val="22"/>
          <w:highlight w:val="black"/>
        </w:rPr>
        <w:t>'''''''''''''''''''''</w:t>
      </w:r>
      <w:r w:rsidRPr="00272261">
        <w:rPr>
          <w:szCs w:val="22"/>
        </w:rPr>
        <w:t xml:space="preserve"> per continuing prescription), the drug cost/patient/year was estimated to be $</w:t>
      </w:r>
      <w:r w:rsidR="00EF7FDB">
        <w:rPr>
          <w:noProof/>
          <w:color w:val="000000"/>
          <w:szCs w:val="22"/>
          <w:highlight w:val="black"/>
        </w:rPr>
        <w:t>'''''''''''''''''''''</w:t>
      </w:r>
      <w:r w:rsidRPr="00272261">
        <w:rPr>
          <w:szCs w:val="22"/>
        </w:rPr>
        <w:t xml:space="preserve">. </w:t>
      </w:r>
    </w:p>
    <w:p w:rsidR="002F36A9" w:rsidRPr="00272261" w:rsidRDefault="002F36A9" w:rsidP="00E57161">
      <w:pPr>
        <w:widowControl/>
        <w:rPr>
          <w:szCs w:val="22"/>
        </w:rPr>
      </w:pPr>
    </w:p>
    <w:p w:rsidR="002F36A9" w:rsidRPr="00272261" w:rsidRDefault="002F36A9" w:rsidP="00E57161">
      <w:pPr>
        <w:pStyle w:val="Heading2"/>
        <w:widowControl/>
        <w:rPr>
          <w:i/>
        </w:rPr>
      </w:pPr>
      <w:bookmarkStart w:id="29" w:name="_Toc416959993"/>
      <w:bookmarkStart w:id="30" w:name="_Toc440895088"/>
      <w:r w:rsidRPr="00272261">
        <w:rPr>
          <w:i/>
        </w:rPr>
        <w:t>Estimated PBS usage &amp; financial implications</w:t>
      </w:r>
      <w:bookmarkEnd w:id="29"/>
      <w:bookmarkEnd w:id="30"/>
    </w:p>
    <w:p w:rsidR="002F36A9" w:rsidRPr="00272261" w:rsidRDefault="002F36A9" w:rsidP="00E57161">
      <w:pPr>
        <w:widowControl/>
        <w:ind w:left="720" w:hanging="720"/>
        <w:rPr>
          <w:b/>
          <w:szCs w:val="22"/>
        </w:rPr>
      </w:pPr>
    </w:p>
    <w:p w:rsidR="00E336FC" w:rsidRPr="00272261" w:rsidRDefault="002F36A9" w:rsidP="00E57161">
      <w:pPr>
        <w:pStyle w:val="ListParagraph"/>
        <w:widowControl/>
        <w:numPr>
          <w:ilvl w:val="1"/>
          <w:numId w:val="2"/>
        </w:numPr>
        <w:rPr>
          <w:szCs w:val="22"/>
        </w:rPr>
      </w:pPr>
      <w:r w:rsidRPr="00272261">
        <w:t xml:space="preserve">This </w:t>
      </w:r>
      <w:r w:rsidR="000E17A0" w:rsidRPr="00272261">
        <w:t>re-</w:t>
      </w:r>
      <w:r w:rsidRPr="00272261">
        <w:t xml:space="preserve">submission </w:t>
      </w:r>
      <w:r w:rsidR="00E336FC" w:rsidRPr="00272261">
        <w:t>was not</w:t>
      </w:r>
      <w:r w:rsidRPr="00272261">
        <w:t xml:space="preserve"> considered by </w:t>
      </w:r>
      <w:r w:rsidR="00C60173" w:rsidRPr="00272261">
        <w:t>DUSC.</w:t>
      </w:r>
    </w:p>
    <w:p w:rsidR="00E336FC" w:rsidRPr="00272261" w:rsidRDefault="00E336FC" w:rsidP="00E57161">
      <w:pPr>
        <w:pStyle w:val="ListParagraph"/>
        <w:widowControl/>
        <w:rPr>
          <w:szCs w:val="22"/>
        </w:rPr>
      </w:pPr>
    </w:p>
    <w:p w:rsidR="002F36A9" w:rsidRPr="00272261" w:rsidRDefault="00C60173" w:rsidP="00E57161">
      <w:pPr>
        <w:pStyle w:val="ListParagraph"/>
        <w:widowControl/>
        <w:numPr>
          <w:ilvl w:val="1"/>
          <w:numId w:val="2"/>
        </w:numPr>
        <w:rPr>
          <w:szCs w:val="22"/>
        </w:rPr>
      </w:pPr>
      <w:r w:rsidRPr="00272261">
        <w:t xml:space="preserve">The </w:t>
      </w:r>
      <w:r w:rsidR="00E14FE6" w:rsidRPr="00272261">
        <w:t>re-</w:t>
      </w:r>
      <w:r w:rsidRPr="00272261">
        <w:t xml:space="preserve">submission included </w:t>
      </w:r>
      <w:r w:rsidR="002F36A9" w:rsidRPr="00272261">
        <w:t>additional cost</w:t>
      </w:r>
      <w:r w:rsidR="00F27790" w:rsidRPr="00272261">
        <w:t xml:space="preserve"> </w:t>
      </w:r>
      <w:r w:rsidR="002F36A9" w:rsidRPr="00272261">
        <w:t>offsets associated with an assumed reduction in bosentan</w:t>
      </w:r>
      <w:r w:rsidR="00E14FE6" w:rsidRPr="00272261">
        <w:t xml:space="preserve">, ambrisentan, sildenafil and tadalafil use; </w:t>
      </w:r>
      <w:r w:rsidR="005565D2">
        <w:rPr>
          <w:noProof/>
          <w:color w:val="000000"/>
          <w:highlight w:val="black"/>
        </w:rPr>
        <w:t>'''''''</w:t>
      </w:r>
      <w:r w:rsidR="00E14FE6" w:rsidRPr="00272261">
        <w:t xml:space="preserve">% cost </w:t>
      </w:r>
      <w:r w:rsidR="00272261" w:rsidRPr="00272261">
        <w:t>offset</w:t>
      </w:r>
      <w:r w:rsidR="00E14FE6" w:rsidRPr="00272261">
        <w:t xml:space="preserve"> in Year 1 compared </w:t>
      </w:r>
      <w:r w:rsidR="008224F1" w:rsidRPr="00272261">
        <w:t>with</w:t>
      </w:r>
      <w:r w:rsidR="00E14FE6" w:rsidRPr="00272261">
        <w:t xml:space="preserve"> </w:t>
      </w:r>
      <w:r w:rsidR="005565D2">
        <w:rPr>
          <w:noProof/>
          <w:color w:val="000000"/>
          <w:highlight w:val="black"/>
        </w:rPr>
        <w:t>''''''</w:t>
      </w:r>
      <w:r w:rsidR="00E14FE6" w:rsidRPr="00272261">
        <w:t xml:space="preserve">% cost </w:t>
      </w:r>
      <w:r w:rsidR="00272261" w:rsidRPr="00272261">
        <w:t>offset</w:t>
      </w:r>
      <w:r w:rsidR="00E14FE6" w:rsidRPr="00272261">
        <w:t xml:space="preserve"> for bosentan alone in Year 1 in the July 2015 re-submission. In line with the July 2015 pre-PBAC response, the re</w:t>
      </w:r>
      <w:r w:rsidR="003250C5" w:rsidRPr="00272261">
        <w:noBreakHyphen/>
      </w:r>
      <w:r w:rsidR="00E14FE6" w:rsidRPr="00272261">
        <w:t>submission assumed a gradual reduction in the number of patients switching rather than a c</w:t>
      </w:r>
      <w:r w:rsidR="007C3F7A" w:rsidRPr="00272261">
        <w:t>onstant rate of switching (July </w:t>
      </w:r>
      <w:r w:rsidR="00E14FE6" w:rsidRPr="00272261">
        <w:t>2015 PSD, paragraph 6.35).</w:t>
      </w:r>
    </w:p>
    <w:p w:rsidR="002F36A9" w:rsidRPr="00272261" w:rsidRDefault="002F36A9" w:rsidP="00E57161">
      <w:pPr>
        <w:widowControl/>
        <w:rPr>
          <w:szCs w:val="22"/>
        </w:rPr>
      </w:pPr>
    </w:p>
    <w:p w:rsidR="002F36A9" w:rsidRPr="00272261" w:rsidRDefault="002F36A9" w:rsidP="00E57161">
      <w:pPr>
        <w:keepNext/>
        <w:widowControl/>
        <w:ind w:firstLine="709"/>
        <w:rPr>
          <w:rStyle w:val="CommentReference"/>
        </w:rPr>
      </w:pPr>
      <w:r w:rsidRPr="00272261">
        <w:rPr>
          <w:rStyle w:val="CommentReference"/>
        </w:rPr>
        <w:t xml:space="preserve">Table </w:t>
      </w:r>
      <w:r w:rsidR="00F7733C" w:rsidRPr="00272261">
        <w:rPr>
          <w:rStyle w:val="CommentReference"/>
        </w:rPr>
        <w:t>10</w:t>
      </w:r>
      <w:r w:rsidRPr="00272261">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1"/>
        <w:gridCol w:w="990"/>
        <w:gridCol w:w="990"/>
        <w:gridCol w:w="993"/>
        <w:gridCol w:w="995"/>
        <w:gridCol w:w="976"/>
      </w:tblGrid>
      <w:tr w:rsidR="00A614D2" w:rsidRPr="00272261" w:rsidTr="003250C5">
        <w:trPr>
          <w:tblHeader/>
        </w:trPr>
        <w:tc>
          <w:tcPr>
            <w:tcW w:w="2038" w:type="pct"/>
            <w:shd w:val="clear" w:color="auto" w:fill="auto"/>
            <w:vAlign w:val="center"/>
          </w:tcPr>
          <w:p w:rsidR="002F36A9" w:rsidRPr="00272261" w:rsidRDefault="002F36A9" w:rsidP="00E57161">
            <w:pPr>
              <w:keepNext/>
              <w:widowControl/>
              <w:tabs>
                <w:tab w:val="left" w:pos="142"/>
              </w:tabs>
              <w:jc w:val="left"/>
              <w:rPr>
                <w:rFonts w:ascii="Arial Narrow" w:hAnsi="Arial Narrow"/>
                <w:b/>
                <w:sz w:val="20"/>
              </w:rPr>
            </w:pPr>
          </w:p>
        </w:tc>
        <w:tc>
          <w:tcPr>
            <w:tcW w:w="593"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Year 1</w:t>
            </w:r>
          </w:p>
        </w:tc>
        <w:tc>
          <w:tcPr>
            <w:tcW w:w="593"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Year 2</w:t>
            </w:r>
          </w:p>
        </w:tc>
        <w:tc>
          <w:tcPr>
            <w:tcW w:w="595"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Year 3</w:t>
            </w:r>
          </w:p>
        </w:tc>
        <w:tc>
          <w:tcPr>
            <w:tcW w:w="596"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Year 4</w:t>
            </w:r>
          </w:p>
        </w:tc>
        <w:tc>
          <w:tcPr>
            <w:tcW w:w="585" w:type="pct"/>
            <w:shd w:val="clear" w:color="auto" w:fill="auto"/>
            <w:vAlign w:val="center"/>
          </w:tcPr>
          <w:p w:rsidR="002F36A9" w:rsidRPr="00272261" w:rsidRDefault="002F36A9" w:rsidP="00E57161">
            <w:pPr>
              <w:keepNext/>
              <w:widowControl/>
              <w:jc w:val="center"/>
              <w:rPr>
                <w:rFonts w:ascii="Arial Narrow" w:hAnsi="Arial Narrow"/>
                <w:b/>
                <w:sz w:val="20"/>
              </w:rPr>
            </w:pPr>
            <w:r w:rsidRPr="00272261">
              <w:rPr>
                <w:rFonts w:ascii="Arial Narrow" w:hAnsi="Arial Narrow"/>
                <w:b/>
                <w:sz w:val="20"/>
              </w:rPr>
              <w:t>Year 5</w:t>
            </w:r>
          </w:p>
        </w:tc>
      </w:tr>
      <w:tr w:rsidR="002F36A9" w:rsidRPr="00272261" w:rsidTr="00A614D2">
        <w:tc>
          <w:tcPr>
            <w:tcW w:w="5000" w:type="pct"/>
            <w:gridSpan w:val="6"/>
            <w:shd w:val="clear" w:color="auto" w:fill="auto"/>
            <w:vAlign w:val="center"/>
          </w:tcPr>
          <w:p w:rsidR="002F36A9" w:rsidRPr="00272261" w:rsidRDefault="002F36A9" w:rsidP="00E57161">
            <w:pPr>
              <w:keepNext/>
              <w:widowControl/>
              <w:jc w:val="left"/>
              <w:rPr>
                <w:rFonts w:ascii="Arial Narrow" w:hAnsi="Arial Narrow"/>
                <w:b/>
                <w:bCs/>
                <w:color w:val="000000"/>
                <w:sz w:val="20"/>
              </w:rPr>
            </w:pPr>
            <w:r w:rsidRPr="00272261">
              <w:rPr>
                <w:rFonts w:ascii="Arial Narrow" w:hAnsi="Arial Narrow"/>
                <w:b/>
                <w:bCs/>
                <w:color w:val="000000"/>
                <w:sz w:val="20"/>
              </w:rPr>
              <w:t>Estimated extent of use</w:t>
            </w:r>
            <w:r w:rsidR="003250C5" w:rsidRPr="00272261">
              <w:rPr>
                <w:rFonts w:ascii="Arial Narrow" w:hAnsi="Arial Narrow"/>
                <w:b/>
                <w:bCs/>
                <w:color w:val="000000"/>
                <w:sz w:val="20"/>
              </w:rPr>
              <w:t xml:space="preserve"> and cost of riociguat</w:t>
            </w:r>
          </w:p>
        </w:tc>
      </w:tr>
      <w:tr w:rsidR="00FB5C40" w:rsidRPr="00272261" w:rsidTr="003250C5">
        <w:tc>
          <w:tcPr>
            <w:tcW w:w="2038" w:type="pct"/>
            <w:tcBorders>
              <w:top w:val="single" w:sz="4" w:space="0" w:color="auto"/>
            </w:tcBorders>
            <w:shd w:val="clear" w:color="auto" w:fill="auto"/>
            <w:vAlign w:val="center"/>
          </w:tcPr>
          <w:p w:rsidR="00FB5C40" w:rsidRPr="00272261" w:rsidRDefault="00FB5C40" w:rsidP="00E57161">
            <w:pPr>
              <w:keepNext/>
              <w:widowControl/>
              <w:tabs>
                <w:tab w:val="left" w:pos="142"/>
              </w:tabs>
              <w:jc w:val="left"/>
              <w:rPr>
                <w:rFonts w:ascii="Arial Narrow" w:hAnsi="Arial Narrow"/>
                <w:sz w:val="20"/>
              </w:rPr>
            </w:pPr>
            <w:r w:rsidRPr="00272261">
              <w:rPr>
                <w:rStyle w:val="CommentReference"/>
                <w:b w:val="0"/>
              </w:rPr>
              <w:t>Patients treated with riociguat</w:t>
            </w:r>
          </w:p>
        </w:tc>
        <w:tc>
          <w:tcPr>
            <w:tcW w:w="593" w:type="pct"/>
            <w:tcBorders>
              <w:top w:val="single" w:sz="4" w:space="0" w:color="auto"/>
              <w:bottom w:val="single" w:sz="4" w:space="0" w:color="auto"/>
            </w:tcBorders>
          </w:tcPr>
          <w:p w:rsidR="00FB5C40" w:rsidRPr="00EF7FDB" w:rsidRDefault="00EF7FDB" w:rsidP="00E57161">
            <w:pPr>
              <w:keepNext/>
              <w:widowControl/>
              <w:jc w:val="center"/>
              <w:rPr>
                <w:rFonts w:ascii="Arial Narrow" w:hAnsi="Arial Narrow"/>
                <w:bCs/>
                <w:color w:val="000000"/>
                <w:sz w:val="20"/>
                <w:highlight w:val="black"/>
              </w:rPr>
            </w:pPr>
            <w:r>
              <w:rPr>
                <w:rFonts w:ascii="Arial Narrow" w:hAnsi="Arial Narrow"/>
                <w:noProof/>
                <w:color w:val="000000"/>
                <w:sz w:val="20"/>
                <w:szCs w:val="20"/>
                <w:highlight w:val="black"/>
              </w:rPr>
              <w:t>''''''''''</w:t>
            </w:r>
          </w:p>
        </w:tc>
        <w:tc>
          <w:tcPr>
            <w:tcW w:w="593" w:type="pct"/>
            <w:tcBorders>
              <w:top w:val="single" w:sz="4" w:space="0" w:color="auto"/>
              <w:bottom w:val="single" w:sz="4" w:space="0" w:color="auto"/>
            </w:tcBorders>
          </w:tcPr>
          <w:p w:rsidR="00FB5C40" w:rsidRPr="00EF7FDB" w:rsidRDefault="00EF7FDB" w:rsidP="00E57161">
            <w:pPr>
              <w:keepNext/>
              <w:widowControl/>
              <w:jc w:val="center"/>
              <w:rPr>
                <w:rFonts w:ascii="Arial Narrow" w:hAnsi="Arial Narrow"/>
                <w:bCs/>
                <w:color w:val="000000"/>
                <w:sz w:val="20"/>
                <w:highlight w:val="black"/>
              </w:rPr>
            </w:pPr>
            <w:r>
              <w:rPr>
                <w:rFonts w:ascii="Arial Narrow" w:hAnsi="Arial Narrow"/>
                <w:noProof/>
                <w:color w:val="000000"/>
                <w:sz w:val="20"/>
                <w:szCs w:val="20"/>
                <w:highlight w:val="black"/>
              </w:rPr>
              <w:t>''''''''</w:t>
            </w:r>
          </w:p>
        </w:tc>
        <w:tc>
          <w:tcPr>
            <w:tcW w:w="595" w:type="pct"/>
            <w:tcBorders>
              <w:top w:val="single" w:sz="4" w:space="0" w:color="auto"/>
              <w:bottom w:val="single" w:sz="4" w:space="0" w:color="auto"/>
            </w:tcBorders>
          </w:tcPr>
          <w:p w:rsidR="00FB5C40" w:rsidRPr="00EF7FDB" w:rsidRDefault="00EF7FDB" w:rsidP="00E57161">
            <w:pPr>
              <w:keepNext/>
              <w:widowControl/>
              <w:jc w:val="center"/>
              <w:rPr>
                <w:rFonts w:ascii="Arial Narrow" w:hAnsi="Arial Narrow"/>
                <w:bCs/>
                <w:color w:val="000000"/>
                <w:sz w:val="20"/>
                <w:highlight w:val="black"/>
              </w:rPr>
            </w:pPr>
            <w:r>
              <w:rPr>
                <w:rFonts w:ascii="Arial Narrow" w:hAnsi="Arial Narrow"/>
                <w:noProof/>
                <w:color w:val="000000"/>
                <w:sz w:val="20"/>
                <w:szCs w:val="20"/>
                <w:highlight w:val="black"/>
              </w:rPr>
              <w:t>''''''''''</w:t>
            </w:r>
          </w:p>
        </w:tc>
        <w:tc>
          <w:tcPr>
            <w:tcW w:w="596" w:type="pct"/>
            <w:tcBorders>
              <w:top w:val="single" w:sz="4" w:space="0" w:color="auto"/>
              <w:bottom w:val="single" w:sz="4" w:space="0" w:color="auto"/>
            </w:tcBorders>
          </w:tcPr>
          <w:p w:rsidR="00FB5C40" w:rsidRPr="00EF7FDB" w:rsidRDefault="00EF7FDB" w:rsidP="00E57161">
            <w:pPr>
              <w:keepNext/>
              <w:widowControl/>
              <w:jc w:val="center"/>
              <w:rPr>
                <w:rFonts w:ascii="Arial Narrow" w:hAnsi="Arial Narrow"/>
                <w:bCs/>
                <w:color w:val="000000"/>
                <w:sz w:val="20"/>
                <w:highlight w:val="black"/>
              </w:rPr>
            </w:pPr>
            <w:r>
              <w:rPr>
                <w:rFonts w:ascii="Arial Narrow" w:hAnsi="Arial Narrow"/>
                <w:noProof/>
                <w:color w:val="000000"/>
                <w:sz w:val="20"/>
                <w:szCs w:val="20"/>
                <w:highlight w:val="black"/>
              </w:rPr>
              <w:t>''''''''''</w:t>
            </w:r>
          </w:p>
        </w:tc>
        <w:tc>
          <w:tcPr>
            <w:tcW w:w="585" w:type="pct"/>
            <w:tcBorders>
              <w:top w:val="single" w:sz="4" w:space="0" w:color="auto"/>
              <w:bottom w:val="single" w:sz="4" w:space="0" w:color="auto"/>
            </w:tcBorders>
          </w:tcPr>
          <w:p w:rsidR="00FB5C40" w:rsidRPr="00EF7FDB" w:rsidRDefault="00EF7FDB" w:rsidP="00E57161">
            <w:pPr>
              <w:keepNext/>
              <w:widowControl/>
              <w:jc w:val="center"/>
              <w:rPr>
                <w:rFonts w:ascii="Arial Narrow" w:hAnsi="Arial Narrow"/>
                <w:bCs/>
                <w:color w:val="000000"/>
                <w:sz w:val="20"/>
                <w:highlight w:val="black"/>
              </w:rPr>
            </w:pPr>
            <w:r>
              <w:rPr>
                <w:rFonts w:ascii="Arial Narrow" w:hAnsi="Arial Narrow"/>
                <w:noProof/>
                <w:color w:val="000000"/>
                <w:sz w:val="20"/>
                <w:szCs w:val="20"/>
                <w:highlight w:val="black"/>
              </w:rPr>
              <w:t>'''''''''</w:t>
            </w:r>
          </w:p>
        </w:tc>
      </w:tr>
      <w:tr w:rsidR="00FB5C40" w:rsidRPr="00272261" w:rsidTr="003250C5">
        <w:tc>
          <w:tcPr>
            <w:tcW w:w="2038" w:type="pct"/>
            <w:shd w:val="clear" w:color="auto" w:fill="auto"/>
            <w:vAlign w:val="center"/>
          </w:tcPr>
          <w:p w:rsidR="00FB5C40" w:rsidRPr="00272261" w:rsidRDefault="00FB5C40" w:rsidP="00E57161">
            <w:pPr>
              <w:keepNext/>
              <w:widowControl/>
              <w:tabs>
                <w:tab w:val="left" w:pos="142"/>
              </w:tabs>
              <w:jc w:val="left"/>
              <w:rPr>
                <w:rStyle w:val="CommentReference"/>
                <w:b w:val="0"/>
              </w:rPr>
            </w:pPr>
            <w:r w:rsidRPr="00272261">
              <w:rPr>
                <w:rStyle w:val="CommentReference"/>
                <w:b w:val="0"/>
              </w:rPr>
              <w:t xml:space="preserve">July 2015 </w:t>
            </w:r>
            <w:r w:rsidR="00A53D26" w:rsidRPr="00272261">
              <w:rPr>
                <w:rStyle w:val="CommentReference"/>
                <w:b w:val="0"/>
              </w:rPr>
              <w:t>re-</w:t>
            </w:r>
            <w:r w:rsidRPr="00272261">
              <w:rPr>
                <w:rStyle w:val="CommentReference"/>
                <w:b w:val="0"/>
              </w:rPr>
              <w:t>submission</w:t>
            </w:r>
          </w:p>
        </w:tc>
        <w:tc>
          <w:tcPr>
            <w:tcW w:w="593" w:type="pct"/>
            <w:shd w:val="clear" w:color="auto" w:fill="auto"/>
            <w:vAlign w:val="center"/>
          </w:tcPr>
          <w:p w:rsidR="00FB5C40" w:rsidRPr="00EF7FDB" w:rsidRDefault="00EF7FDB" w:rsidP="00E57161">
            <w:pPr>
              <w:keepNext/>
              <w:widowControl/>
              <w:jc w:val="center"/>
              <w:rPr>
                <w:rStyle w:val="CommentReference"/>
                <w:b w:val="0"/>
                <w:szCs w:val="20"/>
                <w:highlight w:val="black"/>
              </w:rPr>
            </w:pPr>
            <w:r>
              <w:rPr>
                <w:rStyle w:val="CommentReference"/>
                <w:b w:val="0"/>
                <w:noProof/>
                <w:color w:val="000000"/>
                <w:szCs w:val="20"/>
                <w:highlight w:val="black"/>
              </w:rPr>
              <w:t>'''''''''</w:t>
            </w:r>
          </w:p>
        </w:tc>
        <w:tc>
          <w:tcPr>
            <w:tcW w:w="593" w:type="pct"/>
            <w:shd w:val="clear" w:color="auto" w:fill="auto"/>
            <w:vAlign w:val="center"/>
          </w:tcPr>
          <w:p w:rsidR="00FB5C40" w:rsidRPr="00EF7FDB" w:rsidRDefault="00EF7FDB" w:rsidP="00E57161">
            <w:pPr>
              <w:keepNext/>
              <w:widowControl/>
              <w:jc w:val="center"/>
              <w:rPr>
                <w:rStyle w:val="CommentReference"/>
                <w:b w:val="0"/>
                <w:szCs w:val="20"/>
                <w:highlight w:val="black"/>
              </w:rPr>
            </w:pPr>
            <w:r>
              <w:rPr>
                <w:rStyle w:val="CommentReference"/>
                <w:b w:val="0"/>
                <w:noProof/>
                <w:color w:val="000000"/>
                <w:szCs w:val="20"/>
                <w:highlight w:val="black"/>
              </w:rPr>
              <w:t>''''''''</w:t>
            </w:r>
          </w:p>
        </w:tc>
        <w:tc>
          <w:tcPr>
            <w:tcW w:w="595" w:type="pct"/>
            <w:shd w:val="clear" w:color="auto" w:fill="auto"/>
            <w:vAlign w:val="center"/>
          </w:tcPr>
          <w:p w:rsidR="00FB5C40" w:rsidRPr="00EF7FDB" w:rsidRDefault="00EF7FDB" w:rsidP="00E57161">
            <w:pPr>
              <w:keepNext/>
              <w:widowControl/>
              <w:jc w:val="center"/>
              <w:rPr>
                <w:rStyle w:val="CommentReference"/>
                <w:b w:val="0"/>
                <w:szCs w:val="20"/>
                <w:highlight w:val="black"/>
              </w:rPr>
            </w:pPr>
            <w:r>
              <w:rPr>
                <w:rStyle w:val="CommentReference"/>
                <w:b w:val="0"/>
                <w:noProof/>
                <w:color w:val="000000"/>
                <w:szCs w:val="20"/>
                <w:highlight w:val="black"/>
              </w:rPr>
              <w:t>'''''''''</w:t>
            </w:r>
          </w:p>
        </w:tc>
        <w:tc>
          <w:tcPr>
            <w:tcW w:w="596" w:type="pct"/>
            <w:shd w:val="clear" w:color="auto" w:fill="auto"/>
            <w:vAlign w:val="center"/>
          </w:tcPr>
          <w:p w:rsidR="00FB5C40" w:rsidRPr="00EF7FDB" w:rsidRDefault="00EF7FDB" w:rsidP="00E57161">
            <w:pPr>
              <w:keepNext/>
              <w:widowControl/>
              <w:jc w:val="center"/>
              <w:rPr>
                <w:rStyle w:val="CommentReference"/>
                <w:b w:val="0"/>
                <w:szCs w:val="20"/>
                <w:highlight w:val="black"/>
              </w:rPr>
            </w:pPr>
            <w:r>
              <w:rPr>
                <w:rStyle w:val="CommentReference"/>
                <w:b w:val="0"/>
                <w:noProof/>
                <w:color w:val="000000"/>
                <w:szCs w:val="20"/>
                <w:highlight w:val="black"/>
              </w:rPr>
              <w:t>''''''''''</w:t>
            </w:r>
          </w:p>
        </w:tc>
        <w:tc>
          <w:tcPr>
            <w:tcW w:w="585" w:type="pct"/>
            <w:shd w:val="clear" w:color="auto" w:fill="auto"/>
            <w:vAlign w:val="center"/>
          </w:tcPr>
          <w:p w:rsidR="00FB5C40" w:rsidRPr="00EF7FDB" w:rsidRDefault="00EF7FDB" w:rsidP="00E57161">
            <w:pPr>
              <w:keepNext/>
              <w:widowControl/>
              <w:jc w:val="center"/>
              <w:rPr>
                <w:rStyle w:val="CommentReference"/>
                <w:b w:val="0"/>
                <w:szCs w:val="20"/>
                <w:highlight w:val="black"/>
              </w:rPr>
            </w:pPr>
            <w:r>
              <w:rPr>
                <w:rStyle w:val="CommentReference"/>
                <w:b w:val="0"/>
                <w:noProof/>
                <w:color w:val="000000"/>
                <w:szCs w:val="20"/>
                <w:highlight w:val="black"/>
              </w:rPr>
              <w:t>''''''''</w:t>
            </w:r>
          </w:p>
        </w:tc>
      </w:tr>
      <w:tr w:rsidR="003250C5" w:rsidRPr="00272261" w:rsidTr="003250C5">
        <w:tc>
          <w:tcPr>
            <w:tcW w:w="2038" w:type="pct"/>
            <w:shd w:val="clear" w:color="auto" w:fill="auto"/>
            <w:vAlign w:val="center"/>
          </w:tcPr>
          <w:p w:rsidR="003250C5" w:rsidRPr="00272261" w:rsidRDefault="003250C5" w:rsidP="00E57161">
            <w:pPr>
              <w:keepNext/>
              <w:widowControl/>
              <w:tabs>
                <w:tab w:val="left" w:pos="142"/>
              </w:tabs>
              <w:jc w:val="left"/>
              <w:rPr>
                <w:rStyle w:val="CommentReference"/>
                <w:b w:val="0"/>
              </w:rPr>
            </w:pPr>
            <w:r w:rsidRPr="00272261">
              <w:rPr>
                <w:rStyle w:val="CommentReference"/>
                <w:b w:val="0"/>
              </w:rPr>
              <w:t>Net cost of riociguat to PBS/RPBS</w:t>
            </w:r>
          </w:p>
        </w:tc>
        <w:tc>
          <w:tcPr>
            <w:tcW w:w="593" w:type="pct"/>
            <w:shd w:val="clear" w:color="auto" w:fill="auto"/>
          </w:tcPr>
          <w:p w:rsidR="003250C5" w:rsidRPr="00272261" w:rsidRDefault="003250C5" w:rsidP="00E57161">
            <w:pPr>
              <w:keepNext/>
              <w:widowControl/>
              <w:jc w:val="center"/>
              <w:rPr>
                <w:rStyle w:val="CommentReference"/>
                <w:b w:val="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3" w:type="pct"/>
            <w:shd w:val="clear" w:color="auto" w:fill="auto"/>
          </w:tcPr>
          <w:p w:rsidR="003250C5" w:rsidRPr="00272261" w:rsidRDefault="003250C5" w:rsidP="00E57161">
            <w:pPr>
              <w:keepNext/>
              <w:widowControl/>
              <w:jc w:val="center"/>
              <w:rPr>
                <w:rStyle w:val="CommentReference"/>
                <w:b w:val="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5" w:type="pct"/>
            <w:shd w:val="clear" w:color="auto" w:fill="auto"/>
          </w:tcPr>
          <w:p w:rsidR="003250C5" w:rsidRPr="00272261" w:rsidRDefault="003250C5" w:rsidP="00E57161">
            <w:pPr>
              <w:keepNext/>
              <w:widowControl/>
              <w:jc w:val="center"/>
              <w:rPr>
                <w:rStyle w:val="CommentReference"/>
                <w:b w:val="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6" w:type="pct"/>
            <w:shd w:val="clear" w:color="auto" w:fill="auto"/>
          </w:tcPr>
          <w:p w:rsidR="003250C5" w:rsidRPr="00272261" w:rsidRDefault="003250C5" w:rsidP="00E57161">
            <w:pPr>
              <w:keepNext/>
              <w:widowControl/>
              <w:jc w:val="center"/>
              <w:rPr>
                <w:rStyle w:val="CommentReference"/>
                <w:b w:val="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85" w:type="pct"/>
            <w:shd w:val="clear" w:color="auto" w:fill="auto"/>
          </w:tcPr>
          <w:p w:rsidR="003250C5" w:rsidRPr="00272261" w:rsidRDefault="003250C5" w:rsidP="00E57161">
            <w:pPr>
              <w:keepNext/>
              <w:widowControl/>
              <w:jc w:val="center"/>
              <w:rPr>
                <w:rStyle w:val="CommentReference"/>
                <w:b w:val="0"/>
                <w:szCs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BD0DCF" w:rsidRPr="00272261" w:rsidTr="005D21CB">
        <w:tc>
          <w:tcPr>
            <w:tcW w:w="5000" w:type="pct"/>
            <w:gridSpan w:val="6"/>
            <w:shd w:val="clear" w:color="auto" w:fill="auto"/>
            <w:vAlign w:val="center"/>
          </w:tcPr>
          <w:p w:rsidR="00BD0DCF" w:rsidRPr="00272261" w:rsidRDefault="00BD0DCF" w:rsidP="00E57161">
            <w:pPr>
              <w:keepNext/>
              <w:widowControl/>
              <w:jc w:val="left"/>
              <w:rPr>
                <w:rFonts w:ascii="Arial Narrow" w:hAnsi="Arial Narrow"/>
                <w:bCs/>
                <w:color w:val="000000"/>
                <w:sz w:val="20"/>
              </w:rPr>
            </w:pPr>
            <w:r w:rsidRPr="00272261">
              <w:rPr>
                <w:rStyle w:val="CommentReference"/>
              </w:rPr>
              <w:t>Estimated changes in the use and cost of bosentan, ambrisentan, sildenafil and tadalafil associated with the listing of riociguat</w:t>
            </w:r>
          </w:p>
        </w:tc>
      </w:tr>
      <w:tr w:rsidR="00D20DDD" w:rsidRPr="00272261" w:rsidTr="003250C5">
        <w:tc>
          <w:tcPr>
            <w:tcW w:w="2038" w:type="pct"/>
            <w:shd w:val="clear" w:color="auto" w:fill="auto"/>
            <w:vAlign w:val="center"/>
          </w:tcPr>
          <w:p w:rsidR="00BD0DCF" w:rsidRPr="00272261" w:rsidRDefault="00BD0DCF" w:rsidP="00E57161">
            <w:pPr>
              <w:keepNext/>
              <w:widowControl/>
              <w:tabs>
                <w:tab w:val="left" w:pos="142"/>
              </w:tabs>
              <w:jc w:val="left"/>
              <w:rPr>
                <w:rFonts w:ascii="Arial Narrow" w:hAnsi="Arial Narrow"/>
                <w:sz w:val="20"/>
              </w:rPr>
            </w:pPr>
            <w:r w:rsidRPr="00272261">
              <w:rPr>
                <w:rFonts w:ascii="Arial Narrow" w:hAnsi="Arial Narrow"/>
                <w:sz w:val="20"/>
              </w:rPr>
              <w:t>Reduction in bosentan, ambrisentan, sildenafil and tadalafil patients</w:t>
            </w:r>
            <w:r w:rsidR="008072DA" w:rsidRPr="00272261">
              <w:rPr>
                <w:rFonts w:ascii="Arial Narrow" w:hAnsi="Arial Narrow"/>
                <w:sz w:val="20"/>
              </w:rPr>
              <w:t>*</w:t>
            </w:r>
          </w:p>
        </w:tc>
        <w:tc>
          <w:tcPr>
            <w:tcW w:w="593" w:type="pct"/>
            <w:shd w:val="clear" w:color="auto" w:fill="auto"/>
            <w:vAlign w:val="center"/>
          </w:tcPr>
          <w:p w:rsidR="00BD0DCF" w:rsidRPr="00EF7FDB" w:rsidRDefault="00EF7FDB" w:rsidP="00E57161">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BD0DCF" w:rsidRPr="00EF7FDB" w:rsidRDefault="00EF7FDB" w:rsidP="00E57161">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BD0DCF" w:rsidRPr="00EF7FDB" w:rsidRDefault="00EF7FDB" w:rsidP="00E57161">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6" w:type="pct"/>
            <w:shd w:val="clear" w:color="auto" w:fill="auto"/>
            <w:vAlign w:val="center"/>
          </w:tcPr>
          <w:p w:rsidR="00BD0DCF" w:rsidRPr="00EF7FDB" w:rsidRDefault="00EF7FDB" w:rsidP="00E57161">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5" w:type="pct"/>
            <w:shd w:val="clear" w:color="auto" w:fill="auto"/>
            <w:vAlign w:val="center"/>
          </w:tcPr>
          <w:p w:rsidR="00BD0DCF" w:rsidRPr="00EF7FDB" w:rsidRDefault="00EF7FDB" w:rsidP="00E57161">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D20DDD" w:rsidRPr="00272261" w:rsidTr="003250C5">
        <w:tc>
          <w:tcPr>
            <w:tcW w:w="2038" w:type="pct"/>
            <w:shd w:val="clear" w:color="auto" w:fill="auto"/>
            <w:vAlign w:val="center"/>
          </w:tcPr>
          <w:p w:rsidR="00D20DDD" w:rsidRPr="00272261" w:rsidRDefault="00D20DDD" w:rsidP="00E57161">
            <w:pPr>
              <w:keepNext/>
              <w:widowControl/>
              <w:tabs>
                <w:tab w:val="left" w:pos="142"/>
              </w:tabs>
              <w:jc w:val="left"/>
              <w:rPr>
                <w:rFonts w:ascii="Arial Narrow" w:hAnsi="Arial Narrow"/>
                <w:sz w:val="20"/>
              </w:rPr>
            </w:pPr>
            <w:r w:rsidRPr="00272261">
              <w:rPr>
                <w:rFonts w:ascii="Arial Narrow" w:hAnsi="Arial Narrow"/>
                <w:sz w:val="20"/>
              </w:rPr>
              <w:t>Net savings in bosentan, ambrisentan, sildenafil and tadalafil cost to PBS/RPBS</w:t>
            </w:r>
          </w:p>
        </w:tc>
        <w:tc>
          <w:tcPr>
            <w:tcW w:w="593" w:type="pct"/>
            <w:tcBorders>
              <w:bottom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3" w:type="pct"/>
            <w:tcBorders>
              <w:bottom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5" w:type="pct"/>
            <w:tcBorders>
              <w:bottom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6" w:type="pct"/>
            <w:tcBorders>
              <w:bottom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85" w:type="pct"/>
            <w:tcBorders>
              <w:bottom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r>
      <w:tr w:rsidR="00D20DDD" w:rsidRPr="00272261" w:rsidTr="005D21CB">
        <w:tc>
          <w:tcPr>
            <w:tcW w:w="5000" w:type="pct"/>
            <w:gridSpan w:val="6"/>
            <w:shd w:val="clear" w:color="auto" w:fill="auto"/>
            <w:vAlign w:val="center"/>
          </w:tcPr>
          <w:p w:rsidR="00D20DDD" w:rsidRPr="00272261" w:rsidRDefault="00D20DDD" w:rsidP="00E57161">
            <w:pPr>
              <w:keepNext/>
              <w:widowControl/>
              <w:jc w:val="left"/>
              <w:rPr>
                <w:rFonts w:ascii="Arial Narrow" w:hAnsi="Arial Narrow"/>
                <w:b/>
                <w:bCs/>
                <w:color w:val="000000"/>
                <w:sz w:val="20"/>
              </w:rPr>
            </w:pPr>
            <w:r w:rsidRPr="00272261">
              <w:rPr>
                <w:rFonts w:ascii="Arial Narrow" w:hAnsi="Arial Narrow"/>
                <w:b/>
                <w:bCs/>
                <w:color w:val="000000"/>
                <w:sz w:val="20"/>
              </w:rPr>
              <w:t>Estimated net cost to PBS/RPBS</w:t>
            </w:r>
          </w:p>
        </w:tc>
      </w:tr>
      <w:tr w:rsidR="00D20DDD" w:rsidRPr="00272261" w:rsidTr="003250C5">
        <w:tc>
          <w:tcPr>
            <w:tcW w:w="2038" w:type="pct"/>
            <w:shd w:val="clear" w:color="auto" w:fill="auto"/>
            <w:vAlign w:val="center"/>
          </w:tcPr>
          <w:p w:rsidR="00D20DDD" w:rsidRPr="00272261" w:rsidRDefault="00D20DDD" w:rsidP="00E57161">
            <w:pPr>
              <w:keepNext/>
              <w:widowControl/>
              <w:tabs>
                <w:tab w:val="left" w:pos="142"/>
              </w:tabs>
              <w:jc w:val="left"/>
              <w:rPr>
                <w:rFonts w:ascii="Arial Narrow" w:hAnsi="Arial Narrow"/>
                <w:sz w:val="20"/>
              </w:rPr>
            </w:pPr>
            <w:r w:rsidRPr="00272261">
              <w:rPr>
                <w:rFonts w:ascii="Arial Narrow" w:hAnsi="Arial Narrow"/>
                <w:sz w:val="20"/>
              </w:rPr>
              <w:t>Net cost to PBS/RPBS</w:t>
            </w:r>
          </w:p>
        </w:tc>
        <w:tc>
          <w:tcPr>
            <w:tcW w:w="593" w:type="pct"/>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b/>
                <w:sz w:val="20"/>
                <w:szCs w:val="20"/>
              </w:rPr>
              <w:t>$</w:t>
            </w:r>
            <w:r w:rsidR="00EF7FDB">
              <w:rPr>
                <w:rFonts w:ascii="Arial Narrow" w:hAnsi="Arial Narrow"/>
                <w:b/>
                <w:noProof/>
                <w:color w:val="000000"/>
                <w:sz w:val="20"/>
                <w:szCs w:val="20"/>
                <w:highlight w:val="black"/>
              </w:rPr>
              <w:t>'''''''''''''''''''</w:t>
            </w:r>
          </w:p>
        </w:tc>
        <w:tc>
          <w:tcPr>
            <w:tcW w:w="593" w:type="pct"/>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b/>
                <w:sz w:val="20"/>
                <w:szCs w:val="20"/>
              </w:rPr>
              <w:t>$</w:t>
            </w:r>
            <w:r w:rsidR="00EF7FDB">
              <w:rPr>
                <w:rFonts w:ascii="Arial Narrow" w:hAnsi="Arial Narrow"/>
                <w:b/>
                <w:noProof/>
                <w:color w:val="000000"/>
                <w:sz w:val="20"/>
                <w:szCs w:val="20"/>
                <w:highlight w:val="black"/>
              </w:rPr>
              <w:t>''''''''''''''''''''</w:t>
            </w:r>
          </w:p>
        </w:tc>
        <w:tc>
          <w:tcPr>
            <w:tcW w:w="595" w:type="pct"/>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b/>
                <w:sz w:val="20"/>
                <w:szCs w:val="20"/>
              </w:rPr>
              <w:t>$</w:t>
            </w:r>
            <w:r w:rsidR="00EF7FDB">
              <w:rPr>
                <w:rFonts w:ascii="Arial Narrow" w:hAnsi="Arial Narrow"/>
                <w:b/>
                <w:noProof/>
                <w:color w:val="000000"/>
                <w:sz w:val="20"/>
                <w:szCs w:val="20"/>
                <w:highlight w:val="black"/>
              </w:rPr>
              <w:t>''''''''''''''''''''</w:t>
            </w:r>
          </w:p>
        </w:tc>
        <w:tc>
          <w:tcPr>
            <w:tcW w:w="596" w:type="pct"/>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b/>
                <w:sz w:val="20"/>
                <w:szCs w:val="20"/>
              </w:rPr>
              <w:t>$</w:t>
            </w:r>
            <w:r w:rsidR="00EF7FDB">
              <w:rPr>
                <w:rFonts w:ascii="Arial Narrow" w:hAnsi="Arial Narrow"/>
                <w:b/>
                <w:noProof/>
                <w:color w:val="000000"/>
                <w:sz w:val="20"/>
                <w:szCs w:val="20"/>
                <w:highlight w:val="black"/>
              </w:rPr>
              <w:t>''''''''''''''''''''</w:t>
            </w:r>
          </w:p>
        </w:tc>
        <w:tc>
          <w:tcPr>
            <w:tcW w:w="585" w:type="pct"/>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b/>
                <w:sz w:val="20"/>
                <w:szCs w:val="20"/>
              </w:rPr>
              <w:t>$</w:t>
            </w:r>
            <w:r w:rsidR="00EF7FDB">
              <w:rPr>
                <w:rFonts w:ascii="Arial Narrow" w:hAnsi="Arial Narrow"/>
                <w:b/>
                <w:noProof/>
                <w:color w:val="000000"/>
                <w:sz w:val="20"/>
                <w:szCs w:val="20"/>
                <w:highlight w:val="black"/>
              </w:rPr>
              <w:t>''''''''''''''''''</w:t>
            </w:r>
          </w:p>
        </w:tc>
      </w:tr>
      <w:tr w:rsidR="00D20DDD" w:rsidRPr="00272261" w:rsidTr="003250C5">
        <w:tc>
          <w:tcPr>
            <w:tcW w:w="2038" w:type="pct"/>
            <w:vAlign w:val="center"/>
          </w:tcPr>
          <w:p w:rsidR="00D20DDD" w:rsidRPr="00272261" w:rsidRDefault="00D20DDD" w:rsidP="00E57161">
            <w:pPr>
              <w:keepNext/>
              <w:widowControl/>
              <w:tabs>
                <w:tab w:val="left" w:pos="142"/>
              </w:tabs>
              <w:jc w:val="left"/>
              <w:rPr>
                <w:rFonts w:ascii="Arial Narrow" w:hAnsi="Arial Narrow"/>
                <w:sz w:val="20"/>
              </w:rPr>
            </w:pPr>
            <w:r w:rsidRPr="00272261">
              <w:rPr>
                <w:rStyle w:val="CommentReference"/>
                <w:b w:val="0"/>
              </w:rPr>
              <w:t>July 2015 re-submission</w:t>
            </w:r>
          </w:p>
        </w:tc>
        <w:tc>
          <w:tcPr>
            <w:tcW w:w="593" w:type="pct"/>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3" w:type="pct"/>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5" w:type="pct"/>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6" w:type="pct"/>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85" w:type="pct"/>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r>
      <w:tr w:rsidR="00D20DDD" w:rsidRPr="00272261" w:rsidTr="003250C5">
        <w:tc>
          <w:tcPr>
            <w:tcW w:w="2038" w:type="pct"/>
            <w:shd w:val="clear" w:color="auto" w:fill="auto"/>
            <w:vAlign w:val="center"/>
          </w:tcPr>
          <w:p w:rsidR="00D20DDD" w:rsidRPr="00272261" w:rsidRDefault="00D20DDD" w:rsidP="00E57161">
            <w:pPr>
              <w:keepNext/>
              <w:widowControl/>
              <w:tabs>
                <w:tab w:val="left" w:pos="142"/>
              </w:tabs>
              <w:jc w:val="left"/>
              <w:rPr>
                <w:rFonts w:ascii="Arial Narrow" w:hAnsi="Arial Narrow"/>
                <w:sz w:val="20"/>
              </w:rPr>
            </w:pPr>
            <w:r w:rsidRPr="00272261">
              <w:rPr>
                <w:rStyle w:val="CommentReference"/>
                <w:b w:val="0"/>
              </w:rPr>
              <w:t>July 2015 pre-PBAC response</w:t>
            </w:r>
          </w:p>
        </w:tc>
        <w:tc>
          <w:tcPr>
            <w:tcW w:w="593" w:type="pct"/>
            <w:tcBorders>
              <w:top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3" w:type="pct"/>
            <w:tcBorders>
              <w:top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5" w:type="pct"/>
            <w:tcBorders>
              <w:top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6" w:type="pct"/>
            <w:tcBorders>
              <w:top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85" w:type="pct"/>
            <w:tcBorders>
              <w:top w:val="single" w:sz="4" w:space="0" w:color="auto"/>
            </w:tcBorders>
            <w:vAlign w:val="center"/>
          </w:tcPr>
          <w:p w:rsidR="00D20DDD" w:rsidRPr="00272261" w:rsidRDefault="00D20DDD"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r>
      <w:tr w:rsidR="00A614D2" w:rsidRPr="00272261" w:rsidTr="003250C5">
        <w:tc>
          <w:tcPr>
            <w:tcW w:w="2038" w:type="pct"/>
            <w:tcBorders>
              <w:bottom w:val="double" w:sz="4" w:space="0" w:color="auto"/>
            </w:tcBorders>
            <w:shd w:val="clear" w:color="auto" w:fill="auto"/>
            <w:vAlign w:val="center"/>
          </w:tcPr>
          <w:p w:rsidR="00692E59" w:rsidRPr="00272261" w:rsidRDefault="00692E59" w:rsidP="00E57161">
            <w:pPr>
              <w:keepNext/>
              <w:widowControl/>
              <w:tabs>
                <w:tab w:val="left" w:pos="142"/>
              </w:tabs>
              <w:jc w:val="left"/>
              <w:rPr>
                <w:rFonts w:ascii="Arial Narrow" w:hAnsi="Arial Narrow"/>
                <w:sz w:val="20"/>
              </w:rPr>
            </w:pPr>
            <w:r w:rsidRPr="00272261">
              <w:rPr>
                <w:rFonts w:ascii="Arial Narrow" w:hAnsi="Arial Narrow"/>
                <w:sz w:val="20"/>
              </w:rPr>
              <w:t xml:space="preserve">Net </w:t>
            </w:r>
            <w:r w:rsidR="00E44356" w:rsidRPr="00272261">
              <w:rPr>
                <w:rFonts w:ascii="Arial Narrow" w:hAnsi="Arial Narrow"/>
                <w:sz w:val="20"/>
              </w:rPr>
              <w:t>savings</w:t>
            </w:r>
            <w:r w:rsidRPr="00272261">
              <w:rPr>
                <w:rFonts w:ascii="Arial Narrow" w:hAnsi="Arial Narrow"/>
                <w:sz w:val="20"/>
              </w:rPr>
              <w:t xml:space="preserve"> in bosentan LFT costs to MBS</w:t>
            </w:r>
          </w:p>
        </w:tc>
        <w:tc>
          <w:tcPr>
            <w:tcW w:w="593" w:type="pct"/>
            <w:tcBorders>
              <w:bottom w:val="double" w:sz="4" w:space="0" w:color="auto"/>
            </w:tcBorders>
            <w:shd w:val="clear" w:color="auto" w:fill="auto"/>
            <w:vAlign w:val="center"/>
          </w:tcPr>
          <w:p w:rsidR="00692E59" w:rsidRPr="00272261" w:rsidRDefault="00FB5C40"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3" w:type="pct"/>
            <w:tcBorders>
              <w:bottom w:val="double" w:sz="4" w:space="0" w:color="auto"/>
            </w:tcBorders>
            <w:shd w:val="clear" w:color="auto" w:fill="auto"/>
            <w:vAlign w:val="center"/>
          </w:tcPr>
          <w:p w:rsidR="00692E59" w:rsidRPr="00272261" w:rsidRDefault="00692E59"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5" w:type="pct"/>
            <w:tcBorders>
              <w:bottom w:val="double" w:sz="4" w:space="0" w:color="auto"/>
            </w:tcBorders>
            <w:shd w:val="clear" w:color="auto" w:fill="auto"/>
            <w:vAlign w:val="center"/>
          </w:tcPr>
          <w:p w:rsidR="00692E59" w:rsidRPr="00272261" w:rsidRDefault="00692E59"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96" w:type="pct"/>
            <w:tcBorders>
              <w:bottom w:val="double" w:sz="4" w:space="0" w:color="auto"/>
            </w:tcBorders>
            <w:shd w:val="clear" w:color="auto" w:fill="auto"/>
            <w:vAlign w:val="center"/>
          </w:tcPr>
          <w:p w:rsidR="00692E59" w:rsidRPr="00272261" w:rsidRDefault="00692E59"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c>
          <w:tcPr>
            <w:tcW w:w="585" w:type="pct"/>
            <w:tcBorders>
              <w:bottom w:val="double" w:sz="4" w:space="0" w:color="auto"/>
            </w:tcBorders>
            <w:shd w:val="clear" w:color="auto" w:fill="auto"/>
            <w:vAlign w:val="center"/>
          </w:tcPr>
          <w:p w:rsidR="00692E59" w:rsidRPr="00272261" w:rsidRDefault="00692E59" w:rsidP="00E57161">
            <w:pPr>
              <w:keepNext/>
              <w:widowControl/>
              <w:jc w:val="center"/>
              <w:rPr>
                <w:rFonts w:ascii="Arial Narrow" w:hAnsi="Arial Narrow"/>
                <w:bCs/>
                <w:color w:val="000000"/>
                <w:sz w:val="20"/>
              </w:rPr>
            </w:pPr>
            <w:r w:rsidRPr="00272261">
              <w:rPr>
                <w:rFonts w:ascii="Arial Narrow" w:hAnsi="Arial Narrow"/>
                <w:sz w:val="20"/>
              </w:rPr>
              <w:t>$</w:t>
            </w:r>
            <w:r w:rsidR="00EF7FDB">
              <w:rPr>
                <w:rFonts w:ascii="Arial Narrow" w:hAnsi="Arial Narrow"/>
                <w:noProof/>
                <w:color w:val="000000"/>
                <w:sz w:val="20"/>
                <w:highlight w:val="black"/>
              </w:rPr>
              <w:t>'''</w:t>
            </w:r>
          </w:p>
        </w:tc>
      </w:tr>
      <w:tr w:rsidR="00D20DDD" w:rsidRPr="00272261" w:rsidTr="003250C5">
        <w:tc>
          <w:tcPr>
            <w:tcW w:w="2038" w:type="pct"/>
            <w:tcBorders>
              <w:top w:val="double" w:sz="4" w:space="0" w:color="auto"/>
              <w:bottom w:val="double" w:sz="4" w:space="0" w:color="auto"/>
            </w:tcBorders>
            <w:vAlign w:val="center"/>
          </w:tcPr>
          <w:p w:rsidR="00FB5C40" w:rsidRPr="00272261" w:rsidRDefault="00FB5C40" w:rsidP="00E57161">
            <w:pPr>
              <w:keepNext/>
              <w:widowControl/>
              <w:tabs>
                <w:tab w:val="left" w:pos="142"/>
              </w:tabs>
              <w:jc w:val="left"/>
              <w:rPr>
                <w:rFonts w:ascii="Arial Narrow" w:hAnsi="Arial Narrow"/>
                <w:b/>
                <w:sz w:val="20"/>
                <w:highlight w:val="yellow"/>
              </w:rPr>
            </w:pPr>
            <w:r w:rsidRPr="00272261">
              <w:rPr>
                <w:rFonts w:ascii="Arial Narrow" w:hAnsi="Arial Narrow"/>
                <w:b/>
                <w:sz w:val="20"/>
              </w:rPr>
              <w:t>Total net cost to government</w:t>
            </w:r>
          </w:p>
        </w:tc>
        <w:tc>
          <w:tcPr>
            <w:tcW w:w="593" w:type="pct"/>
            <w:tcBorders>
              <w:top w:val="double" w:sz="4" w:space="0" w:color="auto"/>
              <w:bottom w:val="double" w:sz="4" w:space="0" w:color="auto"/>
            </w:tcBorders>
            <w:vAlign w:val="center"/>
          </w:tcPr>
          <w:p w:rsidR="00FB5C40" w:rsidRPr="00272261" w:rsidRDefault="00FB5C40" w:rsidP="00E57161">
            <w:pPr>
              <w:keepNext/>
              <w:widowControl/>
              <w:jc w:val="center"/>
              <w:rPr>
                <w:rFonts w:ascii="Arial Narrow" w:hAnsi="Arial Narrow"/>
                <w:color w:val="000000"/>
                <w:sz w:val="20"/>
                <w:highlight w:val="yellow"/>
              </w:rPr>
            </w:pPr>
            <w:r w:rsidRPr="00272261">
              <w:rPr>
                <w:rFonts w:ascii="Arial Narrow" w:hAnsi="Arial Narrow"/>
                <w:b/>
                <w:sz w:val="20"/>
              </w:rPr>
              <w:t>$</w:t>
            </w:r>
            <w:r w:rsidR="00EF7FDB">
              <w:rPr>
                <w:rFonts w:ascii="Arial Narrow" w:hAnsi="Arial Narrow"/>
                <w:b/>
                <w:noProof/>
                <w:color w:val="000000"/>
                <w:sz w:val="20"/>
                <w:highlight w:val="black"/>
              </w:rPr>
              <w:t>'''''''''''''''''''''</w:t>
            </w:r>
          </w:p>
        </w:tc>
        <w:tc>
          <w:tcPr>
            <w:tcW w:w="593" w:type="pct"/>
            <w:tcBorders>
              <w:top w:val="double" w:sz="4" w:space="0" w:color="auto"/>
              <w:bottom w:val="double" w:sz="4" w:space="0" w:color="auto"/>
            </w:tcBorders>
            <w:vAlign w:val="center"/>
          </w:tcPr>
          <w:p w:rsidR="00FB5C40" w:rsidRPr="00272261" w:rsidRDefault="00FB5C40" w:rsidP="00E57161">
            <w:pPr>
              <w:keepNext/>
              <w:widowControl/>
              <w:jc w:val="center"/>
              <w:rPr>
                <w:rFonts w:ascii="Arial Narrow" w:hAnsi="Arial Narrow"/>
                <w:color w:val="000000"/>
                <w:sz w:val="20"/>
                <w:highlight w:val="yellow"/>
              </w:rPr>
            </w:pPr>
            <w:r w:rsidRPr="00272261">
              <w:rPr>
                <w:rFonts w:ascii="Arial Narrow" w:hAnsi="Arial Narrow"/>
                <w:b/>
                <w:sz w:val="20"/>
              </w:rPr>
              <w:t>$</w:t>
            </w:r>
            <w:r w:rsidR="00EF7FDB">
              <w:rPr>
                <w:rFonts w:ascii="Arial Narrow" w:hAnsi="Arial Narrow"/>
                <w:b/>
                <w:noProof/>
                <w:color w:val="000000"/>
                <w:sz w:val="20"/>
                <w:highlight w:val="black"/>
              </w:rPr>
              <w:t>''''''''''''''''''</w:t>
            </w:r>
          </w:p>
        </w:tc>
        <w:tc>
          <w:tcPr>
            <w:tcW w:w="595" w:type="pct"/>
            <w:tcBorders>
              <w:top w:val="double" w:sz="4" w:space="0" w:color="auto"/>
              <w:bottom w:val="double" w:sz="4" w:space="0" w:color="auto"/>
            </w:tcBorders>
            <w:vAlign w:val="center"/>
          </w:tcPr>
          <w:p w:rsidR="00FB5C40" w:rsidRPr="00272261" w:rsidRDefault="00FB5C40" w:rsidP="00E57161">
            <w:pPr>
              <w:keepNext/>
              <w:widowControl/>
              <w:jc w:val="center"/>
              <w:rPr>
                <w:rFonts w:ascii="Arial Narrow" w:hAnsi="Arial Narrow"/>
                <w:color w:val="000000"/>
                <w:sz w:val="20"/>
                <w:highlight w:val="yellow"/>
              </w:rPr>
            </w:pPr>
            <w:r w:rsidRPr="00272261">
              <w:rPr>
                <w:rFonts w:ascii="Arial Narrow" w:hAnsi="Arial Narrow"/>
                <w:b/>
                <w:sz w:val="20"/>
              </w:rPr>
              <w:t>$</w:t>
            </w:r>
            <w:r w:rsidR="00EF7FDB">
              <w:rPr>
                <w:rFonts w:ascii="Arial Narrow" w:hAnsi="Arial Narrow"/>
                <w:b/>
                <w:noProof/>
                <w:color w:val="000000"/>
                <w:sz w:val="20"/>
                <w:highlight w:val="black"/>
              </w:rPr>
              <w:t>''''''''''''''''''</w:t>
            </w:r>
          </w:p>
        </w:tc>
        <w:tc>
          <w:tcPr>
            <w:tcW w:w="596" w:type="pct"/>
            <w:tcBorders>
              <w:top w:val="double" w:sz="4" w:space="0" w:color="auto"/>
              <w:bottom w:val="double" w:sz="4" w:space="0" w:color="auto"/>
            </w:tcBorders>
            <w:vAlign w:val="center"/>
          </w:tcPr>
          <w:p w:rsidR="00FB5C40" w:rsidRPr="00272261" w:rsidRDefault="00FB5C40" w:rsidP="00E57161">
            <w:pPr>
              <w:keepNext/>
              <w:widowControl/>
              <w:jc w:val="center"/>
              <w:rPr>
                <w:rFonts w:ascii="Arial Narrow" w:hAnsi="Arial Narrow"/>
                <w:color w:val="000000"/>
                <w:sz w:val="20"/>
                <w:highlight w:val="yellow"/>
              </w:rPr>
            </w:pPr>
            <w:r w:rsidRPr="00272261">
              <w:rPr>
                <w:rFonts w:ascii="Arial Narrow" w:hAnsi="Arial Narrow"/>
                <w:b/>
                <w:sz w:val="20"/>
              </w:rPr>
              <w:t>$</w:t>
            </w:r>
            <w:r w:rsidR="00EF7FDB">
              <w:rPr>
                <w:rFonts w:ascii="Arial Narrow" w:hAnsi="Arial Narrow"/>
                <w:b/>
                <w:noProof/>
                <w:color w:val="000000"/>
                <w:sz w:val="20"/>
                <w:highlight w:val="black"/>
              </w:rPr>
              <w:t>'''''''''''''''''''''</w:t>
            </w:r>
          </w:p>
        </w:tc>
        <w:tc>
          <w:tcPr>
            <w:tcW w:w="585" w:type="pct"/>
            <w:tcBorders>
              <w:top w:val="double" w:sz="4" w:space="0" w:color="auto"/>
              <w:bottom w:val="double" w:sz="4" w:space="0" w:color="auto"/>
            </w:tcBorders>
            <w:vAlign w:val="center"/>
          </w:tcPr>
          <w:p w:rsidR="00FB5C40" w:rsidRPr="00272261" w:rsidRDefault="00FB5C40" w:rsidP="00E57161">
            <w:pPr>
              <w:keepNext/>
              <w:widowControl/>
              <w:jc w:val="center"/>
              <w:rPr>
                <w:rFonts w:ascii="Arial Narrow" w:hAnsi="Arial Narrow"/>
                <w:color w:val="000000"/>
                <w:sz w:val="20"/>
                <w:highlight w:val="yellow"/>
              </w:rPr>
            </w:pPr>
            <w:r w:rsidRPr="00272261">
              <w:rPr>
                <w:rFonts w:ascii="Arial Narrow" w:hAnsi="Arial Narrow"/>
                <w:b/>
                <w:sz w:val="20"/>
              </w:rPr>
              <w:t>$</w:t>
            </w:r>
            <w:r w:rsidR="00EF7FDB">
              <w:rPr>
                <w:rFonts w:ascii="Arial Narrow" w:hAnsi="Arial Narrow"/>
                <w:b/>
                <w:noProof/>
                <w:color w:val="000000"/>
                <w:sz w:val="20"/>
                <w:highlight w:val="black"/>
              </w:rPr>
              <w:t>'''''''''''''''''''''</w:t>
            </w:r>
          </w:p>
        </w:tc>
      </w:tr>
      <w:tr w:rsidR="00D20DDD" w:rsidRPr="00272261" w:rsidTr="003250C5">
        <w:tc>
          <w:tcPr>
            <w:tcW w:w="2038" w:type="pct"/>
            <w:tcBorders>
              <w:top w:val="double" w:sz="4" w:space="0" w:color="auto"/>
            </w:tcBorders>
            <w:vAlign w:val="center"/>
          </w:tcPr>
          <w:p w:rsidR="00FB5C40" w:rsidRPr="00272261" w:rsidRDefault="00FB5C40" w:rsidP="00E57161">
            <w:pPr>
              <w:keepNext/>
              <w:widowControl/>
              <w:tabs>
                <w:tab w:val="left" w:pos="142"/>
              </w:tabs>
              <w:jc w:val="left"/>
              <w:rPr>
                <w:rFonts w:ascii="Arial Narrow" w:hAnsi="Arial Narrow"/>
                <w:bCs/>
                <w:color w:val="000000"/>
                <w:sz w:val="20"/>
                <w:highlight w:val="yellow"/>
              </w:rPr>
            </w:pPr>
            <w:r w:rsidRPr="00272261">
              <w:rPr>
                <w:rStyle w:val="CommentReference"/>
                <w:b w:val="0"/>
              </w:rPr>
              <w:t xml:space="preserve">July 2015 </w:t>
            </w:r>
            <w:r w:rsidR="00B63538" w:rsidRPr="00272261">
              <w:rPr>
                <w:rStyle w:val="CommentReference"/>
                <w:b w:val="0"/>
              </w:rPr>
              <w:t>re-</w:t>
            </w:r>
            <w:r w:rsidRPr="00272261">
              <w:rPr>
                <w:rStyle w:val="CommentReference"/>
                <w:b w:val="0"/>
              </w:rPr>
              <w:t>submission</w:t>
            </w:r>
          </w:p>
        </w:tc>
        <w:tc>
          <w:tcPr>
            <w:tcW w:w="593" w:type="pct"/>
            <w:tcBorders>
              <w:top w:val="double" w:sz="4" w:space="0" w:color="auto"/>
            </w:tcBorders>
            <w:vAlign w:val="center"/>
          </w:tcPr>
          <w:p w:rsidR="00FB5C40" w:rsidRPr="00272261" w:rsidRDefault="00FB5C40" w:rsidP="00E57161">
            <w:pPr>
              <w:keepNext/>
              <w:widowControl/>
              <w:jc w:val="center"/>
              <w:rPr>
                <w:rFonts w:ascii="Arial Narrow" w:hAnsi="Arial Narrow"/>
                <w:sz w:val="20"/>
                <w:highlight w:val="yellow"/>
              </w:rPr>
            </w:pPr>
            <w:r w:rsidRPr="00272261">
              <w:rPr>
                <w:rFonts w:ascii="Arial Narrow" w:hAnsi="Arial Narrow"/>
                <w:sz w:val="20"/>
              </w:rPr>
              <w:t>$</w:t>
            </w:r>
            <w:r w:rsidR="00EF7FDB">
              <w:rPr>
                <w:rFonts w:ascii="Arial Narrow" w:hAnsi="Arial Narrow"/>
                <w:noProof/>
                <w:color w:val="000000"/>
                <w:sz w:val="20"/>
                <w:highlight w:val="black"/>
              </w:rPr>
              <w:t>''''''''''''''''''''''</w:t>
            </w:r>
          </w:p>
        </w:tc>
        <w:tc>
          <w:tcPr>
            <w:tcW w:w="593" w:type="pct"/>
            <w:tcBorders>
              <w:top w:val="double" w:sz="4" w:space="0" w:color="auto"/>
            </w:tcBorders>
            <w:vAlign w:val="center"/>
          </w:tcPr>
          <w:p w:rsidR="00FB5C40" w:rsidRPr="00272261" w:rsidRDefault="00FB5C40" w:rsidP="00E57161">
            <w:pPr>
              <w:keepNext/>
              <w:widowControl/>
              <w:jc w:val="center"/>
              <w:rPr>
                <w:rFonts w:ascii="Arial Narrow" w:hAnsi="Arial Narrow"/>
                <w:sz w:val="20"/>
                <w:highlight w:val="yellow"/>
              </w:rPr>
            </w:pPr>
            <w:r w:rsidRPr="00272261">
              <w:rPr>
                <w:rFonts w:ascii="Arial Narrow" w:hAnsi="Arial Narrow"/>
                <w:sz w:val="20"/>
              </w:rPr>
              <w:t>$</w:t>
            </w:r>
            <w:r w:rsidR="00EF7FDB">
              <w:rPr>
                <w:rFonts w:ascii="Arial Narrow" w:hAnsi="Arial Narrow"/>
                <w:noProof/>
                <w:color w:val="000000"/>
                <w:sz w:val="20"/>
                <w:highlight w:val="black"/>
              </w:rPr>
              <w:t>''''''''''''''''''''''</w:t>
            </w:r>
          </w:p>
        </w:tc>
        <w:tc>
          <w:tcPr>
            <w:tcW w:w="595" w:type="pct"/>
            <w:tcBorders>
              <w:top w:val="double" w:sz="4" w:space="0" w:color="auto"/>
            </w:tcBorders>
            <w:vAlign w:val="center"/>
          </w:tcPr>
          <w:p w:rsidR="00FB5C40" w:rsidRPr="00272261" w:rsidRDefault="00FB5C40" w:rsidP="00E57161">
            <w:pPr>
              <w:keepNext/>
              <w:widowControl/>
              <w:jc w:val="center"/>
              <w:rPr>
                <w:rFonts w:ascii="Arial Narrow" w:hAnsi="Arial Narrow"/>
                <w:sz w:val="20"/>
                <w:highlight w:val="yellow"/>
              </w:rPr>
            </w:pPr>
            <w:r w:rsidRPr="00272261">
              <w:rPr>
                <w:rFonts w:ascii="Arial Narrow" w:hAnsi="Arial Narrow"/>
                <w:sz w:val="20"/>
              </w:rPr>
              <w:t>$</w:t>
            </w:r>
            <w:r w:rsidR="00EF7FDB">
              <w:rPr>
                <w:rFonts w:ascii="Arial Narrow" w:hAnsi="Arial Narrow"/>
                <w:noProof/>
                <w:color w:val="000000"/>
                <w:sz w:val="20"/>
                <w:highlight w:val="black"/>
              </w:rPr>
              <w:t>'''''''''''''''''''''''</w:t>
            </w:r>
          </w:p>
        </w:tc>
        <w:tc>
          <w:tcPr>
            <w:tcW w:w="596" w:type="pct"/>
            <w:tcBorders>
              <w:top w:val="double" w:sz="4" w:space="0" w:color="auto"/>
            </w:tcBorders>
            <w:vAlign w:val="center"/>
          </w:tcPr>
          <w:p w:rsidR="00FB5C40" w:rsidRPr="00272261" w:rsidRDefault="00FB5C40" w:rsidP="00E57161">
            <w:pPr>
              <w:keepNext/>
              <w:widowControl/>
              <w:jc w:val="center"/>
              <w:rPr>
                <w:rFonts w:ascii="Arial Narrow" w:hAnsi="Arial Narrow"/>
                <w:sz w:val="20"/>
                <w:highlight w:val="yellow"/>
              </w:rPr>
            </w:pPr>
            <w:r w:rsidRPr="00272261">
              <w:rPr>
                <w:rFonts w:ascii="Arial Narrow" w:hAnsi="Arial Narrow"/>
                <w:sz w:val="20"/>
              </w:rPr>
              <w:t>$</w:t>
            </w:r>
            <w:r w:rsidR="00EF7FDB">
              <w:rPr>
                <w:rFonts w:ascii="Arial Narrow" w:hAnsi="Arial Narrow"/>
                <w:noProof/>
                <w:color w:val="000000"/>
                <w:sz w:val="20"/>
                <w:highlight w:val="black"/>
              </w:rPr>
              <w:t>'''''''''''''''''''''''''</w:t>
            </w:r>
          </w:p>
        </w:tc>
        <w:tc>
          <w:tcPr>
            <w:tcW w:w="585" w:type="pct"/>
            <w:tcBorders>
              <w:top w:val="double" w:sz="4" w:space="0" w:color="auto"/>
            </w:tcBorders>
            <w:vAlign w:val="center"/>
          </w:tcPr>
          <w:p w:rsidR="00FB5C40" w:rsidRPr="00272261" w:rsidRDefault="00FB5C40" w:rsidP="00E57161">
            <w:pPr>
              <w:keepNext/>
              <w:widowControl/>
              <w:jc w:val="center"/>
              <w:rPr>
                <w:rFonts w:ascii="Arial Narrow" w:hAnsi="Arial Narrow"/>
                <w:sz w:val="20"/>
                <w:highlight w:val="yellow"/>
              </w:rPr>
            </w:pPr>
            <w:r w:rsidRPr="00272261">
              <w:rPr>
                <w:rFonts w:ascii="Arial Narrow" w:hAnsi="Arial Narrow"/>
                <w:sz w:val="20"/>
              </w:rPr>
              <w:t>$</w:t>
            </w:r>
            <w:r w:rsidR="00EF7FDB">
              <w:rPr>
                <w:rFonts w:ascii="Arial Narrow" w:hAnsi="Arial Narrow"/>
                <w:noProof/>
                <w:color w:val="000000"/>
                <w:sz w:val="20"/>
                <w:highlight w:val="black"/>
              </w:rPr>
              <w:t>'''''''''''''''''''''''''</w:t>
            </w:r>
          </w:p>
        </w:tc>
      </w:tr>
      <w:tr w:rsidR="00FB5C40" w:rsidRPr="00272261" w:rsidTr="003250C5">
        <w:tc>
          <w:tcPr>
            <w:tcW w:w="2038" w:type="pct"/>
            <w:vAlign w:val="center"/>
          </w:tcPr>
          <w:p w:rsidR="00FB5C40" w:rsidRPr="00272261" w:rsidRDefault="00FB5C40" w:rsidP="00E57161">
            <w:pPr>
              <w:keepNext/>
              <w:widowControl/>
              <w:tabs>
                <w:tab w:val="left" w:pos="142"/>
              </w:tabs>
              <w:jc w:val="left"/>
              <w:rPr>
                <w:rFonts w:ascii="Arial Narrow" w:hAnsi="Arial Narrow"/>
                <w:b/>
                <w:bCs/>
                <w:color w:val="000000"/>
                <w:sz w:val="20"/>
                <w:highlight w:val="yellow"/>
              </w:rPr>
            </w:pPr>
            <w:r w:rsidRPr="00272261">
              <w:rPr>
                <w:rStyle w:val="CommentReference"/>
                <w:b w:val="0"/>
              </w:rPr>
              <w:t>July 2015 pre-PBAC response</w:t>
            </w:r>
          </w:p>
        </w:tc>
        <w:tc>
          <w:tcPr>
            <w:tcW w:w="593" w:type="pct"/>
          </w:tcPr>
          <w:p w:rsidR="00FB5C40" w:rsidRPr="00272261" w:rsidRDefault="00FB5C40" w:rsidP="00E57161">
            <w:pPr>
              <w:keepNext/>
              <w:widowControl/>
              <w:jc w:val="center"/>
              <w:rPr>
                <w:rFonts w:ascii="Arial Narrow" w:hAnsi="Arial Narrow"/>
                <w:b/>
                <w:bCs/>
                <w:sz w:val="19"/>
                <w:szCs w:val="19"/>
                <w:highlight w:val="yellow"/>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3" w:type="pct"/>
          </w:tcPr>
          <w:p w:rsidR="00FB5C40" w:rsidRPr="00272261" w:rsidRDefault="00FB5C40" w:rsidP="00E57161">
            <w:pPr>
              <w:keepNext/>
              <w:widowControl/>
              <w:jc w:val="center"/>
              <w:rPr>
                <w:rFonts w:ascii="Arial Narrow" w:hAnsi="Arial Narrow"/>
                <w:b/>
                <w:bCs/>
                <w:sz w:val="19"/>
                <w:szCs w:val="19"/>
                <w:highlight w:val="yellow"/>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5" w:type="pct"/>
          </w:tcPr>
          <w:p w:rsidR="00FB5C40" w:rsidRPr="00272261" w:rsidRDefault="00FB5C40" w:rsidP="00E57161">
            <w:pPr>
              <w:keepNext/>
              <w:widowControl/>
              <w:jc w:val="center"/>
              <w:rPr>
                <w:rFonts w:ascii="Arial Narrow" w:hAnsi="Arial Narrow"/>
                <w:b/>
                <w:bCs/>
                <w:sz w:val="19"/>
                <w:szCs w:val="19"/>
                <w:highlight w:val="yellow"/>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96" w:type="pct"/>
          </w:tcPr>
          <w:p w:rsidR="00FB5C40" w:rsidRPr="00272261" w:rsidRDefault="00FB5C40" w:rsidP="00E57161">
            <w:pPr>
              <w:keepNext/>
              <w:widowControl/>
              <w:jc w:val="center"/>
              <w:rPr>
                <w:rFonts w:ascii="Arial Narrow" w:hAnsi="Arial Narrow"/>
                <w:b/>
                <w:bCs/>
                <w:sz w:val="19"/>
                <w:szCs w:val="19"/>
                <w:highlight w:val="yellow"/>
              </w:rPr>
            </w:pPr>
            <w:r w:rsidRPr="00272261">
              <w:rPr>
                <w:rFonts w:ascii="Arial Narrow" w:hAnsi="Arial Narrow"/>
                <w:sz w:val="20"/>
                <w:szCs w:val="20"/>
              </w:rPr>
              <w:t>$</w:t>
            </w:r>
            <w:r w:rsidR="00EF7FDB">
              <w:rPr>
                <w:rFonts w:ascii="Arial Narrow" w:hAnsi="Arial Narrow"/>
                <w:noProof/>
                <w:color w:val="000000"/>
                <w:sz w:val="20"/>
                <w:szCs w:val="20"/>
                <w:highlight w:val="black"/>
              </w:rPr>
              <w:t>'''''''''''''''''''''''</w:t>
            </w:r>
          </w:p>
        </w:tc>
        <w:tc>
          <w:tcPr>
            <w:tcW w:w="585" w:type="pct"/>
          </w:tcPr>
          <w:p w:rsidR="00FB5C40" w:rsidRPr="00272261" w:rsidRDefault="00FB5C40" w:rsidP="00E57161">
            <w:pPr>
              <w:keepNext/>
              <w:widowControl/>
              <w:jc w:val="center"/>
              <w:rPr>
                <w:rFonts w:ascii="Arial Narrow" w:hAnsi="Arial Narrow"/>
                <w:b/>
                <w:bCs/>
                <w:sz w:val="19"/>
                <w:szCs w:val="19"/>
                <w:highlight w:val="yellow"/>
              </w:rPr>
            </w:pPr>
            <w:r w:rsidRPr="00272261">
              <w:rPr>
                <w:rFonts w:ascii="Arial Narrow" w:hAnsi="Arial Narrow"/>
                <w:sz w:val="20"/>
                <w:szCs w:val="20"/>
              </w:rPr>
              <w:t>$</w:t>
            </w:r>
            <w:r w:rsidR="005565D2">
              <w:rPr>
                <w:rFonts w:ascii="Arial Narrow" w:hAnsi="Arial Narrow"/>
                <w:noProof/>
                <w:color w:val="000000"/>
                <w:sz w:val="20"/>
                <w:szCs w:val="20"/>
                <w:highlight w:val="black"/>
              </w:rPr>
              <w:t>'''''''''''''''''''''''</w:t>
            </w:r>
          </w:p>
        </w:tc>
      </w:tr>
    </w:tbl>
    <w:p w:rsidR="00FB5C40" w:rsidRPr="00272261" w:rsidRDefault="008072DA" w:rsidP="00E57161">
      <w:pPr>
        <w:pStyle w:val="TableFooter"/>
        <w:keepNext/>
        <w:widowControl/>
        <w:ind w:left="720"/>
        <w:rPr>
          <w:sz w:val="16"/>
          <w:szCs w:val="16"/>
        </w:rPr>
      </w:pPr>
      <w:r w:rsidRPr="00272261">
        <w:rPr>
          <w:sz w:val="16"/>
          <w:szCs w:val="16"/>
        </w:rPr>
        <w:t>*Based on a 74% switch rate in year 1, 56% in year 2, 37% in year 3, 19% in year 4, and 0% in year 5.  Compared to a 30% constant rate switch in 2015 re-submission and a gradual reduction in switches from 30% in year 1 to 0% in year 5 in the July 2015 pre-PBAC response.</w:t>
      </w:r>
      <w:r w:rsidR="005167B2" w:rsidRPr="00272261">
        <w:rPr>
          <w:sz w:val="16"/>
          <w:szCs w:val="16"/>
        </w:rPr>
        <w:t xml:space="preserve"> LFTs = liver function tests.  </w:t>
      </w:r>
      <w:r w:rsidR="002F36A9" w:rsidRPr="00272261">
        <w:rPr>
          <w:sz w:val="16"/>
          <w:szCs w:val="16"/>
        </w:rPr>
        <w:t>Source: Table</w:t>
      </w:r>
      <w:r w:rsidR="00BA78CC" w:rsidRPr="00272261">
        <w:rPr>
          <w:sz w:val="16"/>
          <w:szCs w:val="16"/>
        </w:rPr>
        <w:t>s E.2-1, E.2-5, E.3-2 –E.3-4, p264-269 of the re-submission, and Tables E</w:t>
      </w:r>
      <w:r w:rsidR="002F36A9" w:rsidRPr="00272261">
        <w:rPr>
          <w:sz w:val="16"/>
          <w:szCs w:val="16"/>
        </w:rPr>
        <w:t>.</w:t>
      </w:r>
      <w:r w:rsidR="00FB5C40" w:rsidRPr="00272261">
        <w:rPr>
          <w:sz w:val="16"/>
          <w:szCs w:val="16"/>
        </w:rPr>
        <w:t xml:space="preserve">5-2, E.5-3, p271-272 </w:t>
      </w:r>
      <w:r w:rsidR="00BA78CC" w:rsidRPr="00272261">
        <w:rPr>
          <w:sz w:val="16"/>
          <w:szCs w:val="16"/>
        </w:rPr>
        <w:t>of the re-submission</w:t>
      </w:r>
    </w:p>
    <w:p w:rsidR="00FB5C40" w:rsidRPr="00272261" w:rsidRDefault="00FB5C40" w:rsidP="00E57161">
      <w:pPr>
        <w:widowControl/>
        <w:rPr>
          <w:szCs w:val="22"/>
        </w:rPr>
      </w:pPr>
    </w:p>
    <w:p w:rsidR="002F55C6" w:rsidRPr="00272261" w:rsidRDefault="00C563D4" w:rsidP="00E57161">
      <w:pPr>
        <w:pStyle w:val="ListParagraph"/>
        <w:widowControl/>
        <w:numPr>
          <w:ilvl w:val="1"/>
          <w:numId w:val="2"/>
        </w:numPr>
        <w:rPr>
          <w:szCs w:val="22"/>
        </w:rPr>
      </w:pPr>
      <w:r w:rsidRPr="00272261">
        <w:rPr>
          <w:szCs w:val="22"/>
        </w:rPr>
        <w:t xml:space="preserve">At year 5, the estimated number of patients was </w:t>
      </w:r>
      <w:r w:rsidR="008F7A79">
        <w:rPr>
          <w:szCs w:val="22"/>
        </w:rPr>
        <w:t>less than 10,000</w:t>
      </w:r>
      <w:r w:rsidRPr="00272261">
        <w:rPr>
          <w:szCs w:val="22"/>
        </w:rPr>
        <w:t xml:space="preserve"> and the net cost to the PBS would be </w:t>
      </w:r>
      <w:r w:rsidR="008F7A79">
        <w:rPr>
          <w:szCs w:val="22"/>
        </w:rPr>
        <w:t>less than $10 million</w:t>
      </w:r>
      <w:r w:rsidRPr="00272261">
        <w:rPr>
          <w:szCs w:val="22"/>
        </w:rPr>
        <w:t xml:space="preserve"> (with no savings from off-label therapies assumed </w:t>
      </w:r>
      <w:r w:rsidR="008224F1" w:rsidRPr="00272261">
        <w:rPr>
          <w:szCs w:val="22"/>
        </w:rPr>
        <w:t>by year 5</w:t>
      </w:r>
      <w:r w:rsidRPr="00272261">
        <w:rPr>
          <w:szCs w:val="22"/>
        </w:rPr>
        <w:t xml:space="preserve">). </w:t>
      </w:r>
    </w:p>
    <w:p w:rsidR="00EC0764" w:rsidRPr="00272261" w:rsidRDefault="00EC0764" w:rsidP="00E57161">
      <w:pPr>
        <w:widowControl/>
        <w:rPr>
          <w:szCs w:val="22"/>
        </w:rPr>
      </w:pPr>
    </w:p>
    <w:p w:rsidR="00EC0764" w:rsidRPr="00272261" w:rsidRDefault="00EC0764" w:rsidP="00E57161">
      <w:pPr>
        <w:pStyle w:val="ListParagraph"/>
        <w:widowControl/>
        <w:numPr>
          <w:ilvl w:val="1"/>
          <w:numId w:val="2"/>
        </w:numPr>
        <w:rPr>
          <w:szCs w:val="22"/>
        </w:rPr>
      </w:pPr>
      <w:r w:rsidRPr="00272261">
        <w:rPr>
          <w:szCs w:val="22"/>
        </w:rPr>
        <w:lastRenderedPageBreak/>
        <w:t>Although riociguat for the treatment of PAH received a positive recommendation at the March 2014 PBAC meeting, progression t</w:t>
      </w:r>
      <w:r w:rsidR="007C3F7A" w:rsidRPr="00272261">
        <w:rPr>
          <w:szCs w:val="22"/>
        </w:rPr>
        <w:t>o PBS listing has not occurred.</w:t>
      </w:r>
      <w:r w:rsidRPr="00272261">
        <w:rPr>
          <w:szCs w:val="22"/>
        </w:rPr>
        <w:t xml:space="preserve"> The DUSC considered that in this scenario, there would be considerable risk of use outside the CTEPH restriction for PAH, but if both indications were PBS listed this would not </w:t>
      </w:r>
      <w:r w:rsidR="007C3F7A" w:rsidRPr="00272261">
        <w:rPr>
          <w:szCs w:val="22"/>
        </w:rPr>
        <w:t>be an issue.</w:t>
      </w:r>
    </w:p>
    <w:p w:rsidR="002F55C6" w:rsidRPr="00272261" w:rsidRDefault="002F55C6" w:rsidP="00E57161">
      <w:pPr>
        <w:widowControl/>
        <w:rPr>
          <w:szCs w:val="22"/>
        </w:rPr>
      </w:pPr>
    </w:p>
    <w:p w:rsidR="002F36A9" w:rsidRPr="00272261" w:rsidRDefault="00964144" w:rsidP="00E57161">
      <w:pPr>
        <w:pStyle w:val="ListParagraph"/>
        <w:widowControl/>
        <w:numPr>
          <w:ilvl w:val="1"/>
          <w:numId w:val="2"/>
        </w:numPr>
        <w:rPr>
          <w:szCs w:val="22"/>
        </w:rPr>
      </w:pPr>
      <w:r w:rsidRPr="00272261">
        <w:rPr>
          <w:szCs w:val="22"/>
        </w:rPr>
        <w:t xml:space="preserve">While the financial estimates continue to assume a considerable increase in the CTEPH diagnosis rate (75% over 5 years), it is likely that net costs to government have been underestimated due to the predicted bosentan, ambrisentan, sildenafil and tadalafil cost offsets. </w:t>
      </w:r>
      <w:r w:rsidR="002F36A9" w:rsidRPr="00272261">
        <w:rPr>
          <w:szCs w:val="22"/>
        </w:rPr>
        <w:t xml:space="preserve">It is unlikely that the extent of </w:t>
      </w:r>
      <w:r w:rsidR="00A131A6" w:rsidRPr="00272261">
        <w:rPr>
          <w:szCs w:val="22"/>
        </w:rPr>
        <w:t>bosentan, ambrisentan, sildenafil and tadalafil</w:t>
      </w:r>
      <w:r w:rsidR="009C6FE5" w:rsidRPr="00272261">
        <w:rPr>
          <w:szCs w:val="22"/>
        </w:rPr>
        <w:t xml:space="preserve"> </w:t>
      </w:r>
      <w:r w:rsidR="00C60173" w:rsidRPr="00272261">
        <w:rPr>
          <w:szCs w:val="22"/>
        </w:rPr>
        <w:t>savings included in the re</w:t>
      </w:r>
      <w:r w:rsidR="00C60173" w:rsidRPr="00272261">
        <w:rPr>
          <w:szCs w:val="22"/>
        </w:rPr>
        <w:noBreakHyphen/>
      </w:r>
      <w:r w:rsidR="002F36A9" w:rsidRPr="00272261">
        <w:rPr>
          <w:szCs w:val="22"/>
        </w:rPr>
        <w:t>submission’s financial estimates will be realised, given that the majority of CTEPH patients are receiving treatment under compassionate use programs</w:t>
      </w:r>
      <w:r w:rsidR="00C4409D" w:rsidRPr="00272261">
        <w:rPr>
          <w:szCs w:val="22"/>
        </w:rPr>
        <w:t xml:space="preserve"> or being subsidised through private health funds</w:t>
      </w:r>
      <w:r w:rsidR="002F36A9" w:rsidRPr="00272261">
        <w:rPr>
          <w:szCs w:val="22"/>
        </w:rPr>
        <w:t>.</w:t>
      </w:r>
      <w:r w:rsidR="00B673FB" w:rsidRPr="00272261">
        <w:rPr>
          <w:szCs w:val="22"/>
        </w:rPr>
        <w:t xml:space="preserve"> In this regard,</w:t>
      </w:r>
      <w:r w:rsidRPr="00272261">
        <w:rPr>
          <w:szCs w:val="22"/>
        </w:rPr>
        <w:t xml:space="preserve"> it is worth noting that</w:t>
      </w:r>
      <w:r w:rsidR="00B673FB" w:rsidRPr="00272261">
        <w:rPr>
          <w:szCs w:val="22"/>
        </w:rPr>
        <w:t xml:space="preserve"> the net financial cost</w:t>
      </w:r>
      <w:r w:rsidR="00234727" w:rsidRPr="00272261">
        <w:rPr>
          <w:szCs w:val="22"/>
        </w:rPr>
        <w:t xml:space="preserve"> to the PBS/RPBS of riociguat </w:t>
      </w:r>
      <w:r w:rsidR="00B673FB" w:rsidRPr="00272261">
        <w:rPr>
          <w:szCs w:val="22"/>
        </w:rPr>
        <w:t xml:space="preserve">was estimated to be </w:t>
      </w:r>
      <w:r w:rsidR="00117900">
        <w:rPr>
          <w:szCs w:val="22"/>
        </w:rPr>
        <w:t xml:space="preserve">$30-$60 million </w:t>
      </w:r>
      <w:r w:rsidR="00B673FB" w:rsidRPr="00272261">
        <w:rPr>
          <w:szCs w:val="22"/>
        </w:rPr>
        <w:t>over the first 5 years of listing.</w:t>
      </w:r>
    </w:p>
    <w:p w:rsidR="00234727" w:rsidRPr="00272261" w:rsidRDefault="00234727" w:rsidP="00E57161">
      <w:pPr>
        <w:pStyle w:val="ListParagraph"/>
        <w:widowControl/>
        <w:numPr>
          <w:ilvl w:val="2"/>
          <w:numId w:val="2"/>
        </w:numPr>
        <w:ind w:left="993" w:hanging="284"/>
        <w:rPr>
          <w:szCs w:val="22"/>
        </w:rPr>
      </w:pPr>
      <w:r w:rsidRPr="00272261">
        <w:rPr>
          <w:szCs w:val="22"/>
        </w:rPr>
        <w:t xml:space="preserve">The </w:t>
      </w:r>
      <w:r w:rsidRPr="00272261">
        <w:rPr>
          <w:rFonts w:cstheme="minorHAnsi"/>
          <w:bCs/>
          <w:szCs w:val="22"/>
          <w:lang w:eastAsia="en-AU"/>
        </w:rPr>
        <w:t xml:space="preserve">PSCR (p4) acknowledged that some patients may currently be treated through compassionate use programs, but there are no estimates available regarding the total number of patients. Given the practical limits on the number of patients that could be enrolled in these programs, the PSCR argued that the majority of patients are likely to have been inappropriately classified as having pulmonary arterial hypertension to receive PBS subsidised treatment. </w:t>
      </w:r>
    </w:p>
    <w:p w:rsidR="00C76256" w:rsidRPr="00272261" w:rsidRDefault="00C76256" w:rsidP="00E57161">
      <w:pPr>
        <w:pStyle w:val="ListParagraph"/>
        <w:widowControl/>
        <w:rPr>
          <w:szCs w:val="22"/>
        </w:rPr>
      </w:pPr>
    </w:p>
    <w:p w:rsidR="00B220FE" w:rsidRPr="00272261" w:rsidRDefault="00740F3A" w:rsidP="00E57161">
      <w:pPr>
        <w:pStyle w:val="ListParagraph"/>
        <w:widowControl/>
        <w:numPr>
          <w:ilvl w:val="1"/>
          <w:numId w:val="2"/>
        </w:numPr>
        <w:rPr>
          <w:szCs w:val="22"/>
        </w:rPr>
      </w:pPr>
      <w:r w:rsidRPr="00272261">
        <w:rPr>
          <w:szCs w:val="22"/>
        </w:rPr>
        <w:t>Sensitivity analyses indicate</w:t>
      </w:r>
      <w:r w:rsidR="0017044B" w:rsidRPr="00272261">
        <w:rPr>
          <w:szCs w:val="22"/>
        </w:rPr>
        <w:t>d that the financial estimates we</w:t>
      </w:r>
      <w:r w:rsidRPr="00272261">
        <w:rPr>
          <w:szCs w:val="22"/>
        </w:rPr>
        <w:t>re most sensitive to the proportion of patients switching from PBS subsidised bosentan, ambrisentan, sildenafil and tadalafil</w:t>
      </w:r>
      <w:r w:rsidR="0017044B" w:rsidRPr="00272261">
        <w:rPr>
          <w:szCs w:val="22"/>
        </w:rPr>
        <w:t>, a</w:t>
      </w:r>
      <w:r w:rsidR="007C3F7A" w:rsidRPr="00272261">
        <w:rPr>
          <w:szCs w:val="22"/>
        </w:rPr>
        <w:t>nd to the CTEPH diagnosis rate.</w:t>
      </w:r>
      <w:r w:rsidR="0017044B" w:rsidRPr="00272261">
        <w:rPr>
          <w:szCs w:val="22"/>
        </w:rPr>
        <w:t xml:space="preserve"> R</w:t>
      </w:r>
      <w:r w:rsidRPr="00272261">
        <w:rPr>
          <w:szCs w:val="22"/>
        </w:rPr>
        <w:t>educing the switching rate by half resulted in costs that were 1.15 times greater over 5 years when compared to the base case</w:t>
      </w:r>
      <w:r w:rsidR="007C3F7A" w:rsidRPr="00272261">
        <w:rPr>
          <w:szCs w:val="22"/>
        </w:rPr>
        <w:t>.</w:t>
      </w:r>
      <w:r w:rsidR="0017044B" w:rsidRPr="00272261">
        <w:rPr>
          <w:szCs w:val="22"/>
        </w:rPr>
        <w:t xml:space="preserve"> Assuming that the diagnosis rate increase</w:t>
      </w:r>
      <w:r w:rsidR="00272261">
        <w:rPr>
          <w:szCs w:val="22"/>
        </w:rPr>
        <w:t>d</w:t>
      </w:r>
      <w:r w:rsidR="0017044B" w:rsidRPr="00272261">
        <w:rPr>
          <w:szCs w:val="22"/>
        </w:rPr>
        <w:t xml:space="preserve"> by only 37.5% over 5 years, rather than by 75% r</w:t>
      </w:r>
      <w:r w:rsidRPr="00272261">
        <w:rPr>
          <w:szCs w:val="22"/>
        </w:rPr>
        <w:t xml:space="preserve">esulted in an </w:t>
      </w:r>
      <w:r w:rsidR="00EF7FDB">
        <w:rPr>
          <w:noProof/>
          <w:color w:val="000000"/>
          <w:szCs w:val="22"/>
          <w:highlight w:val="black"/>
        </w:rPr>
        <w:t>''''''</w:t>
      </w:r>
      <w:r w:rsidRPr="00272261">
        <w:rPr>
          <w:szCs w:val="22"/>
        </w:rPr>
        <w:t>% reduction in costs over 5 years w</w:t>
      </w:r>
      <w:r w:rsidR="007C3F7A" w:rsidRPr="00272261">
        <w:rPr>
          <w:szCs w:val="22"/>
        </w:rPr>
        <w:t>hen compared to the base case.</w:t>
      </w:r>
    </w:p>
    <w:p w:rsidR="00274C7F" w:rsidRPr="00272261" w:rsidRDefault="00274C7F" w:rsidP="00E57161">
      <w:pPr>
        <w:pStyle w:val="BodyText"/>
        <w:widowControl/>
        <w:rPr>
          <w:i/>
          <w:szCs w:val="22"/>
        </w:rPr>
      </w:pPr>
    </w:p>
    <w:p w:rsidR="00B220FE" w:rsidRPr="00272261" w:rsidRDefault="00B220FE" w:rsidP="00EA15BC">
      <w:pPr>
        <w:pStyle w:val="BodyText"/>
        <w:widowControl/>
        <w:ind w:firstLine="720"/>
        <w:rPr>
          <w:szCs w:val="22"/>
        </w:rPr>
      </w:pPr>
      <w:r w:rsidRPr="00272261">
        <w:rPr>
          <w:i/>
          <w:szCs w:val="22"/>
        </w:rPr>
        <w:t>For more detail on PBAC’s view, see section 7 “PBAC outcome”</w:t>
      </w:r>
    </w:p>
    <w:p w:rsidR="00EA4F62" w:rsidRPr="00272261" w:rsidRDefault="00EA4F62" w:rsidP="00E57161">
      <w:pPr>
        <w:widowControl/>
        <w:rPr>
          <w:szCs w:val="22"/>
        </w:rPr>
      </w:pPr>
    </w:p>
    <w:p w:rsidR="00B220FE" w:rsidRPr="00272261" w:rsidRDefault="00B220FE" w:rsidP="00E57161">
      <w:pPr>
        <w:widowControl/>
        <w:rPr>
          <w:bCs/>
          <w:szCs w:val="22"/>
        </w:rPr>
      </w:pPr>
    </w:p>
    <w:p w:rsidR="00B220FE" w:rsidRPr="009532E4" w:rsidRDefault="00B220FE" w:rsidP="009532E4">
      <w:pPr>
        <w:pStyle w:val="Heading1"/>
        <w:rPr>
          <w:bCs/>
        </w:rPr>
      </w:pPr>
      <w:r w:rsidRPr="009532E4">
        <w:rPr>
          <w:bCs/>
        </w:rPr>
        <w:t>PBAC Outcome</w:t>
      </w:r>
    </w:p>
    <w:p w:rsidR="009C7BEC" w:rsidRPr="00272261" w:rsidRDefault="009C7BEC" w:rsidP="00E57161">
      <w:pPr>
        <w:widowControl/>
        <w:ind w:left="720"/>
        <w:contextualSpacing/>
        <w:rPr>
          <w:bCs/>
          <w:szCs w:val="22"/>
        </w:rPr>
      </w:pPr>
    </w:p>
    <w:p w:rsidR="00B220FE" w:rsidRPr="00272261" w:rsidRDefault="00B220FE" w:rsidP="00E57161">
      <w:pPr>
        <w:widowControl/>
        <w:numPr>
          <w:ilvl w:val="1"/>
          <w:numId w:val="20"/>
        </w:numPr>
        <w:contextualSpacing/>
        <w:rPr>
          <w:bCs/>
          <w:szCs w:val="22"/>
        </w:rPr>
      </w:pPr>
      <w:r w:rsidRPr="00272261">
        <w:rPr>
          <w:bCs/>
          <w:szCs w:val="22"/>
        </w:rPr>
        <w:t xml:space="preserve">The PBAC recommended the listing of </w:t>
      </w:r>
      <w:r w:rsidR="009C7BEC" w:rsidRPr="00272261">
        <w:rPr>
          <w:bCs/>
          <w:szCs w:val="22"/>
        </w:rPr>
        <w:t>riociguat</w:t>
      </w:r>
      <w:r w:rsidRPr="00272261">
        <w:rPr>
          <w:bCs/>
          <w:szCs w:val="22"/>
        </w:rPr>
        <w:t>, on the basis that it should be available only under special arrangements under Section 100</w:t>
      </w:r>
      <w:r w:rsidR="009C7BEC" w:rsidRPr="00272261">
        <w:rPr>
          <w:bCs/>
          <w:szCs w:val="22"/>
        </w:rPr>
        <w:t xml:space="preserve"> (Highly Specialised Drugs Programme) </w:t>
      </w:r>
      <w:r w:rsidR="000D65DF" w:rsidRPr="00272261">
        <w:rPr>
          <w:bCs/>
          <w:szCs w:val="22"/>
        </w:rPr>
        <w:t>for the treatment of patients with inoperable CTEPH or persistent CTEPH subsequent to pulmonary endarterectomy</w:t>
      </w:r>
      <w:r w:rsidR="00F954B4" w:rsidRPr="00272261">
        <w:rPr>
          <w:bCs/>
          <w:szCs w:val="22"/>
        </w:rPr>
        <w:t xml:space="preserve"> under certain conditions (see recommended listing)</w:t>
      </w:r>
      <w:r w:rsidR="000D65DF" w:rsidRPr="00272261">
        <w:rPr>
          <w:bCs/>
          <w:szCs w:val="22"/>
        </w:rPr>
        <w:t>.</w:t>
      </w:r>
    </w:p>
    <w:p w:rsidR="00B220FE" w:rsidRPr="00272261" w:rsidRDefault="00B220FE" w:rsidP="00E57161">
      <w:pPr>
        <w:widowControl/>
        <w:ind w:left="720"/>
        <w:contextualSpacing/>
        <w:rPr>
          <w:bCs/>
          <w:szCs w:val="22"/>
        </w:rPr>
      </w:pPr>
    </w:p>
    <w:p w:rsidR="00B220FE" w:rsidRPr="00272261" w:rsidRDefault="00CF331F" w:rsidP="00CF331F">
      <w:pPr>
        <w:widowControl/>
        <w:numPr>
          <w:ilvl w:val="1"/>
          <w:numId w:val="20"/>
        </w:numPr>
        <w:contextualSpacing/>
        <w:rPr>
          <w:bCs/>
          <w:szCs w:val="22"/>
        </w:rPr>
      </w:pPr>
      <w:r w:rsidRPr="00272261">
        <w:rPr>
          <w:bCs/>
          <w:szCs w:val="22"/>
        </w:rPr>
        <w:t xml:space="preserve">The PBAC previously accepted that placebo is the appropriate comparator in this place of therapy, while noting that other PAH treatments such as bosentan and sildenafil may be used off-label in clinical practice. </w:t>
      </w:r>
      <w:r w:rsidR="00170E66" w:rsidRPr="00272261">
        <w:rPr>
          <w:bCs/>
          <w:szCs w:val="22"/>
        </w:rPr>
        <w:t>The PBAC wa</w:t>
      </w:r>
      <w:r w:rsidR="00B220FE" w:rsidRPr="00272261">
        <w:rPr>
          <w:bCs/>
          <w:szCs w:val="22"/>
        </w:rPr>
        <w:t xml:space="preserve">s satisfied that </w:t>
      </w:r>
      <w:r w:rsidR="009C7BEC" w:rsidRPr="00272261">
        <w:rPr>
          <w:bCs/>
          <w:szCs w:val="22"/>
        </w:rPr>
        <w:t xml:space="preserve">riociguat </w:t>
      </w:r>
      <w:r w:rsidR="00B220FE" w:rsidRPr="00272261">
        <w:rPr>
          <w:bCs/>
          <w:szCs w:val="22"/>
        </w:rPr>
        <w:t xml:space="preserve">provides, for some patients, a significant improvement in efficacy over </w:t>
      </w:r>
      <w:r w:rsidR="009C7BEC" w:rsidRPr="00272261">
        <w:rPr>
          <w:bCs/>
          <w:szCs w:val="22"/>
        </w:rPr>
        <w:t>placebo</w:t>
      </w:r>
      <w:r w:rsidR="00B220FE" w:rsidRPr="00272261">
        <w:rPr>
          <w:bCs/>
          <w:szCs w:val="22"/>
        </w:rPr>
        <w:t>.</w:t>
      </w:r>
    </w:p>
    <w:p w:rsidR="00F7733C" w:rsidRPr="00272261" w:rsidRDefault="00F7733C" w:rsidP="00F7733C">
      <w:pPr>
        <w:pStyle w:val="ListParagraph"/>
        <w:rPr>
          <w:bCs/>
          <w:szCs w:val="22"/>
        </w:rPr>
      </w:pPr>
    </w:p>
    <w:p w:rsidR="00CF331F" w:rsidRPr="00272261" w:rsidRDefault="00CF331F" w:rsidP="00CF331F">
      <w:pPr>
        <w:widowControl/>
        <w:numPr>
          <w:ilvl w:val="1"/>
          <w:numId w:val="20"/>
        </w:numPr>
        <w:contextualSpacing/>
        <w:rPr>
          <w:bCs/>
          <w:szCs w:val="22"/>
        </w:rPr>
      </w:pPr>
      <w:r w:rsidRPr="00272261">
        <w:rPr>
          <w:bCs/>
          <w:szCs w:val="22"/>
        </w:rPr>
        <w:t xml:space="preserve">The PBAC noted that the re-submission proposed that the requirement </w:t>
      </w:r>
      <w:r w:rsidR="00170E66" w:rsidRPr="00272261">
        <w:rPr>
          <w:bCs/>
          <w:szCs w:val="22"/>
        </w:rPr>
        <w:t>for assessment of operability be</w:t>
      </w:r>
      <w:r w:rsidRPr="00272261">
        <w:rPr>
          <w:bCs/>
          <w:szCs w:val="22"/>
        </w:rPr>
        <w:t xml:space="preserve"> confirmed by a local expert PEA centre and that the initial and continuing response measurements appropriately included RHC, PAPmean, ECHO and 6MWT. The PBAC noted that the sponsor intends for riociguat </w:t>
      </w:r>
      <w:r w:rsidRPr="00272261">
        <w:rPr>
          <w:bCs/>
          <w:szCs w:val="22"/>
        </w:rPr>
        <w:lastRenderedPageBreak/>
        <w:t xml:space="preserve">to be listed </w:t>
      </w:r>
      <w:r w:rsidR="00170E66" w:rsidRPr="00272261">
        <w:rPr>
          <w:bCs/>
          <w:szCs w:val="22"/>
        </w:rPr>
        <w:t xml:space="preserve">on the PBS </w:t>
      </w:r>
      <w:r w:rsidRPr="00272261">
        <w:rPr>
          <w:bCs/>
          <w:szCs w:val="22"/>
        </w:rPr>
        <w:t xml:space="preserve">for PAH </w:t>
      </w:r>
      <w:r w:rsidR="00170E66" w:rsidRPr="00272261">
        <w:rPr>
          <w:bCs/>
          <w:szCs w:val="22"/>
        </w:rPr>
        <w:t xml:space="preserve">(recommended in </w:t>
      </w:r>
      <w:r w:rsidR="006A6D1E" w:rsidRPr="00272261">
        <w:rPr>
          <w:bCs/>
          <w:szCs w:val="22"/>
        </w:rPr>
        <w:t xml:space="preserve">March 2014) </w:t>
      </w:r>
      <w:r w:rsidRPr="00272261">
        <w:rPr>
          <w:bCs/>
          <w:szCs w:val="22"/>
        </w:rPr>
        <w:t>at the same time</w:t>
      </w:r>
      <w:r w:rsidR="006A6D1E" w:rsidRPr="00272261">
        <w:rPr>
          <w:bCs/>
          <w:szCs w:val="22"/>
        </w:rPr>
        <w:t xml:space="preserve"> as CTEPH</w:t>
      </w:r>
      <w:r w:rsidRPr="00272261">
        <w:rPr>
          <w:bCs/>
          <w:szCs w:val="22"/>
        </w:rPr>
        <w:t>. The restriction for PAH is yet to be finalised. The PBAC considered that the restrictions for the CTEPH and PAH indications are complex and will require consultation with the Restrictions Working Group.</w:t>
      </w:r>
    </w:p>
    <w:p w:rsidR="009C7BEC" w:rsidRPr="00272261" w:rsidRDefault="009C7BEC" w:rsidP="00E57161">
      <w:pPr>
        <w:pStyle w:val="ListParagraph"/>
        <w:widowControl/>
        <w:rPr>
          <w:bCs/>
          <w:szCs w:val="22"/>
        </w:rPr>
      </w:pPr>
    </w:p>
    <w:p w:rsidR="009C7BEC" w:rsidRPr="00272261" w:rsidRDefault="009C7BEC" w:rsidP="00E57161">
      <w:pPr>
        <w:widowControl/>
        <w:numPr>
          <w:ilvl w:val="1"/>
          <w:numId w:val="20"/>
        </w:numPr>
        <w:contextualSpacing/>
        <w:rPr>
          <w:bCs/>
          <w:szCs w:val="22"/>
        </w:rPr>
      </w:pPr>
      <w:r w:rsidRPr="00272261">
        <w:rPr>
          <w:bCs/>
          <w:szCs w:val="22"/>
        </w:rPr>
        <w:t xml:space="preserve">The PBAC noted that as per the November 2014 </w:t>
      </w:r>
      <w:r w:rsidR="00F11B26" w:rsidRPr="00272261">
        <w:rPr>
          <w:bCs/>
          <w:szCs w:val="22"/>
        </w:rPr>
        <w:t xml:space="preserve">and July 2015 </w:t>
      </w:r>
      <w:r w:rsidRPr="00272261">
        <w:rPr>
          <w:bCs/>
          <w:szCs w:val="22"/>
        </w:rPr>
        <w:t>submission</w:t>
      </w:r>
      <w:r w:rsidR="00F11B26" w:rsidRPr="00272261">
        <w:rPr>
          <w:bCs/>
          <w:szCs w:val="22"/>
        </w:rPr>
        <w:t>s, the re</w:t>
      </w:r>
      <w:r w:rsidR="00F11B26" w:rsidRPr="00272261">
        <w:rPr>
          <w:bCs/>
          <w:szCs w:val="22"/>
        </w:rPr>
        <w:noBreakHyphen/>
      </w:r>
      <w:r w:rsidRPr="00272261">
        <w:rPr>
          <w:bCs/>
          <w:szCs w:val="22"/>
        </w:rPr>
        <w:t xml:space="preserve">submission was based on one head-to-head trial (CHEST-1) comparing riociguat to placebo and one supplementary extension study (CHEST-2). The PBAC noted the mean difference in 6MWD of 45.7 metres for patients treated with riociguat, compared with placebo, was within the previously accepted </w:t>
      </w:r>
      <w:r w:rsidR="000D65DF" w:rsidRPr="00272261">
        <w:rPr>
          <w:bCs/>
          <w:szCs w:val="22"/>
        </w:rPr>
        <w:t xml:space="preserve">MCID of 35 to </w:t>
      </w:r>
      <w:r w:rsidRPr="00272261">
        <w:rPr>
          <w:bCs/>
          <w:szCs w:val="22"/>
        </w:rPr>
        <w:t>50 metres. The PBAC further noted the statistically significant improvement of at least one WHO functional class associated with riociguat, compared with placebo.</w:t>
      </w:r>
    </w:p>
    <w:p w:rsidR="009C7BEC" w:rsidRPr="00272261" w:rsidRDefault="009C7BEC" w:rsidP="00E57161">
      <w:pPr>
        <w:pStyle w:val="ListParagraph"/>
        <w:widowControl/>
        <w:rPr>
          <w:bCs/>
          <w:szCs w:val="22"/>
        </w:rPr>
      </w:pPr>
    </w:p>
    <w:p w:rsidR="009C7BEC" w:rsidRPr="00272261" w:rsidRDefault="009C7BEC" w:rsidP="00E57161">
      <w:pPr>
        <w:widowControl/>
        <w:numPr>
          <w:ilvl w:val="1"/>
          <w:numId w:val="20"/>
        </w:numPr>
        <w:contextualSpacing/>
        <w:rPr>
          <w:bCs/>
          <w:szCs w:val="22"/>
        </w:rPr>
      </w:pPr>
      <w:r w:rsidRPr="00272261">
        <w:rPr>
          <w:bCs/>
          <w:szCs w:val="22"/>
        </w:rPr>
        <w:t xml:space="preserve">The PBAC noted the statistically significant increase in incidence of dizziness and hypotension in the riociguat treatment group, compared with placebo. In this regard, the PBAC considered that riociguat </w:t>
      </w:r>
      <w:r w:rsidR="00272261">
        <w:rPr>
          <w:bCs/>
          <w:szCs w:val="22"/>
        </w:rPr>
        <w:t xml:space="preserve">has </w:t>
      </w:r>
      <w:r w:rsidRPr="00272261">
        <w:rPr>
          <w:bCs/>
          <w:szCs w:val="22"/>
        </w:rPr>
        <w:t>inferior comparative safety</w:t>
      </w:r>
      <w:r w:rsidR="00272261">
        <w:rPr>
          <w:bCs/>
          <w:szCs w:val="22"/>
        </w:rPr>
        <w:t xml:space="preserve"> to </w:t>
      </w:r>
      <w:r w:rsidRPr="00272261">
        <w:rPr>
          <w:bCs/>
          <w:szCs w:val="22"/>
        </w:rPr>
        <w:t>placebo. However, the PBAC considered that these adverse events would be unlikely to deter patients with inoperable CTEPH or persistent CTEPH following PEA without other treatment options from being treated with riociguat.</w:t>
      </w:r>
    </w:p>
    <w:p w:rsidR="00C563D4" w:rsidRPr="00272261" w:rsidRDefault="00C563D4" w:rsidP="00C563D4">
      <w:pPr>
        <w:pStyle w:val="ListParagraph"/>
        <w:rPr>
          <w:bCs/>
          <w:szCs w:val="22"/>
          <w:highlight w:val="yellow"/>
        </w:rPr>
      </w:pPr>
    </w:p>
    <w:p w:rsidR="00C563D4" w:rsidRPr="00272261" w:rsidRDefault="00075AD5" w:rsidP="00CF331F">
      <w:pPr>
        <w:widowControl/>
        <w:numPr>
          <w:ilvl w:val="1"/>
          <w:numId w:val="20"/>
        </w:numPr>
        <w:contextualSpacing/>
        <w:rPr>
          <w:bCs/>
          <w:szCs w:val="22"/>
        </w:rPr>
      </w:pPr>
      <w:r w:rsidRPr="00272261">
        <w:rPr>
          <w:bCs/>
          <w:szCs w:val="22"/>
        </w:rPr>
        <w:t xml:space="preserve">The resubmission addressed some of the PBAC’s previous concerns with the model structure, including the previous disconnect between the clinical data (which was based on 6MWD) and the </w:t>
      </w:r>
      <w:r w:rsidR="00077337" w:rsidRPr="00272261">
        <w:rPr>
          <w:bCs/>
          <w:szCs w:val="22"/>
        </w:rPr>
        <w:t xml:space="preserve">model (which was based on a relationship </w:t>
      </w:r>
      <w:r w:rsidRPr="00272261">
        <w:rPr>
          <w:bCs/>
          <w:szCs w:val="22"/>
        </w:rPr>
        <w:t xml:space="preserve">between WHO </w:t>
      </w:r>
      <w:r w:rsidR="00077337" w:rsidRPr="00272261">
        <w:rPr>
          <w:bCs/>
          <w:szCs w:val="22"/>
        </w:rPr>
        <w:t>functional class</w:t>
      </w:r>
      <w:r w:rsidRPr="00272261">
        <w:rPr>
          <w:bCs/>
          <w:szCs w:val="22"/>
        </w:rPr>
        <w:t xml:space="preserve"> and survival</w:t>
      </w:r>
      <w:r w:rsidR="00077337" w:rsidRPr="00272261">
        <w:rPr>
          <w:bCs/>
          <w:szCs w:val="22"/>
        </w:rPr>
        <w:t xml:space="preserve">). In addition, the re-submission </w:t>
      </w:r>
      <w:r w:rsidRPr="00272261">
        <w:rPr>
          <w:bCs/>
          <w:szCs w:val="22"/>
        </w:rPr>
        <w:t xml:space="preserve">modelled patients with inoperable CTEPH and those with persistent CTEPH following surgery separately. The PBAC agreed with the ESC that the </w:t>
      </w:r>
      <w:r w:rsidR="00077337" w:rsidRPr="00272261">
        <w:rPr>
          <w:bCs/>
          <w:szCs w:val="22"/>
        </w:rPr>
        <w:t xml:space="preserve">reliability of the model </w:t>
      </w:r>
      <w:r w:rsidR="008224F1" w:rsidRPr="00272261">
        <w:rPr>
          <w:bCs/>
          <w:szCs w:val="22"/>
        </w:rPr>
        <w:t>remained somewhat</w:t>
      </w:r>
      <w:r w:rsidR="00077337" w:rsidRPr="00272261">
        <w:rPr>
          <w:bCs/>
          <w:szCs w:val="22"/>
        </w:rPr>
        <w:t xml:space="preserve"> </w:t>
      </w:r>
      <w:r w:rsidR="00077337" w:rsidRPr="00C30B39">
        <w:rPr>
          <w:bCs/>
          <w:szCs w:val="22"/>
        </w:rPr>
        <w:t xml:space="preserve">compromised by the factors discussed in paragraph 6.20. While noting the limitations in the available data, however, the PBAC considered that the </w:t>
      </w:r>
      <w:r w:rsidR="008224F1" w:rsidRPr="00C30B39">
        <w:rPr>
          <w:bCs/>
          <w:szCs w:val="22"/>
        </w:rPr>
        <w:t xml:space="preserve">most appropriate </w:t>
      </w:r>
      <w:r w:rsidR="00077337" w:rsidRPr="00C30B39">
        <w:rPr>
          <w:bCs/>
          <w:szCs w:val="22"/>
        </w:rPr>
        <w:t xml:space="preserve">ICER </w:t>
      </w:r>
      <w:r w:rsidR="008224F1" w:rsidRPr="00C30B39">
        <w:rPr>
          <w:bCs/>
          <w:szCs w:val="22"/>
        </w:rPr>
        <w:t xml:space="preserve">for decision making </w:t>
      </w:r>
      <w:r w:rsidR="00077337" w:rsidRPr="00C30B39">
        <w:rPr>
          <w:bCs/>
          <w:szCs w:val="22"/>
        </w:rPr>
        <w:t xml:space="preserve">may be around </w:t>
      </w:r>
      <w:r w:rsidR="004C7296">
        <w:rPr>
          <w:bCs/>
          <w:szCs w:val="22"/>
        </w:rPr>
        <w:t>$45,000/QALY - $75,000/QALY</w:t>
      </w:r>
      <w:r w:rsidR="00077337" w:rsidRPr="00C30B39">
        <w:rPr>
          <w:bCs/>
          <w:szCs w:val="22"/>
        </w:rPr>
        <w:t xml:space="preserve"> (see paragraph 6.29). I</w:t>
      </w:r>
      <w:r w:rsidRPr="00C30B39">
        <w:rPr>
          <w:bCs/>
          <w:szCs w:val="22"/>
        </w:rPr>
        <w:t>n the</w:t>
      </w:r>
      <w:r w:rsidRPr="00272261">
        <w:rPr>
          <w:bCs/>
          <w:szCs w:val="22"/>
        </w:rPr>
        <w:t xml:space="preserve"> context of the clinical need for an effective treatment for this condition, the small patient population</w:t>
      </w:r>
      <w:r w:rsidR="00077337" w:rsidRPr="00272261">
        <w:rPr>
          <w:bCs/>
          <w:szCs w:val="22"/>
        </w:rPr>
        <w:t>,</w:t>
      </w:r>
      <w:r w:rsidRPr="00272261">
        <w:rPr>
          <w:bCs/>
          <w:szCs w:val="22"/>
        </w:rPr>
        <w:t xml:space="preserve"> the </w:t>
      </w:r>
      <w:r w:rsidR="00077337" w:rsidRPr="00272261">
        <w:rPr>
          <w:bCs/>
          <w:szCs w:val="22"/>
        </w:rPr>
        <w:t xml:space="preserve">Authority Required (in-writing) </w:t>
      </w:r>
      <w:r w:rsidRPr="00272261">
        <w:rPr>
          <w:bCs/>
          <w:szCs w:val="22"/>
        </w:rPr>
        <w:t>continuation rule in the requested restriction,</w:t>
      </w:r>
      <w:r w:rsidR="00077337" w:rsidRPr="00272261">
        <w:rPr>
          <w:bCs/>
          <w:szCs w:val="22"/>
        </w:rPr>
        <w:t xml:space="preserve"> and</w:t>
      </w:r>
      <w:r w:rsidRPr="00272261">
        <w:rPr>
          <w:bCs/>
          <w:szCs w:val="22"/>
        </w:rPr>
        <w:t xml:space="preserve"> </w:t>
      </w:r>
      <w:r w:rsidR="00077337" w:rsidRPr="00272261">
        <w:rPr>
          <w:bCs/>
          <w:szCs w:val="22"/>
        </w:rPr>
        <w:t>the revised price offer in the pre</w:t>
      </w:r>
      <w:r w:rsidR="00077337" w:rsidRPr="00272261">
        <w:rPr>
          <w:bCs/>
          <w:szCs w:val="22"/>
        </w:rPr>
        <w:noBreakHyphen/>
        <w:t xml:space="preserve">PBAC response, </w:t>
      </w:r>
      <w:r w:rsidRPr="00272261">
        <w:rPr>
          <w:bCs/>
          <w:szCs w:val="22"/>
        </w:rPr>
        <w:t xml:space="preserve">the PBAC pragmatically considered </w:t>
      </w:r>
      <w:r w:rsidR="00077337" w:rsidRPr="00272261">
        <w:rPr>
          <w:bCs/>
          <w:szCs w:val="22"/>
        </w:rPr>
        <w:t>that the cost-effectiveness was acceptable</w:t>
      </w:r>
      <w:r w:rsidR="008224F1" w:rsidRPr="00272261">
        <w:rPr>
          <w:bCs/>
          <w:szCs w:val="22"/>
        </w:rPr>
        <w:t xml:space="preserve"> enough to allow recommendation</w:t>
      </w:r>
      <w:r w:rsidR="00077337" w:rsidRPr="00272261">
        <w:rPr>
          <w:bCs/>
          <w:szCs w:val="22"/>
        </w:rPr>
        <w:t xml:space="preserve"> in this instance</w:t>
      </w:r>
      <w:r w:rsidRPr="00272261">
        <w:rPr>
          <w:bCs/>
          <w:szCs w:val="22"/>
        </w:rPr>
        <w:t>.</w:t>
      </w:r>
    </w:p>
    <w:p w:rsidR="00B220FE" w:rsidRPr="00272261" w:rsidRDefault="00B220FE" w:rsidP="00E57161">
      <w:pPr>
        <w:widowControl/>
        <w:ind w:left="720"/>
        <w:contextualSpacing/>
        <w:rPr>
          <w:bCs/>
          <w:szCs w:val="22"/>
          <w:highlight w:val="yellow"/>
        </w:rPr>
      </w:pPr>
    </w:p>
    <w:p w:rsidR="00597A15" w:rsidRPr="00272261" w:rsidRDefault="008224F1" w:rsidP="008224F1">
      <w:pPr>
        <w:widowControl/>
        <w:numPr>
          <w:ilvl w:val="1"/>
          <w:numId w:val="20"/>
        </w:numPr>
        <w:contextualSpacing/>
        <w:rPr>
          <w:bCs/>
          <w:szCs w:val="22"/>
        </w:rPr>
      </w:pPr>
      <w:r w:rsidRPr="00272261">
        <w:rPr>
          <w:bCs/>
          <w:szCs w:val="22"/>
        </w:rPr>
        <w:t xml:space="preserve">The PBAC noted the financial estimates will need to be revised to take into account the revised price offer in the pre-PBAC response. In addition, the financial estimates should reflect a reduced proportion of patients switching from off-label therapies given that the majority of patients are </w:t>
      </w:r>
      <w:r w:rsidR="000D65DF" w:rsidRPr="00272261">
        <w:rPr>
          <w:bCs/>
          <w:szCs w:val="22"/>
        </w:rPr>
        <w:t xml:space="preserve">likely to be </w:t>
      </w:r>
      <w:r w:rsidRPr="00272261">
        <w:rPr>
          <w:bCs/>
          <w:szCs w:val="22"/>
        </w:rPr>
        <w:t>receiving treatment under compassionate use programs or being subsidised through private health funds (as opposed to the PBS).</w:t>
      </w:r>
    </w:p>
    <w:p w:rsidR="00B220FE" w:rsidRPr="00272261" w:rsidRDefault="00B220FE" w:rsidP="00E57161">
      <w:pPr>
        <w:widowControl/>
        <w:ind w:left="720"/>
        <w:contextualSpacing/>
        <w:rPr>
          <w:bCs/>
          <w:szCs w:val="22"/>
        </w:rPr>
      </w:pPr>
    </w:p>
    <w:p w:rsidR="00B220FE" w:rsidRPr="00272261" w:rsidRDefault="00B220FE" w:rsidP="00E57161">
      <w:pPr>
        <w:widowControl/>
        <w:numPr>
          <w:ilvl w:val="1"/>
          <w:numId w:val="20"/>
        </w:numPr>
        <w:contextualSpacing/>
        <w:rPr>
          <w:bCs/>
          <w:szCs w:val="22"/>
        </w:rPr>
      </w:pPr>
      <w:r w:rsidRPr="00272261">
        <w:rPr>
          <w:bCs/>
          <w:szCs w:val="22"/>
        </w:rPr>
        <w:t xml:space="preserve">The PBAC advised that </w:t>
      </w:r>
      <w:r w:rsidR="00597A15" w:rsidRPr="00272261">
        <w:rPr>
          <w:bCs/>
          <w:szCs w:val="22"/>
        </w:rPr>
        <w:t>riociguat</w:t>
      </w:r>
      <w:r w:rsidRPr="00272261">
        <w:rPr>
          <w:bCs/>
          <w:szCs w:val="22"/>
        </w:rPr>
        <w:t xml:space="preserve"> is not suitable for prescribing by nurse practitioners.</w:t>
      </w:r>
    </w:p>
    <w:p w:rsidR="00B220FE" w:rsidRPr="00272261" w:rsidRDefault="00B220FE" w:rsidP="00E57161">
      <w:pPr>
        <w:widowControl/>
        <w:ind w:left="720"/>
        <w:contextualSpacing/>
        <w:rPr>
          <w:bCs/>
          <w:szCs w:val="22"/>
        </w:rPr>
      </w:pPr>
    </w:p>
    <w:p w:rsidR="00B220FE" w:rsidRPr="00272261" w:rsidRDefault="00B220FE" w:rsidP="00E57161">
      <w:pPr>
        <w:widowControl/>
        <w:numPr>
          <w:ilvl w:val="1"/>
          <w:numId w:val="20"/>
        </w:numPr>
        <w:contextualSpacing/>
        <w:rPr>
          <w:bCs/>
          <w:szCs w:val="22"/>
        </w:rPr>
      </w:pPr>
      <w:r w:rsidRPr="00272261">
        <w:rPr>
          <w:bCs/>
          <w:szCs w:val="22"/>
        </w:rPr>
        <w:t xml:space="preserve">The PBAC </w:t>
      </w:r>
      <w:r w:rsidR="00597A15" w:rsidRPr="00272261">
        <w:rPr>
          <w:bCs/>
          <w:szCs w:val="22"/>
        </w:rPr>
        <w:t xml:space="preserve">noted that the Early Supply Rule does not currently apply to Section 100 (Highly Specialised Drugs Programme) listings. The PBAC </w:t>
      </w:r>
      <w:r w:rsidRPr="00272261">
        <w:rPr>
          <w:bCs/>
          <w:szCs w:val="22"/>
        </w:rPr>
        <w:t xml:space="preserve">recommended that </w:t>
      </w:r>
      <w:r w:rsidR="00597A15" w:rsidRPr="00272261">
        <w:rPr>
          <w:bCs/>
          <w:szCs w:val="22"/>
        </w:rPr>
        <w:t xml:space="preserve">if the Early Supply Rule is applied to Section 100 listings in the future, it </w:t>
      </w:r>
      <w:r w:rsidR="00852F9F">
        <w:rPr>
          <w:bCs/>
        </w:rPr>
        <w:t xml:space="preserve">should not be applied to drugs listed for CTEPH and PAH </w:t>
      </w:r>
      <w:r w:rsidR="00852F9F">
        <w:rPr>
          <w:bCs/>
          <w:szCs w:val="22"/>
        </w:rPr>
        <w:t xml:space="preserve">given that patient status can rapidly </w:t>
      </w:r>
      <w:r w:rsidR="004619F1">
        <w:rPr>
          <w:bCs/>
        </w:rPr>
        <w:t xml:space="preserve">deteriorate </w:t>
      </w:r>
      <w:r w:rsidR="00852F9F">
        <w:rPr>
          <w:bCs/>
          <w:szCs w:val="22"/>
        </w:rPr>
        <w:t>with these conditions</w:t>
      </w:r>
      <w:r w:rsidRPr="00272261">
        <w:rPr>
          <w:bCs/>
          <w:szCs w:val="22"/>
        </w:rPr>
        <w:t xml:space="preserve">. </w:t>
      </w:r>
    </w:p>
    <w:p w:rsidR="00B220FE" w:rsidRPr="00272261" w:rsidRDefault="00B220FE" w:rsidP="00E57161">
      <w:pPr>
        <w:pStyle w:val="ListParagraph"/>
        <w:widowControl/>
        <w:rPr>
          <w:bCs/>
          <w:szCs w:val="22"/>
          <w:highlight w:val="yellow"/>
        </w:rPr>
      </w:pPr>
    </w:p>
    <w:p w:rsidR="005F206D" w:rsidRPr="00272261" w:rsidRDefault="005F206D" w:rsidP="005F206D">
      <w:pPr>
        <w:pStyle w:val="ListParagraph"/>
        <w:numPr>
          <w:ilvl w:val="1"/>
          <w:numId w:val="20"/>
        </w:numPr>
        <w:rPr>
          <w:bCs/>
          <w:szCs w:val="22"/>
        </w:rPr>
      </w:pPr>
      <w:r w:rsidRPr="00272261">
        <w:rPr>
          <w:bCs/>
          <w:szCs w:val="22"/>
        </w:rPr>
        <w:t xml:space="preserve">The PBAC recommended under Section 101(3BA) of the </w:t>
      </w:r>
      <w:r w:rsidRPr="00013575">
        <w:rPr>
          <w:bCs/>
          <w:i/>
          <w:szCs w:val="22"/>
        </w:rPr>
        <w:t>National Health Act</w:t>
      </w:r>
      <w:r w:rsidR="00013575" w:rsidRPr="00013575">
        <w:rPr>
          <w:bCs/>
          <w:i/>
          <w:szCs w:val="22"/>
        </w:rPr>
        <w:t xml:space="preserve"> 1953</w:t>
      </w:r>
      <w:r w:rsidRPr="00272261">
        <w:rPr>
          <w:bCs/>
          <w:szCs w:val="22"/>
        </w:rPr>
        <w:t xml:space="preserve">, </w:t>
      </w:r>
      <w:r w:rsidRPr="00272261">
        <w:rPr>
          <w:bCs/>
          <w:szCs w:val="22"/>
        </w:rPr>
        <w:lastRenderedPageBreak/>
        <w:t>that riociguat should not be treated as interchangeable on an individual patient basis with any other drugs or medicinal preparations.</w:t>
      </w:r>
    </w:p>
    <w:p w:rsidR="005F206D" w:rsidRPr="00272261" w:rsidRDefault="005F206D" w:rsidP="005F206D">
      <w:pPr>
        <w:widowControl/>
        <w:contextualSpacing/>
        <w:rPr>
          <w:bCs/>
          <w:szCs w:val="22"/>
        </w:rPr>
      </w:pPr>
    </w:p>
    <w:p w:rsidR="00B220FE" w:rsidRPr="00272261" w:rsidRDefault="00B220FE" w:rsidP="00E57161">
      <w:pPr>
        <w:widowControl/>
        <w:rPr>
          <w:b/>
          <w:bCs/>
          <w:szCs w:val="22"/>
          <w:highlight w:val="yellow"/>
        </w:rPr>
      </w:pPr>
    </w:p>
    <w:p w:rsidR="00B220FE" w:rsidRPr="00272261" w:rsidRDefault="00B220FE" w:rsidP="00E57161">
      <w:pPr>
        <w:widowControl/>
        <w:rPr>
          <w:b/>
          <w:bCs/>
          <w:szCs w:val="22"/>
        </w:rPr>
      </w:pPr>
      <w:r w:rsidRPr="00272261">
        <w:rPr>
          <w:b/>
          <w:bCs/>
          <w:szCs w:val="22"/>
        </w:rPr>
        <w:t>Outcome:</w:t>
      </w:r>
    </w:p>
    <w:p w:rsidR="00B220FE" w:rsidRPr="00272261" w:rsidRDefault="00B220FE" w:rsidP="00E57161">
      <w:pPr>
        <w:widowControl/>
        <w:rPr>
          <w:bCs/>
          <w:szCs w:val="22"/>
        </w:rPr>
      </w:pPr>
      <w:r w:rsidRPr="00272261">
        <w:rPr>
          <w:bCs/>
          <w:szCs w:val="22"/>
        </w:rPr>
        <w:t>Recommended</w:t>
      </w:r>
    </w:p>
    <w:p w:rsidR="00B220FE" w:rsidRPr="00272261" w:rsidRDefault="00B220FE" w:rsidP="00E57161">
      <w:pPr>
        <w:widowControl/>
        <w:rPr>
          <w:bCs/>
          <w:szCs w:val="22"/>
          <w:highlight w:val="yellow"/>
        </w:rPr>
      </w:pPr>
    </w:p>
    <w:p w:rsidR="00B220FE" w:rsidRPr="00272261" w:rsidRDefault="00B220FE" w:rsidP="00E57161">
      <w:pPr>
        <w:widowControl/>
        <w:rPr>
          <w:bCs/>
          <w:szCs w:val="22"/>
          <w:highlight w:val="yellow"/>
        </w:rPr>
      </w:pPr>
    </w:p>
    <w:p w:rsidR="00B220FE" w:rsidRPr="009532E4" w:rsidRDefault="00B220FE" w:rsidP="009532E4">
      <w:pPr>
        <w:pStyle w:val="Heading1"/>
        <w:rPr>
          <w:bCs/>
        </w:rPr>
      </w:pPr>
      <w:r w:rsidRPr="009532E4">
        <w:rPr>
          <w:bCs/>
        </w:rPr>
        <w:t>Recommended listing</w:t>
      </w:r>
    </w:p>
    <w:p w:rsidR="00B220FE" w:rsidRPr="00272261" w:rsidRDefault="00B220FE" w:rsidP="00E57161">
      <w:pPr>
        <w:widowControl/>
        <w:rPr>
          <w:b/>
          <w:bCs/>
          <w:i/>
          <w:szCs w:val="22"/>
        </w:rPr>
      </w:pPr>
    </w:p>
    <w:p w:rsidR="00247A47" w:rsidRDefault="00B220FE" w:rsidP="00E57161">
      <w:pPr>
        <w:widowControl/>
        <w:numPr>
          <w:ilvl w:val="1"/>
          <w:numId w:val="21"/>
        </w:numPr>
        <w:contextualSpacing/>
        <w:rPr>
          <w:bCs/>
          <w:szCs w:val="22"/>
        </w:rPr>
      </w:pPr>
      <w:r w:rsidRPr="00272261">
        <w:rPr>
          <w:bCs/>
          <w:szCs w:val="22"/>
        </w:rPr>
        <w:t>A</w:t>
      </w:r>
      <w:r w:rsidR="000757EE" w:rsidRPr="00272261">
        <w:rPr>
          <w:bCs/>
          <w:szCs w:val="22"/>
        </w:rPr>
        <w:t>dd new item</w:t>
      </w:r>
      <w:r w:rsidR="00630650">
        <w:rPr>
          <w:bCs/>
          <w:szCs w:val="22"/>
        </w:rPr>
        <w:t>. Restriction to be finalised.</w:t>
      </w:r>
    </w:p>
    <w:p w:rsidR="005C1076" w:rsidRDefault="005C1076" w:rsidP="005C1076">
      <w:pPr>
        <w:widowControl/>
        <w:contextualSpacing/>
        <w:rPr>
          <w:bCs/>
          <w:szCs w:val="22"/>
        </w:rPr>
      </w:pPr>
    </w:p>
    <w:p w:rsidR="005131B4" w:rsidRDefault="005131B4" w:rsidP="005C1076">
      <w:pPr>
        <w:widowControl/>
        <w:contextualSpacing/>
        <w:rPr>
          <w:bCs/>
          <w:szCs w:val="22"/>
        </w:rPr>
      </w:pPr>
    </w:p>
    <w:p w:rsidR="005131B4" w:rsidRDefault="005131B4" w:rsidP="005131B4">
      <w:pPr>
        <w:pStyle w:val="Heading1"/>
      </w:pPr>
      <w:r w:rsidRPr="00632206">
        <w:t>Context for Decision</w:t>
      </w:r>
    </w:p>
    <w:p w:rsidR="005131B4" w:rsidRDefault="005131B4" w:rsidP="005131B4">
      <w:pPr>
        <w:ind w:left="720"/>
      </w:pPr>
    </w:p>
    <w:p w:rsidR="005131B4" w:rsidRDefault="005131B4" w:rsidP="005131B4">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131B4" w:rsidRDefault="005131B4" w:rsidP="005131B4">
      <w:pPr>
        <w:ind w:left="720"/>
      </w:pPr>
    </w:p>
    <w:p w:rsidR="005131B4" w:rsidRDefault="005131B4" w:rsidP="005131B4">
      <w:pPr>
        <w:pStyle w:val="Heading1"/>
      </w:pPr>
      <w:r w:rsidRPr="00451386">
        <w:t>Sponsor’s Comment</w:t>
      </w:r>
    </w:p>
    <w:p w:rsidR="005131B4" w:rsidRDefault="005131B4" w:rsidP="005131B4">
      <w:pPr>
        <w:ind w:left="720"/>
        <w:rPr>
          <w:bCs/>
          <w:highlight w:val="yellow"/>
          <w:lang w:val="en-GB"/>
        </w:rPr>
      </w:pPr>
    </w:p>
    <w:p w:rsidR="0016044D" w:rsidRDefault="0016044D" w:rsidP="0016044D">
      <w:pPr>
        <w:spacing w:after="120"/>
        <w:ind w:left="720"/>
        <w:rPr>
          <w:bCs/>
        </w:rPr>
      </w:pPr>
      <w:r>
        <w:rPr>
          <w:bCs/>
          <w:lang w:val="en-GB"/>
        </w:rPr>
        <w:t>Bayer welcomes the recommendation from the PBAC to list riociguat on the PBS and will continue to work with the Department to bring access to patients suffering from this rare and severe disease.</w:t>
      </w:r>
    </w:p>
    <w:p w:rsidR="005C1076" w:rsidRDefault="005C1076" w:rsidP="005C1076">
      <w:pPr>
        <w:widowControl/>
        <w:contextualSpacing/>
        <w:rPr>
          <w:bCs/>
          <w:szCs w:val="22"/>
        </w:rPr>
      </w:pPr>
    </w:p>
    <w:sectPr w:rsidR="005C1076" w:rsidSect="005C107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D2" w:rsidRDefault="005565D2" w:rsidP="00124A51">
      <w:r>
        <w:separator/>
      </w:r>
    </w:p>
  </w:endnote>
  <w:endnote w:type="continuationSeparator" w:id="0">
    <w:p w:rsidR="005565D2" w:rsidRDefault="005565D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D2" w:rsidRDefault="00556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7398"/>
      <w:docPartObj>
        <w:docPartGallery w:val="Page Numbers (Bottom of Page)"/>
        <w:docPartUnique/>
      </w:docPartObj>
    </w:sdtPr>
    <w:sdtEndPr>
      <w:rPr>
        <w:noProof/>
      </w:rPr>
    </w:sdtEndPr>
    <w:sdtContent>
      <w:p w:rsidR="00997877" w:rsidRDefault="00997877" w:rsidP="00997877">
        <w:pPr>
          <w:pStyle w:val="Footer"/>
          <w:jc w:val="center"/>
        </w:pPr>
      </w:p>
      <w:p w:rsidR="00997877" w:rsidRPr="00997877" w:rsidRDefault="00997877" w:rsidP="00997877">
        <w:pPr>
          <w:pStyle w:val="Footer"/>
          <w:jc w:val="center"/>
        </w:pPr>
        <w:r>
          <w:fldChar w:fldCharType="begin"/>
        </w:r>
        <w:r>
          <w:instrText xml:space="preserve"> PAGE   \* MERGEFORMAT </w:instrText>
        </w:r>
        <w:r>
          <w:fldChar w:fldCharType="separate"/>
        </w:r>
        <w:r w:rsidR="003C2BAF">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D2" w:rsidRDefault="00556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D2" w:rsidRDefault="005565D2" w:rsidP="00124A51">
      <w:r>
        <w:separator/>
      </w:r>
    </w:p>
  </w:footnote>
  <w:footnote w:type="continuationSeparator" w:id="0">
    <w:p w:rsidR="005565D2" w:rsidRDefault="005565D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D2" w:rsidRDefault="00556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77" w:rsidRDefault="005C1076" w:rsidP="00B220FE">
    <w:pPr>
      <w:pStyle w:val="Header"/>
      <w:jc w:val="center"/>
      <w:rPr>
        <w:i/>
        <w:color w:val="808080"/>
      </w:rPr>
    </w:pPr>
    <w:r>
      <w:rPr>
        <w:i/>
        <w:color w:val="808080"/>
      </w:rPr>
      <w:t>Public Summary Document</w:t>
    </w:r>
    <w:r w:rsidR="00997877">
      <w:rPr>
        <w:i/>
        <w:color w:val="808080"/>
      </w:rPr>
      <w:t xml:space="preserve"> </w:t>
    </w:r>
    <w:r w:rsidR="00997877" w:rsidRPr="00DF217D">
      <w:rPr>
        <w:i/>
        <w:color w:val="808080"/>
      </w:rPr>
      <w:t xml:space="preserve">– </w:t>
    </w:r>
    <w:r w:rsidR="00997877">
      <w:rPr>
        <w:i/>
        <w:color w:val="808080"/>
      </w:rPr>
      <w:t xml:space="preserve">March 2016 </w:t>
    </w:r>
    <w:r w:rsidR="00997877" w:rsidRPr="00DF217D">
      <w:rPr>
        <w:i/>
        <w:color w:val="808080"/>
      </w:rPr>
      <w:t>PBAC</w:t>
    </w:r>
    <w:r w:rsidR="00997877">
      <w:rPr>
        <w:i/>
        <w:color w:val="808080"/>
      </w:rPr>
      <w:t xml:space="preserve"> Meeting</w:t>
    </w:r>
  </w:p>
  <w:p w:rsidR="00997877" w:rsidRDefault="00997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D2" w:rsidRDefault="00556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59152D"/>
    <w:multiLevelType w:val="hybridMultilevel"/>
    <w:tmpl w:val="363E589E"/>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C23D4"/>
    <w:multiLevelType w:val="multilevel"/>
    <w:tmpl w:val="5F6AE5A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69517D"/>
    <w:multiLevelType w:val="hybridMultilevel"/>
    <w:tmpl w:val="8E7258C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1B2327"/>
    <w:multiLevelType w:val="hybridMultilevel"/>
    <w:tmpl w:val="460E091E"/>
    <w:lvl w:ilvl="0" w:tplc="F488CFD6">
      <w:numFmt w:val="bullet"/>
      <w:lvlText w:val="-"/>
      <w:lvlJc w:val="left"/>
      <w:pPr>
        <w:ind w:left="625" w:hanging="360"/>
      </w:pPr>
      <w:rPr>
        <w:rFonts w:ascii="Times New Roman" w:eastAsia="Times New Roman" w:hAnsi="Times New Roman" w:cs="Times New Roman" w:hint="default"/>
      </w:rPr>
    </w:lvl>
    <w:lvl w:ilvl="1" w:tplc="04090003">
      <w:start w:val="1"/>
      <w:numFmt w:val="bullet"/>
      <w:lvlText w:val="o"/>
      <w:lvlJc w:val="left"/>
      <w:pPr>
        <w:ind w:left="1345" w:hanging="360"/>
      </w:pPr>
      <w:rPr>
        <w:rFonts w:ascii="Courier New" w:hAnsi="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7">
    <w:nsid w:val="1C3A24AC"/>
    <w:multiLevelType w:val="hybridMultilevel"/>
    <w:tmpl w:val="272298EA"/>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0D95775"/>
    <w:multiLevelType w:val="hybridMultilevel"/>
    <w:tmpl w:val="0494DD0A"/>
    <w:lvl w:ilvl="0" w:tplc="785C05E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184370"/>
    <w:multiLevelType w:val="hybridMultilevel"/>
    <w:tmpl w:val="AC8282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5385B7F"/>
    <w:multiLevelType w:val="hybridMultilevel"/>
    <w:tmpl w:val="CE82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970E58"/>
    <w:multiLevelType w:val="multilevel"/>
    <w:tmpl w:val="3DB82972"/>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FA0A7C"/>
    <w:multiLevelType w:val="hybridMultilevel"/>
    <w:tmpl w:val="B2F883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1125E1F"/>
    <w:multiLevelType w:val="hybridMultilevel"/>
    <w:tmpl w:val="4912C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A15A9C"/>
    <w:multiLevelType w:val="hybridMultilevel"/>
    <w:tmpl w:val="864C78B8"/>
    <w:lvl w:ilvl="0" w:tplc="785C05E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D2A5396"/>
    <w:multiLevelType w:val="multilevel"/>
    <w:tmpl w:val="0E58A6DA"/>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6EF37A0"/>
    <w:multiLevelType w:val="hybridMultilevel"/>
    <w:tmpl w:val="5998A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8206376"/>
    <w:multiLevelType w:val="multilevel"/>
    <w:tmpl w:val="D9C86B60"/>
    <w:lvl w:ilvl="0">
      <w:start w:val="1"/>
      <w:numFmt w:val="decimal"/>
      <w:lvlText w:val="%1"/>
      <w:lvlJc w:val="left"/>
      <w:pPr>
        <w:ind w:left="720" w:hanging="720"/>
      </w:pPr>
      <w:rPr>
        <w:rFonts w:hint="default"/>
        <w:b/>
      </w:rPr>
    </w:lvl>
    <w:lvl w:ilvl="1">
      <w:start w:val="17"/>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3F25497"/>
    <w:multiLevelType w:val="hybridMultilevel"/>
    <w:tmpl w:val="F238E8E4"/>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84D033C"/>
    <w:multiLevelType w:val="multilevel"/>
    <w:tmpl w:val="8D86B21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3"/>
  </w:num>
  <w:num w:numId="3">
    <w:abstractNumId w:val="6"/>
  </w:num>
  <w:num w:numId="4">
    <w:abstractNumId w:val="1"/>
  </w:num>
  <w:num w:numId="5">
    <w:abstractNumId w:val="3"/>
  </w:num>
  <w:num w:numId="6">
    <w:abstractNumId w:val="8"/>
  </w:num>
  <w:num w:numId="7">
    <w:abstractNumId w:val="16"/>
  </w:num>
  <w:num w:numId="8">
    <w:abstractNumId w:val="7"/>
  </w:num>
  <w:num w:numId="9">
    <w:abstractNumId w:val="4"/>
  </w:num>
  <w:num w:numId="10">
    <w:abstractNumId w:val="22"/>
  </w:num>
  <w:num w:numId="11">
    <w:abstractNumId w:val="13"/>
  </w:num>
  <w:num w:numId="12">
    <w:abstractNumId w:val="17"/>
  </w:num>
  <w:num w:numId="13">
    <w:abstractNumId w:val="21"/>
  </w:num>
  <w:num w:numId="14">
    <w:abstractNumId w:val="23"/>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3"/>
    <w:lvlOverride w:ilvl="0">
      <w:startOverride w:val="6"/>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9"/>
  </w:num>
  <w:num w:numId="20">
    <w:abstractNumId w:val="12"/>
  </w:num>
  <w:num w:numId="21">
    <w:abstractNumId w:val="20"/>
  </w:num>
  <w:num w:numId="22">
    <w:abstractNumId w:val="18"/>
  </w:num>
  <w:num w:numId="23">
    <w:abstractNumId w:val="11"/>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14"/>
  </w:num>
  <w:num w:numId="32">
    <w:abstractNumId w:val="5"/>
  </w:num>
  <w:num w:numId="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3E9"/>
    <w:rsid w:val="00001C76"/>
    <w:rsid w:val="000025B5"/>
    <w:rsid w:val="00003499"/>
    <w:rsid w:val="00003A4F"/>
    <w:rsid w:val="00006216"/>
    <w:rsid w:val="00006B66"/>
    <w:rsid w:val="000070F9"/>
    <w:rsid w:val="00007705"/>
    <w:rsid w:val="00010A5A"/>
    <w:rsid w:val="00011328"/>
    <w:rsid w:val="00011955"/>
    <w:rsid w:val="00012D17"/>
    <w:rsid w:val="00013247"/>
    <w:rsid w:val="00013575"/>
    <w:rsid w:val="000137E4"/>
    <w:rsid w:val="00013862"/>
    <w:rsid w:val="00014675"/>
    <w:rsid w:val="00015886"/>
    <w:rsid w:val="000162EF"/>
    <w:rsid w:val="000176C1"/>
    <w:rsid w:val="0001789C"/>
    <w:rsid w:val="000179A6"/>
    <w:rsid w:val="00020EF3"/>
    <w:rsid w:val="00021759"/>
    <w:rsid w:val="0002225F"/>
    <w:rsid w:val="00023763"/>
    <w:rsid w:val="00024FD8"/>
    <w:rsid w:val="000253EB"/>
    <w:rsid w:val="0002586F"/>
    <w:rsid w:val="000258FE"/>
    <w:rsid w:val="00026C03"/>
    <w:rsid w:val="00026CC1"/>
    <w:rsid w:val="00026F71"/>
    <w:rsid w:val="00027EF6"/>
    <w:rsid w:val="000313E0"/>
    <w:rsid w:val="000318F3"/>
    <w:rsid w:val="00031ACF"/>
    <w:rsid w:val="0003236A"/>
    <w:rsid w:val="00033DC4"/>
    <w:rsid w:val="0003767B"/>
    <w:rsid w:val="00037718"/>
    <w:rsid w:val="00037AB8"/>
    <w:rsid w:val="00037B48"/>
    <w:rsid w:val="00040895"/>
    <w:rsid w:val="000418B8"/>
    <w:rsid w:val="00041DD5"/>
    <w:rsid w:val="00041DFE"/>
    <w:rsid w:val="00041E66"/>
    <w:rsid w:val="00042A90"/>
    <w:rsid w:val="00042F10"/>
    <w:rsid w:val="0004343A"/>
    <w:rsid w:val="00043802"/>
    <w:rsid w:val="00043BE2"/>
    <w:rsid w:val="00043C37"/>
    <w:rsid w:val="000440C7"/>
    <w:rsid w:val="00044364"/>
    <w:rsid w:val="00044A59"/>
    <w:rsid w:val="00045C14"/>
    <w:rsid w:val="000468CC"/>
    <w:rsid w:val="000478E0"/>
    <w:rsid w:val="00050757"/>
    <w:rsid w:val="00050A71"/>
    <w:rsid w:val="00052402"/>
    <w:rsid w:val="00052890"/>
    <w:rsid w:val="000528A3"/>
    <w:rsid w:val="000533C6"/>
    <w:rsid w:val="00053A3E"/>
    <w:rsid w:val="000546D7"/>
    <w:rsid w:val="00055B8D"/>
    <w:rsid w:val="00056052"/>
    <w:rsid w:val="00056497"/>
    <w:rsid w:val="000565CC"/>
    <w:rsid w:val="00056B2F"/>
    <w:rsid w:val="000572D6"/>
    <w:rsid w:val="0005798D"/>
    <w:rsid w:val="00057A74"/>
    <w:rsid w:val="00057FAD"/>
    <w:rsid w:val="0006153E"/>
    <w:rsid w:val="00061688"/>
    <w:rsid w:val="000630AF"/>
    <w:rsid w:val="000632F9"/>
    <w:rsid w:val="00064FE5"/>
    <w:rsid w:val="0006603C"/>
    <w:rsid w:val="00066722"/>
    <w:rsid w:val="00067A6D"/>
    <w:rsid w:val="00070201"/>
    <w:rsid w:val="00070497"/>
    <w:rsid w:val="00070752"/>
    <w:rsid w:val="0007079E"/>
    <w:rsid w:val="00070A8B"/>
    <w:rsid w:val="00071248"/>
    <w:rsid w:val="000720B9"/>
    <w:rsid w:val="000723B0"/>
    <w:rsid w:val="000724FD"/>
    <w:rsid w:val="000726D0"/>
    <w:rsid w:val="00072E7B"/>
    <w:rsid w:val="0007339A"/>
    <w:rsid w:val="00073627"/>
    <w:rsid w:val="0007374B"/>
    <w:rsid w:val="00074B49"/>
    <w:rsid w:val="000757EE"/>
    <w:rsid w:val="000759E9"/>
    <w:rsid w:val="00075AD5"/>
    <w:rsid w:val="00075EC1"/>
    <w:rsid w:val="000764AC"/>
    <w:rsid w:val="00077337"/>
    <w:rsid w:val="00077579"/>
    <w:rsid w:val="000778C2"/>
    <w:rsid w:val="000812CA"/>
    <w:rsid w:val="00082A5D"/>
    <w:rsid w:val="00085081"/>
    <w:rsid w:val="00085484"/>
    <w:rsid w:val="00085CC7"/>
    <w:rsid w:val="00086060"/>
    <w:rsid w:val="000869D6"/>
    <w:rsid w:val="0009023E"/>
    <w:rsid w:val="000907CD"/>
    <w:rsid w:val="00090970"/>
    <w:rsid w:val="00090BFD"/>
    <w:rsid w:val="00090C7E"/>
    <w:rsid w:val="00090D48"/>
    <w:rsid w:val="00091602"/>
    <w:rsid w:val="0009225F"/>
    <w:rsid w:val="00093001"/>
    <w:rsid w:val="000932F0"/>
    <w:rsid w:val="0009399A"/>
    <w:rsid w:val="00094ABA"/>
    <w:rsid w:val="0009507A"/>
    <w:rsid w:val="00095265"/>
    <w:rsid w:val="00095893"/>
    <w:rsid w:val="0009710D"/>
    <w:rsid w:val="00097C94"/>
    <w:rsid w:val="000A0004"/>
    <w:rsid w:val="000A01AD"/>
    <w:rsid w:val="000A040D"/>
    <w:rsid w:val="000A1FB7"/>
    <w:rsid w:val="000A39EA"/>
    <w:rsid w:val="000A3E76"/>
    <w:rsid w:val="000A49DD"/>
    <w:rsid w:val="000A784F"/>
    <w:rsid w:val="000B0271"/>
    <w:rsid w:val="000B11C1"/>
    <w:rsid w:val="000B3B3D"/>
    <w:rsid w:val="000B42C6"/>
    <w:rsid w:val="000B5A8E"/>
    <w:rsid w:val="000B60C1"/>
    <w:rsid w:val="000B6AD9"/>
    <w:rsid w:val="000B6F7F"/>
    <w:rsid w:val="000B7335"/>
    <w:rsid w:val="000B7FD6"/>
    <w:rsid w:val="000C0746"/>
    <w:rsid w:val="000C0DA6"/>
    <w:rsid w:val="000C189D"/>
    <w:rsid w:val="000C4487"/>
    <w:rsid w:val="000C4C0E"/>
    <w:rsid w:val="000C5C56"/>
    <w:rsid w:val="000C62A6"/>
    <w:rsid w:val="000C65B6"/>
    <w:rsid w:val="000C6783"/>
    <w:rsid w:val="000C7424"/>
    <w:rsid w:val="000C76B7"/>
    <w:rsid w:val="000C7A0F"/>
    <w:rsid w:val="000C7A45"/>
    <w:rsid w:val="000C7E02"/>
    <w:rsid w:val="000D09C2"/>
    <w:rsid w:val="000D0F7E"/>
    <w:rsid w:val="000D1405"/>
    <w:rsid w:val="000D1BFC"/>
    <w:rsid w:val="000D241A"/>
    <w:rsid w:val="000D2D8E"/>
    <w:rsid w:val="000D3B58"/>
    <w:rsid w:val="000D494C"/>
    <w:rsid w:val="000D5A5E"/>
    <w:rsid w:val="000D6296"/>
    <w:rsid w:val="000D65DF"/>
    <w:rsid w:val="000D6A00"/>
    <w:rsid w:val="000E017B"/>
    <w:rsid w:val="000E0C7B"/>
    <w:rsid w:val="000E0C94"/>
    <w:rsid w:val="000E1266"/>
    <w:rsid w:val="000E17A0"/>
    <w:rsid w:val="000E2020"/>
    <w:rsid w:val="000E3570"/>
    <w:rsid w:val="000E3BB3"/>
    <w:rsid w:val="000E521A"/>
    <w:rsid w:val="000E577A"/>
    <w:rsid w:val="000E591C"/>
    <w:rsid w:val="000F03B3"/>
    <w:rsid w:val="000F09D4"/>
    <w:rsid w:val="000F0BF1"/>
    <w:rsid w:val="000F2995"/>
    <w:rsid w:val="000F4114"/>
    <w:rsid w:val="000F4BB8"/>
    <w:rsid w:val="000F548F"/>
    <w:rsid w:val="000F702B"/>
    <w:rsid w:val="000F7127"/>
    <w:rsid w:val="000F74E6"/>
    <w:rsid w:val="000F7B79"/>
    <w:rsid w:val="000F7F9E"/>
    <w:rsid w:val="00100F8A"/>
    <w:rsid w:val="00101568"/>
    <w:rsid w:val="00101898"/>
    <w:rsid w:val="00102D0F"/>
    <w:rsid w:val="00102F0B"/>
    <w:rsid w:val="0010302A"/>
    <w:rsid w:val="001052EC"/>
    <w:rsid w:val="0011032E"/>
    <w:rsid w:val="00110E74"/>
    <w:rsid w:val="0011256A"/>
    <w:rsid w:val="00112E1E"/>
    <w:rsid w:val="0011348B"/>
    <w:rsid w:val="00113553"/>
    <w:rsid w:val="001136E9"/>
    <w:rsid w:val="00113ADE"/>
    <w:rsid w:val="00114443"/>
    <w:rsid w:val="00115751"/>
    <w:rsid w:val="0011648F"/>
    <w:rsid w:val="001169C8"/>
    <w:rsid w:val="00116E8A"/>
    <w:rsid w:val="001172A2"/>
    <w:rsid w:val="00117391"/>
    <w:rsid w:val="00117900"/>
    <w:rsid w:val="001204D9"/>
    <w:rsid w:val="00120A82"/>
    <w:rsid w:val="00121214"/>
    <w:rsid w:val="00121799"/>
    <w:rsid w:val="00121C44"/>
    <w:rsid w:val="0012204C"/>
    <w:rsid w:val="001222FC"/>
    <w:rsid w:val="0012238B"/>
    <w:rsid w:val="001228F7"/>
    <w:rsid w:val="00123157"/>
    <w:rsid w:val="00124003"/>
    <w:rsid w:val="00124832"/>
    <w:rsid w:val="00124939"/>
    <w:rsid w:val="00124A51"/>
    <w:rsid w:val="00125792"/>
    <w:rsid w:val="00126621"/>
    <w:rsid w:val="001266A9"/>
    <w:rsid w:val="001267EE"/>
    <w:rsid w:val="00127651"/>
    <w:rsid w:val="001301E9"/>
    <w:rsid w:val="00130E03"/>
    <w:rsid w:val="00130F40"/>
    <w:rsid w:val="00132067"/>
    <w:rsid w:val="0013337C"/>
    <w:rsid w:val="001338AC"/>
    <w:rsid w:val="00134304"/>
    <w:rsid w:val="00134971"/>
    <w:rsid w:val="00134D83"/>
    <w:rsid w:val="0013504D"/>
    <w:rsid w:val="00135DC0"/>
    <w:rsid w:val="00135E0A"/>
    <w:rsid w:val="00136460"/>
    <w:rsid w:val="00136744"/>
    <w:rsid w:val="001370D8"/>
    <w:rsid w:val="0013735E"/>
    <w:rsid w:val="001374BB"/>
    <w:rsid w:val="00137645"/>
    <w:rsid w:val="00137FE8"/>
    <w:rsid w:val="0014015A"/>
    <w:rsid w:val="00140E99"/>
    <w:rsid w:val="00142EC2"/>
    <w:rsid w:val="001430D9"/>
    <w:rsid w:val="00143B45"/>
    <w:rsid w:val="00144210"/>
    <w:rsid w:val="0014469F"/>
    <w:rsid w:val="00144E85"/>
    <w:rsid w:val="00145540"/>
    <w:rsid w:val="001456B0"/>
    <w:rsid w:val="00147B0F"/>
    <w:rsid w:val="00151057"/>
    <w:rsid w:val="0015122D"/>
    <w:rsid w:val="001514E9"/>
    <w:rsid w:val="00151735"/>
    <w:rsid w:val="0015187A"/>
    <w:rsid w:val="00151C26"/>
    <w:rsid w:val="00153453"/>
    <w:rsid w:val="0015447B"/>
    <w:rsid w:val="00155A0D"/>
    <w:rsid w:val="001563F9"/>
    <w:rsid w:val="00157130"/>
    <w:rsid w:val="001571BF"/>
    <w:rsid w:val="00157F17"/>
    <w:rsid w:val="0016044D"/>
    <w:rsid w:val="00160972"/>
    <w:rsid w:val="0016097A"/>
    <w:rsid w:val="00160C08"/>
    <w:rsid w:val="0016170A"/>
    <w:rsid w:val="00162913"/>
    <w:rsid w:val="001637B5"/>
    <w:rsid w:val="001638CD"/>
    <w:rsid w:val="00163EFF"/>
    <w:rsid w:val="001642D2"/>
    <w:rsid w:val="00164AC1"/>
    <w:rsid w:val="00164D8A"/>
    <w:rsid w:val="00165CBB"/>
    <w:rsid w:val="00165FD9"/>
    <w:rsid w:val="001661FB"/>
    <w:rsid w:val="001663C3"/>
    <w:rsid w:val="00166B31"/>
    <w:rsid w:val="00167129"/>
    <w:rsid w:val="00167E85"/>
    <w:rsid w:val="0017044B"/>
    <w:rsid w:val="00170A2D"/>
    <w:rsid w:val="00170E66"/>
    <w:rsid w:val="0017134E"/>
    <w:rsid w:val="00171479"/>
    <w:rsid w:val="00171D78"/>
    <w:rsid w:val="0017284C"/>
    <w:rsid w:val="00172CFD"/>
    <w:rsid w:val="00173247"/>
    <w:rsid w:val="0017342B"/>
    <w:rsid w:val="001735EE"/>
    <w:rsid w:val="00173C10"/>
    <w:rsid w:val="001763DC"/>
    <w:rsid w:val="00176814"/>
    <w:rsid w:val="00177653"/>
    <w:rsid w:val="001776A5"/>
    <w:rsid w:val="00177B81"/>
    <w:rsid w:val="00177E3F"/>
    <w:rsid w:val="001806B5"/>
    <w:rsid w:val="00180ADF"/>
    <w:rsid w:val="00180B8D"/>
    <w:rsid w:val="00180D59"/>
    <w:rsid w:val="0018224F"/>
    <w:rsid w:val="001826C5"/>
    <w:rsid w:val="00184269"/>
    <w:rsid w:val="00185BDA"/>
    <w:rsid w:val="001860ED"/>
    <w:rsid w:val="00187058"/>
    <w:rsid w:val="0018752F"/>
    <w:rsid w:val="001901BF"/>
    <w:rsid w:val="0019089C"/>
    <w:rsid w:val="00190D94"/>
    <w:rsid w:val="0019256C"/>
    <w:rsid w:val="001941B0"/>
    <w:rsid w:val="00194389"/>
    <w:rsid w:val="00194910"/>
    <w:rsid w:val="00194B9E"/>
    <w:rsid w:val="00194C93"/>
    <w:rsid w:val="00194FA4"/>
    <w:rsid w:val="00195222"/>
    <w:rsid w:val="00195807"/>
    <w:rsid w:val="001975D8"/>
    <w:rsid w:val="001A17B9"/>
    <w:rsid w:val="001A1B7E"/>
    <w:rsid w:val="001A1BF5"/>
    <w:rsid w:val="001A37ED"/>
    <w:rsid w:val="001A4924"/>
    <w:rsid w:val="001A4FB6"/>
    <w:rsid w:val="001A60A3"/>
    <w:rsid w:val="001A675B"/>
    <w:rsid w:val="001A7498"/>
    <w:rsid w:val="001B09F7"/>
    <w:rsid w:val="001B0CBF"/>
    <w:rsid w:val="001B11E8"/>
    <w:rsid w:val="001B1389"/>
    <w:rsid w:val="001B29E4"/>
    <w:rsid w:val="001B2B2C"/>
    <w:rsid w:val="001B3443"/>
    <w:rsid w:val="001B425C"/>
    <w:rsid w:val="001B4D90"/>
    <w:rsid w:val="001B53C3"/>
    <w:rsid w:val="001B5428"/>
    <w:rsid w:val="001B5B6D"/>
    <w:rsid w:val="001B6384"/>
    <w:rsid w:val="001B7557"/>
    <w:rsid w:val="001C0158"/>
    <w:rsid w:val="001C0420"/>
    <w:rsid w:val="001C0F09"/>
    <w:rsid w:val="001C1B43"/>
    <w:rsid w:val="001C3311"/>
    <w:rsid w:val="001C33FA"/>
    <w:rsid w:val="001C4326"/>
    <w:rsid w:val="001C58A9"/>
    <w:rsid w:val="001C5C42"/>
    <w:rsid w:val="001C64A6"/>
    <w:rsid w:val="001C6E66"/>
    <w:rsid w:val="001D09D7"/>
    <w:rsid w:val="001D1EA8"/>
    <w:rsid w:val="001D204C"/>
    <w:rsid w:val="001D2CA2"/>
    <w:rsid w:val="001D3574"/>
    <w:rsid w:val="001D5723"/>
    <w:rsid w:val="001D5E7C"/>
    <w:rsid w:val="001D6AC6"/>
    <w:rsid w:val="001D6AED"/>
    <w:rsid w:val="001D6EAD"/>
    <w:rsid w:val="001D7BAA"/>
    <w:rsid w:val="001E0326"/>
    <w:rsid w:val="001E1951"/>
    <w:rsid w:val="001E238E"/>
    <w:rsid w:val="001E2450"/>
    <w:rsid w:val="001E2B1E"/>
    <w:rsid w:val="001E33C1"/>
    <w:rsid w:val="001E3699"/>
    <w:rsid w:val="001E462F"/>
    <w:rsid w:val="001E52EB"/>
    <w:rsid w:val="001E65F3"/>
    <w:rsid w:val="001E6CED"/>
    <w:rsid w:val="001E740C"/>
    <w:rsid w:val="001E7FC9"/>
    <w:rsid w:val="001F112C"/>
    <w:rsid w:val="001F1235"/>
    <w:rsid w:val="001F1AB7"/>
    <w:rsid w:val="001F1CB3"/>
    <w:rsid w:val="001F200A"/>
    <w:rsid w:val="001F2358"/>
    <w:rsid w:val="001F452B"/>
    <w:rsid w:val="001F7361"/>
    <w:rsid w:val="001F7EFC"/>
    <w:rsid w:val="002008E6"/>
    <w:rsid w:val="00200A78"/>
    <w:rsid w:val="0020286B"/>
    <w:rsid w:val="00203116"/>
    <w:rsid w:val="0020365F"/>
    <w:rsid w:val="0020372B"/>
    <w:rsid w:val="0020385F"/>
    <w:rsid w:val="00203F59"/>
    <w:rsid w:val="00207021"/>
    <w:rsid w:val="002076A5"/>
    <w:rsid w:val="00207D00"/>
    <w:rsid w:val="002105C1"/>
    <w:rsid w:val="00211ABD"/>
    <w:rsid w:val="00212121"/>
    <w:rsid w:val="00212194"/>
    <w:rsid w:val="00212309"/>
    <w:rsid w:val="002154F5"/>
    <w:rsid w:val="00215C4F"/>
    <w:rsid w:val="0021654B"/>
    <w:rsid w:val="00217862"/>
    <w:rsid w:val="00217C1E"/>
    <w:rsid w:val="00220891"/>
    <w:rsid w:val="00221C0A"/>
    <w:rsid w:val="00222981"/>
    <w:rsid w:val="00223B10"/>
    <w:rsid w:val="00223B49"/>
    <w:rsid w:val="00224DD4"/>
    <w:rsid w:val="00224EBC"/>
    <w:rsid w:val="002263D5"/>
    <w:rsid w:val="00226AE3"/>
    <w:rsid w:val="00227AB3"/>
    <w:rsid w:val="00227FF5"/>
    <w:rsid w:val="002309CC"/>
    <w:rsid w:val="00230C0A"/>
    <w:rsid w:val="00231854"/>
    <w:rsid w:val="002328A7"/>
    <w:rsid w:val="0023322D"/>
    <w:rsid w:val="00233ADD"/>
    <w:rsid w:val="002340F3"/>
    <w:rsid w:val="00234365"/>
    <w:rsid w:val="00234727"/>
    <w:rsid w:val="002354AD"/>
    <w:rsid w:val="00236471"/>
    <w:rsid w:val="00237B26"/>
    <w:rsid w:val="002407AB"/>
    <w:rsid w:val="00240BE4"/>
    <w:rsid w:val="002423BF"/>
    <w:rsid w:val="002436DB"/>
    <w:rsid w:val="00246675"/>
    <w:rsid w:val="00247568"/>
    <w:rsid w:val="00247A47"/>
    <w:rsid w:val="00250012"/>
    <w:rsid w:val="002503F8"/>
    <w:rsid w:val="002507EB"/>
    <w:rsid w:val="002508F7"/>
    <w:rsid w:val="0025180A"/>
    <w:rsid w:val="00252C7F"/>
    <w:rsid w:val="002538EF"/>
    <w:rsid w:val="0025485E"/>
    <w:rsid w:val="00254DCF"/>
    <w:rsid w:val="0025534B"/>
    <w:rsid w:val="0025541D"/>
    <w:rsid w:val="00255BB7"/>
    <w:rsid w:val="0025678D"/>
    <w:rsid w:val="00257260"/>
    <w:rsid w:val="00257893"/>
    <w:rsid w:val="0025797A"/>
    <w:rsid w:val="00260483"/>
    <w:rsid w:val="0026048E"/>
    <w:rsid w:val="0026082D"/>
    <w:rsid w:val="00261E2D"/>
    <w:rsid w:val="0026256B"/>
    <w:rsid w:val="00262A87"/>
    <w:rsid w:val="00263633"/>
    <w:rsid w:val="00264EAC"/>
    <w:rsid w:val="00265212"/>
    <w:rsid w:val="0026535C"/>
    <w:rsid w:val="00265F98"/>
    <w:rsid w:val="00267F6A"/>
    <w:rsid w:val="002701D9"/>
    <w:rsid w:val="0027039D"/>
    <w:rsid w:val="002703BF"/>
    <w:rsid w:val="002704DF"/>
    <w:rsid w:val="0027065F"/>
    <w:rsid w:val="00272261"/>
    <w:rsid w:val="00273A6B"/>
    <w:rsid w:val="0027419C"/>
    <w:rsid w:val="002745CF"/>
    <w:rsid w:val="00274899"/>
    <w:rsid w:val="00274C7F"/>
    <w:rsid w:val="00275C5A"/>
    <w:rsid w:val="002803CE"/>
    <w:rsid w:val="00280A56"/>
    <w:rsid w:val="00281014"/>
    <w:rsid w:val="002810A9"/>
    <w:rsid w:val="00281A42"/>
    <w:rsid w:val="00281C8C"/>
    <w:rsid w:val="00282384"/>
    <w:rsid w:val="00284104"/>
    <w:rsid w:val="002841B2"/>
    <w:rsid w:val="00284D2C"/>
    <w:rsid w:val="00284E7D"/>
    <w:rsid w:val="0028548D"/>
    <w:rsid w:val="00286771"/>
    <w:rsid w:val="002908F7"/>
    <w:rsid w:val="00291A50"/>
    <w:rsid w:val="00292ED7"/>
    <w:rsid w:val="0029344D"/>
    <w:rsid w:val="002941DD"/>
    <w:rsid w:val="002944AD"/>
    <w:rsid w:val="0029472A"/>
    <w:rsid w:val="00294B6F"/>
    <w:rsid w:val="00296EE3"/>
    <w:rsid w:val="002A009E"/>
    <w:rsid w:val="002A0C09"/>
    <w:rsid w:val="002A14AB"/>
    <w:rsid w:val="002A1CDD"/>
    <w:rsid w:val="002A275B"/>
    <w:rsid w:val="002A5C4A"/>
    <w:rsid w:val="002B0035"/>
    <w:rsid w:val="002B1B7B"/>
    <w:rsid w:val="002B1C1F"/>
    <w:rsid w:val="002B24BA"/>
    <w:rsid w:val="002B2C28"/>
    <w:rsid w:val="002B2D8F"/>
    <w:rsid w:val="002B2E74"/>
    <w:rsid w:val="002B2E7E"/>
    <w:rsid w:val="002B398D"/>
    <w:rsid w:val="002B3B46"/>
    <w:rsid w:val="002B432F"/>
    <w:rsid w:val="002B50DC"/>
    <w:rsid w:val="002B5648"/>
    <w:rsid w:val="002B6876"/>
    <w:rsid w:val="002B6CCE"/>
    <w:rsid w:val="002B7FD7"/>
    <w:rsid w:val="002B7FD9"/>
    <w:rsid w:val="002C1442"/>
    <w:rsid w:val="002C265D"/>
    <w:rsid w:val="002C2775"/>
    <w:rsid w:val="002C27C1"/>
    <w:rsid w:val="002C2845"/>
    <w:rsid w:val="002C333F"/>
    <w:rsid w:val="002C396E"/>
    <w:rsid w:val="002C524A"/>
    <w:rsid w:val="002C5FB4"/>
    <w:rsid w:val="002C6F12"/>
    <w:rsid w:val="002C7463"/>
    <w:rsid w:val="002C7646"/>
    <w:rsid w:val="002C7C76"/>
    <w:rsid w:val="002C7CDD"/>
    <w:rsid w:val="002D069B"/>
    <w:rsid w:val="002D0874"/>
    <w:rsid w:val="002D0934"/>
    <w:rsid w:val="002D2062"/>
    <w:rsid w:val="002D3F09"/>
    <w:rsid w:val="002D58BE"/>
    <w:rsid w:val="002D6048"/>
    <w:rsid w:val="002D6C44"/>
    <w:rsid w:val="002D75A1"/>
    <w:rsid w:val="002D78ED"/>
    <w:rsid w:val="002D7F0E"/>
    <w:rsid w:val="002E1494"/>
    <w:rsid w:val="002E1A77"/>
    <w:rsid w:val="002E1B31"/>
    <w:rsid w:val="002E2FC6"/>
    <w:rsid w:val="002E4CF8"/>
    <w:rsid w:val="002E6BB4"/>
    <w:rsid w:val="002E7D17"/>
    <w:rsid w:val="002F0660"/>
    <w:rsid w:val="002F07D7"/>
    <w:rsid w:val="002F0AA6"/>
    <w:rsid w:val="002F29F6"/>
    <w:rsid w:val="002F3160"/>
    <w:rsid w:val="002F3467"/>
    <w:rsid w:val="002F36A9"/>
    <w:rsid w:val="002F3714"/>
    <w:rsid w:val="002F3BA8"/>
    <w:rsid w:val="002F3F7F"/>
    <w:rsid w:val="002F3F91"/>
    <w:rsid w:val="002F3FC6"/>
    <w:rsid w:val="002F5570"/>
    <w:rsid w:val="002F55C6"/>
    <w:rsid w:val="002F5859"/>
    <w:rsid w:val="002F6C0F"/>
    <w:rsid w:val="00301017"/>
    <w:rsid w:val="00302628"/>
    <w:rsid w:val="00303752"/>
    <w:rsid w:val="00303E7B"/>
    <w:rsid w:val="00304678"/>
    <w:rsid w:val="00304A15"/>
    <w:rsid w:val="00305B9B"/>
    <w:rsid w:val="003072F0"/>
    <w:rsid w:val="0030786C"/>
    <w:rsid w:val="00307CFC"/>
    <w:rsid w:val="0031000B"/>
    <w:rsid w:val="00310243"/>
    <w:rsid w:val="0031031A"/>
    <w:rsid w:val="00310981"/>
    <w:rsid w:val="00310A01"/>
    <w:rsid w:val="003152F9"/>
    <w:rsid w:val="00315498"/>
    <w:rsid w:val="00316071"/>
    <w:rsid w:val="00316835"/>
    <w:rsid w:val="00317A45"/>
    <w:rsid w:val="00321656"/>
    <w:rsid w:val="00321B1A"/>
    <w:rsid w:val="003243B8"/>
    <w:rsid w:val="003245E7"/>
    <w:rsid w:val="00324803"/>
    <w:rsid w:val="003250C5"/>
    <w:rsid w:val="0032641B"/>
    <w:rsid w:val="00326847"/>
    <w:rsid w:val="00326930"/>
    <w:rsid w:val="00327F1D"/>
    <w:rsid w:val="00331192"/>
    <w:rsid w:val="00331D20"/>
    <w:rsid w:val="00332549"/>
    <w:rsid w:val="00332CB3"/>
    <w:rsid w:val="003333F8"/>
    <w:rsid w:val="00333DBC"/>
    <w:rsid w:val="00333EA8"/>
    <w:rsid w:val="00334B6A"/>
    <w:rsid w:val="0033511F"/>
    <w:rsid w:val="0033579F"/>
    <w:rsid w:val="003366C9"/>
    <w:rsid w:val="00336849"/>
    <w:rsid w:val="00336D89"/>
    <w:rsid w:val="0033701F"/>
    <w:rsid w:val="003371B0"/>
    <w:rsid w:val="00341B38"/>
    <w:rsid w:val="0034361E"/>
    <w:rsid w:val="00344D32"/>
    <w:rsid w:val="003458EA"/>
    <w:rsid w:val="003506B0"/>
    <w:rsid w:val="003521CC"/>
    <w:rsid w:val="00352E39"/>
    <w:rsid w:val="0035409A"/>
    <w:rsid w:val="0035620E"/>
    <w:rsid w:val="003576B5"/>
    <w:rsid w:val="003605AE"/>
    <w:rsid w:val="00361132"/>
    <w:rsid w:val="00361C78"/>
    <w:rsid w:val="00363219"/>
    <w:rsid w:val="0036377B"/>
    <w:rsid w:val="0036398F"/>
    <w:rsid w:val="00364CA3"/>
    <w:rsid w:val="00365D27"/>
    <w:rsid w:val="00366820"/>
    <w:rsid w:val="00366F15"/>
    <w:rsid w:val="003672A6"/>
    <w:rsid w:val="00370093"/>
    <w:rsid w:val="003706AB"/>
    <w:rsid w:val="003718BA"/>
    <w:rsid w:val="003730D5"/>
    <w:rsid w:val="003733F7"/>
    <w:rsid w:val="00374651"/>
    <w:rsid w:val="0037468B"/>
    <w:rsid w:val="00374959"/>
    <w:rsid w:val="003753AE"/>
    <w:rsid w:val="0037651F"/>
    <w:rsid w:val="00380BD4"/>
    <w:rsid w:val="00380D13"/>
    <w:rsid w:val="00380DC6"/>
    <w:rsid w:val="00380E1F"/>
    <w:rsid w:val="00381571"/>
    <w:rsid w:val="00382051"/>
    <w:rsid w:val="00382B68"/>
    <w:rsid w:val="00382BF7"/>
    <w:rsid w:val="0038365C"/>
    <w:rsid w:val="003849DB"/>
    <w:rsid w:val="00385929"/>
    <w:rsid w:val="003859CA"/>
    <w:rsid w:val="003864E1"/>
    <w:rsid w:val="00386B60"/>
    <w:rsid w:val="003877DC"/>
    <w:rsid w:val="00390325"/>
    <w:rsid w:val="0039073E"/>
    <w:rsid w:val="00392040"/>
    <w:rsid w:val="0039252B"/>
    <w:rsid w:val="00392CCF"/>
    <w:rsid w:val="00394F99"/>
    <w:rsid w:val="00395336"/>
    <w:rsid w:val="003959A5"/>
    <w:rsid w:val="00395CDB"/>
    <w:rsid w:val="003967AE"/>
    <w:rsid w:val="00396FD0"/>
    <w:rsid w:val="00397673"/>
    <w:rsid w:val="003A000A"/>
    <w:rsid w:val="003A0069"/>
    <w:rsid w:val="003A03BC"/>
    <w:rsid w:val="003A0864"/>
    <w:rsid w:val="003A1A7A"/>
    <w:rsid w:val="003A1EE1"/>
    <w:rsid w:val="003A2239"/>
    <w:rsid w:val="003A3795"/>
    <w:rsid w:val="003A39E4"/>
    <w:rsid w:val="003A5171"/>
    <w:rsid w:val="003A54E5"/>
    <w:rsid w:val="003A6361"/>
    <w:rsid w:val="003A6818"/>
    <w:rsid w:val="003A6F54"/>
    <w:rsid w:val="003A7B4B"/>
    <w:rsid w:val="003B067D"/>
    <w:rsid w:val="003B0F78"/>
    <w:rsid w:val="003B1469"/>
    <w:rsid w:val="003B1BB2"/>
    <w:rsid w:val="003B1FEC"/>
    <w:rsid w:val="003B4930"/>
    <w:rsid w:val="003B6369"/>
    <w:rsid w:val="003B70E9"/>
    <w:rsid w:val="003B7CF0"/>
    <w:rsid w:val="003C00C0"/>
    <w:rsid w:val="003C05C0"/>
    <w:rsid w:val="003C0767"/>
    <w:rsid w:val="003C0FDD"/>
    <w:rsid w:val="003C2BAF"/>
    <w:rsid w:val="003C33DC"/>
    <w:rsid w:val="003C39E3"/>
    <w:rsid w:val="003C3CB5"/>
    <w:rsid w:val="003C4400"/>
    <w:rsid w:val="003C4C9A"/>
    <w:rsid w:val="003C51EB"/>
    <w:rsid w:val="003C5241"/>
    <w:rsid w:val="003C56C0"/>
    <w:rsid w:val="003C58C0"/>
    <w:rsid w:val="003C5FC8"/>
    <w:rsid w:val="003C61D6"/>
    <w:rsid w:val="003C6AFB"/>
    <w:rsid w:val="003C742A"/>
    <w:rsid w:val="003C7CB6"/>
    <w:rsid w:val="003C7D16"/>
    <w:rsid w:val="003D083E"/>
    <w:rsid w:val="003D1828"/>
    <w:rsid w:val="003D2422"/>
    <w:rsid w:val="003D37A4"/>
    <w:rsid w:val="003D427E"/>
    <w:rsid w:val="003D4FBA"/>
    <w:rsid w:val="003D55A2"/>
    <w:rsid w:val="003D62BD"/>
    <w:rsid w:val="003D647B"/>
    <w:rsid w:val="003D76FF"/>
    <w:rsid w:val="003E0790"/>
    <w:rsid w:val="003E07F0"/>
    <w:rsid w:val="003E218B"/>
    <w:rsid w:val="003E28B2"/>
    <w:rsid w:val="003E2B55"/>
    <w:rsid w:val="003E2E85"/>
    <w:rsid w:val="003E315D"/>
    <w:rsid w:val="003E3392"/>
    <w:rsid w:val="003E4643"/>
    <w:rsid w:val="003E4C1B"/>
    <w:rsid w:val="003E51DE"/>
    <w:rsid w:val="003E5213"/>
    <w:rsid w:val="003E5AE0"/>
    <w:rsid w:val="003E6016"/>
    <w:rsid w:val="003E77BA"/>
    <w:rsid w:val="003F09AD"/>
    <w:rsid w:val="003F278A"/>
    <w:rsid w:val="003F2A7D"/>
    <w:rsid w:val="003F38C1"/>
    <w:rsid w:val="003F4156"/>
    <w:rsid w:val="003F45D2"/>
    <w:rsid w:val="003F5F33"/>
    <w:rsid w:val="003F695F"/>
    <w:rsid w:val="003F6D20"/>
    <w:rsid w:val="004009CA"/>
    <w:rsid w:val="00400EAE"/>
    <w:rsid w:val="0040105C"/>
    <w:rsid w:val="00401462"/>
    <w:rsid w:val="0040221F"/>
    <w:rsid w:val="00402A73"/>
    <w:rsid w:val="00403467"/>
    <w:rsid w:val="004045DC"/>
    <w:rsid w:val="0040471A"/>
    <w:rsid w:val="00405096"/>
    <w:rsid w:val="00406336"/>
    <w:rsid w:val="00406613"/>
    <w:rsid w:val="00406689"/>
    <w:rsid w:val="004079FD"/>
    <w:rsid w:val="00407BEA"/>
    <w:rsid w:val="00410708"/>
    <w:rsid w:val="00410EC7"/>
    <w:rsid w:val="004111F1"/>
    <w:rsid w:val="00411E6D"/>
    <w:rsid w:val="00412727"/>
    <w:rsid w:val="00413DA9"/>
    <w:rsid w:val="00414476"/>
    <w:rsid w:val="00415125"/>
    <w:rsid w:val="0041587F"/>
    <w:rsid w:val="00416119"/>
    <w:rsid w:val="004176ED"/>
    <w:rsid w:val="004209A1"/>
    <w:rsid w:val="00420B9F"/>
    <w:rsid w:val="00421579"/>
    <w:rsid w:val="00422248"/>
    <w:rsid w:val="004236E0"/>
    <w:rsid w:val="004238D3"/>
    <w:rsid w:val="00426258"/>
    <w:rsid w:val="004310DA"/>
    <w:rsid w:val="004319F8"/>
    <w:rsid w:val="0043207D"/>
    <w:rsid w:val="00433044"/>
    <w:rsid w:val="004333AD"/>
    <w:rsid w:val="00433610"/>
    <w:rsid w:val="00434BD4"/>
    <w:rsid w:val="00435F13"/>
    <w:rsid w:val="00436B72"/>
    <w:rsid w:val="0043710B"/>
    <w:rsid w:val="00440263"/>
    <w:rsid w:val="0044155F"/>
    <w:rsid w:val="00441733"/>
    <w:rsid w:val="00442384"/>
    <w:rsid w:val="00442E07"/>
    <w:rsid w:val="00443889"/>
    <w:rsid w:val="00444264"/>
    <w:rsid w:val="004443A7"/>
    <w:rsid w:val="004445B4"/>
    <w:rsid w:val="00444AE4"/>
    <w:rsid w:val="00444B37"/>
    <w:rsid w:val="004459D5"/>
    <w:rsid w:val="00445A7E"/>
    <w:rsid w:val="00446282"/>
    <w:rsid w:val="00446394"/>
    <w:rsid w:val="004464EB"/>
    <w:rsid w:val="00447088"/>
    <w:rsid w:val="00447980"/>
    <w:rsid w:val="00450061"/>
    <w:rsid w:val="00450643"/>
    <w:rsid w:val="004514E4"/>
    <w:rsid w:val="004514F3"/>
    <w:rsid w:val="00452612"/>
    <w:rsid w:val="00452BE3"/>
    <w:rsid w:val="00455C51"/>
    <w:rsid w:val="00455D45"/>
    <w:rsid w:val="00456253"/>
    <w:rsid w:val="00456A36"/>
    <w:rsid w:val="00456A72"/>
    <w:rsid w:val="004576E7"/>
    <w:rsid w:val="00457EC0"/>
    <w:rsid w:val="004604A5"/>
    <w:rsid w:val="004610B0"/>
    <w:rsid w:val="004619F1"/>
    <w:rsid w:val="0046279C"/>
    <w:rsid w:val="004628C4"/>
    <w:rsid w:val="00462CA9"/>
    <w:rsid w:val="00462E05"/>
    <w:rsid w:val="00463618"/>
    <w:rsid w:val="004637C3"/>
    <w:rsid w:val="00464595"/>
    <w:rsid w:val="00464B2B"/>
    <w:rsid w:val="004650C5"/>
    <w:rsid w:val="004652C9"/>
    <w:rsid w:val="0046590D"/>
    <w:rsid w:val="0046664F"/>
    <w:rsid w:val="00466AD4"/>
    <w:rsid w:val="0047080A"/>
    <w:rsid w:val="00470C9C"/>
    <w:rsid w:val="0047185C"/>
    <w:rsid w:val="0047188F"/>
    <w:rsid w:val="00472147"/>
    <w:rsid w:val="004728BF"/>
    <w:rsid w:val="0047319E"/>
    <w:rsid w:val="00473FE6"/>
    <w:rsid w:val="00474097"/>
    <w:rsid w:val="00474F98"/>
    <w:rsid w:val="00475255"/>
    <w:rsid w:val="004754FE"/>
    <w:rsid w:val="0047598A"/>
    <w:rsid w:val="00475FCC"/>
    <w:rsid w:val="00477B20"/>
    <w:rsid w:val="00477BB5"/>
    <w:rsid w:val="00481477"/>
    <w:rsid w:val="0048157E"/>
    <w:rsid w:val="0048275B"/>
    <w:rsid w:val="00482A03"/>
    <w:rsid w:val="0048367B"/>
    <w:rsid w:val="004839A8"/>
    <w:rsid w:val="00483D4D"/>
    <w:rsid w:val="004844FC"/>
    <w:rsid w:val="0048573B"/>
    <w:rsid w:val="004867E2"/>
    <w:rsid w:val="004868AF"/>
    <w:rsid w:val="00487A39"/>
    <w:rsid w:val="00487E85"/>
    <w:rsid w:val="00487FB8"/>
    <w:rsid w:val="004903E0"/>
    <w:rsid w:val="00490E22"/>
    <w:rsid w:val="00491707"/>
    <w:rsid w:val="00491B3A"/>
    <w:rsid w:val="00492CFD"/>
    <w:rsid w:val="00492E55"/>
    <w:rsid w:val="00493AC7"/>
    <w:rsid w:val="00493B39"/>
    <w:rsid w:val="0049437A"/>
    <w:rsid w:val="00494A36"/>
    <w:rsid w:val="00494BC9"/>
    <w:rsid w:val="004962D2"/>
    <w:rsid w:val="0049641E"/>
    <w:rsid w:val="00496487"/>
    <w:rsid w:val="00496560"/>
    <w:rsid w:val="00496768"/>
    <w:rsid w:val="0049693E"/>
    <w:rsid w:val="00496D74"/>
    <w:rsid w:val="00496FA8"/>
    <w:rsid w:val="004A061D"/>
    <w:rsid w:val="004A08F7"/>
    <w:rsid w:val="004A0DA1"/>
    <w:rsid w:val="004A0F9B"/>
    <w:rsid w:val="004A12B6"/>
    <w:rsid w:val="004A1EE3"/>
    <w:rsid w:val="004A2F35"/>
    <w:rsid w:val="004A39C3"/>
    <w:rsid w:val="004A3A39"/>
    <w:rsid w:val="004A3ECD"/>
    <w:rsid w:val="004A42A9"/>
    <w:rsid w:val="004A45EC"/>
    <w:rsid w:val="004A552E"/>
    <w:rsid w:val="004A5BD8"/>
    <w:rsid w:val="004A6029"/>
    <w:rsid w:val="004A6597"/>
    <w:rsid w:val="004A69D8"/>
    <w:rsid w:val="004A7EBF"/>
    <w:rsid w:val="004B0A53"/>
    <w:rsid w:val="004B0B9B"/>
    <w:rsid w:val="004B1318"/>
    <w:rsid w:val="004B1A26"/>
    <w:rsid w:val="004B1CB4"/>
    <w:rsid w:val="004B2F18"/>
    <w:rsid w:val="004B2FA2"/>
    <w:rsid w:val="004B3CC7"/>
    <w:rsid w:val="004B3DDB"/>
    <w:rsid w:val="004B44E0"/>
    <w:rsid w:val="004B44FD"/>
    <w:rsid w:val="004B464F"/>
    <w:rsid w:val="004B5CFC"/>
    <w:rsid w:val="004B61FF"/>
    <w:rsid w:val="004B73AD"/>
    <w:rsid w:val="004C0313"/>
    <w:rsid w:val="004C4314"/>
    <w:rsid w:val="004C4AED"/>
    <w:rsid w:val="004C7296"/>
    <w:rsid w:val="004C7FA7"/>
    <w:rsid w:val="004D1070"/>
    <w:rsid w:val="004D1CC8"/>
    <w:rsid w:val="004D251B"/>
    <w:rsid w:val="004D2B8E"/>
    <w:rsid w:val="004D378D"/>
    <w:rsid w:val="004D5777"/>
    <w:rsid w:val="004E0D79"/>
    <w:rsid w:val="004E0EB8"/>
    <w:rsid w:val="004E1CA7"/>
    <w:rsid w:val="004E2ADC"/>
    <w:rsid w:val="004E30A5"/>
    <w:rsid w:val="004E374E"/>
    <w:rsid w:val="004E43B2"/>
    <w:rsid w:val="004E56CD"/>
    <w:rsid w:val="004E5DD5"/>
    <w:rsid w:val="004E61F8"/>
    <w:rsid w:val="004E6824"/>
    <w:rsid w:val="004E699E"/>
    <w:rsid w:val="004E6FFF"/>
    <w:rsid w:val="004E76EF"/>
    <w:rsid w:val="004F0F70"/>
    <w:rsid w:val="004F16D0"/>
    <w:rsid w:val="004F1D02"/>
    <w:rsid w:val="004F2515"/>
    <w:rsid w:val="004F2679"/>
    <w:rsid w:val="004F2975"/>
    <w:rsid w:val="004F45D1"/>
    <w:rsid w:val="004F4AA4"/>
    <w:rsid w:val="004F777E"/>
    <w:rsid w:val="004F7865"/>
    <w:rsid w:val="005008DF"/>
    <w:rsid w:val="005013A5"/>
    <w:rsid w:val="00502B17"/>
    <w:rsid w:val="00503057"/>
    <w:rsid w:val="005042C5"/>
    <w:rsid w:val="00504EA4"/>
    <w:rsid w:val="005053DC"/>
    <w:rsid w:val="00506928"/>
    <w:rsid w:val="00506D8B"/>
    <w:rsid w:val="00507E30"/>
    <w:rsid w:val="00507F7A"/>
    <w:rsid w:val="00507FF0"/>
    <w:rsid w:val="00510842"/>
    <w:rsid w:val="00510EAF"/>
    <w:rsid w:val="00511507"/>
    <w:rsid w:val="005125BD"/>
    <w:rsid w:val="005131B4"/>
    <w:rsid w:val="005152B5"/>
    <w:rsid w:val="005157AE"/>
    <w:rsid w:val="00515B6E"/>
    <w:rsid w:val="005167B2"/>
    <w:rsid w:val="005169A6"/>
    <w:rsid w:val="00516F26"/>
    <w:rsid w:val="00520280"/>
    <w:rsid w:val="0052040B"/>
    <w:rsid w:val="00520E56"/>
    <w:rsid w:val="00521319"/>
    <w:rsid w:val="005225CA"/>
    <w:rsid w:val="00522884"/>
    <w:rsid w:val="0052302E"/>
    <w:rsid w:val="00523C28"/>
    <w:rsid w:val="0052463F"/>
    <w:rsid w:val="00524A13"/>
    <w:rsid w:val="00525B8F"/>
    <w:rsid w:val="00525FE4"/>
    <w:rsid w:val="005264DA"/>
    <w:rsid w:val="00526E64"/>
    <w:rsid w:val="0053136A"/>
    <w:rsid w:val="00531EE9"/>
    <w:rsid w:val="005325E4"/>
    <w:rsid w:val="0053268A"/>
    <w:rsid w:val="00532C7A"/>
    <w:rsid w:val="0053307A"/>
    <w:rsid w:val="00534939"/>
    <w:rsid w:val="00535E2C"/>
    <w:rsid w:val="00536093"/>
    <w:rsid w:val="00537834"/>
    <w:rsid w:val="00540DF9"/>
    <w:rsid w:val="005411A4"/>
    <w:rsid w:val="005413D6"/>
    <w:rsid w:val="00542C44"/>
    <w:rsid w:val="0054396F"/>
    <w:rsid w:val="00545FA9"/>
    <w:rsid w:val="00546A13"/>
    <w:rsid w:val="00546BC1"/>
    <w:rsid w:val="00547E4F"/>
    <w:rsid w:val="005500C4"/>
    <w:rsid w:val="00550CC0"/>
    <w:rsid w:val="00551985"/>
    <w:rsid w:val="00552BD3"/>
    <w:rsid w:val="00552FE2"/>
    <w:rsid w:val="005546DB"/>
    <w:rsid w:val="005546EA"/>
    <w:rsid w:val="00555109"/>
    <w:rsid w:val="00555575"/>
    <w:rsid w:val="00555644"/>
    <w:rsid w:val="005565D2"/>
    <w:rsid w:val="0055793C"/>
    <w:rsid w:val="00560047"/>
    <w:rsid w:val="005617BE"/>
    <w:rsid w:val="005635B9"/>
    <w:rsid w:val="0056491B"/>
    <w:rsid w:val="005660C9"/>
    <w:rsid w:val="0056696F"/>
    <w:rsid w:val="0056772D"/>
    <w:rsid w:val="00567FA3"/>
    <w:rsid w:val="00571F99"/>
    <w:rsid w:val="00571FA8"/>
    <w:rsid w:val="00572D37"/>
    <w:rsid w:val="00575D8D"/>
    <w:rsid w:val="00576972"/>
    <w:rsid w:val="00576C22"/>
    <w:rsid w:val="00576E77"/>
    <w:rsid w:val="005777B5"/>
    <w:rsid w:val="005802F1"/>
    <w:rsid w:val="00581226"/>
    <w:rsid w:val="00581B3F"/>
    <w:rsid w:val="00582D78"/>
    <w:rsid w:val="00583699"/>
    <w:rsid w:val="0058555B"/>
    <w:rsid w:val="00585897"/>
    <w:rsid w:val="00586049"/>
    <w:rsid w:val="00586C37"/>
    <w:rsid w:val="00587178"/>
    <w:rsid w:val="00587489"/>
    <w:rsid w:val="0058797A"/>
    <w:rsid w:val="00590254"/>
    <w:rsid w:val="005914AC"/>
    <w:rsid w:val="005922B4"/>
    <w:rsid w:val="00592F2D"/>
    <w:rsid w:val="00593C5C"/>
    <w:rsid w:val="005945A9"/>
    <w:rsid w:val="005945BD"/>
    <w:rsid w:val="005949D6"/>
    <w:rsid w:val="0059521A"/>
    <w:rsid w:val="0059646A"/>
    <w:rsid w:val="00596886"/>
    <w:rsid w:val="00597A15"/>
    <w:rsid w:val="00597D80"/>
    <w:rsid w:val="005A14E3"/>
    <w:rsid w:val="005A1DFE"/>
    <w:rsid w:val="005A325D"/>
    <w:rsid w:val="005A5D78"/>
    <w:rsid w:val="005A7932"/>
    <w:rsid w:val="005B01B0"/>
    <w:rsid w:val="005B20BD"/>
    <w:rsid w:val="005B2426"/>
    <w:rsid w:val="005B27DC"/>
    <w:rsid w:val="005B28AB"/>
    <w:rsid w:val="005B2C63"/>
    <w:rsid w:val="005B3189"/>
    <w:rsid w:val="005B35CE"/>
    <w:rsid w:val="005B3879"/>
    <w:rsid w:val="005B388B"/>
    <w:rsid w:val="005B4F9D"/>
    <w:rsid w:val="005B5857"/>
    <w:rsid w:val="005B6D31"/>
    <w:rsid w:val="005B707A"/>
    <w:rsid w:val="005B761B"/>
    <w:rsid w:val="005B7F46"/>
    <w:rsid w:val="005C0E12"/>
    <w:rsid w:val="005C1076"/>
    <w:rsid w:val="005C1B83"/>
    <w:rsid w:val="005C1FE9"/>
    <w:rsid w:val="005C2852"/>
    <w:rsid w:val="005C2A31"/>
    <w:rsid w:val="005C33B8"/>
    <w:rsid w:val="005C33CB"/>
    <w:rsid w:val="005C346B"/>
    <w:rsid w:val="005C45E1"/>
    <w:rsid w:val="005C61E8"/>
    <w:rsid w:val="005C6BA1"/>
    <w:rsid w:val="005C752C"/>
    <w:rsid w:val="005D0416"/>
    <w:rsid w:val="005D044D"/>
    <w:rsid w:val="005D08A7"/>
    <w:rsid w:val="005D18AD"/>
    <w:rsid w:val="005D190A"/>
    <w:rsid w:val="005D1CBA"/>
    <w:rsid w:val="005D21CB"/>
    <w:rsid w:val="005D283C"/>
    <w:rsid w:val="005D299C"/>
    <w:rsid w:val="005D3105"/>
    <w:rsid w:val="005D3EE1"/>
    <w:rsid w:val="005D43BE"/>
    <w:rsid w:val="005D5414"/>
    <w:rsid w:val="005D5AD0"/>
    <w:rsid w:val="005D7D2E"/>
    <w:rsid w:val="005E0044"/>
    <w:rsid w:val="005E07EF"/>
    <w:rsid w:val="005E0A37"/>
    <w:rsid w:val="005E0D6C"/>
    <w:rsid w:val="005E1276"/>
    <w:rsid w:val="005E15DD"/>
    <w:rsid w:val="005E2845"/>
    <w:rsid w:val="005E2EC3"/>
    <w:rsid w:val="005E3549"/>
    <w:rsid w:val="005E4D2C"/>
    <w:rsid w:val="005E5C36"/>
    <w:rsid w:val="005E68AC"/>
    <w:rsid w:val="005E7022"/>
    <w:rsid w:val="005E73C0"/>
    <w:rsid w:val="005F021E"/>
    <w:rsid w:val="005F0EE6"/>
    <w:rsid w:val="005F206D"/>
    <w:rsid w:val="005F2706"/>
    <w:rsid w:val="005F33D8"/>
    <w:rsid w:val="005F353F"/>
    <w:rsid w:val="005F6251"/>
    <w:rsid w:val="005F6A8F"/>
    <w:rsid w:val="00600DA6"/>
    <w:rsid w:val="006012E8"/>
    <w:rsid w:val="00603A0C"/>
    <w:rsid w:val="00603E69"/>
    <w:rsid w:val="00604207"/>
    <w:rsid w:val="006043E6"/>
    <w:rsid w:val="006044A8"/>
    <w:rsid w:val="0060498B"/>
    <w:rsid w:val="00604D25"/>
    <w:rsid w:val="00605179"/>
    <w:rsid w:val="00605201"/>
    <w:rsid w:val="00605C0B"/>
    <w:rsid w:val="00605F1B"/>
    <w:rsid w:val="006060F5"/>
    <w:rsid w:val="00606B6F"/>
    <w:rsid w:val="00607669"/>
    <w:rsid w:val="00611221"/>
    <w:rsid w:val="0061144B"/>
    <w:rsid w:val="00612F97"/>
    <w:rsid w:val="0061313C"/>
    <w:rsid w:val="00613DFE"/>
    <w:rsid w:val="00615183"/>
    <w:rsid w:val="00615A4F"/>
    <w:rsid w:val="00615B03"/>
    <w:rsid w:val="0061623D"/>
    <w:rsid w:val="0061643D"/>
    <w:rsid w:val="0061679E"/>
    <w:rsid w:val="00616802"/>
    <w:rsid w:val="00617E12"/>
    <w:rsid w:val="00621418"/>
    <w:rsid w:val="00621477"/>
    <w:rsid w:val="00622557"/>
    <w:rsid w:val="00622E18"/>
    <w:rsid w:val="00622FA6"/>
    <w:rsid w:val="006230F5"/>
    <w:rsid w:val="006242D3"/>
    <w:rsid w:val="00624D27"/>
    <w:rsid w:val="00625818"/>
    <w:rsid w:val="006259EC"/>
    <w:rsid w:val="00627788"/>
    <w:rsid w:val="00630650"/>
    <w:rsid w:val="00631512"/>
    <w:rsid w:val="00631D6B"/>
    <w:rsid w:val="006320DE"/>
    <w:rsid w:val="00632B6A"/>
    <w:rsid w:val="006333E2"/>
    <w:rsid w:val="00633E25"/>
    <w:rsid w:val="0063479F"/>
    <w:rsid w:val="006352BC"/>
    <w:rsid w:val="006364A1"/>
    <w:rsid w:val="00637BFD"/>
    <w:rsid w:val="00641663"/>
    <w:rsid w:val="006426B9"/>
    <w:rsid w:val="00642B12"/>
    <w:rsid w:val="00642FA7"/>
    <w:rsid w:val="006440F7"/>
    <w:rsid w:val="00644103"/>
    <w:rsid w:val="00644104"/>
    <w:rsid w:val="00645948"/>
    <w:rsid w:val="00645B42"/>
    <w:rsid w:val="006471CC"/>
    <w:rsid w:val="00647B28"/>
    <w:rsid w:val="0065079F"/>
    <w:rsid w:val="00650B4E"/>
    <w:rsid w:val="006516FB"/>
    <w:rsid w:val="00651C90"/>
    <w:rsid w:val="00652969"/>
    <w:rsid w:val="006550C2"/>
    <w:rsid w:val="006559AC"/>
    <w:rsid w:val="0065764A"/>
    <w:rsid w:val="00660940"/>
    <w:rsid w:val="00661377"/>
    <w:rsid w:val="00662AFC"/>
    <w:rsid w:val="00663DEC"/>
    <w:rsid w:val="006640C8"/>
    <w:rsid w:val="00664F63"/>
    <w:rsid w:val="00665C76"/>
    <w:rsid w:val="00665DB2"/>
    <w:rsid w:val="0066686A"/>
    <w:rsid w:val="00666E54"/>
    <w:rsid w:val="00667E8A"/>
    <w:rsid w:val="0067124F"/>
    <w:rsid w:val="0067287F"/>
    <w:rsid w:val="00672A19"/>
    <w:rsid w:val="006733CA"/>
    <w:rsid w:val="00674E42"/>
    <w:rsid w:val="00675B37"/>
    <w:rsid w:val="00675CC0"/>
    <w:rsid w:val="00676B56"/>
    <w:rsid w:val="00677F30"/>
    <w:rsid w:val="00680519"/>
    <w:rsid w:val="00680913"/>
    <w:rsid w:val="00681C64"/>
    <w:rsid w:val="00681F74"/>
    <w:rsid w:val="00682112"/>
    <w:rsid w:val="006843EE"/>
    <w:rsid w:val="00685555"/>
    <w:rsid w:val="006863E8"/>
    <w:rsid w:val="00686838"/>
    <w:rsid w:val="00686846"/>
    <w:rsid w:val="006871BC"/>
    <w:rsid w:val="006871EA"/>
    <w:rsid w:val="006872BA"/>
    <w:rsid w:val="006872F6"/>
    <w:rsid w:val="00690673"/>
    <w:rsid w:val="00690841"/>
    <w:rsid w:val="00690859"/>
    <w:rsid w:val="00690F31"/>
    <w:rsid w:val="00690F64"/>
    <w:rsid w:val="006917D7"/>
    <w:rsid w:val="00692E59"/>
    <w:rsid w:val="006940C4"/>
    <w:rsid w:val="0069475C"/>
    <w:rsid w:val="00694F44"/>
    <w:rsid w:val="006951CD"/>
    <w:rsid w:val="0069575C"/>
    <w:rsid w:val="006961A4"/>
    <w:rsid w:val="00696927"/>
    <w:rsid w:val="006A0046"/>
    <w:rsid w:val="006A0F5B"/>
    <w:rsid w:val="006A3792"/>
    <w:rsid w:val="006A383E"/>
    <w:rsid w:val="006A406B"/>
    <w:rsid w:val="006A467E"/>
    <w:rsid w:val="006A4AE3"/>
    <w:rsid w:val="006A4B00"/>
    <w:rsid w:val="006A5AFB"/>
    <w:rsid w:val="006A6025"/>
    <w:rsid w:val="006A64E2"/>
    <w:rsid w:val="006A69BB"/>
    <w:rsid w:val="006A6D1E"/>
    <w:rsid w:val="006A7140"/>
    <w:rsid w:val="006B0E43"/>
    <w:rsid w:val="006B1CCF"/>
    <w:rsid w:val="006B2B03"/>
    <w:rsid w:val="006B3E33"/>
    <w:rsid w:val="006B3FC0"/>
    <w:rsid w:val="006B4C82"/>
    <w:rsid w:val="006B4DE1"/>
    <w:rsid w:val="006B5717"/>
    <w:rsid w:val="006B5E91"/>
    <w:rsid w:val="006B6BC0"/>
    <w:rsid w:val="006C054A"/>
    <w:rsid w:val="006C2A8E"/>
    <w:rsid w:val="006C2C6B"/>
    <w:rsid w:val="006C2F6D"/>
    <w:rsid w:val="006C3228"/>
    <w:rsid w:val="006C35F6"/>
    <w:rsid w:val="006C3739"/>
    <w:rsid w:val="006C40B5"/>
    <w:rsid w:val="006C4BC7"/>
    <w:rsid w:val="006C555E"/>
    <w:rsid w:val="006C5E77"/>
    <w:rsid w:val="006C620C"/>
    <w:rsid w:val="006C64C8"/>
    <w:rsid w:val="006C6650"/>
    <w:rsid w:val="006C6FA7"/>
    <w:rsid w:val="006C7B55"/>
    <w:rsid w:val="006D038F"/>
    <w:rsid w:val="006D15B0"/>
    <w:rsid w:val="006D23BB"/>
    <w:rsid w:val="006D243B"/>
    <w:rsid w:val="006D3C7D"/>
    <w:rsid w:val="006D4534"/>
    <w:rsid w:val="006D5BF8"/>
    <w:rsid w:val="006D5C27"/>
    <w:rsid w:val="006D5D5F"/>
    <w:rsid w:val="006D6E13"/>
    <w:rsid w:val="006D6E89"/>
    <w:rsid w:val="006D6FF9"/>
    <w:rsid w:val="006D7609"/>
    <w:rsid w:val="006E0AD0"/>
    <w:rsid w:val="006E0BAA"/>
    <w:rsid w:val="006E1505"/>
    <w:rsid w:val="006E222F"/>
    <w:rsid w:val="006E29DB"/>
    <w:rsid w:val="006E2C35"/>
    <w:rsid w:val="006E34E2"/>
    <w:rsid w:val="006E36A9"/>
    <w:rsid w:val="006E3D96"/>
    <w:rsid w:val="006E4315"/>
    <w:rsid w:val="006E5EFD"/>
    <w:rsid w:val="006E6094"/>
    <w:rsid w:val="006E65D6"/>
    <w:rsid w:val="006E6B25"/>
    <w:rsid w:val="006F03B0"/>
    <w:rsid w:val="006F12DE"/>
    <w:rsid w:val="006F1C23"/>
    <w:rsid w:val="006F229E"/>
    <w:rsid w:val="006F33BA"/>
    <w:rsid w:val="006F3605"/>
    <w:rsid w:val="006F36FF"/>
    <w:rsid w:val="006F4BC3"/>
    <w:rsid w:val="006F55FB"/>
    <w:rsid w:val="006F5CC8"/>
    <w:rsid w:val="006F63A5"/>
    <w:rsid w:val="006F6A99"/>
    <w:rsid w:val="006F6BE8"/>
    <w:rsid w:val="006F6D70"/>
    <w:rsid w:val="006F7970"/>
    <w:rsid w:val="0070083B"/>
    <w:rsid w:val="00700F76"/>
    <w:rsid w:val="00701CC4"/>
    <w:rsid w:val="00701D61"/>
    <w:rsid w:val="0070276E"/>
    <w:rsid w:val="00702F8F"/>
    <w:rsid w:val="007045D7"/>
    <w:rsid w:val="00705B0D"/>
    <w:rsid w:val="00707D38"/>
    <w:rsid w:val="0071021C"/>
    <w:rsid w:val="00710DF6"/>
    <w:rsid w:val="00711A36"/>
    <w:rsid w:val="00713910"/>
    <w:rsid w:val="00714445"/>
    <w:rsid w:val="00714783"/>
    <w:rsid w:val="00715447"/>
    <w:rsid w:val="007169B7"/>
    <w:rsid w:val="007172AD"/>
    <w:rsid w:val="00717EA1"/>
    <w:rsid w:val="00721059"/>
    <w:rsid w:val="007215ED"/>
    <w:rsid w:val="00721B10"/>
    <w:rsid w:val="007224AA"/>
    <w:rsid w:val="007227D1"/>
    <w:rsid w:val="007238EB"/>
    <w:rsid w:val="0072416F"/>
    <w:rsid w:val="007255E5"/>
    <w:rsid w:val="007256EC"/>
    <w:rsid w:val="0072777D"/>
    <w:rsid w:val="00730866"/>
    <w:rsid w:val="00731144"/>
    <w:rsid w:val="007323D3"/>
    <w:rsid w:val="00733B56"/>
    <w:rsid w:val="00735328"/>
    <w:rsid w:val="007354DC"/>
    <w:rsid w:val="007356CA"/>
    <w:rsid w:val="007361DA"/>
    <w:rsid w:val="0073685B"/>
    <w:rsid w:val="00736B2F"/>
    <w:rsid w:val="00737100"/>
    <w:rsid w:val="00737895"/>
    <w:rsid w:val="00737D4A"/>
    <w:rsid w:val="00740326"/>
    <w:rsid w:val="00740F24"/>
    <w:rsid w:val="00740F3A"/>
    <w:rsid w:val="00741120"/>
    <w:rsid w:val="00742371"/>
    <w:rsid w:val="007426E6"/>
    <w:rsid w:val="00742B0D"/>
    <w:rsid w:val="00743293"/>
    <w:rsid w:val="00743327"/>
    <w:rsid w:val="007444F1"/>
    <w:rsid w:val="00745BFB"/>
    <w:rsid w:val="00747293"/>
    <w:rsid w:val="00747B80"/>
    <w:rsid w:val="00747F76"/>
    <w:rsid w:val="00750466"/>
    <w:rsid w:val="0075153E"/>
    <w:rsid w:val="00752B35"/>
    <w:rsid w:val="0075326B"/>
    <w:rsid w:val="00754E5B"/>
    <w:rsid w:val="00755791"/>
    <w:rsid w:val="00756273"/>
    <w:rsid w:val="007566C9"/>
    <w:rsid w:val="007570E7"/>
    <w:rsid w:val="00757637"/>
    <w:rsid w:val="00757B09"/>
    <w:rsid w:val="00757E63"/>
    <w:rsid w:val="00763528"/>
    <w:rsid w:val="00763B1D"/>
    <w:rsid w:val="007648F8"/>
    <w:rsid w:val="0076523B"/>
    <w:rsid w:val="00765259"/>
    <w:rsid w:val="00765724"/>
    <w:rsid w:val="00765916"/>
    <w:rsid w:val="00765EE6"/>
    <w:rsid w:val="00770D40"/>
    <w:rsid w:val="00771C6B"/>
    <w:rsid w:val="0077218E"/>
    <w:rsid w:val="00774A1B"/>
    <w:rsid w:val="007765FF"/>
    <w:rsid w:val="00776A4B"/>
    <w:rsid w:val="00776DCA"/>
    <w:rsid w:val="00777783"/>
    <w:rsid w:val="007807E6"/>
    <w:rsid w:val="007809AF"/>
    <w:rsid w:val="007811E6"/>
    <w:rsid w:val="00781B10"/>
    <w:rsid w:val="00781B80"/>
    <w:rsid w:val="007821B1"/>
    <w:rsid w:val="00782CA3"/>
    <w:rsid w:val="00783FFC"/>
    <w:rsid w:val="00784757"/>
    <w:rsid w:val="00785C89"/>
    <w:rsid w:val="00785CE1"/>
    <w:rsid w:val="007869E0"/>
    <w:rsid w:val="00786C26"/>
    <w:rsid w:val="00786C37"/>
    <w:rsid w:val="00790459"/>
    <w:rsid w:val="007916C1"/>
    <w:rsid w:val="0079227D"/>
    <w:rsid w:val="00792ACB"/>
    <w:rsid w:val="00793F82"/>
    <w:rsid w:val="007951F5"/>
    <w:rsid w:val="00795DCA"/>
    <w:rsid w:val="00796031"/>
    <w:rsid w:val="00797A6A"/>
    <w:rsid w:val="007A0A12"/>
    <w:rsid w:val="007A0D7B"/>
    <w:rsid w:val="007A1377"/>
    <w:rsid w:val="007A18C3"/>
    <w:rsid w:val="007A1E29"/>
    <w:rsid w:val="007A2617"/>
    <w:rsid w:val="007A2C74"/>
    <w:rsid w:val="007A2E28"/>
    <w:rsid w:val="007A3840"/>
    <w:rsid w:val="007A4209"/>
    <w:rsid w:val="007A5BB3"/>
    <w:rsid w:val="007A6777"/>
    <w:rsid w:val="007A7A5B"/>
    <w:rsid w:val="007B0B24"/>
    <w:rsid w:val="007B0C9A"/>
    <w:rsid w:val="007B0DE8"/>
    <w:rsid w:val="007B11C4"/>
    <w:rsid w:val="007B200A"/>
    <w:rsid w:val="007B251D"/>
    <w:rsid w:val="007B2F68"/>
    <w:rsid w:val="007B3835"/>
    <w:rsid w:val="007B3F1A"/>
    <w:rsid w:val="007B426E"/>
    <w:rsid w:val="007B4399"/>
    <w:rsid w:val="007B53FF"/>
    <w:rsid w:val="007B65B6"/>
    <w:rsid w:val="007B7346"/>
    <w:rsid w:val="007B77D1"/>
    <w:rsid w:val="007B7EFF"/>
    <w:rsid w:val="007C182E"/>
    <w:rsid w:val="007C2107"/>
    <w:rsid w:val="007C3598"/>
    <w:rsid w:val="007C361D"/>
    <w:rsid w:val="007C3F7A"/>
    <w:rsid w:val="007C401A"/>
    <w:rsid w:val="007C48F6"/>
    <w:rsid w:val="007C4BCC"/>
    <w:rsid w:val="007C4DA1"/>
    <w:rsid w:val="007C5118"/>
    <w:rsid w:val="007C585B"/>
    <w:rsid w:val="007C5BB2"/>
    <w:rsid w:val="007D0B38"/>
    <w:rsid w:val="007D1438"/>
    <w:rsid w:val="007D1FF8"/>
    <w:rsid w:val="007D23A3"/>
    <w:rsid w:val="007D7040"/>
    <w:rsid w:val="007D73A6"/>
    <w:rsid w:val="007E01CD"/>
    <w:rsid w:val="007E15A8"/>
    <w:rsid w:val="007E1D50"/>
    <w:rsid w:val="007E2722"/>
    <w:rsid w:val="007E2E63"/>
    <w:rsid w:val="007E2F69"/>
    <w:rsid w:val="007E37F9"/>
    <w:rsid w:val="007E4D13"/>
    <w:rsid w:val="007E5589"/>
    <w:rsid w:val="007E64F0"/>
    <w:rsid w:val="007E68DC"/>
    <w:rsid w:val="007E72B9"/>
    <w:rsid w:val="007E7C5B"/>
    <w:rsid w:val="007F08E9"/>
    <w:rsid w:val="007F0BA9"/>
    <w:rsid w:val="007F1017"/>
    <w:rsid w:val="007F290A"/>
    <w:rsid w:val="007F4323"/>
    <w:rsid w:val="007F4A3F"/>
    <w:rsid w:val="007F5506"/>
    <w:rsid w:val="007F587D"/>
    <w:rsid w:val="007F7BFE"/>
    <w:rsid w:val="008002E3"/>
    <w:rsid w:val="0080073A"/>
    <w:rsid w:val="008013BB"/>
    <w:rsid w:val="008016CE"/>
    <w:rsid w:val="008024B8"/>
    <w:rsid w:val="00802F3B"/>
    <w:rsid w:val="00803FE5"/>
    <w:rsid w:val="00804014"/>
    <w:rsid w:val="00804B84"/>
    <w:rsid w:val="00804D9C"/>
    <w:rsid w:val="00804F92"/>
    <w:rsid w:val="00805142"/>
    <w:rsid w:val="00805BFE"/>
    <w:rsid w:val="00806268"/>
    <w:rsid w:val="008072DA"/>
    <w:rsid w:val="00807A8B"/>
    <w:rsid w:val="00807FC8"/>
    <w:rsid w:val="00810350"/>
    <w:rsid w:val="008104CC"/>
    <w:rsid w:val="008109B1"/>
    <w:rsid w:val="0081169D"/>
    <w:rsid w:val="008120FF"/>
    <w:rsid w:val="00812149"/>
    <w:rsid w:val="008149C6"/>
    <w:rsid w:val="0081555A"/>
    <w:rsid w:val="008158EC"/>
    <w:rsid w:val="008161EB"/>
    <w:rsid w:val="008166EF"/>
    <w:rsid w:val="008169D2"/>
    <w:rsid w:val="00816F1D"/>
    <w:rsid w:val="00817606"/>
    <w:rsid w:val="008200C3"/>
    <w:rsid w:val="008208CA"/>
    <w:rsid w:val="00820D0E"/>
    <w:rsid w:val="00820DDF"/>
    <w:rsid w:val="00821A6A"/>
    <w:rsid w:val="008224F1"/>
    <w:rsid w:val="008237C3"/>
    <w:rsid w:val="008243E5"/>
    <w:rsid w:val="00825108"/>
    <w:rsid w:val="00825990"/>
    <w:rsid w:val="008264EB"/>
    <w:rsid w:val="00826A30"/>
    <w:rsid w:val="0082733E"/>
    <w:rsid w:val="008278C0"/>
    <w:rsid w:val="00830623"/>
    <w:rsid w:val="00830B37"/>
    <w:rsid w:val="00831FBA"/>
    <w:rsid w:val="008320FD"/>
    <w:rsid w:val="00832983"/>
    <w:rsid w:val="00833B05"/>
    <w:rsid w:val="00835349"/>
    <w:rsid w:val="0083558C"/>
    <w:rsid w:val="008356D4"/>
    <w:rsid w:val="00837C75"/>
    <w:rsid w:val="00840CA2"/>
    <w:rsid w:val="00841F65"/>
    <w:rsid w:val="008425AB"/>
    <w:rsid w:val="00844254"/>
    <w:rsid w:val="00844822"/>
    <w:rsid w:val="00844F98"/>
    <w:rsid w:val="008458E2"/>
    <w:rsid w:val="00847714"/>
    <w:rsid w:val="008505BF"/>
    <w:rsid w:val="008506C5"/>
    <w:rsid w:val="00851683"/>
    <w:rsid w:val="00852F9F"/>
    <w:rsid w:val="00853116"/>
    <w:rsid w:val="0085330E"/>
    <w:rsid w:val="008534CC"/>
    <w:rsid w:val="0085517C"/>
    <w:rsid w:val="00855C1C"/>
    <w:rsid w:val="00855DBE"/>
    <w:rsid w:val="008564B9"/>
    <w:rsid w:val="00856E9A"/>
    <w:rsid w:val="008578D7"/>
    <w:rsid w:val="008600E3"/>
    <w:rsid w:val="00860A96"/>
    <w:rsid w:val="008619B8"/>
    <w:rsid w:val="00861E0F"/>
    <w:rsid w:val="00862107"/>
    <w:rsid w:val="0086222E"/>
    <w:rsid w:val="00862502"/>
    <w:rsid w:val="00862EF1"/>
    <w:rsid w:val="0086339A"/>
    <w:rsid w:val="00863829"/>
    <w:rsid w:val="008656FC"/>
    <w:rsid w:val="008663A1"/>
    <w:rsid w:val="008665FC"/>
    <w:rsid w:val="00866990"/>
    <w:rsid w:val="00866CEA"/>
    <w:rsid w:val="008671B4"/>
    <w:rsid w:val="00867844"/>
    <w:rsid w:val="00867F15"/>
    <w:rsid w:val="00870EE6"/>
    <w:rsid w:val="00871112"/>
    <w:rsid w:val="008727CA"/>
    <w:rsid w:val="00873581"/>
    <w:rsid w:val="008742F0"/>
    <w:rsid w:val="008743C2"/>
    <w:rsid w:val="0087497C"/>
    <w:rsid w:val="00874A82"/>
    <w:rsid w:val="00874E91"/>
    <w:rsid w:val="0087549F"/>
    <w:rsid w:val="008757C5"/>
    <w:rsid w:val="0087645C"/>
    <w:rsid w:val="00876EE8"/>
    <w:rsid w:val="008778F6"/>
    <w:rsid w:val="00881DBB"/>
    <w:rsid w:val="0088269F"/>
    <w:rsid w:val="00882874"/>
    <w:rsid w:val="00883168"/>
    <w:rsid w:val="00883539"/>
    <w:rsid w:val="00883787"/>
    <w:rsid w:val="00884F9A"/>
    <w:rsid w:val="00885A77"/>
    <w:rsid w:val="00885ED0"/>
    <w:rsid w:val="00886DF7"/>
    <w:rsid w:val="008902AD"/>
    <w:rsid w:val="0089068B"/>
    <w:rsid w:val="00890821"/>
    <w:rsid w:val="00890F59"/>
    <w:rsid w:val="00891584"/>
    <w:rsid w:val="00891FB4"/>
    <w:rsid w:val="00894087"/>
    <w:rsid w:val="00894489"/>
    <w:rsid w:val="008947D9"/>
    <w:rsid w:val="00896039"/>
    <w:rsid w:val="008963A5"/>
    <w:rsid w:val="008970DF"/>
    <w:rsid w:val="00897F6A"/>
    <w:rsid w:val="008A07DF"/>
    <w:rsid w:val="008A0A2E"/>
    <w:rsid w:val="008A0B5E"/>
    <w:rsid w:val="008A196A"/>
    <w:rsid w:val="008A2DC6"/>
    <w:rsid w:val="008A3C3E"/>
    <w:rsid w:val="008A4D30"/>
    <w:rsid w:val="008A54BA"/>
    <w:rsid w:val="008A6972"/>
    <w:rsid w:val="008A71B7"/>
    <w:rsid w:val="008A79DE"/>
    <w:rsid w:val="008B0652"/>
    <w:rsid w:val="008B1C25"/>
    <w:rsid w:val="008B43F5"/>
    <w:rsid w:val="008B47B6"/>
    <w:rsid w:val="008B4CC3"/>
    <w:rsid w:val="008B527E"/>
    <w:rsid w:val="008B7D7E"/>
    <w:rsid w:val="008B7DBF"/>
    <w:rsid w:val="008B7E72"/>
    <w:rsid w:val="008B7F3F"/>
    <w:rsid w:val="008C065C"/>
    <w:rsid w:val="008C0B13"/>
    <w:rsid w:val="008C16C6"/>
    <w:rsid w:val="008C1B6F"/>
    <w:rsid w:val="008C2152"/>
    <w:rsid w:val="008C2AC5"/>
    <w:rsid w:val="008C2C2F"/>
    <w:rsid w:val="008C2CB3"/>
    <w:rsid w:val="008C2E95"/>
    <w:rsid w:val="008C32F6"/>
    <w:rsid w:val="008C4727"/>
    <w:rsid w:val="008C5B3F"/>
    <w:rsid w:val="008C5EBE"/>
    <w:rsid w:val="008C6E0D"/>
    <w:rsid w:val="008C6E5B"/>
    <w:rsid w:val="008C7194"/>
    <w:rsid w:val="008C7ECB"/>
    <w:rsid w:val="008D17EC"/>
    <w:rsid w:val="008D2319"/>
    <w:rsid w:val="008D2AF7"/>
    <w:rsid w:val="008D4C67"/>
    <w:rsid w:val="008D6D55"/>
    <w:rsid w:val="008D7472"/>
    <w:rsid w:val="008D769E"/>
    <w:rsid w:val="008E0AE2"/>
    <w:rsid w:val="008E1103"/>
    <w:rsid w:val="008E161F"/>
    <w:rsid w:val="008E1B9E"/>
    <w:rsid w:val="008E1E94"/>
    <w:rsid w:val="008E2AF6"/>
    <w:rsid w:val="008E2F61"/>
    <w:rsid w:val="008E354E"/>
    <w:rsid w:val="008E37D3"/>
    <w:rsid w:val="008E43E8"/>
    <w:rsid w:val="008E50F9"/>
    <w:rsid w:val="008E5849"/>
    <w:rsid w:val="008E5D9D"/>
    <w:rsid w:val="008E6055"/>
    <w:rsid w:val="008E6787"/>
    <w:rsid w:val="008E7604"/>
    <w:rsid w:val="008F0492"/>
    <w:rsid w:val="008F120A"/>
    <w:rsid w:val="008F1E97"/>
    <w:rsid w:val="008F2E88"/>
    <w:rsid w:val="008F3673"/>
    <w:rsid w:val="008F48EB"/>
    <w:rsid w:val="008F4F0B"/>
    <w:rsid w:val="008F5B8B"/>
    <w:rsid w:val="008F64E6"/>
    <w:rsid w:val="008F66B8"/>
    <w:rsid w:val="008F6F63"/>
    <w:rsid w:val="008F719C"/>
    <w:rsid w:val="008F75CC"/>
    <w:rsid w:val="008F7A79"/>
    <w:rsid w:val="00900396"/>
    <w:rsid w:val="00901048"/>
    <w:rsid w:val="00901E42"/>
    <w:rsid w:val="009020B3"/>
    <w:rsid w:val="0090284B"/>
    <w:rsid w:val="00903EE4"/>
    <w:rsid w:val="00904218"/>
    <w:rsid w:val="00904374"/>
    <w:rsid w:val="00905674"/>
    <w:rsid w:val="009062A5"/>
    <w:rsid w:val="00906380"/>
    <w:rsid w:val="00910241"/>
    <w:rsid w:val="009105B3"/>
    <w:rsid w:val="00911272"/>
    <w:rsid w:val="00911460"/>
    <w:rsid w:val="00911BBF"/>
    <w:rsid w:val="00912554"/>
    <w:rsid w:val="00913FAC"/>
    <w:rsid w:val="00915A27"/>
    <w:rsid w:val="0091622C"/>
    <w:rsid w:val="00916403"/>
    <w:rsid w:val="00916FBA"/>
    <w:rsid w:val="009172A4"/>
    <w:rsid w:val="00920FCF"/>
    <w:rsid w:val="009211A6"/>
    <w:rsid w:val="00921A07"/>
    <w:rsid w:val="00922219"/>
    <w:rsid w:val="00922DB4"/>
    <w:rsid w:val="009242D5"/>
    <w:rsid w:val="00924DAC"/>
    <w:rsid w:val="00924F07"/>
    <w:rsid w:val="009259BF"/>
    <w:rsid w:val="00926EF6"/>
    <w:rsid w:val="00927A0F"/>
    <w:rsid w:val="0093033B"/>
    <w:rsid w:val="00931A47"/>
    <w:rsid w:val="00931F47"/>
    <w:rsid w:val="009329CD"/>
    <w:rsid w:val="00932BAD"/>
    <w:rsid w:val="00932BE9"/>
    <w:rsid w:val="00933E58"/>
    <w:rsid w:val="00934166"/>
    <w:rsid w:val="009347BA"/>
    <w:rsid w:val="009353E9"/>
    <w:rsid w:val="009360CD"/>
    <w:rsid w:val="00937F90"/>
    <w:rsid w:val="009417AC"/>
    <w:rsid w:val="00943C51"/>
    <w:rsid w:val="0094432B"/>
    <w:rsid w:val="00944923"/>
    <w:rsid w:val="009455B4"/>
    <w:rsid w:val="00945F52"/>
    <w:rsid w:val="009476A0"/>
    <w:rsid w:val="00951395"/>
    <w:rsid w:val="0095140D"/>
    <w:rsid w:val="00951532"/>
    <w:rsid w:val="009532E4"/>
    <w:rsid w:val="00953A5C"/>
    <w:rsid w:val="009554DA"/>
    <w:rsid w:val="00955698"/>
    <w:rsid w:val="00960265"/>
    <w:rsid w:val="009604E3"/>
    <w:rsid w:val="0096054E"/>
    <w:rsid w:val="00960758"/>
    <w:rsid w:val="00962A1E"/>
    <w:rsid w:val="00962CB9"/>
    <w:rsid w:val="00962E89"/>
    <w:rsid w:val="0096389D"/>
    <w:rsid w:val="00964144"/>
    <w:rsid w:val="00964312"/>
    <w:rsid w:val="0096439A"/>
    <w:rsid w:val="0096564D"/>
    <w:rsid w:val="00965F20"/>
    <w:rsid w:val="0096759A"/>
    <w:rsid w:val="009705A6"/>
    <w:rsid w:val="00971A70"/>
    <w:rsid w:val="00972547"/>
    <w:rsid w:val="009730D4"/>
    <w:rsid w:val="00973E30"/>
    <w:rsid w:val="009743FC"/>
    <w:rsid w:val="00975870"/>
    <w:rsid w:val="009774BE"/>
    <w:rsid w:val="00977A5F"/>
    <w:rsid w:val="00977CB6"/>
    <w:rsid w:val="00977E1D"/>
    <w:rsid w:val="00981010"/>
    <w:rsid w:val="0098107D"/>
    <w:rsid w:val="00981F48"/>
    <w:rsid w:val="00982211"/>
    <w:rsid w:val="00982A7E"/>
    <w:rsid w:val="00982F7E"/>
    <w:rsid w:val="009831DF"/>
    <w:rsid w:val="00983E57"/>
    <w:rsid w:val="00984CE8"/>
    <w:rsid w:val="00985A04"/>
    <w:rsid w:val="0098696D"/>
    <w:rsid w:val="00987217"/>
    <w:rsid w:val="0098795C"/>
    <w:rsid w:val="00990553"/>
    <w:rsid w:val="009911D2"/>
    <w:rsid w:val="0099184D"/>
    <w:rsid w:val="009918D9"/>
    <w:rsid w:val="009919F8"/>
    <w:rsid w:val="00992EE7"/>
    <w:rsid w:val="00993A22"/>
    <w:rsid w:val="009943BE"/>
    <w:rsid w:val="009950CF"/>
    <w:rsid w:val="00996088"/>
    <w:rsid w:val="00996B1A"/>
    <w:rsid w:val="009972C1"/>
    <w:rsid w:val="00997877"/>
    <w:rsid w:val="00997C5A"/>
    <w:rsid w:val="00997DEB"/>
    <w:rsid w:val="009A067C"/>
    <w:rsid w:val="009A0E84"/>
    <w:rsid w:val="009A1339"/>
    <w:rsid w:val="009A2B2C"/>
    <w:rsid w:val="009A4EDB"/>
    <w:rsid w:val="009A6512"/>
    <w:rsid w:val="009A6749"/>
    <w:rsid w:val="009A6AFD"/>
    <w:rsid w:val="009A6F04"/>
    <w:rsid w:val="009A74DD"/>
    <w:rsid w:val="009A7914"/>
    <w:rsid w:val="009A7927"/>
    <w:rsid w:val="009B05C4"/>
    <w:rsid w:val="009B08E8"/>
    <w:rsid w:val="009B17D0"/>
    <w:rsid w:val="009B20DD"/>
    <w:rsid w:val="009B2F3D"/>
    <w:rsid w:val="009B39DD"/>
    <w:rsid w:val="009B3A40"/>
    <w:rsid w:val="009B3B4F"/>
    <w:rsid w:val="009B3E26"/>
    <w:rsid w:val="009B43E8"/>
    <w:rsid w:val="009B4EA3"/>
    <w:rsid w:val="009B563C"/>
    <w:rsid w:val="009B56DF"/>
    <w:rsid w:val="009B58E7"/>
    <w:rsid w:val="009B5F3D"/>
    <w:rsid w:val="009B60FB"/>
    <w:rsid w:val="009C02B8"/>
    <w:rsid w:val="009C10F0"/>
    <w:rsid w:val="009C29C3"/>
    <w:rsid w:val="009C37AB"/>
    <w:rsid w:val="009C42D1"/>
    <w:rsid w:val="009C481D"/>
    <w:rsid w:val="009C6FE5"/>
    <w:rsid w:val="009C724E"/>
    <w:rsid w:val="009C7942"/>
    <w:rsid w:val="009C7AC0"/>
    <w:rsid w:val="009C7BEC"/>
    <w:rsid w:val="009D0800"/>
    <w:rsid w:val="009D0A70"/>
    <w:rsid w:val="009D1E3C"/>
    <w:rsid w:val="009D2EF4"/>
    <w:rsid w:val="009D344D"/>
    <w:rsid w:val="009D3F78"/>
    <w:rsid w:val="009D40C2"/>
    <w:rsid w:val="009D4255"/>
    <w:rsid w:val="009D4BC4"/>
    <w:rsid w:val="009D57CC"/>
    <w:rsid w:val="009D5B91"/>
    <w:rsid w:val="009D6185"/>
    <w:rsid w:val="009D7E45"/>
    <w:rsid w:val="009E136E"/>
    <w:rsid w:val="009E35EC"/>
    <w:rsid w:val="009E3D5E"/>
    <w:rsid w:val="009E4456"/>
    <w:rsid w:val="009E4C07"/>
    <w:rsid w:val="009E4DE1"/>
    <w:rsid w:val="009E5B64"/>
    <w:rsid w:val="009E6C7F"/>
    <w:rsid w:val="009E7A35"/>
    <w:rsid w:val="009F05F5"/>
    <w:rsid w:val="009F0A56"/>
    <w:rsid w:val="009F0A59"/>
    <w:rsid w:val="009F0CE9"/>
    <w:rsid w:val="009F1532"/>
    <w:rsid w:val="009F20D6"/>
    <w:rsid w:val="009F219E"/>
    <w:rsid w:val="009F21C7"/>
    <w:rsid w:val="009F24C0"/>
    <w:rsid w:val="009F26ED"/>
    <w:rsid w:val="009F2CF5"/>
    <w:rsid w:val="009F367A"/>
    <w:rsid w:val="009F39FC"/>
    <w:rsid w:val="009F4876"/>
    <w:rsid w:val="009F496B"/>
    <w:rsid w:val="009F5D14"/>
    <w:rsid w:val="009F5D6F"/>
    <w:rsid w:val="009F5FAD"/>
    <w:rsid w:val="009F7038"/>
    <w:rsid w:val="00A00E3C"/>
    <w:rsid w:val="00A00E84"/>
    <w:rsid w:val="00A01EE7"/>
    <w:rsid w:val="00A03D43"/>
    <w:rsid w:val="00A03DE9"/>
    <w:rsid w:val="00A04070"/>
    <w:rsid w:val="00A04380"/>
    <w:rsid w:val="00A04780"/>
    <w:rsid w:val="00A05173"/>
    <w:rsid w:val="00A1034B"/>
    <w:rsid w:val="00A10BDC"/>
    <w:rsid w:val="00A130C0"/>
    <w:rsid w:val="00A131A6"/>
    <w:rsid w:val="00A13948"/>
    <w:rsid w:val="00A13FF2"/>
    <w:rsid w:val="00A15FE4"/>
    <w:rsid w:val="00A16DC6"/>
    <w:rsid w:val="00A1700A"/>
    <w:rsid w:val="00A1704B"/>
    <w:rsid w:val="00A17AEE"/>
    <w:rsid w:val="00A2097D"/>
    <w:rsid w:val="00A21098"/>
    <w:rsid w:val="00A210C6"/>
    <w:rsid w:val="00A21976"/>
    <w:rsid w:val="00A229CF"/>
    <w:rsid w:val="00A241AD"/>
    <w:rsid w:val="00A24779"/>
    <w:rsid w:val="00A25987"/>
    <w:rsid w:val="00A259BB"/>
    <w:rsid w:val="00A25A13"/>
    <w:rsid w:val="00A268A1"/>
    <w:rsid w:val="00A26A30"/>
    <w:rsid w:val="00A27763"/>
    <w:rsid w:val="00A27AEC"/>
    <w:rsid w:val="00A27F4F"/>
    <w:rsid w:val="00A30083"/>
    <w:rsid w:val="00A3086E"/>
    <w:rsid w:val="00A30AB0"/>
    <w:rsid w:val="00A313F3"/>
    <w:rsid w:val="00A33318"/>
    <w:rsid w:val="00A340DB"/>
    <w:rsid w:val="00A34742"/>
    <w:rsid w:val="00A348FF"/>
    <w:rsid w:val="00A34C49"/>
    <w:rsid w:val="00A34FE1"/>
    <w:rsid w:val="00A35B59"/>
    <w:rsid w:val="00A35D16"/>
    <w:rsid w:val="00A376C6"/>
    <w:rsid w:val="00A37E12"/>
    <w:rsid w:val="00A40541"/>
    <w:rsid w:val="00A41B24"/>
    <w:rsid w:val="00A41D99"/>
    <w:rsid w:val="00A422A3"/>
    <w:rsid w:val="00A43963"/>
    <w:rsid w:val="00A43C59"/>
    <w:rsid w:val="00A44252"/>
    <w:rsid w:val="00A45461"/>
    <w:rsid w:val="00A45B20"/>
    <w:rsid w:val="00A45FED"/>
    <w:rsid w:val="00A46158"/>
    <w:rsid w:val="00A4762F"/>
    <w:rsid w:val="00A47FA8"/>
    <w:rsid w:val="00A50ECD"/>
    <w:rsid w:val="00A51031"/>
    <w:rsid w:val="00A516A5"/>
    <w:rsid w:val="00A51F58"/>
    <w:rsid w:val="00A52729"/>
    <w:rsid w:val="00A53675"/>
    <w:rsid w:val="00A53A48"/>
    <w:rsid w:val="00A53D26"/>
    <w:rsid w:val="00A555BC"/>
    <w:rsid w:val="00A55EC5"/>
    <w:rsid w:val="00A56064"/>
    <w:rsid w:val="00A5625E"/>
    <w:rsid w:val="00A56523"/>
    <w:rsid w:val="00A56B6A"/>
    <w:rsid w:val="00A578DC"/>
    <w:rsid w:val="00A57DFC"/>
    <w:rsid w:val="00A60057"/>
    <w:rsid w:val="00A601F5"/>
    <w:rsid w:val="00A60C6E"/>
    <w:rsid w:val="00A61012"/>
    <w:rsid w:val="00A612A9"/>
    <w:rsid w:val="00A614D2"/>
    <w:rsid w:val="00A61549"/>
    <w:rsid w:val="00A62B50"/>
    <w:rsid w:val="00A635A1"/>
    <w:rsid w:val="00A6385D"/>
    <w:rsid w:val="00A641D0"/>
    <w:rsid w:val="00A647EC"/>
    <w:rsid w:val="00A6538D"/>
    <w:rsid w:val="00A66B38"/>
    <w:rsid w:val="00A6725B"/>
    <w:rsid w:val="00A72577"/>
    <w:rsid w:val="00A73D12"/>
    <w:rsid w:val="00A76491"/>
    <w:rsid w:val="00A76EA0"/>
    <w:rsid w:val="00A823E6"/>
    <w:rsid w:val="00A82B01"/>
    <w:rsid w:val="00A8431B"/>
    <w:rsid w:val="00A8476C"/>
    <w:rsid w:val="00A84848"/>
    <w:rsid w:val="00A84B1A"/>
    <w:rsid w:val="00A853D2"/>
    <w:rsid w:val="00A85F9D"/>
    <w:rsid w:val="00A8648F"/>
    <w:rsid w:val="00A86E8B"/>
    <w:rsid w:val="00A872AE"/>
    <w:rsid w:val="00A87977"/>
    <w:rsid w:val="00A905B0"/>
    <w:rsid w:val="00A9277F"/>
    <w:rsid w:val="00A93072"/>
    <w:rsid w:val="00A93B3D"/>
    <w:rsid w:val="00A94C61"/>
    <w:rsid w:val="00A959D8"/>
    <w:rsid w:val="00A95FD5"/>
    <w:rsid w:val="00A969E8"/>
    <w:rsid w:val="00A97969"/>
    <w:rsid w:val="00AA26ED"/>
    <w:rsid w:val="00AA2A78"/>
    <w:rsid w:val="00AA2F65"/>
    <w:rsid w:val="00AA3F3E"/>
    <w:rsid w:val="00AA4045"/>
    <w:rsid w:val="00AA4CB3"/>
    <w:rsid w:val="00AA5773"/>
    <w:rsid w:val="00AA5F5C"/>
    <w:rsid w:val="00AA6487"/>
    <w:rsid w:val="00AA6C4B"/>
    <w:rsid w:val="00AA7E57"/>
    <w:rsid w:val="00AB042A"/>
    <w:rsid w:val="00AB1438"/>
    <w:rsid w:val="00AB1733"/>
    <w:rsid w:val="00AB2D34"/>
    <w:rsid w:val="00AB3430"/>
    <w:rsid w:val="00AB3485"/>
    <w:rsid w:val="00AB3546"/>
    <w:rsid w:val="00AB6A8F"/>
    <w:rsid w:val="00AB7CFA"/>
    <w:rsid w:val="00AC0B12"/>
    <w:rsid w:val="00AC1718"/>
    <w:rsid w:val="00AC1DE1"/>
    <w:rsid w:val="00AC278D"/>
    <w:rsid w:val="00AC2C17"/>
    <w:rsid w:val="00AC5559"/>
    <w:rsid w:val="00AC6560"/>
    <w:rsid w:val="00AC67A1"/>
    <w:rsid w:val="00AC7AF6"/>
    <w:rsid w:val="00AC7C72"/>
    <w:rsid w:val="00AD05AA"/>
    <w:rsid w:val="00AD188E"/>
    <w:rsid w:val="00AD1B7C"/>
    <w:rsid w:val="00AD36A8"/>
    <w:rsid w:val="00AD4130"/>
    <w:rsid w:val="00AD5906"/>
    <w:rsid w:val="00AD59F2"/>
    <w:rsid w:val="00AD6474"/>
    <w:rsid w:val="00AD7A22"/>
    <w:rsid w:val="00AE025F"/>
    <w:rsid w:val="00AE0335"/>
    <w:rsid w:val="00AE1CFC"/>
    <w:rsid w:val="00AE298B"/>
    <w:rsid w:val="00AE2AE2"/>
    <w:rsid w:val="00AE3671"/>
    <w:rsid w:val="00AE4A38"/>
    <w:rsid w:val="00AE4BF6"/>
    <w:rsid w:val="00AE535E"/>
    <w:rsid w:val="00AE69F3"/>
    <w:rsid w:val="00AE6D8C"/>
    <w:rsid w:val="00AE6DDD"/>
    <w:rsid w:val="00AE728F"/>
    <w:rsid w:val="00AF0F2F"/>
    <w:rsid w:val="00AF1998"/>
    <w:rsid w:val="00AF1E2E"/>
    <w:rsid w:val="00AF465F"/>
    <w:rsid w:val="00AF4C2E"/>
    <w:rsid w:val="00AF7121"/>
    <w:rsid w:val="00AF7CB5"/>
    <w:rsid w:val="00B00C0E"/>
    <w:rsid w:val="00B0159E"/>
    <w:rsid w:val="00B05187"/>
    <w:rsid w:val="00B05EB0"/>
    <w:rsid w:val="00B0640A"/>
    <w:rsid w:val="00B064B7"/>
    <w:rsid w:val="00B07504"/>
    <w:rsid w:val="00B07DBC"/>
    <w:rsid w:val="00B07E14"/>
    <w:rsid w:val="00B102F7"/>
    <w:rsid w:val="00B115A1"/>
    <w:rsid w:val="00B14807"/>
    <w:rsid w:val="00B14B1F"/>
    <w:rsid w:val="00B15418"/>
    <w:rsid w:val="00B16114"/>
    <w:rsid w:val="00B1654F"/>
    <w:rsid w:val="00B204C1"/>
    <w:rsid w:val="00B21460"/>
    <w:rsid w:val="00B220FE"/>
    <w:rsid w:val="00B241FF"/>
    <w:rsid w:val="00B24FCE"/>
    <w:rsid w:val="00B25471"/>
    <w:rsid w:val="00B26BBA"/>
    <w:rsid w:val="00B26EA2"/>
    <w:rsid w:val="00B27734"/>
    <w:rsid w:val="00B3017F"/>
    <w:rsid w:val="00B308CD"/>
    <w:rsid w:val="00B30B86"/>
    <w:rsid w:val="00B32469"/>
    <w:rsid w:val="00B3406D"/>
    <w:rsid w:val="00B340B3"/>
    <w:rsid w:val="00B35345"/>
    <w:rsid w:val="00B3616B"/>
    <w:rsid w:val="00B37D4F"/>
    <w:rsid w:val="00B40D64"/>
    <w:rsid w:val="00B40FC3"/>
    <w:rsid w:val="00B415A5"/>
    <w:rsid w:val="00B4237E"/>
    <w:rsid w:val="00B42851"/>
    <w:rsid w:val="00B42BCD"/>
    <w:rsid w:val="00B4337D"/>
    <w:rsid w:val="00B45198"/>
    <w:rsid w:val="00B45B48"/>
    <w:rsid w:val="00B502E5"/>
    <w:rsid w:val="00B50DB8"/>
    <w:rsid w:val="00B52302"/>
    <w:rsid w:val="00B53297"/>
    <w:rsid w:val="00B53905"/>
    <w:rsid w:val="00B53E3B"/>
    <w:rsid w:val="00B54324"/>
    <w:rsid w:val="00B54B5B"/>
    <w:rsid w:val="00B5543A"/>
    <w:rsid w:val="00B5562E"/>
    <w:rsid w:val="00B5665C"/>
    <w:rsid w:val="00B56A51"/>
    <w:rsid w:val="00B57000"/>
    <w:rsid w:val="00B572BA"/>
    <w:rsid w:val="00B57625"/>
    <w:rsid w:val="00B57628"/>
    <w:rsid w:val="00B57E7A"/>
    <w:rsid w:val="00B60939"/>
    <w:rsid w:val="00B60AFD"/>
    <w:rsid w:val="00B62715"/>
    <w:rsid w:val="00B63538"/>
    <w:rsid w:val="00B643D1"/>
    <w:rsid w:val="00B6497B"/>
    <w:rsid w:val="00B65260"/>
    <w:rsid w:val="00B65DC0"/>
    <w:rsid w:val="00B66FC4"/>
    <w:rsid w:val="00B673FB"/>
    <w:rsid w:val="00B67406"/>
    <w:rsid w:val="00B67A49"/>
    <w:rsid w:val="00B704F5"/>
    <w:rsid w:val="00B706CB"/>
    <w:rsid w:val="00B710E4"/>
    <w:rsid w:val="00B71213"/>
    <w:rsid w:val="00B71681"/>
    <w:rsid w:val="00B716DF"/>
    <w:rsid w:val="00B71878"/>
    <w:rsid w:val="00B718A0"/>
    <w:rsid w:val="00B7225F"/>
    <w:rsid w:val="00B72DA2"/>
    <w:rsid w:val="00B7372E"/>
    <w:rsid w:val="00B7411C"/>
    <w:rsid w:val="00B74861"/>
    <w:rsid w:val="00B74C08"/>
    <w:rsid w:val="00B7572F"/>
    <w:rsid w:val="00B76B91"/>
    <w:rsid w:val="00B76EBB"/>
    <w:rsid w:val="00B777B2"/>
    <w:rsid w:val="00B8100F"/>
    <w:rsid w:val="00B818A4"/>
    <w:rsid w:val="00B83E43"/>
    <w:rsid w:val="00B84680"/>
    <w:rsid w:val="00B84BC6"/>
    <w:rsid w:val="00B8571E"/>
    <w:rsid w:val="00B8649C"/>
    <w:rsid w:val="00B91668"/>
    <w:rsid w:val="00B92CF0"/>
    <w:rsid w:val="00B92D0B"/>
    <w:rsid w:val="00B9342C"/>
    <w:rsid w:val="00B943F0"/>
    <w:rsid w:val="00B94489"/>
    <w:rsid w:val="00B94945"/>
    <w:rsid w:val="00B96975"/>
    <w:rsid w:val="00B976E3"/>
    <w:rsid w:val="00B97824"/>
    <w:rsid w:val="00B97E76"/>
    <w:rsid w:val="00BA18FD"/>
    <w:rsid w:val="00BA27D3"/>
    <w:rsid w:val="00BA2A1B"/>
    <w:rsid w:val="00BA2DDF"/>
    <w:rsid w:val="00BA3220"/>
    <w:rsid w:val="00BA4124"/>
    <w:rsid w:val="00BA4A0B"/>
    <w:rsid w:val="00BA50EC"/>
    <w:rsid w:val="00BA5B69"/>
    <w:rsid w:val="00BA6168"/>
    <w:rsid w:val="00BA6DA6"/>
    <w:rsid w:val="00BA78CC"/>
    <w:rsid w:val="00BB0531"/>
    <w:rsid w:val="00BB08B6"/>
    <w:rsid w:val="00BB0FC1"/>
    <w:rsid w:val="00BB12E2"/>
    <w:rsid w:val="00BB1521"/>
    <w:rsid w:val="00BB1B68"/>
    <w:rsid w:val="00BB1F38"/>
    <w:rsid w:val="00BB346B"/>
    <w:rsid w:val="00BB36C6"/>
    <w:rsid w:val="00BB375A"/>
    <w:rsid w:val="00BB6CF8"/>
    <w:rsid w:val="00BB6D9E"/>
    <w:rsid w:val="00BB7405"/>
    <w:rsid w:val="00BB7661"/>
    <w:rsid w:val="00BC089E"/>
    <w:rsid w:val="00BC1AD1"/>
    <w:rsid w:val="00BC1FAD"/>
    <w:rsid w:val="00BC51A3"/>
    <w:rsid w:val="00BC6433"/>
    <w:rsid w:val="00BC757A"/>
    <w:rsid w:val="00BD0DCF"/>
    <w:rsid w:val="00BD13D8"/>
    <w:rsid w:val="00BD1643"/>
    <w:rsid w:val="00BD2F6A"/>
    <w:rsid w:val="00BD3A10"/>
    <w:rsid w:val="00BD3D87"/>
    <w:rsid w:val="00BD5983"/>
    <w:rsid w:val="00BD5C58"/>
    <w:rsid w:val="00BD6336"/>
    <w:rsid w:val="00BD6CF3"/>
    <w:rsid w:val="00BE1667"/>
    <w:rsid w:val="00BE1DE6"/>
    <w:rsid w:val="00BE2180"/>
    <w:rsid w:val="00BE229B"/>
    <w:rsid w:val="00BE2D1D"/>
    <w:rsid w:val="00BE2EC5"/>
    <w:rsid w:val="00BE4275"/>
    <w:rsid w:val="00BE45D0"/>
    <w:rsid w:val="00BE7803"/>
    <w:rsid w:val="00BE7AC9"/>
    <w:rsid w:val="00BF0048"/>
    <w:rsid w:val="00BF04D4"/>
    <w:rsid w:val="00BF07B2"/>
    <w:rsid w:val="00BF0C1F"/>
    <w:rsid w:val="00BF1B11"/>
    <w:rsid w:val="00BF2433"/>
    <w:rsid w:val="00BF25CC"/>
    <w:rsid w:val="00BF28FD"/>
    <w:rsid w:val="00BF2925"/>
    <w:rsid w:val="00BF3947"/>
    <w:rsid w:val="00BF3DDE"/>
    <w:rsid w:val="00BF5BD0"/>
    <w:rsid w:val="00BF61C9"/>
    <w:rsid w:val="00BF7AFE"/>
    <w:rsid w:val="00C000A8"/>
    <w:rsid w:val="00C006E5"/>
    <w:rsid w:val="00C00A0C"/>
    <w:rsid w:val="00C00F6C"/>
    <w:rsid w:val="00C0128C"/>
    <w:rsid w:val="00C012EB"/>
    <w:rsid w:val="00C02190"/>
    <w:rsid w:val="00C0342E"/>
    <w:rsid w:val="00C03A85"/>
    <w:rsid w:val="00C03D97"/>
    <w:rsid w:val="00C03DA8"/>
    <w:rsid w:val="00C04AA7"/>
    <w:rsid w:val="00C05305"/>
    <w:rsid w:val="00C0573A"/>
    <w:rsid w:val="00C073D7"/>
    <w:rsid w:val="00C107EF"/>
    <w:rsid w:val="00C117C3"/>
    <w:rsid w:val="00C1188B"/>
    <w:rsid w:val="00C11A59"/>
    <w:rsid w:val="00C124C5"/>
    <w:rsid w:val="00C144A1"/>
    <w:rsid w:val="00C163C5"/>
    <w:rsid w:val="00C17042"/>
    <w:rsid w:val="00C1715A"/>
    <w:rsid w:val="00C17B71"/>
    <w:rsid w:val="00C20B83"/>
    <w:rsid w:val="00C20D57"/>
    <w:rsid w:val="00C210FB"/>
    <w:rsid w:val="00C21A14"/>
    <w:rsid w:val="00C21ED7"/>
    <w:rsid w:val="00C22827"/>
    <w:rsid w:val="00C2282C"/>
    <w:rsid w:val="00C230AA"/>
    <w:rsid w:val="00C2417F"/>
    <w:rsid w:val="00C243C4"/>
    <w:rsid w:val="00C24567"/>
    <w:rsid w:val="00C24B32"/>
    <w:rsid w:val="00C24C8E"/>
    <w:rsid w:val="00C25418"/>
    <w:rsid w:val="00C25CA2"/>
    <w:rsid w:val="00C25D9C"/>
    <w:rsid w:val="00C26046"/>
    <w:rsid w:val="00C30B39"/>
    <w:rsid w:val="00C31649"/>
    <w:rsid w:val="00C326CD"/>
    <w:rsid w:val="00C32DFF"/>
    <w:rsid w:val="00C33AE9"/>
    <w:rsid w:val="00C3585D"/>
    <w:rsid w:val="00C35BE1"/>
    <w:rsid w:val="00C35E73"/>
    <w:rsid w:val="00C3676E"/>
    <w:rsid w:val="00C37990"/>
    <w:rsid w:val="00C37D8C"/>
    <w:rsid w:val="00C37ECE"/>
    <w:rsid w:val="00C40385"/>
    <w:rsid w:val="00C408FA"/>
    <w:rsid w:val="00C42A7E"/>
    <w:rsid w:val="00C43E6E"/>
    <w:rsid w:val="00C4409D"/>
    <w:rsid w:val="00C44777"/>
    <w:rsid w:val="00C46C2E"/>
    <w:rsid w:val="00C46EB3"/>
    <w:rsid w:val="00C46FB2"/>
    <w:rsid w:val="00C47458"/>
    <w:rsid w:val="00C50979"/>
    <w:rsid w:val="00C50E3F"/>
    <w:rsid w:val="00C5108A"/>
    <w:rsid w:val="00C51B88"/>
    <w:rsid w:val="00C52CDD"/>
    <w:rsid w:val="00C52CF7"/>
    <w:rsid w:val="00C540C9"/>
    <w:rsid w:val="00C5523E"/>
    <w:rsid w:val="00C5589C"/>
    <w:rsid w:val="00C55E65"/>
    <w:rsid w:val="00C563D4"/>
    <w:rsid w:val="00C57045"/>
    <w:rsid w:val="00C57539"/>
    <w:rsid w:val="00C576B4"/>
    <w:rsid w:val="00C57BD5"/>
    <w:rsid w:val="00C60173"/>
    <w:rsid w:val="00C6020D"/>
    <w:rsid w:val="00C61A2A"/>
    <w:rsid w:val="00C62182"/>
    <w:rsid w:val="00C6340F"/>
    <w:rsid w:val="00C64EDB"/>
    <w:rsid w:val="00C65576"/>
    <w:rsid w:val="00C65E0F"/>
    <w:rsid w:val="00C65EAB"/>
    <w:rsid w:val="00C66165"/>
    <w:rsid w:val="00C71399"/>
    <w:rsid w:val="00C726E4"/>
    <w:rsid w:val="00C73AEE"/>
    <w:rsid w:val="00C73BA6"/>
    <w:rsid w:val="00C73F72"/>
    <w:rsid w:val="00C750C8"/>
    <w:rsid w:val="00C75315"/>
    <w:rsid w:val="00C75B80"/>
    <w:rsid w:val="00C76256"/>
    <w:rsid w:val="00C76452"/>
    <w:rsid w:val="00C766B5"/>
    <w:rsid w:val="00C769ED"/>
    <w:rsid w:val="00C7727B"/>
    <w:rsid w:val="00C8054A"/>
    <w:rsid w:val="00C80E87"/>
    <w:rsid w:val="00C81FC6"/>
    <w:rsid w:val="00C8213F"/>
    <w:rsid w:val="00C83057"/>
    <w:rsid w:val="00C84A4B"/>
    <w:rsid w:val="00C860CE"/>
    <w:rsid w:val="00C86758"/>
    <w:rsid w:val="00C86C0E"/>
    <w:rsid w:val="00C87963"/>
    <w:rsid w:val="00C8797A"/>
    <w:rsid w:val="00C90975"/>
    <w:rsid w:val="00C91D19"/>
    <w:rsid w:val="00C92474"/>
    <w:rsid w:val="00C92986"/>
    <w:rsid w:val="00C93341"/>
    <w:rsid w:val="00C938CF"/>
    <w:rsid w:val="00C9420A"/>
    <w:rsid w:val="00C94970"/>
    <w:rsid w:val="00C95BE6"/>
    <w:rsid w:val="00C96CDB"/>
    <w:rsid w:val="00C9706C"/>
    <w:rsid w:val="00C970C2"/>
    <w:rsid w:val="00C97B23"/>
    <w:rsid w:val="00CA0549"/>
    <w:rsid w:val="00CA08A6"/>
    <w:rsid w:val="00CA1098"/>
    <w:rsid w:val="00CA251F"/>
    <w:rsid w:val="00CA2845"/>
    <w:rsid w:val="00CA2D10"/>
    <w:rsid w:val="00CA432A"/>
    <w:rsid w:val="00CA4535"/>
    <w:rsid w:val="00CA5245"/>
    <w:rsid w:val="00CA56DE"/>
    <w:rsid w:val="00CA6F03"/>
    <w:rsid w:val="00CA7B09"/>
    <w:rsid w:val="00CA7F89"/>
    <w:rsid w:val="00CB22A8"/>
    <w:rsid w:val="00CB38D2"/>
    <w:rsid w:val="00CB3DAB"/>
    <w:rsid w:val="00CB5828"/>
    <w:rsid w:val="00CB5B1A"/>
    <w:rsid w:val="00CB5BEF"/>
    <w:rsid w:val="00CB67AB"/>
    <w:rsid w:val="00CB7381"/>
    <w:rsid w:val="00CC12D0"/>
    <w:rsid w:val="00CC1BE0"/>
    <w:rsid w:val="00CC25E3"/>
    <w:rsid w:val="00CC3D02"/>
    <w:rsid w:val="00CC4F6A"/>
    <w:rsid w:val="00CC5F30"/>
    <w:rsid w:val="00CC66CD"/>
    <w:rsid w:val="00CC75A0"/>
    <w:rsid w:val="00CC7D22"/>
    <w:rsid w:val="00CD00B2"/>
    <w:rsid w:val="00CD0DBB"/>
    <w:rsid w:val="00CD1C88"/>
    <w:rsid w:val="00CD2641"/>
    <w:rsid w:val="00CD2755"/>
    <w:rsid w:val="00CD3D84"/>
    <w:rsid w:val="00CD6ADC"/>
    <w:rsid w:val="00CD6DE8"/>
    <w:rsid w:val="00CD7BA5"/>
    <w:rsid w:val="00CE1F82"/>
    <w:rsid w:val="00CE24D2"/>
    <w:rsid w:val="00CE46E8"/>
    <w:rsid w:val="00CE49DB"/>
    <w:rsid w:val="00CE565F"/>
    <w:rsid w:val="00CE6274"/>
    <w:rsid w:val="00CE6954"/>
    <w:rsid w:val="00CE6D47"/>
    <w:rsid w:val="00CE7FAA"/>
    <w:rsid w:val="00CF005C"/>
    <w:rsid w:val="00CF0840"/>
    <w:rsid w:val="00CF25D8"/>
    <w:rsid w:val="00CF25DC"/>
    <w:rsid w:val="00CF292D"/>
    <w:rsid w:val="00CF331F"/>
    <w:rsid w:val="00CF3596"/>
    <w:rsid w:val="00CF43F6"/>
    <w:rsid w:val="00CF456B"/>
    <w:rsid w:val="00CF4583"/>
    <w:rsid w:val="00CF4F62"/>
    <w:rsid w:val="00CF5A22"/>
    <w:rsid w:val="00CF5B98"/>
    <w:rsid w:val="00CF61E5"/>
    <w:rsid w:val="00CF6CA1"/>
    <w:rsid w:val="00CF781D"/>
    <w:rsid w:val="00CF7A81"/>
    <w:rsid w:val="00D001D4"/>
    <w:rsid w:val="00D01129"/>
    <w:rsid w:val="00D01DAA"/>
    <w:rsid w:val="00D01DBF"/>
    <w:rsid w:val="00D022BE"/>
    <w:rsid w:val="00D0262E"/>
    <w:rsid w:val="00D02D0F"/>
    <w:rsid w:val="00D0326D"/>
    <w:rsid w:val="00D034F8"/>
    <w:rsid w:val="00D03AEA"/>
    <w:rsid w:val="00D03E7D"/>
    <w:rsid w:val="00D05603"/>
    <w:rsid w:val="00D06300"/>
    <w:rsid w:val="00D07B20"/>
    <w:rsid w:val="00D07CA5"/>
    <w:rsid w:val="00D10433"/>
    <w:rsid w:val="00D10F22"/>
    <w:rsid w:val="00D110BD"/>
    <w:rsid w:val="00D12A40"/>
    <w:rsid w:val="00D14021"/>
    <w:rsid w:val="00D14809"/>
    <w:rsid w:val="00D14FA6"/>
    <w:rsid w:val="00D15657"/>
    <w:rsid w:val="00D16033"/>
    <w:rsid w:val="00D1720A"/>
    <w:rsid w:val="00D17D6C"/>
    <w:rsid w:val="00D17DBC"/>
    <w:rsid w:val="00D20DDD"/>
    <w:rsid w:val="00D20FCC"/>
    <w:rsid w:val="00D227DC"/>
    <w:rsid w:val="00D2334C"/>
    <w:rsid w:val="00D243F8"/>
    <w:rsid w:val="00D24508"/>
    <w:rsid w:val="00D2503F"/>
    <w:rsid w:val="00D2607F"/>
    <w:rsid w:val="00D2726D"/>
    <w:rsid w:val="00D27A77"/>
    <w:rsid w:val="00D27AF0"/>
    <w:rsid w:val="00D301B7"/>
    <w:rsid w:val="00D3047B"/>
    <w:rsid w:val="00D31352"/>
    <w:rsid w:val="00D315B1"/>
    <w:rsid w:val="00D3165B"/>
    <w:rsid w:val="00D31C73"/>
    <w:rsid w:val="00D33690"/>
    <w:rsid w:val="00D33F70"/>
    <w:rsid w:val="00D33F98"/>
    <w:rsid w:val="00D349EC"/>
    <w:rsid w:val="00D34B27"/>
    <w:rsid w:val="00D34C1D"/>
    <w:rsid w:val="00D357FF"/>
    <w:rsid w:val="00D37085"/>
    <w:rsid w:val="00D42749"/>
    <w:rsid w:val="00D42D61"/>
    <w:rsid w:val="00D442B8"/>
    <w:rsid w:val="00D44538"/>
    <w:rsid w:val="00D453C3"/>
    <w:rsid w:val="00D47300"/>
    <w:rsid w:val="00D4739F"/>
    <w:rsid w:val="00D47DA4"/>
    <w:rsid w:val="00D50AF1"/>
    <w:rsid w:val="00D5206D"/>
    <w:rsid w:val="00D5303C"/>
    <w:rsid w:val="00D54874"/>
    <w:rsid w:val="00D567CF"/>
    <w:rsid w:val="00D571AD"/>
    <w:rsid w:val="00D572D2"/>
    <w:rsid w:val="00D5753D"/>
    <w:rsid w:val="00D57830"/>
    <w:rsid w:val="00D6048E"/>
    <w:rsid w:val="00D61511"/>
    <w:rsid w:val="00D62F21"/>
    <w:rsid w:val="00D63580"/>
    <w:rsid w:val="00D63752"/>
    <w:rsid w:val="00D63D61"/>
    <w:rsid w:val="00D66F9C"/>
    <w:rsid w:val="00D676B3"/>
    <w:rsid w:val="00D70FAC"/>
    <w:rsid w:val="00D713E6"/>
    <w:rsid w:val="00D7397A"/>
    <w:rsid w:val="00D753C8"/>
    <w:rsid w:val="00D76A44"/>
    <w:rsid w:val="00D77A54"/>
    <w:rsid w:val="00D77ADA"/>
    <w:rsid w:val="00D819EC"/>
    <w:rsid w:val="00D82566"/>
    <w:rsid w:val="00D848ED"/>
    <w:rsid w:val="00D84B0D"/>
    <w:rsid w:val="00D850C2"/>
    <w:rsid w:val="00D85392"/>
    <w:rsid w:val="00D85BB0"/>
    <w:rsid w:val="00D8656B"/>
    <w:rsid w:val="00D876B9"/>
    <w:rsid w:val="00D87955"/>
    <w:rsid w:val="00D87A93"/>
    <w:rsid w:val="00D91771"/>
    <w:rsid w:val="00D91F6D"/>
    <w:rsid w:val="00D92798"/>
    <w:rsid w:val="00D92969"/>
    <w:rsid w:val="00D93753"/>
    <w:rsid w:val="00D94297"/>
    <w:rsid w:val="00D95EB0"/>
    <w:rsid w:val="00D97EC4"/>
    <w:rsid w:val="00DA0997"/>
    <w:rsid w:val="00DA1C1C"/>
    <w:rsid w:val="00DA3BBD"/>
    <w:rsid w:val="00DA42D1"/>
    <w:rsid w:val="00DA5A6F"/>
    <w:rsid w:val="00DA737E"/>
    <w:rsid w:val="00DA7799"/>
    <w:rsid w:val="00DA77A5"/>
    <w:rsid w:val="00DB16FF"/>
    <w:rsid w:val="00DB1ED5"/>
    <w:rsid w:val="00DB25CD"/>
    <w:rsid w:val="00DB2A8A"/>
    <w:rsid w:val="00DB3DC8"/>
    <w:rsid w:val="00DB48B3"/>
    <w:rsid w:val="00DB5394"/>
    <w:rsid w:val="00DB5C39"/>
    <w:rsid w:val="00DB5D6A"/>
    <w:rsid w:val="00DB63F9"/>
    <w:rsid w:val="00DC1496"/>
    <w:rsid w:val="00DC1DE9"/>
    <w:rsid w:val="00DC24AE"/>
    <w:rsid w:val="00DC2660"/>
    <w:rsid w:val="00DC332B"/>
    <w:rsid w:val="00DC3689"/>
    <w:rsid w:val="00DC38FB"/>
    <w:rsid w:val="00DC4236"/>
    <w:rsid w:val="00DC49A4"/>
    <w:rsid w:val="00DC4DC3"/>
    <w:rsid w:val="00DC5501"/>
    <w:rsid w:val="00DC59BC"/>
    <w:rsid w:val="00DC60E2"/>
    <w:rsid w:val="00DC6845"/>
    <w:rsid w:val="00DC6D5C"/>
    <w:rsid w:val="00DD098F"/>
    <w:rsid w:val="00DD1CEA"/>
    <w:rsid w:val="00DD3481"/>
    <w:rsid w:val="00DD37D5"/>
    <w:rsid w:val="00DD3F28"/>
    <w:rsid w:val="00DD3FE1"/>
    <w:rsid w:val="00DD4537"/>
    <w:rsid w:val="00DD4E15"/>
    <w:rsid w:val="00DD5039"/>
    <w:rsid w:val="00DD59FC"/>
    <w:rsid w:val="00DD6432"/>
    <w:rsid w:val="00DD6BDE"/>
    <w:rsid w:val="00DD6D8D"/>
    <w:rsid w:val="00DD7E0B"/>
    <w:rsid w:val="00DE0038"/>
    <w:rsid w:val="00DE0FAF"/>
    <w:rsid w:val="00DE1C84"/>
    <w:rsid w:val="00DE1DD8"/>
    <w:rsid w:val="00DE24DA"/>
    <w:rsid w:val="00DE2A07"/>
    <w:rsid w:val="00DE2E55"/>
    <w:rsid w:val="00DE42F4"/>
    <w:rsid w:val="00DE45EF"/>
    <w:rsid w:val="00DE4FCB"/>
    <w:rsid w:val="00DE5B1E"/>
    <w:rsid w:val="00DE6BB2"/>
    <w:rsid w:val="00DE7019"/>
    <w:rsid w:val="00DE71DA"/>
    <w:rsid w:val="00DF14CC"/>
    <w:rsid w:val="00DF2F5A"/>
    <w:rsid w:val="00DF3F61"/>
    <w:rsid w:val="00DF4A42"/>
    <w:rsid w:val="00DF52CE"/>
    <w:rsid w:val="00DF55C9"/>
    <w:rsid w:val="00DF56F4"/>
    <w:rsid w:val="00DF58DB"/>
    <w:rsid w:val="00DF5D2B"/>
    <w:rsid w:val="00DF6017"/>
    <w:rsid w:val="00DF64D3"/>
    <w:rsid w:val="00DF6974"/>
    <w:rsid w:val="00E00B21"/>
    <w:rsid w:val="00E038A4"/>
    <w:rsid w:val="00E03BFF"/>
    <w:rsid w:val="00E04ABB"/>
    <w:rsid w:val="00E04C0A"/>
    <w:rsid w:val="00E10149"/>
    <w:rsid w:val="00E10A8B"/>
    <w:rsid w:val="00E11461"/>
    <w:rsid w:val="00E12872"/>
    <w:rsid w:val="00E14FE6"/>
    <w:rsid w:val="00E16253"/>
    <w:rsid w:val="00E16372"/>
    <w:rsid w:val="00E17165"/>
    <w:rsid w:val="00E17845"/>
    <w:rsid w:val="00E20283"/>
    <w:rsid w:val="00E20ED6"/>
    <w:rsid w:val="00E21358"/>
    <w:rsid w:val="00E21E43"/>
    <w:rsid w:val="00E2200B"/>
    <w:rsid w:val="00E2249B"/>
    <w:rsid w:val="00E22A0D"/>
    <w:rsid w:val="00E23C31"/>
    <w:rsid w:val="00E25838"/>
    <w:rsid w:val="00E267C1"/>
    <w:rsid w:val="00E2771E"/>
    <w:rsid w:val="00E300F3"/>
    <w:rsid w:val="00E303C3"/>
    <w:rsid w:val="00E314B2"/>
    <w:rsid w:val="00E31575"/>
    <w:rsid w:val="00E32818"/>
    <w:rsid w:val="00E33421"/>
    <w:rsid w:val="00E3357D"/>
    <w:rsid w:val="00E336FC"/>
    <w:rsid w:val="00E33E65"/>
    <w:rsid w:val="00E346CC"/>
    <w:rsid w:val="00E348AD"/>
    <w:rsid w:val="00E35B58"/>
    <w:rsid w:val="00E36FC2"/>
    <w:rsid w:val="00E37569"/>
    <w:rsid w:val="00E375D4"/>
    <w:rsid w:val="00E37F77"/>
    <w:rsid w:val="00E40435"/>
    <w:rsid w:val="00E410F8"/>
    <w:rsid w:val="00E41692"/>
    <w:rsid w:val="00E4187B"/>
    <w:rsid w:val="00E41BAE"/>
    <w:rsid w:val="00E41E30"/>
    <w:rsid w:val="00E41F4C"/>
    <w:rsid w:val="00E427B8"/>
    <w:rsid w:val="00E43D70"/>
    <w:rsid w:val="00E44356"/>
    <w:rsid w:val="00E44544"/>
    <w:rsid w:val="00E448A7"/>
    <w:rsid w:val="00E45553"/>
    <w:rsid w:val="00E456CB"/>
    <w:rsid w:val="00E46B7E"/>
    <w:rsid w:val="00E472D2"/>
    <w:rsid w:val="00E47B2C"/>
    <w:rsid w:val="00E50284"/>
    <w:rsid w:val="00E505FB"/>
    <w:rsid w:val="00E507EF"/>
    <w:rsid w:val="00E50E1B"/>
    <w:rsid w:val="00E51560"/>
    <w:rsid w:val="00E52871"/>
    <w:rsid w:val="00E5324C"/>
    <w:rsid w:val="00E5372E"/>
    <w:rsid w:val="00E53E86"/>
    <w:rsid w:val="00E54FC2"/>
    <w:rsid w:val="00E550FA"/>
    <w:rsid w:val="00E55424"/>
    <w:rsid w:val="00E55BB5"/>
    <w:rsid w:val="00E562A6"/>
    <w:rsid w:val="00E57161"/>
    <w:rsid w:val="00E578F4"/>
    <w:rsid w:val="00E60CD1"/>
    <w:rsid w:val="00E61100"/>
    <w:rsid w:val="00E61124"/>
    <w:rsid w:val="00E62B13"/>
    <w:rsid w:val="00E630A7"/>
    <w:rsid w:val="00E63A0B"/>
    <w:rsid w:val="00E64035"/>
    <w:rsid w:val="00E64724"/>
    <w:rsid w:val="00E64B76"/>
    <w:rsid w:val="00E65E79"/>
    <w:rsid w:val="00E662DD"/>
    <w:rsid w:val="00E66C08"/>
    <w:rsid w:val="00E66F4F"/>
    <w:rsid w:val="00E66FDF"/>
    <w:rsid w:val="00E67007"/>
    <w:rsid w:val="00E67416"/>
    <w:rsid w:val="00E67BED"/>
    <w:rsid w:val="00E67DB7"/>
    <w:rsid w:val="00E70851"/>
    <w:rsid w:val="00E70D0C"/>
    <w:rsid w:val="00E718B6"/>
    <w:rsid w:val="00E71B69"/>
    <w:rsid w:val="00E73581"/>
    <w:rsid w:val="00E741C3"/>
    <w:rsid w:val="00E744FB"/>
    <w:rsid w:val="00E74D52"/>
    <w:rsid w:val="00E74DD5"/>
    <w:rsid w:val="00E7501B"/>
    <w:rsid w:val="00E76B54"/>
    <w:rsid w:val="00E77453"/>
    <w:rsid w:val="00E81DA3"/>
    <w:rsid w:val="00E81FF6"/>
    <w:rsid w:val="00E82013"/>
    <w:rsid w:val="00E82922"/>
    <w:rsid w:val="00E83BDF"/>
    <w:rsid w:val="00E84840"/>
    <w:rsid w:val="00E85898"/>
    <w:rsid w:val="00E86593"/>
    <w:rsid w:val="00E86CC1"/>
    <w:rsid w:val="00E87815"/>
    <w:rsid w:val="00E90CE0"/>
    <w:rsid w:val="00E91327"/>
    <w:rsid w:val="00E91471"/>
    <w:rsid w:val="00E92968"/>
    <w:rsid w:val="00E9335B"/>
    <w:rsid w:val="00E93B4F"/>
    <w:rsid w:val="00E93C7B"/>
    <w:rsid w:val="00E94630"/>
    <w:rsid w:val="00E95881"/>
    <w:rsid w:val="00E95D4E"/>
    <w:rsid w:val="00E962F4"/>
    <w:rsid w:val="00E96D7F"/>
    <w:rsid w:val="00EA035B"/>
    <w:rsid w:val="00EA06B4"/>
    <w:rsid w:val="00EA0C66"/>
    <w:rsid w:val="00EA0E5B"/>
    <w:rsid w:val="00EA13CA"/>
    <w:rsid w:val="00EA15BC"/>
    <w:rsid w:val="00EA233E"/>
    <w:rsid w:val="00EA2D96"/>
    <w:rsid w:val="00EA3777"/>
    <w:rsid w:val="00EA3864"/>
    <w:rsid w:val="00EA4F62"/>
    <w:rsid w:val="00EA62B6"/>
    <w:rsid w:val="00EA6E35"/>
    <w:rsid w:val="00EB0198"/>
    <w:rsid w:val="00EB0C6B"/>
    <w:rsid w:val="00EB0F2D"/>
    <w:rsid w:val="00EB146E"/>
    <w:rsid w:val="00EB15B6"/>
    <w:rsid w:val="00EB201B"/>
    <w:rsid w:val="00EB3ABE"/>
    <w:rsid w:val="00EB3CBD"/>
    <w:rsid w:val="00EB4916"/>
    <w:rsid w:val="00EB5DA0"/>
    <w:rsid w:val="00EB6FA9"/>
    <w:rsid w:val="00EB71E1"/>
    <w:rsid w:val="00EC00C9"/>
    <w:rsid w:val="00EC0764"/>
    <w:rsid w:val="00EC1056"/>
    <w:rsid w:val="00EC11D5"/>
    <w:rsid w:val="00EC163A"/>
    <w:rsid w:val="00EC18D9"/>
    <w:rsid w:val="00EC1A31"/>
    <w:rsid w:val="00EC33B6"/>
    <w:rsid w:val="00EC435D"/>
    <w:rsid w:val="00EC49B9"/>
    <w:rsid w:val="00EC58CE"/>
    <w:rsid w:val="00EC61F2"/>
    <w:rsid w:val="00ED156C"/>
    <w:rsid w:val="00ED1ADD"/>
    <w:rsid w:val="00ED3AE0"/>
    <w:rsid w:val="00ED4271"/>
    <w:rsid w:val="00ED459B"/>
    <w:rsid w:val="00ED4F95"/>
    <w:rsid w:val="00ED6268"/>
    <w:rsid w:val="00ED6AF1"/>
    <w:rsid w:val="00EE0363"/>
    <w:rsid w:val="00EE0423"/>
    <w:rsid w:val="00EE07D3"/>
    <w:rsid w:val="00EE1637"/>
    <w:rsid w:val="00EE3EB3"/>
    <w:rsid w:val="00EE46D5"/>
    <w:rsid w:val="00EE478F"/>
    <w:rsid w:val="00EE593F"/>
    <w:rsid w:val="00EE6677"/>
    <w:rsid w:val="00EE7CA9"/>
    <w:rsid w:val="00EF02A4"/>
    <w:rsid w:val="00EF2058"/>
    <w:rsid w:val="00EF2C89"/>
    <w:rsid w:val="00EF36BD"/>
    <w:rsid w:val="00EF42E2"/>
    <w:rsid w:val="00EF4B58"/>
    <w:rsid w:val="00EF7699"/>
    <w:rsid w:val="00EF7C11"/>
    <w:rsid w:val="00EF7FDB"/>
    <w:rsid w:val="00F01115"/>
    <w:rsid w:val="00F01494"/>
    <w:rsid w:val="00F01CA6"/>
    <w:rsid w:val="00F0212B"/>
    <w:rsid w:val="00F022F7"/>
    <w:rsid w:val="00F026F5"/>
    <w:rsid w:val="00F03D80"/>
    <w:rsid w:val="00F04342"/>
    <w:rsid w:val="00F04D58"/>
    <w:rsid w:val="00F05A0B"/>
    <w:rsid w:val="00F060C9"/>
    <w:rsid w:val="00F067A2"/>
    <w:rsid w:val="00F07302"/>
    <w:rsid w:val="00F07433"/>
    <w:rsid w:val="00F10B56"/>
    <w:rsid w:val="00F1128C"/>
    <w:rsid w:val="00F11B26"/>
    <w:rsid w:val="00F11BF5"/>
    <w:rsid w:val="00F124B4"/>
    <w:rsid w:val="00F131B6"/>
    <w:rsid w:val="00F131D9"/>
    <w:rsid w:val="00F13647"/>
    <w:rsid w:val="00F14E8F"/>
    <w:rsid w:val="00F17436"/>
    <w:rsid w:val="00F2094F"/>
    <w:rsid w:val="00F2190A"/>
    <w:rsid w:val="00F220ED"/>
    <w:rsid w:val="00F22494"/>
    <w:rsid w:val="00F23B60"/>
    <w:rsid w:val="00F24244"/>
    <w:rsid w:val="00F24434"/>
    <w:rsid w:val="00F24692"/>
    <w:rsid w:val="00F24837"/>
    <w:rsid w:val="00F2575F"/>
    <w:rsid w:val="00F25C60"/>
    <w:rsid w:val="00F260CE"/>
    <w:rsid w:val="00F27595"/>
    <w:rsid w:val="00F27790"/>
    <w:rsid w:val="00F30105"/>
    <w:rsid w:val="00F30742"/>
    <w:rsid w:val="00F31126"/>
    <w:rsid w:val="00F31857"/>
    <w:rsid w:val="00F31EA0"/>
    <w:rsid w:val="00F32234"/>
    <w:rsid w:val="00F3281D"/>
    <w:rsid w:val="00F33487"/>
    <w:rsid w:val="00F33DE9"/>
    <w:rsid w:val="00F3619A"/>
    <w:rsid w:val="00F3678B"/>
    <w:rsid w:val="00F42674"/>
    <w:rsid w:val="00F42B93"/>
    <w:rsid w:val="00F4399A"/>
    <w:rsid w:val="00F46CB6"/>
    <w:rsid w:val="00F47613"/>
    <w:rsid w:val="00F50225"/>
    <w:rsid w:val="00F53219"/>
    <w:rsid w:val="00F543D1"/>
    <w:rsid w:val="00F54A17"/>
    <w:rsid w:val="00F55209"/>
    <w:rsid w:val="00F55E73"/>
    <w:rsid w:val="00F55FE5"/>
    <w:rsid w:val="00F56A93"/>
    <w:rsid w:val="00F6001B"/>
    <w:rsid w:val="00F60092"/>
    <w:rsid w:val="00F6079E"/>
    <w:rsid w:val="00F60BAD"/>
    <w:rsid w:val="00F6135A"/>
    <w:rsid w:val="00F613F4"/>
    <w:rsid w:val="00F62794"/>
    <w:rsid w:val="00F62924"/>
    <w:rsid w:val="00F64A93"/>
    <w:rsid w:val="00F6504B"/>
    <w:rsid w:val="00F655A4"/>
    <w:rsid w:val="00F6615F"/>
    <w:rsid w:val="00F6648C"/>
    <w:rsid w:val="00F66805"/>
    <w:rsid w:val="00F66D7B"/>
    <w:rsid w:val="00F701FF"/>
    <w:rsid w:val="00F705F3"/>
    <w:rsid w:val="00F70C41"/>
    <w:rsid w:val="00F70E7F"/>
    <w:rsid w:val="00F711DF"/>
    <w:rsid w:val="00F71609"/>
    <w:rsid w:val="00F71F93"/>
    <w:rsid w:val="00F72CD0"/>
    <w:rsid w:val="00F73856"/>
    <w:rsid w:val="00F73A27"/>
    <w:rsid w:val="00F74459"/>
    <w:rsid w:val="00F76DF9"/>
    <w:rsid w:val="00F7733C"/>
    <w:rsid w:val="00F779B3"/>
    <w:rsid w:val="00F77FAB"/>
    <w:rsid w:val="00F800A4"/>
    <w:rsid w:val="00F80928"/>
    <w:rsid w:val="00F80E5D"/>
    <w:rsid w:val="00F80FF6"/>
    <w:rsid w:val="00F81796"/>
    <w:rsid w:val="00F81852"/>
    <w:rsid w:val="00F836E3"/>
    <w:rsid w:val="00F84738"/>
    <w:rsid w:val="00F84A79"/>
    <w:rsid w:val="00F851CE"/>
    <w:rsid w:val="00F8520D"/>
    <w:rsid w:val="00F85801"/>
    <w:rsid w:val="00F87351"/>
    <w:rsid w:val="00F879FB"/>
    <w:rsid w:val="00F87E11"/>
    <w:rsid w:val="00F904F3"/>
    <w:rsid w:val="00F908BF"/>
    <w:rsid w:val="00F9092A"/>
    <w:rsid w:val="00F90975"/>
    <w:rsid w:val="00F90B5E"/>
    <w:rsid w:val="00F90F64"/>
    <w:rsid w:val="00F914C2"/>
    <w:rsid w:val="00F933D0"/>
    <w:rsid w:val="00F94AB6"/>
    <w:rsid w:val="00F94CA5"/>
    <w:rsid w:val="00F94D62"/>
    <w:rsid w:val="00F954B4"/>
    <w:rsid w:val="00F954DF"/>
    <w:rsid w:val="00F958D2"/>
    <w:rsid w:val="00F97A78"/>
    <w:rsid w:val="00F97ABE"/>
    <w:rsid w:val="00F97B19"/>
    <w:rsid w:val="00F97D09"/>
    <w:rsid w:val="00F97EA1"/>
    <w:rsid w:val="00FA0250"/>
    <w:rsid w:val="00FA14E2"/>
    <w:rsid w:val="00FA1E75"/>
    <w:rsid w:val="00FA22B6"/>
    <w:rsid w:val="00FA24E7"/>
    <w:rsid w:val="00FA262F"/>
    <w:rsid w:val="00FA2B42"/>
    <w:rsid w:val="00FA2FDE"/>
    <w:rsid w:val="00FA3B60"/>
    <w:rsid w:val="00FA63B6"/>
    <w:rsid w:val="00FA6F73"/>
    <w:rsid w:val="00FA7868"/>
    <w:rsid w:val="00FA7B82"/>
    <w:rsid w:val="00FA7C07"/>
    <w:rsid w:val="00FB2FCB"/>
    <w:rsid w:val="00FB3D10"/>
    <w:rsid w:val="00FB3D30"/>
    <w:rsid w:val="00FB4A2B"/>
    <w:rsid w:val="00FB51A1"/>
    <w:rsid w:val="00FB5A09"/>
    <w:rsid w:val="00FB5C40"/>
    <w:rsid w:val="00FB5F9B"/>
    <w:rsid w:val="00FC04D8"/>
    <w:rsid w:val="00FC1029"/>
    <w:rsid w:val="00FC1074"/>
    <w:rsid w:val="00FC1884"/>
    <w:rsid w:val="00FC2560"/>
    <w:rsid w:val="00FC3261"/>
    <w:rsid w:val="00FC3C5D"/>
    <w:rsid w:val="00FC3F41"/>
    <w:rsid w:val="00FC43EC"/>
    <w:rsid w:val="00FC46A5"/>
    <w:rsid w:val="00FC4D3B"/>
    <w:rsid w:val="00FC4D8E"/>
    <w:rsid w:val="00FC54DC"/>
    <w:rsid w:val="00FC5804"/>
    <w:rsid w:val="00FC5A22"/>
    <w:rsid w:val="00FC62C0"/>
    <w:rsid w:val="00FC6983"/>
    <w:rsid w:val="00FC6C7B"/>
    <w:rsid w:val="00FC6FE7"/>
    <w:rsid w:val="00FC7907"/>
    <w:rsid w:val="00FD0D19"/>
    <w:rsid w:val="00FD0D37"/>
    <w:rsid w:val="00FD126E"/>
    <w:rsid w:val="00FD1532"/>
    <w:rsid w:val="00FD1A8B"/>
    <w:rsid w:val="00FD1B24"/>
    <w:rsid w:val="00FD2100"/>
    <w:rsid w:val="00FD2B6B"/>
    <w:rsid w:val="00FD340D"/>
    <w:rsid w:val="00FD35B9"/>
    <w:rsid w:val="00FD446D"/>
    <w:rsid w:val="00FD4776"/>
    <w:rsid w:val="00FD4C13"/>
    <w:rsid w:val="00FD583B"/>
    <w:rsid w:val="00FD68CB"/>
    <w:rsid w:val="00FE25B3"/>
    <w:rsid w:val="00FE2ABB"/>
    <w:rsid w:val="00FE2F1E"/>
    <w:rsid w:val="00FE34AB"/>
    <w:rsid w:val="00FE3984"/>
    <w:rsid w:val="00FE4745"/>
    <w:rsid w:val="00FE58A5"/>
    <w:rsid w:val="00FE5C7C"/>
    <w:rsid w:val="00FE5DA3"/>
    <w:rsid w:val="00FE6DD1"/>
    <w:rsid w:val="00FE74D2"/>
    <w:rsid w:val="00FF1EE4"/>
    <w:rsid w:val="00FF1FB1"/>
    <w:rsid w:val="00FF2261"/>
    <w:rsid w:val="00FF227E"/>
    <w:rsid w:val="00FF23E0"/>
    <w:rsid w:val="00FF3120"/>
    <w:rsid w:val="00FF318D"/>
    <w:rsid w:val="00FF34E4"/>
    <w:rsid w:val="00FF35AB"/>
    <w:rsid w:val="00FF3DCF"/>
    <w:rsid w:val="00FF41C5"/>
    <w:rsid w:val="00FF45A8"/>
    <w:rsid w:val="00FF45C0"/>
    <w:rsid w:val="00FF5143"/>
    <w:rsid w:val="00FF58CD"/>
    <w:rsid w:val="00FF599C"/>
    <w:rsid w:val="00FF5AA3"/>
    <w:rsid w:val="00FF5B4D"/>
    <w:rsid w:val="00FF6E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A4209"/>
    <w:pPr>
      <w:widowControl w:val="0"/>
      <w:jc w:val="both"/>
    </w:pPr>
    <w:rPr>
      <w:rFonts w:ascii="Arial" w:hAnsi="Arial" w:cs="Arial"/>
      <w:snapToGrid w:val="0"/>
      <w:sz w:val="22"/>
      <w:lang w:eastAsia="en-US"/>
    </w:rPr>
  </w:style>
  <w:style w:type="paragraph" w:styleId="Heading1">
    <w:name w:val="heading 1"/>
    <w:basedOn w:val="PBACHeading1"/>
    <w:next w:val="Normal"/>
    <w:qFormat/>
    <w:rsid w:val="00AB1438"/>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IB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uiPriority w:val="35"/>
    <w:rsid w:val="00124A51"/>
    <w:rPr>
      <w:b/>
      <w:bCs/>
      <w:snapToGrid w:val="0"/>
      <w:color w:val="4F81BD" w:themeColor="accent1"/>
      <w:sz w:val="18"/>
      <w:szCs w:val="18"/>
      <w:lang w:eastAsia="en-US"/>
    </w:rPr>
  </w:style>
  <w:style w:type="paragraph" w:styleId="Title">
    <w:name w:val="Title"/>
    <w:basedOn w:val="Heading1"/>
    <w:next w:val="Normal"/>
    <w:link w:val="TitleChar"/>
    <w:qFormat/>
    <w:rsid w:val="00AB1438"/>
    <w:pPr>
      <w:numPr>
        <w:numId w:val="0"/>
      </w:numPr>
    </w:pPr>
    <w:rPr>
      <w:sz w:val="28"/>
      <w:szCs w:val="28"/>
    </w:rPr>
  </w:style>
  <w:style w:type="character" w:customStyle="1" w:styleId="TitleChar">
    <w:name w:val="Title Char"/>
    <w:basedOn w:val="DefaultParagraphFont"/>
    <w:link w:val="Title"/>
    <w:rsid w:val="00AB1438"/>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5B4F9D"/>
    <w:rPr>
      <w:sz w:val="20"/>
    </w:rPr>
  </w:style>
  <w:style w:type="character" w:customStyle="1" w:styleId="FootnoteTextChar">
    <w:name w:val="Footnote Text Char"/>
    <w:basedOn w:val="DefaultParagraphFont"/>
    <w:link w:val="FootnoteText"/>
    <w:semiHidden/>
    <w:rsid w:val="005B4F9D"/>
    <w:rPr>
      <w:rFonts w:ascii="Arial" w:hAnsi="Arial" w:cs="Arial"/>
      <w:snapToGrid w:val="0"/>
      <w:lang w:eastAsia="en-US"/>
    </w:rPr>
  </w:style>
  <w:style w:type="character" w:styleId="FootnoteReference">
    <w:name w:val="footnote reference"/>
    <w:basedOn w:val="DefaultParagraphFont"/>
    <w:semiHidden/>
    <w:unhideWhenUsed/>
    <w:rsid w:val="005B4F9D"/>
    <w:rPr>
      <w:vertAlign w:val="superscript"/>
    </w:rPr>
  </w:style>
  <w:style w:type="paragraph" w:customStyle="1" w:styleId="TableHeaderRow">
    <w:name w:val="Table Header Row"/>
    <w:qFormat/>
    <w:rsid w:val="00A635A1"/>
    <w:pPr>
      <w:keepNext/>
      <w:spacing w:before="60" w:after="60"/>
      <w:jc w:val="center"/>
    </w:pPr>
    <w:rPr>
      <w:rFonts w:ascii="Arial" w:hAnsi="Arial"/>
      <w:b/>
      <w:sz w:val="22"/>
      <w:lang w:eastAsia="en-GB"/>
    </w:rPr>
  </w:style>
  <w:style w:type="character" w:styleId="FollowedHyperlink">
    <w:name w:val="FollowedHyperlink"/>
    <w:basedOn w:val="DefaultParagraphFont"/>
    <w:semiHidden/>
    <w:unhideWhenUsed/>
    <w:rsid w:val="001D6AED"/>
    <w:rPr>
      <w:color w:val="800080" w:themeColor="followedHyperlink"/>
      <w:u w:val="single"/>
    </w:rPr>
  </w:style>
  <w:style w:type="character" w:styleId="PlaceholderText">
    <w:name w:val="Placeholder Text"/>
    <w:basedOn w:val="DefaultParagraphFont"/>
    <w:uiPriority w:val="99"/>
    <w:semiHidden/>
    <w:rsid w:val="000253EB"/>
    <w:rPr>
      <w:color w:val="808080"/>
    </w:rPr>
  </w:style>
  <w:style w:type="character" w:customStyle="1" w:styleId="ListParagraphChar">
    <w:name w:val="List Paragraph Char"/>
    <w:aliases w:val="BulletPoints Char"/>
    <w:link w:val="ListParagraph"/>
    <w:uiPriority w:val="34"/>
    <w:rsid w:val="009347BA"/>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85897"/>
    <w:pPr>
      <w:widowControl/>
      <w:spacing w:after="160" w:line="240" w:lineRule="exact"/>
      <w:jc w:val="left"/>
    </w:pPr>
    <w:rPr>
      <w:rFonts w:ascii="Verdana" w:eastAsia="MS Mincho" w:hAnsi="Verdana" w:cs="Verdana"/>
      <w:snapToGrid/>
      <w:sz w:val="20"/>
      <w:szCs w:val="20"/>
      <w:lang w:val="en-US"/>
    </w:rPr>
  </w:style>
  <w:style w:type="table" w:customStyle="1" w:styleId="TableGrid3">
    <w:name w:val="Table Grid3"/>
    <w:basedOn w:val="TableNormal"/>
    <w:next w:val="TableGrid"/>
    <w:rsid w:val="00645B42"/>
    <w:pPr>
      <w:tabs>
        <w:tab w:val="left" w:pos="416"/>
        <w:tab w:val="left" w:pos="582"/>
      </w:tabs>
      <w:spacing w:line="360" w:lineRule="auto"/>
      <w:jc w:val="both"/>
    </w:pPr>
    <w:rPr>
      <w:rFonts w:ascii="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BC64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AD64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130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A51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615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6F6A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6F6A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8477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3333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54874"/>
    <w:pPr>
      <w:widowControl/>
    </w:pPr>
    <w:rPr>
      <w:rFonts w:ascii="Calibri" w:eastAsiaTheme="minorHAnsi" w:hAnsi="Calibri"/>
      <w:noProof/>
      <w:snapToGrid/>
      <w:szCs w:val="22"/>
      <w:lang w:val="en-US"/>
    </w:rPr>
  </w:style>
  <w:style w:type="character" w:customStyle="1" w:styleId="EndNoteBibliographyChar">
    <w:name w:val="EndNote Bibliography Char"/>
    <w:basedOn w:val="ListParagraphChar"/>
    <w:link w:val="EndNoteBibliography"/>
    <w:rsid w:val="00D54874"/>
    <w:rPr>
      <w:rFonts w:ascii="Calibri" w:eastAsiaTheme="minorHAnsi" w:hAnsi="Calibri" w:cs="Arial"/>
      <w:noProof/>
      <w:snapToGrid/>
      <w:sz w:val="22"/>
      <w:szCs w:val="22"/>
      <w:lang w:val="en-US" w:eastAsia="en-US"/>
    </w:rPr>
  </w:style>
  <w:style w:type="paragraph" w:customStyle="1" w:styleId="PBACheading10">
    <w:name w:val="PBAC heading 1"/>
    <w:qFormat/>
    <w:rsid w:val="009A6749"/>
    <w:pPr>
      <w:ind w:left="720" w:hanging="720"/>
    </w:pPr>
    <w:rPr>
      <w:rFonts w:ascii="Arial" w:hAnsi="Arial" w:cs="Arial"/>
      <w:snapToGrid w:val="0"/>
      <w:sz w:val="22"/>
      <w:szCs w:val="22"/>
      <w:lang w:eastAsia="en-US"/>
    </w:rPr>
  </w:style>
  <w:style w:type="paragraph" w:styleId="ListBullet2">
    <w:name w:val="List Bullet 2"/>
    <w:basedOn w:val="Normal"/>
    <w:uiPriority w:val="99"/>
    <w:semiHidden/>
    <w:unhideWhenUsed/>
    <w:rsid w:val="005131B4"/>
    <w:pPr>
      <w:widowControl/>
      <w:numPr>
        <w:numId w:val="32"/>
      </w:numPr>
      <w:spacing w:after="200" w:line="276" w:lineRule="auto"/>
      <w:contextualSpacing/>
      <w:jc w:val="left"/>
    </w:pPr>
    <w:rPr>
      <w:rFonts w:ascii="Times New Roman" w:eastAsiaTheme="minorHAnsi" w:hAnsi="Times New Roman" w:cstheme="minorBidi"/>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A4209"/>
    <w:pPr>
      <w:widowControl w:val="0"/>
      <w:jc w:val="both"/>
    </w:pPr>
    <w:rPr>
      <w:rFonts w:ascii="Arial" w:hAnsi="Arial" w:cs="Arial"/>
      <w:snapToGrid w:val="0"/>
      <w:sz w:val="22"/>
      <w:lang w:eastAsia="en-US"/>
    </w:rPr>
  </w:style>
  <w:style w:type="paragraph" w:styleId="Heading1">
    <w:name w:val="heading 1"/>
    <w:basedOn w:val="PBACHeading1"/>
    <w:next w:val="Normal"/>
    <w:qFormat/>
    <w:rsid w:val="00AB1438"/>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IB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uiPriority w:val="35"/>
    <w:rsid w:val="00124A51"/>
    <w:rPr>
      <w:b/>
      <w:bCs/>
      <w:snapToGrid w:val="0"/>
      <w:color w:val="4F81BD" w:themeColor="accent1"/>
      <w:sz w:val="18"/>
      <w:szCs w:val="18"/>
      <w:lang w:eastAsia="en-US"/>
    </w:rPr>
  </w:style>
  <w:style w:type="paragraph" w:styleId="Title">
    <w:name w:val="Title"/>
    <w:basedOn w:val="Heading1"/>
    <w:next w:val="Normal"/>
    <w:link w:val="TitleChar"/>
    <w:qFormat/>
    <w:rsid w:val="00AB1438"/>
    <w:pPr>
      <w:numPr>
        <w:numId w:val="0"/>
      </w:numPr>
    </w:pPr>
    <w:rPr>
      <w:sz w:val="28"/>
      <w:szCs w:val="28"/>
    </w:rPr>
  </w:style>
  <w:style w:type="character" w:customStyle="1" w:styleId="TitleChar">
    <w:name w:val="Title Char"/>
    <w:basedOn w:val="DefaultParagraphFont"/>
    <w:link w:val="Title"/>
    <w:rsid w:val="00AB1438"/>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5B4F9D"/>
    <w:rPr>
      <w:sz w:val="20"/>
    </w:rPr>
  </w:style>
  <w:style w:type="character" w:customStyle="1" w:styleId="FootnoteTextChar">
    <w:name w:val="Footnote Text Char"/>
    <w:basedOn w:val="DefaultParagraphFont"/>
    <w:link w:val="FootnoteText"/>
    <w:semiHidden/>
    <w:rsid w:val="005B4F9D"/>
    <w:rPr>
      <w:rFonts w:ascii="Arial" w:hAnsi="Arial" w:cs="Arial"/>
      <w:snapToGrid w:val="0"/>
      <w:lang w:eastAsia="en-US"/>
    </w:rPr>
  </w:style>
  <w:style w:type="character" w:styleId="FootnoteReference">
    <w:name w:val="footnote reference"/>
    <w:basedOn w:val="DefaultParagraphFont"/>
    <w:semiHidden/>
    <w:unhideWhenUsed/>
    <w:rsid w:val="005B4F9D"/>
    <w:rPr>
      <w:vertAlign w:val="superscript"/>
    </w:rPr>
  </w:style>
  <w:style w:type="paragraph" w:customStyle="1" w:styleId="TableHeaderRow">
    <w:name w:val="Table Header Row"/>
    <w:qFormat/>
    <w:rsid w:val="00A635A1"/>
    <w:pPr>
      <w:keepNext/>
      <w:spacing w:before="60" w:after="60"/>
      <w:jc w:val="center"/>
    </w:pPr>
    <w:rPr>
      <w:rFonts w:ascii="Arial" w:hAnsi="Arial"/>
      <w:b/>
      <w:sz w:val="22"/>
      <w:lang w:eastAsia="en-GB"/>
    </w:rPr>
  </w:style>
  <w:style w:type="character" w:styleId="FollowedHyperlink">
    <w:name w:val="FollowedHyperlink"/>
    <w:basedOn w:val="DefaultParagraphFont"/>
    <w:semiHidden/>
    <w:unhideWhenUsed/>
    <w:rsid w:val="001D6AED"/>
    <w:rPr>
      <w:color w:val="800080" w:themeColor="followedHyperlink"/>
      <w:u w:val="single"/>
    </w:rPr>
  </w:style>
  <w:style w:type="character" w:styleId="PlaceholderText">
    <w:name w:val="Placeholder Text"/>
    <w:basedOn w:val="DefaultParagraphFont"/>
    <w:uiPriority w:val="99"/>
    <w:semiHidden/>
    <w:rsid w:val="000253EB"/>
    <w:rPr>
      <w:color w:val="808080"/>
    </w:rPr>
  </w:style>
  <w:style w:type="character" w:customStyle="1" w:styleId="ListParagraphChar">
    <w:name w:val="List Paragraph Char"/>
    <w:aliases w:val="BulletPoints Char"/>
    <w:link w:val="ListParagraph"/>
    <w:uiPriority w:val="34"/>
    <w:rsid w:val="009347BA"/>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85897"/>
    <w:pPr>
      <w:widowControl/>
      <w:spacing w:after="160" w:line="240" w:lineRule="exact"/>
      <w:jc w:val="left"/>
    </w:pPr>
    <w:rPr>
      <w:rFonts w:ascii="Verdana" w:eastAsia="MS Mincho" w:hAnsi="Verdana" w:cs="Verdana"/>
      <w:snapToGrid/>
      <w:sz w:val="20"/>
      <w:szCs w:val="20"/>
      <w:lang w:val="en-US"/>
    </w:rPr>
  </w:style>
  <w:style w:type="table" w:customStyle="1" w:styleId="TableGrid3">
    <w:name w:val="Table Grid3"/>
    <w:basedOn w:val="TableNormal"/>
    <w:next w:val="TableGrid"/>
    <w:rsid w:val="00645B42"/>
    <w:pPr>
      <w:tabs>
        <w:tab w:val="left" w:pos="416"/>
        <w:tab w:val="left" w:pos="582"/>
      </w:tabs>
      <w:spacing w:line="360" w:lineRule="auto"/>
      <w:jc w:val="both"/>
    </w:pPr>
    <w:rPr>
      <w:rFonts w:ascii="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BC64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AD64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130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A51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615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6F6A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6F6A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8477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3333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54874"/>
    <w:pPr>
      <w:widowControl/>
    </w:pPr>
    <w:rPr>
      <w:rFonts w:ascii="Calibri" w:eastAsiaTheme="minorHAnsi" w:hAnsi="Calibri"/>
      <w:noProof/>
      <w:snapToGrid/>
      <w:szCs w:val="22"/>
      <w:lang w:val="en-US"/>
    </w:rPr>
  </w:style>
  <w:style w:type="character" w:customStyle="1" w:styleId="EndNoteBibliographyChar">
    <w:name w:val="EndNote Bibliography Char"/>
    <w:basedOn w:val="ListParagraphChar"/>
    <w:link w:val="EndNoteBibliography"/>
    <w:rsid w:val="00D54874"/>
    <w:rPr>
      <w:rFonts w:ascii="Calibri" w:eastAsiaTheme="minorHAnsi" w:hAnsi="Calibri" w:cs="Arial"/>
      <w:noProof/>
      <w:snapToGrid/>
      <w:sz w:val="22"/>
      <w:szCs w:val="22"/>
      <w:lang w:val="en-US" w:eastAsia="en-US"/>
    </w:rPr>
  </w:style>
  <w:style w:type="paragraph" w:customStyle="1" w:styleId="PBACheading10">
    <w:name w:val="PBAC heading 1"/>
    <w:qFormat/>
    <w:rsid w:val="009A6749"/>
    <w:pPr>
      <w:ind w:left="720" w:hanging="720"/>
    </w:pPr>
    <w:rPr>
      <w:rFonts w:ascii="Arial" w:hAnsi="Arial" w:cs="Arial"/>
      <w:snapToGrid w:val="0"/>
      <w:sz w:val="22"/>
      <w:szCs w:val="22"/>
      <w:lang w:eastAsia="en-US"/>
    </w:rPr>
  </w:style>
  <w:style w:type="paragraph" w:styleId="ListBullet2">
    <w:name w:val="List Bullet 2"/>
    <w:basedOn w:val="Normal"/>
    <w:uiPriority w:val="99"/>
    <w:semiHidden/>
    <w:unhideWhenUsed/>
    <w:rsid w:val="005131B4"/>
    <w:pPr>
      <w:widowControl/>
      <w:numPr>
        <w:numId w:val="32"/>
      </w:numPr>
      <w:spacing w:after="200" w:line="276" w:lineRule="auto"/>
      <w:contextualSpacing/>
      <w:jc w:val="left"/>
    </w:pPr>
    <w:rPr>
      <w:rFonts w:ascii="Times New Roman" w:eastAsiaTheme="minorHAnsi" w:hAnsi="Times New Roman"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2308">
      <w:bodyDiv w:val="1"/>
      <w:marLeft w:val="0"/>
      <w:marRight w:val="0"/>
      <w:marTop w:val="0"/>
      <w:marBottom w:val="0"/>
      <w:divBdr>
        <w:top w:val="none" w:sz="0" w:space="0" w:color="auto"/>
        <w:left w:val="none" w:sz="0" w:space="0" w:color="auto"/>
        <w:bottom w:val="none" w:sz="0" w:space="0" w:color="auto"/>
        <w:right w:val="none" w:sz="0" w:space="0" w:color="auto"/>
      </w:divBdr>
    </w:div>
    <w:div w:id="351686134">
      <w:bodyDiv w:val="1"/>
      <w:marLeft w:val="0"/>
      <w:marRight w:val="0"/>
      <w:marTop w:val="0"/>
      <w:marBottom w:val="0"/>
      <w:divBdr>
        <w:top w:val="none" w:sz="0" w:space="0" w:color="auto"/>
        <w:left w:val="none" w:sz="0" w:space="0" w:color="auto"/>
        <w:bottom w:val="none" w:sz="0" w:space="0" w:color="auto"/>
        <w:right w:val="none" w:sz="0" w:space="0" w:color="auto"/>
      </w:divBdr>
    </w:div>
    <w:div w:id="393049472">
      <w:bodyDiv w:val="1"/>
      <w:marLeft w:val="0"/>
      <w:marRight w:val="0"/>
      <w:marTop w:val="0"/>
      <w:marBottom w:val="0"/>
      <w:divBdr>
        <w:top w:val="none" w:sz="0" w:space="0" w:color="auto"/>
        <w:left w:val="none" w:sz="0" w:space="0" w:color="auto"/>
        <w:bottom w:val="none" w:sz="0" w:space="0" w:color="auto"/>
        <w:right w:val="none" w:sz="0" w:space="0" w:color="auto"/>
      </w:divBdr>
    </w:div>
    <w:div w:id="448936808">
      <w:bodyDiv w:val="1"/>
      <w:marLeft w:val="0"/>
      <w:marRight w:val="0"/>
      <w:marTop w:val="0"/>
      <w:marBottom w:val="0"/>
      <w:divBdr>
        <w:top w:val="none" w:sz="0" w:space="0" w:color="auto"/>
        <w:left w:val="none" w:sz="0" w:space="0" w:color="auto"/>
        <w:bottom w:val="none" w:sz="0" w:space="0" w:color="auto"/>
        <w:right w:val="none" w:sz="0" w:space="0" w:color="auto"/>
      </w:divBdr>
    </w:div>
    <w:div w:id="464584806">
      <w:bodyDiv w:val="1"/>
      <w:marLeft w:val="0"/>
      <w:marRight w:val="0"/>
      <w:marTop w:val="0"/>
      <w:marBottom w:val="0"/>
      <w:divBdr>
        <w:top w:val="none" w:sz="0" w:space="0" w:color="auto"/>
        <w:left w:val="none" w:sz="0" w:space="0" w:color="auto"/>
        <w:bottom w:val="none" w:sz="0" w:space="0" w:color="auto"/>
        <w:right w:val="none" w:sz="0" w:space="0" w:color="auto"/>
      </w:divBdr>
    </w:div>
    <w:div w:id="861209204">
      <w:bodyDiv w:val="1"/>
      <w:marLeft w:val="0"/>
      <w:marRight w:val="0"/>
      <w:marTop w:val="0"/>
      <w:marBottom w:val="0"/>
      <w:divBdr>
        <w:top w:val="none" w:sz="0" w:space="0" w:color="auto"/>
        <w:left w:val="none" w:sz="0" w:space="0" w:color="auto"/>
        <w:bottom w:val="none" w:sz="0" w:space="0" w:color="auto"/>
        <w:right w:val="none" w:sz="0" w:space="0" w:color="auto"/>
      </w:divBdr>
    </w:div>
    <w:div w:id="943994234">
      <w:bodyDiv w:val="1"/>
      <w:marLeft w:val="0"/>
      <w:marRight w:val="0"/>
      <w:marTop w:val="0"/>
      <w:marBottom w:val="0"/>
      <w:divBdr>
        <w:top w:val="none" w:sz="0" w:space="0" w:color="auto"/>
        <w:left w:val="none" w:sz="0" w:space="0" w:color="auto"/>
        <w:bottom w:val="none" w:sz="0" w:space="0" w:color="auto"/>
        <w:right w:val="none" w:sz="0" w:space="0" w:color="auto"/>
      </w:divBdr>
    </w:div>
    <w:div w:id="1018508513">
      <w:bodyDiv w:val="1"/>
      <w:marLeft w:val="0"/>
      <w:marRight w:val="0"/>
      <w:marTop w:val="0"/>
      <w:marBottom w:val="0"/>
      <w:divBdr>
        <w:top w:val="none" w:sz="0" w:space="0" w:color="auto"/>
        <w:left w:val="none" w:sz="0" w:space="0" w:color="auto"/>
        <w:bottom w:val="none" w:sz="0" w:space="0" w:color="auto"/>
        <w:right w:val="none" w:sz="0" w:space="0" w:color="auto"/>
      </w:divBdr>
    </w:div>
    <w:div w:id="1019041946">
      <w:bodyDiv w:val="1"/>
      <w:marLeft w:val="0"/>
      <w:marRight w:val="0"/>
      <w:marTop w:val="0"/>
      <w:marBottom w:val="0"/>
      <w:divBdr>
        <w:top w:val="none" w:sz="0" w:space="0" w:color="auto"/>
        <w:left w:val="none" w:sz="0" w:space="0" w:color="auto"/>
        <w:bottom w:val="none" w:sz="0" w:space="0" w:color="auto"/>
        <w:right w:val="none" w:sz="0" w:space="0" w:color="auto"/>
      </w:divBdr>
    </w:div>
    <w:div w:id="1399282633">
      <w:bodyDiv w:val="1"/>
      <w:marLeft w:val="0"/>
      <w:marRight w:val="0"/>
      <w:marTop w:val="0"/>
      <w:marBottom w:val="0"/>
      <w:divBdr>
        <w:top w:val="none" w:sz="0" w:space="0" w:color="auto"/>
        <w:left w:val="none" w:sz="0" w:space="0" w:color="auto"/>
        <w:bottom w:val="none" w:sz="0" w:space="0" w:color="auto"/>
        <w:right w:val="none" w:sz="0" w:space="0" w:color="auto"/>
      </w:divBdr>
    </w:div>
    <w:div w:id="1482191607">
      <w:bodyDiv w:val="1"/>
      <w:marLeft w:val="0"/>
      <w:marRight w:val="0"/>
      <w:marTop w:val="0"/>
      <w:marBottom w:val="0"/>
      <w:divBdr>
        <w:top w:val="none" w:sz="0" w:space="0" w:color="auto"/>
        <w:left w:val="none" w:sz="0" w:space="0" w:color="auto"/>
        <w:bottom w:val="none" w:sz="0" w:space="0" w:color="auto"/>
        <w:right w:val="none" w:sz="0" w:space="0" w:color="auto"/>
      </w:divBdr>
    </w:div>
    <w:div w:id="1739548698">
      <w:bodyDiv w:val="1"/>
      <w:marLeft w:val="0"/>
      <w:marRight w:val="0"/>
      <w:marTop w:val="0"/>
      <w:marBottom w:val="0"/>
      <w:divBdr>
        <w:top w:val="none" w:sz="0" w:space="0" w:color="auto"/>
        <w:left w:val="none" w:sz="0" w:space="0" w:color="auto"/>
        <w:bottom w:val="none" w:sz="0" w:space="0" w:color="auto"/>
        <w:right w:val="none" w:sz="0" w:space="0" w:color="auto"/>
      </w:divBdr>
    </w:div>
    <w:div w:id="1789280824">
      <w:bodyDiv w:val="1"/>
      <w:marLeft w:val="0"/>
      <w:marRight w:val="0"/>
      <w:marTop w:val="0"/>
      <w:marBottom w:val="0"/>
      <w:divBdr>
        <w:top w:val="none" w:sz="0" w:space="0" w:color="auto"/>
        <w:left w:val="none" w:sz="0" w:space="0" w:color="auto"/>
        <w:bottom w:val="none" w:sz="0" w:space="0" w:color="auto"/>
        <w:right w:val="none" w:sz="0" w:space="0" w:color="auto"/>
      </w:divBdr>
    </w:div>
    <w:div w:id="1796022752">
      <w:bodyDiv w:val="1"/>
      <w:marLeft w:val="0"/>
      <w:marRight w:val="0"/>
      <w:marTop w:val="0"/>
      <w:marBottom w:val="0"/>
      <w:divBdr>
        <w:top w:val="none" w:sz="0" w:space="0" w:color="auto"/>
        <w:left w:val="none" w:sz="0" w:space="0" w:color="auto"/>
        <w:bottom w:val="none" w:sz="0" w:space="0" w:color="auto"/>
        <w:right w:val="none" w:sz="0" w:space="0" w:color="auto"/>
      </w:divBdr>
    </w:div>
    <w:div w:id="20182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BAD1-58D4-4005-BDDA-A6D9E30E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9033</Words>
  <Characters>52368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2016-06-10T01:45:00Z</dcterms:created>
  <dcterms:modified xsi:type="dcterms:W3CDTF">2016-06-24T04:32:00Z</dcterms:modified>
</cp:coreProperties>
</file>