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F115E0" w:rsidP="00101CD9">
      <w:pPr>
        <w:pStyle w:val="Title"/>
      </w:pPr>
      <w:bookmarkStart w:id="0" w:name="_Toc441061708"/>
      <w:r>
        <w:t>5.09</w:t>
      </w:r>
      <w:r w:rsidR="00B60939" w:rsidRPr="00207D00">
        <w:tab/>
      </w:r>
      <w:r w:rsidR="006D1C45">
        <w:t>PROGESTERONE</w:t>
      </w:r>
      <w:r w:rsidR="00B60939" w:rsidRPr="00207D00">
        <w:t>,</w:t>
      </w:r>
      <w:r w:rsidR="00AA1EED">
        <w:br/>
      </w:r>
      <w:r w:rsidR="006D1C45" w:rsidRPr="006D1C45">
        <w:t>200 mg capsule, 42</w:t>
      </w:r>
      <w:r w:rsidR="00B60939" w:rsidRPr="00207D00">
        <w:t>,</w:t>
      </w:r>
      <w:r w:rsidR="00AA1EED">
        <w:br/>
      </w:r>
      <w:proofErr w:type="spellStart"/>
      <w:r w:rsidR="006D1C45">
        <w:t>Utrogestan</w:t>
      </w:r>
      <w:proofErr w:type="spellEnd"/>
      <w:r w:rsidR="00B60939" w:rsidRPr="00207D00">
        <w:rPr>
          <w:vertAlign w:val="superscript"/>
        </w:rPr>
        <w:t>®</w:t>
      </w:r>
      <w:r w:rsidR="00B60939" w:rsidRPr="00207D00">
        <w:t>,</w:t>
      </w:r>
      <w:r w:rsidR="00AA1EED">
        <w:br/>
      </w:r>
      <w:proofErr w:type="spellStart"/>
      <w:r w:rsidR="006D1C45">
        <w:t>Besins</w:t>
      </w:r>
      <w:proofErr w:type="spellEnd"/>
      <w:r w:rsidR="006D1C45">
        <w:t xml:space="preserve"> </w:t>
      </w:r>
      <w:r w:rsidR="006D1C45" w:rsidRPr="00101CD9">
        <w:t>Healthcare</w:t>
      </w:r>
      <w:r w:rsidR="006D1C45">
        <w:t xml:space="preserve"> Pty Ltd</w:t>
      </w:r>
      <w:r w:rsidR="00B60939" w:rsidRPr="00207D00">
        <w:t>.</w:t>
      </w:r>
      <w:bookmarkEnd w:id="0"/>
    </w:p>
    <w:p w:rsidR="00B60939" w:rsidRDefault="00B60939" w:rsidP="000D2E08">
      <w:pPr>
        <w:widowControl/>
      </w:pPr>
    </w:p>
    <w:p w:rsidR="00433044" w:rsidRDefault="00433044" w:rsidP="000D2E08">
      <w:pPr>
        <w:pStyle w:val="BodyText"/>
        <w:widowControl/>
      </w:pPr>
    </w:p>
    <w:p w:rsidR="00B50DB8" w:rsidRPr="00EE5CFA" w:rsidRDefault="00B50DB8" w:rsidP="000D2E08">
      <w:pPr>
        <w:pStyle w:val="PBACHeading1"/>
      </w:pPr>
      <w:bookmarkStart w:id="1" w:name="_Toc441061710"/>
      <w:r w:rsidRPr="00EE5CFA">
        <w:t>Purpose of Application</w:t>
      </w:r>
      <w:bookmarkEnd w:id="1"/>
    </w:p>
    <w:p w:rsidR="00B60939" w:rsidRPr="00EE5CFA" w:rsidRDefault="00B60939" w:rsidP="000D2E08">
      <w:pPr>
        <w:widowControl/>
        <w:rPr>
          <w:szCs w:val="22"/>
        </w:rPr>
      </w:pPr>
    </w:p>
    <w:p w:rsidR="002C2775" w:rsidRPr="00EE5CFA" w:rsidRDefault="001E238E" w:rsidP="000D2E08">
      <w:pPr>
        <w:pStyle w:val="ListParagraph"/>
        <w:widowControl/>
        <w:numPr>
          <w:ilvl w:val="1"/>
          <w:numId w:val="1"/>
        </w:numPr>
        <w:rPr>
          <w:szCs w:val="22"/>
        </w:rPr>
      </w:pPr>
      <w:r w:rsidRPr="00EE5CFA">
        <w:t>Section 100</w:t>
      </w:r>
      <w:r w:rsidR="00345BA0" w:rsidRPr="00EE5CFA">
        <w:t xml:space="preserve"> IVF/G</w:t>
      </w:r>
      <w:bookmarkStart w:id="2" w:name="_GoBack"/>
      <w:bookmarkEnd w:id="2"/>
      <w:r w:rsidR="00345BA0" w:rsidRPr="00EE5CFA">
        <w:t xml:space="preserve">IFT program listing for </w:t>
      </w:r>
      <w:r w:rsidR="00F710F2" w:rsidRPr="00EE5CFA">
        <w:t>progesterone</w:t>
      </w:r>
      <w:r w:rsidR="00AE4772">
        <w:t xml:space="preserve"> 200 mg capsule</w:t>
      </w:r>
      <w:r w:rsidR="00F710F2" w:rsidRPr="00EE5CFA">
        <w:t xml:space="preserve"> </w:t>
      </w:r>
      <w:r w:rsidR="00345BA0" w:rsidRPr="00EE5CFA">
        <w:t>for l</w:t>
      </w:r>
      <w:r w:rsidR="00F710F2" w:rsidRPr="00EE5CFA">
        <w:t>u</w:t>
      </w:r>
      <w:r w:rsidR="00345BA0" w:rsidRPr="00EE5CFA">
        <w:t>teal support as part of an Assisted Reproductive Technology (ART) treatme</w:t>
      </w:r>
      <w:r w:rsidR="00E53BC0">
        <w:t>nt program for infertile women.</w:t>
      </w:r>
    </w:p>
    <w:p w:rsidR="00B60939" w:rsidRPr="00EE5CFA" w:rsidRDefault="00B60939" w:rsidP="000D2E08">
      <w:pPr>
        <w:widowControl/>
      </w:pPr>
    </w:p>
    <w:p w:rsidR="004E43B2" w:rsidRPr="00EE5CFA" w:rsidRDefault="004E43B2" w:rsidP="000D2E08">
      <w:pPr>
        <w:widowControl/>
      </w:pPr>
    </w:p>
    <w:p w:rsidR="00B50DB8" w:rsidRPr="00EE5CFA" w:rsidRDefault="00B50DB8" w:rsidP="000D2E08">
      <w:pPr>
        <w:pStyle w:val="PBACHeading1"/>
        <w:keepNext/>
      </w:pPr>
      <w:bookmarkStart w:id="3" w:name="_Toc441061711"/>
      <w:r w:rsidRPr="00EE5CFA">
        <w:t>Requested listing</w:t>
      </w:r>
      <w:bookmarkEnd w:id="3"/>
    </w:p>
    <w:p w:rsidR="00B60939" w:rsidRPr="00EE5CFA" w:rsidRDefault="00B60939" w:rsidP="000D2E08">
      <w:pPr>
        <w:keepNext/>
        <w:widowControl/>
      </w:pPr>
    </w:p>
    <w:p w:rsidR="00617E12" w:rsidRPr="00EE5CFA" w:rsidRDefault="00427B45" w:rsidP="000D2E08">
      <w:pPr>
        <w:pStyle w:val="ListParagraph"/>
        <w:widowControl/>
        <w:numPr>
          <w:ilvl w:val="1"/>
          <w:numId w:val="1"/>
        </w:numPr>
        <w:rPr>
          <w:szCs w:val="22"/>
        </w:rPr>
      </w:pPr>
      <w:r w:rsidRPr="00EE5CFA">
        <w:t xml:space="preserve">The requested restriction is provided below. </w:t>
      </w:r>
    </w:p>
    <w:p w:rsidR="0029149D" w:rsidRPr="00882085" w:rsidRDefault="0029149D" w:rsidP="000D2E08">
      <w:pPr>
        <w:widowControl/>
      </w:pPr>
    </w:p>
    <w:tbl>
      <w:tblPr>
        <w:tblW w:w="4604" w:type="pct"/>
        <w:tblInd w:w="737" w:type="dxa"/>
        <w:tblCellMar>
          <w:left w:w="28" w:type="dxa"/>
          <w:right w:w="28" w:type="dxa"/>
        </w:tblCellMar>
        <w:tblLook w:val="0000" w:firstRow="0" w:lastRow="0" w:firstColumn="0" w:lastColumn="0" w:noHBand="0" w:noVBand="0"/>
      </w:tblPr>
      <w:tblGrid>
        <w:gridCol w:w="2257"/>
        <w:gridCol w:w="654"/>
        <w:gridCol w:w="983"/>
        <w:gridCol w:w="1977"/>
        <w:gridCol w:w="1077"/>
        <w:gridCol w:w="1415"/>
      </w:tblGrid>
      <w:tr w:rsidR="0029149D" w:rsidRPr="002C6F6B" w:rsidTr="00CE6D96">
        <w:trPr>
          <w:cantSplit/>
          <w:trHeight w:val="304"/>
        </w:trPr>
        <w:tc>
          <w:tcPr>
            <w:tcW w:w="1349" w:type="pct"/>
            <w:tcBorders>
              <w:bottom w:val="single" w:sz="4" w:space="0" w:color="auto"/>
            </w:tcBorders>
          </w:tcPr>
          <w:p w:rsidR="0029149D" w:rsidRPr="002C6F6B" w:rsidRDefault="0029149D" w:rsidP="00F6774D">
            <w:pPr>
              <w:keepNext/>
              <w:widowControl/>
              <w:rPr>
                <w:rFonts w:ascii="Arial Narrow" w:hAnsi="Arial Narrow"/>
                <w:sz w:val="20"/>
              </w:rPr>
            </w:pPr>
            <w:r w:rsidRPr="002C6F6B">
              <w:rPr>
                <w:rFonts w:ascii="Arial Narrow" w:hAnsi="Arial Narrow"/>
                <w:sz w:val="20"/>
              </w:rPr>
              <w:t>Name, Restriction,</w:t>
            </w:r>
          </w:p>
          <w:p w:rsidR="0029149D" w:rsidRPr="002C6F6B" w:rsidRDefault="0029149D" w:rsidP="00F6774D">
            <w:pPr>
              <w:keepNext/>
              <w:widowControl/>
              <w:rPr>
                <w:rFonts w:ascii="Arial Narrow" w:hAnsi="Arial Narrow"/>
                <w:sz w:val="20"/>
              </w:rPr>
            </w:pPr>
            <w:r w:rsidRPr="002C6F6B">
              <w:rPr>
                <w:rFonts w:ascii="Arial Narrow" w:hAnsi="Arial Narrow"/>
                <w:sz w:val="20"/>
              </w:rPr>
              <w:t>Manner of administration and form</w:t>
            </w:r>
          </w:p>
        </w:tc>
        <w:tc>
          <w:tcPr>
            <w:tcW w:w="391" w:type="pct"/>
            <w:tcBorders>
              <w:bottom w:val="single" w:sz="4" w:space="0" w:color="auto"/>
            </w:tcBorders>
          </w:tcPr>
          <w:p w:rsidR="0029149D" w:rsidRPr="002C6F6B" w:rsidRDefault="0029149D" w:rsidP="00F6774D">
            <w:pPr>
              <w:keepNext/>
              <w:widowControl/>
              <w:jc w:val="center"/>
              <w:rPr>
                <w:rFonts w:ascii="Arial Narrow" w:hAnsi="Arial Narrow"/>
                <w:sz w:val="20"/>
              </w:rPr>
            </w:pPr>
            <w:r w:rsidRPr="002C6F6B">
              <w:rPr>
                <w:rFonts w:ascii="Arial Narrow" w:hAnsi="Arial Narrow"/>
                <w:sz w:val="20"/>
              </w:rPr>
              <w:t>Max.</w:t>
            </w:r>
          </w:p>
          <w:p w:rsidR="0029149D" w:rsidRPr="002C6F6B" w:rsidRDefault="0029149D" w:rsidP="00F6774D">
            <w:pPr>
              <w:keepNext/>
              <w:widowControl/>
              <w:jc w:val="center"/>
              <w:rPr>
                <w:rFonts w:ascii="Arial Narrow" w:hAnsi="Arial Narrow"/>
                <w:sz w:val="20"/>
              </w:rPr>
            </w:pPr>
            <w:proofErr w:type="spellStart"/>
            <w:r w:rsidRPr="002C6F6B">
              <w:rPr>
                <w:rFonts w:ascii="Arial Narrow" w:hAnsi="Arial Narrow"/>
                <w:sz w:val="20"/>
              </w:rPr>
              <w:t>Qty</w:t>
            </w:r>
            <w:proofErr w:type="spellEnd"/>
          </w:p>
        </w:tc>
        <w:tc>
          <w:tcPr>
            <w:tcW w:w="588" w:type="pct"/>
            <w:tcBorders>
              <w:bottom w:val="single" w:sz="4" w:space="0" w:color="auto"/>
            </w:tcBorders>
          </w:tcPr>
          <w:p w:rsidR="0029149D" w:rsidRPr="002C6F6B" w:rsidRDefault="0029149D" w:rsidP="00F6774D">
            <w:pPr>
              <w:keepNext/>
              <w:widowControl/>
              <w:jc w:val="center"/>
              <w:rPr>
                <w:rFonts w:ascii="Arial Narrow" w:hAnsi="Arial Narrow"/>
                <w:sz w:val="20"/>
              </w:rPr>
            </w:pPr>
            <w:r w:rsidRPr="002C6F6B">
              <w:rPr>
                <w:rFonts w:ascii="Arial Narrow" w:hAnsi="Arial Narrow"/>
                <w:sz w:val="20"/>
              </w:rPr>
              <w:t>№.of</w:t>
            </w:r>
          </w:p>
          <w:p w:rsidR="0029149D" w:rsidRPr="002C6F6B" w:rsidRDefault="0029149D" w:rsidP="00F6774D">
            <w:pPr>
              <w:keepNext/>
              <w:widowControl/>
              <w:jc w:val="center"/>
              <w:rPr>
                <w:rFonts w:ascii="Arial Narrow" w:hAnsi="Arial Narrow"/>
                <w:sz w:val="20"/>
              </w:rPr>
            </w:pPr>
            <w:proofErr w:type="spellStart"/>
            <w:r w:rsidRPr="002C6F6B">
              <w:rPr>
                <w:rFonts w:ascii="Arial Narrow" w:hAnsi="Arial Narrow"/>
                <w:sz w:val="20"/>
              </w:rPr>
              <w:t>Rpts</w:t>
            </w:r>
            <w:proofErr w:type="spellEnd"/>
          </w:p>
        </w:tc>
        <w:tc>
          <w:tcPr>
            <w:tcW w:w="1182" w:type="pct"/>
            <w:tcBorders>
              <w:bottom w:val="single" w:sz="4" w:space="0" w:color="auto"/>
            </w:tcBorders>
          </w:tcPr>
          <w:p w:rsidR="0029149D" w:rsidRPr="002C6F6B" w:rsidRDefault="0029149D" w:rsidP="00F6774D">
            <w:pPr>
              <w:keepNext/>
              <w:widowControl/>
              <w:jc w:val="center"/>
              <w:rPr>
                <w:rFonts w:ascii="Arial Narrow" w:hAnsi="Arial Narrow"/>
                <w:sz w:val="20"/>
              </w:rPr>
            </w:pPr>
            <w:r w:rsidRPr="002C6F6B">
              <w:rPr>
                <w:rFonts w:ascii="Arial Narrow" w:hAnsi="Arial Narrow"/>
                <w:sz w:val="20"/>
              </w:rPr>
              <w:t xml:space="preserve">Dispensed Price for Max. </w:t>
            </w:r>
            <w:proofErr w:type="spellStart"/>
            <w:r w:rsidRPr="002C6F6B">
              <w:rPr>
                <w:rFonts w:ascii="Arial Narrow" w:hAnsi="Arial Narrow"/>
                <w:sz w:val="20"/>
              </w:rPr>
              <w:t>Qty</w:t>
            </w:r>
            <w:proofErr w:type="spellEnd"/>
          </w:p>
        </w:tc>
        <w:tc>
          <w:tcPr>
            <w:tcW w:w="1490" w:type="pct"/>
            <w:gridSpan w:val="2"/>
            <w:tcBorders>
              <w:bottom w:val="single" w:sz="4" w:space="0" w:color="auto"/>
            </w:tcBorders>
          </w:tcPr>
          <w:p w:rsidR="0029149D" w:rsidRPr="002C6F6B" w:rsidRDefault="0029149D" w:rsidP="00F6774D">
            <w:pPr>
              <w:keepNext/>
              <w:widowControl/>
              <w:jc w:val="center"/>
              <w:rPr>
                <w:rFonts w:ascii="Arial Narrow" w:hAnsi="Arial Narrow"/>
                <w:sz w:val="20"/>
                <w:lang w:val="fr-FR"/>
              </w:rPr>
            </w:pPr>
            <w:r w:rsidRPr="002C6F6B">
              <w:rPr>
                <w:rFonts w:ascii="Arial Narrow" w:hAnsi="Arial Narrow"/>
                <w:sz w:val="20"/>
              </w:rPr>
              <w:t>Proprietary Name and Manufacturer</w:t>
            </w:r>
          </w:p>
        </w:tc>
      </w:tr>
      <w:tr w:rsidR="00CE6D96" w:rsidRPr="002C6F6B" w:rsidTr="00CE6D96">
        <w:trPr>
          <w:cantSplit/>
          <w:trHeight w:val="305"/>
        </w:trPr>
        <w:tc>
          <w:tcPr>
            <w:tcW w:w="1349" w:type="pct"/>
          </w:tcPr>
          <w:p w:rsidR="0029149D" w:rsidRPr="002C6F6B" w:rsidRDefault="0029149D" w:rsidP="00F6774D">
            <w:pPr>
              <w:keepNext/>
              <w:widowControl/>
              <w:rPr>
                <w:rFonts w:ascii="Arial Narrow" w:hAnsi="Arial Narrow"/>
                <w:sz w:val="20"/>
              </w:rPr>
            </w:pPr>
            <w:r w:rsidRPr="002C6F6B">
              <w:rPr>
                <w:rFonts w:ascii="Arial Narrow" w:hAnsi="Arial Narrow"/>
                <w:smallCaps/>
                <w:sz w:val="20"/>
              </w:rPr>
              <w:t>PROGESTERONE</w:t>
            </w:r>
          </w:p>
          <w:p w:rsidR="0029149D" w:rsidRPr="002C6F6B" w:rsidRDefault="0029149D" w:rsidP="00F6774D">
            <w:pPr>
              <w:keepNext/>
              <w:widowControl/>
              <w:rPr>
                <w:rFonts w:ascii="Arial Narrow" w:hAnsi="Arial Narrow"/>
                <w:sz w:val="20"/>
              </w:rPr>
            </w:pPr>
            <w:r w:rsidRPr="002C6F6B">
              <w:rPr>
                <w:rFonts w:ascii="Arial Narrow" w:hAnsi="Arial Narrow"/>
                <w:sz w:val="20"/>
              </w:rPr>
              <w:t xml:space="preserve">200 mg capsule, 42 </w:t>
            </w:r>
          </w:p>
        </w:tc>
        <w:tc>
          <w:tcPr>
            <w:tcW w:w="391" w:type="pct"/>
          </w:tcPr>
          <w:p w:rsidR="0029149D" w:rsidRPr="002C6F6B" w:rsidRDefault="0029149D" w:rsidP="00F6774D">
            <w:pPr>
              <w:keepNext/>
              <w:widowControl/>
              <w:jc w:val="center"/>
              <w:rPr>
                <w:rFonts w:ascii="Arial Narrow" w:hAnsi="Arial Narrow"/>
                <w:sz w:val="20"/>
              </w:rPr>
            </w:pPr>
          </w:p>
          <w:p w:rsidR="0029149D" w:rsidRPr="002C6F6B" w:rsidRDefault="0029149D" w:rsidP="00F6774D">
            <w:pPr>
              <w:keepNext/>
              <w:widowControl/>
              <w:jc w:val="center"/>
              <w:rPr>
                <w:rFonts w:ascii="Arial Narrow" w:hAnsi="Arial Narrow"/>
                <w:sz w:val="20"/>
              </w:rPr>
            </w:pPr>
            <w:r w:rsidRPr="002C6F6B">
              <w:rPr>
                <w:rFonts w:ascii="Arial Narrow" w:hAnsi="Arial Narrow"/>
                <w:sz w:val="20"/>
              </w:rPr>
              <w:t>1</w:t>
            </w:r>
          </w:p>
        </w:tc>
        <w:tc>
          <w:tcPr>
            <w:tcW w:w="588" w:type="pct"/>
          </w:tcPr>
          <w:p w:rsidR="0029149D" w:rsidRPr="002C6F6B" w:rsidRDefault="0029149D" w:rsidP="00F6774D">
            <w:pPr>
              <w:keepNext/>
              <w:widowControl/>
              <w:jc w:val="center"/>
              <w:rPr>
                <w:rFonts w:ascii="Arial Narrow" w:hAnsi="Arial Narrow"/>
                <w:sz w:val="20"/>
              </w:rPr>
            </w:pPr>
          </w:p>
          <w:p w:rsidR="0029149D" w:rsidRPr="002C6F6B" w:rsidRDefault="0029149D" w:rsidP="00F6774D">
            <w:pPr>
              <w:keepNext/>
              <w:widowControl/>
              <w:jc w:val="center"/>
              <w:rPr>
                <w:rFonts w:ascii="Arial Narrow" w:hAnsi="Arial Narrow"/>
                <w:sz w:val="20"/>
              </w:rPr>
            </w:pPr>
            <w:r w:rsidRPr="002C6F6B">
              <w:rPr>
                <w:rFonts w:ascii="Arial Narrow" w:hAnsi="Arial Narrow"/>
                <w:sz w:val="20"/>
              </w:rPr>
              <w:t>0</w:t>
            </w:r>
          </w:p>
        </w:tc>
        <w:tc>
          <w:tcPr>
            <w:tcW w:w="1182" w:type="pct"/>
          </w:tcPr>
          <w:p w:rsidR="0029149D" w:rsidRPr="002C6F6B" w:rsidRDefault="0029149D" w:rsidP="00F6774D">
            <w:pPr>
              <w:keepNext/>
              <w:widowControl/>
              <w:jc w:val="center"/>
              <w:rPr>
                <w:rFonts w:ascii="Arial Narrow" w:hAnsi="Arial Narrow"/>
                <w:sz w:val="20"/>
              </w:rPr>
            </w:pPr>
          </w:p>
          <w:p w:rsidR="0029149D" w:rsidRPr="002C6F6B" w:rsidRDefault="0029149D" w:rsidP="00F6774D">
            <w:pPr>
              <w:keepNext/>
              <w:widowControl/>
              <w:jc w:val="center"/>
              <w:rPr>
                <w:rFonts w:ascii="Arial Narrow" w:hAnsi="Arial Narrow"/>
                <w:sz w:val="20"/>
              </w:rPr>
            </w:pPr>
            <w:r w:rsidRPr="002C6F6B">
              <w:rPr>
                <w:rFonts w:ascii="Arial Narrow" w:hAnsi="Arial Narrow"/>
                <w:sz w:val="20"/>
              </w:rPr>
              <w:t>$</w:t>
            </w:r>
            <w:r w:rsidR="00FD28CA">
              <w:rPr>
                <w:rFonts w:ascii="Arial Narrow" w:hAnsi="Arial Narrow"/>
                <w:noProof/>
                <w:color w:val="000000"/>
                <w:sz w:val="20"/>
                <w:highlight w:val="black"/>
              </w:rPr>
              <w:t>''''''''''''''''''</w:t>
            </w:r>
          </w:p>
        </w:tc>
        <w:tc>
          <w:tcPr>
            <w:tcW w:w="644" w:type="pct"/>
          </w:tcPr>
          <w:p w:rsidR="0029149D" w:rsidRPr="002C6F6B" w:rsidRDefault="0029149D" w:rsidP="00F6774D">
            <w:pPr>
              <w:keepNext/>
              <w:widowControl/>
              <w:jc w:val="center"/>
              <w:rPr>
                <w:rFonts w:ascii="Arial Narrow" w:hAnsi="Arial Narrow"/>
                <w:sz w:val="20"/>
              </w:rPr>
            </w:pPr>
          </w:p>
          <w:p w:rsidR="0029149D" w:rsidRPr="002C6F6B" w:rsidRDefault="0029149D" w:rsidP="00F6774D">
            <w:pPr>
              <w:keepNext/>
              <w:widowControl/>
              <w:jc w:val="center"/>
              <w:rPr>
                <w:rFonts w:ascii="Arial Narrow" w:hAnsi="Arial Narrow"/>
                <w:sz w:val="20"/>
              </w:rPr>
            </w:pPr>
            <w:proofErr w:type="spellStart"/>
            <w:r w:rsidRPr="002C6F6B">
              <w:rPr>
                <w:rFonts w:ascii="Arial Narrow" w:hAnsi="Arial Narrow"/>
                <w:sz w:val="20"/>
              </w:rPr>
              <w:t>Utrogestan</w:t>
            </w:r>
            <w:proofErr w:type="spellEnd"/>
            <w:r w:rsidRPr="002C6F6B">
              <w:rPr>
                <w:rFonts w:ascii="Arial Narrow" w:hAnsi="Arial Narrow"/>
                <w:sz w:val="20"/>
              </w:rPr>
              <w:t>®</w:t>
            </w:r>
          </w:p>
        </w:tc>
        <w:tc>
          <w:tcPr>
            <w:tcW w:w="846" w:type="pct"/>
          </w:tcPr>
          <w:p w:rsidR="0029149D" w:rsidRPr="002C6F6B" w:rsidRDefault="0029149D" w:rsidP="00F6774D">
            <w:pPr>
              <w:keepNext/>
              <w:widowControl/>
              <w:jc w:val="center"/>
              <w:rPr>
                <w:rFonts w:ascii="Arial Narrow" w:hAnsi="Arial Narrow"/>
                <w:sz w:val="20"/>
              </w:rPr>
            </w:pPr>
          </w:p>
          <w:p w:rsidR="0029149D" w:rsidRPr="002C6F6B" w:rsidRDefault="0029149D" w:rsidP="00F6774D">
            <w:pPr>
              <w:keepNext/>
              <w:widowControl/>
              <w:jc w:val="center"/>
              <w:rPr>
                <w:rFonts w:ascii="Arial Narrow" w:hAnsi="Arial Narrow"/>
                <w:sz w:val="20"/>
              </w:rPr>
            </w:pPr>
            <w:proofErr w:type="spellStart"/>
            <w:r w:rsidRPr="002C6F6B">
              <w:rPr>
                <w:rFonts w:ascii="Arial Narrow" w:hAnsi="Arial Narrow"/>
                <w:sz w:val="20"/>
              </w:rPr>
              <w:t>Besins</w:t>
            </w:r>
            <w:proofErr w:type="spellEnd"/>
            <w:r w:rsidRPr="002C6F6B">
              <w:rPr>
                <w:rFonts w:ascii="Arial Narrow" w:hAnsi="Arial Narrow"/>
                <w:sz w:val="20"/>
              </w:rPr>
              <w:t xml:space="preserve"> Health Care Pty Ltd</w:t>
            </w:r>
          </w:p>
        </w:tc>
      </w:tr>
      <w:tr w:rsidR="0029149D" w:rsidRPr="002C6F6B" w:rsidTr="00CE6D96">
        <w:trPr>
          <w:cantSplit/>
          <w:trHeight w:val="232"/>
        </w:trPr>
        <w:tc>
          <w:tcPr>
            <w:tcW w:w="5000" w:type="pct"/>
            <w:gridSpan w:val="6"/>
          </w:tcPr>
          <w:p w:rsidR="0029149D" w:rsidRPr="002C6F6B" w:rsidRDefault="0029149D" w:rsidP="00F6774D">
            <w:pPr>
              <w:widowControl/>
              <w:rPr>
                <w:rFonts w:ascii="Arial Narrow" w:hAnsi="Arial Narrow"/>
                <w:sz w:val="20"/>
              </w:rPr>
            </w:pPr>
          </w:p>
        </w:tc>
      </w:tr>
    </w:tbl>
    <w:tbl>
      <w:tblPr>
        <w:tblStyle w:val="TableGrid"/>
        <w:tblW w:w="0" w:type="auto"/>
        <w:tblInd w:w="817" w:type="dxa"/>
        <w:tblLook w:val="04A0" w:firstRow="1" w:lastRow="0" w:firstColumn="1" w:lastColumn="0" w:noHBand="0" w:noVBand="1"/>
        <w:tblCaption w:val="Requested restriction"/>
      </w:tblPr>
      <w:tblGrid>
        <w:gridCol w:w="1985"/>
        <w:gridCol w:w="6378"/>
      </w:tblGrid>
      <w:tr w:rsidR="0029149D" w:rsidRPr="002C6F6B" w:rsidTr="0029149D">
        <w:trPr>
          <w:tblHeader/>
        </w:trPr>
        <w:tc>
          <w:tcPr>
            <w:tcW w:w="1985" w:type="dxa"/>
          </w:tcPr>
          <w:p w:rsidR="0029149D" w:rsidRPr="002C6F6B" w:rsidRDefault="0029149D" w:rsidP="00F6774D">
            <w:pPr>
              <w:widowControl/>
              <w:tabs>
                <w:tab w:val="left" w:pos="1114"/>
              </w:tabs>
              <w:rPr>
                <w:rFonts w:ascii="Arial Narrow" w:hAnsi="Arial Narrow"/>
                <w:b/>
                <w:sz w:val="20"/>
              </w:rPr>
            </w:pPr>
            <w:r w:rsidRPr="002C6F6B">
              <w:rPr>
                <w:rFonts w:ascii="Arial Narrow" w:hAnsi="Arial Narrow"/>
                <w:b/>
                <w:sz w:val="20"/>
              </w:rPr>
              <w:t>Category / Program</w:t>
            </w: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t>Section 100 IVF</w:t>
            </w:r>
          </w:p>
        </w:tc>
      </w:tr>
      <w:tr w:rsidR="0029149D" w:rsidRPr="002C6F6B" w:rsidTr="0029149D">
        <w:tc>
          <w:tcPr>
            <w:tcW w:w="1985" w:type="dxa"/>
          </w:tcPr>
          <w:p w:rsidR="0029149D" w:rsidRPr="00EE5CFA" w:rsidRDefault="0029149D" w:rsidP="000D2E08">
            <w:pPr>
              <w:widowControl/>
            </w:pPr>
          </w:p>
          <w:p w:rsidR="0029149D" w:rsidRPr="002C6F6B" w:rsidRDefault="0029149D" w:rsidP="00F6774D">
            <w:pPr>
              <w:widowControl/>
              <w:tabs>
                <w:tab w:val="left" w:pos="1114"/>
              </w:tabs>
              <w:rPr>
                <w:rFonts w:ascii="Arial Narrow" w:hAnsi="Arial Narrow"/>
                <w:b/>
                <w:sz w:val="20"/>
              </w:rPr>
            </w:pPr>
            <w:r w:rsidRPr="002C6F6B">
              <w:rPr>
                <w:rFonts w:ascii="Arial Narrow" w:hAnsi="Arial Narrow"/>
                <w:b/>
                <w:sz w:val="20"/>
              </w:rPr>
              <w:t>Prescriber type:</w:t>
            </w: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Check1"/>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 xml:space="preserve">Dental  </w:t>
            </w:r>
            <w:r w:rsidRPr="002C6F6B">
              <w:rPr>
                <w:rFonts w:ascii="Arial Narrow" w:hAnsi="Arial Narrow"/>
                <w:sz w:val="20"/>
              </w:rPr>
              <w:fldChar w:fldCharType="begin">
                <w:ffData>
                  <w:name w:val=""/>
                  <w:enabled/>
                  <w:calcOnExit w:val="0"/>
                  <w:checkBox>
                    <w:sizeAuto/>
                    <w:default w:val="1"/>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 xml:space="preserve">Medical Practitioners  </w:t>
            </w:r>
            <w:r w:rsidRPr="002C6F6B">
              <w:rPr>
                <w:rFonts w:ascii="Arial Narrow" w:hAnsi="Arial Narrow"/>
                <w:sz w:val="20"/>
              </w:rPr>
              <w:fldChar w:fldCharType="begin">
                <w:ffData>
                  <w:name w:val=""/>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 xml:space="preserve">Nurse practitioners  </w:t>
            </w:r>
            <w:r w:rsidRPr="002C6F6B">
              <w:rPr>
                <w:rFonts w:ascii="Arial Narrow" w:hAnsi="Arial Narrow"/>
                <w:sz w:val="20"/>
              </w:rPr>
              <w:fldChar w:fldCharType="begin">
                <w:ffData>
                  <w:name w:val=""/>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Optometrists</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Check5"/>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Midwives</w:t>
            </w:r>
          </w:p>
        </w:tc>
      </w:tr>
      <w:tr w:rsidR="0029149D" w:rsidRPr="002C6F6B" w:rsidTr="0029149D">
        <w:tc>
          <w:tcPr>
            <w:tcW w:w="1985" w:type="dxa"/>
          </w:tcPr>
          <w:p w:rsidR="0029149D" w:rsidRPr="002C6F6B" w:rsidRDefault="0029149D" w:rsidP="00F6774D">
            <w:pPr>
              <w:widowControl/>
              <w:tabs>
                <w:tab w:val="left" w:pos="1114"/>
              </w:tabs>
              <w:rPr>
                <w:rFonts w:ascii="Arial Narrow" w:hAnsi="Arial Narrow"/>
                <w:b/>
                <w:sz w:val="20"/>
              </w:rPr>
            </w:pPr>
            <w:r w:rsidRPr="002C6F6B">
              <w:rPr>
                <w:rFonts w:ascii="Arial Narrow" w:hAnsi="Arial Narrow"/>
                <w:b/>
                <w:sz w:val="20"/>
              </w:rPr>
              <w:t>PBS Indication</w:t>
            </w: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t>Assisted Reproductive Technology</w:t>
            </w:r>
          </w:p>
        </w:tc>
      </w:tr>
      <w:tr w:rsidR="0029149D" w:rsidRPr="002C6F6B" w:rsidTr="0029149D">
        <w:tc>
          <w:tcPr>
            <w:tcW w:w="1985" w:type="dxa"/>
          </w:tcPr>
          <w:p w:rsidR="0029149D" w:rsidRPr="002C6F6B" w:rsidRDefault="0029149D" w:rsidP="00F6774D">
            <w:pPr>
              <w:widowControl/>
              <w:jc w:val="left"/>
              <w:rPr>
                <w:rFonts w:ascii="Arial Narrow" w:hAnsi="Arial Narrow"/>
                <w:b/>
                <w:sz w:val="20"/>
              </w:rPr>
            </w:pPr>
            <w:r w:rsidRPr="002C6F6B">
              <w:rPr>
                <w:rFonts w:ascii="Arial Narrow" w:hAnsi="Arial Narrow"/>
                <w:b/>
                <w:sz w:val="20"/>
              </w:rPr>
              <w:t>Restriction Level / Method:</w:t>
            </w:r>
          </w:p>
          <w:p w:rsidR="0029149D" w:rsidRPr="002C6F6B" w:rsidRDefault="0029149D" w:rsidP="00F6774D">
            <w:pPr>
              <w:widowControl/>
              <w:rPr>
                <w:rFonts w:ascii="Arial Narrow" w:hAnsi="Arial Narrow"/>
                <w:sz w:val="20"/>
              </w:rPr>
            </w:pP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Restricted benefit</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Authority Required - In Writing</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Check3"/>
                  <w:enabled/>
                  <w:calcOnExit w:val="0"/>
                  <w:checkBox>
                    <w:sizeAuto/>
                    <w:default w:val="0"/>
                  </w:checkBox>
                </w:ffData>
              </w:fldChar>
            </w:r>
            <w:bookmarkStart w:id="4" w:name="Check3"/>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bookmarkEnd w:id="4"/>
            <w:r w:rsidRPr="002C6F6B">
              <w:rPr>
                <w:rFonts w:ascii="Arial Narrow" w:hAnsi="Arial Narrow"/>
                <w:sz w:val="20"/>
              </w:rPr>
              <w:t>Authority Required - Telephone</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
                  <w:enabled/>
                  <w:calcOnExit w:val="0"/>
                  <w:checkBox>
                    <w:sizeAuto/>
                    <w:default w:val="0"/>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Authority Required – Emergency</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Check5"/>
                  <w:enabled/>
                  <w:calcOnExit w:val="0"/>
                  <w:checkBox>
                    <w:sizeAuto/>
                    <w:default w:val="0"/>
                  </w:checkBox>
                </w:ffData>
              </w:fldChar>
            </w:r>
            <w:bookmarkStart w:id="5" w:name="Check5"/>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bookmarkEnd w:id="5"/>
            <w:r w:rsidRPr="002C6F6B">
              <w:rPr>
                <w:rFonts w:ascii="Arial Narrow" w:hAnsi="Arial Narrow"/>
                <w:sz w:val="20"/>
              </w:rPr>
              <w:t>Authority Required - Electronic</w:t>
            </w:r>
          </w:p>
          <w:p w:rsidR="0029149D" w:rsidRPr="002C6F6B" w:rsidRDefault="0029149D" w:rsidP="00F6774D">
            <w:pPr>
              <w:widowControl/>
              <w:rPr>
                <w:rFonts w:ascii="Arial Narrow" w:hAnsi="Arial Narrow"/>
                <w:sz w:val="20"/>
              </w:rPr>
            </w:pPr>
            <w:r w:rsidRPr="002C6F6B">
              <w:rPr>
                <w:rFonts w:ascii="Arial Narrow" w:hAnsi="Arial Narrow"/>
                <w:sz w:val="20"/>
              </w:rPr>
              <w:fldChar w:fldCharType="begin">
                <w:ffData>
                  <w:name w:val=""/>
                  <w:enabled/>
                  <w:calcOnExit w:val="0"/>
                  <w:checkBox>
                    <w:sizeAuto/>
                    <w:default w:val="1"/>
                  </w:checkBox>
                </w:ffData>
              </w:fldChar>
            </w:r>
            <w:r w:rsidRPr="002C6F6B">
              <w:rPr>
                <w:rFonts w:ascii="Arial Narrow" w:hAnsi="Arial Narrow"/>
                <w:sz w:val="20"/>
              </w:rPr>
              <w:instrText xml:space="preserve"> FORMCHECKBOX </w:instrText>
            </w:r>
            <w:r w:rsidR="00EA11C7">
              <w:rPr>
                <w:rFonts w:ascii="Arial Narrow" w:hAnsi="Arial Narrow"/>
                <w:sz w:val="20"/>
              </w:rPr>
            </w:r>
            <w:r w:rsidR="00EA11C7">
              <w:rPr>
                <w:rFonts w:ascii="Arial Narrow" w:hAnsi="Arial Narrow"/>
                <w:sz w:val="20"/>
              </w:rPr>
              <w:fldChar w:fldCharType="separate"/>
            </w:r>
            <w:r w:rsidRPr="002C6F6B">
              <w:rPr>
                <w:rFonts w:ascii="Arial Narrow" w:hAnsi="Arial Narrow"/>
                <w:sz w:val="20"/>
              </w:rPr>
              <w:fldChar w:fldCharType="end"/>
            </w:r>
            <w:r w:rsidRPr="002C6F6B">
              <w:rPr>
                <w:rFonts w:ascii="Arial Narrow" w:hAnsi="Arial Narrow"/>
                <w:sz w:val="20"/>
              </w:rPr>
              <w:t>Streamlined</w:t>
            </w:r>
          </w:p>
        </w:tc>
      </w:tr>
      <w:tr w:rsidR="0029149D" w:rsidRPr="002C6F6B" w:rsidTr="0029149D">
        <w:tc>
          <w:tcPr>
            <w:tcW w:w="1985" w:type="dxa"/>
          </w:tcPr>
          <w:p w:rsidR="0029149D" w:rsidRPr="002C6F6B" w:rsidRDefault="0029149D" w:rsidP="00F6774D">
            <w:pPr>
              <w:widowControl/>
              <w:rPr>
                <w:rFonts w:ascii="Arial Narrow" w:hAnsi="Arial Narrow"/>
                <w:b/>
                <w:sz w:val="20"/>
              </w:rPr>
            </w:pPr>
            <w:r w:rsidRPr="002C6F6B">
              <w:rPr>
                <w:rFonts w:ascii="Arial Narrow" w:hAnsi="Arial Narrow"/>
                <w:b/>
                <w:sz w:val="20"/>
              </w:rPr>
              <w:t>Clinical criteria:</w:t>
            </w: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t xml:space="preserve">The treatment must be for luteal phase support as part of an assisted reproductive technology (ART) treatment cycle for infertile women, </w:t>
            </w:r>
          </w:p>
          <w:p w:rsidR="0029149D" w:rsidRPr="002C6F6B" w:rsidRDefault="0029149D" w:rsidP="00F6774D">
            <w:pPr>
              <w:widowControl/>
              <w:rPr>
                <w:rFonts w:ascii="Arial Narrow" w:hAnsi="Arial Narrow"/>
                <w:sz w:val="20"/>
              </w:rPr>
            </w:pPr>
          </w:p>
          <w:p w:rsidR="0029149D" w:rsidRPr="002C6F6B" w:rsidRDefault="0029149D" w:rsidP="00F6774D">
            <w:pPr>
              <w:widowControl/>
              <w:rPr>
                <w:rFonts w:ascii="Arial Narrow" w:hAnsi="Arial Narrow"/>
                <w:sz w:val="20"/>
              </w:rPr>
            </w:pPr>
            <w:r w:rsidRPr="002C6F6B">
              <w:rPr>
                <w:rFonts w:ascii="Arial Narrow" w:hAnsi="Arial Narrow"/>
                <w:sz w:val="20"/>
              </w:rPr>
              <w:t>AND</w:t>
            </w:r>
          </w:p>
          <w:p w:rsidR="0029149D" w:rsidRPr="002C6F6B" w:rsidRDefault="0029149D" w:rsidP="00F6774D">
            <w:pPr>
              <w:widowControl/>
              <w:rPr>
                <w:rFonts w:ascii="Arial Narrow" w:hAnsi="Arial Narrow"/>
                <w:sz w:val="20"/>
              </w:rPr>
            </w:pPr>
          </w:p>
          <w:p w:rsidR="0029149D" w:rsidRPr="002C6F6B" w:rsidRDefault="0029149D" w:rsidP="00F6774D">
            <w:pPr>
              <w:widowControl/>
              <w:rPr>
                <w:rFonts w:ascii="Arial Narrow" w:hAnsi="Arial Narrow"/>
                <w:sz w:val="20"/>
              </w:rPr>
            </w:pPr>
            <w:r w:rsidRPr="002C6F6B">
              <w:rPr>
                <w:rFonts w:ascii="Arial Narrow" w:hAnsi="Arial Narrow"/>
                <w:sz w:val="20"/>
              </w:rPr>
              <w:t>Patient must be receiving medical services as described in items 13200 or 13201 of the Medicare Benefits Schedule.</w:t>
            </w:r>
          </w:p>
        </w:tc>
      </w:tr>
      <w:tr w:rsidR="0029149D" w:rsidRPr="002C6F6B" w:rsidTr="0029149D">
        <w:tc>
          <w:tcPr>
            <w:tcW w:w="1985" w:type="dxa"/>
          </w:tcPr>
          <w:p w:rsidR="0029149D" w:rsidRPr="002C6F6B" w:rsidRDefault="0029149D" w:rsidP="00F6774D">
            <w:pPr>
              <w:widowControl/>
              <w:rPr>
                <w:rFonts w:ascii="Arial Narrow" w:hAnsi="Arial Narrow"/>
                <w:b/>
                <w:sz w:val="20"/>
              </w:rPr>
            </w:pPr>
            <w:r w:rsidRPr="002C6F6B">
              <w:rPr>
                <w:rFonts w:ascii="Arial Narrow" w:hAnsi="Arial Narrow"/>
                <w:b/>
                <w:sz w:val="20"/>
              </w:rPr>
              <w:t>Definitions</w:t>
            </w:r>
          </w:p>
        </w:tc>
        <w:tc>
          <w:tcPr>
            <w:tcW w:w="6378" w:type="dxa"/>
          </w:tcPr>
          <w:p w:rsidR="0029149D" w:rsidRPr="002C6F6B" w:rsidRDefault="0029149D" w:rsidP="00F6774D">
            <w:pPr>
              <w:widowControl/>
              <w:rPr>
                <w:rFonts w:ascii="Arial Narrow" w:hAnsi="Arial Narrow"/>
                <w:sz w:val="20"/>
              </w:rPr>
            </w:pPr>
            <w:r w:rsidRPr="002C6F6B">
              <w:rPr>
                <w:rFonts w:ascii="Arial Narrow" w:hAnsi="Arial Narrow"/>
                <w:sz w:val="20"/>
              </w:rPr>
              <w:t>The luteal phase is defined as the time span from embryo transfer until implantation confirmed by positive B-</w:t>
            </w:r>
            <w:proofErr w:type="spellStart"/>
            <w:r w:rsidRPr="002C6F6B">
              <w:rPr>
                <w:rFonts w:ascii="Arial Narrow" w:hAnsi="Arial Narrow"/>
                <w:sz w:val="20"/>
              </w:rPr>
              <w:t>hCG</w:t>
            </w:r>
            <w:proofErr w:type="spellEnd"/>
            <w:r w:rsidRPr="002C6F6B">
              <w:rPr>
                <w:rFonts w:ascii="Arial Narrow" w:hAnsi="Arial Narrow"/>
                <w:sz w:val="20"/>
              </w:rPr>
              <w:t xml:space="preserve"> measurement.</w:t>
            </w:r>
          </w:p>
        </w:tc>
      </w:tr>
    </w:tbl>
    <w:p w:rsidR="0029149D" w:rsidRDefault="0029149D" w:rsidP="0029149D">
      <w:pPr>
        <w:pStyle w:val="ListParagraph"/>
        <w:widowControl/>
        <w:rPr>
          <w:szCs w:val="22"/>
        </w:rPr>
      </w:pPr>
    </w:p>
    <w:p w:rsidR="002C2775" w:rsidRPr="00EE5CFA" w:rsidRDefault="00B13476" w:rsidP="000D2E08">
      <w:pPr>
        <w:pStyle w:val="ListParagraph"/>
        <w:widowControl/>
        <w:numPr>
          <w:ilvl w:val="1"/>
          <w:numId w:val="1"/>
        </w:numPr>
        <w:rPr>
          <w:szCs w:val="22"/>
        </w:rPr>
      </w:pPr>
      <w:r w:rsidRPr="00B13476">
        <w:rPr>
          <w:szCs w:val="22"/>
        </w:rPr>
        <w:t xml:space="preserve">The submission requested listing of </w:t>
      </w:r>
      <w:proofErr w:type="spellStart"/>
      <w:r w:rsidR="00F710F2">
        <w:rPr>
          <w:szCs w:val="22"/>
        </w:rPr>
        <w:t>micronised</w:t>
      </w:r>
      <w:proofErr w:type="spellEnd"/>
      <w:r w:rsidR="00F710F2">
        <w:rPr>
          <w:szCs w:val="22"/>
        </w:rPr>
        <w:t xml:space="preserve"> </w:t>
      </w:r>
      <w:r>
        <w:rPr>
          <w:szCs w:val="22"/>
        </w:rPr>
        <w:t xml:space="preserve">progesterone vaginal </w:t>
      </w:r>
      <w:r w:rsidR="005820B3">
        <w:rPr>
          <w:szCs w:val="22"/>
        </w:rPr>
        <w:t>capsule</w:t>
      </w:r>
      <w:r w:rsidR="00D545B3">
        <w:rPr>
          <w:szCs w:val="22"/>
        </w:rPr>
        <w:t>s</w:t>
      </w:r>
      <w:r>
        <w:rPr>
          <w:szCs w:val="22"/>
        </w:rPr>
        <w:t xml:space="preserve"> (</w:t>
      </w:r>
      <w:r w:rsidR="005820B3">
        <w:rPr>
          <w:szCs w:val="22"/>
        </w:rPr>
        <w:t xml:space="preserve">hereafter referred to as </w:t>
      </w:r>
      <w:proofErr w:type="spellStart"/>
      <w:r w:rsidRPr="00B13476">
        <w:rPr>
          <w:szCs w:val="22"/>
        </w:rPr>
        <w:t>Utrogestan</w:t>
      </w:r>
      <w:proofErr w:type="spellEnd"/>
      <w:r>
        <w:rPr>
          <w:szCs w:val="22"/>
        </w:rPr>
        <w:t>)</w:t>
      </w:r>
      <w:r w:rsidRPr="00B13476">
        <w:rPr>
          <w:szCs w:val="22"/>
        </w:rPr>
        <w:t xml:space="preserve"> 200 mg </w:t>
      </w:r>
      <w:r>
        <w:rPr>
          <w:szCs w:val="22"/>
        </w:rPr>
        <w:t>(three times daily dosing regimen</w:t>
      </w:r>
      <w:r w:rsidR="00F7571D">
        <w:rPr>
          <w:szCs w:val="22"/>
        </w:rPr>
        <w:t xml:space="preserve"> (</w:t>
      </w:r>
      <w:proofErr w:type="spellStart"/>
      <w:r w:rsidR="00F7571D">
        <w:rPr>
          <w:szCs w:val="22"/>
        </w:rPr>
        <w:t>tid</w:t>
      </w:r>
      <w:proofErr w:type="spellEnd"/>
      <w:r w:rsidR="00F7571D">
        <w:rPr>
          <w:szCs w:val="22"/>
        </w:rPr>
        <w:t>)</w:t>
      </w:r>
      <w:r>
        <w:rPr>
          <w:szCs w:val="22"/>
        </w:rPr>
        <w:t xml:space="preserve">) </w:t>
      </w:r>
      <w:r w:rsidRPr="00EE5CFA">
        <w:rPr>
          <w:szCs w:val="22"/>
        </w:rPr>
        <w:t>based on cost-minimisation to progesterone vaginal gel (</w:t>
      </w:r>
      <w:proofErr w:type="spellStart"/>
      <w:r w:rsidRPr="00EE5CFA">
        <w:rPr>
          <w:szCs w:val="22"/>
        </w:rPr>
        <w:t>Crinone</w:t>
      </w:r>
      <w:proofErr w:type="spellEnd"/>
      <w:r w:rsidRPr="00EE5CFA">
        <w:rPr>
          <w:szCs w:val="22"/>
        </w:rPr>
        <w:t xml:space="preserve"> 8%) 90 mg (twice daily dosing regimen</w:t>
      </w:r>
      <w:r w:rsidR="00F7571D" w:rsidRPr="00EE5CFA">
        <w:rPr>
          <w:szCs w:val="22"/>
        </w:rPr>
        <w:t xml:space="preserve"> (</w:t>
      </w:r>
      <w:proofErr w:type="spellStart"/>
      <w:r w:rsidR="00F7571D" w:rsidRPr="00EE5CFA">
        <w:rPr>
          <w:szCs w:val="22"/>
        </w:rPr>
        <w:t>bd</w:t>
      </w:r>
      <w:proofErr w:type="spellEnd"/>
      <w:r w:rsidR="00F7571D" w:rsidRPr="00EE5CFA">
        <w:rPr>
          <w:szCs w:val="22"/>
        </w:rPr>
        <w:t>)</w:t>
      </w:r>
      <w:r w:rsidRPr="00EE5CFA">
        <w:rPr>
          <w:szCs w:val="22"/>
        </w:rPr>
        <w:t>).</w:t>
      </w:r>
    </w:p>
    <w:p w:rsidR="00EE5CFA" w:rsidRDefault="00EE5CFA" w:rsidP="000D2E08">
      <w:pPr>
        <w:pStyle w:val="ListParagraph"/>
        <w:widowControl/>
        <w:ind w:left="709"/>
        <w:rPr>
          <w:i/>
          <w:szCs w:val="22"/>
        </w:rPr>
      </w:pPr>
    </w:p>
    <w:p w:rsidR="004E43B2" w:rsidRPr="00EE5CFA" w:rsidRDefault="004E43B2" w:rsidP="000D2E08">
      <w:pPr>
        <w:widowControl/>
      </w:pPr>
    </w:p>
    <w:p w:rsidR="00B50DB8" w:rsidRPr="00EE5CFA" w:rsidRDefault="00B50DB8" w:rsidP="000D2E08">
      <w:pPr>
        <w:pStyle w:val="PBACHeading1"/>
        <w:keepNext/>
      </w:pPr>
      <w:bookmarkStart w:id="6" w:name="_Toc441061712"/>
      <w:r w:rsidRPr="00EE5CFA">
        <w:lastRenderedPageBreak/>
        <w:t>Background</w:t>
      </w:r>
      <w:bookmarkEnd w:id="6"/>
    </w:p>
    <w:p w:rsidR="00B60939" w:rsidRPr="00EE5CFA" w:rsidRDefault="00B60939" w:rsidP="000D2E08">
      <w:pPr>
        <w:keepNext/>
        <w:widowControl/>
        <w:rPr>
          <w:szCs w:val="22"/>
        </w:rPr>
      </w:pPr>
    </w:p>
    <w:p w:rsidR="00B60939" w:rsidRPr="005A5288" w:rsidRDefault="00B60939" w:rsidP="000D2E08">
      <w:pPr>
        <w:pStyle w:val="ListParagraph"/>
        <w:widowControl/>
        <w:numPr>
          <w:ilvl w:val="1"/>
          <w:numId w:val="1"/>
        </w:numPr>
      </w:pPr>
      <w:r w:rsidRPr="005A5288">
        <w:rPr>
          <w:szCs w:val="22"/>
        </w:rPr>
        <w:t>TGA status:</w:t>
      </w:r>
      <w:r w:rsidR="00616ABA" w:rsidRPr="005A5288">
        <w:rPr>
          <w:szCs w:val="22"/>
        </w:rPr>
        <w:t xml:space="preserve"> </w:t>
      </w:r>
      <w:r w:rsidRPr="005A5288">
        <w:t xml:space="preserve">The submission was made under TGA/PBAC </w:t>
      </w:r>
      <w:r w:rsidR="005A4C00" w:rsidRPr="005A5288">
        <w:t>p</w:t>
      </w:r>
      <w:r w:rsidRPr="005A5288">
        <w:t xml:space="preserve">arallel </w:t>
      </w:r>
      <w:r w:rsidR="005A4C00" w:rsidRPr="005A5288">
        <w:t>p</w:t>
      </w:r>
      <w:r w:rsidRPr="005A5288">
        <w:t>rocess.</w:t>
      </w:r>
      <w:r w:rsidR="00F82F85" w:rsidRPr="005A5288">
        <w:t xml:space="preserve"> </w:t>
      </w:r>
      <w:r w:rsidR="004E23C5" w:rsidRPr="005A5288">
        <w:t>The</w:t>
      </w:r>
      <w:r w:rsidR="005A5288">
        <w:t xml:space="preserve"> </w:t>
      </w:r>
      <w:r w:rsidR="00F82F85" w:rsidRPr="005A5288">
        <w:t xml:space="preserve">Delegate’s Overview was </w:t>
      </w:r>
      <w:r w:rsidR="004E23C5" w:rsidRPr="005A5288">
        <w:t xml:space="preserve">received on 2 March 2016. The overview stated that there was no reason, at this time, that the application for </w:t>
      </w:r>
      <w:proofErr w:type="spellStart"/>
      <w:r w:rsidR="004E23C5" w:rsidRPr="005A5288">
        <w:t>Utrogestan</w:t>
      </w:r>
      <w:proofErr w:type="spellEnd"/>
      <w:r w:rsidR="004E23C5" w:rsidRPr="005A5288">
        <w:t xml:space="preserve"> should not be approved for registration for use in ART. </w:t>
      </w:r>
    </w:p>
    <w:p w:rsidR="00B60939" w:rsidRPr="005A5288" w:rsidRDefault="00B60939" w:rsidP="000D2E08">
      <w:pPr>
        <w:pStyle w:val="ListParagraph"/>
        <w:widowControl/>
        <w:rPr>
          <w:szCs w:val="22"/>
        </w:rPr>
      </w:pPr>
    </w:p>
    <w:p w:rsidR="00B60939" w:rsidRPr="005A5288" w:rsidRDefault="00616ABA" w:rsidP="000D2E08">
      <w:pPr>
        <w:pStyle w:val="ListParagraph"/>
        <w:widowControl/>
        <w:numPr>
          <w:ilvl w:val="1"/>
          <w:numId w:val="1"/>
        </w:numPr>
        <w:rPr>
          <w:szCs w:val="22"/>
        </w:rPr>
      </w:pPr>
      <w:proofErr w:type="spellStart"/>
      <w:r w:rsidRPr="005A5288">
        <w:rPr>
          <w:szCs w:val="22"/>
        </w:rPr>
        <w:t>Utrogestan</w:t>
      </w:r>
      <w:proofErr w:type="spellEnd"/>
      <w:r w:rsidRPr="005A5288">
        <w:rPr>
          <w:szCs w:val="22"/>
        </w:rPr>
        <w:t xml:space="preserve"> ha</w:t>
      </w:r>
      <w:r w:rsidR="00D320DD">
        <w:rPr>
          <w:szCs w:val="22"/>
        </w:rPr>
        <w:t>d</w:t>
      </w:r>
      <w:r w:rsidRPr="005A5288">
        <w:rPr>
          <w:szCs w:val="22"/>
        </w:rPr>
        <w:t xml:space="preserve"> not been considered previously by the PBAC.</w:t>
      </w:r>
    </w:p>
    <w:p w:rsidR="00EE5CFA" w:rsidRDefault="00EE5CFA" w:rsidP="000D2E08">
      <w:pPr>
        <w:pStyle w:val="ListParagraph"/>
        <w:widowControl/>
        <w:ind w:left="709"/>
        <w:rPr>
          <w:i/>
          <w:szCs w:val="22"/>
        </w:rPr>
      </w:pPr>
    </w:p>
    <w:p w:rsidR="00E55BB5" w:rsidRPr="00EE5CFA" w:rsidRDefault="00E55BB5" w:rsidP="000D2E08">
      <w:pPr>
        <w:widowControl/>
      </w:pPr>
    </w:p>
    <w:p w:rsidR="00B50DB8" w:rsidRPr="00EE5CFA" w:rsidRDefault="00B50DB8" w:rsidP="000D2E08">
      <w:pPr>
        <w:pStyle w:val="PBACHeading1"/>
      </w:pPr>
      <w:bookmarkStart w:id="7" w:name="_Toc441061713"/>
      <w:r w:rsidRPr="00EE5CFA">
        <w:t>Clinical place for the proposed therapy</w:t>
      </w:r>
      <w:bookmarkEnd w:id="7"/>
    </w:p>
    <w:p w:rsidR="00B60939" w:rsidRPr="00EE5CFA" w:rsidRDefault="00B60939" w:rsidP="000D2E08">
      <w:pPr>
        <w:widowControl/>
        <w:rPr>
          <w:szCs w:val="22"/>
        </w:rPr>
      </w:pPr>
    </w:p>
    <w:p w:rsidR="00894489" w:rsidRPr="00EE5CFA" w:rsidRDefault="00616ABA" w:rsidP="000D2E08">
      <w:pPr>
        <w:pStyle w:val="ListParagraph"/>
        <w:widowControl/>
        <w:numPr>
          <w:ilvl w:val="1"/>
          <w:numId w:val="1"/>
        </w:numPr>
        <w:rPr>
          <w:szCs w:val="22"/>
        </w:rPr>
      </w:pPr>
      <w:r w:rsidRPr="00EE5CFA">
        <w:t xml:space="preserve">Progesterone is steroid secreted by the ovary, placenta, and adrenal gland. In the presence of adequate oestrogen, progesterone transforms a proliferative endometrium into a secretory endometrium. Progesterone is necessary to increase endometrial receptivity for implantation of an embryo. Once an embryo is implanted, progesterone acts to maintain the pregnancy. During </w:t>
      </w:r>
      <w:r w:rsidR="00D545B3" w:rsidRPr="00EE5CFA">
        <w:t>ART treatment cycles</w:t>
      </w:r>
      <w:r w:rsidRPr="00EE5CFA">
        <w:t xml:space="preserve">, endogenous progesterone levels </w:t>
      </w:r>
      <w:r w:rsidR="00D545B3" w:rsidRPr="00EE5CFA">
        <w:t>may be</w:t>
      </w:r>
      <w:r w:rsidRPr="00EE5CFA">
        <w:t xml:space="preserve"> insufficient </w:t>
      </w:r>
      <w:r w:rsidR="0036652D" w:rsidRPr="00EE5CFA">
        <w:t>due to a</w:t>
      </w:r>
      <w:r w:rsidR="00E76322" w:rsidRPr="00EE5CFA">
        <w:t xml:space="preserve">rtificial suppression with </w:t>
      </w:r>
      <w:proofErr w:type="spellStart"/>
      <w:r w:rsidR="00E76322" w:rsidRPr="00EE5CFA">
        <w:t>GnRH</w:t>
      </w:r>
      <w:proofErr w:type="spellEnd"/>
      <w:r w:rsidR="00E76322" w:rsidRPr="00EE5CFA">
        <w:t xml:space="preserve"> </w:t>
      </w:r>
      <w:r w:rsidR="0036652D" w:rsidRPr="00EE5CFA">
        <w:t xml:space="preserve">analogues </w:t>
      </w:r>
      <w:r w:rsidRPr="00EE5CFA">
        <w:t xml:space="preserve">and the luteal phase needs to be supported with exogenous progesterone. </w:t>
      </w:r>
    </w:p>
    <w:p w:rsidR="00616ABA" w:rsidRPr="00EE5CFA" w:rsidRDefault="00616ABA" w:rsidP="000D2E08">
      <w:pPr>
        <w:pStyle w:val="ListParagraph"/>
        <w:widowControl/>
        <w:rPr>
          <w:szCs w:val="22"/>
        </w:rPr>
      </w:pPr>
    </w:p>
    <w:p w:rsidR="002C2775" w:rsidRPr="00EE5CFA" w:rsidRDefault="00616ABA" w:rsidP="000D2E08">
      <w:pPr>
        <w:pStyle w:val="ListParagraph"/>
        <w:widowControl/>
        <w:numPr>
          <w:ilvl w:val="1"/>
          <w:numId w:val="1"/>
        </w:numPr>
        <w:rPr>
          <w:szCs w:val="22"/>
        </w:rPr>
      </w:pPr>
      <w:r w:rsidRPr="00EE5CFA">
        <w:rPr>
          <w:szCs w:val="22"/>
        </w:rPr>
        <w:t xml:space="preserve">The submission positioned </w:t>
      </w:r>
      <w:proofErr w:type="spellStart"/>
      <w:r w:rsidRPr="00EE5CFA">
        <w:rPr>
          <w:szCs w:val="22"/>
        </w:rPr>
        <w:t>Utrogestan</w:t>
      </w:r>
      <w:proofErr w:type="spellEnd"/>
      <w:r w:rsidRPr="00EE5CFA">
        <w:rPr>
          <w:szCs w:val="22"/>
        </w:rPr>
        <w:t xml:space="preserve"> as an alternative to the currently available progesterone therapies for luteal phase support during ART </w:t>
      </w:r>
      <w:r w:rsidR="00D545B3" w:rsidRPr="00EE5CFA">
        <w:rPr>
          <w:szCs w:val="22"/>
        </w:rPr>
        <w:t xml:space="preserve">treatment </w:t>
      </w:r>
      <w:r w:rsidRPr="00EE5CFA">
        <w:rPr>
          <w:szCs w:val="22"/>
        </w:rPr>
        <w:t>cycles.</w:t>
      </w:r>
    </w:p>
    <w:p w:rsidR="00EE5CFA" w:rsidRDefault="00EE5CFA" w:rsidP="000D2E08">
      <w:pPr>
        <w:pStyle w:val="ListParagraph"/>
        <w:widowControl/>
        <w:ind w:left="709"/>
        <w:rPr>
          <w:i/>
          <w:szCs w:val="22"/>
        </w:rPr>
      </w:pPr>
    </w:p>
    <w:p w:rsidR="00DA26B8" w:rsidRPr="00EE5CFA" w:rsidRDefault="00DA26B8" w:rsidP="000D2E08">
      <w:pPr>
        <w:pStyle w:val="Header"/>
        <w:widowControl/>
        <w:rPr>
          <w:szCs w:val="22"/>
        </w:rPr>
      </w:pPr>
    </w:p>
    <w:p w:rsidR="00B50DB8" w:rsidRPr="00EE5CFA" w:rsidRDefault="00B50DB8" w:rsidP="000D2E08">
      <w:pPr>
        <w:pStyle w:val="PBACHeading1"/>
      </w:pPr>
      <w:bookmarkStart w:id="8" w:name="_Toc441061714"/>
      <w:r w:rsidRPr="00EE5CFA">
        <w:t>Comparator</w:t>
      </w:r>
      <w:bookmarkEnd w:id="8"/>
    </w:p>
    <w:p w:rsidR="00B60939" w:rsidRPr="00EE5CFA" w:rsidRDefault="00B60939" w:rsidP="000D2E08">
      <w:pPr>
        <w:widowControl/>
      </w:pPr>
    </w:p>
    <w:p w:rsidR="00A66DE4" w:rsidRPr="00EE5CFA" w:rsidRDefault="00616ABA" w:rsidP="000D2E08">
      <w:pPr>
        <w:pStyle w:val="ListParagraph"/>
        <w:widowControl/>
        <w:numPr>
          <w:ilvl w:val="1"/>
          <w:numId w:val="1"/>
        </w:numPr>
      </w:pPr>
      <w:r w:rsidRPr="00EE5CFA">
        <w:t xml:space="preserve">The submission nominated </w:t>
      </w:r>
      <w:proofErr w:type="spellStart"/>
      <w:r w:rsidRPr="00EE5CFA">
        <w:t>Crinone</w:t>
      </w:r>
      <w:proofErr w:type="spellEnd"/>
      <w:r w:rsidRPr="00EE5CFA">
        <w:t xml:space="preserve"> 8% </w:t>
      </w:r>
      <w:r w:rsidR="00B442B6" w:rsidRPr="00EE5CFA">
        <w:t xml:space="preserve">(90mg) </w:t>
      </w:r>
      <w:r w:rsidRPr="00EE5CFA">
        <w:t xml:space="preserve">progesterone gel as the comparator. </w:t>
      </w:r>
      <w:proofErr w:type="spellStart"/>
      <w:r w:rsidR="00ED304F" w:rsidRPr="00EE5CFA">
        <w:t>Crinone</w:t>
      </w:r>
      <w:proofErr w:type="spellEnd"/>
      <w:r w:rsidR="00ED304F" w:rsidRPr="00EE5CFA">
        <w:t xml:space="preserve"> 8% is an appropriate comparator. </w:t>
      </w:r>
      <w:r w:rsidR="00B442B6" w:rsidRPr="00EE5CFA">
        <w:t xml:space="preserve">The key trial presented in the submission compared </w:t>
      </w:r>
      <w:proofErr w:type="spellStart"/>
      <w:r w:rsidR="00B442B6" w:rsidRPr="00EE5CFA">
        <w:t>Utrogestan</w:t>
      </w:r>
      <w:proofErr w:type="spellEnd"/>
      <w:r w:rsidR="00B442B6" w:rsidRPr="00EE5CFA">
        <w:t xml:space="preserve"> 200 mg </w:t>
      </w:r>
      <w:proofErr w:type="spellStart"/>
      <w:r w:rsidR="00B442B6" w:rsidRPr="00EE5CFA">
        <w:t>tid</w:t>
      </w:r>
      <w:proofErr w:type="spellEnd"/>
      <w:r w:rsidR="00B442B6" w:rsidRPr="00EE5CFA">
        <w:t xml:space="preserve"> compared with </w:t>
      </w:r>
      <w:proofErr w:type="spellStart"/>
      <w:r w:rsidR="00B442B6" w:rsidRPr="00EE5CFA">
        <w:t>Crinone</w:t>
      </w:r>
      <w:proofErr w:type="spellEnd"/>
      <w:r w:rsidR="00B442B6" w:rsidRPr="00EE5CFA">
        <w:t xml:space="preserve"> 8% (90mg) </w:t>
      </w:r>
      <w:proofErr w:type="spellStart"/>
      <w:r w:rsidR="00B442B6" w:rsidRPr="00EE5CFA">
        <w:t>bd</w:t>
      </w:r>
      <w:proofErr w:type="spellEnd"/>
      <w:r w:rsidR="00B442B6" w:rsidRPr="00EE5CFA">
        <w:t xml:space="preserve">, while trials comparing </w:t>
      </w:r>
      <w:proofErr w:type="spellStart"/>
      <w:r w:rsidR="00B442B6" w:rsidRPr="00EE5CFA">
        <w:t>Utrogestan</w:t>
      </w:r>
      <w:proofErr w:type="spellEnd"/>
      <w:r w:rsidR="00B442B6" w:rsidRPr="00EE5CFA">
        <w:t xml:space="preserve"> 200 mg </w:t>
      </w:r>
      <w:proofErr w:type="spellStart"/>
      <w:r w:rsidR="00B442B6" w:rsidRPr="00EE5CFA">
        <w:t>tid</w:t>
      </w:r>
      <w:proofErr w:type="spellEnd"/>
      <w:r w:rsidR="00B442B6" w:rsidRPr="00EE5CFA">
        <w:t xml:space="preserve"> compared with </w:t>
      </w:r>
      <w:proofErr w:type="spellStart"/>
      <w:r w:rsidR="00B442B6" w:rsidRPr="00EE5CFA">
        <w:t>Crinone</w:t>
      </w:r>
      <w:proofErr w:type="spellEnd"/>
      <w:r w:rsidR="00B442B6" w:rsidRPr="00EE5CFA">
        <w:t xml:space="preserve"> 8% (90mg) </w:t>
      </w:r>
      <w:r w:rsidR="00F7571D" w:rsidRPr="00EE5CFA">
        <w:t xml:space="preserve">once daily dosing </w:t>
      </w:r>
      <w:r w:rsidR="00ED304F" w:rsidRPr="00EE5CFA">
        <w:t>regimen</w:t>
      </w:r>
      <w:r w:rsidR="00F7571D" w:rsidRPr="00EE5CFA">
        <w:t xml:space="preserve"> (</w:t>
      </w:r>
      <w:r w:rsidR="00B442B6" w:rsidRPr="00EE5CFA">
        <w:t>qd</w:t>
      </w:r>
      <w:r w:rsidR="00F7571D" w:rsidRPr="00EE5CFA">
        <w:t>)</w:t>
      </w:r>
      <w:r w:rsidR="00B442B6" w:rsidRPr="00EE5CFA">
        <w:t xml:space="preserve"> were excluded. The submission argued that </w:t>
      </w:r>
      <w:proofErr w:type="spellStart"/>
      <w:r w:rsidR="00B442B6" w:rsidRPr="00EE5CFA">
        <w:t>bd</w:t>
      </w:r>
      <w:proofErr w:type="spellEnd"/>
      <w:r w:rsidR="00B442B6" w:rsidRPr="00EE5CFA">
        <w:t xml:space="preserve"> dosing of </w:t>
      </w:r>
      <w:proofErr w:type="spellStart"/>
      <w:r w:rsidR="00B442B6" w:rsidRPr="00EE5CFA">
        <w:t>Crinone</w:t>
      </w:r>
      <w:proofErr w:type="spellEnd"/>
      <w:r w:rsidR="00B442B6" w:rsidRPr="00EE5CFA">
        <w:t xml:space="preserve"> 8% is the most widely used in Australian clinical practice and the most stringent efficacy comparison for </w:t>
      </w:r>
      <w:proofErr w:type="spellStart"/>
      <w:r w:rsidR="00B442B6" w:rsidRPr="00EE5CFA">
        <w:t>Utrogestan</w:t>
      </w:r>
      <w:proofErr w:type="spellEnd"/>
      <w:r w:rsidR="00F7571D" w:rsidRPr="00EE5CFA">
        <w:t>.</w:t>
      </w:r>
      <w:r w:rsidR="00B442B6" w:rsidRPr="00EE5CFA">
        <w:t xml:space="preserve"> </w:t>
      </w:r>
      <w:r w:rsidR="00F7571D" w:rsidRPr="00EE5CFA">
        <w:t>However</w:t>
      </w:r>
      <w:r w:rsidR="00A66DE4" w:rsidRPr="00EE5CFA">
        <w:t xml:space="preserve">, the submission </w:t>
      </w:r>
      <w:r w:rsidR="00F7571D" w:rsidRPr="00EE5CFA">
        <w:t>did</w:t>
      </w:r>
      <w:r w:rsidR="00A66DE4" w:rsidRPr="00EE5CFA">
        <w:t xml:space="preserve"> not provide any evidence </w:t>
      </w:r>
      <w:proofErr w:type="spellStart"/>
      <w:r w:rsidR="00A66DE4" w:rsidRPr="00EE5CFA">
        <w:t>bd</w:t>
      </w:r>
      <w:proofErr w:type="spellEnd"/>
      <w:r w:rsidR="00A66DE4" w:rsidRPr="00EE5CFA">
        <w:t xml:space="preserve"> dosing of </w:t>
      </w:r>
      <w:proofErr w:type="spellStart"/>
      <w:r w:rsidR="00A66DE4" w:rsidRPr="00EE5CFA">
        <w:t>Crinone</w:t>
      </w:r>
      <w:proofErr w:type="spellEnd"/>
      <w:r w:rsidR="00A66DE4" w:rsidRPr="00EE5CFA">
        <w:t xml:space="preserve"> 8% is any more </w:t>
      </w:r>
      <w:r w:rsidR="00ED304F" w:rsidRPr="00EE5CFA">
        <w:t xml:space="preserve">effective </w:t>
      </w:r>
      <w:r w:rsidR="00A66DE4" w:rsidRPr="00EE5CFA">
        <w:t>than qd dosing</w:t>
      </w:r>
      <w:r w:rsidR="0096170A" w:rsidRPr="00EE5CFA">
        <w:t xml:space="preserve">. The sponsor argued that it does not believe there is a requirement to demonstrate the effectiveness of </w:t>
      </w:r>
      <w:proofErr w:type="spellStart"/>
      <w:r w:rsidR="0096170A" w:rsidRPr="00EE5CFA">
        <w:t>Crinone</w:t>
      </w:r>
      <w:proofErr w:type="spellEnd"/>
      <w:r w:rsidR="0096170A" w:rsidRPr="00EE5CFA">
        <w:t xml:space="preserve"> </w:t>
      </w:r>
      <w:proofErr w:type="spellStart"/>
      <w:r w:rsidR="0096170A" w:rsidRPr="00EE5CFA">
        <w:t>bd</w:t>
      </w:r>
      <w:proofErr w:type="spellEnd"/>
      <w:r w:rsidR="0096170A" w:rsidRPr="00EE5CFA">
        <w:t xml:space="preserve"> versus qd as the TGA indication and PBS listing support that </w:t>
      </w:r>
      <w:proofErr w:type="spellStart"/>
      <w:r w:rsidR="0096170A" w:rsidRPr="00EE5CFA">
        <w:t>bd</w:t>
      </w:r>
      <w:proofErr w:type="spellEnd"/>
      <w:r w:rsidR="0096170A" w:rsidRPr="00EE5CFA">
        <w:t xml:space="preserve"> dosing is effective; and the current PBS restriction for </w:t>
      </w:r>
      <w:proofErr w:type="spellStart"/>
      <w:r w:rsidR="0096170A" w:rsidRPr="00EE5CFA">
        <w:t>Crinone</w:t>
      </w:r>
      <w:proofErr w:type="spellEnd"/>
      <w:r w:rsidR="0096170A" w:rsidRPr="00EE5CFA">
        <w:t xml:space="preserve"> implies that the PBAC has approved its use at a dose of 90 mg qd or </w:t>
      </w:r>
      <w:proofErr w:type="spellStart"/>
      <w:r w:rsidR="0096170A" w:rsidRPr="00EE5CFA">
        <w:t>bd</w:t>
      </w:r>
      <w:proofErr w:type="spellEnd"/>
      <w:r w:rsidR="0096170A" w:rsidRPr="00EE5CFA">
        <w:t xml:space="preserve"> (PSCR, p.2). </w:t>
      </w:r>
      <w:r w:rsidR="00A66DE4" w:rsidRPr="00EE5CFA">
        <w:t xml:space="preserve">The Product Information for </w:t>
      </w:r>
      <w:proofErr w:type="spellStart"/>
      <w:r w:rsidR="00A66DE4" w:rsidRPr="00EE5CFA">
        <w:t>Crinone</w:t>
      </w:r>
      <w:proofErr w:type="spellEnd"/>
      <w:r w:rsidR="00A66DE4" w:rsidRPr="00EE5CFA">
        <w:t xml:space="preserve"> 8% states that “Most women will respond to 90mg given daily” (</w:t>
      </w:r>
      <w:proofErr w:type="spellStart"/>
      <w:r w:rsidR="00A66DE4" w:rsidRPr="00EE5CFA">
        <w:t>Crinone</w:t>
      </w:r>
      <w:proofErr w:type="spellEnd"/>
      <w:r w:rsidR="00A66DE4" w:rsidRPr="00EE5CFA">
        <w:t xml:space="preserve"> Product Information p</w:t>
      </w:r>
      <w:r w:rsidR="00CE0252">
        <w:t>.</w:t>
      </w:r>
      <w:r w:rsidR="00A66DE4" w:rsidRPr="00EE5CFA">
        <w:t>8)</w:t>
      </w:r>
      <w:r w:rsidR="00F7571D" w:rsidRPr="00EE5CFA">
        <w:t xml:space="preserve"> </w:t>
      </w:r>
      <w:r w:rsidR="00A66DE4" w:rsidRPr="00EE5CFA">
        <w:t xml:space="preserve">and the PBAC </w:t>
      </w:r>
      <w:r w:rsidR="00C654D0" w:rsidRPr="00EE5CFA">
        <w:t>have</w:t>
      </w:r>
      <w:r w:rsidR="00A66DE4" w:rsidRPr="00EE5CFA">
        <w:t xml:space="preserve"> previously considered </w:t>
      </w:r>
      <w:proofErr w:type="spellStart"/>
      <w:r w:rsidR="00A66DE4" w:rsidRPr="00EE5CFA">
        <w:t>Crinone</w:t>
      </w:r>
      <w:proofErr w:type="spellEnd"/>
      <w:r w:rsidR="00A66DE4" w:rsidRPr="00EE5CFA">
        <w:t xml:space="preserve"> 8% qd </w:t>
      </w:r>
      <w:r w:rsidR="00ED304F" w:rsidRPr="00EE5CFA">
        <w:t xml:space="preserve">an appropriate comparator </w:t>
      </w:r>
      <w:r w:rsidR="00A66DE4" w:rsidRPr="00EE5CFA">
        <w:t>(PSD, progesterone (</w:t>
      </w:r>
      <w:proofErr w:type="spellStart"/>
      <w:r w:rsidR="00A66DE4" w:rsidRPr="00EE5CFA">
        <w:t>Endometrin</w:t>
      </w:r>
      <w:proofErr w:type="spellEnd"/>
      <w:r w:rsidR="00A66DE4" w:rsidRPr="00EE5CFA">
        <w:t>), March 2014)</w:t>
      </w:r>
      <w:r w:rsidR="00F7571D" w:rsidRPr="00EE5CFA">
        <w:t>.</w:t>
      </w:r>
      <w:r w:rsidR="00A66DE4" w:rsidRPr="00EE5CFA">
        <w:t xml:space="preserve">  </w:t>
      </w:r>
      <w:r w:rsidR="00ED304F" w:rsidRPr="00EE5CFA">
        <w:t>T</w:t>
      </w:r>
      <w:r w:rsidR="00A66DE4" w:rsidRPr="00EE5CFA">
        <w:t xml:space="preserve">he exclusion of the qd dose from consideration </w:t>
      </w:r>
      <w:r w:rsidR="00F7571D" w:rsidRPr="00EE5CFA">
        <w:t>was justified</w:t>
      </w:r>
      <w:r w:rsidR="00882F3A" w:rsidRPr="00EE5CFA">
        <w:t xml:space="preserve"> in the PSCR (p.2) which stated that a </w:t>
      </w:r>
      <w:proofErr w:type="spellStart"/>
      <w:r w:rsidR="00882F3A" w:rsidRPr="00EE5CFA">
        <w:t>bd</w:t>
      </w:r>
      <w:proofErr w:type="spellEnd"/>
      <w:r w:rsidR="00882F3A" w:rsidRPr="00EE5CFA">
        <w:t xml:space="preserve"> dose of </w:t>
      </w:r>
      <w:proofErr w:type="spellStart"/>
      <w:r w:rsidR="00146503">
        <w:t>C</w:t>
      </w:r>
      <w:r w:rsidR="00882F3A" w:rsidRPr="00EE5CFA">
        <w:t>rinone</w:t>
      </w:r>
      <w:proofErr w:type="spellEnd"/>
      <w:r w:rsidR="00882F3A" w:rsidRPr="00EE5CFA">
        <w:t xml:space="preserve"> is generally the preference of prescribers and patients. ESC agreed that it is likely that the </w:t>
      </w:r>
      <w:proofErr w:type="spellStart"/>
      <w:r w:rsidR="00882F3A" w:rsidRPr="00EE5CFA">
        <w:t>bd</w:t>
      </w:r>
      <w:proofErr w:type="spellEnd"/>
      <w:r w:rsidR="00882F3A" w:rsidRPr="00EE5CFA">
        <w:t xml:space="preserve"> dose would be the most common frequency replaced in practice.</w:t>
      </w:r>
      <w:r w:rsidR="001060D2" w:rsidRPr="00EE5CFA" w:rsidDel="001060D2">
        <w:t xml:space="preserve"> </w:t>
      </w:r>
    </w:p>
    <w:p w:rsidR="00F7571D" w:rsidRPr="00EE5CFA" w:rsidRDefault="00F7571D" w:rsidP="000D2E08">
      <w:pPr>
        <w:pStyle w:val="ListParagraph"/>
        <w:widowControl/>
        <w:rPr>
          <w:color w:val="C0504D" w:themeColor="accent2"/>
          <w:spacing w:val="5"/>
        </w:rPr>
      </w:pPr>
    </w:p>
    <w:p w:rsidR="00F7571D" w:rsidRPr="0074785A" w:rsidRDefault="00F7571D" w:rsidP="000D2E08">
      <w:pPr>
        <w:pStyle w:val="ListParagraph"/>
        <w:widowControl/>
        <w:numPr>
          <w:ilvl w:val="1"/>
          <w:numId w:val="1"/>
        </w:numPr>
        <w:rPr>
          <w:color w:val="C0504D" w:themeColor="accent2"/>
          <w:spacing w:val="5"/>
        </w:rPr>
      </w:pPr>
      <w:r w:rsidRPr="00EE5CFA">
        <w:t xml:space="preserve">The </w:t>
      </w:r>
      <w:r w:rsidR="003B1062">
        <w:t xml:space="preserve">evaluation and ESC </w:t>
      </w:r>
      <w:r w:rsidRPr="00EE5CFA">
        <w:t>consider</w:t>
      </w:r>
      <w:r w:rsidR="003B1062">
        <w:t>ed</w:t>
      </w:r>
      <w:r w:rsidRPr="00EE5CFA">
        <w:t xml:space="preserve"> </w:t>
      </w:r>
      <w:r w:rsidR="003B1062">
        <w:t xml:space="preserve">that </w:t>
      </w:r>
      <w:r w:rsidRPr="00EE5CFA">
        <w:t xml:space="preserve">progesterone </w:t>
      </w:r>
      <w:proofErr w:type="spellStart"/>
      <w:r w:rsidRPr="00EE5CFA">
        <w:t>pessaries</w:t>
      </w:r>
      <w:proofErr w:type="spellEnd"/>
      <w:r w:rsidRPr="00EE5CFA">
        <w:t xml:space="preserve"> </w:t>
      </w:r>
      <w:r w:rsidR="003B1062">
        <w:t xml:space="preserve">may </w:t>
      </w:r>
      <w:r w:rsidRPr="00EE5CFA">
        <w:t xml:space="preserve">also </w:t>
      </w:r>
      <w:r w:rsidR="003B1062">
        <w:t xml:space="preserve">be </w:t>
      </w:r>
      <w:r w:rsidRPr="00EE5CFA">
        <w:t>appropriate comparators.</w:t>
      </w:r>
    </w:p>
    <w:p w:rsidR="00CE0252" w:rsidRDefault="00CE0252" w:rsidP="0074785A">
      <w:pPr>
        <w:pStyle w:val="ListParagraph"/>
        <w:rPr>
          <w:color w:val="C0504D" w:themeColor="accent2"/>
          <w:spacing w:val="5"/>
        </w:rPr>
      </w:pPr>
      <w:r>
        <w:rPr>
          <w:color w:val="C0504D" w:themeColor="accent2"/>
          <w:spacing w:val="5"/>
        </w:rPr>
        <w:br w:type="page"/>
      </w:r>
    </w:p>
    <w:p w:rsidR="0074785A" w:rsidRPr="0074785A" w:rsidRDefault="0074785A" w:rsidP="0074785A">
      <w:pPr>
        <w:pStyle w:val="ListParagraph"/>
        <w:rPr>
          <w:color w:val="C0504D" w:themeColor="accent2"/>
          <w:spacing w:val="5"/>
        </w:rPr>
      </w:pPr>
    </w:p>
    <w:p w:rsidR="0074785A" w:rsidRDefault="0074785A" w:rsidP="00C50189">
      <w:pPr>
        <w:pStyle w:val="ListParagraph"/>
        <w:widowControl/>
        <w:rPr>
          <w:rStyle w:val="CommentReference"/>
        </w:rPr>
      </w:pPr>
      <w:r w:rsidRPr="000812CA">
        <w:rPr>
          <w:rStyle w:val="CommentReference"/>
        </w:rPr>
        <w:t xml:space="preserve">Table </w:t>
      </w:r>
      <w:r>
        <w:rPr>
          <w:rStyle w:val="CommentReference"/>
        </w:rPr>
        <w:t>1</w:t>
      </w:r>
      <w:r w:rsidRPr="000812CA">
        <w:rPr>
          <w:rStyle w:val="CommentReference"/>
        </w:rPr>
        <w:t xml:space="preserve">: </w:t>
      </w:r>
      <w:r w:rsidRPr="0074785A">
        <w:rPr>
          <w:rStyle w:val="CommentReference"/>
        </w:rPr>
        <w:t>Relevant comparators and their respective prices</w:t>
      </w:r>
    </w:p>
    <w:tbl>
      <w:tblPr>
        <w:tblStyle w:val="TableGrid"/>
        <w:tblW w:w="0" w:type="auto"/>
        <w:tblInd w:w="720" w:type="dxa"/>
        <w:tblLook w:val="04A0" w:firstRow="1" w:lastRow="0" w:firstColumn="1" w:lastColumn="0" w:noHBand="0" w:noVBand="1"/>
        <w:tblCaption w:val="Relevant comparators and their respective prices"/>
      </w:tblPr>
      <w:tblGrid>
        <w:gridCol w:w="4208"/>
        <w:gridCol w:w="4111"/>
      </w:tblGrid>
      <w:tr w:rsidR="00167057" w:rsidRPr="00C50189" w:rsidTr="00B91E4F">
        <w:trPr>
          <w:tblHeader/>
        </w:trPr>
        <w:tc>
          <w:tcPr>
            <w:tcW w:w="4208" w:type="dxa"/>
          </w:tcPr>
          <w:p w:rsidR="00167057" w:rsidRPr="00C50189" w:rsidRDefault="00167057" w:rsidP="0074785A">
            <w:pPr>
              <w:pStyle w:val="ListParagraph"/>
              <w:widowControl/>
              <w:ind w:left="0"/>
              <w:rPr>
                <w:rStyle w:val="CommentReference"/>
                <w:sz w:val="18"/>
                <w:szCs w:val="18"/>
              </w:rPr>
            </w:pPr>
            <w:r w:rsidRPr="00C50189">
              <w:rPr>
                <w:rStyle w:val="CommentReference"/>
                <w:sz w:val="18"/>
                <w:szCs w:val="18"/>
              </w:rPr>
              <w:t>Product</w:t>
            </w:r>
          </w:p>
        </w:tc>
        <w:tc>
          <w:tcPr>
            <w:tcW w:w="4111" w:type="dxa"/>
          </w:tcPr>
          <w:p w:rsidR="00167057" w:rsidRPr="00C50189" w:rsidRDefault="00167057" w:rsidP="00217F23">
            <w:pPr>
              <w:pStyle w:val="ListParagraph"/>
              <w:widowControl/>
              <w:ind w:left="0"/>
              <w:rPr>
                <w:rStyle w:val="CommentReference"/>
                <w:sz w:val="18"/>
                <w:szCs w:val="18"/>
              </w:rPr>
            </w:pPr>
            <w:r w:rsidRPr="00C50189">
              <w:rPr>
                <w:rStyle w:val="CommentReference"/>
                <w:sz w:val="18"/>
                <w:szCs w:val="18"/>
              </w:rPr>
              <w:t>Ex-manufacturer price</w:t>
            </w:r>
          </w:p>
        </w:tc>
      </w:tr>
      <w:tr w:rsidR="00167057" w:rsidRPr="00C50189" w:rsidTr="00167057">
        <w:tc>
          <w:tcPr>
            <w:tcW w:w="4208" w:type="dxa"/>
          </w:tcPr>
          <w:p w:rsidR="00167057" w:rsidRPr="00C50189" w:rsidRDefault="00167057" w:rsidP="0074785A">
            <w:pPr>
              <w:pStyle w:val="ListParagraph"/>
              <w:widowControl/>
              <w:ind w:left="0"/>
              <w:rPr>
                <w:rStyle w:val="CommentReference"/>
                <w:b w:val="0"/>
                <w:sz w:val="18"/>
                <w:szCs w:val="18"/>
              </w:rPr>
            </w:pPr>
            <w:proofErr w:type="spellStart"/>
            <w:r w:rsidRPr="00C50189">
              <w:rPr>
                <w:rStyle w:val="CommentReference"/>
                <w:b w:val="0"/>
                <w:sz w:val="18"/>
                <w:szCs w:val="18"/>
              </w:rPr>
              <w:t>Crinone</w:t>
            </w:r>
            <w:proofErr w:type="spellEnd"/>
            <w:r w:rsidRPr="00C50189">
              <w:rPr>
                <w:rStyle w:val="CommentReference"/>
                <w:b w:val="0"/>
                <w:sz w:val="18"/>
                <w:szCs w:val="18"/>
              </w:rPr>
              <w:t xml:space="preserve"> 8% progesterone gel</w:t>
            </w:r>
          </w:p>
        </w:tc>
        <w:tc>
          <w:tcPr>
            <w:tcW w:w="4111" w:type="dxa"/>
          </w:tcPr>
          <w:p w:rsidR="00167057" w:rsidRPr="00C50189" w:rsidRDefault="00167057" w:rsidP="0074785A">
            <w:pPr>
              <w:pStyle w:val="ListParagraph"/>
              <w:widowControl/>
              <w:ind w:left="0"/>
              <w:rPr>
                <w:rStyle w:val="CommentReference"/>
                <w:b w:val="0"/>
                <w:sz w:val="18"/>
                <w:szCs w:val="18"/>
              </w:rPr>
            </w:pPr>
            <w:r w:rsidRPr="00C50189">
              <w:rPr>
                <w:rStyle w:val="CommentReference"/>
                <w:b w:val="0"/>
                <w:sz w:val="18"/>
                <w:szCs w:val="18"/>
              </w:rPr>
              <w:t>$</w:t>
            </w:r>
            <w:r w:rsidR="00FD28CA">
              <w:rPr>
                <w:rStyle w:val="CommentReference"/>
                <w:b w:val="0"/>
                <w:noProof/>
                <w:color w:val="000000"/>
                <w:sz w:val="18"/>
                <w:szCs w:val="18"/>
                <w:highlight w:val="black"/>
              </w:rPr>
              <w:t>'''''''''''''''</w:t>
            </w:r>
            <w:r w:rsidRPr="00C50189">
              <w:rPr>
                <w:rStyle w:val="CommentReference"/>
                <w:b w:val="0"/>
                <w:sz w:val="18"/>
                <w:szCs w:val="18"/>
              </w:rPr>
              <w:t>*</w:t>
            </w:r>
          </w:p>
        </w:tc>
      </w:tr>
      <w:tr w:rsidR="00167057" w:rsidRPr="00C50189" w:rsidTr="00167057">
        <w:tc>
          <w:tcPr>
            <w:tcW w:w="4208" w:type="dxa"/>
          </w:tcPr>
          <w:p w:rsidR="00167057" w:rsidRPr="00C50189" w:rsidRDefault="00167057" w:rsidP="0074785A">
            <w:pPr>
              <w:pStyle w:val="ListParagraph"/>
              <w:widowControl/>
              <w:ind w:left="0"/>
              <w:rPr>
                <w:rStyle w:val="CommentReference"/>
                <w:b w:val="0"/>
                <w:sz w:val="18"/>
                <w:szCs w:val="18"/>
              </w:rPr>
            </w:pPr>
            <w:proofErr w:type="spellStart"/>
            <w:r w:rsidRPr="00C50189">
              <w:rPr>
                <w:rStyle w:val="CommentReference"/>
                <w:b w:val="0"/>
                <w:sz w:val="18"/>
                <w:szCs w:val="18"/>
              </w:rPr>
              <w:t>Oripro</w:t>
            </w:r>
            <w:proofErr w:type="spellEnd"/>
            <w:r w:rsidRPr="00C50189">
              <w:rPr>
                <w:rStyle w:val="CommentReference"/>
                <w:b w:val="0"/>
                <w:sz w:val="18"/>
                <w:szCs w:val="18"/>
              </w:rPr>
              <w:t xml:space="preserve"> 100 mg progesterone </w:t>
            </w:r>
            <w:proofErr w:type="spellStart"/>
            <w:r w:rsidRPr="00C50189">
              <w:rPr>
                <w:rStyle w:val="CommentReference"/>
                <w:b w:val="0"/>
                <w:sz w:val="18"/>
                <w:szCs w:val="18"/>
              </w:rPr>
              <w:t>pessary</w:t>
            </w:r>
            <w:proofErr w:type="spellEnd"/>
          </w:p>
        </w:tc>
        <w:tc>
          <w:tcPr>
            <w:tcW w:w="4111" w:type="dxa"/>
          </w:tcPr>
          <w:p w:rsidR="00167057" w:rsidRPr="00C50189" w:rsidRDefault="00217F23" w:rsidP="00FF5059">
            <w:pPr>
              <w:pStyle w:val="ListParagraph"/>
              <w:widowControl/>
              <w:ind w:left="0"/>
              <w:rPr>
                <w:rStyle w:val="CommentReference"/>
                <w:b w:val="0"/>
                <w:sz w:val="18"/>
                <w:szCs w:val="18"/>
              </w:rPr>
            </w:pPr>
            <w:r w:rsidRPr="00C50189">
              <w:rPr>
                <w:rStyle w:val="CommentReference"/>
                <w:b w:val="0"/>
                <w:sz w:val="18"/>
                <w:szCs w:val="18"/>
              </w:rPr>
              <w:t>$</w:t>
            </w:r>
            <w:r w:rsidR="00FD28CA">
              <w:rPr>
                <w:rStyle w:val="CommentReference"/>
                <w:b w:val="0"/>
                <w:noProof/>
                <w:color w:val="000000"/>
                <w:sz w:val="18"/>
                <w:szCs w:val="18"/>
                <w:highlight w:val="black"/>
              </w:rPr>
              <w:t>''''''''''''''</w:t>
            </w:r>
          </w:p>
        </w:tc>
      </w:tr>
      <w:tr w:rsidR="00167057" w:rsidRPr="00C50189" w:rsidTr="00167057">
        <w:tc>
          <w:tcPr>
            <w:tcW w:w="4208" w:type="dxa"/>
          </w:tcPr>
          <w:p w:rsidR="00167057" w:rsidRPr="00C50189" w:rsidRDefault="00167057" w:rsidP="0074785A">
            <w:pPr>
              <w:pStyle w:val="ListParagraph"/>
              <w:widowControl/>
              <w:ind w:left="0"/>
              <w:rPr>
                <w:rStyle w:val="CommentReference"/>
                <w:b w:val="0"/>
                <w:sz w:val="18"/>
                <w:szCs w:val="18"/>
              </w:rPr>
            </w:pPr>
            <w:proofErr w:type="spellStart"/>
            <w:r w:rsidRPr="00C50189">
              <w:rPr>
                <w:rStyle w:val="CommentReference"/>
                <w:b w:val="0"/>
                <w:sz w:val="18"/>
                <w:szCs w:val="18"/>
              </w:rPr>
              <w:t>Oripro</w:t>
            </w:r>
            <w:proofErr w:type="spellEnd"/>
            <w:r w:rsidRPr="00C50189">
              <w:rPr>
                <w:rStyle w:val="CommentReference"/>
                <w:b w:val="0"/>
                <w:sz w:val="18"/>
                <w:szCs w:val="18"/>
              </w:rPr>
              <w:t xml:space="preserve"> 200 mg progesterone </w:t>
            </w:r>
            <w:proofErr w:type="spellStart"/>
            <w:r w:rsidRPr="00C50189">
              <w:rPr>
                <w:rStyle w:val="CommentReference"/>
                <w:b w:val="0"/>
                <w:sz w:val="18"/>
                <w:szCs w:val="18"/>
              </w:rPr>
              <w:t>pessary</w:t>
            </w:r>
            <w:proofErr w:type="spellEnd"/>
            <w:r w:rsidRPr="00C50189">
              <w:rPr>
                <w:rStyle w:val="CommentReference"/>
                <w:b w:val="0"/>
                <w:sz w:val="18"/>
                <w:szCs w:val="18"/>
              </w:rPr>
              <w:t xml:space="preserve"> </w:t>
            </w:r>
          </w:p>
        </w:tc>
        <w:tc>
          <w:tcPr>
            <w:tcW w:w="4111" w:type="dxa"/>
          </w:tcPr>
          <w:p w:rsidR="00167057" w:rsidRPr="00C50189" w:rsidRDefault="00217F23" w:rsidP="0074785A">
            <w:pPr>
              <w:pStyle w:val="ListParagraph"/>
              <w:widowControl/>
              <w:ind w:left="0"/>
              <w:rPr>
                <w:rStyle w:val="CommentReference"/>
                <w:b w:val="0"/>
                <w:sz w:val="18"/>
                <w:szCs w:val="18"/>
              </w:rPr>
            </w:pPr>
            <w:r w:rsidRPr="00C50189">
              <w:rPr>
                <w:rStyle w:val="CommentReference"/>
                <w:b w:val="0"/>
                <w:sz w:val="18"/>
                <w:szCs w:val="18"/>
              </w:rPr>
              <w:t>$</w:t>
            </w:r>
            <w:r w:rsidR="00FD28CA">
              <w:rPr>
                <w:rStyle w:val="CommentReference"/>
                <w:b w:val="0"/>
                <w:noProof/>
                <w:color w:val="000000"/>
                <w:sz w:val="18"/>
                <w:szCs w:val="18"/>
                <w:highlight w:val="black"/>
              </w:rPr>
              <w:t>'''''''''''''</w:t>
            </w:r>
          </w:p>
        </w:tc>
      </w:tr>
      <w:tr w:rsidR="00167057" w:rsidRPr="00C50189" w:rsidTr="00167057">
        <w:tc>
          <w:tcPr>
            <w:tcW w:w="4208" w:type="dxa"/>
          </w:tcPr>
          <w:p w:rsidR="00167057" w:rsidRPr="00C50189" w:rsidRDefault="00167057" w:rsidP="0074785A">
            <w:pPr>
              <w:pStyle w:val="ListParagraph"/>
              <w:widowControl/>
              <w:ind w:left="0"/>
              <w:rPr>
                <w:rStyle w:val="CommentReference"/>
                <w:b w:val="0"/>
                <w:sz w:val="18"/>
                <w:szCs w:val="18"/>
              </w:rPr>
            </w:pPr>
            <w:proofErr w:type="spellStart"/>
            <w:r w:rsidRPr="00C50189">
              <w:rPr>
                <w:rStyle w:val="CommentReference"/>
                <w:b w:val="0"/>
                <w:sz w:val="18"/>
                <w:szCs w:val="18"/>
              </w:rPr>
              <w:t>Endometrin</w:t>
            </w:r>
            <w:proofErr w:type="spellEnd"/>
            <w:r w:rsidRPr="00C50189">
              <w:rPr>
                <w:rStyle w:val="CommentReference"/>
                <w:b w:val="0"/>
                <w:sz w:val="18"/>
                <w:szCs w:val="18"/>
              </w:rPr>
              <w:t xml:space="preserve"> </w:t>
            </w:r>
          </w:p>
        </w:tc>
        <w:tc>
          <w:tcPr>
            <w:tcW w:w="4111" w:type="dxa"/>
          </w:tcPr>
          <w:p w:rsidR="00167057" w:rsidRPr="00C50189" w:rsidRDefault="00217F23" w:rsidP="00167057">
            <w:pPr>
              <w:pStyle w:val="ListParagraph"/>
              <w:widowControl/>
              <w:ind w:left="0"/>
              <w:rPr>
                <w:rStyle w:val="CommentReference"/>
                <w:b w:val="0"/>
                <w:sz w:val="18"/>
                <w:szCs w:val="18"/>
              </w:rPr>
            </w:pPr>
            <w:r w:rsidRPr="00C50189">
              <w:rPr>
                <w:rStyle w:val="CommentReference"/>
                <w:b w:val="0"/>
                <w:sz w:val="18"/>
                <w:szCs w:val="18"/>
              </w:rPr>
              <w:t>$</w:t>
            </w:r>
            <w:r w:rsidR="00FD28CA">
              <w:rPr>
                <w:rStyle w:val="CommentReference"/>
                <w:b w:val="0"/>
                <w:noProof/>
                <w:color w:val="000000"/>
                <w:sz w:val="18"/>
                <w:szCs w:val="18"/>
                <w:highlight w:val="black"/>
              </w:rPr>
              <w:t>''''''''''''''</w:t>
            </w:r>
          </w:p>
        </w:tc>
      </w:tr>
    </w:tbl>
    <w:p w:rsidR="00167057" w:rsidRPr="00C50189" w:rsidRDefault="00D47049" w:rsidP="00D47049">
      <w:pPr>
        <w:widowControl/>
        <w:rPr>
          <w:rStyle w:val="CommentReference"/>
          <w:b w:val="0"/>
        </w:rPr>
      </w:pPr>
      <w:r w:rsidRPr="00C50189">
        <w:rPr>
          <w:rStyle w:val="CommentReference"/>
          <w:b w:val="0"/>
        </w:rPr>
        <w:tab/>
      </w:r>
      <w:proofErr w:type="spellStart"/>
      <w:proofErr w:type="gramStart"/>
      <w:r w:rsidR="00167057" w:rsidRPr="00C50189">
        <w:rPr>
          <w:rStyle w:val="CommentReference"/>
          <w:b w:val="0"/>
        </w:rPr>
        <w:t>n.b</w:t>
      </w:r>
      <w:proofErr w:type="gramEnd"/>
      <w:r w:rsidR="00167057" w:rsidRPr="00C50189">
        <w:rPr>
          <w:rStyle w:val="CommentReference"/>
          <w:b w:val="0"/>
        </w:rPr>
        <w:t>.</w:t>
      </w:r>
      <w:proofErr w:type="spellEnd"/>
      <w:r w:rsidR="00167057" w:rsidRPr="00C50189">
        <w:rPr>
          <w:rStyle w:val="CommentReference"/>
          <w:b w:val="0"/>
        </w:rPr>
        <w:t xml:space="preserve"> </w:t>
      </w:r>
      <w:proofErr w:type="spellStart"/>
      <w:r w:rsidR="00167057" w:rsidRPr="00C50189">
        <w:rPr>
          <w:rStyle w:val="CommentReference"/>
          <w:b w:val="0"/>
        </w:rPr>
        <w:t>Crinone</w:t>
      </w:r>
      <w:proofErr w:type="spellEnd"/>
      <w:r w:rsidR="00167057" w:rsidRPr="00C50189">
        <w:rPr>
          <w:rStyle w:val="CommentReference"/>
          <w:b w:val="0"/>
        </w:rPr>
        <w:t xml:space="preserve"> 8% underwent a statutory 5% price reduction on 1 April 2016</w:t>
      </w:r>
    </w:p>
    <w:p w:rsidR="0074785A" w:rsidRPr="00C50189" w:rsidRDefault="00D47049" w:rsidP="00167057">
      <w:pPr>
        <w:widowControl/>
        <w:ind w:firstLine="720"/>
        <w:rPr>
          <w:rStyle w:val="CommentReference"/>
          <w:b w:val="0"/>
        </w:rPr>
      </w:pPr>
      <w:r w:rsidRPr="00C50189">
        <w:rPr>
          <w:rStyle w:val="CommentReference"/>
          <w:b w:val="0"/>
        </w:rPr>
        <w:t>*</w:t>
      </w:r>
      <w:r w:rsidR="00167057" w:rsidRPr="00C50189">
        <w:rPr>
          <w:rStyle w:val="CommentReference"/>
          <w:b w:val="0"/>
        </w:rPr>
        <w:t>effective</w:t>
      </w:r>
      <w:r w:rsidRPr="00C50189">
        <w:rPr>
          <w:rStyle w:val="CommentReference"/>
          <w:b w:val="0"/>
        </w:rPr>
        <w:t xml:space="preserve"> price</w:t>
      </w:r>
    </w:p>
    <w:p w:rsidR="00D47049" w:rsidRPr="00C50189" w:rsidRDefault="00D47049" w:rsidP="00D47049">
      <w:pPr>
        <w:widowControl/>
        <w:rPr>
          <w:rStyle w:val="CommentReference"/>
          <w:b w:val="0"/>
        </w:rPr>
      </w:pPr>
      <w:r w:rsidRPr="00C50189">
        <w:rPr>
          <w:rStyle w:val="CommentReference"/>
          <w:b w:val="0"/>
        </w:rPr>
        <w:tab/>
        <w:t>S</w:t>
      </w:r>
      <w:r w:rsidR="00217F23" w:rsidRPr="00C50189">
        <w:rPr>
          <w:rStyle w:val="CommentReference"/>
          <w:b w:val="0"/>
        </w:rPr>
        <w:t xml:space="preserve">ource: </w:t>
      </w:r>
      <w:r w:rsidR="003B1062">
        <w:rPr>
          <w:rStyle w:val="CommentReference"/>
          <w:b w:val="0"/>
        </w:rPr>
        <w:t>Ex-manufacturer prices (excluding Efficient Funding of Chemotherapy) – 1 April 2016.</w:t>
      </w:r>
    </w:p>
    <w:p w:rsidR="00EE5CFA" w:rsidRDefault="00EE5CFA" w:rsidP="000D2E08">
      <w:pPr>
        <w:pStyle w:val="ListParagraph"/>
        <w:widowControl/>
        <w:ind w:left="709"/>
        <w:rPr>
          <w:i/>
          <w:szCs w:val="22"/>
        </w:rPr>
      </w:pPr>
    </w:p>
    <w:p w:rsidR="00EE5CFA" w:rsidRPr="00A971CD" w:rsidRDefault="00EE5CFA" w:rsidP="000D2E08">
      <w:pPr>
        <w:pStyle w:val="ListParagraph"/>
        <w:widowControl/>
        <w:ind w:left="709"/>
        <w:rPr>
          <w:i/>
          <w:szCs w:val="22"/>
        </w:rPr>
      </w:pPr>
      <w:r w:rsidRPr="00A971CD">
        <w:rPr>
          <w:i/>
          <w:szCs w:val="22"/>
        </w:rPr>
        <w:t>For more detail on PBAC’s view, see section 7 “PBAC outcome”</w:t>
      </w:r>
    </w:p>
    <w:p w:rsidR="00F7571D" w:rsidRPr="00A971CD" w:rsidRDefault="00F7571D" w:rsidP="000D2E08">
      <w:pPr>
        <w:pStyle w:val="ListParagraph"/>
        <w:widowControl/>
        <w:rPr>
          <w:color w:val="C0504D" w:themeColor="accent2"/>
          <w:spacing w:val="5"/>
        </w:rPr>
      </w:pPr>
    </w:p>
    <w:p w:rsidR="007B19EA" w:rsidRPr="00A971CD" w:rsidRDefault="007B19EA" w:rsidP="000D2E08">
      <w:pPr>
        <w:pStyle w:val="ListParagraph"/>
        <w:widowControl/>
        <w:rPr>
          <w:color w:val="C0504D" w:themeColor="accent2"/>
          <w:spacing w:val="5"/>
        </w:rPr>
      </w:pPr>
    </w:p>
    <w:p w:rsidR="00B50DB8" w:rsidRPr="00A971CD" w:rsidRDefault="00BD6CF3" w:rsidP="000D2E08">
      <w:pPr>
        <w:pStyle w:val="PBACHeading1"/>
        <w:keepNext/>
      </w:pPr>
      <w:bookmarkStart w:id="9" w:name="_Toc441061715"/>
      <w:r w:rsidRPr="00A971CD">
        <w:t>C</w:t>
      </w:r>
      <w:r w:rsidR="00B50DB8" w:rsidRPr="00A971CD">
        <w:t>onsideration of the evidence</w:t>
      </w:r>
      <w:bookmarkEnd w:id="9"/>
    </w:p>
    <w:p w:rsidR="005A5288" w:rsidRDefault="005A5288" w:rsidP="00101CD9"/>
    <w:p w:rsidR="000129AB" w:rsidRDefault="000129AB" w:rsidP="000D2E08">
      <w:pPr>
        <w:pStyle w:val="Heading2"/>
        <w:keepNext/>
        <w:widowControl/>
        <w:rPr>
          <w:i/>
        </w:rPr>
      </w:pPr>
      <w:r w:rsidRPr="000129AB">
        <w:rPr>
          <w:i/>
        </w:rPr>
        <w:t>Sponsor hearing</w:t>
      </w:r>
    </w:p>
    <w:p w:rsidR="000129AB" w:rsidRPr="000129AB" w:rsidRDefault="000129AB" w:rsidP="000D2E08">
      <w:pPr>
        <w:widowControl/>
      </w:pPr>
    </w:p>
    <w:p w:rsidR="000129AB" w:rsidRDefault="000129AB" w:rsidP="000D2E08">
      <w:pPr>
        <w:pStyle w:val="ListParagraph"/>
        <w:widowControl/>
        <w:numPr>
          <w:ilvl w:val="1"/>
          <w:numId w:val="1"/>
        </w:numPr>
        <w:rPr>
          <w:bCs/>
          <w:szCs w:val="22"/>
        </w:rPr>
      </w:pPr>
      <w:r w:rsidRPr="000129AB">
        <w:rPr>
          <w:bCs/>
          <w:szCs w:val="22"/>
        </w:rPr>
        <w:t>Ther</w:t>
      </w:r>
      <w:r>
        <w:rPr>
          <w:bCs/>
          <w:szCs w:val="22"/>
        </w:rPr>
        <w:t>e was no hearing for this item.</w:t>
      </w:r>
    </w:p>
    <w:p w:rsidR="000129AB" w:rsidRPr="000129AB" w:rsidRDefault="000129AB" w:rsidP="000D2E08">
      <w:pPr>
        <w:pStyle w:val="ListParagraph"/>
        <w:widowControl/>
        <w:rPr>
          <w:bCs/>
          <w:szCs w:val="22"/>
        </w:rPr>
      </w:pPr>
    </w:p>
    <w:p w:rsidR="000129AB" w:rsidRDefault="000129AB" w:rsidP="000D2E08">
      <w:pPr>
        <w:pStyle w:val="Heading2"/>
        <w:keepNext/>
        <w:widowControl/>
        <w:rPr>
          <w:i/>
        </w:rPr>
      </w:pPr>
      <w:r>
        <w:rPr>
          <w:i/>
        </w:rPr>
        <w:t>Consumer comments</w:t>
      </w:r>
    </w:p>
    <w:p w:rsidR="000129AB" w:rsidRPr="000129AB" w:rsidRDefault="000129AB" w:rsidP="000D2E08">
      <w:pPr>
        <w:widowControl/>
      </w:pPr>
    </w:p>
    <w:p w:rsidR="000129AB" w:rsidRPr="000129AB" w:rsidRDefault="000129AB" w:rsidP="000D2E08">
      <w:pPr>
        <w:pStyle w:val="ListParagraph"/>
        <w:widowControl/>
        <w:numPr>
          <w:ilvl w:val="1"/>
          <w:numId w:val="1"/>
        </w:numPr>
        <w:rPr>
          <w:bCs/>
          <w:szCs w:val="22"/>
        </w:rPr>
      </w:pPr>
      <w:r w:rsidRPr="000129AB">
        <w:rPr>
          <w:bCs/>
          <w:szCs w:val="22"/>
        </w:rPr>
        <w:t>The</w:t>
      </w:r>
      <w:r>
        <w:rPr>
          <w:bCs/>
          <w:szCs w:val="22"/>
        </w:rPr>
        <w:t xml:space="preserve"> PBAC noted that no consumer commen</w:t>
      </w:r>
      <w:r w:rsidR="00D575E9">
        <w:rPr>
          <w:bCs/>
          <w:szCs w:val="22"/>
        </w:rPr>
        <w:t>ts were received for this item.</w:t>
      </w:r>
    </w:p>
    <w:p w:rsidR="00B60939" w:rsidRPr="00EE5CFA" w:rsidRDefault="00B60939" w:rsidP="000D2E08">
      <w:pPr>
        <w:pStyle w:val="ListParagraph"/>
        <w:widowControl/>
      </w:pPr>
    </w:p>
    <w:p w:rsidR="00B60939" w:rsidRPr="000129AB" w:rsidRDefault="00B60939" w:rsidP="000D2E08">
      <w:pPr>
        <w:pStyle w:val="Heading2"/>
        <w:keepNext/>
        <w:widowControl/>
        <w:rPr>
          <w:i/>
        </w:rPr>
      </w:pPr>
      <w:bookmarkStart w:id="10" w:name="_Toc441061716"/>
      <w:r w:rsidRPr="000129AB">
        <w:rPr>
          <w:i/>
        </w:rPr>
        <w:t>Clinical trials</w:t>
      </w:r>
      <w:bookmarkEnd w:id="10"/>
    </w:p>
    <w:p w:rsidR="00B60939" w:rsidRPr="00EE5CFA" w:rsidRDefault="00B60939" w:rsidP="000D2E08">
      <w:pPr>
        <w:keepNext/>
        <w:widowControl/>
        <w:rPr>
          <w:szCs w:val="22"/>
        </w:rPr>
      </w:pPr>
    </w:p>
    <w:p w:rsidR="007F1017" w:rsidRPr="00B50DB8" w:rsidRDefault="00862502" w:rsidP="000D2E08">
      <w:pPr>
        <w:pStyle w:val="ListParagraph"/>
        <w:widowControl/>
        <w:numPr>
          <w:ilvl w:val="1"/>
          <w:numId w:val="1"/>
        </w:numPr>
        <w:rPr>
          <w:szCs w:val="22"/>
        </w:rPr>
      </w:pPr>
      <w:r w:rsidRPr="00EE5CFA">
        <w:t>The submission is based</w:t>
      </w:r>
      <w:r w:rsidRPr="00862502">
        <w:t xml:space="preserve"> on one head-to-head trial comparing </w:t>
      </w:r>
      <w:proofErr w:type="spellStart"/>
      <w:r w:rsidR="00666DF8">
        <w:t>Utrogestan</w:t>
      </w:r>
      <w:proofErr w:type="spellEnd"/>
      <w:r w:rsidRPr="00862502">
        <w:t xml:space="preserve"> to </w:t>
      </w:r>
      <w:proofErr w:type="spellStart"/>
      <w:r w:rsidR="00666DF8">
        <w:t>Crinone</w:t>
      </w:r>
      <w:proofErr w:type="spellEnd"/>
      <w:r w:rsidR="00666DF8">
        <w:t xml:space="preserve"> (n=430</w:t>
      </w:r>
      <w:r w:rsidRPr="00862502">
        <w:t>)</w:t>
      </w:r>
      <w:r w:rsidR="008730F5">
        <w:t xml:space="preserve">: KAD 93. </w:t>
      </w:r>
    </w:p>
    <w:p w:rsidR="00862502" w:rsidRPr="00862502" w:rsidRDefault="00862502" w:rsidP="000D2E08">
      <w:pPr>
        <w:widowControl/>
        <w:rPr>
          <w:szCs w:val="22"/>
        </w:rPr>
      </w:pPr>
    </w:p>
    <w:p w:rsidR="00862502" w:rsidRDefault="00862502" w:rsidP="000D2E08">
      <w:pPr>
        <w:pStyle w:val="ListParagraph"/>
        <w:widowControl/>
        <w:numPr>
          <w:ilvl w:val="1"/>
          <w:numId w:val="1"/>
        </w:numPr>
        <w:rPr>
          <w:szCs w:val="22"/>
        </w:rPr>
      </w:pPr>
      <w:r w:rsidRPr="003F02EE">
        <w:rPr>
          <w:szCs w:val="22"/>
        </w:rPr>
        <w:t xml:space="preserve">Details of the trial presented in the submission </w:t>
      </w:r>
      <w:r w:rsidR="00D575E9">
        <w:rPr>
          <w:szCs w:val="22"/>
        </w:rPr>
        <w:t>are provided in the table below</w:t>
      </w:r>
    </w:p>
    <w:p w:rsidR="00DE2204" w:rsidRPr="00DE2204" w:rsidRDefault="00DE2204" w:rsidP="000D2E08">
      <w:pPr>
        <w:widowControl/>
        <w:rPr>
          <w:szCs w:val="22"/>
        </w:rPr>
      </w:pPr>
    </w:p>
    <w:p w:rsidR="008F120A" w:rsidRDefault="008F120A" w:rsidP="000D2E08">
      <w:pPr>
        <w:keepNext/>
        <w:widowControl/>
        <w:ind w:firstLine="720"/>
        <w:rPr>
          <w:rStyle w:val="CommentReference"/>
        </w:rPr>
      </w:pPr>
      <w:r w:rsidRPr="000812CA">
        <w:rPr>
          <w:rStyle w:val="CommentReference"/>
        </w:rPr>
        <w:t xml:space="preserve">Table </w:t>
      </w:r>
      <w:r w:rsidR="003F02EE">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7"/>
        <w:gridCol w:w="5524"/>
        <w:gridCol w:w="1824"/>
      </w:tblGrid>
      <w:tr w:rsidR="003F02EE" w:rsidRPr="004E2ADC" w:rsidTr="00235195">
        <w:tc>
          <w:tcPr>
            <w:tcW w:w="597" w:type="pct"/>
          </w:tcPr>
          <w:p w:rsidR="003F02EE" w:rsidRPr="004E2ADC" w:rsidRDefault="003F02EE" w:rsidP="000D2E08">
            <w:pPr>
              <w:widowControl/>
              <w:jc w:val="left"/>
              <w:rPr>
                <w:rFonts w:ascii="Arial Narrow" w:hAnsi="Arial Narrow"/>
                <w:b/>
                <w:sz w:val="20"/>
              </w:rPr>
            </w:pPr>
            <w:r w:rsidRPr="004E2ADC">
              <w:rPr>
                <w:rFonts w:ascii="Arial Narrow" w:hAnsi="Arial Narrow"/>
                <w:b/>
                <w:sz w:val="20"/>
              </w:rPr>
              <w:t>Trial ID</w:t>
            </w:r>
          </w:p>
        </w:tc>
        <w:tc>
          <w:tcPr>
            <w:tcW w:w="3310" w:type="pct"/>
          </w:tcPr>
          <w:p w:rsidR="003F02EE" w:rsidRPr="004E2ADC" w:rsidRDefault="003F02EE" w:rsidP="000D2E08">
            <w:pPr>
              <w:widowControl/>
              <w:jc w:val="center"/>
              <w:rPr>
                <w:rFonts w:ascii="Arial Narrow" w:hAnsi="Arial Narrow"/>
                <w:b/>
                <w:sz w:val="20"/>
              </w:rPr>
            </w:pPr>
            <w:r w:rsidRPr="004E2ADC">
              <w:rPr>
                <w:rFonts w:ascii="Arial Narrow" w:hAnsi="Arial Narrow"/>
                <w:b/>
                <w:sz w:val="20"/>
              </w:rPr>
              <w:t>Protocol title/ Publication title</w:t>
            </w:r>
          </w:p>
        </w:tc>
        <w:tc>
          <w:tcPr>
            <w:tcW w:w="1093" w:type="pct"/>
          </w:tcPr>
          <w:p w:rsidR="003F02EE" w:rsidRPr="004E2ADC" w:rsidRDefault="003F02EE" w:rsidP="000D2E08">
            <w:pPr>
              <w:widowControl/>
              <w:jc w:val="center"/>
              <w:rPr>
                <w:rFonts w:ascii="Arial Narrow" w:hAnsi="Arial Narrow"/>
                <w:b/>
                <w:sz w:val="20"/>
              </w:rPr>
            </w:pPr>
            <w:r w:rsidRPr="004E2ADC">
              <w:rPr>
                <w:rFonts w:ascii="Arial Narrow" w:hAnsi="Arial Narrow"/>
                <w:b/>
                <w:sz w:val="20"/>
              </w:rPr>
              <w:t>Publication citation</w:t>
            </w:r>
          </w:p>
        </w:tc>
      </w:tr>
      <w:tr w:rsidR="003F02EE" w:rsidRPr="004E2ADC" w:rsidTr="0031553B">
        <w:tc>
          <w:tcPr>
            <w:tcW w:w="5000" w:type="pct"/>
            <w:gridSpan w:val="3"/>
          </w:tcPr>
          <w:p w:rsidR="003F02EE" w:rsidRPr="004E2ADC" w:rsidRDefault="003F02EE" w:rsidP="000D2E08">
            <w:pPr>
              <w:widowControl/>
              <w:jc w:val="left"/>
              <w:rPr>
                <w:rFonts w:ascii="Arial Narrow" w:hAnsi="Arial Narrow"/>
                <w:b/>
                <w:sz w:val="20"/>
              </w:rPr>
            </w:pPr>
            <w:r w:rsidRPr="004E2ADC">
              <w:rPr>
                <w:rFonts w:ascii="Arial Narrow" w:hAnsi="Arial Narrow"/>
                <w:b/>
                <w:sz w:val="20"/>
              </w:rPr>
              <w:t>Direct randomised trial</w:t>
            </w:r>
          </w:p>
        </w:tc>
      </w:tr>
      <w:tr w:rsidR="00DE2204" w:rsidRPr="00894241" w:rsidTr="00235195">
        <w:trPr>
          <w:trHeight w:val="625"/>
        </w:trPr>
        <w:tc>
          <w:tcPr>
            <w:tcW w:w="597" w:type="pct"/>
            <w:vMerge w:val="restart"/>
          </w:tcPr>
          <w:p w:rsidR="00DE2204" w:rsidRPr="00894241" w:rsidRDefault="00DE2204" w:rsidP="000D2E08">
            <w:pPr>
              <w:widowControl/>
              <w:jc w:val="left"/>
              <w:rPr>
                <w:rFonts w:ascii="Arial Narrow" w:hAnsi="Arial Narrow"/>
                <w:sz w:val="20"/>
              </w:rPr>
            </w:pPr>
            <w:r>
              <w:rPr>
                <w:rFonts w:ascii="Arial Narrow" w:hAnsi="Arial Narrow"/>
                <w:sz w:val="20"/>
              </w:rPr>
              <w:t>KAD 93</w:t>
            </w:r>
          </w:p>
        </w:tc>
        <w:tc>
          <w:tcPr>
            <w:tcW w:w="3310" w:type="pct"/>
          </w:tcPr>
          <w:p w:rsidR="00DE2204" w:rsidRPr="00894241" w:rsidRDefault="00DE2204" w:rsidP="000D2E08">
            <w:pPr>
              <w:widowControl/>
              <w:jc w:val="left"/>
              <w:rPr>
                <w:rFonts w:ascii="Arial Narrow" w:hAnsi="Arial Narrow"/>
                <w:sz w:val="20"/>
              </w:rPr>
            </w:pPr>
            <w:r w:rsidRPr="00894241">
              <w:rPr>
                <w:rFonts w:ascii="Arial Narrow" w:hAnsi="Arial Narrow"/>
                <w:sz w:val="20"/>
              </w:rPr>
              <w:t xml:space="preserve">Efficacy and tolerability of </w:t>
            </w:r>
            <w:proofErr w:type="spellStart"/>
            <w:r w:rsidRPr="00894241">
              <w:rPr>
                <w:rFonts w:ascii="Arial Narrow" w:hAnsi="Arial Narrow"/>
                <w:sz w:val="20"/>
              </w:rPr>
              <w:t>Utrogest</w:t>
            </w:r>
            <w:proofErr w:type="spellEnd"/>
            <w:r w:rsidRPr="00894241">
              <w:rPr>
                <w:rFonts w:ascii="Arial Narrow" w:hAnsi="Arial Narrow"/>
                <w:sz w:val="20"/>
              </w:rPr>
              <w:t xml:space="preserve"> 200 vaginal compared with </w:t>
            </w:r>
            <w:proofErr w:type="spellStart"/>
            <w:r w:rsidRPr="00894241">
              <w:rPr>
                <w:rFonts w:ascii="Arial Narrow" w:hAnsi="Arial Narrow"/>
                <w:sz w:val="20"/>
              </w:rPr>
              <w:t>Crinone</w:t>
            </w:r>
            <w:proofErr w:type="spellEnd"/>
            <w:r w:rsidRPr="00894241">
              <w:rPr>
                <w:rFonts w:ascii="Arial Narrow" w:hAnsi="Arial Narrow"/>
                <w:sz w:val="20"/>
              </w:rPr>
              <w:t xml:space="preserve"> 8% for luteal phase support during assisted reproduction</w:t>
            </w:r>
            <w:r>
              <w:rPr>
                <w:rFonts w:ascii="Arial Narrow" w:hAnsi="Arial Narrow"/>
                <w:sz w:val="20"/>
              </w:rPr>
              <w:t>, Phase III.</w:t>
            </w:r>
            <w:r w:rsidRPr="00894241">
              <w:rPr>
                <w:rFonts w:ascii="Arial Narrow" w:hAnsi="Arial Narrow"/>
                <w:sz w:val="20"/>
              </w:rPr>
              <w:t xml:space="preserve"> </w:t>
            </w:r>
          </w:p>
          <w:p w:rsidR="00DE2204" w:rsidRPr="00894241" w:rsidRDefault="00DE2204" w:rsidP="000D2E08">
            <w:pPr>
              <w:widowControl/>
              <w:jc w:val="left"/>
              <w:rPr>
                <w:rFonts w:ascii="Arial Narrow" w:hAnsi="Arial Narrow"/>
                <w:sz w:val="20"/>
              </w:rPr>
            </w:pPr>
          </w:p>
        </w:tc>
        <w:tc>
          <w:tcPr>
            <w:tcW w:w="1093" w:type="pct"/>
          </w:tcPr>
          <w:p w:rsidR="00DE2204" w:rsidRPr="00894241" w:rsidRDefault="00DE2204" w:rsidP="000D2E08">
            <w:pPr>
              <w:widowControl/>
              <w:jc w:val="left"/>
              <w:rPr>
                <w:rFonts w:ascii="Arial Narrow" w:hAnsi="Arial Narrow"/>
                <w:b/>
                <w:sz w:val="20"/>
              </w:rPr>
            </w:pPr>
            <w:r>
              <w:rPr>
                <w:rFonts w:ascii="Arial Narrow" w:hAnsi="Arial Narrow"/>
                <w:sz w:val="20"/>
              </w:rPr>
              <w:t>Clinical Study Report, 2002</w:t>
            </w:r>
          </w:p>
        </w:tc>
      </w:tr>
      <w:tr w:rsidR="00DE2204" w:rsidRPr="00894241" w:rsidTr="00235195">
        <w:trPr>
          <w:trHeight w:val="625"/>
        </w:trPr>
        <w:tc>
          <w:tcPr>
            <w:tcW w:w="597" w:type="pct"/>
            <w:vMerge/>
          </w:tcPr>
          <w:p w:rsidR="00DE2204" w:rsidRPr="00894241" w:rsidRDefault="00DE2204" w:rsidP="000D2E08">
            <w:pPr>
              <w:widowControl/>
              <w:jc w:val="left"/>
              <w:rPr>
                <w:rFonts w:ascii="Arial Narrow" w:hAnsi="Arial Narrow"/>
                <w:sz w:val="20"/>
              </w:rPr>
            </w:pPr>
          </w:p>
        </w:tc>
        <w:tc>
          <w:tcPr>
            <w:tcW w:w="3310" w:type="pct"/>
          </w:tcPr>
          <w:p w:rsidR="009D72D6" w:rsidRPr="009D72D6" w:rsidRDefault="009D72D6" w:rsidP="000D2E08">
            <w:pPr>
              <w:widowControl/>
              <w:jc w:val="left"/>
              <w:rPr>
                <w:rFonts w:ascii="Arial Narrow" w:hAnsi="Arial Narrow"/>
                <w:sz w:val="20"/>
              </w:rPr>
            </w:pPr>
            <w:r w:rsidRPr="00894241">
              <w:rPr>
                <w:rFonts w:ascii="Arial Narrow" w:hAnsi="Arial Narrow"/>
                <w:sz w:val="20"/>
              </w:rPr>
              <w:t xml:space="preserve">Jürgen </w:t>
            </w:r>
            <w:proofErr w:type="spellStart"/>
            <w:r w:rsidRPr="00894241">
              <w:rPr>
                <w:rFonts w:ascii="Arial Narrow" w:hAnsi="Arial Narrow"/>
                <w:sz w:val="20"/>
              </w:rPr>
              <w:t>Kleinstein</w:t>
            </w:r>
            <w:proofErr w:type="spellEnd"/>
            <w:r w:rsidRPr="00894241">
              <w:rPr>
                <w:rFonts w:ascii="Arial Narrow" w:hAnsi="Arial Narrow"/>
                <w:sz w:val="20"/>
              </w:rPr>
              <w:t>, M.D</w:t>
            </w:r>
            <w:r>
              <w:rPr>
                <w:rFonts w:ascii="Arial Narrow" w:hAnsi="Arial Narrow"/>
                <w:sz w:val="20"/>
              </w:rPr>
              <w:t xml:space="preserve"> (2005) </w:t>
            </w:r>
            <w:r w:rsidR="00DE2204">
              <w:rPr>
                <w:rFonts w:ascii="Arial Narrow" w:hAnsi="Arial Narrow"/>
                <w:sz w:val="20"/>
              </w:rPr>
              <w:t>Efficacy and tolerability of vaginal progesterone capsules (</w:t>
            </w:r>
            <w:proofErr w:type="spellStart"/>
            <w:r w:rsidR="00DE2204" w:rsidRPr="00894241">
              <w:rPr>
                <w:rFonts w:ascii="Arial Narrow" w:hAnsi="Arial Narrow"/>
                <w:sz w:val="20"/>
              </w:rPr>
              <w:t>Utrogest</w:t>
            </w:r>
            <w:proofErr w:type="spellEnd"/>
            <w:r w:rsidR="00DE2204" w:rsidRPr="00894241">
              <w:rPr>
                <w:rFonts w:ascii="Arial Narrow" w:hAnsi="Arial Narrow"/>
                <w:sz w:val="20"/>
              </w:rPr>
              <w:t xml:space="preserve"> 200</w:t>
            </w:r>
            <w:r w:rsidR="00DE2204">
              <w:rPr>
                <w:rFonts w:ascii="Arial Narrow" w:hAnsi="Arial Narrow"/>
                <w:sz w:val="20"/>
              </w:rPr>
              <w:t>) compared with progesterone gel (</w:t>
            </w:r>
            <w:proofErr w:type="spellStart"/>
            <w:r w:rsidR="00DE2204" w:rsidRPr="00894241">
              <w:rPr>
                <w:rFonts w:ascii="Arial Narrow" w:hAnsi="Arial Narrow"/>
                <w:sz w:val="20"/>
              </w:rPr>
              <w:t>Crinone</w:t>
            </w:r>
            <w:proofErr w:type="spellEnd"/>
            <w:r w:rsidR="00DE2204" w:rsidRPr="00894241">
              <w:rPr>
                <w:rFonts w:ascii="Arial Narrow" w:hAnsi="Arial Narrow"/>
                <w:sz w:val="20"/>
              </w:rPr>
              <w:t xml:space="preserve"> 8%</w:t>
            </w:r>
            <w:r w:rsidR="00DE2204">
              <w:rPr>
                <w:rFonts w:ascii="Arial Narrow" w:hAnsi="Arial Narrow"/>
                <w:sz w:val="20"/>
              </w:rPr>
              <w:t xml:space="preserve">) </w:t>
            </w:r>
            <w:r w:rsidR="00DE2204" w:rsidRPr="00894241">
              <w:rPr>
                <w:rFonts w:ascii="Arial Narrow" w:hAnsi="Arial Narrow"/>
                <w:sz w:val="20"/>
              </w:rPr>
              <w:t>for luteal phase support during assisted reproduction</w:t>
            </w:r>
            <w:r w:rsidR="00DE2204">
              <w:rPr>
                <w:rFonts w:ascii="Arial Narrow" w:hAnsi="Arial Narrow"/>
                <w:sz w:val="20"/>
              </w:rPr>
              <w:t>.</w:t>
            </w:r>
          </w:p>
        </w:tc>
        <w:tc>
          <w:tcPr>
            <w:tcW w:w="1093" w:type="pct"/>
          </w:tcPr>
          <w:p w:rsidR="00DE2204" w:rsidRPr="00894241" w:rsidRDefault="00DE2204" w:rsidP="000D2E08">
            <w:pPr>
              <w:widowControl/>
              <w:jc w:val="left"/>
              <w:rPr>
                <w:rFonts w:ascii="Arial Narrow" w:hAnsi="Arial Narrow"/>
                <w:sz w:val="20"/>
              </w:rPr>
            </w:pPr>
            <w:r w:rsidRPr="00894241">
              <w:rPr>
                <w:rFonts w:ascii="Arial Narrow" w:hAnsi="Arial Narrow"/>
                <w:i/>
                <w:sz w:val="20"/>
              </w:rPr>
              <w:t xml:space="preserve">Fertility and Sterility </w:t>
            </w:r>
            <w:r w:rsidRPr="00894241">
              <w:rPr>
                <w:rFonts w:ascii="Arial Narrow" w:hAnsi="Arial Narrow"/>
                <w:sz w:val="20"/>
              </w:rPr>
              <w:t>2005; 83 (6); 1641 - 1649</w:t>
            </w:r>
          </w:p>
          <w:p w:rsidR="00DE2204" w:rsidRPr="00894241" w:rsidRDefault="00DE2204" w:rsidP="000D2E08">
            <w:pPr>
              <w:widowControl/>
              <w:jc w:val="left"/>
              <w:rPr>
                <w:rFonts w:ascii="Arial Narrow" w:hAnsi="Arial Narrow"/>
                <w:sz w:val="20"/>
              </w:rPr>
            </w:pPr>
          </w:p>
        </w:tc>
      </w:tr>
    </w:tbl>
    <w:p w:rsidR="003F02EE" w:rsidRPr="00D13A3E" w:rsidRDefault="003F02EE" w:rsidP="000D2E08">
      <w:pPr>
        <w:pStyle w:val="TableFooter"/>
        <w:widowControl/>
        <w:ind w:firstLine="720"/>
      </w:pPr>
      <w:r>
        <w:t xml:space="preserve">Source: Table B-3 p 35 </w:t>
      </w:r>
      <w:r w:rsidRPr="00D13A3E">
        <w:t>of the submission</w:t>
      </w:r>
      <w:r w:rsidR="007D5691">
        <w:t>,</w:t>
      </w:r>
      <w:r w:rsidR="0031553B">
        <w:t xml:space="preserve"> compiled during the evaluation</w:t>
      </w:r>
    </w:p>
    <w:p w:rsidR="00470275" w:rsidRDefault="00470275">
      <w:pPr>
        <w:widowControl/>
        <w:jc w:val="left"/>
        <w:rPr>
          <w:szCs w:val="22"/>
        </w:rPr>
      </w:pPr>
      <w:r>
        <w:rPr>
          <w:szCs w:val="22"/>
        </w:rPr>
        <w:br w:type="page"/>
      </w:r>
    </w:p>
    <w:p w:rsidR="00862502" w:rsidRPr="008F120A" w:rsidRDefault="00862502" w:rsidP="000D2E08">
      <w:pPr>
        <w:widowControl/>
        <w:rPr>
          <w:szCs w:val="22"/>
        </w:rPr>
      </w:pPr>
    </w:p>
    <w:p w:rsidR="00862502" w:rsidRPr="00B50DB8" w:rsidRDefault="008F120A" w:rsidP="000D2E08">
      <w:pPr>
        <w:pStyle w:val="ListParagraph"/>
        <w:widowControl/>
        <w:numPr>
          <w:ilvl w:val="1"/>
          <w:numId w:val="1"/>
        </w:numPr>
        <w:rPr>
          <w:szCs w:val="22"/>
        </w:rPr>
      </w:pPr>
      <w:r w:rsidRPr="00B50DB8">
        <w:rPr>
          <w:szCs w:val="22"/>
        </w:rPr>
        <w:t xml:space="preserve">The key features of the direct randomised </w:t>
      </w:r>
      <w:r w:rsidR="005A622A">
        <w:rPr>
          <w:szCs w:val="22"/>
        </w:rPr>
        <w:t xml:space="preserve">trial </w:t>
      </w:r>
      <w:r w:rsidRPr="00B50DB8">
        <w:rPr>
          <w:szCs w:val="22"/>
        </w:rPr>
        <w:t>ar</w:t>
      </w:r>
      <w:r w:rsidR="00D575E9">
        <w:rPr>
          <w:szCs w:val="22"/>
        </w:rPr>
        <w:t>e summarised in the table below.</w:t>
      </w:r>
    </w:p>
    <w:p w:rsidR="007F1017" w:rsidRDefault="007F1017" w:rsidP="000D2E08">
      <w:pPr>
        <w:widowControl/>
        <w:rPr>
          <w:szCs w:val="22"/>
        </w:rPr>
      </w:pPr>
    </w:p>
    <w:p w:rsidR="007F1017" w:rsidRPr="00E2771E" w:rsidRDefault="003F02EE" w:rsidP="000D2E08">
      <w:pPr>
        <w:keepNext/>
        <w:widowControl/>
        <w:ind w:firstLine="720"/>
        <w:rPr>
          <w:rStyle w:val="CommentReference"/>
        </w:rPr>
      </w:pPr>
      <w:r>
        <w:rPr>
          <w:rStyle w:val="CommentReference"/>
        </w:rPr>
        <w:t>Table 2</w:t>
      </w:r>
      <w:r w:rsidR="007F1017" w:rsidRPr="00E2771E">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0"/>
        <w:gridCol w:w="711"/>
        <w:gridCol w:w="1843"/>
        <w:gridCol w:w="992"/>
        <w:gridCol w:w="1561"/>
        <w:gridCol w:w="2126"/>
      </w:tblGrid>
      <w:tr w:rsidR="00515F48" w:rsidRPr="00E2771E" w:rsidTr="00515F48">
        <w:tc>
          <w:tcPr>
            <w:tcW w:w="676" w:type="pct"/>
            <w:shd w:val="clear" w:color="auto" w:fill="auto"/>
            <w:vAlign w:val="center"/>
          </w:tcPr>
          <w:p w:rsidR="00515F48" w:rsidRPr="00E2771E" w:rsidRDefault="00515F48" w:rsidP="000D2E08">
            <w:pPr>
              <w:keepNext/>
              <w:widowControl/>
              <w:jc w:val="left"/>
              <w:rPr>
                <w:rFonts w:ascii="Arial Narrow" w:hAnsi="Arial Narrow"/>
                <w:b/>
                <w:sz w:val="20"/>
                <w:lang w:val="en-US"/>
              </w:rPr>
            </w:pPr>
            <w:r w:rsidRPr="00E2771E">
              <w:rPr>
                <w:rFonts w:ascii="Arial Narrow" w:hAnsi="Arial Narrow"/>
                <w:b/>
                <w:sz w:val="20"/>
                <w:lang w:val="en-US"/>
              </w:rPr>
              <w:t>Trial</w:t>
            </w:r>
          </w:p>
        </w:tc>
        <w:tc>
          <w:tcPr>
            <w:tcW w:w="425" w:type="pct"/>
            <w:shd w:val="clear" w:color="auto" w:fill="auto"/>
            <w:vAlign w:val="center"/>
          </w:tcPr>
          <w:p w:rsidR="00515F48" w:rsidRPr="00E2771E" w:rsidRDefault="00515F48" w:rsidP="000D2E08">
            <w:pPr>
              <w:keepNext/>
              <w:widowControl/>
              <w:jc w:val="center"/>
              <w:rPr>
                <w:rFonts w:ascii="Arial Narrow" w:hAnsi="Arial Narrow"/>
                <w:b/>
                <w:sz w:val="20"/>
                <w:lang w:val="en-US"/>
              </w:rPr>
            </w:pPr>
            <w:r w:rsidRPr="00E2771E">
              <w:rPr>
                <w:rFonts w:ascii="Arial Narrow" w:hAnsi="Arial Narrow"/>
                <w:b/>
                <w:sz w:val="20"/>
                <w:lang w:val="en-US"/>
              </w:rPr>
              <w:t>N</w:t>
            </w:r>
          </w:p>
        </w:tc>
        <w:tc>
          <w:tcPr>
            <w:tcW w:w="1102" w:type="pct"/>
            <w:shd w:val="clear" w:color="auto" w:fill="auto"/>
            <w:vAlign w:val="center"/>
          </w:tcPr>
          <w:p w:rsidR="00515F48" w:rsidRPr="00E2771E" w:rsidRDefault="00515F48" w:rsidP="000D2E08">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593" w:type="pct"/>
            <w:shd w:val="clear" w:color="auto" w:fill="auto"/>
            <w:vAlign w:val="center"/>
          </w:tcPr>
          <w:p w:rsidR="00515F48" w:rsidRPr="00E2771E" w:rsidRDefault="00515F48" w:rsidP="000D2E08">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933" w:type="pct"/>
            <w:shd w:val="clear" w:color="auto" w:fill="auto"/>
            <w:vAlign w:val="center"/>
          </w:tcPr>
          <w:p w:rsidR="00515F48" w:rsidRPr="00E2771E" w:rsidRDefault="00515F48" w:rsidP="000D2E08">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271" w:type="pct"/>
            <w:shd w:val="clear" w:color="auto" w:fill="auto"/>
            <w:vAlign w:val="center"/>
          </w:tcPr>
          <w:p w:rsidR="00515F48" w:rsidRPr="00E2771E" w:rsidRDefault="00515F48" w:rsidP="000D2E08">
            <w:pPr>
              <w:keepNext/>
              <w:widowControl/>
              <w:jc w:val="center"/>
              <w:rPr>
                <w:rFonts w:ascii="Arial Narrow" w:hAnsi="Arial Narrow"/>
                <w:b/>
                <w:sz w:val="20"/>
                <w:lang w:val="en-US"/>
              </w:rPr>
            </w:pPr>
            <w:r w:rsidRPr="00E2771E">
              <w:rPr>
                <w:rFonts w:ascii="Arial Narrow" w:hAnsi="Arial Narrow"/>
                <w:b/>
                <w:sz w:val="20"/>
                <w:lang w:val="en-US"/>
              </w:rPr>
              <w:t>Outcome(s)</w:t>
            </w:r>
          </w:p>
        </w:tc>
      </w:tr>
      <w:tr w:rsidR="00515F48" w:rsidRPr="00E2771E" w:rsidTr="00515F48">
        <w:tc>
          <w:tcPr>
            <w:tcW w:w="5000" w:type="pct"/>
            <w:gridSpan w:val="6"/>
            <w:shd w:val="clear" w:color="auto" w:fill="auto"/>
            <w:vAlign w:val="center"/>
          </w:tcPr>
          <w:p w:rsidR="00515F48" w:rsidRPr="00E2771E" w:rsidRDefault="00515F48" w:rsidP="000D2E08">
            <w:pPr>
              <w:keepNext/>
              <w:widowControl/>
              <w:jc w:val="left"/>
              <w:rPr>
                <w:rFonts w:ascii="Arial Narrow" w:hAnsi="Arial Narrow"/>
                <w:b/>
                <w:sz w:val="20"/>
                <w:lang w:val="en-US"/>
              </w:rPr>
            </w:pPr>
            <w:proofErr w:type="spellStart"/>
            <w:r>
              <w:rPr>
                <w:rFonts w:ascii="Arial Narrow" w:hAnsi="Arial Narrow"/>
                <w:b/>
                <w:sz w:val="20"/>
                <w:lang w:val="en-US"/>
              </w:rPr>
              <w:t>Utrogestan</w:t>
            </w:r>
            <w:proofErr w:type="spellEnd"/>
            <w:r>
              <w:rPr>
                <w:rFonts w:ascii="Arial Narrow" w:hAnsi="Arial Narrow"/>
                <w:b/>
                <w:sz w:val="20"/>
                <w:lang w:val="en-US"/>
              </w:rPr>
              <w:t xml:space="preserve"> 200mg vs </w:t>
            </w:r>
            <w:proofErr w:type="spellStart"/>
            <w:r>
              <w:rPr>
                <w:rFonts w:ascii="Arial Narrow" w:hAnsi="Arial Narrow"/>
                <w:b/>
                <w:sz w:val="20"/>
                <w:lang w:val="en-US"/>
              </w:rPr>
              <w:t>Crinone</w:t>
            </w:r>
            <w:proofErr w:type="spellEnd"/>
            <w:r>
              <w:rPr>
                <w:rFonts w:ascii="Arial Narrow" w:hAnsi="Arial Narrow"/>
                <w:b/>
                <w:sz w:val="20"/>
                <w:lang w:val="en-US"/>
              </w:rPr>
              <w:t xml:space="preserve"> 8% 90mg </w:t>
            </w:r>
          </w:p>
        </w:tc>
      </w:tr>
      <w:tr w:rsidR="00515F48" w:rsidRPr="00E2771E" w:rsidTr="00515F48">
        <w:tc>
          <w:tcPr>
            <w:tcW w:w="676" w:type="pct"/>
            <w:shd w:val="clear" w:color="auto" w:fill="auto"/>
            <w:vAlign w:val="center"/>
          </w:tcPr>
          <w:p w:rsidR="00515F48" w:rsidRPr="00E2771E" w:rsidRDefault="00515F48" w:rsidP="000D2E08">
            <w:pPr>
              <w:keepNext/>
              <w:widowControl/>
              <w:jc w:val="left"/>
              <w:rPr>
                <w:rFonts w:ascii="Arial Narrow" w:hAnsi="Arial Narrow"/>
                <w:sz w:val="20"/>
                <w:lang w:val="en-US"/>
              </w:rPr>
            </w:pPr>
            <w:proofErr w:type="spellStart"/>
            <w:r>
              <w:rPr>
                <w:rFonts w:ascii="Arial Narrow" w:hAnsi="Arial Narrow"/>
                <w:sz w:val="20"/>
                <w:lang w:val="en-US"/>
              </w:rPr>
              <w:t>Kleinstein</w:t>
            </w:r>
            <w:proofErr w:type="spellEnd"/>
            <w:r>
              <w:rPr>
                <w:rFonts w:ascii="Arial Narrow" w:hAnsi="Arial Narrow"/>
                <w:sz w:val="20"/>
                <w:lang w:val="en-US"/>
              </w:rPr>
              <w:t xml:space="preserve"> 2005 (KAD 93)</w:t>
            </w:r>
          </w:p>
        </w:tc>
        <w:tc>
          <w:tcPr>
            <w:tcW w:w="425" w:type="pct"/>
            <w:shd w:val="clear" w:color="auto" w:fill="auto"/>
            <w:vAlign w:val="center"/>
          </w:tcPr>
          <w:p w:rsidR="00515F48" w:rsidRPr="00E2771E" w:rsidRDefault="00515F48" w:rsidP="000D2E08">
            <w:pPr>
              <w:keepNext/>
              <w:widowControl/>
              <w:jc w:val="center"/>
              <w:rPr>
                <w:rFonts w:ascii="Arial Narrow" w:hAnsi="Arial Narrow"/>
                <w:sz w:val="20"/>
                <w:lang w:val="en-US"/>
              </w:rPr>
            </w:pPr>
            <w:r>
              <w:rPr>
                <w:rFonts w:ascii="Arial Narrow" w:hAnsi="Arial Narrow"/>
                <w:sz w:val="20"/>
                <w:lang w:val="en-US"/>
              </w:rPr>
              <w:t>430</w:t>
            </w:r>
          </w:p>
        </w:tc>
        <w:tc>
          <w:tcPr>
            <w:tcW w:w="1102" w:type="pct"/>
            <w:shd w:val="clear" w:color="auto" w:fill="auto"/>
            <w:vAlign w:val="center"/>
          </w:tcPr>
          <w:p w:rsidR="00515F48" w:rsidRPr="00E2771E" w:rsidRDefault="00515F48" w:rsidP="000D2E08">
            <w:pPr>
              <w:keepNext/>
              <w:widowControl/>
              <w:jc w:val="center"/>
              <w:rPr>
                <w:rFonts w:ascii="Arial Narrow" w:hAnsi="Arial Narrow"/>
                <w:sz w:val="20"/>
                <w:lang w:val="en-US"/>
              </w:rPr>
            </w:pPr>
            <w:r>
              <w:rPr>
                <w:rFonts w:ascii="Arial Narrow" w:hAnsi="Arial Narrow"/>
                <w:sz w:val="20"/>
                <w:lang w:val="en-US"/>
              </w:rPr>
              <w:t xml:space="preserve">R, MC, OL, 12 weeks </w:t>
            </w:r>
          </w:p>
        </w:tc>
        <w:tc>
          <w:tcPr>
            <w:tcW w:w="593" w:type="pct"/>
            <w:shd w:val="clear" w:color="auto" w:fill="auto"/>
            <w:vAlign w:val="center"/>
          </w:tcPr>
          <w:p w:rsidR="00515F48" w:rsidRPr="00E2771E" w:rsidRDefault="00515F48" w:rsidP="000D2E08">
            <w:pPr>
              <w:keepNext/>
              <w:widowControl/>
              <w:jc w:val="center"/>
              <w:rPr>
                <w:rFonts w:ascii="Arial Narrow" w:hAnsi="Arial Narrow"/>
                <w:sz w:val="20"/>
                <w:lang w:val="en-US"/>
              </w:rPr>
            </w:pPr>
            <w:r w:rsidRPr="007D5691">
              <w:rPr>
                <w:rFonts w:ascii="Arial Narrow" w:hAnsi="Arial Narrow"/>
                <w:sz w:val="20"/>
                <w:lang w:val="en-US"/>
              </w:rPr>
              <w:t>Low</w:t>
            </w:r>
          </w:p>
        </w:tc>
        <w:tc>
          <w:tcPr>
            <w:tcW w:w="933" w:type="pct"/>
            <w:shd w:val="clear" w:color="auto" w:fill="auto"/>
            <w:vAlign w:val="center"/>
          </w:tcPr>
          <w:p w:rsidR="00515F48" w:rsidRPr="00E2771E" w:rsidRDefault="00515F48" w:rsidP="000D2E08">
            <w:pPr>
              <w:keepNext/>
              <w:widowControl/>
              <w:jc w:val="center"/>
              <w:rPr>
                <w:rFonts w:ascii="Arial Narrow" w:hAnsi="Arial Narrow"/>
                <w:sz w:val="20"/>
                <w:lang w:val="en-US"/>
              </w:rPr>
            </w:pPr>
            <w:r>
              <w:rPr>
                <w:rFonts w:ascii="Arial Narrow" w:hAnsi="Arial Narrow"/>
                <w:sz w:val="20"/>
                <w:lang w:val="en-US"/>
              </w:rPr>
              <w:t>Undergoing ART</w:t>
            </w:r>
          </w:p>
        </w:tc>
        <w:tc>
          <w:tcPr>
            <w:tcW w:w="1271" w:type="pct"/>
            <w:shd w:val="clear" w:color="auto" w:fill="auto"/>
            <w:vAlign w:val="center"/>
          </w:tcPr>
          <w:p w:rsidR="00515F48" w:rsidRPr="00E2771E" w:rsidRDefault="00515F48" w:rsidP="000D2E08">
            <w:pPr>
              <w:keepNext/>
              <w:widowControl/>
              <w:jc w:val="center"/>
              <w:rPr>
                <w:rFonts w:ascii="Arial Narrow" w:hAnsi="Arial Narrow"/>
                <w:sz w:val="20"/>
                <w:lang w:val="en-US"/>
              </w:rPr>
            </w:pPr>
            <w:r>
              <w:rPr>
                <w:rFonts w:ascii="Arial Narrow" w:hAnsi="Arial Narrow"/>
                <w:sz w:val="20"/>
                <w:lang w:val="en-US"/>
              </w:rPr>
              <w:t>Ongoing pregnancy at 12 weeks</w:t>
            </w:r>
          </w:p>
        </w:tc>
      </w:tr>
    </w:tbl>
    <w:p w:rsidR="007F1017" w:rsidRPr="0072416F" w:rsidRDefault="003F02EE" w:rsidP="000D2E08">
      <w:pPr>
        <w:pStyle w:val="TableFooter"/>
        <w:keepNext/>
        <w:widowControl/>
        <w:ind w:left="720"/>
      </w:pPr>
      <w:r>
        <w:t xml:space="preserve">ART = assisted reproductive therapy </w:t>
      </w:r>
      <w:r w:rsidR="007F1017" w:rsidRPr="0072416F">
        <w:t>MC=multi-centre; OL=open label; R=randomised.</w:t>
      </w:r>
    </w:p>
    <w:p w:rsidR="007F1017" w:rsidRPr="0072416F" w:rsidRDefault="007F1017" w:rsidP="000D2E08">
      <w:pPr>
        <w:pStyle w:val="TableFooter"/>
        <w:widowControl/>
        <w:ind w:firstLine="720"/>
      </w:pPr>
      <w:r w:rsidRPr="0072416F">
        <w:t>Source: compiled during the evaluation</w:t>
      </w:r>
    </w:p>
    <w:p w:rsidR="00B60939" w:rsidRPr="00882085" w:rsidRDefault="00B60939" w:rsidP="000D2E08">
      <w:pPr>
        <w:widowControl/>
        <w:rPr>
          <w:szCs w:val="22"/>
        </w:rPr>
      </w:pPr>
    </w:p>
    <w:p w:rsidR="00B60939" w:rsidRPr="002C2775" w:rsidRDefault="00B60939" w:rsidP="000D2E08">
      <w:pPr>
        <w:pStyle w:val="Heading2"/>
        <w:keepNext/>
        <w:widowControl/>
        <w:rPr>
          <w:i/>
        </w:rPr>
      </w:pPr>
      <w:bookmarkStart w:id="11" w:name="_Toc441061717"/>
      <w:r w:rsidRPr="002C2775">
        <w:rPr>
          <w:i/>
        </w:rPr>
        <w:t>Comparative effectiveness</w:t>
      </w:r>
      <w:bookmarkEnd w:id="11"/>
    </w:p>
    <w:p w:rsidR="00B60939" w:rsidRPr="00882085" w:rsidRDefault="00B60939" w:rsidP="000D2E08">
      <w:pPr>
        <w:keepNext/>
        <w:widowControl/>
        <w:rPr>
          <w:szCs w:val="22"/>
        </w:rPr>
      </w:pPr>
    </w:p>
    <w:p w:rsidR="008730F5" w:rsidRPr="002463AD" w:rsidRDefault="008730F5" w:rsidP="000D2E08">
      <w:pPr>
        <w:pStyle w:val="ListParagraph"/>
        <w:widowControl/>
        <w:numPr>
          <w:ilvl w:val="1"/>
          <w:numId w:val="1"/>
        </w:numPr>
        <w:rPr>
          <w:szCs w:val="22"/>
        </w:rPr>
      </w:pPr>
      <w:r w:rsidRPr="002463AD">
        <w:rPr>
          <w:szCs w:val="22"/>
        </w:rPr>
        <w:t>The submission claim</w:t>
      </w:r>
      <w:r w:rsidR="006A4FFF" w:rsidRPr="002463AD">
        <w:rPr>
          <w:szCs w:val="22"/>
        </w:rPr>
        <w:t>ed</w:t>
      </w:r>
      <w:r w:rsidRPr="002463AD">
        <w:rPr>
          <w:szCs w:val="22"/>
        </w:rPr>
        <w:t xml:space="preserve"> that there are no clinically meaningful differences between </w:t>
      </w:r>
      <w:proofErr w:type="spellStart"/>
      <w:r w:rsidRPr="002463AD">
        <w:rPr>
          <w:szCs w:val="22"/>
        </w:rPr>
        <w:t>Utrogestan</w:t>
      </w:r>
      <w:proofErr w:type="spellEnd"/>
      <w:r w:rsidRPr="002463AD">
        <w:rPr>
          <w:szCs w:val="22"/>
        </w:rPr>
        <w:t xml:space="preserve"> 200 mg </w:t>
      </w:r>
      <w:r w:rsidR="00ED1CFE" w:rsidRPr="002463AD">
        <w:rPr>
          <w:szCs w:val="22"/>
        </w:rPr>
        <w:t>three times daily (</w:t>
      </w:r>
      <w:proofErr w:type="spellStart"/>
      <w:r w:rsidRPr="002463AD">
        <w:rPr>
          <w:szCs w:val="22"/>
        </w:rPr>
        <w:t>tid</w:t>
      </w:r>
      <w:proofErr w:type="spellEnd"/>
      <w:r w:rsidR="00ED1CFE" w:rsidRPr="002463AD">
        <w:rPr>
          <w:szCs w:val="22"/>
        </w:rPr>
        <w:t>)</w:t>
      </w:r>
      <w:r w:rsidRPr="002463AD">
        <w:rPr>
          <w:szCs w:val="22"/>
        </w:rPr>
        <w:t xml:space="preserve"> and </w:t>
      </w:r>
      <w:proofErr w:type="spellStart"/>
      <w:r w:rsidRPr="002463AD">
        <w:rPr>
          <w:szCs w:val="22"/>
        </w:rPr>
        <w:t>Crinone</w:t>
      </w:r>
      <w:proofErr w:type="spellEnd"/>
      <w:r w:rsidRPr="002463AD">
        <w:rPr>
          <w:szCs w:val="22"/>
        </w:rPr>
        <w:t xml:space="preserve"> 8% </w:t>
      </w:r>
      <w:r w:rsidR="00ED1CFE" w:rsidRPr="002463AD">
        <w:rPr>
          <w:szCs w:val="22"/>
        </w:rPr>
        <w:t>twice daily (</w:t>
      </w:r>
      <w:proofErr w:type="spellStart"/>
      <w:r w:rsidRPr="002463AD">
        <w:rPr>
          <w:szCs w:val="22"/>
        </w:rPr>
        <w:t>bd</w:t>
      </w:r>
      <w:proofErr w:type="spellEnd"/>
      <w:r w:rsidR="00ED1CFE" w:rsidRPr="002463AD">
        <w:rPr>
          <w:szCs w:val="22"/>
        </w:rPr>
        <w:t>)</w:t>
      </w:r>
      <w:r w:rsidRPr="002463AD">
        <w:rPr>
          <w:szCs w:val="22"/>
        </w:rPr>
        <w:t xml:space="preserve"> with respect to ongoing pregnancies. This was supported by the data from KAD93 as the lower band of the CI for the efficacy population was within the </w:t>
      </w:r>
      <w:r w:rsidR="006A4FFF" w:rsidRPr="002463AD">
        <w:rPr>
          <w:szCs w:val="22"/>
        </w:rPr>
        <w:t>minimal clinically important difference (</w:t>
      </w:r>
      <w:r w:rsidRPr="002463AD">
        <w:rPr>
          <w:szCs w:val="22"/>
        </w:rPr>
        <w:t>MCID</w:t>
      </w:r>
      <w:r w:rsidR="006A4FFF" w:rsidRPr="002463AD">
        <w:rPr>
          <w:szCs w:val="22"/>
        </w:rPr>
        <w:t>)</w:t>
      </w:r>
      <w:r w:rsidRPr="002463AD">
        <w:rPr>
          <w:szCs w:val="22"/>
        </w:rPr>
        <w:t xml:space="preserve"> (i.e. less than -10%).</w:t>
      </w:r>
    </w:p>
    <w:p w:rsidR="007F1017" w:rsidRDefault="007F1017" w:rsidP="000D2E08">
      <w:pPr>
        <w:widowControl/>
        <w:rPr>
          <w:szCs w:val="22"/>
        </w:rPr>
      </w:pPr>
    </w:p>
    <w:p w:rsidR="007F1017" w:rsidRDefault="007F1017" w:rsidP="000D2E08">
      <w:pPr>
        <w:keepNext/>
        <w:widowControl/>
        <w:ind w:firstLine="720"/>
        <w:rPr>
          <w:rStyle w:val="CommentReference"/>
        </w:rPr>
      </w:pPr>
      <w:r w:rsidRPr="001F7361">
        <w:rPr>
          <w:rStyle w:val="CommentReference"/>
        </w:rPr>
        <w:t xml:space="preserve">Table </w:t>
      </w:r>
      <w:r w:rsidR="008730F5">
        <w:rPr>
          <w:rStyle w:val="CommentReference"/>
        </w:rPr>
        <w:t>3</w:t>
      </w:r>
      <w:r>
        <w:rPr>
          <w:rStyle w:val="CommentReference"/>
        </w:rPr>
        <w:t xml:space="preserve">: </w:t>
      </w:r>
      <w:r w:rsidRPr="001F7361">
        <w:rPr>
          <w:rStyle w:val="CommentReference"/>
        </w:rPr>
        <w:t xml:space="preserve">Results of </w:t>
      </w:r>
      <w:r w:rsidR="008730F5">
        <w:rPr>
          <w:rStyle w:val="CommentReference"/>
        </w:rPr>
        <w:t>ongoing pregnancy at 12 weeks in KAD 93</w:t>
      </w:r>
      <w:r w:rsidRPr="001F7361">
        <w:rPr>
          <w:rStyle w:val="CommentReference"/>
        </w:rPr>
        <w:t xml:space="preserve"> </w:t>
      </w:r>
    </w:p>
    <w:tbl>
      <w:tblPr>
        <w:tblW w:w="458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810"/>
        <w:gridCol w:w="2812"/>
      </w:tblGrid>
      <w:tr w:rsidR="008730F5" w:rsidRPr="008730F5" w:rsidTr="00ED304F">
        <w:trPr>
          <w:cantSplit/>
          <w:trHeight w:val="139"/>
        </w:trPr>
        <w:tc>
          <w:tcPr>
            <w:tcW w:w="1639" w:type="pct"/>
            <w:tcBorders>
              <w:bottom w:val="single" w:sz="4" w:space="0" w:color="auto"/>
            </w:tcBorders>
            <w:shd w:val="clear" w:color="auto" w:fill="auto"/>
            <w:tcMar>
              <w:left w:w="43" w:type="dxa"/>
              <w:right w:w="43" w:type="dxa"/>
            </w:tcMar>
          </w:tcPr>
          <w:p w:rsidR="008730F5" w:rsidRPr="008730F5" w:rsidRDefault="008730F5" w:rsidP="000D2E08">
            <w:pPr>
              <w:keepNext/>
              <w:widowControl/>
              <w:rPr>
                <w:rFonts w:ascii="Arial Narrow" w:hAnsi="Arial Narrow"/>
                <w:b/>
                <w:sz w:val="20"/>
                <w:lang w:val="en-US"/>
              </w:rPr>
            </w:pPr>
          </w:p>
        </w:tc>
        <w:tc>
          <w:tcPr>
            <w:tcW w:w="1680" w:type="pct"/>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proofErr w:type="spellStart"/>
            <w:r w:rsidRPr="008730F5">
              <w:rPr>
                <w:rFonts w:ascii="Arial Narrow" w:hAnsi="Arial Narrow"/>
                <w:b/>
                <w:sz w:val="20"/>
                <w:lang w:val="en-US"/>
              </w:rPr>
              <w:t>Utrogestan</w:t>
            </w:r>
            <w:proofErr w:type="spellEnd"/>
            <w:r w:rsidRPr="008730F5">
              <w:rPr>
                <w:rFonts w:ascii="Arial Narrow" w:hAnsi="Arial Narrow"/>
                <w:b/>
                <w:sz w:val="20"/>
                <w:lang w:val="en-US"/>
              </w:rPr>
              <w:t xml:space="preserve"> 200 mg </w:t>
            </w:r>
            <w:proofErr w:type="spellStart"/>
            <w:r w:rsidRPr="008730F5">
              <w:rPr>
                <w:rFonts w:ascii="Arial Narrow" w:hAnsi="Arial Narrow"/>
                <w:b/>
                <w:sz w:val="20"/>
                <w:lang w:val="en-US"/>
              </w:rPr>
              <w:t>tid</w:t>
            </w:r>
            <w:proofErr w:type="spellEnd"/>
          </w:p>
        </w:tc>
        <w:tc>
          <w:tcPr>
            <w:tcW w:w="1681" w:type="pct"/>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proofErr w:type="spellStart"/>
            <w:r w:rsidRPr="008730F5">
              <w:rPr>
                <w:rFonts w:ascii="Arial Narrow" w:hAnsi="Arial Narrow"/>
                <w:b/>
                <w:sz w:val="20"/>
                <w:lang w:val="en-US"/>
              </w:rPr>
              <w:t>Crinone</w:t>
            </w:r>
            <w:proofErr w:type="spellEnd"/>
            <w:r w:rsidRPr="008730F5">
              <w:rPr>
                <w:rFonts w:ascii="Arial Narrow" w:hAnsi="Arial Narrow"/>
                <w:b/>
                <w:sz w:val="20"/>
                <w:lang w:val="en-US"/>
              </w:rPr>
              <w:t xml:space="preserve"> 8% 90 mg </w:t>
            </w:r>
            <w:proofErr w:type="spellStart"/>
            <w:r w:rsidRPr="008730F5">
              <w:rPr>
                <w:rFonts w:ascii="Arial Narrow" w:hAnsi="Arial Narrow"/>
                <w:b/>
                <w:sz w:val="20"/>
                <w:lang w:val="en-US"/>
              </w:rPr>
              <w:t>bd</w:t>
            </w:r>
            <w:proofErr w:type="spellEnd"/>
          </w:p>
        </w:tc>
      </w:tr>
      <w:tr w:rsidR="008730F5" w:rsidRPr="008730F5" w:rsidTr="00ED304F">
        <w:trPr>
          <w:cantSplit/>
          <w:trHeight w:val="58"/>
        </w:trPr>
        <w:tc>
          <w:tcPr>
            <w:tcW w:w="1639" w:type="pct"/>
            <w:tcBorders>
              <w:bottom w:val="single" w:sz="4" w:space="0" w:color="auto"/>
            </w:tcBorders>
            <w:shd w:val="clear" w:color="auto" w:fill="auto"/>
            <w:tcMar>
              <w:left w:w="43" w:type="dxa"/>
              <w:right w:w="43" w:type="dxa"/>
            </w:tcMar>
          </w:tcPr>
          <w:p w:rsidR="008730F5" w:rsidRPr="008730F5" w:rsidRDefault="008730F5" w:rsidP="000D2E08">
            <w:pPr>
              <w:keepNext/>
              <w:widowControl/>
              <w:rPr>
                <w:rFonts w:ascii="Arial Narrow" w:hAnsi="Arial Narrow"/>
                <w:b/>
                <w:sz w:val="20"/>
                <w:lang w:val="en-US"/>
              </w:rPr>
            </w:pPr>
            <w:r w:rsidRPr="008730F5">
              <w:rPr>
                <w:rFonts w:ascii="Arial Narrow" w:hAnsi="Arial Narrow"/>
                <w:b/>
                <w:sz w:val="20"/>
                <w:lang w:val="en-US"/>
              </w:rPr>
              <w:t xml:space="preserve">PP Population </w:t>
            </w:r>
          </w:p>
        </w:tc>
        <w:tc>
          <w:tcPr>
            <w:tcW w:w="1680" w:type="pct"/>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r w:rsidRPr="008730F5">
              <w:rPr>
                <w:rFonts w:ascii="Arial Narrow" w:hAnsi="Arial Narrow"/>
                <w:b/>
                <w:sz w:val="20"/>
                <w:lang w:val="en-US"/>
              </w:rPr>
              <w:t>(N=218)</w:t>
            </w:r>
          </w:p>
        </w:tc>
        <w:tc>
          <w:tcPr>
            <w:tcW w:w="1681" w:type="pct"/>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r w:rsidRPr="008730F5">
              <w:rPr>
                <w:rFonts w:ascii="Arial Narrow" w:hAnsi="Arial Narrow"/>
                <w:b/>
                <w:sz w:val="20"/>
                <w:lang w:val="en-US"/>
              </w:rPr>
              <w:t>(N=212)</w:t>
            </w:r>
          </w:p>
        </w:tc>
      </w:tr>
      <w:tr w:rsidR="008730F5" w:rsidRPr="008730F5" w:rsidTr="00ED304F">
        <w:trPr>
          <w:cantSplit/>
          <w:trHeight w:val="58"/>
        </w:trPr>
        <w:tc>
          <w:tcPr>
            <w:tcW w:w="1639" w:type="pct"/>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Pregnancy Rate</w:t>
            </w:r>
          </w:p>
        </w:tc>
        <w:tc>
          <w:tcPr>
            <w:tcW w:w="1680"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55 (25.2%)</w:t>
            </w:r>
          </w:p>
        </w:tc>
        <w:tc>
          <w:tcPr>
            <w:tcW w:w="1681"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47 (22.2%)</w:t>
            </w:r>
          </w:p>
        </w:tc>
      </w:tr>
      <w:tr w:rsidR="008730F5" w:rsidRPr="008730F5" w:rsidTr="00ED304F">
        <w:trPr>
          <w:cantSplit/>
          <w:trHeight w:val="58"/>
        </w:trPr>
        <w:tc>
          <w:tcPr>
            <w:tcW w:w="1639" w:type="pct"/>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95% CI</w:t>
            </w:r>
          </w:p>
        </w:tc>
        <w:tc>
          <w:tcPr>
            <w:tcW w:w="1680"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[19.6% - 31.5%]</w:t>
            </w:r>
          </w:p>
        </w:tc>
        <w:tc>
          <w:tcPr>
            <w:tcW w:w="1681"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[16.8% - 28.4%]</w:t>
            </w:r>
          </w:p>
        </w:tc>
      </w:tr>
      <w:tr w:rsidR="008730F5" w:rsidRPr="008730F5" w:rsidTr="00ED304F">
        <w:trPr>
          <w:cantSplit/>
          <w:trHeight w:val="58"/>
        </w:trPr>
        <w:tc>
          <w:tcPr>
            <w:tcW w:w="1639" w:type="pct"/>
            <w:tcBorders>
              <w:bottom w:val="single" w:sz="4" w:space="0" w:color="auto"/>
            </w:tcBorders>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 xml:space="preserve">Difference between </w:t>
            </w:r>
            <w:proofErr w:type="spellStart"/>
            <w:r w:rsidRPr="008730F5">
              <w:rPr>
                <w:rFonts w:ascii="Arial Narrow" w:hAnsi="Arial Narrow"/>
                <w:sz w:val="20"/>
                <w:lang w:val="en-US"/>
              </w:rPr>
              <w:t>Utrogestan</w:t>
            </w:r>
            <w:proofErr w:type="spellEnd"/>
            <w:r w:rsidRPr="008730F5">
              <w:rPr>
                <w:rFonts w:ascii="Arial Narrow" w:hAnsi="Arial Narrow"/>
                <w:sz w:val="20"/>
                <w:lang w:val="en-US"/>
              </w:rPr>
              <w:t xml:space="preserve"> and </w:t>
            </w:r>
            <w:proofErr w:type="spellStart"/>
            <w:r w:rsidRPr="008730F5">
              <w:rPr>
                <w:rFonts w:ascii="Arial Narrow" w:hAnsi="Arial Narrow"/>
                <w:sz w:val="20"/>
                <w:lang w:val="en-US"/>
              </w:rPr>
              <w:t>Crinone</w:t>
            </w:r>
            <w:proofErr w:type="spellEnd"/>
            <w:r w:rsidRPr="008730F5">
              <w:rPr>
                <w:rFonts w:ascii="Arial Narrow" w:hAnsi="Arial Narrow"/>
                <w:sz w:val="20"/>
                <w:lang w:val="en-US"/>
              </w:rPr>
              <w:t xml:space="preserve"> 8% [90% CI lower bound]</w:t>
            </w:r>
          </w:p>
        </w:tc>
        <w:tc>
          <w:tcPr>
            <w:tcW w:w="3361" w:type="pct"/>
            <w:gridSpan w:val="2"/>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3.09%</w:t>
            </w:r>
            <w:r w:rsidRPr="008730F5">
              <w:rPr>
                <w:rFonts w:ascii="Arial Narrow" w:hAnsi="Arial Narrow"/>
                <w:sz w:val="20"/>
                <w:lang w:val="en-US"/>
              </w:rPr>
              <w:br/>
              <w:t>[-3.85]</w:t>
            </w:r>
          </w:p>
        </w:tc>
      </w:tr>
      <w:tr w:rsidR="008730F5" w:rsidRPr="008730F5" w:rsidTr="00ED304F">
        <w:trPr>
          <w:cantSplit/>
          <w:trHeight w:val="58"/>
        </w:trPr>
        <w:tc>
          <w:tcPr>
            <w:tcW w:w="1639" w:type="pct"/>
            <w:shd w:val="clear" w:color="auto" w:fill="auto"/>
            <w:tcMar>
              <w:left w:w="43" w:type="dxa"/>
              <w:right w:w="43" w:type="dxa"/>
            </w:tcMar>
          </w:tcPr>
          <w:p w:rsidR="008730F5" w:rsidRPr="008730F5" w:rsidRDefault="008730F5" w:rsidP="000D2E08">
            <w:pPr>
              <w:keepNext/>
              <w:widowControl/>
              <w:rPr>
                <w:rFonts w:ascii="Arial Narrow" w:hAnsi="Arial Narrow"/>
                <w:b/>
                <w:sz w:val="20"/>
                <w:lang w:val="en-US"/>
              </w:rPr>
            </w:pPr>
            <w:r w:rsidRPr="008730F5">
              <w:rPr>
                <w:rFonts w:ascii="Arial Narrow" w:hAnsi="Arial Narrow"/>
                <w:b/>
                <w:sz w:val="20"/>
                <w:lang w:val="en-US"/>
              </w:rPr>
              <w:t>ITT (Efficacy) Population</w:t>
            </w:r>
          </w:p>
        </w:tc>
        <w:tc>
          <w:tcPr>
            <w:tcW w:w="1680" w:type="pct"/>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r w:rsidRPr="008730F5">
              <w:rPr>
                <w:rFonts w:ascii="Arial Narrow" w:hAnsi="Arial Narrow"/>
                <w:b/>
                <w:sz w:val="20"/>
                <w:lang w:val="en-US"/>
              </w:rPr>
              <w:t>(N=218)</w:t>
            </w:r>
          </w:p>
        </w:tc>
        <w:tc>
          <w:tcPr>
            <w:tcW w:w="1681" w:type="pct"/>
            <w:shd w:val="clear" w:color="auto" w:fill="auto"/>
            <w:tcMar>
              <w:left w:w="43" w:type="dxa"/>
              <w:right w:w="43" w:type="dxa"/>
            </w:tcMar>
          </w:tcPr>
          <w:p w:rsidR="008730F5" w:rsidRPr="008730F5" w:rsidRDefault="008730F5" w:rsidP="000D2E08">
            <w:pPr>
              <w:keepNext/>
              <w:widowControl/>
              <w:jc w:val="center"/>
              <w:rPr>
                <w:rFonts w:ascii="Arial Narrow" w:hAnsi="Arial Narrow"/>
                <w:b/>
                <w:sz w:val="20"/>
                <w:lang w:val="en-US"/>
              </w:rPr>
            </w:pPr>
            <w:r w:rsidRPr="008730F5">
              <w:rPr>
                <w:rFonts w:ascii="Arial Narrow" w:hAnsi="Arial Narrow"/>
                <w:b/>
                <w:sz w:val="20"/>
                <w:lang w:val="en-US"/>
              </w:rPr>
              <w:t>(N=212)</w:t>
            </w:r>
          </w:p>
        </w:tc>
      </w:tr>
      <w:tr w:rsidR="008730F5" w:rsidRPr="008730F5" w:rsidTr="00ED304F">
        <w:trPr>
          <w:cantSplit/>
          <w:trHeight w:val="338"/>
        </w:trPr>
        <w:tc>
          <w:tcPr>
            <w:tcW w:w="1639" w:type="pct"/>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Pregnancy Rate</w:t>
            </w:r>
          </w:p>
        </w:tc>
        <w:tc>
          <w:tcPr>
            <w:tcW w:w="1680"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61 (28%)</w:t>
            </w:r>
          </w:p>
        </w:tc>
        <w:tc>
          <w:tcPr>
            <w:tcW w:w="1681"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57 (26.9%)</w:t>
            </w:r>
          </w:p>
        </w:tc>
      </w:tr>
      <w:tr w:rsidR="008730F5" w:rsidRPr="008730F5" w:rsidTr="00ED304F">
        <w:trPr>
          <w:cantSplit/>
          <w:trHeight w:val="58"/>
        </w:trPr>
        <w:tc>
          <w:tcPr>
            <w:tcW w:w="1639" w:type="pct"/>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95% CI</w:t>
            </w:r>
          </w:p>
        </w:tc>
        <w:tc>
          <w:tcPr>
            <w:tcW w:w="1680"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[22.1% - 34.4%]</w:t>
            </w:r>
          </w:p>
        </w:tc>
        <w:tc>
          <w:tcPr>
            <w:tcW w:w="1681" w:type="pct"/>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[21.0% – 33.4%]</w:t>
            </w:r>
          </w:p>
        </w:tc>
      </w:tr>
      <w:tr w:rsidR="008730F5" w:rsidRPr="008730F5" w:rsidTr="00ED304F">
        <w:trPr>
          <w:cantSplit/>
          <w:trHeight w:val="58"/>
        </w:trPr>
        <w:tc>
          <w:tcPr>
            <w:tcW w:w="1639" w:type="pct"/>
            <w:tcBorders>
              <w:bottom w:val="single" w:sz="4" w:space="0" w:color="auto"/>
            </w:tcBorders>
            <w:shd w:val="clear" w:color="auto" w:fill="auto"/>
            <w:tcMar>
              <w:left w:w="43" w:type="dxa"/>
              <w:right w:w="43" w:type="dxa"/>
            </w:tcMar>
          </w:tcPr>
          <w:p w:rsidR="008730F5" w:rsidRPr="008730F5" w:rsidRDefault="008730F5" w:rsidP="000D2E08">
            <w:pPr>
              <w:keepNext/>
              <w:widowControl/>
              <w:rPr>
                <w:rFonts w:ascii="Arial Narrow" w:hAnsi="Arial Narrow"/>
                <w:sz w:val="20"/>
                <w:lang w:val="en-US"/>
              </w:rPr>
            </w:pPr>
            <w:r w:rsidRPr="008730F5">
              <w:rPr>
                <w:rFonts w:ascii="Arial Narrow" w:hAnsi="Arial Narrow"/>
                <w:sz w:val="20"/>
                <w:lang w:val="en-US"/>
              </w:rPr>
              <w:t xml:space="preserve">Difference between </w:t>
            </w:r>
            <w:proofErr w:type="spellStart"/>
            <w:r w:rsidRPr="008730F5">
              <w:rPr>
                <w:rFonts w:ascii="Arial Narrow" w:hAnsi="Arial Narrow"/>
                <w:sz w:val="20"/>
                <w:lang w:val="en-US"/>
              </w:rPr>
              <w:t>Utrogestan</w:t>
            </w:r>
            <w:proofErr w:type="spellEnd"/>
            <w:r w:rsidRPr="008730F5">
              <w:rPr>
                <w:rFonts w:ascii="Arial Narrow" w:hAnsi="Arial Narrow"/>
                <w:sz w:val="20"/>
                <w:lang w:val="en-US"/>
              </w:rPr>
              <w:t xml:space="preserve"> and </w:t>
            </w:r>
            <w:proofErr w:type="spellStart"/>
            <w:r w:rsidRPr="008730F5">
              <w:rPr>
                <w:rFonts w:ascii="Arial Narrow" w:hAnsi="Arial Narrow"/>
                <w:sz w:val="20"/>
                <w:lang w:val="en-US"/>
              </w:rPr>
              <w:t>Crinone</w:t>
            </w:r>
            <w:proofErr w:type="spellEnd"/>
            <w:r w:rsidRPr="008730F5">
              <w:rPr>
                <w:rFonts w:ascii="Arial Narrow" w:hAnsi="Arial Narrow"/>
                <w:sz w:val="20"/>
                <w:lang w:val="en-US"/>
              </w:rPr>
              <w:t xml:space="preserve"> 8% [90% CI lower bound]</w:t>
            </w:r>
          </w:p>
        </w:tc>
        <w:tc>
          <w:tcPr>
            <w:tcW w:w="3361" w:type="pct"/>
            <w:gridSpan w:val="2"/>
            <w:tcBorders>
              <w:bottom w:val="single" w:sz="4" w:space="0" w:color="auto"/>
            </w:tcBorders>
            <w:shd w:val="clear" w:color="auto" w:fill="auto"/>
            <w:tcMar>
              <w:left w:w="43" w:type="dxa"/>
              <w:right w:w="43" w:type="dxa"/>
            </w:tcMar>
          </w:tcPr>
          <w:p w:rsidR="008730F5" w:rsidRPr="008730F5" w:rsidRDefault="008730F5" w:rsidP="000D2E08">
            <w:pPr>
              <w:keepNext/>
              <w:widowControl/>
              <w:jc w:val="center"/>
              <w:rPr>
                <w:rFonts w:ascii="Arial Narrow" w:hAnsi="Arial Narrow"/>
                <w:sz w:val="20"/>
                <w:lang w:val="en-US"/>
              </w:rPr>
            </w:pPr>
            <w:r w:rsidRPr="008730F5">
              <w:rPr>
                <w:rFonts w:ascii="Arial Narrow" w:hAnsi="Arial Narrow"/>
                <w:sz w:val="20"/>
                <w:lang w:val="en-US"/>
              </w:rPr>
              <w:t>1.09%</w:t>
            </w:r>
            <w:r w:rsidRPr="008730F5">
              <w:rPr>
                <w:rFonts w:ascii="Arial Narrow" w:hAnsi="Arial Narrow"/>
                <w:sz w:val="20"/>
                <w:lang w:val="en-US"/>
              </w:rPr>
              <w:br/>
              <w:t>[-6.13%]</w:t>
            </w:r>
          </w:p>
        </w:tc>
      </w:tr>
    </w:tbl>
    <w:p w:rsidR="008730F5" w:rsidRPr="008730F5" w:rsidRDefault="008730F5" w:rsidP="000D2E08">
      <w:pPr>
        <w:keepNext/>
        <w:widowControl/>
        <w:ind w:firstLine="709"/>
        <w:rPr>
          <w:rFonts w:ascii="Arial Narrow" w:hAnsi="Arial Narrow"/>
          <w:sz w:val="18"/>
          <w:szCs w:val="18"/>
        </w:rPr>
      </w:pPr>
      <w:r w:rsidRPr="008730F5">
        <w:rPr>
          <w:rFonts w:ascii="Arial Narrow" w:hAnsi="Arial Narrow"/>
          <w:sz w:val="18"/>
          <w:szCs w:val="18"/>
        </w:rPr>
        <w:t>Source: Submission p</w:t>
      </w:r>
      <w:r w:rsidR="006A4FFF">
        <w:rPr>
          <w:rFonts w:ascii="Arial Narrow" w:hAnsi="Arial Narrow"/>
          <w:sz w:val="18"/>
          <w:szCs w:val="18"/>
        </w:rPr>
        <w:t>p</w:t>
      </w:r>
      <w:r w:rsidRPr="008730F5">
        <w:rPr>
          <w:rFonts w:ascii="Arial Narrow" w:hAnsi="Arial Narrow"/>
          <w:sz w:val="18"/>
          <w:szCs w:val="18"/>
        </w:rPr>
        <w:t xml:space="preserve"> 56</w:t>
      </w:r>
      <w:r w:rsidR="006A4FFF">
        <w:rPr>
          <w:rFonts w:ascii="Arial Narrow" w:hAnsi="Arial Narrow"/>
          <w:sz w:val="18"/>
          <w:szCs w:val="18"/>
        </w:rPr>
        <w:t>-57</w:t>
      </w:r>
    </w:p>
    <w:p w:rsidR="008730F5" w:rsidRPr="008730F5" w:rsidRDefault="008730F5" w:rsidP="000D2E08">
      <w:pPr>
        <w:widowControl/>
        <w:ind w:left="709"/>
        <w:rPr>
          <w:rFonts w:ascii="Arial Narrow" w:hAnsi="Arial Narrow"/>
          <w:sz w:val="18"/>
          <w:szCs w:val="18"/>
        </w:rPr>
      </w:pPr>
      <w:r w:rsidRPr="008730F5">
        <w:rPr>
          <w:rFonts w:ascii="Arial Narrow" w:hAnsi="Arial Narrow"/>
          <w:sz w:val="18"/>
          <w:szCs w:val="18"/>
        </w:rPr>
        <w:t xml:space="preserve">Abbreviations: PP = per protocol, ITT = intention to treat, CI = confidence interval, </w:t>
      </w:r>
      <w:proofErr w:type="spellStart"/>
      <w:r w:rsidRPr="008730F5">
        <w:rPr>
          <w:rFonts w:ascii="Arial Narrow" w:hAnsi="Arial Narrow"/>
          <w:sz w:val="18"/>
          <w:szCs w:val="18"/>
        </w:rPr>
        <w:t>tid</w:t>
      </w:r>
      <w:proofErr w:type="spellEnd"/>
      <w:r w:rsidRPr="008730F5">
        <w:rPr>
          <w:rFonts w:ascii="Arial Narrow" w:hAnsi="Arial Narrow"/>
          <w:sz w:val="18"/>
          <w:szCs w:val="18"/>
        </w:rPr>
        <w:t xml:space="preserve"> = three times daily, </w:t>
      </w:r>
      <w:proofErr w:type="spellStart"/>
      <w:r w:rsidRPr="008730F5">
        <w:rPr>
          <w:rFonts w:ascii="Arial Narrow" w:hAnsi="Arial Narrow"/>
          <w:sz w:val="18"/>
          <w:szCs w:val="18"/>
        </w:rPr>
        <w:t>bd</w:t>
      </w:r>
      <w:proofErr w:type="spellEnd"/>
      <w:r w:rsidRPr="008730F5">
        <w:rPr>
          <w:rFonts w:ascii="Arial Narrow" w:hAnsi="Arial Narrow"/>
          <w:sz w:val="18"/>
          <w:szCs w:val="18"/>
        </w:rPr>
        <w:t xml:space="preserve"> = twice daily</w:t>
      </w:r>
    </w:p>
    <w:p w:rsidR="00B60939" w:rsidRPr="00882085" w:rsidRDefault="00B60939" w:rsidP="000D2E08">
      <w:pPr>
        <w:widowControl/>
        <w:rPr>
          <w:szCs w:val="22"/>
        </w:rPr>
      </w:pPr>
    </w:p>
    <w:p w:rsidR="00B60939" w:rsidRPr="002C2775" w:rsidRDefault="00B60939" w:rsidP="000D2E08">
      <w:pPr>
        <w:pStyle w:val="Heading2"/>
        <w:widowControl/>
        <w:rPr>
          <w:i/>
        </w:rPr>
      </w:pPr>
      <w:bookmarkStart w:id="12" w:name="_Toc441061718"/>
      <w:r w:rsidRPr="002C2775">
        <w:rPr>
          <w:i/>
        </w:rPr>
        <w:t>Comparative harms</w:t>
      </w:r>
      <w:bookmarkEnd w:id="12"/>
    </w:p>
    <w:p w:rsidR="00B60939" w:rsidRPr="00882085" w:rsidRDefault="00B60939" w:rsidP="000D2E08">
      <w:pPr>
        <w:widowControl/>
        <w:ind w:left="720" w:hanging="720"/>
        <w:rPr>
          <w:szCs w:val="22"/>
        </w:rPr>
      </w:pPr>
    </w:p>
    <w:p w:rsidR="008730F5" w:rsidRPr="002463AD" w:rsidRDefault="008730F5" w:rsidP="000D2E08">
      <w:pPr>
        <w:pStyle w:val="ListParagraph"/>
        <w:widowControl/>
        <w:numPr>
          <w:ilvl w:val="1"/>
          <w:numId w:val="1"/>
        </w:numPr>
      </w:pPr>
      <w:r w:rsidRPr="002463AD">
        <w:rPr>
          <w:szCs w:val="22"/>
        </w:rPr>
        <w:t>The submission claim</w:t>
      </w:r>
      <w:r w:rsidR="00E35797" w:rsidRPr="002463AD">
        <w:rPr>
          <w:szCs w:val="22"/>
        </w:rPr>
        <w:t>ed</w:t>
      </w:r>
      <w:r w:rsidRPr="002463AD">
        <w:rPr>
          <w:szCs w:val="22"/>
        </w:rPr>
        <w:t xml:space="preserve"> that there are no clinically meaningful differences between </w:t>
      </w:r>
      <w:proofErr w:type="spellStart"/>
      <w:r w:rsidRPr="002463AD">
        <w:rPr>
          <w:szCs w:val="22"/>
        </w:rPr>
        <w:t>Utrogestan</w:t>
      </w:r>
      <w:proofErr w:type="spellEnd"/>
      <w:r w:rsidRPr="002463AD">
        <w:rPr>
          <w:szCs w:val="22"/>
        </w:rPr>
        <w:t xml:space="preserve"> 200 mg </w:t>
      </w:r>
      <w:proofErr w:type="spellStart"/>
      <w:r w:rsidRPr="002463AD">
        <w:rPr>
          <w:szCs w:val="22"/>
        </w:rPr>
        <w:t>tid</w:t>
      </w:r>
      <w:proofErr w:type="spellEnd"/>
      <w:r w:rsidRPr="002463AD">
        <w:rPr>
          <w:szCs w:val="22"/>
        </w:rPr>
        <w:t xml:space="preserve"> and </w:t>
      </w:r>
      <w:proofErr w:type="spellStart"/>
      <w:r w:rsidRPr="002463AD">
        <w:rPr>
          <w:szCs w:val="22"/>
        </w:rPr>
        <w:t>Crinone</w:t>
      </w:r>
      <w:proofErr w:type="spellEnd"/>
      <w:r w:rsidRPr="002463AD">
        <w:rPr>
          <w:szCs w:val="22"/>
        </w:rPr>
        <w:t xml:space="preserve"> 8% </w:t>
      </w:r>
      <w:proofErr w:type="spellStart"/>
      <w:r w:rsidRPr="002463AD">
        <w:rPr>
          <w:szCs w:val="22"/>
        </w:rPr>
        <w:t>bd</w:t>
      </w:r>
      <w:proofErr w:type="spellEnd"/>
      <w:r w:rsidRPr="002463AD">
        <w:rPr>
          <w:szCs w:val="22"/>
        </w:rPr>
        <w:t xml:space="preserve"> with respect to adverse events. This was supported by the data</w:t>
      </w:r>
      <w:r w:rsidR="00E35797" w:rsidRPr="002463AD">
        <w:rPr>
          <w:szCs w:val="22"/>
        </w:rPr>
        <w:t xml:space="preserve"> presented;</w:t>
      </w:r>
      <w:r w:rsidRPr="002463AD">
        <w:t xml:space="preserve"> however, it should be noted that </w:t>
      </w:r>
      <w:r w:rsidR="00DD1C7D" w:rsidRPr="002463AD">
        <w:t xml:space="preserve">two </w:t>
      </w:r>
      <w:r w:rsidRPr="002463AD">
        <w:t>of the excluded studies (</w:t>
      </w:r>
      <w:proofErr w:type="spellStart"/>
      <w:r w:rsidRPr="002463AD">
        <w:t>Simun</w:t>
      </w:r>
      <w:r w:rsidR="00DD1C7D" w:rsidRPr="002463AD">
        <w:t>i</w:t>
      </w:r>
      <w:r w:rsidRPr="002463AD">
        <w:t>c</w:t>
      </w:r>
      <w:proofErr w:type="spellEnd"/>
      <w:r w:rsidRPr="002463AD">
        <w:t xml:space="preserve"> 2007</w:t>
      </w:r>
      <w:r w:rsidR="0031241E" w:rsidRPr="002463AD">
        <w:t xml:space="preserve"> </w:t>
      </w:r>
      <w:r w:rsidRPr="002463AD">
        <w:t xml:space="preserve">and Ludwig 2002) found significantly more adverse events and tolerability issues were associated with </w:t>
      </w:r>
      <w:proofErr w:type="spellStart"/>
      <w:r w:rsidRPr="002463AD">
        <w:t>Utrogestan</w:t>
      </w:r>
      <w:proofErr w:type="spellEnd"/>
      <w:r w:rsidRPr="002463AD">
        <w:t>, with the most common of these being vaginal discharge</w:t>
      </w:r>
      <w:r w:rsidR="00FA0887" w:rsidRPr="002463AD">
        <w:t>. In addition, Geber (2007, noted that progesterone capsules are associated with more vaginal discharge than vaginal gels.</w:t>
      </w:r>
      <w:r w:rsidRPr="002463AD">
        <w:t xml:space="preserve"> </w:t>
      </w:r>
      <w:r w:rsidR="00FA0887" w:rsidRPr="002463AD">
        <w:t>All three</w:t>
      </w:r>
      <w:r w:rsidRPr="002463AD">
        <w:t xml:space="preserve"> studies compared </w:t>
      </w:r>
      <w:proofErr w:type="spellStart"/>
      <w:r w:rsidRPr="002463AD">
        <w:t>Utrogestan</w:t>
      </w:r>
      <w:proofErr w:type="spellEnd"/>
      <w:r w:rsidRPr="002463AD">
        <w:t xml:space="preserve"> 200 mg </w:t>
      </w:r>
      <w:proofErr w:type="spellStart"/>
      <w:r w:rsidRPr="002463AD">
        <w:t>tid</w:t>
      </w:r>
      <w:proofErr w:type="spellEnd"/>
      <w:r w:rsidRPr="002463AD">
        <w:t xml:space="preserve"> to </w:t>
      </w:r>
      <w:proofErr w:type="spellStart"/>
      <w:r w:rsidRPr="002463AD">
        <w:t>Crinone</w:t>
      </w:r>
      <w:proofErr w:type="spellEnd"/>
      <w:r w:rsidRPr="002463AD">
        <w:t xml:space="preserve"> 8% 90 mg</w:t>
      </w:r>
      <w:r w:rsidR="00FA0887" w:rsidRPr="002463AD">
        <w:t xml:space="preserve"> once daily</w:t>
      </w:r>
      <w:r w:rsidRPr="002463AD">
        <w:t xml:space="preserve"> </w:t>
      </w:r>
      <w:r w:rsidR="00FA0887" w:rsidRPr="002463AD">
        <w:t>(</w:t>
      </w:r>
      <w:r w:rsidRPr="002463AD">
        <w:t>qd</w:t>
      </w:r>
      <w:r w:rsidR="00FA0887" w:rsidRPr="002463AD">
        <w:t>)</w:t>
      </w:r>
      <w:r w:rsidRPr="002463AD">
        <w:t>.</w:t>
      </w:r>
    </w:p>
    <w:p w:rsidR="00B60939" w:rsidRDefault="00B60939" w:rsidP="000D2E08">
      <w:pPr>
        <w:pStyle w:val="ListParagraph"/>
        <w:widowControl/>
        <w:ind w:left="0"/>
        <w:rPr>
          <w:szCs w:val="22"/>
        </w:rPr>
      </w:pPr>
    </w:p>
    <w:p w:rsidR="00B60939" w:rsidRPr="002C2775" w:rsidRDefault="00B60939" w:rsidP="000D2E08">
      <w:pPr>
        <w:pStyle w:val="Heading2"/>
        <w:keepNext/>
        <w:widowControl/>
        <w:rPr>
          <w:i/>
        </w:rPr>
      </w:pPr>
      <w:bookmarkStart w:id="13" w:name="_Toc441061719"/>
      <w:r w:rsidRPr="002C2775">
        <w:rPr>
          <w:i/>
        </w:rPr>
        <w:t>Clinical claim</w:t>
      </w:r>
      <w:bookmarkEnd w:id="13"/>
    </w:p>
    <w:p w:rsidR="00B60939" w:rsidRPr="00882085" w:rsidRDefault="00B60939" w:rsidP="000D2E08">
      <w:pPr>
        <w:keepNext/>
        <w:widowControl/>
        <w:ind w:left="720" w:hanging="720"/>
        <w:rPr>
          <w:szCs w:val="22"/>
        </w:rPr>
      </w:pPr>
    </w:p>
    <w:p w:rsidR="00ED304F" w:rsidRPr="00EE5CFA" w:rsidRDefault="008730F5" w:rsidP="000D2E08">
      <w:pPr>
        <w:pStyle w:val="ListParagraph"/>
        <w:widowControl/>
        <w:numPr>
          <w:ilvl w:val="1"/>
          <w:numId w:val="1"/>
        </w:numPr>
        <w:rPr>
          <w:szCs w:val="22"/>
        </w:rPr>
      </w:pPr>
      <w:r w:rsidRPr="002463AD">
        <w:t>The submission claim</w:t>
      </w:r>
      <w:r w:rsidR="00584D41" w:rsidRPr="002463AD">
        <w:t>ed</w:t>
      </w:r>
      <w:r w:rsidRPr="002463AD">
        <w:t xml:space="preserve"> that </w:t>
      </w:r>
      <w:proofErr w:type="spellStart"/>
      <w:r w:rsidRPr="002463AD">
        <w:t>Utrogestan</w:t>
      </w:r>
      <w:proofErr w:type="spellEnd"/>
      <w:r w:rsidRPr="002463AD">
        <w:t xml:space="preserve"> 200mg </w:t>
      </w:r>
      <w:proofErr w:type="spellStart"/>
      <w:r w:rsidR="00300A5E" w:rsidRPr="002463AD">
        <w:t>tid</w:t>
      </w:r>
      <w:proofErr w:type="spellEnd"/>
      <w:r w:rsidR="00300A5E" w:rsidRPr="002463AD">
        <w:t xml:space="preserve"> is non-inferior to </w:t>
      </w:r>
      <w:proofErr w:type="spellStart"/>
      <w:r w:rsidR="00300A5E" w:rsidRPr="002463AD">
        <w:t>Crinone</w:t>
      </w:r>
      <w:proofErr w:type="spellEnd"/>
      <w:r w:rsidR="00300A5E" w:rsidRPr="002463AD">
        <w:t xml:space="preserve"> 8% 90mg </w:t>
      </w:r>
      <w:proofErr w:type="spellStart"/>
      <w:r w:rsidR="00300A5E" w:rsidRPr="002463AD">
        <w:t>bd</w:t>
      </w:r>
      <w:proofErr w:type="spellEnd"/>
      <w:r w:rsidR="00300A5E" w:rsidRPr="002463AD">
        <w:t xml:space="preserve">, in terms of both efficacy and safety. </w:t>
      </w:r>
      <w:r w:rsidR="009E5A2E" w:rsidRPr="002463AD">
        <w:t>This is reasonable</w:t>
      </w:r>
      <w:r w:rsidR="00942813" w:rsidRPr="002463AD">
        <w:t xml:space="preserve">. </w:t>
      </w:r>
    </w:p>
    <w:p w:rsidR="00EE5CFA" w:rsidRPr="002463AD" w:rsidRDefault="00EE5CFA" w:rsidP="000D2E08">
      <w:pPr>
        <w:pStyle w:val="ListParagraph"/>
        <w:widowControl/>
        <w:rPr>
          <w:szCs w:val="22"/>
        </w:rPr>
      </w:pPr>
    </w:p>
    <w:p w:rsidR="00EE5CFA" w:rsidRPr="000129AB" w:rsidRDefault="00EE5CFA" w:rsidP="000D2E08">
      <w:pPr>
        <w:pStyle w:val="ListParagraph"/>
        <w:widowControl/>
        <w:numPr>
          <w:ilvl w:val="1"/>
          <w:numId w:val="1"/>
        </w:numPr>
        <w:jc w:val="left"/>
        <w:rPr>
          <w:bCs/>
          <w:szCs w:val="22"/>
        </w:rPr>
      </w:pPr>
      <w:r w:rsidRPr="000129AB">
        <w:rPr>
          <w:bCs/>
          <w:szCs w:val="22"/>
        </w:rPr>
        <w:lastRenderedPageBreak/>
        <w:t>The PBAC considered that the claim of non-inferior comparative effectiveness was reasonable.</w:t>
      </w:r>
    </w:p>
    <w:p w:rsidR="00EE5CFA" w:rsidRPr="000129AB" w:rsidRDefault="00EE5CFA" w:rsidP="000D2E08">
      <w:pPr>
        <w:pStyle w:val="ListParagraph"/>
        <w:widowControl/>
        <w:jc w:val="left"/>
        <w:rPr>
          <w:bCs/>
          <w:szCs w:val="22"/>
        </w:rPr>
      </w:pPr>
    </w:p>
    <w:p w:rsidR="00EE5CFA" w:rsidRPr="000129AB" w:rsidRDefault="00EE5CFA" w:rsidP="000D2E08">
      <w:pPr>
        <w:pStyle w:val="ListParagraph"/>
        <w:widowControl/>
        <w:numPr>
          <w:ilvl w:val="1"/>
          <w:numId w:val="1"/>
        </w:numPr>
        <w:rPr>
          <w:szCs w:val="22"/>
        </w:rPr>
      </w:pPr>
      <w:r w:rsidRPr="000129AB">
        <w:rPr>
          <w:szCs w:val="22"/>
        </w:rPr>
        <w:t>The PBAC considered that the claim of non-inferior comparative safety was reasonable.</w:t>
      </w:r>
    </w:p>
    <w:p w:rsidR="00B60939" w:rsidRPr="00882085" w:rsidRDefault="00B60939" w:rsidP="000D2E08">
      <w:pPr>
        <w:widowControl/>
        <w:ind w:left="720" w:hanging="720"/>
        <w:rPr>
          <w:szCs w:val="22"/>
        </w:rPr>
      </w:pPr>
    </w:p>
    <w:p w:rsidR="00B60939" w:rsidRPr="002C2775" w:rsidRDefault="00B60939" w:rsidP="000D2E08">
      <w:pPr>
        <w:pStyle w:val="Heading2"/>
        <w:keepNext/>
        <w:widowControl/>
        <w:rPr>
          <w:i/>
        </w:rPr>
      </w:pPr>
      <w:bookmarkStart w:id="14" w:name="_Toc441061720"/>
      <w:r w:rsidRPr="002C2775">
        <w:rPr>
          <w:i/>
        </w:rPr>
        <w:t>Economic analysis</w:t>
      </w:r>
      <w:bookmarkEnd w:id="14"/>
    </w:p>
    <w:p w:rsidR="00A86E8B" w:rsidRPr="00A86E8B" w:rsidRDefault="00A86E8B" w:rsidP="000D2E08">
      <w:pPr>
        <w:keepNext/>
        <w:widowControl/>
        <w:rPr>
          <w:szCs w:val="22"/>
        </w:rPr>
      </w:pPr>
    </w:p>
    <w:p w:rsidR="00A86E8B" w:rsidRPr="009858F5" w:rsidRDefault="00A86E8B" w:rsidP="000D2E08">
      <w:pPr>
        <w:pStyle w:val="ListParagraph"/>
        <w:widowControl/>
        <w:numPr>
          <w:ilvl w:val="1"/>
          <w:numId w:val="1"/>
        </w:numPr>
        <w:rPr>
          <w:szCs w:val="22"/>
        </w:rPr>
      </w:pPr>
      <w:r w:rsidRPr="009858F5">
        <w:t xml:space="preserve">The </w:t>
      </w:r>
      <w:proofErr w:type="spellStart"/>
      <w:r w:rsidRPr="009858F5">
        <w:t>equi</w:t>
      </w:r>
      <w:proofErr w:type="spellEnd"/>
      <w:r w:rsidRPr="009858F5">
        <w:t xml:space="preserve">-effective doses are estimated as </w:t>
      </w:r>
      <w:proofErr w:type="spellStart"/>
      <w:r w:rsidR="00300A5E" w:rsidRPr="009858F5">
        <w:t>Utrogestan</w:t>
      </w:r>
      <w:proofErr w:type="spellEnd"/>
      <w:r w:rsidR="00300A5E" w:rsidRPr="009858F5">
        <w:t xml:space="preserve"> 200mg </w:t>
      </w:r>
      <w:proofErr w:type="spellStart"/>
      <w:r w:rsidR="00300A5E" w:rsidRPr="009858F5">
        <w:t>tid</w:t>
      </w:r>
      <w:proofErr w:type="spellEnd"/>
      <w:r w:rsidR="00300A5E" w:rsidRPr="009858F5">
        <w:t xml:space="preserve"> </w:t>
      </w:r>
      <w:r w:rsidR="00A032B5">
        <w:t xml:space="preserve">(600 mg per day) </w:t>
      </w:r>
      <w:r w:rsidRPr="009858F5">
        <w:t>and</w:t>
      </w:r>
      <w:r w:rsidR="00300A5E" w:rsidRPr="009858F5">
        <w:t xml:space="preserve"> </w:t>
      </w:r>
      <w:proofErr w:type="spellStart"/>
      <w:r w:rsidR="00300A5E" w:rsidRPr="009858F5">
        <w:t>Crinone</w:t>
      </w:r>
      <w:proofErr w:type="spellEnd"/>
      <w:r w:rsidR="00300A5E" w:rsidRPr="009858F5">
        <w:t xml:space="preserve"> 8% 90mg </w:t>
      </w:r>
      <w:proofErr w:type="spellStart"/>
      <w:r w:rsidR="00300A5E" w:rsidRPr="009858F5">
        <w:t>bd</w:t>
      </w:r>
      <w:proofErr w:type="spellEnd"/>
      <w:r w:rsidR="00A032B5">
        <w:t xml:space="preserve"> (180 mg per day)</w:t>
      </w:r>
      <w:r w:rsidR="00300A5E" w:rsidRPr="009858F5">
        <w:t xml:space="preserve">. </w:t>
      </w:r>
    </w:p>
    <w:p w:rsidR="009858F5" w:rsidRPr="009858F5" w:rsidRDefault="009858F5" w:rsidP="000D2E08">
      <w:pPr>
        <w:pStyle w:val="ListParagraph"/>
        <w:widowControl/>
        <w:rPr>
          <w:szCs w:val="22"/>
        </w:rPr>
      </w:pPr>
    </w:p>
    <w:p w:rsidR="009858F5" w:rsidRPr="00880F4C" w:rsidRDefault="009858F5" w:rsidP="000D2E08">
      <w:pPr>
        <w:keepNext/>
        <w:widowControl/>
        <w:ind w:firstLine="720"/>
        <w:rPr>
          <w:rFonts w:ascii="Arial Narrow" w:hAnsi="Arial Narrow"/>
          <w:b/>
          <w:sz w:val="20"/>
        </w:rPr>
      </w:pPr>
      <w:r w:rsidRPr="00880F4C">
        <w:rPr>
          <w:rFonts w:ascii="Arial Narrow" w:hAnsi="Arial Narrow"/>
          <w:b/>
          <w:sz w:val="20"/>
        </w:rPr>
        <w:t xml:space="preserve">Table 4: Results of the cost-minimisation analysis </w:t>
      </w:r>
    </w:p>
    <w:tbl>
      <w:tblPr>
        <w:tblStyle w:val="TableGrid"/>
        <w:tblW w:w="0" w:type="auto"/>
        <w:tblInd w:w="817" w:type="dxa"/>
        <w:tblLook w:val="04A0" w:firstRow="1" w:lastRow="0" w:firstColumn="1" w:lastColumn="0" w:noHBand="0" w:noVBand="1"/>
        <w:tblCaption w:val="Results of the cost-minimisation analysis "/>
      </w:tblPr>
      <w:tblGrid>
        <w:gridCol w:w="2263"/>
        <w:gridCol w:w="3081"/>
        <w:gridCol w:w="3081"/>
      </w:tblGrid>
      <w:tr w:rsidR="009858F5" w:rsidRPr="009858F5" w:rsidTr="00B91E4F">
        <w:trPr>
          <w:tblHeader/>
        </w:trPr>
        <w:tc>
          <w:tcPr>
            <w:tcW w:w="2263" w:type="dxa"/>
          </w:tcPr>
          <w:p w:rsidR="009858F5" w:rsidRPr="009858F5" w:rsidRDefault="009858F5" w:rsidP="000D2E08">
            <w:pPr>
              <w:keepNext/>
              <w:widowControl/>
              <w:rPr>
                <w:rFonts w:ascii="Arial Narrow" w:hAnsi="Arial Narrow"/>
                <w:sz w:val="20"/>
              </w:rPr>
            </w:pPr>
          </w:p>
        </w:tc>
        <w:tc>
          <w:tcPr>
            <w:tcW w:w="3081" w:type="dxa"/>
          </w:tcPr>
          <w:p w:rsidR="009858F5" w:rsidRPr="009858F5" w:rsidRDefault="009858F5" w:rsidP="000D2E08">
            <w:pPr>
              <w:keepNext/>
              <w:widowControl/>
              <w:rPr>
                <w:rFonts w:ascii="Arial Narrow" w:hAnsi="Arial Narrow"/>
                <w:sz w:val="20"/>
              </w:rPr>
            </w:pPr>
            <w:proofErr w:type="spellStart"/>
            <w:r w:rsidRPr="009858F5">
              <w:rPr>
                <w:rFonts w:ascii="Arial Narrow" w:hAnsi="Arial Narrow"/>
                <w:sz w:val="20"/>
              </w:rPr>
              <w:t>Utrogestan</w:t>
            </w:r>
            <w:proofErr w:type="spellEnd"/>
            <w:r w:rsidRPr="009858F5">
              <w:rPr>
                <w:rFonts w:ascii="Arial Narrow" w:hAnsi="Arial Narrow"/>
                <w:sz w:val="20"/>
              </w:rPr>
              <w:t xml:space="preserve"> 200mg</w:t>
            </w:r>
          </w:p>
        </w:tc>
        <w:tc>
          <w:tcPr>
            <w:tcW w:w="3081" w:type="dxa"/>
          </w:tcPr>
          <w:p w:rsidR="009858F5" w:rsidRPr="009858F5" w:rsidRDefault="009858F5" w:rsidP="000D2E08">
            <w:pPr>
              <w:keepNext/>
              <w:widowControl/>
              <w:rPr>
                <w:rFonts w:ascii="Arial Narrow" w:hAnsi="Arial Narrow"/>
                <w:sz w:val="20"/>
              </w:rPr>
            </w:pPr>
            <w:proofErr w:type="spellStart"/>
            <w:r w:rsidRPr="009858F5">
              <w:rPr>
                <w:rFonts w:ascii="Arial Narrow" w:hAnsi="Arial Narrow"/>
                <w:sz w:val="20"/>
              </w:rPr>
              <w:t>Crinone</w:t>
            </w:r>
            <w:proofErr w:type="spellEnd"/>
            <w:r w:rsidRPr="009858F5">
              <w:rPr>
                <w:rFonts w:ascii="Arial Narrow" w:hAnsi="Arial Narrow"/>
                <w:sz w:val="20"/>
              </w:rPr>
              <w:t xml:space="preserve"> 8% 90mg*</w:t>
            </w:r>
          </w:p>
        </w:tc>
      </w:tr>
      <w:tr w:rsidR="009858F5" w:rsidRPr="009858F5" w:rsidTr="009858F5">
        <w:tc>
          <w:tcPr>
            <w:tcW w:w="2263" w:type="dxa"/>
          </w:tcPr>
          <w:p w:rsidR="009858F5" w:rsidRPr="009858F5" w:rsidRDefault="00B268BD" w:rsidP="000D2E08">
            <w:pPr>
              <w:keepNext/>
              <w:widowControl/>
              <w:rPr>
                <w:rFonts w:ascii="Arial Narrow" w:hAnsi="Arial Narrow"/>
                <w:sz w:val="20"/>
              </w:rPr>
            </w:pPr>
            <w:r>
              <w:rPr>
                <w:rFonts w:ascii="Arial Narrow" w:hAnsi="Arial Narrow"/>
                <w:sz w:val="20"/>
              </w:rPr>
              <w:t>Units/course</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42</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30</w:t>
            </w:r>
          </w:p>
        </w:tc>
      </w:tr>
      <w:tr w:rsidR="009858F5" w:rsidRPr="009858F5" w:rsidTr="009858F5">
        <w:tc>
          <w:tcPr>
            <w:tcW w:w="2263" w:type="dxa"/>
          </w:tcPr>
          <w:p w:rsidR="009858F5" w:rsidRPr="009858F5" w:rsidRDefault="009858F5" w:rsidP="000D2E08">
            <w:pPr>
              <w:keepNext/>
              <w:widowControl/>
              <w:rPr>
                <w:rFonts w:ascii="Arial Narrow" w:hAnsi="Arial Narrow"/>
                <w:sz w:val="20"/>
              </w:rPr>
            </w:pPr>
            <w:r w:rsidRPr="009858F5">
              <w:rPr>
                <w:rFonts w:ascii="Arial Narrow" w:hAnsi="Arial Narrow"/>
                <w:sz w:val="20"/>
              </w:rPr>
              <w:t>Equivalent AEMP/mg</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r>
      <w:tr w:rsidR="009858F5" w:rsidRPr="009858F5" w:rsidTr="009858F5">
        <w:tc>
          <w:tcPr>
            <w:tcW w:w="2263" w:type="dxa"/>
          </w:tcPr>
          <w:p w:rsidR="009858F5" w:rsidRPr="009858F5" w:rsidRDefault="009858F5" w:rsidP="000D2E08">
            <w:pPr>
              <w:keepNext/>
              <w:widowControl/>
              <w:rPr>
                <w:rFonts w:ascii="Arial Narrow" w:hAnsi="Arial Narrow"/>
                <w:sz w:val="20"/>
              </w:rPr>
            </w:pPr>
            <w:r w:rsidRPr="009858F5">
              <w:rPr>
                <w:rFonts w:ascii="Arial Narrow" w:hAnsi="Arial Narrow"/>
                <w:sz w:val="20"/>
              </w:rPr>
              <w:t>AEMP/unit</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r>
      <w:tr w:rsidR="009858F5" w:rsidRPr="009858F5" w:rsidTr="009858F5">
        <w:tc>
          <w:tcPr>
            <w:tcW w:w="2263" w:type="dxa"/>
          </w:tcPr>
          <w:p w:rsidR="009858F5" w:rsidRPr="009858F5" w:rsidRDefault="009858F5" w:rsidP="000D2E08">
            <w:pPr>
              <w:keepNext/>
              <w:widowControl/>
              <w:rPr>
                <w:rFonts w:ascii="Arial Narrow" w:hAnsi="Arial Narrow"/>
                <w:sz w:val="20"/>
              </w:rPr>
            </w:pPr>
            <w:r w:rsidRPr="009858F5">
              <w:rPr>
                <w:rFonts w:ascii="Arial Narrow" w:hAnsi="Arial Narrow"/>
                <w:sz w:val="20"/>
              </w:rPr>
              <w:t>AEMP/pack</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r>
      <w:tr w:rsidR="009858F5" w:rsidRPr="009858F5" w:rsidTr="009858F5">
        <w:tc>
          <w:tcPr>
            <w:tcW w:w="2263" w:type="dxa"/>
          </w:tcPr>
          <w:p w:rsidR="009858F5" w:rsidRPr="009858F5" w:rsidRDefault="009858F5" w:rsidP="000D2E08">
            <w:pPr>
              <w:keepNext/>
              <w:widowControl/>
              <w:rPr>
                <w:rFonts w:ascii="Arial Narrow" w:hAnsi="Arial Narrow"/>
                <w:sz w:val="20"/>
              </w:rPr>
            </w:pPr>
            <w:r w:rsidRPr="009858F5">
              <w:rPr>
                <w:rFonts w:ascii="Arial Narrow" w:hAnsi="Arial Narrow"/>
                <w:sz w:val="20"/>
              </w:rPr>
              <w:t>AEMP/course</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9858F5" w:rsidRDefault="009858F5" w:rsidP="000D2E08">
            <w:pPr>
              <w:keepNext/>
              <w:widowControl/>
              <w:rPr>
                <w:rFonts w:ascii="Arial Narrow" w:hAnsi="Arial Narrow"/>
                <w:sz w:val="20"/>
              </w:rPr>
            </w:pPr>
            <w:r w:rsidRPr="009858F5">
              <w:rPr>
                <w:rFonts w:ascii="Arial Narrow" w:hAnsi="Arial Narrow"/>
                <w:sz w:val="20"/>
              </w:rPr>
              <w:t>$</w:t>
            </w:r>
            <w:r w:rsidR="00FD28CA">
              <w:rPr>
                <w:rFonts w:ascii="Arial Narrow" w:hAnsi="Arial Narrow"/>
                <w:noProof/>
                <w:color w:val="000000"/>
                <w:sz w:val="20"/>
                <w:highlight w:val="black"/>
              </w:rPr>
              <w:t>'''''''''''''''</w:t>
            </w:r>
          </w:p>
        </w:tc>
      </w:tr>
    </w:tbl>
    <w:p w:rsidR="009858F5" w:rsidRPr="00880F4C" w:rsidRDefault="009858F5" w:rsidP="000D2E08">
      <w:pPr>
        <w:keepNext/>
        <w:widowControl/>
        <w:ind w:firstLine="709"/>
        <w:rPr>
          <w:rFonts w:ascii="Arial Narrow" w:hAnsi="Arial Narrow"/>
          <w:sz w:val="18"/>
          <w:szCs w:val="18"/>
        </w:rPr>
      </w:pPr>
      <w:r w:rsidRPr="00880F4C">
        <w:rPr>
          <w:rFonts w:ascii="Arial Narrow" w:hAnsi="Arial Narrow"/>
          <w:sz w:val="18"/>
          <w:szCs w:val="18"/>
        </w:rPr>
        <w:t>*effective price</w:t>
      </w:r>
    </w:p>
    <w:p w:rsidR="009858F5" w:rsidRPr="00880F4C" w:rsidRDefault="009858F5" w:rsidP="000D2E08">
      <w:pPr>
        <w:keepNext/>
        <w:widowControl/>
        <w:ind w:firstLine="709"/>
        <w:rPr>
          <w:rFonts w:ascii="Arial Narrow" w:hAnsi="Arial Narrow"/>
          <w:sz w:val="18"/>
          <w:szCs w:val="18"/>
        </w:rPr>
      </w:pPr>
      <w:r w:rsidRPr="00880F4C">
        <w:rPr>
          <w:rFonts w:ascii="Arial Narrow" w:hAnsi="Arial Narrow"/>
          <w:sz w:val="18"/>
          <w:szCs w:val="18"/>
        </w:rPr>
        <w:t>Source: Table D-3, p 96 of the submission</w:t>
      </w:r>
    </w:p>
    <w:p w:rsidR="009858F5" w:rsidRPr="009858F5" w:rsidRDefault="009858F5" w:rsidP="00101CD9"/>
    <w:p w:rsidR="009858F5" w:rsidRPr="00EE5CFA" w:rsidRDefault="009858F5" w:rsidP="000D2E08">
      <w:pPr>
        <w:pStyle w:val="ListParagraph"/>
        <w:widowControl/>
        <w:numPr>
          <w:ilvl w:val="1"/>
          <w:numId w:val="1"/>
        </w:numPr>
        <w:rPr>
          <w:szCs w:val="22"/>
        </w:rPr>
      </w:pPr>
      <w:r w:rsidRPr="00EE5CFA">
        <w:rPr>
          <w:szCs w:val="22"/>
        </w:rPr>
        <w:t xml:space="preserve">The sponsor applied a </w:t>
      </w:r>
      <w:r w:rsidR="00FD28CA">
        <w:rPr>
          <w:noProof/>
          <w:color w:val="000000"/>
          <w:szCs w:val="22"/>
          <w:highlight w:val="black"/>
        </w:rPr>
        <w:t>'''''''</w:t>
      </w:r>
      <w:r w:rsidRPr="00EE5CFA">
        <w:rPr>
          <w:szCs w:val="22"/>
        </w:rPr>
        <w:t xml:space="preserve">% discount to </w:t>
      </w:r>
      <w:proofErr w:type="spellStart"/>
      <w:r w:rsidRPr="00EE5CFA">
        <w:rPr>
          <w:szCs w:val="22"/>
        </w:rPr>
        <w:t>Utrogestan</w:t>
      </w:r>
      <w:proofErr w:type="spellEnd"/>
      <w:r w:rsidRPr="00EE5CFA">
        <w:rPr>
          <w:szCs w:val="22"/>
        </w:rPr>
        <w:t xml:space="preserve"> to account for the fact that it is likely to substitute, to varying extents, with </w:t>
      </w:r>
      <w:proofErr w:type="spellStart"/>
      <w:r w:rsidRPr="00EE5CFA">
        <w:rPr>
          <w:szCs w:val="22"/>
        </w:rPr>
        <w:t>Crinone</w:t>
      </w:r>
      <w:proofErr w:type="spellEnd"/>
      <w:r w:rsidRPr="00EE5CFA">
        <w:rPr>
          <w:szCs w:val="22"/>
        </w:rPr>
        <w:t xml:space="preserve"> and </w:t>
      </w:r>
      <w:proofErr w:type="spellStart"/>
      <w:r w:rsidRPr="00EE5CFA">
        <w:rPr>
          <w:szCs w:val="22"/>
        </w:rPr>
        <w:t>Endometrin</w:t>
      </w:r>
      <w:proofErr w:type="spellEnd"/>
      <w:r w:rsidRPr="00EE5CFA">
        <w:rPr>
          <w:szCs w:val="22"/>
        </w:rPr>
        <w:t xml:space="preserve"> at their various TGA approved doses. No further rationale is provided as to why a </w:t>
      </w:r>
      <w:r w:rsidR="00FD28CA">
        <w:rPr>
          <w:noProof/>
          <w:color w:val="000000"/>
          <w:szCs w:val="22"/>
          <w:highlight w:val="black"/>
        </w:rPr>
        <w:t>''''''</w:t>
      </w:r>
      <w:r w:rsidRPr="00EE5CFA">
        <w:rPr>
          <w:szCs w:val="22"/>
        </w:rPr>
        <w:t xml:space="preserve">% discount would account for substitution with various </w:t>
      </w:r>
      <w:proofErr w:type="spellStart"/>
      <w:r w:rsidRPr="00EE5CFA">
        <w:rPr>
          <w:szCs w:val="22"/>
        </w:rPr>
        <w:t>Crinone</w:t>
      </w:r>
      <w:proofErr w:type="spellEnd"/>
      <w:r w:rsidRPr="00EE5CFA">
        <w:rPr>
          <w:szCs w:val="22"/>
        </w:rPr>
        <w:t xml:space="preserve"> and </w:t>
      </w:r>
      <w:proofErr w:type="spellStart"/>
      <w:r w:rsidRPr="00EE5CFA">
        <w:rPr>
          <w:szCs w:val="22"/>
        </w:rPr>
        <w:t>Endometrin</w:t>
      </w:r>
      <w:proofErr w:type="spellEnd"/>
      <w:r w:rsidRPr="00EE5CFA">
        <w:rPr>
          <w:szCs w:val="22"/>
        </w:rPr>
        <w:t xml:space="preserve"> doses. </w:t>
      </w:r>
      <w:r w:rsidR="00882F3A" w:rsidRPr="00EE5CFA">
        <w:rPr>
          <w:szCs w:val="22"/>
        </w:rPr>
        <w:t>The PSCR (p.2) reiterate</w:t>
      </w:r>
      <w:r w:rsidR="001060D2" w:rsidRPr="00EE5CFA">
        <w:rPr>
          <w:szCs w:val="22"/>
        </w:rPr>
        <w:t>d</w:t>
      </w:r>
      <w:r w:rsidR="00882F3A" w:rsidRPr="00EE5CFA">
        <w:rPr>
          <w:szCs w:val="22"/>
        </w:rPr>
        <w:t xml:space="preserve"> that the </w:t>
      </w:r>
      <w:r w:rsidR="00FD28CA">
        <w:rPr>
          <w:noProof/>
          <w:color w:val="000000"/>
          <w:szCs w:val="22"/>
          <w:highlight w:val="black"/>
        </w:rPr>
        <w:t>''''''</w:t>
      </w:r>
      <w:r w:rsidR="00882F3A" w:rsidRPr="00EE5CFA">
        <w:rPr>
          <w:szCs w:val="22"/>
        </w:rPr>
        <w:t>% discount</w:t>
      </w:r>
      <w:r w:rsidR="0026317A" w:rsidRPr="00EE5CFA">
        <w:rPr>
          <w:szCs w:val="22"/>
        </w:rPr>
        <w:t xml:space="preserve"> </w:t>
      </w:r>
      <w:r w:rsidR="001060D2" w:rsidRPr="00EE5CFA">
        <w:rPr>
          <w:szCs w:val="22"/>
        </w:rPr>
        <w:t>wa</w:t>
      </w:r>
      <w:r w:rsidR="0026317A" w:rsidRPr="00EE5CFA">
        <w:rPr>
          <w:szCs w:val="22"/>
        </w:rPr>
        <w:t>s appropriate and</w:t>
      </w:r>
      <w:r w:rsidR="00882F3A" w:rsidRPr="00EE5CFA">
        <w:rPr>
          <w:szCs w:val="22"/>
        </w:rPr>
        <w:t xml:space="preserve"> was applied to </w:t>
      </w:r>
      <w:r w:rsidR="0026317A" w:rsidRPr="00EE5CFA">
        <w:t>allow for uncertainty in the estimated utilisation of other forms of progesterone.  ESC noted that the derivation of this figure was unclear.</w:t>
      </w:r>
      <w:r w:rsidR="004E23C5">
        <w:t xml:space="preserve"> The Pre-PBAC response reiterated that the </w:t>
      </w:r>
      <w:r w:rsidR="00FD28CA">
        <w:rPr>
          <w:noProof/>
          <w:color w:val="000000"/>
          <w:highlight w:val="black"/>
        </w:rPr>
        <w:t>'''''''</w:t>
      </w:r>
      <w:r w:rsidR="004E23C5">
        <w:t xml:space="preserve">% reduction would account for substitution with various progesterone preparations, and was substantial enough to ensure listing of </w:t>
      </w:r>
      <w:proofErr w:type="spellStart"/>
      <w:r w:rsidR="004E23C5">
        <w:t>Utrogestan</w:t>
      </w:r>
      <w:proofErr w:type="spellEnd"/>
      <w:r w:rsidR="004E23C5">
        <w:t xml:space="preserve"> would be cost-neutral to the government. </w:t>
      </w:r>
    </w:p>
    <w:p w:rsidR="009858F5" w:rsidRPr="00EE5CFA" w:rsidRDefault="009858F5" w:rsidP="000D2E08">
      <w:pPr>
        <w:widowControl/>
        <w:rPr>
          <w:highlight w:val="yellow"/>
        </w:rPr>
      </w:pPr>
    </w:p>
    <w:p w:rsidR="009858F5" w:rsidRPr="00EE5CFA" w:rsidRDefault="009858F5" w:rsidP="000D2E08">
      <w:pPr>
        <w:keepNext/>
        <w:widowControl/>
        <w:ind w:firstLine="720"/>
        <w:rPr>
          <w:rFonts w:ascii="Arial Narrow" w:hAnsi="Arial Narrow"/>
          <w:b/>
          <w:sz w:val="20"/>
        </w:rPr>
      </w:pPr>
      <w:r w:rsidRPr="00EE5CFA">
        <w:rPr>
          <w:rFonts w:ascii="Arial Narrow" w:hAnsi="Arial Narrow"/>
          <w:b/>
          <w:sz w:val="20"/>
        </w:rPr>
        <w:t xml:space="preserve">Table 5: Requested price of </w:t>
      </w:r>
      <w:proofErr w:type="spellStart"/>
      <w:r w:rsidRPr="00EE5CFA">
        <w:rPr>
          <w:rFonts w:ascii="Arial Narrow" w:hAnsi="Arial Narrow"/>
          <w:b/>
          <w:sz w:val="20"/>
        </w:rPr>
        <w:t>Utrogestan</w:t>
      </w:r>
      <w:proofErr w:type="spellEnd"/>
      <w:r w:rsidRPr="00EE5CFA">
        <w:rPr>
          <w:rFonts w:ascii="Arial Narrow" w:hAnsi="Arial Narrow"/>
          <w:b/>
          <w:sz w:val="20"/>
        </w:rPr>
        <w:t xml:space="preserve"> including 19% discount </w:t>
      </w:r>
    </w:p>
    <w:tbl>
      <w:tblPr>
        <w:tblW w:w="4556"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405"/>
        <w:gridCol w:w="1405"/>
        <w:gridCol w:w="1405"/>
        <w:gridCol w:w="1405"/>
        <w:gridCol w:w="1405"/>
        <w:gridCol w:w="1405"/>
      </w:tblGrid>
      <w:tr w:rsidR="00CE0FE0" w:rsidRPr="00EE5CFA" w:rsidTr="00CE0FE0">
        <w:trPr>
          <w:trHeight w:val="696"/>
          <w:tblHeader/>
        </w:trPr>
        <w:tc>
          <w:tcPr>
            <w:tcW w:w="833" w:type="pct"/>
            <w:shd w:val="clear" w:color="auto" w:fill="auto"/>
            <w:vAlign w:val="center"/>
          </w:tcPr>
          <w:p w:rsidR="00CE0FE0" w:rsidRPr="00EE5CFA" w:rsidRDefault="00CE0FE0" w:rsidP="000D2E08">
            <w:pPr>
              <w:keepNext/>
              <w:widowControl/>
              <w:jc w:val="center"/>
              <w:rPr>
                <w:rFonts w:ascii="Arial Narrow" w:hAnsi="Arial Narrow"/>
                <w:b/>
                <w:sz w:val="20"/>
              </w:rPr>
            </w:pPr>
          </w:p>
        </w:tc>
        <w:tc>
          <w:tcPr>
            <w:tcW w:w="833" w:type="pct"/>
            <w:shd w:val="clear" w:color="auto" w:fill="auto"/>
            <w:vAlign w:val="center"/>
          </w:tcPr>
          <w:p w:rsidR="00CE0FE0" w:rsidRPr="00EE5CFA" w:rsidRDefault="00CE0FE0" w:rsidP="000D2E08">
            <w:pPr>
              <w:keepNext/>
              <w:widowControl/>
              <w:jc w:val="center"/>
              <w:rPr>
                <w:rFonts w:ascii="Arial Narrow" w:hAnsi="Arial Narrow"/>
                <w:b/>
                <w:sz w:val="20"/>
              </w:rPr>
            </w:pPr>
            <w:r w:rsidRPr="00EE5CFA">
              <w:rPr>
                <w:rFonts w:ascii="Arial Narrow" w:hAnsi="Arial Narrow"/>
                <w:b/>
                <w:sz w:val="20"/>
              </w:rPr>
              <w:t xml:space="preserve">Max </w:t>
            </w:r>
            <w:proofErr w:type="spellStart"/>
            <w:r w:rsidRPr="00EE5CFA">
              <w:rPr>
                <w:rFonts w:ascii="Arial Narrow" w:hAnsi="Arial Narrow"/>
                <w:b/>
                <w:sz w:val="20"/>
              </w:rPr>
              <w:t>qty</w:t>
            </w:r>
            <w:proofErr w:type="spellEnd"/>
          </w:p>
        </w:tc>
        <w:tc>
          <w:tcPr>
            <w:tcW w:w="833" w:type="pct"/>
            <w:vAlign w:val="center"/>
          </w:tcPr>
          <w:p w:rsidR="00CE0FE0" w:rsidRPr="00EE5CFA" w:rsidRDefault="00CE0FE0" w:rsidP="000D2E08">
            <w:pPr>
              <w:keepNext/>
              <w:widowControl/>
              <w:jc w:val="center"/>
              <w:rPr>
                <w:rFonts w:ascii="Arial Narrow" w:hAnsi="Arial Narrow"/>
                <w:b/>
                <w:sz w:val="20"/>
              </w:rPr>
            </w:pPr>
            <w:r w:rsidRPr="00EE5CFA">
              <w:rPr>
                <w:rFonts w:ascii="Arial Narrow" w:hAnsi="Arial Narrow"/>
                <w:b/>
                <w:sz w:val="20"/>
              </w:rPr>
              <w:t>DPMQ</w:t>
            </w:r>
          </w:p>
        </w:tc>
        <w:tc>
          <w:tcPr>
            <w:tcW w:w="833" w:type="pct"/>
            <w:vAlign w:val="center"/>
          </w:tcPr>
          <w:p w:rsidR="00CE0FE0" w:rsidRPr="00EE5CFA" w:rsidRDefault="00CE0FE0" w:rsidP="000D2E08">
            <w:pPr>
              <w:keepNext/>
              <w:widowControl/>
              <w:jc w:val="center"/>
              <w:rPr>
                <w:rFonts w:ascii="Arial Narrow" w:hAnsi="Arial Narrow"/>
                <w:b/>
                <w:sz w:val="20"/>
              </w:rPr>
            </w:pPr>
            <w:r w:rsidRPr="00EE5CFA">
              <w:rPr>
                <w:rFonts w:ascii="Arial Narrow" w:hAnsi="Arial Narrow"/>
                <w:b/>
                <w:sz w:val="20"/>
              </w:rPr>
              <w:t>AEMP</w:t>
            </w:r>
          </w:p>
        </w:tc>
        <w:tc>
          <w:tcPr>
            <w:tcW w:w="833" w:type="pct"/>
            <w:vAlign w:val="center"/>
          </w:tcPr>
          <w:p w:rsidR="00CE0FE0" w:rsidRPr="00EE5CFA" w:rsidDel="009801C3" w:rsidRDefault="00CE0FE0" w:rsidP="000D2E08">
            <w:pPr>
              <w:keepNext/>
              <w:widowControl/>
              <w:jc w:val="center"/>
              <w:rPr>
                <w:rFonts w:ascii="Arial Narrow" w:hAnsi="Arial Narrow"/>
                <w:b/>
                <w:sz w:val="20"/>
              </w:rPr>
            </w:pPr>
            <w:r w:rsidRPr="00EE5CFA">
              <w:rPr>
                <w:rFonts w:ascii="Arial Narrow" w:hAnsi="Arial Narrow"/>
                <w:b/>
                <w:sz w:val="20"/>
              </w:rPr>
              <w:t>AEMP/unit</w:t>
            </w:r>
          </w:p>
        </w:tc>
        <w:tc>
          <w:tcPr>
            <w:tcW w:w="833" w:type="pct"/>
            <w:vAlign w:val="center"/>
          </w:tcPr>
          <w:p w:rsidR="00CE0FE0" w:rsidRPr="00EE5CFA" w:rsidRDefault="00CE0FE0" w:rsidP="000D2E08">
            <w:pPr>
              <w:keepNext/>
              <w:widowControl/>
              <w:jc w:val="center"/>
              <w:rPr>
                <w:rFonts w:ascii="Arial Narrow" w:hAnsi="Arial Narrow"/>
                <w:b/>
                <w:sz w:val="20"/>
              </w:rPr>
            </w:pPr>
            <w:r w:rsidRPr="00EE5CFA">
              <w:rPr>
                <w:rFonts w:ascii="Arial Narrow" w:hAnsi="Arial Narrow"/>
                <w:b/>
                <w:sz w:val="20"/>
              </w:rPr>
              <w:t>AEMP/mg</w:t>
            </w:r>
          </w:p>
        </w:tc>
      </w:tr>
      <w:tr w:rsidR="00CE0FE0" w:rsidRPr="00EE5CFA" w:rsidTr="00CE0FE0">
        <w:trPr>
          <w:trHeight w:val="279"/>
        </w:trPr>
        <w:tc>
          <w:tcPr>
            <w:tcW w:w="833" w:type="pct"/>
            <w:shd w:val="clear" w:color="auto" w:fill="auto"/>
            <w:vAlign w:val="center"/>
          </w:tcPr>
          <w:p w:rsidR="00CE0FE0" w:rsidRPr="00EE5CFA" w:rsidRDefault="00CE0FE0" w:rsidP="000D2E08">
            <w:pPr>
              <w:keepNext/>
              <w:widowControl/>
              <w:jc w:val="center"/>
              <w:rPr>
                <w:rFonts w:ascii="Arial Narrow" w:hAnsi="Arial Narrow"/>
                <w:sz w:val="20"/>
              </w:rPr>
            </w:pPr>
            <w:proofErr w:type="spellStart"/>
            <w:r w:rsidRPr="00EE5CFA">
              <w:rPr>
                <w:rFonts w:ascii="Arial Narrow" w:hAnsi="Arial Narrow"/>
                <w:sz w:val="20"/>
              </w:rPr>
              <w:t>Utrogestan</w:t>
            </w:r>
            <w:proofErr w:type="spellEnd"/>
            <w:r w:rsidRPr="00EE5CFA">
              <w:rPr>
                <w:rFonts w:ascii="Arial Narrow" w:hAnsi="Arial Narrow"/>
                <w:sz w:val="20"/>
              </w:rPr>
              <w:t xml:space="preserve"> (200mg)</w:t>
            </w:r>
          </w:p>
        </w:tc>
        <w:tc>
          <w:tcPr>
            <w:tcW w:w="833" w:type="pct"/>
            <w:shd w:val="clear" w:color="auto" w:fill="auto"/>
            <w:vAlign w:val="center"/>
          </w:tcPr>
          <w:p w:rsidR="00CE0FE0" w:rsidRPr="00EE5CFA" w:rsidRDefault="00CE0FE0" w:rsidP="000D2E08">
            <w:pPr>
              <w:keepNext/>
              <w:widowControl/>
              <w:jc w:val="center"/>
              <w:rPr>
                <w:rFonts w:ascii="Arial Narrow" w:hAnsi="Arial Narrow"/>
                <w:sz w:val="20"/>
              </w:rPr>
            </w:pPr>
            <w:r w:rsidRPr="00EE5CFA">
              <w:rPr>
                <w:rFonts w:ascii="Arial Narrow" w:hAnsi="Arial Narrow"/>
                <w:sz w:val="20"/>
              </w:rPr>
              <w:t>42</w:t>
            </w:r>
          </w:p>
        </w:tc>
        <w:tc>
          <w:tcPr>
            <w:tcW w:w="833" w:type="pct"/>
            <w:vAlign w:val="center"/>
          </w:tcPr>
          <w:p w:rsidR="00CE0FE0" w:rsidRPr="00EE5CFA" w:rsidRDefault="00CE0FE0" w:rsidP="000D2E08">
            <w:pPr>
              <w:keepNext/>
              <w:widowControl/>
              <w:jc w:val="center"/>
              <w:rPr>
                <w:rFonts w:ascii="Arial Narrow" w:hAnsi="Arial Narrow"/>
                <w:sz w:val="20"/>
              </w:rPr>
            </w:pPr>
            <w:r w:rsidRPr="00EE5CFA">
              <w:rPr>
                <w:rFonts w:ascii="Arial Narrow" w:hAnsi="Arial Narrow"/>
                <w:sz w:val="20"/>
              </w:rPr>
              <w:t>$</w:t>
            </w:r>
            <w:r w:rsidR="00FD28CA">
              <w:rPr>
                <w:rFonts w:ascii="Arial Narrow" w:hAnsi="Arial Narrow"/>
                <w:noProof/>
                <w:color w:val="000000"/>
                <w:sz w:val="20"/>
                <w:highlight w:val="black"/>
              </w:rPr>
              <w:t>''''''''''''''''</w:t>
            </w:r>
          </w:p>
        </w:tc>
        <w:tc>
          <w:tcPr>
            <w:tcW w:w="833" w:type="pct"/>
            <w:vAlign w:val="center"/>
          </w:tcPr>
          <w:p w:rsidR="00CE0FE0" w:rsidRPr="00EE5CFA" w:rsidRDefault="00CE0FE0" w:rsidP="000D2E08">
            <w:pPr>
              <w:keepNext/>
              <w:widowControl/>
              <w:jc w:val="center"/>
              <w:rPr>
                <w:rFonts w:ascii="Arial Narrow" w:hAnsi="Arial Narrow"/>
                <w:sz w:val="20"/>
              </w:rPr>
            </w:pPr>
            <w:r w:rsidRPr="00EE5CFA">
              <w:rPr>
                <w:rFonts w:ascii="Arial Narrow" w:hAnsi="Arial Narrow"/>
                <w:sz w:val="20"/>
              </w:rPr>
              <w:t>$</w:t>
            </w:r>
            <w:r w:rsidR="00FD28CA">
              <w:rPr>
                <w:rFonts w:ascii="Arial Narrow" w:hAnsi="Arial Narrow"/>
                <w:noProof/>
                <w:color w:val="000000"/>
                <w:sz w:val="20"/>
                <w:highlight w:val="black"/>
              </w:rPr>
              <w:t>'''''''''''''''</w:t>
            </w:r>
          </w:p>
        </w:tc>
        <w:tc>
          <w:tcPr>
            <w:tcW w:w="833" w:type="pct"/>
            <w:vAlign w:val="center"/>
          </w:tcPr>
          <w:p w:rsidR="00CE0FE0" w:rsidRPr="00EE5CFA" w:rsidRDefault="00CE0FE0" w:rsidP="000D2E08">
            <w:pPr>
              <w:keepNext/>
              <w:widowControl/>
              <w:jc w:val="center"/>
              <w:rPr>
                <w:rFonts w:ascii="Arial Narrow" w:hAnsi="Arial Narrow"/>
                <w:sz w:val="20"/>
              </w:rPr>
            </w:pPr>
            <w:r w:rsidRPr="00EE5CFA">
              <w:rPr>
                <w:rFonts w:ascii="Arial Narrow" w:hAnsi="Arial Narrow"/>
                <w:sz w:val="20"/>
              </w:rPr>
              <w:t>$</w:t>
            </w:r>
            <w:r w:rsidR="00FD28CA">
              <w:rPr>
                <w:rFonts w:ascii="Arial Narrow" w:hAnsi="Arial Narrow"/>
                <w:noProof/>
                <w:color w:val="000000"/>
                <w:sz w:val="20"/>
                <w:highlight w:val="black"/>
              </w:rPr>
              <w:t>''''''''''</w:t>
            </w:r>
          </w:p>
        </w:tc>
        <w:tc>
          <w:tcPr>
            <w:tcW w:w="833" w:type="pct"/>
            <w:vAlign w:val="center"/>
          </w:tcPr>
          <w:p w:rsidR="00CE0FE0" w:rsidRPr="00EE5CFA" w:rsidRDefault="00CE0FE0" w:rsidP="000D2E08">
            <w:pPr>
              <w:keepNext/>
              <w:widowControl/>
              <w:jc w:val="center"/>
              <w:rPr>
                <w:rFonts w:ascii="Arial Narrow" w:hAnsi="Arial Narrow"/>
                <w:sz w:val="20"/>
              </w:rPr>
            </w:pPr>
            <w:r w:rsidRPr="00EE5CFA">
              <w:rPr>
                <w:rFonts w:ascii="Arial Narrow" w:hAnsi="Arial Narrow"/>
                <w:sz w:val="20"/>
              </w:rPr>
              <w:t>$</w:t>
            </w:r>
            <w:r w:rsidR="00FD28CA">
              <w:rPr>
                <w:rFonts w:ascii="Arial Narrow" w:hAnsi="Arial Narrow"/>
                <w:noProof/>
                <w:color w:val="000000"/>
                <w:sz w:val="20"/>
                <w:highlight w:val="black"/>
              </w:rPr>
              <w:t>''''''''''''''''</w:t>
            </w:r>
          </w:p>
        </w:tc>
      </w:tr>
    </w:tbl>
    <w:p w:rsidR="00635006" w:rsidRPr="00EE5CFA" w:rsidRDefault="00635006" w:rsidP="000D2E08">
      <w:pPr>
        <w:keepNext/>
        <w:widowControl/>
        <w:ind w:firstLine="709"/>
        <w:rPr>
          <w:rFonts w:ascii="Arial Narrow" w:hAnsi="Arial Narrow"/>
          <w:sz w:val="18"/>
          <w:szCs w:val="18"/>
        </w:rPr>
      </w:pPr>
      <w:r w:rsidRPr="00EE5CFA">
        <w:rPr>
          <w:rFonts w:ascii="Arial Narrow" w:hAnsi="Arial Narrow"/>
          <w:sz w:val="20"/>
        </w:rPr>
        <w:t>*</w:t>
      </w:r>
      <w:r w:rsidRPr="00EE5CFA">
        <w:rPr>
          <w:rFonts w:ascii="Arial Narrow" w:hAnsi="Arial Narrow"/>
          <w:sz w:val="18"/>
          <w:szCs w:val="18"/>
        </w:rPr>
        <w:t xml:space="preserve"> </w:t>
      </w:r>
      <w:proofErr w:type="gramStart"/>
      <w:r w:rsidRPr="00EE5CFA">
        <w:rPr>
          <w:rFonts w:ascii="Arial Narrow" w:hAnsi="Arial Narrow"/>
          <w:sz w:val="18"/>
          <w:szCs w:val="18"/>
        </w:rPr>
        <w:t>effective</w:t>
      </w:r>
      <w:proofErr w:type="gramEnd"/>
      <w:r w:rsidRPr="00EE5CFA">
        <w:rPr>
          <w:rFonts w:ascii="Arial Narrow" w:hAnsi="Arial Narrow"/>
          <w:sz w:val="18"/>
          <w:szCs w:val="18"/>
        </w:rPr>
        <w:t xml:space="preserve"> price</w:t>
      </w:r>
    </w:p>
    <w:p w:rsidR="009858F5" w:rsidRPr="00EE5CFA" w:rsidRDefault="009858F5" w:rsidP="000D2E08">
      <w:pPr>
        <w:keepNext/>
        <w:widowControl/>
        <w:ind w:firstLine="709"/>
        <w:rPr>
          <w:rFonts w:ascii="Arial Narrow" w:hAnsi="Arial Narrow"/>
          <w:sz w:val="18"/>
          <w:szCs w:val="18"/>
        </w:rPr>
      </w:pPr>
      <w:r w:rsidRPr="00EE5CFA">
        <w:rPr>
          <w:rFonts w:ascii="Arial Narrow" w:hAnsi="Arial Narrow"/>
          <w:sz w:val="18"/>
          <w:szCs w:val="18"/>
        </w:rPr>
        <w:t xml:space="preserve">Source: Table D-4, p97 of the submission </w:t>
      </w:r>
    </w:p>
    <w:p w:rsidR="009858F5" w:rsidRPr="00EE5CFA" w:rsidRDefault="009858F5" w:rsidP="000D2E08">
      <w:pPr>
        <w:keepNext/>
        <w:widowControl/>
        <w:rPr>
          <w:szCs w:val="22"/>
        </w:rPr>
      </w:pPr>
    </w:p>
    <w:p w:rsidR="0031241E" w:rsidRPr="00EE5CFA" w:rsidRDefault="0031241E" w:rsidP="000D2E08">
      <w:pPr>
        <w:pStyle w:val="ListParagraph"/>
        <w:widowControl/>
        <w:numPr>
          <w:ilvl w:val="1"/>
          <w:numId w:val="1"/>
        </w:numPr>
        <w:rPr>
          <w:szCs w:val="22"/>
        </w:rPr>
      </w:pPr>
      <w:r w:rsidRPr="00EE5CFA">
        <w:rPr>
          <w:szCs w:val="22"/>
        </w:rPr>
        <w:t xml:space="preserve">A cost-minimisation analysis between </w:t>
      </w:r>
      <w:proofErr w:type="spellStart"/>
      <w:r w:rsidRPr="00EE5CFA">
        <w:rPr>
          <w:szCs w:val="22"/>
        </w:rPr>
        <w:t>Utrogestan</w:t>
      </w:r>
      <w:proofErr w:type="spellEnd"/>
      <w:r w:rsidRPr="00EE5CFA">
        <w:rPr>
          <w:szCs w:val="22"/>
        </w:rPr>
        <w:t xml:space="preserve"> 200 mg </w:t>
      </w:r>
      <w:proofErr w:type="spellStart"/>
      <w:r w:rsidRPr="00EE5CFA">
        <w:rPr>
          <w:szCs w:val="22"/>
        </w:rPr>
        <w:t>tid</w:t>
      </w:r>
      <w:proofErr w:type="spellEnd"/>
      <w:r w:rsidRPr="00EE5CFA">
        <w:rPr>
          <w:szCs w:val="22"/>
        </w:rPr>
        <w:t xml:space="preserve"> and </w:t>
      </w:r>
      <w:proofErr w:type="spellStart"/>
      <w:r w:rsidRPr="00EE5CFA">
        <w:rPr>
          <w:szCs w:val="22"/>
        </w:rPr>
        <w:t>Crinone</w:t>
      </w:r>
      <w:proofErr w:type="spellEnd"/>
      <w:r w:rsidRPr="00EE5CFA">
        <w:rPr>
          <w:szCs w:val="22"/>
        </w:rPr>
        <w:t xml:space="preserve"> </w:t>
      </w:r>
      <w:proofErr w:type="spellStart"/>
      <w:r w:rsidRPr="00EE5CFA">
        <w:rPr>
          <w:szCs w:val="22"/>
        </w:rPr>
        <w:t>bd</w:t>
      </w:r>
      <w:proofErr w:type="spellEnd"/>
      <w:r w:rsidRPr="00EE5CFA">
        <w:rPr>
          <w:szCs w:val="22"/>
        </w:rPr>
        <w:t xml:space="preserve"> is potentially inappropriate in the context that there may be no clinically meaningful difference in efficacy between </w:t>
      </w:r>
      <w:proofErr w:type="spellStart"/>
      <w:r w:rsidRPr="00EE5CFA">
        <w:rPr>
          <w:szCs w:val="22"/>
        </w:rPr>
        <w:t>Crinone</w:t>
      </w:r>
      <w:proofErr w:type="spellEnd"/>
      <w:r w:rsidRPr="00EE5CFA">
        <w:rPr>
          <w:szCs w:val="22"/>
        </w:rPr>
        <w:t xml:space="preserve"> 8% 90mg qd and bd. If the PBAC were to recommend </w:t>
      </w:r>
      <w:proofErr w:type="spellStart"/>
      <w:r w:rsidRPr="00EE5CFA">
        <w:rPr>
          <w:szCs w:val="22"/>
        </w:rPr>
        <w:t>Utrogestan</w:t>
      </w:r>
      <w:proofErr w:type="spellEnd"/>
      <w:r w:rsidRPr="00EE5CFA">
        <w:rPr>
          <w:szCs w:val="22"/>
        </w:rPr>
        <w:t xml:space="preserve"> for listing on the PBS at a higher price than alternative therapies, the Committee would need to be satisfied that </w:t>
      </w:r>
      <w:proofErr w:type="spellStart"/>
      <w:r w:rsidRPr="00EE5CFA">
        <w:rPr>
          <w:szCs w:val="22"/>
        </w:rPr>
        <w:t>Utrogestan</w:t>
      </w:r>
      <w:proofErr w:type="spellEnd"/>
      <w:r w:rsidRPr="00EE5CFA">
        <w:rPr>
          <w:szCs w:val="22"/>
        </w:rPr>
        <w:t xml:space="preserve">, for some patients, provides a significant improvement in efficacy or reduction in toxicity over the alternative therapies. The alternative therapies in this case include </w:t>
      </w:r>
      <w:proofErr w:type="spellStart"/>
      <w:r w:rsidRPr="00EE5CFA">
        <w:rPr>
          <w:szCs w:val="22"/>
        </w:rPr>
        <w:t>Crinone</w:t>
      </w:r>
      <w:proofErr w:type="spellEnd"/>
      <w:r w:rsidRPr="00EE5CFA">
        <w:rPr>
          <w:szCs w:val="22"/>
        </w:rPr>
        <w:t xml:space="preserve"> 8% 90mg qd and the progesterone </w:t>
      </w:r>
      <w:proofErr w:type="spellStart"/>
      <w:r w:rsidRPr="00EE5CFA">
        <w:rPr>
          <w:szCs w:val="22"/>
        </w:rPr>
        <w:t>pessaries</w:t>
      </w:r>
      <w:proofErr w:type="spellEnd"/>
      <w:r w:rsidRPr="00EE5CFA">
        <w:rPr>
          <w:szCs w:val="22"/>
        </w:rPr>
        <w:t xml:space="preserve">. </w:t>
      </w:r>
      <w:r w:rsidRPr="00EE5CFA">
        <w:rPr>
          <w:iCs/>
          <w:szCs w:val="22"/>
        </w:rPr>
        <w:t xml:space="preserve">No data is presented to establish superiority or equivalence of </w:t>
      </w:r>
      <w:proofErr w:type="spellStart"/>
      <w:r w:rsidRPr="00EE5CFA">
        <w:rPr>
          <w:iCs/>
          <w:szCs w:val="22"/>
        </w:rPr>
        <w:t>Utrogestan</w:t>
      </w:r>
      <w:proofErr w:type="spellEnd"/>
      <w:r w:rsidRPr="00EE5CFA">
        <w:rPr>
          <w:iCs/>
          <w:szCs w:val="22"/>
        </w:rPr>
        <w:t xml:space="preserve"> over </w:t>
      </w:r>
      <w:proofErr w:type="spellStart"/>
      <w:r w:rsidRPr="00EE5CFA">
        <w:rPr>
          <w:szCs w:val="22"/>
        </w:rPr>
        <w:t>Crinone</w:t>
      </w:r>
      <w:proofErr w:type="spellEnd"/>
      <w:r w:rsidRPr="00EE5CFA">
        <w:rPr>
          <w:szCs w:val="22"/>
        </w:rPr>
        <w:t xml:space="preserve"> 8% 90mg qd</w:t>
      </w:r>
      <w:r w:rsidR="00CF54D3" w:rsidRPr="00EE5CFA">
        <w:rPr>
          <w:szCs w:val="22"/>
        </w:rPr>
        <w:t xml:space="preserve">. The PSCR (p.3) </w:t>
      </w:r>
      <w:r w:rsidR="00CF54D3" w:rsidRPr="00EE5CFA">
        <w:rPr>
          <w:szCs w:val="22"/>
        </w:rPr>
        <w:lastRenderedPageBreak/>
        <w:t xml:space="preserve">argued that a cost minimisation against </w:t>
      </w:r>
      <w:proofErr w:type="spellStart"/>
      <w:r w:rsidR="00CF54D3" w:rsidRPr="00EE5CFA">
        <w:rPr>
          <w:szCs w:val="22"/>
        </w:rPr>
        <w:t>Crinone</w:t>
      </w:r>
      <w:proofErr w:type="spellEnd"/>
      <w:r w:rsidR="00CF54D3" w:rsidRPr="00EE5CFA">
        <w:rPr>
          <w:szCs w:val="22"/>
        </w:rPr>
        <w:t xml:space="preserve"> 90 mg qd is unreasonable for the following reasons: the evaluation accepted that </w:t>
      </w:r>
      <w:proofErr w:type="spellStart"/>
      <w:r w:rsidR="00CF54D3" w:rsidRPr="00EE5CFA">
        <w:rPr>
          <w:szCs w:val="22"/>
        </w:rPr>
        <w:t>Utrogestan</w:t>
      </w:r>
      <w:proofErr w:type="spellEnd"/>
      <w:r w:rsidR="00CF54D3" w:rsidRPr="00EE5CFA">
        <w:rPr>
          <w:szCs w:val="22"/>
        </w:rPr>
        <w:t xml:space="preserve"> 200 mg </w:t>
      </w:r>
      <w:proofErr w:type="spellStart"/>
      <w:r w:rsidR="00CF54D3" w:rsidRPr="00EE5CFA">
        <w:rPr>
          <w:szCs w:val="22"/>
        </w:rPr>
        <w:t>tid</w:t>
      </w:r>
      <w:proofErr w:type="spellEnd"/>
      <w:r w:rsidR="00CF54D3" w:rsidRPr="00EE5CFA">
        <w:rPr>
          <w:szCs w:val="22"/>
        </w:rPr>
        <w:t xml:space="preserve"> is non-inferior to </w:t>
      </w:r>
      <w:proofErr w:type="spellStart"/>
      <w:r w:rsidR="00CF54D3" w:rsidRPr="00EE5CFA">
        <w:rPr>
          <w:szCs w:val="22"/>
        </w:rPr>
        <w:t>Crinone</w:t>
      </w:r>
      <w:proofErr w:type="spellEnd"/>
      <w:r w:rsidR="00CF54D3" w:rsidRPr="00EE5CFA">
        <w:rPr>
          <w:szCs w:val="22"/>
        </w:rPr>
        <w:t xml:space="preserve"> </w:t>
      </w:r>
      <w:proofErr w:type="spellStart"/>
      <w:r w:rsidR="00CF54D3" w:rsidRPr="00EE5CFA">
        <w:rPr>
          <w:szCs w:val="22"/>
        </w:rPr>
        <w:t>bd</w:t>
      </w:r>
      <w:proofErr w:type="spellEnd"/>
      <w:r w:rsidR="00CF54D3" w:rsidRPr="00EE5CFA">
        <w:rPr>
          <w:szCs w:val="22"/>
        </w:rPr>
        <w:t xml:space="preserve">, in terms of both efficacy and safety; to the </w:t>
      </w:r>
      <w:r w:rsidR="00CF54D3" w:rsidRPr="00EE5CFA">
        <w:t xml:space="preserve">Sponsor’s knowledge, neither </w:t>
      </w:r>
      <w:proofErr w:type="spellStart"/>
      <w:r w:rsidR="00CF54D3" w:rsidRPr="00EE5CFA">
        <w:t>Oripro</w:t>
      </w:r>
      <w:proofErr w:type="spellEnd"/>
      <w:r w:rsidR="00CF54D3" w:rsidRPr="00EE5CFA">
        <w:t xml:space="preserve"> and </w:t>
      </w:r>
      <w:proofErr w:type="spellStart"/>
      <w:r w:rsidR="00CF54D3" w:rsidRPr="00EE5CFA">
        <w:t>Endometrin</w:t>
      </w:r>
      <w:proofErr w:type="spellEnd"/>
      <w:r w:rsidR="00CF54D3" w:rsidRPr="00EE5CFA">
        <w:t xml:space="preserve"> have demonstrated to the PBAC equivalence or superiority over </w:t>
      </w:r>
      <w:proofErr w:type="spellStart"/>
      <w:r w:rsidR="00CF54D3" w:rsidRPr="00EE5CFA">
        <w:t>Crinone</w:t>
      </w:r>
      <w:proofErr w:type="spellEnd"/>
      <w:r w:rsidR="00CF54D3" w:rsidRPr="00EE5CFA">
        <w:t xml:space="preserve"> </w:t>
      </w:r>
      <w:proofErr w:type="spellStart"/>
      <w:r w:rsidR="00CF54D3" w:rsidRPr="00EE5CFA">
        <w:t>bd</w:t>
      </w:r>
      <w:proofErr w:type="spellEnd"/>
      <w:r w:rsidR="00CF54D3" w:rsidRPr="00EE5CFA">
        <w:t xml:space="preserve">, and clinical expert opinion demonstrated a preference for vaginal progesterone at higher approved doses. </w:t>
      </w:r>
      <w:r w:rsidR="00CF54D3" w:rsidRPr="00EE5CFA">
        <w:rPr>
          <w:szCs w:val="22"/>
        </w:rPr>
        <w:t xml:space="preserve">ESC considered that </w:t>
      </w:r>
      <w:proofErr w:type="spellStart"/>
      <w:r w:rsidR="00CF54D3" w:rsidRPr="00EE5CFA">
        <w:rPr>
          <w:szCs w:val="22"/>
        </w:rPr>
        <w:t>Crinone</w:t>
      </w:r>
      <w:proofErr w:type="spellEnd"/>
      <w:r w:rsidR="00CF54D3" w:rsidRPr="00EE5CFA">
        <w:rPr>
          <w:szCs w:val="22"/>
        </w:rPr>
        <w:t xml:space="preserve"> 8% 90mg </w:t>
      </w:r>
      <w:proofErr w:type="spellStart"/>
      <w:r w:rsidR="00CF54D3" w:rsidRPr="00EE5CFA">
        <w:rPr>
          <w:szCs w:val="22"/>
        </w:rPr>
        <w:t>bd</w:t>
      </w:r>
      <w:proofErr w:type="spellEnd"/>
      <w:r w:rsidR="00CF54D3" w:rsidRPr="00EE5CFA">
        <w:rPr>
          <w:szCs w:val="22"/>
        </w:rPr>
        <w:t xml:space="preserve"> </w:t>
      </w:r>
      <w:r w:rsidR="00496B69" w:rsidRPr="00EE5CFA">
        <w:rPr>
          <w:szCs w:val="22"/>
        </w:rPr>
        <w:t>w</w:t>
      </w:r>
      <w:r w:rsidR="00CF54D3" w:rsidRPr="00EE5CFA">
        <w:rPr>
          <w:szCs w:val="22"/>
        </w:rPr>
        <w:t xml:space="preserve">as the appropriate comparator, </w:t>
      </w:r>
      <w:r w:rsidR="00496B69" w:rsidRPr="00EE5CFA">
        <w:rPr>
          <w:szCs w:val="22"/>
        </w:rPr>
        <w:t xml:space="preserve">and that </w:t>
      </w:r>
      <w:r w:rsidR="00CF54D3" w:rsidRPr="00EE5CFA">
        <w:rPr>
          <w:szCs w:val="22"/>
        </w:rPr>
        <w:t xml:space="preserve">the evidence presented supports the conclusion that </w:t>
      </w:r>
      <w:proofErr w:type="spellStart"/>
      <w:r w:rsidR="00CF54D3" w:rsidRPr="00EE5CFA">
        <w:rPr>
          <w:szCs w:val="22"/>
        </w:rPr>
        <w:t>Ultrogestan</w:t>
      </w:r>
      <w:proofErr w:type="spellEnd"/>
      <w:r w:rsidR="00CF54D3" w:rsidRPr="00EE5CFA">
        <w:rPr>
          <w:szCs w:val="22"/>
        </w:rPr>
        <w:t xml:space="preserve"> </w:t>
      </w:r>
      <w:proofErr w:type="spellStart"/>
      <w:r w:rsidR="00CF54D3" w:rsidRPr="00EE5CFA">
        <w:rPr>
          <w:szCs w:val="22"/>
        </w:rPr>
        <w:t>tid</w:t>
      </w:r>
      <w:proofErr w:type="spellEnd"/>
      <w:r w:rsidR="00CF54D3" w:rsidRPr="00EE5CFA">
        <w:rPr>
          <w:szCs w:val="22"/>
        </w:rPr>
        <w:t xml:space="preserve"> is non-inferior and that the cost minimisation analysis presented is appropriate.</w:t>
      </w:r>
    </w:p>
    <w:p w:rsidR="007954DE" w:rsidRPr="00EE5CFA" w:rsidRDefault="007954DE" w:rsidP="000D2E08">
      <w:pPr>
        <w:widowControl/>
        <w:rPr>
          <w:szCs w:val="22"/>
        </w:rPr>
      </w:pPr>
    </w:p>
    <w:p w:rsidR="009858F5" w:rsidRPr="00EE5CFA" w:rsidRDefault="009858F5" w:rsidP="000D2E08">
      <w:pPr>
        <w:pStyle w:val="ListParagraph"/>
        <w:widowControl/>
        <w:numPr>
          <w:ilvl w:val="1"/>
          <w:numId w:val="1"/>
        </w:numPr>
        <w:rPr>
          <w:szCs w:val="22"/>
        </w:rPr>
      </w:pPr>
      <w:r w:rsidRPr="00EE5CFA">
        <w:rPr>
          <w:szCs w:val="22"/>
        </w:rPr>
        <w:t xml:space="preserve">Presented below is an alternative cost-minimisation analysis conducted during the evaluation which compares </w:t>
      </w:r>
      <w:proofErr w:type="spellStart"/>
      <w:r w:rsidRPr="00EE5CFA">
        <w:rPr>
          <w:szCs w:val="22"/>
        </w:rPr>
        <w:t>Utrogestan</w:t>
      </w:r>
      <w:proofErr w:type="spellEnd"/>
      <w:r w:rsidRPr="00EE5CFA">
        <w:rPr>
          <w:szCs w:val="22"/>
        </w:rPr>
        <w:t xml:space="preserve"> 200mg </w:t>
      </w:r>
      <w:proofErr w:type="spellStart"/>
      <w:r w:rsidRPr="00EE5CFA">
        <w:rPr>
          <w:szCs w:val="22"/>
        </w:rPr>
        <w:t>tid</w:t>
      </w:r>
      <w:proofErr w:type="spellEnd"/>
      <w:r w:rsidRPr="00EE5CFA">
        <w:rPr>
          <w:szCs w:val="22"/>
        </w:rPr>
        <w:t xml:space="preserve"> to </w:t>
      </w:r>
      <w:proofErr w:type="spellStart"/>
      <w:r w:rsidRPr="00EE5CFA">
        <w:rPr>
          <w:szCs w:val="22"/>
        </w:rPr>
        <w:t>Crinone</w:t>
      </w:r>
      <w:proofErr w:type="spellEnd"/>
      <w:r w:rsidRPr="00EE5CFA">
        <w:rPr>
          <w:szCs w:val="22"/>
        </w:rPr>
        <w:t xml:space="preserve"> 8% 90mg qd.</w:t>
      </w:r>
    </w:p>
    <w:p w:rsidR="009858F5" w:rsidRDefault="009858F5" w:rsidP="000D2E08">
      <w:pPr>
        <w:keepNext/>
        <w:widowControl/>
        <w:rPr>
          <w:b/>
          <w:i/>
          <w:sz w:val="20"/>
        </w:rPr>
      </w:pPr>
    </w:p>
    <w:p w:rsidR="009858F5" w:rsidRPr="0038366D" w:rsidRDefault="009858F5" w:rsidP="000D2E08">
      <w:pPr>
        <w:keepNext/>
        <w:widowControl/>
        <w:ind w:left="720"/>
        <w:rPr>
          <w:rFonts w:ascii="Arial Narrow" w:hAnsi="Arial Narrow"/>
          <w:b/>
          <w:bCs/>
          <w:sz w:val="20"/>
        </w:rPr>
      </w:pPr>
      <w:r w:rsidRPr="0038366D">
        <w:rPr>
          <w:rFonts w:ascii="Arial Narrow" w:hAnsi="Arial Narrow"/>
          <w:b/>
          <w:sz w:val="20"/>
        </w:rPr>
        <w:t xml:space="preserve">Table 6: Cost-minimisation analysis assuming </w:t>
      </w:r>
      <w:proofErr w:type="spellStart"/>
      <w:r w:rsidRPr="0038366D">
        <w:rPr>
          <w:rFonts w:ascii="Arial Narrow" w:hAnsi="Arial Narrow"/>
          <w:b/>
          <w:sz w:val="20"/>
        </w:rPr>
        <w:t>equi</w:t>
      </w:r>
      <w:proofErr w:type="spellEnd"/>
      <w:r w:rsidRPr="0038366D">
        <w:rPr>
          <w:rFonts w:ascii="Arial Narrow" w:hAnsi="Arial Narrow"/>
          <w:b/>
          <w:sz w:val="20"/>
        </w:rPr>
        <w:t xml:space="preserve">-effective dose of </w:t>
      </w:r>
      <w:proofErr w:type="spellStart"/>
      <w:r w:rsidRPr="0038366D">
        <w:rPr>
          <w:rFonts w:ascii="Arial Narrow" w:hAnsi="Arial Narrow"/>
          <w:b/>
          <w:sz w:val="20"/>
        </w:rPr>
        <w:t>Utrogestan</w:t>
      </w:r>
      <w:proofErr w:type="spellEnd"/>
      <w:r w:rsidRPr="0038366D">
        <w:rPr>
          <w:rFonts w:ascii="Arial Narrow" w:hAnsi="Arial Narrow"/>
          <w:b/>
          <w:sz w:val="20"/>
        </w:rPr>
        <w:t xml:space="preserve"> 200mg TID to </w:t>
      </w:r>
      <w:proofErr w:type="spellStart"/>
      <w:r w:rsidRPr="0038366D">
        <w:rPr>
          <w:rFonts w:ascii="Arial Narrow" w:hAnsi="Arial Narrow"/>
          <w:b/>
          <w:sz w:val="20"/>
        </w:rPr>
        <w:t>Crinone</w:t>
      </w:r>
      <w:proofErr w:type="spellEnd"/>
      <w:r w:rsidRPr="0038366D">
        <w:rPr>
          <w:rFonts w:ascii="Arial Narrow" w:hAnsi="Arial Narrow"/>
          <w:b/>
          <w:sz w:val="20"/>
        </w:rPr>
        <w:t xml:space="preserve"> 8% 90mg QD </w:t>
      </w:r>
    </w:p>
    <w:tbl>
      <w:tblPr>
        <w:tblStyle w:val="TableGrid"/>
        <w:tblW w:w="0" w:type="auto"/>
        <w:tblInd w:w="817" w:type="dxa"/>
        <w:tblLook w:val="04A0" w:firstRow="1" w:lastRow="0" w:firstColumn="1" w:lastColumn="0" w:noHBand="0" w:noVBand="1"/>
        <w:tblCaption w:val="Cost-minimisation analysis assuming equi-effective dose of Utrogestan 200mg TID to Crinone 8% 90mg QD "/>
      </w:tblPr>
      <w:tblGrid>
        <w:gridCol w:w="2263"/>
        <w:gridCol w:w="3081"/>
        <w:gridCol w:w="3081"/>
      </w:tblGrid>
      <w:tr w:rsidR="009858F5" w:rsidRPr="0038366D" w:rsidTr="00B91E4F">
        <w:trPr>
          <w:tblHeader/>
        </w:trPr>
        <w:tc>
          <w:tcPr>
            <w:tcW w:w="2263" w:type="dxa"/>
          </w:tcPr>
          <w:p w:rsidR="009858F5" w:rsidRPr="0038366D" w:rsidRDefault="009858F5" w:rsidP="000D2E08">
            <w:pPr>
              <w:widowControl/>
              <w:rPr>
                <w:rFonts w:ascii="Arial Narrow" w:hAnsi="Arial Narrow"/>
                <w:sz w:val="20"/>
              </w:rPr>
            </w:pPr>
          </w:p>
        </w:tc>
        <w:tc>
          <w:tcPr>
            <w:tcW w:w="3081" w:type="dxa"/>
          </w:tcPr>
          <w:p w:rsidR="009858F5" w:rsidRPr="0038366D" w:rsidRDefault="009858F5" w:rsidP="000D2E08">
            <w:pPr>
              <w:widowControl/>
              <w:rPr>
                <w:rFonts w:ascii="Arial Narrow" w:hAnsi="Arial Narrow"/>
                <w:b/>
                <w:sz w:val="20"/>
              </w:rPr>
            </w:pPr>
            <w:proofErr w:type="spellStart"/>
            <w:r w:rsidRPr="0038366D">
              <w:rPr>
                <w:rFonts w:ascii="Arial Narrow" w:hAnsi="Arial Narrow"/>
                <w:b/>
                <w:sz w:val="20"/>
              </w:rPr>
              <w:t>Utrogestan</w:t>
            </w:r>
            <w:proofErr w:type="spellEnd"/>
            <w:r w:rsidRPr="0038366D">
              <w:rPr>
                <w:rFonts w:ascii="Arial Narrow" w:hAnsi="Arial Narrow"/>
                <w:b/>
                <w:sz w:val="20"/>
              </w:rPr>
              <w:t xml:space="preserve"> 200mg</w:t>
            </w:r>
          </w:p>
        </w:tc>
        <w:tc>
          <w:tcPr>
            <w:tcW w:w="3081" w:type="dxa"/>
          </w:tcPr>
          <w:p w:rsidR="009858F5" w:rsidRPr="0038366D" w:rsidRDefault="009858F5" w:rsidP="000D2E08">
            <w:pPr>
              <w:widowControl/>
              <w:rPr>
                <w:rFonts w:ascii="Arial Narrow" w:hAnsi="Arial Narrow"/>
                <w:b/>
                <w:sz w:val="20"/>
              </w:rPr>
            </w:pPr>
            <w:proofErr w:type="spellStart"/>
            <w:r w:rsidRPr="0038366D">
              <w:rPr>
                <w:rFonts w:ascii="Arial Narrow" w:hAnsi="Arial Narrow"/>
                <w:b/>
                <w:sz w:val="20"/>
              </w:rPr>
              <w:t>Crinone</w:t>
            </w:r>
            <w:proofErr w:type="spellEnd"/>
            <w:r w:rsidRPr="0038366D">
              <w:rPr>
                <w:rFonts w:ascii="Arial Narrow" w:hAnsi="Arial Narrow"/>
                <w:b/>
                <w:sz w:val="20"/>
              </w:rPr>
              <w:t xml:space="preserve"> 8% 90mg</w:t>
            </w:r>
          </w:p>
        </w:tc>
      </w:tr>
      <w:tr w:rsidR="00A032B5" w:rsidRPr="0038366D" w:rsidTr="009858F5">
        <w:tc>
          <w:tcPr>
            <w:tcW w:w="2263" w:type="dxa"/>
          </w:tcPr>
          <w:p w:rsidR="00A032B5" w:rsidRPr="0038366D" w:rsidRDefault="00A032B5" w:rsidP="000D2E08">
            <w:pPr>
              <w:widowControl/>
              <w:rPr>
                <w:rFonts w:ascii="Arial Narrow" w:hAnsi="Arial Narrow"/>
                <w:sz w:val="20"/>
              </w:rPr>
            </w:pPr>
            <w:r w:rsidRPr="0038366D">
              <w:rPr>
                <w:rFonts w:ascii="Arial Narrow" w:hAnsi="Arial Narrow"/>
                <w:sz w:val="20"/>
              </w:rPr>
              <w:t>mg per day</w:t>
            </w:r>
          </w:p>
        </w:tc>
        <w:tc>
          <w:tcPr>
            <w:tcW w:w="3081" w:type="dxa"/>
          </w:tcPr>
          <w:p w:rsidR="00A032B5" w:rsidRPr="0038366D" w:rsidRDefault="00A032B5" w:rsidP="000D2E08">
            <w:pPr>
              <w:widowControl/>
              <w:rPr>
                <w:rFonts w:ascii="Arial Narrow" w:hAnsi="Arial Narrow"/>
                <w:sz w:val="20"/>
              </w:rPr>
            </w:pPr>
            <w:r w:rsidRPr="0038366D">
              <w:rPr>
                <w:rFonts w:ascii="Arial Narrow" w:hAnsi="Arial Narrow"/>
                <w:sz w:val="20"/>
              </w:rPr>
              <w:t>600 mg</w:t>
            </w:r>
          </w:p>
        </w:tc>
        <w:tc>
          <w:tcPr>
            <w:tcW w:w="3081" w:type="dxa"/>
          </w:tcPr>
          <w:p w:rsidR="00A032B5" w:rsidRPr="0038366D" w:rsidRDefault="00A032B5" w:rsidP="000D2E08">
            <w:pPr>
              <w:widowControl/>
              <w:rPr>
                <w:rFonts w:ascii="Arial Narrow" w:hAnsi="Arial Narrow"/>
                <w:sz w:val="20"/>
              </w:rPr>
            </w:pPr>
            <w:r w:rsidRPr="0038366D">
              <w:rPr>
                <w:rFonts w:ascii="Arial Narrow" w:hAnsi="Arial Narrow"/>
                <w:sz w:val="20"/>
              </w:rPr>
              <w:t>90 mg</w:t>
            </w:r>
          </w:p>
        </w:tc>
      </w:tr>
      <w:tr w:rsidR="00A032B5" w:rsidRPr="0038366D" w:rsidTr="00A032B5">
        <w:tc>
          <w:tcPr>
            <w:tcW w:w="2263" w:type="dxa"/>
          </w:tcPr>
          <w:p w:rsidR="00A032B5" w:rsidRPr="0038366D" w:rsidRDefault="00A032B5" w:rsidP="000D2E08">
            <w:pPr>
              <w:widowControl/>
              <w:rPr>
                <w:rFonts w:ascii="Arial Narrow" w:hAnsi="Arial Narrow"/>
                <w:sz w:val="20"/>
              </w:rPr>
            </w:pPr>
            <w:r w:rsidRPr="0038366D">
              <w:rPr>
                <w:rFonts w:ascii="Arial Narrow" w:hAnsi="Arial Narrow"/>
                <w:sz w:val="20"/>
              </w:rPr>
              <w:t>Therapeutic relativity</w:t>
            </w:r>
          </w:p>
        </w:tc>
        <w:tc>
          <w:tcPr>
            <w:tcW w:w="6162" w:type="dxa"/>
            <w:gridSpan w:val="2"/>
            <w:vAlign w:val="center"/>
          </w:tcPr>
          <w:p w:rsidR="00A032B5" w:rsidRPr="0038366D" w:rsidRDefault="00A032B5" w:rsidP="000D2E08">
            <w:pPr>
              <w:widowControl/>
              <w:jc w:val="center"/>
              <w:rPr>
                <w:rFonts w:ascii="Arial Narrow" w:hAnsi="Arial Narrow"/>
                <w:sz w:val="20"/>
              </w:rPr>
            </w:pPr>
            <w:r w:rsidRPr="0038366D">
              <w:rPr>
                <w:rFonts w:ascii="Arial Narrow" w:hAnsi="Arial Narrow"/>
                <w:sz w:val="20"/>
              </w:rPr>
              <w:t>0.15</w:t>
            </w:r>
          </w:p>
        </w:tc>
      </w:tr>
      <w:tr w:rsidR="009858F5" w:rsidRPr="0038366D" w:rsidTr="009858F5">
        <w:tc>
          <w:tcPr>
            <w:tcW w:w="2263" w:type="dxa"/>
          </w:tcPr>
          <w:p w:rsidR="009858F5" w:rsidRPr="0038366D" w:rsidRDefault="009858F5" w:rsidP="000D2E08">
            <w:pPr>
              <w:widowControl/>
              <w:rPr>
                <w:rFonts w:ascii="Arial Narrow" w:hAnsi="Arial Narrow"/>
                <w:sz w:val="20"/>
              </w:rPr>
            </w:pPr>
            <w:r w:rsidRPr="0038366D">
              <w:rPr>
                <w:rFonts w:ascii="Arial Narrow" w:hAnsi="Arial Narrow"/>
                <w:sz w:val="20"/>
              </w:rPr>
              <w:t xml:space="preserve">Units/pack </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42</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15</w:t>
            </w:r>
          </w:p>
        </w:tc>
      </w:tr>
      <w:tr w:rsidR="009858F5" w:rsidRPr="0038366D" w:rsidTr="009858F5">
        <w:tc>
          <w:tcPr>
            <w:tcW w:w="2263" w:type="dxa"/>
          </w:tcPr>
          <w:p w:rsidR="009858F5" w:rsidRPr="0038366D" w:rsidRDefault="009858F5" w:rsidP="000D2E08">
            <w:pPr>
              <w:widowControl/>
              <w:rPr>
                <w:rFonts w:ascii="Arial Narrow" w:hAnsi="Arial Narrow"/>
                <w:sz w:val="20"/>
              </w:rPr>
            </w:pPr>
            <w:r w:rsidRPr="0038366D">
              <w:rPr>
                <w:rFonts w:ascii="Arial Narrow" w:hAnsi="Arial Narrow"/>
                <w:sz w:val="20"/>
              </w:rPr>
              <w:t>Equivalent AEMP/mg</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r>
      <w:tr w:rsidR="009858F5" w:rsidRPr="0038366D" w:rsidTr="009858F5">
        <w:tc>
          <w:tcPr>
            <w:tcW w:w="2263" w:type="dxa"/>
          </w:tcPr>
          <w:p w:rsidR="009858F5" w:rsidRPr="0038366D" w:rsidRDefault="009858F5" w:rsidP="000D2E08">
            <w:pPr>
              <w:widowControl/>
              <w:rPr>
                <w:rFonts w:ascii="Arial Narrow" w:hAnsi="Arial Narrow"/>
                <w:sz w:val="20"/>
              </w:rPr>
            </w:pPr>
            <w:r w:rsidRPr="0038366D">
              <w:rPr>
                <w:rFonts w:ascii="Arial Narrow" w:hAnsi="Arial Narrow"/>
                <w:sz w:val="20"/>
              </w:rPr>
              <w:t>AEMP/unit</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r>
      <w:tr w:rsidR="009858F5" w:rsidRPr="0038366D" w:rsidTr="009858F5">
        <w:tc>
          <w:tcPr>
            <w:tcW w:w="2263" w:type="dxa"/>
          </w:tcPr>
          <w:p w:rsidR="009858F5" w:rsidRPr="0038366D" w:rsidRDefault="009858F5" w:rsidP="000D2E08">
            <w:pPr>
              <w:widowControl/>
              <w:rPr>
                <w:rFonts w:ascii="Arial Narrow" w:hAnsi="Arial Narrow"/>
                <w:sz w:val="20"/>
              </w:rPr>
            </w:pPr>
            <w:r w:rsidRPr="0038366D">
              <w:rPr>
                <w:rFonts w:ascii="Arial Narrow" w:hAnsi="Arial Narrow"/>
                <w:sz w:val="20"/>
              </w:rPr>
              <w:t>AEMP/pack</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r>
      <w:tr w:rsidR="009858F5" w:rsidRPr="0038366D" w:rsidTr="009858F5">
        <w:tc>
          <w:tcPr>
            <w:tcW w:w="2263" w:type="dxa"/>
          </w:tcPr>
          <w:p w:rsidR="009858F5" w:rsidRPr="0038366D" w:rsidRDefault="009858F5" w:rsidP="000D2E08">
            <w:pPr>
              <w:widowControl/>
              <w:rPr>
                <w:rFonts w:ascii="Arial Narrow" w:hAnsi="Arial Narrow"/>
                <w:sz w:val="20"/>
              </w:rPr>
            </w:pPr>
            <w:r w:rsidRPr="0038366D">
              <w:rPr>
                <w:rFonts w:ascii="Arial Narrow" w:hAnsi="Arial Narrow"/>
                <w:sz w:val="20"/>
              </w:rPr>
              <w:t>AEMP/course</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c>
          <w:tcPr>
            <w:tcW w:w="3081" w:type="dxa"/>
          </w:tcPr>
          <w:p w:rsidR="009858F5" w:rsidRPr="0038366D" w:rsidRDefault="009858F5"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r w:rsidRPr="0038366D">
              <w:rPr>
                <w:rFonts w:ascii="Arial Narrow" w:hAnsi="Arial Narrow"/>
                <w:sz w:val="20"/>
              </w:rPr>
              <w:t xml:space="preserve"> </w:t>
            </w:r>
          </w:p>
        </w:tc>
      </w:tr>
      <w:tr w:rsidR="00CE0FE0" w:rsidRPr="0038366D" w:rsidTr="009858F5">
        <w:tc>
          <w:tcPr>
            <w:tcW w:w="2263" w:type="dxa"/>
          </w:tcPr>
          <w:p w:rsidR="00CE0FE0" w:rsidRPr="0038366D" w:rsidRDefault="00CE0FE0" w:rsidP="000D2E08">
            <w:pPr>
              <w:widowControl/>
              <w:rPr>
                <w:rFonts w:ascii="Arial Narrow" w:hAnsi="Arial Narrow"/>
                <w:sz w:val="20"/>
              </w:rPr>
            </w:pPr>
            <w:r w:rsidRPr="0038366D">
              <w:rPr>
                <w:rFonts w:ascii="Arial Narrow" w:hAnsi="Arial Narrow"/>
                <w:sz w:val="20"/>
              </w:rPr>
              <w:t>DPMQ</w:t>
            </w:r>
          </w:p>
        </w:tc>
        <w:tc>
          <w:tcPr>
            <w:tcW w:w="3081" w:type="dxa"/>
          </w:tcPr>
          <w:p w:rsidR="00CE0FE0" w:rsidRPr="0038366D" w:rsidRDefault="00CE0FE0" w:rsidP="000D2E08">
            <w:pPr>
              <w:widowControl/>
              <w:rPr>
                <w:rFonts w:ascii="Arial Narrow" w:hAnsi="Arial Narrow"/>
                <w:sz w:val="20"/>
              </w:rPr>
            </w:pPr>
            <w:r w:rsidRPr="0038366D">
              <w:rPr>
                <w:rFonts w:ascii="Arial Narrow" w:hAnsi="Arial Narrow"/>
                <w:sz w:val="20"/>
              </w:rPr>
              <w:t>$</w:t>
            </w:r>
            <w:r w:rsidR="00FD28CA">
              <w:rPr>
                <w:rFonts w:ascii="Arial Narrow" w:hAnsi="Arial Narrow"/>
                <w:noProof/>
                <w:color w:val="000000"/>
                <w:sz w:val="20"/>
                <w:highlight w:val="black"/>
              </w:rPr>
              <w:t>'''''''''''''</w:t>
            </w:r>
          </w:p>
        </w:tc>
        <w:tc>
          <w:tcPr>
            <w:tcW w:w="3081" w:type="dxa"/>
          </w:tcPr>
          <w:p w:rsidR="00CE0FE0" w:rsidRPr="0038366D" w:rsidRDefault="00CE0FE0" w:rsidP="000D2E08">
            <w:pPr>
              <w:widowControl/>
              <w:rPr>
                <w:rFonts w:ascii="Arial Narrow" w:hAnsi="Arial Narrow"/>
                <w:sz w:val="20"/>
              </w:rPr>
            </w:pPr>
            <w:r w:rsidRPr="0038366D">
              <w:rPr>
                <w:rFonts w:ascii="Arial Narrow" w:hAnsi="Arial Narrow"/>
                <w:sz w:val="20"/>
              </w:rPr>
              <w:t>-</w:t>
            </w:r>
          </w:p>
        </w:tc>
      </w:tr>
    </w:tbl>
    <w:p w:rsidR="00A86E8B" w:rsidRPr="009858F5" w:rsidRDefault="009858F5" w:rsidP="000D2E08">
      <w:pPr>
        <w:pStyle w:val="ListParagraph"/>
        <w:widowControl/>
        <w:rPr>
          <w:rFonts w:ascii="Arial Narrow" w:hAnsi="Arial Narrow"/>
          <w:sz w:val="18"/>
          <w:szCs w:val="18"/>
        </w:rPr>
      </w:pPr>
      <w:r w:rsidRPr="009858F5">
        <w:rPr>
          <w:rFonts w:ascii="Arial Narrow" w:hAnsi="Arial Narrow"/>
          <w:sz w:val="18"/>
          <w:szCs w:val="18"/>
        </w:rPr>
        <w:t>Source: calculated during the evaluation</w:t>
      </w:r>
    </w:p>
    <w:p w:rsidR="003B1C4D" w:rsidRPr="009700B8" w:rsidRDefault="003B1C4D" w:rsidP="000D2E08">
      <w:pPr>
        <w:widowControl/>
        <w:rPr>
          <w:szCs w:val="22"/>
        </w:rPr>
      </w:pPr>
    </w:p>
    <w:p w:rsidR="00C25D9C" w:rsidRPr="002C2775" w:rsidRDefault="00C25D9C" w:rsidP="000D2E08">
      <w:pPr>
        <w:pStyle w:val="Heading2"/>
        <w:widowControl/>
        <w:rPr>
          <w:i/>
          <w:szCs w:val="22"/>
        </w:rPr>
      </w:pPr>
      <w:bookmarkStart w:id="15" w:name="_Toc441061721"/>
      <w:r w:rsidRPr="002C2775">
        <w:rPr>
          <w:i/>
        </w:rPr>
        <w:t>Drug cost/</w:t>
      </w:r>
      <w:r w:rsidR="00844EA1">
        <w:rPr>
          <w:i/>
        </w:rPr>
        <w:t>cycle: $</w:t>
      </w:r>
      <w:bookmarkEnd w:id="15"/>
      <w:r w:rsidR="00FD28CA">
        <w:rPr>
          <w:i/>
          <w:noProof/>
          <w:color w:val="000000"/>
          <w:highlight w:val="black"/>
        </w:rPr>
        <w:t>''''''''''''''</w:t>
      </w:r>
    </w:p>
    <w:p w:rsidR="00C25D9C" w:rsidRPr="00C25D9C" w:rsidRDefault="00C25D9C" w:rsidP="000D2E08">
      <w:pPr>
        <w:widowControl/>
        <w:rPr>
          <w:szCs w:val="22"/>
        </w:rPr>
      </w:pPr>
    </w:p>
    <w:p w:rsidR="00A86E8B" w:rsidRPr="00EE5CFA" w:rsidRDefault="00844EA1" w:rsidP="000D2E08">
      <w:pPr>
        <w:pStyle w:val="ListParagraph"/>
        <w:widowControl/>
        <w:numPr>
          <w:ilvl w:val="1"/>
          <w:numId w:val="1"/>
        </w:numPr>
        <w:rPr>
          <w:szCs w:val="22"/>
        </w:rPr>
      </w:pPr>
      <w:r w:rsidRPr="00EE5CFA">
        <w:rPr>
          <w:szCs w:val="22"/>
        </w:rPr>
        <w:t xml:space="preserve">The duration of treatment with </w:t>
      </w:r>
      <w:proofErr w:type="spellStart"/>
      <w:r w:rsidRPr="00EE5CFA">
        <w:rPr>
          <w:szCs w:val="22"/>
        </w:rPr>
        <w:t>Utrogestan</w:t>
      </w:r>
      <w:proofErr w:type="spellEnd"/>
      <w:r w:rsidRPr="00EE5CFA">
        <w:rPr>
          <w:szCs w:val="22"/>
        </w:rPr>
        <w:t xml:space="preserve"> is 14 days for each ART cycle undertaken. At the submission’s cost-minimised price, the cost of </w:t>
      </w:r>
      <w:proofErr w:type="spellStart"/>
      <w:r w:rsidRPr="00EE5CFA">
        <w:rPr>
          <w:szCs w:val="22"/>
        </w:rPr>
        <w:t>Utrogestan</w:t>
      </w:r>
      <w:proofErr w:type="spellEnd"/>
      <w:r w:rsidRPr="00EE5CFA">
        <w:rPr>
          <w:szCs w:val="22"/>
        </w:rPr>
        <w:t>/cycle is $</w:t>
      </w:r>
      <w:r w:rsidR="00FD28CA">
        <w:rPr>
          <w:noProof/>
          <w:color w:val="000000"/>
          <w:szCs w:val="22"/>
          <w:highlight w:val="black"/>
        </w:rPr>
        <w:t>'''''''''''''''</w:t>
      </w:r>
      <w:r w:rsidRPr="00EE5CFA">
        <w:rPr>
          <w:szCs w:val="22"/>
        </w:rPr>
        <w:t xml:space="preserve">. Based on the alternative cost-minimisation analysis calculated during the evaluation, the cost of </w:t>
      </w:r>
      <w:proofErr w:type="spellStart"/>
      <w:r w:rsidRPr="00EE5CFA">
        <w:rPr>
          <w:szCs w:val="22"/>
        </w:rPr>
        <w:t>Utrogestan</w:t>
      </w:r>
      <w:proofErr w:type="spellEnd"/>
      <w:r w:rsidRPr="00EE5CFA">
        <w:rPr>
          <w:szCs w:val="22"/>
        </w:rPr>
        <w:t>/cycle is $</w:t>
      </w:r>
      <w:r w:rsidR="00FD28CA">
        <w:rPr>
          <w:noProof/>
          <w:color w:val="000000"/>
          <w:szCs w:val="22"/>
          <w:highlight w:val="black"/>
        </w:rPr>
        <w:t>'''''''''''''</w:t>
      </w:r>
      <w:r w:rsidRPr="00EE5CFA">
        <w:rPr>
          <w:szCs w:val="22"/>
        </w:rPr>
        <w:t xml:space="preserve">. </w:t>
      </w:r>
      <w:r w:rsidR="00880F4C" w:rsidRPr="00EE5CFA">
        <w:rPr>
          <w:szCs w:val="22"/>
        </w:rPr>
        <w:t>As t</w:t>
      </w:r>
      <w:r w:rsidRPr="00EE5CFA">
        <w:rPr>
          <w:szCs w:val="22"/>
        </w:rPr>
        <w:t xml:space="preserve">he </w:t>
      </w:r>
      <w:r w:rsidR="0036652D" w:rsidRPr="00EE5CFA">
        <w:rPr>
          <w:szCs w:val="22"/>
        </w:rPr>
        <w:t xml:space="preserve">number </w:t>
      </w:r>
      <w:r w:rsidRPr="00EE5CFA">
        <w:rPr>
          <w:szCs w:val="22"/>
        </w:rPr>
        <w:t xml:space="preserve">of ART cycles a patient will undertake in a </w:t>
      </w:r>
      <w:r w:rsidR="00880F4C" w:rsidRPr="00EE5CFA">
        <w:rPr>
          <w:szCs w:val="22"/>
        </w:rPr>
        <w:t xml:space="preserve">year is based on patient preference, estimating the </w:t>
      </w:r>
      <w:r w:rsidR="0036652D" w:rsidRPr="00EE5CFA">
        <w:rPr>
          <w:szCs w:val="22"/>
        </w:rPr>
        <w:t xml:space="preserve">number </w:t>
      </w:r>
      <w:r w:rsidR="00880F4C" w:rsidRPr="00EE5CFA">
        <w:rPr>
          <w:szCs w:val="22"/>
        </w:rPr>
        <w:t>of cycles a patient will undertake in a year is highly uncertain.</w:t>
      </w:r>
      <w:r w:rsidR="0036652D" w:rsidRPr="00EE5CFA">
        <w:rPr>
          <w:szCs w:val="22"/>
        </w:rPr>
        <w:t xml:space="preserve"> The PSCR (p.4) stated that the number of cycles eligible for luteal phase support was based on an analysis of MBS statistics for Medicare item codes 13200 and 1320</w:t>
      </w:r>
      <w:r w:rsidR="007954DE" w:rsidRPr="00EE5CFA">
        <w:rPr>
          <w:szCs w:val="22"/>
        </w:rPr>
        <w:t xml:space="preserve">1 and that the sponsor considers this to be the most accurate representation of market size. ESC agreed that this was the best approach to take. </w:t>
      </w:r>
    </w:p>
    <w:p w:rsidR="00B60939" w:rsidRPr="001E2B1E" w:rsidRDefault="00B60939" w:rsidP="000D2E08">
      <w:pPr>
        <w:widowControl/>
        <w:rPr>
          <w:szCs w:val="22"/>
        </w:rPr>
      </w:pPr>
    </w:p>
    <w:p w:rsidR="00B60939" w:rsidRPr="002C2775" w:rsidRDefault="00B60939" w:rsidP="000D2E08">
      <w:pPr>
        <w:pStyle w:val="Heading2"/>
        <w:keepNext/>
        <w:widowControl/>
        <w:rPr>
          <w:i/>
        </w:rPr>
      </w:pPr>
      <w:bookmarkStart w:id="16" w:name="_Toc441061722"/>
      <w:r w:rsidRPr="002C2775">
        <w:rPr>
          <w:i/>
        </w:rPr>
        <w:t>Estimated PBS usage &amp; financial implications</w:t>
      </w:r>
      <w:bookmarkEnd w:id="16"/>
    </w:p>
    <w:p w:rsidR="00B60939" w:rsidRPr="00882085" w:rsidRDefault="00B60939" w:rsidP="000D2E08">
      <w:pPr>
        <w:keepNext/>
        <w:widowControl/>
        <w:ind w:left="720" w:hanging="720"/>
        <w:rPr>
          <w:b/>
          <w:i/>
          <w:szCs w:val="22"/>
        </w:rPr>
      </w:pPr>
    </w:p>
    <w:p w:rsidR="009700B8" w:rsidRPr="00235195" w:rsidRDefault="00C25D9C" w:rsidP="000D2E08">
      <w:pPr>
        <w:pStyle w:val="ListParagraph"/>
        <w:widowControl/>
        <w:numPr>
          <w:ilvl w:val="1"/>
          <w:numId w:val="1"/>
        </w:numPr>
      </w:pPr>
      <w:r w:rsidRPr="001A488C">
        <w:t xml:space="preserve">This submission </w:t>
      </w:r>
      <w:r w:rsidR="00CA578C">
        <w:t>was not</w:t>
      </w:r>
      <w:r w:rsidRPr="001A488C">
        <w:t xml:space="preserve"> considered by DUSC.  </w:t>
      </w:r>
      <w:r w:rsidR="001A488C" w:rsidRPr="001A488C">
        <w:t>A market share approach was used to derive the financial estimates.</w:t>
      </w:r>
      <w:r w:rsidR="00DC4F4C">
        <w:t xml:space="preserve"> Medicare data for MBS item codes 13200 and 13201 was used to estimate the number of cycles for luteal phase support because there was limited S100 IVF utilisation data available</w:t>
      </w:r>
      <w:r w:rsidR="00DC4F4C" w:rsidRPr="001A488C">
        <w:t>.</w:t>
      </w:r>
      <w:r w:rsidR="001A488C" w:rsidRPr="001A488C">
        <w:t xml:space="preserve"> </w:t>
      </w:r>
      <w:r w:rsidR="002F4C02">
        <w:t xml:space="preserve">The submission assumed that the listing of </w:t>
      </w:r>
      <w:proofErr w:type="spellStart"/>
      <w:r w:rsidR="002F4C02">
        <w:t>Utrogestan</w:t>
      </w:r>
      <w:proofErr w:type="spellEnd"/>
      <w:r w:rsidR="002F4C02">
        <w:t xml:space="preserve"> would not grow the overall progesterone market but </w:t>
      </w:r>
      <w:r w:rsidR="00392F7A" w:rsidRPr="00C70ED8">
        <w:t xml:space="preserve">estimated </w:t>
      </w:r>
      <w:r w:rsidR="00392F7A">
        <w:t xml:space="preserve">there </w:t>
      </w:r>
      <w:r w:rsidR="00392F7A" w:rsidRPr="00C70ED8">
        <w:t xml:space="preserve">to be a net cost of </w:t>
      </w:r>
      <w:r w:rsidR="00CE0252">
        <w:t>less than $10 million</w:t>
      </w:r>
      <w:r w:rsidR="00392F7A" w:rsidRPr="00C70ED8">
        <w:t xml:space="preserve"> to the PBS over the first five years of listing.</w:t>
      </w:r>
      <w:r w:rsidR="002445C2">
        <w:t xml:space="preserve"> </w:t>
      </w:r>
      <w:r w:rsidR="00C51F00" w:rsidRPr="00235195">
        <w:t xml:space="preserve"> The estimated cost to the PBS based on the requested price is dependent on the extent to which </w:t>
      </w:r>
      <w:proofErr w:type="spellStart"/>
      <w:r w:rsidR="00C51F00" w:rsidRPr="00235195">
        <w:t>Utrogestan</w:t>
      </w:r>
      <w:proofErr w:type="spellEnd"/>
      <w:r w:rsidR="00C51F00" w:rsidRPr="00235195">
        <w:t xml:space="preserve"> displaces other forms of progesterone.</w:t>
      </w:r>
      <w:r w:rsidR="00235195" w:rsidRPr="00235195">
        <w:t xml:space="preserve"> </w:t>
      </w:r>
      <w:r w:rsidR="009700B8" w:rsidRPr="00235195">
        <w:t xml:space="preserve">The pre-PBAC response stated that it is reasonable to expect some impact, albeit a small impact, on the PBS budget, dependent on the extent to which </w:t>
      </w:r>
      <w:proofErr w:type="spellStart"/>
      <w:r w:rsidR="009700B8" w:rsidRPr="00235195">
        <w:t>Utrogestan</w:t>
      </w:r>
      <w:proofErr w:type="spellEnd"/>
      <w:r w:rsidR="009700B8" w:rsidRPr="00235195">
        <w:t xml:space="preserve"> displaces other forms of progesterone. </w:t>
      </w:r>
    </w:p>
    <w:p w:rsidR="0045256C" w:rsidRPr="0045256C" w:rsidRDefault="0045256C" w:rsidP="000D2E08">
      <w:pPr>
        <w:pStyle w:val="ListParagraph"/>
        <w:widowControl/>
        <w:rPr>
          <w:szCs w:val="22"/>
        </w:rPr>
      </w:pPr>
    </w:p>
    <w:p w:rsidR="009700B8" w:rsidRPr="00235195" w:rsidRDefault="0045256C" w:rsidP="000D2E08">
      <w:pPr>
        <w:pStyle w:val="ListParagraph"/>
        <w:widowControl/>
        <w:numPr>
          <w:ilvl w:val="1"/>
          <w:numId w:val="1"/>
        </w:numPr>
      </w:pPr>
      <w:r w:rsidRPr="002463AD">
        <w:t>The submission may have overestimated the expected increase in the overall progesterone market over the first five years of listing</w:t>
      </w:r>
      <w:r w:rsidR="005A2885" w:rsidRPr="002463AD">
        <w:t xml:space="preserve"> by using a linear extrapolation of number of Medicare items processed in 2011 to 2014</w:t>
      </w:r>
      <w:r w:rsidRPr="002463AD">
        <w:t xml:space="preserve">. </w:t>
      </w:r>
      <w:r w:rsidR="00E87F4E" w:rsidRPr="002463AD">
        <w:t xml:space="preserve">However, the requested listing of </w:t>
      </w:r>
      <w:proofErr w:type="spellStart"/>
      <w:r w:rsidR="00E87F4E" w:rsidRPr="002463AD">
        <w:t>Utrogestan</w:t>
      </w:r>
      <w:proofErr w:type="spellEnd"/>
      <w:r w:rsidR="00E87F4E" w:rsidRPr="002463AD">
        <w:t xml:space="preserve"> is not expected to increase the market, in any case.</w:t>
      </w:r>
      <w:r w:rsidR="00235195">
        <w:t xml:space="preserve"> </w:t>
      </w:r>
      <w:r w:rsidR="009700B8" w:rsidRPr="00235195">
        <w:t>The pre</w:t>
      </w:r>
      <w:r w:rsidR="00235195">
        <w:noBreakHyphen/>
      </w:r>
      <w:r w:rsidR="009700B8" w:rsidRPr="00235195">
        <w:t xml:space="preserve">PBAC response reiterated that this market uptake is an ambitious assumption, and as such, mitigates any risk to the PBAC of potentially underestimating the uptake of </w:t>
      </w:r>
      <w:proofErr w:type="spellStart"/>
      <w:r w:rsidR="009700B8" w:rsidRPr="00235195">
        <w:t>Utrogestan</w:t>
      </w:r>
      <w:proofErr w:type="spellEnd"/>
      <w:r w:rsidR="009700B8" w:rsidRPr="00235195">
        <w:t>.</w:t>
      </w:r>
    </w:p>
    <w:p w:rsidR="0045256C" w:rsidRPr="002463AD" w:rsidRDefault="0045256C" w:rsidP="000D2E08">
      <w:pPr>
        <w:pStyle w:val="ListParagraph"/>
        <w:widowControl/>
      </w:pPr>
    </w:p>
    <w:p w:rsidR="0072416F" w:rsidRPr="002463AD" w:rsidRDefault="005A2885" w:rsidP="000D2E08">
      <w:pPr>
        <w:pStyle w:val="ListParagraph"/>
        <w:widowControl/>
        <w:numPr>
          <w:ilvl w:val="1"/>
          <w:numId w:val="1"/>
        </w:numPr>
        <w:rPr>
          <w:szCs w:val="22"/>
        </w:rPr>
      </w:pPr>
      <w:r w:rsidRPr="002463AD">
        <w:t>In addition</w:t>
      </w:r>
      <w:r w:rsidR="002445C2" w:rsidRPr="002463AD">
        <w:t xml:space="preserve">, the submission overestimated the uptake of </w:t>
      </w:r>
      <w:proofErr w:type="spellStart"/>
      <w:r w:rsidR="002445C2" w:rsidRPr="002463AD">
        <w:t>Utrogestan</w:t>
      </w:r>
      <w:proofErr w:type="spellEnd"/>
      <w:r w:rsidR="002445C2" w:rsidRPr="002463AD">
        <w:t xml:space="preserve"> of the total market </w:t>
      </w:r>
      <w:r w:rsidRPr="002463AD">
        <w:rPr>
          <w:szCs w:val="24"/>
        </w:rPr>
        <w:t>by multiplying the assumed uptake rates for each of the three types of progesterone by the total market instead of the individual market shares</w:t>
      </w:r>
      <w:r w:rsidR="002445C2" w:rsidRPr="002463AD">
        <w:t>.</w:t>
      </w:r>
      <w:r w:rsidR="00392F7A" w:rsidRPr="002463AD">
        <w:t xml:space="preserve"> After </w:t>
      </w:r>
      <w:r w:rsidR="002445C2" w:rsidRPr="002463AD">
        <w:t>revising</w:t>
      </w:r>
      <w:r w:rsidR="00392F7A" w:rsidRPr="002463AD">
        <w:t xml:space="preserve"> the usage estimates </w:t>
      </w:r>
      <w:r w:rsidR="002445C2" w:rsidRPr="002463AD">
        <w:t xml:space="preserve">during the evaluation, </w:t>
      </w:r>
      <w:r w:rsidR="00392F7A" w:rsidRPr="002463AD">
        <w:t xml:space="preserve">the net impact on the PBS is a save of </w:t>
      </w:r>
      <w:r w:rsidR="00CD69D8">
        <w:t>less than $10 million</w:t>
      </w:r>
      <w:r w:rsidR="00392F7A" w:rsidRPr="002463AD">
        <w:t xml:space="preserve"> over the first five years of listing. </w:t>
      </w:r>
      <w:r w:rsidR="002445C2" w:rsidRPr="002463AD">
        <w:t xml:space="preserve">The financial impact using the alternative </w:t>
      </w:r>
      <w:r w:rsidR="00394B80" w:rsidRPr="002463AD">
        <w:t>cost minimised price was also calculated during the evaluation.</w:t>
      </w:r>
      <w:r w:rsidR="009858F5" w:rsidRPr="002463AD">
        <w:t xml:space="preserve"> </w:t>
      </w:r>
      <w:r w:rsidR="00EC7011" w:rsidRPr="002463AD">
        <w:rPr>
          <w:szCs w:val="22"/>
        </w:rPr>
        <w:t xml:space="preserve">At </w:t>
      </w:r>
      <w:r w:rsidR="00394B80" w:rsidRPr="002463AD">
        <w:rPr>
          <w:szCs w:val="22"/>
        </w:rPr>
        <w:t>a DPMQ of $</w:t>
      </w:r>
      <w:r w:rsidR="00FD28CA">
        <w:rPr>
          <w:noProof/>
          <w:color w:val="000000"/>
          <w:szCs w:val="22"/>
          <w:highlight w:val="black"/>
        </w:rPr>
        <w:t>'''''''''''''</w:t>
      </w:r>
      <w:r w:rsidR="00EC7011" w:rsidRPr="002463AD">
        <w:rPr>
          <w:szCs w:val="22"/>
        </w:rPr>
        <w:t xml:space="preserve">, there is estimated to be a net save of </w:t>
      </w:r>
      <w:r w:rsidR="00CD69D8">
        <w:rPr>
          <w:snapToGrid/>
          <w:color w:val="000000"/>
          <w:szCs w:val="22"/>
          <w:lang w:eastAsia="en-AU"/>
        </w:rPr>
        <w:t>less than $10 million</w:t>
      </w:r>
      <w:r w:rsidR="00EC7011" w:rsidRPr="002463AD">
        <w:rPr>
          <w:szCs w:val="22"/>
        </w:rPr>
        <w:t xml:space="preserve"> to the PBS over</w:t>
      </w:r>
      <w:r w:rsidR="00EC7011" w:rsidRPr="002463AD">
        <w:t xml:space="preserve"> the first five years of listing.</w:t>
      </w:r>
    </w:p>
    <w:p w:rsidR="00C25D9C" w:rsidRDefault="00C25D9C" w:rsidP="000D2E08">
      <w:pPr>
        <w:widowControl/>
        <w:rPr>
          <w:szCs w:val="22"/>
        </w:rPr>
      </w:pPr>
    </w:p>
    <w:p w:rsidR="00C25D9C" w:rsidRDefault="00C25D9C" w:rsidP="000D2E08">
      <w:pPr>
        <w:keepNext/>
        <w:widowControl/>
        <w:ind w:firstLine="709"/>
        <w:rPr>
          <w:rStyle w:val="CommentReference"/>
        </w:rPr>
      </w:pPr>
      <w:r w:rsidRPr="001222FC">
        <w:rPr>
          <w:rStyle w:val="CommentReference"/>
        </w:rPr>
        <w:t xml:space="preserve">Table </w:t>
      </w:r>
      <w:r w:rsidR="009858F5">
        <w:rPr>
          <w:rStyle w:val="CommentReference"/>
        </w:rPr>
        <w:t>7</w:t>
      </w:r>
      <w:r w:rsidRPr="001222FC">
        <w:rPr>
          <w:rStyle w:val="CommentReference"/>
        </w:rPr>
        <w:t>: Estimated use and financial implications</w:t>
      </w:r>
      <w:r w:rsidR="00392F7A" w:rsidRPr="00392F7A">
        <w:rPr>
          <w:rFonts w:ascii="Arial Narrow" w:hAnsi="Arial Narrow"/>
          <w:sz w:val="20"/>
          <w:vertAlign w:val="superscript"/>
        </w:rPr>
        <w:t xml:space="preserve"> </w:t>
      </w:r>
      <w:r w:rsidR="00392F7A" w:rsidRPr="006A4820">
        <w:rPr>
          <w:rFonts w:ascii="Arial Narrow" w:hAnsi="Arial Narrow"/>
          <w:sz w:val="20"/>
          <w:vertAlign w:val="superscript"/>
        </w:rPr>
        <w:t>a</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8"/>
        <w:gridCol w:w="1152"/>
        <w:gridCol w:w="1152"/>
        <w:gridCol w:w="1265"/>
        <w:gridCol w:w="1267"/>
        <w:gridCol w:w="1252"/>
      </w:tblGrid>
      <w:tr w:rsidR="00C25D9C" w:rsidRPr="006A4820" w:rsidTr="00392F7A">
        <w:trPr>
          <w:tblHeader/>
        </w:trPr>
        <w:tc>
          <w:tcPr>
            <w:tcW w:w="1353" w:type="pct"/>
            <w:shd w:val="clear" w:color="auto" w:fill="auto"/>
            <w:vAlign w:val="center"/>
          </w:tcPr>
          <w:p w:rsidR="00C25D9C" w:rsidRPr="006A4820" w:rsidRDefault="00C25D9C" w:rsidP="000D2E08">
            <w:pPr>
              <w:keepNext/>
              <w:widowControl/>
              <w:tabs>
                <w:tab w:val="left" w:pos="142"/>
              </w:tabs>
              <w:jc w:val="left"/>
              <w:rPr>
                <w:rFonts w:ascii="Arial Narrow" w:hAnsi="Arial Narrow"/>
                <w:b/>
                <w:sz w:val="20"/>
              </w:rPr>
            </w:pPr>
          </w:p>
        </w:tc>
        <w:tc>
          <w:tcPr>
            <w:tcW w:w="690" w:type="pct"/>
            <w:shd w:val="clear" w:color="auto" w:fill="auto"/>
            <w:vAlign w:val="center"/>
          </w:tcPr>
          <w:p w:rsidR="00C25D9C" w:rsidRPr="006A4820" w:rsidRDefault="00C25D9C" w:rsidP="000D2E08">
            <w:pPr>
              <w:keepNext/>
              <w:widowControl/>
              <w:jc w:val="center"/>
              <w:rPr>
                <w:rFonts w:ascii="Arial Narrow" w:hAnsi="Arial Narrow"/>
                <w:b/>
                <w:sz w:val="20"/>
              </w:rPr>
            </w:pPr>
            <w:r w:rsidRPr="006A4820">
              <w:rPr>
                <w:rFonts w:ascii="Arial Narrow" w:hAnsi="Arial Narrow"/>
                <w:b/>
                <w:sz w:val="20"/>
              </w:rPr>
              <w:t>Year 1</w:t>
            </w:r>
          </w:p>
        </w:tc>
        <w:tc>
          <w:tcPr>
            <w:tcW w:w="690" w:type="pct"/>
            <w:shd w:val="clear" w:color="auto" w:fill="auto"/>
            <w:vAlign w:val="center"/>
          </w:tcPr>
          <w:p w:rsidR="00C25D9C" w:rsidRPr="006A4820" w:rsidRDefault="00C25D9C" w:rsidP="000D2E08">
            <w:pPr>
              <w:keepNext/>
              <w:widowControl/>
              <w:jc w:val="center"/>
              <w:rPr>
                <w:rFonts w:ascii="Arial Narrow" w:hAnsi="Arial Narrow"/>
                <w:b/>
                <w:sz w:val="20"/>
              </w:rPr>
            </w:pPr>
            <w:r w:rsidRPr="006A4820">
              <w:rPr>
                <w:rFonts w:ascii="Arial Narrow" w:hAnsi="Arial Narrow"/>
                <w:b/>
                <w:sz w:val="20"/>
              </w:rPr>
              <w:t>Year 2</w:t>
            </w:r>
          </w:p>
        </w:tc>
        <w:tc>
          <w:tcPr>
            <w:tcW w:w="758" w:type="pct"/>
            <w:shd w:val="clear" w:color="auto" w:fill="auto"/>
            <w:vAlign w:val="center"/>
          </w:tcPr>
          <w:p w:rsidR="00C25D9C" w:rsidRPr="006A4820" w:rsidRDefault="00C25D9C" w:rsidP="000D2E08">
            <w:pPr>
              <w:keepNext/>
              <w:widowControl/>
              <w:jc w:val="center"/>
              <w:rPr>
                <w:rFonts w:ascii="Arial Narrow" w:hAnsi="Arial Narrow"/>
                <w:b/>
                <w:sz w:val="20"/>
              </w:rPr>
            </w:pPr>
            <w:r w:rsidRPr="006A4820">
              <w:rPr>
                <w:rFonts w:ascii="Arial Narrow" w:hAnsi="Arial Narrow"/>
                <w:b/>
                <w:sz w:val="20"/>
              </w:rPr>
              <w:t>Year 3</w:t>
            </w:r>
          </w:p>
        </w:tc>
        <w:tc>
          <w:tcPr>
            <w:tcW w:w="759" w:type="pct"/>
            <w:shd w:val="clear" w:color="auto" w:fill="auto"/>
            <w:vAlign w:val="center"/>
          </w:tcPr>
          <w:p w:rsidR="00C25D9C" w:rsidRPr="006A4820" w:rsidRDefault="00C25D9C" w:rsidP="000D2E08">
            <w:pPr>
              <w:keepNext/>
              <w:widowControl/>
              <w:jc w:val="center"/>
              <w:rPr>
                <w:rFonts w:ascii="Arial Narrow" w:hAnsi="Arial Narrow"/>
                <w:b/>
                <w:sz w:val="20"/>
              </w:rPr>
            </w:pPr>
            <w:r w:rsidRPr="006A4820">
              <w:rPr>
                <w:rFonts w:ascii="Arial Narrow" w:hAnsi="Arial Narrow"/>
                <w:b/>
                <w:sz w:val="20"/>
              </w:rPr>
              <w:t>Year 4</w:t>
            </w:r>
          </w:p>
        </w:tc>
        <w:tc>
          <w:tcPr>
            <w:tcW w:w="750" w:type="pct"/>
            <w:shd w:val="clear" w:color="auto" w:fill="auto"/>
            <w:vAlign w:val="center"/>
          </w:tcPr>
          <w:p w:rsidR="00C25D9C" w:rsidRPr="006A4820" w:rsidRDefault="00C25D9C" w:rsidP="000D2E08">
            <w:pPr>
              <w:keepNext/>
              <w:widowControl/>
              <w:jc w:val="center"/>
              <w:rPr>
                <w:rFonts w:ascii="Arial Narrow" w:hAnsi="Arial Narrow"/>
                <w:b/>
                <w:sz w:val="20"/>
              </w:rPr>
            </w:pPr>
            <w:r w:rsidRPr="006A4820">
              <w:rPr>
                <w:rFonts w:ascii="Arial Narrow" w:hAnsi="Arial Narrow"/>
                <w:b/>
                <w:sz w:val="20"/>
              </w:rPr>
              <w:t>Year 5</w:t>
            </w:r>
          </w:p>
        </w:tc>
      </w:tr>
      <w:tr w:rsidR="00C25D9C" w:rsidRPr="006A4820" w:rsidTr="005D044D">
        <w:tc>
          <w:tcPr>
            <w:tcW w:w="5000" w:type="pct"/>
            <w:gridSpan w:val="6"/>
            <w:shd w:val="clear" w:color="auto" w:fill="auto"/>
            <w:vAlign w:val="center"/>
          </w:tcPr>
          <w:p w:rsidR="00C25D9C" w:rsidRPr="006A4820" w:rsidRDefault="00C25D9C" w:rsidP="000D2E08">
            <w:pPr>
              <w:keepNext/>
              <w:widowControl/>
              <w:jc w:val="left"/>
              <w:rPr>
                <w:rFonts w:ascii="Arial Narrow" w:hAnsi="Arial Narrow"/>
                <w:b/>
                <w:bCs/>
                <w:color w:val="000000"/>
                <w:sz w:val="20"/>
                <w:highlight w:val="magenta"/>
              </w:rPr>
            </w:pPr>
            <w:r w:rsidRPr="006A4820">
              <w:rPr>
                <w:rFonts w:ascii="Arial Narrow" w:hAnsi="Arial Narrow"/>
                <w:b/>
                <w:bCs/>
                <w:color w:val="000000"/>
                <w:sz w:val="20"/>
              </w:rPr>
              <w:t>Estimated extent of use</w:t>
            </w:r>
          </w:p>
        </w:tc>
      </w:tr>
      <w:tr w:rsidR="00880F4C" w:rsidRPr="006A4820" w:rsidTr="00392F7A">
        <w:tc>
          <w:tcPr>
            <w:tcW w:w="1353" w:type="pct"/>
            <w:shd w:val="clear" w:color="auto" w:fill="auto"/>
            <w:vAlign w:val="center"/>
          </w:tcPr>
          <w:p w:rsidR="00880F4C" w:rsidRPr="006A4820" w:rsidRDefault="006A4820" w:rsidP="000D2E08">
            <w:pPr>
              <w:keepNext/>
              <w:widowControl/>
              <w:tabs>
                <w:tab w:val="left" w:pos="142"/>
              </w:tabs>
              <w:jc w:val="left"/>
              <w:rPr>
                <w:rFonts w:ascii="Arial Narrow" w:hAnsi="Arial Narrow"/>
                <w:sz w:val="20"/>
              </w:rPr>
            </w:pPr>
            <w:r w:rsidRPr="006A4820">
              <w:rPr>
                <w:rFonts w:ascii="Arial Narrow" w:hAnsi="Arial Narrow"/>
                <w:sz w:val="20"/>
              </w:rPr>
              <w:t>Estimated number of patient cycles treated with progesterone</w:t>
            </w:r>
          </w:p>
        </w:tc>
        <w:tc>
          <w:tcPr>
            <w:tcW w:w="690" w:type="pct"/>
            <w:shd w:val="clear" w:color="auto" w:fill="auto"/>
            <w:vAlign w:val="center"/>
          </w:tcPr>
          <w:p w:rsidR="00880F4C" w:rsidRPr="00FD28CA" w:rsidRDefault="00FD28CA" w:rsidP="000D2E0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0" w:type="pct"/>
            <w:shd w:val="clear" w:color="auto" w:fill="auto"/>
            <w:vAlign w:val="center"/>
          </w:tcPr>
          <w:p w:rsidR="00880F4C" w:rsidRPr="00FD28CA" w:rsidRDefault="00FD28CA" w:rsidP="000D2E0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8" w:type="pct"/>
            <w:shd w:val="clear" w:color="auto" w:fill="auto"/>
            <w:vAlign w:val="center"/>
          </w:tcPr>
          <w:p w:rsidR="00880F4C" w:rsidRPr="00FD28CA" w:rsidRDefault="00FD28CA" w:rsidP="000D2E0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9" w:type="pct"/>
            <w:shd w:val="clear" w:color="auto" w:fill="auto"/>
            <w:vAlign w:val="center"/>
          </w:tcPr>
          <w:p w:rsidR="00880F4C" w:rsidRPr="00FD28CA" w:rsidRDefault="00FD28CA" w:rsidP="000D2E0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0" w:type="pct"/>
            <w:shd w:val="clear" w:color="auto" w:fill="auto"/>
            <w:vAlign w:val="center"/>
          </w:tcPr>
          <w:p w:rsidR="00880F4C" w:rsidRPr="00FD28CA" w:rsidRDefault="00FD28CA" w:rsidP="000D2E08">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880F4C" w:rsidRPr="006A4820" w:rsidTr="00392F7A">
        <w:tc>
          <w:tcPr>
            <w:tcW w:w="1353" w:type="pct"/>
            <w:shd w:val="clear" w:color="auto" w:fill="auto"/>
            <w:vAlign w:val="center"/>
          </w:tcPr>
          <w:p w:rsidR="00880F4C" w:rsidRPr="006A4820" w:rsidRDefault="006A4820" w:rsidP="000D2E08">
            <w:pPr>
              <w:keepNext/>
              <w:widowControl/>
              <w:tabs>
                <w:tab w:val="left" w:pos="142"/>
              </w:tabs>
              <w:jc w:val="left"/>
              <w:rPr>
                <w:rFonts w:ascii="Arial Narrow" w:hAnsi="Arial Narrow"/>
                <w:sz w:val="20"/>
              </w:rPr>
            </w:pPr>
            <w:proofErr w:type="spellStart"/>
            <w:r w:rsidRPr="006A4820">
              <w:rPr>
                <w:rFonts w:ascii="Arial Narrow" w:hAnsi="Arial Narrow"/>
                <w:sz w:val="20"/>
              </w:rPr>
              <w:t>Utrogestan</w:t>
            </w:r>
            <w:proofErr w:type="spellEnd"/>
            <w:r w:rsidRPr="006A4820">
              <w:rPr>
                <w:rFonts w:ascii="Arial Narrow" w:hAnsi="Arial Narrow"/>
                <w:sz w:val="20"/>
              </w:rPr>
              <w:t xml:space="preserve"> m</w:t>
            </w:r>
            <w:r w:rsidR="00880F4C" w:rsidRPr="006A4820">
              <w:rPr>
                <w:rFonts w:ascii="Arial Narrow" w:hAnsi="Arial Narrow"/>
                <w:sz w:val="20"/>
              </w:rPr>
              <w:t>arket share</w:t>
            </w:r>
          </w:p>
        </w:tc>
        <w:tc>
          <w:tcPr>
            <w:tcW w:w="690" w:type="pct"/>
            <w:shd w:val="clear" w:color="auto" w:fill="auto"/>
            <w:vAlign w:val="center"/>
          </w:tcPr>
          <w:p w:rsidR="00880F4C" w:rsidRPr="006A4820" w:rsidRDefault="006A4820" w:rsidP="000D2E08">
            <w:pPr>
              <w:keepNext/>
              <w:widowControl/>
              <w:jc w:val="center"/>
              <w:rPr>
                <w:rFonts w:ascii="Arial Narrow" w:hAnsi="Arial Narrow"/>
                <w:bCs/>
                <w:i/>
                <w:color w:val="000000"/>
                <w:sz w:val="20"/>
              </w:rPr>
            </w:pPr>
            <w:r w:rsidRPr="006A4820">
              <w:rPr>
                <w:rFonts w:ascii="Arial Narrow" w:hAnsi="Arial Narrow"/>
                <w:bCs/>
                <w:i/>
                <w:color w:val="000000"/>
                <w:sz w:val="20"/>
              </w:rPr>
              <w:t>7</w:t>
            </w:r>
            <w:r w:rsidR="00880F4C" w:rsidRPr="006A4820">
              <w:rPr>
                <w:rFonts w:ascii="Arial Narrow" w:hAnsi="Arial Narrow"/>
                <w:bCs/>
                <w:i/>
                <w:color w:val="000000"/>
                <w:sz w:val="20"/>
              </w:rPr>
              <w:t>%</w:t>
            </w:r>
          </w:p>
        </w:tc>
        <w:tc>
          <w:tcPr>
            <w:tcW w:w="690" w:type="pct"/>
            <w:shd w:val="clear" w:color="auto" w:fill="auto"/>
            <w:vAlign w:val="center"/>
          </w:tcPr>
          <w:p w:rsidR="00880F4C" w:rsidRPr="006A4820" w:rsidRDefault="006A4820" w:rsidP="000D2E08">
            <w:pPr>
              <w:keepNext/>
              <w:widowControl/>
              <w:jc w:val="center"/>
              <w:rPr>
                <w:rFonts w:ascii="Arial Narrow" w:hAnsi="Arial Narrow"/>
                <w:bCs/>
                <w:i/>
                <w:color w:val="000000"/>
                <w:sz w:val="20"/>
              </w:rPr>
            </w:pPr>
            <w:r w:rsidRPr="006A4820">
              <w:rPr>
                <w:rFonts w:ascii="Arial Narrow" w:hAnsi="Arial Narrow"/>
                <w:bCs/>
                <w:i/>
                <w:color w:val="000000"/>
                <w:sz w:val="20"/>
              </w:rPr>
              <w:t>14</w:t>
            </w:r>
            <w:r w:rsidR="00880F4C" w:rsidRPr="006A4820">
              <w:rPr>
                <w:rFonts w:ascii="Arial Narrow" w:hAnsi="Arial Narrow"/>
                <w:bCs/>
                <w:i/>
                <w:color w:val="000000"/>
                <w:sz w:val="20"/>
              </w:rPr>
              <w:t>%</w:t>
            </w:r>
          </w:p>
        </w:tc>
        <w:tc>
          <w:tcPr>
            <w:tcW w:w="758" w:type="pct"/>
            <w:shd w:val="clear" w:color="auto" w:fill="auto"/>
            <w:vAlign w:val="center"/>
          </w:tcPr>
          <w:p w:rsidR="00880F4C" w:rsidRPr="006A4820" w:rsidRDefault="006A4820" w:rsidP="000D2E08">
            <w:pPr>
              <w:keepNext/>
              <w:widowControl/>
              <w:jc w:val="center"/>
              <w:rPr>
                <w:rFonts w:ascii="Arial Narrow" w:hAnsi="Arial Narrow"/>
                <w:bCs/>
                <w:i/>
                <w:color w:val="000000"/>
                <w:sz w:val="20"/>
              </w:rPr>
            </w:pPr>
            <w:r w:rsidRPr="006A4820">
              <w:rPr>
                <w:rFonts w:ascii="Arial Narrow" w:hAnsi="Arial Narrow"/>
                <w:bCs/>
                <w:i/>
                <w:color w:val="000000"/>
                <w:sz w:val="20"/>
              </w:rPr>
              <w:t>20</w:t>
            </w:r>
            <w:r w:rsidR="00880F4C" w:rsidRPr="006A4820">
              <w:rPr>
                <w:rFonts w:ascii="Arial Narrow" w:hAnsi="Arial Narrow"/>
                <w:bCs/>
                <w:i/>
                <w:color w:val="000000"/>
                <w:sz w:val="20"/>
              </w:rPr>
              <w:t>%</w:t>
            </w:r>
          </w:p>
        </w:tc>
        <w:tc>
          <w:tcPr>
            <w:tcW w:w="759" w:type="pct"/>
            <w:shd w:val="clear" w:color="auto" w:fill="auto"/>
            <w:vAlign w:val="center"/>
          </w:tcPr>
          <w:p w:rsidR="00880F4C" w:rsidRPr="006A4820" w:rsidRDefault="006A4820" w:rsidP="000D2E08">
            <w:pPr>
              <w:keepNext/>
              <w:widowControl/>
              <w:jc w:val="center"/>
              <w:rPr>
                <w:rFonts w:ascii="Arial Narrow" w:hAnsi="Arial Narrow"/>
                <w:bCs/>
                <w:i/>
                <w:color w:val="000000"/>
                <w:sz w:val="20"/>
              </w:rPr>
            </w:pPr>
            <w:r w:rsidRPr="006A4820">
              <w:rPr>
                <w:rFonts w:ascii="Arial Narrow" w:hAnsi="Arial Narrow"/>
                <w:bCs/>
                <w:i/>
                <w:color w:val="000000"/>
                <w:sz w:val="20"/>
              </w:rPr>
              <w:t>25</w:t>
            </w:r>
            <w:r w:rsidR="00880F4C" w:rsidRPr="006A4820">
              <w:rPr>
                <w:rFonts w:ascii="Arial Narrow" w:hAnsi="Arial Narrow"/>
                <w:bCs/>
                <w:i/>
                <w:color w:val="000000"/>
                <w:sz w:val="20"/>
              </w:rPr>
              <w:t>%</w:t>
            </w:r>
          </w:p>
        </w:tc>
        <w:tc>
          <w:tcPr>
            <w:tcW w:w="750" w:type="pct"/>
            <w:shd w:val="clear" w:color="auto" w:fill="auto"/>
            <w:vAlign w:val="center"/>
          </w:tcPr>
          <w:p w:rsidR="00880F4C" w:rsidRPr="006A4820" w:rsidRDefault="006A4820" w:rsidP="000D2E08">
            <w:pPr>
              <w:keepNext/>
              <w:widowControl/>
              <w:jc w:val="center"/>
              <w:rPr>
                <w:rFonts w:ascii="Arial Narrow" w:hAnsi="Arial Narrow"/>
                <w:bCs/>
                <w:i/>
                <w:color w:val="000000"/>
                <w:sz w:val="20"/>
              </w:rPr>
            </w:pPr>
            <w:r w:rsidRPr="006A4820">
              <w:rPr>
                <w:rFonts w:ascii="Arial Narrow" w:hAnsi="Arial Narrow"/>
                <w:bCs/>
                <w:i/>
                <w:color w:val="000000"/>
                <w:sz w:val="20"/>
              </w:rPr>
              <w:t>28</w:t>
            </w:r>
            <w:r w:rsidR="00880F4C" w:rsidRPr="006A4820">
              <w:rPr>
                <w:rFonts w:ascii="Arial Narrow" w:hAnsi="Arial Narrow"/>
                <w:bCs/>
                <w:i/>
                <w:color w:val="000000"/>
                <w:sz w:val="20"/>
              </w:rPr>
              <w:t>%</w:t>
            </w:r>
          </w:p>
        </w:tc>
      </w:tr>
      <w:tr w:rsidR="006A4820" w:rsidRPr="006A4820" w:rsidTr="00DC4F4C">
        <w:tc>
          <w:tcPr>
            <w:tcW w:w="1353" w:type="pct"/>
            <w:shd w:val="clear" w:color="auto" w:fill="auto"/>
            <w:vAlign w:val="center"/>
          </w:tcPr>
          <w:p w:rsidR="006A4820" w:rsidRPr="006A4820" w:rsidRDefault="006A4820" w:rsidP="000D2E08">
            <w:pPr>
              <w:keepNext/>
              <w:widowControl/>
              <w:tabs>
                <w:tab w:val="left" w:pos="142"/>
              </w:tabs>
              <w:jc w:val="left"/>
              <w:rPr>
                <w:rFonts w:ascii="Arial Narrow" w:hAnsi="Arial Narrow"/>
                <w:sz w:val="20"/>
              </w:rPr>
            </w:pPr>
            <w:proofErr w:type="spellStart"/>
            <w:r w:rsidRPr="006A4820">
              <w:rPr>
                <w:rFonts w:ascii="Arial Narrow" w:hAnsi="Arial Narrow"/>
                <w:sz w:val="20"/>
              </w:rPr>
              <w:t>Utrogestan</w:t>
            </w:r>
            <w:proofErr w:type="spellEnd"/>
            <w:r w:rsidRPr="006A4820">
              <w:rPr>
                <w:rFonts w:ascii="Arial Narrow" w:hAnsi="Arial Narrow"/>
                <w:sz w:val="20"/>
              </w:rPr>
              <w:t xml:space="preserve"> </w:t>
            </w:r>
            <w:proofErr w:type="spellStart"/>
            <w:r w:rsidR="00394B80">
              <w:rPr>
                <w:rFonts w:ascii="Arial Narrow" w:hAnsi="Arial Narrow"/>
                <w:sz w:val="20"/>
              </w:rPr>
              <w:t>scripts</w:t>
            </w:r>
            <w:r w:rsidR="00394B80">
              <w:rPr>
                <w:rFonts w:ascii="Arial Narrow" w:hAnsi="Arial Narrow"/>
                <w:sz w:val="20"/>
                <w:vertAlign w:val="superscript"/>
              </w:rPr>
              <w:t>b</w:t>
            </w:r>
            <w:proofErr w:type="spellEnd"/>
          </w:p>
        </w:tc>
        <w:tc>
          <w:tcPr>
            <w:tcW w:w="690" w:type="pct"/>
            <w:shd w:val="clear" w:color="auto" w:fill="auto"/>
            <w:vAlign w:val="center"/>
          </w:tcPr>
          <w:p w:rsidR="006A4820" w:rsidRPr="00FD28CA" w:rsidRDefault="00FD28CA" w:rsidP="000D2E08">
            <w:pPr>
              <w:keepNext/>
              <w:widowControl/>
              <w:jc w:val="center"/>
              <w:rPr>
                <w:rFonts w:ascii="Arial Narrow" w:hAnsi="Arial Narrow"/>
                <w:bCs/>
                <w:i/>
                <w:color w:val="000000"/>
                <w:sz w:val="20"/>
                <w:highlight w:val="black"/>
              </w:rPr>
            </w:pPr>
            <w:r>
              <w:rPr>
                <w:rFonts w:ascii="Arial Narrow" w:hAnsi="Arial Narrow"/>
                <w:i/>
                <w:noProof/>
                <w:color w:val="000000"/>
                <w:sz w:val="20"/>
                <w:highlight w:val="black"/>
              </w:rPr>
              <w:t>''''''''''''''</w:t>
            </w:r>
            <w:r w:rsidR="006A4820" w:rsidRPr="00FD28CA">
              <w:rPr>
                <w:rFonts w:ascii="Arial Narrow" w:hAnsi="Arial Narrow"/>
                <w:i/>
                <w:sz w:val="20"/>
                <w:highlight w:val="black"/>
              </w:rPr>
              <w:t xml:space="preserve"> </w:t>
            </w:r>
          </w:p>
        </w:tc>
        <w:tc>
          <w:tcPr>
            <w:tcW w:w="690" w:type="pct"/>
            <w:shd w:val="clear" w:color="auto" w:fill="auto"/>
            <w:vAlign w:val="center"/>
          </w:tcPr>
          <w:p w:rsidR="006A4820" w:rsidRPr="00FD28CA" w:rsidRDefault="00FD28CA" w:rsidP="000D2E08">
            <w:pPr>
              <w:keepNext/>
              <w:widowControl/>
              <w:jc w:val="center"/>
              <w:rPr>
                <w:rFonts w:ascii="Arial Narrow" w:hAnsi="Arial Narrow"/>
                <w:bCs/>
                <w:i/>
                <w:color w:val="000000"/>
                <w:sz w:val="20"/>
                <w:highlight w:val="black"/>
              </w:rPr>
            </w:pPr>
            <w:r>
              <w:rPr>
                <w:rFonts w:ascii="Arial Narrow" w:hAnsi="Arial Narrow"/>
                <w:i/>
                <w:noProof/>
                <w:color w:val="000000"/>
                <w:sz w:val="20"/>
                <w:highlight w:val="black"/>
              </w:rPr>
              <w:t xml:space="preserve">'''''''''''''' </w:t>
            </w:r>
          </w:p>
        </w:tc>
        <w:tc>
          <w:tcPr>
            <w:tcW w:w="758" w:type="pct"/>
            <w:shd w:val="clear" w:color="auto" w:fill="auto"/>
            <w:vAlign w:val="center"/>
          </w:tcPr>
          <w:p w:rsidR="006A4820" w:rsidRPr="00FD28CA" w:rsidRDefault="00FD28CA" w:rsidP="000D2E08">
            <w:pPr>
              <w:keepNext/>
              <w:widowControl/>
              <w:jc w:val="center"/>
              <w:rPr>
                <w:rFonts w:ascii="Arial Narrow" w:hAnsi="Arial Narrow"/>
                <w:bCs/>
                <w:i/>
                <w:color w:val="000000"/>
                <w:sz w:val="20"/>
                <w:highlight w:val="black"/>
              </w:rPr>
            </w:pPr>
            <w:r>
              <w:rPr>
                <w:rFonts w:ascii="Arial Narrow" w:hAnsi="Arial Narrow"/>
                <w:i/>
                <w:noProof/>
                <w:color w:val="000000"/>
                <w:sz w:val="20"/>
                <w:highlight w:val="black"/>
              </w:rPr>
              <w:t xml:space="preserve">'''''''''''' </w:t>
            </w:r>
          </w:p>
        </w:tc>
        <w:tc>
          <w:tcPr>
            <w:tcW w:w="759" w:type="pct"/>
            <w:shd w:val="clear" w:color="auto" w:fill="auto"/>
            <w:vAlign w:val="center"/>
          </w:tcPr>
          <w:p w:rsidR="006A4820" w:rsidRPr="00FD28CA" w:rsidRDefault="00FD28CA" w:rsidP="000D2E08">
            <w:pPr>
              <w:keepNext/>
              <w:widowControl/>
              <w:jc w:val="center"/>
              <w:rPr>
                <w:rFonts w:ascii="Arial Narrow" w:hAnsi="Arial Narrow"/>
                <w:bCs/>
                <w:i/>
                <w:color w:val="000000"/>
                <w:sz w:val="20"/>
                <w:highlight w:val="black"/>
              </w:rPr>
            </w:pPr>
            <w:r>
              <w:rPr>
                <w:rFonts w:ascii="Arial Narrow" w:hAnsi="Arial Narrow"/>
                <w:i/>
                <w:noProof/>
                <w:color w:val="000000"/>
                <w:sz w:val="20"/>
                <w:highlight w:val="black"/>
              </w:rPr>
              <w:t xml:space="preserve">'''''''''''''''' </w:t>
            </w:r>
          </w:p>
        </w:tc>
        <w:tc>
          <w:tcPr>
            <w:tcW w:w="750" w:type="pct"/>
            <w:shd w:val="clear" w:color="auto" w:fill="auto"/>
            <w:vAlign w:val="center"/>
          </w:tcPr>
          <w:p w:rsidR="006A4820" w:rsidRPr="00FD28CA" w:rsidRDefault="00FD28CA" w:rsidP="000D2E08">
            <w:pPr>
              <w:keepNext/>
              <w:widowControl/>
              <w:jc w:val="center"/>
              <w:rPr>
                <w:rFonts w:ascii="Arial Narrow" w:hAnsi="Arial Narrow"/>
                <w:bCs/>
                <w:i/>
                <w:color w:val="000000"/>
                <w:sz w:val="20"/>
                <w:highlight w:val="black"/>
              </w:rPr>
            </w:pPr>
            <w:r>
              <w:rPr>
                <w:rFonts w:ascii="Arial Narrow" w:hAnsi="Arial Narrow"/>
                <w:i/>
                <w:noProof/>
                <w:color w:val="000000"/>
                <w:sz w:val="20"/>
                <w:highlight w:val="black"/>
              </w:rPr>
              <w:t xml:space="preserve">''''''''''''''' </w:t>
            </w:r>
          </w:p>
        </w:tc>
      </w:tr>
      <w:tr w:rsidR="00C25D9C" w:rsidRPr="006A4820" w:rsidTr="00394B80">
        <w:tc>
          <w:tcPr>
            <w:tcW w:w="5000" w:type="pct"/>
            <w:gridSpan w:val="6"/>
            <w:shd w:val="clear" w:color="auto" w:fill="auto"/>
            <w:vAlign w:val="center"/>
          </w:tcPr>
          <w:p w:rsidR="00C25D9C" w:rsidRPr="006A4820" w:rsidRDefault="00C25D9C" w:rsidP="000D2E08">
            <w:pPr>
              <w:keepNext/>
              <w:widowControl/>
              <w:jc w:val="left"/>
              <w:rPr>
                <w:rFonts w:ascii="Arial Narrow" w:hAnsi="Arial Narrow"/>
                <w:b/>
                <w:bCs/>
                <w:color w:val="000000"/>
                <w:sz w:val="20"/>
                <w:highlight w:val="magenta"/>
              </w:rPr>
            </w:pPr>
            <w:r w:rsidRPr="006A4820">
              <w:rPr>
                <w:rFonts w:ascii="Arial Narrow" w:hAnsi="Arial Narrow"/>
                <w:b/>
                <w:bCs/>
                <w:color w:val="000000"/>
                <w:sz w:val="20"/>
              </w:rPr>
              <w:t>Estimated net cost to PBS</w:t>
            </w:r>
          </w:p>
        </w:tc>
      </w:tr>
      <w:tr w:rsidR="00392F7A" w:rsidRPr="006A4820" w:rsidTr="00DC4F4C">
        <w:tc>
          <w:tcPr>
            <w:tcW w:w="1353" w:type="pct"/>
            <w:shd w:val="clear" w:color="auto" w:fill="auto"/>
            <w:vAlign w:val="center"/>
          </w:tcPr>
          <w:p w:rsidR="00392F7A" w:rsidRPr="00392F7A" w:rsidRDefault="00392F7A" w:rsidP="000D2E08">
            <w:pPr>
              <w:keepNext/>
              <w:widowControl/>
              <w:tabs>
                <w:tab w:val="left" w:pos="142"/>
              </w:tabs>
              <w:jc w:val="left"/>
              <w:rPr>
                <w:rFonts w:ascii="Arial Narrow" w:hAnsi="Arial Narrow"/>
                <w:sz w:val="20"/>
                <w:highlight w:val="magenta"/>
              </w:rPr>
            </w:pPr>
            <w:r w:rsidRPr="00392F7A">
              <w:rPr>
                <w:rFonts w:ascii="Arial Narrow" w:hAnsi="Arial Narrow"/>
                <w:sz w:val="20"/>
              </w:rPr>
              <w:t xml:space="preserve">Increased utilisation of </w:t>
            </w:r>
            <w:proofErr w:type="spellStart"/>
            <w:r w:rsidRPr="00392F7A">
              <w:rPr>
                <w:rFonts w:ascii="Arial Narrow" w:hAnsi="Arial Narrow"/>
                <w:sz w:val="20"/>
              </w:rPr>
              <w:t>Utrogestan</w:t>
            </w:r>
            <w:proofErr w:type="spellEnd"/>
          </w:p>
        </w:tc>
        <w:tc>
          <w:tcPr>
            <w:tcW w:w="69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69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8"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9"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r>
      <w:tr w:rsidR="00392F7A" w:rsidRPr="006A4820" w:rsidTr="00DC4F4C">
        <w:tc>
          <w:tcPr>
            <w:tcW w:w="1353" w:type="pct"/>
            <w:shd w:val="clear" w:color="auto" w:fill="auto"/>
            <w:vAlign w:val="center"/>
          </w:tcPr>
          <w:p w:rsidR="00392F7A" w:rsidRPr="00392F7A" w:rsidRDefault="00392F7A" w:rsidP="000D2E08">
            <w:pPr>
              <w:keepNext/>
              <w:widowControl/>
              <w:tabs>
                <w:tab w:val="left" w:pos="142"/>
              </w:tabs>
              <w:jc w:val="left"/>
              <w:rPr>
                <w:rFonts w:ascii="Arial Narrow" w:hAnsi="Arial Narrow"/>
                <w:sz w:val="20"/>
                <w:highlight w:val="magenta"/>
              </w:rPr>
            </w:pPr>
            <w:r w:rsidRPr="00392F7A">
              <w:rPr>
                <w:rFonts w:ascii="Arial Narrow" w:hAnsi="Arial Narrow"/>
                <w:sz w:val="20"/>
              </w:rPr>
              <w:t>Reduced utilisation of other drugs</w:t>
            </w:r>
          </w:p>
        </w:tc>
        <w:tc>
          <w:tcPr>
            <w:tcW w:w="69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69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8"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9"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0" w:type="pct"/>
            <w:shd w:val="clear" w:color="auto" w:fill="auto"/>
            <w:vAlign w:val="center"/>
          </w:tcPr>
          <w:p w:rsidR="00392F7A" w:rsidRPr="00392F7A" w:rsidRDefault="00392F7A" w:rsidP="000D2E08">
            <w:pPr>
              <w:keepNext/>
              <w:widowControl/>
              <w:jc w:val="center"/>
              <w:rPr>
                <w:rFonts w:ascii="Arial Narrow" w:hAnsi="Arial Narrow"/>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r>
      <w:tr w:rsidR="001A488C" w:rsidRPr="006A4820" w:rsidTr="00392F7A">
        <w:tc>
          <w:tcPr>
            <w:tcW w:w="1353" w:type="pct"/>
            <w:shd w:val="clear" w:color="auto" w:fill="auto"/>
            <w:vAlign w:val="center"/>
          </w:tcPr>
          <w:p w:rsidR="001A488C" w:rsidRPr="00392F7A" w:rsidRDefault="001A488C" w:rsidP="000D2E08">
            <w:pPr>
              <w:keepNext/>
              <w:widowControl/>
              <w:tabs>
                <w:tab w:val="left" w:pos="142"/>
              </w:tabs>
              <w:jc w:val="left"/>
              <w:rPr>
                <w:rFonts w:ascii="Arial Narrow" w:hAnsi="Arial Narrow"/>
                <w:sz w:val="20"/>
              </w:rPr>
            </w:pPr>
            <w:r w:rsidRPr="00392F7A">
              <w:rPr>
                <w:rFonts w:ascii="Arial Narrow" w:hAnsi="Arial Narrow"/>
                <w:sz w:val="20"/>
              </w:rPr>
              <w:t xml:space="preserve">Net cost to </w:t>
            </w:r>
            <w:r w:rsidR="00EC7011" w:rsidRPr="00392F7A">
              <w:rPr>
                <w:rFonts w:ascii="Arial Narrow" w:hAnsi="Arial Narrow"/>
                <w:sz w:val="20"/>
              </w:rPr>
              <w:t>other Government Health Budgets</w:t>
            </w:r>
          </w:p>
        </w:tc>
        <w:tc>
          <w:tcPr>
            <w:tcW w:w="690" w:type="pct"/>
            <w:shd w:val="clear" w:color="auto" w:fill="auto"/>
            <w:vAlign w:val="center"/>
          </w:tcPr>
          <w:p w:rsidR="001A488C" w:rsidRPr="00392F7A" w:rsidRDefault="00EC7011" w:rsidP="000D2E08">
            <w:pPr>
              <w:keepNext/>
              <w:widowControl/>
              <w:jc w:val="center"/>
              <w:rPr>
                <w:rFonts w:ascii="Arial Narrow" w:hAnsi="Arial Narrow"/>
                <w:sz w:val="20"/>
              </w:rPr>
            </w:pPr>
            <w:r w:rsidRPr="00392F7A">
              <w:rPr>
                <w:rFonts w:ascii="Arial Narrow" w:hAnsi="Arial Narrow"/>
                <w:sz w:val="20"/>
              </w:rPr>
              <w:t>$0</w:t>
            </w:r>
          </w:p>
        </w:tc>
        <w:tc>
          <w:tcPr>
            <w:tcW w:w="690" w:type="pct"/>
            <w:shd w:val="clear" w:color="auto" w:fill="auto"/>
            <w:vAlign w:val="center"/>
          </w:tcPr>
          <w:p w:rsidR="001A488C" w:rsidRPr="00392F7A" w:rsidRDefault="00EC7011" w:rsidP="000D2E08">
            <w:pPr>
              <w:keepNext/>
              <w:widowControl/>
              <w:jc w:val="center"/>
              <w:rPr>
                <w:rFonts w:ascii="Arial Narrow" w:hAnsi="Arial Narrow"/>
                <w:sz w:val="20"/>
              </w:rPr>
            </w:pPr>
            <w:r w:rsidRPr="00392F7A">
              <w:rPr>
                <w:rFonts w:ascii="Arial Narrow" w:hAnsi="Arial Narrow"/>
                <w:sz w:val="20"/>
              </w:rPr>
              <w:t>$0</w:t>
            </w:r>
          </w:p>
        </w:tc>
        <w:tc>
          <w:tcPr>
            <w:tcW w:w="758" w:type="pct"/>
            <w:shd w:val="clear" w:color="auto" w:fill="auto"/>
            <w:vAlign w:val="center"/>
          </w:tcPr>
          <w:p w:rsidR="001A488C" w:rsidRPr="00392F7A" w:rsidRDefault="00EC7011" w:rsidP="000D2E08">
            <w:pPr>
              <w:keepNext/>
              <w:widowControl/>
              <w:jc w:val="center"/>
              <w:rPr>
                <w:rFonts w:ascii="Arial Narrow" w:hAnsi="Arial Narrow"/>
                <w:sz w:val="20"/>
              </w:rPr>
            </w:pPr>
            <w:r w:rsidRPr="00392F7A">
              <w:rPr>
                <w:rFonts w:ascii="Arial Narrow" w:hAnsi="Arial Narrow"/>
                <w:sz w:val="20"/>
              </w:rPr>
              <w:t>$0</w:t>
            </w:r>
          </w:p>
        </w:tc>
        <w:tc>
          <w:tcPr>
            <w:tcW w:w="759" w:type="pct"/>
            <w:shd w:val="clear" w:color="auto" w:fill="auto"/>
            <w:vAlign w:val="center"/>
          </w:tcPr>
          <w:p w:rsidR="001A488C" w:rsidRPr="00392F7A" w:rsidRDefault="00EC7011" w:rsidP="000D2E08">
            <w:pPr>
              <w:keepNext/>
              <w:widowControl/>
              <w:jc w:val="center"/>
              <w:rPr>
                <w:rFonts w:ascii="Arial Narrow" w:hAnsi="Arial Narrow"/>
                <w:sz w:val="20"/>
              </w:rPr>
            </w:pPr>
            <w:r w:rsidRPr="00392F7A">
              <w:rPr>
                <w:rFonts w:ascii="Arial Narrow" w:hAnsi="Arial Narrow"/>
                <w:sz w:val="20"/>
              </w:rPr>
              <w:t>$0</w:t>
            </w:r>
          </w:p>
        </w:tc>
        <w:tc>
          <w:tcPr>
            <w:tcW w:w="750" w:type="pct"/>
            <w:shd w:val="clear" w:color="auto" w:fill="auto"/>
            <w:vAlign w:val="center"/>
          </w:tcPr>
          <w:p w:rsidR="001A488C" w:rsidRPr="00392F7A" w:rsidRDefault="00EC7011" w:rsidP="000D2E08">
            <w:pPr>
              <w:keepNext/>
              <w:widowControl/>
              <w:jc w:val="center"/>
              <w:rPr>
                <w:rFonts w:ascii="Arial Narrow" w:hAnsi="Arial Narrow"/>
                <w:sz w:val="20"/>
              </w:rPr>
            </w:pPr>
            <w:r w:rsidRPr="00392F7A">
              <w:rPr>
                <w:rFonts w:ascii="Arial Narrow" w:hAnsi="Arial Narrow"/>
                <w:sz w:val="20"/>
              </w:rPr>
              <w:t>$0</w:t>
            </w:r>
          </w:p>
        </w:tc>
      </w:tr>
      <w:tr w:rsidR="00392F7A" w:rsidRPr="006A4820" w:rsidTr="00DC4F4C">
        <w:tc>
          <w:tcPr>
            <w:tcW w:w="1353" w:type="pct"/>
            <w:shd w:val="clear" w:color="auto" w:fill="auto"/>
            <w:vAlign w:val="center"/>
          </w:tcPr>
          <w:p w:rsidR="00392F7A" w:rsidRPr="00392F7A" w:rsidRDefault="00392F7A" w:rsidP="000D2E08">
            <w:pPr>
              <w:keepNext/>
              <w:widowControl/>
              <w:tabs>
                <w:tab w:val="left" w:pos="142"/>
              </w:tabs>
              <w:jc w:val="left"/>
              <w:rPr>
                <w:rFonts w:ascii="Arial Narrow" w:hAnsi="Arial Narrow"/>
                <w:b/>
                <w:sz w:val="20"/>
              </w:rPr>
            </w:pPr>
            <w:r w:rsidRPr="00392F7A">
              <w:rPr>
                <w:rFonts w:ascii="Arial Narrow" w:hAnsi="Arial Narrow"/>
                <w:b/>
                <w:bCs/>
                <w:color w:val="000000"/>
                <w:sz w:val="20"/>
              </w:rPr>
              <w:t>Net cost to PBS/RPBS/MBS</w:t>
            </w:r>
          </w:p>
        </w:tc>
        <w:tc>
          <w:tcPr>
            <w:tcW w:w="690" w:type="pct"/>
            <w:shd w:val="clear" w:color="auto" w:fill="auto"/>
            <w:vAlign w:val="center"/>
          </w:tcPr>
          <w:p w:rsidR="00392F7A" w:rsidRPr="00392F7A" w:rsidRDefault="00392F7A" w:rsidP="000D2E08">
            <w:pPr>
              <w:keepNext/>
              <w:widowControl/>
              <w:jc w:val="center"/>
              <w:rPr>
                <w:rFonts w:ascii="Arial Narrow" w:hAnsi="Arial Narrow"/>
                <w:b/>
                <w:color w:val="000000"/>
                <w:sz w:val="20"/>
              </w:rPr>
            </w:pPr>
            <w:r w:rsidRPr="00392F7A">
              <w:rPr>
                <w:rFonts w:ascii="Arial Narrow" w:hAnsi="Arial Narrow"/>
                <w:i/>
                <w:sz w:val="20"/>
              </w:rPr>
              <w:t>$</w:t>
            </w:r>
            <w:r w:rsidR="00FD28CA">
              <w:rPr>
                <w:rFonts w:ascii="Arial Narrow" w:hAnsi="Arial Narrow"/>
                <w:i/>
                <w:noProof/>
                <w:color w:val="000000"/>
                <w:sz w:val="20"/>
                <w:highlight w:val="black"/>
              </w:rPr>
              <w:t>'''''''''''''</w:t>
            </w:r>
          </w:p>
        </w:tc>
        <w:tc>
          <w:tcPr>
            <w:tcW w:w="690" w:type="pct"/>
            <w:shd w:val="clear" w:color="auto" w:fill="auto"/>
            <w:vAlign w:val="center"/>
          </w:tcPr>
          <w:p w:rsidR="00392F7A" w:rsidRPr="006A4820" w:rsidRDefault="00392F7A" w:rsidP="000D2E08">
            <w:pPr>
              <w:keepNext/>
              <w:widowControl/>
              <w:jc w:val="center"/>
              <w:rPr>
                <w:rFonts w:ascii="Arial Narrow" w:hAnsi="Arial Narrow"/>
                <w:b/>
                <w:color w:val="000000"/>
                <w:sz w:val="20"/>
                <w:highlight w:val="magenta"/>
              </w:rPr>
            </w:pPr>
            <w:r w:rsidRPr="008750FC">
              <w:rPr>
                <w:rFonts w:ascii="Arial Narrow" w:hAnsi="Arial Narrow"/>
                <w:i/>
                <w:sz w:val="20"/>
              </w:rPr>
              <w:t>-$</w:t>
            </w:r>
            <w:r w:rsidR="00FD28CA">
              <w:rPr>
                <w:rFonts w:ascii="Arial Narrow" w:hAnsi="Arial Narrow"/>
                <w:i/>
                <w:noProof/>
                <w:color w:val="000000"/>
                <w:sz w:val="20"/>
                <w:highlight w:val="black"/>
              </w:rPr>
              <w:t>''''''''''''''</w:t>
            </w:r>
          </w:p>
        </w:tc>
        <w:tc>
          <w:tcPr>
            <w:tcW w:w="758" w:type="pct"/>
            <w:shd w:val="clear" w:color="auto" w:fill="auto"/>
            <w:vAlign w:val="center"/>
          </w:tcPr>
          <w:p w:rsidR="00392F7A" w:rsidRPr="006A4820" w:rsidRDefault="00392F7A" w:rsidP="000D2E08">
            <w:pPr>
              <w:keepNext/>
              <w:widowControl/>
              <w:jc w:val="center"/>
              <w:rPr>
                <w:rFonts w:ascii="Arial Narrow" w:hAnsi="Arial Narrow"/>
                <w:b/>
                <w:color w:val="000000"/>
                <w:sz w:val="20"/>
                <w:highlight w:val="magenta"/>
              </w:rPr>
            </w:pPr>
            <w:r w:rsidRPr="008750FC">
              <w:rPr>
                <w:rFonts w:ascii="Arial Narrow" w:hAnsi="Arial Narrow"/>
                <w:i/>
                <w:sz w:val="20"/>
              </w:rPr>
              <w:t>-$</w:t>
            </w:r>
            <w:r w:rsidR="00FD28CA">
              <w:rPr>
                <w:rFonts w:ascii="Arial Narrow" w:hAnsi="Arial Narrow"/>
                <w:i/>
                <w:noProof/>
                <w:color w:val="000000"/>
                <w:sz w:val="20"/>
                <w:highlight w:val="black"/>
              </w:rPr>
              <w:t>''''''''''''''''</w:t>
            </w:r>
          </w:p>
        </w:tc>
        <w:tc>
          <w:tcPr>
            <w:tcW w:w="759" w:type="pct"/>
            <w:shd w:val="clear" w:color="auto" w:fill="auto"/>
            <w:vAlign w:val="center"/>
          </w:tcPr>
          <w:p w:rsidR="00392F7A" w:rsidRPr="006A4820" w:rsidRDefault="00392F7A" w:rsidP="000D2E08">
            <w:pPr>
              <w:keepNext/>
              <w:widowControl/>
              <w:jc w:val="center"/>
              <w:rPr>
                <w:rFonts w:ascii="Arial Narrow" w:hAnsi="Arial Narrow"/>
                <w:b/>
                <w:color w:val="000000"/>
                <w:sz w:val="20"/>
                <w:highlight w:val="magenta"/>
              </w:rPr>
            </w:pPr>
            <w:r w:rsidRPr="008750FC">
              <w:rPr>
                <w:rFonts w:ascii="Arial Narrow" w:hAnsi="Arial Narrow"/>
                <w:i/>
                <w:sz w:val="20"/>
              </w:rPr>
              <w:t>-$</w:t>
            </w:r>
            <w:r w:rsidR="00FD28CA">
              <w:rPr>
                <w:rFonts w:ascii="Arial Narrow" w:hAnsi="Arial Narrow"/>
                <w:i/>
                <w:noProof/>
                <w:color w:val="000000"/>
                <w:sz w:val="20"/>
                <w:highlight w:val="black"/>
              </w:rPr>
              <w:t>''''''''''''''''''</w:t>
            </w:r>
          </w:p>
        </w:tc>
        <w:tc>
          <w:tcPr>
            <w:tcW w:w="750" w:type="pct"/>
            <w:shd w:val="clear" w:color="auto" w:fill="auto"/>
            <w:vAlign w:val="center"/>
          </w:tcPr>
          <w:p w:rsidR="00392F7A" w:rsidRPr="006A4820" w:rsidRDefault="00392F7A" w:rsidP="000D2E08">
            <w:pPr>
              <w:keepNext/>
              <w:widowControl/>
              <w:jc w:val="center"/>
              <w:rPr>
                <w:rFonts w:ascii="Arial Narrow" w:hAnsi="Arial Narrow"/>
                <w:b/>
                <w:color w:val="000000"/>
                <w:sz w:val="20"/>
                <w:highlight w:val="magenta"/>
              </w:rPr>
            </w:pPr>
            <w:r w:rsidRPr="008750FC">
              <w:rPr>
                <w:rFonts w:ascii="Arial Narrow" w:hAnsi="Arial Narrow"/>
                <w:i/>
                <w:sz w:val="20"/>
              </w:rPr>
              <w:t>-$</w:t>
            </w:r>
            <w:r w:rsidR="00FD28CA">
              <w:rPr>
                <w:rFonts w:ascii="Arial Narrow" w:hAnsi="Arial Narrow"/>
                <w:i/>
                <w:noProof/>
                <w:color w:val="000000"/>
                <w:sz w:val="20"/>
                <w:highlight w:val="black"/>
              </w:rPr>
              <w:t>'''''''''''''''''</w:t>
            </w:r>
          </w:p>
        </w:tc>
      </w:tr>
      <w:tr w:rsidR="00392F7A" w:rsidRPr="004E2ADC" w:rsidTr="000040DE">
        <w:tc>
          <w:tcPr>
            <w:tcW w:w="1353" w:type="pct"/>
            <w:shd w:val="clear" w:color="auto" w:fill="auto"/>
            <w:vAlign w:val="center"/>
          </w:tcPr>
          <w:p w:rsidR="00392F7A" w:rsidRPr="006A4820" w:rsidRDefault="00392F7A" w:rsidP="000D2E08">
            <w:pPr>
              <w:keepNext/>
              <w:widowControl/>
              <w:tabs>
                <w:tab w:val="left" w:pos="142"/>
              </w:tabs>
              <w:jc w:val="left"/>
              <w:rPr>
                <w:rFonts w:ascii="Arial Narrow" w:hAnsi="Arial Narrow"/>
                <w:b/>
                <w:bCs/>
                <w:color w:val="000000"/>
                <w:sz w:val="20"/>
                <w:highlight w:val="magenta"/>
              </w:rPr>
            </w:pPr>
            <w:r w:rsidRPr="00392F7A">
              <w:rPr>
                <w:rFonts w:ascii="Arial Narrow" w:hAnsi="Arial Narrow"/>
                <w:b/>
                <w:bCs/>
                <w:color w:val="000000"/>
                <w:sz w:val="20"/>
              </w:rPr>
              <w:t xml:space="preserve">Net cost to PBS/RPBS/MBS using </w:t>
            </w:r>
            <w:r w:rsidR="00394B80">
              <w:rPr>
                <w:rFonts w:ascii="Arial Narrow" w:hAnsi="Arial Narrow"/>
                <w:b/>
                <w:bCs/>
                <w:color w:val="000000"/>
                <w:sz w:val="20"/>
              </w:rPr>
              <w:t>DPMQ of $84.92</w:t>
            </w:r>
          </w:p>
        </w:tc>
        <w:tc>
          <w:tcPr>
            <w:tcW w:w="690" w:type="pct"/>
            <w:shd w:val="clear" w:color="auto" w:fill="auto"/>
            <w:vAlign w:val="center"/>
          </w:tcPr>
          <w:p w:rsidR="00392F7A" w:rsidRPr="00392F7A" w:rsidRDefault="00392F7A" w:rsidP="000D2E08">
            <w:pPr>
              <w:keepNext/>
              <w:widowControl/>
              <w:jc w:val="center"/>
              <w:rPr>
                <w:rFonts w:ascii="Arial Narrow" w:hAnsi="Arial Narrow"/>
                <w:b/>
                <w:bCs/>
                <w:i/>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690" w:type="pct"/>
            <w:shd w:val="clear" w:color="auto" w:fill="auto"/>
            <w:vAlign w:val="center"/>
          </w:tcPr>
          <w:p w:rsidR="00392F7A" w:rsidRPr="00392F7A" w:rsidRDefault="00392F7A" w:rsidP="000D2E08">
            <w:pPr>
              <w:keepNext/>
              <w:widowControl/>
              <w:jc w:val="center"/>
              <w:rPr>
                <w:rFonts w:ascii="Arial Narrow" w:hAnsi="Arial Narrow"/>
                <w:b/>
                <w:bCs/>
                <w:i/>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8" w:type="pct"/>
            <w:shd w:val="clear" w:color="auto" w:fill="auto"/>
            <w:vAlign w:val="center"/>
          </w:tcPr>
          <w:p w:rsidR="00392F7A" w:rsidRPr="00392F7A" w:rsidRDefault="00392F7A" w:rsidP="000D2E08">
            <w:pPr>
              <w:keepNext/>
              <w:widowControl/>
              <w:jc w:val="center"/>
              <w:rPr>
                <w:rFonts w:ascii="Arial Narrow" w:hAnsi="Arial Narrow"/>
                <w:b/>
                <w:bCs/>
                <w:i/>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9" w:type="pct"/>
            <w:shd w:val="clear" w:color="auto" w:fill="auto"/>
            <w:vAlign w:val="center"/>
          </w:tcPr>
          <w:p w:rsidR="00392F7A" w:rsidRPr="00392F7A" w:rsidRDefault="00392F7A" w:rsidP="000D2E08">
            <w:pPr>
              <w:keepNext/>
              <w:widowControl/>
              <w:jc w:val="center"/>
              <w:rPr>
                <w:rFonts w:ascii="Arial Narrow" w:hAnsi="Arial Narrow"/>
                <w:b/>
                <w:bCs/>
                <w:i/>
                <w:sz w:val="20"/>
                <w:highlight w:val="magenta"/>
              </w:rPr>
            </w:pPr>
            <w:r w:rsidRPr="00392F7A">
              <w:rPr>
                <w:rFonts w:ascii="Arial Narrow" w:hAnsi="Arial Narrow"/>
                <w:i/>
                <w:sz w:val="20"/>
              </w:rPr>
              <w:t>-$</w:t>
            </w:r>
            <w:r w:rsidR="00FD28CA">
              <w:rPr>
                <w:rFonts w:ascii="Arial Narrow" w:hAnsi="Arial Narrow"/>
                <w:i/>
                <w:noProof/>
                <w:color w:val="000000"/>
                <w:sz w:val="20"/>
                <w:highlight w:val="black"/>
              </w:rPr>
              <w:t>'''''''''''''''''</w:t>
            </w:r>
          </w:p>
        </w:tc>
        <w:tc>
          <w:tcPr>
            <w:tcW w:w="750" w:type="pct"/>
            <w:shd w:val="clear" w:color="auto" w:fill="auto"/>
            <w:vAlign w:val="center"/>
          </w:tcPr>
          <w:p w:rsidR="00392F7A" w:rsidRPr="00392F7A" w:rsidRDefault="00392F7A" w:rsidP="000D2E08">
            <w:pPr>
              <w:keepNext/>
              <w:widowControl/>
              <w:jc w:val="center"/>
              <w:rPr>
                <w:rFonts w:ascii="Arial Narrow" w:hAnsi="Arial Narrow"/>
                <w:b/>
                <w:bCs/>
                <w:i/>
                <w:sz w:val="20"/>
              </w:rPr>
            </w:pPr>
            <w:r w:rsidRPr="00392F7A">
              <w:rPr>
                <w:rFonts w:ascii="Arial Narrow" w:hAnsi="Arial Narrow"/>
                <w:i/>
                <w:sz w:val="20"/>
              </w:rPr>
              <w:t>-$</w:t>
            </w:r>
            <w:r w:rsidR="00FD28CA">
              <w:rPr>
                <w:rFonts w:ascii="Arial Narrow" w:hAnsi="Arial Narrow"/>
                <w:i/>
                <w:noProof/>
                <w:color w:val="000000"/>
                <w:sz w:val="20"/>
                <w:highlight w:val="black"/>
              </w:rPr>
              <w:t>''''''''''''''''''</w:t>
            </w:r>
          </w:p>
        </w:tc>
      </w:tr>
    </w:tbl>
    <w:p w:rsidR="00392F7A" w:rsidRPr="00392F7A" w:rsidRDefault="00392F7A" w:rsidP="000D2E08">
      <w:pPr>
        <w:keepNext/>
        <w:widowControl/>
        <w:tabs>
          <w:tab w:val="left" w:pos="142"/>
        </w:tabs>
        <w:ind w:left="709"/>
        <w:rPr>
          <w:rFonts w:ascii="Arial Narrow" w:hAnsi="Arial Narrow"/>
          <w:sz w:val="18"/>
          <w:szCs w:val="18"/>
        </w:rPr>
      </w:pPr>
      <w:proofErr w:type="gramStart"/>
      <w:r>
        <w:rPr>
          <w:rFonts w:ascii="Arial Narrow" w:hAnsi="Arial Narrow"/>
          <w:sz w:val="18"/>
          <w:szCs w:val="18"/>
          <w:vertAlign w:val="superscript"/>
        </w:rPr>
        <w:t>a</w:t>
      </w:r>
      <w:proofErr w:type="gramEnd"/>
      <w:r>
        <w:rPr>
          <w:rFonts w:ascii="Arial Narrow" w:hAnsi="Arial Narrow"/>
          <w:sz w:val="18"/>
          <w:szCs w:val="18"/>
          <w:vertAlign w:val="superscript"/>
        </w:rPr>
        <w:t xml:space="preserve"> </w:t>
      </w:r>
      <w:r w:rsidRPr="00392F7A">
        <w:rPr>
          <w:rFonts w:ascii="Arial Narrow" w:hAnsi="Arial Narrow"/>
          <w:sz w:val="18"/>
          <w:szCs w:val="18"/>
        </w:rPr>
        <w:t xml:space="preserve">Figures in italics </w:t>
      </w:r>
      <w:r>
        <w:rPr>
          <w:rFonts w:ascii="Arial Narrow" w:hAnsi="Arial Narrow"/>
          <w:sz w:val="18"/>
          <w:szCs w:val="18"/>
        </w:rPr>
        <w:t>reflect the revised usage estimates calculated during the evaluation (see Section E(</w:t>
      </w:r>
      <w:proofErr w:type="spellStart"/>
      <w:r>
        <w:rPr>
          <w:rFonts w:ascii="Arial Narrow" w:hAnsi="Arial Narrow"/>
          <w:sz w:val="18"/>
          <w:szCs w:val="18"/>
        </w:rPr>
        <w:t>i</w:t>
      </w:r>
      <w:proofErr w:type="spellEnd"/>
      <w:r>
        <w:rPr>
          <w:rFonts w:ascii="Arial Narrow" w:hAnsi="Arial Narrow"/>
          <w:sz w:val="18"/>
          <w:szCs w:val="18"/>
        </w:rPr>
        <w:t>)</w:t>
      </w:r>
      <w:r w:rsidR="003E1DF5">
        <w:rPr>
          <w:rFonts w:ascii="Arial Narrow" w:hAnsi="Arial Narrow"/>
          <w:sz w:val="18"/>
          <w:szCs w:val="18"/>
        </w:rPr>
        <w:t xml:space="preserve"> </w:t>
      </w:r>
      <w:r>
        <w:rPr>
          <w:rFonts w:ascii="Arial Narrow" w:hAnsi="Arial Narrow"/>
          <w:sz w:val="18"/>
          <w:szCs w:val="18"/>
        </w:rPr>
        <w:t>2(</w:t>
      </w:r>
      <w:proofErr w:type="spellStart"/>
      <w:r>
        <w:rPr>
          <w:rFonts w:ascii="Arial Narrow" w:hAnsi="Arial Narrow"/>
          <w:sz w:val="18"/>
          <w:szCs w:val="18"/>
        </w:rPr>
        <w:t>cma</w:t>
      </w:r>
      <w:proofErr w:type="spellEnd"/>
      <w:r>
        <w:rPr>
          <w:rFonts w:ascii="Arial Narrow" w:hAnsi="Arial Narrow"/>
          <w:sz w:val="18"/>
          <w:szCs w:val="18"/>
        </w:rPr>
        <w:t>) for further details).</w:t>
      </w:r>
    </w:p>
    <w:p w:rsidR="00844EA1" w:rsidRDefault="00392F7A" w:rsidP="000D2E08">
      <w:pPr>
        <w:keepNext/>
        <w:widowControl/>
        <w:tabs>
          <w:tab w:val="left" w:pos="142"/>
        </w:tabs>
        <w:ind w:firstLine="709"/>
        <w:rPr>
          <w:rFonts w:ascii="Arial Narrow" w:hAnsi="Arial Narrow"/>
          <w:sz w:val="18"/>
          <w:szCs w:val="18"/>
        </w:rPr>
      </w:pPr>
      <w:proofErr w:type="gramStart"/>
      <w:r>
        <w:rPr>
          <w:rFonts w:ascii="Arial Narrow" w:hAnsi="Arial Narrow"/>
          <w:sz w:val="18"/>
          <w:szCs w:val="18"/>
          <w:vertAlign w:val="superscript"/>
        </w:rPr>
        <w:t>b</w:t>
      </w:r>
      <w:proofErr w:type="gramEnd"/>
      <w:r>
        <w:rPr>
          <w:rFonts w:ascii="Arial Narrow" w:hAnsi="Arial Narrow"/>
          <w:sz w:val="18"/>
          <w:szCs w:val="18"/>
        </w:rPr>
        <w:t xml:space="preserve"> </w:t>
      </w:r>
      <w:r w:rsidR="00844EA1" w:rsidRPr="006A4820">
        <w:rPr>
          <w:rFonts w:ascii="Arial Narrow" w:hAnsi="Arial Narrow"/>
          <w:sz w:val="18"/>
          <w:szCs w:val="18"/>
        </w:rPr>
        <w:t>Assuming 1 pack per IVF cycle as estimated by the submission</w:t>
      </w:r>
    </w:p>
    <w:p w:rsidR="0098264D" w:rsidRDefault="00EC7011" w:rsidP="000D2E08">
      <w:pPr>
        <w:widowControl/>
        <w:ind w:firstLine="709"/>
        <w:rPr>
          <w:rFonts w:ascii="Arial Narrow" w:hAnsi="Arial Narrow"/>
          <w:sz w:val="18"/>
          <w:szCs w:val="18"/>
        </w:rPr>
      </w:pPr>
      <w:r w:rsidRPr="006A4820">
        <w:rPr>
          <w:rFonts w:ascii="Arial Narrow" w:hAnsi="Arial Narrow"/>
          <w:sz w:val="18"/>
          <w:szCs w:val="18"/>
        </w:rPr>
        <w:t>Source:</w:t>
      </w:r>
      <w:r w:rsidR="00392F7A" w:rsidRPr="00392F7A">
        <w:rPr>
          <w:rFonts w:ascii="Arial Narrow" w:hAnsi="Arial Narrow"/>
          <w:sz w:val="18"/>
          <w:szCs w:val="18"/>
        </w:rPr>
        <w:t xml:space="preserve"> </w:t>
      </w:r>
      <w:proofErr w:type="spellStart"/>
      <w:r w:rsidR="00392F7A" w:rsidRPr="00E7412D">
        <w:rPr>
          <w:rFonts w:ascii="Arial Narrow" w:hAnsi="Arial Narrow"/>
          <w:sz w:val="18"/>
          <w:szCs w:val="18"/>
        </w:rPr>
        <w:t>Utrogestan</w:t>
      </w:r>
      <w:proofErr w:type="spellEnd"/>
      <w:r w:rsidR="00392F7A" w:rsidRPr="00E7412D">
        <w:rPr>
          <w:rFonts w:ascii="Arial Narrow" w:hAnsi="Arial Narrow"/>
          <w:sz w:val="18"/>
          <w:szCs w:val="18"/>
        </w:rPr>
        <w:t xml:space="preserve"> Section E workbook</w:t>
      </w:r>
      <w:r w:rsidRPr="006A4820">
        <w:rPr>
          <w:rFonts w:ascii="Arial Narrow" w:hAnsi="Arial Narrow"/>
          <w:sz w:val="18"/>
          <w:szCs w:val="18"/>
        </w:rPr>
        <w:t xml:space="preserve"> and calculated during the evaluation</w:t>
      </w:r>
    </w:p>
    <w:p w:rsidR="0098264D" w:rsidRDefault="0098264D" w:rsidP="000D2E08">
      <w:pPr>
        <w:widowControl/>
        <w:ind w:firstLine="709"/>
        <w:rPr>
          <w:rFonts w:ascii="Arial Narrow" w:hAnsi="Arial Narrow"/>
          <w:sz w:val="18"/>
          <w:szCs w:val="18"/>
        </w:rPr>
      </w:pPr>
    </w:p>
    <w:p w:rsidR="00ED1C6D" w:rsidRDefault="00A3709D" w:rsidP="000D2E08">
      <w:pPr>
        <w:pStyle w:val="ListParagraph"/>
        <w:widowControl/>
        <w:ind w:left="709"/>
        <w:rPr>
          <w:szCs w:val="22"/>
        </w:rPr>
      </w:pPr>
      <w:r>
        <w:rPr>
          <w:szCs w:val="22"/>
        </w:rPr>
        <w:t xml:space="preserve">The redacted table shows that at year 5, the estimated number of patient cycles treated with progesterone is 10,000 – 50,000, </w:t>
      </w:r>
      <w:r w:rsidR="00690EB1">
        <w:rPr>
          <w:szCs w:val="22"/>
        </w:rPr>
        <w:t>and</w:t>
      </w:r>
      <w:r w:rsidR="000145E1">
        <w:rPr>
          <w:szCs w:val="22"/>
        </w:rPr>
        <w:t xml:space="preserve"> the estimated number of </w:t>
      </w:r>
      <w:proofErr w:type="spellStart"/>
      <w:r w:rsidR="000145E1">
        <w:rPr>
          <w:szCs w:val="22"/>
        </w:rPr>
        <w:t>Utrogestan</w:t>
      </w:r>
      <w:proofErr w:type="spellEnd"/>
      <w:r w:rsidR="000145E1">
        <w:rPr>
          <w:szCs w:val="22"/>
        </w:rPr>
        <w:t xml:space="preserve"> </w:t>
      </w:r>
      <w:r w:rsidR="00690EB1">
        <w:rPr>
          <w:szCs w:val="22"/>
        </w:rPr>
        <w:t>prescriptions is 10,000 – 50,000.</w:t>
      </w:r>
      <w:r w:rsidR="00DE6928">
        <w:rPr>
          <w:szCs w:val="22"/>
        </w:rPr>
        <w:t xml:space="preserve"> </w:t>
      </w:r>
    </w:p>
    <w:p w:rsidR="00A3709D" w:rsidRPr="00A3709D" w:rsidRDefault="00A3709D" w:rsidP="000D2E08">
      <w:pPr>
        <w:pStyle w:val="ListParagraph"/>
        <w:widowControl/>
        <w:ind w:left="709"/>
        <w:rPr>
          <w:szCs w:val="22"/>
        </w:rPr>
      </w:pPr>
    </w:p>
    <w:p w:rsidR="00ED1C6D" w:rsidRDefault="00ED1C6D" w:rsidP="000D2E08">
      <w:pPr>
        <w:pStyle w:val="ListParagraph"/>
        <w:widowControl/>
        <w:ind w:left="709"/>
        <w:rPr>
          <w:i/>
          <w:szCs w:val="22"/>
        </w:rPr>
      </w:pPr>
      <w:r w:rsidRPr="000129AB">
        <w:rPr>
          <w:i/>
          <w:szCs w:val="22"/>
        </w:rPr>
        <w:t>For more detail on PBAC’s view, see section 7 “PBAC outcome”</w:t>
      </w:r>
    </w:p>
    <w:p w:rsidR="00470275" w:rsidRDefault="00470275">
      <w:pPr>
        <w:widowControl/>
        <w:jc w:val="left"/>
        <w:rPr>
          <w:rFonts w:ascii="Arial Narrow" w:hAnsi="Arial Narrow"/>
          <w:sz w:val="18"/>
          <w:szCs w:val="18"/>
        </w:rPr>
      </w:pPr>
      <w:r>
        <w:rPr>
          <w:rFonts w:ascii="Arial Narrow" w:hAnsi="Arial Narrow"/>
          <w:sz w:val="18"/>
          <w:szCs w:val="18"/>
        </w:rPr>
        <w:br w:type="page"/>
      </w:r>
    </w:p>
    <w:p w:rsidR="0098264D" w:rsidRDefault="0098264D" w:rsidP="000D2E08">
      <w:pPr>
        <w:widowControl/>
        <w:ind w:firstLine="709"/>
        <w:rPr>
          <w:rFonts w:ascii="Arial Narrow" w:hAnsi="Arial Narrow"/>
          <w:sz w:val="18"/>
          <w:szCs w:val="18"/>
        </w:rPr>
      </w:pPr>
    </w:p>
    <w:p w:rsidR="00175411" w:rsidRDefault="00175411" w:rsidP="000D2E08">
      <w:pPr>
        <w:widowControl/>
        <w:ind w:firstLine="709"/>
        <w:rPr>
          <w:rFonts w:ascii="Arial Narrow" w:hAnsi="Arial Narrow"/>
          <w:sz w:val="18"/>
          <w:szCs w:val="18"/>
        </w:rPr>
      </w:pPr>
    </w:p>
    <w:p w:rsidR="0098264D" w:rsidRPr="00A971CD" w:rsidRDefault="0098264D" w:rsidP="000D2E08">
      <w:pPr>
        <w:pStyle w:val="PBACHeading1"/>
        <w:rPr>
          <w:rFonts w:ascii="Arial Narrow" w:hAnsi="Arial Narrow"/>
          <w:sz w:val="18"/>
          <w:szCs w:val="18"/>
        </w:rPr>
      </w:pPr>
      <w:r w:rsidRPr="00A971CD">
        <w:t>PBAC Outcome</w:t>
      </w:r>
    </w:p>
    <w:p w:rsidR="0098264D" w:rsidRPr="00A971CD" w:rsidRDefault="0098264D" w:rsidP="000D2E08">
      <w:pPr>
        <w:widowControl/>
        <w:contextualSpacing/>
        <w:rPr>
          <w:b/>
          <w:bCs/>
          <w:szCs w:val="22"/>
          <w:lang w:val="en-GB"/>
        </w:rPr>
      </w:pPr>
    </w:p>
    <w:p w:rsidR="00A971CD" w:rsidRPr="00A971CD" w:rsidRDefault="00A971CD" w:rsidP="000D2E08">
      <w:pPr>
        <w:widowControl/>
        <w:numPr>
          <w:ilvl w:val="1"/>
          <w:numId w:val="1"/>
        </w:numPr>
        <w:contextualSpacing/>
        <w:rPr>
          <w:bCs/>
          <w:szCs w:val="22"/>
          <w:lang w:val="en-GB"/>
        </w:rPr>
      </w:pPr>
      <w:r w:rsidRPr="00A971CD">
        <w:rPr>
          <w:bCs/>
          <w:szCs w:val="22"/>
          <w:lang w:val="en-GB"/>
        </w:rPr>
        <w:t>The PBAC decided not to recommend progesterone</w:t>
      </w:r>
      <w:r w:rsidR="00725E29">
        <w:rPr>
          <w:bCs/>
          <w:szCs w:val="22"/>
          <w:lang w:val="en-GB"/>
        </w:rPr>
        <w:t xml:space="preserve"> 200 mg capsule</w:t>
      </w:r>
      <w:r w:rsidRPr="00A971CD">
        <w:rPr>
          <w:bCs/>
          <w:szCs w:val="22"/>
          <w:lang w:val="en-GB"/>
        </w:rPr>
        <w:t xml:space="preserve"> (</w:t>
      </w:r>
      <w:proofErr w:type="spellStart"/>
      <w:r w:rsidRPr="00A971CD">
        <w:rPr>
          <w:bCs/>
          <w:szCs w:val="22"/>
          <w:lang w:val="en-GB"/>
        </w:rPr>
        <w:t>Utrogestan</w:t>
      </w:r>
      <w:proofErr w:type="spellEnd"/>
      <w:r w:rsidRPr="00A971CD">
        <w:rPr>
          <w:bCs/>
          <w:szCs w:val="22"/>
          <w:lang w:val="en-GB"/>
        </w:rPr>
        <w:t xml:space="preserve">) </w:t>
      </w:r>
      <w:r w:rsidR="003B1C4D">
        <w:rPr>
          <w:bCs/>
          <w:szCs w:val="22"/>
          <w:lang w:val="en-GB"/>
        </w:rPr>
        <w:t xml:space="preserve">for PBS listing </w:t>
      </w:r>
      <w:r w:rsidRPr="00A971CD">
        <w:rPr>
          <w:bCs/>
          <w:szCs w:val="22"/>
          <w:lang w:val="en-GB"/>
        </w:rPr>
        <w:t xml:space="preserve">on the basis that </w:t>
      </w:r>
      <w:r w:rsidR="00AE4772">
        <w:rPr>
          <w:bCs/>
          <w:szCs w:val="22"/>
          <w:lang w:val="en-GB"/>
        </w:rPr>
        <w:t xml:space="preserve">the </w:t>
      </w:r>
      <w:r w:rsidRPr="00A971CD">
        <w:rPr>
          <w:bCs/>
          <w:szCs w:val="22"/>
          <w:lang w:val="en-GB"/>
        </w:rPr>
        <w:t>cost-minimis</w:t>
      </w:r>
      <w:r w:rsidR="00725E29">
        <w:rPr>
          <w:bCs/>
          <w:szCs w:val="22"/>
          <w:lang w:val="en-GB"/>
        </w:rPr>
        <w:t>ation analysis was not conducted against the appropriate comparator.</w:t>
      </w:r>
      <w:r>
        <w:rPr>
          <w:bCs/>
          <w:szCs w:val="22"/>
          <w:lang w:val="en-GB"/>
        </w:rPr>
        <w:t xml:space="preserve"> </w:t>
      </w:r>
    </w:p>
    <w:p w:rsidR="00A971CD" w:rsidRPr="00A971CD" w:rsidRDefault="00A971CD" w:rsidP="000D2E08">
      <w:pPr>
        <w:widowControl/>
        <w:ind w:left="720"/>
        <w:contextualSpacing/>
        <w:rPr>
          <w:bCs/>
          <w:szCs w:val="22"/>
          <w:lang w:val="en-GB"/>
        </w:rPr>
      </w:pPr>
    </w:p>
    <w:p w:rsidR="00725E29" w:rsidRDefault="00725E29" w:rsidP="000D2E08">
      <w:pPr>
        <w:widowControl/>
        <w:numPr>
          <w:ilvl w:val="1"/>
          <w:numId w:val="1"/>
        </w:numPr>
        <w:contextualSpacing/>
        <w:rPr>
          <w:bCs/>
          <w:szCs w:val="22"/>
          <w:lang w:val="en-GB"/>
        </w:rPr>
      </w:pPr>
      <w:r w:rsidRPr="00A971CD">
        <w:rPr>
          <w:bCs/>
          <w:szCs w:val="22"/>
          <w:lang w:val="en-GB"/>
        </w:rPr>
        <w:t xml:space="preserve">The PBAC </w:t>
      </w:r>
      <w:r>
        <w:rPr>
          <w:bCs/>
          <w:szCs w:val="22"/>
          <w:lang w:val="en-GB"/>
        </w:rPr>
        <w:t>considered that any form of progesterone currently listed on the PBS for ART could be an appropriate comparator</w:t>
      </w:r>
      <w:r w:rsidR="0042733E">
        <w:rPr>
          <w:bCs/>
          <w:szCs w:val="22"/>
          <w:lang w:val="en-GB"/>
        </w:rPr>
        <w:t xml:space="preserve">. At the time of PBAC consideration, progesterone </w:t>
      </w:r>
      <w:proofErr w:type="spellStart"/>
      <w:r w:rsidR="0038366D">
        <w:rPr>
          <w:bCs/>
          <w:szCs w:val="22"/>
          <w:lang w:val="en-GB"/>
        </w:rPr>
        <w:t>pessary</w:t>
      </w:r>
      <w:proofErr w:type="spellEnd"/>
      <w:r w:rsidR="0038366D">
        <w:rPr>
          <w:bCs/>
          <w:szCs w:val="22"/>
          <w:lang w:val="en-GB"/>
        </w:rPr>
        <w:t xml:space="preserve"> </w:t>
      </w:r>
      <w:r w:rsidR="0042733E">
        <w:rPr>
          <w:bCs/>
          <w:szCs w:val="22"/>
          <w:lang w:val="en-GB"/>
        </w:rPr>
        <w:t>and progesterone 8% vaginal gel were listed on the PBS. The PBAC</w:t>
      </w:r>
      <w:r>
        <w:rPr>
          <w:bCs/>
          <w:szCs w:val="22"/>
          <w:lang w:val="en-GB"/>
        </w:rPr>
        <w:t xml:space="preserve"> noted that </w:t>
      </w:r>
      <w:r w:rsidRPr="00A971CD">
        <w:rPr>
          <w:bCs/>
          <w:szCs w:val="22"/>
          <w:lang w:val="en-GB"/>
        </w:rPr>
        <w:t xml:space="preserve">progesterone </w:t>
      </w:r>
      <w:proofErr w:type="spellStart"/>
      <w:r w:rsidRPr="00A971CD">
        <w:rPr>
          <w:bCs/>
          <w:szCs w:val="22"/>
          <w:lang w:val="en-GB"/>
        </w:rPr>
        <w:t>pessar</w:t>
      </w:r>
      <w:r>
        <w:rPr>
          <w:bCs/>
          <w:szCs w:val="22"/>
          <w:lang w:val="en-GB"/>
        </w:rPr>
        <w:t>y</w:t>
      </w:r>
      <w:proofErr w:type="spellEnd"/>
      <w:r>
        <w:rPr>
          <w:bCs/>
          <w:szCs w:val="22"/>
          <w:lang w:val="en-GB"/>
        </w:rPr>
        <w:t xml:space="preserve"> was the lowe</w:t>
      </w:r>
      <w:r w:rsidR="0042733E">
        <w:rPr>
          <w:bCs/>
          <w:szCs w:val="22"/>
          <w:lang w:val="en-GB"/>
        </w:rPr>
        <w:t>st priced of these comparators.</w:t>
      </w:r>
      <w:r w:rsidR="000D2E08">
        <w:rPr>
          <w:bCs/>
          <w:szCs w:val="22"/>
          <w:lang w:val="en-GB"/>
        </w:rPr>
        <w:t xml:space="preserve"> The PBAC advised that in the absence of demonstrated superior comparative effectiveness or comparative safety over the least costly comparator, progesterone 200 mg capsule should be cost-minimised to the least costly comparator, progesterone </w:t>
      </w:r>
      <w:proofErr w:type="spellStart"/>
      <w:r w:rsidR="000D2E08">
        <w:rPr>
          <w:bCs/>
          <w:szCs w:val="22"/>
          <w:lang w:val="en-GB"/>
        </w:rPr>
        <w:t>pessary</w:t>
      </w:r>
      <w:proofErr w:type="spellEnd"/>
      <w:r w:rsidR="000D2E08">
        <w:rPr>
          <w:bCs/>
          <w:szCs w:val="22"/>
          <w:lang w:val="en-GB"/>
        </w:rPr>
        <w:t>.</w:t>
      </w:r>
    </w:p>
    <w:p w:rsidR="00725E29" w:rsidRDefault="00725E29" w:rsidP="000D2E08">
      <w:pPr>
        <w:widowControl/>
        <w:contextualSpacing/>
        <w:rPr>
          <w:bCs/>
          <w:szCs w:val="22"/>
          <w:lang w:val="en-GB"/>
        </w:rPr>
      </w:pPr>
    </w:p>
    <w:p w:rsidR="00A971CD" w:rsidRPr="00A971CD" w:rsidRDefault="00A971CD" w:rsidP="000D2E08">
      <w:pPr>
        <w:widowControl/>
        <w:numPr>
          <w:ilvl w:val="1"/>
          <w:numId w:val="1"/>
        </w:numPr>
        <w:contextualSpacing/>
        <w:rPr>
          <w:bCs/>
          <w:szCs w:val="22"/>
          <w:lang w:val="en-GB"/>
        </w:rPr>
      </w:pPr>
      <w:r w:rsidRPr="00A971CD">
        <w:rPr>
          <w:bCs/>
          <w:szCs w:val="22"/>
          <w:lang w:val="en-GB"/>
        </w:rPr>
        <w:t>The PBAC noted the head</w:t>
      </w:r>
      <w:r w:rsidR="00C50189">
        <w:rPr>
          <w:bCs/>
          <w:szCs w:val="22"/>
          <w:lang w:val="en-GB"/>
        </w:rPr>
        <w:t>-</w:t>
      </w:r>
      <w:r w:rsidRPr="00A971CD">
        <w:rPr>
          <w:bCs/>
          <w:szCs w:val="22"/>
          <w:lang w:val="en-GB"/>
        </w:rPr>
        <w:t>to</w:t>
      </w:r>
      <w:r w:rsidR="00C50189">
        <w:rPr>
          <w:bCs/>
          <w:szCs w:val="22"/>
          <w:lang w:val="en-GB"/>
        </w:rPr>
        <w:t>-</w:t>
      </w:r>
      <w:r w:rsidRPr="00A971CD">
        <w:rPr>
          <w:bCs/>
          <w:szCs w:val="22"/>
          <w:lang w:val="en-GB"/>
        </w:rPr>
        <w:t xml:space="preserve">head trial of </w:t>
      </w:r>
      <w:r w:rsidR="00725E29">
        <w:rPr>
          <w:bCs/>
          <w:szCs w:val="22"/>
          <w:lang w:val="en-GB"/>
        </w:rPr>
        <w:t>progesterone 200 mg capsule</w:t>
      </w:r>
      <w:r w:rsidRPr="00A971CD">
        <w:rPr>
          <w:bCs/>
          <w:szCs w:val="22"/>
          <w:lang w:val="en-GB"/>
        </w:rPr>
        <w:t xml:space="preserve"> vs </w:t>
      </w:r>
      <w:r w:rsidR="00725E29">
        <w:rPr>
          <w:bCs/>
          <w:szCs w:val="22"/>
          <w:lang w:val="en-GB"/>
        </w:rPr>
        <w:t>progesterone 8% vaginal gel</w:t>
      </w:r>
      <w:r w:rsidRPr="00A971CD">
        <w:rPr>
          <w:bCs/>
          <w:szCs w:val="22"/>
          <w:lang w:val="en-GB"/>
        </w:rPr>
        <w:t xml:space="preserve"> (KAD 93) and accepted that the data supported a claim of non-inferiority in terms of clinical effectiveness and safety between </w:t>
      </w:r>
      <w:r w:rsidR="0042733E">
        <w:rPr>
          <w:bCs/>
          <w:szCs w:val="22"/>
          <w:lang w:val="en-GB"/>
        </w:rPr>
        <w:t>progesterone 200 mg capsule</w:t>
      </w:r>
      <w:r w:rsidRPr="00A971CD">
        <w:rPr>
          <w:bCs/>
          <w:szCs w:val="22"/>
          <w:lang w:val="en-GB"/>
        </w:rPr>
        <w:t xml:space="preserve"> and </w:t>
      </w:r>
      <w:r w:rsidR="00AE4772">
        <w:rPr>
          <w:bCs/>
          <w:szCs w:val="22"/>
          <w:lang w:val="en-GB"/>
        </w:rPr>
        <w:t>p</w:t>
      </w:r>
      <w:r w:rsidR="0042733E">
        <w:rPr>
          <w:bCs/>
          <w:szCs w:val="22"/>
          <w:lang w:val="en-GB"/>
        </w:rPr>
        <w:t>rogesterone 8% vaginal gel.</w:t>
      </w:r>
    </w:p>
    <w:p w:rsidR="00725E29" w:rsidRDefault="00725E29" w:rsidP="000D2E08">
      <w:pPr>
        <w:pStyle w:val="ListParagraph"/>
        <w:widowControl/>
        <w:rPr>
          <w:bCs/>
          <w:szCs w:val="22"/>
          <w:lang w:val="en-GB"/>
        </w:rPr>
      </w:pPr>
    </w:p>
    <w:p w:rsidR="00725E29" w:rsidRPr="00A971CD" w:rsidRDefault="00E60564" w:rsidP="000D2E08">
      <w:pPr>
        <w:widowControl/>
        <w:numPr>
          <w:ilvl w:val="1"/>
          <w:numId w:val="1"/>
        </w:numPr>
        <w:contextualSpacing/>
        <w:rPr>
          <w:bCs/>
          <w:szCs w:val="22"/>
          <w:lang w:val="en-GB"/>
        </w:rPr>
      </w:pPr>
      <w:r>
        <w:rPr>
          <w:bCs/>
          <w:szCs w:val="22"/>
          <w:lang w:val="en-GB"/>
        </w:rPr>
        <w:t xml:space="preserve">As the submission did not provide evidence that </w:t>
      </w:r>
      <w:r w:rsidR="00725E29">
        <w:rPr>
          <w:bCs/>
          <w:szCs w:val="22"/>
          <w:lang w:val="en-GB"/>
        </w:rPr>
        <w:t>progesterone</w:t>
      </w:r>
      <w:r w:rsidR="0042733E">
        <w:rPr>
          <w:bCs/>
          <w:szCs w:val="22"/>
          <w:lang w:val="en-GB"/>
        </w:rPr>
        <w:t xml:space="preserve"> 200 mg capsule</w:t>
      </w:r>
      <w:r w:rsidR="00725E29">
        <w:rPr>
          <w:bCs/>
          <w:szCs w:val="22"/>
          <w:lang w:val="en-GB"/>
        </w:rPr>
        <w:t xml:space="preserve"> provides a significant improvement in efficacy or reduction of toxicity over </w:t>
      </w:r>
      <w:r w:rsidR="0042733E">
        <w:rPr>
          <w:bCs/>
          <w:szCs w:val="22"/>
          <w:lang w:val="en-GB"/>
        </w:rPr>
        <w:t xml:space="preserve">progesterone </w:t>
      </w:r>
      <w:proofErr w:type="spellStart"/>
      <w:r w:rsidR="0042733E">
        <w:rPr>
          <w:bCs/>
          <w:szCs w:val="22"/>
          <w:lang w:val="en-GB"/>
        </w:rPr>
        <w:t>pessary</w:t>
      </w:r>
      <w:proofErr w:type="spellEnd"/>
      <w:r w:rsidR="00725E29">
        <w:rPr>
          <w:bCs/>
          <w:szCs w:val="22"/>
          <w:lang w:val="en-GB"/>
        </w:rPr>
        <w:t xml:space="preserve"> for some patients</w:t>
      </w:r>
      <w:r>
        <w:rPr>
          <w:bCs/>
          <w:szCs w:val="22"/>
          <w:lang w:val="en-GB"/>
        </w:rPr>
        <w:t>, the PBAC considered</w:t>
      </w:r>
      <w:r w:rsidR="00725E29">
        <w:rPr>
          <w:bCs/>
          <w:szCs w:val="22"/>
          <w:lang w:val="en-GB"/>
        </w:rPr>
        <w:t xml:space="preserve"> there was no basis for progesterone to have a price advantage over progesterone </w:t>
      </w:r>
      <w:proofErr w:type="spellStart"/>
      <w:r w:rsidR="00725E29">
        <w:rPr>
          <w:bCs/>
          <w:szCs w:val="22"/>
          <w:lang w:val="en-GB"/>
        </w:rPr>
        <w:t>pessary</w:t>
      </w:r>
      <w:proofErr w:type="spellEnd"/>
      <w:r w:rsidR="00725E29">
        <w:rPr>
          <w:bCs/>
          <w:szCs w:val="22"/>
          <w:lang w:val="en-GB"/>
        </w:rPr>
        <w:t xml:space="preserve"> for an equivalent treatment period.</w:t>
      </w:r>
    </w:p>
    <w:p w:rsidR="00A971CD" w:rsidRPr="00A971CD" w:rsidRDefault="00A971CD" w:rsidP="000D2E08">
      <w:pPr>
        <w:pStyle w:val="ListParagraph"/>
        <w:widowControl/>
        <w:rPr>
          <w:bCs/>
          <w:szCs w:val="22"/>
          <w:lang w:val="en-GB"/>
        </w:rPr>
      </w:pPr>
    </w:p>
    <w:p w:rsidR="00A971CD" w:rsidRPr="00A971CD" w:rsidRDefault="00A971CD" w:rsidP="000D2E08">
      <w:pPr>
        <w:widowControl/>
        <w:numPr>
          <w:ilvl w:val="1"/>
          <w:numId w:val="1"/>
        </w:numPr>
        <w:contextualSpacing/>
        <w:rPr>
          <w:bCs/>
          <w:szCs w:val="22"/>
          <w:lang w:val="en-GB"/>
        </w:rPr>
      </w:pPr>
      <w:r w:rsidRPr="00A971CD">
        <w:rPr>
          <w:bCs/>
          <w:szCs w:val="22"/>
          <w:lang w:val="en-GB"/>
        </w:rPr>
        <w:t xml:space="preserve">The PBAC considered that the arbitrary </w:t>
      </w:r>
      <w:r w:rsidR="00FD28CA">
        <w:rPr>
          <w:bCs/>
          <w:noProof/>
          <w:color w:val="000000"/>
          <w:szCs w:val="22"/>
          <w:highlight w:val="black"/>
          <w:lang w:val="en-GB"/>
        </w:rPr>
        <w:t>'''''</w:t>
      </w:r>
      <w:r w:rsidRPr="00A971CD">
        <w:rPr>
          <w:bCs/>
          <w:szCs w:val="22"/>
          <w:lang w:val="en-GB"/>
        </w:rPr>
        <w:t xml:space="preserve">% discount offered by the sponsor did not sufficiently take into account the fact that </w:t>
      </w:r>
      <w:r w:rsidR="000D740D">
        <w:rPr>
          <w:bCs/>
          <w:szCs w:val="22"/>
          <w:lang w:val="en-GB"/>
        </w:rPr>
        <w:t>progesterone 200 mg capsule</w:t>
      </w:r>
      <w:r w:rsidRPr="00A971CD">
        <w:rPr>
          <w:bCs/>
          <w:szCs w:val="22"/>
          <w:lang w:val="en-GB"/>
        </w:rPr>
        <w:t xml:space="preserve"> would substitute, in some instances, to the significantly cheaper </w:t>
      </w:r>
      <w:r w:rsidR="000D740D">
        <w:rPr>
          <w:bCs/>
          <w:szCs w:val="22"/>
          <w:lang w:val="en-GB"/>
        </w:rPr>
        <w:t xml:space="preserve">progesterone </w:t>
      </w:r>
      <w:proofErr w:type="spellStart"/>
      <w:r w:rsidRPr="00A971CD">
        <w:rPr>
          <w:bCs/>
          <w:szCs w:val="22"/>
          <w:lang w:val="en-GB"/>
        </w:rPr>
        <w:t>pessar</w:t>
      </w:r>
      <w:r w:rsidR="000D740D">
        <w:rPr>
          <w:bCs/>
          <w:szCs w:val="22"/>
          <w:lang w:val="en-GB"/>
        </w:rPr>
        <w:t>y</w:t>
      </w:r>
      <w:proofErr w:type="spellEnd"/>
      <w:r w:rsidRPr="00A971CD">
        <w:rPr>
          <w:bCs/>
          <w:szCs w:val="22"/>
          <w:lang w:val="en-GB"/>
        </w:rPr>
        <w:t xml:space="preserve">. </w:t>
      </w:r>
    </w:p>
    <w:p w:rsidR="00A971CD" w:rsidRPr="00A971CD" w:rsidRDefault="00A971CD" w:rsidP="000D2E08">
      <w:pPr>
        <w:pStyle w:val="ListParagraph"/>
        <w:widowControl/>
        <w:rPr>
          <w:bCs/>
          <w:szCs w:val="22"/>
          <w:lang w:val="en-GB"/>
        </w:rPr>
      </w:pPr>
    </w:p>
    <w:p w:rsidR="00A971CD" w:rsidRPr="00A971CD" w:rsidRDefault="00A971CD" w:rsidP="000D2E08">
      <w:pPr>
        <w:widowControl/>
        <w:numPr>
          <w:ilvl w:val="1"/>
          <w:numId w:val="1"/>
        </w:numPr>
        <w:contextualSpacing/>
        <w:rPr>
          <w:bCs/>
          <w:szCs w:val="22"/>
          <w:lang w:val="en-GB"/>
        </w:rPr>
      </w:pPr>
      <w:r w:rsidRPr="00A971CD">
        <w:rPr>
          <w:bCs/>
          <w:szCs w:val="22"/>
          <w:lang w:val="en-GB"/>
        </w:rPr>
        <w:t xml:space="preserve">The PBAC </w:t>
      </w:r>
      <w:r w:rsidR="000D740D">
        <w:rPr>
          <w:bCs/>
          <w:szCs w:val="22"/>
          <w:lang w:val="en-GB"/>
        </w:rPr>
        <w:t>noted</w:t>
      </w:r>
      <w:r w:rsidRPr="00A971CD">
        <w:rPr>
          <w:bCs/>
          <w:szCs w:val="22"/>
          <w:lang w:val="en-GB"/>
        </w:rPr>
        <w:t xml:space="preserve"> that </w:t>
      </w:r>
      <w:r w:rsidR="000D740D">
        <w:rPr>
          <w:bCs/>
          <w:szCs w:val="22"/>
          <w:lang w:val="en-GB"/>
        </w:rPr>
        <w:t xml:space="preserve">the sponsor may wish </w:t>
      </w:r>
      <w:r w:rsidR="006D48CC">
        <w:rPr>
          <w:bCs/>
          <w:szCs w:val="22"/>
          <w:lang w:val="en-GB"/>
        </w:rPr>
        <w:t xml:space="preserve">pursue listing via a </w:t>
      </w:r>
      <w:r>
        <w:rPr>
          <w:bCs/>
          <w:szCs w:val="22"/>
          <w:lang w:val="en-GB"/>
        </w:rPr>
        <w:t xml:space="preserve">minor </w:t>
      </w:r>
      <w:r w:rsidRPr="00A971CD">
        <w:rPr>
          <w:bCs/>
          <w:szCs w:val="22"/>
          <w:lang w:val="en-GB"/>
        </w:rPr>
        <w:t>submission includ</w:t>
      </w:r>
      <w:r w:rsidR="006D48CC">
        <w:rPr>
          <w:bCs/>
          <w:szCs w:val="22"/>
          <w:lang w:val="en-GB"/>
        </w:rPr>
        <w:t>ing</w:t>
      </w:r>
      <w:r w:rsidRPr="00A971CD">
        <w:rPr>
          <w:bCs/>
          <w:szCs w:val="22"/>
          <w:lang w:val="en-GB"/>
        </w:rPr>
        <w:t xml:space="preserve"> a </w:t>
      </w:r>
      <w:r w:rsidR="006D48CC">
        <w:rPr>
          <w:bCs/>
          <w:szCs w:val="22"/>
          <w:lang w:val="en-GB"/>
        </w:rPr>
        <w:t xml:space="preserve">clinical </w:t>
      </w:r>
      <w:r w:rsidR="000D740D">
        <w:rPr>
          <w:bCs/>
          <w:szCs w:val="22"/>
          <w:lang w:val="en-GB"/>
        </w:rPr>
        <w:t>comparison and</w:t>
      </w:r>
      <w:r w:rsidR="00C50189">
        <w:rPr>
          <w:bCs/>
          <w:szCs w:val="22"/>
          <w:lang w:val="en-GB"/>
        </w:rPr>
        <w:t>/or</w:t>
      </w:r>
      <w:r w:rsidR="000D740D">
        <w:rPr>
          <w:bCs/>
          <w:szCs w:val="22"/>
          <w:lang w:val="en-GB"/>
        </w:rPr>
        <w:t xml:space="preserve"> </w:t>
      </w:r>
      <w:r w:rsidRPr="00A971CD">
        <w:rPr>
          <w:bCs/>
          <w:szCs w:val="22"/>
          <w:lang w:val="en-GB"/>
        </w:rPr>
        <w:t xml:space="preserve">cost-minimisation analysis between </w:t>
      </w:r>
      <w:r w:rsidR="000D740D">
        <w:rPr>
          <w:bCs/>
          <w:szCs w:val="22"/>
          <w:lang w:val="en-GB"/>
        </w:rPr>
        <w:t xml:space="preserve">progesterone 200 mg capsule </w:t>
      </w:r>
      <w:r w:rsidRPr="00A971CD">
        <w:rPr>
          <w:bCs/>
          <w:szCs w:val="22"/>
          <w:lang w:val="en-GB"/>
        </w:rPr>
        <w:t xml:space="preserve">and progesterone </w:t>
      </w:r>
      <w:proofErr w:type="spellStart"/>
      <w:r w:rsidRPr="00A971CD">
        <w:rPr>
          <w:bCs/>
          <w:szCs w:val="22"/>
          <w:lang w:val="en-GB"/>
        </w:rPr>
        <w:t>pessar</w:t>
      </w:r>
      <w:r w:rsidR="000D740D">
        <w:rPr>
          <w:bCs/>
          <w:szCs w:val="22"/>
          <w:lang w:val="en-GB"/>
        </w:rPr>
        <w:t>y</w:t>
      </w:r>
      <w:proofErr w:type="spellEnd"/>
      <w:r w:rsidRPr="00A971CD">
        <w:rPr>
          <w:bCs/>
          <w:szCs w:val="22"/>
          <w:lang w:val="en-GB"/>
        </w:rPr>
        <w:t>.</w:t>
      </w:r>
    </w:p>
    <w:p w:rsidR="00A971CD" w:rsidRPr="00A971CD" w:rsidRDefault="00A971CD" w:rsidP="000D2E08">
      <w:pPr>
        <w:widowControl/>
        <w:ind w:left="720"/>
        <w:contextualSpacing/>
        <w:rPr>
          <w:bCs/>
          <w:szCs w:val="22"/>
          <w:lang w:val="en-GB"/>
        </w:rPr>
      </w:pPr>
    </w:p>
    <w:p w:rsidR="0098264D" w:rsidRPr="00D575E9" w:rsidRDefault="00A971CD" w:rsidP="00D575E9">
      <w:pPr>
        <w:widowControl/>
        <w:numPr>
          <w:ilvl w:val="1"/>
          <w:numId w:val="1"/>
        </w:numPr>
        <w:contextualSpacing/>
        <w:rPr>
          <w:bCs/>
          <w:szCs w:val="22"/>
          <w:lang w:val="en-GB"/>
        </w:rPr>
      </w:pPr>
      <w:r w:rsidRPr="00A971CD">
        <w:rPr>
          <w:bCs/>
          <w:szCs w:val="22"/>
          <w:lang w:val="en-GB"/>
        </w:rPr>
        <w:t>The PBAC noted that this submission is eli</w:t>
      </w:r>
      <w:r w:rsidR="00D575E9">
        <w:rPr>
          <w:bCs/>
          <w:szCs w:val="22"/>
          <w:lang w:val="en-GB"/>
        </w:rPr>
        <w:t>gible for an Independent Review</w:t>
      </w:r>
    </w:p>
    <w:p w:rsidR="0098264D" w:rsidRPr="00A971CD" w:rsidRDefault="0098264D" w:rsidP="000D2E08">
      <w:pPr>
        <w:widowControl/>
        <w:rPr>
          <w:b/>
          <w:szCs w:val="22"/>
          <w:lang w:val="en-GB"/>
        </w:rPr>
      </w:pPr>
    </w:p>
    <w:p w:rsidR="0098264D" w:rsidRPr="00A971CD" w:rsidRDefault="0098264D" w:rsidP="000D2E08">
      <w:pPr>
        <w:widowControl/>
        <w:rPr>
          <w:b/>
          <w:bCs/>
          <w:szCs w:val="22"/>
          <w:lang w:val="en-GB"/>
        </w:rPr>
      </w:pPr>
    </w:p>
    <w:p w:rsidR="0098264D" w:rsidRPr="00A971CD" w:rsidRDefault="0098264D" w:rsidP="000D2E08">
      <w:pPr>
        <w:widowControl/>
        <w:rPr>
          <w:b/>
          <w:bCs/>
          <w:szCs w:val="22"/>
          <w:lang w:val="en-GB"/>
        </w:rPr>
      </w:pPr>
      <w:r w:rsidRPr="00A971CD">
        <w:rPr>
          <w:b/>
          <w:bCs/>
          <w:szCs w:val="22"/>
          <w:lang w:val="en-GB"/>
        </w:rPr>
        <w:t>Outcome:</w:t>
      </w:r>
    </w:p>
    <w:p w:rsidR="0098264D" w:rsidRPr="00A971CD" w:rsidRDefault="0098264D" w:rsidP="000D2E08">
      <w:pPr>
        <w:widowControl/>
        <w:rPr>
          <w:bCs/>
          <w:szCs w:val="22"/>
          <w:lang w:val="en-GB"/>
        </w:rPr>
      </w:pPr>
      <w:r w:rsidRPr="00A971CD">
        <w:rPr>
          <w:bCs/>
          <w:szCs w:val="22"/>
          <w:lang w:val="en-GB"/>
        </w:rPr>
        <w:t>Rejected</w:t>
      </w:r>
    </w:p>
    <w:p w:rsidR="0098264D" w:rsidRDefault="0098264D" w:rsidP="000D2E08">
      <w:pPr>
        <w:widowControl/>
        <w:rPr>
          <w:b/>
          <w:bCs/>
          <w:szCs w:val="22"/>
        </w:rPr>
      </w:pPr>
    </w:p>
    <w:p w:rsidR="00E53BC0" w:rsidRDefault="00E53BC0" w:rsidP="000D2E08">
      <w:pPr>
        <w:widowControl/>
        <w:rPr>
          <w:b/>
          <w:bCs/>
          <w:szCs w:val="22"/>
        </w:rPr>
      </w:pPr>
    </w:p>
    <w:p w:rsidR="00E53BC0" w:rsidRDefault="00E53BC0" w:rsidP="00E53BC0">
      <w:pPr>
        <w:pStyle w:val="PBACHeading1"/>
      </w:pPr>
      <w:r w:rsidRPr="00632206">
        <w:t>Context for Decision</w:t>
      </w:r>
    </w:p>
    <w:p w:rsidR="00E53BC0" w:rsidRDefault="00E53BC0" w:rsidP="00E53BC0">
      <w:pPr>
        <w:ind w:left="720"/>
      </w:pPr>
    </w:p>
    <w:p w:rsidR="00E53BC0" w:rsidRDefault="00E53BC0" w:rsidP="00E53BC0">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53BC0" w:rsidRDefault="00E53BC0" w:rsidP="00E53BC0">
      <w:pPr>
        <w:ind w:left="720"/>
      </w:pPr>
    </w:p>
    <w:p w:rsidR="00E53BC0" w:rsidRDefault="00E53BC0" w:rsidP="00E53BC0">
      <w:pPr>
        <w:pStyle w:val="PBACHeading1"/>
      </w:pPr>
      <w:r w:rsidRPr="00451386">
        <w:t>Sponsor’s Comment</w:t>
      </w:r>
    </w:p>
    <w:p w:rsidR="00E53BC0" w:rsidRDefault="00E53BC0" w:rsidP="00E53BC0">
      <w:pPr>
        <w:ind w:left="720"/>
        <w:rPr>
          <w:bCs/>
          <w:highlight w:val="yellow"/>
          <w:lang w:val="en-GB"/>
        </w:rPr>
      </w:pPr>
    </w:p>
    <w:p w:rsidR="004A1838" w:rsidRPr="00A971CD" w:rsidRDefault="004A1838" w:rsidP="00146503">
      <w:pPr>
        <w:widowControl/>
        <w:ind w:left="709"/>
        <w:rPr>
          <w:b/>
          <w:bCs/>
          <w:szCs w:val="22"/>
        </w:rPr>
      </w:pPr>
      <w:r>
        <w:t xml:space="preserve">The sponsor is disappointed but remains committed to working with the PBAC and Department of Health to ensure that </w:t>
      </w:r>
      <w:proofErr w:type="spellStart"/>
      <w:r>
        <w:t>Utrogestan</w:t>
      </w:r>
      <w:proofErr w:type="spellEnd"/>
      <w:r>
        <w:t xml:space="preserve"> is made available to infertile women for luteal phase support as part of an Assisted R</w:t>
      </w:r>
      <w:r>
        <w:rPr>
          <w:sz w:val="23"/>
          <w:szCs w:val="23"/>
        </w:rPr>
        <w:t>eproductive</w:t>
      </w:r>
      <w:r>
        <w:t> Technology program.</w:t>
      </w:r>
    </w:p>
    <w:sectPr w:rsidR="004A1838" w:rsidRPr="00A971CD" w:rsidSect="002463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CA" w:rsidRDefault="00FD28CA" w:rsidP="00124A51">
      <w:r>
        <w:separator/>
      </w:r>
    </w:p>
  </w:endnote>
  <w:endnote w:type="continuationSeparator" w:id="0">
    <w:p w:rsidR="00FD28CA" w:rsidRDefault="00FD28C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CA" w:rsidRDefault="00FD2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895085"/>
      <w:docPartObj>
        <w:docPartGallery w:val="Page Numbers (Bottom of Page)"/>
        <w:docPartUnique/>
      </w:docPartObj>
    </w:sdtPr>
    <w:sdtEndPr>
      <w:rPr>
        <w:noProof/>
      </w:rPr>
    </w:sdtEndPr>
    <w:sdtContent>
      <w:p w:rsidR="00AE4772" w:rsidRDefault="00AE4772">
        <w:pPr>
          <w:pStyle w:val="Footer"/>
          <w:jc w:val="center"/>
        </w:pPr>
        <w:r>
          <w:fldChar w:fldCharType="begin"/>
        </w:r>
        <w:r>
          <w:instrText xml:space="preserve"> PAGE   \* MERGEFORMAT </w:instrText>
        </w:r>
        <w:r>
          <w:fldChar w:fldCharType="separate"/>
        </w:r>
        <w:r w:rsidR="00EA11C7">
          <w:rPr>
            <w:noProof/>
          </w:rPr>
          <w:t>1</w:t>
        </w:r>
        <w:r>
          <w:rPr>
            <w:noProof/>
          </w:rPr>
          <w:fldChar w:fldCharType="end"/>
        </w:r>
      </w:p>
    </w:sdtContent>
  </w:sdt>
  <w:p w:rsidR="00AE4772" w:rsidRDefault="00AE4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CA" w:rsidRDefault="00FD2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CA" w:rsidRDefault="00FD28CA" w:rsidP="00124A51">
      <w:r>
        <w:separator/>
      </w:r>
    </w:p>
  </w:footnote>
  <w:footnote w:type="continuationSeparator" w:id="0">
    <w:p w:rsidR="00FD28CA" w:rsidRDefault="00FD28C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CA" w:rsidRDefault="00FD2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72" w:rsidRPr="00DF217D" w:rsidRDefault="00E55F50" w:rsidP="00EE5CFA">
    <w:pPr>
      <w:pStyle w:val="Header"/>
      <w:ind w:left="360"/>
      <w:jc w:val="center"/>
      <w:rPr>
        <w:i/>
        <w:color w:val="808080"/>
      </w:rPr>
    </w:pPr>
    <w:r>
      <w:rPr>
        <w:i/>
        <w:color w:val="808080"/>
      </w:rPr>
      <w:t>Public Summary Document</w:t>
    </w:r>
    <w:r w:rsidR="00AE4772">
      <w:rPr>
        <w:i/>
        <w:color w:val="808080"/>
      </w:rPr>
      <w:t xml:space="preserve"> </w:t>
    </w:r>
    <w:r w:rsidR="00AE4772" w:rsidRPr="00DF217D">
      <w:rPr>
        <w:i/>
        <w:color w:val="808080"/>
      </w:rPr>
      <w:t xml:space="preserve">– </w:t>
    </w:r>
    <w:r w:rsidR="00AE4772">
      <w:rPr>
        <w:i/>
        <w:color w:val="808080"/>
      </w:rPr>
      <w:t xml:space="preserve">March 2016 </w:t>
    </w:r>
    <w:r w:rsidR="00AE4772" w:rsidRPr="00DF217D">
      <w:rPr>
        <w:i/>
        <w:color w:val="808080"/>
      </w:rPr>
      <w:t>PBAC</w:t>
    </w:r>
    <w:r w:rsidR="00AE4772">
      <w:rPr>
        <w:i/>
        <w:color w:val="808080"/>
      </w:rPr>
      <w:t xml:space="preserve"> </w:t>
    </w:r>
    <w:r w:rsidR="00AE4772" w:rsidRPr="00DF217D">
      <w:rPr>
        <w:i/>
        <w:color w:val="808080"/>
      </w:rPr>
      <w:t>Meeting</w:t>
    </w:r>
  </w:p>
  <w:p w:rsidR="00AE4772" w:rsidRPr="00EE5CFA" w:rsidRDefault="00AE4772" w:rsidP="00EE5CFA">
    <w:pPr>
      <w:pStyle w:val="Header"/>
      <w:ind w:left="360"/>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CA" w:rsidRDefault="00FD2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0F338ED"/>
    <w:multiLevelType w:val="multilevel"/>
    <w:tmpl w:val="B7EC7292"/>
    <w:styleLink w:val="StyleBulleted10ptItalicLeft0Hanging025"/>
    <w:lvl w:ilvl="0">
      <w:numFmt w:val="bullet"/>
      <w:lvlText w:val="-"/>
      <w:lvlJc w:val="left"/>
      <w:pPr>
        <w:tabs>
          <w:tab w:val="num" w:pos="720"/>
        </w:tabs>
        <w:ind w:left="720" w:hanging="360"/>
      </w:pPr>
      <w:rPr>
        <w:b/>
        <w:i/>
        <w:i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106A92"/>
    <w:multiLevelType w:val="hybridMultilevel"/>
    <w:tmpl w:val="088C4228"/>
    <w:lvl w:ilvl="0" w:tplc="5D6EC7AE">
      <w:numFmt w:val="bullet"/>
      <w:lvlText w:val=""/>
      <w:lvlJc w:val="left"/>
      <w:pPr>
        <w:ind w:left="1125" w:hanging="360"/>
      </w:pPr>
      <w:rPr>
        <w:rFonts w:ascii="Symbol" w:eastAsia="Times New Roman" w:hAnsi="Symbol" w:cs="Aria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
    <w:nsid w:val="2D7D419E"/>
    <w:multiLevelType w:val="hybridMultilevel"/>
    <w:tmpl w:val="0D32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165AF534"/>
    <w:lvl w:ilvl="0">
      <w:start w:val="1"/>
      <w:numFmt w:val="decimal"/>
      <w:pStyle w:val="PBACHeading1"/>
      <w:lvlText w:val="%1"/>
      <w:lvlJc w:val="left"/>
      <w:pPr>
        <w:ind w:left="720" w:hanging="720"/>
      </w:pPr>
      <w:rPr>
        <w:rFonts w:hint="default"/>
        <w:b/>
        <w:sz w:val="22"/>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3F"/>
    <w:rsid w:val="00000790"/>
    <w:rsid w:val="0000110B"/>
    <w:rsid w:val="00001ABC"/>
    <w:rsid w:val="00003499"/>
    <w:rsid w:val="000040DE"/>
    <w:rsid w:val="00007F57"/>
    <w:rsid w:val="000129AB"/>
    <w:rsid w:val="00013247"/>
    <w:rsid w:val="0001396E"/>
    <w:rsid w:val="000145E1"/>
    <w:rsid w:val="00015886"/>
    <w:rsid w:val="000162EF"/>
    <w:rsid w:val="0002225F"/>
    <w:rsid w:val="00023763"/>
    <w:rsid w:val="00036489"/>
    <w:rsid w:val="00040895"/>
    <w:rsid w:val="00043C37"/>
    <w:rsid w:val="00044B07"/>
    <w:rsid w:val="00045883"/>
    <w:rsid w:val="00052A8E"/>
    <w:rsid w:val="000546D7"/>
    <w:rsid w:val="000640F7"/>
    <w:rsid w:val="00070A2D"/>
    <w:rsid w:val="00071248"/>
    <w:rsid w:val="000720B9"/>
    <w:rsid w:val="000812CA"/>
    <w:rsid w:val="00081541"/>
    <w:rsid w:val="00090C7E"/>
    <w:rsid w:val="00092EFB"/>
    <w:rsid w:val="00093014"/>
    <w:rsid w:val="0009373E"/>
    <w:rsid w:val="00096E57"/>
    <w:rsid w:val="000A49CE"/>
    <w:rsid w:val="000A6B8D"/>
    <w:rsid w:val="000A72EA"/>
    <w:rsid w:val="000B13F2"/>
    <w:rsid w:val="000B2BA4"/>
    <w:rsid w:val="000B484B"/>
    <w:rsid w:val="000C5EFE"/>
    <w:rsid w:val="000C7FE9"/>
    <w:rsid w:val="000D16B6"/>
    <w:rsid w:val="000D1BFC"/>
    <w:rsid w:val="000D2E08"/>
    <w:rsid w:val="000D3512"/>
    <w:rsid w:val="000D5961"/>
    <w:rsid w:val="000D740D"/>
    <w:rsid w:val="000E2B72"/>
    <w:rsid w:val="000E36A5"/>
    <w:rsid w:val="000E3D7C"/>
    <w:rsid w:val="000E4C70"/>
    <w:rsid w:val="000E5935"/>
    <w:rsid w:val="000E6680"/>
    <w:rsid w:val="000F2543"/>
    <w:rsid w:val="000F290B"/>
    <w:rsid w:val="000F4BB8"/>
    <w:rsid w:val="000F67C3"/>
    <w:rsid w:val="000F68A9"/>
    <w:rsid w:val="000F7127"/>
    <w:rsid w:val="000F782A"/>
    <w:rsid w:val="0010023D"/>
    <w:rsid w:val="00100F8A"/>
    <w:rsid w:val="00101CD9"/>
    <w:rsid w:val="001055BC"/>
    <w:rsid w:val="001060D2"/>
    <w:rsid w:val="00106AD0"/>
    <w:rsid w:val="0011032E"/>
    <w:rsid w:val="00111506"/>
    <w:rsid w:val="0011265E"/>
    <w:rsid w:val="00112EC9"/>
    <w:rsid w:val="0011348B"/>
    <w:rsid w:val="00121799"/>
    <w:rsid w:val="001222FC"/>
    <w:rsid w:val="00124A51"/>
    <w:rsid w:val="00125476"/>
    <w:rsid w:val="001262DB"/>
    <w:rsid w:val="00126435"/>
    <w:rsid w:val="00126621"/>
    <w:rsid w:val="001301E9"/>
    <w:rsid w:val="00132049"/>
    <w:rsid w:val="00137645"/>
    <w:rsid w:val="0014015A"/>
    <w:rsid w:val="0014024C"/>
    <w:rsid w:val="00140567"/>
    <w:rsid w:val="0014094F"/>
    <w:rsid w:val="00140E99"/>
    <w:rsid w:val="00145540"/>
    <w:rsid w:val="001456B0"/>
    <w:rsid w:val="001462EE"/>
    <w:rsid w:val="00146503"/>
    <w:rsid w:val="001500E8"/>
    <w:rsid w:val="00150985"/>
    <w:rsid w:val="00151258"/>
    <w:rsid w:val="00157130"/>
    <w:rsid w:val="00162913"/>
    <w:rsid w:val="00163EFF"/>
    <w:rsid w:val="00165505"/>
    <w:rsid w:val="001661FB"/>
    <w:rsid w:val="00167057"/>
    <w:rsid w:val="00175411"/>
    <w:rsid w:val="00181122"/>
    <w:rsid w:val="00181B18"/>
    <w:rsid w:val="0018752F"/>
    <w:rsid w:val="00195222"/>
    <w:rsid w:val="001963B3"/>
    <w:rsid w:val="001968A1"/>
    <w:rsid w:val="00196D8E"/>
    <w:rsid w:val="001975D8"/>
    <w:rsid w:val="001A05A9"/>
    <w:rsid w:val="001A1E9D"/>
    <w:rsid w:val="001A2A4F"/>
    <w:rsid w:val="001A488C"/>
    <w:rsid w:val="001A7A3D"/>
    <w:rsid w:val="001B0465"/>
    <w:rsid w:val="001B32F8"/>
    <w:rsid w:val="001B3443"/>
    <w:rsid w:val="001B6B98"/>
    <w:rsid w:val="001B75E2"/>
    <w:rsid w:val="001C23E2"/>
    <w:rsid w:val="001C2F07"/>
    <w:rsid w:val="001C6E66"/>
    <w:rsid w:val="001D00F5"/>
    <w:rsid w:val="001D1C66"/>
    <w:rsid w:val="001D63BC"/>
    <w:rsid w:val="001E0870"/>
    <w:rsid w:val="001E1DF9"/>
    <w:rsid w:val="001E238E"/>
    <w:rsid w:val="001E279D"/>
    <w:rsid w:val="001E2B1E"/>
    <w:rsid w:val="001E52EB"/>
    <w:rsid w:val="001E6890"/>
    <w:rsid w:val="001E740C"/>
    <w:rsid w:val="001F0F77"/>
    <w:rsid w:val="001F1235"/>
    <w:rsid w:val="001F1CB3"/>
    <w:rsid w:val="001F2804"/>
    <w:rsid w:val="001F7361"/>
    <w:rsid w:val="001F7526"/>
    <w:rsid w:val="0020385F"/>
    <w:rsid w:val="00206CE9"/>
    <w:rsid w:val="00207021"/>
    <w:rsid w:val="002077E0"/>
    <w:rsid w:val="00207D00"/>
    <w:rsid w:val="002105C1"/>
    <w:rsid w:val="0021118B"/>
    <w:rsid w:val="0021456F"/>
    <w:rsid w:val="00217F23"/>
    <w:rsid w:val="0022139F"/>
    <w:rsid w:val="00223B49"/>
    <w:rsid w:val="00224A19"/>
    <w:rsid w:val="00224DD4"/>
    <w:rsid w:val="002309CC"/>
    <w:rsid w:val="00235195"/>
    <w:rsid w:val="00242B1F"/>
    <w:rsid w:val="002445C2"/>
    <w:rsid w:val="00245AD4"/>
    <w:rsid w:val="002463AD"/>
    <w:rsid w:val="00246E1F"/>
    <w:rsid w:val="00251F45"/>
    <w:rsid w:val="0025236B"/>
    <w:rsid w:val="00254DCF"/>
    <w:rsid w:val="0025534B"/>
    <w:rsid w:val="00255AC8"/>
    <w:rsid w:val="00255BB7"/>
    <w:rsid w:val="002612CA"/>
    <w:rsid w:val="00262A87"/>
    <w:rsid w:val="00262E85"/>
    <w:rsid w:val="0026317A"/>
    <w:rsid w:val="00266F6C"/>
    <w:rsid w:val="00275C5A"/>
    <w:rsid w:val="00280932"/>
    <w:rsid w:val="00280A78"/>
    <w:rsid w:val="00281014"/>
    <w:rsid w:val="00285E8E"/>
    <w:rsid w:val="002865AA"/>
    <w:rsid w:val="00286802"/>
    <w:rsid w:val="00287B6B"/>
    <w:rsid w:val="00287BEC"/>
    <w:rsid w:val="0029149D"/>
    <w:rsid w:val="0029322D"/>
    <w:rsid w:val="00297A9D"/>
    <w:rsid w:val="002A14AB"/>
    <w:rsid w:val="002A77A3"/>
    <w:rsid w:val="002B00B0"/>
    <w:rsid w:val="002B1C1F"/>
    <w:rsid w:val="002B2FBA"/>
    <w:rsid w:val="002B3043"/>
    <w:rsid w:val="002B4109"/>
    <w:rsid w:val="002B432F"/>
    <w:rsid w:val="002B5309"/>
    <w:rsid w:val="002B6CCE"/>
    <w:rsid w:val="002C0EB4"/>
    <w:rsid w:val="002C1002"/>
    <w:rsid w:val="002C2775"/>
    <w:rsid w:val="002C27C1"/>
    <w:rsid w:val="002C33A1"/>
    <w:rsid w:val="002C524C"/>
    <w:rsid w:val="002C5EE6"/>
    <w:rsid w:val="002C5FD6"/>
    <w:rsid w:val="002C6F6B"/>
    <w:rsid w:val="002D0604"/>
    <w:rsid w:val="002E147B"/>
    <w:rsid w:val="002E28F6"/>
    <w:rsid w:val="002E4BCF"/>
    <w:rsid w:val="002F4AD4"/>
    <w:rsid w:val="002F4C02"/>
    <w:rsid w:val="002F4E52"/>
    <w:rsid w:val="00300A5E"/>
    <w:rsid w:val="00301017"/>
    <w:rsid w:val="003063C9"/>
    <w:rsid w:val="0030786C"/>
    <w:rsid w:val="003102B1"/>
    <w:rsid w:val="0031031A"/>
    <w:rsid w:val="00310981"/>
    <w:rsid w:val="0031105C"/>
    <w:rsid w:val="0031241E"/>
    <w:rsid w:val="00313648"/>
    <w:rsid w:val="00314164"/>
    <w:rsid w:val="00314741"/>
    <w:rsid w:val="00315498"/>
    <w:rsid w:val="0031553B"/>
    <w:rsid w:val="00316F78"/>
    <w:rsid w:val="003170E6"/>
    <w:rsid w:val="00322FD6"/>
    <w:rsid w:val="00331524"/>
    <w:rsid w:val="003366C9"/>
    <w:rsid w:val="00336986"/>
    <w:rsid w:val="003371B0"/>
    <w:rsid w:val="00345BA0"/>
    <w:rsid w:val="00346D73"/>
    <w:rsid w:val="00352494"/>
    <w:rsid w:val="00353941"/>
    <w:rsid w:val="00355F46"/>
    <w:rsid w:val="0035620E"/>
    <w:rsid w:val="0036652D"/>
    <w:rsid w:val="00371C52"/>
    <w:rsid w:val="00371FAD"/>
    <w:rsid w:val="0037213C"/>
    <w:rsid w:val="0037345E"/>
    <w:rsid w:val="00374665"/>
    <w:rsid w:val="0038365C"/>
    <w:rsid w:val="0038366D"/>
    <w:rsid w:val="00386BAA"/>
    <w:rsid w:val="00392F7A"/>
    <w:rsid w:val="00393607"/>
    <w:rsid w:val="00394B80"/>
    <w:rsid w:val="00396FD0"/>
    <w:rsid w:val="003A1A7A"/>
    <w:rsid w:val="003A2F63"/>
    <w:rsid w:val="003A4C97"/>
    <w:rsid w:val="003B1062"/>
    <w:rsid w:val="003B1C4D"/>
    <w:rsid w:val="003B2437"/>
    <w:rsid w:val="003B3F19"/>
    <w:rsid w:val="003C0AB1"/>
    <w:rsid w:val="003D0B4F"/>
    <w:rsid w:val="003D1828"/>
    <w:rsid w:val="003D2422"/>
    <w:rsid w:val="003D486E"/>
    <w:rsid w:val="003E1DF5"/>
    <w:rsid w:val="003E4943"/>
    <w:rsid w:val="003F02EE"/>
    <w:rsid w:val="003F4156"/>
    <w:rsid w:val="003F5F14"/>
    <w:rsid w:val="00410708"/>
    <w:rsid w:val="00410EC7"/>
    <w:rsid w:val="00414476"/>
    <w:rsid w:val="00414A57"/>
    <w:rsid w:val="00415B18"/>
    <w:rsid w:val="00420B9F"/>
    <w:rsid w:val="00422691"/>
    <w:rsid w:val="004260AB"/>
    <w:rsid w:val="004262DA"/>
    <w:rsid w:val="00426B01"/>
    <w:rsid w:val="0042733E"/>
    <w:rsid w:val="004276E4"/>
    <w:rsid w:val="00427B45"/>
    <w:rsid w:val="004319F8"/>
    <w:rsid w:val="00433044"/>
    <w:rsid w:val="004405CA"/>
    <w:rsid w:val="00440ECE"/>
    <w:rsid w:val="004430B1"/>
    <w:rsid w:val="004443A7"/>
    <w:rsid w:val="004464EB"/>
    <w:rsid w:val="00447D0A"/>
    <w:rsid w:val="0045256C"/>
    <w:rsid w:val="00452D84"/>
    <w:rsid w:val="00455D45"/>
    <w:rsid w:val="0045762C"/>
    <w:rsid w:val="004605B8"/>
    <w:rsid w:val="004621A9"/>
    <w:rsid w:val="00464595"/>
    <w:rsid w:val="00464665"/>
    <w:rsid w:val="00470275"/>
    <w:rsid w:val="00470532"/>
    <w:rsid w:val="00474F9F"/>
    <w:rsid w:val="00484249"/>
    <w:rsid w:val="004853C3"/>
    <w:rsid w:val="004867E2"/>
    <w:rsid w:val="00486D43"/>
    <w:rsid w:val="00490994"/>
    <w:rsid w:val="00491B3A"/>
    <w:rsid w:val="00492CFD"/>
    <w:rsid w:val="0049459E"/>
    <w:rsid w:val="004961E8"/>
    <w:rsid w:val="004962D2"/>
    <w:rsid w:val="00496B69"/>
    <w:rsid w:val="004A0DA1"/>
    <w:rsid w:val="004A1838"/>
    <w:rsid w:val="004A5C87"/>
    <w:rsid w:val="004A620D"/>
    <w:rsid w:val="004A6597"/>
    <w:rsid w:val="004B1CB4"/>
    <w:rsid w:val="004B2F18"/>
    <w:rsid w:val="004B3DDB"/>
    <w:rsid w:val="004B44FD"/>
    <w:rsid w:val="004B5CFC"/>
    <w:rsid w:val="004B7558"/>
    <w:rsid w:val="004C0D27"/>
    <w:rsid w:val="004C211F"/>
    <w:rsid w:val="004C3F55"/>
    <w:rsid w:val="004C4AED"/>
    <w:rsid w:val="004D70D0"/>
    <w:rsid w:val="004E0EB8"/>
    <w:rsid w:val="004E23C5"/>
    <w:rsid w:val="004E2617"/>
    <w:rsid w:val="004E2ADC"/>
    <w:rsid w:val="004E32E4"/>
    <w:rsid w:val="004E43B2"/>
    <w:rsid w:val="004E63FA"/>
    <w:rsid w:val="004E6BE7"/>
    <w:rsid w:val="004F1D02"/>
    <w:rsid w:val="004F2679"/>
    <w:rsid w:val="004F392D"/>
    <w:rsid w:val="004F6D9E"/>
    <w:rsid w:val="004F7865"/>
    <w:rsid w:val="004F7B47"/>
    <w:rsid w:val="005038F3"/>
    <w:rsid w:val="00506928"/>
    <w:rsid w:val="005152B5"/>
    <w:rsid w:val="00515774"/>
    <w:rsid w:val="00515F48"/>
    <w:rsid w:val="00521319"/>
    <w:rsid w:val="00523C28"/>
    <w:rsid w:val="00523E3E"/>
    <w:rsid w:val="00524637"/>
    <w:rsid w:val="005249E4"/>
    <w:rsid w:val="005255EB"/>
    <w:rsid w:val="00552BD3"/>
    <w:rsid w:val="00555109"/>
    <w:rsid w:val="00560033"/>
    <w:rsid w:val="005644CA"/>
    <w:rsid w:val="00565300"/>
    <w:rsid w:val="0056696F"/>
    <w:rsid w:val="005703CE"/>
    <w:rsid w:val="00575D8D"/>
    <w:rsid w:val="00576972"/>
    <w:rsid w:val="00577523"/>
    <w:rsid w:val="0058078E"/>
    <w:rsid w:val="0058197A"/>
    <w:rsid w:val="005820B3"/>
    <w:rsid w:val="0058334E"/>
    <w:rsid w:val="00583699"/>
    <w:rsid w:val="00584D41"/>
    <w:rsid w:val="00586D08"/>
    <w:rsid w:val="0059210D"/>
    <w:rsid w:val="00596957"/>
    <w:rsid w:val="005A2885"/>
    <w:rsid w:val="005A4C00"/>
    <w:rsid w:val="005A5288"/>
    <w:rsid w:val="005A620F"/>
    <w:rsid w:val="005A622A"/>
    <w:rsid w:val="005A6FB3"/>
    <w:rsid w:val="005A7F8D"/>
    <w:rsid w:val="005B3E94"/>
    <w:rsid w:val="005B4686"/>
    <w:rsid w:val="005B5857"/>
    <w:rsid w:val="005B59D6"/>
    <w:rsid w:val="005B7D0C"/>
    <w:rsid w:val="005B7D96"/>
    <w:rsid w:val="005C1B83"/>
    <w:rsid w:val="005C346B"/>
    <w:rsid w:val="005C3E24"/>
    <w:rsid w:val="005C443B"/>
    <w:rsid w:val="005C47FD"/>
    <w:rsid w:val="005D044D"/>
    <w:rsid w:val="005D18AD"/>
    <w:rsid w:val="005D1BA2"/>
    <w:rsid w:val="005D35DE"/>
    <w:rsid w:val="005D5A42"/>
    <w:rsid w:val="005D5C6A"/>
    <w:rsid w:val="005D5D40"/>
    <w:rsid w:val="005D78F4"/>
    <w:rsid w:val="005E2497"/>
    <w:rsid w:val="005E387A"/>
    <w:rsid w:val="005E46CC"/>
    <w:rsid w:val="005E73C0"/>
    <w:rsid w:val="005F2706"/>
    <w:rsid w:val="005F2E25"/>
    <w:rsid w:val="005F32D9"/>
    <w:rsid w:val="005F4AF6"/>
    <w:rsid w:val="005F6A8F"/>
    <w:rsid w:val="00603E60"/>
    <w:rsid w:val="00606DD4"/>
    <w:rsid w:val="00607669"/>
    <w:rsid w:val="00611DD5"/>
    <w:rsid w:val="00612F97"/>
    <w:rsid w:val="00616802"/>
    <w:rsid w:val="0061684A"/>
    <w:rsid w:val="00616ABA"/>
    <w:rsid w:val="00617C7A"/>
    <w:rsid w:val="00617E12"/>
    <w:rsid w:val="00617F7A"/>
    <w:rsid w:val="00621477"/>
    <w:rsid w:val="006235D1"/>
    <w:rsid w:val="00631D6B"/>
    <w:rsid w:val="0063479F"/>
    <w:rsid w:val="00635006"/>
    <w:rsid w:val="0063580A"/>
    <w:rsid w:val="00636168"/>
    <w:rsid w:val="006364A1"/>
    <w:rsid w:val="00637BFD"/>
    <w:rsid w:val="006451AF"/>
    <w:rsid w:val="006471CC"/>
    <w:rsid w:val="0065079F"/>
    <w:rsid w:val="00652C22"/>
    <w:rsid w:val="0065392E"/>
    <w:rsid w:val="006577EF"/>
    <w:rsid w:val="0066110E"/>
    <w:rsid w:val="0066221C"/>
    <w:rsid w:val="00663B17"/>
    <w:rsid w:val="00666DF8"/>
    <w:rsid w:val="00674E42"/>
    <w:rsid w:val="006809C5"/>
    <w:rsid w:val="00682112"/>
    <w:rsid w:val="006822A8"/>
    <w:rsid w:val="006829D3"/>
    <w:rsid w:val="006872BA"/>
    <w:rsid w:val="00690EB1"/>
    <w:rsid w:val="006917D7"/>
    <w:rsid w:val="0069381C"/>
    <w:rsid w:val="00694F44"/>
    <w:rsid w:val="006A4820"/>
    <w:rsid w:val="006A4FFF"/>
    <w:rsid w:val="006B3B11"/>
    <w:rsid w:val="006B6730"/>
    <w:rsid w:val="006C22B1"/>
    <w:rsid w:val="006C2A8E"/>
    <w:rsid w:val="006D1C45"/>
    <w:rsid w:val="006D239C"/>
    <w:rsid w:val="006D3C7D"/>
    <w:rsid w:val="006D48CC"/>
    <w:rsid w:val="006D5D5F"/>
    <w:rsid w:val="006E1E01"/>
    <w:rsid w:val="006E1E26"/>
    <w:rsid w:val="006E4DBB"/>
    <w:rsid w:val="006E63A2"/>
    <w:rsid w:val="006E74DE"/>
    <w:rsid w:val="006F3ACE"/>
    <w:rsid w:val="006F63A5"/>
    <w:rsid w:val="006F7B65"/>
    <w:rsid w:val="0070276E"/>
    <w:rsid w:val="00702F8F"/>
    <w:rsid w:val="00704F69"/>
    <w:rsid w:val="007101BC"/>
    <w:rsid w:val="00711A36"/>
    <w:rsid w:val="007172AD"/>
    <w:rsid w:val="00717AB2"/>
    <w:rsid w:val="0072416F"/>
    <w:rsid w:val="00725DD0"/>
    <w:rsid w:val="00725E29"/>
    <w:rsid w:val="00735328"/>
    <w:rsid w:val="0073685B"/>
    <w:rsid w:val="0074181D"/>
    <w:rsid w:val="00742D60"/>
    <w:rsid w:val="007472F7"/>
    <w:rsid w:val="0074785A"/>
    <w:rsid w:val="00752DE6"/>
    <w:rsid w:val="00753AD4"/>
    <w:rsid w:val="00756B44"/>
    <w:rsid w:val="007615FA"/>
    <w:rsid w:val="00763E27"/>
    <w:rsid w:val="00767E23"/>
    <w:rsid w:val="0077275C"/>
    <w:rsid w:val="007729E4"/>
    <w:rsid w:val="00780702"/>
    <w:rsid w:val="007954DE"/>
    <w:rsid w:val="007A0A12"/>
    <w:rsid w:val="007A0FE9"/>
    <w:rsid w:val="007A1315"/>
    <w:rsid w:val="007A21C7"/>
    <w:rsid w:val="007B19EA"/>
    <w:rsid w:val="007B1DDC"/>
    <w:rsid w:val="007B251D"/>
    <w:rsid w:val="007B29D3"/>
    <w:rsid w:val="007B39B3"/>
    <w:rsid w:val="007B41A9"/>
    <w:rsid w:val="007B48B6"/>
    <w:rsid w:val="007B53F9"/>
    <w:rsid w:val="007B67D3"/>
    <w:rsid w:val="007B77D1"/>
    <w:rsid w:val="007C3410"/>
    <w:rsid w:val="007C361D"/>
    <w:rsid w:val="007C6504"/>
    <w:rsid w:val="007D0B38"/>
    <w:rsid w:val="007D162D"/>
    <w:rsid w:val="007D49FB"/>
    <w:rsid w:val="007D5691"/>
    <w:rsid w:val="007E097C"/>
    <w:rsid w:val="007E3148"/>
    <w:rsid w:val="007E4B2B"/>
    <w:rsid w:val="007F0A40"/>
    <w:rsid w:val="007F1017"/>
    <w:rsid w:val="007F3C96"/>
    <w:rsid w:val="007F4A3F"/>
    <w:rsid w:val="007F6BE0"/>
    <w:rsid w:val="007F6F8F"/>
    <w:rsid w:val="008025AA"/>
    <w:rsid w:val="00803F17"/>
    <w:rsid w:val="00805142"/>
    <w:rsid w:val="00807A8B"/>
    <w:rsid w:val="00810C14"/>
    <w:rsid w:val="0081154D"/>
    <w:rsid w:val="00811EC5"/>
    <w:rsid w:val="00812131"/>
    <w:rsid w:val="00812149"/>
    <w:rsid w:val="00813FCF"/>
    <w:rsid w:val="008166EF"/>
    <w:rsid w:val="0081772B"/>
    <w:rsid w:val="00821C23"/>
    <w:rsid w:val="00823BA1"/>
    <w:rsid w:val="008264EB"/>
    <w:rsid w:val="00830C57"/>
    <w:rsid w:val="00833B05"/>
    <w:rsid w:val="00835FDA"/>
    <w:rsid w:val="00836049"/>
    <w:rsid w:val="00840CA2"/>
    <w:rsid w:val="00841A6B"/>
    <w:rsid w:val="00843BF1"/>
    <w:rsid w:val="00844EA1"/>
    <w:rsid w:val="00847582"/>
    <w:rsid w:val="00847A83"/>
    <w:rsid w:val="008520DE"/>
    <w:rsid w:val="0085294E"/>
    <w:rsid w:val="00856344"/>
    <w:rsid w:val="00856E9A"/>
    <w:rsid w:val="00861B44"/>
    <w:rsid w:val="00862502"/>
    <w:rsid w:val="00862F2D"/>
    <w:rsid w:val="00867A84"/>
    <w:rsid w:val="008730F5"/>
    <w:rsid w:val="008750FC"/>
    <w:rsid w:val="008755AF"/>
    <w:rsid w:val="008772DF"/>
    <w:rsid w:val="00880F4C"/>
    <w:rsid w:val="00882874"/>
    <w:rsid w:val="00882F3A"/>
    <w:rsid w:val="00883787"/>
    <w:rsid w:val="0088463C"/>
    <w:rsid w:val="0089283E"/>
    <w:rsid w:val="00894241"/>
    <w:rsid w:val="00894489"/>
    <w:rsid w:val="0089507A"/>
    <w:rsid w:val="008963A5"/>
    <w:rsid w:val="008A3C3E"/>
    <w:rsid w:val="008A56DA"/>
    <w:rsid w:val="008A79DE"/>
    <w:rsid w:val="008B7D7E"/>
    <w:rsid w:val="008C17B4"/>
    <w:rsid w:val="008C2833"/>
    <w:rsid w:val="008C6594"/>
    <w:rsid w:val="008C77BF"/>
    <w:rsid w:val="008C7ECB"/>
    <w:rsid w:val="008D3194"/>
    <w:rsid w:val="008D3388"/>
    <w:rsid w:val="008D360B"/>
    <w:rsid w:val="008E04A2"/>
    <w:rsid w:val="008E1B9E"/>
    <w:rsid w:val="008E1C56"/>
    <w:rsid w:val="008F120A"/>
    <w:rsid w:val="008F17EF"/>
    <w:rsid w:val="008F4307"/>
    <w:rsid w:val="008F48EB"/>
    <w:rsid w:val="008F4CBA"/>
    <w:rsid w:val="008F4F0B"/>
    <w:rsid w:val="00903439"/>
    <w:rsid w:val="009062A5"/>
    <w:rsid w:val="00907948"/>
    <w:rsid w:val="0091032E"/>
    <w:rsid w:val="00910570"/>
    <w:rsid w:val="00911272"/>
    <w:rsid w:val="00913996"/>
    <w:rsid w:val="00915AFF"/>
    <w:rsid w:val="0091760E"/>
    <w:rsid w:val="0091781C"/>
    <w:rsid w:val="00917EAB"/>
    <w:rsid w:val="00920D72"/>
    <w:rsid w:val="00923B42"/>
    <w:rsid w:val="00930072"/>
    <w:rsid w:val="00931D40"/>
    <w:rsid w:val="00937000"/>
    <w:rsid w:val="00942813"/>
    <w:rsid w:val="00950621"/>
    <w:rsid w:val="0096170A"/>
    <w:rsid w:val="00962CB9"/>
    <w:rsid w:val="00964312"/>
    <w:rsid w:val="009676EB"/>
    <w:rsid w:val="009700B8"/>
    <w:rsid w:val="00971091"/>
    <w:rsid w:val="009729D2"/>
    <w:rsid w:val="0097347E"/>
    <w:rsid w:val="00974D62"/>
    <w:rsid w:val="009801C3"/>
    <w:rsid w:val="0098264D"/>
    <w:rsid w:val="00983E57"/>
    <w:rsid w:val="009858F5"/>
    <w:rsid w:val="009901BF"/>
    <w:rsid w:val="00996B1A"/>
    <w:rsid w:val="009A3A46"/>
    <w:rsid w:val="009B2786"/>
    <w:rsid w:val="009B3A08"/>
    <w:rsid w:val="009B3E26"/>
    <w:rsid w:val="009B5EF9"/>
    <w:rsid w:val="009C1707"/>
    <w:rsid w:val="009C7561"/>
    <w:rsid w:val="009D42F0"/>
    <w:rsid w:val="009D59E6"/>
    <w:rsid w:val="009D5B91"/>
    <w:rsid w:val="009D72D6"/>
    <w:rsid w:val="009E2A73"/>
    <w:rsid w:val="009E4C07"/>
    <w:rsid w:val="009E5A2E"/>
    <w:rsid w:val="00A032B5"/>
    <w:rsid w:val="00A03D43"/>
    <w:rsid w:val="00A04380"/>
    <w:rsid w:val="00A13948"/>
    <w:rsid w:val="00A244D4"/>
    <w:rsid w:val="00A27AEC"/>
    <w:rsid w:val="00A3373C"/>
    <w:rsid w:val="00A341D7"/>
    <w:rsid w:val="00A34C7D"/>
    <w:rsid w:val="00A35D16"/>
    <w:rsid w:val="00A35E99"/>
    <w:rsid w:val="00A3709D"/>
    <w:rsid w:val="00A43C59"/>
    <w:rsid w:val="00A50ECD"/>
    <w:rsid w:val="00A5158B"/>
    <w:rsid w:val="00A52729"/>
    <w:rsid w:val="00A53455"/>
    <w:rsid w:val="00A53675"/>
    <w:rsid w:val="00A56B6A"/>
    <w:rsid w:val="00A578DC"/>
    <w:rsid w:val="00A62458"/>
    <w:rsid w:val="00A62621"/>
    <w:rsid w:val="00A62A99"/>
    <w:rsid w:val="00A66DE4"/>
    <w:rsid w:val="00A6725B"/>
    <w:rsid w:val="00A7287A"/>
    <w:rsid w:val="00A7772B"/>
    <w:rsid w:val="00A81A43"/>
    <w:rsid w:val="00A832FC"/>
    <w:rsid w:val="00A86E8B"/>
    <w:rsid w:val="00A93072"/>
    <w:rsid w:val="00A959D8"/>
    <w:rsid w:val="00A971CD"/>
    <w:rsid w:val="00A97C7C"/>
    <w:rsid w:val="00AA0222"/>
    <w:rsid w:val="00AA11A2"/>
    <w:rsid w:val="00AA1EED"/>
    <w:rsid w:val="00AA3C74"/>
    <w:rsid w:val="00AB042A"/>
    <w:rsid w:val="00AB1794"/>
    <w:rsid w:val="00AB2D34"/>
    <w:rsid w:val="00AB3430"/>
    <w:rsid w:val="00AB5737"/>
    <w:rsid w:val="00AB7CFA"/>
    <w:rsid w:val="00AD2561"/>
    <w:rsid w:val="00AE3384"/>
    <w:rsid w:val="00AE4772"/>
    <w:rsid w:val="00AE48BF"/>
    <w:rsid w:val="00B03A8F"/>
    <w:rsid w:val="00B13476"/>
    <w:rsid w:val="00B16E54"/>
    <w:rsid w:val="00B268BD"/>
    <w:rsid w:val="00B42851"/>
    <w:rsid w:val="00B442B6"/>
    <w:rsid w:val="00B474AE"/>
    <w:rsid w:val="00B50DB8"/>
    <w:rsid w:val="00B51171"/>
    <w:rsid w:val="00B51C4C"/>
    <w:rsid w:val="00B52633"/>
    <w:rsid w:val="00B53905"/>
    <w:rsid w:val="00B54B5B"/>
    <w:rsid w:val="00B5562E"/>
    <w:rsid w:val="00B5677F"/>
    <w:rsid w:val="00B57000"/>
    <w:rsid w:val="00B60939"/>
    <w:rsid w:val="00B60AFD"/>
    <w:rsid w:val="00B61DA0"/>
    <w:rsid w:val="00B62693"/>
    <w:rsid w:val="00B62715"/>
    <w:rsid w:val="00B818A4"/>
    <w:rsid w:val="00B861B2"/>
    <w:rsid w:val="00B8649C"/>
    <w:rsid w:val="00B868B3"/>
    <w:rsid w:val="00B91E4F"/>
    <w:rsid w:val="00B92D0B"/>
    <w:rsid w:val="00B94945"/>
    <w:rsid w:val="00BA0512"/>
    <w:rsid w:val="00BA1F49"/>
    <w:rsid w:val="00BB25B7"/>
    <w:rsid w:val="00BB3C67"/>
    <w:rsid w:val="00BB489A"/>
    <w:rsid w:val="00BB4BBF"/>
    <w:rsid w:val="00BB7405"/>
    <w:rsid w:val="00BC3E40"/>
    <w:rsid w:val="00BC46B1"/>
    <w:rsid w:val="00BD6CF3"/>
    <w:rsid w:val="00BE2180"/>
    <w:rsid w:val="00BE2667"/>
    <w:rsid w:val="00BE4275"/>
    <w:rsid w:val="00BE7DEC"/>
    <w:rsid w:val="00BF2433"/>
    <w:rsid w:val="00BF60D4"/>
    <w:rsid w:val="00BF61C9"/>
    <w:rsid w:val="00BF7D58"/>
    <w:rsid w:val="00C048E2"/>
    <w:rsid w:val="00C10F73"/>
    <w:rsid w:val="00C1465D"/>
    <w:rsid w:val="00C15883"/>
    <w:rsid w:val="00C15FBF"/>
    <w:rsid w:val="00C17CC0"/>
    <w:rsid w:val="00C22284"/>
    <w:rsid w:val="00C22859"/>
    <w:rsid w:val="00C25418"/>
    <w:rsid w:val="00C25D9C"/>
    <w:rsid w:val="00C31649"/>
    <w:rsid w:val="00C32615"/>
    <w:rsid w:val="00C3553A"/>
    <w:rsid w:val="00C40385"/>
    <w:rsid w:val="00C41EEA"/>
    <w:rsid w:val="00C42819"/>
    <w:rsid w:val="00C4300E"/>
    <w:rsid w:val="00C43DDC"/>
    <w:rsid w:val="00C44344"/>
    <w:rsid w:val="00C50189"/>
    <w:rsid w:val="00C515EB"/>
    <w:rsid w:val="00C51F00"/>
    <w:rsid w:val="00C52560"/>
    <w:rsid w:val="00C54D75"/>
    <w:rsid w:val="00C55E37"/>
    <w:rsid w:val="00C577A8"/>
    <w:rsid w:val="00C61D9C"/>
    <w:rsid w:val="00C654D0"/>
    <w:rsid w:val="00C65576"/>
    <w:rsid w:val="00C66165"/>
    <w:rsid w:val="00C703CD"/>
    <w:rsid w:val="00C70ED8"/>
    <w:rsid w:val="00C72ACD"/>
    <w:rsid w:val="00C748CB"/>
    <w:rsid w:val="00C750C8"/>
    <w:rsid w:val="00C7662C"/>
    <w:rsid w:val="00C76EB7"/>
    <w:rsid w:val="00C814C4"/>
    <w:rsid w:val="00C8213F"/>
    <w:rsid w:val="00C835D1"/>
    <w:rsid w:val="00C83C0C"/>
    <w:rsid w:val="00C86510"/>
    <w:rsid w:val="00C8797A"/>
    <w:rsid w:val="00C90880"/>
    <w:rsid w:val="00C90F6E"/>
    <w:rsid w:val="00C92073"/>
    <w:rsid w:val="00C938CF"/>
    <w:rsid w:val="00C94C13"/>
    <w:rsid w:val="00CA2667"/>
    <w:rsid w:val="00CA5245"/>
    <w:rsid w:val="00CA578C"/>
    <w:rsid w:val="00CA614D"/>
    <w:rsid w:val="00CA7B09"/>
    <w:rsid w:val="00CB1C66"/>
    <w:rsid w:val="00CB2F0C"/>
    <w:rsid w:val="00CB5B1A"/>
    <w:rsid w:val="00CD01BD"/>
    <w:rsid w:val="00CD69D8"/>
    <w:rsid w:val="00CD6ADC"/>
    <w:rsid w:val="00CE0252"/>
    <w:rsid w:val="00CE0FE0"/>
    <w:rsid w:val="00CE6274"/>
    <w:rsid w:val="00CE6C93"/>
    <w:rsid w:val="00CE6D96"/>
    <w:rsid w:val="00CF13B4"/>
    <w:rsid w:val="00CF456B"/>
    <w:rsid w:val="00CF54D3"/>
    <w:rsid w:val="00CF5A22"/>
    <w:rsid w:val="00D0262E"/>
    <w:rsid w:val="00D02D3A"/>
    <w:rsid w:val="00D03CFD"/>
    <w:rsid w:val="00D110BD"/>
    <w:rsid w:val="00D12089"/>
    <w:rsid w:val="00D16799"/>
    <w:rsid w:val="00D167CE"/>
    <w:rsid w:val="00D17D6C"/>
    <w:rsid w:val="00D22E0B"/>
    <w:rsid w:val="00D26CB8"/>
    <w:rsid w:val="00D273E4"/>
    <w:rsid w:val="00D27ADA"/>
    <w:rsid w:val="00D320DD"/>
    <w:rsid w:val="00D357FF"/>
    <w:rsid w:val="00D438AC"/>
    <w:rsid w:val="00D44ACC"/>
    <w:rsid w:val="00D45208"/>
    <w:rsid w:val="00D46064"/>
    <w:rsid w:val="00D47049"/>
    <w:rsid w:val="00D545B3"/>
    <w:rsid w:val="00D575E9"/>
    <w:rsid w:val="00D65C60"/>
    <w:rsid w:val="00D724D7"/>
    <w:rsid w:val="00D76A44"/>
    <w:rsid w:val="00D80BBC"/>
    <w:rsid w:val="00D81D9C"/>
    <w:rsid w:val="00D833D3"/>
    <w:rsid w:val="00D91687"/>
    <w:rsid w:val="00D93595"/>
    <w:rsid w:val="00D93753"/>
    <w:rsid w:val="00D953FD"/>
    <w:rsid w:val="00DA26B8"/>
    <w:rsid w:val="00DA77A5"/>
    <w:rsid w:val="00DB50AB"/>
    <w:rsid w:val="00DB6477"/>
    <w:rsid w:val="00DC2CBC"/>
    <w:rsid w:val="00DC4F4C"/>
    <w:rsid w:val="00DC5501"/>
    <w:rsid w:val="00DD1C7D"/>
    <w:rsid w:val="00DD3F28"/>
    <w:rsid w:val="00DD4537"/>
    <w:rsid w:val="00DD4E15"/>
    <w:rsid w:val="00DE2204"/>
    <w:rsid w:val="00DE3557"/>
    <w:rsid w:val="00DE44AE"/>
    <w:rsid w:val="00DE4FCB"/>
    <w:rsid w:val="00DE5F71"/>
    <w:rsid w:val="00DE6928"/>
    <w:rsid w:val="00DF090E"/>
    <w:rsid w:val="00DF1B03"/>
    <w:rsid w:val="00DF385E"/>
    <w:rsid w:val="00DF5D2B"/>
    <w:rsid w:val="00E0082F"/>
    <w:rsid w:val="00E10149"/>
    <w:rsid w:val="00E16247"/>
    <w:rsid w:val="00E16372"/>
    <w:rsid w:val="00E20ED6"/>
    <w:rsid w:val="00E21358"/>
    <w:rsid w:val="00E2249B"/>
    <w:rsid w:val="00E22A0D"/>
    <w:rsid w:val="00E23965"/>
    <w:rsid w:val="00E24B2B"/>
    <w:rsid w:val="00E2556E"/>
    <w:rsid w:val="00E26BAE"/>
    <w:rsid w:val="00E2771E"/>
    <w:rsid w:val="00E35797"/>
    <w:rsid w:val="00E37569"/>
    <w:rsid w:val="00E41E30"/>
    <w:rsid w:val="00E43D70"/>
    <w:rsid w:val="00E44E7B"/>
    <w:rsid w:val="00E45357"/>
    <w:rsid w:val="00E47B2C"/>
    <w:rsid w:val="00E51560"/>
    <w:rsid w:val="00E53BC0"/>
    <w:rsid w:val="00E545F6"/>
    <w:rsid w:val="00E55424"/>
    <w:rsid w:val="00E55BB5"/>
    <w:rsid w:val="00E55F50"/>
    <w:rsid w:val="00E5606E"/>
    <w:rsid w:val="00E60564"/>
    <w:rsid w:val="00E60F38"/>
    <w:rsid w:val="00E65E79"/>
    <w:rsid w:val="00E67416"/>
    <w:rsid w:val="00E7143B"/>
    <w:rsid w:val="00E718B6"/>
    <w:rsid w:val="00E73581"/>
    <w:rsid w:val="00E7412D"/>
    <w:rsid w:val="00E74DBE"/>
    <w:rsid w:val="00E76322"/>
    <w:rsid w:val="00E771D9"/>
    <w:rsid w:val="00E80C8C"/>
    <w:rsid w:val="00E816F3"/>
    <w:rsid w:val="00E82617"/>
    <w:rsid w:val="00E8347C"/>
    <w:rsid w:val="00E83BDF"/>
    <w:rsid w:val="00E87F4E"/>
    <w:rsid w:val="00EA11C7"/>
    <w:rsid w:val="00EA3864"/>
    <w:rsid w:val="00EA3BB9"/>
    <w:rsid w:val="00EA6036"/>
    <w:rsid w:val="00EB15B6"/>
    <w:rsid w:val="00EB3975"/>
    <w:rsid w:val="00EB4916"/>
    <w:rsid w:val="00EB7C9D"/>
    <w:rsid w:val="00EC00C9"/>
    <w:rsid w:val="00EC4D86"/>
    <w:rsid w:val="00EC5E59"/>
    <w:rsid w:val="00EC7011"/>
    <w:rsid w:val="00ED1C6D"/>
    <w:rsid w:val="00ED1CFE"/>
    <w:rsid w:val="00ED2634"/>
    <w:rsid w:val="00ED304F"/>
    <w:rsid w:val="00EE07D3"/>
    <w:rsid w:val="00EE2CB7"/>
    <w:rsid w:val="00EE5CFA"/>
    <w:rsid w:val="00EF691E"/>
    <w:rsid w:val="00F028E6"/>
    <w:rsid w:val="00F0477E"/>
    <w:rsid w:val="00F067A2"/>
    <w:rsid w:val="00F078D0"/>
    <w:rsid w:val="00F115E0"/>
    <w:rsid w:val="00F11F31"/>
    <w:rsid w:val="00F13657"/>
    <w:rsid w:val="00F1446F"/>
    <w:rsid w:val="00F17D25"/>
    <w:rsid w:val="00F23279"/>
    <w:rsid w:val="00F24837"/>
    <w:rsid w:val="00F2575F"/>
    <w:rsid w:val="00F257B1"/>
    <w:rsid w:val="00F25CD5"/>
    <w:rsid w:val="00F25CF9"/>
    <w:rsid w:val="00F27BFD"/>
    <w:rsid w:val="00F32005"/>
    <w:rsid w:val="00F33DE9"/>
    <w:rsid w:val="00F3619A"/>
    <w:rsid w:val="00F46CB6"/>
    <w:rsid w:val="00F52E81"/>
    <w:rsid w:val="00F54FE0"/>
    <w:rsid w:val="00F55475"/>
    <w:rsid w:val="00F55E73"/>
    <w:rsid w:val="00F60092"/>
    <w:rsid w:val="00F61564"/>
    <w:rsid w:val="00F624A2"/>
    <w:rsid w:val="00F6250B"/>
    <w:rsid w:val="00F710F2"/>
    <w:rsid w:val="00F72B90"/>
    <w:rsid w:val="00F7571D"/>
    <w:rsid w:val="00F80E5D"/>
    <w:rsid w:val="00F82F85"/>
    <w:rsid w:val="00F851CE"/>
    <w:rsid w:val="00F97A78"/>
    <w:rsid w:val="00FA0887"/>
    <w:rsid w:val="00FA24E7"/>
    <w:rsid w:val="00FA4D9C"/>
    <w:rsid w:val="00FB2FCB"/>
    <w:rsid w:val="00FB3DAA"/>
    <w:rsid w:val="00FC1074"/>
    <w:rsid w:val="00FC1884"/>
    <w:rsid w:val="00FC34B3"/>
    <w:rsid w:val="00FC5258"/>
    <w:rsid w:val="00FC57E3"/>
    <w:rsid w:val="00FD1648"/>
    <w:rsid w:val="00FD2100"/>
    <w:rsid w:val="00FD28CA"/>
    <w:rsid w:val="00FD446D"/>
    <w:rsid w:val="00FD4559"/>
    <w:rsid w:val="00FD55F4"/>
    <w:rsid w:val="00FD70F5"/>
    <w:rsid w:val="00FD7493"/>
    <w:rsid w:val="00FE4346"/>
    <w:rsid w:val="00FF3DCF"/>
    <w:rsid w:val="00FF42BE"/>
    <w:rsid w:val="00FF5059"/>
    <w:rsid w:val="00FF5144"/>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101CD9"/>
    <w:pPr>
      <w:widowControl/>
      <w:jc w:val="left"/>
    </w:pPr>
    <w:rPr>
      <w:caps w:val="0"/>
      <w:sz w:val="28"/>
    </w:rPr>
  </w:style>
  <w:style w:type="character" w:customStyle="1" w:styleId="TitleChar">
    <w:name w:val="Title Char"/>
    <w:basedOn w:val="DefaultParagraphFont"/>
    <w:link w:val="Title"/>
    <w:rsid w:val="00101CD9"/>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01CD9"/>
    <w:pPr>
      <w:numPr>
        <w:numId w:val="1"/>
      </w:numPr>
      <w:outlineLvl w:val="0"/>
    </w:pPr>
    <w:rPr>
      <w:rFonts w:ascii="Arial" w:hAnsi="Arial" w:cs="Arial"/>
      <w:b/>
      <w:snapToGrid w:val="0"/>
      <w:sz w:val="22"/>
      <w:szCs w:val="22"/>
      <w:lang w:eastAsia="en-US"/>
    </w:rPr>
  </w:style>
  <w:style w:type="character" w:customStyle="1" w:styleId="st">
    <w:name w:val="st"/>
    <w:rsid w:val="0037213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868B3"/>
    <w:pPr>
      <w:widowControl/>
      <w:spacing w:after="160" w:line="240" w:lineRule="exact"/>
      <w:jc w:val="left"/>
    </w:pPr>
    <w:rPr>
      <w:rFonts w:ascii="Verdana" w:eastAsia="MS Mincho" w:hAnsi="Verdana" w:cs="Verdana"/>
      <w:snapToGrid/>
      <w:sz w:val="20"/>
      <w:lang w:val="en-US"/>
    </w:rPr>
  </w:style>
  <w:style w:type="paragraph" w:customStyle="1" w:styleId="TableFooterSub">
    <w:name w:val="Table Footer Sub"/>
    <w:basedOn w:val="Normal"/>
    <w:link w:val="TableFooterSubChar"/>
    <w:qFormat/>
    <w:rsid w:val="00FD4559"/>
    <w:pPr>
      <w:widowControl/>
      <w:spacing w:before="60"/>
      <w:jc w:val="left"/>
    </w:pPr>
    <w:rPr>
      <w:rFonts w:ascii="News Gothic MT" w:eastAsia="Batang" w:hAnsi="News Gothic MT" w:cs="Times New Roman"/>
      <w:snapToGrid/>
      <w:sz w:val="16"/>
      <w:szCs w:val="24"/>
      <w:lang w:val="en-US"/>
    </w:rPr>
  </w:style>
  <w:style w:type="character" w:customStyle="1" w:styleId="TableFooterSubChar">
    <w:name w:val="Table Footer Sub Char"/>
    <w:basedOn w:val="DefaultParagraphFont"/>
    <w:link w:val="TableFooterSub"/>
    <w:rsid w:val="00FD4559"/>
    <w:rPr>
      <w:rFonts w:ascii="News Gothic MT" w:eastAsia="Batang" w:hAnsi="News Gothic MT"/>
      <w:sz w:val="16"/>
      <w:szCs w:val="24"/>
      <w:lang w:val="en-US" w:eastAsia="en-US"/>
    </w:rPr>
  </w:style>
  <w:style w:type="paragraph" w:customStyle="1" w:styleId="PBACTableText">
    <w:name w:val="PBAC Table Text"/>
    <w:basedOn w:val="Normal"/>
    <w:link w:val="PBACTableTextChar"/>
    <w:qFormat/>
    <w:rsid w:val="00FD4559"/>
    <w:pPr>
      <w:widowControl/>
      <w:jc w:val="left"/>
    </w:pPr>
    <w:rPr>
      <w:rFonts w:ascii="News Gothic MT" w:eastAsia="Batang" w:hAnsi="News Gothic MT" w:cs="Times New Roman"/>
      <w:snapToGrid/>
      <w:sz w:val="20"/>
      <w:lang w:val="en-US"/>
    </w:rPr>
  </w:style>
  <w:style w:type="character" w:customStyle="1" w:styleId="PBACTableTextChar">
    <w:name w:val="PBAC Table Text Char"/>
    <w:basedOn w:val="DefaultParagraphFont"/>
    <w:link w:val="PBACTableText"/>
    <w:rsid w:val="00FD4559"/>
    <w:rPr>
      <w:rFonts w:ascii="News Gothic MT" w:eastAsia="Batang" w:hAnsi="News Gothic MT"/>
      <w:lang w:val="en-US" w:eastAsia="en-US"/>
    </w:rPr>
  </w:style>
  <w:style w:type="paragraph" w:customStyle="1" w:styleId="Default">
    <w:name w:val="Default"/>
    <w:rsid w:val="00D65C60"/>
    <w:pPr>
      <w:autoSpaceDE w:val="0"/>
      <w:autoSpaceDN w:val="0"/>
      <w:adjustRightInd w:val="0"/>
    </w:pPr>
    <w:rPr>
      <w:color w:val="000000"/>
      <w:sz w:val="24"/>
      <w:szCs w:val="24"/>
    </w:rPr>
  </w:style>
  <w:style w:type="character" w:styleId="FootnoteReference">
    <w:name w:val="footnote reference"/>
    <w:basedOn w:val="DefaultParagraphFont"/>
    <w:rsid w:val="000F782A"/>
    <w:rPr>
      <w:vertAlign w:val="superscript"/>
    </w:rPr>
  </w:style>
  <w:style w:type="numbering" w:customStyle="1" w:styleId="StyleBulleted10ptItalicLeft0Hanging025">
    <w:name w:val="Style Bulleted 10 pt Italic Left:  0&quot; Hanging:  0.25&quot;"/>
    <w:basedOn w:val="NoList"/>
    <w:rsid w:val="00725DD0"/>
    <w:pPr>
      <w:numPr>
        <w:numId w:val="2"/>
      </w:numPr>
    </w:pPr>
  </w:style>
  <w:style w:type="paragraph" w:styleId="FootnoteText">
    <w:name w:val="footnote text"/>
    <w:basedOn w:val="Normal"/>
    <w:link w:val="FootnoteTextChar"/>
    <w:rsid w:val="00F13657"/>
    <w:rPr>
      <w:rFonts w:cs="Times New Roman"/>
      <w:sz w:val="20"/>
    </w:rPr>
  </w:style>
  <w:style w:type="character" w:customStyle="1" w:styleId="FootnoteTextChar">
    <w:name w:val="Footnote Text Char"/>
    <w:basedOn w:val="DefaultParagraphFont"/>
    <w:link w:val="FootnoteText"/>
    <w:rsid w:val="00F13657"/>
    <w:rPr>
      <w:rFonts w:ascii="Arial" w:hAnsi="Arial"/>
      <w:snapToGrid w:val="0"/>
      <w:lang w:eastAsia="en-US"/>
    </w:rPr>
  </w:style>
  <w:style w:type="paragraph" w:customStyle="1" w:styleId="TableText1">
    <w:name w:val="Table Text"/>
    <w:basedOn w:val="Normal"/>
    <w:uiPriority w:val="99"/>
    <w:qFormat/>
    <w:rsid w:val="001D1C66"/>
    <w:pPr>
      <w:widowControl/>
      <w:spacing w:before="80" w:after="80"/>
      <w:jc w:val="left"/>
    </w:pPr>
    <w:rPr>
      <w:rFonts w:cs="Times New Roman"/>
      <w:snapToGrid/>
      <w:sz w:val="20"/>
      <w:szCs w:val="22"/>
      <w:lang w:eastAsia="en-AU"/>
    </w:rPr>
  </w:style>
  <w:style w:type="paragraph" w:customStyle="1" w:styleId="TableNote">
    <w:name w:val="TableNote"/>
    <w:basedOn w:val="BodyText"/>
    <w:uiPriority w:val="99"/>
    <w:rsid w:val="001D1C66"/>
    <w:pPr>
      <w:jc w:val="both"/>
    </w:pPr>
    <w:rPr>
      <w:rFonts w:eastAsia="SimSun" w:cs="Times New Roman"/>
      <w:snapToGrid/>
      <w:sz w:val="20"/>
    </w:rPr>
  </w:style>
  <w:style w:type="character" w:styleId="IntenseReference">
    <w:name w:val="Intense Reference"/>
    <w:basedOn w:val="DefaultParagraphFont"/>
    <w:uiPriority w:val="32"/>
    <w:qFormat/>
    <w:rsid w:val="004853C3"/>
    <w:rPr>
      <w:b/>
      <w:bCs/>
      <w:i/>
      <w:smallCaps/>
      <w:color w:val="C0504D" w:themeColor="accent2"/>
      <w:spacing w:val="5"/>
      <w:u w:val="none"/>
    </w:rPr>
  </w:style>
  <w:style w:type="paragraph" w:customStyle="1" w:styleId="Table">
    <w:name w:val="Table"/>
    <w:basedOn w:val="Normal"/>
    <w:link w:val="TableChar"/>
    <w:qFormat/>
    <w:rsid w:val="001A05A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1A05A9"/>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1A05A9"/>
    <w:rPr>
      <w:rFonts w:ascii="Candara" w:hAnsi="Candara"/>
      <w:b/>
      <w:sz w:val="20"/>
      <w:lang w:val="en-AU"/>
    </w:rPr>
  </w:style>
  <w:style w:type="table" w:customStyle="1" w:styleId="TableGrid3">
    <w:name w:val="Table Grid3"/>
    <w:basedOn w:val="TableNormal"/>
    <w:next w:val="TableGrid"/>
    <w:uiPriority w:val="59"/>
    <w:rsid w:val="001A05A9"/>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Centre">
    <w:name w:val="Table Centre"/>
    <w:basedOn w:val="Table"/>
    <w:qFormat/>
    <w:rsid w:val="00D02D3A"/>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101CD9"/>
    <w:pPr>
      <w:widowControl/>
      <w:jc w:val="left"/>
    </w:pPr>
    <w:rPr>
      <w:caps w:val="0"/>
      <w:sz w:val="28"/>
    </w:rPr>
  </w:style>
  <w:style w:type="character" w:customStyle="1" w:styleId="TitleChar">
    <w:name w:val="Title Char"/>
    <w:basedOn w:val="DefaultParagraphFont"/>
    <w:link w:val="Title"/>
    <w:rsid w:val="00101CD9"/>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01CD9"/>
    <w:pPr>
      <w:numPr>
        <w:numId w:val="1"/>
      </w:numPr>
      <w:outlineLvl w:val="0"/>
    </w:pPr>
    <w:rPr>
      <w:rFonts w:ascii="Arial" w:hAnsi="Arial" w:cs="Arial"/>
      <w:b/>
      <w:snapToGrid w:val="0"/>
      <w:sz w:val="22"/>
      <w:szCs w:val="22"/>
      <w:lang w:eastAsia="en-US"/>
    </w:rPr>
  </w:style>
  <w:style w:type="character" w:customStyle="1" w:styleId="st">
    <w:name w:val="st"/>
    <w:rsid w:val="0037213C"/>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868B3"/>
    <w:pPr>
      <w:widowControl/>
      <w:spacing w:after="160" w:line="240" w:lineRule="exact"/>
      <w:jc w:val="left"/>
    </w:pPr>
    <w:rPr>
      <w:rFonts w:ascii="Verdana" w:eastAsia="MS Mincho" w:hAnsi="Verdana" w:cs="Verdana"/>
      <w:snapToGrid/>
      <w:sz w:val="20"/>
      <w:lang w:val="en-US"/>
    </w:rPr>
  </w:style>
  <w:style w:type="paragraph" w:customStyle="1" w:styleId="TableFooterSub">
    <w:name w:val="Table Footer Sub"/>
    <w:basedOn w:val="Normal"/>
    <w:link w:val="TableFooterSubChar"/>
    <w:qFormat/>
    <w:rsid w:val="00FD4559"/>
    <w:pPr>
      <w:widowControl/>
      <w:spacing w:before="60"/>
      <w:jc w:val="left"/>
    </w:pPr>
    <w:rPr>
      <w:rFonts w:ascii="News Gothic MT" w:eastAsia="Batang" w:hAnsi="News Gothic MT" w:cs="Times New Roman"/>
      <w:snapToGrid/>
      <w:sz w:val="16"/>
      <w:szCs w:val="24"/>
      <w:lang w:val="en-US"/>
    </w:rPr>
  </w:style>
  <w:style w:type="character" w:customStyle="1" w:styleId="TableFooterSubChar">
    <w:name w:val="Table Footer Sub Char"/>
    <w:basedOn w:val="DefaultParagraphFont"/>
    <w:link w:val="TableFooterSub"/>
    <w:rsid w:val="00FD4559"/>
    <w:rPr>
      <w:rFonts w:ascii="News Gothic MT" w:eastAsia="Batang" w:hAnsi="News Gothic MT"/>
      <w:sz w:val="16"/>
      <w:szCs w:val="24"/>
      <w:lang w:val="en-US" w:eastAsia="en-US"/>
    </w:rPr>
  </w:style>
  <w:style w:type="paragraph" w:customStyle="1" w:styleId="PBACTableText">
    <w:name w:val="PBAC Table Text"/>
    <w:basedOn w:val="Normal"/>
    <w:link w:val="PBACTableTextChar"/>
    <w:qFormat/>
    <w:rsid w:val="00FD4559"/>
    <w:pPr>
      <w:widowControl/>
      <w:jc w:val="left"/>
    </w:pPr>
    <w:rPr>
      <w:rFonts w:ascii="News Gothic MT" w:eastAsia="Batang" w:hAnsi="News Gothic MT" w:cs="Times New Roman"/>
      <w:snapToGrid/>
      <w:sz w:val="20"/>
      <w:lang w:val="en-US"/>
    </w:rPr>
  </w:style>
  <w:style w:type="character" w:customStyle="1" w:styleId="PBACTableTextChar">
    <w:name w:val="PBAC Table Text Char"/>
    <w:basedOn w:val="DefaultParagraphFont"/>
    <w:link w:val="PBACTableText"/>
    <w:rsid w:val="00FD4559"/>
    <w:rPr>
      <w:rFonts w:ascii="News Gothic MT" w:eastAsia="Batang" w:hAnsi="News Gothic MT"/>
      <w:lang w:val="en-US" w:eastAsia="en-US"/>
    </w:rPr>
  </w:style>
  <w:style w:type="paragraph" w:customStyle="1" w:styleId="Default">
    <w:name w:val="Default"/>
    <w:rsid w:val="00D65C60"/>
    <w:pPr>
      <w:autoSpaceDE w:val="0"/>
      <w:autoSpaceDN w:val="0"/>
      <w:adjustRightInd w:val="0"/>
    </w:pPr>
    <w:rPr>
      <w:color w:val="000000"/>
      <w:sz w:val="24"/>
      <w:szCs w:val="24"/>
    </w:rPr>
  </w:style>
  <w:style w:type="character" w:styleId="FootnoteReference">
    <w:name w:val="footnote reference"/>
    <w:basedOn w:val="DefaultParagraphFont"/>
    <w:rsid w:val="000F782A"/>
    <w:rPr>
      <w:vertAlign w:val="superscript"/>
    </w:rPr>
  </w:style>
  <w:style w:type="numbering" w:customStyle="1" w:styleId="StyleBulleted10ptItalicLeft0Hanging025">
    <w:name w:val="Style Bulleted 10 pt Italic Left:  0&quot; Hanging:  0.25&quot;"/>
    <w:basedOn w:val="NoList"/>
    <w:rsid w:val="00725DD0"/>
    <w:pPr>
      <w:numPr>
        <w:numId w:val="2"/>
      </w:numPr>
    </w:pPr>
  </w:style>
  <w:style w:type="paragraph" w:styleId="FootnoteText">
    <w:name w:val="footnote text"/>
    <w:basedOn w:val="Normal"/>
    <w:link w:val="FootnoteTextChar"/>
    <w:rsid w:val="00F13657"/>
    <w:rPr>
      <w:rFonts w:cs="Times New Roman"/>
      <w:sz w:val="20"/>
    </w:rPr>
  </w:style>
  <w:style w:type="character" w:customStyle="1" w:styleId="FootnoteTextChar">
    <w:name w:val="Footnote Text Char"/>
    <w:basedOn w:val="DefaultParagraphFont"/>
    <w:link w:val="FootnoteText"/>
    <w:rsid w:val="00F13657"/>
    <w:rPr>
      <w:rFonts w:ascii="Arial" w:hAnsi="Arial"/>
      <w:snapToGrid w:val="0"/>
      <w:lang w:eastAsia="en-US"/>
    </w:rPr>
  </w:style>
  <w:style w:type="paragraph" w:customStyle="1" w:styleId="TableText1">
    <w:name w:val="Table Text"/>
    <w:basedOn w:val="Normal"/>
    <w:uiPriority w:val="99"/>
    <w:qFormat/>
    <w:rsid w:val="001D1C66"/>
    <w:pPr>
      <w:widowControl/>
      <w:spacing w:before="80" w:after="80"/>
      <w:jc w:val="left"/>
    </w:pPr>
    <w:rPr>
      <w:rFonts w:cs="Times New Roman"/>
      <w:snapToGrid/>
      <w:sz w:val="20"/>
      <w:szCs w:val="22"/>
      <w:lang w:eastAsia="en-AU"/>
    </w:rPr>
  </w:style>
  <w:style w:type="paragraph" w:customStyle="1" w:styleId="TableNote">
    <w:name w:val="TableNote"/>
    <w:basedOn w:val="BodyText"/>
    <w:uiPriority w:val="99"/>
    <w:rsid w:val="001D1C66"/>
    <w:pPr>
      <w:jc w:val="both"/>
    </w:pPr>
    <w:rPr>
      <w:rFonts w:eastAsia="SimSun" w:cs="Times New Roman"/>
      <w:snapToGrid/>
      <w:sz w:val="20"/>
    </w:rPr>
  </w:style>
  <w:style w:type="character" w:styleId="IntenseReference">
    <w:name w:val="Intense Reference"/>
    <w:basedOn w:val="DefaultParagraphFont"/>
    <w:uiPriority w:val="32"/>
    <w:qFormat/>
    <w:rsid w:val="004853C3"/>
    <w:rPr>
      <w:b/>
      <w:bCs/>
      <w:i/>
      <w:smallCaps/>
      <w:color w:val="C0504D" w:themeColor="accent2"/>
      <w:spacing w:val="5"/>
      <w:u w:val="none"/>
    </w:rPr>
  </w:style>
  <w:style w:type="paragraph" w:customStyle="1" w:styleId="Table">
    <w:name w:val="Table"/>
    <w:basedOn w:val="Normal"/>
    <w:link w:val="TableChar"/>
    <w:qFormat/>
    <w:rsid w:val="001A05A9"/>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1A05A9"/>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1A05A9"/>
    <w:rPr>
      <w:rFonts w:ascii="Candara" w:hAnsi="Candara"/>
      <w:b/>
      <w:sz w:val="20"/>
      <w:lang w:val="en-AU"/>
    </w:rPr>
  </w:style>
  <w:style w:type="table" w:customStyle="1" w:styleId="TableGrid3">
    <w:name w:val="Table Grid3"/>
    <w:basedOn w:val="TableNormal"/>
    <w:next w:val="TableGrid"/>
    <w:uiPriority w:val="59"/>
    <w:rsid w:val="001A05A9"/>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TableCentre">
    <w:name w:val="Table Centre"/>
    <w:basedOn w:val="Table"/>
    <w:qFormat/>
    <w:rsid w:val="00D02D3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74164">
      <w:bodyDiv w:val="1"/>
      <w:marLeft w:val="0"/>
      <w:marRight w:val="0"/>
      <w:marTop w:val="0"/>
      <w:marBottom w:val="0"/>
      <w:divBdr>
        <w:top w:val="none" w:sz="0" w:space="0" w:color="auto"/>
        <w:left w:val="none" w:sz="0" w:space="0" w:color="auto"/>
        <w:bottom w:val="none" w:sz="0" w:space="0" w:color="auto"/>
        <w:right w:val="none" w:sz="0" w:space="0" w:color="auto"/>
      </w:divBdr>
    </w:div>
    <w:div w:id="1572227229">
      <w:bodyDiv w:val="1"/>
      <w:marLeft w:val="0"/>
      <w:marRight w:val="0"/>
      <w:marTop w:val="0"/>
      <w:marBottom w:val="0"/>
      <w:divBdr>
        <w:top w:val="none" w:sz="0" w:space="0" w:color="auto"/>
        <w:left w:val="none" w:sz="0" w:space="0" w:color="auto"/>
        <w:bottom w:val="none" w:sz="0" w:space="0" w:color="auto"/>
        <w:right w:val="none" w:sz="0" w:space="0" w:color="auto"/>
      </w:divBdr>
      <w:divsChild>
        <w:div w:id="1697658112">
          <w:marLeft w:val="0"/>
          <w:marRight w:val="0"/>
          <w:marTop w:val="240"/>
          <w:marBottom w:val="480"/>
          <w:divBdr>
            <w:top w:val="none" w:sz="0" w:space="0" w:color="auto"/>
            <w:left w:val="none" w:sz="0" w:space="0" w:color="auto"/>
            <w:bottom w:val="none" w:sz="0" w:space="0" w:color="auto"/>
            <w:right w:val="none" w:sz="0" w:space="0" w:color="auto"/>
          </w:divBdr>
          <w:divsChild>
            <w:div w:id="2028020474">
              <w:marLeft w:val="0"/>
              <w:marRight w:val="0"/>
              <w:marTop w:val="0"/>
              <w:marBottom w:val="0"/>
              <w:divBdr>
                <w:top w:val="none" w:sz="0" w:space="0" w:color="auto"/>
                <w:left w:val="none" w:sz="0" w:space="0" w:color="auto"/>
                <w:bottom w:val="none" w:sz="0" w:space="0" w:color="auto"/>
                <w:right w:val="none" w:sz="0" w:space="0" w:color="auto"/>
              </w:divBdr>
              <w:divsChild>
                <w:div w:id="1865165888">
                  <w:marLeft w:val="0"/>
                  <w:marRight w:val="0"/>
                  <w:marTop w:val="0"/>
                  <w:marBottom w:val="0"/>
                  <w:divBdr>
                    <w:top w:val="none" w:sz="0" w:space="0" w:color="auto"/>
                    <w:left w:val="none" w:sz="0" w:space="0" w:color="auto"/>
                    <w:bottom w:val="none" w:sz="0" w:space="0" w:color="auto"/>
                    <w:right w:val="none" w:sz="0" w:space="0" w:color="auto"/>
                  </w:divBdr>
                  <w:divsChild>
                    <w:div w:id="89157656">
                      <w:marLeft w:val="0"/>
                      <w:marRight w:val="0"/>
                      <w:marTop w:val="0"/>
                      <w:marBottom w:val="0"/>
                      <w:divBdr>
                        <w:top w:val="none" w:sz="0" w:space="0" w:color="auto"/>
                        <w:left w:val="none" w:sz="0" w:space="0" w:color="auto"/>
                        <w:bottom w:val="none" w:sz="0" w:space="0" w:color="auto"/>
                        <w:right w:val="none" w:sz="0" w:space="0" w:color="auto"/>
                      </w:divBdr>
                      <w:divsChild>
                        <w:div w:id="984895020">
                          <w:marLeft w:val="0"/>
                          <w:marRight w:val="0"/>
                          <w:marTop w:val="0"/>
                          <w:marBottom w:val="0"/>
                          <w:divBdr>
                            <w:top w:val="none" w:sz="0" w:space="0" w:color="auto"/>
                            <w:left w:val="none" w:sz="0" w:space="0" w:color="auto"/>
                            <w:bottom w:val="none" w:sz="0" w:space="0" w:color="auto"/>
                            <w:right w:val="none" w:sz="0" w:space="0" w:color="auto"/>
                          </w:divBdr>
                          <w:divsChild>
                            <w:div w:id="307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67513">
      <w:bodyDiv w:val="1"/>
      <w:marLeft w:val="0"/>
      <w:marRight w:val="0"/>
      <w:marTop w:val="0"/>
      <w:marBottom w:val="0"/>
      <w:divBdr>
        <w:top w:val="none" w:sz="0" w:space="0" w:color="auto"/>
        <w:left w:val="none" w:sz="0" w:space="0" w:color="auto"/>
        <w:bottom w:val="none" w:sz="0" w:space="0" w:color="auto"/>
        <w:right w:val="none" w:sz="0" w:space="0" w:color="auto"/>
      </w:divBdr>
    </w:div>
    <w:div w:id="1991517100">
      <w:bodyDiv w:val="1"/>
      <w:marLeft w:val="0"/>
      <w:marRight w:val="0"/>
      <w:marTop w:val="0"/>
      <w:marBottom w:val="0"/>
      <w:divBdr>
        <w:top w:val="none" w:sz="0" w:space="0" w:color="auto"/>
        <w:left w:val="none" w:sz="0" w:space="0" w:color="auto"/>
        <w:bottom w:val="none" w:sz="0" w:space="0" w:color="auto"/>
        <w:right w:val="none" w:sz="0" w:space="0" w:color="auto"/>
      </w:divBdr>
      <w:divsChild>
        <w:div w:id="83965532">
          <w:marLeft w:val="0"/>
          <w:marRight w:val="0"/>
          <w:marTop w:val="0"/>
          <w:marBottom w:val="0"/>
          <w:divBdr>
            <w:top w:val="none" w:sz="0" w:space="0" w:color="auto"/>
            <w:left w:val="none" w:sz="0" w:space="0" w:color="auto"/>
            <w:bottom w:val="none" w:sz="0" w:space="0" w:color="auto"/>
            <w:right w:val="none" w:sz="0" w:space="0" w:color="auto"/>
          </w:divBdr>
          <w:divsChild>
            <w:div w:id="195970987">
              <w:marLeft w:val="0"/>
              <w:marRight w:val="0"/>
              <w:marTop w:val="0"/>
              <w:marBottom w:val="0"/>
              <w:divBdr>
                <w:top w:val="none" w:sz="0" w:space="0" w:color="auto"/>
                <w:left w:val="none" w:sz="0" w:space="0" w:color="auto"/>
                <w:bottom w:val="none" w:sz="0" w:space="0" w:color="auto"/>
                <w:right w:val="none" w:sz="0" w:space="0" w:color="auto"/>
              </w:divBdr>
              <w:divsChild>
                <w:div w:id="937980442">
                  <w:marLeft w:val="0"/>
                  <w:marRight w:val="0"/>
                  <w:marTop w:val="0"/>
                  <w:marBottom w:val="0"/>
                  <w:divBdr>
                    <w:top w:val="none" w:sz="0" w:space="0" w:color="auto"/>
                    <w:left w:val="none" w:sz="0" w:space="0" w:color="auto"/>
                    <w:bottom w:val="none" w:sz="0" w:space="0" w:color="auto"/>
                    <w:right w:val="none" w:sz="0" w:space="0" w:color="auto"/>
                  </w:divBdr>
                  <w:divsChild>
                    <w:div w:id="237446965">
                      <w:marLeft w:val="0"/>
                      <w:marRight w:val="0"/>
                      <w:marTop w:val="0"/>
                      <w:marBottom w:val="0"/>
                      <w:divBdr>
                        <w:top w:val="none" w:sz="0" w:space="0" w:color="auto"/>
                        <w:left w:val="none" w:sz="0" w:space="0" w:color="auto"/>
                        <w:bottom w:val="none" w:sz="0" w:space="0" w:color="auto"/>
                        <w:right w:val="none" w:sz="0" w:space="0" w:color="auto"/>
                      </w:divBdr>
                      <w:divsChild>
                        <w:div w:id="94592497">
                          <w:marLeft w:val="0"/>
                          <w:marRight w:val="0"/>
                          <w:marTop w:val="0"/>
                          <w:marBottom w:val="0"/>
                          <w:divBdr>
                            <w:top w:val="none" w:sz="0" w:space="0" w:color="auto"/>
                            <w:left w:val="none" w:sz="0" w:space="0" w:color="auto"/>
                            <w:bottom w:val="none" w:sz="0" w:space="0" w:color="auto"/>
                            <w:right w:val="none" w:sz="0" w:space="0" w:color="auto"/>
                          </w:divBdr>
                          <w:divsChild>
                            <w:div w:id="1427727497">
                              <w:marLeft w:val="0"/>
                              <w:marRight w:val="0"/>
                              <w:marTop w:val="0"/>
                              <w:marBottom w:val="0"/>
                              <w:divBdr>
                                <w:top w:val="single" w:sz="6" w:space="8" w:color="CCCCCC"/>
                                <w:left w:val="none" w:sz="0" w:space="0" w:color="auto"/>
                                <w:bottom w:val="none" w:sz="0" w:space="0" w:color="auto"/>
                                <w:right w:val="none" w:sz="0" w:space="0" w:color="auto"/>
                              </w:divBdr>
                              <w:divsChild>
                                <w:div w:id="1531525113">
                                  <w:marLeft w:val="0"/>
                                  <w:marRight w:val="0"/>
                                  <w:marTop w:val="0"/>
                                  <w:marBottom w:val="0"/>
                                  <w:divBdr>
                                    <w:top w:val="none" w:sz="0" w:space="0" w:color="auto"/>
                                    <w:left w:val="none" w:sz="0" w:space="0" w:color="auto"/>
                                    <w:bottom w:val="none" w:sz="0" w:space="0" w:color="auto"/>
                                    <w:right w:val="none" w:sz="0" w:space="0" w:color="auto"/>
                                  </w:divBdr>
                                  <w:divsChild>
                                    <w:div w:id="322584096">
                                      <w:marLeft w:val="0"/>
                                      <w:marRight w:val="0"/>
                                      <w:marTop w:val="0"/>
                                      <w:marBottom w:val="0"/>
                                      <w:divBdr>
                                        <w:top w:val="none" w:sz="0" w:space="0" w:color="auto"/>
                                        <w:left w:val="none" w:sz="0" w:space="0" w:color="auto"/>
                                        <w:bottom w:val="none" w:sz="0" w:space="0" w:color="auto"/>
                                        <w:right w:val="none" w:sz="0" w:space="0" w:color="auto"/>
                                      </w:divBdr>
                                      <w:divsChild>
                                        <w:div w:id="8343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134156">
      <w:bodyDiv w:val="1"/>
      <w:marLeft w:val="0"/>
      <w:marRight w:val="0"/>
      <w:marTop w:val="0"/>
      <w:marBottom w:val="0"/>
      <w:divBdr>
        <w:top w:val="none" w:sz="0" w:space="0" w:color="auto"/>
        <w:left w:val="none" w:sz="0" w:space="0" w:color="auto"/>
        <w:bottom w:val="none" w:sz="0" w:space="0" w:color="auto"/>
        <w:right w:val="none" w:sz="0" w:space="0" w:color="auto"/>
      </w:divBdr>
      <w:divsChild>
        <w:div w:id="126052392">
          <w:marLeft w:val="0"/>
          <w:marRight w:val="0"/>
          <w:marTop w:val="240"/>
          <w:marBottom w:val="480"/>
          <w:divBdr>
            <w:top w:val="none" w:sz="0" w:space="0" w:color="auto"/>
            <w:left w:val="none" w:sz="0" w:space="0" w:color="auto"/>
            <w:bottom w:val="none" w:sz="0" w:space="0" w:color="auto"/>
            <w:right w:val="none" w:sz="0" w:space="0" w:color="auto"/>
          </w:divBdr>
          <w:divsChild>
            <w:div w:id="1016035537">
              <w:marLeft w:val="0"/>
              <w:marRight w:val="0"/>
              <w:marTop w:val="0"/>
              <w:marBottom w:val="0"/>
              <w:divBdr>
                <w:top w:val="none" w:sz="0" w:space="0" w:color="auto"/>
                <w:left w:val="none" w:sz="0" w:space="0" w:color="auto"/>
                <w:bottom w:val="none" w:sz="0" w:space="0" w:color="auto"/>
                <w:right w:val="none" w:sz="0" w:space="0" w:color="auto"/>
              </w:divBdr>
              <w:divsChild>
                <w:div w:id="1519613066">
                  <w:marLeft w:val="0"/>
                  <w:marRight w:val="0"/>
                  <w:marTop w:val="0"/>
                  <w:marBottom w:val="0"/>
                  <w:divBdr>
                    <w:top w:val="none" w:sz="0" w:space="0" w:color="auto"/>
                    <w:left w:val="none" w:sz="0" w:space="0" w:color="auto"/>
                    <w:bottom w:val="none" w:sz="0" w:space="0" w:color="auto"/>
                    <w:right w:val="none" w:sz="0" w:space="0" w:color="auto"/>
                  </w:divBdr>
                  <w:divsChild>
                    <w:div w:id="2101751837">
                      <w:marLeft w:val="0"/>
                      <w:marRight w:val="0"/>
                      <w:marTop w:val="0"/>
                      <w:marBottom w:val="0"/>
                      <w:divBdr>
                        <w:top w:val="none" w:sz="0" w:space="0" w:color="auto"/>
                        <w:left w:val="none" w:sz="0" w:space="0" w:color="auto"/>
                        <w:bottom w:val="none" w:sz="0" w:space="0" w:color="auto"/>
                        <w:right w:val="none" w:sz="0" w:space="0" w:color="auto"/>
                      </w:divBdr>
                      <w:divsChild>
                        <w:div w:id="839782494">
                          <w:marLeft w:val="0"/>
                          <w:marRight w:val="0"/>
                          <w:marTop w:val="0"/>
                          <w:marBottom w:val="0"/>
                          <w:divBdr>
                            <w:top w:val="none" w:sz="0" w:space="0" w:color="auto"/>
                            <w:left w:val="none" w:sz="0" w:space="0" w:color="auto"/>
                            <w:bottom w:val="none" w:sz="0" w:space="0" w:color="auto"/>
                            <w:right w:val="none" w:sz="0" w:space="0" w:color="auto"/>
                          </w:divBdr>
                          <w:divsChild>
                            <w:div w:id="10843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762D-0D10-4E60-8439-4E3C61C4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2857</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2016-06-21T06:39:00Z</dcterms:created>
  <dcterms:modified xsi:type="dcterms:W3CDTF">2016-06-22T02:14:00Z</dcterms:modified>
</cp:coreProperties>
</file>