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E23146" w:rsidRDefault="00CD0EEC" w:rsidP="005E6CC3">
      <w:pPr>
        <w:pStyle w:val="Title"/>
      </w:pPr>
      <w:bookmarkStart w:id="0" w:name="_GoBack"/>
      <w:bookmarkEnd w:id="0"/>
      <w:r w:rsidRPr="00E23146">
        <w:t>6.14</w:t>
      </w:r>
      <w:r w:rsidR="007C0F57" w:rsidRPr="00E23146">
        <w:tab/>
      </w:r>
      <w:r w:rsidRPr="00E23146">
        <w:t>POMALIDOMIDE</w:t>
      </w:r>
      <w:r w:rsidR="005E6CC3">
        <w:br/>
      </w:r>
      <w:r w:rsidRPr="00E23146">
        <w:t>capsule</w:t>
      </w:r>
      <w:r w:rsidR="0004240E" w:rsidRPr="00E23146">
        <w:t xml:space="preserve">, </w:t>
      </w:r>
      <w:r w:rsidRPr="00E23146">
        <w:t>3 mg</w:t>
      </w:r>
      <w:r w:rsidR="0004240E" w:rsidRPr="00E23146">
        <w:t>,</w:t>
      </w:r>
      <w:r w:rsidRPr="00E23146">
        <w:t xml:space="preserve"> 4 mg</w:t>
      </w:r>
      <w:r w:rsidR="005E6CC3">
        <w:br/>
      </w:r>
      <w:r w:rsidRPr="00E23146">
        <w:t>Pomalyst</w:t>
      </w:r>
      <w:r w:rsidR="0004240E" w:rsidRPr="00E23146">
        <w:t>®</w:t>
      </w:r>
      <w:r w:rsidR="00EF44A0" w:rsidRPr="00E23146">
        <w:t xml:space="preserve">, </w:t>
      </w:r>
      <w:r w:rsidRPr="00E23146">
        <w:t>Celgene Pty Ltd</w:t>
      </w:r>
    </w:p>
    <w:p w:rsidR="00C27B58" w:rsidRDefault="00C27B58" w:rsidP="00C27B58">
      <w:pPr>
        <w:pStyle w:val="NoSpacing"/>
      </w:pPr>
    </w:p>
    <w:p w:rsidR="00CE10C4" w:rsidRPr="00E23146" w:rsidRDefault="00CE10C4" w:rsidP="00E23146">
      <w:pPr>
        <w:pStyle w:val="Heading1"/>
      </w:pPr>
      <w:r w:rsidRPr="00E23146">
        <w:t xml:space="preserve">Purpose of </w:t>
      </w:r>
      <w:r w:rsidR="0004240E" w:rsidRPr="00E23146">
        <w:t>Application</w:t>
      </w:r>
    </w:p>
    <w:p w:rsidR="006A12A5" w:rsidRPr="00882085" w:rsidRDefault="006A12A5" w:rsidP="00882085">
      <w:pPr>
        <w:jc w:val="both"/>
        <w:rPr>
          <w:rFonts w:ascii="Arial" w:hAnsi="Arial"/>
          <w:sz w:val="22"/>
          <w:szCs w:val="22"/>
        </w:rPr>
      </w:pPr>
    </w:p>
    <w:p w:rsidR="006A12A5" w:rsidRPr="00260662" w:rsidRDefault="00EF44A0" w:rsidP="00514716">
      <w:pPr>
        <w:pStyle w:val="ListParagraph"/>
        <w:numPr>
          <w:ilvl w:val="1"/>
          <w:numId w:val="1"/>
        </w:numPr>
        <w:jc w:val="both"/>
        <w:rPr>
          <w:rFonts w:ascii="Arial" w:hAnsi="Arial"/>
          <w:b/>
          <w:sz w:val="22"/>
          <w:szCs w:val="22"/>
        </w:rPr>
      </w:pPr>
      <w:r>
        <w:rPr>
          <w:rFonts w:ascii="Arial" w:hAnsi="Arial"/>
          <w:sz w:val="22"/>
          <w:szCs w:val="22"/>
        </w:rPr>
        <w:t>The mi</w:t>
      </w:r>
      <w:r w:rsidR="00FF2801">
        <w:rPr>
          <w:rFonts w:ascii="Arial" w:hAnsi="Arial"/>
          <w:sz w:val="22"/>
          <w:szCs w:val="22"/>
        </w:rPr>
        <w:t>nor submission sought to</w:t>
      </w:r>
      <w:r w:rsidR="00CD0EEC">
        <w:rPr>
          <w:rFonts w:ascii="Arial" w:hAnsi="Arial"/>
          <w:sz w:val="22"/>
          <w:szCs w:val="22"/>
        </w:rPr>
        <w:t xml:space="preserve"> </w:t>
      </w:r>
      <w:r>
        <w:rPr>
          <w:rFonts w:ascii="Arial" w:hAnsi="Arial"/>
          <w:sz w:val="22"/>
          <w:szCs w:val="22"/>
        </w:rPr>
        <w:t>amend</w:t>
      </w:r>
      <w:r w:rsidR="00EA35D1">
        <w:rPr>
          <w:rFonts w:ascii="Arial" w:hAnsi="Arial"/>
          <w:sz w:val="22"/>
          <w:szCs w:val="22"/>
        </w:rPr>
        <w:t xml:space="preserve"> wording in</w:t>
      </w:r>
      <w:r w:rsidR="00CD0EEC">
        <w:rPr>
          <w:rFonts w:ascii="Arial" w:hAnsi="Arial"/>
          <w:sz w:val="22"/>
          <w:szCs w:val="22"/>
        </w:rPr>
        <w:t xml:space="preserve"> the current listing for pomalid</w:t>
      </w:r>
      <w:r w:rsidR="00B15BD7">
        <w:rPr>
          <w:rFonts w:ascii="Arial" w:hAnsi="Arial"/>
          <w:sz w:val="22"/>
          <w:szCs w:val="22"/>
        </w:rPr>
        <w:t>o</w:t>
      </w:r>
      <w:r w:rsidR="00CD0EEC">
        <w:rPr>
          <w:rFonts w:ascii="Arial" w:hAnsi="Arial"/>
          <w:sz w:val="22"/>
          <w:szCs w:val="22"/>
        </w:rPr>
        <w:t>mide</w:t>
      </w:r>
      <w:r w:rsidR="00A24D01">
        <w:rPr>
          <w:rFonts w:ascii="Arial" w:hAnsi="Arial"/>
          <w:sz w:val="22"/>
          <w:szCs w:val="22"/>
        </w:rPr>
        <w:t xml:space="preserve"> and lenalidomide</w:t>
      </w:r>
      <w:r w:rsidR="00260662">
        <w:rPr>
          <w:rFonts w:ascii="Arial" w:hAnsi="Arial"/>
          <w:sz w:val="22"/>
          <w:szCs w:val="22"/>
        </w:rPr>
        <w:t xml:space="preserve"> (see ‘other matters’ below)</w:t>
      </w:r>
      <w:r w:rsidR="00CD0EEC">
        <w:rPr>
          <w:rFonts w:ascii="Arial" w:hAnsi="Arial"/>
          <w:sz w:val="22"/>
          <w:szCs w:val="22"/>
        </w:rPr>
        <w:t>.</w:t>
      </w:r>
    </w:p>
    <w:p w:rsidR="00EF44A0" w:rsidRDefault="00EF44A0" w:rsidP="00C27B58">
      <w:pPr>
        <w:pStyle w:val="NoSpacing"/>
      </w:pPr>
    </w:p>
    <w:p w:rsidR="009C781F" w:rsidRPr="00C27B58" w:rsidRDefault="009C781F" w:rsidP="00C27B58">
      <w:pPr>
        <w:pStyle w:val="NoSpacing"/>
      </w:pPr>
    </w:p>
    <w:p w:rsidR="00614159" w:rsidRPr="00882085" w:rsidRDefault="006A12A5" w:rsidP="00E23146">
      <w:pPr>
        <w:pStyle w:val="Heading1"/>
      </w:pPr>
      <w:r w:rsidRPr="00882085">
        <w:t>Requested listing</w:t>
      </w:r>
    </w:p>
    <w:p w:rsidR="006A12A5" w:rsidRPr="00882085" w:rsidRDefault="006A12A5" w:rsidP="00882085">
      <w:pPr>
        <w:jc w:val="both"/>
        <w:rPr>
          <w:rFonts w:ascii="Arial" w:hAnsi="Arial"/>
          <w:b/>
          <w:sz w:val="22"/>
          <w:szCs w:val="22"/>
        </w:rPr>
      </w:pPr>
    </w:p>
    <w:p w:rsidR="00826F6D" w:rsidRDefault="00EF44A0" w:rsidP="00514716">
      <w:pPr>
        <w:pStyle w:val="ListParagraph"/>
        <w:numPr>
          <w:ilvl w:val="1"/>
          <w:numId w:val="1"/>
        </w:numPr>
        <w:jc w:val="both"/>
        <w:rPr>
          <w:rFonts w:ascii="Arial" w:hAnsi="Arial"/>
          <w:sz w:val="22"/>
          <w:szCs w:val="22"/>
        </w:rPr>
      </w:pPr>
      <w:r>
        <w:rPr>
          <w:rFonts w:ascii="Arial" w:hAnsi="Arial"/>
          <w:sz w:val="22"/>
          <w:szCs w:val="22"/>
        </w:rPr>
        <w:t>The submission</w:t>
      </w:r>
      <w:r w:rsidR="00640AB7">
        <w:rPr>
          <w:rFonts w:ascii="Arial" w:hAnsi="Arial"/>
          <w:sz w:val="22"/>
          <w:szCs w:val="22"/>
        </w:rPr>
        <w:t xml:space="preserve"> </w:t>
      </w:r>
      <w:r w:rsidR="00FF2801">
        <w:rPr>
          <w:rFonts w:ascii="Arial" w:hAnsi="Arial"/>
          <w:sz w:val="22"/>
          <w:szCs w:val="22"/>
        </w:rPr>
        <w:t>requested</w:t>
      </w:r>
      <w:r>
        <w:rPr>
          <w:rFonts w:ascii="Arial" w:hAnsi="Arial"/>
          <w:sz w:val="22"/>
          <w:szCs w:val="22"/>
        </w:rPr>
        <w:t xml:space="preserve"> the following changes to the existing listing</w:t>
      </w:r>
      <w:r w:rsidR="00B15BD7">
        <w:rPr>
          <w:rFonts w:ascii="Arial" w:hAnsi="Arial"/>
          <w:sz w:val="22"/>
          <w:szCs w:val="22"/>
        </w:rPr>
        <w:t xml:space="preserve"> for pomalido</w:t>
      </w:r>
      <w:r w:rsidR="0099308C">
        <w:rPr>
          <w:rFonts w:ascii="Arial" w:hAnsi="Arial"/>
          <w:sz w:val="22"/>
          <w:szCs w:val="22"/>
        </w:rPr>
        <w:t>mide</w:t>
      </w:r>
      <w:r w:rsidR="00826F6D">
        <w:rPr>
          <w:rFonts w:ascii="Arial" w:hAnsi="Arial"/>
          <w:sz w:val="22"/>
          <w:szCs w:val="22"/>
        </w:rPr>
        <w:t>:</w:t>
      </w:r>
    </w:p>
    <w:p w:rsidR="00874A53" w:rsidRDefault="00874A53" w:rsidP="00874A53">
      <w:pPr>
        <w:jc w:val="both"/>
        <w:rPr>
          <w:rStyle w:val="Font"/>
        </w:rPr>
      </w:pP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5"/>
      </w:tblGrid>
      <w:tr w:rsidR="00874A53" w:rsidRPr="00874A53" w:rsidTr="009C781F">
        <w:trPr>
          <w:trHeight w:val="2571"/>
        </w:trPr>
        <w:tc>
          <w:tcPr>
            <w:tcW w:w="5000" w:type="pct"/>
            <w:tcBorders>
              <w:top w:val="single" w:sz="4" w:space="0" w:color="auto"/>
              <w:left w:val="single" w:sz="4" w:space="0" w:color="auto"/>
              <w:right w:val="single" w:sz="4" w:space="0" w:color="auto"/>
            </w:tcBorders>
          </w:tcPr>
          <w:p w:rsidR="00874A53" w:rsidRPr="00874A53" w:rsidRDefault="00874A53" w:rsidP="006F5630">
            <w:pPr>
              <w:jc w:val="both"/>
              <w:rPr>
                <w:rStyle w:val="Font"/>
                <w:rFonts w:ascii="Arial Narrow" w:hAnsi="Arial Narrow"/>
                <w:sz w:val="20"/>
                <w:szCs w:val="20"/>
              </w:rPr>
            </w:pPr>
            <w:r w:rsidRPr="00874A53">
              <w:rPr>
                <w:rStyle w:val="Font"/>
                <w:rFonts w:ascii="Arial Narrow" w:hAnsi="Arial Narrow"/>
                <w:sz w:val="20"/>
                <w:szCs w:val="20"/>
              </w:rPr>
              <w:t>The patient:</w:t>
            </w:r>
          </w:p>
          <w:p w:rsidR="00874A53" w:rsidRPr="00874A53" w:rsidRDefault="00874A53" w:rsidP="00514716">
            <w:pPr>
              <w:pStyle w:val="ListParagraph"/>
              <w:numPr>
                <w:ilvl w:val="0"/>
                <w:numId w:val="4"/>
              </w:numPr>
              <w:ind w:left="789"/>
              <w:rPr>
                <w:rStyle w:val="Font"/>
                <w:rFonts w:ascii="Arial Narrow" w:eastAsiaTheme="majorEastAsia" w:hAnsi="Arial Narrow" w:cstheme="majorBidi"/>
                <w:sz w:val="20"/>
                <w:szCs w:val="20"/>
              </w:rPr>
            </w:pPr>
            <w:r w:rsidRPr="00874A53">
              <w:rPr>
                <w:rStyle w:val="Font"/>
                <w:rFonts w:ascii="Arial Narrow" w:eastAsiaTheme="majorEastAsia" w:hAnsi="Arial Narrow" w:cstheme="majorBidi"/>
                <w:sz w:val="20"/>
                <w:szCs w:val="20"/>
              </w:rPr>
              <w:t xml:space="preserve">has experienced treatment failure with lenalidomide, as confirmed by progressive disease </w:t>
            </w:r>
            <w:r w:rsidRPr="00874A53">
              <w:rPr>
                <w:rStyle w:val="Font"/>
                <w:rFonts w:ascii="Arial Narrow" w:eastAsiaTheme="majorEastAsia" w:hAnsi="Arial Narrow" w:cstheme="majorBidi"/>
                <w:strike/>
                <w:sz w:val="20"/>
                <w:szCs w:val="20"/>
              </w:rPr>
              <w:t>during treatment or within 6 months of discontinuing treatment with lenalidomide</w:t>
            </w:r>
          </w:p>
          <w:p w:rsidR="00874A53" w:rsidRPr="00874A53" w:rsidRDefault="00874A53" w:rsidP="006F5630">
            <w:pPr>
              <w:rPr>
                <w:rStyle w:val="Font"/>
                <w:rFonts w:ascii="Arial Narrow" w:hAnsi="Arial Narrow"/>
                <w:sz w:val="20"/>
                <w:szCs w:val="20"/>
              </w:rPr>
            </w:pPr>
            <w:r w:rsidRPr="00874A53">
              <w:rPr>
                <w:rStyle w:val="Font"/>
                <w:rFonts w:ascii="Arial Narrow" w:hAnsi="Arial Narrow"/>
                <w:sz w:val="20"/>
                <w:szCs w:val="20"/>
              </w:rPr>
              <w:t>and</w:t>
            </w:r>
          </w:p>
          <w:p w:rsidR="00874A53" w:rsidRPr="00874A53" w:rsidRDefault="00874A53" w:rsidP="00514716">
            <w:pPr>
              <w:pStyle w:val="ListParagraph"/>
              <w:numPr>
                <w:ilvl w:val="0"/>
                <w:numId w:val="4"/>
              </w:numPr>
              <w:ind w:left="789"/>
              <w:rPr>
                <w:rStyle w:val="Font"/>
                <w:rFonts w:ascii="Arial Narrow" w:eastAsiaTheme="majorEastAsia" w:hAnsi="Arial Narrow" w:cstheme="majorBidi"/>
                <w:sz w:val="20"/>
                <w:szCs w:val="20"/>
              </w:rPr>
            </w:pPr>
            <w:r w:rsidRPr="00874A53">
              <w:rPr>
                <w:rStyle w:val="Font"/>
                <w:rFonts w:ascii="Arial Narrow" w:eastAsiaTheme="majorEastAsia" w:hAnsi="Arial Narrow" w:cstheme="majorBidi"/>
                <w:sz w:val="20"/>
                <w:szCs w:val="20"/>
              </w:rPr>
              <w:t xml:space="preserve">has experienced treatment failure with bortezomib, as confirmed by failing to achieve at least a partial response to treatment, or as progressive disease </w:t>
            </w:r>
            <w:r w:rsidRPr="00874A53">
              <w:rPr>
                <w:rStyle w:val="Font"/>
                <w:rFonts w:ascii="Arial Narrow" w:eastAsiaTheme="majorEastAsia" w:hAnsi="Arial Narrow" w:cstheme="majorBidi"/>
                <w:strike/>
                <w:sz w:val="20"/>
                <w:szCs w:val="20"/>
              </w:rPr>
              <w:t>during treatment or within 6 months of discontinuing treatment with bortezomib</w:t>
            </w:r>
          </w:p>
          <w:p w:rsidR="00874A53" w:rsidRPr="00874A53" w:rsidRDefault="00874A53" w:rsidP="006F5630">
            <w:pPr>
              <w:rPr>
                <w:rStyle w:val="Font"/>
                <w:rFonts w:ascii="Arial Narrow" w:hAnsi="Arial Narrow"/>
                <w:sz w:val="20"/>
                <w:szCs w:val="20"/>
              </w:rPr>
            </w:pPr>
            <w:r w:rsidRPr="00874A53">
              <w:rPr>
                <w:rStyle w:val="Font"/>
                <w:rFonts w:ascii="Arial Narrow" w:hAnsi="Arial Narrow"/>
                <w:sz w:val="20"/>
                <w:szCs w:val="20"/>
              </w:rPr>
              <w:t>or</w:t>
            </w:r>
          </w:p>
          <w:p w:rsidR="00874A53" w:rsidRPr="00874A53" w:rsidRDefault="00874A53" w:rsidP="00514716">
            <w:pPr>
              <w:pStyle w:val="ListParagraph"/>
              <w:numPr>
                <w:ilvl w:val="0"/>
                <w:numId w:val="4"/>
              </w:numPr>
              <w:jc w:val="both"/>
              <w:rPr>
                <w:rStyle w:val="Font"/>
                <w:rFonts w:ascii="Arial Narrow" w:eastAsiaTheme="majorEastAsia" w:hAnsi="Arial Narrow" w:cstheme="majorBidi"/>
                <w:sz w:val="20"/>
                <w:szCs w:val="20"/>
              </w:rPr>
            </w:pPr>
            <w:r w:rsidRPr="00874A53">
              <w:rPr>
                <w:rStyle w:val="Font"/>
                <w:rFonts w:ascii="Arial Narrow" w:eastAsiaTheme="majorEastAsia" w:hAnsi="Arial Narrow" w:cstheme="majorBidi"/>
                <w:sz w:val="20"/>
                <w:szCs w:val="20"/>
              </w:rPr>
              <w:t>has experienced severe intolerance or toxicity to bortezomib, unresponsive to clinically appropriate dose adjustment</w:t>
            </w:r>
          </w:p>
        </w:tc>
      </w:tr>
    </w:tbl>
    <w:p w:rsidR="00514716" w:rsidRDefault="00514716" w:rsidP="00514716">
      <w:pPr>
        <w:rPr>
          <w:rFonts w:ascii="Arial" w:hAnsi="Arial"/>
          <w:sz w:val="22"/>
          <w:szCs w:val="22"/>
        </w:rPr>
      </w:pPr>
    </w:p>
    <w:p w:rsidR="00514716" w:rsidRPr="002D1FDC" w:rsidRDefault="00514716" w:rsidP="00514716">
      <w:pPr>
        <w:widowControl w:val="0"/>
        <w:ind w:left="709"/>
        <w:contextualSpacing/>
        <w:jc w:val="both"/>
        <w:rPr>
          <w:rFonts w:ascii="Arial" w:hAnsi="Arial" w:cs="Arial"/>
          <w:i/>
          <w:snapToGrid w:val="0"/>
          <w:sz w:val="22"/>
          <w:szCs w:val="22"/>
          <w:lang w:eastAsia="en-US"/>
        </w:rPr>
      </w:pPr>
      <w:r w:rsidRPr="000D0E3B">
        <w:rPr>
          <w:rFonts w:ascii="Arial" w:hAnsi="Arial" w:cs="Arial"/>
          <w:i/>
          <w:snapToGrid w:val="0"/>
          <w:sz w:val="22"/>
          <w:szCs w:val="22"/>
          <w:lang w:eastAsia="en-US"/>
        </w:rPr>
        <w:t>For more detail on PBAC’s view, see section 6 “PBAC outcome”</w:t>
      </w:r>
    </w:p>
    <w:p w:rsidR="001600C4" w:rsidRDefault="001600C4" w:rsidP="001600C4">
      <w:pPr>
        <w:jc w:val="both"/>
        <w:rPr>
          <w:rFonts w:ascii="Arial" w:hAnsi="Arial"/>
          <w:sz w:val="22"/>
          <w:szCs w:val="22"/>
        </w:rPr>
      </w:pPr>
    </w:p>
    <w:p w:rsidR="00314018" w:rsidRPr="001600C4" w:rsidRDefault="00314018" w:rsidP="001600C4">
      <w:pPr>
        <w:jc w:val="both"/>
        <w:rPr>
          <w:rFonts w:ascii="Arial" w:hAnsi="Arial"/>
          <w:sz w:val="22"/>
          <w:szCs w:val="22"/>
        </w:rPr>
      </w:pPr>
    </w:p>
    <w:p w:rsidR="00CE10C4" w:rsidRPr="00882085" w:rsidRDefault="00CE10C4" w:rsidP="00E23146">
      <w:pPr>
        <w:pStyle w:val="Heading1"/>
      </w:pPr>
      <w:r w:rsidRPr="00882085">
        <w:t>Background</w:t>
      </w:r>
    </w:p>
    <w:p w:rsidR="006A12A5" w:rsidRPr="00882085" w:rsidRDefault="006A12A5" w:rsidP="00882085">
      <w:pPr>
        <w:jc w:val="both"/>
        <w:rPr>
          <w:rFonts w:ascii="Arial" w:hAnsi="Arial"/>
          <w:sz w:val="22"/>
          <w:szCs w:val="22"/>
        </w:rPr>
      </w:pPr>
    </w:p>
    <w:p w:rsidR="002B1AE6" w:rsidRPr="000D0E3B" w:rsidRDefault="00DC34F6" w:rsidP="00514716">
      <w:pPr>
        <w:pStyle w:val="ListParagraph"/>
        <w:numPr>
          <w:ilvl w:val="1"/>
          <w:numId w:val="1"/>
        </w:numPr>
        <w:jc w:val="both"/>
        <w:rPr>
          <w:rFonts w:ascii="Arial" w:hAnsi="Arial"/>
          <w:i/>
          <w:sz w:val="22"/>
          <w:szCs w:val="22"/>
        </w:rPr>
      </w:pPr>
      <w:r w:rsidRPr="000D0E3B">
        <w:rPr>
          <w:rFonts w:ascii="Arial" w:hAnsi="Arial"/>
          <w:sz w:val="22"/>
          <w:szCs w:val="22"/>
        </w:rPr>
        <w:t>Pomalidomide was TGA registered on 1 July 2014:  “Pomalidomide, in combination with dexamethasone, is indicated for the treatment of patients with relapsed and refractory multiple myeloma who have received at least two prior treatment regimens, including both lenalidomide and bortezomib, and have demonstrated disease progression on the last therapy”.</w:t>
      </w:r>
    </w:p>
    <w:p w:rsidR="006B0D94" w:rsidRPr="000D0E3B" w:rsidRDefault="006B0D94" w:rsidP="00882085">
      <w:pPr>
        <w:pStyle w:val="ListParagraph"/>
        <w:jc w:val="both"/>
        <w:rPr>
          <w:rFonts w:ascii="Arial" w:hAnsi="Arial"/>
          <w:sz w:val="22"/>
          <w:szCs w:val="22"/>
        </w:rPr>
      </w:pPr>
    </w:p>
    <w:p w:rsidR="00B13DD0" w:rsidRPr="000D0E3B" w:rsidRDefault="00E93BBC" w:rsidP="00514716">
      <w:pPr>
        <w:pStyle w:val="ListParagraph"/>
        <w:numPr>
          <w:ilvl w:val="1"/>
          <w:numId w:val="1"/>
        </w:numPr>
        <w:jc w:val="both"/>
        <w:rPr>
          <w:rFonts w:ascii="Arial" w:hAnsi="Arial"/>
          <w:sz w:val="22"/>
          <w:szCs w:val="22"/>
        </w:rPr>
      </w:pPr>
      <w:r w:rsidRPr="000D0E3B">
        <w:rPr>
          <w:rFonts w:ascii="Arial" w:hAnsi="Arial"/>
          <w:sz w:val="22"/>
          <w:szCs w:val="22"/>
        </w:rPr>
        <w:t xml:space="preserve">A major submission for pomalidomide for multiple myeloma was rejected at the July 2014 PBAC meeting. The PBAC considered that cost-effectiveness had not been demonstrated. </w:t>
      </w:r>
      <w:r w:rsidR="00B13DD0" w:rsidRPr="000D0E3B">
        <w:rPr>
          <w:rFonts w:ascii="Arial" w:hAnsi="Arial"/>
          <w:sz w:val="22"/>
          <w:szCs w:val="22"/>
        </w:rPr>
        <w:t>Following consideration of a minor submission</w:t>
      </w:r>
      <w:r w:rsidR="00A30303" w:rsidRPr="000D0E3B">
        <w:rPr>
          <w:rFonts w:ascii="Arial" w:hAnsi="Arial"/>
          <w:sz w:val="22"/>
          <w:szCs w:val="22"/>
        </w:rPr>
        <w:t>, p</w:t>
      </w:r>
      <w:r w:rsidR="00B13DD0" w:rsidRPr="000D0E3B">
        <w:rPr>
          <w:rFonts w:ascii="Arial" w:hAnsi="Arial"/>
          <w:sz w:val="22"/>
          <w:szCs w:val="22"/>
        </w:rPr>
        <w:t xml:space="preserve">omalidomide </w:t>
      </w:r>
      <w:r w:rsidRPr="000D0E3B">
        <w:rPr>
          <w:rFonts w:ascii="Arial" w:hAnsi="Arial"/>
          <w:sz w:val="22"/>
          <w:szCs w:val="22"/>
        </w:rPr>
        <w:t xml:space="preserve">was recommended for listing by </w:t>
      </w:r>
      <w:r w:rsidR="00614159" w:rsidRPr="000D0E3B">
        <w:rPr>
          <w:rFonts w:ascii="Arial" w:hAnsi="Arial"/>
          <w:sz w:val="22"/>
          <w:szCs w:val="22"/>
        </w:rPr>
        <w:t xml:space="preserve">PBAC </w:t>
      </w:r>
      <w:r w:rsidR="000B15EB" w:rsidRPr="000D0E3B">
        <w:rPr>
          <w:rFonts w:ascii="Arial" w:hAnsi="Arial"/>
          <w:sz w:val="22"/>
          <w:szCs w:val="22"/>
        </w:rPr>
        <w:t xml:space="preserve">in </w:t>
      </w:r>
      <w:r w:rsidR="00B13DD0" w:rsidRPr="000D0E3B">
        <w:rPr>
          <w:rFonts w:ascii="Arial" w:hAnsi="Arial"/>
          <w:sz w:val="22"/>
          <w:szCs w:val="22"/>
        </w:rPr>
        <w:t xml:space="preserve">November </w:t>
      </w:r>
      <w:r w:rsidR="000B15EB" w:rsidRPr="000D0E3B">
        <w:rPr>
          <w:rFonts w:ascii="Arial" w:hAnsi="Arial"/>
          <w:sz w:val="22"/>
          <w:szCs w:val="22"/>
        </w:rPr>
        <w:t>2014.</w:t>
      </w:r>
    </w:p>
    <w:p w:rsidR="00874A53" w:rsidRPr="000D0E3B" w:rsidRDefault="00874A53" w:rsidP="00874A53">
      <w:pPr>
        <w:jc w:val="both"/>
        <w:rPr>
          <w:rFonts w:ascii="Arial" w:hAnsi="Arial"/>
          <w:sz w:val="22"/>
          <w:szCs w:val="22"/>
        </w:rPr>
      </w:pPr>
    </w:p>
    <w:p w:rsidR="00B13DD0" w:rsidRPr="000D0E3B" w:rsidRDefault="00C7106A" w:rsidP="00514716">
      <w:pPr>
        <w:pStyle w:val="ListParagraph"/>
        <w:numPr>
          <w:ilvl w:val="1"/>
          <w:numId w:val="1"/>
        </w:numPr>
        <w:jc w:val="both"/>
        <w:rPr>
          <w:rFonts w:ascii="Arial" w:hAnsi="Arial"/>
          <w:sz w:val="22"/>
          <w:szCs w:val="22"/>
        </w:rPr>
      </w:pPr>
      <w:r w:rsidRPr="000D0E3B">
        <w:rPr>
          <w:rFonts w:ascii="Arial" w:hAnsi="Arial"/>
          <w:sz w:val="22"/>
          <w:szCs w:val="22"/>
        </w:rPr>
        <w:t>In July 2014</w:t>
      </w:r>
      <w:r w:rsidR="00874A53" w:rsidRPr="000D0E3B">
        <w:rPr>
          <w:rFonts w:ascii="Arial" w:hAnsi="Arial"/>
          <w:sz w:val="22"/>
          <w:szCs w:val="22"/>
        </w:rPr>
        <w:t>, the</w:t>
      </w:r>
      <w:r w:rsidRPr="000D0E3B">
        <w:rPr>
          <w:rFonts w:ascii="Arial" w:hAnsi="Arial"/>
          <w:sz w:val="22"/>
          <w:szCs w:val="22"/>
        </w:rPr>
        <w:t xml:space="preserve"> PBAC stated the following in regards to the propo</w:t>
      </w:r>
      <w:r w:rsidR="00874A53" w:rsidRPr="000D0E3B">
        <w:rPr>
          <w:rFonts w:ascii="Arial" w:hAnsi="Arial"/>
          <w:sz w:val="22"/>
          <w:szCs w:val="22"/>
        </w:rPr>
        <w:t>sed restriction:</w:t>
      </w:r>
      <w:r w:rsidRPr="000D0E3B">
        <w:rPr>
          <w:rFonts w:ascii="Arial" w:hAnsi="Arial"/>
          <w:sz w:val="22"/>
          <w:szCs w:val="22"/>
        </w:rPr>
        <w:t xml:space="preserve"> that a definition of failure of treatment, in line with that of the entry criteria of the MM-003 trial, is included in the restriction. i.e. “Treatment failure is defined as confirmed progressive disease during treatment or within 6 months of discontinuing treatment”.</w:t>
      </w:r>
    </w:p>
    <w:p w:rsidR="00514716" w:rsidRPr="000D0E3B" w:rsidRDefault="00514716" w:rsidP="00514716">
      <w:pPr>
        <w:rPr>
          <w:rFonts w:ascii="Arial" w:hAnsi="Arial"/>
          <w:sz w:val="22"/>
          <w:szCs w:val="22"/>
        </w:rPr>
      </w:pPr>
    </w:p>
    <w:p w:rsidR="00514716" w:rsidRPr="002D1FDC" w:rsidRDefault="00514716" w:rsidP="00514716">
      <w:pPr>
        <w:widowControl w:val="0"/>
        <w:ind w:left="709"/>
        <w:contextualSpacing/>
        <w:jc w:val="both"/>
        <w:rPr>
          <w:rFonts w:ascii="Arial" w:hAnsi="Arial" w:cs="Arial"/>
          <w:i/>
          <w:snapToGrid w:val="0"/>
          <w:sz w:val="22"/>
          <w:szCs w:val="22"/>
          <w:lang w:eastAsia="en-US"/>
        </w:rPr>
      </w:pPr>
      <w:r w:rsidRPr="000D0E3B">
        <w:rPr>
          <w:rFonts w:ascii="Arial" w:hAnsi="Arial" w:cs="Arial"/>
          <w:i/>
          <w:snapToGrid w:val="0"/>
          <w:sz w:val="22"/>
          <w:szCs w:val="22"/>
          <w:lang w:eastAsia="en-US"/>
        </w:rPr>
        <w:t>For more detail on PBAC’s view, see section 6 “PBAC outcome”</w:t>
      </w:r>
    </w:p>
    <w:p w:rsidR="00314018" w:rsidRDefault="00314018" w:rsidP="00882085">
      <w:pPr>
        <w:pStyle w:val="Header"/>
        <w:tabs>
          <w:tab w:val="clear" w:pos="4153"/>
          <w:tab w:val="clear" w:pos="8306"/>
        </w:tabs>
        <w:jc w:val="both"/>
        <w:rPr>
          <w:rFonts w:ascii="Arial" w:hAnsi="Arial"/>
          <w:sz w:val="22"/>
          <w:szCs w:val="22"/>
        </w:rPr>
      </w:pPr>
      <w:r>
        <w:rPr>
          <w:rFonts w:ascii="Arial" w:hAnsi="Arial"/>
          <w:sz w:val="22"/>
          <w:szCs w:val="22"/>
        </w:rPr>
        <w:br w:type="page"/>
      </w:r>
    </w:p>
    <w:p w:rsidR="000B558D" w:rsidRDefault="008D7A41" w:rsidP="00E23146">
      <w:pPr>
        <w:pStyle w:val="Heading1"/>
      </w:pPr>
      <w:r>
        <w:lastRenderedPageBreak/>
        <w:t>C</w:t>
      </w:r>
      <w:r w:rsidR="00D84934">
        <w:t>onsideration of the evidence</w:t>
      </w:r>
    </w:p>
    <w:p w:rsidR="000D0E3B" w:rsidRDefault="000D0E3B" w:rsidP="000D0E3B">
      <w:pPr>
        <w:pStyle w:val="Header"/>
        <w:ind w:left="720"/>
        <w:jc w:val="both"/>
        <w:rPr>
          <w:rFonts w:ascii="Arial" w:hAnsi="Arial"/>
          <w:b/>
          <w:sz w:val="22"/>
          <w:szCs w:val="22"/>
        </w:rPr>
      </w:pPr>
    </w:p>
    <w:p w:rsidR="000D0E3B" w:rsidRPr="00E23146" w:rsidRDefault="000D0E3B" w:rsidP="00E23146">
      <w:pPr>
        <w:pStyle w:val="Heading2"/>
      </w:pPr>
      <w:r w:rsidRPr="00E23146">
        <w:t>Sponsor hearing</w:t>
      </w:r>
    </w:p>
    <w:p w:rsidR="00E23146" w:rsidRPr="000D0E3B" w:rsidRDefault="00E23146" w:rsidP="000D0E3B">
      <w:pPr>
        <w:jc w:val="both"/>
        <w:rPr>
          <w:rFonts w:ascii="Arial" w:hAnsi="Arial"/>
          <w:b/>
          <w:sz w:val="22"/>
          <w:szCs w:val="22"/>
        </w:rPr>
      </w:pPr>
    </w:p>
    <w:p w:rsidR="000D0E3B" w:rsidRPr="000D0E3B" w:rsidRDefault="000D0E3B" w:rsidP="000D0E3B">
      <w:pPr>
        <w:pStyle w:val="ListParagraph"/>
        <w:numPr>
          <w:ilvl w:val="1"/>
          <w:numId w:val="1"/>
        </w:numPr>
        <w:jc w:val="both"/>
        <w:rPr>
          <w:rFonts w:ascii="Arial" w:hAnsi="Arial"/>
          <w:b/>
          <w:sz w:val="22"/>
          <w:szCs w:val="22"/>
        </w:rPr>
      </w:pPr>
      <w:r w:rsidRPr="000D0E3B">
        <w:rPr>
          <w:rFonts w:ascii="Arial" w:hAnsi="Arial"/>
          <w:sz w:val="22"/>
          <w:szCs w:val="22"/>
        </w:rPr>
        <w:t>There was no hearing for this item as it was a minor submission.</w:t>
      </w:r>
    </w:p>
    <w:p w:rsidR="000D0E3B" w:rsidRPr="000D0E3B" w:rsidRDefault="000D0E3B" w:rsidP="000D0E3B">
      <w:pPr>
        <w:pStyle w:val="Header"/>
        <w:ind w:left="720"/>
        <w:jc w:val="both"/>
        <w:rPr>
          <w:rFonts w:ascii="Arial" w:hAnsi="Arial"/>
          <w:b/>
          <w:sz w:val="22"/>
          <w:szCs w:val="22"/>
        </w:rPr>
      </w:pPr>
    </w:p>
    <w:p w:rsidR="000D0E3B" w:rsidRDefault="000D0E3B" w:rsidP="00E23146">
      <w:pPr>
        <w:pStyle w:val="Heading2"/>
      </w:pPr>
      <w:r w:rsidRPr="000D0E3B">
        <w:t>Consumer comments</w:t>
      </w:r>
    </w:p>
    <w:p w:rsidR="000D0E3B" w:rsidRPr="000D0E3B" w:rsidRDefault="000D0E3B" w:rsidP="000D0E3B">
      <w:pPr>
        <w:jc w:val="both"/>
        <w:rPr>
          <w:rFonts w:ascii="Arial" w:hAnsi="Arial"/>
          <w:b/>
          <w:sz w:val="22"/>
          <w:szCs w:val="22"/>
        </w:rPr>
      </w:pPr>
    </w:p>
    <w:p w:rsidR="000D0E3B" w:rsidRPr="00AF4FF9" w:rsidRDefault="000D0E3B" w:rsidP="000D0E3B">
      <w:pPr>
        <w:pStyle w:val="ListParagraph"/>
        <w:numPr>
          <w:ilvl w:val="1"/>
          <w:numId w:val="1"/>
        </w:numPr>
        <w:jc w:val="both"/>
        <w:rPr>
          <w:rFonts w:ascii="Arial" w:hAnsi="Arial"/>
          <w:sz w:val="22"/>
          <w:szCs w:val="22"/>
        </w:rPr>
      </w:pPr>
      <w:r w:rsidRPr="00AF4FF9">
        <w:rPr>
          <w:rFonts w:ascii="Arial" w:hAnsi="Arial"/>
          <w:sz w:val="22"/>
          <w:szCs w:val="22"/>
        </w:rPr>
        <w:t>The PBAC noted that no consumer comments were received for this item via the consumer comments portal. The PBAC noted the correspondence of the Haematology Society of Australia and New Zealand</w:t>
      </w:r>
      <w:r w:rsidR="005D5345" w:rsidRPr="00AF4FF9">
        <w:rPr>
          <w:rFonts w:ascii="Arial" w:hAnsi="Arial"/>
          <w:sz w:val="22"/>
          <w:szCs w:val="22"/>
        </w:rPr>
        <w:t xml:space="preserve"> (HSANZ)</w:t>
      </w:r>
      <w:r w:rsidRPr="00AF4FF9">
        <w:rPr>
          <w:rFonts w:ascii="Arial" w:hAnsi="Arial"/>
          <w:sz w:val="22"/>
          <w:szCs w:val="22"/>
        </w:rPr>
        <w:t xml:space="preserve"> on this matter and considered this letter alongside the submission from the sponsor. </w:t>
      </w:r>
    </w:p>
    <w:p w:rsidR="000D0E3B" w:rsidRPr="00AF4FF9" w:rsidRDefault="000D0E3B" w:rsidP="000D0E3B">
      <w:pPr>
        <w:pStyle w:val="Header"/>
        <w:tabs>
          <w:tab w:val="clear" w:pos="4153"/>
          <w:tab w:val="clear" w:pos="8306"/>
        </w:tabs>
        <w:ind w:left="720"/>
        <w:jc w:val="both"/>
        <w:rPr>
          <w:rFonts w:ascii="Arial" w:hAnsi="Arial"/>
          <w:b/>
          <w:sz w:val="22"/>
          <w:szCs w:val="22"/>
        </w:rPr>
      </w:pPr>
    </w:p>
    <w:p w:rsidR="00D84934" w:rsidRPr="00AF4FF9" w:rsidRDefault="00D84934" w:rsidP="00E23146">
      <w:pPr>
        <w:pStyle w:val="Heading2"/>
      </w:pPr>
      <w:r w:rsidRPr="00AF4FF9">
        <w:t xml:space="preserve">Clinical </w:t>
      </w:r>
      <w:r w:rsidR="00E9596B" w:rsidRPr="00AF4FF9">
        <w:t>evidence</w:t>
      </w:r>
    </w:p>
    <w:p w:rsidR="00D84934" w:rsidRPr="00AF4FF9" w:rsidRDefault="00D84934" w:rsidP="00F9629A">
      <w:pPr>
        <w:jc w:val="both"/>
        <w:rPr>
          <w:rFonts w:ascii="Arial" w:hAnsi="Arial"/>
          <w:sz w:val="22"/>
          <w:szCs w:val="22"/>
        </w:rPr>
      </w:pPr>
    </w:p>
    <w:p w:rsidR="0076420C" w:rsidRPr="00AF4FF9" w:rsidRDefault="00260662" w:rsidP="00514716">
      <w:pPr>
        <w:pStyle w:val="ListParagraph"/>
        <w:numPr>
          <w:ilvl w:val="1"/>
          <w:numId w:val="1"/>
        </w:numPr>
        <w:jc w:val="both"/>
        <w:rPr>
          <w:rFonts w:ascii="Arial" w:hAnsi="Arial"/>
          <w:sz w:val="22"/>
          <w:szCs w:val="22"/>
        </w:rPr>
      </w:pPr>
      <w:r w:rsidRPr="00AF4FF9">
        <w:rPr>
          <w:rFonts w:ascii="Arial" w:hAnsi="Arial"/>
          <w:sz w:val="22"/>
          <w:szCs w:val="22"/>
        </w:rPr>
        <w:t>N</w:t>
      </w:r>
      <w:r w:rsidR="00B410FB" w:rsidRPr="00AF4FF9">
        <w:rPr>
          <w:rFonts w:ascii="Arial" w:hAnsi="Arial"/>
          <w:sz w:val="22"/>
          <w:szCs w:val="22"/>
        </w:rPr>
        <w:t>o new</w:t>
      </w:r>
      <w:r w:rsidR="0076420C" w:rsidRPr="00AF4FF9">
        <w:rPr>
          <w:rFonts w:ascii="Arial" w:hAnsi="Arial"/>
          <w:sz w:val="22"/>
          <w:szCs w:val="22"/>
        </w:rPr>
        <w:t xml:space="preserve"> clinical trials </w:t>
      </w:r>
      <w:r w:rsidR="00FF2801" w:rsidRPr="00AF4FF9">
        <w:rPr>
          <w:rFonts w:ascii="Arial" w:hAnsi="Arial"/>
          <w:sz w:val="22"/>
          <w:szCs w:val="22"/>
        </w:rPr>
        <w:t>were</w:t>
      </w:r>
      <w:r w:rsidR="00B410FB" w:rsidRPr="00AF4FF9">
        <w:rPr>
          <w:rFonts w:ascii="Arial" w:hAnsi="Arial"/>
          <w:sz w:val="22"/>
          <w:szCs w:val="22"/>
        </w:rPr>
        <w:t xml:space="preserve"> presented in the </w:t>
      </w:r>
      <w:r w:rsidR="0076420C" w:rsidRPr="00AF4FF9">
        <w:rPr>
          <w:rFonts w:ascii="Arial" w:hAnsi="Arial"/>
          <w:sz w:val="22"/>
          <w:szCs w:val="22"/>
        </w:rPr>
        <w:t>submission.</w:t>
      </w:r>
    </w:p>
    <w:p w:rsidR="00D84934" w:rsidRPr="00AF4FF9" w:rsidRDefault="00D84934" w:rsidP="0076420C">
      <w:pPr>
        <w:pStyle w:val="ListParagraph"/>
        <w:ind w:left="709"/>
        <w:jc w:val="both"/>
        <w:rPr>
          <w:rFonts w:ascii="Arial" w:hAnsi="Arial" w:cs="Arial"/>
          <w:sz w:val="22"/>
          <w:szCs w:val="22"/>
        </w:rPr>
      </w:pPr>
    </w:p>
    <w:p w:rsidR="00E9596B" w:rsidRPr="00AF4FF9" w:rsidRDefault="00156392" w:rsidP="00514716">
      <w:pPr>
        <w:pStyle w:val="ListParagraph"/>
        <w:numPr>
          <w:ilvl w:val="1"/>
          <w:numId w:val="1"/>
        </w:numPr>
        <w:jc w:val="both"/>
        <w:rPr>
          <w:rStyle w:val="Font"/>
          <w:rFonts w:ascii="Arial" w:hAnsi="Arial" w:cs="Arial"/>
          <w:sz w:val="22"/>
          <w:szCs w:val="22"/>
        </w:rPr>
      </w:pPr>
      <w:r w:rsidRPr="00AF4FF9">
        <w:rPr>
          <w:rFonts w:ascii="Arial" w:hAnsi="Arial" w:cs="Arial"/>
          <w:sz w:val="22"/>
          <w:szCs w:val="22"/>
        </w:rPr>
        <w:t xml:space="preserve">The minor submission </w:t>
      </w:r>
      <w:r w:rsidR="00E9596B" w:rsidRPr="00AF4FF9">
        <w:rPr>
          <w:rFonts w:ascii="Arial" w:hAnsi="Arial" w:cs="Arial"/>
          <w:sz w:val="22"/>
          <w:szCs w:val="22"/>
        </w:rPr>
        <w:t>claimed that t</w:t>
      </w:r>
      <w:r w:rsidRPr="00AF4FF9">
        <w:rPr>
          <w:rFonts w:ascii="Arial" w:hAnsi="Arial" w:cs="Arial"/>
          <w:sz w:val="22"/>
          <w:szCs w:val="22"/>
        </w:rPr>
        <w:t>he clinical evidence from the primary clinical trial on which the pomalidomide PBS listing was based, trial MM-003, demonstrates that neither the reason for discontinuation of prior therapy or the period in which progression occurs are likely to be treatment effect modifiers</w:t>
      </w:r>
      <w:r w:rsidR="00E9596B" w:rsidRPr="00AF4FF9">
        <w:rPr>
          <w:rFonts w:ascii="Arial" w:hAnsi="Arial" w:cs="Arial"/>
          <w:sz w:val="22"/>
          <w:szCs w:val="22"/>
        </w:rPr>
        <w:t xml:space="preserve">. The submission presents subgroup analysis of the trial MM-003 (source not provided), including the following </w:t>
      </w:r>
      <w:r w:rsidR="00E9596B" w:rsidRPr="00AF4FF9">
        <w:rPr>
          <w:rStyle w:val="Font"/>
          <w:rFonts w:ascii="Arial" w:hAnsi="Arial" w:cs="Arial"/>
          <w:sz w:val="22"/>
          <w:szCs w:val="22"/>
        </w:rPr>
        <w:t xml:space="preserve">three distinct patient groups: </w:t>
      </w:r>
    </w:p>
    <w:p w:rsidR="00E9596B" w:rsidRPr="00AF4FF9" w:rsidRDefault="00E9596B" w:rsidP="00514716">
      <w:pPr>
        <w:pStyle w:val="ListParagraph"/>
        <w:numPr>
          <w:ilvl w:val="1"/>
          <w:numId w:val="5"/>
        </w:numPr>
        <w:spacing w:after="200" w:line="276" w:lineRule="auto"/>
        <w:jc w:val="both"/>
        <w:rPr>
          <w:rStyle w:val="Font"/>
          <w:rFonts w:ascii="Arial" w:eastAsiaTheme="majorEastAsia" w:hAnsi="Arial" w:cs="Arial"/>
          <w:sz w:val="22"/>
          <w:szCs w:val="22"/>
        </w:rPr>
      </w:pPr>
      <w:r w:rsidRPr="00AF4FF9">
        <w:rPr>
          <w:rStyle w:val="Font"/>
          <w:rFonts w:ascii="Arial" w:eastAsiaTheme="majorEastAsia" w:hAnsi="Arial" w:cs="Arial"/>
          <w:sz w:val="22"/>
          <w:szCs w:val="22"/>
        </w:rPr>
        <w:t xml:space="preserve">Group 1: refractory subjects who had progressed on or within 60 days of both lenalidomide and bortezomib based treatments, N=249 (82.5%). </w:t>
      </w:r>
    </w:p>
    <w:p w:rsidR="00E9596B" w:rsidRPr="00AF4FF9" w:rsidRDefault="00E9596B" w:rsidP="00514716">
      <w:pPr>
        <w:pStyle w:val="ListParagraph"/>
        <w:numPr>
          <w:ilvl w:val="1"/>
          <w:numId w:val="5"/>
        </w:numPr>
        <w:spacing w:after="200" w:line="276" w:lineRule="auto"/>
        <w:jc w:val="both"/>
        <w:rPr>
          <w:rStyle w:val="Font"/>
          <w:rFonts w:ascii="Arial" w:eastAsiaTheme="majorEastAsia" w:hAnsi="Arial" w:cs="Arial"/>
          <w:sz w:val="22"/>
          <w:szCs w:val="22"/>
        </w:rPr>
      </w:pPr>
      <w:r w:rsidRPr="00AF4FF9">
        <w:rPr>
          <w:rStyle w:val="Font"/>
          <w:rFonts w:ascii="Arial" w:eastAsiaTheme="majorEastAsia" w:hAnsi="Arial" w:cs="Arial"/>
          <w:sz w:val="22"/>
          <w:szCs w:val="22"/>
        </w:rPr>
        <w:t>Group 2: relapsed and refractory subjects who achieved at least partial response and progressed within 6 months after stopping treatment with lenalidomide and/or bortezomib, N=8 (2.6%).</w:t>
      </w:r>
    </w:p>
    <w:p w:rsidR="00E9596B" w:rsidRPr="00AF4FF9" w:rsidRDefault="00E9596B" w:rsidP="00514716">
      <w:pPr>
        <w:pStyle w:val="ListParagraph"/>
        <w:numPr>
          <w:ilvl w:val="1"/>
          <w:numId w:val="5"/>
        </w:numPr>
        <w:spacing w:after="200" w:line="276" w:lineRule="auto"/>
        <w:jc w:val="both"/>
        <w:rPr>
          <w:rStyle w:val="Font"/>
          <w:rFonts w:ascii="Arial" w:eastAsiaTheme="majorEastAsia" w:hAnsi="Arial" w:cs="Arial"/>
          <w:sz w:val="22"/>
          <w:szCs w:val="22"/>
        </w:rPr>
      </w:pPr>
      <w:r w:rsidRPr="00AF4FF9">
        <w:rPr>
          <w:rStyle w:val="Font"/>
          <w:rFonts w:ascii="Arial" w:eastAsiaTheme="majorEastAsia" w:hAnsi="Arial" w:cs="Arial"/>
          <w:sz w:val="22"/>
          <w:szCs w:val="22"/>
        </w:rPr>
        <w:t>Group 3: refractory/intolerant subjects who had developed intolerance/toxicity after a minimum of 2 cycles of bortezomib, N=45 (14.9%).</w:t>
      </w:r>
    </w:p>
    <w:p w:rsidR="0076420C" w:rsidRPr="00AF4FF9" w:rsidRDefault="00260662" w:rsidP="00E9596B">
      <w:pPr>
        <w:pStyle w:val="ListParagraph"/>
        <w:ind w:left="709"/>
        <w:jc w:val="both"/>
        <w:rPr>
          <w:rFonts w:ascii="Arial" w:hAnsi="Arial" w:cs="Arial"/>
          <w:sz w:val="22"/>
          <w:szCs w:val="22"/>
        </w:rPr>
      </w:pPr>
      <w:r w:rsidRPr="00AF4FF9">
        <w:rPr>
          <w:rFonts w:ascii="Arial" w:hAnsi="Arial" w:cs="Arial"/>
          <w:sz w:val="22"/>
          <w:szCs w:val="22"/>
        </w:rPr>
        <w:t>The submission claims that there no significant difference in terms of overall survival and progression free survival for these patient subgroups.</w:t>
      </w:r>
    </w:p>
    <w:p w:rsidR="0034310D" w:rsidRPr="00AF4FF9" w:rsidRDefault="0034310D" w:rsidP="00E9596B">
      <w:pPr>
        <w:pStyle w:val="ListParagraph"/>
        <w:ind w:left="709"/>
        <w:jc w:val="both"/>
        <w:rPr>
          <w:rFonts w:ascii="Arial" w:hAnsi="Arial" w:cs="Arial"/>
          <w:sz w:val="22"/>
          <w:szCs w:val="22"/>
        </w:rPr>
      </w:pPr>
    </w:p>
    <w:p w:rsidR="00E9596B" w:rsidRPr="00AF4FF9" w:rsidRDefault="00E9596B" w:rsidP="00514716">
      <w:pPr>
        <w:pStyle w:val="ListParagraph"/>
        <w:numPr>
          <w:ilvl w:val="1"/>
          <w:numId w:val="1"/>
        </w:numPr>
        <w:jc w:val="both"/>
        <w:rPr>
          <w:rFonts w:ascii="Arial" w:hAnsi="Arial" w:cs="Arial"/>
          <w:sz w:val="22"/>
          <w:szCs w:val="22"/>
        </w:rPr>
      </w:pPr>
      <w:r w:rsidRPr="00AF4FF9">
        <w:rPr>
          <w:rFonts w:ascii="Arial" w:hAnsi="Arial" w:cs="Arial"/>
          <w:sz w:val="22"/>
          <w:szCs w:val="22"/>
        </w:rPr>
        <w:t xml:space="preserve">The submission notes that the current restrictions were based upon the inclusion criteria from the pivotal MM-003 study and states the study was designed with conservative inclusion criteria in order to isolate the critical question whether pomalidomide is active in a truly refractory and thus most difficult to treat patient population. </w:t>
      </w:r>
    </w:p>
    <w:p w:rsidR="00F57A6D" w:rsidRPr="00AF4FF9" w:rsidRDefault="00F57A6D" w:rsidP="004139DC">
      <w:pPr>
        <w:jc w:val="both"/>
        <w:rPr>
          <w:rFonts w:ascii="Arial" w:hAnsi="Arial"/>
          <w:sz w:val="22"/>
          <w:szCs w:val="22"/>
        </w:rPr>
      </w:pPr>
    </w:p>
    <w:p w:rsidR="005A3173" w:rsidRPr="00AF4FF9" w:rsidRDefault="005A3173" w:rsidP="00E23146">
      <w:pPr>
        <w:pStyle w:val="Heading2"/>
      </w:pPr>
      <w:r w:rsidRPr="00AF4FF9">
        <w:t>Economic analysis</w:t>
      </w:r>
    </w:p>
    <w:p w:rsidR="005A3173" w:rsidRPr="00AF4FF9" w:rsidRDefault="005A3173" w:rsidP="00D84934">
      <w:pPr>
        <w:pStyle w:val="NoSpacing"/>
      </w:pPr>
    </w:p>
    <w:p w:rsidR="00196307" w:rsidRPr="00AF4FF9" w:rsidRDefault="00A45D5A" w:rsidP="00514716">
      <w:pPr>
        <w:pStyle w:val="ListParagraph"/>
        <w:numPr>
          <w:ilvl w:val="1"/>
          <w:numId w:val="1"/>
        </w:numPr>
        <w:jc w:val="both"/>
        <w:rPr>
          <w:rFonts w:ascii="Arial" w:hAnsi="Arial"/>
          <w:sz w:val="22"/>
          <w:szCs w:val="22"/>
        </w:rPr>
      </w:pPr>
      <w:r w:rsidRPr="00AF4FF9">
        <w:rPr>
          <w:rFonts w:ascii="Arial" w:hAnsi="Arial"/>
          <w:sz w:val="22"/>
          <w:szCs w:val="22"/>
        </w:rPr>
        <w:t xml:space="preserve">There was no </w:t>
      </w:r>
      <w:r w:rsidR="00D04D98" w:rsidRPr="00AF4FF9">
        <w:rPr>
          <w:rFonts w:ascii="Arial" w:hAnsi="Arial"/>
          <w:sz w:val="22"/>
          <w:szCs w:val="22"/>
        </w:rPr>
        <w:t>economic analysis in regard to th</w:t>
      </w:r>
      <w:r w:rsidR="00A30303" w:rsidRPr="00AF4FF9">
        <w:rPr>
          <w:rFonts w:ascii="Arial" w:hAnsi="Arial"/>
          <w:sz w:val="22"/>
          <w:szCs w:val="22"/>
        </w:rPr>
        <w:t>e</w:t>
      </w:r>
      <w:r w:rsidR="00D04D98" w:rsidRPr="00AF4FF9">
        <w:rPr>
          <w:rFonts w:ascii="Arial" w:hAnsi="Arial"/>
          <w:sz w:val="22"/>
          <w:szCs w:val="22"/>
        </w:rPr>
        <w:t xml:space="preserve"> requested change in listing</w:t>
      </w:r>
      <w:r w:rsidRPr="00AF4FF9">
        <w:rPr>
          <w:rFonts w:ascii="Arial" w:hAnsi="Arial"/>
          <w:sz w:val="22"/>
          <w:szCs w:val="22"/>
        </w:rPr>
        <w:t xml:space="preserve"> and proposed widening of the eligible patient population</w:t>
      </w:r>
      <w:r w:rsidR="00D04D98" w:rsidRPr="00AF4FF9">
        <w:rPr>
          <w:rFonts w:ascii="Arial" w:hAnsi="Arial"/>
          <w:sz w:val="22"/>
          <w:szCs w:val="22"/>
        </w:rPr>
        <w:t xml:space="preserve">. </w:t>
      </w:r>
    </w:p>
    <w:p w:rsidR="005963BB" w:rsidRPr="00AF4FF9" w:rsidRDefault="005963BB" w:rsidP="00C00DA7">
      <w:pPr>
        <w:jc w:val="both"/>
        <w:rPr>
          <w:rFonts w:ascii="Arial" w:hAnsi="Arial"/>
          <w:sz w:val="22"/>
          <w:szCs w:val="22"/>
        </w:rPr>
      </w:pPr>
    </w:p>
    <w:p w:rsidR="005A3173" w:rsidRPr="00AF4FF9" w:rsidRDefault="005A3173" w:rsidP="00E23146">
      <w:pPr>
        <w:pStyle w:val="Heading2"/>
      </w:pPr>
      <w:r w:rsidRPr="00AF4FF9">
        <w:t>Estimated PBS usage &amp; financial implications</w:t>
      </w:r>
    </w:p>
    <w:p w:rsidR="005A3173" w:rsidRPr="00AF4FF9" w:rsidRDefault="005A3173" w:rsidP="00882085">
      <w:pPr>
        <w:ind w:left="720" w:hanging="720"/>
        <w:jc w:val="both"/>
        <w:rPr>
          <w:rFonts w:ascii="Arial" w:hAnsi="Arial"/>
          <w:b/>
          <w:i/>
          <w:sz w:val="22"/>
          <w:szCs w:val="22"/>
        </w:rPr>
      </w:pPr>
    </w:p>
    <w:p w:rsidR="00AA4C46" w:rsidRPr="00AF4FF9" w:rsidRDefault="00AA4C46" w:rsidP="00514716">
      <w:pPr>
        <w:pStyle w:val="ListParagraph"/>
        <w:numPr>
          <w:ilvl w:val="1"/>
          <w:numId w:val="1"/>
        </w:numPr>
        <w:jc w:val="both"/>
        <w:rPr>
          <w:rFonts w:ascii="Arial" w:hAnsi="Arial"/>
          <w:sz w:val="22"/>
          <w:szCs w:val="22"/>
        </w:rPr>
      </w:pPr>
      <w:r w:rsidRPr="00AF4FF9">
        <w:rPr>
          <w:rFonts w:ascii="Arial" w:hAnsi="Arial"/>
          <w:sz w:val="22"/>
          <w:szCs w:val="22"/>
        </w:rPr>
        <w:t xml:space="preserve">The minor submission provided information on examples of patients who were not able to access subsidised treatment for multiple myeloma, including 38 of 119 patients in the sponsor’s compassionate access program who failed to meet the PBS eligibility criteria to qualify for PBS subsidised pomalidomide. </w:t>
      </w:r>
    </w:p>
    <w:p w:rsidR="00AA4C46" w:rsidRPr="00AF4FF9" w:rsidRDefault="00AA4C46" w:rsidP="00AA4C46">
      <w:pPr>
        <w:pStyle w:val="ListParagraph"/>
        <w:jc w:val="both"/>
        <w:rPr>
          <w:rFonts w:ascii="Arial" w:hAnsi="Arial"/>
          <w:i/>
          <w:sz w:val="22"/>
          <w:szCs w:val="22"/>
        </w:rPr>
      </w:pPr>
    </w:p>
    <w:p w:rsidR="00BB7EC3" w:rsidRPr="00AF4FF9" w:rsidRDefault="004139DC" w:rsidP="00514716">
      <w:pPr>
        <w:pStyle w:val="ListParagraph"/>
        <w:numPr>
          <w:ilvl w:val="1"/>
          <w:numId w:val="1"/>
        </w:numPr>
        <w:jc w:val="both"/>
        <w:rPr>
          <w:rFonts w:ascii="Arial" w:hAnsi="Arial"/>
          <w:sz w:val="22"/>
          <w:szCs w:val="22"/>
        </w:rPr>
      </w:pPr>
      <w:r w:rsidRPr="00AF4FF9">
        <w:rPr>
          <w:rFonts w:ascii="Arial" w:hAnsi="Arial"/>
          <w:sz w:val="22"/>
          <w:szCs w:val="22"/>
        </w:rPr>
        <w:t xml:space="preserve">The minor submission provided </w:t>
      </w:r>
      <w:r w:rsidR="00C00DA7" w:rsidRPr="00AF4FF9">
        <w:rPr>
          <w:rFonts w:ascii="Arial" w:hAnsi="Arial"/>
          <w:sz w:val="22"/>
          <w:szCs w:val="22"/>
        </w:rPr>
        <w:t xml:space="preserve">no </w:t>
      </w:r>
      <w:r w:rsidR="00AA4C46" w:rsidRPr="00AF4FF9">
        <w:rPr>
          <w:rFonts w:ascii="Arial" w:hAnsi="Arial"/>
          <w:sz w:val="22"/>
          <w:szCs w:val="22"/>
        </w:rPr>
        <w:t xml:space="preserve">overall estimate of patients who could access treatment following implementation of the proposed changes to the restriction. </w:t>
      </w:r>
      <w:r w:rsidR="00EC1E2D" w:rsidRPr="00AF4FF9">
        <w:rPr>
          <w:rFonts w:ascii="Arial" w:hAnsi="Arial"/>
          <w:sz w:val="22"/>
          <w:szCs w:val="22"/>
        </w:rPr>
        <w:t xml:space="preserve">The </w:t>
      </w:r>
      <w:r w:rsidR="00AA4C46" w:rsidRPr="00AF4FF9">
        <w:rPr>
          <w:rFonts w:ascii="Arial" w:hAnsi="Arial"/>
          <w:sz w:val="22"/>
          <w:szCs w:val="22"/>
        </w:rPr>
        <w:t>proposed widening of the</w:t>
      </w:r>
      <w:r w:rsidRPr="00AF4FF9">
        <w:rPr>
          <w:rFonts w:ascii="Arial" w:hAnsi="Arial"/>
          <w:sz w:val="22"/>
          <w:szCs w:val="22"/>
        </w:rPr>
        <w:t xml:space="preserve"> eligible patient population</w:t>
      </w:r>
      <w:r w:rsidR="009E037E" w:rsidRPr="00AF4FF9">
        <w:rPr>
          <w:rFonts w:ascii="Arial" w:hAnsi="Arial"/>
          <w:sz w:val="22"/>
          <w:szCs w:val="22"/>
        </w:rPr>
        <w:t xml:space="preserve"> </w:t>
      </w:r>
      <w:r w:rsidR="00AA4C46" w:rsidRPr="00AF4FF9">
        <w:rPr>
          <w:rFonts w:ascii="Arial" w:hAnsi="Arial"/>
          <w:sz w:val="22"/>
          <w:szCs w:val="22"/>
        </w:rPr>
        <w:t>would likely</w:t>
      </w:r>
      <w:r w:rsidR="009E037E" w:rsidRPr="00AF4FF9">
        <w:rPr>
          <w:rFonts w:ascii="Arial" w:hAnsi="Arial"/>
          <w:sz w:val="22"/>
          <w:szCs w:val="22"/>
        </w:rPr>
        <w:t xml:space="preserve"> increase the cost to the PBS in forward estimates</w:t>
      </w:r>
      <w:r w:rsidR="00AA4C46" w:rsidRPr="00AF4FF9">
        <w:rPr>
          <w:rFonts w:ascii="Arial" w:hAnsi="Arial"/>
          <w:sz w:val="22"/>
          <w:szCs w:val="22"/>
        </w:rPr>
        <w:t>, which was not addressed in the submission.</w:t>
      </w:r>
      <w:r w:rsidRPr="00AF4FF9">
        <w:rPr>
          <w:rFonts w:ascii="Arial" w:hAnsi="Arial"/>
          <w:sz w:val="22"/>
          <w:szCs w:val="22"/>
        </w:rPr>
        <w:t xml:space="preserve"> </w:t>
      </w:r>
      <w:r w:rsidR="00977CD4" w:rsidRPr="00AF4FF9">
        <w:rPr>
          <w:rFonts w:ascii="Arial" w:hAnsi="Arial"/>
          <w:sz w:val="22"/>
          <w:szCs w:val="22"/>
        </w:rPr>
        <w:t xml:space="preserve"> </w:t>
      </w:r>
      <w:r w:rsidR="00AD6106" w:rsidRPr="00AF4FF9">
        <w:rPr>
          <w:rFonts w:ascii="Arial" w:hAnsi="Arial"/>
          <w:sz w:val="22"/>
          <w:szCs w:val="22"/>
        </w:rPr>
        <w:t>T</w:t>
      </w:r>
      <w:r w:rsidR="00D04D98" w:rsidRPr="00AF4FF9">
        <w:rPr>
          <w:rFonts w:ascii="Arial" w:hAnsi="Arial"/>
          <w:sz w:val="22"/>
          <w:szCs w:val="22"/>
        </w:rPr>
        <w:t>he sponsor</w:t>
      </w:r>
      <w:r w:rsidR="00977CD4" w:rsidRPr="00AF4FF9">
        <w:rPr>
          <w:rFonts w:ascii="Arial" w:hAnsi="Arial"/>
          <w:sz w:val="22"/>
          <w:szCs w:val="22"/>
        </w:rPr>
        <w:t xml:space="preserve"> </w:t>
      </w:r>
      <w:r w:rsidR="00AD6106" w:rsidRPr="00AF4FF9">
        <w:rPr>
          <w:rFonts w:ascii="Arial" w:hAnsi="Arial"/>
          <w:sz w:val="22"/>
          <w:szCs w:val="22"/>
        </w:rPr>
        <w:t xml:space="preserve">is </w:t>
      </w:r>
      <w:r w:rsidR="00977CD4" w:rsidRPr="00AF4FF9">
        <w:rPr>
          <w:rFonts w:ascii="Arial" w:hAnsi="Arial"/>
          <w:sz w:val="22"/>
          <w:szCs w:val="22"/>
        </w:rPr>
        <w:t>requested to comment on the potential financial cost associated with approval of the submission request.</w:t>
      </w:r>
    </w:p>
    <w:p w:rsidR="000D0E3B" w:rsidRPr="00AF4FF9" w:rsidRDefault="000D0E3B" w:rsidP="000D0E3B">
      <w:pPr>
        <w:pStyle w:val="ListParagraph"/>
        <w:rPr>
          <w:rFonts w:ascii="Arial" w:hAnsi="Arial"/>
          <w:sz w:val="22"/>
          <w:szCs w:val="22"/>
        </w:rPr>
      </w:pPr>
    </w:p>
    <w:p w:rsidR="000D0E3B" w:rsidRPr="00AF4FF9" w:rsidRDefault="000D0E3B" w:rsidP="000D0E3B">
      <w:pPr>
        <w:pStyle w:val="ListParagraph"/>
        <w:numPr>
          <w:ilvl w:val="1"/>
          <w:numId w:val="1"/>
        </w:numPr>
        <w:jc w:val="both"/>
        <w:rPr>
          <w:rFonts w:ascii="Arial" w:hAnsi="Arial"/>
          <w:sz w:val="22"/>
          <w:szCs w:val="22"/>
        </w:rPr>
      </w:pPr>
      <w:r w:rsidRPr="00AF4FF9">
        <w:rPr>
          <w:rFonts w:ascii="Arial" w:hAnsi="Arial"/>
          <w:sz w:val="22"/>
          <w:szCs w:val="22"/>
        </w:rPr>
        <w:t xml:space="preserve">The pre-PBAC response </w:t>
      </w:r>
      <w:r w:rsidR="001742C1" w:rsidRPr="00AF4FF9">
        <w:rPr>
          <w:rFonts w:ascii="Arial" w:hAnsi="Arial"/>
          <w:sz w:val="22"/>
          <w:szCs w:val="22"/>
        </w:rPr>
        <w:t>argued that</w:t>
      </w:r>
      <w:r w:rsidRPr="00AF4FF9">
        <w:rPr>
          <w:rFonts w:ascii="Arial" w:hAnsi="Arial"/>
          <w:sz w:val="22"/>
          <w:szCs w:val="22"/>
        </w:rPr>
        <w:t xml:space="preserve"> the financial cost accepted previously </w:t>
      </w:r>
      <w:r w:rsidR="001742C1" w:rsidRPr="00AF4FF9">
        <w:rPr>
          <w:rFonts w:ascii="Arial" w:hAnsi="Arial"/>
          <w:sz w:val="22"/>
          <w:szCs w:val="22"/>
        </w:rPr>
        <w:t>(</w:t>
      </w:r>
      <w:r w:rsidRPr="00AF4FF9">
        <w:rPr>
          <w:rFonts w:ascii="Arial" w:hAnsi="Arial"/>
          <w:sz w:val="22"/>
          <w:szCs w:val="22"/>
        </w:rPr>
        <w:t>when pomalidomide</w:t>
      </w:r>
      <w:r w:rsidR="001742C1" w:rsidRPr="00AF4FF9">
        <w:rPr>
          <w:rFonts w:ascii="Arial" w:hAnsi="Arial"/>
          <w:sz w:val="22"/>
          <w:szCs w:val="22"/>
        </w:rPr>
        <w:t>)</w:t>
      </w:r>
      <w:r w:rsidRPr="00AF4FF9">
        <w:rPr>
          <w:rFonts w:ascii="Arial" w:hAnsi="Arial"/>
          <w:sz w:val="22"/>
          <w:szCs w:val="22"/>
        </w:rPr>
        <w:t xml:space="preserve"> was recommended included the patients who would be affected by the change in restriction, so there should be no additional financial impact.</w:t>
      </w:r>
    </w:p>
    <w:p w:rsidR="009C781F" w:rsidRPr="00AF4FF9" w:rsidRDefault="009C781F" w:rsidP="009C781F">
      <w:pPr>
        <w:jc w:val="both"/>
        <w:rPr>
          <w:rFonts w:ascii="Arial" w:hAnsi="Arial"/>
          <w:sz w:val="22"/>
          <w:szCs w:val="22"/>
        </w:rPr>
      </w:pPr>
    </w:p>
    <w:p w:rsidR="00BD4840" w:rsidRPr="00AF4FF9" w:rsidRDefault="00BD4840" w:rsidP="00E23146">
      <w:pPr>
        <w:pStyle w:val="Heading2"/>
      </w:pPr>
      <w:r w:rsidRPr="00AF4FF9">
        <w:t xml:space="preserve">Other matters </w:t>
      </w:r>
    </w:p>
    <w:p w:rsidR="00BD4840" w:rsidRPr="00AF4FF9" w:rsidRDefault="00BD4840" w:rsidP="00C03747">
      <w:pPr>
        <w:ind w:left="709"/>
        <w:jc w:val="both"/>
        <w:rPr>
          <w:rFonts w:ascii="Arial" w:hAnsi="Arial"/>
          <w:sz w:val="22"/>
          <w:szCs w:val="22"/>
        </w:rPr>
      </w:pPr>
    </w:p>
    <w:p w:rsidR="00BD4840" w:rsidRPr="00AF4FF9" w:rsidRDefault="00BD4840" w:rsidP="00514716">
      <w:pPr>
        <w:pStyle w:val="ListParagraph"/>
        <w:numPr>
          <w:ilvl w:val="1"/>
          <w:numId w:val="1"/>
        </w:numPr>
        <w:jc w:val="both"/>
        <w:rPr>
          <w:rFonts w:ascii="Arial" w:hAnsi="Arial"/>
          <w:sz w:val="22"/>
          <w:szCs w:val="22"/>
        </w:rPr>
      </w:pPr>
      <w:r w:rsidRPr="00AF4FF9">
        <w:rPr>
          <w:rFonts w:ascii="Arial" w:hAnsi="Arial"/>
          <w:sz w:val="22"/>
          <w:szCs w:val="22"/>
        </w:rPr>
        <w:t>The minor submission also requests a change to the lenalidomide restriction to enable re-treatment with lenalidomide after a “treatment holiday”.  No new data</w:t>
      </w:r>
      <w:r w:rsidR="002C7B80" w:rsidRPr="00AF4FF9">
        <w:rPr>
          <w:rFonts w:ascii="Arial" w:hAnsi="Arial"/>
          <w:sz w:val="22"/>
          <w:szCs w:val="22"/>
        </w:rPr>
        <w:t xml:space="preserve"> or proposed restriction</w:t>
      </w:r>
      <w:r w:rsidR="00A45D5A" w:rsidRPr="00AF4FF9">
        <w:rPr>
          <w:rFonts w:ascii="Arial" w:hAnsi="Arial"/>
          <w:sz w:val="22"/>
          <w:szCs w:val="22"/>
        </w:rPr>
        <w:t xml:space="preserve"> changes</w:t>
      </w:r>
      <w:r w:rsidR="00EC1E2D" w:rsidRPr="00AF4FF9">
        <w:rPr>
          <w:rFonts w:ascii="Arial" w:hAnsi="Arial"/>
          <w:sz w:val="22"/>
          <w:szCs w:val="22"/>
        </w:rPr>
        <w:t xml:space="preserve"> </w:t>
      </w:r>
      <w:r w:rsidRPr="00AF4FF9">
        <w:rPr>
          <w:rFonts w:ascii="Arial" w:hAnsi="Arial"/>
          <w:sz w:val="22"/>
          <w:szCs w:val="22"/>
        </w:rPr>
        <w:t xml:space="preserve">were included </w:t>
      </w:r>
      <w:r w:rsidR="002C7B80" w:rsidRPr="00AF4FF9">
        <w:rPr>
          <w:rFonts w:ascii="Arial" w:hAnsi="Arial"/>
          <w:sz w:val="22"/>
          <w:szCs w:val="22"/>
        </w:rPr>
        <w:t xml:space="preserve">in the minor submission </w:t>
      </w:r>
      <w:r w:rsidRPr="00AF4FF9">
        <w:rPr>
          <w:rFonts w:ascii="Arial" w:hAnsi="Arial"/>
          <w:sz w:val="22"/>
          <w:szCs w:val="22"/>
        </w:rPr>
        <w:t xml:space="preserve">to support </w:t>
      </w:r>
      <w:r w:rsidR="002C7B80" w:rsidRPr="00AF4FF9">
        <w:rPr>
          <w:rFonts w:ascii="Arial" w:hAnsi="Arial"/>
          <w:sz w:val="22"/>
          <w:szCs w:val="22"/>
        </w:rPr>
        <w:t>a</w:t>
      </w:r>
      <w:r w:rsidRPr="00AF4FF9">
        <w:rPr>
          <w:rFonts w:ascii="Arial" w:hAnsi="Arial"/>
          <w:sz w:val="22"/>
          <w:szCs w:val="22"/>
        </w:rPr>
        <w:t xml:space="preserve"> change in the </w:t>
      </w:r>
      <w:r w:rsidR="002C7B80" w:rsidRPr="00AF4FF9">
        <w:rPr>
          <w:rFonts w:ascii="Arial" w:hAnsi="Arial"/>
          <w:sz w:val="22"/>
          <w:szCs w:val="22"/>
        </w:rPr>
        <w:t>listing</w:t>
      </w:r>
      <w:r w:rsidRPr="00AF4FF9">
        <w:rPr>
          <w:rFonts w:ascii="Arial" w:hAnsi="Arial"/>
          <w:sz w:val="22"/>
          <w:szCs w:val="22"/>
        </w:rPr>
        <w:t xml:space="preserve"> of lenalidomide.</w:t>
      </w:r>
    </w:p>
    <w:p w:rsidR="00514716" w:rsidRPr="00AF4FF9" w:rsidRDefault="00514716" w:rsidP="00514716">
      <w:pPr>
        <w:rPr>
          <w:rFonts w:ascii="Arial" w:hAnsi="Arial"/>
          <w:sz w:val="22"/>
          <w:szCs w:val="22"/>
        </w:rPr>
      </w:pPr>
    </w:p>
    <w:p w:rsidR="00514716" w:rsidRDefault="00514716" w:rsidP="00514716">
      <w:pPr>
        <w:widowControl w:val="0"/>
        <w:ind w:left="709"/>
        <w:contextualSpacing/>
        <w:jc w:val="both"/>
        <w:rPr>
          <w:rFonts w:ascii="Arial" w:hAnsi="Arial" w:cs="Arial"/>
          <w:i/>
          <w:snapToGrid w:val="0"/>
          <w:sz w:val="22"/>
          <w:szCs w:val="22"/>
          <w:lang w:eastAsia="en-US"/>
        </w:rPr>
      </w:pPr>
      <w:r w:rsidRPr="00AF4FF9">
        <w:rPr>
          <w:rFonts w:ascii="Arial" w:hAnsi="Arial" w:cs="Arial"/>
          <w:i/>
          <w:snapToGrid w:val="0"/>
          <w:sz w:val="22"/>
          <w:szCs w:val="22"/>
          <w:lang w:eastAsia="en-US"/>
        </w:rPr>
        <w:t>For more detail on PBAC’s view, see section 6 “PBAC outcome”</w:t>
      </w:r>
    </w:p>
    <w:p w:rsidR="005E6CC3" w:rsidRPr="00314018" w:rsidRDefault="005E6CC3" w:rsidP="00514716">
      <w:pPr>
        <w:widowControl w:val="0"/>
        <w:ind w:left="709"/>
        <w:contextualSpacing/>
        <w:jc w:val="both"/>
        <w:rPr>
          <w:rFonts w:ascii="Arial" w:hAnsi="Arial" w:cs="Arial"/>
          <w:snapToGrid w:val="0"/>
          <w:sz w:val="22"/>
          <w:szCs w:val="22"/>
          <w:lang w:eastAsia="en-US"/>
        </w:rPr>
      </w:pPr>
    </w:p>
    <w:p w:rsidR="005E6CC3" w:rsidRPr="00314018" w:rsidRDefault="005E6CC3" w:rsidP="00514716">
      <w:pPr>
        <w:widowControl w:val="0"/>
        <w:ind w:left="709"/>
        <w:contextualSpacing/>
        <w:jc w:val="both"/>
        <w:rPr>
          <w:rFonts w:ascii="Arial" w:hAnsi="Arial" w:cs="Arial"/>
          <w:snapToGrid w:val="0"/>
          <w:sz w:val="22"/>
          <w:szCs w:val="22"/>
          <w:lang w:eastAsia="en-US"/>
        </w:rPr>
      </w:pPr>
    </w:p>
    <w:p w:rsidR="00514716" w:rsidRPr="00AF4FF9" w:rsidRDefault="00514716" w:rsidP="00E23146">
      <w:pPr>
        <w:pStyle w:val="Heading1"/>
      </w:pPr>
      <w:r w:rsidRPr="00AF4FF9">
        <w:t>PBAC Outcome</w:t>
      </w:r>
    </w:p>
    <w:p w:rsidR="00514716" w:rsidRPr="005D5345" w:rsidRDefault="00514716" w:rsidP="00514716">
      <w:pPr>
        <w:contextualSpacing/>
        <w:rPr>
          <w:rFonts w:ascii="Arial" w:hAnsi="Arial" w:cs="Arial"/>
          <w:b/>
          <w:bCs/>
          <w:sz w:val="22"/>
          <w:szCs w:val="22"/>
          <w:lang w:val="en-GB"/>
        </w:rPr>
      </w:pPr>
    </w:p>
    <w:p w:rsidR="00635E68" w:rsidRDefault="001742C1" w:rsidP="00635E68">
      <w:pPr>
        <w:widowControl w:val="0"/>
        <w:numPr>
          <w:ilvl w:val="1"/>
          <w:numId w:val="1"/>
        </w:numPr>
        <w:contextualSpacing/>
        <w:jc w:val="both"/>
        <w:rPr>
          <w:rFonts w:ascii="Arial" w:hAnsi="Arial" w:cs="Arial"/>
          <w:bCs/>
          <w:sz w:val="22"/>
          <w:szCs w:val="22"/>
          <w:lang w:val="en-GB"/>
        </w:rPr>
      </w:pPr>
      <w:r w:rsidRPr="005D5345">
        <w:rPr>
          <w:rFonts w:ascii="Arial" w:hAnsi="Arial" w:cs="Arial"/>
          <w:bCs/>
          <w:sz w:val="22"/>
          <w:szCs w:val="22"/>
          <w:lang w:val="en-GB"/>
        </w:rPr>
        <w:t xml:space="preserve">The PBAC </w:t>
      </w:r>
      <w:r w:rsidR="005D5345" w:rsidRPr="005D5345">
        <w:rPr>
          <w:rFonts w:ascii="Arial" w:hAnsi="Arial" w:cs="Arial"/>
          <w:bCs/>
          <w:sz w:val="22"/>
          <w:szCs w:val="22"/>
          <w:lang w:val="en-GB"/>
        </w:rPr>
        <w:t>rejected the</w:t>
      </w:r>
      <w:r w:rsidRPr="005D5345">
        <w:rPr>
          <w:rFonts w:ascii="Arial" w:hAnsi="Arial" w:cs="Arial"/>
          <w:bCs/>
          <w:sz w:val="22"/>
          <w:szCs w:val="22"/>
          <w:lang w:val="en-GB"/>
        </w:rPr>
        <w:t xml:space="preserve"> application to change restriction for pomalidomide. </w:t>
      </w:r>
    </w:p>
    <w:p w:rsidR="00635E68" w:rsidRDefault="00635E68" w:rsidP="00635E68">
      <w:pPr>
        <w:widowControl w:val="0"/>
        <w:contextualSpacing/>
        <w:jc w:val="both"/>
        <w:rPr>
          <w:rFonts w:ascii="Arial" w:hAnsi="Arial" w:cs="Arial"/>
          <w:bCs/>
          <w:sz w:val="22"/>
          <w:szCs w:val="22"/>
          <w:lang w:val="en-GB"/>
        </w:rPr>
      </w:pPr>
    </w:p>
    <w:p w:rsidR="00514716" w:rsidRPr="00610DE4" w:rsidRDefault="001742C1" w:rsidP="00635E68">
      <w:pPr>
        <w:widowControl w:val="0"/>
        <w:numPr>
          <w:ilvl w:val="1"/>
          <w:numId w:val="1"/>
        </w:numPr>
        <w:contextualSpacing/>
        <w:jc w:val="both"/>
        <w:rPr>
          <w:rFonts w:ascii="Arial" w:hAnsi="Arial" w:cs="Arial"/>
          <w:bCs/>
          <w:sz w:val="22"/>
          <w:szCs w:val="22"/>
          <w:lang w:val="en-GB"/>
        </w:rPr>
      </w:pPr>
      <w:r w:rsidRPr="005D5345">
        <w:rPr>
          <w:rFonts w:ascii="Arial" w:hAnsi="Arial" w:cs="Arial"/>
          <w:bCs/>
          <w:sz w:val="22"/>
          <w:szCs w:val="22"/>
          <w:lang w:val="en-GB"/>
        </w:rPr>
        <w:t xml:space="preserve">The </w:t>
      </w:r>
      <w:r w:rsidR="00FA21D3">
        <w:rPr>
          <w:rFonts w:ascii="Arial" w:hAnsi="Arial" w:cs="Arial"/>
          <w:bCs/>
          <w:sz w:val="22"/>
          <w:szCs w:val="22"/>
          <w:lang w:val="en-GB"/>
        </w:rPr>
        <w:t xml:space="preserve">PBAC considered that the </w:t>
      </w:r>
      <w:r w:rsidRPr="005D5345">
        <w:rPr>
          <w:rFonts w:ascii="Arial" w:hAnsi="Arial" w:cs="Arial"/>
          <w:bCs/>
          <w:sz w:val="22"/>
          <w:szCs w:val="22"/>
          <w:lang w:val="en-GB"/>
        </w:rPr>
        <w:t xml:space="preserve">issue </w:t>
      </w:r>
      <w:r w:rsidR="00635E68">
        <w:rPr>
          <w:rFonts w:ascii="Arial" w:hAnsi="Arial" w:cs="Arial"/>
          <w:bCs/>
          <w:sz w:val="22"/>
          <w:szCs w:val="22"/>
          <w:lang w:val="en-GB"/>
        </w:rPr>
        <w:t>was</w:t>
      </w:r>
      <w:r w:rsidRPr="005D5345">
        <w:rPr>
          <w:rFonts w:ascii="Arial" w:hAnsi="Arial" w:cs="Arial"/>
          <w:bCs/>
          <w:sz w:val="22"/>
          <w:szCs w:val="22"/>
          <w:lang w:val="en-GB"/>
        </w:rPr>
        <w:t xml:space="preserve"> not whether </w:t>
      </w:r>
      <w:r w:rsidR="00FA21D3" w:rsidRPr="005D5345">
        <w:rPr>
          <w:rFonts w:ascii="Arial" w:hAnsi="Arial" w:cs="Arial"/>
          <w:bCs/>
          <w:sz w:val="22"/>
          <w:szCs w:val="22"/>
          <w:lang w:val="en-GB"/>
        </w:rPr>
        <w:t>pomalidomide</w:t>
      </w:r>
      <w:r w:rsidRPr="005D5345">
        <w:rPr>
          <w:rFonts w:ascii="Arial" w:hAnsi="Arial" w:cs="Arial"/>
          <w:bCs/>
          <w:sz w:val="22"/>
          <w:szCs w:val="22"/>
          <w:lang w:val="en-GB"/>
        </w:rPr>
        <w:t xml:space="preserve"> works i</w:t>
      </w:r>
      <w:r w:rsidR="00635E68">
        <w:rPr>
          <w:rFonts w:ascii="Arial" w:hAnsi="Arial" w:cs="Arial"/>
          <w:bCs/>
          <w:sz w:val="22"/>
          <w:szCs w:val="22"/>
          <w:lang w:val="en-GB"/>
        </w:rPr>
        <w:t xml:space="preserve">n the broader group requested (that is </w:t>
      </w:r>
      <w:r w:rsidRPr="005D5345">
        <w:rPr>
          <w:rFonts w:ascii="Arial" w:hAnsi="Arial" w:cs="Arial"/>
          <w:bCs/>
          <w:sz w:val="22"/>
          <w:szCs w:val="22"/>
          <w:lang w:val="en-GB"/>
        </w:rPr>
        <w:t xml:space="preserve">those who have previously received </w:t>
      </w:r>
      <w:r w:rsidR="00FA21D3">
        <w:rPr>
          <w:rFonts w:ascii="Arial" w:hAnsi="Arial" w:cs="Arial"/>
          <w:bCs/>
          <w:sz w:val="22"/>
          <w:szCs w:val="22"/>
          <w:lang w:val="en-GB"/>
        </w:rPr>
        <w:t>lenalidomide</w:t>
      </w:r>
      <w:r w:rsidRPr="005D5345">
        <w:rPr>
          <w:rFonts w:ascii="Arial" w:hAnsi="Arial" w:cs="Arial"/>
          <w:bCs/>
          <w:sz w:val="22"/>
          <w:szCs w:val="22"/>
          <w:lang w:val="en-GB"/>
        </w:rPr>
        <w:t xml:space="preserve"> or </w:t>
      </w:r>
      <w:r w:rsidR="00635E68" w:rsidRPr="00635E68">
        <w:rPr>
          <w:rFonts w:ascii="Arial" w:hAnsi="Arial" w:cs="Arial"/>
          <w:bCs/>
          <w:sz w:val="22"/>
          <w:szCs w:val="22"/>
          <w:lang w:val="en-GB"/>
        </w:rPr>
        <w:t>bortezomib</w:t>
      </w:r>
      <w:r w:rsidRPr="005D5345">
        <w:rPr>
          <w:rFonts w:ascii="Arial" w:hAnsi="Arial" w:cs="Arial"/>
          <w:bCs/>
          <w:sz w:val="22"/>
          <w:szCs w:val="22"/>
          <w:lang w:val="en-GB"/>
        </w:rPr>
        <w:t xml:space="preserve">), but whether </w:t>
      </w:r>
      <w:r w:rsidR="00635E68" w:rsidRPr="005D5345">
        <w:rPr>
          <w:rFonts w:ascii="Arial" w:hAnsi="Arial" w:cs="Arial"/>
          <w:bCs/>
          <w:sz w:val="22"/>
          <w:szCs w:val="22"/>
          <w:lang w:val="en-GB"/>
        </w:rPr>
        <w:t>pomalidomide</w:t>
      </w:r>
      <w:r w:rsidR="00635E68">
        <w:rPr>
          <w:rFonts w:ascii="Arial" w:hAnsi="Arial" w:cs="Arial"/>
          <w:bCs/>
          <w:sz w:val="22"/>
          <w:szCs w:val="22"/>
          <w:lang w:val="en-GB"/>
        </w:rPr>
        <w:t xml:space="preserve"> in this setting</w:t>
      </w:r>
      <w:r w:rsidRPr="005D5345">
        <w:rPr>
          <w:rFonts w:ascii="Arial" w:hAnsi="Arial" w:cs="Arial"/>
          <w:bCs/>
          <w:sz w:val="22"/>
          <w:szCs w:val="22"/>
          <w:lang w:val="en-GB"/>
        </w:rPr>
        <w:t xml:space="preserve"> is cost-effective against the additional comparators that would apply in those circumstances </w:t>
      </w:r>
      <w:r w:rsidR="00635E68">
        <w:rPr>
          <w:rFonts w:ascii="Arial" w:hAnsi="Arial" w:cs="Arial"/>
          <w:bCs/>
          <w:sz w:val="22"/>
          <w:szCs w:val="22"/>
          <w:lang w:val="en-GB"/>
        </w:rPr>
        <w:t xml:space="preserve">(for example </w:t>
      </w:r>
      <w:r w:rsidRPr="005D5345">
        <w:rPr>
          <w:rFonts w:ascii="Arial" w:hAnsi="Arial" w:cs="Arial"/>
          <w:bCs/>
          <w:sz w:val="22"/>
          <w:szCs w:val="22"/>
          <w:lang w:val="en-GB"/>
        </w:rPr>
        <w:t>re-</w:t>
      </w:r>
      <w:r w:rsidR="00635E68">
        <w:rPr>
          <w:rFonts w:ascii="Arial" w:hAnsi="Arial" w:cs="Arial"/>
          <w:bCs/>
          <w:sz w:val="22"/>
          <w:szCs w:val="22"/>
          <w:lang w:val="en-GB"/>
        </w:rPr>
        <w:t>use</w:t>
      </w:r>
      <w:r w:rsidRPr="005D5345">
        <w:rPr>
          <w:rFonts w:ascii="Arial" w:hAnsi="Arial" w:cs="Arial"/>
          <w:bCs/>
          <w:sz w:val="22"/>
          <w:szCs w:val="22"/>
          <w:lang w:val="en-GB"/>
        </w:rPr>
        <w:t xml:space="preserve"> of </w:t>
      </w:r>
      <w:r w:rsidR="00635E68">
        <w:rPr>
          <w:rFonts w:ascii="Arial" w:hAnsi="Arial" w:cs="Arial"/>
          <w:bCs/>
          <w:sz w:val="22"/>
          <w:szCs w:val="22"/>
          <w:lang w:val="en-GB"/>
        </w:rPr>
        <w:t>lenalidomide</w:t>
      </w:r>
      <w:r w:rsidRPr="005D5345">
        <w:rPr>
          <w:rFonts w:ascii="Arial" w:hAnsi="Arial" w:cs="Arial"/>
          <w:bCs/>
          <w:sz w:val="22"/>
          <w:szCs w:val="22"/>
          <w:lang w:val="en-GB"/>
        </w:rPr>
        <w:t xml:space="preserve"> or </w:t>
      </w:r>
      <w:r w:rsidR="00635E68" w:rsidRPr="00635E68">
        <w:rPr>
          <w:rFonts w:ascii="Arial" w:hAnsi="Arial" w:cs="Arial"/>
          <w:bCs/>
          <w:sz w:val="22"/>
          <w:szCs w:val="22"/>
          <w:lang w:val="en-GB"/>
        </w:rPr>
        <w:t>bortezomib</w:t>
      </w:r>
      <w:r w:rsidRPr="005D5345">
        <w:rPr>
          <w:rFonts w:ascii="Arial" w:hAnsi="Arial" w:cs="Arial"/>
          <w:bCs/>
          <w:sz w:val="22"/>
          <w:szCs w:val="22"/>
          <w:lang w:val="en-GB"/>
        </w:rPr>
        <w:t xml:space="preserve"> with adjusted scheduling</w:t>
      </w:r>
      <w:r w:rsidR="00635E68">
        <w:rPr>
          <w:rFonts w:ascii="Arial" w:hAnsi="Arial" w:cs="Arial"/>
          <w:bCs/>
          <w:sz w:val="22"/>
          <w:szCs w:val="22"/>
          <w:lang w:val="en-GB"/>
        </w:rPr>
        <w:t>)</w:t>
      </w:r>
      <w:r w:rsidRPr="005D5345">
        <w:rPr>
          <w:rFonts w:ascii="Arial" w:hAnsi="Arial" w:cs="Arial"/>
          <w:bCs/>
          <w:sz w:val="22"/>
          <w:szCs w:val="22"/>
          <w:lang w:val="en-GB"/>
        </w:rPr>
        <w:t xml:space="preserve">.  </w:t>
      </w:r>
      <w:r w:rsidR="00635E68">
        <w:rPr>
          <w:rFonts w:ascii="Arial" w:hAnsi="Arial" w:cs="Arial"/>
          <w:bCs/>
          <w:sz w:val="22"/>
          <w:szCs w:val="22"/>
          <w:lang w:val="en-GB"/>
        </w:rPr>
        <w:t xml:space="preserve">The PBAC recalled their consideration of pomalidomide at the November 2014 meeting. </w:t>
      </w:r>
      <w:r w:rsidR="00724430">
        <w:rPr>
          <w:rFonts w:ascii="Arial" w:hAnsi="Arial" w:cs="Arial"/>
          <w:bCs/>
          <w:sz w:val="22"/>
          <w:szCs w:val="22"/>
          <w:lang w:val="en-GB"/>
        </w:rPr>
        <w:t xml:space="preserve">The PBAC considered that </w:t>
      </w:r>
      <w:r w:rsidRPr="005D5345">
        <w:rPr>
          <w:rFonts w:ascii="Arial" w:hAnsi="Arial" w:cs="Arial"/>
          <w:bCs/>
          <w:sz w:val="22"/>
          <w:szCs w:val="22"/>
          <w:lang w:val="en-GB"/>
        </w:rPr>
        <w:t>ICER</w:t>
      </w:r>
      <w:r w:rsidR="00702F3D">
        <w:rPr>
          <w:rFonts w:ascii="Arial" w:hAnsi="Arial" w:cs="Arial"/>
          <w:bCs/>
          <w:sz w:val="22"/>
          <w:szCs w:val="22"/>
          <w:lang w:val="en-GB"/>
        </w:rPr>
        <w:t xml:space="preserve"> </w:t>
      </w:r>
      <w:r w:rsidR="00702F3D" w:rsidRPr="00690F0B">
        <w:rPr>
          <w:rFonts w:ascii="Arial" w:hAnsi="Arial" w:cs="Arial"/>
          <w:bCs/>
          <w:snapToGrid w:val="0"/>
          <w:sz w:val="22"/>
          <w:szCs w:val="22"/>
          <w:lang w:val="en-GB"/>
        </w:rPr>
        <w:t>was at the high end of what would be considere</w:t>
      </w:r>
      <w:r w:rsidR="00702F3D">
        <w:rPr>
          <w:rFonts w:ascii="Arial" w:hAnsi="Arial" w:cs="Arial"/>
          <w:bCs/>
          <w:snapToGrid w:val="0"/>
          <w:sz w:val="22"/>
          <w:szCs w:val="22"/>
          <w:lang w:val="en-GB"/>
        </w:rPr>
        <w:t xml:space="preserve">d cost effective </w:t>
      </w:r>
      <w:r w:rsidRPr="005D5345">
        <w:rPr>
          <w:rFonts w:ascii="Arial" w:hAnsi="Arial" w:cs="Arial"/>
          <w:bCs/>
          <w:sz w:val="22"/>
          <w:szCs w:val="22"/>
          <w:lang w:val="en-GB"/>
        </w:rPr>
        <w:t xml:space="preserve">for </w:t>
      </w:r>
      <w:r w:rsidR="00702F3D" w:rsidRPr="005D5345">
        <w:rPr>
          <w:rFonts w:ascii="Arial" w:hAnsi="Arial" w:cs="Arial"/>
          <w:bCs/>
          <w:sz w:val="22"/>
          <w:szCs w:val="22"/>
          <w:lang w:val="en-GB"/>
        </w:rPr>
        <w:t>pomalidomide</w:t>
      </w:r>
      <w:r w:rsidR="00702F3D">
        <w:rPr>
          <w:rFonts w:ascii="Arial" w:hAnsi="Arial" w:cs="Arial"/>
          <w:bCs/>
          <w:sz w:val="22"/>
          <w:szCs w:val="22"/>
          <w:lang w:val="en-GB"/>
        </w:rPr>
        <w:t xml:space="preserve"> in this indication. The PBAC considered that to </w:t>
      </w:r>
      <w:r w:rsidRPr="005D5345">
        <w:rPr>
          <w:rFonts w:ascii="Arial" w:hAnsi="Arial" w:cs="Arial"/>
          <w:bCs/>
          <w:sz w:val="22"/>
          <w:szCs w:val="22"/>
          <w:lang w:val="en-GB"/>
        </w:rPr>
        <w:t>enable use in a broader group, a price reduction</w:t>
      </w:r>
      <w:r w:rsidR="00702F3D">
        <w:rPr>
          <w:rFonts w:ascii="Arial" w:hAnsi="Arial" w:cs="Arial"/>
          <w:bCs/>
          <w:sz w:val="22"/>
          <w:szCs w:val="22"/>
          <w:lang w:val="en-GB"/>
        </w:rPr>
        <w:t xml:space="preserve">, in the order of </w:t>
      </w:r>
      <w:r w:rsidR="00445451">
        <w:rPr>
          <w:rFonts w:ascii="Arial" w:hAnsi="Arial" w:cs="Arial"/>
          <w:bCs/>
          <w:noProof/>
          <w:color w:val="000000"/>
          <w:sz w:val="22"/>
          <w:szCs w:val="22"/>
          <w:highlight w:val="black"/>
          <w:lang w:val="en-GB"/>
        </w:rPr>
        <w:t>''''''</w:t>
      </w:r>
      <w:r w:rsidR="00702F3D">
        <w:rPr>
          <w:rFonts w:ascii="Arial" w:hAnsi="Arial" w:cs="Arial"/>
          <w:bCs/>
          <w:sz w:val="22"/>
          <w:szCs w:val="22"/>
          <w:lang w:val="en-GB"/>
        </w:rPr>
        <w:t>%,</w:t>
      </w:r>
      <w:r w:rsidRPr="005D5345">
        <w:rPr>
          <w:rFonts w:ascii="Arial" w:hAnsi="Arial" w:cs="Arial"/>
          <w:bCs/>
          <w:sz w:val="22"/>
          <w:szCs w:val="22"/>
          <w:lang w:val="en-GB"/>
        </w:rPr>
        <w:t xml:space="preserve"> would be required to address the </w:t>
      </w:r>
      <w:r w:rsidRPr="00610DE4">
        <w:rPr>
          <w:rFonts w:ascii="Arial" w:hAnsi="Arial" w:cs="Arial"/>
          <w:bCs/>
          <w:sz w:val="22"/>
          <w:szCs w:val="22"/>
          <w:lang w:val="en-GB"/>
        </w:rPr>
        <w:t>concern about cost-effectiveness</w:t>
      </w:r>
      <w:r w:rsidR="004006B0">
        <w:rPr>
          <w:rFonts w:ascii="Arial" w:hAnsi="Arial" w:cs="Arial"/>
          <w:bCs/>
          <w:sz w:val="22"/>
          <w:szCs w:val="22"/>
          <w:lang w:val="en-GB"/>
        </w:rPr>
        <w:t>.</w:t>
      </w:r>
      <w:r w:rsidR="004006B0" w:rsidRPr="00610DE4">
        <w:rPr>
          <w:rFonts w:ascii="Arial" w:hAnsi="Arial" w:cs="Arial"/>
          <w:bCs/>
          <w:sz w:val="22"/>
          <w:szCs w:val="22"/>
          <w:lang w:val="en-GB"/>
        </w:rPr>
        <w:t xml:space="preserve"> </w:t>
      </w:r>
      <w:r w:rsidR="004006B0">
        <w:rPr>
          <w:rFonts w:ascii="Arial" w:hAnsi="Arial" w:cs="Arial"/>
          <w:bCs/>
          <w:sz w:val="22"/>
          <w:szCs w:val="22"/>
          <w:lang w:val="en-GB"/>
        </w:rPr>
        <w:t>This in turn would</w:t>
      </w:r>
      <w:r w:rsidR="004006B0" w:rsidRPr="00610DE4">
        <w:rPr>
          <w:rFonts w:ascii="Arial" w:hAnsi="Arial" w:cs="Arial"/>
          <w:bCs/>
          <w:sz w:val="22"/>
          <w:szCs w:val="22"/>
          <w:lang w:val="en-GB"/>
        </w:rPr>
        <w:t xml:space="preserve"> </w:t>
      </w:r>
      <w:r w:rsidRPr="00610DE4">
        <w:rPr>
          <w:rFonts w:ascii="Arial" w:hAnsi="Arial" w:cs="Arial"/>
          <w:bCs/>
          <w:sz w:val="22"/>
          <w:szCs w:val="22"/>
          <w:lang w:val="en-GB"/>
        </w:rPr>
        <w:t xml:space="preserve">enable implementation of restriction changes that would define treatment failure for both </w:t>
      </w:r>
      <w:r w:rsidR="00702F3D" w:rsidRPr="00610DE4">
        <w:rPr>
          <w:rFonts w:ascii="Arial" w:hAnsi="Arial" w:cs="Arial"/>
          <w:bCs/>
          <w:sz w:val="22"/>
          <w:szCs w:val="22"/>
          <w:lang w:val="en-GB"/>
        </w:rPr>
        <w:t xml:space="preserve">lenalidomide and bortezomib </w:t>
      </w:r>
      <w:r w:rsidRPr="00610DE4">
        <w:rPr>
          <w:rFonts w:ascii="Arial" w:hAnsi="Arial" w:cs="Arial"/>
          <w:bCs/>
          <w:sz w:val="22"/>
          <w:szCs w:val="22"/>
          <w:lang w:val="en-GB"/>
        </w:rPr>
        <w:t xml:space="preserve">as failure to achieve at least a </w:t>
      </w:r>
      <w:r w:rsidR="00702F3D" w:rsidRPr="00610DE4">
        <w:rPr>
          <w:rFonts w:ascii="Arial" w:hAnsi="Arial" w:cs="Arial"/>
          <w:bCs/>
          <w:sz w:val="22"/>
          <w:szCs w:val="22"/>
          <w:lang w:val="en-GB"/>
        </w:rPr>
        <w:t>partial response</w:t>
      </w:r>
      <w:r w:rsidRPr="00610DE4">
        <w:rPr>
          <w:rFonts w:ascii="Arial" w:hAnsi="Arial" w:cs="Arial"/>
          <w:bCs/>
          <w:sz w:val="22"/>
          <w:szCs w:val="22"/>
          <w:lang w:val="en-GB"/>
        </w:rPr>
        <w:t xml:space="preserve"> after an adequate trial.</w:t>
      </w:r>
    </w:p>
    <w:p w:rsidR="005D5345" w:rsidRPr="00610DE4" w:rsidRDefault="005D5345" w:rsidP="0034310D">
      <w:pPr>
        <w:rPr>
          <w:rFonts w:ascii="Arial" w:hAnsi="Arial"/>
          <w:b/>
          <w:sz w:val="22"/>
          <w:szCs w:val="22"/>
        </w:rPr>
      </w:pPr>
    </w:p>
    <w:p w:rsidR="005D5345" w:rsidRPr="00610DE4" w:rsidRDefault="005D5345" w:rsidP="005D5345">
      <w:pPr>
        <w:widowControl w:val="0"/>
        <w:numPr>
          <w:ilvl w:val="1"/>
          <w:numId w:val="1"/>
        </w:numPr>
        <w:contextualSpacing/>
        <w:jc w:val="both"/>
        <w:rPr>
          <w:rFonts w:ascii="Arial" w:hAnsi="Arial"/>
          <w:sz w:val="22"/>
          <w:szCs w:val="22"/>
        </w:rPr>
      </w:pPr>
      <w:r w:rsidRPr="00610DE4">
        <w:rPr>
          <w:rFonts w:ascii="Arial" w:hAnsi="Arial" w:cs="Arial"/>
          <w:sz w:val="22"/>
          <w:szCs w:val="22"/>
        </w:rPr>
        <w:t xml:space="preserve">The PBAC noted that the minor submission included a request a change to the lenalidomide restriction to enable re-treatment with lenalidomide after a “treatment holiday”.  </w:t>
      </w:r>
      <w:r w:rsidRPr="00610DE4">
        <w:rPr>
          <w:rFonts w:ascii="Arial" w:hAnsi="Arial"/>
          <w:sz w:val="22"/>
          <w:szCs w:val="22"/>
        </w:rPr>
        <w:t xml:space="preserve">The PBAC recalled views previously expressed by the Myeloma Foundation and HSANZ in support of such a change, and considered it would be reasonable to make the following changes: </w:t>
      </w:r>
    </w:p>
    <w:p w:rsidR="005D5345" w:rsidRPr="00610DE4" w:rsidRDefault="005D5345" w:rsidP="005D5345">
      <w:pPr>
        <w:widowControl w:val="0"/>
        <w:numPr>
          <w:ilvl w:val="1"/>
          <w:numId w:val="9"/>
        </w:numPr>
        <w:contextualSpacing/>
        <w:jc w:val="both"/>
        <w:rPr>
          <w:rFonts w:ascii="Arial" w:hAnsi="Arial"/>
          <w:sz w:val="22"/>
          <w:szCs w:val="22"/>
        </w:rPr>
      </w:pPr>
      <w:r w:rsidRPr="00610DE4">
        <w:rPr>
          <w:rFonts w:ascii="Arial" w:hAnsi="Arial"/>
          <w:sz w:val="22"/>
          <w:szCs w:val="22"/>
        </w:rPr>
        <w:t xml:space="preserve">That the listing allow for re-use of lenalidomide in patients who have not previously failed lenalidomide treatment, since there are situations where it may be clinically appropriate to allow patients to take a ‘drug holiday’ and then recommence treatment. </w:t>
      </w:r>
    </w:p>
    <w:p w:rsidR="005D5345" w:rsidRPr="00610DE4" w:rsidRDefault="005D5345" w:rsidP="00FA21D3">
      <w:pPr>
        <w:pStyle w:val="ListParagraph"/>
        <w:numPr>
          <w:ilvl w:val="1"/>
          <w:numId w:val="9"/>
        </w:numPr>
        <w:jc w:val="both"/>
        <w:rPr>
          <w:rFonts w:ascii="Arial" w:hAnsi="Arial"/>
          <w:sz w:val="22"/>
          <w:szCs w:val="22"/>
        </w:rPr>
      </w:pPr>
      <w:r w:rsidRPr="00610DE4">
        <w:rPr>
          <w:rFonts w:ascii="Arial" w:hAnsi="Arial"/>
          <w:sz w:val="22"/>
          <w:szCs w:val="22"/>
        </w:rPr>
        <w:t>That the need to try thalidomide treatment prior to accessing lenalidomide, upon relapsing after bortezomib treatment be removed.</w:t>
      </w:r>
    </w:p>
    <w:p w:rsidR="00514716" w:rsidRPr="00610DE4" w:rsidRDefault="00514716" w:rsidP="001742C1">
      <w:pPr>
        <w:contextualSpacing/>
        <w:rPr>
          <w:rFonts w:ascii="Arial" w:hAnsi="Arial" w:cs="Arial"/>
          <w:bCs/>
          <w:sz w:val="22"/>
          <w:szCs w:val="22"/>
          <w:lang w:val="en-GB"/>
        </w:rPr>
      </w:pPr>
    </w:p>
    <w:p w:rsidR="005D5345" w:rsidRPr="00610DE4" w:rsidRDefault="005D5345" w:rsidP="00B17427">
      <w:pPr>
        <w:widowControl w:val="0"/>
        <w:numPr>
          <w:ilvl w:val="1"/>
          <w:numId w:val="1"/>
        </w:numPr>
        <w:contextualSpacing/>
        <w:jc w:val="both"/>
        <w:rPr>
          <w:rFonts w:ascii="Arial" w:hAnsi="Arial" w:cs="Arial"/>
          <w:b/>
          <w:bCs/>
          <w:sz w:val="22"/>
          <w:szCs w:val="22"/>
          <w:lang w:val="en-GB"/>
        </w:rPr>
      </w:pPr>
      <w:r w:rsidRPr="00610DE4">
        <w:rPr>
          <w:rFonts w:ascii="Arial" w:hAnsi="Arial" w:cs="Arial"/>
          <w:bCs/>
          <w:sz w:val="22"/>
          <w:szCs w:val="22"/>
          <w:lang w:val="en-GB"/>
        </w:rPr>
        <w:lastRenderedPageBreak/>
        <w:t>The PBAC considered that these changes to the lenalidomide will address some of the concerns for clinicians and patients being treated for multiple myeloma</w:t>
      </w:r>
      <w:r w:rsidR="00702F3D" w:rsidRPr="00610DE4">
        <w:rPr>
          <w:rFonts w:ascii="Arial" w:hAnsi="Arial" w:cs="Arial"/>
          <w:bCs/>
          <w:sz w:val="22"/>
          <w:szCs w:val="22"/>
          <w:lang w:val="en-GB"/>
        </w:rPr>
        <w:t xml:space="preserve">, </w:t>
      </w:r>
      <w:r w:rsidRPr="00610DE4">
        <w:rPr>
          <w:rFonts w:ascii="Arial" w:hAnsi="Arial" w:cs="Arial"/>
          <w:bCs/>
          <w:sz w:val="22"/>
          <w:szCs w:val="22"/>
          <w:lang w:val="en-GB"/>
        </w:rPr>
        <w:t>where lenalidomide has been discontinued for reasons other than failure of the medicine.</w:t>
      </w:r>
    </w:p>
    <w:p w:rsidR="005D5345" w:rsidRPr="00610DE4" w:rsidRDefault="005D5345" w:rsidP="005D5345">
      <w:pPr>
        <w:widowControl w:val="0"/>
        <w:contextualSpacing/>
        <w:jc w:val="both"/>
        <w:rPr>
          <w:rFonts w:ascii="Arial" w:hAnsi="Arial" w:cs="Arial"/>
          <w:b/>
          <w:bCs/>
          <w:sz w:val="22"/>
          <w:szCs w:val="22"/>
          <w:lang w:val="en-GB"/>
        </w:rPr>
      </w:pPr>
      <w:r w:rsidRPr="00610DE4">
        <w:rPr>
          <w:rFonts w:ascii="Arial" w:hAnsi="Arial" w:cs="Arial"/>
          <w:bCs/>
          <w:sz w:val="22"/>
          <w:szCs w:val="22"/>
          <w:lang w:val="en-GB"/>
        </w:rPr>
        <w:t xml:space="preserve"> </w:t>
      </w:r>
    </w:p>
    <w:p w:rsidR="00514716" w:rsidRPr="00610DE4" w:rsidRDefault="00514716" w:rsidP="00514716">
      <w:pPr>
        <w:widowControl w:val="0"/>
        <w:numPr>
          <w:ilvl w:val="1"/>
          <w:numId w:val="1"/>
        </w:numPr>
        <w:contextualSpacing/>
        <w:jc w:val="both"/>
        <w:rPr>
          <w:rFonts w:ascii="Arial" w:hAnsi="Arial" w:cs="Arial"/>
          <w:b/>
          <w:bCs/>
          <w:sz w:val="22"/>
          <w:szCs w:val="22"/>
          <w:lang w:val="en-GB"/>
        </w:rPr>
      </w:pPr>
      <w:r w:rsidRPr="00610DE4">
        <w:rPr>
          <w:rFonts w:ascii="Arial" w:hAnsi="Arial" w:cs="Arial"/>
          <w:bCs/>
          <w:sz w:val="22"/>
          <w:szCs w:val="22"/>
          <w:lang w:val="en-GB"/>
        </w:rPr>
        <w:t>The PB</w:t>
      </w:r>
      <w:r w:rsidR="001742C1" w:rsidRPr="00610DE4">
        <w:rPr>
          <w:rFonts w:ascii="Arial" w:hAnsi="Arial" w:cs="Arial"/>
          <w:bCs/>
          <w:sz w:val="22"/>
          <w:szCs w:val="22"/>
          <w:lang w:val="en-GB"/>
        </w:rPr>
        <w:t xml:space="preserve">AC noted that this submission </w:t>
      </w:r>
      <w:r w:rsidRPr="00610DE4">
        <w:rPr>
          <w:rFonts w:ascii="Arial" w:hAnsi="Arial" w:cs="Arial"/>
          <w:bCs/>
          <w:sz w:val="22"/>
          <w:szCs w:val="22"/>
          <w:lang w:val="en-GB"/>
        </w:rPr>
        <w:t xml:space="preserve">is not eligible for an Independent </w:t>
      </w:r>
      <w:r w:rsidR="0034310D" w:rsidRPr="00610DE4">
        <w:rPr>
          <w:rFonts w:ascii="Arial" w:hAnsi="Arial" w:cs="Arial"/>
          <w:bCs/>
          <w:sz w:val="22"/>
          <w:szCs w:val="22"/>
          <w:lang w:val="en-GB"/>
        </w:rPr>
        <w:t>Review;</w:t>
      </w:r>
      <w:r w:rsidR="001742C1" w:rsidRPr="00610DE4">
        <w:rPr>
          <w:rFonts w:ascii="Arial" w:hAnsi="Arial" w:cs="Arial"/>
          <w:bCs/>
          <w:sz w:val="22"/>
          <w:szCs w:val="22"/>
          <w:lang w:val="en-GB"/>
        </w:rPr>
        <w:t xml:space="preserve"> </w:t>
      </w:r>
      <w:r w:rsidR="001742C1" w:rsidRPr="00610DE4">
        <w:rPr>
          <w:rFonts w:ascii="Arial" w:hAnsi="Arial"/>
          <w:sz w:val="22"/>
          <w:szCs w:val="22"/>
        </w:rPr>
        <w:t>Independent Review is not available in response to a request to modify or extend an existing listing.</w:t>
      </w:r>
    </w:p>
    <w:p w:rsidR="005D5345" w:rsidRDefault="005D5345" w:rsidP="005D5345">
      <w:pPr>
        <w:widowControl w:val="0"/>
        <w:contextualSpacing/>
        <w:jc w:val="both"/>
        <w:rPr>
          <w:rFonts w:ascii="Arial" w:hAnsi="Arial" w:cs="Arial"/>
          <w:b/>
          <w:bCs/>
          <w:sz w:val="22"/>
          <w:szCs w:val="22"/>
          <w:lang w:val="en-GB"/>
        </w:rPr>
      </w:pPr>
    </w:p>
    <w:p w:rsidR="00514716" w:rsidRPr="001742C1" w:rsidRDefault="00514716" w:rsidP="00514716">
      <w:pPr>
        <w:rPr>
          <w:rFonts w:ascii="Arial" w:hAnsi="Arial" w:cs="Arial"/>
          <w:b/>
          <w:bCs/>
          <w:sz w:val="22"/>
          <w:szCs w:val="22"/>
          <w:lang w:val="en-GB"/>
        </w:rPr>
      </w:pPr>
      <w:r w:rsidRPr="001742C1">
        <w:rPr>
          <w:rFonts w:ascii="Arial" w:hAnsi="Arial" w:cs="Arial"/>
          <w:b/>
          <w:bCs/>
          <w:sz w:val="22"/>
          <w:szCs w:val="22"/>
          <w:lang w:val="en-GB"/>
        </w:rPr>
        <w:t>Outcome:</w:t>
      </w:r>
    </w:p>
    <w:p w:rsidR="00514716" w:rsidRDefault="00514716" w:rsidP="00514716">
      <w:pPr>
        <w:rPr>
          <w:rFonts w:ascii="Arial" w:hAnsi="Arial" w:cs="Arial"/>
          <w:bCs/>
          <w:sz w:val="22"/>
          <w:szCs w:val="22"/>
          <w:lang w:val="en-GB"/>
        </w:rPr>
      </w:pPr>
      <w:r w:rsidRPr="001742C1">
        <w:rPr>
          <w:rFonts w:ascii="Arial" w:hAnsi="Arial" w:cs="Arial"/>
          <w:bCs/>
          <w:sz w:val="22"/>
          <w:szCs w:val="22"/>
          <w:lang w:val="en-GB"/>
        </w:rPr>
        <w:t>Rejected</w:t>
      </w:r>
    </w:p>
    <w:p w:rsidR="0042130A" w:rsidRDefault="0042130A" w:rsidP="00514716">
      <w:pPr>
        <w:rPr>
          <w:rFonts w:ascii="Arial" w:hAnsi="Arial" w:cs="Arial"/>
          <w:bCs/>
          <w:sz w:val="22"/>
          <w:szCs w:val="22"/>
          <w:lang w:val="en-GB"/>
        </w:rPr>
      </w:pPr>
    </w:p>
    <w:p w:rsidR="00CA0B15" w:rsidRDefault="00CA0B15" w:rsidP="00514716">
      <w:pPr>
        <w:rPr>
          <w:rFonts w:ascii="Arial" w:hAnsi="Arial" w:cs="Arial"/>
          <w:bCs/>
          <w:sz w:val="22"/>
          <w:szCs w:val="22"/>
          <w:lang w:val="en-GB"/>
        </w:rPr>
      </w:pPr>
    </w:p>
    <w:p w:rsidR="0042130A" w:rsidRDefault="0042130A" w:rsidP="0042130A">
      <w:pPr>
        <w:pStyle w:val="Heading1"/>
      </w:pPr>
      <w:r w:rsidRPr="00632206">
        <w:t>Context for Decision</w:t>
      </w:r>
    </w:p>
    <w:p w:rsidR="0042130A" w:rsidRDefault="0042130A" w:rsidP="0042130A">
      <w:pPr>
        <w:ind w:left="720"/>
        <w:jc w:val="both"/>
        <w:rPr>
          <w:rFonts w:ascii="Arial" w:hAnsi="Arial" w:cs="Arial"/>
          <w:sz w:val="22"/>
        </w:rPr>
      </w:pPr>
    </w:p>
    <w:p w:rsidR="0042130A" w:rsidRDefault="0042130A" w:rsidP="0042130A">
      <w:pPr>
        <w:ind w:left="720"/>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2130A" w:rsidRDefault="0042130A" w:rsidP="0042130A">
      <w:pPr>
        <w:ind w:left="720"/>
        <w:jc w:val="both"/>
        <w:rPr>
          <w:rFonts w:ascii="Arial" w:hAnsi="Arial" w:cs="Arial"/>
          <w:sz w:val="22"/>
        </w:rPr>
      </w:pPr>
    </w:p>
    <w:p w:rsidR="00CA0B15" w:rsidRDefault="00CA0B15" w:rsidP="0042130A">
      <w:pPr>
        <w:ind w:left="720"/>
        <w:jc w:val="both"/>
        <w:rPr>
          <w:rFonts w:ascii="Arial" w:hAnsi="Arial" w:cs="Arial"/>
          <w:sz w:val="22"/>
        </w:rPr>
      </w:pPr>
    </w:p>
    <w:p w:rsidR="0042130A" w:rsidRDefault="0042130A" w:rsidP="0042130A">
      <w:pPr>
        <w:pStyle w:val="Heading1"/>
      </w:pPr>
      <w:r w:rsidRPr="00451386">
        <w:t>Sponsor’s Comment</w:t>
      </w:r>
    </w:p>
    <w:p w:rsidR="0042130A" w:rsidRDefault="0042130A" w:rsidP="0042130A">
      <w:pPr>
        <w:ind w:left="720"/>
        <w:jc w:val="both"/>
        <w:rPr>
          <w:rFonts w:ascii="Arial" w:hAnsi="Arial" w:cs="Arial"/>
          <w:bCs/>
          <w:sz w:val="22"/>
          <w:highlight w:val="yellow"/>
          <w:lang w:val="en-GB"/>
        </w:rPr>
      </w:pPr>
    </w:p>
    <w:p w:rsidR="00FC7D1F" w:rsidRPr="00FC7D1F" w:rsidRDefault="00FC7D1F" w:rsidP="00FC7D1F">
      <w:pPr>
        <w:ind w:left="720"/>
        <w:jc w:val="both"/>
        <w:rPr>
          <w:rFonts w:ascii="Arial" w:hAnsi="Arial" w:cs="Arial"/>
          <w:bCs/>
          <w:sz w:val="22"/>
          <w:lang w:val="en-GB"/>
        </w:rPr>
      </w:pPr>
      <w:r w:rsidRPr="00FC7D1F">
        <w:rPr>
          <w:rFonts w:ascii="Arial" w:hAnsi="Arial" w:cs="Arial"/>
          <w:bCs/>
          <w:sz w:val="22"/>
          <w:lang w:val="en-GB"/>
        </w:rPr>
        <w:t>Celgene would like to thank the HSANZ and Myeloma Australia for their support in helping the PBAC understand some of the unintended consequences of the current wording of the Pomalidomide restriction. There is still a group of patients who will not be eligible for PBS funded Pomalidomide as a consequence of this decision. Celgene will endeavour to work with the Department and the PBAC to address the needs of these patients.</w:t>
      </w:r>
    </w:p>
    <w:p w:rsidR="0042130A" w:rsidRPr="001742C1" w:rsidRDefault="0042130A" w:rsidP="00FC7D1F">
      <w:pPr>
        <w:spacing w:after="120"/>
        <w:ind w:left="720"/>
        <w:jc w:val="both"/>
        <w:rPr>
          <w:rFonts w:ascii="Arial" w:hAnsi="Arial" w:cs="Arial"/>
          <w:bCs/>
          <w:sz w:val="22"/>
          <w:szCs w:val="22"/>
          <w:lang w:val="en-GB"/>
        </w:rPr>
      </w:pPr>
    </w:p>
    <w:sectPr w:rsidR="0042130A" w:rsidRPr="001742C1"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451" w:rsidRDefault="00445451">
      <w:r>
        <w:separator/>
      </w:r>
    </w:p>
    <w:p w:rsidR="00445451" w:rsidRDefault="00445451"/>
  </w:endnote>
  <w:endnote w:type="continuationSeparator" w:id="0">
    <w:p w:rsidR="00445451" w:rsidRDefault="00445451">
      <w:r>
        <w:continuationSeparator/>
      </w:r>
    </w:p>
    <w:p w:rsidR="00445451" w:rsidRDefault="00445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D0EEC" w:rsidTr="005A3173">
      <w:trPr>
        <w:trHeight w:val="151"/>
      </w:trPr>
      <w:tc>
        <w:tcPr>
          <w:tcW w:w="2250" w:type="pct"/>
          <w:tcBorders>
            <w:top w:val="nil"/>
            <w:left w:val="nil"/>
            <w:bottom w:val="single" w:sz="4" w:space="0" w:color="4F81BD"/>
            <w:right w:val="nil"/>
          </w:tcBorders>
        </w:tcPr>
        <w:p w:rsidR="00CD0EEC" w:rsidRPr="005A3173" w:rsidRDefault="00CD0EE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D0EEC" w:rsidRPr="005A3173" w:rsidRDefault="00CD0EE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D0EEC" w:rsidRPr="005A3173" w:rsidRDefault="00CD0EEC" w:rsidP="005A3173">
          <w:pPr>
            <w:pStyle w:val="Header"/>
            <w:spacing w:line="276" w:lineRule="auto"/>
            <w:rPr>
              <w:rFonts w:ascii="Calibri" w:eastAsia="MS Gothic" w:hAnsi="Calibri"/>
              <w:b/>
              <w:bCs/>
              <w:color w:val="4F81BD"/>
            </w:rPr>
          </w:pPr>
        </w:p>
      </w:tc>
    </w:tr>
    <w:tr w:rsidR="00CD0EEC" w:rsidTr="005A3173">
      <w:trPr>
        <w:trHeight w:val="150"/>
      </w:trPr>
      <w:tc>
        <w:tcPr>
          <w:tcW w:w="2250" w:type="pct"/>
          <w:tcBorders>
            <w:top w:val="single" w:sz="4" w:space="0" w:color="4F81BD"/>
            <w:left w:val="nil"/>
            <w:bottom w:val="nil"/>
            <w:right w:val="nil"/>
          </w:tcBorders>
        </w:tcPr>
        <w:p w:rsidR="00CD0EEC" w:rsidRPr="005A3173" w:rsidRDefault="00CD0EEC" w:rsidP="005A3173">
          <w:pPr>
            <w:pStyle w:val="Header"/>
            <w:spacing w:line="276" w:lineRule="auto"/>
            <w:rPr>
              <w:rFonts w:ascii="Calibri" w:eastAsia="MS Gothic" w:hAnsi="Calibri"/>
              <w:b/>
              <w:bCs/>
              <w:color w:val="4F81BD"/>
            </w:rPr>
          </w:pPr>
        </w:p>
      </w:tc>
      <w:tc>
        <w:tcPr>
          <w:tcW w:w="0" w:type="auto"/>
          <w:vMerge/>
          <w:vAlign w:val="center"/>
          <w:hideMark/>
        </w:tcPr>
        <w:p w:rsidR="00CD0EEC" w:rsidRPr="005A3173" w:rsidRDefault="00CD0EEC" w:rsidP="005A3173">
          <w:pPr>
            <w:rPr>
              <w:rFonts w:ascii="Calibri" w:hAnsi="Calibri"/>
              <w:color w:val="365F91"/>
              <w:sz w:val="22"/>
              <w:szCs w:val="22"/>
            </w:rPr>
          </w:pPr>
        </w:p>
      </w:tc>
      <w:tc>
        <w:tcPr>
          <w:tcW w:w="2250" w:type="pct"/>
          <w:tcBorders>
            <w:top w:val="single" w:sz="4" w:space="0" w:color="4F81BD"/>
            <w:left w:val="nil"/>
            <w:bottom w:val="nil"/>
            <w:right w:val="nil"/>
          </w:tcBorders>
        </w:tcPr>
        <w:p w:rsidR="00CD0EEC" w:rsidRPr="005A3173" w:rsidRDefault="00CD0EEC" w:rsidP="005A3173">
          <w:pPr>
            <w:pStyle w:val="Header"/>
            <w:spacing w:line="276" w:lineRule="auto"/>
            <w:rPr>
              <w:rFonts w:ascii="Calibri" w:eastAsia="MS Gothic" w:hAnsi="Calibri"/>
              <w:b/>
              <w:bCs/>
              <w:color w:val="4F81BD"/>
            </w:rPr>
          </w:pPr>
        </w:p>
      </w:tc>
    </w:tr>
  </w:tbl>
  <w:p w:rsidR="00CD0EEC" w:rsidRDefault="00CD0EE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0EEC" w:rsidRDefault="00CD0EEC">
    <w:pPr>
      <w:pStyle w:val="Footer"/>
    </w:pPr>
  </w:p>
  <w:p w:rsidR="00CD0EEC" w:rsidRDefault="00CD0E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610242683"/>
      <w:docPartObj>
        <w:docPartGallery w:val="Page Numbers (Bottom of Page)"/>
        <w:docPartUnique/>
      </w:docPartObj>
    </w:sdtPr>
    <w:sdtEndPr>
      <w:rPr>
        <w:noProof/>
      </w:rPr>
    </w:sdtEndPr>
    <w:sdtContent>
      <w:p w:rsidR="00755EE5" w:rsidRPr="00514716" w:rsidRDefault="00755EE5">
        <w:pPr>
          <w:pStyle w:val="Footer"/>
          <w:jc w:val="center"/>
          <w:rPr>
            <w:rFonts w:ascii="Arial" w:hAnsi="Arial" w:cs="Arial"/>
            <w:sz w:val="22"/>
          </w:rPr>
        </w:pPr>
        <w:r w:rsidRPr="00514716">
          <w:rPr>
            <w:rFonts w:ascii="Arial" w:hAnsi="Arial" w:cs="Arial"/>
            <w:sz w:val="22"/>
          </w:rPr>
          <w:fldChar w:fldCharType="begin"/>
        </w:r>
        <w:r w:rsidRPr="00514716">
          <w:rPr>
            <w:rFonts w:ascii="Arial" w:hAnsi="Arial" w:cs="Arial"/>
            <w:sz w:val="22"/>
          </w:rPr>
          <w:instrText xml:space="preserve"> PAGE   \* MERGEFORMAT </w:instrText>
        </w:r>
        <w:r w:rsidRPr="00514716">
          <w:rPr>
            <w:rFonts w:ascii="Arial" w:hAnsi="Arial" w:cs="Arial"/>
            <w:sz w:val="22"/>
          </w:rPr>
          <w:fldChar w:fldCharType="separate"/>
        </w:r>
        <w:r w:rsidR="008D767E">
          <w:rPr>
            <w:rFonts w:ascii="Arial" w:hAnsi="Arial" w:cs="Arial"/>
            <w:noProof/>
            <w:sz w:val="22"/>
          </w:rPr>
          <w:t>2</w:t>
        </w:r>
        <w:r w:rsidRPr="00514716">
          <w:rPr>
            <w:rFonts w:ascii="Arial" w:hAnsi="Arial" w:cs="Arial"/>
            <w:noProof/>
            <w:sz w:val="22"/>
          </w:rPr>
          <w:fldChar w:fldCharType="end"/>
        </w:r>
      </w:p>
    </w:sdtContent>
  </w:sdt>
  <w:p w:rsidR="00CD0EEC" w:rsidRDefault="00CD0EEC"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D0EEC" w:rsidTr="005A3173">
      <w:trPr>
        <w:trHeight w:val="151"/>
      </w:trPr>
      <w:tc>
        <w:tcPr>
          <w:tcW w:w="2250" w:type="pct"/>
          <w:tcBorders>
            <w:top w:val="nil"/>
            <w:left w:val="nil"/>
            <w:bottom w:val="single" w:sz="4" w:space="0" w:color="4F81BD"/>
            <w:right w:val="nil"/>
          </w:tcBorders>
        </w:tcPr>
        <w:p w:rsidR="00CD0EEC" w:rsidRPr="005A3173" w:rsidRDefault="00CD0EE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D0EEC" w:rsidRPr="005A3173" w:rsidRDefault="00CD0EE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D0EEC" w:rsidRPr="005A3173" w:rsidRDefault="00CD0EEC" w:rsidP="005A3173">
          <w:pPr>
            <w:pStyle w:val="Header"/>
            <w:spacing w:line="276" w:lineRule="auto"/>
            <w:rPr>
              <w:rFonts w:ascii="Calibri" w:eastAsia="MS Gothic" w:hAnsi="Calibri"/>
              <w:b/>
              <w:bCs/>
              <w:color w:val="4F81BD"/>
            </w:rPr>
          </w:pPr>
        </w:p>
      </w:tc>
    </w:tr>
    <w:tr w:rsidR="00CD0EEC" w:rsidTr="005A3173">
      <w:trPr>
        <w:trHeight w:val="150"/>
      </w:trPr>
      <w:tc>
        <w:tcPr>
          <w:tcW w:w="2250" w:type="pct"/>
          <w:tcBorders>
            <w:top w:val="single" w:sz="4" w:space="0" w:color="4F81BD"/>
            <w:left w:val="nil"/>
            <w:bottom w:val="nil"/>
            <w:right w:val="nil"/>
          </w:tcBorders>
        </w:tcPr>
        <w:p w:rsidR="00CD0EEC" w:rsidRPr="005A3173" w:rsidRDefault="00CD0EEC" w:rsidP="005A3173">
          <w:pPr>
            <w:pStyle w:val="Header"/>
            <w:spacing w:line="276" w:lineRule="auto"/>
            <w:rPr>
              <w:rFonts w:ascii="Calibri" w:eastAsia="MS Gothic" w:hAnsi="Calibri"/>
              <w:b/>
              <w:bCs/>
              <w:color w:val="4F81BD"/>
            </w:rPr>
          </w:pPr>
        </w:p>
      </w:tc>
      <w:tc>
        <w:tcPr>
          <w:tcW w:w="0" w:type="auto"/>
          <w:vMerge/>
          <w:vAlign w:val="center"/>
          <w:hideMark/>
        </w:tcPr>
        <w:p w:rsidR="00CD0EEC" w:rsidRPr="005A3173" w:rsidRDefault="00CD0EEC" w:rsidP="005A3173">
          <w:pPr>
            <w:rPr>
              <w:rFonts w:ascii="Calibri" w:hAnsi="Calibri"/>
              <w:color w:val="365F91"/>
              <w:sz w:val="22"/>
              <w:szCs w:val="22"/>
            </w:rPr>
          </w:pPr>
        </w:p>
      </w:tc>
      <w:tc>
        <w:tcPr>
          <w:tcW w:w="2250" w:type="pct"/>
          <w:tcBorders>
            <w:top w:val="single" w:sz="4" w:space="0" w:color="4F81BD"/>
            <w:left w:val="nil"/>
            <w:bottom w:val="nil"/>
            <w:right w:val="nil"/>
          </w:tcBorders>
        </w:tcPr>
        <w:p w:rsidR="00CD0EEC" w:rsidRPr="005A3173" w:rsidRDefault="00CD0EE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D0EEC" w:rsidTr="005A3173">
      <w:trPr>
        <w:trHeight w:val="151"/>
      </w:trPr>
      <w:tc>
        <w:tcPr>
          <w:tcW w:w="2250" w:type="pct"/>
          <w:tcBorders>
            <w:top w:val="nil"/>
            <w:left w:val="nil"/>
            <w:bottom w:val="single" w:sz="4" w:space="0" w:color="4F81BD"/>
            <w:right w:val="nil"/>
          </w:tcBorders>
        </w:tcPr>
        <w:p w:rsidR="00CD0EEC" w:rsidRPr="005A3173" w:rsidRDefault="00CD0EE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D0EEC" w:rsidRPr="005A3173" w:rsidRDefault="00CD0EE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D0EEC" w:rsidRPr="005A3173" w:rsidRDefault="00CD0EEC" w:rsidP="005A3173">
          <w:pPr>
            <w:pStyle w:val="Header"/>
            <w:spacing w:line="276" w:lineRule="auto"/>
            <w:rPr>
              <w:rFonts w:ascii="Calibri" w:eastAsia="MS Gothic" w:hAnsi="Calibri"/>
              <w:b/>
              <w:bCs/>
              <w:color w:val="4F81BD"/>
            </w:rPr>
          </w:pPr>
        </w:p>
      </w:tc>
    </w:tr>
    <w:tr w:rsidR="00CD0EEC" w:rsidTr="005A3173">
      <w:trPr>
        <w:trHeight w:val="150"/>
      </w:trPr>
      <w:tc>
        <w:tcPr>
          <w:tcW w:w="2250" w:type="pct"/>
          <w:tcBorders>
            <w:top w:val="single" w:sz="4" w:space="0" w:color="4F81BD"/>
            <w:left w:val="nil"/>
            <w:bottom w:val="nil"/>
            <w:right w:val="nil"/>
          </w:tcBorders>
        </w:tcPr>
        <w:p w:rsidR="00CD0EEC" w:rsidRPr="005A3173" w:rsidRDefault="00CD0EEC" w:rsidP="005A3173">
          <w:pPr>
            <w:pStyle w:val="Header"/>
            <w:spacing w:line="276" w:lineRule="auto"/>
            <w:rPr>
              <w:rFonts w:ascii="Calibri" w:eastAsia="MS Gothic" w:hAnsi="Calibri"/>
              <w:b/>
              <w:bCs/>
              <w:color w:val="4F81BD"/>
            </w:rPr>
          </w:pPr>
        </w:p>
      </w:tc>
      <w:tc>
        <w:tcPr>
          <w:tcW w:w="0" w:type="auto"/>
          <w:vMerge/>
          <w:vAlign w:val="center"/>
          <w:hideMark/>
        </w:tcPr>
        <w:p w:rsidR="00CD0EEC" w:rsidRPr="005A3173" w:rsidRDefault="00CD0EEC" w:rsidP="005A3173">
          <w:pPr>
            <w:rPr>
              <w:rFonts w:ascii="Calibri" w:hAnsi="Calibri"/>
              <w:color w:val="365F91"/>
              <w:sz w:val="22"/>
              <w:szCs w:val="22"/>
            </w:rPr>
          </w:pPr>
        </w:p>
      </w:tc>
      <w:tc>
        <w:tcPr>
          <w:tcW w:w="2250" w:type="pct"/>
          <w:tcBorders>
            <w:top w:val="single" w:sz="4" w:space="0" w:color="4F81BD"/>
            <w:left w:val="nil"/>
            <w:bottom w:val="nil"/>
            <w:right w:val="nil"/>
          </w:tcBorders>
        </w:tcPr>
        <w:p w:rsidR="00CD0EEC" w:rsidRPr="005A3173" w:rsidRDefault="00CD0EEC" w:rsidP="005A3173">
          <w:pPr>
            <w:pStyle w:val="Header"/>
            <w:spacing w:line="276" w:lineRule="auto"/>
            <w:rPr>
              <w:rFonts w:ascii="Calibri" w:eastAsia="MS Gothic" w:hAnsi="Calibri"/>
              <w:b/>
              <w:bCs/>
              <w:color w:val="4F81BD"/>
            </w:rPr>
          </w:pPr>
        </w:p>
      </w:tc>
    </w:tr>
  </w:tbl>
  <w:p w:rsidR="00CD0EEC" w:rsidRPr="007C0F57" w:rsidRDefault="00CD0EE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D0EEC" w:rsidRPr="007C0F57" w:rsidRDefault="00CD0EEC" w:rsidP="007C0F57">
    <w:pPr>
      <w:pStyle w:val="Footer"/>
      <w:jc w:val="center"/>
      <w:rPr>
        <w:b/>
        <w:i/>
        <w:sz w:val="20"/>
        <w:szCs w:val="20"/>
      </w:rPr>
    </w:pPr>
    <w:r w:rsidRPr="007C0F57">
      <w:rPr>
        <w:b/>
        <w:i/>
        <w:sz w:val="20"/>
        <w:szCs w:val="20"/>
      </w:rPr>
      <w:t>Commercial-in-Confidence</w:t>
    </w:r>
  </w:p>
  <w:p w:rsidR="00CD0EEC" w:rsidRDefault="00CD0E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451" w:rsidRDefault="00445451">
      <w:r>
        <w:separator/>
      </w:r>
    </w:p>
    <w:p w:rsidR="00445451" w:rsidRDefault="00445451"/>
  </w:footnote>
  <w:footnote w:type="continuationSeparator" w:id="0">
    <w:p w:rsidR="00445451" w:rsidRDefault="00445451">
      <w:r>
        <w:continuationSeparator/>
      </w:r>
    </w:p>
    <w:p w:rsidR="00445451" w:rsidRDefault="004454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D0EEC" w:rsidRPr="008E0D90" w:rsidTr="00A06225">
      <w:trPr>
        <w:trHeight w:val="151"/>
      </w:trPr>
      <w:tc>
        <w:tcPr>
          <w:tcW w:w="2389" w:type="pct"/>
          <w:tcBorders>
            <w:top w:val="nil"/>
            <w:left w:val="nil"/>
            <w:bottom w:val="single" w:sz="4" w:space="0" w:color="4F81BD"/>
            <w:right w:val="nil"/>
          </w:tcBorders>
        </w:tcPr>
        <w:p w:rsidR="00CD0EEC" w:rsidRPr="00A06225" w:rsidRDefault="00CD0EEC">
          <w:pPr>
            <w:pStyle w:val="Header"/>
            <w:spacing w:line="276" w:lineRule="auto"/>
            <w:rPr>
              <w:rFonts w:ascii="Cambria" w:eastAsia="MS Gothic" w:hAnsi="Cambria"/>
              <w:b/>
              <w:bCs/>
              <w:color w:val="4F81BD"/>
            </w:rPr>
          </w:pPr>
        </w:p>
      </w:tc>
      <w:tc>
        <w:tcPr>
          <w:tcW w:w="333" w:type="pct"/>
          <w:vMerge w:val="restart"/>
          <w:noWrap/>
          <w:vAlign w:val="center"/>
          <w:hideMark/>
        </w:tcPr>
        <w:p w:rsidR="00CD0EEC" w:rsidRPr="00A06225" w:rsidRDefault="00CD0EE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D0EEC" w:rsidRPr="00A06225" w:rsidRDefault="00CD0EEC">
          <w:pPr>
            <w:pStyle w:val="Header"/>
            <w:spacing w:line="276" w:lineRule="auto"/>
            <w:rPr>
              <w:rFonts w:ascii="Cambria" w:eastAsia="MS Gothic" w:hAnsi="Cambria"/>
              <w:b/>
              <w:bCs/>
              <w:color w:val="4F81BD"/>
            </w:rPr>
          </w:pPr>
        </w:p>
      </w:tc>
    </w:tr>
    <w:tr w:rsidR="00CD0EEC" w:rsidRPr="008E0D90" w:rsidTr="00A06225">
      <w:trPr>
        <w:trHeight w:val="150"/>
      </w:trPr>
      <w:tc>
        <w:tcPr>
          <w:tcW w:w="2389" w:type="pct"/>
          <w:tcBorders>
            <w:top w:val="single" w:sz="4" w:space="0" w:color="4F81BD"/>
            <w:left w:val="nil"/>
            <w:bottom w:val="nil"/>
            <w:right w:val="nil"/>
          </w:tcBorders>
        </w:tcPr>
        <w:p w:rsidR="00CD0EEC" w:rsidRPr="00A06225" w:rsidRDefault="00CD0EEC">
          <w:pPr>
            <w:pStyle w:val="Header"/>
            <w:spacing w:line="276" w:lineRule="auto"/>
            <w:rPr>
              <w:rFonts w:ascii="Cambria" w:eastAsia="MS Gothic" w:hAnsi="Cambria"/>
              <w:b/>
              <w:bCs/>
              <w:color w:val="4F81BD"/>
            </w:rPr>
          </w:pPr>
        </w:p>
      </w:tc>
      <w:tc>
        <w:tcPr>
          <w:tcW w:w="0" w:type="auto"/>
          <w:vMerge/>
          <w:vAlign w:val="center"/>
          <w:hideMark/>
        </w:tcPr>
        <w:p w:rsidR="00CD0EEC" w:rsidRPr="00A06225" w:rsidRDefault="00CD0EEC">
          <w:pPr>
            <w:rPr>
              <w:rFonts w:ascii="Cambria" w:hAnsi="Cambria"/>
              <w:color w:val="4F81BD"/>
              <w:sz w:val="22"/>
              <w:szCs w:val="22"/>
            </w:rPr>
          </w:pPr>
        </w:p>
      </w:tc>
      <w:tc>
        <w:tcPr>
          <w:tcW w:w="2278" w:type="pct"/>
          <w:tcBorders>
            <w:top w:val="single" w:sz="4" w:space="0" w:color="4F81BD"/>
            <w:left w:val="nil"/>
            <w:bottom w:val="nil"/>
            <w:right w:val="nil"/>
          </w:tcBorders>
        </w:tcPr>
        <w:p w:rsidR="00CD0EEC" w:rsidRPr="00A06225" w:rsidRDefault="00CD0EEC">
          <w:pPr>
            <w:pStyle w:val="Header"/>
            <w:spacing w:line="276" w:lineRule="auto"/>
            <w:rPr>
              <w:rFonts w:ascii="Cambria" w:eastAsia="MS Gothic" w:hAnsi="Cambria"/>
              <w:b/>
              <w:bCs/>
              <w:color w:val="4F81BD"/>
            </w:rPr>
          </w:pPr>
        </w:p>
      </w:tc>
    </w:tr>
  </w:tbl>
  <w:p w:rsidR="00CD0EEC" w:rsidRDefault="00CD0EEC">
    <w:pPr>
      <w:pStyle w:val="Header"/>
    </w:pPr>
  </w:p>
  <w:p w:rsidR="00CD0EEC" w:rsidRDefault="00CD0EE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E5" w:rsidRDefault="00755EE5" w:rsidP="00755EE5">
    <w:pPr>
      <w:pStyle w:val="NoSpacing"/>
      <w:rPr>
        <w:rFonts w:cs="Arial"/>
        <w:i/>
        <w:color w:val="808080"/>
      </w:rPr>
    </w:pPr>
    <w:r>
      <w:ptab w:relativeTo="margin" w:alignment="center" w:leader="none"/>
    </w:r>
    <w:r w:rsidR="00E23146" w:rsidRPr="00E23146">
      <w:rPr>
        <w:i/>
      </w:rPr>
      <w:t xml:space="preserve"> </w:t>
    </w:r>
    <w:r w:rsidR="0042130A">
      <w:rPr>
        <w:rFonts w:cs="Arial"/>
        <w:i/>
        <w:color w:val="808080"/>
      </w:rPr>
      <w:t>Public Summary Document</w:t>
    </w:r>
    <w:r w:rsidR="00E23146">
      <w:rPr>
        <w:rFonts w:cs="Arial"/>
        <w:i/>
        <w:color w:val="808080"/>
      </w:rPr>
      <w:t xml:space="preserve"> </w:t>
    </w:r>
    <w:r>
      <w:rPr>
        <w:rFonts w:cs="Arial"/>
        <w:i/>
        <w:color w:val="808080"/>
      </w:rPr>
      <w:t>– March 2016</w:t>
    </w:r>
    <w:r w:rsidRPr="00B541CA">
      <w:rPr>
        <w:rFonts w:cs="Arial"/>
        <w:i/>
        <w:color w:val="808080"/>
      </w:rPr>
      <w:t xml:space="preserve"> PBAC Meeting</w:t>
    </w:r>
    <w:r>
      <w:rPr>
        <w:rFonts w:cs="Arial"/>
        <w:i/>
        <w:color w:val="808080"/>
      </w:rPr>
      <w:t xml:space="preserve"> </w:t>
    </w:r>
  </w:p>
  <w:p w:rsidR="00CD0EEC" w:rsidRDefault="00CD0EEC"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451" w:rsidRDefault="004454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36B3048"/>
    <w:multiLevelType w:val="hybridMultilevel"/>
    <w:tmpl w:val="2AE6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FC35D0C"/>
    <w:multiLevelType w:val="hybridMultilevel"/>
    <w:tmpl w:val="DE4A4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6117AA"/>
    <w:multiLevelType w:val="multilevel"/>
    <w:tmpl w:val="0DCA5EF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84D033C"/>
    <w:multiLevelType w:val="multilevel"/>
    <w:tmpl w:val="6CC8AF6A"/>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FD26FAC"/>
    <w:multiLevelType w:val="hybridMultilevel"/>
    <w:tmpl w:val="EED04ECA"/>
    <w:lvl w:ilvl="0" w:tplc="0C090001">
      <w:start w:val="1"/>
      <w:numFmt w:val="bullet"/>
      <w:lvlText w:val=""/>
      <w:lvlJc w:val="left"/>
      <w:pPr>
        <w:ind w:left="720" w:hanging="360"/>
      </w:pPr>
      <w:rPr>
        <w:rFonts w:ascii="Symbol" w:hAnsi="Symbol" w:hint="default"/>
      </w:rPr>
    </w:lvl>
    <w:lvl w:ilvl="1" w:tplc="BBEC001A">
      <w:start w:val="1"/>
      <w:numFmt w:val="bullet"/>
      <w:lvlText w:val=""/>
      <w:lvlJc w:val="righ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3"/>
  </w:num>
  <w:num w:numId="5">
    <w:abstractNumId w:val="5"/>
  </w:num>
  <w:num w:numId="6">
    <w:abstractNumId w:val="6"/>
  </w:num>
  <w:num w:numId="7">
    <w:abstractNumId w:val="0"/>
  </w:num>
  <w:num w:numId="8">
    <w:abstractNumId w:val="4"/>
  </w:num>
  <w:num w:numId="9">
    <w:abstractNumId w:val="9"/>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60E64"/>
    <w:rsid w:val="00066755"/>
    <w:rsid w:val="000829F5"/>
    <w:rsid w:val="000969AD"/>
    <w:rsid w:val="000B15EB"/>
    <w:rsid w:val="000B558D"/>
    <w:rsid w:val="000C6996"/>
    <w:rsid w:val="000D0E3B"/>
    <w:rsid w:val="000D23BA"/>
    <w:rsid w:val="000E681E"/>
    <w:rsid w:val="000F4E6A"/>
    <w:rsid w:val="001107BF"/>
    <w:rsid w:val="0012417C"/>
    <w:rsid w:val="00142395"/>
    <w:rsid w:val="00142714"/>
    <w:rsid w:val="001452ED"/>
    <w:rsid w:val="00156392"/>
    <w:rsid w:val="001600C4"/>
    <w:rsid w:val="001742C1"/>
    <w:rsid w:val="001830CE"/>
    <w:rsid w:val="00196307"/>
    <w:rsid w:val="001B017F"/>
    <w:rsid w:val="001B5129"/>
    <w:rsid w:val="001C1195"/>
    <w:rsid w:val="00213A3E"/>
    <w:rsid w:val="00213CFB"/>
    <w:rsid w:val="00260662"/>
    <w:rsid w:val="00265929"/>
    <w:rsid w:val="00271BA1"/>
    <w:rsid w:val="00273D90"/>
    <w:rsid w:val="00277505"/>
    <w:rsid w:val="0029458F"/>
    <w:rsid w:val="002A104C"/>
    <w:rsid w:val="002A4960"/>
    <w:rsid w:val="002B1AE6"/>
    <w:rsid w:val="002B30F8"/>
    <w:rsid w:val="002C212F"/>
    <w:rsid w:val="002C7B80"/>
    <w:rsid w:val="002E3153"/>
    <w:rsid w:val="002E72CA"/>
    <w:rsid w:val="003050C8"/>
    <w:rsid w:val="00314018"/>
    <w:rsid w:val="00326E79"/>
    <w:rsid w:val="003367EF"/>
    <w:rsid w:val="00341AE4"/>
    <w:rsid w:val="0034310D"/>
    <w:rsid w:val="003872CF"/>
    <w:rsid w:val="0039782C"/>
    <w:rsid w:val="003A5B4A"/>
    <w:rsid w:val="003B23C5"/>
    <w:rsid w:val="003B2A75"/>
    <w:rsid w:val="003D4AC4"/>
    <w:rsid w:val="003D63B7"/>
    <w:rsid w:val="003E468B"/>
    <w:rsid w:val="003F5C8C"/>
    <w:rsid w:val="004006B0"/>
    <w:rsid w:val="004137D3"/>
    <w:rsid w:val="004139DC"/>
    <w:rsid w:val="0042130A"/>
    <w:rsid w:val="00445451"/>
    <w:rsid w:val="004465BD"/>
    <w:rsid w:val="00450804"/>
    <w:rsid w:val="00466ADA"/>
    <w:rsid w:val="00476245"/>
    <w:rsid w:val="00485940"/>
    <w:rsid w:val="00495639"/>
    <w:rsid w:val="004965C3"/>
    <w:rsid w:val="004A5A85"/>
    <w:rsid w:val="004B5640"/>
    <w:rsid w:val="004C1BD7"/>
    <w:rsid w:val="004C691D"/>
    <w:rsid w:val="004E692D"/>
    <w:rsid w:val="00501554"/>
    <w:rsid w:val="00514716"/>
    <w:rsid w:val="00514CD7"/>
    <w:rsid w:val="005319B2"/>
    <w:rsid w:val="00532C74"/>
    <w:rsid w:val="00534E2E"/>
    <w:rsid w:val="005435D1"/>
    <w:rsid w:val="00544552"/>
    <w:rsid w:val="00552000"/>
    <w:rsid w:val="0057559F"/>
    <w:rsid w:val="00581932"/>
    <w:rsid w:val="00583938"/>
    <w:rsid w:val="005963BB"/>
    <w:rsid w:val="005A3173"/>
    <w:rsid w:val="005A3223"/>
    <w:rsid w:val="005A3DA3"/>
    <w:rsid w:val="005A52C4"/>
    <w:rsid w:val="005B012F"/>
    <w:rsid w:val="005D03AB"/>
    <w:rsid w:val="005D5017"/>
    <w:rsid w:val="005D5345"/>
    <w:rsid w:val="005D7EE2"/>
    <w:rsid w:val="005E6CC3"/>
    <w:rsid w:val="00601A91"/>
    <w:rsid w:val="00602BA3"/>
    <w:rsid w:val="00610DE4"/>
    <w:rsid w:val="00614159"/>
    <w:rsid w:val="00617C00"/>
    <w:rsid w:val="00623FDF"/>
    <w:rsid w:val="006263BF"/>
    <w:rsid w:val="0062748A"/>
    <w:rsid w:val="00630A2C"/>
    <w:rsid w:val="00635E68"/>
    <w:rsid w:val="00637508"/>
    <w:rsid w:val="00640AB7"/>
    <w:rsid w:val="00651169"/>
    <w:rsid w:val="00653D69"/>
    <w:rsid w:val="00670A76"/>
    <w:rsid w:val="006711AA"/>
    <w:rsid w:val="00672B57"/>
    <w:rsid w:val="00675622"/>
    <w:rsid w:val="006906DB"/>
    <w:rsid w:val="006A12A5"/>
    <w:rsid w:val="006B0D94"/>
    <w:rsid w:val="006B485D"/>
    <w:rsid w:val="006C708E"/>
    <w:rsid w:val="006D6EC7"/>
    <w:rsid w:val="006F4967"/>
    <w:rsid w:val="006F5125"/>
    <w:rsid w:val="00702F3D"/>
    <w:rsid w:val="00715792"/>
    <w:rsid w:val="007174BB"/>
    <w:rsid w:val="00724430"/>
    <w:rsid w:val="00755EE5"/>
    <w:rsid w:val="0076420C"/>
    <w:rsid w:val="00770CDA"/>
    <w:rsid w:val="007753C2"/>
    <w:rsid w:val="007838B8"/>
    <w:rsid w:val="007B018A"/>
    <w:rsid w:val="007C0F57"/>
    <w:rsid w:val="007C40B6"/>
    <w:rsid w:val="007C729F"/>
    <w:rsid w:val="007E1D28"/>
    <w:rsid w:val="007F2641"/>
    <w:rsid w:val="007F7C36"/>
    <w:rsid w:val="00806796"/>
    <w:rsid w:val="00826F6D"/>
    <w:rsid w:val="00856DDD"/>
    <w:rsid w:val="00861E9C"/>
    <w:rsid w:val="00863E68"/>
    <w:rsid w:val="00874A53"/>
    <w:rsid w:val="00882085"/>
    <w:rsid w:val="00883188"/>
    <w:rsid w:val="008924C8"/>
    <w:rsid w:val="00897D58"/>
    <w:rsid w:val="008A1956"/>
    <w:rsid w:val="008A4937"/>
    <w:rsid w:val="008D3C82"/>
    <w:rsid w:val="008D447E"/>
    <w:rsid w:val="008D767E"/>
    <w:rsid w:val="008D7A41"/>
    <w:rsid w:val="008E3680"/>
    <w:rsid w:val="008E5870"/>
    <w:rsid w:val="008F1434"/>
    <w:rsid w:val="008F7355"/>
    <w:rsid w:val="009067B7"/>
    <w:rsid w:val="00927AB4"/>
    <w:rsid w:val="00930937"/>
    <w:rsid w:val="00933E6C"/>
    <w:rsid w:val="00942160"/>
    <w:rsid w:val="00955443"/>
    <w:rsid w:val="009602C5"/>
    <w:rsid w:val="00974C21"/>
    <w:rsid w:val="00977CD4"/>
    <w:rsid w:val="0099308C"/>
    <w:rsid w:val="009B0F67"/>
    <w:rsid w:val="009C703C"/>
    <w:rsid w:val="009C781F"/>
    <w:rsid w:val="009D3CAA"/>
    <w:rsid w:val="009E037E"/>
    <w:rsid w:val="009E6DED"/>
    <w:rsid w:val="009F4E46"/>
    <w:rsid w:val="009F5B65"/>
    <w:rsid w:val="009F5F2E"/>
    <w:rsid w:val="00A06225"/>
    <w:rsid w:val="00A128E6"/>
    <w:rsid w:val="00A24D01"/>
    <w:rsid w:val="00A30303"/>
    <w:rsid w:val="00A37C8D"/>
    <w:rsid w:val="00A45D5A"/>
    <w:rsid w:val="00A5273B"/>
    <w:rsid w:val="00A53A9D"/>
    <w:rsid w:val="00A55FEE"/>
    <w:rsid w:val="00A62C1A"/>
    <w:rsid w:val="00A63FEA"/>
    <w:rsid w:val="00A6426D"/>
    <w:rsid w:val="00A70622"/>
    <w:rsid w:val="00A70977"/>
    <w:rsid w:val="00A8390C"/>
    <w:rsid w:val="00A9037A"/>
    <w:rsid w:val="00A928BD"/>
    <w:rsid w:val="00AA4C46"/>
    <w:rsid w:val="00AA4D1C"/>
    <w:rsid w:val="00AC193C"/>
    <w:rsid w:val="00AC5206"/>
    <w:rsid w:val="00AD6106"/>
    <w:rsid w:val="00AE11A5"/>
    <w:rsid w:val="00AE13E2"/>
    <w:rsid w:val="00AE1C31"/>
    <w:rsid w:val="00AF4FF9"/>
    <w:rsid w:val="00AF68CC"/>
    <w:rsid w:val="00B13DD0"/>
    <w:rsid w:val="00B15BD7"/>
    <w:rsid w:val="00B17427"/>
    <w:rsid w:val="00B205AA"/>
    <w:rsid w:val="00B22E84"/>
    <w:rsid w:val="00B25F75"/>
    <w:rsid w:val="00B410FB"/>
    <w:rsid w:val="00B43E90"/>
    <w:rsid w:val="00B467DC"/>
    <w:rsid w:val="00B56118"/>
    <w:rsid w:val="00B6773F"/>
    <w:rsid w:val="00B801BA"/>
    <w:rsid w:val="00B849C4"/>
    <w:rsid w:val="00BB69F5"/>
    <w:rsid w:val="00BB7EC3"/>
    <w:rsid w:val="00BC4B9A"/>
    <w:rsid w:val="00BD42D1"/>
    <w:rsid w:val="00BD4840"/>
    <w:rsid w:val="00BD784C"/>
    <w:rsid w:val="00BE10F1"/>
    <w:rsid w:val="00BF4CB6"/>
    <w:rsid w:val="00C00DA7"/>
    <w:rsid w:val="00C0142F"/>
    <w:rsid w:val="00C03747"/>
    <w:rsid w:val="00C12768"/>
    <w:rsid w:val="00C27B58"/>
    <w:rsid w:val="00C35996"/>
    <w:rsid w:val="00C5342C"/>
    <w:rsid w:val="00C6256A"/>
    <w:rsid w:val="00C7106A"/>
    <w:rsid w:val="00C91449"/>
    <w:rsid w:val="00C92D10"/>
    <w:rsid w:val="00CA0B15"/>
    <w:rsid w:val="00CD0EEC"/>
    <w:rsid w:val="00CD42D8"/>
    <w:rsid w:val="00CE10C4"/>
    <w:rsid w:val="00CE27B5"/>
    <w:rsid w:val="00D0321E"/>
    <w:rsid w:val="00D04D98"/>
    <w:rsid w:val="00D1455A"/>
    <w:rsid w:val="00D3280C"/>
    <w:rsid w:val="00D3406A"/>
    <w:rsid w:val="00D469B2"/>
    <w:rsid w:val="00D741EB"/>
    <w:rsid w:val="00D84934"/>
    <w:rsid w:val="00D84D1C"/>
    <w:rsid w:val="00D91271"/>
    <w:rsid w:val="00DA151D"/>
    <w:rsid w:val="00DA2CB5"/>
    <w:rsid w:val="00DA4BAC"/>
    <w:rsid w:val="00DC34F6"/>
    <w:rsid w:val="00DE6D27"/>
    <w:rsid w:val="00DF217D"/>
    <w:rsid w:val="00DF26A7"/>
    <w:rsid w:val="00E164B3"/>
    <w:rsid w:val="00E16910"/>
    <w:rsid w:val="00E23146"/>
    <w:rsid w:val="00E65E54"/>
    <w:rsid w:val="00E80155"/>
    <w:rsid w:val="00E848C0"/>
    <w:rsid w:val="00E908E3"/>
    <w:rsid w:val="00E91B96"/>
    <w:rsid w:val="00E922C5"/>
    <w:rsid w:val="00E93BBC"/>
    <w:rsid w:val="00E941A1"/>
    <w:rsid w:val="00E9596B"/>
    <w:rsid w:val="00E95CE3"/>
    <w:rsid w:val="00EA0923"/>
    <w:rsid w:val="00EA2825"/>
    <w:rsid w:val="00EA35D1"/>
    <w:rsid w:val="00EB5088"/>
    <w:rsid w:val="00EC1E2D"/>
    <w:rsid w:val="00ED1644"/>
    <w:rsid w:val="00EE2CFA"/>
    <w:rsid w:val="00EF44A0"/>
    <w:rsid w:val="00EF4FED"/>
    <w:rsid w:val="00F050BD"/>
    <w:rsid w:val="00F05657"/>
    <w:rsid w:val="00F179FE"/>
    <w:rsid w:val="00F25578"/>
    <w:rsid w:val="00F258E5"/>
    <w:rsid w:val="00F300BC"/>
    <w:rsid w:val="00F3334E"/>
    <w:rsid w:val="00F50EC4"/>
    <w:rsid w:val="00F57A6D"/>
    <w:rsid w:val="00F638CC"/>
    <w:rsid w:val="00F64CC1"/>
    <w:rsid w:val="00F8247A"/>
    <w:rsid w:val="00F86D0E"/>
    <w:rsid w:val="00F9629A"/>
    <w:rsid w:val="00FA21D3"/>
    <w:rsid w:val="00FA5883"/>
    <w:rsid w:val="00FA6055"/>
    <w:rsid w:val="00FB322F"/>
    <w:rsid w:val="00FB442F"/>
    <w:rsid w:val="00FC1929"/>
    <w:rsid w:val="00FC5B46"/>
    <w:rsid w:val="00FC7D1F"/>
    <w:rsid w:val="00FE6253"/>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E23146"/>
    <w:pPr>
      <w:numPr>
        <w:numId w:val="1"/>
      </w:numPr>
      <w:jc w:val="both"/>
      <w:outlineLvl w:val="0"/>
    </w:pPr>
    <w:rPr>
      <w:rFonts w:ascii="Arial" w:hAnsi="Arial"/>
      <w:b/>
      <w:sz w:val="22"/>
      <w:szCs w:val="22"/>
    </w:rPr>
  </w:style>
  <w:style w:type="paragraph" w:styleId="Heading2">
    <w:name w:val="heading 2"/>
    <w:basedOn w:val="Normal"/>
    <w:next w:val="Normal"/>
    <w:qFormat/>
    <w:rsid w:val="00E23146"/>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character" w:customStyle="1" w:styleId="Font">
    <w:name w:val="Font"/>
    <w:basedOn w:val="DefaultParagraphFont"/>
    <w:uiPriority w:val="1"/>
    <w:qFormat/>
    <w:rsid w:val="00874A53"/>
    <w:rPr>
      <w:rFonts w:ascii="Candara" w:hAnsi="Candara"/>
      <w:sz w:val="24"/>
    </w:rPr>
  </w:style>
  <w:style w:type="character" w:customStyle="1" w:styleId="ListParagraphChar">
    <w:name w:val="List Paragraph Char"/>
    <w:aliases w:val="BulletPoints Char"/>
    <w:basedOn w:val="DefaultParagraphFont"/>
    <w:link w:val="ListParagraph"/>
    <w:uiPriority w:val="72"/>
    <w:rsid w:val="00755EE5"/>
    <w:rPr>
      <w:sz w:val="24"/>
      <w:szCs w:val="24"/>
    </w:rPr>
  </w:style>
  <w:style w:type="character" w:styleId="IntenseReference">
    <w:name w:val="Intense Reference"/>
    <w:basedOn w:val="DefaultParagraphFont"/>
    <w:uiPriority w:val="32"/>
    <w:qFormat/>
    <w:rsid w:val="00514716"/>
    <w:rPr>
      <w:b/>
      <w:bCs/>
      <w:i/>
      <w:smallCaps/>
      <w:color w:val="C0504D" w:themeColor="accent2"/>
      <w:spacing w:val="5"/>
      <w:u w:val="none"/>
    </w:rPr>
  </w:style>
  <w:style w:type="paragraph" w:customStyle="1" w:styleId="PBACHeading1">
    <w:name w:val="PBAC Heading 1"/>
    <w:qFormat/>
    <w:rsid w:val="00514716"/>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E23146"/>
    <w:pPr>
      <w:ind w:left="720" w:hanging="720"/>
      <w:outlineLvl w:val="0"/>
    </w:pPr>
    <w:rPr>
      <w:rFonts w:ascii="Arial" w:hAnsi="Arial"/>
      <w:b/>
      <w:sz w:val="28"/>
      <w:szCs w:val="28"/>
    </w:rPr>
  </w:style>
  <w:style w:type="character" w:customStyle="1" w:styleId="TitleChar">
    <w:name w:val="Title Char"/>
    <w:basedOn w:val="DefaultParagraphFont"/>
    <w:link w:val="Title"/>
    <w:rsid w:val="00E23146"/>
    <w:rPr>
      <w:rFonts w:ascii="Arial" w:hAnsi="Arial"/>
      <w:b/>
      <w:sz w:val="28"/>
      <w:szCs w:val="28"/>
    </w:rPr>
  </w:style>
  <w:style w:type="paragraph" w:customStyle="1" w:styleId="Numberbullet2">
    <w:name w:val="Number bullet 2"/>
    <w:basedOn w:val="ListBullet2"/>
    <w:qFormat/>
    <w:rsid w:val="0042130A"/>
    <w:pPr>
      <w:numPr>
        <w:ilvl w:val="1"/>
      </w:numPr>
      <w:spacing w:before="120" w:after="180" w:line="240" w:lineRule="atLeast"/>
      <w:ind w:left="1080" w:hanging="360"/>
      <w:contextualSpacing w:val="0"/>
    </w:pPr>
    <w:rPr>
      <w:rFonts w:ascii="Cambria" w:eastAsia="Cambria" w:hAnsi="Cambria"/>
      <w:sz w:val="22"/>
      <w:szCs w:val="22"/>
      <w:lang w:eastAsia="en-US"/>
    </w:rPr>
  </w:style>
  <w:style w:type="paragraph" w:customStyle="1" w:styleId="Numberbullet3">
    <w:name w:val="Number bullet 3"/>
    <w:basedOn w:val="ListBullet3"/>
    <w:qFormat/>
    <w:rsid w:val="0042130A"/>
    <w:pPr>
      <w:numPr>
        <w:ilvl w:val="2"/>
        <w:numId w:val="10"/>
      </w:numPr>
      <w:spacing w:before="120" w:after="180" w:line="240" w:lineRule="atLeast"/>
      <w:ind w:left="1800" w:hanging="180"/>
      <w:contextualSpacing w:val="0"/>
    </w:pPr>
    <w:rPr>
      <w:rFonts w:ascii="Cambria" w:eastAsia="Cambria" w:hAnsi="Cambria"/>
      <w:sz w:val="22"/>
      <w:szCs w:val="22"/>
      <w:lang w:eastAsia="en-US"/>
    </w:rPr>
  </w:style>
  <w:style w:type="numbering" w:customStyle="1" w:styleId="NumberBullet">
    <w:name w:val="NumberBullet"/>
    <w:uiPriority w:val="99"/>
    <w:locked/>
    <w:rsid w:val="0042130A"/>
    <w:pPr>
      <w:numPr>
        <w:numId w:val="10"/>
      </w:numPr>
    </w:pPr>
  </w:style>
  <w:style w:type="paragraph" w:styleId="ListBullet2">
    <w:name w:val="List Bullet 2"/>
    <w:basedOn w:val="Normal"/>
    <w:rsid w:val="0042130A"/>
    <w:pPr>
      <w:numPr>
        <w:numId w:val="10"/>
      </w:numPr>
      <w:contextualSpacing/>
    </w:pPr>
  </w:style>
  <w:style w:type="paragraph" w:styleId="ListBullet3">
    <w:name w:val="List Bullet 3"/>
    <w:basedOn w:val="Normal"/>
    <w:rsid w:val="0042130A"/>
    <w:pPr>
      <w:tabs>
        <w:tab w:val="num" w:pos="360"/>
      </w:tabs>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E23146"/>
    <w:pPr>
      <w:numPr>
        <w:numId w:val="1"/>
      </w:numPr>
      <w:jc w:val="both"/>
      <w:outlineLvl w:val="0"/>
    </w:pPr>
    <w:rPr>
      <w:rFonts w:ascii="Arial" w:hAnsi="Arial"/>
      <w:b/>
      <w:sz w:val="22"/>
      <w:szCs w:val="22"/>
    </w:rPr>
  </w:style>
  <w:style w:type="paragraph" w:styleId="Heading2">
    <w:name w:val="heading 2"/>
    <w:basedOn w:val="Normal"/>
    <w:next w:val="Normal"/>
    <w:qFormat/>
    <w:rsid w:val="00E23146"/>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character" w:customStyle="1" w:styleId="Font">
    <w:name w:val="Font"/>
    <w:basedOn w:val="DefaultParagraphFont"/>
    <w:uiPriority w:val="1"/>
    <w:qFormat/>
    <w:rsid w:val="00874A53"/>
    <w:rPr>
      <w:rFonts w:ascii="Candara" w:hAnsi="Candara"/>
      <w:sz w:val="24"/>
    </w:rPr>
  </w:style>
  <w:style w:type="character" w:customStyle="1" w:styleId="ListParagraphChar">
    <w:name w:val="List Paragraph Char"/>
    <w:aliases w:val="BulletPoints Char"/>
    <w:basedOn w:val="DefaultParagraphFont"/>
    <w:link w:val="ListParagraph"/>
    <w:uiPriority w:val="72"/>
    <w:rsid w:val="00755EE5"/>
    <w:rPr>
      <w:sz w:val="24"/>
      <w:szCs w:val="24"/>
    </w:rPr>
  </w:style>
  <w:style w:type="character" w:styleId="IntenseReference">
    <w:name w:val="Intense Reference"/>
    <w:basedOn w:val="DefaultParagraphFont"/>
    <w:uiPriority w:val="32"/>
    <w:qFormat/>
    <w:rsid w:val="00514716"/>
    <w:rPr>
      <w:b/>
      <w:bCs/>
      <w:i/>
      <w:smallCaps/>
      <w:color w:val="C0504D" w:themeColor="accent2"/>
      <w:spacing w:val="5"/>
      <w:u w:val="none"/>
    </w:rPr>
  </w:style>
  <w:style w:type="paragraph" w:customStyle="1" w:styleId="PBACHeading1">
    <w:name w:val="PBAC Heading 1"/>
    <w:qFormat/>
    <w:rsid w:val="00514716"/>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E23146"/>
    <w:pPr>
      <w:ind w:left="720" w:hanging="720"/>
      <w:outlineLvl w:val="0"/>
    </w:pPr>
    <w:rPr>
      <w:rFonts w:ascii="Arial" w:hAnsi="Arial"/>
      <w:b/>
      <w:sz w:val="28"/>
      <w:szCs w:val="28"/>
    </w:rPr>
  </w:style>
  <w:style w:type="character" w:customStyle="1" w:styleId="TitleChar">
    <w:name w:val="Title Char"/>
    <w:basedOn w:val="DefaultParagraphFont"/>
    <w:link w:val="Title"/>
    <w:rsid w:val="00E23146"/>
    <w:rPr>
      <w:rFonts w:ascii="Arial" w:hAnsi="Arial"/>
      <w:b/>
      <w:sz w:val="28"/>
      <w:szCs w:val="28"/>
    </w:rPr>
  </w:style>
  <w:style w:type="paragraph" w:customStyle="1" w:styleId="Numberbullet2">
    <w:name w:val="Number bullet 2"/>
    <w:basedOn w:val="ListBullet2"/>
    <w:qFormat/>
    <w:rsid w:val="0042130A"/>
    <w:pPr>
      <w:numPr>
        <w:ilvl w:val="1"/>
      </w:numPr>
      <w:spacing w:before="120" w:after="180" w:line="240" w:lineRule="atLeast"/>
      <w:ind w:left="1080" w:hanging="360"/>
      <w:contextualSpacing w:val="0"/>
    </w:pPr>
    <w:rPr>
      <w:rFonts w:ascii="Cambria" w:eastAsia="Cambria" w:hAnsi="Cambria"/>
      <w:sz w:val="22"/>
      <w:szCs w:val="22"/>
      <w:lang w:eastAsia="en-US"/>
    </w:rPr>
  </w:style>
  <w:style w:type="paragraph" w:customStyle="1" w:styleId="Numberbullet3">
    <w:name w:val="Number bullet 3"/>
    <w:basedOn w:val="ListBullet3"/>
    <w:qFormat/>
    <w:rsid w:val="0042130A"/>
    <w:pPr>
      <w:numPr>
        <w:ilvl w:val="2"/>
        <w:numId w:val="10"/>
      </w:numPr>
      <w:spacing w:before="120" w:after="180" w:line="240" w:lineRule="atLeast"/>
      <w:ind w:left="1800" w:hanging="180"/>
      <w:contextualSpacing w:val="0"/>
    </w:pPr>
    <w:rPr>
      <w:rFonts w:ascii="Cambria" w:eastAsia="Cambria" w:hAnsi="Cambria"/>
      <w:sz w:val="22"/>
      <w:szCs w:val="22"/>
      <w:lang w:eastAsia="en-US"/>
    </w:rPr>
  </w:style>
  <w:style w:type="numbering" w:customStyle="1" w:styleId="NumberBullet">
    <w:name w:val="NumberBullet"/>
    <w:uiPriority w:val="99"/>
    <w:locked/>
    <w:rsid w:val="0042130A"/>
    <w:pPr>
      <w:numPr>
        <w:numId w:val="10"/>
      </w:numPr>
    </w:pPr>
  </w:style>
  <w:style w:type="paragraph" w:styleId="ListBullet2">
    <w:name w:val="List Bullet 2"/>
    <w:basedOn w:val="Normal"/>
    <w:rsid w:val="0042130A"/>
    <w:pPr>
      <w:numPr>
        <w:numId w:val="10"/>
      </w:numPr>
      <w:contextualSpacing/>
    </w:pPr>
  </w:style>
  <w:style w:type="paragraph" w:styleId="ListBullet3">
    <w:name w:val="List Bullet 3"/>
    <w:basedOn w:val="Normal"/>
    <w:rsid w:val="0042130A"/>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2718087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0415-D877-4760-9697-6A980998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1308</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2016-06-10T01:52:00Z</dcterms:created>
  <dcterms:modified xsi:type="dcterms:W3CDTF">2016-06-22T04:45:00Z</dcterms:modified>
</cp:coreProperties>
</file>