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5DB" w:rsidRPr="00CD30FB" w:rsidRDefault="00A618EB" w:rsidP="00133A1A">
      <w:pPr>
        <w:pStyle w:val="Title"/>
        <w:ind w:left="720" w:hanging="720"/>
        <w:rPr>
          <w:caps w:val="0"/>
        </w:rPr>
      </w:pPr>
      <w:bookmarkStart w:id="0" w:name="_Toc440981179"/>
      <w:r w:rsidRPr="00133A1A">
        <w:t>5</w:t>
      </w:r>
      <w:r w:rsidR="006115DB" w:rsidRPr="00133A1A">
        <w:t>.</w:t>
      </w:r>
      <w:r w:rsidRPr="00133A1A">
        <w:t>06</w:t>
      </w:r>
      <w:r w:rsidR="006115DB" w:rsidRPr="00133A1A">
        <w:tab/>
        <w:t xml:space="preserve">NIVOLUMAB, </w:t>
      </w:r>
      <w:r w:rsidR="006115DB" w:rsidRPr="00CD30FB">
        <w:rPr>
          <w:caps w:val="0"/>
        </w:rPr>
        <w:t>40</w:t>
      </w:r>
      <w:r w:rsidR="005B3BEA" w:rsidRPr="00CD30FB">
        <w:rPr>
          <w:rFonts w:hint="eastAsia"/>
          <w:caps w:val="0"/>
        </w:rPr>
        <w:t> </w:t>
      </w:r>
      <w:r w:rsidR="006115DB" w:rsidRPr="00CD30FB">
        <w:rPr>
          <w:caps w:val="0"/>
        </w:rPr>
        <w:t>mg/4</w:t>
      </w:r>
      <w:r w:rsidR="005B3BEA" w:rsidRPr="00CD30FB">
        <w:rPr>
          <w:rFonts w:hint="eastAsia"/>
          <w:caps w:val="0"/>
        </w:rPr>
        <w:t> </w:t>
      </w:r>
      <w:r w:rsidR="006115DB" w:rsidRPr="00CD30FB">
        <w:rPr>
          <w:caps w:val="0"/>
        </w:rPr>
        <w:t>mL vial, 100</w:t>
      </w:r>
      <w:r w:rsidR="005B3BEA" w:rsidRPr="00CD30FB">
        <w:rPr>
          <w:rFonts w:hint="eastAsia"/>
          <w:caps w:val="0"/>
        </w:rPr>
        <w:t> </w:t>
      </w:r>
      <w:r w:rsidR="006115DB" w:rsidRPr="00CD30FB">
        <w:rPr>
          <w:caps w:val="0"/>
        </w:rPr>
        <w:t>mg/10</w:t>
      </w:r>
      <w:r w:rsidR="005B3BEA" w:rsidRPr="00CD30FB">
        <w:rPr>
          <w:rFonts w:hint="eastAsia"/>
          <w:caps w:val="0"/>
        </w:rPr>
        <w:t> </w:t>
      </w:r>
      <w:r w:rsidR="006115DB" w:rsidRPr="00CD30FB">
        <w:rPr>
          <w:caps w:val="0"/>
        </w:rPr>
        <w:t>mL vial, OPDIVO</w:t>
      </w:r>
      <w:r w:rsidR="006115DB" w:rsidRPr="008E7619">
        <w:rPr>
          <w:caps w:val="0"/>
          <w:vertAlign w:val="superscript"/>
        </w:rPr>
        <w:t>®</w:t>
      </w:r>
      <w:r w:rsidR="006115DB" w:rsidRPr="00CD30FB">
        <w:rPr>
          <w:caps w:val="0"/>
        </w:rPr>
        <w:t>, Bristol-Myers Squibb Australia Pty Ltd.</w:t>
      </w:r>
      <w:bookmarkEnd w:id="0"/>
    </w:p>
    <w:p w:rsidR="006115DB" w:rsidRDefault="006115DB" w:rsidP="006115DB">
      <w:pPr>
        <w:pStyle w:val="BodyText"/>
      </w:pPr>
    </w:p>
    <w:p w:rsidR="00CC57A9" w:rsidRDefault="00CC57A9" w:rsidP="006115DB">
      <w:pPr>
        <w:pStyle w:val="BodyText"/>
      </w:pPr>
    </w:p>
    <w:p w:rsidR="006115DB" w:rsidRPr="00133A1A" w:rsidRDefault="006115DB" w:rsidP="00133A1A">
      <w:pPr>
        <w:pStyle w:val="Heading1"/>
      </w:pPr>
      <w:bookmarkStart w:id="1" w:name="_Toc440981181"/>
      <w:r w:rsidRPr="00133A1A">
        <w:t>Purpose of Application</w:t>
      </w:r>
      <w:bookmarkEnd w:id="1"/>
    </w:p>
    <w:p w:rsidR="006115DB" w:rsidRPr="00882085" w:rsidRDefault="006115DB" w:rsidP="006115DB">
      <w:pPr>
        <w:rPr>
          <w:szCs w:val="22"/>
        </w:rPr>
      </w:pPr>
    </w:p>
    <w:p w:rsidR="006115DB" w:rsidRDefault="001D091F" w:rsidP="0073258E">
      <w:pPr>
        <w:pStyle w:val="ListParagraph"/>
        <w:widowControl/>
        <w:numPr>
          <w:ilvl w:val="1"/>
          <w:numId w:val="2"/>
        </w:numPr>
      </w:pPr>
      <w:r>
        <w:t xml:space="preserve">The submission requested a </w:t>
      </w:r>
      <w:r w:rsidR="006115DB">
        <w:t>S</w:t>
      </w:r>
      <w:r w:rsidR="006115DB" w:rsidRPr="00975A80">
        <w:t>ection 100</w:t>
      </w:r>
      <w:r>
        <w:t xml:space="preserve"> (Efficient Funding of Chemotherapy)</w:t>
      </w:r>
      <w:r w:rsidR="006115DB">
        <w:t xml:space="preserve"> </w:t>
      </w:r>
      <w:r w:rsidR="006115DB" w:rsidRPr="00975A80">
        <w:t xml:space="preserve">Authority </w:t>
      </w:r>
      <w:proofErr w:type="gramStart"/>
      <w:r w:rsidR="006115DB" w:rsidRPr="00975A80">
        <w:t>Required</w:t>
      </w:r>
      <w:proofErr w:type="gramEnd"/>
      <w:r w:rsidR="006115DB" w:rsidRPr="00975A80">
        <w:t xml:space="preserve"> listing for the treatment of locally advanced or metastatic squamous non-small cell lung cancer (NSCLC</w:t>
      </w:r>
      <w:r w:rsidR="006115DB">
        <w:t>)</w:t>
      </w:r>
      <w:r w:rsidR="006115DB" w:rsidRPr="004B3DDB">
        <w:t>.</w:t>
      </w:r>
      <w:r w:rsidR="006115DB">
        <w:t xml:space="preserve"> The PBAC also consider</w:t>
      </w:r>
      <w:r w:rsidR="006A4A9C">
        <w:t>ed</w:t>
      </w:r>
      <w:r w:rsidR="006115DB">
        <w:t xml:space="preserve"> a concurrent submission to list </w:t>
      </w:r>
      <w:proofErr w:type="spellStart"/>
      <w:r w:rsidR="006115DB">
        <w:t>nivolumab</w:t>
      </w:r>
      <w:proofErr w:type="spellEnd"/>
      <w:r w:rsidR="006115DB">
        <w:t xml:space="preserve"> for non-squamous NSCLC.</w:t>
      </w:r>
    </w:p>
    <w:p w:rsidR="006115DB" w:rsidRDefault="006115DB" w:rsidP="006115DB"/>
    <w:p w:rsidR="006115DB" w:rsidRPr="00882085" w:rsidRDefault="006115DB" w:rsidP="006115DB"/>
    <w:p w:rsidR="006115DB" w:rsidRPr="00407F2D" w:rsidRDefault="006115DB" w:rsidP="00133A1A">
      <w:pPr>
        <w:pStyle w:val="Heading1"/>
      </w:pPr>
      <w:bookmarkStart w:id="2" w:name="_Toc440981182"/>
      <w:r w:rsidRPr="00407F2D">
        <w:t>Requested listing</w:t>
      </w:r>
      <w:bookmarkEnd w:id="2"/>
    </w:p>
    <w:p w:rsidR="006115DB" w:rsidRDefault="006115DB" w:rsidP="006115DB"/>
    <w:p w:rsidR="008767A6" w:rsidRDefault="00AC019E" w:rsidP="0073258E">
      <w:pPr>
        <w:pStyle w:val="ListParagraph"/>
        <w:widowControl/>
        <w:numPr>
          <w:ilvl w:val="1"/>
          <w:numId w:val="2"/>
        </w:numPr>
        <w:rPr>
          <w:iCs/>
          <w:snapToGrid/>
          <w:color w:val="000000"/>
          <w:szCs w:val="22"/>
          <w:lang w:eastAsia="en-AU"/>
        </w:rPr>
      </w:pPr>
      <w:r w:rsidRPr="005D18F3">
        <w:rPr>
          <w:snapToGrid/>
          <w:szCs w:val="22"/>
          <w:lang w:eastAsia="en-AU"/>
        </w:rPr>
        <w:t>The requested restriction is shown below.</w:t>
      </w:r>
      <w:r w:rsidR="008E7619">
        <w:rPr>
          <w:snapToGrid/>
          <w:szCs w:val="22"/>
          <w:lang w:eastAsia="en-AU"/>
        </w:rPr>
        <w:t xml:space="preserve"> </w:t>
      </w:r>
      <w:r w:rsidRPr="005D18F3">
        <w:rPr>
          <w:iCs/>
          <w:snapToGrid/>
          <w:color w:val="000000"/>
          <w:szCs w:val="22"/>
          <w:lang w:eastAsia="en-AU"/>
        </w:rPr>
        <w:t>Suggestions and additions proposed by the Secretariat to the requested listing are added in italics and suggested deletions are crossed out with strikethrough.</w:t>
      </w:r>
    </w:p>
    <w:p w:rsidR="00AC019E" w:rsidRPr="008767A6" w:rsidRDefault="008767A6" w:rsidP="008767A6">
      <w:pPr>
        <w:widowControl/>
        <w:jc w:val="left"/>
        <w:rPr>
          <w:iCs/>
          <w:snapToGrid/>
          <w:color w:val="000000"/>
          <w:szCs w:val="22"/>
          <w:lang w:eastAsia="en-AU"/>
        </w:rPr>
      </w:pPr>
      <w:r>
        <w:rPr>
          <w:iCs/>
          <w:snapToGrid/>
          <w:color w:val="000000"/>
          <w:szCs w:val="22"/>
          <w:lang w:eastAsia="en-AU"/>
        </w:rPr>
        <w:br w:type="page"/>
      </w:r>
    </w:p>
    <w:p w:rsidR="00AC019E" w:rsidRPr="00882085" w:rsidRDefault="00AC019E" w:rsidP="006115DB"/>
    <w:tbl>
      <w:tblPr>
        <w:tblW w:w="4604" w:type="pct"/>
        <w:tblInd w:w="737" w:type="dxa"/>
        <w:tblLayout w:type="fixed"/>
        <w:tblCellMar>
          <w:left w:w="28" w:type="dxa"/>
          <w:right w:w="28" w:type="dxa"/>
        </w:tblCellMar>
        <w:tblLook w:val="0000" w:firstRow="0" w:lastRow="0" w:firstColumn="0" w:lastColumn="0" w:noHBand="0" w:noVBand="0"/>
      </w:tblPr>
      <w:tblGrid>
        <w:gridCol w:w="2978"/>
        <w:gridCol w:w="633"/>
        <w:gridCol w:w="788"/>
        <w:gridCol w:w="2547"/>
        <w:gridCol w:w="1417"/>
      </w:tblGrid>
      <w:tr w:rsidR="006115DB" w:rsidRPr="00653ED9" w:rsidTr="00D24508">
        <w:trPr>
          <w:trHeight w:val="471"/>
        </w:trPr>
        <w:tc>
          <w:tcPr>
            <w:tcW w:w="1780" w:type="pct"/>
            <w:tcBorders>
              <w:bottom w:val="single" w:sz="4" w:space="0" w:color="auto"/>
            </w:tcBorders>
          </w:tcPr>
          <w:p w:rsidR="006115DB" w:rsidRPr="00653ED9" w:rsidRDefault="006115DB" w:rsidP="004E7393">
            <w:pPr>
              <w:keepNext/>
              <w:rPr>
                <w:rFonts w:ascii="Arial Narrow" w:hAnsi="Arial Narrow"/>
                <w:sz w:val="20"/>
                <w:szCs w:val="24"/>
              </w:rPr>
            </w:pPr>
            <w:r w:rsidRPr="00653ED9">
              <w:rPr>
                <w:rFonts w:ascii="Arial Narrow" w:hAnsi="Arial Narrow"/>
                <w:sz w:val="20"/>
                <w:szCs w:val="24"/>
              </w:rPr>
              <w:t>Name, Restriction,</w:t>
            </w:r>
          </w:p>
          <w:p w:rsidR="006115DB" w:rsidRPr="00653ED9" w:rsidRDefault="006115DB" w:rsidP="004E7393">
            <w:pPr>
              <w:keepNext/>
              <w:rPr>
                <w:rFonts w:ascii="Arial Narrow" w:hAnsi="Arial Narrow"/>
                <w:sz w:val="20"/>
                <w:szCs w:val="24"/>
              </w:rPr>
            </w:pPr>
            <w:r w:rsidRPr="00653ED9">
              <w:rPr>
                <w:rFonts w:ascii="Arial Narrow" w:hAnsi="Arial Narrow"/>
                <w:sz w:val="20"/>
                <w:szCs w:val="24"/>
              </w:rPr>
              <w:t>Manner of administration and form</w:t>
            </w:r>
          </w:p>
        </w:tc>
        <w:tc>
          <w:tcPr>
            <w:tcW w:w="378" w:type="pct"/>
            <w:tcBorders>
              <w:bottom w:val="single" w:sz="4" w:space="0" w:color="auto"/>
            </w:tcBorders>
          </w:tcPr>
          <w:p w:rsidR="006115DB" w:rsidRPr="00653ED9" w:rsidRDefault="006115DB" w:rsidP="004E7393">
            <w:pPr>
              <w:keepNext/>
              <w:jc w:val="center"/>
              <w:rPr>
                <w:rFonts w:ascii="Arial Narrow" w:hAnsi="Arial Narrow"/>
                <w:sz w:val="20"/>
                <w:szCs w:val="24"/>
              </w:rPr>
            </w:pPr>
            <w:r w:rsidRPr="00653ED9">
              <w:rPr>
                <w:rFonts w:ascii="Arial Narrow" w:hAnsi="Arial Narrow"/>
                <w:sz w:val="20"/>
                <w:szCs w:val="24"/>
              </w:rPr>
              <w:t>Max.</w:t>
            </w:r>
          </w:p>
          <w:p w:rsidR="006115DB" w:rsidRPr="00653ED9" w:rsidRDefault="006115DB" w:rsidP="004E7393">
            <w:pPr>
              <w:keepNext/>
              <w:jc w:val="center"/>
              <w:rPr>
                <w:rFonts w:ascii="Arial Narrow" w:hAnsi="Arial Narrow"/>
                <w:sz w:val="20"/>
                <w:szCs w:val="24"/>
              </w:rPr>
            </w:pPr>
            <w:proofErr w:type="spellStart"/>
            <w:r>
              <w:rPr>
                <w:rFonts w:ascii="Arial Narrow" w:hAnsi="Arial Narrow"/>
                <w:sz w:val="20"/>
                <w:szCs w:val="24"/>
              </w:rPr>
              <w:t>Amt</w:t>
            </w:r>
            <w:proofErr w:type="spellEnd"/>
          </w:p>
        </w:tc>
        <w:tc>
          <w:tcPr>
            <w:tcW w:w="471" w:type="pct"/>
            <w:tcBorders>
              <w:bottom w:val="single" w:sz="4" w:space="0" w:color="auto"/>
            </w:tcBorders>
          </w:tcPr>
          <w:p w:rsidR="006115DB" w:rsidRPr="00653ED9" w:rsidRDefault="006115DB" w:rsidP="004E7393">
            <w:pPr>
              <w:keepNext/>
              <w:jc w:val="center"/>
              <w:rPr>
                <w:rFonts w:ascii="Arial Narrow" w:hAnsi="Arial Narrow"/>
                <w:sz w:val="20"/>
                <w:szCs w:val="24"/>
              </w:rPr>
            </w:pPr>
            <w:r w:rsidRPr="00653ED9">
              <w:rPr>
                <w:rFonts w:ascii="Arial Narrow" w:hAnsi="Arial Narrow"/>
                <w:sz w:val="20"/>
                <w:szCs w:val="24"/>
              </w:rPr>
              <w:t>Number of</w:t>
            </w:r>
          </w:p>
          <w:p w:rsidR="006115DB" w:rsidRPr="00653ED9" w:rsidRDefault="006115DB" w:rsidP="004E7393">
            <w:pPr>
              <w:keepNext/>
              <w:jc w:val="center"/>
              <w:rPr>
                <w:rFonts w:ascii="Arial Narrow" w:hAnsi="Arial Narrow"/>
                <w:sz w:val="20"/>
                <w:szCs w:val="24"/>
              </w:rPr>
            </w:pPr>
            <w:proofErr w:type="spellStart"/>
            <w:r w:rsidRPr="00653ED9">
              <w:rPr>
                <w:rFonts w:ascii="Arial Narrow" w:hAnsi="Arial Narrow"/>
                <w:sz w:val="20"/>
                <w:szCs w:val="24"/>
              </w:rPr>
              <w:t>Rpts</w:t>
            </w:r>
            <w:proofErr w:type="spellEnd"/>
          </w:p>
        </w:tc>
        <w:tc>
          <w:tcPr>
            <w:tcW w:w="1523" w:type="pct"/>
            <w:tcBorders>
              <w:bottom w:val="single" w:sz="4" w:space="0" w:color="auto"/>
            </w:tcBorders>
          </w:tcPr>
          <w:p w:rsidR="006115DB" w:rsidRPr="00653ED9" w:rsidRDefault="006115DB" w:rsidP="004E7393">
            <w:pPr>
              <w:keepNext/>
              <w:jc w:val="center"/>
              <w:rPr>
                <w:rFonts w:ascii="Arial Narrow" w:hAnsi="Arial Narrow"/>
                <w:sz w:val="20"/>
                <w:szCs w:val="24"/>
              </w:rPr>
            </w:pPr>
            <w:r w:rsidRPr="00653ED9">
              <w:rPr>
                <w:rFonts w:ascii="Arial Narrow" w:hAnsi="Arial Narrow"/>
                <w:sz w:val="20"/>
                <w:szCs w:val="24"/>
              </w:rPr>
              <w:t xml:space="preserve">Dispensed Price for Max. </w:t>
            </w:r>
            <w:proofErr w:type="spellStart"/>
            <w:r>
              <w:rPr>
                <w:rFonts w:ascii="Arial Narrow" w:hAnsi="Arial Narrow"/>
                <w:sz w:val="20"/>
                <w:szCs w:val="24"/>
              </w:rPr>
              <w:t>Amt</w:t>
            </w:r>
            <w:proofErr w:type="spellEnd"/>
          </w:p>
        </w:tc>
        <w:tc>
          <w:tcPr>
            <w:tcW w:w="847" w:type="pct"/>
            <w:tcBorders>
              <w:bottom w:val="single" w:sz="4" w:space="0" w:color="auto"/>
            </w:tcBorders>
          </w:tcPr>
          <w:p w:rsidR="006115DB" w:rsidRPr="00653ED9" w:rsidRDefault="006115DB" w:rsidP="004E7393">
            <w:pPr>
              <w:keepNext/>
              <w:ind w:left="116" w:right="17" w:hanging="116"/>
              <w:jc w:val="center"/>
              <w:rPr>
                <w:rFonts w:ascii="Arial Narrow" w:hAnsi="Arial Narrow"/>
                <w:sz w:val="20"/>
                <w:szCs w:val="24"/>
                <w:lang w:val="fr-FR"/>
              </w:rPr>
            </w:pPr>
            <w:r w:rsidRPr="00653ED9">
              <w:rPr>
                <w:rFonts w:ascii="Arial Narrow" w:hAnsi="Arial Narrow"/>
                <w:sz w:val="20"/>
                <w:szCs w:val="24"/>
              </w:rPr>
              <w:t>Proprietary Name and Manufacturer</w:t>
            </w:r>
          </w:p>
        </w:tc>
      </w:tr>
      <w:tr w:rsidR="006115DB" w:rsidRPr="00653ED9" w:rsidTr="00D24508">
        <w:trPr>
          <w:trHeight w:val="577"/>
        </w:trPr>
        <w:tc>
          <w:tcPr>
            <w:tcW w:w="1780" w:type="pct"/>
          </w:tcPr>
          <w:p w:rsidR="006115DB" w:rsidRPr="00653ED9" w:rsidRDefault="006115DB" w:rsidP="004E7393">
            <w:pPr>
              <w:keepNext/>
              <w:rPr>
                <w:rFonts w:ascii="Arial Narrow" w:hAnsi="Arial Narrow"/>
                <w:smallCaps/>
                <w:sz w:val="20"/>
                <w:szCs w:val="24"/>
              </w:rPr>
            </w:pPr>
            <w:r w:rsidRPr="00653ED9">
              <w:rPr>
                <w:rFonts w:ascii="Arial Narrow" w:hAnsi="Arial Narrow"/>
                <w:smallCaps/>
                <w:sz w:val="20"/>
                <w:szCs w:val="24"/>
              </w:rPr>
              <w:t>NIVOLUMAB</w:t>
            </w:r>
          </w:p>
          <w:p w:rsidR="006115DB" w:rsidRPr="00653ED9" w:rsidRDefault="006115DB" w:rsidP="004E7393">
            <w:pPr>
              <w:keepNext/>
              <w:jc w:val="left"/>
              <w:rPr>
                <w:rFonts w:ascii="Arial Narrow" w:hAnsi="Arial Narrow"/>
                <w:sz w:val="20"/>
                <w:szCs w:val="24"/>
              </w:rPr>
            </w:pPr>
            <w:r w:rsidRPr="00653ED9">
              <w:rPr>
                <w:rFonts w:ascii="Arial Narrow" w:hAnsi="Arial Narrow"/>
                <w:sz w:val="20"/>
                <w:szCs w:val="24"/>
              </w:rPr>
              <w:t>40</w:t>
            </w:r>
            <w:r w:rsidR="000E1727">
              <w:rPr>
                <w:rFonts w:ascii="Arial Narrow" w:hAnsi="Arial Narrow"/>
                <w:sz w:val="20"/>
                <w:szCs w:val="24"/>
              </w:rPr>
              <w:t> </w:t>
            </w:r>
            <w:r w:rsidRPr="00653ED9">
              <w:rPr>
                <w:rFonts w:ascii="Arial Narrow" w:hAnsi="Arial Narrow"/>
                <w:sz w:val="20"/>
                <w:szCs w:val="24"/>
              </w:rPr>
              <w:t>mg/4</w:t>
            </w:r>
            <w:r w:rsidR="000E1727">
              <w:rPr>
                <w:rFonts w:ascii="Arial Narrow" w:hAnsi="Arial Narrow"/>
                <w:sz w:val="20"/>
                <w:szCs w:val="24"/>
              </w:rPr>
              <w:t> </w:t>
            </w:r>
            <w:r w:rsidRPr="00653ED9">
              <w:rPr>
                <w:rFonts w:ascii="Arial Narrow" w:hAnsi="Arial Narrow"/>
                <w:sz w:val="20"/>
                <w:szCs w:val="24"/>
              </w:rPr>
              <w:t>mL injection 1 × 4</w:t>
            </w:r>
            <w:r w:rsidR="000E1727">
              <w:rPr>
                <w:rFonts w:ascii="Arial Narrow" w:hAnsi="Arial Narrow"/>
                <w:sz w:val="20"/>
                <w:szCs w:val="24"/>
              </w:rPr>
              <w:t> </w:t>
            </w:r>
            <w:r w:rsidRPr="00653ED9">
              <w:rPr>
                <w:rFonts w:ascii="Arial Narrow" w:hAnsi="Arial Narrow"/>
                <w:sz w:val="20"/>
                <w:szCs w:val="24"/>
              </w:rPr>
              <w:t>mL vial</w:t>
            </w:r>
          </w:p>
          <w:p w:rsidR="006115DB" w:rsidRPr="00653ED9" w:rsidRDefault="006115DB" w:rsidP="004E7393">
            <w:pPr>
              <w:keepNext/>
              <w:jc w:val="left"/>
              <w:rPr>
                <w:rFonts w:ascii="Arial Narrow" w:hAnsi="Arial Narrow"/>
                <w:sz w:val="20"/>
                <w:szCs w:val="24"/>
              </w:rPr>
            </w:pPr>
          </w:p>
          <w:p w:rsidR="006115DB" w:rsidRPr="00653ED9" w:rsidRDefault="006115DB" w:rsidP="00D01497">
            <w:pPr>
              <w:keepNext/>
              <w:jc w:val="left"/>
              <w:rPr>
                <w:rFonts w:ascii="Arial Narrow" w:hAnsi="Arial Narrow"/>
                <w:sz w:val="20"/>
                <w:szCs w:val="24"/>
              </w:rPr>
            </w:pPr>
            <w:r w:rsidRPr="00653ED9">
              <w:rPr>
                <w:rFonts w:ascii="Arial Narrow" w:hAnsi="Arial Narrow"/>
                <w:sz w:val="20"/>
                <w:szCs w:val="24"/>
              </w:rPr>
              <w:t>100</w:t>
            </w:r>
            <w:r w:rsidR="000E1727">
              <w:rPr>
                <w:rFonts w:ascii="Arial Narrow" w:hAnsi="Arial Narrow"/>
                <w:sz w:val="20"/>
                <w:szCs w:val="24"/>
              </w:rPr>
              <w:t> </w:t>
            </w:r>
            <w:r w:rsidRPr="00653ED9">
              <w:rPr>
                <w:rFonts w:ascii="Arial Narrow" w:hAnsi="Arial Narrow"/>
                <w:sz w:val="20"/>
                <w:szCs w:val="24"/>
              </w:rPr>
              <w:t>mg/10</w:t>
            </w:r>
            <w:r w:rsidR="000E1727">
              <w:rPr>
                <w:rFonts w:ascii="Arial Narrow" w:hAnsi="Arial Narrow"/>
                <w:sz w:val="20"/>
                <w:szCs w:val="24"/>
              </w:rPr>
              <w:t> </w:t>
            </w:r>
            <w:r w:rsidRPr="00653ED9">
              <w:rPr>
                <w:rFonts w:ascii="Arial Narrow" w:hAnsi="Arial Narrow"/>
                <w:sz w:val="20"/>
                <w:szCs w:val="24"/>
              </w:rPr>
              <w:t>mL injection 1 × 10</w:t>
            </w:r>
            <w:r w:rsidR="000E1727">
              <w:rPr>
                <w:rFonts w:ascii="Arial Narrow" w:hAnsi="Arial Narrow"/>
                <w:sz w:val="20"/>
                <w:szCs w:val="24"/>
              </w:rPr>
              <w:t> </w:t>
            </w:r>
            <w:r w:rsidRPr="00653ED9">
              <w:rPr>
                <w:rFonts w:ascii="Arial Narrow" w:hAnsi="Arial Narrow"/>
                <w:sz w:val="20"/>
                <w:szCs w:val="24"/>
              </w:rPr>
              <w:t>mL</w:t>
            </w:r>
            <w:r w:rsidR="000E1727">
              <w:rPr>
                <w:rFonts w:ascii="Arial Narrow" w:hAnsi="Arial Narrow"/>
                <w:sz w:val="20"/>
                <w:szCs w:val="24"/>
              </w:rPr>
              <w:t xml:space="preserve"> vial</w:t>
            </w:r>
          </w:p>
        </w:tc>
        <w:tc>
          <w:tcPr>
            <w:tcW w:w="378" w:type="pct"/>
          </w:tcPr>
          <w:p w:rsidR="006115DB" w:rsidRPr="00653ED9" w:rsidRDefault="006115DB" w:rsidP="004E7393">
            <w:pPr>
              <w:keepNext/>
              <w:rPr>
                <w:rFonts w:ascii="Arial Narrow" w:hAnsi="Arial Narrow"/>
                <w:sz w:val="20"/>
                <w:szCs w:val="24"/>
              </w:rPr>
            </w:pPr>
          </w:p>
          <w:p w:rsidR="006115DB" w:rsidRPr="00653ED9" w:rsidRDefault="006115DB" w:rsidP="004E7393">
            <w:pPr>
              <w:keepNext/>
              <w:jc w:val="center"/>
              <w:rPr>
                <w:rFonts w:ascii="Arial Narrow" w:hAnsi="Arial Narrow"/>
                <w:sz w:val="20"/>
                <w:szCs w:val="24"/>
              </w:rPr>
            </w:pPr>
          </w:p>
          <w:p w:rsidR="006115DB" w:rsidRPr="00653ED9" w:rsidRDefault="000E1727" w:rsidP="000E1727">
            <w:pPr>
              <w:keepNext/>
              <w:jc w:val="center"/>
              <w:rPr>
                <w:rFonts w:ascii="Arial Narrow" w:hAnsi="Arial Narrow"/>
                <w:sz w:val="20"/>
                <w:szCs w:val="24"/>
              </w:rPr>
            </w:pPr>
            <w:r>
              <w:rPr>
                <w:rFonts w:ascii="Arial Narrow" w:hAnsi="Arial Narrow"/>
                <w:sz w:val="20"/>
                <w:szCs w:val="24"/>
              </w:rPr>
              <w:t>360 </w:t>
            </w:r>
            <w:r w:rsidR="006115DB" w:rsidRPr="00653ED9">
              <w:rPr>
                <w:rFonts w:ascii="Arial Narrow" w:hAnsi="Arial Narrow"/>
                <w:sz w:val="20"/>
                <w:szCs w:val="24"/>
              </w:rPr>
              <w:t>mg</w:t>
            </w:r>
          </w:p>
        </w:tc>
        <w:tc>
          <w:tcPr>
            <w:tcW w:w="471" w:type="pct"/>
          </w:tcPr>
          <w:p w:rsidR="006115DB" w:rsidRPr="00653ED9" w:rsidRDefault="006115DB" w:rsidP="004E7393">
            <w:pPr>
              <w:keepNext/>
              <w:rPr>
                <w:rFonts w:ascii="Arial Narrow" w:hAnsi="Arial Narrow"/>
                <w:sz w:val="20"/>
                <w:szCs w:val="24"/>
              </w:rPr>
            </w:pPr>
          </w:p>
          <w:p w:rsidR="006115DB" w:rsidRPr="00653ED9" w:rsidRDefault="006115DB" w:rsidP="004E7393">
            <w:pPr>
              <w:keepNext/>
              <w:jc w:val="center"/>
              <w:rPr>
                <w:rFonts w:ascii="Arial Narrow" w:hAnsi="Arial Narrow"/>
                <w:sz w:val="20"/>
                <w:szCs w:val="24"/>
              </w:rPr>
            </w:pPr>
          </w:p>
          <w:p w:rsidR="006115DB" w:rsidRPr="00653ED9" w:rsidRDefault="006115DB" w:rsidP="000E1727">
            <w:pPr>
              <w:keepNext/>
              <w:jc w:val="center"/>
              <w:rPr>
                <w:rFonts w:ascii="Arial Narrow" w:hAnsi="Arial Narrow"/>
                <w:sz w:val="20"/>
                <w:szCs w:val="24"/>
              </w:rPr>
            </w:pPr>
            <w:r w:rsidRPr="00653ED9">
              <w:rPr>
                <w:rFonts w:ascii="Arial Narrow" w:hAnsi="Arial Narrow"/>
                <w:sz w:val="20"/>
                <w:szCs w:val="24"/>
              </w:rPr>
              <w:t>5</w:t>
            </w:r>
          </w:p>
        </w:tc>
        <w:tc>
          <w:tcPr>
            <w:tcW w:w="1523" w:type="pct"/>
            <w:vAlign w:val="center"/>
          </w:tcPr>
          <w:p w:rsidR="006115DB" w:rsidRPr="005E6E19" w:rsidRDefault="006115DB" w:rsidP="004E7393">
            <w:pPr>
              <w:keepNext/>
              <w:jc w:val="center"/>
              <w:rPr>
                <w:rFonts w:ascii="Arial Narrow" w:hAnsi="Arial Narrow"/>
                <w:sz w:val="20"/>
                <w:szCs w:val="24"/>
              </w:rPr>
            </w:pPr>
            <w:r w:rsidRPr="005E6E19">
              <w:rPr>
                <w:rFonts w:ascii="Arial Narrow" w:hAnsi="Arial Narrow"/>
                <w:sz w:val="20"/>
                <w:szCs w:val="24"/>
              </w:rPr>
              <w:t>Published Price</w:t>
            </w:r>
          </w:p>
          <w:p w:rsidR="006115DB" w:rsidRPr="005E6E19" w:rsidRDefault="006115DB" w:rsidP="004E7393">
            <w:pPr>
              <w:keepNext/>
              <w:jc w:val="center"/>
              <w:rPr>
                <w:rFonts w:ascii="Arial Narrow" w:hAnsi="Arial Narrow"/>
                <w:sz w:val="20"/>
                <w:szCs w:val="24"/>
              </w:rPr>
            </w:pPr>
            <w:r w:rsidRPr="005E6E19">
              <w:rPr>
                <w:rFonts w:ascii="Arial Narrow" w:hAnsi="Arial Narrow"/>
                <w:sz w:val="20"/>
                <w:szCs w:val="24"/>
              </w:rPr>
              <w:t>$</w:t>
            </w:r>
            <w:r w:rsidR="00557316">
              <w:rPr>
                <w:rFonts w:ascii="Arial Narrow" w:hAnsi="Arial Narrow"/>
                <w:noProof/>
                <w:color w:val="000000"/>
                <w:sz w:val="20"/>
                <w:szCs w:val="24"/>
                <w:highlight w:val="black"/>
              </w:rPr>
              <w:t>'''''''''''''''''''''''''</w:t>
            </w:r>
            <w:r w:rsidRPr="005E6E19">
              <w:rPr>
                <w:rFonts w:ascii="Arial Narrow" w:hAnsi="Arial Narrow"/>
                <w:sz w:val="20"/>
                <w:szCs w:val="24"/>
              </w:rPr>
              <w:t xml:space="preserve"> (Private hospitals)</w:t>
            </w:r>
            <w:r w:rsidR="00D01497">
              <w:rPr>
                <w:rFonts w:ascii="Arial Narrow" w:hAnsi="Arial Narrow"/>
                <w:sz w:val="20"/>
                <w:szCs w:val="24"/>
                <w:vertAlign w:val="superscript"/>
              </w:rPr>
              <w:t>a</w:t>
            </w:r>
          </w:p>
          <w:p w:rsidR="006115DB" w:rsidRPr="005E6E19" w:rsidRDefault="006115DB" w:rsidP="004E7393">
            <w:pPr>
              <w:keepNext/>
              <w:jc w:val="center"/>
              <w:rPr>
                <w:rFonts w:ascii="Arial Narrow" w:hAnsi="Arial Narrow"/>
                <w:sz w:val="20"/>
                <w:szCs w:val="24"/>
              </w:rPr>
            </w:pPr>
            <w:r w:rsidRPr="005E6E19">
              <w:rPr>
                <w:rFonts w:ascii="Arial Narrow" w:hAnsi="Arial Narrow"/>
                <w:sz w:val="20"/>
                <w:szCs w:val="24"/>
              </w:rPr>
              <w:t>$</w:t>
            </w:r>
            <w:r w:rsidR="00557316">
              <w:rPr>
                <w:rFonts w:ascii="Arial Narrow" w:hAnsi="Arial Narrow"/>
                <w:noProof/>
                <w:color w:val="000000"/>
                <w:sz w:val="20"/>
                <w:szCs w:val="24"/>
                <w:highlight w:val="black"/>
              </w:rPr>
              <w:t>''''''''''''''''''''''''''</w:t>
            </w:r>
            <w:r w:rsidRPr="005E6E19">
              <w:rPr>
                <w:rFonts w:ascii="Arial Narrow" w:hAnsi="Arial Narrow"/>
                <w:sz w:val="20"/>
                <w:szCs w:val="24"/>
              </w:rPr>
              <w:t xml:space="preserve"> (Public Hospitals)</w:t>
            </w:r>
            <w:r w:rsidR="00D01497">
              <w:rPr>
                <w:rFonts w:ascii="Arial Narrow" w:hAnsi="Arial Narrow"/>
                <w:sz w:val="20"/>
                <w:szCs w:val="24"/>
                <w:vertAlign w:val="superscript"/>
              </w:rPr>
              <w:t>a</w:t>
            </w:r>
          </w:p>
          <w:p w:rsidR="006115DB" w:rsidRPr="005E6E19" w:rsidRDefault="006115DB" w:rsidP="004E7393">
            <w:pPr>
              <w:keepNext/>
              <w:jc w:val="center"/>
              <w:rPr>
                <w:rFonts w:ascii="Arial Narrow" w:hAnsi="Arial Narrow"/>
                <w:sz w:val="20"/>
                <w:szCs w:val="24"/>
              </w:rPr>
            </w:pPr>
            <w:r w:rsidRPr="005E6E19">
              <w:rPr>
                <w:rFonts w:ascii="Arial Narrow" w:hAnsi="Arial Narrow"/>
                <w:sz w:val="20"/>
                <w:szCs w:val="24"/>
              </w:rPr>
              <w:t>Effective Price</w:t>
            </w:r>
          </w:p>
          <w:p w:rsidR="006115DB" w:rsidRPr="005E6E19" w:rsidRDefault="006115DB" w:rsidP="004E7393">
            <w:pPr>
              <w:keepNext/>
              <w:jc w:val="center"/>
              <w:rPr>
                <w:rFonts w:ascii="Arial Narrow" w:hAnsi="Arial Narrow"/>
                <w:sz w:val="20"/>
                <w:szCs w:val="24"/>
                <w:vertAlign w:val="superscript"/>
              </w:rPr>
            </w:pPr>
            <w:r w:rsidRPr="005E6E19">
              <w:rPr>
                <w:rFonts w:ascii="Arial Narrow" w:hAnsi="Arial Narrow"/>
                <w:sz w:val="20"/>
                <w:szCs w:val="24"/>
              </w:rPr>
              <w:t>$</w:t>
            </w:r>
            <w:r w:rsidR="00557316">
              <w:rPr>
                <w:rFonts w:ascii="Arial Narrow" w:hAnsi="Arial Narrow"/>
                <w:noProof/>
                <w:color w:val="000000"/>
                <w:sz w:val="20"/>
                <w:szCs w:val="24"/>
                <w:highlight w:val="black"/>
              </w:rPr>
              <w:t>''''''''''''''''''''</w:t>
            </w:r>
            <w:r w:rsidRPr="005E6E19">
              <w:rPr>
                <w:rFonts w:ascii="Arial Narrow" w:hAnsi="Arial Narrow"/>
                <w:sz w:val="20"/>
                <w:szCs w:val="24"/>
              </w:rPr>
              <w:t xml:space="preserve"> (Private hospitals)</w:t>
            </w:r>
            <w:r w:rsidR="00D01497">
              <w:rPr>
                <w:rFonts w:ascii="Arial Narrow" w:hAnsi="Arial Narrow"/>
                <w:sz w:val="20"/>
                <w:szCs w:val="24"/>
                <w:vertAlign w:val="superscript"/>
              </w:rPr>
              <w:t>a</w:t>
            </w:r>
          </w:p>
          <w:p w:rsidR="006115DB" w:rsidRPr="005E6E19" w:rsidRDefault="006115DB" w:rsidP="004E7393">
            <w:pPr>
              <w:keepNext/>
              <w:jc w:val="center"/>
              <w:rPr>
                <w:rFonts w:ascii="Arial Narrow" w:hAnsi="Arial Narrow"/>
                <w:sz w:val="20"/>
                <w:szCs w:val="24"/>
              </w:rPr>
            </w:pPr>
            <w:r w:rsidRPr="005E6E19">
              <w:rPr>
                <w:rFonts w:ascii="Arial Narrow" w:hAnsi="Arial Narrow"/>
                <w:sz w:val="20"/>
                <w:szCs w:val="24"/>
              </w:rPr>
              <w:t>$</w:t>
            </w:r>
            <w:r w:rsidR="00557316">
              <w:rPr>
                <w:rFonts w:ascii="Arial Narrow" w:hAnsi="Arial Narrow"/>
                <w:noProof/>
                <w:color w:val="000000"/>
                <w:sz w:val="20"/>
                <w:szCs w:val="24"/>
                <w:highlight w:val="black"/>
              </w:rPr>
              <w:t>''''''''''''''''''''''</w:t>
            </w:r>
            <w:r w:rsidRPr="005E6E19">
              <w:rPr>
                <w:rFonts w:ascii="Arial Narrow" w:hAnsi="Arial Narrow"/>
                <w:sz w:val="20"/>
                <w:szCs w:val="24"/>
              </w:rPr>
              <w:t xml:space="preserve"> (Public hospitals)</w:t>
            </w:r>
            <w:r w:rsidR="00D01497">
              <w:rPr>
                <w:rFonts w:ascii="Arial Narrow" w:hAnsi="Arial Narrow"/>
                <w:sz w:val="20"/>
                <w:szCs w:val="24"/>
                <w:vertAlign w:val="superscript"/>
              </w:rPr>
              <w:t>a</w:t>
            </w:r>
          </w:p>
          <w:p w:rsidR="006115DB" w:rsidRPr="005E6E19" w:rsidRDefault="006115DB" w:rsidP="004E7393">
            <w:pPr>
              <w:keepNext/>
              <w:rPr>
                <w:rFonts w:ascii="Arial Narrow" w:hAnsi="Arial Narrow"/>
                <w:sz w:val="20"/>
                <w:szCs w:val="24"/>
              </w:rPr>
            </w:pPr>
          </w:p>
        </w:tc>
        <w:tc>
          <w:tcPr>
            <w:tcW w:w="847" w:type="pct"/>
          </w:tcPr>
          <w:p w:rsidR="006115DB" w:rsidRPr="005E6E19" w:rsidRDefault="006115DB" w:rsidP="004E7393">
            <w:pPr>
              <w:keepNext/>
              <w:ind w:right="17"/>
              <w:rPr>
                <w:rFonts w:ascii="Arial Narrow" w:hAnsi="Arial Narrow"/>
                <w:sz w:val="20"/>
                <w:szCs w:val="24"/>
              </w:rPr>
            </w:pPr>
          </w:p>
          <w:p w:rsidR="006115DB" w:rsidRPr="005E6E19" w:rsidRDefault="006115DB" w:rsidP="004E7393">
            <w:pPr>
              <w:keepNext/>
              <w:ind w:right="17"/>
              <w:rPr>
                <w:rFonts w:ascii="Arial Narrow" w:hAnsi="Arial Narrow"/>
                <w:sz w:val="20"/>
                <w:szCs w:val="24"/>
              </w:rPr>
            </w:pPr>
            <w:proofErr w:type="spellStart"/>
            <w:r w:rsidRPr="005E6E19">
              <w:rPr>
                <w:rFonts w:ascii="Arial Narrow" w:hAnsi="Arial Narrow"/>
                <w:sz w:val="20"/>
                <w:szCs w:val="24"/>
              </w:rPr>
              <w:t>Opdivo</w:t>
            </w:r>
            <w:proofErr w:type="spellEnd"/>
            <w:r w:rsidRPr="005E6E19">
              <w:rPr>
                <w:rFonts w:ascii="Arial Narrow" w:hAnsi="Arial Narrow"/>
                <w:sz w:val="20"/>
                <w:szCs w:val="24"/>
                <w:vertAlign w:val="superscript"/>
              </w:rPr>
              <w:t>®</w:t>
            </w:r>
          </w:p>
          <w:p w:rsidR="002F59D6" w:rsidRDefault="002F59D6" w:rsidP="004E7393">
            <w:pPr>
              <w:keepNext/>
              <w:ind w:left="116" w:right="17" w:hanging="116"/>
              <w:rPr>
                <w:rFonts w:ascii="Arial Narrow" w:hAnsi="Arial Narrow"/>
                <w:sz w:val="20"/>
                <w:szCs w:val="24"/>
              </w:rPr>
            </w:pPr>
            <w:r>
              <w:rPr>
                <w:rFonts w:ascii="Arial Narrow" w:hAnsi="Arial Narrow"/>
                <w:sz w:val="20"/>
                <w:szCs w:val="24"/>
              </w:rPr>
              <w:t>Bristol-Myers</w:t>
            </w:r>
          </w:p>
          <w:p w:rsidR="006115DB" w:rsidRPr="005E6E19" w:rsidRDefault="00ED6421" w:rsidP="004E7393">
            <w:pPr>
              <w:keepNext/>
              <w:ind w:left="116" w:right="17" w:hanging="116"/>
              <w:rPr>
                <w:rFonts w:ascii="Arial Narrow" w:hAnsi="Arial Narrow"/>
                <w:sz w:val="20"/>
                <w:szCs w:val="24"/>
              </w:rPr>
            </w:pPr>
            <w:r>
              <w:rPr>
                <w:rFonts w:ascii="Arial Narrow" w:hAnsi="Arial Narrow"/>
                <w:sz w:val="20"/>
                <w:szCs w:val="24"/>
              </w:rPr>
              <w:t xml:space="preserve">Squibb Australia </w:t>
            </w:r>
            <w:r w:rsidR="006115DB" w:rsidRPr="005E6E19">
              <w:rPr>
                <w:rFonts w:ascii="Arial Narrow" w:hAnsi="Arial Narrow"/>
                <w:sz w:val="20"/>
                <w:szCs w:val="24"/>
              </w:rPr>
              <w:t>Pty Ltd (BQ)</w:t>
            </w:r>
          </w:p>
        </w:tc>
      </w:tr>
    </w:tbl>
    <w:p w:rsidR="006115DB" w:rsidRPr="00653ED9" w:rsidRDefault="00D01497" w:rsidP="00D24508">
      <w:pPr>
        <w:pStyle w:val="TableFooter"/>
        <w:ind w:left="720"/>
      </w:pPr>
      <w:proofErr w:type="spellStart"/>
      <w:proofErr w:type="gramStart"/>
      <w:r>
        <w:rPr>
          <w:vertAlign w:val="superscript"/>
        </w:rPr>
        <w:t>a</w:t>
      </w:r>
      <w:proofErr w:type="spellEnd"/>
      <w:proofErr w:type="gramEnd"/>
      <w:r w:rsidRPr="005E6E19">
        <w:rPr>
          <w:vertAlign w:val="superscript"/>
        </w:rPr>
        <w:t xml:space="preserve"> </w:t>
      </w:r>
      <w:r w:rsidR="006115DB" w:rsidRPr="005E6E19">
        <w:t>The dispensed prices for the maximum amount of 360</w:t>
      </w:r>
      <w:r w:rsidR="000E1727" w:rsidRPr="005E6E19">
        <w:t> </w:t>
      </w:r>
      <w:r w:rsidR="006115DB" w:rsidRPr="005E6E19">
        <w:t>mg have been calculated during the evaluation using the updated</w:t>
      </w:r>
      <w:r w:rsidR="006115DB" w:rsidRPr="00AB0340">
        <w:rPr>
          <w:i/>
        </w:rPr>
        <w:t xml:space="preserve"> </w:t>
      </w:r>
      <w:r w:rsidR="006115DB" w:rsidRPr="005E6E19">
        <w:t>remuneration arrangements (from 1 July 2015)</w:t>
      </w:r>
      <w:r w:rsidR="006115DB" w:rsidRPr="005E6E19">
        <w:rPr>
          <w:rStyle w:val="FootnoteReference"/>
          <w:szCs w:val="24"/>
        </w:rPr>
        <w:footnoteReference w:id="1"/>
      </w:r>
      <w:r w:rsidR="006115DB" w:rsidRPr="005E6E19">
        <w:rPr>
          <w:szCs w:val="24"/>
        </w:rPr>
        <w:t>.</w:t>
      </w:r>
      <w:r w:rsidR="006115DB" w:rsidRPr="00653ED9">
        <w:t xml:space="preserve"> </w:t>
      </w:r>
      <w:r w:rsidR="006115DB" w:rsidRPr="00653ED9">
        <w:rPr>
          <w:u w:val="single"/>
        </w:rPr>
        <w:t>The submission propose</w:t>
      </w:r>
      <w:r w:rsidR="006115DB">
        <w:rPr>
          <w:u w:val="single"/>
        </w:rPr>
        <w:t>d</w:t>
      </w:r>
      <w:r w:rsidR="006115DB" w:rsidRPr="00653ED9">
        <w:rPr>
          <w:u w:val="single"/>
        </w:rPr>
        <w:t xml:space="preserve"> a special pricing arrangement.</w:t>
      </w:r>
    </w:p>
    <w:p w:rsidR="006115DB" w:rsidRPr="000E1727" w:rsidRDefault="006115DB" w:rsidP="006115DB">
      <w:pPr>
        <w:rPr>
          <w:rFonts w:ascii="Arial Narrow" w:hAnsi="Arial Narrow"/>
          <w:color w:val="222222"/>
          <w:sz w:val="20"/>
          <w:lang w:eastAsia="en-AU"/>
        </w:rPr>
      </w:pPr>
    </w:p>
    <w:tbl>
      <w:tblPr>
        <w:tblW w:w="8363" w:type="dxa"/>
        <w:tblInd w:w="817" w:type="dxa"/>
        <w:tblLayout w:type="fixed"/>
        <w:tblLook w:val="0000" w:firstRow="0" w:lastRow="0" w:firstColumn="0" w:lastColumn="0" w:noHBand="0" w:noVBand="0"/>
      </w:tblPr>
      <w:tblGrid>
        <w:gridCol w:w="2552"/>
        <w:gridCol w:w="5811"/>
      </w:tblGrid>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Category / Program:</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Section 100 – Efficient funding of Chemotherapy</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Prescriber type:</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1"/>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 xml:space="preserve">Dental  </w:t>
            </w:r>
            <w:r w:rsidRPr="00195749">
              <w:rPr>
                <w:rFonts w:ascii="Arial Narrow" w:hAnsi="Arial Narrow"/>
                <w:snapToGrid/>
                <w:sz w:val="20"/>
                <w:lang w:eastAsia="en-AU"/>
              </w:rPr>
              <w:fldChar w:fldCharType="begin">
                <w:ffData>
                  <w:name w:val=""/>
                  <w:enabled/>
                  <w:calcOnExit w:val="0"/>
                  <w:checkBox>
                    <w:sizeAuto/>
                    <w:default w:val="1"/>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 xml:space="preserve">Medical Practitioners  </w:t>
            </w:r>
            <w:r w:rsidRPr="00195749">
              <w:rPr>
                <w:rFonts w:ascii="Arial Narrow" w:hAnsi="Arial Narrow"/>
                <w:snapToGrid/>
                <w:sz w:val="20"/>
                <w:lang w:eastAsia="en-AU"/>
              </w:rPr>
              <w:fldChar w:fldCharType="begin">
                <w:ffData>
                  <w:name w:val="Check3"/>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 xml:space="preserve">Nurse practitioners  </w:t>
            </w:r>
            <w:r w:rsidRPr="00195749">
              <w:rPr>
                <w:rFonts w:ascii="Arial Narrow" w:hAnsi="Arial Narrow"/>
                <w:snapToGrid/>
                <w:sz w:val="20"/>
                <w:lang w:eastAsia="en-AU"/>
              </w:rPr>
              <w:fldChar w:fldCharType="begin">
                <w:ffData>
                  <w:name w:val=""/>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Optometrists</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5"/>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Midwives</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proofErr w:type="spellStart"/>
            <w:r w:rsidRPr="00195749">
              <w:rPr>
                <w:rFonts w:ascii="Arial Narrow" w:hAnsi="Arial Narrow"/>
                <w:b/>
                <w:snapToGrid/>
                <w:sz w:val="20"/>
                <w:lang w:eastAsia="en-AU"/>
              </w:rPr>
              <w:t>Episodicity</w:t>
            </w:r>
            <w:proofErr w:type="spellEnd"/>
            <w:r w:rsidRPr="00195749">
              <w:rPr>
                <w:rFonts w:ascii="Arial Narrow" w:hAnsi="Arial Narrow"/>
                <w:b/>
                <w:snapToGrid/>
                <w:sz w:val="20"/>
                <w:lang w:eastAsia="en-AU"/>
              </w:rPr>
              <w:t>:</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Severity:</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Locally advanced or metastatic</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Condition:</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trike/>
                <w:snapToGrid/>
                <w:sz w:val="20"/>
                <w:lang w:eastAsia="en-AU"/>
              </w:rPr>
              <w:t>Squamous</w:t>
            </w:r>
            <w:r w:rsidRPr="00195749">
              <w:rPr>
                <w:rFonts w:ascii="Arial Narrow" w:hAnsi="Arial Narrow"/>
                <w:snapToGrid/>
                <w:sz w:val="20"/>
                <w:lang w:eastAsia="en-AU"/>
              </w:rPr>
              <w:t xml:space="preserve"> non-small cell lung cancer (NSCLC)</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PBS Indication:</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 xml:space="preserve">Locally advanced or metastatic </w:t>
            </w:r>
            <w:r w:rsidRPr="00195749">
              <w:rPr>
                <w:rFonts w:ascii="Arial Narrow" w:hAnsi="Arial Narrow"/>
                <w:strike/>
                <w:snapToGrid/>
                <w:sz w:val="20"/>
                <w:lang w:eastAsia="en-AU"/>
              </w:rPr>
              <w:t>squamous</w:t>
            </w:r>
            <w:r w:rsidRPr="00195749">
              <w:rPr>
                <w:rFonts w:ascii="Arial Narrow" w:hAnsi="Arial Narrow"/>
                <w:snapToGrid/>
                <w:sz w:val="20"/>
                <w:lang w:eastAsia="en-AU"/>
              </w:rPr>
              <w:t xml:space="preserve"> </w:t>
            </w:r>
            <w:r w:rsidR="00347AAD" w:rsidRPr="007076D0">
              <w:rPr>
                <w:rFonts w:ascii="Arial Narrow" w:hAnsi="Arial Narrow"/>
                <w:snapToGrid/>
                <w:sz w:val="20"/>
                <w:lang w:eastAsia="en-AU"/>
              </w:rPr>
              <w:t xml:space="preserve">non-small cell lung cancer </w:t>
            </w:r>
            <w:r w:rsidR="00347AAD">
              <w:rPr>
                <w:rFonts w:ascii="Arial Narrow" w:hAnsi="Arial Narrow"/>
                <w:snapToGrid/>
                <w:sz w:val="20"/>
                <w:lang w:eastAsia="en-AU"/>
              </w:rPr>
              <w:t>(</w:t>
            </w:r>
            <w:r w:rsidRPr="00195749">
              <w:rPr>
                <w:rFonts w:ascii="Arial Narrow" w:hAnsi="Arial Narrow"/>
                <w:snapToGrid/>
                <w:sz w:val="20"/>
                <w:lang w:eastAsia="en-AU"/>
              </w:rPr>
              <w:t>NSCLC</w:t>
            </w:r>
            <w:r w:rsidR="00347AAD">
              <w:rPr>
                <w:rFonts w:ascii="Arial Narrow" w:hAnsi="Arial Narrow"/>
                <w:snapToGrid/>
                <w:sz w:val="20"/>
                <w:lang w:eastAsia="en-AU"/>
              </w:rPr>
              <w:t>)</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Treatment phase:</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Initial treatment</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Restriction Level / Method:</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1"/>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Restricted benefit</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Authority Required - In Writing</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3"/>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Authority Required - Telephone</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Authority Required - Emergency</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5"/>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Authority Required - Electronic</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5"/>
                  <w:enabled/>
                  <w:calcOnExit w:val="0"/>
                  <w:checkBox>
                    <w:sizeAuto/>
                    <w:default w:val="1"/>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Streamlined</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Clinical criteria:</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i/>
                <w:snapToGrid/>
                <w:sz w:val="20"/>
                <w:lang w:eastAsia="en-AU"/>
              </w:rPr>
            </w:pPr>
            <w:r w:rsidRPr="00195749">
              <w:rPr>
                <w:rFonts w:ascii="Arial Narrow" w:hAnsi="Arial Narrow"/>
                <w:i/>
                <w:snapToGrid/>
                <w:sz w:val="20"/>
                <w:lang w:eastAsia="en-AU"/>
              </w:rPr>
              <w:t>The condition must be squamous type non-small cell lung cancer (NSCLC)</w:t>
            </w:r>
          </w:p>
          <w:p w:rsidR="00AC019E" w:rsidRPr="00195749" w:rsidRDefault="00AC019E" w:rsidP="005B50BD">
            <w:pPr>
              <w:widowControl/>
              <w:jc w:val="left"/>
              <w:rPr>
                <w:rFonts w:ascii="Arial Narrow" w:hAnsi="Arial Narrow"/>
                <w:i/>
                <w:snapToGrid/>
                <w:sz w:val="20"/>
                <w:lang w:eastAsia="en-AU"/>
              </w:rPr>
            </w:pPr>
          </w:p>
          <w:p w:rsidR="00AC019E" w:rsidRPr="00195749" w:rsidRDefault="00AC019E" w:rsidP="005B50BD">
            <w:pPr>
              <w:widowControl/>
              <w:jc w:val="left"/>
              <w:rPr>
                <w:rFonts w:ascii="Arial Narrow" w:hAnsi="Arial Narrow"/>
                <w:i/>
                <w:snapToGrid/>
                <w:sz w:val="20"/>
                <w:lang w:eastAsia="en-AU"/>
              </w:rPr>
            </w:pPr>
            <w:r w:rsidRPr="00195749">
              <w:rPr>
                <w:rFonts w:ascii="Arial Narrow" w:hAnsi="Arial Narrow"/>
                <w:i/>
                <w:snapToGrid/>
                <w:sz w:val="20"/>
                <w:lang w:eastAsia="en-AU"/>
              </w:rPr>
              <w:t>AND</w:t>
            </w:r>
          </w:p>
          <w:p w:rsidR="00AC019E" w:rsidRPr="00195749" w:rsidRDefault="00AC019E" w:rsidP="005B50BD">
            <w:pPr>
              <w:widowControl/>
              <w:jc w:val="left"/>
              <w:rPr>
                <w:rFonts w:ascii="Arial Narrow" w:hAnsi="Arial Narrow"/>
                <w:i/>
                <w:snapToGrid/>
                <w:sz w:val="20"/>
                <w:lang w:eastAsia="en-AU"/>
              </w:rPr>
            </w:pPr>
          </w:p>
          <w:p w:rsidR="00AC019E" w:rsidRPr="00195749" w:rsidRDefault="00AC019E" w:rsidP="005B50BD">
            <w:pPr>
              <w:widowControl/>
              <w:jc w:val="left"/>
              <w:rPr>
                <w:rFonts w:ascii="Arial Narrow" w:hAnsi="Arial Narrow"/>
                <w:i/>
                <w:snapToGrid/>
                <w:sz w:val="20"/>
                <w:lang w:eastAsia="en-AU"/>
              </w:rPr>
            </w:pPr>
            <w:r w:rsidRPr="00195749">
              <w:rPr>
                <w:rFonts w:ascii="Arial Narrow" w:hAnsi="Arial Narrow"/>
                <w:i/>
                <w:snapToGrid/>
                <w:sz w:val="20"/>
                <w:lang w:eastAsia="en-AU"/>
              </w:rPr>
              <w:t>Patient must have a WHO performance status of 1 or less</w:t>
            </w:r>
          </w:p>
          <w:p w:rsidR="00AC019E" w:rsidRPr="00195749" w:rsidRDefault="00AC019E" w:rsidP="005B50BD">
            <w:pPr>
              <w:widowControl/>
              <w:jc w:val="left"/>
              <w:rPr>
                <w:rFonts w:ascii="Arial Narrow" w:hAnsi="Arial Narrow"/>
                <w:i/>
                <w:snapToGrid/>
                <w:sz w:val="20"/>
                <w:lang w:eastAsia="en-AU"/>
              </w:rPr>
            </w:pPr>
          </w:p>
          <w:p w:rsidR="00AC019E" w:rsidRPr="00195749" w:rsidRDefault="00AC019E" w:rsidP="005B50BD">
            <w:pPr>
              <w:widowControl/>
              <w:jc w:val="left"/>
              <w:rPr>
                <w:rFonts w:ascii="Arial Narrow" w:hAnsi="Arial Narrow"/>
                <w:i/>
                <w:snapToGrid/>
                <w:sz w:val="20"/>
                <w:lang w:eastAsia="en-AU"/>
              </w:rPr>
            </w:pPr>
            <w:r w:rsidRPr="00195749">
              <w:rPr>
                <w:rFonts w:ascii="Arial Narrow" w:hAnsi="Arial Narrow"/>
                <w:i/>
                <w:snapToGrid/>
                <w:sz w:val="20"/>
                <w:lang w:eastAsia="en-AU"/>
              </w:rPr>
              <w:t>AND</w:t>
            </w:r>
          </w:p>
          <w:p w:rsidR="00AC019E" w:rsidRPr="00195749" w:rsidRDefault="00AC019E" w:rsidP="005B50BD">
            <w:pPr>
              <w:widowControl/>
              <w:jc w:val="left"/>
              <w:rPr>
                <w:rFonts w:ascii="Arial Narrow" w:hAnsi="Arial Narrow"/>
                <w:snapToGrid/>
                <w:sz w:val="20"/>
                <w:lang w:eastAsia="en-AU"/>
              </w:rPr>
            </w:pP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The treatment must be the sole PBS-subsidised therapy for this condition</w:t>
            </w:r>
          </w:p>
          <w:p w:rsidR="00AC019E" w:rsidRPr="00195749" w:rsidRDefault="00AC019E" w:rsidP="005B50BD">
            <w:pPr>
              <w:widowControl/>
              <w:jc w:val="left"/>
              <w:rPr>
                <w:rFonts w:ascii="Arial Narrow" w:hAnsi="Arial Narrow"/>
                <w:snapToGrid/>
                <w:sz w:val="20"/>
                <w:lang w:eastAsia="en-AU"/>
              </w:rPr>
            </w:pP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AND</w:t>
            </w:r>
          </w:p>
          <w:p w:rsidR="00AC019E" w:rsidRPr="00195749" w:rsidRDefault="00AC019E" w:rsidP="005B50BD">
            <w:pPr>
              <w:widowControl/>
              <w:jc w:val="left"/>
              <w:rPr>
                <w:rFonts w:ascii="Arial Narrow" w:hAnsi="Arial Narrow"/>
                <w:snapToGrid/>
                <w:sz w:val="20"/>
                <w:lang w:eastAsia="en-AU"/>
              </w:rPr>
            </w:pP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The condition must have progressed on or after prior platinum based chemotherapy.</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Prescriber Instructions:</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The patient’s body weight must be documented in the patient’s medical records at the time treatment is initiated.</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i/>
                <w:snapToGrid/>
                <w:sz w:val="20"/>
                <w:lang w:eastAsia="en-AU"/>
              </w:rPr>
            </w:pPr>
            <w:r w:rsidRPr="00195749">
              <w:rPr>
                <w:rFonts w:ascii="Arial Narrow" w:hAnsi="Arial Narrow"/>
                <w:b/>
                <w:snapToGrid/>
                <w:sz w:val="20"/>
                <w:lang w:eastAsia="en-AU"/>
              </w:rPr>
              <w:t>Administrative Advice:</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No increase in the maximum number of repeats may be authorised.</w:t>
            </w:r>
          </w:p>
          <w:p w:rsidR="00AC019E" w:rsidRPr="00195749" w:rsidRDefault="00AC019E" w:rsidP="005B50BD">
            <w:pPr>
              <w:widowControl/>
              <w:jc w:val="left"/>
              <w:rPr>
                <w:rFonts w:ascii="Arial Narrow" w:hAnsi="Arial Narrow"/>
                <w:snapToGrid/>
                <w:sz w:val="20"/>
                <w:lang w:eastAsia="en-AU"/>
              </w:rPr>
            </w:pP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Special Pricing Arrangements apply.</w:t>
            </w:r>
          </w:p>
        </w:tc>
      </w:tr>
    </w:tbl>
    <w:p w:rsidR="00AC019E" w:rsidRPr="00195749" w:rsidRDefault="00AC019E" w:rsidP="00AC019E">
      <w:pPr>
        <w:widowControl/>
        <w:rPr>
          <w:snapToGrid/>
          <w:sz w:val="24"/>
          <w:szCs w:val="24"/>
          <w:lang w:eastAsia="en-AU"/>
        </w:rPr>
      </w:pPr>
    </w:p>
    <w:p w:rsidR="00AC019E" w:rsidRPr="00195749" w:rsidRDefault="00AC019E" w:rsidP="00AC019E">
      <w:pPr>
        <w:widowControl/>
        <w:rPr>
          <w:snapToGrid/>
          <w:sz w:val="24"/>
          <w:szCs w:val="24"/>
          <w:lang w:eastAsia="en-AU"/>
        </w:rPr>
      </w:pPr>
    </w:p>
    <w:tbl>
      <w:tblPr>
        <w:tblW w:w="8363" w:type="dxa"/>
        <w:tblInd w:w="817" w:type="dxa"/>
        <w:tblLayout w:type="fixed"/>
        <w:tblLook w:val="0000" w:firstRow="0" w:lastRow="0" w:firstColumn="0" w:lastColumn="0" w:noHBand="0" w:noVBand="0"/>
      </w:tblPr>
      <w:tblGrid>
        <w:gridCol w:w="2552"/>
        <w:gridCol w:w="5811"/>
      </w:tblGrid>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lastRenderedPageBreak/>
              <w:t>Category / Program</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Section 100 – Efficient funding of Chemotherapy</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Prescriber type:</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1"/>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 xml:space="preserve">Dental  </w:t>
            </w:r>
            <w:r w:rsidRPr="00195749">
              <w:rPr>
                <w:rFonts w:ascii="Arial Narrow" w:hAnsi="Arial Narrow"/>
                <w:snapToGrid/>
                <w:sz w:val="20"/>
                <w:lang w:eastAsia="en-AU"/>
              </w:rPr>
              <w:fldChar w:fldCharType="begin">
                <w:ffData>
                  <w:name w:val=""/>
                  <w:enabled/>
                  <w:calcOnExit w:val="0"/>
                  <w:checkBox>
                    <w:sizeAuto/>
                    <w:default w:val="1"/>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 xml:space="preserve">Medical Practitioners  </w:t>
            </w:r>
            <w:r w:rsidRPr="00195749">
              <w:rPr>
                <w:rFonts w:ascii="Arial Narrow" w:hAnsi="Arial Narrow"/>
                <w:snapToGrid/>
                <w:sz w:val="20"/>
                <w:lang w:eastAsia="en-AU"/>
              </w:rPr>
              <w:fldChar w:fldCharType="begin">
                <w:ffData>
                  <w:name w:val="Check3"/>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 xml:space="preserve">Nurse practitioners  </w:t>
            </w:r>
            <w:r w:rsidRPr="00195749">
              <w:rPr>
                <w:rFonts w:ascii="Arial Narrow" w:hAnsi="Arial Narrow"/>
                <w:snapToGrid/>
                <w:sz w:val="20"/>
                <w:lang w:eastAsia="en-AU"/>
              </w:rPr>
              <w:fldChar w:fldCharType="begin">
                <w:ffData>
                  <w:name w:val=""/>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Optometrists</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5"/>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Midwives</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proofErr w:type="spellStart"/>
            <w:r w:rsidRPr="00195749">
              <w:rPr>
                <w:rFonts w:ascii="Arial Narrow" w:hAnsi="Arial Narrow"/>
                <w:b/>
                <w:snapToGrid/>
                <w:sz w:val="20"/>
                <w:lang w:eastAsia="en-AU"/>
              </w:rPr>
              <w:t>Episodicity</w:t>
            </w:r>
            <w:proofErr w:type="spellEnd"/>
            <w:r w:rsidRPr="00195749">
              <w:rPr>
                <w:rFonts w:ascii="Arial Narrow" w:hAnsi="Arial Narrow"/>
                <w:b/>
                <w:snapToGrid/>
                <w:sz w:val="20"/>
                <w:lang w:eastAsia="en-AU"/>
              </w:rPr>
              <w:t>:</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Severity:</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Locally advanced or metastatic</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Condition:</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trike/>
                <w:snapToGrid/>
                <w:sz w:val="20"/>
                <w:lang w:eastAsia="en-AU"/>
              </w:rPr>
              <w:t>Squamous</w:t>
            </w:r>
            <w:r w:rsidRPr="00195749">
              <w:rPr>
                <w:rFonts w:ascii="Arial Narrow" w:hAnsi="Arial Narrow"/>
                <w:snapToGrid/>
                <w:sz w:val="20"/>
                <w:lang w:eastAsia="en-AU"/>
              </w:rPr>
              <w:t xml:space="preserve"> non-small cell lung cancer (NSCLC)</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PBS Indication:</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 xml:space="preserve">Locally advanced or metastatic </w:t>
            </w:r>
            <w:r w:rsidRPr="00195749">
              <w:rPr>
                <w:rFonts w:ascii="Arial Narrow" w:hAnsi="Arial Narrow"/>
                <w:strike/>
                <w:snapToGrid/>
                <w:sz w:val="20"/>
                <w:lang w:eastAsia="en-AU"/>
              </w:rPr>
              <w:t>squamous</w:t>
            </w:r>
            <w:r w:rsidRPr="00195749">
              <w:rPr>
                <w:rFonts w:ascii="Arial Narrow" w:hAnsi="Arial Narrow"/>
                <w:snapToGrid/>
                <w:sz w:val="20"/>
                <w:lang w:eastAsia="en-AU"/>
              </w:rPr>
              <w:t xml:space="preserve"> </w:t>
            </w:r>
            <w:r w:rsidR="006B7CD6">
              <w:rPr>
                <w:rFonts w:ascii="Arial Narrow" w:hAnsi="Arial Narrow"/>
                <w:snapToGrid/>
                <w:sz w:val="20"/>
                <w:lang w:eastAsia="en-AU"/>
              </w:rPr>
              <w:t>non-small cell lung cancer (</w:t>
            </w:r>
            <w:r w:rsidRPr="00195749">
              <w:rPr>
                <w:rFonts w:ascii="Arial Narrow" w:hAnsi="Arial Narrow"/>
                <w:snapToGrid/>
                <w:sz w:val="20"/>
                <w:lang w:eastAsia="en-AU"/>
              </w:rPr>
              <w:t>NSCLC</w:t>
            </w:r>
            <w:r w:rsidR="006B7CD6">
              <w:rPr>
                <w:rFonts w:ascii="Arial Narrow" w:hAnsi="Arial Narrow"/>
                <w:snapToGrid/>
                <w:sz w:val="20"/>
                <w:lang w:eastAsia="en-AU"/>
              </w:rPr>
              <w:t>)</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i/>
                <w:snapToGrid/>
                <w:sz w:val="20"/>
                <w:lang w:eastAsia="en-AU"/>
              </w:rPr>
            </w:pPr>
            <w:r w:rsidRPr="00195749">
              <w:rPr>
                <w:rFonts w:ascii="Arial Narrow" w:hAnsi="Arial Narrow"/>
                <w:b/>
                <w:snapToGrid/>
                <w:sz w:val="20"/>
                <w:lang w:eastAsia="en-AU"/>
              </w:rPr>
              <w:t>Treatment phase:</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Continuing treatment</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Restriction Level / Method:</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1"/>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Restricted benefit</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Authority Required - In Writing</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3"/>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Authority Required - Telephone</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Authority Required - Emergency</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5"/>
                  <w:enabled/>
                  <w:calcOnExit w:val="0"/>
                  <w:checkBox>
                    <w:sizeAuto/>
                    <w:default w:val="0"/>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Authority Required - Electronic</w:t>
            </w: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fldChar w:fldCharType="begin">
                <w:ffData>
                  <w:name w:val="Check5"/>
                  <w:enabled/>
                  <w:calcOnExit w:val="0"/>
                  <w:checkBox>
                    <w:sizeAuto/>
                    <w:default w:val="1"/>
                  </w:checkBox>
                </w:ffData>
              </w:fldChar>
            </w:r>
            <w:r w:rsidRPr="00195749">
              <w:rPr>
                <w:rFonts w:ascii="Arial Narrow" w:hAnsi="Arial Narrow"/>
                <w:snapToGrid/>
                <w:sz w:val="20"/>
                <w:lang w:eastAsia="en-AU"/>
              </w:rPr>
              <w:instrText xml:space="preserve"> FORMCHECKBOX </w:instrText>
            </w:r>
            <w:r w:rsidR="0036260F">
              <w:rPr>
                <w:rFonts w:ascii="Arial Narrow" w:hAnsi="Arial Narrow"/>
                <w:snapToGrid/>
                <w:sz w:val="20"/>
                <w:lang w:eastAsia="en-AU"/>
              </w:rPr>
            </w:r>
            <w:r w:rsidR="0036260F">
              <w:rPr>
                <w:rFonts w:ascii="Arial Narrow" w:hAnsi="Arial Narrow"/>
                <w:snapToGrid/>
                <w:sz w:val="20"/>
                <w:lang w:eastAsia="en-AU"/>
              </w:rPr>
              <w:fldChar w:fldCharType="separate"/>
            </w:r>
            <w:r w:rsidRPr="00195749">
              <w:rPr>
                <w:rFonts w:ascii="Arial Narrow" w:hAnsi="Arial Narrow"/>
                <w:snapToGrid/>
                <w:sz w:val="20"/>
                <w:lang w:eastAsia="en-AU"/>
              </w:rPr>
              <w:fldChar w:fldCharType="end"/>
            </w:r>
            <w:r w:rsidRPr="00195749">
              <w:rPr>
                <w:rFonts w:ascii="Arial Narrow" w:hAnsi="Arial Narrow"/>
                <w:snapToGrid/>
                <w:sz w:val="20"/>
                <w:lang w:eastAsia="en-AU"/>
              </w:rPr>
              <w:t>Streamlined</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Clinical criteria:</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i/>
                <w:snapToGrid/>
                <w:sz w:val="20"/>
                <w:lang w:eastAsia="en-AU"/>
              </w:rPr>
            </w:pPr>
            <w:r w:rsidRPr="00195749">
              <w:rPr>
                <w:rFonts w:ascii="Arial Narrow" w:hAnsi="Arial Narrow"/>
                <w:snapToGrid/>
                <w:sz w:val="20"/>
                <w:lang w:eastAsia="en-AU"/>
              </w:rPr>
              <w:t xml:space="preserve">Patient must have previously been issued with an authority prescription for this drug </w:t>
            </w:r>
            <w:r w:rsidRPr="00195749">
              <w:rPr>
                <w:rFonts w:ascii="Arial Narrow" w:hAnsi="Arial Narrow"/>
                <w:i/>
                <w:snapToGrid/>
                <w:sz w:val="20"/>
                <w:lang w:eastAsia="en-AU"/>
              </w:rPr>
              <w:t>for this condition</w:t>
            </w:r>
          </w:p>
          <w:p w:rsidR="00AC019E" w:rsidRPr="00195749" w:rsidRDefault="00AC019E" w:rsidP="005B50BD">
            <w:pPr>
              <w:widowControl/>
              <w:jc w:val="left"/>
              <w:rPr>
                <w:rFonts w:ascii="Arial Narrow" w:hAnsi="Arial Narrow"/>
                <w:snapToGrid/>
                <w:sz w:val="20"/>
                <w:lang w:eastAsia="en-AU"/>
              </w:rPr>
            </w:pP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AND</w:t>
            </w:r>
          </w:p>
          <w:p w:rsidR="00AC019E" w:rsidRPr="00195749" w:rsidRDefault="00AC019E" w:rsidP="005B50BD">
            <w:pPr>
              <w:widowControl/>
              <w:jc w:val="left"/>
              <w:rPr>
                <w:rFonts w:ascii="Arial Narrow" w:hAnsi="Arial Narrow"/>
                <w:snapToGrid/>
                <w:sz w:val="20"/>
                <w:lang w:eastAsia="en-AU"/>
              </w:rPr>
            </w:pP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The treatment must be the sole PBS-subsidised therapy for this condition</w:t>
            </w:r>
          </w:p>
          <w:p w:rsidR="00AC019E" w:rsidRPr="00195749" w:rsidRDefault="00AC019E" w:rsidP="005B50BD">
            <w:pPr>
              <w:widowControl/>
              <w:jc w:val="left"/>
              <w:rPr>
                <w:rFonts w:ascii="Arial Narrow" w:hAnsi="Arial Narrow"/>
                <w:snapToGrid/>
                <w:sz w:val="20"/>
                <w:lang w:eastAsia="en-AU"/>
              </w:rPr>
            </w:pP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AND</w:t>
            </w:r>
          </w:p>
          <w:p w:rsidR="00AC019E" w:rsidRPr="00195749" w:rsidRDefault="00AC019E" w:rsidP="005B50BD">
            <w:pPr>
              <w:widowControl/>
              <w:jc w:val="left"/>
              <w:rPr>
                <w:rFonts w:ascii="Arial Narrow" w:hAnsi="Arial Narrow"/>
                <w:snapToGrid/>
                <w:sz w:val="20"/>
                <w:lang w:eastAsia="en-AU"/>
              </w:rPr>
            </w:pP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Patient must be deriving clinical benefit and tolerating treatment.</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b/>
                <w:snapToGrid/>
                <w:sz w:val="20"/>
                <w:lang w:eastAsia="en-AU"/>
              </w:rPr>
            </w:pPr>
            <w:r w:rsidRPr="00195749">
              <w:rPr>
                <w:rFonts w:ascii="Arial Narrow" w:hAnsi="Arial Narrow"/>
                <w:b/>
                <w:snapToGrid/>
                <w:sz w:val="20"/>
                <w:lang w:eastAsia="en-AU"/>
              </w:rPr>
              <w:t>Prescriber Instructions:</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trike/>
                <w:snapToGrid/>
                <w:sz w:val="20"/>
                <w:lang w:eastAsia="en-AU"/>
              </w:rPr>
            </w:pPr>
            <w:r w:rsidRPr="00195749">
              <w:rPr>
                <w:rFonts w:ascii="Arial Narrow" w:hAnsi="Arial Narrow"/>
                <w:strike/>
                <w:snapToGrid/>
                <w:sz w:val="20"/>
                <w:lang w:eastAsia="en-AU"/>
              </w:rPr>
              <w:t>The patient’s body weight must be documented in the patient’s medical records at the time treatment is initiated.</w:t>
            </w:r>
          </w:p>
        </w:tc>
      </w:tr>
      <w:tr w:rsidR="00AC019E" w:rsidRPr="00195749" w:rsidTr="008D38BB">
        <w:trPr>
          <w:cantSplit/>
          <w:trHeight w:val="360"/>
        </w:trPr>
        <w:tc>
          <w:tcPr>
            <w:tcW w:w="2552"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rPr>
                <w:rFonts w:ascii="Arial Narrow" w:hAnsi="Arial Narrow"/>
                <w:i/>
                <w:snapToGrid/>
                <w:sz w:val="20"/>
                <w:lang w:eastAsia="en-AU"/>
              </w:rPr>
            </w:pPr>
            <w:r w:rsidRPr="00195749">
              <w:rPr>
                <w:rFonts w:ascii="Arial Narrow" w:hAnsi="Arial Narrow"/>
                <w:b/>
                <w:snapToGrid/>
                <w:sz w:val="20"/>
                <w:lang w:eastAsia="en-AU"/>
              </w:rPr>
              <w:t>Administrative Advice:</w:t>
            </w:r>
          </w:p>
        </w:tc>
        <w:tc>
          <w:tcPr>
            <w:tcW w:w="5811" w:type="dxa"/>
            <w:tcBorders>
              <w:top w:val="single" w:sz="4" w:space="0" w:color="auto"/>
              <w:left w:val="single" w:sz="4" w:space="0" w:color="auto"/>
              <w:bottom w:val="single" w:sz="4" w:space="0" w:color="auto"/>
              <w:right w:val="single" w:sz="4" w:space="0" w:color="auto"/>
            </w:tcBorders>
          </w:tcPr>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No increase in the maximum number of repeats may be authorised.</w:t>
            </w:r>
          </w:p>
          <w:p w:rsidR="00AC019E" w:rsidRPr="00195749" w:rsidRDefault="00AC019E" w:rsidP="005B50BD">
            <w:pPr>
              <w:widowControl/>
              <w:jc w:val="left"/>
              <w:rPr>
                <w:rFonts w:ascii="Arial Narrow" w:hAnsi="Arial Narrow"/>
                <w:snapToGrid/>
                <w:sz w:val="20"/>
                <w:lang w:eastAsia="en-AU"/>
              </w:rPr>
            </w:pPr>
          </w:p>
          <w:p w:rsidR="00AC019E" w:rsidRPr="00195749" w:rsidRDefault="00AC019E" w:rsidP="005B50BD">
            <w:pPr>
              <w:widowControl/>
              <w:jc w:val="left"/>
              <w:rPr>
                <w:rFonts w:ascii="Arial Narrow" w:hAnsi="Arial Narrow"/>
                <w:snapToGrid/>
                <w:sz w:val="20"/>
                <w:lang w:eastAsia="en-AU"/>
              </w:rPr>
            </w:pPr>
            <w:r w:rsidRPr="00195749">
              <w:rPr>
                <w:rFonts w:ascii="Arial Narrow" w:hAnsi="Arial Narrow"/>
                <w:snapToGrid/>
                <w:sz w:val="20"/>
                <w:lang w:eastAsia="en-AU"/>
              </w:rPr>
              <w:t>Special Pricing Arrangements apply.</w:t>
            </w:r>
          </w:p>
        </w:tc>
      </w:tr>
    </w:tbl>
    <w:p w:rsidR="00AC019E" w:rsidRDefault="00AC019E" w:rsidP="006115DB"/>
    <w:p w:rsidR="006115DB" w:rsidRPr="00662DF1" w:rsidRDefault="006115DB" w:rsidP="0073258E">
      <w:pPr>
        <w:pStyle w:val="ListParagraph"/>
        <w:widowControl/>
        <w:numPr>
          <w:ilvl w:val="1"/>
          <w:numId w:val="2"/>
        </w:numPr>
      </w:pPr>
      <w:r w:rsidRPr="00662DF1">
        <w:rPr>
          <w:szCs w:val="22"/>
        </w:rPr>
        <w:t xml:space="preserve">The submission also requested that grandfathering of patients from </w:t>
      </w:r>
      <w:r w:rsidR="00EA5E7D">
        <w:rPr>
          <w:szCs w:val="22"/>
        </w:rPr>
        <w:t xml:space="preserve">the </w:t>
      </w:r>
      <w:r w:rsidRPr="00662DF1">
        <w:rPr>
          <w:szCs w:val="22"/>
        </w:rPr>
        <w:t xml:space="preserve">early </w:t>
      </w:r>
      <w:proofErr w:type="spellStart"/>
      <w:r w:rsidRPr="00662DF1">
        <w:rPr>
          <w:szCs w:val="22"/>
        </w:rPr>
        <w:t>nivolumab</w:t>
      </w:r>
      <w:proofErr w:type="spellEnd"/>
      <w:r w:rsidRPr="00662DF1">
        <w:rPr>
          <w:szCs w:val="22"/>
        </w:rPr>
        <w:t xml:space="preserve"> access program be permitted upon implementation of PBS listing.</w:t>
      </w:r>
    </w:p>
    <w:p w:rsidR="006115DB" w:rsidRPr="00662DF1" w:rsidRDefault="006115DB" w:rsidP="006115DB"/>
    <w:p w:rsidR="006115DB" w:rsidRPr="00662DF1" w:rsidRDefault="006115DB" w:rsidP="0073258E">
      <w:pPr>
        <w:pStyle w:val="ListParagraph"/>
        <w:widowControl/>
        <w:numPr>
          <w:ilvl w:val="1"/>
          <w:numId w:val="2"/>
        </w:numPr>
        <w:rPr>
          <w:szCs w:val="22"/>
        </w:rPr>
      </w:pPr>
      <w:r w:rsidRPr="00662DF1">
        <w:rPr>
          <w:szCs w:val="22"/>
        </w:rPr>
        <w:t xml:space="preserve">The requested restriction does </w:t>
      </w:r>
      <w:r w:rsidR="00641F05">
        <w:rPr>
          <w:szCs w:val="22"/>
        </w:rPr>
        <w:t xml:space="preserve">not specify performance status, </w:t>
      </w:r>
      <w:r w:rsidRPr="00662DF1">
        <w:rPr>
          <w:szCs w:val="22"/>
        </w:rPr>
        <w:t>although the key trial only included patients with a performance status of 0 or 1.</w:t>
      </w:r>
    </w:p>
    <w:p w:rsidR="006115DB" w:rsidRPr="00662DF1" w:rsidRDefault="006115DB" w:rsidP="006115DB">
      <w:pPr>
        <w:rPr>
          <w:szCs w:val="22"/>
        </w:rPr>
      </w:pPr>
    </w:p>
    <w:p w:rsidR="006115DB" w:rsidRPr="00662DF1" w:rsidRDefault="006115DB" w:rsidP="0073258E">
      <w:pPr>
        <w:pStyle w:val="ListParagraph"/>
        <w:widowControl/>
        <w:numPr>
          <w:ilvl w:val="1"/>
          <w:numId w:val="2"/>
        </w:numPr>
        <w:rPr>
          <w:szCs w:val="22"/>
        </w:rPr>
      </w:pPr>
      <w:r w:rsidRPr="00662DF1">
        <w:rPr>
          <w:szCs w:val="22"/>
        </w:rPr>
        <w:t xml:space="preserve">The continuation criteria specified that “patient must be deriving clinical benefit and tolerating treatment”. This is consistent with the </w:t>
      </w:r>
      <w:proofErr w:type="spellStart"/>
      <w:r w:rsidRPr="00662DF1">
        <w:rPr>
          <w:szCs w:val="22"/>
        </w:rPr>
        <w:t>nivolumab</w:t>
      </w:r>
      <w:proofErr w:type="spellEnd"/>
      <w:r w:rsidRPr="00662DF1">
        <w:rPr>
          <w:szCs w:val="22"/>
        </w:rPr>
        <w:t xml:space="preserve"> draft Product Information (PI)</w:t>
      </w:r>
      <w:r w:rsidR="00654122">
        <w:rPr>
          <w:szCs w:val="22"/>
        </w:rPr>
        <w:t>, however</w:t>
      </w:r>
      <w:r w:rsidRPr="00662DF1">
        <w:rPr>
          <w:szCs w:val="22"/>
        </w:rPr>
        <w:t xml:space="preserve"> </w:t>
      </w:r>
      <w:r w:rsidR="00654122">
        <w:rPr>
          <w:szCs w:val="22"/>
        </w:rPr>
        <w:t>t</w:t>
      </w:r>
      <w:r w:rsidRPr="00662DF1">
        <w:rPr>
          <w:szCs w:val="22"/>
        </w:rPr>
        <w:t xml:space="preserve">he recently approved Food and Drug Administration (FDA) prescribing information (9 October 2015) specifies that </w:t>
      </w:r>
      <w:proofErr w:type="spellStart"/>
      <w:r w:rsidRPr="00662DF1">
        <w:rPr>
          <w:szCs w:val="22"/>
        </w:rPr>
        <w:t>nivolumab</w:t>
      </w:r>
      <w:proofErr w:type="spellEnd"/>
      <w:r w:rsidRPr="00662DF1">
        <w:rPr>
          <w:szCs w:val="22"/>
        </w:rPr>
        <w:t xml:space="preserve"> treatment be continued until disease progression or unacceptable toxicity. In </w:t>
      </w:r>
      <w:r w:rsidR="000E1727" w:rsidRPr="00662DF1">
        <w:rPr>
          <w:szCs w:val="22"/>
        </w:rPr>
        <w:t xml:space="preserve">the </w:t>
      </w:r>
      <w:r w:rsidRPr="00662DF1">
        <w:rPr>
          <w:szCs w:val="22"/>
        </w:rPr>
        <w:t xml:space="preserve">key CA209-017 trial, approximately 20% of </w:t>
      </w:r>
      <w:proofErr w:type="spellStart"/>
      <w:r w:rsidRPr="00662DF1">
        <w:rPr>
          <w:szCs w:val="22"/>
        </w:rPr>
        <w:t>nivolumab</w:t>
      </w:r>
      <w:proofErr w:type="spellEnd"/>
      <w:r w:rsidRPr="00662DF1">
        <w:rPr>
          <w:szCs w:val="22"/>
        </w:rPr>
        <w:t xml:space="preserve">-treated patients were allowed to continue treatment beyond RECIST defined progression until “further progression” based on a 10% increase in tumour burden volume from initial RECIST defined progression. The rationale for treatment beyond RECIST defined progression </w:t>
      </w:r>
      <w:r w:rsidR="000E1727" w:rsidRPr="00662DF1">
        <w:rPr>
          <w:szCs w:val="22"/>
        </w:rPr>
        <w:t>wa</w:t>
      </w:r>
      <w:r w:rsidRPr="00662DF1">
        <w:rPr>
          <w:szCs w:val="22"/>
        </w:rPr>
        <w:t>s that immunotherapeutic agents can cause treatment-induced inflammatory responses in tumours which can be mistaken for progression.</w:t>
      </w:r>
      <w:r w:rsidR="00F5710A" w:rsidRPr="00662DF1">
        <w:rPr>
          <w:szCs w:val="22"/>
        </w:rPr>
        <w:t xml:space="preserve"> The </w:t>
      </w:r>
      <w:r w:rsidR="00641F05">
        <w:rPr>
          <w:szCs w:val="22"/>
        </w:rPr>
        <w:t>Pre-Sub-Committee Response (</w:t>
      </w:r>
      <w:r w:rsidR="00F5710A" w:rsidRPr="00662DF1">
        <w:rPr>
          <w:szCs w:val="22"/>
        </w:rPr>
        <w:t>PSCR</w:t>
      </w:r>
      <w:r w:rsidR="00641F05">
        <w:rPr>
          <w:szCs w:val="22"/>
        </w:rPr>
        <w:t>)</w:t>
      </w:r>
      <w:r w:rsidR="00F5710A" w:rsidRPr="00662DF1">
        <w:rPr>
          <w:szCs w:val="22"/>
        </w:rPr>
        <w:t xml:space="preserve"> (p.2) stated that the sponsor contacted three clinicians and asked for their interpretation of “deriving clinical benefit”. The clinicians agreed that “they would </w:t>
      </w:r>
      <w:r w:rsidR="00F5710A" w:rsidRPr="00662DF1">
        <w:rPr>
          <w:szCs w:val="22"/>
        </w:rPr>
        <w:lastRenderedPageBreak/>
        <w:t>cease treatment if there is radiological progression AND the patient has a worsening of cancer related symptoms AND worsening of performance score.” The ESC suggested that the continuing restriction include a criterion that “Patient must not have progressive disease” and a note that “in the first few months after start of immunotherapy, some patients can have a transient tumour flare with subsequent disease response. When progression is suspected, this should be confirmed through a confirmatory scan, taken at least 4 weeks later.”</w:t>
      </w:r>
    </w:p>
    <w:p w:rsidR="00803E7E" w:rsidRDefault="00803E7E" w:rsidP="00803E7E"/>
    <w:p w:rsidR="00803E7E" w:rsidRPr="00211700" w:rsidRDefault="00803E7E" w:rsidP="0073258E">
      <w:pPr>
        <w:ind w:left="709"/>
        <w:contextualSpacing/>
        <w:rPr>
          <w:i/>
          <w:szCs w:val="22"/>
        </w:rPr>
      </w:pPr>
      <w:r w:rsidRPr="00341B02">
        <w:rPr>
          <w:i/>
          <w:szCs w:val="22"/>
        </w:rPr>
        <w:t>For more detail on PBAC’s view, see section 7 “PBAC outcome”</w:t>
      </w:r>
      <w:r w:rsidR="008E7619">
        <w:rPr>
          <w:i/>
          <w:szCs w:val="22"/>
        </w:rPr>
        <w:t>.</w:t>
      </w:r>
    </w:p>
    <w:p w:rsidR="00803E7E" w:rsidRDefault="00803E7E" w:rsidP="000E1727"/>
    <w:p w:rsidR="00803E7E" w:rsidRDefault="00803E7E" w:rsidP="000E1727"/>
    <w:p w:rsidR="006115DB" w:rsidRPr="00407F2D" w:rsidRDefault="006115DB" w:rsidP="00133A1A">
      <w:pPr>
        <w:pStyle w:val="Heading1"/>
      </w:pPr>
      <w:bookmarkStart w:id="3" w:name="_Toc440981183"/>
      <w:r w:rsidRPr="00407F2D">
        <w:t>Background</w:t>
      </w:r>
      <w:bookmarkEnd w:id="3"/>
    </w:p>
    <w:p w:rsidR="006115DB" w:rsidRPr="00882085" w:rsidRDefault="006115DB" w:rsidP="006115DB"/>
    <w:p w:rsidR="006115DB" w:rsidRPr="009F673A" w:rsidRDefault="006115DB" w:rsidP="0073258E">
      <w:pPr>
        <w:pStyle w:val="ListParagraph"/>
        <w:widowControl/>
        <w:numPr>
          <w:ilvl w:val="1"/>
          <w:numId w:val="2"/>
        </w:numPr>
        <w:rPr>
          <w:szCs w:val="22"/>
        </w:rPr>
      </w:pPr>
      <w:proofErr w:type="spellStart"/>
      <w:r w:rsidRPr="009F673A">
        <w:t>Nivolumab</w:t>
      </w:r>
      <w:proofErr w:type="spellEnd"/>
      <w:r w:rsidRPr="009F673A">
        <w:t xml:space="preserve"> was submitted to the TGA for evaluation on 7 January 2015. The dossier included trial data for the treatment of melanoma, squamous and non-squamous NSCLC. </w:t>
      </w:r>
      <w:r w:rsidR="00DD739E" w:rsidRPr="009F673A">
        <w:t>According to the letter of approval from the TGA delegate dated 7 January 2016, t</w:t>
      </w:r>
      <w:r w:rsidRPr="009F673A">
        <w:t xml:space="preserve">he </w:t>
      </w:r>
      <w:r w:rsidR="00DD739E" w:rsidRPr="009F673A">
        <w:t>approved</w:t>
      </w:r>
      <w:r w:rsidRPr="009F673A">
        <w:t xml:space="preserve"> TGA indication, relevant for the current submission, is </w:t>
      </w:r>
      <w:r w:rsidR="00DD739E" w:rsidRPr="009F673A">
        <w:t xml:space="preserve">“as monotherapy </w:t>
      </w:r>
      <w:r w:rsidRPr="009F673A">
        <w:t>for the treatment of locally advanced or metastatic squamous NSCLC, with progression on or after prior chemotherapy</w:t>
      </w:r>
      <w:r w:rsidR="00DD739E" w:rsidRPr="009F673A">
        <w:t>”</w:t>
      </w:r>
      <w:r w:rsidRPr="009F673A">
        <w:t>.</w:t>
      </w:r>
    </w:p>
    <w:p w:rsidR="006115DB" w:rsidRPr="0034145D" w:rsidRDefault="006115DB" w:rsidP="006115DB">
      <w:pPr>
        <w:widowControl/>
        <w:rPr>
          <w:szCs w:val="22"/>
        </w:rPr>
      </w:pPr>
    </w:p>
    <w:p w:rsidR="006115DB" w:rsidRPr="00B50DB8" w:rsidRDefault="006115DB" w:rsidP="0073258E">
      <w:pPr>
        <w:pStyle w:val="ListParagraph"/>
        <w:widowControl/>
        <w:numPr>
          <w:ilvl w:val="1"/>
          <w:numId w:val="2"/>
        </w:numPr>
        <w:rPr>
          <w:szCs w:val="22"/>
        </w:rPr>
      </w:pPr>
      <w:r>
        <w:rPr>
          <w:szCs w:val="22"/>
        </w:rPr>
        <w:t>T</w:t>
      </w:r>
      <w:r w:rsidRPr="00B14074">
        <w:rPr>
          <w:szCs w:val="22"/>
        </w:rPr>
        <w:t xml:space="preserve">his </w:t>
      </w:r>
      <w:r w:rsidR="003A14DF">
        <w:rPr>
          <w:szCs w:val="22"/>
        </w:rPr>
        <w:t>wa</w:t>
      </w:r>
      <w:r w:rsidR="003A14DF" w:rsidRPr="00B14074">
        <w:rPr>
          <w:szCs w:val="22"/>
        </w:rPr>
        <w:t xml:space="preserve">s </w:t>
      </w:r>
      <w:r w:rsidRPr="00B14074">
        <w:rPr>
          <w:szCs w:val="22"/>
        </w:rPr>
        <w:t xml:space="preserve">the first consideration of </w:t>
      </w:r>
      <w:proofErr w:type="spellStart"/>
      <w:r w:rsidRPr="00B14074">
        <w:rPr>
          <w:szCs w:val="22"/>
        </w:rPr>
        <w:t>nivolumab</w:t>
      </w:r>
      <w:proofErr w:type="spellEnd"/>
      <w:r w:rsidRPr="00B14074">
        <w:rPr>
          <w:szCs w:val="22"/>
        </w:rPr>
        <w:t xml:space="preserve"> by the PBAC </w:t>
      </w:r>
      <w:r w:rsidRPr="00DD739E">
        <w:rPr>
          <w:szCs w:val="22"/>
        </w:rPr>
        <w:t>for NSCLC</w:t>
      </w:r>
      <w:r w:rsidRPr="00B14074">
        <w:rPr>
          <w:szCs w:val="22"/>
        </w:rPr>
        <w:t xml:space="preserve">. A previous submission </w:t>
      </w:r>
      <w:r>
        <w:rPr>
          <w:szCs w:val="22"/>
        </w:rPr>
        <w:t xml:space="preserve">to list </w:t>
      </w:r>
      <w:proofErr w:type="spellStart"/>
      <w:r w:rsidRPr="00B14074">
        <w:rPr>
          <w:szCs w:val="22"/>
        </w:rPr>
        <w:t>nivolumab</w:t>
      </w:r>
      <w:proofErr w:type="spellEnd"/>
      <w:r w:rsidRPr="00B14074">
        <w:rPr>
          <w:szCs w:val="22"/>
        </w:rPr>
        <w:t xml:space="preserve"> monotherapy </w:t>
      </w:r>
      <w:r>
        <w:rPr>
          <w:szCs w:val="22"/>
        </w:rPr>
        <w:t xml:space="preserve">for </w:t>
      </w:r>
      <w:r w:rsidRPr="00B14074">
        <w:rPr>
          <w:szCs w:val="22"/>
        </w:rPr>
        <w:t>Stage III</w:t>
      </w:r>
      <w:r>
        <w:rPr>
          <w:szCs w:val="22"/>
        </w:rPr>
        <w:t>/</w:t>
      </w:r>
      <w:r w:rsidRPr="00B14074">
        <w:rPr>
          <w:szCs w:val="22"/>
        </w:rPr>
        <w:t>IV melanoma was rejected by the PBAC in July 2015</w:t>
      </w:r>
      <w:r w:rsidR="001D091F">
        <w:rPr>
          <w:szCs w:val="22"/>
        </w:rPr>
        <w:t xml:space="preserve"> and subsequently recommended by the PBAC in November 2015.</w:t>
      </w:r>
      <w:r w:rsidRPr="00B14074">
        <w:rPr>
          <w:szCs w:val="22"/>
        </w:rPr>
        <w:t xml:space="preserve"> </w:t>
      </w:r>
      <w:r w:rsidR="001D091F">
        <w:rPr>
          <w:szCs w:val="22"/>
        </w:rPr>
        <w:t>A</w:t>
      </w:r>
      <w:r w:rsidRPr="00B14074">
        <w:rPr>
          <w:szCs w:val="22"/>
        </w:rPr>
        <w:t xml:space="preserve"> submission </w:t>
      </w:r>
      <w:r w:rsidR="001D091F">
        <w:rPr>
          <w:szCs w:val="22"/>
        </w:rPr>
        <w:t xml:space="preserve">for </w:t>
      </w:r>
      <w:proofErr w:type="spellStart"/>
      <w:r w:rsidR="001D091F">
        <w:rPr>
          <w:szCs w:val="22"/>
        </w:rPr>
        <w:t>nivolumab</w:t>
      </w:r>
      <w:proofErr w:type="spellEnd"/>
      <w:r w:rsidR="001D091F">
        <w:rPr>
          <w:szCs w:val="22"/>
        </w:rPr>
        <w:t xml:space="preserve"> </w:t>
      </w:r>
      <w:r w:rsidRPr="00B14074">
        <w:rPr>
          <w:szCs w:val="22"/>
        </w:rPr>
        <w:t xml:space="preserve">in combination with </w:t>
      </w:r>
      <w:proofErr w:type="spellStart"/>
      <w:r w:rsidRPr="00B14074">
        <w:rPr>
          <w:szCs w:val="22"/>
        </w:rPr>
        <w:t>ipilimumab</w:t>
      </w:r>
      <w:proofErr w:type="spellEnd"/>
      <w:r w:rsidRPr="00B14074">
        <w:rPr>
          <w:szCs w:val="22"/>
        </w:rPr>
        <w:t xml:space="preserve"> </w:t>
      </w:r>
      <w:r>
        <w:rPr>
          <w:szCs w:val="22"/>
        </w:rPr>
        <w:t xml:space="preserve">(also for </w:t>
      </w:r>
      <w:r w:rsidRPr="00B14074">
        <w:rPr>
          <w:szCs w:val="22"/>
        </w:rPr>
        <w:t>Stage III</w:t>
      </w:r>
      <w:r>
        <w:rPr>
          <w:szCs w:val="22"/>
        </w:rPr>
        <w:t>/</w:t>
      </w:r>
      <w:r w:rsidRPr="00B14074">
        <w:rPr>
          <w:szCs w:val="22"/>
        </w:rPr>
        <w:t xml:space="preserve">IV </w:t>
      </w:r>
      <w:r>
        <w:rPr>
          <w:szCs w:val="22"/>
        </w:rPr>
        <w:t xml:space="preserve">melanoma) </w:t>
      </w:r>
      <w:r w:rsidRPr="00B14074">
        <w:rPr>
          <w:szCs w:val="22"/>
        </w:rPr>
        <w:t>was rejected by the PBAC in November 2015. Another PD-1 inhibitor, pembrolizumab, was recommended for melanoma by the PBAC in March 2015</w:t>
      </w:r>
      <w:r>
        <w:rPr>
          <w:color w:val="0066FF"/>
          <w:szCs w:val="22"/>
        </w:rPr>
        <w:t>.</w:t>
      </w:r>
    </w:p>
    <w:p w:rsidR="00803E7E" w:rsidRPr="00452F75" w:rsidRDefault="00803E7E" w:rsidP="00803E7E"/>
    <w:p w:rsidR="006115DB" w:rsidRPr="00882085" w:rsidRDefault="006115DB" w:rsidP="006115DB"/>
    <w:p w:rsidR="006115DB" w:rsidRPr="00407F2D" w:rsidRDefault="006115DB" w:rsidP="00133A1A">
      <w:pPr>
        <w:pStyle w:val="Heading1"/>
      </w:pPr>
      <w:bookmarkStart w:id="4" w:name="_Toc440981184"/>
      <w:r w:rsidRPr="00407F2D">
        <w:t>Clinical place for the proposed therapy</w:t>
      </w:r>
      <w:bookmarkEnd w:id="4"/>
    </w:p>
    <w:p w:rsidR="006115DB" w:rsidRPr="00882085" w:rsidRDefault="006115DB" w:rsidP="006115DB">
      <w:pPr>
        <w:rPr>
          <w:szCs w:val="22"/>
        </w:rPr>
      </w:pPr>
    </w:p>
    <w:p w:rsidR="006115DB" w:rsidRPr="00662DF1" w:rsidRDefault="006115DB" w:rsidP="0073258E">
      <w:pPr>
        <w:pStyle w:val="ListParagraph"/>
        <w:widowControl/>
        <w:numPr>
          <w:ilvl w:val="1"/>
          <w:numId w:val="2"/>
        </w:numPr>
        <w:rPr>
          <w:szCs w:val="22"/>
        </w:rPr>
      </w:pPr>
      <w:r w:rsidRPr="00662DF1">
        <w:t xml:space="preserve">NSCLC </w:t>
      </w:r>
      <w:r w:rsidR="008C0134" w:rsidRPr="00662DF1">
        <w:t xml:space="preserve">comprises </w:t>
      </w:r>
      <w:r w:rsidRPr="00662DF1">
        <w:t xml:space="preserve">approximately 15%-25% of the squamous histologic subtype and 75%-85% of the non-squamous histologic subtype. The standard first-line therapy for squamous NSCLC patients is platinum-based doublet chemotherapy. </w:t>
      </w:r>
    </w:p>
    <w:p w:rsidR="006115DB" w:rsidRPr="00662DF1" w:rsidRDefault="006115DB" w:rsidP="006115DB">
      <w:pPr>
        <w:widowControl/>
        <w:rPr>
          <w:szCs w:val="22"/>
        </w:rPr>
      </w:pPr>
    </w:p>
    <w:p w:rsidR="006115DB" w:rsidRPr="00662DF1" w:rsidRDefault="006115DB" w:rsidP="00C60BC1">
      <w:pPr>
        <w:pStyle w:val="ListParagraph"/>
        <w:widowControl/>
        <w:numPr>
          <w:ilvl w:val="1"/>
          <w:numId w:val="2"/>
        </w:numPr>
      </w:pPr>
      <w:r w:rsidRPr="00662DF1">
        <w:t xml:space="preserve">The intended listing </w:t>
      </w:r>
      <w:r w:rsidR="008E7619">
        <w:t>wa</w:t>
      </w:r>
      <w:r w:rsidRPr="00662DF1">
        <w:t xml:space="preserve">s for patients who have failed platinum-based chemotherapy, thus displacing </w:t>
      </w:r>
      <w:proofErr w:type="spellStart"/>
      <w:r w:rsidRPr="00662DF1">
        <w:t>docetaxel</w:t>
      </w:r>
      <w:proofErr w:type="spellEnd"/>
      <w:r w:rsidRPr="00662DF1">
        <w:t xml:space="preserve"> monotherapy further down the treatment algorithm. The proposed me</w:t>
      </w:r>
      <w:r w:rsidR="00FB383D">
        <w:t xml:space="preserve">chanism of action of </w:t>
      </w:r>
      <w:proofErr w:type="spellStart"/>
      <w:r w:rsidR="00FB383D">
        <w:t>nivolumab</w:t>
      </w:r>
      <w:proofErr w:type="spellEnd"/>
      <w:r w:rsidR="00FB383D">
        <w:t xml:space="preserve"> wa</w:t>
      </w:r>
      <w:r w:rsidRPr="00662DF1">
        <w:t xml:space="preserve">s that it blocks programmed cell death-1 (PD-1) inhibition of the immune system and prevents ligand binding. However, the submission </w:t>
      </w:r>
      <w:r w:rsidR="00EE434D">
        <w:t>did</w:t>
      </w:r>
      <w:r w:rsidR="00EE434D" w:rsidRPr="00662DF1">
        <w:t xml:space="preserve"> </w:t>
      </w:r>
      <w:r w:rsidRPr="00662DF1">
        <w:t xml:space="preserve">not propose restricting </w:t>
      </w:r>
      <w:proofErr w:type="spellStart"/>
      <w:r w:rsidRPr="00662DF1">
        <w:t>nivolumab</w:t>
      </w:r>
      <w:proofErr w:type="spellEnd"/>
      <w:r w:rsidRPr="00662DF1">
        <w:t xml:space="preserve"> to squamous NSCLC patients with PD-L1 expression (PD-L1 positive). The submission </w:t>
      </w:r>
      <w:r w:rsidR="00EE434D" w:rsidRPr="00662DF1">
        <w:t>emphasise</w:t>
      </w:r>
      <w:r w:rsidR="00EE434D">
        <w:t>d</w:t>
      </w:r>
      <w:r w:rsidR="00EE434D" w:rsidRPr="00662DF1">
        <w:t xml:space="preserve"> </w:t>
      </w:r>
      <w:r w:rsidRPr="00662DF1">
        <w:t>that PD-L1 expression is likely not an appropriate immune marker, interpretation of PD-L1 expression testing varies</w:t>
      </w:r>
      <w:r w:rsidR="000E1727" w:rsidRPr="00662DF1">
        <w:t>,</w:t>
      </w:r>
      <w:r w:rsidRPr="00662DF1">
        <w:t xml:space="preserve"> and all patients benefited from </w:t>
      </w:r>
      <w:proofErr w:type="spellStart"/>
      <w:r w:rsidRPr="00662DF1">
        <w:t>nivolumab</w:t>
      </w:r>
      <w:proofErr w:type="spellEnd"/>
      <w:r w:rsidRPr="00662DF1">
        <w:t xml:space="preserve"> treatment over </w:t>
      </w:r>
      <w:proofErr w:type="spellStart"/>
      <w:r w:rsidRPr="00662DF1">
        <w:t>docetaxel</w:t>
      </w:r>
      <w:proofErr w:type="spellEnd"/>
      <w:r w:rsidRPr="00662DF1">
        <w:t xml:space="preserve"> regardless of PD-L1 status.</w:t>
      </w:r>
      <w:r w:rsidR="00533A76" w:rsidRPr="00662DF1">
        <w:t xml:space="preserve"> </w:t>
      </w:r>
      <w:r w:rsidR="0027251C" w:rsidRPr="00662DF1">
        <w:t xml:space="preserve">The ESC </w:t>
      </w:r>
      <w:r w:rsidR="008D38BB" w:rsidRPr="00662DF1">
        <w:t xml:space="preserve">advised </w:t>
      </w:r>
      <w:r w:rsidR="0027251C" w:rsidRPr="00662DF1">
        <w:t>that</w:t>
      </w:r>
      <w:r w:rsidR="008D38BB" w:rsidRPr="00662DF1">
        <w:t>,</w:t>
      </w:r>
      <w:r w:rsidR="0027251C" w:rsidRPr="00662DF1">
        <w:t xml:space="preserve"> should </w:t>
      </w:r>
      <w:proofErr w:type="spellStart"/>
      <w:r w:rsidR="0027251C" w:rsidRPr="00662DF1">
        <w:t>nivolumab</w:t>
      </w:r>
      <w:proofErr w:type="spellEnd"/>
      <w:r w:rsidR="0027251C" w:rsidRPr="00662DF1">
        <w:t xml:space="preserve"> be listed for NSCLC, th</w:t>
      </w:r>
      <w:r w:rsidR="008D38BB" w:rsidRPr="00662DF1">
        <w:t>en</w:t>
      </w:r>
      <w:r w:rsidR="0027251C" w:rsidRPr="00662DF1">
        <w:t xml:space="preserve"> it </w:t>
      </w:r>
      <w:r w:rsidR="008D38BB" w:rsidRPr="00662DF1">
        <w:t xml:space="preserve">should </w:t>
      </w:r>
      <w:r w:rsidR="0027251C" w:rsidRPr="00662DF1">
        <w:t xml:space="preserve">be restricted to patients who are PD-L1 positive, </w:t>
      </w:r>
      <w:r w:rsidR="008D38BB" w:rsidRPr="00662DF1">
        <w:t>and should cover all histological subtypes of NSCLC.</w:t>
      </w:r>
      <w:r w:rsidR="0027251C" w:rsidRPr="00662DF1">
        <w:t xml:space="preserve"> </w:t>
      </w:r>
      <w:r w:rsidR="00EE434D">
        <w:t xml:space="preserve">The Pre-PBAC Response (p.1) </w:t>
      </w:r>
      <w:r w:rsidR="00DB7C91">
        <w:t xml:space="preserve">strongly </w:t>
      </w:r>
      <w:r w:rsidR="00EE434D">
        <w:t>disagreed that PBS</w:t>
      </w:r>
      <w:r w:rsidR="008E7619">
        <w:t>-</w:t>
      </w:r>
      <w:r w:rsidR="00EE434D">
        <w:t xml:space="preserve">listed </w:t>
      </w:r>
      <w:proofErr w:type="spellStart"/>
      <w:r w:rsidR="00EE434D">
        <w:t>nivolumab</w:t>
      </w:r>
      <w:proofErr w:type="spellEnd"/>
      <w:r w:rsidR="00EE434D">
        <w:t xml:space="preserve"> should be restricted to patients who are PD-L1 expression positive, and claimed that this would be inconsistent with the clinical data presented. The Pre-PBAC Response further stated that “squamous </w:t>
      </w:r>
      <w:r w:rsidR="00EE434D" w:rsidRPr="00EE434D">
        <w:t xml:space="preserve">and non-squamous NSCLC histological subtypes arise in different anatomical compartments – for example, squamous NSCLC may often arise from the central </w:t>
      </w:r>
      <w:r w:rsidR="00EE434D" w:rsidRPr="00EE434D">
        <w:lastRenderedPageBreak/>
        <w:t>airway compartment (i.e. close to large vessels). This may explain why some therapies might be more effective in non-squamous NSCLC compared to squamous NSCLC</w:t>
      </w:r>
      <w:r w:rsidR="00EE434D">
        <w:t xml:space="preserve">”. </w:t>
      </w:r>
      <w:r w:rsidR="008D38BB" w:rsidRPr="00662DF1">
        <w:t>The ESC noted</w:t>
      </w:r>
      <w:r w:rsidR="0027251C" w:rsidRPr="00662DF1">
        <w:t xml:space="preserve"> </w:t>
      </w:r>
      <w:r w:rsidR="008D38BB" w:rsidRPr="00662DF1">
        <w:t xml:space="preserve">that </w:t>
      </w:r>
      <w:r w:rsidR="0027251C" w:rsidRPr="00662DF1">
        <w:t xml:space="preserve">a Phase III trial of </w:t>
      </w:r>
      <w:proofErr w:type="spellStart"/>
      <w:r w:rsidR="0027251C" w:rsidRPr="00662DF1">
        <w:t>nivolumab</w:t>
      </w:r>
      <w:proofErr w:type="spellEnd"/>
      <w:r w:rsidR="0027251C" w:rsidRPr="00662DF1">
        <w:t xml:space="preserve"> vs investigator’s choice chemotherapy as first-line therapy for Stage IV or recurrent PD-L1 positive NSCLC (Checkmate 026) </w:t>
      </w:r>
      <w:r w:rsidR="00C47031" w:rsidRPr="00662DF1">
        <w:t>is underway, which</w:t>
      </w:r>
      <w:r w:rsidR="0027251C" w:rsidRPr="00662DF1">
        <w:t xml:space="preserve"> may reflect an expectation that </w:t>
      </w:r>
      <w:proofErr w:type="spellStart"/>
      <w:r w:rsidR="0027251C" w:rsidRPr="00662DF1">
        <w:t>nivolumab</w:t>
      </w:r>
      <w:proofErr w:type="spellEnd"/>
      <w:r w:rsidR="0027251C" w:rsidRPr="00662DF1">
        <w:t xml:space="preserve"> may be more effective in the subgroup of patie</w:t>
      </w:r>
      <w:r w:rsidR="008D38BB" w:rsidRPr="00662DF1">
        <w:t>nts with PD-L1 positive status.</w:t>
      </w:r>
      <w:r w:rsidR="00DC20CE">
        <w:t xml:space="preserve"> </w:t>
      </w:r>
      <w:r w:rsidR="00C60BC1">
        <w:t>The Pre-PBAC Response (p.2) stated that “a</w:t>
      </w:r>
      <w:r w:rsidR="00C60BC1" w:rsidRPr="00C60BC1">
        <w:t xml:space="preserve">t the time </w:t>
      </w:r>
      <w:proofErr w:type="spellStart"/>
      <w:r w:rsidR="00C60BC1" w:rsidRPr="00C60BC1">
        <w:t>CheckMate</w:t>
      </w:r>
      <w:proofErr w:type="spellEnd"/>
      <w:r w:rsidR="00C60BC1" w:rsidRPr="00C60BC1">
        <w:t xml:space="preserve"> 026 was designed several years ago with the hypothesis that there might be a larger role for selecting patients on the basis of PD-L1 expression in first line (where ~70% patients are PD-L1 positive) than in second line (where ~ 50% patients are PD-L1 positive). As such, the trial eligibility </w:t>
      </w:r>
      <w:proofErr w:type="gramStart"/>
      <w:r w:rsidR="00C60BC1" w:rsidRPr="00C60BC1">
        <w:t xml:space="preserve">criteria for </w:t>
      </w:r>
      <w:proofErr w:type="spellStart"/>
      <w:r w:rsidR="00C60BC1" w:rsidRPr="00C60BC1">
        <w:t>CheckMate</w:t>
      </w:r>
      <w:proofErr w:type="spellEnd"/>
      <w:r w:rsidR="00C60BC1" w:rsidRPr="00C60BC1">
        <w:t xml:space="preserve"> 026 was</w:t>
      </w:r>
      <w:proofErr w:type="gramEnd"/>
      <w:r w:rsidR="00C60BC1" w:rsidRPr="00C60BC1">
        <w:t xml:space="preserve"> limited to PD-L1≥1% patients. Given the results of study CA209017, this hypothesis is no longer valid.</w:t>
      </w:r>
      <w:r w:rsidR="00C60BC1">
        <w:t>”</w:t>
      </w:r>
    </w:p>
    <w:p w:rsidR="00803E7E" w:rsidRDefault="00803E7E" w:rsidP="00803E7E"/>
    <w:p w:rsidR="00803E7E" w:rsidRPr="00211700" w:rsidRDefault="00803E7E" w:rsidP="0073258E">
      <w:pPr>
        <w:ind w:left="709"/>
        <w:contextualSpacing/>
        <w:rPr>
          <w:i/>
          <w:szCs w:val="22"/>
        </w:rPr>
      </w:pPr>
      <w:r w:rsidRPr="001438E2">
        <w:rPr>
          <w:i/>
          <w:szCs w:val="22"/>
        </w:rPr>
        <w:t>For more detail on PBAC’s view, see section 7 “PBAC outcome”</w:t>
      </w:r>
      <w:r w:rsidR="008E7619">
        <w:rPr>
          <w:i/>
          <w:szCs w:val="22"/>
        </w:rPr>
        <w:t>.</w:t>
      </w:r>
    </w:p>
    <w:p w:rsidR="00803E7E" w:rsidRPr="002C2775" w:rsidRDefault="00803E7E" w:rsidP="006115DB">
      <w:pPr>
        <w:widowControl/>
        <w:rPr>
          <w:szCs w:val="22"/>
        </w:rPr>
      </w:pPr>
    </w:p>
    <w:p w:rsidR="006115DB" w:rsidRPr="00882085" w:rsidRDefault="006115DB" w:rsidP="006115DB">
      <w:pPr>
        <w:pStyle w:val="Header"/>
        <w:rPr>
          <w:szCs w:val="22"/>
        </w:rPr>
      </w:pPr>
    </w:p>
    <w:p w:rsidR="006115DB" w:rsidRPr="00407F2D" w:rsidRDefault="006115DB" w:rsidP="00133A1A">
      <w:pPr>
        <w:pStyle w:val="Heading1"/>
      </w:pPr>
      <w:bookmarkStart w:id="5" w:name="_Toc440981185"/>
      <w:r w:rsidRPr="00407F2D">
        <w:t>Comparator</w:t>
      </w:r>
      <w:bookmarkEnd w:id="5"/>
    </w:p>
    <w:p w:rsidR="006115DB" w:rsidRPr="00882085" w:rsidRDefault="006115DB" w:rsidP="006115DB"/>
    <w:p w:rsidR="006115DB" w:rsidRPr="00662DF1" w:rsidRDefault="008C0134" w:rsidP="0073258E">
      <w:pPr>
        <w:pStyle w:val="ListParagraph"/>
        <w:widowControl/>
        <w:numPr>
          <w:ilvl w:val="1"/>
          <w:numId w:val="2"/>
        </w:numPr>
        <w:rPr>
          <w:szCs w:val="22"/>
        </w:rPr>
      </w:pPr>
      <w:r>
        <w:t xml:space="preserve">The submission nominated </w:t>
      </w:r>
      <w:proofErr w:type="spellStart"/>
      <w:r>
        <w:t>d</w:t>
      </w:r>
      <w:r w:rsidR="006115DB" w:rsidRPr="00094BC2">
        <w:t>ocetaxel</w:t>
      </w:r>
      <w:proofErr w:type="spellEnd"/>
      <w:r>
        <w:t xml:space="preserve"> as the main comparator</w:t>
      </w:r>
      <w:r w:rsidR="006115DB" w:rsidRPr="0093710B">
        <w:t>. This is the appropriate comparator.</w:t>
      </w:r>
    </w:p>
    <w:p w:rsidR="00803E7E" w:rsidRDefault="00803E7E" w:rsidP="00803E7E"/>
    <w:p w:rsidR="00803E7E" w:rsidRPr="00211700" w:rsidRDefault="00803E7E" w:rsidP="0073258E">
      <w:pPr>
        <w:ind w:left="709"/>
        <w:contextualSpacing/>
        <w:rPr>
          <w:i/>
          <w:szCs w:val="22"/>
        </w:rPr>
      </w:pPr>
      <w:r w:rsidRPr="001438E2">
        <w:rPr>
          <w:i/>
          <w:szCs w:val="22"/>
        </w:rPr>
        <w:t>For more detail on PBAC’s view, see section 7 “PBAC outcome”</w:t>
      </w:r>
      <w:r w:rsidR="008E7619">
        <w:rPr>
          <w:i/>
          <w:szCs w:val="22"/>
        </w:rPr>
        <w:t>.</w:t>
      </w:r>
    </w:p>
    <w:p w:rsidR="00803E7E" w:rsidRDefault="00803E7E" w:rsidP="00803E7E"/>
    <w:p w:rsidR="00662DF1" w:rsidRPr="00452F75" w:rsidRDefault="00662DF1" w:rsidP="00803E7E"/>
    <w:p w:rsidR="00803E7E" w:rsidRDefault="006115DB" w:rsidP="00133A1A">
      <w:pPr>
        <w:pStyle w:val="Heading1"/>
      </w:pPr>
      <w:bookmarkStart w:id="6" w:name="_Toc440981186"/>
      <w:r>
        <w:t>C</w:t>
      </w:r>
      <w:r w:rsidRPr="00407F2D">
        <w:t>onsideration of the evidence</w:t>
      </w:r>
      <w:bookmarkStart w:id="7" w:name="_Toc440981187"/>
      <w:bookmarkEnd w:id="6"/>
    </w:p>
    <w:p w:rsidR="004D1C1F" w:rsidRPr="0084715C" w:rsidRDefault="004D1C1F" w:rsidP="005D18F3">
      <w:pPr>
        <w:pStyle w:val="PBACHeading1"/>
        <w:numPr>
          <w:ilvl w:val="0"/>
          <w:numId w:val="0"/>
        </w:numPr>
        <w:ind w:left="720" w:hanging="720"/>
        <w:rPr>
          <w:b w:val="0"/>
        </w:rPr>
      </w:pPr>
    </w:p>
    <w:p w:rsidR="005D5FF9" w:rsidRDefault="005D5FF9" w:rsidP="005D5FF9">
      <w:pPr>
        <w:pStyle w:val="Heading2"/>
        <w:rPr>
          <w:i/>
        </w:rPr>
      </w:pPr>
      <w:r w:rsidRPr="005D18F3">
        <w:rPr>
          <w:i/>
        </w:rPr>
        <w:t>Sponsor hearing</w:t>
      </w:r>
    </w:p>
    <w:p w:rsidR="005D5FF9" w:rsidRPr="000D4990" w:rsidRDefault="005D5FF9" w:rsidP="005D5FF9"/>
    <w:p w:rsidR="005D5FF9" w:rsidRPr="000D4990" w:rsidRDefault="005D5FF9" w:rsidP="005D5FF9">
      <w:pPr>
        <w:numPr>
          <w:ilvl w:val="1"/>
          <w:numId w:val="2"/>
        </w:numPr>
        <w:contextualSpacing/>
        <w:rPr>
          <w:bCs/>
          <w:szCs w:val="22"/>
        </w:rPr>
      </w:pPr>
      <w:r w:rsidRPr="000D4990">
        <w:rPr>
          <w:bCs/>
          <w:szCs w:val="22"/>
        </w:rPr>
        <w:t xml:space="preserve">The sponsor requested a hearing for this item. The clinician </w:t>
      </w:r>
      <w:r w:rsidR="008E7619">
        <w:rPr>
          <w:bCs/>
          <w:szCs w:val="22"/>
        </w:rPr>
        <w:t xml:space="preserve">for the sponsor </w:t>
      </w:r>
      <w:r w:rsidRPr="000D4990">
        <w:rPr>
          <w:bCs/>
          <w:szCs w:val="22"/>
        </w:rPr>
        <w:t>discussed how the</w:t>
      </w:r>
      <w:r>
        <w:rPr>
          <w:bCs/>
          <w:szCs w:val="22"/>
        </w:rPr>
        <w:t xml:space="preserve"> drug would be used in practice</w:t>
      </w:r>
      <w:r w:rsidRPr="000D4990">
        <w:rPr>
          <w:bCs/>
          <w:szCs w:val="22"/>
        </w:rPr>
        <w:t xml:space="preserve"> and addressed other matters in response to the Committee’s questions</w:t>
      </w:r>
      <w:r w:rsidR="00D24709">
        <w:rPr>
          <w:bCs/>
          <w:szCs w:val="22"/>
        </w:rPr>
        <w:t xml:space="preserve"> about what level of performance status would be suitable for </w:t>
      </w:r>
      <w:proofErr w:type="spellStart"/>
      <w:r w:rsidR="00D24709">
        <w:rPr>
          <w:bCs/>
          <w:szCs w:val="22"/>
        </w:rPr>
        <w:t>nivolumab</w:t>
      </w:r>
      <w:proofErr w:type="spellEnd"/>
      <w:r w:rsidR="00D24709">
        <w:rPr>
          <w:bCs/>
          <w:szCs w:val="22"/>
        </w:rPr>
        <w:t xml:space="preserve"> treatment, the likely role of </w:t>
      </w:r>
      <w:proofErr w:type="spellStart"/>
      <w:r w:rsidR="00D24709">
        <w:rPr>
          <w:bCs/>
          <w:szCs w:val="22"/>
        </w:rPr>
        <w:t>nivolumab</w:t>
      </w:r>
      <w:proofErr w:type="spellEnd"/>
      <w:r w:rsidR="00D24709">
        <w:rPr>
          <w:bCs/>
          <w:szCs w:val="22"/>
        </w:rPr>
        <w:t xml:space="preserve"> as monotherapy, sequential therapy or combination therapy</w:t>
      </w:r>
      <w:r w:rsidR="00DC3083">
        <w:rPr>
          <w:bCs/>
          <w:szCs w:val="22"/>
        </w:rPr>
        <w:t>,</w:t>
      </w:r>
      <w:r w:rsidR="00D24709">
        <w:rPr>
          <w:bCs/>
          <w:szCs w:val="22"/>
        </w:rPr>
        <w:t xml:space="preserve"> and </w:t>
      </w:r>
      <w:r w:rsidR="00DC3083">
        <w:rPr>
          <w:bCs/>
          <w:szCs w:val="22"/>
        </w:rPr>
        <w:t xml:space="preserve">the predictive value of </w:t>
      </w:r>
      <w:r w:rsidR="00D24709">
        <w:rPr>
          <w:bCs/>
          <w:szCs w:val="22"/>
        </w:rPr>
        <w:t xml:space="preserve">PD-L1 expression status for NSCLC compared to its likely role in other cancers, and the likelihood of using </w:t>
      </w:r>
      <w:proofErr w:type="spellStart"/>
      <w:r w:rsidR="00D24709">
        <w:rPr>
          <w:bCs/>
          <w:szCs w:val="22"/>
        </w:rPr>
        <w:t>nivolumab</w:t>
      </w:r>
      <w:proofErr w:type="spellEnd"/>
      <w:r w:rsidR="00D24709">
        <w:rPr>
          <w:bCs/>
          <w:szCs w:val="22"/>
        </w:rPr>
        <w:t xml:space="preserve"> as first-line in NSCLC</w:t>
      </w:r>
      <w:r w:rsidRPr="000D4990">
        <w:rPr>
          <w:bCs/>
          <w:szCs w:val="22"/>
        </w:rPr>
        <w:t>.</w:t>
      </w:r>
    </w:p>
    <w:p w:rsidR="005D5FF9" w:rsidRPr="003A49F2" w:rsidRDefault="005D5FF9" w:rsidP="005D5FF9">
      <w:pPr>
        <w:rPr>
          <w:bCs/>
          <w:szCs w:val="22"/>
          <w:highlight w:val="yellow"/>
        </w:rPr>
      </w:pPr>
    </w:p>
    <w:p w:rsidR="005D5FF9" w:rsidRDefault="005D5FF9" w:rsidP="005D5FF9">
      <w:pPr>
        <w:pStyle w:val="Heading2"/>
        <w:rPr>
          <w:i/>
        </w:rPr>
      </w:pPr>
      <w:r w:rsidRPr="005D18F3">
        <w:rPr>
          <w:i/>
        </w:rPr>
        <w:t>Consumer comments</w:t>
      </w:r>
    </w:p>
    <w:p w:rsidR="005D5FF9" w:rsidRPr="005D18F3" w:rsidRDefault="005D5FF9" w:rsidP="005D5FF9"/>
    <w:p w:rsidR="005D5FF9" w:rsidRPr="003C6094" w:rsidRDefault="005D5FF9" w:rsidP="005D5FF9">
      <w:pPr>
        <w:numPr>
          <w:ilvl w:val="1"/>
          <w:numId w:val="2"/>
        </w:numPr>
        <w:contextualSpacing/>
        <w:rPr>
          <w:bCs/>
          <w:szCs w:val="22"/>
        </w:rPr>
      </w:pPr>
      <w:r w:rsidRPr="00F1718F">
        <w:rPr>
          <w:bCs/>
          <w:szCs w:val="22"/>
        </w:rPr>
        <w:t>The PBAC noted and welcomed the input from organisations (2) via the Consumer Comments facility on the PBS website.</w:t>
      </w:r>
      <w:r w:rsidRPr="00F1718F">
        <w:rPr>
          <w:bCs/>
          <w:i/>
          <w:szCs w:val="22"/>
        </w:rPr>
        <w:t xml:space="preserve"> </w:t>
      </w:r>
      <w:r w:rsidRPr="00F1718F">
        <w:rPr>
          <w:bCs/>
          <w:szCs w:val="22"/>
        </w:rPr>
        <w:t>The comment from the Lung Foundation emphasised that effective, safe and well tolerated treatments for lung cancer in Australia remain limited, and supported early access to treatment where evidence shows benefit.</w:t>
      </w:r>
      <w:r>
        <w:rPr>
          <w:bCs/>
          <w:szCs w:val="22"/>
        </w:rPr>
        <w:t xml:space="preserve"> A comment from Merck Sharp and </w:t>
      </w:r>
      <w:proofErr w:type="spellStart"/>
      <w:r>
        <w:rPr>
          <w:bCs/>
          <w:szCs w:val="22"/>
        </w:rPr>
        <w:t>Dohme</w:t>
      </w:r>
      <w:proofErr w:type="spellEnd"/>
      <w:r>
        <w:rPr>
          <w:bCs/>
          <w:szCs w:val="22"/>
        </w:rPr>
        <w:t xml:space="preserve"> discussed the importance of PD-L1 testing and how the effectiveness of PD-L1 therapies correlates with levels of expression of PD-L1.</w:t>
      </w:r>
    </w:p>
    <w:p w:rsidR="005D18F3" w:rsidRPr="003A49F2" w:rsidRDefault="005D18F3" w:rsidP="005D18F3">
      <w:pPr>
        <w:contextualSpacing/>
        <w:rPr>
          <w:bCs/>
          <w:szCs w:val="22"/>
          <w:highlight w:val="yellow"/>
        </w:rPr>
      </w:pPr>
    </w:p>
    <w:p w:rsidR="006115DB" w:rsidRPr="002C2775" w:rsidRDefault="006115DB" w:rsidP="006115DB">
      <w:pPr>
        <w:pStyle w:val="Heading2"/>
        <w:rPr>
          <w:i/>
        </w:rPr>
      </w:pPr>
      <w:r w:rsidRPr="002C2775">
        <w:rPr>
          <w:i/>
        </w:rPr>
        <w:t>Clinical trial</w:t>
      </w:r>
      <w:bookmarkEnd w:id="7"/>
      <w:r w:rsidR="005D18F3">
        <w:rPr>
          <w:i/>
        </w:rPr>
        <w:t>s</w:t>
      </w:r>
    </w:p>
    <w:p w:rsidR="006115DB" w:rsidRPr="00882085" w:rsidRDefault="006115DB" w:rsidP="006115DB">
      <w:pPr>
        <w:rPr>
          <w:szCs w:val="22"/>
        </w:rPr>
      </w:pPr>
    </w:p>
    <w:p w:rsidR="006115DB" w:rsidRPr="000F1AA4" w:rsidRDefault="006115DB" w:rsidP="0073258E">
      <w:pPr>
        <w:pStyle w:val="ListParagraph"/>
        <w:widowControl/>
        <w:numPr>
          <w:ilvl w:val="1"/>
          <w:numId w:val="2"/>
        </w:numPr>
        <w:rPr>
          <w:szCs w:val="22"/>
        </w:rPr>
      </w:pPr>
      <w:r w:rsidRPr="000F1AA4">
        <w:t xml:space="preserve">The submission was based on one open-label head-to-head randomised controlled trial (CA209-017: N=272) comparing </w:t>
      </w:r>
      <w:proofErr w:type="spellStart"/>
      <w:r w:rsidRPr="000F1AA4">
        <w:t>nivolumab</w:t>
      </w:r>
      <w:proofErr w:type="spellEnd"/>
      <w:r w:rsidRPr="000F1AA4">
        <w:t xml:space="preserve"> with </w:t>
      </w:r>
      <w:proofErr w:type="spellStart"/>
      <w:r w:rsidRPr="000F1AA4">
        <w:t>docetaxel</w:t>
      </w:r>
      <w:proofErr w:type="spellEnd"/>
      <w:r w:rsidRPr="000F1AA4">
        <w:t xml:space="preserve"> in previously treated </w:t>
      </w:r>
      <w:r>
        <w:t xml:space="preserve">patients with </w:t>
      </w:r>
      <w:r w:rsidRPr="000F1AA4">
        <w:t>locally advanced or metastatic squamous NSCLC.</w:t>
      </w:r>
    </w:p>
    <w:p w:rsidR="006115DB" w:rsidRPr="00862502" w:rsidRDefault="006115DB" w:rsidP="006115DB">
      <w:pPr>
        <w:widowControl/>
        <w:rPr>
          <w:szCs w:val="22"/>
        </w:rPr>
      </w:pPr>
    </w:p>
    <w:p w:rsidR="006115DB" w:rsidRPr="00B50DB8" w:rsidRDefault="006115DB" w:rsidP="0073258E">
      <w:pPr>
        <w:pStyle w:val="ListParagraph"/>
        <w:widowControl/>
        <w:numPr>
          <w:ilvl w:val="1"/>
          <w:numId w:val="2"/>
        </w:numPr>
        <w:rPr>
          <w:szCs w:val="22"/>
        </w:rPr>
      </w:pPr>
      <w:r>
        <w:rPr>
          <w:szCs w:val="22"/>
        </w:rPr>
        <w:t>Details of the trial</w:t>
      </w:r>
      <w:r w:rsidRPr="00B50DB8">
        <w:rPr>
          <w:szCs w:val="22"/>
        </w:rPr>
        <w:t xml:space="preserve"> presented in the submission ar</w:t>
      </w:r>
      <w:r>
        <w:rPr>
          <w:szCs w:val="22"/>
        </w:rPr>
        <w:t>e provided in the table below.</w:t>
      </w:r>
    </w:p>
    <w:p w:rsidR="006115DB" w:rsidRPr="00862502" w:rsidRDefault="006115DB" w:rsidP="006115DB">
      <w:pPr>
        <w:widowControl/>
        <w:rPr>
          <w:szCs w:val="22"/>
        </w:rPr>
      </w:pPr>
    </w:p>
    <w:p w:rsidR="006115DB" w:rsidRPr="00803E7E" w:rsidRDefault="006115DB" w:rsidP="00803E7E">
      <w:pPr>
        <w:widowControl/>
        <w:ind w:firstLine="720"/>
        <w:jc w:val="left"/>
        <w:rPr>
          <w:rFonts w:ascii="Arial Narrow" w:hAnsi="Arial Narrow"/>
          <w:b/>
          <w:sz w:val="18"/>
        </w:rPr>
      </w:pPr>
      <w:r w:rsidRPr="00803E7E">
        <w:rPr>
          <w:rFonts w:ascii="Arial Narrow" w:hAnsi="Arial Narrow"/>
          <w:b/>
          <w:sz w:val="20"/>
        </w:rPr>
        <w:t>Table 1: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2"/>
        <w:gridCol w:w="4818"/>
        <w:gridCol w:w="2535"/>
      </w:tblGrid>
      <w:tr w:rsidR="006115DB" w:rsidRPr="007C3685" w:rsidTr="00E3629F">
        <w:tc>
          <w:tcPr>
            <w:tcW w:w="594" w:type="pct"/>
          </w:tcPr>
          <w:p w:rsidR="006115DB" w:rsidRPr="0011734C" w:rsidRDefault="006115DB" w:rsidP="004E7393">
            <w:pPr>
              <w:jc w:val="left"/>
              <w:rPr>
                <w:rFonts w:ascii="Arial Narrow" w:hAnsi="Arial Narrow"/>
                <w:b/>
                <w:sz w:val="20"/>
              </w:rPr>
            </w:pPr>
            <w:r w:rsidRPr="0011734C">
              <w:rPr>
                <w:rFonts w:ascii="Arial Narrow" w:hAnsi="Arial Narrow"/>
                <w:b/>
                <w:sz w:val="20"/>
              </w:rPr>
              <w:t>Trial ID</w:t>
            </w:r>
          </w:p>
        </w:tc>
        <w:tc>
          <w:tcPr>
            <w:tcW w:w="2887" w:type="pct"/>
          </w:tcPr>
          <w:p w:rsidR="006115DB" w:rsidRPr="0011734C" w:rsidRDefault="006115DB" w:rsidP="004E7393">
            <w:pPr>
              <w:jc w:val="center"/>
              <w:rPr>
                <w:rFonts w:ascii="Arial Narrow" w:hAnsi="Arial Narrow"/>
                <w:b/>
                <w:sz w:val="20"/>
              </w:rPr>
            </w:pPr>
            <w:r w:rsidRPr="0011734C">
              <w:rPr>
                <w:rFonts w:ascii="Arial Narrow" w:hAnsi="Arial Narrow"/>
                <w:b/>
                <w:sz w:val="20"/>
              </w:rPr>
              <w:t>Protocol title/ Publication title</w:t>
            </w:r>
          </w:p>
        </w:tc>
        <w:tc>
          <w:tcPr>
            <w:tcW w:w="1518" w:type="pct"/>
          </w:tcPr>
          <w:p w:rsidR="006115DB" w:rsidRPr="0011734C" w:rsidRDefault="006115DB" w:rsidP="004E7393">
            <w:pPr>
              <w:jc w:val="center"/>
              <w:rPr>
                <w:rFonts w:ascii="Arial Narrow" w:hAnsi="Arial Narrow"/>
                <w:b/>
                <w:sz w:val="20"/>
              </w:rPr>
            </w:pPr>
            <w:r w:rsidRPr="0011734C">
              <w:rPr>
                <w:rFonts w:ascii="Arial Narrow" w:hAnsi="Arial Narrow"/>
                <w:b/>
                <w:sz w:val="20"/>
              </w:rPr>
              <w:t>Publication citation</w:t>
            </w:r>
          </w:p>
        </w:tc>
      </w:tr>
      <w:tr w:rsidR="006115DB" w:rsidRPr="007C3685" w:rsidTr="00E3629F">
        <w:tc>
          <w:tcPr>
            <w:tcW w:w="5000" w:type="pct"/>
            <w:gridSpan w:val="3"/>
          </w:tcPr>
          <w:p w:rsidR="006115DB" w:rsidRPr="0011734C" w:rsidRDefault="006115DB" w:rsidP="004E7393">
            <w:pPr>
              <w:jc w:val="left"/>
              <w:rPr>
                <w:rFonts w:ascii="Arial Narrow" w:hAnsi="Arial Narrow"/>
                <w:b/>
                <w:sz w:val="20"/>
              </w:rPr>
            </w:pPr>
            <w:r w:rsidRPr="0011734C">
              <w:rPr>
                <w:rFonts w:ascii="Arial Narrow" w:hAnsi="Arial Narrow"/>
                <w:b/>
                <w:sz w:val="20"/>
              </w:rPr>
              <w:t>Direct randomised trial</w:t>
            </w:r>
          </w:p>
        </w:tc>
      </w:tr>
      <w:tr w:rsidR="006115DB" w:rsidRPr="009D3FBF" w:rsidTr="00E3629F">
        <w:tc>
          <w:tcPr>
            <w:tcW w:w="594" w:type="pct"/>
          </w:tcPr>
          <w:p w:rsidR="006115DB" w:rsidRPr="009D3FBF" w:rsidRDefault="006115DB" w:rsidP="004E7393">
            <w:pPr>
              <w:jc w:val="left"/>
              <w:rPr>
                <w:rFonts w:ascii="Arial Narrow" w:hAnsi="Arial Narrow"/>
                <w:sz w:val="20"/>
              </w:rPr>
            </w:pPr>
            <w:r w:rsidRPr="009D3FBF">
              <w:rPr>
                <w:rFonts w:ascii="Arial Narrow" w:hAnsi="Arial Narrow"/>
                <w:sz w:val="20"/>
              </w:rPr>
              <w:t>CA209-017</w:t>
            </w:r>
          </w:p>
        </w:tc>
        <w:tc>
          <w:tcPr>
            <w:tcW w:w="2887" w:type="pct"/>
          </w:tcPr>
          <w:p w:rsidR="006115DB" w:rsidRPr="009D3FBF" w:rsidRDefault="006115DB" w:rsidP="004E7393">
            <w:pPr>
              <w:jc w:val="left"/>
              <w:rPr>
                <w:rFonts w:ascii="Arial Narrow" w:hAnsi="Arial Narrow"/>
                <w:sz w:val="20"/>
              </w:rPr>
            </w:pPr>
            <w:r w:rsidRPr="009D3FBF">
              <w:rPr>
                <w:rFonts w:ascii="Arial Narrow" w:hAnsi="Arial Narrow"/>
                <w:sz w:val="20"/>
              </w:rPr>
              <w:t>Clinical study report C</w:t>
            </w:r>
            <w:r>
              <w:rPr>
                <w:rFonts w:ascii="Arial Narrow" w:hAnsi="Arial Narrow"/>
                <w:sz w:val="20"/>
              </w:rPr>
              <w:t>A209-017: An open-label randomis</w:t>
            </w:r>
            <w:r w:rsidRPr="009D3FBF">
              <w:rPr>
                <w:rFonts w:ascii="Arial Narrow" w:hAnsi="Arial Narrow"/>
                <w:sz w:val="20"/>
              </w:rPr>
              <w:t>ed phase III trial of bms-936558 (</w:t>
            </w:r>
            <w:proofErr w:type="spellStart"/>
            <w:r w:rsidRPr="009D3FBF">
              <w:rPr>
                <w:rFonts w:ascii="Arial Narrow" w:hAnsi="Arial Narrow"/>
                <w:sz w:val="20"/>
              </w:rPr>
              <w:t>nivolumab</w:t>
            </w:r>
            <w:proofErr w:type="spellEnd"/>
            <w:r w:rsidRPr="009D3FBF">
              <w:rPr>
                <w:rFonts w:ascii="Arial Narrow" w:hAnsi="Arial Narrow"/>
                <w:sz w:val="20"/>
              </w:rPr>
              <w:t xml:space="preserve">) versus </w:t>
            </w:r>
            <w:proofErr w:type="spellStart"/>
            <w:r w:rsidRPr="009D3FBF">
              <w:rPr>
                <w:rFonts w:ascii="Arial Narrow" w:hAnsi="Arial Narrow"/>
                <w:sz w:val="20"/>
              </w:rPr>
              <w:t>docetaxel</w:t>
            </w:r>
            <w:proofErr w:type="spellEnd"/>
            <w:r w:rsidRPr="009D3FBF">
              <w:rPr>
                <w:rFonts w:ascii="Arial Narrow" w:hAnsi="Arial Narrow"/>
                <w:sz w:val="20"/>
              </w:rPr>
              <w:t xml:space="preserve"> in previously treated advanced or metastatic squamous cell non-small cell lung cancer (NSCLC) – (based on database lock 15 December 2014 - minimum follow-up of 10.6 months).</w:t>
            </w:r>
          </w:p>
          <w:p w:rsidR="006115DB" w:rsidRPr="009D3FBF" w:rsidRDefault="006115DB" w:rsidP="004E7393">
            <w:pPr>
              <w:jc w:val="left"/>
              <w:rPr>
                <w:rFonts w:ascii="Arial Narrow" w:hAnsi="Arial Narrow"/>
                <w:sz w:val="20"/>
              </w:rPr>
            </w:pPr>
          </w:p>
          <w:p w:rsidR="006115DB" w:rsidRPr="009D3FBF" w:rsidRDefault="006115DB" w:rsidP="004E7393">
            <w:pPr>
              <w:jc w:val="left"/>
              <w:rPr>
                <w:rFonts w:ascii="Arial Narrow" w:hAnsi="Arial Narrow"/>
                <w:sz w:val="20"/>
                <w:u w:val="single"/>
              </w:rPr>
            </w:pPr>
            <w:r w:rsidRPr="009D3FBF">
              <w:rPr>
                <w:rFonts w:ascii="Arial Narrow" w:hAnsi="Arial Narrow"/>
                <w:sz w:val="20"/>
                <w:u w:val="single"/>
              </w:rPr>
              <w:t>Publication</w:t>
            </w:r>
          </w:p>
          <w:p w:rsidR="006115DB" w:rsidRPr="009D3FBF" w:rsidRDefault="006115DB" w:rsidP="004E7393">
            <w:pPr>
              <w:jc w:val="left"/>
              <w:rPr>
                <w:rFonts w:ascii="Arial Narrow" w:hAnsi="Arial Narrow"/>
                <w:sz w:val="20"/>
              </w:rPr>
            </w:pPr>
            <w:proofErr w:type="spellStart"/>
            <w:r w:rsidRPr="009D3FBF">
              <w:rPr>
                <w:rFonts w:ascii="Arial Narrow" w:hAnsi="Arial Narrow"/>
                <w:sz w:val="20"/>
              </w:rPr>
              <w:t>Brahmer</w:t>
            </w:r>
            <w:proofErr w:type="spellEnd"/>
            <w:r w:rsidRPr="009D3FBF">
              <w:rPr>
                <w:rFonts w:ascii="Arial Narrow" w:hAnsi="Arial Narrow"/>
                <w:sz w:val="20"/>
              </w:rPr>
              <w:t xml:space="preserve"> J, </w:t>
            </w:r>
            <w:proofErr w:type="spellStart"/>
            <w:r w:rsidRPr="009D3FBF">
              <w:rPr>
                <w:rFonts w:ascii="Arial Narrow" w:hAnsi="Arial Narrow"/>
                <w:sz w:val="20"/>
              </w:rPr>
              <w:t>Reckamp</w:t>
            </w:r>
            <w:proofErr w:type="spellEnd"/>
            <w:r w:rsidRPr="009D3FBF">
              <w:rPr>
                <w:rFonts w:ascii="Arial Narrow" w:hAnsi="Arial Narrow"/>
                <w:sz w:val="20"/>
              </w:rPr>
              <w:t xml:space="preserve"> KL, Baas P et al. </w:t>
            </w:r>
            <w:proofErr w:type="spellStart"/>
            <w:r w:rsidRPr="009D3FBF">
              <w:rPr>
                <w:rFonts w:ascii="Arial Narrow" w:hAnsi="Arial Narrow"/>
                <w:sz w:val="20"/>
              </w:rPr>
              <w:t>Nivolumab</w:t>
            </w:r>
            <w:proofErr w:type="spellEnd"/>
            <w:r w:rsidRPr="009D3FBF">
              <w:rPr>
                <w:rFonts w:ascii="Arial Narrow" w:hAnsi="Arial Narrow"/>
                <w:sz w:val="20"/>
              </w:rPr>
              <w:t xml:space="preserve"> versus </w:t>
            </w:r>
            <w:proofErr w:type="spellStart"/>
            <w:r w:rsidRPr="009D3FBF">
              <w:rPr>
                <w:rFonts w:ascii="Arial Narrow" w:hAnsi="Arial Narrow"/>
                <w:sz w:val="20"/>
              </w:rPr>
              <w:t>docetaxel</w:t>
            </w:r>
            <w:proofErr w:type="spellEnd"/>
            <w:r w:rsidRPr="009D3FBF">
              <w:rPr>
                <w:rFonts w:ascii="Arial Narrow" w:hAnsi="Arial Narrow"/>
                <w:sz w:val="20"/>
              </w:rPr>
              <w:t xml:space="preserve"> in advanced squamous cell non-small cell lung cancer.</w:t>
            </w:r>
          </w:p>
          <w:p w:rsidR="006115DB" w:rsidRPr="009D3FBF" w:rsidRDefault="006115DB" w:rsidP="004E7393">
            <w:pPr>
              <w:jc w:val="left"/>
              <w:rPr>
                <w:rFonts w:ascii="Arial Narrow" w:hAnsi="Arial Narrow"/>
                <w:sz w:val="20"/>
              </w:rPr>
            </w:pPr>
          </w:p>
          <w:p w:rsidR="006115DB" w:rsidRPr="009D3FBF" w:rsidRDefault="006115DB" w:rsidP="004E7393">
            <w:pPr>
              <w:jc w:val="left"/>
              <w:rPr>
                <w:rFonts w:ascii="Arial Narrow" w:hAnsi="Arial Narrow"/>
                <w:sz w:val="20"/>
                <w:u w:val="single"/>
              </w:rPr>
            </w:pPr>
            <w:r w:rsidRPr="009D3FBF">
              <w:rPr>
                <w:rFonts w:ascii="Arial Narrow" w:hAnsi="Arial Narrow"/>
                <w:sz w:val="20"/>
                <w:u w:val="single"/>
              </w:rPr>
              <w:t>Abstract</w:t>
            </w:r>
          </w:p>
          <w:p w:rsidR="006115DB" w:rsidRPr="009D3FBF" w:rsidRDefault="006115DB" w:rsidP="004E7393">
            <w:pPr>
              <w:jc w:val="left"/>
              <w:rPr>
                <w:rFonts w:ascii="Arial Narrow" w:hAnsi="Arial Narrow"/>
                <w:sz w:val="20"/>
              </w:rPr>
            </w:pPr>
            <w:proofErr w:type="spellStart"/>
            <w:r w:rsidRPr="009D3FBF">
              <w:rPr>
                <w:rFonts w:ascii="Arial Narrow" w:hAnsi="Arial Narrow"/>
                <w:sz w:val="20"/>
              </w:rPr>
              <w:t>Reckamp</w:t>
            </w:r>
            <w:proofErr w:type="spellEnd"/>
            <w:r w:rsidRPr="009D3FBF">
              <w:rPr>
                <w:rFonts w:ascii="Arial Narrow" w:hAnsi="Arial Narrow"/>
                <w:sz w:val="20"/>
              </w:rPr>
              <w:t xml:space="preserve"> K et al. Phase 3, Global, Randomized trial (Checkmate 017) of </w:t>
            </w:r>
            <w:proofErr w:type="spellStart"/>
            <w:r w:rsidRPr="009D3FBF">
              <w:rPr>
                <w:rFonts w:ascii="Arial Narrow" w:hAnsi="Arial Narrow"/>
                <w:sz w:val="20"/>
              </w:rPr>
              <w:t>nivolumab</w:t>
            </w:r>
            <w:proofErr w:type="spellEnd"/>
            <w:r w:rsidRPr="009D3FBF">
              <w:rPr>
                <w:rFonts w:ascii="Arial Narrow" w:hAnsi="Arial Narrow"/>
                <w:sz w:val="20"/>
              </w:rPr>
              <w:t xml:space="preserve"> vs </w:t>
            </w:r>
            <w:proofErr w:type="spellStart"/>
            <w:r w:rsidRPr="009D3FBF">
              <w:rPr>
                <w:rFonts w:ascii="Arial Narrow" w:hAnsi="Arial Narrow"/>
                <w:sz w:val="20"/>
              </w:rPr>
              <w:t>docetaxel</w:t>
            </w:r>
            <w:proofErr w:type="spellEnd"/>
            <w:r w:rsidRPr="009D3FBF">
              <w:rPr>
                <w:rFonts w:ascii="Arial Narrow" w:hAnsi="Arial Narrow"/>
                <w:sz w:val="20"/>
              </w:rPr>
              <w:t xml:space="preserve"> in advanced squamous (SQ) cell non-small cell lung cancer (NSCLC) - (database lock of August 2015 - minimum follow-up of 18 months).</w:t>
            </w:r>
          </w:p>
        </w:tc>
        <w:tc>
          <w:tcPr>
            <w:tcW w:w="1518" w:type="pct"/>
          </w:tcPr>
          <w:p w:rsidR="006115DB" w:rsidRPr="0036260F" w:rsidRDefault="006115DB" w:rsidP="0036260F">
            <w:pPr>
              <w:spacing w:after="1200"/>
              <w:jc w:val="left"/>
              <w:rPr>
                <w:rFonts w:ascii="Arial Narrow" w:hAnsi="Arial Narrow"/>
                <w:sz w:val="20"/>
              </w:rPr>
            </w:pPr>
            <w:r w:rsidRPr="009D3FBF">
              <w:rPr>
                <w:rFonts w:ascii="Arial Narrow" w:hAnsi="Arial Narrow"/>
                <w:sz w:val="20"/>
              </w:rPr>
              <w:t>February 2015</w:t>
            </w:r>
            <w:bookmarkStart w:id="8" w:name="_GoBack"/>
            <w:bookmarkEnd w:id="8"/>
          </w:p>
          <w:p w:rsidR="006115DB" w:rsidRPr="009D3FBF" w:rsidRDefault="006115DB" w:rsidP="004E7393">
            <w:pPr>
              <w:jc w:val="left"/>
              <w:rPr>
                <w:rFonts w:ascii="Arial Narrow" w:hAnsi="Arial Narrow"/>
                <w:sz w:val="20"/>
              </w:rPr>
            </w:pPr>
            <w:r w:rsidRPr="009D3FBF">
              <w:rPr>
                <w:rFonts w:ascii="Arial Narrow" w:hAnsi="Arial Narrow"/>
                <w:i/>
                <w:sz w:val="20"/>
              </w:rPr>
              <w:t>New England Journal of Medicine</w:t>
            </w:r>
            <w:r w:rsidRPr="009D3FBF">
              <w:rPr>
                <w:rFonts w:ascii="Arial Narrow" w:hAnsi="Arial Narrow"/>
                <w:sz w:val="20"/>
              </w:rPr>
              <w:t xml:space="preserve"> 2015; 373 (2):123-132</w:t>
            </w:r>
          </w:p>
          <w:p w:rsidR="006115DB" w:rsidRPr="009D3FBF" w:rsidRDefault="006115DB" w:rsidP="004E7393">
            <w:pPr>
              <w:jc w:val="left"/>
              <w:rPr>
                <w:rFonts w:ascii="Arial Narrow" w:hAnsi="Arial Narrow"/>
                <w:b/>
                <w:sz w:val="20"/>
              </w:rPr>
            </w:pPr>
          </w:p>
          <w:p w:rsidR="006115DB" w:rsidRPr="009D3FBF" w:rsidRDefault="006115DB" w:rsidP="004E7393">
            <w:pPr>
              <w:jc w:val="left"/>
              <w:rPr>
                <w:rFonts w:ascii="Arial Narrow" w:hAnsi="Arial Narrow"/>
                <w:sz w:val="20"/>
              </w:rPr>
            </w:pPr>
          </w:p>
          <w:p w:rsidR="006115DB" w:rsidRPr="009D3FBF" w:rsidRDefault="006115DB" w:rsidP="00E3629F">
            <w:pPr>
              <w:jc w:val="left"/>
              <w:rPr>
                <w:rFonts w:ascii="Arial Narrow" w:hAnsi="Arial Narrow"/>
                <w:sz w:val="20"/>
              </w:rPr>
            </w:pPr>
            <w:r w:rsidRPr="009D3FBF">
              <w:rPr>
                <w:rFonts w:ascii="Arial Narrow" w:hAnsi="Arial Narrow"/>
                <w:i/>
                <w:sz w:val="20"/>
              </w:rPr>
              <w:t>16th World Conference on Lung Cancer</w:t>
            </w:r>
            <w:r w:rsidR="00E3629F">
              <w:rPr>
                <w:rFonts w:ascii="Arial Narrow" w:hAnsi="Arial Narrow"/>
                <w:i/>
                <w:sz w:val="20"/>
              </w:rPr>
              <w:t xml:space="preserve">; </w:t>
            </w:r>
            <w:r w:rsidR="00E3629F" w:rsidRPr="009D3FBF">
              <w:rPr>
                <w:rFonts w:ascii="Arial Narrow" w:hAnsi="Arial Narrow"/>
                <w:sz w:val="20"/>
                <w:lang w:val="fr-FR"/>
              </w:rPr>
              <w:t>Denver, USA</w:t>
            </w:r>
            <w:r w:rsidR="00E3629F">
              <w:rPr>
                <w:rFonts w:ascii="Arial Narrow" w:hAnsi="Arial Narrow"/>
                <w:sz w:val="20"/>
                <w:lang w:val="fr-FR"/>
              </w:rPr>
              <w:t>,</w:t>
            </w:r>
            <w:r w:rsidRPr="009D3FBF">
              <w:rPr>
                <w:rFonts w:ascii="Arial Narrow" w:hAnsi="Arial Narrow"/>
                <w:i/>
                <w:sz w:val="20"/>
              </w:rPr>
              <w:t xml:space="preserve"> </w:t>
            </w:r>
            <w:r w:rsidRPr="009D3FBF">
              <w:rPr>
                <w:rFonts w:ascii="Arial Narrow" w:hAnsi="Arial Narrow"/>
                <w:sz w:val="20"/>
              </w:rPr>
              <w:t>September</w:t>
            </w:r>
            <w:r w:rsidR="00E3629F">
              <w:rPr>
                <w:rFonts w:ascii="Arial Narrow" w:hAnsi="Arial Narrow"/>
                <w:sz w:val="20"/>
                <w:lang w:val="fr-FR"/>
              </w:rPr>
              <w:t xml:space="preserve"> 6-9, 2015</w:t>
            </w:r>
            <w:r w:rsidRPr="009D3FBF">
              <w:rPr>
                <w:rFonts w:ascii="Arial Narrow" w:hAnsi="Arial Narrow"/>
                <w:sz w:val="20"/>
                <w:lang w:val="fr-FR"/>
              </w:rPr>
              <w:t>.</w:t>
            </w:r>
          </w:p>
        </w:tc>
      </w:tr>
    </w:tbl>
    <w:p w:rsidR="006115DB" w:rsidRPr="006C6CE0" w:rsidRDefault="006115DB" w:rsidP="00E3629F">
      <w:pPr>
        <w:pStyle w:val="TableHeader"/>
        <w:ind w:left="709"/>
        <w:rPr>
          <w:b w:val="0"/>
          <w:sz w:val="18"/>
          <w:szCs w:val="18"/>
        </w:rPr>
      </w:pPr>
      <w:r w:rsidRPr="009D3FBF">
        <w:rPr>
          <w:b w:val="0"/>
          <w:sz w:val="18"/>
          <w:szCs w:val="18"/>
        </w:rPr>
        <w:t>Source: Table 11, p35 of Section B.2 of the submission.</w:t>
      </w:r>
    </w:p>
    <w:p w:rsidR="006115DB" w:rsidRPr="008F120A" w:rsidRDefault="006115DB" w:rsidP="006115DB">
      <w:pPr>
        <w:widowControl/>
        <w:rPr>
          <w:szCs w:val="22"/>
        </w:rPr>
      </w:pPr>
    </w:p>
    <w:p w:rsidR="006115DB" w:rsidRPr="00B50DB8" w:rsidRDefault="006115DB" w:rsidP="0073258E">
      <w:pPr>
        <w:pStyle w:val="ListParagraph"/>
        <w:widowControl/>
        <w:numPr>
          <w:ilvl w:val="1"/>
          <w:numId w:val="2"/>
        </w:numPr>
        <w:rPr>
          <w:szCs w:val="22"/>
        </w:rPr>
      </w:pPr>
      <w:r w:rsidRPr="00B50DB8">
        <w:rPr>
          <w:szCs w:val="22"/>
        </w:rPr>
        <w:t>The key features of the direct randomised trial are summarised in the table below.</w:t>
      </w:r>
    </w:p>
    <w:p w:rsidR="006115DB" w:rsidRDefault="006115DB" w:rsidP="006115DB">
      <w:pPr>
        <w:widowControl/>
        <w:rPr>
          <w:szCs w:val="22"/>
        </w:rPr>
      </w:pPr>
    </w:p>
    <w:p w:rsidR="006115DB" w:rsidRPr="005C7F65" w:rsidRDefault="006115DB" w:rsidP="00E3629F">
      <w:pPr>
        <w:pStyle w:val="TableHeader"/>
        <w:ind w:left="709"/>
      </w:pPr>
      <w:r>
        <w:t xml:space="preserve">Table </w:t>
      </w:r>
      <w:r>
        <w:rPr>
          <w:noProof/>
        </w:rPr>
        <w:t>2</w:t>
      </w:r>
      <w:r>
        <w:t xml:space="preserve">: </w:t>
      </w:r>
      <w:r w:rsidRPr="005C7F65">
        <w:t>Key features of the included evidence</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1"/>
        <w:gridCol w:w="427"/>
        <w:gridCol w:w="2414"/>
        <w:gridCol w:w="993"/>
        <w:gridCol w:w="1559"/>
        <w:gridCol w:w="992"/>
        <w:gridCol w:w="970"/>
      </w:tblGrid>
      <w:tr w:rsidR="00E3629F" w:rsidRPr="00E2771E" w:rsidTr="00E3629F">
        <w:tc>
          <w:tcPr>
            <w:tcW w:w="594" w:type="pct"/>
            <w:shd w:val="clear" w:color="auto" w:fill="auto"/>
            <w:vAlign w:val="center"/>
          </w:tcPr>
          <w:p w:rsidR="006115DB" w:rsidRPr="00E2771E" w:rsidRDefault="006115DB" w:rsidP="004E7393">
            <w:pPr>
              <w:jc w:val="left"/>
              <w:rPr>
                <w:rFonts w:ascii="Arial Narrow" w:hAnsi="Arial Narrow"/>
                <w:b/>
                <w:sz w:val="20"/>
                <w:lang w:val="en-US"/>
              </w:rPr>
            </w:pPr>
            <w:r w:rsidRPr="00E2771E">
              <w:rPr>
                <w:rFonts w:ascii="Arial Narrow" w:hAnsi="Arial Narrow"/>
                <w:b/>
                <w:sz w:val="20"/>
                <w:lang w:val="en-US"/>
              </w:rPr>
              <w:t>Trial</w:t>
            </w:r>
          </w:p>
        </w:tc>
        <w:tc>
          <w:tcPr>
            <w:tcW w:w="256" w:type="pct"/>
            <w:shd w:val="clear" w:color="auto" w:fill="auto"/>
            <w:vAlign w:val="center"/>
          </w:tcPr>
          <w:p w:rsidR="006115DB" w:rsidRPr="00E2771E" w:rsidRDefault="006115DB" w:rsidP="004E7393">
            <w:pPr>
              <w:jc w:val="center"/>
              <w:rPr>
                <w:rFonts w:ascii="Arial Narrow" w:hAnsi="Arial Narrow"/>
                <w:b/>
                <w:sz w:val="20"/>
                <w:lang w:val="en-US"/>
              </w:rPr>
            </w:pPr>
            <w:r w:rsidRPr="00E2771E">
              <w:rPr>
                <w:rFonts w:ascii="Arial Narrow" w:hAnsi="Arial Narrow"/>
                <w:b/>
                <w:sz w:val="20"/>
                <w:lang w:val="en-US"/>
              </w:rPr>
              <w:t>N</w:t>
            </w:r>
          </w:p>
        </w:tc>
        <w:tc>
          <w:tcPr>
            <w:tcW w:w="1446" w:type="pct"/>
            <w:shd w:val="clear" w:color="auto" w:fill="auto"/>
            <w:vAlign w:val="center"/>
          </w:tcPr>
          <w:p w:rsidR="006115DB" w:rsidRPr="00E2771E" w:rsidRDefault="006115DB" w:rsidP="004E7393">
            <w:pPr>
              <w:jc w:val="center"/>
              <w:rPr>
                <w:rFonts w:ascii="Arial Narrow" w:hAnsi="Arial Narrow"/>
                <w:b/>
                <w:sz w:val="20"/>
                <w:lang w:val="en-US"/>
              </w:rPr>
            </w:pPr>
            <w:r w:rsidRPr="00E2771E">
              <w:rPr>
                <w:rFonts w:ascii="Arial Narrow" w:hAnsi="Arial Narrow"/>
                <w:b/>
                <w:sz w:val="20"/>
                <w:lang w:val="en-US"/>
              </w:rPr>
              <w:t>Design/ duration</w:t>
            </w:r>
          </w:p>
        </w:tc>
        <w:tc>
          <w:tcPr>
            <w:tcW w:w="595" w:type="pct"/>
            <w:shd w:val="clear" w:color="auto" w:fill="auto"/>
            <w:vAlign w:val="center"/>
          </w:tcPr>
          <w:p w:rsidR="006115DB" w:rsidRPr="00E2771E" w:rsidRDefault="006115DB" w:rsidP="004E7393">
            <w:pPr>
              <w:jc w:val="center"/>
              <w:rPr>
                <w:rFonts w:ascii="Arial Narrow" w:hAnsi="Arial Narrow"/>
                <w:b/>
                <w:sz w:val="20"/>
                <w:lang w:val="en-US"/>
              </w:rPr>
            </w:pPr>
            <w:r w:rsidRPr="00E2771E">
              <w:rPr>
                <w:rFonts w:ascii="Arial Narrow" w:hAnsi="Arial Narrow"/>
                <w:b/>
                <w:sz w:val="20"/>
                <w:lang w:val="en-US"/>
              </w:rPr>
              <w:t>Risk of bias</w:t>
            </w:r>
          </w:p>
        </w:tc>
        <w:tc>
          <w:tcPr>
            <w:tcW w:w="934" w:type="pct"/>
            <w:shd w:val="clear" w:color="auto" w:fill="auto"/>
            <w:vAlign w:val="center"/>
          </w:tcPr>
          <w:p w:rsidR="006115DB" w:rsidRPr="00E2771E" w:rsidRDefault="006115DB" w:rsidP="004E7393">
            <w:pPr>
              <w:jc w:val="center"/>
              <w:rPr>
                <w:rFonts w:ascii="Arial Narrow" w:hAnsi="Arial Narrow"/>
                <w:b/>
                <w:sz w:val="20"/>
                <w:lang w:val="en-US"/>
              </w:rPr>
            </w:pPr>
            <w:r w:rsidRPr="00E2771E">
              <w:rPr>
                <w:rFonts w:ascii="Arial Narrow" w:hAnsi="Arial Narrow"/>
                <w:b/>
                <w:sz w:val="20"/>
                <w:lang w:val="en-US"/>
              </w:rPr>
              <w:t>Patient population</w:t>
            </w:r>
          </w:p>
        </w:tc>
        <w:tc>
          <w:tcPr>
            <w:tcW w:w="594" w:type="pct"/>
            <w:shd w:val="clear" w:color="auto" w:fill="auto"/>
            <w:vAlign w:val="center"/>
          </w:tcPr>
          <w:p w:rsidR="006115DB" w:rsidRPr="00E2771E" w:rsidRDefault="006115DB" w:rsidP="004E7393">
            <w:pPr>
              <w:jc w:val="center"/>
              <w:rPr>
                <w:rFonts w:ascii="Arial Narrow" w:hAnsi="Arial Narrow"/>
                <w:b/>
                <w:sz w:val="20"/>
                <w:lang w:val="en-US"/>
              </w:rPr>
            </w:pPr>
            <w:r w:rsidRPr="00E2771E">
              <w:rPr>
                <w:rFonts w:ascii="Arial Narrow" w:hAnsi="Arial Narrow"/>
                <w:b/>
                <w:sz w:val="20"/>
                <w:lang w:val="en-US"/>
              </w:rPr>
              <w:t>Outcome</w:t>
            </w:r>
          </w:p>
        </w:tc>
        <w:tc>
          <w:tcPr>
            <w:tcW w:w="582" w:type="pct"/>
            <w:shd w:val="clear" w:color="auto" w:fill="auto"/>
            <w:vAlign w:val="center"/>
          </w:tcPr>
          <w:p w:rsidR="006115DB" w:rsidRPr="00E2771E" w:rsidRDefault="006115DB" w:rsidP="004E7393">
            <w:pPr>
              <w:jc w:val="center"/>
              <w:rPr>
                <w:rFonts w:ascii="Arial Narrow" w:hAnsi="Arial Narrow"/>
                <w:b/>
                <w:sz w:val="20"/>
                <w:lang w:val="en-US"/>
              </w:rPr>
            </w:pPr>
            <w:r w:rsidRPr="00E2771E">
              <w:rPr>
                <w:rFonts w:ascii="Arial Narrow" w:hAnsi="Arial Narrow"/>
                <w:b/>
                <w:sz w:val="20"/>
                <w:lang w:val="en-US"/>
              </w:rPr>
              <w:t>Use in modelled evaluation</w:t>
            </w:r>
          </w:p>
        </w:tc>
      </w:tr>
      <w:tr w:rsidR="006115DB" w:rsidRPr="00E2771E" w:rsidTr="00E3629F">
        <w:tc>
          <w:tcPr>
            <w:tcW w:w="5000" w:type="pct"/>
            <w:gridSpan w:val="7"/>
            <w:shd w:val="clear" w:color="auto" w:fill="auto"/>
            <w:vAlign w:val="center"/>
          </w:tcPr>
          <w:p w:rsidR="006115DB" w:rsidRPr="00B84354" w:rsidRDefault="006115DB" w:rsidP="004E7393">
            <w:pPr>
              <w:jc w:val="left"/>
              <w:rPr>
                <w:rFonts w:ascii="Arial Narrow" w:hAnsi="Arial Narrow"/>
                <w:b/>
                <w:sz w:val="20"/>
                <w:lang w:val="en-US"/>
              </w:rPr>
            </w:pPr>
            <w:proofErr w:type="spellStart"/>
            <w:r w:rsidRPr="00B84354">
              <w:rPr>
                <w:rFonts w:ascii="Arial Narrow" w:hAnsi="Arial Narrow"/>
                <w:b/>
                <w:sz w:val="20"/>
                <w:lang w:val="en-US"/>
              </w:rPr>
              <w:t>Nivolumab</w:t>
            </w:r>
            <w:proofErr w:type="spellEnd"/>
            <w:r w:rsidRPr="00B84354">
              <w:rPr>
                <w:rFonts w:ascii="Arial Narrow" w:hAnsi="Arial Narrow"/>
                <w:b/>
                <w:sz w:val="20"/>
                <w:lang w:val="en-US"/>
              </w:rPr>
              <w:t xml:space="preserve"> 3 mg/kg Q2W vs. </w:t>
            </w:r>
            <w:proofErr w:type="spellStart"/>
            <w:r w:rsidRPr="00B84354">
              <w:rPr>
                <w:rFonts w:ascii="Arial Narrow" w:hAnsi="Arial Narrow"/>
                <w:b/>
                <w:sz w:val="20"/>
                <w:lang w:val="en-US"/>
              </w:rPr>
              <w:t>docetaxel</w:t>
            </w:r>
            <w:proofErr w:type="spellEnd"/>
            <w:r w:rsidRPr="00B84354">
              <w:rPr>
                <w:rFonts w:ascii="Arial Narrow" w:hAnsi="Arial Narrow"/>
                <w:b/>
                <w:sz w:val="20"/>
                <w:lang w:val="en-US"/>
              </w:rPr>
              <w:t xml:space="preserve"> 75mg/m</w:t>
            </w:r>
            <w:r w:rsidRPr="00B84354">
              <w:rPr>
                <w:rFonts w:ascii="Arial Narrow" w:hAnsi="Arial Narrow"/>
                <w:b/>
                <w:sz w:val="20"/>
                <w:vertAlign w:val="superscript"/>
                <w:lang w:val="en-US"/>
              </w:rPr>
              <w:t>2</w:t>
            </w:r>
            <w:r w:rsidRPr="00B84354">
              <w:rPr>
                <w:rFonts w:ascii="Arial Narrow" w:hAnsi="Arial Narrow"/>
                <w:b/>
                <w:sz w:val="20"/>
                <w:lang w:val="en-US"/>
              </w:rPr>
              <w:t xml:space="preserve"> Q3W</w:t>
            </w:r>
          </w:p>
        </w:tc>
      </w:tr>
      <w:tr w:rsidR="00E3629F" w:rsidRPr="00E2771E" w:rsidTr="00E3629F">
        <w:tc>
          <w:tcPr>
            <w:tcW w:w="594" w:type="pct"/>
            <w:shd w:val="clear" w:color="auto" w:fill="auto"/>
            <w:vAlign w:val="center"/>
          </w:tcPr>
          <w:p w:rsidR="006115DB" w:rsidRPr="00E2771E" w:rsidRDefault="006115DB" w:rsidP="004E7393">
            <w:pPr>
              <w:jc w:val="left"/>
              <w:rPr>
                <w:rFonts w:ascii="Arial Narrow" w:hAnsi="Arial Narrow"/>
                <w:sz w:val="20"/>
                <w:lang w:val="en-US"/>
              </w:rPr>
            </w:pPr>
            <w:r>
              <w:rPr>
                <w:rFonts w:ascii="Arial Narrow" w:hAnsi="Arial Narrow"/>
                <w:sz w:val="20"/>
                <w:lang w:val="en-US"/>
              </w:rPr>
              <w:t>CA209-017</w:t>
            </w:r>
          </w:p>
        </w:tc>
        <w:tc>
          <w:tcPr>
            <w:tcW w:w="256" w:type="pct"/>
            <w:shd w:val="clear" w:color="auto" w:fill="auto"/>
            <w:vAlign w:val="center"/>
          </w:tcPr>
          <w:p w:rsidR="006115DB" w:rsidRPr="00E2771E" w:rsidRDefault="006115DB" w:rsidP="004E7393">
            <w:pPr>
              <w:jc w:val="center"/>
              <w:rPr>
                <w:rFonts w:ascii="Arial Narrow" w:hAnsi="Arial Narrow"/>
                <w:sz w:val="20"/>
                <w:lang w:val="en-US"/>
              </w:rPr>
            </w:pPr>
            <w:r>
              <w:rPr>
                <w:rFonts w:ascii="Arial Narrow" w:hAnsi="Arial Narrow"/>
                <w:sz w:val="20"/>
                <w:lang w:val="en-US"/>
              </w:rPr>
              <w:t>582</w:t>
            </w:r>
          </w:p>
        </w:tc>
        <w:tc>
          <w:tcPr>
            <w:tcW w:w="1446" w:type="pct"/>
            <w:shd w:val="clear" w:color="auto" w:fill="auto"/>
            <w:vAlign w:val="center"/>
          </w:tcPr>
          <w:p w:rsidR="006115DB" w:rsidRPr="00B84354" w:rsidRDefault="006115DB" w:rsidP="004E7393">
            <w:pPr>
              <w:jc w:val="center"/>
              <w:rPr>
                <w:rFonts w:ascii="Arial Narrow" w:hAnsi="Arial Narrow"/>
                <w:sz w:val="20"/>
                <w:lang w:val="en-US"/>
              </w:rPr>
            </w:pPr>
            <w:r w:rsidRPr="00B84354">
              <w:rPr>
                <w:rFonts w:ascii="Arial Narrow" w:hAnsi="Arial Narrow"/>
                <w:sz w:val="20"/>
                <w:lang w:val="en-US"/>
              </w:rPr>
              <w:t>R, OL</w:t>
            </w:r>
          </w:p>
          <w:p w:rsidR="006115DB" w:rsidRPr="00B84354" w:rsidRDefault="006115DB" w:rsidP="004E7393">
            <w:pPr>
              <w:jc w:val="center"/>
              <w:rPr>
                <w:rFonts w:ascii="Arial Narrow" w:hAnsi="Arial Narrow"/>
                <w:sz w:val="20"/>
                <w:lang w:val="en-US"/>
              </w:rPr>
            </w:pPr>
            <w:r w:rsidRPr="00B84354">
              <w:rPr>
                <w:rFonts w:ascii="Arial Narrow" w:hAnsi="Arial Narrow"/>
                <w:sz w:val="20"/>
                <w:lang w:val="en-US"/>
              </w:rPr>
              <w:t>Database lock December 2014 (follow-up 10.6 months) and database lock August 2015 (most updated: follow-up 18 months)</w:t>
            </w:r>
          </w:p>
        </w:tc>
        <w:tc>
          <w:tcPr>
            <w:tcW w:w="595" w:type="pct"/>
            <w:shd w:val="clear" w:color="auto" w:fill="auto"/>
            <w:vAlign w:val="center"/>
          </w:tcPr>
          <w:p w:rsidR="006115DB" w:rsidRDefault="006115DB" w:rsidP="004E7393">
            <w:pPr>
              <w:jc w:val="center"/>
              <w:rPr>
                <w:rFonts w:ascii="Arial Narrow" w:hAnsi="Arial Narrow"/>
                <w:sz w:val="20"/>
                <w:lang w:val="en-US"/>
              </w:rPr>
            </w:pPr>
            <w:r w:rsidRPr="00E2771E">
              <w:rPr>
                <w:rFonts w:ascii="Arial Narrow" w:hAnsi="Arial Narrow"/>
                <w:sz w:val="20"/>
                <w:lang w:val="en-US"/>
              </w:rPr>
              <w:t>Low</w:t>
            </w:r>
            <w:r>
              <w:rPr>
                <w:rFonts w:ascii="Arial Narrow" w:hAnsi="Arial Narrow"/>
                <w:sz w:val="20"/>
                <w:lang w:val="en-US"/>
              </w:rPr>
              <w:t xml:space="preserve"> for OS</w:t>
            </w:r>
          </w:p>
          <w:p w:rsidR="006115DB" w:rsidRPr="00E2771E" w:rsidRDefault="006115DB" w:rsidP="00E3629F">
            <w:pPr>
              <w:jc w:val="center"/>
              <w:rPr>
                <w:rFonts w:ascii="Arial Narrow" w:hAnsi="Arial Narrow"/>
                <w:sz w:val="20"/>
                <w:lang w:val="en-US"/>
              </w:rPr>
            </w:pPr>
            <w:r>
              <w:rPr>
                <w:rFonts w:ascii="Arial Narrow" w:hAnsi="Arial Narrow"/>
                <w:sz w:val="20"/>
                <w:lang w:val="en-US"/>
              </w:rPr>
              <w:t xml:space="preserve">High for AEs and </w:t>
            </w:r>
            <w:proofErr w:type="spellStart"/>
            <w:r>
              <w:rPr>
                <w:rFonts w:ascii="Arial Narrow" w:hAnsi="Arial Narrow"/>
                <w:sz w:val="20"/>
                <w:lang w:val="en-US"/>
              </w:rPr>
              <w:t>QoL</w:t>
            </w:r>
            <w:proofErr w:type="spellEnd"/>
            <w:r>
              <w:rPr>
                <w:rFonts w:ascii="Arial Narrow" w:hAnsi="Arial Narrow"/>
                <w:sz w:val="20"/>
                <w:lang w:val="en-US"/>
              </w:rPr>
              <w:t>.</w:t>
            </w:r>
          </w:p>
        </w:tc>
        <w:tc>
          <w:tcPr>
            <w:tcW w:w="934" w:type="pct"/>
            <w:shd w:val="clear" w:color="auto" w:fill="auto"/>
            <w:vAlign w:val="center"/>
          </w:tcPr>
          <w:p w:rsidR="006115DB" w:rsidRPr="00E2771E" w:rsidRDefault="006115DB" w:rsidP="00E3629F">
            <w:pPr>
              <w:jc w:val="center"/>
              <w:rPr>
                <w:rFonts w:ascii="Arial Narrow" w:hAnsi="Arial Narrow"/>
                <w:sz w:val="20"/>
                <w:lang w:val="en-US"/>
              </w:rPr>
            </w:pPr>
            <w:r>
              <w:rPr>
                <w:rFonts w:ascii="Arial Narrow" w:hAnsi="Arial Narrow"/>
                <w:sz w:val="20"/>
                <w:lang w:val="en-US"/>
              </w:rPr>
              <w:t>Patients (unselected for PD-L1 status) who had f</w:t>
            </w:r>
            <w:r w:rsidRPr="00E2771E">
              <w:rPr>
                <w:rFonts w:ascii="Arial Narrow" w:hAnsi="Arial Narrow"/>
                <w:sz w:val="20"/>
                <w:lang w:val="en-US"/>
              </w:rPr>
              <w:t xml:space="preserve">ailed </w:t>
            </w:r>
            <w:r>
              <w:rPr>
                <w:rFonts w:ascii="Arial Narrow" w:hAnsi="Arial Narrow"/>
                <w:sz w:val="20"/>
                <w:lang w:val="en-US"/>
              </w:rPr>
              <w:t>platinum</w:t>
            </w:r>
            <w:r w:rsidR="00E3629F">
              <w:rPr>
                <w:rFonts w:ascii="Arial Narrow" w:hAnsi="Arial Narrow"/>
                <w:sz w:val="20"/>
                <w:lang w:val="en-US"/>
              </w:rPr>
              <w:t>-</w:t>
            </w:r>
            <w:r>
              <w:rPr>
                <w:rFonts w:ascii="Arial Narrow" w:hAnsi="Arial Narrow"/>
                <w:sz w:val="20"/>
                <w:lang w:val="en-US"/>
              </w:rPr>
              <w:t xml:space="preserve">based </w:t>
            </w:r>
            <w:r w:rsidRPr="00E2771E">
              <w:rPr>
                <w:rFonts w:ascii="Arial Narrow" w:hAnsi="Arial Narrow"/>
                <w:sz w:val="20"/>
                <w:lang w:val="en-US"/>
              </w:rPr>
              <w:t>chemo</w:t>
            </w:r>
            <w:r>
              <w:rPr>
                <w:rFonts w:ascii="Arial Narrow" w:hAnsi="Arial Narrow"/>
                <w:sz w:val="20"/>
                <w:lang w:val="en-US"/>
              </w:rPr>
              <w:t>therapy</w:t>
            </w:r>
          </w:p>
        </w:tc>
        <w:tc>
          <w:tcPr>
            <w:tcW w:w="594" w:type="pct"/>
            <w:shd w:val="clear" w:color="auto" w:fill="auto"/>
            <w:vAlign w:val="center"/>
          </w:tcPr>
          <w:p w:rsidR="006115DB" w:rsidRPr="00E2771E" w:rsidRDefault="006115DB" w:rsidP="004E7393">
            <w:pPr>
              <w:jc w:val="center"/>
              <w:rPr>
                <w:rFonts w:ascii="Arial Narrow" w:hAnsi="Arial Narrow"/>
                <w:sz w:val="20"/>
                <w:lang w:val="en-US"/>
              </w:rPr>
            </w:pPr>
            <w:r>
              <w:rPr>
                <w:rFonts w:ascii="Arial Narrow" w:hAnsi="Arial Narrow"/>
                <w:sz w:val="20"/>
                <w:lang w:val="en-US"/>
              </w:rPr>
              <w:t>Overall survival</w:t>
            </w:r>
          </w:p>
        </w:tc>
        <w:tc>
          <w:tcPr>
            <w:tcW w:w="582" w:type="pct"/>
            <w:shd w:val="clear" w:color="auto" w:fill="auto"/>
            <w:vAlign w:val="center"/>
          </w:tcPr>
          <w:p w:rsidR="006115DB" w:rsidRPr="00E2771E" w:rsidRDefault="006115DB" w:rsidP="004E7393">
            <w:pPr>
              <w:jc w:val="center"/>
              <w:rPr>
                <w:rFonts w:ascii="Arial Narrow" w:hAnsi="Arial Narrow"/>
                <w:sz w:val="20"/>
                <w:lang w:val="en-US"/>
              </w:rPr>
            </w:pPr>
            <w:r>
              <w:rPr>
                <w:rFonts w:ascii="Arial Narrow" w:hAnsi="Arial Narrow"/>
                <w:sz w:val="20"/>
                <w:lang w:val="en-US"/>
              </w:rPr>
              <w:t>Used</w:t>
            </w:r>
          </w:p>
        </w:tc>
      </w:tr>
    </w:tbl>
    <w:p w:rsidR="006115DB" w:rsidRPr="0072416F" w:rsidRDefault="00E3629F" w:rsidP="00E3629F">
      <w:pPr>
        <w:pStyle w:val="TableFooter"/>
        <w:ind w:left="709"/>
      </w:pPr>
      <w:r>
        <w:t>Q2W=</w:t>
      </w:r>
      <w:r w:rsidR="006115DB" w:rsidRPr="007F55E3">
        <w:t>every 2 weeks</w:t>
      </w:r>
      <w:r>
        <w:t>; Q3W=</w:t>
      </w:r>
      <w:r w:rsidR="006115DB" w:rsidRPr="007F55E3">
        <w:t>every 3 weeks</w:t>
      </w:r>
      <w:r>
        <w:t>;</w:t>
      </w:r>
      <w:r w:rsidR="006115DB" w:rsidRPr="007F55E3">
        <w:t xml:space="preserve"> </w:t>
      </w:r>
      <w:r w:rsidR="006115DB" w:rsidRPr="0072416F">
        <w:t xml:space="preserve">OL=open label; OS=overall survival; </w:t>
      </w:r>
      <w:r w:rsidR="006115DB">
        <w:t>R=randomised; AEs=adve</w:t>
      </w:r>
      <w:r>
        <w:t xml:space="preserve">rse events; </w:t>
      </w:r>
      <w:proofErr w:type="spellStart"/>
      <w:r>
        <w:t>QoL</w:t>
      </w:r>
      <w:proofErr w:type="spellEnd"/>
      <w:r>
        <w:t>=quality of life</w:t>
      </w:r>
    </w:p>
    <w:p w:rsidR="006115DB" w:rsidRPr="00E3629F" w:rsidRDefault="006115DB" w:rsidP="00E3629F">
      <w:pPr>
        <w:pStyle w:val="TableFooter"/>
        <w:ind w:left="709"/>
      </w:pPr>
      <w:r w:rsidRPr="00E3629F">
        <w:t>Source: compiled during the evaluation</w:t>
      </w:r>
      <w:r w:rsidR="00E3629F" w:rsidRPr="00E3629F">
        <w:t>.</w:t>
      </w:r>
    </w:p>
    <w:p w:rsidR="006115DB" w:rsidRPr="00015A46" w:rsidRDefault="006115DB" w:rsidP="00E3629F">
      <w:pPr>
        <w:widowControl/>
        <w:rPr>
          <w:i/>
        </w:rPr>
      </w:pPr>
    </w:p>
    <w:p w:rsidR="006115DB" w:rsidRPr="005E6E19" w:rsidRDefault="006115DB" w:rsidP="0073258E">
      <w:pPr>
        <w:pStyle w:val="ListParagraph"/>
        <w:widowControl/>
        <w:numPr>
          <w:ilvl w:val="1"/>
          <w:numId w:val="2"/>
        </w:numPr>
      </w:pPr>
      <w:r w:rsidRPr="005E6E19">
        <w:t>There was minimal confounding of the overall survival (OS) results as there was minimal treatment switching. Randomisation was fairly successful as there was a reasonable balance of baseline characteristics across treatment arms. Due to the open-label design of the trial</w:t>
      </w:r>
      <w:r w:rsidR="00D915EA" w:rsidRPr="005E6E19">
        <w:t>,</w:t>
      </w:r>
      <w:r w:rsidRPr="005E6E19">
        <w:t xml:space="preserve"> it is possible that the observed rate of immune-related adverse events (AEs) may have been affected by investigator, clinician and patient knowledge of treatment allocation. Knowledge of treatment allocation may also have affected patients’ subjective responses to quality of life questionnaires.</w:t>
      </w:r>
    </w:p>
    <w:p w:rsidR="006115DB" w:rsidRPr="00882085" w:rsidRDefault="006115DB" w:rsidP="006115DB">
      <w:pPr>
        <w:rPr>
          <w:szCs w:val="22"/>
        </w:rPr>
      </w:pPr>
    </w:p>
    <w:p w:rsidR="006115DB" w:rsidRPr="002C2775" w:rsidRDefault="006115DB" w:rsidP="006115DB">
      <w:pPr>
        <w:pStyle w:val="Heading2"/>
        <w:rPr>
          <w:i/>
        </w:rPr>
      </w:pPr>
      <w:bookmarkStart w:id="9" w:name="_Toc440981188"/>
      <w:r w:rsidRPr="002C2775">
        <w:rPr>
          <w:i/>
        </w:rPr>
        <w:t>Comparative effectiveness</w:t>
      </w:r>
      <w:bookmarkEnd w:id="9"/>
    </w:p>
    <w:p w:rsidR="006115DB" w:rsidRPr="00882085" w:rsidRDefault="006115DB" w:rsidP="006115DB">
      <w:pPr>
        <w:rPr>
          <w:szCs w:val="22"/>
        </w:rPr>
      </w:pPr>
    </w:p>
    <w:p w:rsidR="006115DB" w:rsidRDefault="006115DB" w:rsidP="0073258E">
      <w:pPr>
        <w:pStyle w:val="ListParagraph"/>
        <w:widowControl/>
        <w:numPr>
          <w:ilvl w:val="1"/>
          <w:numId w:val="2"/>
        </w:numPr>
      </w:pPr>
      <w:r>
        <w:rPr>
          <w:szCs w:val="22"/>
        </w:rPr>
        <w:t xml:space="preserve">The </w:t>
      </w:r>
      <w:r w:rsidRPr="00174DB4">
        <w:t xml:space="preserve">clinically </w:t>
      </w:r>
      <w:r w:rsidRPr="00C57A29">
        <w:t xml:space="preserve">relevant outcome </w:t>
      </w:r>
      <w:r>
        <w:t>to determine patient</w:t>
      </w:r>
      <w:r w:rsidRPr="00C57A29">
        <w:t xml:space="preserve"> benefit in CA209-0</w:t>
      </w:r>
      <w:r>
        <w:t>1</w:t>
      </w:r>
      <w:r w:rsidRPr="00C57A29">
        <w:t>7 was overall survival (OS).</w:t>
      </w:r>
      <w:r>
        <w:t xml:space="preserve"> Table 3 </w:t>
      </w:r>
      <w:r w:rsidRPr="00506307">
        <w:t xml:space="preserve">summarises the OS results from </w:t>
      </w:r>
      <w:r>
        <w:t xml:space="preserve">the </w:t>
      </w:r>
      <w:r w:rsidRPr="00506307">
        <w:t xml:space="preserve">database lock </w:t>
      </w:r>
      <w:r>
        <w:t xml:space="preserve">in </w:t>
      </w:r>
      <w:r w:rsidRPr="00506307">
        <w:t xml:space="preserve">December 2014 (minimum follow up 10.6 months) and </w:t>
      </w:r>
      <w:r>
        <w:t xml:space="preserve">the </w:t>
      </w:r>
      <w:r w:rsidRPr="00506307">
        <w:t xml:space="preserve">database lock </w:t>
      </w:r>
      <w:r>
        <w:t xml:space="preserve">in </w:t>
      </w:r>
      <w:r w:rsidRPr="00506307">
        <w:t xml:space="preserve">August 2015 (most updated: minimum follow-up 18 months). </w:t>
      </w:r>
      <w:r>
        <w:t xml:space="preserve">The Kaplan-Meier curves for </w:t>
      </w:r>
      <w:r>
        <w:lastRenderedPageBreak/>
        <w:t>OS (18 month follow up) are presented in Figure 1. The Kaplan-Meier OS rates at 6 months, 12 months and 18 months are summarised in Table 4.</w:t>
      </w:r>
    </w:p>
    <w:p w:rsidR="006115DB" w:rsidRDefault="006115DB" w:rsidP="006115DB"/>
    <w:p w:rsidR="006115DB" w:rsidRPr="00506307" w:rsidRDefault="006115DB" w:rsidP="005A3FEE">
      <w:pPr>
        <w:keepNext/>
        <w:keepLines/>
        <w:tabs>
          <w:tab w:val="left" w:pos="1418"/>
        </w:tabs>
        <w:ind w:left="709"/>
        <w:rPr>
          <w:rFonts w:ascii="Arial Narrow" w:hAnsi="Arial Narrow"/>
          <w:b/>
          <w:bCs/>
          <w:sz w:val="20"/>
        </w:rPr>
      </w:pPr>
      <w:r w:rsidRPr="00213DAF">
        <w:rPr>
          <w:rFonts w:ascii="Arial Narrow" w:hAnsi="Arial Narrow"/>
          <w:b/>
          <w:bCs/>
          <w:sz w:val="20"/>
        </w:rPr>
        <w:t>Table</w:t>
      </w:r>
      <w:r>
        <w:rPr>
          <w:rFonts w:ascii="Arial Narrow" w:hAnsi="Arial Narrow"/>
          <w:b/>
          <w:bCs/>
          <w:sz w:val="20"/>
        </w:rPr>
        <w:t xml:space="preserve"> 3: </w:t>
      </w:r>
      <w:r w:rsidRPr="00506307">
        <w:rPr>
          <w:rFonts w:ascii="Arial Narrow" w:hAnsi="Arial Narrow"/>
          <w:b/>
          <w:bCs/>
          <w:sz w:val="20"/>
        </w:rPr>
        <w:t>CA209-017</w:t>
      </w:r>
      <w:r>
        <w:rPr>
          <w:rFonts w:ascii="Arial Narrow" w:hAnsi="Arial Narrow"/>
          <w:b/>
          <w:bCs/>
          <w:sz w:val="20"/>
        </w:rPr>
        <w:t xml:space="preserve"> - </w:t>
      </w:r>
      <w:r w:rsidRPr="00506307">
        <w:rPr>
          <w:rFonts w:ascii="Arial Narrow" w:hAnsi="Arial Narrow"/>
          <w:b/>
          <w:bCs/>
          <w:sz w:val="20"/>
        </w:rPr>
        <w:t>Overall survival</w:t>
      </w:r>
      <w:r>
        <w:rPr>
          <w:rFonts w:ascii="Arial Narrow" w:hAnsi="Arial Narrow"/>
          <w:b/>
          <w:bCs/>
          <w:sz w:val="20"/>
        </w:rPr>
        <w:t xml:space="preserve"> (OS)</w:t>
      </w:r>
      <w:r w:rsidR="005A3FEE">
        <w:rPr>
          <w:rFonts w:ascii="Arial Narrow" w:hAnsi="Arial Narrow"/>
          <w:b/>
          <w:bCs/>
          <w:sz w:val="20"/>
        </w:rPr>
        <w:t xml:space="preserve"> results</w:t>
      </w:r>
    </w:p>
    <w:tbl>
      <w:tblPr>
        <w:tblStyle w:val="TableGrid"/>
        <w:tblW w:w="4558" w:type="pct"/>
        <w:tblInd w:w="817" w:type="dxa"/>
        <w:tblLook w:val="04A0" w:firstRow="1" w:lastRow="0" w:firstColumn="1" w:lastColumn="0" w:noHBand="0" w:noVBand="1"/>
        <w:tblCaption w:val="Table 3: CA209-017 - Overall survival (OS) results"/>
      </w:tblPr>
      <w:tblGrid>
        <w:gridCol w:w="2977"/>
        <w:gridCol w:w="1417"/>
        <w:gridCol w:w="1276"/>
        <w:gridCol w:w="1419"/>
        <w:gridCol w:w="1336"/>
      </w:tblGrid>
      <w:tr w:rsidR="006115DB" w:rsidRPr="00506307" w:rsidTr="0036260F">
        <w:trPr>
          <w:trHeight w:val="385"/>
          <w:tblHeader/>
        </w:trPr>
        <w:tc>
          <w:tcPr>
            <w:tcW w:w="1767" w:type="pct"/>
            <w:tcBorders>
              <w:bottom w:val="single" w:sz="4" w:space="0" w:color="auto"/>
              <w:right w:val="single" w:sz="4" w:space="0" w:color="auto"/>
            </w:tcBorders>
            <w:shd w:val="clear" w:color="auto" w:fill="FFFFFF" w:themeFill="background1"/>
            <w:vAlign w:val="center"/>
          </w:tcPr>
          <w:p w:rsidR="006115DB" w:rsidRPr="00506307" w:rsidRDefault="006115DB" w:rsidP="004E7393">
            <w:pPr>
              <w:jc w:val="left"/>
              <w:rPr>
                <w:rFonts w:ascii="Arial Narrow" w:hAnsi="Arial Narrow"/>
                <w:b/>
                <w:sz w:val="20"/>
              </w:rPr>
            </w:pPr>
          </w:p>
        </w:tc>
        <w:tc>
          <w:tcPr>
            <w:tcW w:w="1598" w:type="pct"/>
            <w:gridSpan w:val="2"/>
            <w:tcBorders>
              <w:left w:val="single" w:sz="4" w:space="0" w:color="auto"/>
              <w:bottom w:val="single" w:sz="4" w:space="0" w:color="auto"/>
              <w:right w:val="single" w:sz="4" w:space="0" w:color="auto"/>
            </w:tcBorders>
            <w:shd w:val="clear" w:color="auto" w:fill="FFFFFF" w:themeFill="background1"/>
            <w:vAlign w:val="center"/>
          </w:tcPr>
          <w:p w:rsidR="006115DB" w:rsidRPr="00506307" w:rsidRDefault="006115DB" w:rsidP="004E7393">
            <w:pPr>
              <w:jc w:val="center"/>
              <w:rPr>
                <w:rFonts w:ascii="Arial Narrow" w:hAnsi="Arial Narrow"/>
                <w:b/>
                <w:sz w:val="20"/>
              </w:rPr>
            </w:pPr>
            <w:r w:rsidRPr="00506307">
              <w:rPr>
                <w:rFonts w:ascii="Arial Narrow" w:hAnsi="Arial Narrow"/>
                <w:b/>
                <w:sz w:val="20"/>
              </w:rPr>
              <w:t>CA209-017 CSR</w:t>
            </w:r>
          </w:p>
          <w:p w:rsidR="006115DB" w:rsidRPr="00506307" w:rsidRDefault="006115DB" w:rsidP="004E7393">
            <w:pPr>
              <w:jc w:val="center"/>
              <w:rPr>
                <w:rFonts w:ascii="Arial Narrow" w:hAnsi="Arial Narrow"/>
                <w:sz w:val="20"/>
              </w:rPr>
            </w:pPr>
            <w:r w:rsidRPr="00506307">
              <w:rPr>
                <w:rFonts w:ascii="Arial Narrow" w:hAnsi="Arial Narrow"/>
                <w:sz w:val="20"/>
              </w:rPr>
              <w:t>Database Lock December 2014 (10.6 months minimum follow-up)</w:t>
            </w:r>
          </w:p>
        </w:tc>
        <w:tc>
          <w:tcPr>
            <w:tcW w:w="1635" w:type="pct"/>
            <w:gridSpan w:val="2"/>
            <w:tcBorders>
              <w:left w:val="single" w:sz="4" w:space="0" w:color="auto"/>
              <w:bottom w:val="single" w:sz="4" w:space="0" w:color="auto"/>
              <w:right w:val="single" w:sz="4" w:space="0" w:color="auto"/>
            </w:tcBorders>
            <w:shd w:val="clear" w:color="auto" w:fill="FFFFFF" w:themeFill="background1"/>
            <w:vAlign w:val="center"/>
          </w:tcPr>
          <w:p w:rsidR="006115DB" w:rsidRPr="0022376A" w:rsidRDefault="006115DB" w:rsidP="004E7393">
            <w:pPr>
              <w:jc w:val="center"/>
              <w:rPr>
                <w:rFonts w:ascii="Arial Narrow" w:hAnsi="Arial Narrow"/>
                <w:b/>
                <w:sz w:val="20"/>
              </w:rPr>
            </w:pPr>
            <w:r w:rsidRPr="0022376A">
              <w:rPr>
                <w:rFonts w:ascii="Arial Narrow" w:hAnsi="Arial Narrow"/>
                <w:b/>
                <w:sz w:val="20"/>
              </w:rPr>
              <w:t>CA209-017</w:t>
            </w:r>
            <w:r>
              <w:rPr>
                <w:rFonts w:ascii="Arial Narrow" w:hAnsi="Arial Narrow"/>
                <w:b/>
                <w:sz w:val="20"/>
              </w:rPr>
              <w:t xml:space="preserve"> - </w:t>
            </w:r>
            <w:r w:rsidRPr="0022376A">
              <w:rPr>
                <w:rFonts w:ascii="Arial Narrow" w:hAnsi="Arial Narrow"/>
                <w:b/>
                <w:sz w:val="20"/>
              </w:rPr>
              <w:t>Updated OS</w:t>
            </w:r>
            <w:r w:rsidRPr="0022376A">
              <w:rPr>
                <w:rFonts w:ascii="Arial Narrow" w:hAnsi="Arial Narrow"/>
                <w:b/>
                <w:sz w:val="20"/>
                <w:vertAlign w:val="superscript"/>
              </w:rPr>
              <w:t>1</w:t>
            </w:r>
            <w:r w:rsidRPr="0022376A">
              <w:rPr>
                <w:rFonts w:ascii="Arial Narrow" w:hAnsi="Arial Narrow"/>
                <w:b/>
                <w:sz w:val="20"/>
              </w:rPr>
              <w:t xml:space="preserve"> </w:t>
            </w:r>
          </w:p>
          <w:p w:rsidR="005A3FEE" w:rsidRDefault="006115DB" w:rsidP="004E7393">
            <w:pPr>
              <w:jc w:val="center"/>
              <w:rPr>
                <w:rFonts w:ascii="Arial Narrow" w:hAnsi="Arial Narrow"/>
                <w:sz w:val="20"/>
              </w:rPr>
            </w:pPr>
            <w:r w:rsidRPr="00506307">
              <w:rPr>
                <w:rFonts w:ascii="Arial Narrow" w:hAnsi="Arial Narrow"/>
                <w:sz w:val="20"/>
              </w:rPr>
              <w:t>Database Lock August 2015</w:t>
            </w:r>
          </w:p>
          <w:p w:rsidR="006115DB" w:rsidRPr="00506307" w:rsidRDefault="006115DB" w:rsidP="004E7393">
            <w:pPr>
              <w:jc w:val="center"/>
              <w:rPr>
                <w:rFonts w:ascii="Arial Narrow" w:hAnsi="Arial Narrow"/>
                <w:b/>
                <w:sz w:val="20"/>
                <w:vertAlign w:val="superscript"/>
              </w:rPr>
            </w:pPr>
            <w:r w:rsidRPr="00506307">
              <w:rPr>
                <w:rFonts w:ascii="Arial Narrow" w:hAnsi="Arial Narrow"/>
                <w:sz w:val="20"/>
              </w:rPr>
              <w:t>(18 months minimum follow-up)</w:t>
            </w:r>
          </w:p>
        </w:tc>
      </w:tr>
      <w:tr w:rsidR="00F31B3A" w:rsidRPr="00506307" w:rsidTr="00F31B3A">
        <w:trPr>
          <w:trHeight w:val="365"/>
        </w:trPr>
        <w:tc>
          <w:tcPr>
            <w:tcW w:w="1767" w:type="pct"/>
            <w:tcBorders>
              <w:right w:val="single" w:sz="4" w:space="0" w:color="auto"/>
            </w:tcBorders>
            <w:shd w:val="clear" w:color="auto" w:fill="auto"/>
            <w:vAlign w:val="center"/>
          </w:tcPr>
          <w:p w:rsidR="006115DB" w:rsidRPr="00506307" w:rsidRDefault="006115DB" w:rsidP="004E7393">
            <w:pPr>
              <w:jc w:val="left"/>
              <w:rPr>
                <w:rFonts w:ascii="Arial Narrow" w:hAnsi="Arial Narrow"/>
                <w:b/>
                <w:sz w:val="20"/>
              </w:rPr>
            </w:pPr>
          </w:p>
        </w:tc>
        <w:tc>
          <w:tcPr>
            <w:tcW w:w="841" w:type="pct"/>
            <w:tcBorders>
              <w:left w:val="single" w:sz="4" w:space="0" w:color="auto"/>
              <w:right w:val="single" w:sz="4" w:space="0" w:color="auto"/>
            </w:tcBorders>
            <w:shd w:val="clear" w:color="auto" w:fill="auto"/>
            <w:vAlign w:val="center"/>
          </w:tcPr>
          <w:p w:rsidR="006115DB" w:rsidRPr="00506307" w:rsidRDefault="005A3FEE" w:rsidP="004E7393">
            <w:pPr>
              <w:jc w:val="center"/>
              <w:rPr>
                <w:rFonts w:ascii="Arial Narrow" w:hAnsi="Arial Narrow"/>
                <w:b/>
                <w:sz w:val="20"/>
              </w:rPr>
            </w:pPr>
            <w:proofErr w:type="spellStart"/>
            <w:r>
              <w:rPr>
                <w:rFonts w:ascii="Arial Narrow" w:hAnsi="Arial Narrow"/>
                <w:b/>
                <w:sz w:val="20"/>
              </w:rPr>
              <w:t>Nivolumab</w:t>
            </w:r>
            <w:proofErr w:type="spellEnd"/>
          </w:p>
          <w:p w:rsidR="006115DB" w:rsidRPr="00506307" w:rsidRDefault="006115DB" w:rsidP="004E7393">
            <w:pPr>
              <w:jc w:val="center"/>
              <w:rPr>
                <w:rFonts w:ascii="Arial Narrow" w:hAnsi="Arial Narrow"/>
                <w:b/>
                <w:sz w:val="20"/>
              </w:rPr>
            </w:pPr>
            <w:r w:rsidRPr="00506307">
              <w:rPr>
                <w:rFonts w:ascii="Arial Narrow" w:hAnsi="Arial Narrow"/>
                <w:b/>
                <w:sz w:val="20"/>
              </w:rPr>
              <w:t>N=135</w:t>
            </w:r>
          </w:p>
        </w:tc>
        <w:tc>
          <w:tcPr>
            <w:tcW w:w="757" w:type="pct"/>
            <w:tcBorders>
              <w:left w:val="single" w:sz="4" w:space="0" w:color="auto"/>
              <w:right w:val="single" w:sz="4" w:space="0" w:color="auto"/>
            </w:tcBorders>
            <w:shd w:val="clear" w:color="auto" w:fill="auto"/>
            <w:vAlign w:val="center"/>
          </w:tcPr>
          <w:p w:rsidR="006115DB" w:rsidRPr="00506307" w:rsidRDefault="006115DB" w:rsidP="004E7393">
            <w:pPr>
              <w:jc w:val="center"/>
              <w:rPr>
                <w:rFonts w:ascii="Arial Narrow" w:hAnsi="Arial Narrow"/>
                <w:b/>
                <w:sz w:val="20"/>
              </w:rPr>
            </w:pPr>
            <w:proofErr w:type="spellStart"/>
            <w:r w:rsidRPr="00506307">
              <w:rPr>
                <w:rFonts w:ascii="Arial Narrow" w:hAnsi="Arial Narrow"/>
                <w:b/>
                <w:sz w:val="20"/>
              </w:rPr>
              <w:t>Docetaxel</w:t>
            </w:r>
            <w:proofErr w:type="spellEnd"/>
          </w:p>
          <w:p w:rsidR="006115DB" w:rsidRPr="00506307" w:rsidRDefault="008C0134" w:rsidP="004E7393">
            <w:pPr>
              <w:jc w:val="center"/>
              <w:rPr>
                <w:rFonts w:ascii="Arial Narrow" w:hAnsi="Arial Narrow"/>
                <w:b/>
                <w:sz w:val="20"/>
              </w:rPr>
            </w:pPr>
            <w:r>
              <w:rPr>
                <w:rFonts w:ascii="Arial Narrow" w:hAnsi="Arial Narrow"/>
                <w:b/>
                <w:sz w:val="20"/>
              </w:rPr>
              <w:t>N=</w:t>
            </w:r>
            <w:r w:rsidR="006115DB" w:rsidRPr="00506307">
              <w:rPr>
                <w:rFonts w:ascii="Arial Narrow" w:hAnsi="Arial Narrow"/>
                <w:b/>
                <w:sz w:val="20"/>
              </w:rPr>
              <w:t>137</w:t>
            </w:r>
          </w:p>
        </w:tc>
        <w:tc>
          <w:tcPr>
            <w:tcW w:w="842" w:type="pct"/>
            <w:tcBorders>
              <w:left w:val="single" w:sz="4" w:space="0" w:color="auto"/>
              <w:right w:val="single" w:sz="4" w:space="0" w:color="auto"/>
            </w:tcBorders>
            <w:shd w:val="clear" w:color="auto" w:fill="auto"/>
            <w:vAlign w:val="center"/>
          </w:tcPr>
          <w:p w:rsidR="006115DB" w:rsidRPr="00506307" w:rsidRDefault="005A3FEE" w:rsidP="004E7393">
            <w:pPr>
              <w:jc w:val="center"/>
              <w:rPr>
                <w:rFonts w:ascii="Arial Narrow" w:hAnsi="Arial Narrow"/>
                <w:b/>
                <w:sz w:val="20"/>
              </w:rPr>
            </w:pPr>
            <w:proofErr w:type="spellStart"/>
            <w:r>
              <w:rPr>
                <w:rFonts w:ascii="Arial Narrow" w:hAnsi="Arial Narrow"/>
                <w:b/>
                <w:sz w:val="20"/>
              </w:rPr>
              <w:t>Nivolumab</w:t>
            </w:r>
            <w:proofErr w:type="spellEnd"/>
          </w:p>
          <w:p w:rsidR="006115DB" w:rsidRPr="00506307" w:rsidRDefault="006115DB" w:rsidP="004E7393">
            <w:pPr>
              <w:jc w:val="center"/>
              <w:rPr>
                <w:rFonts w:ascii="Arial Narrow" w:hAnsi="Arial Narrow"/>
                <w:b/>
                <w:sz w:val="20"/>
              </w:rPr>
            </w:pPr>
            <w:r w:rsidRPr="00506307">
              <w:rPr>
                <w:rFonts w:ascii="Arial Narrow" w:hAnsi="Arial Narrow"/>
                <w:b/>
                <w:sz w:val="20"/>
              </w:rPr>
              <w:t>N=135</w:t>
            </w:r>
          </w:p>
        </w:tc>
        <w:tc>
          <w:tcPr>
            <w:tcW w:w="793" w:type="pct"/>
            <w:tcBorders>
              <w:left w:val="single" w:sz="4" w:space="0" w:color="auto"/>
              <w:right w:val="single" w:sz="4" w:space="0" w:color="auto"/>
            </w:tcBorders>
            <w:shd w:val="clear" w:color="auto" w:fill="auto"/>
            <w:vAlign w:val="center"/>
          </w:tcPr>
          <w:p w:rsidR="006115DB" w:rsidRPr="00506307" w:rsidRDefault="006115DB" w:rsidP="004E7393">
            <w:pPr>
              <w:jc w:val="center"/>
              <w:rPr>
                <w:rFonts w:ascii="Arial Narrow" w:hAnsi="Arial Narrow"/>
                <w:b/>
                <w:sz w:val="20"/>
              </w:rPr>
            </w:pPr>
            <w:proofErr w:type="spellStart"/>
            <w:r w:rsidRPr="00506307">
              <w:rPr>
                <w:rFonts w:ascii="Arial Narrow" w:hAnsi="Arial Narrow"/>
                <w:b/>
                <w:sz w:val="20"/>
              </w:rPr>
              <w:t>Docetaxel</w:t>
            </w:r>
            <w:proofErr w:type="spellEnd"/>
          </w:p>
          <w:p w:rsidR="006115DB" w:rsidRPr="00506307" w:rsidRDefault="008C0134" w:rsidP="004E7393">
            <w:pPr>
              <w:jc w:val="center"/>
              <w:rPr>
                <w:rFonts w:ascii="Arial Narrow" w:hAnsi="Arial Narrow"/>
                <w:b/>
                <w:sz w:val="20"/>
              </w:rPr>
            </w:pPr>
            <w:r>
              <w:rPr>
                <w:rFonts w:ascii="Arial Narrow" w:hAnsi="Arial Narrow"/>
                <w:b/>
                <w:sz w:val="20"/>
              </w:rPr>
              <w:t>N=</w:t>
            </w:r>
            <w:r w:rsidR="006115DB" w:rsidRPr="00506307">
              <w:rPr>
                <w:rFonts w:ascii="Arial Narrow" w:hAnsi="Arial Narrow"/>
                <w:b/>
                <w:sz w:val="20"/>
              </w:rPr>
              <w:t>137</w:t>
            </w:r>
          </w:p>
        </w:tc>
      </w:tr>
      <w:tr w:rsidR="006115DB" w:rsidRPr="00506307" w:rsidTr="00D915EA">
        <w:trPr>
          <w:trHeight w:val="331"/>
        </w:trPr>
        <w:tc>
          <w:tcPr>
            <w:tcW w:w="1767" w:type="pct"/>
            <w:tcBorders>
              <w:right w:val="single" w:sz="4" w:space="0" w:color="auto"/>
            </w:tcBorders>
            <w:vAlign w:val="center"/>
          </w:tcPr>
          <w:p w:rsidR="006115DB" w:rsidRPr="00506307" w:rsidRDefault="006115DB" w:rsidP="004E7393">
            <w:pPr>
              <w:jc w:val="left"/>
              <w:rPr>
                <w:rFonts w:ascii="Arial Narrow" w:hAnsi="Arial Narrow"/>
                <w:sz w:val="20"/>
              </w:rPr>
            </w:pPr>
            <w:r w:rsidRPr="00506307">
              <w:rPr>
                <w:rFonts w:ascii="Arial Narrow" w:hAnsi="Arial Narrow"/>
                <w:sz w:val="20"/>
              </w:rPr>
              <w:t>Number of events, n (%)</w:t>
            </w:r>
          </w:p>
        </w:tc>
        <w:tc>
          <w:tcPr>
            <w:tcW w:w="841" w:type="pct"/>
            <w:tcBorders>
              <w:left w:val="single" w:sz="4" w:space="0" w:color="auto"/>
              <w:right w:val="single" w:sz="4" w:space="0" w:color="auto"/>
            </w:tcBorders>
            <w:vAlign w:val="center"/>
          </w:tcPr>
          <w:p w:rsidR="006115DB" w:rsidRPr="00506307" w:rsidRDefault="006115DB" w:rsidP="004E7393">
            <w:pPr>
              <w:jc w:val="center"/>
              <w:rPr>
                <w:rFonts w:ascii="Arial Narrow" w:hAnsi="Arial Narrow"/>
                <w:sz w:val="20"/>
                <w:vertAlign w:val="superscript"/>
              </w:rPr>
            </w:pPr>
            <w:r w:rsidRPr="00506307">
              <w:rPr>
                <w:rFonts w:ascii="Arial Narrow" w:hAnsi="Arial Narrow"/>
                <w:sz w:val="20"/>
              </w:rPr>
              <w:t>86 (63.7)</w:t>
            </w:r>
          </w:p>
        </w:tc>
        <w:tc>
          <w:tcPr>
            <w:tcW w:w="757" w:type="pct"/>
            <w:tcBorders>
              <w:left w:val="single" w:sz="4" w:space="0" w:color="auto"/>
              <w:right w:val="single" w:sz="4" w:space="0" w:color="auto"/>
            </w:tcBorders>
            <w:vAlign w:val="center"/>
          </w:tcPr>
          <w:p w:rsidR="006115DB" w:rsidRPr="00506307" w:rsidRDefault="006115DB" w:rsidP="004E7393">
            <w:pPr>
              <w:jc w:val="center"/>
              <w:rPr>
                <w:rFonts w:ascii="Arial Narrow" w:hAnsi="Arial Narrow"/>
                <w:sz w:val="20"/>
                <w:vertAlign w:val="superscript"/>
              </w:rPr>
            </w:pPr>
            <w:r w:rsidRPr="00506307">
              <w:rPr>
                <w:rFonts w:ascii="Arial Narrow" w:hAnsi="Arial Narrow"/>
                <w:sz w:val="20"/>
              </w:rPr>
              <w:t>113 (82.5)</w:t>
            </w:r>
          </w:p>
        </w:tc>
        <w:tc>
          <w:tcPr>
            <w:tcW w:w="842" w:type="pct"/>
            <w:tcBorders>
              <w:left w:val="single" w:sz="4" w:space="0" w:color="auto"/>
              <w:right w:val="single" w:sz="4" w:space="0" w:color="auto"/>
            </w:tcBorders>
            <w:shd w:val="clear" w:color="auto" w:fill="auto"/>
            <w:vAlign w:val="center"/>
          </w:tcPr>
          <w:p w:rsidR="006115DB" w:rsidRPr="00506307" w:rsidRDefault="006115DB" w:rsidP="004E7393">
            <w:pPr>
              <w:jc w:val="center"/>
              <w:rPr>
                <w:rFonts w:ascii="Arial Narrow" w:hAnsi="Arial Narrow"/>
                <w:sz w:val="20"/>
              </w:rPr>
            </w:pPr>
            <w:r w:rsidRPr="00506307">
              <w:rPr>
                <w:rFonts w:ascii="Arial Narrow" w:hAnsi="Arial Narrow"/>
                <w:sz w:val="20"/>
              </w:rPr>
              <w:t>103 (76.3)</w:t>
            </w:r>
          </w:p>
        </w:tc>
        <w:tc>
          <w:tcPr>
            <w:tcW w:w="793" w:type="pct"/>
            <w:tcBorders>
              <w:left w:val="single" w:sz="4" w:space="0" w:color="auto"/>
              <w:right w:val="single" w:sz="4" w:space="0" w:color="auto"/>
            </w:tcBorders>
            <w:shd w:val="clear" w:color="auto" w:fill="auto"/>
            <w:vAlign w:val="center"/>
          </w:tcPr>
          <w:p w:rsidR="006115DB" w:rsidRPr="00506307" w:rsidRDefault="006115DB" w:rsidP="004E7393">
            <w:pPr>
              <w:jc w:val="center"/>
              <w:rPr>
                <w:rFonts w:ascii="Arial Narrow" w:hAnsi="Arial Narrow"/>
                <w:sz w:val="20"/>
              </w:rPr>
            </w:pPr>
            <w:r w:rsidRPr="00506307">
              <w:rPr>
                <w:rFonts w:ascii="Arial Narrow" w:hAnsi="Arial Narrow"/>
                <w:sz w:val="20"/>
              </w:rPr>
              <w:t>122 (89.05)</w:t>
            </w:r>
          </w:p>
        </w:tc>
      </w:tr>
      <w:tr w:rsidR="006115DB" w:rsidRPr="00506307" w:rsidTr="00D915EA">
        <w:trPr>
          <w:trHeight w:val="329"/>
        </w:trPr>
        <w:tc>
          <w:tcPr>
            <w:tcW w:w="1767" w:type="pct"/>
            <w:tcBorders>
              <w:right w:val="single" w:sz="4" w:space="0" w:color="auto"/>
            </w:tcBorders>
            <w:vAlign w:val="center"/>
          </w:tcPr>
          <w:p w:rsidR="006115DB" w:rsidRPr="00506307" w:rsidRDefault="006115DB" w:rsidP="004E7393">
            <w:pPr>
              <w:jc w:val="left"/>
              <w:rPr>
                <w:rFonts w:ascii="Arial Narrow" w:hAnsi="Arial Narrow"/>
                <w:sz w:val="20"/>
              </w:rPr>
            </w:pPr>
            <w:r w:rsidRPr="00506307">
              <w:rPr>
                <w:rFonts w:ascii="Arial Narrow" w:hAnsi="Arial Narrow"/>
                <w:sz w:val="20"/>
              </w:rPr>
              <w:t>Median (months) (95% CI)</w:t>
            </w:r>
          </w:p>
        </w:tc>
        <w:tc>
          <w:tcPr>
            <w:tcW w:w="841" w:type="pct"/>
            <w:tcBorders>
              <w:left w:val="single" w:sz="4" w:space="0" w:color="auto"/>
              <w:right w:val="single" w:sz="4" w:space="0" w:color="auto"/>
            </w:tcBorders>
            <w:vAlign w:val="center"/>
          </w:tcPr>
          <w:p w:rsidR="006115DB" w:rsidRPr="00506307" w:rsidRDefault="006115DB" w:rsidP="00D915EA">
            <w:pPr>
              <w:jc w:val="center"/>
              <w:rPr>
                <w:rFonts w:ascii="Arial Narrow" w:hAnsi="Arial Narrow"/>
                <w:sz w:val="20"/>
                <w:vertAlign w:val="superscript"/>
              </w:rPr>
            </w:pPr>
            <w:r w:rsidRPr="00506307">
              <w:rPr>
                <w:rFonts w:ascii="Arial Narrow" w:hAnsi="Arial Narrow"/>
                <w:sz w:val="20"/>
              </w:rPr>
              <w:t>9.2 (7.3, 13.</w:t>
            </w:r>
            <w:r w:rsidR="00D915EA">
              <w:rPr>
                <w:rFonts w:ascii="Arial Narrow" w:hAnsi="Arial Narrow"/>
                <w:sz w:val="20"/>
              </w:rPr>
              <w:t>3</w:t>
            </w:r>
            <w:r w:rsidRPr="00506307">
              <w:rPr>
                <w:rFonts w:ascii="Arial Narrow" w:hAnsi="Arial Narrow"/>
                <w:sz w:val="20"/>
              </w:rPr>
              <w:t>)</w:t>
            </w:r>
          </w:p>
        </w:tc>
        <w:tc>
          <w:tcPr>
            <w:tcW w:w="757" w:type="pct"/>
            <w:tcBorders>
              <w:left w:val="single" w:sz="4" w:space="0" w:color="auto"/>
              <w:right w:val="single" w:sz="4" w:space="0" w:color="auto"/>
            </w:tcBorders>
            <w:vAlign w:val="center"/>
          </w:tcPr>
          <w:p w:rsidR="006115DB" w:rsidRPr="00506307" w:rsidRDefault="006115DB" w:rsidP="00D915EA">
            <w:pPr>
              <w:jc w:val="center"/>
              <w:rPr>
                <w:rFonts w:ascii="Arial Narrow" w:hAnsi="Arial Narrow"/>
                <w:sz w:val="20"/>
                <w:vertAlign w:val="superscript"/>
              </w:rPr>
            </w:pPr>
            <w:r w:rsidRPr="00506307">
              <w:rPr>
                <w:rFonts w:ascii="Arial Narrow" w:hAnsi="Arial Narrow"/>
                <w:sz w:val="20"/>
              </w:rPr>
              <w:t>6.0 (5.1, 7.3</w:t>
            </w:r>
            <w:r>
              <w:rPr>
                <w:rFonts w:ascii="Arial Narrow" w:hAnsi="Arial Narrow"/>
                <w:sz w:val="20"/>
              </w:rPr>
              <w:t>)</w:t>
            </w:r>
          </w:p>
        </w:tc>
        <w:tc>
          <w:tcPr>
            <w:tcW w:w="842" w:type="pct"/>
            <w:tcBorders>
              <w:left w:val="single" w:sz="4" w:space="0" w:color="auto"/>
              <w:right w:val="single" w:sz="4" w:space="0" w:color="auto"/>
            </w:tcBorders>
            <w:shd w:val="clear" w:color="auto" w:fill="auto"/>
            <w:vAlign w:val="center"/>
          </w:tcPr>
          <w:p w:rsidR="006115DB" w:rsidRPr="00506307" w:rsidRDefault="006115DB" w:rsidP="00D915EA">
            <w:pPr>
              <w:jc w:val="center"/>
              <w:rPr>
                <w:rFonts w:ascii="Arial Narrow" w:hAnsi="Arial Narrow"/>
                <w:sz w:val="20"/>
              </w:rPr>
            </w:pPr>
            <w:r w:rsidRPr="00506307">
              <w:rPr>
                <w:rFonts w:ascii="Arial Narrow" w:hAnsi="Arial Narrow"/>
                <w:sz w:val="20"/>
              </w:rPr>
              <w:t>9.2 (7.3, 12.6)</w:t>
            </w:r>
          </w:p>
        </w:tc>
        <w:tc>
          <w:tcPr>
            <w:tcW w:w="793" w:type="pct"/>
            <w:tcBorders>
              <w:left w:val="single" w:sz="4" w:space="0" w:color="auto"/>
              <w:right w:val="single" w:sz="4" w:space="0" w:color="auto"/>
            </w:tcBorders>
            <w:shd w:val="clear" w:color="auto" w:fill="auto"/>
            <w:vAlign w:val="center"/>
          </w:tcPr>
          <w:p w:rsidR="006115DB" w:rsidRPr="00506307" w:rsidRDefault="006115DB" w:rsidP="00D915EA">
            <w:pPr>
              <w:jc w:val="center"/>
              <w:rPr>
                <w:rFonts w:ascii="Arial Narrow" w:hAnsi="Arial Narrow"/>
                <w:sz w:val="20"/>
              </w:rPr>
            </w:pPr>
            <w:r w:rsidRPr="00506307">
              <w:rPr>
                <w:rFonts w:ascii="Arial Narrow" w:hAnsi="Arial Narrow"/>
                <w:sz w:val="20"/>
              </w:rPr>
              <w:t>6.0 (5.</w:t>
            </w:r>
            <w:r w:rsidR="00D915EA">
              <w:rPr>
                <w:rFonts w:ascii="Arial Narrow" w:hAnsi="Arial Narrow"/>
                <w:sz w:val="20"/>
              </w:rPr>
              <w:t>3</w:t>
            </w:r>
            <w:r w:rsidRPr="00506307">
              <w:rPr>
                <w:rFonts w:ascii="Arial Narrow" w:hAnsi="Arial Narrow"/>
                <w:sz w:val="20"/>
              </w:rPr>
              <w:t>, 7.</w:t>
            </w:r>
            <w:r w:rsidR="00D915EA">
              <w:rPr>
                <w:rFonts w:ascii="Arial Narrow" w:hAnsi="Arial Narrow"/>
                <w:sz w:val="20"/>
              </w:rPr>
              <w:t>4</w:t>
            </w:r>
            <w:r w:rsidRPr="00506307">
              <w:rPr>
                <w:rFonts w:ascii="Arial Narrow" w:hAnsi="Arial Narrow"/>
                <w:sz w:val="20"/>
              </w:rPr>
              <w:t>)</w:t>
            </w:r>
          </w:p>
        </w:tc>
      </w:tr>
      <w:tr w:rsidR="006115DB" w:rsidRPr="00506307" w:rsidTr="00D915EA">
        <w:trPr>
          <w:trHeight w:val="274"/>
        </w:trPr>
        <w:tc>
          <w:tcPr>
            <w:tcW w:w="1767" w:type="pct"/>
            <w:tcBorders>
              <w:right w:val="single" w:sz="4" w:space="0" w:color="auto"/>
            </w:tcBorders>
            <w:vAlign w:val="center"/>
          </w:tcPr>
          <w:p w:rsidR="006115DB" w:rsidRPr="00506307" w:rsidRDefault="006115DB" w:rsidP="004E7393">
            <w:pPr>
              <w:jc w:val="left"/>
              <w:rPr>
                <w:rFonts w:ascii="Arial Narrow" w:hAnsi="Arial Narrow"/>
                <w:sz w:val="20"/>
              </w:rPr>
            </w:pPr>
            <w:proofErr w:type="spellStart"/>
            <w:r w:rsidRPr="00506307">
              <w:rPr>
                <w:rFonts w:ascii="Arial Narrow" w:hAnsi="Arial Narrow"/>
                <w:b/>
                <w:sz w:val="20"/>
              </w:rPr>
              <w:t>Nivolumab</w:t>
            </w:r>
            <w:proofErr w:type="spellEnd"/>
            <w:r w:rsidRPr="00506307">
              <w:rPr>
                <w:rFonts w:ascii="Arial Narrow" w:hAnsi="Arial Narrow"/>
                <w:b/>
                <w:sz w:val="20"/>
              </w:rPr>
              <w:t xml:space="preserve"> versus </w:t>
            </w:r>
            <w:proofErr w:type="spellStart"/>
            <w:r w:rsidRPr="00506307">
              <w:rPr>
                <w:rFonts w:ascii="Arial Narrow" w:hAnsi="Arial Narrow"/>
                <w:b/>
                <w:sz w:val="20"/>
              </w:rPr>
              <w:t>docetaxel</w:t>
            </w:r>
            <w:proofErr w:type="spellEnd"/>
          </w:p>
          <w:p w:rsidR="005A3FEE" w:rsidRDefault="006115DB" w:rsidP="004E7393">
            <w:pPr>
              <w:jc w:val="left"/>
              <w:rPr>
                <w:rFonts w:ascii="Arial Narrow" w:hAnsi="Arial Narrow"/>
                <w:sz w:val="20"/>
              </w:rPr>
            </w:pPr>
            <w:r w:rsidRPr="00506307">
              <w:rPr>
                <w:rFonts w:ascii="Arial Narrow" w:hAnsi="Arial Narrow"/>
                <w:sz w:val="20"/>
              </w:rPr>
              <w:t>Stratified HR;</w:t>
            </w:r>
          </w:p>
          <w:p w:rsidR="006115DB" w:rsidRPr="00506307" w:rsidRDefault="006115DB" w:rsidP="005A3FEE">
            <w:pPr>
              <w:jc w:val="left"/>
              <w:rPr>
                <w:rFonts w:ascii="Arial Narrow" w:hAnsi="Arial Narrow"/>
                <w:sz w:val="20"/>
              </w:rPr>
            </w:pPr>
            <w:r w:rsidRPr="00506307">
              <w:rPr>
                <w:rFonts w:ascii="Arial Narrow" w:hAnsi="Arial Narrow"/>
                <w:sz w:val="20"/>
              </w:rPr>
              <w:t xml:space="preserve">stratified log-rank: p-value </w:t>
            </w:r>
          </w:p>
        </w:tc>
        <w:tc>
          <w:tcPr>
            <w:tcW w:w="1598" w:type="pct"/>
            <w:gridSpan w:val="2"/>
            <w:tcBorders>
              <w:left w:val="single" w:sz="4" w:space="0" w:color="auto"/>
              <w:right w:val="single" w:sz="4" w:space="0" w:color="auto"/>
            </w:tcBorders>
            <w:vAlign w:val="center"/>
          </w:tcPr>
          <w:p w:rsidR="00D915EA" w:rsidRDefault="00D915EA" w:rsidP="004E7393">
            <w:pPr>
              <w:jc w:val="center"/>
              <w:rPr>
                <w:rFonts w:ascii="Arial Narrow" w:hAnsi="Arial Narrow"/>
                <w:sz w:val="20"/>
              </w:rPr>
            </w:pPr>
          </w:p>
          <w:p w:rsidR="006115DB" w:rsidRPr="00506307" w:rsidRDefault="006115DB" w:rsidP="004E7393">
            <w:pPr>
              <w:jc w:val="center"/>
              <w:rPr>
                <w:rFonts w:ascii="Arial Narrow" w:hAnsi="Arial Narrow"/>
                <w:sz w:val="20"/>
              </w:rPr>
            </w:pPr>
            <w:r w:rsidRPr="00506307">
              <w:rPr>
                <w:rFonts w:ascii="Arial Narrow" w:hAnsi="Arial Narrow"/>
                <w:sz w:val="20"/>
              </w:rPr>
              <w:t>0.59 (9</w:t>
            </w:r>
            <w:r>
              <w:rPr>
                <w:rFonts w:ascii="Arial Narrow" w:hAnsi="Arial Narrow"/>
                <w:sz w:val="20"/>
              </w:rPr>
              <w:t>6.85</w:t>
            </w:r>
            <w:r w:rsidRPr="00506307">
              <w:rPr>
                <w:rFonts w:ascii="Arial Narrow" w:hAnsi="Arial Narrow"/>
                <w:sz w:val="20"/>
              </w:rPr>
              <w:t>% CI: 0.44, 0.79)</w:t>
            </w:r>
            <w:r>
              <w:rPr>
                <w:rFonts w:ascii="Arial Narrow" w:hAnsi="Arial Narrow"/>
                <w:sz w:val="20"/>
                <w:vertAlign w:val="superscript"/>
              </w:rPr>
              <w:t>2</w:t>
            </w:r>
            <w:r w:rsidRPr="00506307">
              <w:rPr>
                <w:rFonts w:ascii="Arial Narrow" w:hAnsi="Arial Narrow"/>
                <w:sz w:val="20"/>
              </w:rPr>
              <w:t xml:space="preserve">; </w:t>
            </w:r>
          </w:p>
          <w:p w:rsidR="006115DB" w:rsidRPr="00506307" w:rsidRDefault="006115DB" w:rsidP="004E7393">
            <w:pPr>
              <w:jc w:val="center"/>
              <w:rPr>
                <w:rFonts w:ascii="Arial Narrow" w:hAnsi="Arial Narrow"/>
                <w:sz w:val="20"/>
                <w:vertAlign w:val="superscript"/>
              </w:rPr>
            </w:pPr>
            <w:r w:rsidRPr="00506307">
              <w:rPr>
                <w:rFonts w:ascii="Arial Narrow" w:hAnsi="Arial Narrow"/>
                <w:sz w:val="20"/>
              </w:rPr>
              <w:t>p=0.0004</w:t>
            </w:r>
          </w:p>
        </w:tc>
        <w:tc>
          <w:tcPr>
            <w:tcW w:w="1635" w:type="pct"/>
            <w:gridSpan w:val="2"/>
            <w:tcBorders>
              <w:left w:val="single" w:sz="4" w:space="0" w:color="auto"/>
              <w:right w:val="single" w:sz="4" w:space="0" w:color="auto"/>
            </w:tcBorders>
            <w:vAlign w:val="center"/>
          </w:tcPr>
          <w:p w:rsidR="00D915EA" w:rsidRDefault="00D915EA" w:rsidP="004E7393">
            <w:pPr>
              <w:jc w:val="center"/>
              <w:rPr>
                <w:rFonts w:ascii="Arial Narrow" w:hAnsi="Arial Narrow"/>
                <w:sz w:val="20"/>
              </w:rPr>
            </w:pPr>
          </w:p>
          <w:p w:rsidR="006115DB" w:rsidRPr="00506307" w:rsidRDefault="006115DB" w:rsidP="004E7393">
            <w:pPr>
              <w:jc w:val="center"/>
              <w:rPr>
                <w:rFonts w:ascii="Arial Narrow" w:hAnsi="Arial Narrow"/>
                <w:sz w:val="20"/>
              </w:rPr>
            </w:pPr>
            <w:r w:rsidRPr="00506307">
              <w:rPr>
                <w:rFonts w:ascii="Arial Narrow" w:hAnsi="Arial Narrow"/>
                <w:sz w:val="20"/>
              </w:rPr>
              <w:t>0.62 (95%CI:</w:t>
            </w:r>
            <w:r>
              <w:rPr>
                <w:rFonts w:ascii="Arial Narrow" w:hAnsi="Arial Narrow"/>
                <w:sz w:val="20"/>
              </w:rPr>
              <w:t xml:space="preserve"> </w:t>
            </w:r>
            <w:r w:rsidRPr="00506307">
              <w:rPr>
                <w:rFonts w:ascii="Arial Narrow" w:hAnsi="Arial Narrow"/>
                <w:sz w:val="20"/>
              </w:rPr>
              <w:t xml:space="preserve">0.48, 0.81); </w:t>
            </w:r>
          </w:p>
          <w:p w:rsidR="006115DB" w:rsidRPr="00506307" w:rsidRDefault="006115DB" w:rsidP="004E7393">
            <w:pPr>
              <w:jc w:val="center"/>
              <w:rPr>
                <w:rFonts w:ascii="Arial Narrow" w:hAnsi="Arial Narrow"/>
                <w:sz w:val="20"/>
                <w:vertAlign w:val="superscript"/>
              </w:rPr>
            </w:pPr>
            <w:r w:rsidRPr="00506307">
              <w:rPr>
                <w:rFonts w:ascii="Arial Narrow" w:hAnsi="Arial Narrow"/>
                <w:sz w:val="20"/>
              </w:rPr>
              <w:t>p=0.0004</w:t>
            </w:r>
          </w:p>
        </w:tc>
      </w:tr>
    </w:tbl>
    <w:p w:rsidR="006115DB" w:rsidRPr="00506307" w:rsidRDefault="006115DB" w:rsidP="005A3FEE">
      <w:pPr>
        <w:widowControl/>
        <w:ind w:left="709"/>
        <w:jc w:val="left"/>
        <w:rPr>
          <w:rFonts w:ascii="Arial Narrow" w:hAnsi="Arial Narrow"/>
          <w:sz w:val="18"/>
          <w:szCs w:val="18"/>
          <w:lang w:eastAsia="en-AU"/>
        </w:rPr>
      </w:pPr>
      <w:r w:rsidRPr="00506307">
        <w:rPr>
          <w:rFonts w:ascii="Arial Narrow" w:hAnsi="Arial Narrow"/>
          <w:sz w:val="18"/>
          <w:szCs w:val="18"/>
          <w:vertAlign w:val="superscript"/>
          <w:lang w:eastAsia="en-AU"/>
        </w:rPr>
        <w:t>1</w:t>
      </w:r>
      <w:r w:rsidR="005A3FEE">
        <w:rPr>
          <w:rFonts w:ascii="Arial Narrow" w:hAnsi="Arial Narrow"/>
          <w:sz w:val="18"/>
          <w:szCs w:val="18"/>
          <w:vertAlign w:val="superscript"/>
          <w:lang w:eastAsia="en-AU"/>
        </w:rPr>
        <w:t xml:space="preserve"> </w:t>
      </w:r>
      <w:proofErr w:type="spellStart"/>
      <w:r w:rsidRPr="00874DA3">
        <w:rPr>
          <w:rFonts w:ascii="Arial Narrow" w:hAnsi="Arial Narrow"/>
          <w:sz w:val="18"/>
          <w:szCs w:val="18"/>
          <w:lang w:eastAsia="en-AU"/>
        </w:rPr>
        <w:t>Reckamp</w:t>
      </w:r>
      <w:proofErr w:type="spellEnd"/>
      <w:r w:rsidRPr="00874DA3">
        <w:rPr>
          <w:rFonts w:ascii="Arial Narrow" w:hAnsi="Arial Narrow"/>
          <w:sz w:val="18"/>
          <w:szCs w:val="18"/>
          <w:lang w:eastAsia="en-AU"/>
        </w:rPr>
        <w:t xml:space="preserve"> et al (2015): </w:t>
      </w:r>
      <w:proofErr w:type="spellStart"/>
      <w:r w:rsidRPr="0022376A">
        <w:rPr>
          <w:rFonts w:ascii="Arial Narrow" w:hAnsi="Arial Narrow"/>
          <w:sz w:val="18"/>
          <w:szCs w:val="18"/>
          <w:lang w:eastAsia="en-AU"/>
        </w:rPr>
        <w:t>Reckamp</w:t>
      </w:r>
      <w:proofErr w:type="spellEnd"/>
      <w:r>
        <w:rPr>
          <w:rFonts w:ascii="Arial Narrow" w:hAnsi="Arial Narrow"/>
          <w:sz w:val="18"/>
          <w:szCs w:val="18"/>
          <w:lang w:eastAsia="en-AU"/>
        </w:rPr>
        <w:t xml:space="preserve">, R </w:t>
      </w:r>
      <w:r w:rsidRPr="0022376A">
        <w:rPr>
          <w:rFonts w:ascii="Arial Narrow" w:hAnsi="Arial Narrow"/>
          <w:sz w:val="18"/>
          <w:szCs w:val="18"/>
          <w:lang w:eastAsia="en-AU"/>
        </w:rPr>
        <w:t xml:space="preserve">et al (2015). Phase 3, Global, Randomized trial (Checkmate 017) of </w:t>
      </w:r>
      <w:proofErr w:type="spellStart"/>
      <w:r w:rsidRPr="0022376A">
        <w:rPr>
          <w:rFonts w:ascii="Arial Narrow" w:hAnsi="Arial Narrow"/>
          <w:sz w:val="18"/>
          <w:szCs w:val="18"/>
          <w:lang w:eastAsia="en-AU"/>
        </w:rPr>
        <w:t>nivolumab</w:t>
      </w:r>
      <w:proofErr w:type="spellEnd"/>
      <w:r w:rsidRPr="0022376A">
        <w:rPr>
          <w:rFonts w:ascii="Arial Narrow" w:hAnsi="Arial Narrow"/>
          <w:sz w:val="18"/>
          <w:szCs w:val="18"/>
          <w:lang w:eastAsia="en-AU"/>
        </w:rPr>
        <w:t xml:space="preserve"> vs </w:t>
      </w:r>
      <w:proofErr w:type="spellStart"/>
      <w:r w:rsidRPr="0022376A">
        <w:rPr>
          <w:rFonts w:ascii="Arial Narrow" w:hAnsi="Arial Narrow"/>
          <w:sz w:val="18"/>
          <w:szCs w:val="18"/>
          <w:lang w:eastAsia="en-AU"/>
        </w:rPr>
        <w:t>docetaxel</w:t>
      </w:r>
      <w:proofErr w:type="spellEnd"/>
      <w:r w:rsidRPr="0022376A">
        <w:rPr>
          <w:rFonts w:ascii="Arial Narrow" w:hAnsi="Arial Narrow"/>
          <w:sz w:val="18"/>
          <w:szCs w:val="18"/>
          <w:lang w:eastAsia="en-AU"/>
        </w:rPr>
        <w:t xml:space="preserve"> in advanced squamous cell non-small cell lung cancer (NSCLC) - 16</w:t>
      </w:r>
      <w:r w:rsidRPr="0022376A">
        <w:rPr>
          <w:rFonts w:ascii="Arial Narrow" w:hAnsi="Arial Narrow"/>
          <w:sz w:val="18"/>
          <w:szCs w:val="18"/>
          <w:vertAlign w:val="superscript"/>
          <w:lang w:eastAsia="en-AU"/>
        </w:rPr>
        <w:t>th</w:t>
      </w:r>
      <w:r w:rsidRPr="0022376A">
        <w:rPr>
          <w:rFonts w:ascii="Arial Narrow" w:hAnsi="Arial Narrow"/>
          <w:sz w:val="18"/>
          <w:szCs w:val="18"/>
          <w:lang w:eastAsia="en-AU"/>
        </w:rPr>
        <w:t xml:space="preserve"> World Conference on Lung Cancer, September 6 – 9, Denver, USA</w:t>
      </w:r>
    </w:p>
    <w:p w:rsidR="006115DB" w:rsidRDefault="006115DB" w:rsidP="005A3FEE">
      <w:pPr>
        <w:keepLines/>
        <w:ind w:left="709"/>
        <w:contextualSpacing/>
        <w:rPr>
          <w:rFonts w:ascii="Arial Narrow" w:hAnsi="Arial Narrow"/>
          <w:sz w:val="18"/>
          <w:szCs w:val="18"/>
          <w:lang w:eastAsia="en-AU"/>
        </w:rPr>
      </w:pPr>
      <w:r w:rsidRPr="007D10BB">
        <w:rPr>
          <w:rFonts w:ascii="Arial Narrow" w:hAnsi="Arial Narrow"/>
          <w:i/>
          <w:sz w:val="18"/>
          <w:szCs w:val="18"/>
          <w:vertAlign w:val="superscript"/>
          <w:lang w:eastAsia="en-AU"/>
        </w:rPr>
        <w:t>2</w:t>
      </w:r>
      <w:r w:rsidR="005A3FEE">
        <w:rPr>
          <w:rFonts w:ascii="Arial Narrow" w:hAnsi="Arial Narrow"/>
          <w:i/>
          <w:sz w:val="18"/>
          <w:szCs w:val="18"/>
          <w:vertAlign w:val="superscript"/>
          <w:lang w:eastAsia="en-AU"/>
        </w:rPr>
        <w:t xml:space="preserve"> </w:t>
      </w:r>
      <w:r w:rsidRPr="005E6E19">
        <w:rPr>
          <w:rFonts w:ascii="Arial Narrow" w:hAnsi="Arial Narrow"/>
          <w:sz w:val="18"/>
          <w:szCs w:val="18"/>
          <w:lang w:eastAsia="en-AU"/>
        </w:rPr>
        <w:t>Based on the 199 observed deaths and O’Brien-Fleming alpha spending function, the nominal significance level for declaring OS superiority during the pre-planned interim analysis was p&lt;0.0315, and therefore a 96.85% CI for the OS HR (CA209-017 CSR, p98).</w:t>
      </w:r>
    </w:p>
    <w:p w:rsidR="006115DB" w:rsidRPr="00506307" w:rsidRDefault="006115DB" w:rsidP="005A3FEE">
      <w:pPr>
        <w:keepLines/>
        <w:ind w:left="709"/>
        <w:contextualSpacing/>
        <w:rPr>
          <w:rFonts w:ascii="Arial Narrow" w:hAnsi="Arial Narrow"/>
          <w:sz w:val="18"/>
          <w:szCs w:val="18"/>
          <w:lang w:eastAsia="en-AU"/>
        </w:rPr>
      </w:pPr>
      <w:r>
        <w:rPr>
          <w:rFonts w:ascii="Arial Narrow" w:hAnsi="Arial Narrow"/>
          <w:sz w:val="18"/>
          <w:szCs w:val="18"/>
          <w:lang w:eastAsia="en-AU"/>
        </w:rPr>
        <w:t>CSR</w:t>
      </w:r>
      <w:r w:rsidR="005A3FEE">
        <w:rPr>
          <w:rFonts w:ascii="Arial Narrow" w:hAnsi="Arial Narrow"/>
          <w:sz w:val="18"/>
          <w:szCs w:val="18"/>
          <w:lang w:eastAsia="en-AU"/>
        </w:rPr>
        <w:t>=</w:t>
      </w:r>
      <w:r>
        <w:rPr>
          <w:rFonts w:ascii="Arial Narrow" w:hAnsi="Arial Narrow"/>
          <w:sz w:val="18"/>
          <w:szCs w:val="18"/>
          <w:lang w:eastAsia="en-AU"/>
        </w:rPr>
        <w:t xml:space="preserve">clinical study report; </w:t>
      </w:r>
      <w:r w:rsidR="005A3FEE">
        <w:rPr>
          <w:rFonts w:ascii="Arial Narrow" w:hAnsi="Arial Narrow"/>
          <w:sz w:val="18"/>
          <w:szCs w:val="18"/>
          <w:lang w:eastAsia="en-AU"/>
        </w:rPr>
        <w:t>CI=confidence interval; HR=</w:t>
      </w:r>
      <w:r w:rsidRPr="00506307">
        <w:rPr>
          <w:rFonts w:ascii="Arial Narrow" w:hAnsi="Arial Narrow"/>
          <w:sz w:val="18"/>
          <w:szCs w:val="18"/>
          <w:lang w:eastAsia="en-AU"/>
        </w:rPr>
        <w:t>hazard ratio</w:t>
      </w:r>
    </w:p>
    <w:p w:rsidR="006115DB" w:rsidRPr="00506307" w:rsidRDefault="006115DB" w:rsidP="005A3FEE">
      <w:pPr>
        <w:ind w:left="709"/>
        <w:rPr>
          <w:rFonts w:ascii="Arial Narrow" w:hAnsi="Arial Narrow"/>
          <w:sz w:val="18"/>
          <w:szCs w:val="18"/>
          <w:lang w:eastAsia="ja-JP"/>
        </w:rPr>
      </w:pPr>
      <w:r w:rsidRPr="00506307">
        <w:rPr>
          <w:rFonts w:ascii="Arial Narrow" w:hAnsi="Arial Narrow"/>
          <w:sz w:val="18"/>
          <w:szCs w:val="18"/>
          <w:lang w:eastAsia="en-AU"/>
        </w:rPr>
        <w:t xml:space="preserve">Source: </w:t>
      </w:r>
      <w:r w:rsidRPr="00506307">
        <w:rPr>
          <w:rFonts w:ascii="Arial Narrow" w:hAnsi="Arial Narrow"/>
          <w:sz w:val="18"/>
          <w:szCs w:val="18"/>
          <w:lang w:eastAsia="ja-JP"/>
        </w:rPr>
        <w:t>Table 24, p58 of the main submission.</w:t>
      </w:r>
    </w:p>
    <w:p w:rsidR="006115DB" w:rsidRDefault="006115DB" w:rsidP="006115DB"/>
    <w:p w:rsidR="006115DB" w:rsidRDefault="006115DB" w:rsidP="00845EA8">
      <w:pPr>
        <w:pStyle w:val="Caption"/>
        <w:ind w:left="709"/>
        <w:jc w:val="left"/>
      </w:pPr>
      <w:r>
        <w:t xml:space="preserve">Figure 1: CA209-017 - Kaplan-Meier curves for </w:t>
      </w:r>
      <w:r w:rsidR="00845EA8">
        <w:t>overall s</w:t>
      </w:r>
      <w:r>
        <w:t>urvival (minimum 18 months follow-up)</w:t>
      </w:r>
    </w:p>
    <w:p w:rsidR="006115DB" w:rsidRPr="00EC776B" w:rsidRDefault="006115DB" w:rsidP="005A3FEE">
      <w:pPr>
        <w:ind w:left="709"/>
        <w:rPr>
          <w:rFonts w:ascii="Arial Narrow" w:hAnsi="Arial Narrow"/>
          <w:sz w:val="18"/>
          <w:szCs w:val="18"/>
        </w:rPr>
      </w:pPr>
      <w:r>
        <w:rPr>
          <w:noProof/>
          <w:snapToGrid/>
          <w:lang w:eastAsia="en-AU"/>
        </w:rPr>
        <w:drawing>
          <wp:inline distT="0" distB="0" distL="0" distR="0" wp14:anchorId="30C059F7" wp14:editId="5E481D4A">
            <wp:extent cx="5374256" cy="2429572"/>
            <wp:effectExtent l="0" t="0" r="0" b="8890"/>
            <wp:docPr id="16" name="Picture 16" title="Figure 1: CA209-017 - Kaplan-Meier curves for overall survival (minimum 18 months follo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6928" cy="2430780"/>
                    </a:xfrm>
                    <a:prstGeom prst="rect">
                      <a:avLst/>
                    </a:prstGeom>
                    <a:noFill/>
                    <a:ln>
                      <a:noFill/>
                    </a:ln>
                  </pic:spPr>
                </pic:pic>
              </a:graphicData>
            </a:graphic>
          </wp:inline>
        </w:drawing>
      </w:r>
      <w:r>
        <w:rPr>
          <w:rFonts w:ascii="Arial Narrow" w:hAnsi="Arial Narrow"/>
          <w:sz w:val="18"/>
          <w:szCs w:val="18"/>
        </w:rPr>
        <w:t>Source: Figure 8, p59 of the main submission.</w:t>
      </w:r>
    </w:p>
    <w:p w:rsidR="006115DB" w:rsidRDefault="006115DB" w:rsidP="005A3FEE"/>
    <w:p w:rsidR="00992D38" w:rsidRDefault="00992D38">
      <w:pPr>
        <w:widowControl/>
        <w:jc w:val="left"/>
        <w:rPr>
          <w:rFonts w:ascii="Arial Narrow" w:hAnsi="Arial Narrow"/>
          <w:b/>
          <w:bCs/>
          <w:sz w:val="20"/>
          <w:szCs w:val="18"/>
        </w:rPr>
      </w:pPr>
      <w:r>
        <w:br w:type="page"/>
      </w:r>
    </w:p>
    <w:p w:rsidR="006115DB" w:rsidRPr="00B30EE0" w:rsidRDefault="006115DB" w:rsidP="005A3FEE">
      <w:pPr>
        <w:pStyle w:val="Caption"/>
        <w:ind w:left="709"/>
        <w:rPr>
          <w:szCs w:val="20"/>
        </w:rPr>
      </w:pPr>
      <w:r>
        <w:lastRenderedPageBreak/>
        <w:t xml:space="preserve">Table 4: </w:t>
      </w:r>
      <w:r>
        <w:rPr>
          <w:szCs w:val="20"/>
        </w:rPr>
        <w:t xml:space="preserve">CA209-017 - Kaplan-Meier </w:t>
      </w:r>
      <w:r w:rsidR="00845EA8">
        <w:rPr>
          <w:szCs w:val="20"/>
        </w:rPr>
        <w:t>overall survival</w:t>
      </w:r>
      <w:r>
        <w:rPr>
          <w:szCs w:val="20"/>
        </w:rPr>
        <w:t xml:space="preserve"> rates</w:t>
      </w:r>
      <w:r w:rsidRPr="00B30EE0">
        <w:rPr>
          <w:szCs w:val="20"/>
        </w:rPr>
        <w:t xml:space="preserve"> at 6, 12 and 18 months</w:t>
      </w:r>
    </w:p>
    <w:tbl>
      <w:tblPr>
        <w:tblStyle w:val="TableGrid1"/>
        <w:tblW w:w="4558" w:type="pct"/>
        <w:tblInd w:w="817" w:type="dxa"/>
        <w:tblLook w:val="04A0" w:firstRow="1" w:lastRow="0" w:firstColumn="1" w:lastColumn="0" w:noHBand="0" w:noVBand="1"/>
        <w:tblCaption w:val="Table 4: CA209-017 - Kaplan-Meier overall survival rates at 6, 12 and 18 months"/>
      </w:tblPr>
      <w:tblGrid>
        <w:gridCol w:w="1841"/>
        <w:gridCol w:w="1136"/>
        <w:gridCol w:w="991"/>
        <w:gridCol w:w="1136"/>
        <w:gridCol w:w="1132"/>
        <w:gridCol w:w="1136"/>
        <w:gridCol w:w="1053"/>
      </w:tblGrid>
      <w:tr w:rsidR="006115DB" w:rsidRPr="00B30EE0" w:rsidTr="0036260F">
        <w:trPr>
          <w:trHeight w:val="20"/>
          <w:tblHeader/>
        </w:trPr>
        <w:tc>
          <w:tcPr>
            <w:tcW w:w="1093" w:type="pct"/>
            <w:vMerge w:val="restart"/>
          </w:tcPr>
          <w:p w:rsidR="006115DB" w:rsidRPr="00B30EE0" w:rsidRDefault="006115DB" w:rsidP="004E7393">
            <w:pPr>
              <w:pStyle w:val="TableText0"/>
              <w:keepLines/>
              <w:widowControl w:val="0"/>
              <w:spacing w:before="0" w:after="0"/>
            </w:pPr>
          </w:p>
        </w:tc>
        <w:tc>
          <w:tcPr>
            <w:tcW w:w="1262" w:type="pct"/>
            <w:gridSpan w:val="2"/>
          </w:tcPr>
          <w:p w:rsidR="006115DB" w:rsidRPr="00B30EE0" w:rsidRDefault="006115DB" w:rsidP="004E7393">
            <w:pPr>
              <w:pStyle w:val="TableText0"/>
              <w:keepLines/>
              <w:widowControl w:val="0"/>
              <w:spacing w:before="0" w:after="0"/>
              <w:jc w:val="center"/>
              <w:rPr>
                <w:b/>
              </w:rPr>
            </w:pPr>
            <w:r w:rsidRPr="00B30EE0">
              <w:rPr>
                <w:b/>
              </w:rPr>
              <w:t>6 months</w:t>
            </w:r>
          </w:p>
        </w:tc>
        <w:tc>
          <w:tcPr>
            <w:tcW w:w="1346" w:type="pct"/>
            <w:gridSpan w:val="2"/>
          </w:tcPr>
          <w:p w:rsidR="006115DB" w:rsidRPr="00B30EE0" w:rsidRDefault="006115DB" w:rsidP="004E7393">
            <w:pPr>
              <w:pStyle w:val="TableText0"/>
              <w:keepLines/>
              <w:widowControl w:val="0"/>
              <w:spacing w:before="0" w:after="0"/>
              <w:jc w:val="center"/>
              <w:rPr>
                <w:b/>
              </w:rPr>
            </w:pPr>
            <w:r w:rsidRPr="00B30EE0">
              <w:rPr>
                <w:b/>
              </w:rPr>
              <w:t>12 months</w:t>
            </w:r>
          </w:p>
        </w:tc>
        <w:tc>
          <w:tcPr>
            <w:tcW w:w="1299" w:type="pct"/>
            <w:gridSpan w:val="2"/>
          </w:tcPr>
          <w:p w:rsidR="006115DB" w:rsidRPr="00B30EE0" w:rsidRDefault="006115DB" w:rsidP="004E7393">
            <w:pPr>
              <w:pStyle w:val="TableText0"/>
              <w:keepLines/>
              <w:widowControl w:val="0"/>
              <w:spacing w:before="0" w:after="0"/>
              <w:jc w:val="center"/>
              <w:rPr>
                <w:b/>
              </w:rPr>
            </w:pPr>
            <w:r w:rsidRPr="00B30EE0">
              <w:rPr>
                <w:b/>
              </w:rPr>
              <w:t>18 months</w:t>
            </w:r>
          </w:p>
        </w:tc>
      </w:tr>
      <w:tr w:rsidR="005A3FEE" w:rsidRPr="00B30EE0" w:rsidTr="0036260F">
        <w:trPr>
          <w:trHeight w:val="20"/>
          <w:tblHeader/>
        </w:trPr>
        <w:tc>
          <w:tcPr>
            <w:tcW w:w="1093" w:type="pct"/>
            <w:vMerge/>
          </w:tcPr>
          <w:p w:rsidR="006115DB" w:rsidRPr="00B30EE0" w:rsidRDefault="006115DB" w:rsidP="004E7393">
            <w:pPr>
              <w:pStyle w:val="TableText0"/>
              <w:keepLines/>
              <w:widowControl w:val="0"/>
              <w:spacing w:before="0" w:after="0"/>
            </w:pPr>
          </w:p>
        </w:tc>
        <w:tc>
          <w:tcPr>
            <w:tcW w:w="674" w:type="pct"/>
          </w:tcPr>
          <w:p w:rsidR="006115DB" w:rsidRPr="00B30EE0" w:rsidRDefault="006115DB" w:rsidP="004E7393">
            <w:pPr>
              <w:pStyle w:val="TableText0"/>
              <w:keepLines/>
              <w:widowControl w:val="0"/>
              <w:spacing w:before="0" w:after="0"/>
              <w:jc w:val="center"/>
              <w:rPr>
                <w:b/>
              </w:rPr>
            </w:pPr>
            <w:r w:rsidRPr="00B30EE0">
              <w:rPr>
                <w:b/>
              </w:rPr>
              <w:t>NIVO</w:t>
            </w:r>
          </w:p>
        </w:tc>
        <w:tc>
          <w:tcPr>
            <w:tcW w:w="588" w:type="pct"/>
          </w:tcPr>
          <w:p w:rsidR="006115DB" w:rsidRPr="00B30EE0" w:rsidRDefault="006115DB" w:rsidP="004E7393">
            <w:pPr>
              <w:pStyle w:val="TableText0"/>
              <w:keepLines/>
              <w:widowControl w:val="0"/>
              <w:spacing w:before="0" w:after="0"/>
              <w:jc w:val="center"/>
              <w:rPr>
                <w:b/>
              </w:rPr>
            </w:pPr>
            <w:r w:rsidRPr="00B30EE0">
              <w:rPr>
                <w:b/>
              </w:rPr>
              <w:t>DOC</w:t>
            </w:r>
          </w:p>
        </w:tc>
        <w:tc>
          <w:tcPr>
            <w:tcW w:w="674" w:type="pct"/>
          </w:tcPr>
          <w:p w:rsidR="006115DB" w:rsidRPr="00B30EE0" w:rsidRDefault="006115DB" w:rsidP="004E7393">
            <w:pPr>
              <w:pStyle w:val="TableText0"/>
              <w:keepLines/>
              <w:widowControl w:val="0"/>
              <w:spacing w:before="0" w:after="0"/>
              <w:jc w:val="center"/>
              <w:rPr>
                <w:b/>
              </w:rPr>
            </w:pPr>
            <w:r w:rsidRPr="00B30EE0">
              <w:rPr>
                <w:b/>
              </w:rPr>
              <w:t>NIVO</w:t>
            </w:r>
          </w:p>
        </w:tc>
        <w:tc>
          <w:tcPr>
            <w:tcW w:w="672" w:type="pct"/>
          </w:tcPr>
          <w:p w:rsidR="006115DB" w:rsidRPr="00B30EE0" w:rsidRDefault="006115DB" w:rsidP="004E7393">
            <w:pPr>
              <w:pStyle w:val="TableText0"/>
              <w:keepLines/>
              <w:widowControl w:val="0"/>
              <w:spacing w:before="0" w:after="0"/>
              <w:jc w:val="center"/>
              <w:rPr>
                <w:b/>
              </w:rPr>
            </w:pPr>
            <w:r w:rsidRPr="00B30EE0">
              <w:rPr>
                <w:b/>
              </w:rPr>
              <w:t>DOC</w:t>
            </w:r>
          </w:p>
        </w:tc>
        <w:tc>
          <w:tcPr>
            <w:tcW w:w="674" w:type="pct"/>
          </w:tcPr>
          <w:p w:rsidR="006115DB" w:rsidRPr="00B30EE0" w:rsidRDefault="006115DB" w:rsidP="004E7393">
            <w:pPr>
              <w:pStyle w:val="TableText0"/>
              <w:keepLines/>
              <w:widowControl w:val="0"/>
              <w:spacing w:before="0" w:after="0"/>
              <w:jc w:val="center"/>
              <w:rPr>
                <w:b/>
              </w:rPr>
            </w:pPr>
            <w:r w:rsidRPr="00B30EE0">
              <w:rPr>
                <w:b/>
              </w:rPr>
              <w:t>NIVO</w:t>
            </w:r>
          </w:p>
        </w:tc>
        <w:tc>
          <w:tcPr>
            <w:tcW w:w="626" w:type="pct"/>
          </w:tcPr>
          <w:p w:rsidR="006115DB" w:rsidRPr="00B30EE0" w:rsidRDefault="006115DB" w:rsidP="004E7393">
            <w:pPr>
              <w:pStyle w:val="TableText0"/>
              <w:keepLines/>
              <w:widowControl w:val="0"/>
              <w:spacing w:before="0" w:after="0"/>
              <w:jc w:val="center"/>
              <w:rPr>
                <w:b/>
              </w:rPr>
            </w:pPr>
            <w:r w:rsidRPr="00B30EE0">
              <w:rPr>
                <w:b/>
              </w:rPr>
              <w:t>DOC</w:t>
            </w:r>
          </w:p>
        </w:tc>
      </w:tr>
      <w:tr w:rsidR="005A3FEE" w:rsidRPr="00B30EE0" w:rsidTr="005A3FEE">
        <w:trPr>
          <w:trHeight w:val="20"/>
        </w:trPr>
        <w:tc>
          <w:tcPr>
            <w:tcW w:w="1093" w:type="pct"/>
          </w:tcPr>
          <w:p w:rsidR="006115DB" w:rsidRPr="00B30EE0" w:rsidRDefault="006115DB" w:rsidP="004E7393">
            <w:pPr>
              <w:pStyle w:val="TableText0"/>
              <w:keepLines/>
              <w:widowControl w:val="0"/>
              <w:spacing w:before="0" w:after="0"/>
            </w:pPr>
            <w:r w:rsidRPr="00B30EE0">
              <w:t>N</w:t>
            </w:r>
          </w:p>
        </w:tc>
        <w:tc>
          <w:tcPr>
            <w:tcW w:w="674" w:type="pct"/>
          </w:tcPr>
          <w:p w:rsidR="006115DB" w:rsidRPr="00B30EE0" w:rsidRDefault="006115DB" w:rsidP="004E7393">
            <w:pPr>
              <w:pStyle w:val="TableText0"/>
              <w:keepLines/>
              <w:widowControl w:val="0"/>
              <w:spacing w:before="0" w:after="0"/>
              <w:jc w:val="center"/>
            </w:pPr>
            <w:r w:rsidRPr="00B30EE0">
              <w:t>135</w:t>
            </w:r>
          </w:p>
        </w:tc>
        <w:tc>
          <w:tcPr>
            <w:tcW w:w="588" w:type="pct"/>
          </w:tcPr>
          <w:p w:rsidR="006115DB" w:rsidRPr="00B30EE0" w:rsidRDefault="006115DB" w:rsidP="004E7393">
            <w:pPr>
              <w:pStyle w:val="TableText0"/>
              <w:keepLines/>
              <w:widowControl w:val="0"/>
              <w:spacing w:before="0" w:after="0"/>
              <w:jc w:val="center"/>
            </w:pPr>
            <w:r w:rsidRPr="00B30EE0">
              <w:t>137</w:t>
            </w:r>
          </w:p>
        </w:tc>
        <w:tc>
          <w:tcPr>
            <w:tcW w:w="674" w:type="pct"/>
          </w:tcPr>
          <w:p w:rsidR="006115DB" w:rsidRPr="00B30EE0" w:rsidRDefault="006115DB" w:rsidP="004E7393">
            <w:pPr>
              <w:pStyle w:val="TableText0"/>
              <w:keepLines/>
              <w:widowControl w:val="0"/>
              <w:spacing w:before="0" w:after="0"/>
              <w:jc w:val="center"/>
            </w:pPr>
            <w:r w:rsidRPr="00B30EE0">
              <w:t>135</w:t>
            </w:r>
          </w:p>
        </w:tc>
        <w:tc>
          <w:tcPr>
            <w:tcW w:w="672" w:type="pct"/>
          </w:tcPr>
          <w:p w:rsidR="006115DB" w:rsidRPr="00B30EE0" w:rsidRDefault="006115DB" w:rsidP="004E7393">
            <w:pPr>
              <w:pStyle w:val="TableText0"/>
              <w:keepLines/>
              <w:widowControl w:val="0"/>
              <w:spacing w:before="0" w:after="0"/>
              <w:jc w:val="center"/>
            </w:pPr>
            <w:r w:rsidRPr="00B30EE0">
              <w:t>137</w:t>
            </w:r>
          </w:p>
        </w:tc>
        <w:tc>
          <w:tcPr>
            <w:tcW w:w="674" w:type="pct"/>
          </w:tcPr>
          <w:p w:rsidR="006115DB" w:rsidRPr="00B30EE0" w:rsidRDefault="006115DB" w:rsidP="004E7393">
            <w:pPr>
              <w:pStyle w:val="TableText0"/>
              <w:keepLines/>
              <w:widowControl w:val="0"/>
              <w:spacing w:before="0" w:after="0"/>
              <w:jc w:val="center"/>
            </w:pPr>
            <w:r w:rsidRPr="00B30EE0">
              <w:t>135</w:t>
            </w:r>
          </w:p>
        </w:tc>
        <w:tc>
          <w:tcPr>
            <w:tcW w:w="626" w:type="pct"/>
          </w:tcPr>
          <w:p w:rsidR="006115DB" w:rsidRPr="00B30EE0" w:rsidRDefault="006115DB" w:rsidP="004E7393">
            <w:pPr>
              <w:pStyle w:val="TableText0"/>
              <w:keepLines/>
              <w:widowControl w:val="0"/>
              <w:spacing w:before="0" w:after="0"/>
              <w:jc w:val="center"/>
            </w:pPr>
            <w:r w:rsidRPr="00B30EE0">
              <w:t>137</w:t>
            </w:r>
          </w:p>
        </w:tc>
      </w:tr>
      <w:tr w:rsidR="006115DB" w:rsidRPr="00B30EE0" w:rsidTr="005A3FEE">
        <w:trPr>
          <w:trHeight w:val="57"/>
        </w:trPr>
        <w:tc>
          <w:tcPr>
            <w:tcW w:w="1093" w:type="pct"/>
          </w:tcPr>
          <w:p w:rsidR="006115DB" w:rsidRPr="00B30EE0" w:rsidRDefault="006115DB" w:rsidP="004E7393">
            <w:pPr>
              <w:pStyle w:val="TableText0"/>
              <w:keepLines/>
              <w:widowControl w:val="0"/>
              <w:spacing w:before="0" w:after="0"/>
            </w:pPr>
            <w:r w:rsidRPr="00B30EE0">
              <w:t>Database lock</w:t>
            </w:r>
          </w:p>
        </w:tc>
        <w:tc>
          <w:tcPr>
            <w:tcW w:w="2608" w:type="pct"/>
            <w:gridSpan w:val="4"/>
          </w:tcPr>
          <w:p w:rsidR="006115DB" w:rsidRPr="00B30EE0" w:rsidRDefault="006115DB" w:rsidP="004E7393">
            <w:pPr>
              <w:pStyle w:val="TableText0"/>
              <w:keepLines/>
              <w:widowControl w:val="0"/>
              <w:spacing w:before="0" w:after="0"/>
              <w:jc w:val="center"/>
            </w:pPr>
            <w:r w:rsidRPr="00B30EE0">
              <w:rPr>
                <w:lang w:eastAsia="ja-JP"/>
              </w:rPr>
              <w:t>15 December 2014</w:t>
            </w:r>
          </w:p>
        </w:tc>
        <w:tc>
          <w:tcPr>
            <w:tcW w:w="1299" w:type="pct"/>
            <w:gridSpan w:val="2"/>
          </w:tcPr>
          <w:p w:rsidR="006115DB" w:rsidRPr="00B30EE0" w:rsidRDefault="006115DB" w:rsidP="004E7393">
            <w:pPr>
              <w:pStyle w:val="TableText0"/>
              <w:keepLines/>
              <w:widowControl w:val="0"/>
              <w:spacing w:before="0" w:after="0"/>
              <w:jc w:val="center"/>
            </w:pPr>
            <w:r w:rsidRPr="00B30EE0">
              <w:t>August 2015</w:t>
            </w:r>
          </w:p>
        </w:tc>
      </w:tr>
      <w:tr w:rsidR="005A3FEE" w:rsidRPr="00B30EE0" w:rsidTr="005A3FEE">
        <w:trPr>
          <w:trHeight w:val="20"/>
        </w:trPr>
        <w:tc>
          <w:tcPr>
            <w:tcW w:w="1093" w:type="pct"/>
          </w:tcPr>
          <w:p w:rsidR="006115DB" w:rsidRPr="00B30EE0" w:rsidRDefault="006115DB" w:rsidP="004E7393">
            <w:pPr>
              <w:pStyle w:val="TableText0"/>
              <w:keepLines/>
              <w:widowControl w:val="0"/>
              <w:spacing w:before="0" w:after="0"/>
            </w:pPr>
            <w:r w:rsidRPr="00B30EE0">
              <w:t>Estimated n</w:t>
            </w:r>
            <w:r w:rsidR="005A3FEE">
              <w:t>umber</w:t>
            </w:r>
            <w:r w:rsidRPr="00B30EE0">
              <w:t xml:space="preserve"> of patients alive</w:t>
            </w:r>
            <w:r w:rsidR="00857A5E">
              <w:t xml:space="preserve"> </w:t>
            </w:r>
            <w:r w:rsidR="00857A5E" w:rsidRPr="00857A5E">
              <w:rPr>
                <w:vertAlign w:val="superscript"/>
              </w:rPr>
              <w:t>a</w:t>
            </w:r>
            <w:r w:rsidRPr="00B30EE0">
              <w:t xml:space="preserve">: </w:t>
            </w:r>
            <w:r>
              <w:t>n</w:t>
            </w:r>
            <w:r w:rsidRPr="00B30EE0">
              <w:t xml:space="preserve"> </w:t>
            </w:r>
            <w:r>
              <w:t>(</w:t>
            </w:r>
            <w:r w:rsidRPr="00B30EE0">
              <w:t>%</w:t>
            </w:r>
            <w:r>
              <w:t>)</w:t>
            </w:r>
          </w:p>
          <w:p w:rsidR="006115DB" w:rsidRPr="00B30EE0" w:rsidRDefault="006115DB" w:rsidP="004E7393">
            <w:pPr>
              <w:pStyle w:val="TableText0"/>
              <w:keepLines/>
              <w:widowControl w:val="0"/>
              <w:spacing w:before="0" w:after="0"/>
            </w:pPr>
            <w:r w:rsidRPr="00B30EE0">
              <w:t>[95% CI]</w:t>
            </w:r>
          </w:p>
        </w:tc>
        <w:tc>
          <w:tcPr>
            <w:tcW w:w="674" w:type="pct"/>
          </w:tcPr>
          <w:p w:rsidR="00857A5E" w:rsidRDefault="00857A5E" w:rsidP="004E7393">
            <w:pPr>
              <w:pStyle w:val="TableText0"/>
              <w:keepLines/>
              <w:widowControl w:val="0"/>
              <w:spacing w:before="0" w:after="0"/>
              <w:jc w:val="center"/>
            </w:pPr>
          </w:p>
          <w:p w:rsidR="006115DB" w:rsidRPr="00B30EE0" w:rsidRDefault="006115DB" w:rsidP="004E7393">
            <w:pPr>
              <w:pStyle w:val="TableText0"/>
              <w:keepLines/>
              <w:widowControl w:val="0"/>
              <w:spacing w:before="0" w:after="0"/>
              <w:jc w:val="center"/>
            </w:pPr>
            <w:r w:rsidRPr="00B30EE0">
              <w:t>86</w:t>
            </w:r>
            <w:r>
              <w:t xml:space="preserve"> (</w:t>
            </w:r>
            <w:r w:rsidRPr="00B30EE0">
              <w:t>63.7</w:t>
            </w:r>
            <w:r>
              <w:t>)</w:t>
            </w:r>
          </w:p>
          <w:p w:rsidR="006115DB" w:rsidRPr="00B30EE0" w:rsidRDefault="006115DB" w:rsidP="004E7393">
            <w:pPr>
              <w:pStyle w:val="TableText0"/>
              <w:keepLines/>
              <w:widowControl w:val="0"/>
              <w:spacing w:before="0" w:after="0"/>
              <w:jc w:val="center"/>
            </w:pPr>
            <w:r w:rsidRPr="00B30EE0">
              <w:t>[NR, NR]</w:t>
            </w:r>
          </w:p>
        </w:tc>
        <w:tc>
          <w:tcPr>
            <w:tcW w:w="588" w:type="pct"/>
          </w:tcPr>
          <w:p w:rsidR="00857A5E" w:rsidRDefault="00857A5E" w:rsidP="004E7393">
            <w:pPr>
              <w:pStyle w:val="TableText0"/>
              <w:keepLines/>
              <w:widowControl w:val="0"/>
              <w:spacing w:before="0" w:after="0"/>
              <w:jc w:val="center"/>
            </w:pPr>
          </w:p>
          <w:p w:rsidR="006115DB" w:rsidRPr="00B30EE0" w:rsidRDefault="006115DB" w:rsidP="004E7393">
            <w:pPr>
              <w:pStyle w:val="TableText0"/>
              <w:keepLines/>
              <w:widowControl w:val="0"/>
              <w:spacing w:before="0" w:after="0"/>
              <w:jc w:val="center"/>
            </w:pPr>
            <w:r w:rsidRPr="00B30EE0">
              <w:t>69</w:t>
            </w:r>
            <w:r>
              <w:t xml:space="preserve"> (</w:t>
            </w:r>
            <w:r w:rsidRPr="00B30EE0">
              <w:t>50.4</w:t>
            </w:r>
            <w:r>
              <w:t>)</w:t>
            </w:r>
          </w:p>
          <w:p w:rsidR="006115DB" w:rsidRPr="00B30EE0" w:rsidRDefault="006115DB" w:rsidP="004E7393">
            <w:pPr>
              <w:pStyle w:val="TableText0"/>
              <w:keepLines/>
              <w:widowControl w:val="0"/>
              <w:spacing w:before="0" w:after="0"/>
              <w:jc w:val="center"/>
            </w:pPr>
            <w:r w:rsidRPr="00B30EE0">
              <w:t>[NR, NR]]</w:t>
            </w:r>
          </w:p>
        </w:tc>
        <w:tc>
          <w:tcPr>
            <w:tcW w:w="674" w:type="pct"/>
          </w:tcPr>
          <w:p w:rsidR="00857A5E" w:rsidRDefault="00857A5E" w:rsidP="004E7393">
            <w:pPr>
              <w:pStyle w:val="TableText0"/>
              <w:keepLines/>
              <w:widowControl w:val="0"/>
              <w:spacing w:before="0" w:after="0"/>
              <w:jc w:val="center"/>
            </w:pPr>
          </w:p>
          <w:p w:rsidR="006115DB" w:rsidRPr="00B30EE0" w:rsidRDefault="006115DB" w:rsidP="004E7393">
            <w:pPr>
              <w:pStyle w:val="TableText0"/>
              <w:keepLines/>
              <w:widowControl w:val="0"/>
              <w:spacing w:before="0" w:after="0"/>
              <w:jc w:val="center"/>
            </w:pPr>
            <w:r w:rsidRPr="00B30EE0">
              <w:t>57</w:t>
            </w:r>
            <w:r>
              <w:t xml:space="preserve"> (</w:t>
            </w:r>
            <w:r w:rsidRPr="00B30EE0">
              <w:t>42.1</w:t>
            </w:r>
            <w:r>
              <w:t>)</w:t>
            </w:r>
          </w:p>
          <w:p w:rsidR="006115DB" w:rsidRPr="00B30EE0" w:rsidRDefault="006115DB" w:rsidP="004E7393">
            <w:pPr>
              <w:pStyle w:val="TableText0"/>
              <w:keepLines/>
              <w:widowControl w:val="0"/>
              <w:spacing w:before="0" w:after="0"/>
              <w:jc w:val="center"/>
            </w:pPr>
            <w:r w:rsidRPr="00B30EE0">
              <w:t>[33.7, 50.3]</w:t>
            </w:r>
          </w:p>
        </w:tc>
        <w:tc>
          <w:tcPr>
            <w:tcW w:w="672" w:type="pct"/>
          </w:tcPr>
          <w:p w:rsidR="00857A5E" w:rsidRDefault="00857A5E" w:rsidP="004E7393">
            <w:pPr>
              <w:pStyle w:val="TableText0"/>
              <w:keepLines/>
              <w:widowControl w:val="0"/>
              <w:spacing w:before="0" w:after="0"/>
              <w:jc w:val="center"/>
            </w:pPr>
          </w:p>
          <w:p w:rsidR="006115DB" w:rsidRPr="00B30EE0" w:rsidRDefault="006115DB" w:rsidP="004E7393">
            <w:pPr>
              <w:pStyle w:val="TableText0"/>
              <w:keepLines/>
              <w:widowControl w:val="0"/>
              <w:spacing w:before="0" w:after="0"/>
              <w:jc w:val="center"/>
            </w:pPr>
            <w:r w:rsidRPr="00B30EE0">
              <w:t>32</w:t>
            </w:r>
            <w:r>
              <w:t xml:space="preserve"> (</w:t>
            </w:r>
            <w:r w:rsidRPr="00B30EE0">
              <w:t>23.7</w:t>
            </w:r>
            <w:r>
              <w:t>)</w:t>
            </w:r>
          </w:p>
          <w:p w:rsidR="006115DB" w:rsidRPr="00B30EE0" w:rsidRDefault="006115DB" w:rsidP="004E7393">
            <w:pPr>
              <w:pStyle w:val="TableText0"/>
              <w:keepLines/>
              <w:widowControl w:val="0"/>
              <w:spacing w:before="0" w:after="0"/>
              <w:jc w:val="center"/>
            </w:pPr>
            <w:r w:rsidRPr="00B30EE0">
              <w:t>[16.9, 31.1]</w:t>
            </w:r>
          </w:p>
        </w:tc>
        <w:tc>
          <w:tcPr>
            <w:tcW w:w="674" w:type="pct"/>
          </w:tcPr>
          <w:p w:rsidR="00857A5E" w:rsidRDefault="00857A5E" w:rsidP="004E7393">
            <w:pPr>
              <w:pStyle w:val="TableText0"/>
              <w:keepLines/>
              <w:widowControl w:val="0"/>
              <w:spacing w:before="0" w:after="0"/>
              <w:jc w:val="center"/>
            </w:pPr>
          </w:p>
          <w:p w:rsidR="006115DB" w:rsidRPr="00B30EE0" w:rsidRDefault="006115DB" w:rsidP="004E7393">
            <w:pPr>
              <w:pStyle w:val="TableText0"/>
              <w:keepLines/>
              <w:widowControl w:val="0"/>
              <w:spacing w:before="0" w:after="0"/>
              <w:jc w:val="center"/>
            </w:pPr>
            <w:r w:rsidRPr="00B30EE0">
              <w:t>38</w:t>
            </w:r>
            <w:r>
              <w:t xml:space="preserve"> (</w:t>
            </w:r>
            <w:r w:rsidRPr="00B30EE0">
              <w:t>28</w:t>
            </w:r>
            <w:r>
              <w:t>.0)</w:t>
            </w:r>
          </w:p>
          <w:p w:rsidR="006115DB" w:rsidRPr="00B30EE0" w:rsidRDefault="006115DB" w:rsidP="004E7393">
            <w:pPr>
              <w:pStyle w:val="TableText0"/>
              <w:keepLines/>
              <w:widowControl w:val="0"/>
              <w:spacing w:before="0" w:after="0"/>
              <w:jc w:val="center"/>
            </w:pPr>
            <w:r w:rsidRPr="00B30EE0">
              <w:t>[NR, NR]</w:t>
            </w:r>
          </w:p>
        </w:tc>
        <w:tc>
          <w:tcPr>
            <w:tcW w:w="626" w:type="pct"/>
          </w:tcPr>
          <w:p w:rsidR="00857A5E" w:rsidRDefault="00857A5E" w:rsidP="004E7393">
            <w:pPr>
              <w:pStyle w:val="TableText0"/>
              <w:keepLines/>
              <w:widowControl w:val="0"/>
              <w:spacing w:before="0" w:after="0"/>
              <w:jc w:val="center"/>
            </w:pPr>
          </w:p>
          <w:p w:rsidR="006115DB" w:rsidRPr="00B30EE0" w:rsidRDefault="006115DB" w:rsidP="004E7393">
            <w:pPr>
              <w:pStyle w:val="TableText0"/>
              <w:keepLines/>
              <w:widowControl w:val="0"/>
              <w:spacing w:before="0" w:after="0"/>
              <w:jc w:val="center"/>
            </w:pPr>
            <w:r w:rsidRPr="00B30EE0">
              <w:t>18</w:t>
            </w:r>
            <w:r>
              <w:t xml:space="preserve"> (</w:t>
            </w:r>
            <w:r w:rsidRPr="00B30EE0">
              <w:t>13</w:t>
            </w:r>
            <w:r>
              <w:t>.0)</w:t>
            </w:r>
          </w:p>
          <w:p w:rsidR="006115DB" w:rsidRPr="00B30EE0" w:rsidRDefault="006115DB" w:rsidP="004E7393">
            <w:pPr>
              <w:pStyle w:val="TableText0"/>
              <w:keepLines/>
              <w:widowControl w:val="0"/>
              <w:spacing w:before="0" w:after="0"/>
              <w:jc w:val="center"/>
            </w:pPr>
            <w:r w:rsidRPr="00B30EE0">
              <w:t>[NR, NR]</w:t>
            </w:r>
          </w:p>
        </w:tc>
      </w:tr>
      <w:tr w:rsidR="006115DB" w:rsidRPr="00B30EE0" w:rsidTr="005A3FEE">
        <w:trPr>
          <w:trHeight w:val="20"/>
        </w:trPr>
        <w:tc>
          <w:tcPr>
            <w:tcW w:w="1093" w:type="pct"/>
          </w:tcPr>
          <w:p w:rsidR="006115DB" w:rsidRPr="00B30EE0" w:rsidRDefault="006115DB" w:rsidP="004E7393">
            <w:pPr>
              <w:pStyle w:val="TableText1"/>
              <w:widowControl w:val="0"/>
              <w:spacing w:before="0" w:after="0"/>
              <w:jc w:val="left"/>
            </w:pPr>
            <w:r w:rsidRPr="00B30EE0">
              <w:t>OR [95% CI]; p-value</w:t>
            </w:r>
          </w:p>
        </w:tc>
        <w:tc>
          <w:tcPr>
            <w:tcW w:w="1262" w:type="pct"/>
            <w:gridSpan w:val="2"/>
          </w:tcPr>
          <w:p w:rsidR="006115DB" w:rsidRPr="00B30EE0" w:rsidRDefault="006115DB" w:rsidP="004E7393">
            <w:pPr>
              <w:pStyle w:val="TableText0"/>
              <w:keepLines/>
              <w:widowControl w:val="0"/>
              <w:spacing w:before="0" w:after="0"/>
              <w:jc w:val="center"/>
            </w:pPr>
            <w:r w:rsidRPr="00B30EE0">
              <w:t>1.73 [1.06, 2.81]; p=0.03</w:t>
            </w:r>
          </w:p>
        </w:tc>
        <w:tc>
          <w:tcPr>
            <w:tcW w:w="1346" w:type="pct"/>
            <w:gridSpan w:val="2"/>
          </w:tcPr>
          <w:p w:rsidR="006115DB" w:rsidRPr="00B30EE0" w:rsidRDefault="006115DB" w:rsidP="004E7393">
            <w:pPr>
              <w:pStyle w:val="TableText0"/>
              <w:keepLines/>
              <w:widowControl w:val="0"/>
              <w:spacing w:before="0" w:after="0"/>
              <w:jc w:val="center"/>
            </w:pPr>
            <w:r w:rsidRPr="00B30EE0">
              <w:t>2.40 [1.42, 4.04]; p=0.001</w:t>
            </w:r>
          </w:p>
        </w:tc>
        <w:tc>
          <w:tcPr>
            <w:tcW w:w="1299" w:type="pct"/>
            <w:gridSpan w:val="2"/>
          </w:tcPr>
          <w:p w:rsidR="006115DB" w:rsidRPr="00B30EE0" w:rsidRDefault="006115DB" w:rsidP="004E7393">
            <w:pPr>
              <w:pStyle w:val="TableText0"/>
              <w:keepLines/>
              <w:widowControl w:val="0"/>
              <w:spacing w:before="0" w:after="0"/>
              <w:jc w:val="center"/>
            </w:pPr>
            <w:r w:rsidRPr="00B30EE0">
              <w:t>2.59 [1.39, 4.82]; p=0.003</w:t>
            </w:r>
          </w:p>
        </w:tc>
      </w:tr>
      <w:tr w:rsidR="006115DB" w:rsidRPr="00B30EE0" w:rsidTr="005A3FEE">
        <w:trPr>
          <w:trHeight w:val="20"/>
        </w:trPr>
        <w:tc>
          <w:tcPr>
            <w:tcW w:w="1093" w:type="pct"/>
          </w:tcPr>
          <w:p w:rsidR="006115DB" w:rsidRPr="00B30EE0" w:rsidRDefault="006115DB" w:rsidP="004E7393">
            <w:pPr>
              <w:pStyle w:val="TableText1"/>
              <w:widowControl w:val="0"/>
              <w:spacing w:before="0" w:after="0"/>
              <w:jc w:val="left"/>
            </w:pPr>
            <w:r w:rsidRPr="00B30EE0">
              <w:t>RR [95% CI]; p-value</w:t>
            </w:r>
          </w:p>
        </w:tc>
        <w:tc>
          <w:tcPr>
            <w:tcW w:w="1262" w:type="pct"/>
            <w:gridSpan w:val="2"/>
          </w:tcPr>
          <w:p w:rsidR="006115DB" w:rsidRPr="00B30EE0" w:rsidRDefault="006115DB" w:rsidP="004E7393">
            <w:pPr>
              <w:pStyle w:val="TableText0"/>
              <w:keepLines/>
              <w:widowControl w:val="0"/>
              <w:spacing w:before="0" w:after="0"/>
              <w:jc w:val="center"/>
            </w:pPr>
            <w:r w:rsidRPr="00B30EE0">
              <w:t>1.26 [1.03, 1.56]; p=0.03</w:t>
            </w:r>
          </w:p>
        </w:tc>
        <w:tc>
          <w:tcPr>
            <w:tcW w:w="1346" w:type="pct"/>
            <w:gridSpan w:val="2"/>
          </w:tcPr>
          <w:p w:rsidR="006115DB" w:rsidRPr="00B30EE0" w:rsidRDefault="006115DB" w:rsidP="004E7393">
            <w:pPr>
              <w:pStyle w:val="TableText0"/>
              <w:keepLines/>
              <w:widowControl w:val="0"/>
              <w:spacing w:before="0" w:after="0"/>
              <w:jc w:val="center"/>
            </w:pPr>
            <w:r w:rsidRPr="00B30EE0">
              <w:t>1.81 [1.26, 2.60]; p=0.001</w:t>
            </w:r>
          </w:p>
        </w:tc>
        <w:tc>
          <w:tcPr>
            <w:tcW w:w="1299" w:type="pct"/>
            <w:gridSpan w:val="2"/>
          </w:tcPr>
          <w:p w:rsidR="006115DB" w:rsidRPr="00B30EE0" w:rsidRDefault="006115DB" w:rsidP="004E7393">
            <w:pPr>
              <w:pStyle w:val="TableText0"/>
              <w:keepLines/>
              <w:widowControl w:val="0"/>
              <w:spacing w:before="0" w:after="0"/>
              <w:jc w:val="center"/>
            </w:pPr>
            <w:r w:rsidRPr="00B30EE0">
              <w:t>2.14 [1.29, 3.56]; p=0.003</w:t>
            </w:r>
          </w:p>
        </w:tc>
      </w:tr>
      <w:tr w:rsidR="006115DB" w:rsidRPr="00B30EE0" w:rsidTr="005A3FEE">
        <w:trPr>
          <w:trHeight w:val="20"/>
        </w:trPr>
        <w:tc>
          <w:tcPr>
            <w:tcW w:w="1093" w:type="pct"/>
          </w:tcPr>
          <w:p w:rsidR="006115DB" w:rsidRPr="00B30EE0" w:rsidRDefault="006115DB" w:rsidP="004E7393">
            <w:pPr>
              <w:pStyle w:val="TableText1"/>
              <w:widowControl w:val="0"/>
              <w:spacing w:before="0" w:after="0"/>
              <w:jc w:val="left"/>
            </w:pPr>
            <w:r w:rsidRPr="00B30EE0">
              <w:t>RD [95% CI]; p-value</w:t>
            </w:r>
          </w:p>
        </w:tc>
        <w:tc>
          <w:tcPr>
            <w:tcW w:w="1262" w:type="pct"/>
            <w:gridSpan w:val="2"/>
          </w:tcPr>
          <w:p w:rsidR="006115DB" w:rsidRPr="00B30EE0" w:rsidRDefault="006115DB" w:rsidP="004E7393">
            <w:pPr>
              <w:pStyle w:val="TableText0"/>
              <w:keepLines/>
              <w:widowControl w:val="0"/>
              <w:spacing w:before="0" w:after="0"/>
              <w:jc w:val="center"/>
            </w:pPr>
            <w:r w:rsidRPr="00B30EE0">
              <w:t>0.13 [0.02, 0.25]; p=0.02</w:t>
            </w:r>
          </w:p>
        </w:tc>
        <w:tc>
          <w:tcPr>
            <w:tcW w:w="1346" w:type="pct"/>
            <w:gridSpan w:val="2"/>
          </w:tcPr>
          <w:p w:rsidR="006115DB" w:rsidRPr="00B30EE0" w:rsidRDefault="006115DB" w:rsidP="004E7393">
            <w:pPr>
              <w:pStyle w:val="TableText0"/>
              <w:keepLines/>
              <w:widowControl w:val="0"/>
              <w:spacing w:before="0" w:after="0"/>
              <w:jc w:val="center"/>
            </w:pPr>
            <w:r w:rsidRPr="00B30EE0">
              <w:t>0.19 [0.08, 0.30]; p=0.0007</w:t>
            </w:r>
          </w:p>
        </w:tc>
        <w:tc>
          <w:tcPr>
            <w:tcW w:w="1299" w:type="pct"/>
            <w:gridSpan w:val="2"/>
          </w:tcPr>
          <w:p w:rsidR="006115DB" w:rsidRPr="00B30EE0" w:rsidRDefault="006115DB" w:rsidP="004E7393">
            <w:pPr>
              <w:pStyle w:val="TableText0"/>
              <w:keepLines/>
              <w:widowControl w:val="0"/>
              <w:spacing w:before="0" w:after="0"/>
              <w:jc w:val="center"/>
            </w:pPr>
            <w:r w:rsidRPr="00B30EE0">
              <w:t>0.15 [0.06, 0.24]; p=0.002</w:t>
            </w:r>
          </w:p>
        </w:tc>
      </w:tr>
    </w:tbl>
    <w:p w:rsidR="00857A5E" w:rsidRPr="00857A5E" w:rsidRDefault="006115DB" w:rsidP="00857A5E">
      <w:pPr>
        <w:pStyle w:val="TableNotes"/>
        <w:keepNext/>
        <w:spacing w:after="0"/>
        <w:ind w:left="709"/>
        <w:rPr>
          <w:rFonts w:ascii="Arial Narrow" w:hAnsi="Arial Narrow"/>
          <w:sz w:val="18"/>
          <w:szCs w:val="18"/>
        </w:rPr>
      </w:pPr>
      <w:r w:rsidRPr="00B30EE0">
        <w:rPr>
          <w:rFonts w:ascii="Arial Narrow" w:hAnsi="Arial Narrow"/>
          <w:sz w:val="18"/>
          <w:szCs w:val="18"/>
        </w:rPr>
        <w:t>CI=confidence interval; DOC=</w:t>
      </w:r>
      <w:proofErr w:type="spellStart"/>
      <w:r w:rsidRPr="00B30EE0">
        <w:rPr>
          <w:rFonts w:ascii="Arial Narrow" w:hAnsi="Arial Narrow"/>
          <w:sz w:val="18"/>
          <w:szCs w:val="18"/>
        </w:rPr>
        <w:t>docetaxel</w:t>
      </w:r>
      <w:proofErr w:type="spellEnd"/>
      <w:r w:rsidRPr="00B30EE0">
        <w:rPr>
          <w:rFonts w:ascii="Arial Narrow" w:hAnsi="Arial Narrow"/>
          <w:sz w:val="18"/>
          <w:szCs w:val="18"/>
        </w:rPr>
        <w:t>; NIVO=</w:t>
      </w:r>
      <w:proofErr w:type="spellStart"/>
      <w:r w:rsidRPr="00B30EE0">
        <w:rPr>
          <w:rFonts w:ascii="Arial Narrow" w:hAnsi="Arial Narrow"/>
          <w:sz w:val="18"/>
          <w:szCs w:val="18"/>
        </w:rPr>
        <w:t>nivolumab</w:t>
      </w:r>
      <w:proofErr w:type="spellEnd"/>
      <w:r w:rsidRPr="00B30EE0">
        <w:rPr>
          <w:rFonts w:ascii="Arial Narrow" w:hAnsi="Arial Narrow"/>
          <w:sz w:val="18"/>
          <w:szCs w:val="18"/>
        </w:rPr>
        <w:t>; NR=not reported; OR=odds ratio; RD=risk difference; RR=risk ratio</w:t>
      </w:r>
      <w:r w:rsidR="00857A5E">
        <w:rPr>
          <w:rFonts w:ascii="Arial Narrow" w:hAnsi="Arial Narrow"/>
          <w:sz w:val="18"/>
          <w:szCs w:val="18"/>
        </w:rPr>
        <w:br/>
      </w:r>
      <w:r w:rsidR="00857A5E" w:rsidRPr="00857A5E">
        <w:rPr>
          <w:rFonts w:ascii="Arial Narrow" w:hAnsi="Arial Narrow"/>
          <w:sz w:val="18"/>
          <w:szCs w:val="18"/>
          <w:vertAlign w:val="superscript"/>
        </w:rPr>
        <w:t>a</w:t>
      </w:r>
      <w:r w:rsidR="00857A5E">
        <w:rPr>
          <w:rFonts w:ascii="Arial Narrow" w:hAnsi="Arial Narrow"/>
          <w:sz w:val="18"/>
          <w:szCs w:val="18"/>
        </w:rPr>
        <w:t xml:space="preserve"> </w:t>
      </w:r>
      <w:r w:rsidR="00857A5E" w:rsidRPr="00857A5E">
        <w:rPr>
          <w:rFonts w:ascii="Arial Narrow" w:hAnsi="Arial Narrow"/>
          <w:sz w:val="18"/>
          <w:szCs w:val="18"/>
        </w:rPr>
        <w:t>based on KM survival rate</w:t>
      </w:r>
    </w:p>
    <w:p w:rsidR="006115DB" w:rsidRPr="00B30EE0" w:rsidRDefault="006115DB" w:rsidP="005A3FEE">
      <w:pPr>
        <w:ind w:left="709"/>
        <w:rPr>
          <w:rFonts w:ascii="Arial Narrow" w:hAnsi="Arial Narrow"/>
          <w:sz w:val="18"/>
          <w:szCs w:val="18"/>
          <w:lang w:eastAsia="en-AU"/>
        </w:rPr>
      </w:pPr>
      <w:r w:rsidRPr="00B30EE0">
        <w:rPr>
          <w:rFonts w:ascii="Arial Narrow" w:hAnsi="Arial Narrow"/>
          <w:sz w:val="18"/>
          <w:szCs w:val="18"/>
          <w:lang w:eastAsia="en-AU"/>
        </w:rPr>
        <w:t>Source: Table 25, p60 of the main submission.</w:t>
      </w:r>
    </w:p>
    <w:p w:rsidR="006115DB" w:rsidRDefault="006115DB" w:rsidP="006115DB"/>
    <w:p w:rsidR="006115DB" w:rsidRPr="005472FF" w:rsidRDefault="006115DB" w:rsidP="0073258E">
      <w:pPr>
        <w:pStyle w:val="ListParagraph"/>
        <w:numPr>
          <w:ilvl w:val="1"/>
          <w:numId w:val="2"/>
        </w:numPr>
      </w:pPr>
      <w:r w:rsidRPr="005472FF">
        <w:t xml:space="preserve">Compared with </w:t>
      </w:r>
      <w:proofErr w:type="spellStart"/>
      <w:r w:rsidRPr="005472FF">
        <w:t>docetaxel</w:t>
      </w:r>
      <w:proofErr w:type="spellEnd"/>
      <w:r w:rsidRPr="005472FF">
        <w:t xml:space="preserve">, </w:t>
      </w:r>
      <w:proofErr w:type="spellStart"/>
      <w:r w:rsidRPr="005472FF">
        <w:t>nivolumab</w:t>
      </w:r>
      <w:proofErr w:type="spellEnd"/>
      <w:r w:rsidRPr="005472FF">
        <w:t xml:space="preserve"> was associated with a statistically significant </w:t>
      </w:r>
      <w:r w:rsidR="0085729C">
        <w:t>41</w:t>
      </w:r>
      <w:r w:rsidRPr="005472FF">
        <w:t>% reduction in the risk of death (HR=0.59 [96.85% CI: 0.43, 0.81]; p=0.0002)</w:t>
      </w:r>
      <w:r w:rsidR="006E2E7D">
        <w:t xml:space="preserve"> in the </w:t>
      </w:r>
      <w:r w:rsidR="00347483">
        <w:t xml:space="preserve">analysis </w:t>
      </w:r>
      <w:r w:rsidR="00347483" w:rsidRPr="00506307">
        <w:t xml:space="preserve">from </w:t>
      </w:r>
      <w:r w:rsidR="00347483">
        <w:t xml:space="preserve">the </w:t>
      </w:r>
      <w:r w:rsidR="00347483" w:rsidRPr="00506307">
        <w:t xml:space="preserve">database lock </w:t>
      </w:r>
      <w:r w:rsidR="00347483">
        <w:t>in December 2014 after a minimum of 10.6 months follow-up</w:t>
      </w:r>
      <w:r w:rsidRPr="005472FF">
        <w:t xml:space="preserve">. This reduction was similar </w:t>
      </w:r>
      <w:r w:rsidR="00347483">
        <w:t xml:space="preserve">in the analysis from the database lock at August 2015 </w:t>
      </w:r>
      <w:r w:rsidRPr="005472FF">
        <w:t>a</w:t>
      </w:r>
      <w:r w:rsidR="00347483">
        <w:t>fter</w:t>
      </w:r>
      <w:r w:rsidRPr="005472FF">
        <w:t xml:space="preserve"> </w:t>
      </w:r>
      <w:r w:rsidR="00347483">
        <w:t xml:space="preserve">a minimum of </w:t>
      </w:r>
      <w:r w:rsidRPr="005472FF">
        <w:t>18 months of follow-up (HR=0.62 [95% CI: 0.48, 0.81]; p=0.0004). The difference in median OS between treatments at both follow up periods was 3</w:t>
      </w:r>
      <w:r w:rsidR="001124DD">
        <w:t>.2</w:t>
      </w:r>
      <w:r w:rsidRPr="005472FF">
        <w:t xml:space="preserve"> months, favouring </w:t>
      </w:r>
      <w:proofErr w:type="spellStart"/>
      <w:r w:rsidRPr="005472FF">
        <w:t>nivolumab</w:t>
      </w:r>
      <w:proofErr w:type="spellEnd"/>
      <w:r w:rsidRPr="005472FF">
        <w:t>.</w:t>
      </w:r>
    </w:p>
    <w:p w:rsidR="006115DB" w:rsidRPr="005472FF" w:rsidRDefault="006115DB" w:rsidP="006115DB"/>
    <w:p w:rsidR="00857A5E" w:rsidRPr="005472FF" w:rsidRDefault="00857A5E" w:rsidP="006115DB">
      <w:r w:rsidRPr="005472FF">
        <w:rPr>
          <w:u w:val="single"/>
        </w:rPr>
        <w:t xml:space="preserve">Treatment effect variation of </w:t>
      </w:r>
      <w:proofErr w:type="spellStart"/>
      <w:r w:rsidRPr="005472FF">
        <w:rPr>
          <w:u w:val="single"/>
        </w:rPr>
        <w:t>nivolumab</w:t>
      </w:r>
      <w:proofErr w:type="spellEnd"/>
      <w:r w:rsidRPr="005472FF">
        <w:rPr>
          <w:u w:val="single"/>
        </w:rPr>
        <w:t xml:space="preserve"> by PD-L1 status</w:t>
      </w:r>
    </w:p>
    <w:p w:rsidR="00857A5E" w:rsidRPr="005472FF" w:rsidRDefault="00857A5E" w:rsidP="006115DB"/>
    <w:p w:rsidR="006115DB" w:rsidRPr="005472FF" w:rsidRDefault="006115DB" w:rsidP="0073258E">
      <w:pPr>
        <w:pStyle w:val="ListParagraph"/>
        <w:numPr>
          <w:ilvl w:val="1"/>
          <w:numId w:val="2"/>
        </w:numPr>
      </w:pPr>
      <w:r w:rsidRPr="005472FF">
        <w:t>The submission did not specify PD-L1 positive expression as an eligibility criterion in the pro</w:t>
      </w:r>
      <w:r w:rsidR="00B92C79" w:rsidRPr="005472FF">
        <w:t>p</w:t>
      </w:r>
      <w:r w:rsidRPr="005472FF">
        <w:t xml:space="preserve">osed PBS restriction for </w:t>
      </w:r>
      <w:proofErr w:type="spellStart"/>
      <w:r w:rsidRPr="005472FF">
        <w:t>nivolumab</w:t>
      </w:r>
      <w:proofErr w:type="spellEnd"/>
      <w:r w:rsidRPr="005472FF">
        <w:t xml:space="preserve">. The argument presented in the submission was that all patients benefited from </w:t>
      </w:r>
      <w:proofErr w:type="spellStart"/>
      <w:r w:rsidRPr="005472FF">
        <w:t>nivolumab</w:t>
      </w:r>
      <w:proofErr w:type="spellEnd"/>
      <w:r w:rsidRPr="005472FF">
        <w:t xml:space="preserve"> treatment over </w:t>
      </w:r>
      <w:proofErr w:type="spellStart"/>
      <w:r w:rsidRPr="005472FF">
        <w:t>docetaxel</w:t>
      </w:r>
      <w:proofErr w:type="spellEnd"/>
      <w:r w:rsidRPr="005472FF">
        <w:t xml:space="preserve"> regardless of PD-L1 status. The results are summarised in Figures 2, 3 and 4 below. Tests for interaction were not statistically significant for </w:t>
      </w:r>
      <w:r w:rsidR="000E7FE8" w:rsidRPr="005472FF">
        <w:t>any</w:t>
      </w:r>
      <w:r w:rsidRPr="005472FF">
        <w:t xml:space="preserve"> PD-L1 cut-off expression levels (Figures 2 and 3). The submission concluded that there was a statistically significant benefit in OS over </w:t>
      </w:r>
      <w:proofErr w:type="spellStart"/>
      <w:r w:rsidRPr="005472FF">
        <w:t>docetaxel</w:t>
      </w:r>
      <w:proofErr w:type="spellEnd"/>
      <w:r w:rsidRPr="005472FF">
        <w:t xml:space="preserve"> at negligible PD-L1 expression levels (PD-L1 &lt;1%). Approximately 13% and 21% of patients in the </w:t>
      </w:r>
      <w:proofErr w:type="spellStart"/>
      <w:r w:rsidRPr="005472FF">
        <w:t>nivolumab</w:t>
      </w:r>
      <w:proofErr w:type="spellEnd"/>
      <w:r w:rsidRPr="005472FF">
        <w:t xml:space="preserve"> and </w:t>
      </w:r>
      <w:proofErr w:type="spellStart"/>
      <w:r w:rsidRPr="005472FF">
        <w:t>docetaxel</w:t>
      </w:r>
      <w:proofErr w:type="spellEnd"/>
      <w:r w:rsidRPr="005472FF">
        <w:t xml:space="preserve"> treatment arms, respectively, did not have PD-L1 quantifiable results. It was in these patients that </w:t>
      </w:r>
      <w:proofErr w:type="spellStart"/>
      <w:r w:rsidRPr="005472FF">
        <w:t>nivolumab</w:t>
      </w:r>
      <w:proofErr w:type="spellEnd"/>
      <w:r w:rsidRPr="005472FF">
        <w:t xml:space="preserve"> </w:t>
      </w:r>
      <w:r w:rsidR="00E41E64">
        <w:t xml:space="preserve">had </w:t>
      </w:r>
      <w:r w:rsidRPr="005472FF">
        <w:t xml:space="preserve">the </w:t>
      </w:r>
      <w:r w:rsidR="00E41E64">
        <w:t xml:space="preserve">numerically </w:t>
      </w:r>
      <w:r w:rsidR="000E7FE8" w:rsidRPr="005472FF">
        <w:t>largest</w:t>
      </w:r>
      <w:r w:rsidRPr="005472FF">
        <w:t xml:space="preserve"> benefit in OS and </w:t>
      </w:r>
      <w:r w:rsidR="00EA605A">
        <w:t>progression-free survival (</w:t>
      </w:r>
      <w:r w:rsidRPr="005472FF">
        <w:t>PFS</w:t>
      </w:r>
      <w:r w:rsidR="00EA605A">
        <w:t>)</w:t>
      </w:r>
      <w:r w:rsidRPr="005472FF">
        <w:t xml:space="preserve"> (Figure 3). Furthermore, analyses of treatment effect variation </w:t>
      </w:r>
      <w:r w:rsidR="000E7FE8" w:rsidRPr="005472FF">
        <w:t>were</w:t>
      </w:r>
      <w:r w:rsidRPr="005472FF">
        <w:t xml:space="preserve"> conducted on the following PD-L1 expression subsets:</w:t>
      </w:r>
      <w:r w:rsidR="000E7FE8" w:rsidRPr="005472FF">
        <w:t xml:space="preserve"> &lt;1% vs. ≥1%, &lt;5% vs. ≥5%</w:t>
      </w:r>
      <w:r w:rsidR="00845EA8" w:rsidRPr="005472FF">
        <w:t>,</w:t>
      </w:r>
      <w:r w:rsidR="000E7FE8" w:rsidRPr="005472FF">
        <w:t xml:space="preserve"> and &lt;</w:t>
      </w:r>
      <w:r w:rsidRPr="005472FF">
        <w:t xml:space="preserve">10% vs. ≥10%. Analyses based on mutually exclusive expression subsets, such as &lt;1% vs. ≥1% to &lt;5% vs. ≥5% to &lt;10% vs. ≥10%, would have been more informative. These issues, in addition to the inherent limitations of subgroup analyses, make interpretation of the results problematic. However, there was no clear predictive effect of PD-L1 status on the comparative effectiveness of </w:t>
      </w:r>
      <w:proofErr w:type="spellStart"/>
      <w:r w:rsidRPr="005472FF">
        <w:t>nivolumab</w:t>
      </w:r>
      <w:proofErr w:type="spellEnd"/>
      <w:r w:rsidR="000E7FE8" w:rsidRPr="005472FF">
        <w:t>,</w:t>
      </w:r>
      <w:r w:rsidRPr="005472FF">
        <w:t xml:space="preserve"> although the data indicated a trend toward increased benefit of </w:t>
      </w:r>
      <w:proofErr w:type="spellStart"/>
      <w:r w:rsidRPr="005472FF">
        <w:t>nivolumab</w:t>
      </w:r>
      <w:proofErr w:type="spellEnd"/>
      <w:r w:rsidRPr="005472FF">
        <w:t xml:space="preserve">, over </w:t>
      </w:r>
      <w:proofErr w:type="spellStart"/>
      <w:r w:rsidRPr="005472FF">
        <w:t>docetaxel</w:t>
      </w:r>
      <w:proofErr w:type="spellEnd"/>
      <w:r w:rsidRPr="005472FF">
        <w:t>, with increasing levels of PD-L1 expression.</w:t>
      </w:r>
    </w:p>
    <w:p w:rsidR="006115DB" w:rsidRPr="001C7ACE" w:rsidRDefault="006115DB" w:rsidP="006115DB"/>
    <w:p w:rsidR="006115DB" w:rsidRDefault="006115DB" w:rsidP="00857A5E">
      <w:pPr>
        <w:pStyle w:val="Caption"/>
        <w:keepNext/>
        <w:ind w:left="709"/>
      </w:pPr>
      <w:r>
        <w:lastRenderedPageBreak/>
        <w:t>Figure 2</w:t>
      </w:r>
      <w:r w:rsidR="00857A5E">
        <w:t>:</w:t>
      </w:r>
      <w:r>
        <w:t xml:space="preserve"> </w:t>
      </w:r>
      <w:r>
        <w:rPr>
          <w:noProof/>
        </w:rPr>
        <w:t>Forest plot of the predictive relationship of baseline PD-L1 status for overall survival</w:t>
      </w:r>
    </w:p>
    <w:p w:rsidR="006115DB" w:rsidRDefault="006115DB" w:rsidP="006115DB">
      <w:pPr>
        <w:pStyle w:val="Caption"/>
        <w:keepNext/>
      </w:pPr>
      <w:r w:rsidRPr="004F155C">
        <w:rPr>
          <w:noProof/>
          <w:lang w:eastAsia="en-AU"/>
        </w:rPr>
        <w:drawing>
          <wp:inline distT="0" distB="0" distL="0" distR="0" wp14:anchorId="3B3E7F7C" wp14:editId="67AD7F00">
            <wp:extent cx="5731510" cy="3084733"/>
            <wp:effectExtent l="0" t="0" r="0" b="1905"/>
            <wp:docPr id="1" name="Picture 1" title="Figure 2: Forest plot of the predictive relationship of baseline PD-L1 status for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10">
                      <a:extLst>
                        <a:ext uri="{28A0092B-C50C-407E-A947-70E740481C1C}">
                          <a14:useLocalDpi xmlns:a14="http://schemas.microsoft.com/office/drawing/2010/main" val="0"/>
                        </a:ext>
                      </a:extLst>
                    </a:blip>
                    <a:srcRect t="9726" b="9471"/>
                    <a:stretch/>
                  </pic:blipFill>
                  <pic:spPr bwMode="auto">
                    <a:xfrm>
                      <a:off x="0" y="0"/>
                      <a:ext cx="5731510" cy="3084733"/>
                    </a:xfrm>
                    <a:prstGeom prst="rect">
                      <a:avLst/>
                    </a:prstGeom>
                    <a:noFill/>
                    <a:ln>
                      <a:noFill/>
                    </a:ln>
                    <a:extLst>
                      <a:ext uri="{53640926-AAD7-44D8-BBD7-CCE9431645EC}">
                        <a14:shadowObscured xmlns:a14="http://schemas.microsoft.com/office/drawing/2010/main"/>
                      </a:ext>
                    </a:extLst>
                  </pic:spPr>
                </pic:pic>
              </a:graphicData>
            </a:graphic>
          </wp:inline>
        </w:drawing>
      </w:r>
    </w:p>
    <w:p w:rsidR="006115DB" w:rsidRDefault="006115DB" w:rsidP="00857A5E">
      <w:pPr>
        <w:pStyle w:val="Caption"/>
        <w:keepNext/>
        <w:ind w:left="709"/>
        <w:rPr>
          <w:b w:val="0"/>
          <w:sz w:val="18"/>
        </w:rPr>
      </w:pPr>
      <w:proofErr w:type="spellStart"/>
      <w:r>
        <w:rPr>
          <w:b w:val="0"/>
          <w:sz w:val="18"/>
        </w:rPr>
        <w:t>Nivo</w:t>
      </w:r>
      <w:proofErr w:type="spellEnd"/>
      <w:r>
        <w:rPr>
          <w:b w:val="0"/>
          <w:sz w:val="18"/>
        </w:rPr>
        <w:t>=</w:t>
      </w:r>
      <w:proofErr w:type="spellStart"/>
      <w:r>
        <w:rPr>
          <w:b w:val="0"/>
          <w:sz w:val="18"/>
        </w:rPr>
        <w:t>nivolumab</w:t>
      </w:r>
      <w:proofErr w:type="spellEnd"/>
      <w:r>
        <w:rPr>
          <w:b w:val="0"/>
          <w:sz w:val="18"/>
        </w:rPr>
        <w:t>; DOC=</w:t>
      </w:r>
      <w:proofErr w:type="spellStart"/>
      <w:r>
        <w:rPr>
          <w:b w:val="0"/>
          <w:sz w:val="18"/>
        </w:rPr>
        <w:t>docetaxel</w:t>
      </w:r>
      <w:proofErr w:type="spellEnd"/>
    </w:p>
    <w:p w:rsidR="006115DB" w:rsidRPr="004F155C" w:rsidRDefault="006115DB" w:rsidP="00857A5E">
      <w:pPr>
        <w:pStyle w:val="Caption"/>
        <w:keepNext/>
        <w:ind w:left="709"/>
        <w:rPr>
          <w:b w:val="0"/>
          <w:sz w:val="18"/>
        </w:rPr>
      </w:pPr>
      <w:r w:rsidRPr="004F155C">
        <w:rPr>
          <w:b w:val="0"/>
          <w:sz w:val="18"/>
        </w:rPr>
        <w:t>Sour</w:t>
      </w:r>
      <w:r>
        <w:rPr>
          <w:b w:val="0"/>
          <w:sz w:val="18"/>
        </w:rPr>
        <w:t xml:space="preserve">ce: Figure 11, p63 of the main </w:t>
      </w:r>
      <w:r w:rsidRPr="004F155C">
        <w:rPr>
          <w:b w:val="0"/>
          <w:sz w:val="18"/>
        </w:rPr>
        <w:t>submission.</w:t>
      </w:r>
    </w:p>
    <w:p w:rsidR="006115DB" w:rsidRDefault="006115DB" w:rsidP="006115DB">
      <w:pPr>
        <w:rPr>
          <w:highlight w:val="green"/>
        </w:rPr>
      </w:pPr>
    </w:p>
    <w:p w:rsidR="006115DB" w:rsidRDefault="006115DB" w:rsidP="00857A5E">
      <w:pPr>
        <w:pStyle w:val="Caption"/>
        <w:keepNext/>
        <w:ind w:left="709"/>
      </w:pPr>
      <w:r w:rsidRPr="00143C04">
        <w:t xml:space="preserve">Figure 3: </w:t>
      </w:r>
      <w:r>
        <w:t>Overall survival by PD-L1 expression and tests for interaction</w:t>
      </w:r>
    </w:p>
    <w:p w:rsidR="006115DB" w:rsidRDefault="006115DB" w:rsidP="006115DB">
      <w:pPr>
        <w:rPr>
          <w:highlight w:val="green"/>
        </w:rPr>
      </w:pPr>
      <w:r>
        <w:rPr>
          <w:noProof/>
          <w:snapToGrid/>
          <w:lang w:eastAsia="en-AU"/>
        </w:rPr>
        <w:drawing>
          <wp:inline distT="0" distB="0" distL="0" distR="0" wp14:anchorId="05EE23BB" wp14:editId="1BDD72A9">
            <wp:extent cx="5810250" cy="2762250"/>
            <wp:effectExtent l="0" t="0" r="0" b="0"/>
            <wp:docPr id="2" name="Picture 2" title="Figure 3: Overall survival by PD-L1 expression and tests for inte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BEBA8EAE-BF5A-486C-A8C5-ECC9F3942E4B}">
                          <a14:imgProps xmlns:a14="http://schemas.microsoft.com/office/drawing/2010/main">
                            <a14:imgLayer r:embed="rId12">
                              <a14:imgEffect>
                                <a14:brightnessContrast bright="-20000" contrast="40000"/>
                              </a14:imgEffect>
                            </a14:imgLayer>
                          </a14:imgProps>
                        </a:ext>
                      </a:extLst>
                    </a:blip>
                    <a:srcRect t="9658"/>
                    <a:stretch/>
                  </pic:blipFill>
                  <pic:spPr bwMode="auto">
                    <a:xfrm>
                      <a:off x="0" y="0"/>
                      <a:ext cx="5817490" cy="2765692"/>
                    </a:xfrm>
                    <a:prstGeom prst="rect">
                      <a:avLst/>
                    </a:prstGeom>
                    <a:ln>
                      <a:noFill/>
                    </a:ln>
                    <a:extLst>
                      <a:ext uri="{53640926-AAD7-44D8-BBD7-CCE9431645EC}">
                        <a14:shadowObscured xmlns:a14="http://schemas.microsoft.com/office/drawing/2010/main"/>
                      </a:ext>
                    </a:extLst>
                  </pic:spPr>
                </pic:pic>
              </a:graphicData>
            </a:graphic>
          </wp:inline>
        </w:drawing>
      </w:r>
    </w:p>
    <w:p w:rsidR="006115DB" w:rsidRPr="00B82395" w:rsidRDefault="00857A5E" w:rsidP="00857A5E">
      <w:pPr>
        <w:ind w:left="709"/>
        <w:rPr>
          <w:rFonts w:ascii="Arial Narrow" w:hAnsi="Arial Narrow"/>
          <w:sz w:val="18"/>
          <w:szCs w:val="18"/>
        </w:rPr>
      </w:pPr>
      <w:r>
        <w:rPr>
          <w:rFonts w:ascii="Arial Narrow" w:hAnsi="Arial Narrow"/>
          <w:sz w:val="18"/>
          <w:szCs w:val="18"/>
        </w:rPr>
        <w:t>DBL=Database lock; HR=hazard ratio; CI=confidence interval; OS=overall survival; PFS=progression</w:t>
      </w:r>
      <w:r w:rsidR="00EA605A">
        <w:rPr>
          <w:rFonts w:ascii="Arial Narrow" w:hAnsi="Arial Narrow"/>
          <w:sz w:val="18"/>
          <w:szCs w:val="18"/>
        </w:rPr>
        <w:t>-</w:t>
      </w:r>
      <w:r>
        <w:rPr>
          <w:rFonts w:ascii="Arial Narrow" w:hAnsi="Arial Narrow"/>
          <w:sz w:val="18"/>
          <w:szCs w:val="18"/>
        </w:rPr>
        <w:t>free survival</w:t>
      </w:r>
    </w:p>
    <w:p w:rsidR="006115DB" w:rsidRPr="00B82395" w:rsidRDefault="006115DB" w:rsidP="00857A5E">
      <w:pPr>
        <w:ind w:left="709"/>
        <w:rPr>
          <w:highlight w:val="green"/>
        </w:rPr>
      </w:pPr>
      <w:r w:rsidRPr="00B82395">
        <w:rPr>
          <w:rFonts w:ascii="Arial Narrow" w:hAnsi="Arial Narrow"/>
          <w:sz w:val="18"/>
          <w:szCs w:val="18"/>
        </w:rPr>
        <w:t xml:space="preserve">Source: </w:t>
      </w:r>
      <w:proofErr w:type="spellStart"/>
      <w:r w:rsidRPr="00B82395">
        <w:rPr>
          <w:rFonts w:ascii="Arial Narrow" w:hAnsi="Arial Narrow"/>
          <w:sz w:val="18"/>
          <w:szCs w:val="18"/>
        </w:rPr>
        <w:t>Reckamp</w:t>
      </w:r>
      <w:proofErr w:type="spellEnd"/>
      <w:r w:rsidRPr="00B82395">
        <w:rPr>
          <w:rFonts w:ascii="Arial Narrow" w:hAnsi="Arial Narrow"/>
          <w:sz w:val="18"/>
          <w:szCs w:val="18"/>
        </w:rPr>
        <w:t xml:space="preserve"> et al (2015): </w:t>
      </w:r>
      <w:proofErr w:type="spellStart"/>
      <w:r w:rsidRPr="00B82395">
        <w:rPr>
          <w:rFonts w:ascii="Arial Narrow" w:hAnsi="Arial Narrow"/>
          <w:sz w:val="18"/>
          <w:szCs w:val="18"/>
        </w:rPr>
        <w:t>Reckamp</w:t>
      </w:r>
      <w:proofErr w:type="spellEnd"/>
      <w:r w:rsidRPr="00B82395">
        <w:rPr>
          <w:rFonts w:ascii="Arial Narrow" w:hAnsi="Arial Narrow"/>
          <w:sz w:val="18"/>
          <w:szCs w:val="18"/>
        </w:rPr>
        <w:t xml:space="preserve">, R et al (2015). Phase 3, Global, Randomized trial (Checkmate 017) of </w:t>
      </w:r>
      <w:proofErr w:type="spellStart"/>
      <w:r w:rsidRPr="00B82395">
        <w:rPr>
          <w:rFonts w:ascii="Arial Narrow" w:hAnsi="Arial Narrow"/>
          <w:sz w:val="18"/>
          <w:szCs w:val="18"/>
        </w:rPr>
        <w:t>nivolumab</w:t>
      </w:r>
      <w:proofErr w:type="spellEnd"/>
      <w:r w:rsidRPr="00B82395">
        <w:rPr>
          <w:rFonts w:ascii="Arial Narrow" w:hAnsi="Arial Narrow"/>
          <w:sz w:val="18"/>
          <w:szCs w:val="18"/>
        </w:rPr>
        <w:t xml:space="preserve"> vs </w:t>
      </w:r>
      <w:proofErr w:type="spellStart"/>
      <w:r w:rsidRPr="00B82395">
        <w:rPr>
          <w:rFonts w:ascii="Arial Narrow" w:hAnsi="Arial Narrow"/>
          <w:sz w:val="18"/>
          <w:szCs w:val="18"/>
        </w:rPr>
        <w:t>docetaxel</w:t>
      </w:r>
      <w:proofErr w:type="spellEnd"/>
      <w:r w:rsidRPr="00B82395">
        <w:rPr>
          <w:rFonts w:ascii="Arial Narrow" w:hAnsi="Arial Narrow"/>
          <w:sz w:val="18"/>
          <w:szCs w:val="18"/>
        </w:rPr>
        <w:t xml:space="preserve"> in advanced squamous cell non-small cell lung cancer (NSCLC) - 16th World Conference on Lung Cancer, September 6 – 9, Denver, USA</w:t>
      </w:r>
      <w:r w:rsidR="00857A5E">
        <w:rPr>
          <w:rFonts w:ascii="Arial Narrow" w:hAnsi="Arial Narrow"/>
          <w:sz w:val="18"/>
          <w:szCs w:val="18"/>
        </w:rPr>
        <w:t>.</w:t>
      </w:r>
    </w:p>
    <w:p w:rsidR="006115DB" w:rsidRPr="00857A5E" w:rsidRDefault="006115DB" w:rsidP="006115DB"/>
    <w:p w:rsidR="006115DB" w:rsidRDefault="006115DB" w:rsidP="00857A5E">
      <w:pPr>
        <w:pStyle w:val="Caption"/>
        <w:keepNext/>
        <w:ind w:left="709"/>
        <w:jc w:val="left"/>
      </w:pPr>
      <w:r>
        <w:lastRenderedPageBreak/>
        <w:t>Figure 4:</w:t>
      </w:r>
      <w:r w:rsidR="00857A5E">
        <w:t xml:space="preserve"> </w:t>
      </w:r>
      <w:r w:rsidRPr="007565C9">
        <w:t>CA209-017</w:t>
      </w:r>
      <w:r>
        <w:t xml:space="preserve"> - </w:t>
      </w:r>
      <w:r w:rsidRPr="007565C9">
        <w:t>Kaplan-Meier plot of overall survival by PD-L1 expression status at the 5% cut-off level</w:t>
      </w:r>
    </w:p>
    <w:p w:rsidR="006115DB" w:rsidRDefault="006115DB" w:rsidP="006115DB">
      <w:pPr>
        <w:widowControl/>
        <w:jc w:val="left"/>
        <w:rPr>
          <w:b/>
        </w:rPr>
      </w:pPr>
      <w:r w:rsidRPr="00A037C7">
        <w:rPr>
          <w:noProof/>
          <w:lang w:eastAsia="en-AU"/>
        </w:rPr>
        <w:drawing>
          <wp:inline distT="0" distB="0" distL="0" distR="0" wp14:anchorId="198479F0" wp14:editId="0A46BD0A">
            <wp:extent cx="5848350" cy="4038600"/>
            <wp:effectExtent l="0" t="0" r="0" b="0"/>
            <wp:docPr id="14" name="Picture 14" title="Figure 4: CA209-017 - Kaplan-Meier plot of overall survival by PD-L1 expression status at the 5% cut-off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Lst>
                    </a:blip>
                    <a:stretch>
                      <a:fillRect/>
                    </a:stretch>
                  </pic:blipFill>
                  <pic:spPr>
                    <a:xfrm>
                      <a:off x="0" y="0"/>
                      <a:ext cx="5846407" cy="4037258"/>
                    </a:xfrm>
                    <a:prstGeom prst="rect">
                      <a:avLst/>
                    </a:prstGeom>
                  </pic:spPr>
                </pic:pic>
              </a:graphicData>
            </a:graphic>
          </wp:inline>
        </w:drawing>
      </w:r>
    </w:p>
    <w:p w:rsidR="006115DB" w:rsidRPr="007565C9" w:rsidRDefault="006115DB" w:rsidP="00857A5E">
      <w:pPr>
        <w:widowControl/>
        <w:ind w:left="709"/>
        <w:jc w:val="left"/>
        <w:rPr>
          <w:rFonts w:ascii="Arial Narrow" w:hAnsi="Arial Narrow"/>
          <w:sz w:val="18"/>
          <w:szCs w:val="18"/>
        </w:rPr>
      </w:pPr>
      <w:r w:rsidRPr="007565C9">
        <w:rPr>
          <w:rFonts w:ascii="Arial Narrow" w:hAnsi="Arial Narrow"/>
          <w:sz w:val="18"/>
          <w:szCs w:val="18"/>
        </w:rPr>
        <w:t>Source: Figure 7.6.1-1, p120 of the clinical study report.</w:t>
      </w:r>
    </w:p>
    <w:p w:rsidR="000B609F" w:rsidRPr="005472FF" w:rsidRDefault="000B609F" w:rsidP="000B609F"/>
    <w:p w:rsidR="000B609F" w:rsidRPr="005472FF" w:rsidRDefault="000B609F" w:rsidP="000B609F">
      <w:pPr>
        <w:pStyle w:val="ListParagraph"/>
        <w:numPr>
          <w:ilvl w:val="1"/>
          <w:numId w:val="2"/>
        </w:numPr>
      </w:pPr>
      <w:r w:rsidRPr="005472FF">
        <w:t xml:space="preserve">The impact of PD-L1 expression on OS is much less clear than in the recent trial data in non-squamous NSCLC (Trial CA209-057 - presented as key evidence in a concurrent </w:t>
      </w:r>
      <w:proofErr w:type="spellStart"/>
      <w:r w:rsidRPr="005472FF">
        <w:t>nivolumab</w:t>
      </w:r>
      <w:proofErr w:type="spellEnd"/>
      <w:r w:rsidRPr="005472FF">
        <w:t xml:space="preserve"> submission to the PBAC)</w:t>
      </w:r>
      <w:r>
        <w:t>, where t</w:t>
      </w:r>
      <w:r w:rsidRPr="005472FF">
        <w:t xml:space="preserve">here was a </w:t>
      </w:r>
      <w:r>
        <w:t xml:space="preserve">statistically significant </w:t>
      </w:r>
      <w:r w:rsidRPr="005472FF">
        <w:t xml:space="preserve">predictive effect of PD-L1 status on the comparative effectiveness of </w:t>
      </w:r>
      <w:proofErr w:type="spellStart"/>
      <w:r w:rsidRPr="005472FF">
        <w:t>nivolumab</w:t>
      </w:r>
      <w:proofErr w:type="spellEnd"/>
      <w:r w:rsidRPr="005472FF">
        <w:t xml:space="preserve">. Analysis of OS data from CA209-057 showed there was no difference in median OS between </w:t>
      </w:r>
      <w:proofErr w:type="spellStart"/>
      <w:r w:rsidRPr="005472FF">
        <w:t>nivolumab</w:t>
      </w:r>
      <w:proofErr w:type="spellEnd"/>
      <w:r w:rsidRPr="005472FF">
        <w:t xml:space="preserve"> and </w:t>
      </w:r>
      <w:proofErr w:type="spellStart"/>
      <w:r w:rsidRPr="005472FF">
        <w:t>docetaxel</w:t>
      </w:r>
      <w:proofErr w:type="spellEnd"/>
      <w:r w:rsidRPr="005472FF">
        <w:t xml:space="preserve"> for PD-L1 negative patients (&lt;1%, &lt;5% and &lt;10% expression levels) whilst for PD-L1 positive patients (≥1%, ≥5%, and ≥10% expression levels), </w:t>
      </w:r>
      <w:proofErr w:type="spellStart"/>
      <w:r w:rsidRPr="005472FF">
        <w:t>nivolumab</w:t>
      </w:r>
      <w:proofErr w:type="spellEnd"/>
      <w:r w:rsidRPr="005472FF">
        <w:t xml:space="preserve"> was associated with median OS estimates more than twice that observed for </w:t>
      </w:r>
      <w:proofErr w:type="spellStart"/>
      <w:r w:rsidRPr="005472FF">
        <w:t>docetaxel</w:t>
      </w:r>
      <w:proofErr w:type="spellEnd"/>
      <w:r w:rsidRPr="005472FF">
        <w:t xml:space="preserve"> (18-20 months vs 8-9 months).</w:t>
      </w:r>
    </w:p>
    <w:p w:rsidR="006115DB" w:rsidRPr="00882085" w:rsidRDefault="006115DB" w:rsidP="006115DB">
      <w:pPr>
        <w:rPr>
          <w:szCs w:val="22"/>
        </w:rPr>
      </w:pPr>
    </w:p>
    <w:p w:rsidR="006115DB" w:rsidRPr="00F03801" w:rsidRDefault="006115DB" w:rsidP="006115DB">
      <w:pPr>
        <w:pStyle w:val="Heading2"/>
        <w:rPr>
          <w:i/>
        </w:rPr>
      </w:pPr>
      <w:bookmarkStart w:id="10" w:name="_Toc440981189"/>
      <w:r w:rsidRPr="00F03801">
        <w:rPr>
          <w:i/>
        </w:rPr>
        <w:t>Comparative harms</w:t>
      </w:r>
      <w:bookmarkEnd w:id="10"/>
    </w:p>
    <w:p w:rsidR="006115DB" w:rsidRPr="00F03801" w:rsidRDefault="006115DB" w:rsidP="006115DB">
      <w:pPr>
        <w:ind w:left="720" w:hanging="720"/>
        <w:rPr>
          <w:szCs w:val="22"/>
        </w:rPr>
      </w:pPr>
    </w:p>
    <w:p w:rsidR="006115DB" w:rsidRPr="00F03801" w:rsidRDefault="006115DB" w:rsidP="0073258E">
      <w:pPr>
        <w:pStyle w:val="ListParagraph"/>
        <w:widowControl/>
        <w:numPr>
          <w:ilvl w:val="1"/>
          <w:numId w:val="2"/>
        </w:numPr>
      </w:pPr>
      <w:r w:rsidRPr="00F03801">
        <w:t>The tables below provide a summary of adverse events (AEs) from CA209-017.</w:t>
      </w:r>
    </w:p>
    <w:p w:rsidR="006115DB" w:rsidRPr="00857A5E" w:rsidRDefault="006115DB" w:rsidP="006115DB"/>
    <w:p w:rsidR="006115DB" w:rsidRPr="005E6E19" w:rsidRDefault="006115DB" w:rsidP="0073258E">
      <w:pPr>
        <w:pStyle w:val="ListParagraph"/>
        <w:widowControl/>
        <w:numPr>
          <w:ilvl w:val="1"/>
          <w:numId w:val="2"/>
        </w:numPr>
      </w:pPr>
      <w:r w:rsidRPr="00F03801">
        <w:t xml:space="preserve">The submission conducted numerous statistical comparisons of </w:t>
      </w:r>
      <w:r>
        <w:t xml:space="preserve">the </w:t>
      </w:r>
      <w:r w:rsidRPr="00F03801">
        <w:t>frequenc</w:t>
      </w:r>
      <w:r>
        <w:t>y of</w:t>
      </w:r>
      <w:r w:rsidRPr="00F03801">
        <w:t xml:space="preserve"> AE</w:t>
      </w:r>
      <w:r>
        <w:t>s</w:t>
      </w:r>
      <w:r w:rsidRPr="00F03801">
        <w:t xml:space="preserve"> between the </w:t>
      </w:r>
      <w:proofErr w:type="spellStart"/>
      <w:r w:rsidRPr="00F03801">
        <w:t>nivolumab</w:t>
      </w:r>
      <w:proofErr w:type="spellEnd"/>
      <w:r w:rsidRPr="00F03801">
        <w:t xml:space="preserve"> and </w:t>
      </w:r>
      <w:proofErr w:type="spellStart"/>
      <w:r w:rsidRPr="00F03801">
        <w:t>docetaxel</w:t>
      </w:r>
      <w:proofErr w:type="spellEnd"/>
      <w:r w:rsidRPr="00F03801">
        <w:t xml:space="preserve"> treatment arms</w:t>
      </w:r>
      <w:r w:rsidRPr="005E6E19">
        <w:t>. However, it was not apparent from the submission whether there was any adjustment for multiple comparisons to minimise the risk of a Type 1 error. Putative statistically significant findings need to be cautiously interpreted when there is no adjustment for multiple statistical analyses.</w:t>
      </w:r>
      <w:r w:rsidRPr="00F03801">
        <w:t xml:space="preserve"> There were no statistically significant differences in “any cause” AEs between the </w:t>
      </w:r>
      <w:proofErr w:type="spellStart"/>
      <w:r w:rsidRPr="00F03801">
        <w:t>nivolumab</w:t>
      </w:r>
      <w:proofErr w:type="spellEnd"/>
      <w:r w:rsidRPr="00F03801">
        <w:t xml:space="preserve"> and </w:t>
      </w:r>
      <w:proofErr w:type="spellStart"/>
      <w:r w:rsidRPr="00F03801">
        <w:t>docetaxel</w:t>
      </w:r>
      <w:proofErr w:type="spellEnd"/>
      <w:r w:rsidRPr="00F03801">
        <w:t xml:space="preserve"> treatment arms. For drug-related severe (≥Grade 3), serious AEs and AEs leading to discontinuation, the differences were statistically </w:t>
      </w:r>
      <w:r w:rsidRPr="00F03801">
        <w:lastRenderedPageBreak/>
        <w:t xml:space="preserve">significant </w:t>
      </w:r>
      <w:r>
        <w:t xml:space="preserve">and </w:t>
      </w:r>
      <w:r w:rsidRPr="00F03801">
        <w:t>favour</w:t>
      </w:r>
      <w:r>
        <w:t>ed</w:t>
      </w:r>
      <w:r w:rsidRPr="00F03801">
        <w:t xml:space="preserve"> </w:t>
      </w:r>
      <w:proofErr w:type="spellStart"/>
      <w:r w:rsidRPr="00F03801">
        <w:t>nivolumab</w:t>
      </w:r>
      <w:proofErr w:type="spellEnd"/>
      <w:r w:rsidRPr="00F03801">
        <w:t xml:space="preserve">. Significantly more drug-related severe AEs were reported in the </w:t>
      </w:r>
      <w:proofErr w:type="spellStart"/>
      <w:r w:rsidRPr="00F03801">
        <w:t>docetaxel</w:t>
      </w:r>
      <w:proofErr w:type="spellEnd"/>
      <w:r w:rsidRPr="00F03801">
        <w:t xml:space="preserve"> treatment arm as compared with the </w:t>
      </w:r>
      <w:proofErr w:type="spellStart"/>
      <w:r w:rsidRPr="00F03801">
        <w:t>nivolumab</w:t>
      </w:r>
      <w:proofErr w:type="spellEnd"/>
      <w:r w:rsidRPr="00F03801">
        <w:t xml:space="preserve"> treatment arm (57% vs. 7%), specifically for neutropenia (30% versus 0%). </w:t>
      </w:r>
      <w:r w:rsidRPr="005E6E19">
        <w:t xml:space="preserve">These differences in AEs were similar to those observed in the </w:t>
      </w:r>
      <w:proofErr w:type="spellStart"/>
      <w:r w:rsidRPr="005E6E19">
        <w:t>nivolumab</w:t>
      </w:r>
      <w:proofErr w:type="spellEnd"/>
      <w:r w:rsidRPr="005E6E19">
        <w:t xml:space="preserve"> non-squamous CA209-057 trial presented as key evidence in a concurrent submission to the PBAC. These safety data would need to be interpreted within the context of the open-label design of the </w:t>
      </w:r>
      <w:proofErr w:type="spellStart"/>
      <w:r w:rsidRPr="005E6E19">
        <w:t>nivolumab</w:t>
      </w:r>
      <w:proofErr w:type="spellEnd"/>
      <w:r w:rsidRPr="005E6E19">
        <w:t xml:space="preserve"> trials.</w:t>
      </w:r>
    </w:p>
    <w:p w:rsidR="006115DB" w:rsidRPr="00856306" w:rsidRDefault="006115DB" w:rsidP="006115DB">
      <w:pPr>
        <w:widowControl/>
      </w:pPr>
    </w:p>
    <w:p w:rsidR="006115DB" w:rsidRPr="003703C5" w:rsidRDefault="006115DB" w:rsidP="00AE29CB">
      <w:pPr>
        <w:pStyle w:val="Caption"/>
        <w:keepNext/>
        <w:ind w:left="709"/>
        <w:rPr>
          <w:noProof/>
          <w:szCs w:val="20"/>
        </w:rPr>
      </w:pPr>
      <w:r>
        <w:rPr>
          <w:noProof/>
          <w:szCs w:val="20"/>
        </w:rPr>
        <w:t xml:space="preserve">Table 5: CA209-017 - </w:t>
      </w:r>
      <w:r w:rsidRPr="003703C5">
        <w:rPr>
          <w:noProof/>
          <w:szCs w:val="20"/>
        </w:rPr>
        <w:t xml:space="preserve">Summary of </w:t>
      </w:r>
      <w:r>
        <w:rPr>
          <w:noProof/>
          <w:szCs w:val="20"/>
        </w:rPr>
        <w:t>overall</w:t>
      </w:r>
      <w:r w:rsidRPr="003703C5">
        <w:rPr>
          <w:noProof/>
          <w:szCs w:val="20"/>
        </w:rPr>
        <w:t xml:space="preserve"> </w:t>
      </w:r>
      <w:r w:rsidR="00FC346C">
        <w:rPr>
          <w:noProof/>
          <w:szCs w:val="20"/>
        </w:rPr>
        <w:t>adverse events</w:t>
      </w:r>
    </w:p>
    <w:tbl>
      <w:tblPr>
        <w:tblStyle w:val="Summarybox251"/>
        <w:tblW w:w="4558" w:type="pct"/>
        <w:tblInd w:w="817" w:type="dxa"/>
        <w:tblLayout w:type="fixed"/>
        <w:tblLook w:val="04A0" w:firstRow="1" w:lastRow="0" w:firstColumn="1" w:lastColumn="0" w:noHBand="0" w:noVBand="1"/>
        <w:tblCaption w:val="Table 5: CA209-017 - Summary of overall AEs"/>
      </w:tblPr>
      <w:tblGrid>
        <w:gridCol w:w="1559"/>
        <w:gridCol w:w="994"/>
        <w:gridCol w:w="992"/>
        <w:gridCol w:w="2411"/>
        <w:gridCol w:w="2469"/>
      </w:tblGrid>
      <w:tr w:rsidR="006115DB" w:rsidRPr="003703C5" w:rsidTr="0036260F">
        <w:trPr>
          <w:cnfStyle w:val="100000000000" w:firstRow="1" w:lastRow="0" w:firstColumn="0" w:lastColumn="0" w:oddVBand="0" w:evenVBand="0" w:oddHBand="0" w:evenHBand="0" w:firstRowFirstColumn="0" w:firstRowLastColumn="0" w:lastRowFirstColumn="0" w:lastRowLastColumn="0"/>
          <w:tblHeader/>
        </w:trPr>
        <w:tc>
          <w:tcPr>
            <w:tcW w:w="925" w:type="pct"/>
            <w:vMerge w:val="restart"/>
          </w:tcPr>
          <w:p w:rsidR="005B503C" w:rsidRPr="005B503C" w:rsidRDefault="005B503C" w:rsidP="004E7393">
            <w:pPr>
              <w:pStyle w:val="TableText0"/>
              <w:widowControl w:val="0"/>
              <w:spacing w:before="0" w:beforeAutospacing="0" w:after="0" w:afterAutospacing="0" w:line="240" w:lineRule="auto"/>
              <w:rPr>
                <w:b/>
              </w:rPr>
            </w:pPr>
            <w:r w:rsidRPr="005B503C">
              <w:rPr>
                <w:b/>
              </w:rPr>
              <w:t>Treatment arm</w:t>
            </w:r>
          </w:p>
          <w:p w:rsidR="006115DB" w:rsidRPr="003703C5" w:rsidRDefault="006115DB" w:rsidP="004E7393">
            <w:pPr>
              <w:pStyle w:val="TableText0"/>
              <w:widowControl w:val="0"/>
              <w:spacing w:before="0" w:beforeAutospacing="0" w:after="0" w:afterAutospacing="0" w:line="240" w:lineRule="auto"/>
            </w:pPr>
            <w:r w:rsidRPr="003703C5">
              <w:t>N</w:t>
            </w:r>
          </w:p>
        </w:tc>
        <w:tc>
          <w:tcPr>
            <w:tcW w:w="590" w:type="pct"/>
          </w:tcPr>
          <w:p w:rsidR="006115DB" w:rsidRPr="003703C5" w:rsidRDefault="006115DB" w:rsidP="004E7393">
            <w:pPr>
              <w:pStyle w:val="TableText0"/>
              <w:keepNext w:val="0"/>
              <w:widowControl w:val="0"/>
              <w:spacing w:before="0" w:beforeAutospacing="0" w:after="0" w:afterAutospacing="0" w:line="240" w:lineRule="auto"/>
              <w:jc w:val="center"/>
              <w:rPr>
                <w:b/>
              </w:rPr>
            </w:pPr>
            <w:r w:rsidRPr="003703C5">
              <w:rPr>
                <w:b/>
              </w:rPr>
              <w:t>NIVO</w:t>
            </w:r>
          </w:p>
        </w:tc>
        <w:tc>
          <w:tcPr>
            <w:tcW w:w="589" w:type="pct"/>
          </w:tcPr>
          <w:p w:rsidR="006115DB" w:rsidRPr="003703C5" w:rsidRDefault="006115DB" w:rsidP="004E7393">
            <w:pPr>
              <w:pStyle w:val="TableText0"/>
              <w:keepNext w:val="0"/>
              <w:widowControl w:val="0"/>
              <w:spacing w:before="0" w:beforeAutospacing="0" w:after="0" w:afterAutospacing="0" w:line="240" w:lineRule="auto"/>
              <w:jc w:val="center"/>
              <w:rPr>
                <w:b/>
              </w:rPr>
            </w:pPr>
            <w:r w:rsidRPr="003703C5">
              <w:rPr>
                <w:b/>
              </w:rPr>
              <w:t>DOC</w:t>
            </w:r>
          </w:p>
        </w:tc>
        <w:tc>
          <w:tcPr>
            <w:tcW w:w="1431" w:type="pct"/>
            <w:vMerge w:val="restart"/>
          </w:tcPr>
          <w:p w:rsidR="006115DB" w:rsidRPr="003703C5" w:rsidRDefault="006115DB" w:rsidP="004E7393">
            <w:pPr>
              <w:pStyle w:val="TableText0"/>
              <w:keepNext w:val="0"/>
              <w:widowControl w:val="0"/>
              <w:spacing w:before="0" w:beforeAutospacing="0" w:after="0" w:afterAutospacing="0" w:line="240" w:lineRule="auto"/>
              <w:jc w:val="center"/>
              <w:rPr>
                <w:b/>
              </w:rPr>
            </w:pPr>
            <w:r w:rsidRPr="003703C5">
              <w:rPr>
                <w:b/>
              </w:rPr>
              <w:t>RR</w:t>
            </w:r>
          </w:p>
        </w:tc>
        <w:tc>
          <w:tcPr>
            <w:tcW w:w="1465" w:type="pct"/>
            <w:vMerge w:val="restart"/>
          </w:tcPr>
          <w:p w:rsidR="006115DB" w:rsidRPr="003703C5" w:rsidRDefault="006115DB" w:rsidP="004E7393">
            <w:pPr>
              <w:pStyle w:val="TableText0"/>
              <w:keepNext w:val="0"/>
              <w:widowControl w:val="0"/>
              <w:spacing w:before="0" w:beforeAutospacing="0" w:after="0" w:afterAutospacing="0" w:line="240" w:lineRule="auto"/>
              <w:jc w:val="center"/>
              <w:rPr>
                <w:b/>
              </w:rPr>
            </w:pPr>
            <w:r w:rsidRPr="003703C5">
              <w:rPr>
                <w:b/>
              </w:rPr>
              <w:t>RD</w:t>
            </w:r>
          </w:p>
        </w:tc>
      </w:tr>
      <w:tr w:rsidR="006115DB" w:rsidRPr="003703C5" w:rsidTr="0036260F">
        <w:trPr>
          <w:cnfStyle w:val="100000000000" w:firstRow="1" w:lastRow="0" w:firstColumn="0" w:lastColumn="0" w:oddVBand="0" w:evenVBand="0" w:oddHBand="0" w:evenHBand="0" w:firstRowFirstColumn="0" w:firstRowLastColumn="0" w:lastRowFirstColumn="0" w:lastRowLastColumn="0"/>
          <w:tblHeader/>
        </w:trPr>
        <w:tc>
          <w:tcPr>
            <w:tcW w:w="925" w:type="pct"/>
            <w:vMerge/>
          </w:tcPr>
          <w:p w:rsidR="006115DB" w:rsidRPr="003703C5" w:rsidRDefault="006115DB" w:rsidP="004E7393">
            <w:pPr>
              <w:pStyle w:val="TableText0"/>
              <w:keepNext w:val="0"/>
              <w:widowControl w:val="0"/>
              <w:spacing w:before="0" w:after="0"/>
            </w:pPr>
          </w:p>
        </w:tc>
        <w:tc>
          <w:tcPr>
            <w:tcW w:w="590" w:type="pct"/>
          </w:tcPr>
          <w:p w:rsidR="006115DB" w:rsidRPr="003703C5" w:rsidRDefault="006115DB" w:rsidP="004E7393">
            <w:pPr>
              <w:pStyle w:val="TableText0"/>
              <w:keepNext w:val="0"/>
              <w:widowControl w:val="0"/>
              <w:spacing w:before="0" w:after="0"/>
              <w:jc w:val="center"/>
            </w:pPr>
            <w:r w:rsidRPr="003703C5">
              <w:t>131</w:t>
            </w:r>
          </w:p>
        </w:tc>
        <w:tc>
          <w:tcPr>
            <w:tcW w:w="589" w:type="pct"/>
          </w:tcPr>
          <w:p w:rsidR="006115DB" w:rsidRPr="003703C5" w:rsidRDefault="006115DB" w:rsidP="004E7393">
            <w:pPr>
              <w:pStyle w:val="TableText0"/>
              <w:keepNext w:val="0"/>
              <w:widowControl w:val="0"/>
              <w:spacing w:before="0" w:after="0"/>
              <w:jc w:val="center"/>
            </w:pPr>
            <w:r w:rsidRPr="003703C5">
              <w:t>129</w:t>
            </w:r>
          </w:p>
        </w:tc>
        <w:tc>
          <w:tcPr>
            <w:tcW w:w="1431" w:type="pct"/>
            <w:vMerge/>
          </w:tcPr>
          <w:p w:rsidR="006115DB" w:rsidRPr="003703C5" w:rsidRDefault="006115DB" w:rsidP="004E7393">
            <w:pPr>
              <w:pStyle w:val="TableText0"/>
              <w:keepNext w:val="0"/>
              <w:widowControl w:val="0"/>
              <w:spacing w:before="0" w:after="0"/>
              <w:jc w:val="center"/>
            </w:pPr>
          </w:p>
        </w:tc>
        <w:tc>
          <w:tcPr>
            <w:tcW w:w="1465" w:type="pct"/>
            <w:vMerge/>
          </w:tcPr>
          <w:p w:rsidR="006115DB" w:rsidRPr="003703C5" w:rsidRDefault="006115DB" w:rsidP="004E7393">
            <w:pPr>
              <w:pStyle w:val="TableText0"/>
              <w:keepNext w:val="0"/>
              <w:widowControl w:val="0"/>
              <w:spacing w:before="0" w:after="0"/>
              <w:jc w:val="center"/>
            </w:pPr>
          </w:p>
        </w:tc>
      </w:tr>
      <w:tr w:rsidR="006115DB" w:rsidRPr="003703C5" w:rsidTr="00810AAF">
        <w:tc>
          <w:tcPr>
            <w:tcW w:w="2104" w:type="pct"/>
            <w:gridSpan w:val="3"/>
          </w:tcPr>
          <w:p w:rsidR="006115DB" w:rsidRPr="003703C5" w:rsidRDefault="006115DB" w:rsidP="004E7393">
            <w:pPr>
              <w:pStyle w:val="TableText0"/>
              <w:keepNext w:val="0"/>
              <w:widowControl w:val="0"/>
              <w:spacing w:before="0" w:after="0"/>
              <w:rPr>
                <w:b/>
                <w:lang w:eastAsia="zh-CN"/>
              </w:rPr>
            </w:pPr>
            <w:r w:rsidRPr="003703C5">
              <w:rPr>
                <w:b/>
              </w:rPr>
              <w:t>One or more AE - n (%)</w:t>
            </w:r>
          </w:p>
        </w:tc>
        <w:tc>
          <w:tcPr>
            <w:tcW w:w="1431" w:type="pct"/>
          </w:tcPr>
          <w:p w:rsidR="006115DB" w:rsidRPr="003703C5" w:rsidRDefault="006115DB" w:rsidP="004E7393">
            <w:pPr>
              <w:pStyle w:val="TableText0"/>
              <w:keepNext w:val="0"/>
              <w:widowControl w:val="0"/>
              <w:spacing w:before="0" w:after="0"/>
              <w:rPr>
                <w:b/>
                <w:lang w:eastAsia="zh-CN"/>
              </w:rPr>
            </w:pPr>
          </w:p>
        </w:tc>
        <w:tc>
          <w:tcPr>
            <w:tcW w:w="1465" w:type="pct"/>
          </w:tcPr>
          <w:p w:rsidR="006115DB" w:rsidRPr="003703C5" w:rsidRDefault="006115DB" w:rsidP="004E7393">
            <w:pPr>
              <w:pStyle w:val="TableText0"/>
              <w:keepNext w:val="0"/>
              <w:widowControl w:val="0"/>
              <w:spacing w:before="0" w:after="0"/>
              <w:rPr>
                <w:b/>
              </w:rPr>
            </w:pPr>
          </w:p>
        </w:tc>
      </w:tr>
      <w:tr w:rsidR="006115DB" w:rsidRPr="003703C5" w:rsidTr="00810AAF">
        <w:tc>
          <w:tcPr>
            <w:tcW w:w="925" w:type="pct"/>
          </w:tcPr>
          <w:p w:rsidR="006115DB" w:rsidRPr="003703C5" w:rsidRDefault="006115DB" w:rsidP="004E7393">
            <w:pPr>
              <w:pStyle w:val="TableText0"/>
              <w:keepNext w:val="0"/>
              <w:widowControl w:val="0"/>
              <w:spacing w:before="0" w:after="0"/>
            </w:pPr>
            <w:r w:rsidRPr="003703C5">
              <w:t>Any cause</w:t>
            </w:r>
          </w:p>
        </w:tc>
        <w:tc>
          <w:tcPr>
            <w:tcW w:w="590" w:type="pct"/>
          </w:tcPr>
          <w:p w:rsidR="006115DB" w:rsidRPr="003703C5" w:rsidRDefault="006115DB" w:rsidP="004E7393">
            <w:pPr>
              <w:pStyle w:val="TableText0"/>
              <w:keepNext w:val="0"/>
              <w:widowControl w:val="0"/>
              <w:spacing w:before="0" w:after="0"/>
              <w:jc w:val="center"/>
            </w:pPr>
            <w:r w:rsidRPr="003703C5">
              <w:t>127 (96.9)</w:t>
            </w:r>
          </w:p>
        </w:tc>
        <w:tc>
          <w:tcPr>
            <w:tcW w:w="589" w:type="pct"/>
          </w:tcPr>
          <w:p w:rsidR="006115DB" w:rsidRPr="003703C5" w:rsidRDefault="006115DB" w:rsidP="004E7393">
            <w:pPr>
              <w:pStyle w:val="TableText0"/>
              <w:keepNext w:val="0"/>
              <w:widowControl w:val="0"/>
              <w:spacing w:before="0" w:after="0"/>
              <w:jc w:val="center"/>
            </w:pPr>
            <w:r w:rsidRPr="003703C5">
              <w:t>125 (96.9)</w:t>
            </w:r>
          </w:p>
        </w:tc>
        <w:tc>
          <w:tcPr>
            <w:tcW w:w="1431" w:type="pct"/>
          </w:tcPr>
          <w:p w:rsidR="006115DB" w:rsidRPr="003703C5" w:rsidRDefault="006115DB" w:rsidP="004E7393">
            <w:pPr>
              <w:pStyle w:val="TableText0"/>
              <w:keepNext w:val="0"/>
              <w:widowControl w:val="0"/>
              <w:spacing w:before="0" w:after="0"/>
              <w:jc w:val="center"/>
            </w:pPr>
            <w:r w:rsidRPr="003703C5">
              <w:t>1.00 [0.96, 1.04], p=0.98</w:t>
            </w:r>
          </w:p>
        </w:tc>
        <w:tc>
          <w:tcPr>
            <w:tcW w:w="1465" w:type="pct"/>
          </w:tcPr>
          <w:p w:rsidR="006115DB" w:rsidRPr="003703C5" w:rsidRDefault="006115DB" w:rsidP="004E7393">
            <w:pPr>
              <w:pStyle w:val="TableText0"/>
              <w:keepNext w:val="0"/>
              <w:widowControl w:val="0"/>
              <w:spacing w:before="0" w:after="0"/>
              <w:jc w:val="center"/>
            </w:pPr>
            <w:r w:rsidRPr="003703C5">
              <w:t>0.00 [-0.04, 0.04], p=0.98</w:t>
            </w:r>
          </w:p>
        </w:tc>
      </w:tr>
      <w:tr w:rsidR="006115DB" w:rsidRPr="003703C5" w:rsidTr="00810AAF">
        <w:tc>
          <w:tcPr>
            <w:tcW w:w="925" w:type="pct"/>
          </w:tcPr>
          <w:p w:rsidR="006115DB" w:rsidRPr="003703C5" w:rsidRDefault="006115DB" w:rsidP="00810AAF">
            <w:pPr>
              <w:pStyle w:val="TableText0"/>
              <w:keepNext w:val="0"/>
              <w:widowControl w:val="0"/>
              <w:spacing w:before="0" w:after="0"/>
              <w:ind w:right="-108"/>
            </w:pPr>
            <w:r w:rsidRPr="003703C5">
              <w:t>Study drug-related</w:t>
            </w:r>
          </w:p>
        </w:tc>
        <w:tc>
          <w:tcPr>
            <w:tcW w:w="590" w:type="pct"/>
          </w:tcPr>
          <w:p w:rsidR="006115DB" w:rsidRPr="003703C5" w:rsidRDefault="006115DB" w:rsidP="004E7393">
            <w:pPr>
              <w:pStyle w:val="TableText0"/>
              <w:keepNext w:val="0"/>
              <w:widowControl w:val="0"/>
              <w:spacing w:before="0" w:after="0"/>
              <w:jc w:val="center"/>
            </w:pPr>
            <w:r w:rsidRPr="003703C5">
              <w:t>76 (58.0)</w:t>
            </w:r>
          </w:p>
        </w:tc>
        <w:tc>
          <w:tcPr>
            <w:tcW w:w="589" w:type="pct"/>
          </w:tcPr>
          <w:p w:rsidR="006115DB" w:rsidRPr="003703C5" w:rsidRDefault="006115DB" w:rsidP="004E7393">
            <w:pPr>
              <w:pStyle w:val="TableText0"/>
              <w:keepNext w:val="0"/>
              <w:widowControl w:val="0"/>
              <w:spacing w:before="0" w:after="0"/>
              <w:jc w:val="center"/>
            </w:pPr>
            <w:r w:rsidRPr="003703C5">
              <w:t>111 (86.0)</w:t>
            </w:r>
          </w:p>
        </w:tc>
        <w:tc>
          <w:tcPr>
            <w:tcW w:w="1431" w:type="pct"/>
          </w:tcPr>
          <w:p w:rsidR="006115DB" w:rsidRPr="003703C5" w:rsidRDefault="006115DB" w:rsidP="004E7393">
            <w:pPr>
              <w:pStyle w:val="TableText0"/>
              <w:keepNext w:val="0"/>
              <w:widowControl w:val="0"/>
              <w:spacing w:before="0" w:after="0"/>
              <w:jc w:val="center"/>
              <w:rPr>
                <w:b/>
              </w:rPr>
            </w:pPr>
            <w:r w:rsidRPr="003703C5">
              <w:rPr>
                <w:b/>
              </w:rPr>
              <w:t>0.67 [0.57, 0.79], p&lt;0.00001</w:t>
            </w:r>
          </w:p>
        </w:tc>
        <w:tc>
          <w:tcPr>
            <w:tcW w:w="1465" w:type="pct"/>
          </w:tcPr>
          <w:p w:rsidR="006115DB" w:rsidRPr="003703C5" w:rsidRDefault="006115DB" w:rsidP="004E7393">
            <w:pPr>
              <w:pStyle w:val="TableText0"/>
              <w:keepNext w:val="0"/>
              <w:widowControl w:val="0"/>
              <w:spacing w:before="0" w:after="0"/>
              <w:jc w:val="center"/>
              <w:rPr>
                <w:b/>
              </w:rPr>
            </w:pPr>
            <w:r w:rsidRPr="003703C5">
              <w:rPr>
                <w:b/>
              </w:rPr>
              <w:t>-0.28 [-0.38, -0.18], p&lt;0.00001</w:t>
            </w:r>
          </w:p>
        </w:tc>
      </w:tr>
      <w:tr w:rsidR="006115DB" w:rsidRPr="003703C5" w:rsidTr="00810AAF">
        <w:tc>
          <w:tcPr>
            <w:tcW w:w="2104" w:type="pct"/>
            <w:gridSpan w:val="3"/>
          </w:tcPr>
          <w:p w:rsidR="006115DB" w:rsidRPr="003703C5" w:rsidRDefault="006115DB" w:rsidP="004E7393">
            <w:pPr>
              <w:pStyle w:val="TableText0"/>
              <w:keepNext w:val="0"/>
              <w:widowControl w:val="0"/>
              <w:spacing w:before="0" w:after="0"/>
              <w:rPr>
                <w:b/>
                <w:lang w:eastAsia="zh-CN"/>
              </w:rPr>
            </w:pPr>
            <w:r w:rsidRPr="003703C5">
              <w:rPr>
                <w:b/>
              </w:rPr>
              <w:t>SAE -n (%)</w:t>
            </w:r>
          </w:p>
        </w:tc>
        <w:tc>
          <w:tcPr>
            <w:tcW w:w="1431" w:type="pct"/>
          </w:tcPr>
          <w:p w:rsidR="006115DB" w:rsidRPr="003703C5" w:rsidRDefault="006115DB" w:rsidP="004E7393">
            <w:pPr>
              <w:pStyle w:val="TableText0"/>
              <w:keepNext w:val="0"/>
              <w:widowControl w:val="0"/>
              <w:spacing w:before="0" w:after="0"/>
              <w:rPr>
                <w:b/>
                <w:lang w:eastAsia="zh-CN"/>
              </w:rPr>
            </w:pPr>
          </w:p>
        </w:tc>
        <w:tc>
          <w:tcPr>
            <w:tcW w:w="1465" w:type="pct"/>
          </w:tcPr>
          <w:p w:rsidR="006115DB" w:rsidRPr="003703C5" w:rsidRDefault="006115DB" w:rsidP="004E7393">
            <w:pPr>
              <w:pStyle w:val="TableText0"/>
              <w:keepNext w:val="0"/>
              <w:widowControl w:val="0"/>
              <w:spacing w:before="0" w:after="0"/>
              <w:rPr>
                <w:b/>
              </w:rPr>
            </w:pPr>
          </w:p>
        </w:tc>
      </w:tr>
      <w:tr w:rsidR="006115DB" w:rsidRPr="003703C5" w:rsidTr="00810AAF">
        <w:tc>
          <w:tcPr>
            <w:tcW w:w="925" w:type="pct"/>
          </w:tcPr>
          <w:p w:rsidR="006115DB" w:rsidRPr="003703C5" w:rsidRDefault="006115DB" w:rsidP="004E7393">
            <w:pPr>
              <w:pStyle w:val="TableText0"/>
              <w:keepNext w:val="0"/>
              <w:widowControl w:val="0"/>
              <w:spacing w:before="0" w:after="0"/>
            </w:pPr>
            <w:r w:rsidRPr="003703C5">
              <w:t>Any cause</w:t>
            </w:r>
          </w:p>
        </w:tc>
        <w:tc>
          <w:tcPr>
            <w:tcW w:w="590" w:type="pct"/>
          </w:tcPr>
          <w:p w:rsidR="006115DB" w:rsidRPr="003703C5" w:rsidRDefault="006115DB" w:rsidP="004E7393">
            <w:pPr>
              <w:pStyle w:val="TableText0"/>
              <w:keepNext w:val="0"/>
              <w:widowControl w:val="0"/>
              <w:spacing w:before="0" w:after="0"/>
              <w:jc w:val="center"/>
            </w:pPr>
            <w:r w:rsidRPr="003703C5">
              <w:t>61 (46.6)</w:t>
            </w:r>
          </w:p>
        </w:tc>
        <w:tc>
          <w:tcPr>
            <w:tcW w:w="589" w:type="pct"/>
          </w:tcPr>
          <w:p w:rsidR="006115DB" w:rsidRPr="003703C5" w:rsidRDefault="006115DB" w:rsidP="004E7393">
            <w:pPr>
              <w:pStyle w:val="TableText0"/>
              <w:keepNext w:val="0"/>
              <w:widowControl w:val="0"/>
              <w:spacing w:before="0" w:after="0"/>
              <w:jc w:val="center"/>
            </w:pPr>
            <w:r w:rsidRPr="003703C5">
              <w:t>70 (54.3)</w:t>
            </w:r>
          </w:p>
        </w:tc>
        <w:tc>
          <w:tcPr>
            <w:tcW w:w="1431" w:type="pct"/>
          </w:tcPr>
          <w:p w:rsidR="006115DB" w:rsidRPr="003703C5" w:rsidRDefault="006115DB" w:rsidP="004E7393">
            <w:pPr>
              <w:pStyle w:val="TableText0"/>
              <w:keepNext w:val="0"/>
              <w:widowControl w:val="0"/>
              <w:spacing w:before="0" w:after="0"/>
              <w:jc w:val="center"/>
            </w:pPr>
            <w:r w:rsidRPr="003703C5">
              <w:t>0.86 [0.67, 1.09], p=0.22</w:t>
            </w:r>
          </w:p>
        </w:tc>
        <w:tc>
          <w:tcPr>
            <w:tcW w:w="1465" w:type="pct"/>
          </w:tcPr>
          <w:p w:rsidR="006115DB" w:rsidRPr="003703C5" w:rsidRDefault="006115DB" w:rsidP="004E7393">
            <w:pPr>
              <w:pStyle w:val="TableText0"/>
              <w:keepNext w:val="0"/>
              <w:widowControl w:val="0"/>
              <w:spacing w:before="0" w:after="0"/>
              <w:jc w:val="center"/>
            </w:pPr>
            <w:r w:rsidRPr="003703C5">
              <w:t>-0.08 [-0.20, 0.04], p=0.21</w:t>
            </w:r>
          </w:p>
        </w:tc>
      </w:tr>
      <w:tr w:rsidR="006115DB" w:rsidRPr="003703C5" w:rsidTr="00810AAF">
        <w:tc>
          <w:tcPr>
            <w:tcW w:w="925" w:type="pct"/>
          </w:tcPr>
          <w:p w:rsidR="006115DB" w:rsidRPr="003703C5" w:rsidRDefault="006115DB" w:rsidP="00810AAF">
            <w:pPr>
              <w:pStyle w:val="TableText0"/>
              <w:keepNext w:val="0"/>
              <w:widowControl w:val="0"/>
              <w:spacing w:before="0" w:after="0"/>
              <w:ind w:right="-108"/>
            </w:pPr>
            <w:r w:rsidRPr="003703C5">
              <w:t>Study drug-related</w:t>
            </w:r>
          </w:p>
        </w:tc>
        <w:tc>
          <w:tcPr>
            <w:tcW w:w="590" w:type="pct"/>
          </w:tcPr>
          <w:p w:rsidR="006115DB" w:rsidRPr="003703C5" w:rsidRDefault="006115DB" w:rsidP="004E7393">
            <w:pPr>
              <w:pStyle w:val="TableText0"/>
              <w:keepNext w:val="0"/>
              <w:widowControl w:val="0"/>
              <w:spacing w:before="0" w:after="0"/>
              <w:jc w:val="center"/>
            </w:pPr>
            <w:r w:rsidRPr="003703C5">
              <w:t>9 (6.9)</w:t>
            </w:r>
          </w:p>
        </w:tc>
        <w:tc>
          <w:tcPr>
            <w:tcW w:w="589" w:type="pct"/>
          </w:tcPr>
          <w:p w:rsidR="006115DB" w:rsidRPr="003703C5" w:rsidRDefault="006115DB" w:rsidP="004E7393">
            <w:pPr>
              <w:pStyle w:val="TableText0"/>
              <w:keepNext w:val="0"/>
              <w:widowControl w:val="0"/>
              <w:spacing w:before="0" w:after="0"/>
              <w:jc w:val="center"/>
            </w:pPr>
            <w:r w:rsidRPr="003703C5">
              <w:t>31 (24.0)</w:t>
            </w:r>
          </w:p>
        </w:tc>
        <w:tc>
          <w:tcPr>
            <w:tcW w:w="1431" w:type="pct"/>
          </w:tcPr>
          <w:p w:rsidR="006115DB" w:rsidRPr="003703C5" w:rsidRDefault="006115DB" w:rsidP="004E7393">
            <w:pPr>
              <w:pStyle w:val="TableText0"/>
              <w:keepNext w:val="0"/>
              <w:widowControl w:val="0"/>
              <w:spacing w:before="0" w:after="0"/>
              <w:jc w:val="center"/>
              <w:rPr>
                <w:b/>
              </w:rPr>
            </w:pPr>
            <w:r w:rsidRPr="003703C5">
              <w:rPr>
                <w:b/>
              </w:rPr>
              <w:t>0.29 [0.14, 0.58], p=0.0005</w:t>
            </w:r>
          </w:p>
        </w:tc>
        <w:tc>
          <w:tcPr>
            <w:tcW w:w="1465" w:type="pct"/>
          </w:tcPr>
          <w:p w:rsidR="006115DB" w:rsidRPr="003703C5" w:rsidRDefault="006115DB" w:rsidP="004E7393">
            <w:pPr>
              <w:pStyle w:val="TableText0"/>
              <w:keepNext w:val="0"/>
              <w:widowControl w:val="0"/>
              <w:spacing w:before="0" w:after="0"/>
              <w:jc w:val="center"/>
              <w:rPr>
                <w:b/>
              </w:rPr>
            </w:pPr>
            <w:r w:rsidRPr="003703C5">
              <w:rPr>
                <w:b/>
              </w:rPr>
              <w:t>-0.17 [-0.26, -0.09], p&lt;0.0001</w:t>
            </w:r>
          </w:p>
        </w:tc>
      </w:tr>
      <w:tr w:rsidR="006115DB" w:rsidRPr="003703C5" w:rsidTr="00810AAF">
        <w:tc>
          <w:tcPr>
            <w:tcW w:w="2104" w:type="pct"/>
            <w:gridSpan w:val="3"/>
          </w:tcPr>
          <w:p w:rsidR="006115DB" w:rsidRPr="003703C5" w:rsidRDefault="006115DB" w:rsidP="004E7393">
            <w:pPr>
              <w:pStyle w:val="TableText0"/>
              <w:keepNext w:val="0"/>
              <w:widowControl w:val="0"/>
              <w:spacing w:before="0" w:after="0"/>
              <w:rPr>
                <w:b/>
                <w:lang w:eastAsia="zh-CN"/>
              </w:rPr>
            </w:pPr>
            <w:r w:rsidRPr="003703C5">
              <w:rPr>
                <w:b/>
              </w:rPr>
              <w:t>Severe AE (Grade ≥3) n (%)</w:t>
            </w:r>
          </w:p>
        </w:tc>
        <w:tc>
          <w:tcPr>
            <w:tcW w:w="1431" w:type="pct"/>
          </w:tcPr>
          <w:p w:rsidR="006115DB" w:rsidRPr="003703C5" w:rsidRDefault="006115DB" w:rsidP="004E7393">
            <w:pPr>
              <w:pStyle w:val="TableText0"/>
              <w:keepNext w:val="0"/>
              <w:widowControl w:val="0"/>
              <w:spacing w:before="0" w:after="0"/>
              <w:rPr>
                <w:b/>
                <w:lang w:eastAsia="zh-CN"/>
              </w:rPr>
            </w:pPr>
          </w:p>
        </w:tc>
        <w:tc>
          <w:tcPr>
            <w:tcW w:w="1465" w:type="pct"/>
          </w:tcPr>
          <w:p w:rsidR="006115DB" w:rsidRPr="003703C5" w:rsidRDefault="006115DB" w:rsidP="004E7393">
            <w:pPr>
              <w:pStyle w:val="TableText0"/>
              <w:keepNext w:val="0"/>
              <w:widowControl w:val="0"/>
              <w:spacing w:before="0" w:after="0"/>
              <w:rPr>
                <w:b/>
              </w:rPr>
            </w:pPr>
          </w:p>
        </w:tc>
      </w:tr>
      <w:tr w:rsidR="006115DB" w:rsidRPr="003703C5" w:rsidTr="00810AAF">
        <w:tc>
          <w:tcPr>
            <w:tcW w:w="925" w:type="pct"/>
          </w:tcPr>
          <w:p w:rsidR="006115DB" w:rsidRPr="003703C5" w:rsidRDefault="006115DB" w:rsidP="004E7393">
            <w:pPr>
              <w:pStyle w:val="TableText0"/>
              <w:keepNext w:val="0"/>
              <w:widowControl w:val="0"/>
              <w:spacing w:before="0" w:after="0"/>
            </w:pPr>
            <w:r w:rsidRPr="003703C5">
              <w:t>Any cause</w:t>
            </w:r>
          </w:p>
        </w:tc>
        <w:tc>
          <w:tcPr>
            <w:tcW w:w="590" w:type="pct"/>
          </w:tcPr>
          <w:p w:rsidR="006115DB" w:rsidRPr="003703C5" w:rsidRDefault="006115DB" w:rsidP="004E7393">
            <w:pPr>
              <w:pStyle w:val="TableText0"/>
              <w:keepNext w:val="0"/>
              <w:widowControl w:val="0"/>
              <w:spacing w:before="0" w:after="0"/>
              <w:jc w:val="center"/>
            </w:pPr>
            <w:r w:rsidRPr="003703C5">
              <w:t>9 (6.9)</w:t>
            </w:r>
          </w:p>
        </w:tc>
        <w:tc>
          <w:tcPr>
            <w:tcW w:w="589" w:type="pct"/>
          </w:tcPr>
          <w:p w:rsidR="006115DB" w:rsidRPr="003703C5" w:rsidRDefault="006115DB" w:rsidP="004E7393">
            <w:pPr>
              <w:pStyle w:val="TableText0"/>
              <w:keepNext w:val="0"/>
              <w:widowControl w:val="0"/>
              <w:spacing w:before="0" w:after="0"/>
              <w:jc w:val="center"/>
            </w:pPr>
            <w:r w:rsidRPr="003703C5">
              <w:t>20 (15.5)</w:t>
            </w:r>
          </w:p>
        </w:tc>
        <w:tc>
          <w:tcPr>
            <w:tcW w:w="1431" w:type="pct"/>
          </w:tcPr>
          <w:p w:rsidR="006115DB" w:rsidRPr="003703C5" w:rsidRDefault="006115DB" w:rsidP="004E7393">
            <w:pPr>
              <w:pStyle w:val="TableText0"/>
              <w:keepNext w:val="0"/>
              <w:widowControl w:val="0"/>
              <w:spacing w:before="0" w:after="0"/>
              <w:jc w:val="center"/>
              <w:rPr>
                <w:b/>
              </w:rPr>
            </w:pPr>
            <w:r w:rsidRPr="003703C5">
              <w:rPr>
                <w:b/>
              </w:rPr>
              <w:t>0.44 [0.21, 0.94], p=0.03</w:t>
            </w:r>
          </w:p>
        </w:tc>
        <w:tc>
          <w:tcPr>
            <w:tcW w:w="1465" w:type="pct"/>
          </w:tcPr>
          <w:p w:rsidR="006115DB" w:rsidRPr="003703C5" w:rsidRDefault="006115DB" w:rsidP="004E7393">
            <w:pPr>
              <w:pStyle w:val="TableText0"/>
              <w:keepNext w:val="0"/>
              <w:widowControl w:val="0"/>
              <w:spacing w:before="0" w:after="0"/>
              <w:jc w:val="center"/>
              <w:rPr>
                <w:b/>
              </w:rPr>
            </w:pPr>
            <w:r w:rsidRPr="003703C5">
              <w:rPr>
                <w:b/>
              </w:rPr>
              <w:t>-0.09 [-0.16, -0.01], p=0.03</w:t>
            </w:r>
          </w:p>
        </w:tc>
      </w:tr>
      <w:tr w:rsidR="006115DB" w:rsidRPr="003703C5" w:rsidTr="00810AAF">
        <w:tc>
          <w:tcPr>
            <w:tcW w:w="925" w:type="pct"/>
          </w:tcPr>
          <w:p w:rsidR="006115DB" w:rsidRPr="003703C5" w:rsidRDefault="006115DB" w:rsidP="00810AAF">
            <w:pPr>
              <w:pStyle w:val="TableText0"/>
              <w:keepNext w:val="0"/>
              <w:widowControl w:val="0"/>
              <w:spacing w:before="0" w:after="0"/>
              <w:ind w:right="-108"/>
            </w:pPr>
            <w:r w:rsidRPr="003703C5">
              <w:t>Study drug-related</w:t>
            </w:r>
          </w:p>
        </w:tc>
        <w:tc>
          <w:tcPr>
            <w:tcW w:w="590" w:type="pct"/>
          </w:tcPr>
          <w:p w:rsidR="006115DB" w:rsidRPr="003703C5" w:rsidRDefault="006115DB" w:rsidP="004E7393">
            <w:pPr>
              <w:pStyle w:val="TableText0"/>
              <w:keepNext w:val="0"/>
              <w:widowControl w:val="0"/>
              <w:spacing w:before="0" w:after="0"/>
              <w:jc w:val="center"/>
            </w:pPr>
            <w:r w:rsidRPr="003703C5">
              <w:t>2 (1.5)</w:t>
            </w:r>
          </w:p>
        </w:tc>
        <w:tc>
          <w:tcPr>
            <w:tcW w:w="589" w:type="pct"/>
          </w:tcPr>
          <w:p w:rsidR="006115DB" w:rsidRPr="003703C5" w:rsidRDefault="006115DB" w:rsidP="004E7393">
            <w:pPr>
              <w:pStyle w:val="TableText0"/>
              <w:keepNext w:val="0"/>
              <w:widowControl w:val="0"/>
              <w:spacing w:before="0" w:after="0"/>
              <w:jc w:val="center"/>
            </w:pPr>
            <w:r w:rsidRPr="003703C5">
              <w:t>9 (7.0)</w:t>
            </w:r>
          </w:p>
        </w:tc>
        <w:tc>
          <w:tcPr>
            <w:tcW w:w="1431" w:type="pct"/>
          </w:tcPr>
          <w:p w:rsidR="006115DB" w:rsidRPr="003703C5" w:rsidRDefault="006115DB" w:rsidP="004E7393">
            <w:pPr>
              <w:pStyle w:val="TableText0"/>
              <w:keepNext w:val="0"/>
              <w:widowControl w:val="0"/>
              <w:spacing w:before="0" w:after="0"/>
              <w:jc w:val="center"/>
              <w:rPr>
                <w:b/>
              </w:rPr>
            </w:pPr>
            <w:r w:rsidRPr="003703C5">
              <w:rPr>
                <w:b/>
              </w:rPr>
              <w:t>0.22 [0.05, 0.99], p=0.05</w:t>
            </w:r>
          </w:p>
        </w:tc>
        <w:tc>
          <w:tcPr>
            <w:tcW w:w="1465" w:type="pct"/>
          </w:tcPr>
          <w:p w:rsidR="006115DB" w:rsidRPr="003703C5" w:rsidRDefault="006115DB" w:rsidP="004E7393">
            <w:pPr>
              <w:pStyle w:val="TableText0"/>
              <w:keepNext w:val="0"/>
              <w:widowControl w:val="0"/>
              <w:spacing w:before="0" w:after="0"/>
              <w:jc w:val="center"/>
              <w:rPr>
                <w:b/>
              </w:rPr>
            </w:pPr>
            <w:r w:rsidRPr="003703C5">
              <w:rPr>
                <w:b/>
              </w:rPr>
              <w:t>-0.05 [-0.10, -0.01], p=0.03</w:t>
            </w:r>
          </w:p>
        </w:tc>
      </w:tr>
      <w:tr w:rsidR="006115DB" w:rsidRPr="003703C5" w:rsidTr="00810AAF">
        <w:tc>
          <w:tcPr>
            <w:tcW w:w="2104" w:type="pct"/>
            <w:gridSpan w:val="3"/>
          </w:tcPr>
          <w:p w:rsidR="006115DB" w:rsidRPr="003703C5" w:rsidRDefault="006115DB" w:rsidP="004E7393">
            <w:pPr>
              <w:pStyle w:val="TableText0"/>
              <w:keepNext w:val="0"/>
              <w:widowControl w:val="0"/>
              <w:spacing w:before="0" w:after="0"/>
              <w:rPr>
                <w:b/>
                <w:lang w:eastAsia="zh-CN"/>
              </w:rPr>
            </w:pPr>
            <w:r w:rsidRPr="003703C5">
              <w:rPr>
                <w:b/>
              </w:rPr>
              <w:t>AE leading to treatment discontinuation, n (%)</w:t>
            </w:r>
          </w:p>
        </w:tc>
        <w:tc>
          <w:tcPr>
            <w:tcW w:w="1431" w:type="pct"/>
          </w:tcPr>
          <w:p w:rsidR="006115DB" w:rsidRPr="003703C5" w:rsidRDefault="006115DB" w:rsidP="004E7393">
            <w:pPr>
              <w:pStyle w:val="TableText0"/>
              <w:keepNext w:val="0"/>
              <w:widowControl w:val="0"/>
              <w:spacing w:before="0" w:after="0"/>
              <w:rPr>
                <w:b/>
                <w:lang w:eastAsia="zh-CN"/>
              </w:rPr>
            </w:pPr>
          </w:p>
        </w:tc>
        <w:tc>
          <w:tcPr>
            <w:tcW w:w="1465" w:type="pct"/>
          </w:tcPr>
          <w:p w:rsidR="006115DB" w:rsidRPr="003703C5" w:rsidRDefault="006115DB" w:rsidP="004E7393">
            <w:pPr>
              <w:pStyle w:val="TableText0"/>
              <w:keepNext w:val="0"/>
              <w:widowControl w:val="0"/>
              <w:spacing w:before="0" w:after="0"/>
              <w:rPr>
                <w:b/>
              </w:rPr>
            </w:pPr>
          </w:p>
        </w:tc>
      </w:tr>
      <w:tr w:rsidR="006115DB" w:rsidRPr="003703C5" w:rsidTr="00810AAF">
        <w:tc>
          <w:tcPr>
            <w:tcW w:w="925" w:type="pct"/>
          </w:tcPr>
          <w:p w:rsidR="006115DB" w:rsidRPr="003703C5" w:rsidRDefault="006115DB" w:rsidP="004E7393">
            <w:pPr>
              <w:pStyle w:val="TableText0"/>
              <w:keepNext w:val="0"/>
              <w:widowControl w:val="0"/>
              <w:spacing w:before="0" w:after="0"/>
            </w:pPr>
            <w:r w:rsidRPr="003703C5">
              <w:t>Any cause</w:t>
            </w:r>
          </w:p>
        </w:tc>
        <w:tc>
          <w:tcPr>
            <w:tcW w:w="590" w:type="pct"/>
          </w:tcPr>
          <w:p w:rsidR="006115DB" w:rsidRPr="003703C5" w:rsidRDefault="006115DB" w:rsidP="004E7393">
            <w:pPr>
              <w:pStyle w:val="TableText0"/>
              <w:keepNext w:val="0"/>
              <w:widowControl w:val="0"/>
              <w:spacing w:before="0" w:after="0"/>
              <w:jc w:val="center"/>
            </w:pPr>
            <w:r w:rsidRPr="003703C5">
              <w:t>14 (10.7)</w:t>
            </w:r>
          </w:p>
        </w:tc>
        <w:tc>
          <w:tcPr>
            <w:tcW w:w="589" w:type="pct"/>
          </w:tcPr>
          <w:p w:rsidR="006115DB" w:rsidRPr="003703C5" w:rsidRDefault="006115DB" w:rsidP="004E7393">
            <w:pPr>
              <w:pStyle w:val="TableText0"/>
              <w:keepNext w:val="0"/>
              <w:widowControl w:val="0"/>
              <w:spacing w:before="0" w:after="0"/>
              <w:jc w:val="center"/>
            </w:pPr>
            <w:r w:rsidRPr="003703C5">
              <w:t>26 (20.2)</w:t>
            </w:r>
          </w:p>
        </w:tc>
        <w:tc>
          <w:tcPr>
            <w:tcW w:w="1431" w:type="pct"/>
          </w:tcPr>
          <w:p w:rsidR="006115DB" w:rsidRPr="003703C5" w:rsidRDefault="006115DB" w:rsidP="004E7393">
            <w:pPr>
              <w:pStyle w:val="TableText0"/>
              <w:keepNext w:val="0"/>
              <w:widowControl w:val="0"/>
              <w:spacing w:before="0" w:after="0"/>
              <w:jc w:val="center"/>
              <w:rPr>
                <w:b/>
              </w:rPr>
            </w:pPr>
            <w:r w:rsidRPr="003703C5">
              <w:rPr>
                <w:b/>
              </w:rPr>
              <w:t>0.53 [0.29, 0.97], p=0.04</w:t>
            </w:r>
          </w:p>
        </w:tc>
        <w:tc>
          <w:tcPr>
            <w:tcW w:w="1465" w:type="pct"/>
          </w:tcPr>
          <w:p w:rsidR="006115DB" w:rsidRPr="003703C5" w:rsidRDefault="006115DB" w:rsidP="004E7393">
            <w:pPr>
              <w:pStyle w:val="TableText0"/>
              <w:keepNext w:val="0"/>
              <w:widowControl w:val="0"/>
              <w:spacing w:before="0" w:after="0"/>
              <w:jc w:val="center"/>
              <w:rPr>
                <w:b/>
              </w:rPr>
            </w:pPr>
            <w:r w:rsidRPr="003703C5">
              <w:rPr>
                <w:b/>
              </w:rPr>
              <w:t>-0.09 [-0.18, -0.01], p=0.03</w:t>
            </w:r>
          </w:p>
        </w:tc>
      </w:tr>
      <w:tr w:rsidR="006115DB" w:rsidRPr="003703C5" w:rsidTr="00810AAF">
        <w:tc>
          <w:tcPr>
            <w:tcW w:w="925" w:type="pct"/>
          </w:tcPr>
          <w:p w:rsidR="006115DB" w:rsidRPr="003703C5" w:rsidRDefault="006115DB" w:rsidP="00810AAF">
            <w:pPr>
              <w:pStyle w:val="TableText0"/>
              <w:keepNext w:val="0"/>
              <w:widowControl w:val="0"/>
              <w:spacing w:before="0" w:after="0"/>
              <w:ind w:right="-108"/>
            </w:pPr>
            <w:r w:rsidRPr="003703C5">
              <w:t>Study drug-related</w:t>
            </w:r>
          </w:p>
        </w:tc>
        <w:tc>
          <w:tcPr>
            <w:tcW w:w="590" w:type="pct"/>
          </w:tcPr>
          <w:p w:rsidR="006115DB" w:rsidRPr="003703C5" w:rsidRDefault="006115DB" w:rsidP="004E7393">
            <w:pPr>
              <w:pStyle w:val="TableText0"/>
              <w:keepNext w:val="0"/>
              <w:widowControl w:val="0"/>
              <w:spacing w:before="0" w:after="0"/>
              <w:jc w:val="center"/>
            </w:pPr>
            <w:r w:rsidRPr="003703C5">
              <w:t>4 (3.1)</w:t>
            </w:r>
          </w:p>
        </w:tc>
        <w:tc>
          <w:tcPr>
            <w:tcW w:w="589" w:type="pct"/>
          </w:tcPr>
          <w:p w:rsidR="006115DB" w:rsidRPr="003703C5" w:rsidRDefault="006115DB" w:rsidP="004E7393">
            <w:pPr>
              <w:pStyle w:val="TableText0"/>
              <w:keepNext w:val="0"/>
              <w:widowControl w:val="0"/>
              <w:spacing w:before="0" w:after="0"/>
              <w:jc w:val="center"/>
            </w:pPr>
            <w:r w:rsidRPr="003703C5">
              <w:t>13 (10.1)</w:t>
            </w:r>
          </w:p>
        </w:tc>
        <w:tc>
          <w:tcPr>
            <w:tcW w:w="1431" w:type="pct"/>
          </w:tcPr>
          <w:p w:rsidR="006115DB" w:rsidRPr="003703C5" w:rsidRDefault="006115DB" w:rsidP="004E7393">
            <w:pPr>
              <w:pStyle w:val="TableText0"/>
              <w:keepNext w:val="0"/>
              <w:widowControl w:val="0"/>
              <w:spacing w:before="0" w:after="0"/>
              <w:jc w:val="center"/>
              <w:rPr>
                <w:b/>
              </w:rPr>
            </w:pPr>
            <w:r w:rsidRPr="003703C5">
              <w:rPr>
                <w:b/>
              </w:rPr>
              <w:t>0.30 [0.10, 0.90], p=0.03</w:t>
            </w:r>
          </w:p>
        </w:tc>
        <w:tc>
          <w:tcPr>
            <w:tcW w:w="1465" w:type="pct"/>
          </w:tcPr>
          <w:p w:rsidR="006115DB" w:rsidRPr="003703C5" w:rsidRDefault="006115DB" w:rsidP="004E7393">
            <w:pPr>
              <w:pStyle w:val="TableText0"/>
              <w:keepNext w:val="0"/>
              <w:widowControl w:val="0"/>
              <w:spacing w:before="0" w:after="0"/>
              <w:jc w:val="center"/>
              <w:rPr>
                <w:b/>
              </w:rPr>
            </w:pPr>
            <w:r w:rsidRPr="003703C5">
              <w:rPr>
                <w:b/>
              </w:rPr>
              <w:t>-0.07 [-0.13, -0.01], p=0.02</w:t>
            </w:r>
          </w:p>
        </w:tc>
      </w:tr>
    </w:tbl>
    <w:p w:rsidR="006115DB" w:rsidRPr="003703C5" w:rsidRDefault="006115DB" w:rsidP="00810AAF">
      <w:pPr>
        <w:pStyle w:val="TableNotes"/>
        <w:spacing w:after="0"/>
        <w:ind w:left="709"/>
        <w:jc w:val="both"/>
        <w:rPr>
          <w:rFonts w:ascii="Arial Narrow" w:hAnsi="Arial Narrow"/>
          <w:sz w:val="18"/>
          <w:szCs w:val="18"/>
        </w:rPr>
      </w:pPr>
      <w:proofErr w:type="gramStart"/>
      <w:r w:rsidRPr="003703C5">
        <w:rPr>
          <w:rFonts w:ascii="Arial Narrow" w:hAnsi="Arial Narrow"/>
          <w:b/>
          <w:sz w:val="18"/>
          <w:szCs w:val="18"/>
        </w:rPr>
        <w:t>Statistically significant differences bolded</w:t>
      </w:r>
      <w:r w:rsidRPr="003703C5">
        <w:rPr>
          <w:rFonts w:ascii="Arial Narrow" w:hAnsi="Arial Narrow"/>
          <w:sz w:val="18"/>
          <w:szCs w:val="18"/>
        </w:rPr>
        <w:t>.</w:t>
      </w:r>
      <w:proofErr w:type="gramEnd"/>
    </w:p>
    <w:p w:rsidR="006115DB" w:rsidRPr="003703C5" w:rsidRDefault="006115DB" w:rsidP="00810AAF">
      <w:pPr>
        <w:pStyle w:val="TableNotes"/>
        <w:spacing w:after="0"/>
        <w:ind w:left="709"/>
        <w:jc w:val="both"/>
        <w:rPr>
          <w:rFonts w:ascii="Arial Narrow" w:hAnsi="Arial Narrow"/>
          <w:sz w:val="18"/>
          <w:szCs w:val="18"/>
        </w:rPr>
      </w:pPr>
      <w:r w:rsidRPr="003703C5">
        <w:rPr>
          <w:rFonts w:ascii="Arial Narrow" w:hAnsi="Arial Narrow"/>
          <w:sz w:val="18"/>
          <w:szCs w:val="18"/>
        </w:rPr>
        <w:t>AE</w:t>
      </w:r>
      <w:r>
        <w:rPr>
          <w:rFonts w:ascii="Arial Narrow" w:hAnsi="Arial Narrow"/>
          <w:sz w:val="18"/>
          <w:szCs w:val="18"/>
        </w:rPr>
        <w:t>=</w:t>
      </w:r>
      <w:r w:rsidRPr="003703C5">
        <w:rPr>
          <w:rFonts w:ascii="Arial Narrow" w:hAnsi="Arial Narrow"/>
          <w:sz w:val="18"/>
          <w:szCs w:val="18"/>
        </w:rPr>
        <w:t>adverse event; SAE</w:t>
      </w:r>
      <w:r>
        <w:rPr>
          <w:rFonts w:ascii="Arial Narrow" w:hAnsi="Arial Narrow"/>
          <w:sz w:val="18"/>
          <w:szCs w:val="18"/>
        </w:rPr>
        <w:t>=</w:t>
      </w:r>
      <w:r w:rsidRPr="003703C5">
        <w:rPr>
          <w:rFonts w:ascii="Arial Narrow" w:hAnsi="Arial Narrow"/>
          <w:sz w:val="18"/>
          <w:szCs w:val="18"/>
        </w:rPr>
        <w:t>seriou</w:t>
      </w:r>
      <w:r w:rsidR="00810AAF">
        <w:rPr>
          <w:rFonts w:ascii="Arial Narrow" w:hAnsi="Arial Narrow"/>
          <w:sz w:val="18"/>
          <w:szCs w:val="18"/>
        </w:rPr>
        <w:t>s adverse event</w:t>
      </w:r>
      <w:r>
        <w:rPr>
          <w:rFonts w:ascii="Arial Narrow" w:hAnsi="Arial Narrow"/>
          <w:sz w:val="18"/>
          <w:szCs w:val="18"/>
        </w:rPr>
        <w:t xml:space="preserve">; </w:t>
      </w:r>
      <w:r w:rsidRPr="003703C5">
        <w:rPr>
          <w:rFonts w:ascii="Arial Narrow" w:hAnsi="Arial Narrow"/>
          <w:sz w:val="18"/>
          <w:szCs w:val="18"/>
        </w:rPr>
        <w:t>DOC</w:t>
      </w:r>
      <w:r>
        <w:rPr>
          <w:rFonts w:ascii="Arial Narrow" w:hAnsi="Arial Narrow"/>
          <w:sz w:val="18"/>
          <w:szCs w:val="18"/>
        </w:rPr>
        <w:t>=</w:t>
      </w:r>
      <w:proofErr w:type="spellStart"/>
      <w:r w:rsidRPr="003703C5">
        <w:rPr>
          <w:rFonts w:ascii="Arial Narrow" w:hAnsi="Arial Narrow"/>
          <w:sz w:val="18"/>
          <w:szCs w:val="18"/>
        </w:rPr>
        <w:t>docetaxel</w:t>
      </w:r>
      <w:proofErr w:type="spellEnd"/>
      <w:r w:rsidRPr="003703C5">
        <w:rPr>
          <w:rFonts w:ascii="Arial Narrow" w:hAnsi="Arial Narrow"/>
          <w:sz w:val="18"/>
          <w:szCs w:val="18"/>
        </w:rPr>
        <w:t>; NIVO</w:t>
      </w:r>
      <w:r>
        <w:rPr>
          <w:rFonts w:ascii="Arial Narrow" w:hAnsi="Arial Narrow"/>
          <w:sz w:val="18"/>
          <w:szCs w:val="18"/>
        </w:rPr>
        <w:t>=</w:t>
      </w:r>
      <w:proofErr w:type="spellStart"/>
      <w:r w:rsidRPr="003703C5">
        <w:rPr>
          <w:rFonts w:ascii="Arial Narrow" w:hAnsi="Arial Narrow"/>
          <w:sz w:val="18"/>
          <w:szCs w:val="18"/>
        </w:rPr>
        <w:t>nivolumab</w:t>
      </w:r>
      <w:proofErr w:type="spellEnd"/>
      <w:r w:rsidRPr="003703C5">
        <w:rPr>
          <w:rFonts w:ascii="Arial Narrow" w:hAnsi="Arial Narrow"/>
          <w:sz w:val="18"/>
          <w:szCs w:val="18"/>
        </w:rPr>
        <w:t>; OR</w:t>
      </w:r>
      <w:r>
        <w:rPr>
          <w:rFonts w:ascii="Arial Narrow" w:hAnsi="Arial Narrow"/>
          <w:sz w:val="18"/>
          <w:szCs w:val="18"/>
        </w:rPr>
        <w:t>=</w:t>
      </w:r>
      <w:r w:rsidRPr="003703C5">
        <w:rPr>
          <w:rFonts w:ascii="Arial Narrow" w:hAnsi="Arial Narrow"/>
          <w:sz w:val="18"/>
          <w:szCs w:val="18"/>
        </w:rPr>
        <w:t>odds ratio; RD</w:t>
      </w:r>
      <w:r>
        <w:rPr>
          <w:rFonts w:ascii="Arial Narrow" w:hAnsi="Arial Narrow"/>
          <w:sz w:val="18"/>
          <w:szCs w:val="18"/>
        </w:rPr>
        <w:t>=</w:t>
      </w:r>
      <w:r w:rsidRPr="003703C5">
        <w:rPr>
          <w:rFonts w:ascii="Arial Narrow" w:hAnsi="Arial Narrow"/>
          <w:sz w:val="18"/>
          <w:szCs w:val="18"/>
        </w:rPr>
        <w:t>risk difference; RR</w:t>
      </w:r>
      <w:r>
        <w:rPr>
          <w:rFonts w:ascii="Arial Narrow" w:hAnsi="Arial Narrow"/>
          <w:sz w:val="18"/>
          <w:szCs w:val="18"/>
        </w:rPr>
        <w:t>=</w:t>
      </w:r>
      <w:r w:rsidR="00810AAF">
        <w:rPr>
          <w:rFonts w:ascii="Arial Narrow" w:hAnsi="Arial Narrow"/>
          <w:sz w:val="18"/>
          <w:szCs w:val="18"/>
        </w:rPr>
        <w:t>risk ratio</w:t>
      </w:r>
    </w:p>
    <w:p w:rsidR="006115DB" w:rsidRPr="003703C5" w:rsidRDefault="006115DB" w:rsidP="00810AAF">
      <w:pPr>
        <w:pStyle w:val="TableNotes"/>
        <w:spacing w:after="0"/>
        <w:ind w:left="709"/>
        <w:jc w:val="both"/>
        <w:rPr>
          <w:rFonts w:ascii="Arial Narrow" w:hAnsi="Arial Narrow"/>
          <w:sz w:val="18"/>
          <w:szCs w:val="18"/>
        </w:rPr>
      </w:pPr>
      <w:r w:rsidRPr="003703C5">
        <w:rPr>
          <w:rFonts w:ascii="Arial Narrow" w:hAnsi="Arial Narrow"/>
          <w:sz w:val="18"/>
          <w:szCs w:val="18"/>
        </w:rPr>
        <w:t>Source: Table 31, p73 of the submission.</w:t>
      </w:r>
    </w:p>
    <w:p w:rsidR="006115DB" w:rsidRDefault="006115DB" w:rsidP="006115DB"/>
    <w:p w:rsidR="006115DB" w:rsidRPr="009A3DE9" w:rsidRDefault="006115DB" w:rsidP="005B503C">
      <w:pPr>
        <w:pStyle w:val="Caption"/>
        <w:ind w:left="709"/>
        <w:rPr>
          <w:szCs w:val="20"/>
        </w:rPr>
      </w:pPr>
      <w:r>
        <w:rPr>
          <w:szCs w:val="20"/>
        </w:rPr>
        <w:t xml:space="preserve">Table 6: CA209-017 - </w:t>
      </w:r>
      <w:r w:rsidRPr="009A3DE9">
        <w:rPr>
          <w:szCs w:val="20"/>
        </w:rPr>
        <w:t xml:space="preserve">Most frequent severe </w:t>
      </w:r>
      <w:r>
        <w:rPr>
          <w:szCs w:val="20"/>
        </w:rPr>
        <w:t xml:space="preserve">specific </w:t>
      </w:r>
      <w:r w:rsidR="00FC346C">
        <w:rPr>
          <w:szCs w:val="20"/>
        </w:rPr>
        <w:t>adverse events</w:t>
      </w:r>
      <w:r w:rsidRPr="009A3DE9">
        <w:rPr>
          <w:szCs w:val="20"/>
        </w:rPr>
        <w:t xml:space="preserve"> (≥Grade 3)</w:t>
      </w:r>
    </w:p>
    <w:tbl>
      <w:tblPr>
        <w:tblStyle w:val="TableGrid"/>
        <w:tblW w:w="4557" w:type="pct"/>
        <w:tblInd w:w="817" w:type="dxa"/>
        <w:tblLook w:val="04A0" w:firstRow="1" w:lastRow="0" w:firstColumn="1" w:lastColumn="0" w:noHBand="0" w:noVBand="1"/>
        <w:tblCaption w:val="Table 6: CA209-017 - Most frequent severe specific AEs (≥Grade 3)"/>
      </w:tblPr>
      <w:tblGrid>
        <w:gridCol w:w="238"/>
        <w:gridCol w:w="1464"/>
        <w:gridCol w:w="992"/>
        <w:gridCol w:w="992"/>
        <w:gridCol w:w="2267"/>
        <w:gridCol w:w="2470"/>
      </w:tblGrid>
      <w:tr w:rsidR="005B503C" w:rsidRPr="009A3DE9" w:rsidTr="005066C8">
        <w:trPr>
          <w:tblHeader/>
        </w:trPr>
        <w:tc>
          <w:tcPr>
            <w:tcW w:w="1010" w:type="pct"/>
            <w:gridSpan w:val="2"/>
            <w:vMerge w:val="restart"/>
            <w:shd w:val="clear" w:color="auto" w:fill="auto"/>
          </w:tcPr>
          <w:p w:rsidR="005B503C" w:rsidRPr="009A3DE9" w:rsidRDefault="005B503C" w:rsidP="004E7393">
            <w:pPr>
              <w:pStyle w:val="TableText0"/>
              <w:widowControl w:val="0"/>
              <w:spacing w:before="0" w:after="0"/>
              <w:rPr>
                <w:b/>
              </w:rPr>
            </w:pPr>
            <w:r w:rsidRPr="009A3DE9">
              <w:rPr>
                <w:b/>
              </w:rPr>
              <w:t>Treatment arm</w:t>
            </w:r>
          </w:p>
          <w:p w:rsidR="005B503C" w:rsidRPr="009A3DE9" w:rsidRDefault="005B503C" w:rsidP="004E7393">
            <w:pPr>
              <w:pStyle w:val="TableText0"/>
              <w:widowControl w:val="0"/>
              <w:spacing w:before="0" w:after="0"/>
              <w:rPr>
                <w:b/>
              </w:rPr>
            </w:pPr>
            <w:r w:rsidRPr="009A3DE9">
              <w:t>N</w:t>
            </w:r>
          </w:p>
        </w:tc>
        <w:tc>
          <w:tcPr>
            <w:tcW w:w="589" w:type="pct"/>
            <w:shd w:val="clear" w:color="auto" w:fill="auto"/>
          </w:tcPr>
          <w:p w:rsidR="005B503C" w:rsidRPr="009A3DE9" w:rsidRDefault="005B503C" w:rsidP="004E7393">
            <w:pPr>
              <w:pStyle w:val="TableText0"/>
              <w:widowControl w:val="0"/>
              <w:spacing w:before="0" w:after="0"/>
              <w:jc w:val="center"/>
              <w:rPr>
                <w:b/>
              </w:rPr>
            </w:pPr>
            <w:r w:rsidRPr="009A3DE9">
              <w:rPr>
                <w:b/>
              </w:rPr>
              <w:t>NIVO</w:t>
            </w:r>
          </w:p>
        </w:tc>
        <w:tc>
          <w:tcPr>
            <w:tcW w:w="589" w:type="pct"/>
            <w:shd w:val="clear" w:color="auto" w:fill="auto"/>
          </w:tcPr>
          <w:p w:rsidR="005B503C" w:rsidRPr="009A3DE9" w:rsidRDefault="005B503C" w:rsidP="004E7393">
            <w:pPr>
              <w:pStyle w:val="TableText0"/>
              <w:widowControl w:val="0"/>
              <w:spacing w:before="0" w:after="0"/>
              <w:jc w:val="center"/>
              <w:rPr>
                <w:b/>
              </w:rPr>
            </w:pPr>
            <w:r w:rsidRPr="009A3DE9">
              <w:rPr>
                <w:b/>
              </w:rPr>
              <w:t>DOC</w:t>
            </w:r>
          </w:p>
        </w:tc>
        <w:tc>
          <w:tcPr>
            <w:tcW w:w="1346" w:type="pct"/>
            <w:vMerge w:val="restart"/>
            <w:shd w:val="clear" w:color="auto" w:fill="auto"/>
          </w:tcPr>
          <w:p w:rsidR="005B503C" w:rsidRPr="009A3DE9" w:rsidRDefault="005B503C" w:rsidP="004E7393">
            <w:pPr>
              <w:pStyle w:val="TableText0"/>
              <w:widowControl w:val="0"/>
              <w:spacing w:before="0" w:after="0"/>
              <w:jc w:val="center"/>
              <w:rPr>
                <w:b/>
              </w:rPr>
            </w:pPr>
            <w:r w:rsidRPr="009A3DE9">
              <w:rPr>
                <w:b/>
              </w:rPr>
              <w:t>RR</w:t>
            </w:r>
          </w:p>
        </w:tc>
        <w:tc>
          <w:tcPr>
            <w:tcW w:w="1467" w:type="pct"/>
            <w:vMerge w:val="restart"/>
            <w:shd w:val="clear" w:color="auto" w:fill="auto"/>
          </w:tcPr>
          <w:p w:rsidR="005B503C" w:rsidRPr="009A3DE9" w:rsidRDefault="005B503C" w:rsidP="004E7393">
            <w:pPr>
              <w:pStyle w:val="TableText0"/>
              <w:widowControl w:val="0"/>
              <w:spacing w:before="0" w:after="0"/>
              <w:jc w:val="center"/>
              <w:rPr>
                <w:b/>
              </w:rPr>
            </w:pPr>
            <w:r w:rsidRPr="009A3DE9">
              <w:rPr>
                <w:b/>
              </w:rPr>
              <w:t>RD</w:t>
            </w:r>
          </w:p>
        </w:tc>
      </w:tr>
      <w:tr w:rsidR="005B503C" w:rsidRPr="009A3DE9" w:rsidTr="005066C8">
        <w:trPr>
          <w:tblHeader/>
        </w:trPr>
        <w:tc>
          <w:tcPr>
            <w:tcW w:w="1010" w:type="pct"/>
            <w:gridSpan w:val="2"/>
            <w:vMerge/>
            <w:shd w:val="clear" w:color="auto" w:fill="auto"/>
          </w:tcPr>
          <w:p w:rsidR="005B503C" w:rsidRPr="009A3DE9" w:rsidRDefault="005B503C" w:rsidP="004E7393">
            <w:pPr>
              <w:pStyle w:val="TableText0"/>
              <w:widowControl w:val="0"/>
              <w:spacing w:before="0" w:after="0"/>
            </w:pPr>
          </w:p>
        </w:tc>
        <w:tc>
          <w:tcPr>
            <w:tcW w:w="589" w:type="pct"/>
            <w:tcBorders>
              <w:bottom w:val="single" w:sz="4" w:space="0" w:color="auto"/>
            </w:tcBorders>
            <w:shd w:val="clear" w:color="auto" w:fill="auto"/>
          </w:tcPr>
          <w:p w:rsidR="005B503C" w:rsidRPr="009A3DE9" w:rsidRDefault="005B503C" w:rsidP="004E7393">
            <w:pPr>
              <w:pStyle w:val="TableText0"/>
              <w:widowControl w:val="0"/>
              <w:spacing w:before="0" w:after="0"/>
              <w:jc w:val="center"/>
            </w:pPr>
            <w:r w:rsidRPr="009A3DE9">
              <w:t>131</w:t>
            </w:r>
          </w:p>
        </w:tc>
        <w:tc>
          <w:tcPr>
            <w:tcW w:w="589" w:type="pct"/>
            <w:tcBorders>
              <w:bottom w:val="single" w:sz="4" w:space="0" w:color="auto"/>
            </w:tcBorders>
            <w:shd w:val="clear" w:color="auto" w:fill="auto"/>
          </w:tcPr>
          <w:p w:rsidR="005B503C" w:rsidRPr="009A3DE9" w:rsidRDefault="005B503C" w:rsidP="004E7393">
            <w:pPr>
              <w:pStyle w:val="TableText0"/>
              <w:widowControl w:val="0"/>
              <w:spacing w:before="0" w:after="0"/>
              <w:jc w:val="center"/>
            </w:pPr>
            <w:r w:rsidRPr="009A3DE9">
              <w:t>129</w:t>
            </w:r>
          </w:p>
        </w:tc>
        <w:tc>
          <w:tcPr>
            <w:tcW w:w="1346" w:type="pct"/>
            <w:vMerge/>
            <w:tcBorders>
              <w:bottom w:val="single" w:sz="4" w:space="0" w:color="auto"/>
            </w:tcBorders>
            <w:shd w:val="clear" w:color="auto" w:fill="auto"/>
          </w:tcPr>
          <w:p w:rsidR="005B503C" w:rsidRPr="009A3DE9" w:rsidRDefault="005B503C" w:rsidP="004E7393">
            <w:pPr>
              <w:pStyle w:val="TableText0"/>
              <w:widowControl w:val="0"/>
              <w:spacing w:before="0" w:after="0"/>
              <w:jc w:val="center"/>
            </w:pPr>
          </w:p>
        </w:tc>
        <w:tc>
          <w:tcPr>
            <w:tcW w:w="1467" w:type="pct"/>
            <w:vMerge/>
            <w:tcBorders>
              <w:bottom w:val="single" w:sz="4" w:space="0" w:color="auto"/>
            </w:tcBorders>
            <w:shd w:val="clear" w:color="auto" w:fill="auto"/>
          </w:tcPr>
          <w:p w:rsidR="005B503C" w:rsidRPr="009A3DE9" w:rsidRDefault="005B503C" w:rsidP="004E7393">
            <w:pPr>
              <w:pStyle w:val="TableText0"/>
              <w:widowControl w:val="0"/>
              <w:spacing w:before="0" w:after="0"/>
              <w:jc w:val="center"/>
            </w:pPr>
          </w:p>
        </w:tc>
      </w:tr>
      <w:tr w:rsidR="006115DB" w:rsidRPr="009A3DE9" w:rsidTr="005066C8">
        <w:tc>
          <w:tcPr>
            <w:tcW w:w="5000" w:type="pct"/>
            <w:gridSpan w:val="6"/>
            <w:tcBorders>
              <w:bottom w:val="single" w:sz="4" w:space="0" w:color="auto"/>
            </w:tcBorders>
            <w:shd w:val="clear" w:color="auto" w:fill="auto"/>
          </w:tcPr>
          <w:p w:rsidR="006115DB" w:rsidRPr="009A3DE9" w:rsidRDefault="006115DB" w:rsidP="004E7393">
            <w:pPr>
              <w:pStyle w:val="TableText0"/>
              <w:widowControl w:val="0"/>
              <w:spacing w:before="0" w:after="0"/>
            </w:pPr>
            <w:r w:rsidRPr="009A3DE9">
              <w:rPr>
                <w:b/>
              </w:rPr>
              <w:t>All cause</w:t>
            </w:r>
            <w:r w:rsidRPr="009A3DE9">
              <w:t xml:space="preserve"> (severe AEs reported in at least 5% of any treatment arm) - n (%)</w:t>
            </w:r>
          </w:p>
        </w:tc>
      </w:tr>
      <w:tr w:rsidR="006115DB" w:rsidRPr="009A3DE9" w:rsidTr="005066C8">
        <w:tc>
          <w:tcPr>
            <w:tcW w:w="1010" w:type="pct"/>
            <w:gridSpan w:val="2"/>
            <w:tcBorders>
              <w:bottom w:val="single" w:sz="4" w:space="0" w:color="auto"/>
            </w:tcBorders>
            <w:shd w:val="clear" w:color="auto" w:fill="auto"/>
          </w:tcPr>
          <w:p w:rsidR="006115DB" w:rsidRPr="009A3DE9" w:rsidRDefault="006115DB" w:rsidP="005B503C">
            <w:pPr>
              <w:pStyle w:val="TableText0"/>
              <w:widowControl w:val="0"/>
              <w:spacing w:before="0" w:after="0"/>
            </w:pPr>
            <w:r w:rsidRPr="009A3DE9">
              <w:t>One or more severe AE</w:t>
            </w:r>
          </w:p>
        </w:tc>
        <w:tc>
          <w:tcPr>
            <w:tcW w:w="589" w:type="pct"/>
            <w:tcBorders>
              <w:top w:val="nil"/>
              <w:bottom w:val="nil"/>
            </w:tcBorders>
            <w:shd w:val="clear" w:color="auto" w:fill="auto"/>
          </w:tcPr>
          <w:p w:rsidR="006115DB" w:rsidRPr="009A3DE9" w:rsidRDefault="006115DB" w:rsidP="004E7393">
            <w:pPr>
              <w:pStyle w:val="TableText0"/>
              <w:widowControl w:val="0"/>
              <w:spacing w:before="0" w:after="0"/>
              <w:jc w:val="center"/>
              <w:rPr>
                <w:highlight w:val="yellow"/>
              </w:rPr>
            </w:pPr>
            <w:r w:rsidRPr="009A3DE9">
              <w:t>67 (51.1)</w:t>
            </w:r>
          </w:p>
        </w:tc>
        <w:tc>
          <w:tcPr>
            <w:tcW w:w="589" w:type="pct"/>
            <w:tcBorders>
              <w:top w:val="nil"/>
              <w:bottom w:val="nil"/>
            </w:tcBorders>
            <w:shd w:val="clear" w:color="auto" w:fill="auto"/>
          </w:tcPr>
          <w:p w:rsidR="006115DB" w:rsidRPr="009A3DE9" w:rsidRDefault="006115DB" w:rsidP="004E7393">
            <w:pPr>
              <w:pStyle w:val="TableText0"/>
              <w:widowControl w:val="0"/>
              <w:spacing w:before="0" w:after="0"/>
              <w:jc w:val="center"/>
            </w:pPr>
            <w:r w:rsidRPr="009A3DE9">
              <w:t>94 (70.5)</w:t>
            </w:r>
          </w:p>
        </w:tc>
        <w:tc>
          <w:tcPr>
            <w:tcW w:w="1346" w:type="pct"/>
            <w:tcBorders>
              <w:top w:val="nil"/>
              <w:bottom w:val="nil"/>
            </w:tcBorders>
            <w:shd w:val="clear" w:color="auto" w:fill="auto"/>
          </w:tcPr>
          <w:p w:rsidR="006115DB" w:rsidRPr="009A3DE9" w:rsidRDefault="006115DB" w:rsidP="004E7393">
            <w:pPr>
              <w:pStyle w:val="TableText0"/>
              <w:widowControl w:val="0"/>
              <w:spacing w:before="0" w:after="0"/>
              <w:jc w:val="center"/>
              <w:rPr>
                <w:b/>
              </w:rPr>
            </w:pPr>
            <w:r w:rsidRPr="009A3DE9">
              <w:rPr>
                <w:b/>
              </w:rPr>
              <w:t>0.70 [0.58, 0.86], p=0.0005</w:t>
            </w:r>
          </w:p>
        </w:tc>
        <w:tc>
          <w:tcPr>
            <w:tcW w:w="1467" w:type="pct"/>
            <w:tcBorders>
              <w:top w:val="nil"/>
              <w:bottom w:val="nil"/>
            </w:tcBorders>
            <w:shd w:val="clear" w:color="auto" w:fill="auto"/>
          </w:tcPr>
          <w:p w:rsidR="006115DB" w:rsidRPr="009A3DE9" w:rsidRDefault="006115DB" w:rsidP="004E7393">
            <w:pPr>
              <w:pStyle w:val="TableText0"/>
              <w:widowControl w:val="0"/>
              <w:spacing w:before="0" w:after="0"/>
              <w:jc w:val="center"/>
              <w:rPr>
                <w:b/>
              </w:rPr>
            </w:pPr>
            <w:r w:rsidRPr="009A3DE9">
              <w:rPr>
                <w:b/>
              </w:rPr>
              <w:t>-0.22 [-0.33, -0.10], p=0.0002</w:t>
            </w:r>
          </w:p>
        </w:tc>
      </w:tr>
      <w:tr w:rsidR="006115DB" w:rsidRPr="009A3DE9" w:rsidTr="005066C8">
        <w:tc>
          <w:tcPr>
            <w:tcW w:w="141" w:type="pct"/>
            <w:tcBorders>
              <w:top w:val="single" w:sz="4" w:space="0" w:color="auto"/>
              <w:left w:val="single" w:sz="4" w:space="0" w:color="auto"/>
              <w:bottom w:val="single" w:sz="4" w:space="0" w:color="auto"/>
              <w:right w:val="nil"/>
            </w:tcBorders>
            <w:shd w:val="clear" w:color="auto" w:fill="auto"/>
          </w:tcPr>
          <w:p w:rsidR="006115DB" w:rsidRPr="009A3DE9" w:rsidRDefault="006115DB" w:rsidP="004E7393">
            <w:pPr>
              <w:pStyle w:val="TableText0"/>
              <w:widowControl w:val="0"/>
              <w:spacing w:before="0" w:after="0"/>
            </w:pPr>
          </w:p>
        </w:tc>
        <w:tc>
          <w:tcPr>
            <w:tcW w:w="869" w:type="pct"/>
            <w:tcBorders>
              <w:top w:val="single" w:sz="4" w:space="0" w:color="auto"/>
              <w:left w:val="nil"/>
              <w:bottom w:val="single" w:sz="4" w:space="0" w:color="auto"/>
              <w:right w:val="single" w:sz="4" w:space="0" w:color="auto"/>
            </w:tcBorders>
            <w:shd w:val="clear" w:color="auto" w:fill="auto"/>
          </w:tcPr>
          <w:p w:rsidR="006115DB" w:rsidRPr="009A3DE9" w:rsidRDefault="006115DB" w:rsidP="004E7393">
            <w:pPr>
              <w:pStyle w:val="TableText0"/>
              <w:widowControl w:val="0"/>
              <w:spacing w:before="0" w:after="0"/>
            </w:pPr>
            <w:r w:rsidRPr="009A3DE9">
              <w:t>Dyspnoea</w:t>
            </w:r>
          </w:p>
        </w:tc>
        <w:tc>
          <w:tcPr>
            <w:tcW w:w="589" w:type="pct"/>
            <w:tcBorders>
              <w:left w:val="single" w:sz="4" w:space="0" w:color="auto"/>
            </w:tcBorders>
            <w:shd w:val="clear" w:color="auto" w:fill="auto"/>
          </w:tcPr>
          <w:p w:rsidR="006115DB" w:rsidRPr="009A3DE9" w:rsidRDefault="006115DB" w:rsidP="004E7393">
            <w:pPr>
              <w:pStyle w:val="TableText0"/>
              <w:widowControl w:val="0"/>
              <w:spacing w:before="0" w:after="0"/>
              <w:jc w:val="center"/>
            </w:pPr>
            <w:r w:rsidRPr="009A3DE9">
              <w:t>7 (5.3)</w:t>
            </w:r>
          </w:p>
        </w:tc>
        <w:tc>
          <w:tcPr>
            <w:tcW w:w="589" w:type="pct"/>
            <w:shd w:val="clear" w:color="auto" w:fill="auto"/>
          </w:tcPr>
          <w:p w:rsidR="006115DB" w:rsidRPr="009A3DE9" w:rsidRDefault="006115DB" w:rsidP="004E7393">
            <w:pPr>
              <w:pStyle w:val="TableText0"/>
              <w:widowControl w:val="0"/>
              <w:spacing w:before="0" w:after="0"/>
              <w:jc w:val="center"/>
            </w:pPr>
            <w:r w:rsidRPr="009A3DE9">
              <w:t>8 (6.2)</w:t>
            </w:r>
          </w:p>
        </w:tc>
        <w:tc>
          <w:tcPr>
            <w:tcW w:w="1346" w:type="pct"/>
            <w:shd w:val="clear" w:color="auto" w:fill="auto"/>
          </w:tcPr>
          <w:p w:rsidR="006115DB" w:rsidRPr="009A3DE9" w:rsidRDefault="006115DB" w:rsidP="004E7393">
            <w:pPr>
              <w:pStyle w:val="TableText0"/>
              <w:widowControl w:val="0"/>
              <w:spacing w:before="0" w:after="0"/>
              <w:jc w:val="center"/>
            </w:pPr>
            <w:r w:rsidRPr="009A3DE9">
              <w:t>0.86 [0.32, 2.31], p=0.77</w:t>
            </w:r>
          </w:p>
        </w:tc>
        <w:tc>
          <w:tcPr>
            <w:tcW w:w="1467" w:type="pct"/>
            <w:shd w:val="clear" w:color="auto" w:fill="auto"/>
          </w:tcPr>
          <w:p w:rsidR="006115DB" w:rsidRPr="009A3DE9" w:rsidRDefault="006115DB" w:rsidP="004E7393">
            <w:pPr>
              <w:pStyle w:val="TableText0"/>
              <w:widowControl w:val="0"/>
              <w:spacing w:before="0" w:after="0"/>
              <w:jc w:val="center"/>
            </w:pPr>
            <w:r w:rsidRPr="009A3DE9">
              <w:t>-0.01 [-0.07, 0.05], p=0.77</w:t>
            </w:r>
          </w:p>
        </w:tc>
      </w:tr>
      <w:tr w:rsidR="006115DB" w:rsidRPr="009A3DE9" w:rsidTr="005066C8">
        <w:tc>
          <w:tcPr>
            <w:tcW w:w="141" w:type="pct"/>
            <w:tcBorders>
              <w:top w:val="single" w:sz="4" w:space="0" w:color="auto"/>
              <w:left w:val="single" w:sz="4" w:space="0" w:color="auto"/>
              <w:bottom w:val="single" w:sz="4" w:space="0" w:color="auto"/>
              <w:right w:val="nil"/>
            </w:tcBorders>
            <w:shd w:val="clear" w:color="auto" w:fill="auto"/>
          </w:tcPr>
          <w:p w:rsidR="006115DB" w:rsidRPr="009A3DE9" w:rsidRDefault="006115DB" w:rsidP="004E7393">
            <w:pPr>
              <w:pStyle w:val="TableText0"/>
              <w:widowControl w:val="0"/>
              <w:spacing w:before="0" w:after="0"/>
            </w:pPr>
          </w:p>
        </w:tc>
        <w:tc>
          <w:tcPr>
            <w:tcW w:w="869" w:type="pct"/>
            <w:tcBorders>
              <w:top w:val="single" w:sz="4" w:space="0" w:color="auto"/>
              <w:left w:val="nil"/>
              <w:bottom w:val="single" w:sz="4" w:space="0" w:color="auto"/>
              <w:right w:val="single" w:sz="4" w:space="0" w:color="auto"/>
            </w:tcBorders>
            <w:shd w:val="clear" w:color="auto" w:fill="auto"/>
          </w:tcPr>
          <w:p w:rsidR="006115DB" w:rsidRPr="009A3DE9" w:rsidRDefault="006115DB" w:rsidP="004E7393">
            <w:pPr>
              <w:pStyle w:val="TableText0"/>
              <w:widowControl w:val="0"/>
              <w:spacing w:before="0" w:after="0"/>
            </w:pPr>
            <w:r w:rsidRPr="009A3DE9">
              <w:t>Fatigue</w:t>
            </w:r>
          </w:p>
        </w:tc>
        <w:tc>
          <w:tcPr>
            <w:tcW w:w="589" w:type="pct"/>
            <w:tcBorders>
              <w:left w:val="single" w:sz="4" w:space="0" w:color="auto"/>
            </w:tcBorders>
            <w:shd w:val="clear" w:color="auto" w:fill="auto"/>
          </w:tcPr>
          <w:p w:rsidR="006115DB" w:rsidRPr="009A3DE9" w:rsidRDefault="006115DB" w:rsidP="004E7393">
            <w:pPr>
              <w:pStyle w:val="TableText0"/>
              <w:widowControl w:val="0"/>
              <w:spacing w:before="0" w:after="0"/>
              <w:jc w:val="center"/>
            </w:pPr>
            <w:r w:rsidRPr="009A3DE9">
              <w:t>3 (2.3)</w:t>
            </w:r>
          </w:p>
        </w:tc>
        <w:tc>
          <w:tcPr>
            <w:tcW w:w="589" w:type="pct"/>
            <w:shd w:val="clear" w:color="auto" w:fill="auto"/>
          </w:tcPr>
          <w:p w:rsidR="006115DB" w:rsidRPr="009A3DE9" w:rsidRDefault="006115DB" w:rsidP="004E7393">
            <w:pPr>
              <w:pStyle w:val="TableText0"/>
              <w:widowControl w:val="0"/>
              <w:spacing w:before="0" w:after="0"/>
              <w:jc w:val="center"/>
            </w:pPr>
            <w:r w:rsidRPr="009A3DE9">
              <w:t>11 (8.5)</w:t>
            </w:r>
          </w:p>
        </w:tc>
        <w:tc>
          <w:tcPr>
            <w:tcW w:w="1346" w:type="pct"/>
            <w:shd w:val="clear" w:color="auto" w:fill="auto"/>
          </w:tcPr>
          <w:p w:rsidR="006115DB" w:rsidRPr="009A3DE9" w:rsidRDefault="006115DB" w:rsidP="004E7393">
            <w:pPr>
              <w:pStyle w:val="TableText0"/>
              <w:widowControl w:val="0"/>
              <w:spacing w:before="0" w:after="0"/>
              <w:jc w:val="center"/>
              <w:rPr>
                <w:b/>
              </w:rPr>
            </w:pPr>
            <w:r w:rsidRPr="009A3DE9">
              <w:rPr>
                <w:b/>
              </w:rPr>
              <w:t>0.27 [0.08, 0.94], p=0.04</w:t>
            </w:r>
          </w:p>
        </w:tc>
        <w:tc>
          <w:tcPr>
            <w:tcW w:w="1467" w:type="pct"/>
            <w:shd w:val="clear" w:color="auto" w:fill="auto"/>
          </w:tcPr>
          <w:p w:rsidR="006115DB" w:rsidRPr="009A3DE9" w:rsidRDefault="006115DB" w:rsidP="004E7393">
            <w:pPr>
              <w:pStyle w:val="TableText0"/>
              <w:widowControl w:val="0"/>
              <w:spacing w:before="0" w:after="0"/>
              <w:jc w:val="center"/>
              <w:rPr>
                <w:b/>
              </w:rPr>
            </w:pPr>
            <w:r w:rsidRPr="009A3DE9">
              <w:rPr>
                <w:b/>
              </w:rPr>
              <w:t>-0.06 [-0.12, -0.01], p=0.03</w:t>
            </w:r>
          </w:p>
        </w:tc>
      </w:tr>
      <w:tr w:rsidR="006115DB" w:rsidRPr="009A3DE9" w:rsidTr="005066C8">
        <w:tc>
          <w:tcPr>
            <w:tcW w:w="141" w:type="pct"/>
            <w:tcBorders>
              <w:top w:val="single" w:sz="4" w:space="0" w:color="auto"/>
              <w:left w:val="single" w:sz="4" w:space="0" w:color="auto"/>
              <w:bottom w:val="single" w:sz="4" w:space="0" w:color="auto"/>
              <w:right w:val="nil"/>
            </w:tcBorders>
            <w:shd w:val="clear" w:color="auto" w:fill="auto"/>
          </w:tcPr>
          <w:p w:rsidR="006115DB" w:rsidRPr="009A3DE9" w:rsidRDefault="006115DB" w:rsidP="004E7393">
            <w:pPr>
              <w:pStyle w:val="TableText0"/>
              <w:widowControl w:val="0"/>
              <w:spacing w:before="0" w:after="0"/>
            </w:pPr>
          </w:p>
        </w:tc>
        <w:tc>
          <w:tcPr>
            <w:tcW w:w="869" w:type="pct"/>
            <w:tcBorders>
              <w:top w:val="single" w:sz="4" w:space="0" w:color="auto"/>
              <w:left w:val="nil"/>
              <w:bottom w:val="single" w:sz="4" w:space="0" w:color="auto"/>
              <w:right w:val="single" w:sz="4" w:space="0" w:color="auto"/>
            </w:tcBorders>
            <w:shd w:val="clear" w:color="auto" w:fill="auto"/>
          </w:tcPr>
          <w:p w:rsidR="006115DB" w:rsidRPr="009A3DE9" w:rsidRDefault="006115DB" w:rsidP="004E7393">
            <w:pPr>
              <w:pStyle w:val="TableText0"/>
              <w:widowControl w:val="0"/>
              <w:spacing w:before="0" w:after="0"/>
            </w:pPr>
            <w:r w:rsidRPr="009A3DE9">
              <w:t>Asthenia</w:t>
            </w:r>
          </w:p>
        </w:tc>
        <w:tc>
          <w:tcPr>
            <w:tcW w:w="589" w:type="pct"/>
            <w:tcBorders>
              <w:left w:val="single" w:sz="4" w:space="0" w:color="auto"/>
            </w:tcBorders>
            <w:shd w:val="clear" w:color="auto" w:fill="auto"/>
          </w:tcPr>
          <w:p w:rsidR="006115DB" w:rsidRPr="009A3DE9" w:rsidRDefault="006115DB" w:rsidP="004E7393">
            <w:pPr>
              <w:pStyle w:val="TableText0"/>
              <w:widowControl w:val="0"/>
              <w:spacing w:before="0" w:after="0"/>
              <w:jc w:val="center"/>
            </w:pPr>
            <w:r w:rsidRPr="009A3DE9">
              <w:t>0 (0)</w:t>
            </w:r>
          </w:p>
        </w:tc>
        <w:tc>
          <w:tcPr>
            <w:tcW w:w="589" w:type="pct"/>
            <w:shd w:val="clear" w:color="auto" w:fill="auto"/>
          </w:tcPr>
          <w:p w:rsidR="006115DB" w:rsidRPr="009A3DE9" w:rsidRDefault="006115DB" w:rsidP="004E7393">
            <w:pPr>
              <w:pStyle w:val="TableText0"/>
              <w:widowControl w:val="0"/>
              <w:spacing w:before="0" w:after="0"/>
              <w:jc w:val="center"/>
            </w:pPr>
            <w:r w:rsidRPr="009A3DE9">
              <w:t>9 (7.0)</w:t>
            </w:r>
          </w:p>
        </w:tc>
        <w:tc>
          <w:tcPr>
            <w:tcW w:w="1346" w:type="pct"/>
            <w:shd w:val="clear" w:color="auto" w:fill="auto"/>
          </w:tcPr>
          <w:p w:rsidR="006115DB" w:rsidRPr="009A3DE9" w:rsidRDefault="006115DB" w:rsidP="004E7393">
            <w:pPr>
              <w:pStyle w:val="TableText0"/>
              <w:widowControl w:val="0"/>
              <w:spacing w:before="0" w:after="0"/>
              <w:jc w:val="center"/>
              <w:rPr>
                <w:b/>
              </w:rPr>
            </w:pPr>
            <w:r w:rsidRPr="009A3DE9">
              <w:rPr>
                <w:b/>
              </w:rPr>
              <w:t>0.05 [0.00, 0.88], p=0.04</w:t>
            </w:r>
          </w:p>
        </w:tc>
        <w:tc>
          <w:tcPr>
            <w:tcW w:w="1467" w:type="pct"/>
            <w:shd w:val="clear" w:color="auto" w:fill="auto"/>
          </w:tcPr>
          <w:p w:rsidR="006115DB" w:rsidRPr="009A3DE9" w:rsidRDefault="006115DB" w:rsidP="004E7393">
            <w:pPr>
              <w:pStyle w:val="TableText0"/>
              <w:widowControl w:val="0"/>
              <w:spacing w:before="0" w:after="0"/>
              <w:jc w:val="center"/>
              <w:rPr>
                <w:b/>
              </w:rPr>
            </w:pPr>
            <w:r w:rsidRPr="009A3DE9">
              <w:rPr>
                <w:b/>
              </w:rPr>
              <w:t>-0.07 [-0.12, -0.02], p=0.003</w:t>
            </w:r>
          </w:p>
        </w:tc>
      </w:tr>
      <w:tr w:rsidR="006115DB" w:rsidRPr="009A3DE9" w:rsidTr="005066C8">
        <w:tc>
          <w:tcPr>
            <w:tcW w:w="141" w:type="pct"/>
            <w:tcBorders>
              <w:top w:val="single" w:sz="4" w:space="0" w:color="auto"/>
              <w:left w:val="single" w:sz="4" w:space="0" w:color="auto"/>
              <w:bottom w:val="single" w:sz="4" w:space="0" w:color="auto"/>
              <w:right w:val="nil"/>
            </w:tcBorders>
            <w:shd w:val="clear" w:color="auto" w:fill="auto"/>
          </w:tcPr>
          <w:p w:rsidR="006115DB" w:rsidRPr="009A3DE9" w:rsidRDefault="006115DB" w:rsidP="004E7393">
            <w:pPr>
              <w:pStyle w:val="TableText0"/>
              <w:widowControl w:val="0"/>
              <w:spacing w:before="0" w:after="0"/>
            </w:pPr>
          </w:p>
        </w:tc>
        <w:tc>
          <w:tcPr>
            <w:tcW w:w="869" w:type="pct"/>
            <w:tcBorders>
              <w:top w:val="single" w:sz="4" w:space="0" w:color="auto"/>
              <w:left w:val="nil"/>
              <w:bottom w:val="single" w:sz="4" w:space="0" w:color="auto"/>
              <w:right w:val="single" w:sz="4" w:space="0" w:color="auto"/>
            </w:tcBorders>
            <w:shd w:val="clear" w:color="auto" w:fill="auto"/>
          </w:tcPr>
          <w:p w:rsidR="006115DB" w:rsidRPr="009A3DE9" w:rsidRDefault="006115DB" w:rsidP="004E7393">
            <w:pPr>
              <w:pStyle w:val="TableText0"/>
              <w:widowControl w:val="0"/>
              <w:spacing w:before="0" w:after="0"/>
            </w:pPr>
            <w:r w:rsidRPr="009A3DE9">
              <w:t>Pneumonia</w:t>
            </w:r>
          </w:p>
        </w:tc>
        <w:tc>
          <w:tcPr>
            <w:tcW w:w="589" w:type="pct"/>
            <w:tcBorders>
              <w:left w:val="single" w:sz="4" w:space="0" w:color="auto"/>
            </w:tcBorders>
            <w:shd w:val="clear" w:color="auto" w:fill="auto"/>
          </w:tcPr>
          <w:p w:rsidR="006115DB" w:rsidRPr="009A3DE9" w:rsidRDefault="006115DB" w:rsidP="004E7393">
            <w:pPr>
              <w:pStyle w:val="TableText0"/>
              <w:widowControl w:val="0"/>
              <w:spacing w:before="0" w:after="0"/>
              <w:jc w:val="center"/>
            </w:pPr>
            <w:r w:rsidRPr="009A3DE9">
              <w:t>9 (6.9)</w:t>
            </w:r>
          </w:p>
        </w:tc>
        <w:tc>
          <w:tcPr>
            <w:tcW w:w="589" w:type="pct"/>
            <w:shd w:val="clear" w:color="auto" w:fill="auto"/>
          </w:tcPr>
          <w:p w:rsidR="006115DB" w:rsidRPr="009A3DE9" w:rsidRDefault="006115DB" w:rsidP="004E7393">
            <w:pPr>
              <w:pStyle w:val="TableText0"/>
              <w:widowControl w:val="0"/>
              <w:spacing w:before="0" w:after="0"/>
              <w:jc w:val="center"/>
            </w:pPr>
            <w:r w:rsidRPr="009A3DE9">
              <w:t>8 (6.2)</w:t>
            </w:r>
          </w:p>
        </w:tc>
        <w:tc>
          <w:tcPr>
            <w:tcW w:w="1346" w:type="pct"/>
            <w:shd w:val="clear" w:color="auto" w:fill="auto"/>
          </w:tcPr>
          <w:p w:rsidR="006115DB" w:rsidRPr="009A3DE9" w:rsidRDefault="006115DB" w:rsidP="004E7393">
            <w:pPr>
              <w:pStyle w:val="TableText0"/>
              <w:widowControl w:val="0"/>
              <w:spacing w:before="0" w:after="0"/>
              <w:jc w:val="center"/>
            </w:pPr>
            <w:r w:rsidRPr="009A3DE9">
              <w:t>1.11 [0.44, 2.78], p=0.83</w:t>
            </w:r>
          </w:p>
        </w:tc>
        <w:tc>
          <w:tcPr>
            <w:tcW w:w="1467" w:type="pct"/>
            <w:shd w:val="clear" w:color="auto" w:fill="auto"/>
          </w:tcPr>
          <w:p w:rsidR="006115DB" w:rsidRPr="009A3DE9" w:rsidRDefault="006115DB" w:rsidP="004E7393">
            <w:pPr>
              <w:pStyle w:val="TableText0"/>
              <w:widowControl w:val="0"/>
              <w:spacing w:before="0" w:after="0"/>
              <w:jc w:val="center"/>
            </w:pPr>
            <w:r w:rsidRPr="009A3DE9">
              <w:t>0.01 [-0.05, 0.07], p=0.83</w:t>
            </w:r>
          </w:p>
        </w:tc>
      </w:tr>
      <w:tr w:rsidR="006115DB" w:rsidRPr="009A3DE9" w:rsidTr="005066C8">
        <w:tc>
          <w:tcPr>
            <w:tcW w:w="141" w:type="pct"/>
            <w:tcBorders>
              <w:top w:val="single" w:sz="4" w:space="0" w:color="auto"/>
              <w:left w:val="single" w:sz="4" w:space="0" w:color="auto"/>
              <w:bottom w:val="single" w:sz="4" w:space="0" w:color="auto"/>
              <w:right w:val="nil"/>
            </w:tcBorders>
            <w:shd w:val="clear" w:color="auto" w:fill="auto"/>
          </w:tcPr>
          <w:p w:rsidR="006115DB" w:rsidRPr="009A3DE9" w:rsidRDefault="006115DB" w:rsidP="004E7393">
            <w:pPr>
              <w:pStyle w:val="TableText0"/>
              <w:widowControl w:val="0"/>
              <w:spacing w:before="0" w:after="0"/>
            </w:pPr>
          </w:p>
        </w:tc>
        <w:tc>
          <w:tcPr>
            <w:tcW w:w="869" w:type="pct"/>
            <w:tcBorders>
              <w:top w:val="single" w:sz="4" w:space="0" w:color="auto"/>
              <w:left w:val="nil"/>
              <w:bottom w:val="single" w:sz="4" w:space="0" w:color="auto"/>
              <w:right w:val="single" w:sz="4" w:space="0" w:color="auto"/>
            </w:tcBorders>
            <w:shd w:val="clear" w:color="auto" w:fill="auto"/>
          </w:tcPr>
          <w:p w:rsidR="006115DB" w:rsidRPr="009A3DE9" w:rsidRDefault="006115DB" w:rsidP="004E7393">
            <w:pPr>
              <w:pStyle w:val="TableText0"/>
              <w:widowControl w:val="0"/>
              <w:spacing w:before="0" w:after="0"/>
            </w:pPr>
            <w:r w:rsidRPr="009A3DE9">
              <w:t>Neutropenia</w:t>
            </w:r>
          </w:p>
        </w:tc>
        <w:tc>
          <w:tcPr>
            <w:tcW w:w="589" w:type="pct"/>
            <w:tcBorders>
              <w:left w:val="single" w:sz="4" w:space="0" w:color="auto"/>
            </w:tcBorders>
            <w:shd w:val="clear" w:color="auto" w:fill="auto"/>
          </w:tcPr>
          <w:p w:rsidR="006115DB" w:rsidRPr="009A3DE9" w:rsidRDefault="006115DB" w:rsidP="004E7393">
            <w:pPr>
              <w:pStyle w:val="TableText0"/>
              <w:widowControl w:val="0"/>
              <w:spacing w:before="0" w:after="0"/>
              <w:jc w:val="center"/>
            </w:pPr>
            <w:r w:rsidRPr="009A3DE9">
              <w:t>1 (0.8)</w:t>
            </w:r>
          </w:p>
        </w:tc>
        <w:tc>
          <w:tcPr>
            <w:tcW w:w="589" w:type="pct"/>
            <w:shd w:val="clear" w:color="auto" w:fill="auto"/>
          </w:tcPr>
          <w:p w:rsidR="006115DB" w:rsidRPr="009A3DE9" w:rsidRDefault="006115DB" w:rsidP="004E7393">
            <w:pPr>
              <w:pStyle w:val="TableText0"/>
              <w:widowControl w:val="0"/>
              <w:spacing w:before="0" w:after="0"/>
              <w:jc w:val="center"/>
            </w:pPr>
            <w:r w:rsidRPr="009A3DE9">
              <w:t>38 (29.5)</w:t>
            </w:r>
          </w:p>
        </w:tc>
        <w:tc>
          <w:tcPr>
            <w:tcW w:w="1346" w:type="pct"/>
            <w:shd w:val="clear" w:color="auto" w:fill="auto"/>
          </w:tcPr>
          <w:p w:rsidR="006115DB" w:rsidRPr="009A3DE9" w:rsidRDefault="006115DB" w:rsidP="004E7393">
            <w:pPr>
              <w:pStyle w:val="TableText0"/>
              <w:widowControl w:val="0"/>
              <w:spacing w:before="0" w:after="0"/>
              <w:jc w:val="center"/>
              <w:rPr>
                <w:b/>
              </w:rPr>
            </w:pPr>
            <w:r w:rsidRPr="009A3DE9">
              <w:rPr>
                <w:b/>
              </w:rPr>
              <w:t>0.03 [0.00, 0.19], p=0.0003</w:t>
            </w:r>
          </w:p>
        </w:tc>
        <w:tc>
          <w:tcPr>
            <w:tcW w:w="1467" w:type="pct"/>
            <w:shd w:val="clear" w:color="auto" w:fill="auto"/>
          </w:tcPr>
          <w:p w:rsidR="006115DB" w:rsidRPr="009A3DE9" w:rsidRDefault="006115DB" w:rsidP="004E7393">
            <w:pPr>
              <w:pStyle w:val="TableText0"/>
              <w:widowControl w:val="0"/>
              <w:spacing w:before="0" w:after="0"/>
              <w:jc w:val="center"/>
              <w:rPr>
                <w:b/>
              </w:rPr>
            </w:pPr>
            <w:r w:rsidRPr="009A3DE9">
              <w:rPr>
                <w:b/>
              </w:rPr>
              <w:t>-0.29 [-0.37, -0.21], p&lt;0.00001</w:t>
            </w:r>
          </w:p>
        </w:tc>
      </w:tr>
      <w:tr w:rsidR="006115DB" w:rsidRPr="009A3DE9" w:rsidTr="005066C8">
        <w:tc>
          <w:tcPr>
            <w:tcW w:w="141" w:type="pct"/>
            <w:tcBorders>
              <w:top w:val="single" w:sz="4" w:space="0" w:color="auto"/>
              <w:left w:val="single" w:sz="4" w:space="0" w:color="auto"/>
              <w:bottom w:val="single" w:sz="4" w:space="0" w:color="auto"/>
              <w:right w:val="nil"/>
            </w:tcBorders>
            <w:shd w:val="clear" w:color="auto" w:fill="auto"/>
          </w:tcPr>
          <w:p w:rsidR="006115DB" w:rsidRPr="009A3DE9" w:rsidRDefault="006115DB" w:rsidP="004E7393">
            <w:pPr>
              <w:pStyle w:val="TableText0"/>
              <w:widowControl w:val="0"/>
              <w:spacing w:before="0" w:after="0"/>
            </w:pPr>
          </w:p>
        </w:tc>
        <w:tc>
          <w:tcPr>
            <w:tcW w:w="869" w:type="pct"/>
            <w:tcBorders>
              <w:top w:val="single" w:sz="4" w:space="0" w:color="auto"/>
              <w:left w:val="nil"/>
              <w:bottom w:val="single" w:sz="4" w:space="0" w:color="auto"/>
              <w:right w:val="single" w:sz="4" w:space="0" w:color="auto"/>
            </w:tcBorders>
            <w:shd w:val="clear" w:color="auto" w:fill="auto"/>
          </w:tcPr>
          <w:p w:rsidR="006115DB" w:rsidRPr="009A3DE9" w:rsidRDefault="006115DB" w:rsidP="004E7393">
            <w:pPr>
              <w:pStyle w:val="TableText0"/>
              <w:widowControl w:val="0"/>
              <w:spacing w:before="0" w:after="0"/>
            </w:pPr>
            <w:r w:rsidRPr="009A3DE9">
              <w:t>Febrile neutropenia</w:t>
            </w:r>
          </w:p>
        </w:tc>
        <w:tc>
          <w:tcPr>
            <w:tcW w:w="589" w:type="pct"/>
            <w:tcBorders>
              <w:left w:val="single" w:sz="4" w:space="0" w:color="auto"/>
            </w:tcBorders>
            <w:shd w:val="clear" w:color="auto" w:fill="auto"/>
          </w:tcPr>
          <w:p w:rsidR="006115DB" w:rsidRPr="009A3DE9" w:rsidRDefault="006115DB" w:rsidP="004E7393">
            <w:pPr>
              <w:pStyle w:val="TableText0"/>
              <w:widowControl w:val="0"/>
              <w:spacing w:before="0" w:after="0"/>
              <w:jc w:val="center"/>
            </w:pPr>
            <w:r w:rsidRPr="009A3DE9">
              <w:t>0 (0)</w:t>
            </w:r>
          </w:p>
        </w:tc>
        <w:tc>
          <w:tcPr>
            <w:tcW w:w="589" w:type="pct"/>
            <w:shd w:val="clear" w:color="auto" w:fill="auto"/>
          </w:tcPr>
          <w:p w:rsidR="006115DB" w:rsidRPr="009A3DE9" w:rsidRDefault="006115DB" w:rsidP="004E7393">
            <w:pPr>
              <w:pStyle w:val="TableText0"/>
              <w:widowControl w:val="0"/>
              <w:spacing w:before="0" w:after="0"/>
              <w:jc w:val="center"/>
            </w:pPr>
            <w:r w:rsidRPr="009A3DE9">
              <w:t>12 (10.1)</w:t>
            </w:r>
          </w:p>
        </w:tc>
        <w:tc>
          <w:tcPr>
            <w:tcW w:w="1346" w:type="pct"/>
            <w:shd w:val="clear" w:color="auto" w:fill="auto"/>
          </w:tcPr>
          <w:p w:rsidR="006115DB" w:rsidRPr="009A3DE9" w:rsidRDefault="006115DB" w:rsidP="004E7393">
            <w:pPr>
              <w:pStyle w:val="TableText0"/>
              <w:widowControl w:val="0"/>
              <w:spacing w:before="0" w:after="0"/>
              <w:jc w:val="center"/>
              <w:rPr>
                <w:b/>
              </w:rPr>
            </w:pPr>
            <w:r w:rsidRPr="009A3DE9">
              <w:rPr>
                <w:b/>
              </w:rPr>
              <w:t>0.04 [0.00, 0.66], p=0.02</w:t>
            </w:r>
          </w:p>
        </w:tc>
        <w:tc>
          <w:tcPr>
            <w:tcW w:w="1467" w:type="pct"/>
            <w:shd w:val="clear" w:color="auto" w:fill="auto"/>
          </w:tcPr>
          <w:p w:rsidR="006115DB" w:rsidRPr="009A3DE9" w:rsidRDefault="006115DB" w:rsidP="004E7393">
            <w:pPr>
              <w:pStyle w:val="TableText0"/>
              <w:widowControl w:val="0"/>
              <w:spacing w:before="0" w:after="0"/>
              <w:jc w:val="center"/>
              <w:rPr>
                <w:b/>
              </w:rPr>
            </w:pPr>
            <w:r w:rsidRPr="009A3DE9">
              <w:rPr>
                <w:b/>
              </w:rPr>
              <w:t>-0.09 [-0.14, -0.04], p=0.0004</w:t>
            </w:r>
          </w:p>
        </w:tc>
      </w:tr>
      <w:tr w:rsidR="006115DB" w:rsidRPr="009A3DE9" w:rsidTr="005066C8">
        <w:tc>
          <w:tcPr>
            <w:tcW w:w="141" w:type="pct"/>
            <w:tcBorders>
              <w:top w:val="single" w:sz="4" w:space="0" w:color="auto"/>
              <w:left w:val="single" w:sz="4" w:space="0" w:color="auto"/>
              <w:bottom w:val="single" w:sz="4" w:space="0" w:color="auto"/>
              <w:right w:val="nil"/>
            </w:tcBorders>
            <w:shd w:val="clear" w:color="auto" w:fill="auto"/>
          </w:tcPr>
          <w:p w:rsidR="006115DB" w:rsidRPr="009A3DE9" w:rsidRDefault="006115DB" w:rsidP="004E7393">
            <w:pPr>
              <w:pStyle w:val="TableText0"/>
              <w:widowControl w:val="0"/>
              <w:spacing w:before="0" w:after="0"/>
            </w:pPr>
          </w:p>
        </w:tc>
        <w:tc>
          <w:tcPr>
            <w:tcW w:w="869" w:type="pct"/>
            <w:tcBorders>
              <w:top w:val="single" w:sz="4" w:space="0" w:color="auto"/>
              <w:left w:val="nil"/>
              <w:bottom w:val="single" w:sz="4" w:space="0" w:color="auto"/>
              <w:right w:val="single" w:sz="4" w:space="0" w:color="auto"/>
            </w:tcBorders>
            <w:shd w:val="clear" w:color="auto" w:fill="auto"/>
          </w:tcPr>
          <w:p w:rsidR="006115DB" w:rsidRPr="009A3DE9" w:rsidRDefault="006115DB" w:rsidP="004E7393">
            <w:pPr>
              <w:pStyle w:val="TableText0"/>
              <w:widowControl w:val="0"/>
              <w:spacing w:before="0" w:after="0"/>
            </w:pPr>
            <w:r w:rsidRPr="009A3DE9">
              <w:t>Malignant neoplasm progression</w:t>
            </w:r>
          </w:p>
        </w:tc>
        <w:tc>
          <w:tcPr>
            <w:tcW w:w="589" w:type="pct"/>
            <w:tcBorders>
              <w:left w:val="single" w:sz="4" w:space="0" w:color="auto"/>
            </w:tcBorders>
            <w:shd w:val="clear" w:color="auto" w:fill="auto"/>
          </w:tcPr>
          <w:p w:rsidR="006115DB" w:rsidRPr="009A3DE9" w:rsidRDefault="006115DB" w:rsidP="004E7393">
            <w:pPr>
              <w:pStyle w:val="TableText0"/>
              <w:widowControl w:val="0"/>
              <w:spacing w:before="0" w:after="0"/>
              <w:jc w:val="center"/>
            </w:pPr>
            <w:r w:rsidRPr="009A3DE9">
              <w:t>14 (10.7)</w:t>
            </w:r>
          </w:p>
        </w:tc>
        <w:tc>
          <w:tcPr>
            <w:tcW w:w="589" w:type="pct"/>
            <w:shd w:val="clear" w:color="auto" w:fill="auto"/>
          </w:tcPr>
          <w:p w:rsidR="006115DB" w:rsidRPr="009A3DE9" w:rsidRDefault="006115DB" w:rsidP="004E7393">
            <w:pPr>
              <w:pStyle w:val="TableText0"/>
              <w:widowControl w:val="0"/>
              <w:spacing w:before="0" w:after="0"/>
              <w:jc w:val="center"/>
            </w:pPr>
            <w:r w:rsidRPr="009A3DE9">
              <w:t>9 (7.1)</w:t>
            </w:r>
          </w:p>
        </w:tc>
        <w:tc>
          <w:tcPr>
            <w:tcW w:w="1346" w:type="pct"/>
            <w:shd w:val="clear" w:color="auto" w:fill="auto"/>
          </w:tcPr>
          <w:p w:rsidR="006115DB" w:rsidRPr="009A3DE9" w:rsidRDefault="006115DB" w:rsidP="004E7393">
            <w:pPr>
              <w:pStyle w:val="TableText0"/>
              <w:widowControl w:val="0"/>
              <w:spacing w:before="0" w:after="0"/>
              <w:jc w:val="center"/>
            </w:pPr>
            <w:r w:rsidRPr="009A3DE9">
              <w:t>1.53 [0.69, 3.41], p=0.30</w:t>
            </w:r>
          </w:p>
        </w:tc>
        <w:tc>
          <w:tcPr>
            <w:tcW w:w="1467" w:type="pct"/>
            <w:shd w:val="clear" w:color="auto" w:fill="auto"/>
          </w:tcPr>
          <w:p w:rsidR="006115DB" w:rsidRPr="009A3DE9" w:rsidRDefault="006115DB" w:rsidP="004E7393">
            <w:pPr>
              <w:pStyle w:val="TableText0"/>
              <w:widowControl w:val="0"/>
              <w:spacing w:before="0" w:after="0"/>
              <w:jc w:val="center"/>
            </w:pPr>
            <w:r w:rsidRPr="009A3DE9">
              <w:t>0.04 [-0.03, 0.11], p=0.29</w:t>
            </w:r>
          </w:p>
        </w:tc>
      </w:tr>
      <w:tr w:rsidR="006115DB" w:rsidRPr="009A3DE9" w:rsidTr="005066C8">
        <w:tc>
          <w:tcPr>
            <w:tcW w:w="5000" w:type="pct"/>
            <w:gridSpan w:val="6"/>
            <w:tcBorders>
              <w:top w:val="single" w:sz="4" w:space="0" w:color="auto"/>
              <w:left w:val="single" w:sz="4" w:space="0" w:color="auto"/>
              <w:bottom w:val="single" w:sz="4" w:space="0" w:color="auto"/>
            </w:tcBorders>
            <w:shd w:val="clear" w:color="auto" w:fill="auto"/>
          </w:tcPr>
          <w:p w:rsidR="006115DB" w:rsidRPr="009A3DE9" w:rsidRDefault="006115DB" w:rsidP="004E7393">
            <w:pPr>
              <w:pStyle w:val="TableText0"/>
              <w:widowControl w:val="0"/>
              <w:spacing w:before="0" w:after="0"/>
            </w:pPr>
            <w:r w:rsidRPr="009A3DE9">
              <w:rPr>
                <w:b/>
              </w:rPr>
              <w:t>Study drug-related</w:t>
            </w:r>
            <w:r w:rsidRPr="009A3DE9">
              <w:t xml:space="preserve"> (severe AEs reported in at least 5% of any treatment arm) - n (%)</w:t>
            </w:r>
          </w:p>
        </w:tc>
      </w:tr>
      <w:tr w:rsidR="006115DB" w:rsidRPr="009A3DE9" w:rsidTr="005066C8">
        <w:tc>
          <w:tcPr>
            <w:tcW w:w="141" w:type="pct"/>
            <w:tcBorders>
              <w:top w:val="single" w:sz="4" w:space="0" w:color="auto"/>
              <w:left w:val="single" w:sz="4" w:space="0" w:color="auto"/>
              <w:bottom w:val="single" w:sz="4" w:space="0" w:color="auto"/>
              <w:right w:val="nil"/>
            </w:tcBorders>
            <w:shd w:val="clear" w:color="auto" w:fill="auto"/>
          </w:tcPr>
          <w:p w:rsidR="006115DB" w:rsidRPr="009A3DE9" w:rsidRDefault="006115DB" w:rsidP="004E7393">
            <w:pPr>
              <w:pStyle w:val="TableText0"/>
              <w:widowControl w:val="0"/>
              <w:spacing w:before="0" w:after="0"/>
            </w:pPr>
          </w:p>
        </w:tc>
        <w:tc>
          <w:tcPr>
            <w:tcW w:w="869" w:type="pct"/>
            <w:tcBorders>
              <w:top w:val="single" w:sz="4" w:space="0" w:color="auto"/>
              <w:left w:val="nil"/>
              <w:bottom w:val="single" w:sz="4" w:space="0" w:color="auto"/>
              <w:right w:val="single" w:sz="4" w:space="0" w:color="auto"/>
            </w:tcBorders>
            <w:shd w:val="clear" w:color="auto" w:fill="auto"/>
          </w:tcPr>
          <w:p w:rsidR="006115DB" w:rsidRPr="009A3DE9" w:rsidRDefault="006115DB" w:rsidP="004E7393">
            <w:pPr>
              <w:pStyle w:val="TableText0"/>
              <w:widowControl w:val="0"/>
              <w:spacing w:before="0" w:after="0"/>
            </w:pPr>
            <w:r w:rsidRPr="009A3DE9">
              <w:t>One or more AE</w:t>
            </w:r>
          </w:p>
        </w:tc>
        <w:tc>
          <w:tcPr>
            <w:tcW w:w="589" w:type="pct"/>
            <w:tcBorders>
              <w:left w:val="single" w:sz="4" w:space="0" w:color="auto"/>
            </w:tcBorders>
            <w:shd w:val="clear" w:color="auto" w:fill="auto"/>
          </w:tcPr>
          <w:p w:rsidR="006115DB" w:rsidRPr="009A3DE9" w:rsidRDefault="006115DB" w:rsidP="005B503C">
            <w:pPr>
              <w:pStyle w:val="TableText0"/>
              <w:widowControl w:val="0"/>
              <w:spacing w:before="0" w:after="0"/>
              <w:jc w:val="center"/>
            </w:pPr>
            <w:r w:rsidRPr="009A3DE9">
              <w:t>9 (6.9)</w:t>
            </w:r>
          </w:p>
        </w:tc>
        <w:tc>
          <w:tcPr>
            <w:tcW w:w="589" w:type="pct"/>
            <w:shd w:val="clear" w:color="auto" w:fill="auto"/>
          </w:tcPr>
          <w:p w:rsidR="006115DB" w:rsidRPr="009A3DE9" w:rsidRDefault="006115DB" w:rsidP="005B503C">
            <w:pPr>
              <w:pStyle w:val="TableText0"/>
              <w:widowControl w:val="0"/>
              <w:spacing w:before="0" w:after="0"/>
              <w:jc w:val="center"/>
            </w:pPr>
            <w:r w:rsidRPr="009A3DE9">
              <w:t>74 (57.4)</w:t>
            </w:r>
          </w:p>
        </w:tc>
        <w:tc>
          <w:tcPr>
            <w:tcW w:w="1346" w:type="pct"/>
            <w:tcBorders>
              <w:top w:val="nil"/>
              <w:bottom w:val="single" w:sz="4" w:space="0" w:color="auto"/>
            </w:tcBorders>
            <w:shd w:val="clear" w:color="auto" w:fill="auto"/>
          </w:tcPr>
          <w:p w:rsidR="006115DB" w:rsidRPr="009A3DE9" w:rsidRDefault="006115DB" w:rsidP="005B503C">
            <w:pPr>
              <w:pStyle w:val="TableText0"/>
              <w:widowControl w:val="0"/>
              <w:spacing w:before="0" w:after="0"/>
              <w:ind w:right="-108"/>
              <w:rPr>
                <w:b/>
              </w:rPr>
            </w:pPr>
            <w:r w:rsidRPr="009A3DE9">
              <w:rPr>
                <w:b/>
              </w:rPr>
              <w:t>0.12 [0.06, 0.23], p&lt;0.00001</w:t>
            </w:r>
          </w:p>
        </w:tc>
        <w:tc>
          <w:tcPr>
            <w:tcW w:w="1467" w:type="pct"/>
            <w:tcBorders>
              <w:top w:val="nil"/>
              <w:bottom w:val="single" w:sz="4" w:space="0" w:color="auto"/>
            </w:tcBorders>
            <w:shd w:val="clear" w:color="auto" w:fill="auto"/>
          </w:tcPr>
          <w:p w:rsidR="006115DB" w:rsidRPr="009A3DE9" w:rsidRDefault="006115DB" w:rsidP="004E7393">
            <w:pPr>
              <w:pStyle w:val="TableText0"/>
              <w:widowControl w:val="0"/>
              <w:spacing w:before="0" w:after="0"/>
              <w:rPr>
                <w:b/>
              </w:rPr>
            </w:pPr>
            <w:r w:rsidRPr="009A3DE9">
              <w:rPr>
                <w:b/>
              </w:rPr>
              <w:t>-0.50 [-0.60, -0.41], p&lt;0.00001</w:t>
            </w:r>
          </w:p>
        </w:tc>
      </w:tr>
      <w:tr w:rsidR="006115DB" w:rsidRPr="009A3DE9" w:rsidTr="005066C8">
        <w:tc>
          <w:tcPr>
            <w:tcW w:w="141" w:type="pct"/>
            <w:tcBorders>
              <w:top w:val="single" w:sz="4" w:space="0" w:color="auto"/>
              <w:left w:val="single" w:sz="4" w:space="0" w:color="auto"/>
              <w:bottom w:val="single" w:sz="4" w:space="0" w:color="auto"/>
              <w:right w:val="nil"/>
            </w:tcBorders>
            <w:shd w:val="clear" w:color="auto" w:fill="auto"/>
          </w:tcPr>
          <w:p w:rsidR="006115DB" w:rsidRPr="009A3DE9" w:rsidRDefault="006115DB" w:rsidP="004E7393">
            <w:pPr>
              <w:pStyle w:val="TableText0"/>
              <w:widowControl w:val="0"/>
              <w:spacing w:before="0" w:after="0"/>
            </w:pPr>
          </w:p>
        </w:tc>
        <w:tc>
          <w:tcPr>
            <w:tcW w:w="869" w:type="pct"/>
            <w:tcBorders>
              <w:top w:val="single" w:sz="4" w:space="0" w:color="auto"/>
              <w:left w:val="nil"/>
              <w:bottom w:val="single" w:sz="4" w:space="0" w:color="auto"/>
              <w:right w:val="single" w:sz="4" w:space="0" w:color="auto"/>
            </w:tcBorders>
            <w:shd w:val="clear" w:color="auto" w:fill="auto"/>
          </w:tcPr>
          <w:p w:rsidR="006115DB" w:rsidRPr="009A3DE9" w:rsidRDefault="006115DB" w:rsidP="004E7393">
            <w:pPr>
              <w:pStyle w:val="TableText0"/>
              <w:widowControl w:val="0"/>
              <w:spacing w:before="0" w:after="0"/>
            </w:pPr>
            <w:r w:rsidRPr="009A3DE9">
              <w:t>Fatigue</w:t>
            </w:r>
          </w:p>
        </w:tc>
        <w:tc>
          <w:tcPr>
            <w:tcW w:w="589" w:type="pct"/>
            <w:tcBorders>
              <w:left w:val="single" w:sz="4" w:space="0" w:color="auto"/>
            </w:tcBorders>
            <w:shd w:val="clear" w:color="auto" w:fill="auto"/>
          </w:tcPr>
          <w:p w:rsidR="006115DB" w:rsidRPr="009A3DE9" w:rsidRDefault="006115DB" w:rsidP="005B503C">
            <w:pPr>
              <w:pStyle w:val="TableText0"/>
              <w:widowControl w:val="0"/>
              <w:spacing w:before="0" w:after="0"/>
              <w:jc w:val="center"/>
            </w:pPr>
            <w:r w:rsidRPr="009A3DE9">
              <w:t>1 (0.8)</w:t>
            </w:r>
          </w:p>
        </w:tc>
        <w:tc>
          <w:tcPr>
            <w:tcW w:w="589" w:type="pct"/>
            <w:shd w:val="clear" w:color="auto" w:fill="auto"/>
          </w:tcPr>
          <w:p w:rsidR="006115DB" w:rsidRPr="009A3DE9" w:rsidRDefault="006115DB" w:rsidP="005B503C">
            <w:pPr>
              <w:pStyle w:val="TableText0"/>
              <w:widowControl w:val="0"/>
              <w:spacing w:before="0" w:after="0"/>
              <w:jc w:val="center"/>
            </w:pPr>
            <w:r w:rsidRPr="009A3DE9">
              <w:t>10 (7.8)</w:t>
            </w:r>
          </w:p>
        </w:tc>
        <w:tc>
          <w:tcPr>
            <w:tcW w:w="1346" w:type="pct"/>
            <w:shd w:val="clear" w:color="auto" w:fill="auto"/>
          </w:tcPr>
          <w:p w:rsidR="006115DB" w:rsidRPr="009A3DE9" w:rsidRDefault="006115DB" w:rsidP="004E7393">
            <w:pPr>
              <w:pStyle w:val="TableText0"/>
              <w:widowControl w:val="0"/>
              <w:spacing w:before="0" w:after="0"/>
              <w:rPr>
                <w:b/>
              </w:rPr>
            </w:pPr>
            <w:r w:rsidRPr="009A3DE9">
              <w:rPr>
                <w:b/>
              </w:rPr>
              <w:t>0.10 [0.01, 0.76], p=0.03</w:t>
            </w:r>
          </w:p>
        </w:tc>
        <w:tc>
          <w:tcPr>
            <w:tcW w:w="1467" w:type="pct"/>
            <w:shd w:val="clear" w:color="auto" w:fill="auto"/>
          </w:tcPr>
          <w:p w:rsidR="006115DB" w:rsidRPr="009A3DE9" w:rsidRDefault="006115DB" w:rsidP="004E7393">
            <w:pPr>
              <w:pStyle w:val="TableText0"/>
              <w:widowControl w:val="0"/>
              <w:spacing w:before="0" w:after="0"/>
              <w:rPr>
                <w:b/>
              </w:rPr>
            </w:pPr>
            <w:r w:rsidRPr="009A3DE9">
              <w:rPr>
                <w:b/>
              </w:rPr>
              <w:t>-0.07 [-0.12, -0.02], p=0.005</w:t>
            </w:r>
          </w:p>
        </w:tc>
      </w:tr>
      <w:tr w:rsidR="006115DB" w:rsidRPr="009A3DE9" w:rsidTr="005066C8">
        <w:tc>
          <w:tcPr>
            <w:tcW w:w="141" w:type="pct"/>
            <w:tcBorders>
              <w:top w:val="single" w:sz="4" w:space="0" w:color="auto"/>
              <w:left w:val="single" w:sz="4" w:space="0" w:color="auto"/>
              <w:bottom w:val="single" w:sz="4" w:space="0" w:color="auto"/>
              <w:right w:val="nil"/>
            </w:tcBorders>
            <w:shd w:val="clear" w:color="auto" w:fill="auto"/>
          </w:tcPr>
          <w:p w:rsidR="006115DB" w:rsidRPr="009A3DE9" w:rsidRDefault="006115DB" w:rsidP="004E7393">
            <w:pPr>
              <w:pStyle w:val="TableText0"/>
              <w:widowControl w:val="0"/>
              <w:spacing w:before="0" w:after="0"/>
            </w:pPr>
          </w:p>
        </w:tc>
        <w:tc>
          <w:tcPr>
            <w:tcW w:w="869" w:type="pct"/>
            <w:tcBorders>
              <w:top w:val="single" w:sz="4" w:space="0" w:color="auto"/>
              <w:left w:val="nil"/>
              <w:bottom w:val="single" w:sz="4" w:space="0" w:color="auto"/>
              <w:right w:val="single" w:sz="4" w:space="0" w:color="auto"/>
            </w:tcBorders>
            <w:shd w:val="clear" w:color="auto" w:fill="auto"/>
          </w:tcPr>
          <w:p w:rsidR="006115DB" w:rsidRPr="009A3DE9" w:rsidRDefault="006115DB" w:rsidP="004E7393">
            <w:pPr>
              <w:pStyle w:val="TableText0"/>
              <w:widowControl w:val="0"/>
              <w:spacing w:before="0" w:after="0"/>
            </w:pPr>
            <w:r w:rsidRPr="009A3DE9">
              <w:t>Neutropenia</w:t>
            </w:r>
          </w:p>
        </w:tc>
        <w:tc>
          <w:tcPr>
            <w:tcW w:w="589" w:type="pct"/>
            <w:tcBorders>
              <w:left w:val="single" w:sz="4" w:space="0" w:color="auto"/>
            </w:tcBorders>
            <w:shd w:val="clear" w:color="auto" w:fill="auto"/>
          </w:tcPr>
          <w:p w:rsidR="006115DB" w:rsidRPr="009A3DE9" w:rsidRDefault="006115DB" w:rsidP="005B503C">
            <w:pPr>
              <w:pStyle w:val="TableText0"/>
              <w:widowControl w:val="0"/>
              <w:spacing w:before="0" w:after="0"/>
              <w:jc w:val="center"/>
            </w:pPr>
            <w:r w:rsidRPr="009A3DE9">
              <w:t>0 (0)</w:t>
            </w:r>
          </w:p>
        </w:tc>
        <w:tc>
          <w:tcPr>
            <w:tcW w:w="589" w:type="pct"/>
            <w:shd w:val="clear" w:color="auto" w:fill="auto"/>
          </w:tcPr>
          <w:p w:rsidR="006115DB" w:rsidRPr="009A3DE9" w:rsidRDefault="006115DB" w:rsidP="005B503C">
            <w:pPr>
              <w:pStyle w:val="TableText0"/>
              <w:widowControl w:val="0"/>
              <w:spacing w:before="0" w:after="0"/>
              <w:jc w:val="center"/>
            </w:pPr>
            <w:r w:rsidRPr="009A3DE9">
              <w:t>38 (29.5)</w:t>
            </w:r>
          </w:p>
        </w:tc>
        <w:tc>
          <w:tcPr>
            <w:tcW w:w="1346" w:type="pct"/>
            <w:shd w:val="clear" w:color="auto" w:fill="auto"/>
          </w:tcPr>
          <w:p w:rsidR="006115DB" w:rsidRPr="009A3DE9" w:rsidRDefault="006115DB" w:rsidP="004E7393">
            <w:pPr>
              <w:pStyle w:val="TableText0"/>
              <w:widowControl w:val="0"/>
              <w:spacing w:before="0" w:after="0"/>
              <w:rPr>
                <w:b/>
              </w:rPr>
            </w:pPr>
            <w:r w:rsidRPr="009A3DE9">
              <w:rPr>
                <w:b/>
              </w:rPr>
              <w:t>0.01 [0.00, 0.21], p=0.002</w:t>
            </w:r>
          </w:p>
        </w:tc>
        <w:tc>
          <w:tcPr>
            <w:tcW w:w="1467" w:type="pct"/>
            <w:shd w:val="clear" w:color="auto" w:fill="auto"/>
          </w:tcPr>
          <w:p w:rsidR="006115DB" w:rsidRPr="009A3DE9" w:rsidRDefault="006115DB" w:rsidP="004E7393">
            <w:pPr>
              <w:pStyle w:val="TableText0"/>
              <w:widowControl w:val="0"/>
              <w:spacing w:before="0" w:after="0"/>
              <w:rPr>
                <w:b/>
              </w:rPr>
            </w:pPr>
            <w:r w:rsidRPr="009A3DE9">
              <w:rPr>
                <w:b/>
              </w:rPr>
              <w:t>-0.29 [-0.37, -0.22], p&lt;0.00001</w:t>
            </w:r>
          </w:p>
        </w:tc>
      </w:tr>
      <w:tr w:rsidR="006115DB" w:rsidRPr="009A3DE9" w:rsidTr="005066C8">
        <w:tc>
          <w:tcPr>
            <w:tcW w:w="141" w:type="pct"/>
            <w:tcBorders>
              <w:top w:val="single" w:sz="4" w:space="0" w:color="auto"/>
              <w:left w:val="single" w:sz="4" w:space="0" w:color="auto"/>
              <w:bottom w:val="single" w:sz="4" w:space="0" w:color="auto"/>
              <w:right w:val="nil"/>
            </w:tcBorders>
            <w:shd w:val="clear" w:color="auto" w:fill="auto"/>
          </w:tcPr>
          <w:p w:rsidR="006115DB" w:rsidRPr="009A3DE9" w:rsidRDefault="006115DB" w:rsidP="004E7393">
            <w:pPr>
              <w:pStyle w:val="TableText0"/>
              <w:widowControl w:val="0"/>
              <w:spacing w:before="0" w:after="0"/>
            </w:pPr>
          </w:p>
        </w:tc>
        <w:tc>
          <w:tcPr>
            <w:tcW w:w="869" w:type="pct"/>
            <w:tcBorders>
              <w:top w:val="single" w:sz="4" w:space="0" w:color="auto"/>
              <w:left w:val="nil"/>
              <w:bottom w:val="single" w:sz="4" w:space="0" w:color="auto"/>
              <w:right w:val="single" w:sz="4" w:space="0" w:color="auto"/>
            </w:tcBorders>
            <w:shd w:val="clear" w:color="auto" w:fill="auto"/>
          </w:tcPr>
          <w:p w:rsidR="006115DB" w:rsidRPr="009A3DE9" w:rsidRDefault="006115DB" w:rsidP="004E7393">
            <w:pPr>
              <w:pStyle w:val="TableText0"/>
              <w:widowControl w:val="0"/>
              <w:spacing w:before="0" w:after="0"/>
            </w:pPr>
            <w:r w:rsidRPr="009A3DE9">
              <w:t>Febrile neutropenia</w:t>
            </w:r>
          </w:p>
        </w:tc>
        <w:tc>
          <w:tcPr>
            <w:tcW w:w="589" w:type="pct"/>
            <w:tcBorders>
              <w:left w:val="single" w:sz="4" w:space="0" w:color="auto"/>
            </w:tcBorders>
            <w:shd w:val="clear" w:color="auto" w:fill="auto"/>
          </w:tcPr>
          <w:p w:rsidR="006115DB" w:rsidRPr="009A3DE9" w:rsidRDefault="006115DB" w:rsidP="005B503C">
            <w:pPr>
              <w:pStyle w:val="TableText0"/>
              <w:widowControl w:val="0"/>
              <w:spacing w:before="0" w:after="0"/>
              <w:jc w:val="center"/>
            </w:pPr>
            <w:r w:rsidRPr="009A3DE9">
              <w:t>0 (0)</w:t>
            </w:r>
          </w:p>
        </w:tc>
        <w:tc>
          <w:tcPr>
            <w:tcW w:w="589" w:type="pct"/>
            <w:shd w:val="clear" w:color="auto" w:fill="auto"/>
          </w:tcPr>
          <w:p w:rsidR="006115DB" w:rsidRPr="009A3DE9" w:rsidRDefault="006115DB" w:rsidP="005B503C">
            <w:pPr>
              <w:pStyle w:val="TableText0"/>
              <w:widowControl w:val="0"/>
              <w:spacing w:before="0" w:after="0"/>
              <w:jc w:val="center"/>
            </w:pPr>
            <w:r w:rsidRPr="009A3DE9">
              <w:t>13 (10.1)</w:t>
            </w:r>
          </w:p>
        </w:tc>
        <w:tc>
          <w:tcPr>
            <w:tcW w:w="1346" w:type="pct"/>
            <w:shd w:val="clear" w:color="auto" w:fill="auto"/>
          </w:tcPr>
          <w:p w:rsidR="006115DB" w:rsidRPr="009A3DE9" w:rsidRDefault="006115DB" w:rsidP="004E7393">
            <w:pPr>
              <w:pStyle w:val="TableText0"/>
              <w:widowControl w:val="0"/>
              <w:spacing w:before="0" w:after="0"/>
              <w:rPr>
                <w:b/>
              </w:rPr>
            </w:pPr>
            <w:r w:rsidRPr="009A3DE9">
              <w:rPr>
                <w:b/>
              </w:rPr>
              <w:t>0.04 [0.00, 0.61], p=0.02</w:t>
            </w:r>
          </w:p>
        </w:tc>
        <w:tc>
          <w:tcPr>
            <w:tcW w:w="1467" w:type="pct"/>
            <w:shd w:val="clear" w:color="auto" w:fill="auto"/>
          </w:tcPr>
          <w:p w:rsidR="006115DB" w:rsidRPr="009A3DE9" w:rsidRDefault="006115DB" w:rsidP="004E7393">
            <w:pPr>
              <w:pStyle w:val="TableText0"/>
              <w:widowControl w:val="0"/>
              <w:spacing w:before="0" w:after="0"/>
              <w:rPr>
                <w:b/>
              </w:rPr>
            </w:pPr>
            <w:r w:rsidRPr="009A3DE9">
              <w:rPr>
                <w:b/>
              </w:rPr>
              <w:t>-0.10 [-0.15, -0.05], p=0.0002</w:t>
            </w:r>
          </w:p>
        </w:tc>
      </w:tr>
    </w:tbl>
    <w:p w:rsidR="006115DB" w:rsidRPr="0073578C" w:rsidRDefault="006115DB" w:rsidP="005B503C">
      <w:pPr>
        <w:pStyle w:val="TableNotes"/>
        <w:ind w:left="709"/>
        <w:rPr>
          <w:rFonts w:ascii="Arial Narrow" w:hAnsi="Arial Narrow"/>
          <w:sz w:val="18"/>
          <w:szCs w:val="18"/>
        </w:rPr>
      </w:pPr>
      <w:proofErr w:type="gramStart"/>
      <w:r w:rsidRPr="0073578C">
        <w:rPr>
          <w:rFonts w:ascii="Arial Narrow" w:hAnsi="Arial Narrow"/>
          <w:b/>
          <w:sz w:val="18"/>
          <w:szCs w:val="18"/>
        </w:rPr>
        <w:t>Statistically significant differences bolded</w:t>
      </w:r>
      <w:r w:rsidRPr="0073578C">
        <w:rPr>
          <w:rFonts w:ascii="Arial Narrow" w:hAnsi="Arial Narrow"/>
          <w:sz w:val="18"/>
          <w:szCs w:val="18"/>
        </w:rPr>
        <w:t>.</w:t>
      </w:r>
      <w:proofErr w:type="gramEnd"/>
    </w:p>
    <w:p w:rsidR="006115DB" w:rsidRPr="0073578C" w:rsidRDefault="006115DB" w:rsidP="005B503C">
      <w:pPr>
        <w:pStyle w:val="TableNotes"/>
        <w:spacing w:after="0"/>
        <w:ind w:left="709"/>
        <w:rPr>
          <w:rFonts w:ascii="Arial Narrow" w:hAnsi="Arial Narrow"/>
          <w:sz w:val="18"/>
          <w:szCs w:val="18"/>
        </w:rPr>
      </w:pPr>
      <w:r w:rsidRPr="0073578C">
        <w:rPr>
          <w:rFonts w:ascii="Arial Narrow" w:hAnsi="Arial Narrow"/>
          <w:sz w:val="18"/>
          <w:szCs w:val="18"/>
        </w:rPr>
        <w:t xml:space="preserve">AE = adverse event; DOC = </w:t>
      </w:r>
      <w:proofErr w:type="spellStart"/>
      <w:r w:rsidRPr="0073578C">
        <w:rPr>
          <w:rFonts w:ascii="Arial Narrow" w:hAnsi="Arial Narrow"/>
          <w:sz w:val="18"/>
          <w:szCs w:val="18"/>
        </w:rPr>
        <w:t>docetaxel</w:t>
      </w:r>
      <w:proofErr w:type="spellEnd"/>
      <w:r w:rsidRPr="0073578C">
        <w:rPr>
          <w:rFonts w:ascii="Arial Narrow" w:hAnsi="Arial Narrow"/>
          <w:sz w:val="18"/>
          <w:szCs w:val="18"/>
        </w:rPr>
        <w:t xml:space="preserve">; NIVO = </w:t>
      </w:r>
      <w:proofErr w:type="spellStart"/>
      <w:r w:rsidRPr="0073578C">
        <w:rPr>
          <w:rFonts w:ascii="Arial Narrow" w:hAnsi="Arial Narrow"/>
          <w:sz w:val="18"/>
          <w:szCs w:val="18"/>
        </w:rPr>
        <w:t>nivolumab</w:t>
      </w:r>
      <w:proofErr w:type="spellEnd"/>
      <w:r w:rsidRPr="0073578C">
        <w:rPr>
          <w:rFonts w:ascii="Arial Narrow" w:hAnsi="Arial Narrow"/>
          <w:sz w:val="18"/>
          <w:szCs w:val="18"/>
        </w:rPr>
        <w:t>; OR = odds ratio; RD = risk difference; RR = risk ratio</w:t>
      </w:r>
    </w:p>
    <w:p w:rsidR="006115DB" w:rsidRPr="0073578C" w:rsidRDefault="006115DB" w:rsidP="005B503C">
      <w:pPr>
        <w:pStyle w:val="TableNotes"/>
        <w:spacing w:after="0"/>
        <w:ind w:left="709"/>
        <w:rPr>
          <w:rFonts w:ascii="Arial Narrow" w:hAnsi="Arial Narrow"/>
          <w:sz w:val="18"/>
          <w:szCs w:val="18"/>
        </w:rPr>
      </w:pPr>
      <w:r w:rsidRPr="0073578C">
        <w:rPr>
          <w:rFonts w:ascii="Arial Narrow" w:hAnsi="Arial Narrow"/>
          <w:sz w:val="18"/>
          <w:szCs w:val="18"/>
        </w:rPr>
        <w:t>Source: Table 33, p78 of the main submission.</w:t>
      </w:r>
    </w:p>
    <w:p w:rsidR="006115DB" w:rsidRPr="00DA5925" w:rsidRDefault="006115DB" w:rsidP="006115DB">
      <w:pPr>
        <w:widowControl/>
        <w:rPr>
          <w:szCs w:val="22"/>
        </w:rPr>
      </w:pPr>
    </w:p>
    <w:p w:rsidR="006115DB" w:rsidRPr="005E6E19" w:rsidRDefault="006115DB" w:rsidP="0073258E">
      <w:pPr>
        <w:pStyle w:val="ListParagraph"/>
        <w:widowControl/>
        <w:numPr>
          <w:ilvl w:val="1"/>
          <w:numId w:val="2"/>
        </w:numPr>
      </w:pPr>
      <w:r w:rsidRPr="005E6E19">
        <w:t xml:space="preserve">The CA209-017 CSR presented data on Grade </w:t>
      </w:r>
      <w:r w:rsidR="005B503C" w:rsidRPr="005E6E19">
        <w:t>≥</w:t>
      </w:r>
      <w:r w:rsidRPr="005E6E19">
        <w:t>3 “Select AEs”</w:t>
      </w:r>
      <w:r w:rsidRPr="005E6E19">
        <w:rPr>
          <w:rStyle w:val="FootnoteReference"/>
        </w:rPr>
        <w:t xml:space="preserve"> </w:t>
      </w:r>
      <w:r w:rsidRPr="005E6E19">
        <w:rPr>
          <w:rStyle w:val="FootnoteReference"/>
        </w:rPr>
        <w:footnoteReference w:id="2"/>
      </w:r>
      <w:r w:rsidRPr="005E6E19">
        <w:t xml:space="preserve"> (AEs of special interest that were potentially associated with the use of </w:t>
      </w:r>
      <w:proofErr w:type="spellStart"/>
      <w:r w:rsidRPr="005E6E19">
        <w:t>nivolumab</w:t>
      </w:r>
      <w:proofErr w:type="spellEnd"/>
      <w:r w:rsidRPr="005E6E19">
        <w:t xml:space="preserve">). </w:t>
      </w:r>
      <w:proofErr w:type="spellStart"/>
      <w:r w:rsidRPr="005E6E19">
        <w:t>Nivolumab</w:t>
      </w:r>
      <w:proofErr w:type="spellEnd"/>
      <w:r w:rsidRPr="005E6E19">
        <w:t xml:space="preserve"> was associated with a slightly higher proportion of Grade</w:t>
      </w:r>
      <w:r w:rsidR="005B503C" w:rsidRPr="005E6E19">
        <w:t xml:space="preserve"> </w:t>
      </w:r>
      <w:r w:rsidRPr="005E6E19">
        <w:t xml:space="preserve">≥3 endocrine AEs [9/131 (6.9%) vs. 3/129 (2.3%)] and a lower proportion of gastrointestinal events 21/131 (16.0%) vs. 33/129 (25.6 %)] compared with </w:t>
      </w:r>
      <w:proofErr w:type="spellStart"/>
      <w:r w:rsidRPr="005E6E19">
        <w:t>docetaxel</w:t>
      </w:r>
      <w:proofErr w:type="spellEnd"/>
      <w:r w:rsidRPr="005E6E19">
        <w:t>.</w:t>
      </w:r>
    </w:p>
    <w:p w:rsidR="006115DB" w:rsidRDefault="006115DB" w:rsidP="006115DB">
      <w:pPr>
        <w:pStyle w:val="ListParagraph"/>
        <w:ind w:left="0"/>
        <w:rPr>
          <w:szCs w:val="22"/>
        </w:rPr>
      </w:pPr>
    </w:p>
    <w:p w:rsidR="006115DB" w:rsidRPr="002C2775" w:rsidRDefault="006115DB" w:rsidP="006115DB">
      <w:pPr>
        <w:pStyle w:val="Heading2"/>
        <w:rPr>
          <w:i/>
          <w:szCs w:val="22"/>
        </w:rPr>
      </w:pPr>
      <w:bookmarkStart w:id="11" w:name="_Toc440981190"/>
      <w:r w:rsidRPr="002C2775">
        <w:rPr>
          <w:i/>
        </w:rPr>
        <w:t>Benefits/harms</w:t>
      </w:r>
      <w:bookmarkEnd w:id="11"/>
    </w:p>
    <w:p w:rsidR="006115DB" w:rsidRPr="007F1017" w:rsidRDefault="006115DB" w:rsidP="006115DB">
      <w:pPr>
        <w:pStyle w:val="ListParagraph"/>
        <w:ind w:left="0"/>
        <w:rPr>
          <w:szCs w:val="22"/>
        </w:rPr>
      </w:pPr>
    </w:p>
    <w:p w:rsidR="006115DB" w:rsidRPr="005E6E19" w:rsidRDefault="006115DB" w:rsidP="0073258E">
      <w:pPr>
        <w:pStyle w:val="ListParagraph"/>
        <w:widowControl/>
        <w:numPr>
          <w:ilvl w:val="1"/>
          <w:numId w:val="2"/>
        </w:numPr>
      </w:pPr>
      <w:r w:rsidRPr="001B7680">
        <w:rPr>
          <w:szCs w:val="22"/>
        </w:rPr>
        <w:t xml:space="preserve">A summary of the comparative benefits and harms for </w:t>
      </w:r>
      <w:proofErr w:type="spellStart"/>
      <w:r w:rsidRPr="001B7680">
        <w:rPr>
          <w:szCs w:val="22"/>
        </w:rPr>
        <w:t>nivolumab</w:t>
      </w:r>
      <w:proofErr w:type="spellEnd"/>
      <w:r w:rsidRPr="001B7680">
        <w:rPr>
          <w:szCs w:val="22"/>
        </w:rPr>
        <w:t xml:space="preserve"> versus </w:t>
      </w:r>
      <w:proofErr w:type="spellStart"/>
      <w:r w:rsidRPr="001B7680">
        <w:rPr>
          <w:szCs w:val="22"/>
        </w:rPr>
        <w:t>docetaxel</w:t>
      </w:r>
      <w:proofErr w:type="spellEnd"/>
      <w:r w:rsidRPr="001B7680">
        <w:rPr>
          <w:szCs w:val="22"/>
        </w:rPr>
        <w:t xml:space="preserve"> in the ITT squamous NSCLC population </w:t>
      </w:r>
      <w:r>
        <w:rPr>
          <w:szCs w:val="22"/>
        </w:rPr>
        <w:t>(</w:t>
      </w:r>
      <w:r w:rsidRPr="001B7680">
        <w:rPr>
          <w:szCs w:val="22"/>
        </w:rPr>
        <w:t>unselected</w:t>
      </w:r>
      <w:r>
        <w:rPr>
          <w:szCs w:val="22"/>
        </w:rPr>
        <w:t xml:space="preserve"> for PD-L1 expression)</w:t>
      </w:r>
      <w:r w:rsidRPr="001B7680">
        <w:rPr>
          <w:szCs w:val="22"/>
        </w:rPr>
        <w:t xml:space="preserve"> is presented in the table below. </w:t>
      </w:r>
      <w:r w:rsidRPr="005E6E19">
        <w:rPr>
          <w:szCs w:val="22"/>
        </w:rPr>
        <w:t>Tests for proportional hazards indicated that this assumption was met. Comparative benefits or harms, by PD-L1 status, are not presented in the table. Tests for treatment effect variation, by PD-L1 status, were not statistically significant</w:t>
      </w:r>
      <w:r w:rsidR="000E6DDC" w:rsidRPr="005E6E19">
        <w:rPr>
          <w:szCs w:val="22"/>
        </w:rPr>
        <w:t>,</w:t>
      </w:r>
      <w:r w:rsidRPr="005E6E19">
        <w:rPr>
          <w:szCs w:val="22"/>
        </w:rPr>
        <w:t xml:space="preserve"> but the analyses suggested a trend towards some predictive effect.</w:t>
      </w:r>
    </w:p>
    <w:p w:rsidR="006115DB" w:rsidRPr="005B503C" w:rsidRDefault="006115DB" w:rsidP="006115DB">
      <w:pPr>
        <w:widowControl/>
      </w:pPr>
    </w:p>
    <w:p w:rsidR="00944B94" w:rsidRDefault="00944B94">
      <w:pPr>
        <w:widowControl/>
        <w:jc w:val="left"/>
        <w:rPr>
          <w:rFonts w:ascii="Arial Narrow" w:hAnsi="Arial Narrow"/>
          <w:b/>
          <w:sz w:val="20"/>
        </w:rPr>
      </w:pPr>
      <w:r>
        <w:br w:type="page"/>
      </w:r>
    </w:p>
    <w:p w:rsidR="006115DB" w:rsidRPr="00935B1E" w:rsidRDefault="006115DB" w:rsidP="000E6DDC">
      <w:pPr>
        <w:pStyle w:val="TableHeader"/>
        <w:ind w:left="709"/>
      </w:pPr>
      <w:r w:rsidRPr="00935B1E">
        <w:lastRenderedPageBreak/>
        <w:t xml:space="preserve">Table 7: CA209-017: Summary of comparative benefits and harms for </w:t>
      </w:r>
      <w:proofErr w:type="spellStart"/>
      <w:r w:rsidRPr="00935B1E">
        <w:t>nivolumab</w:t>
      </w:r>
      <w:proofErr w:type="spellEnd"/>
      <w:r w:rsidRPr="00935B1E">
        <w:t xml:space="preserve"> and </w:t>
      </w:r>
      <w:proofErr w:type="spellStart"/>
      <w:r w:rsidRPr="00935B1E">
        <w:t>docetaxel</w:t>
      </w:r>
      <w:proofErr w:type="spellEnd"/>
    </w:p>
    <w:tbl>
      <w:tblPr>
        <w:tblStyle w:val="TableGrid"/>
        <w:tblW w:w="4594" w:type="pct"/>
        <w:tblInd w:w="737" w:type="dxa"/>
        <w:tblCellMar>
          <w:left w:w="28" w:type="dxa"/>
          <w:right w:w="28" w:type="dxa"/>
        </w:tblCellMar>
        <w:tblLook w:val="04A0" w:firstRow="1" w:lastRow="0" w:firstColumn="1" w:lastColumn="0" w:noHBand="0" w:noVBand="1"/>
        <w:tblCaption w:val="Table 7: CA209-017: Summary of comparative benefits and harms for nivolumab and docetaxel"/>
      </w:tblPr>
      <w:tblGrid>
        <w:gridCol w:w="2083"/>
        <w:gridCol w:w="895"/>
        <w:gridCol w:w="619"/>
        <w:gridCol w:w="372"/>
        <w:gridCol w:w="991"/>
        <w:gridCol w:w="117"/>
        <w:gridCol w:w="1060"/>
        <w:gridCol w:w="1021"/>
        <w:gridCol w:w="45"/>
        <w:gridCol w:w="1142"/>
      </w:tblGrid>
      <w:tr w:rsidR="006115DB" w:rsidRPr="00CC4CB3" w:rsidTr="0036260F">
        <w:trPr>
          <w:trHeight w:val="150"/>
          <w:tblHeader/>
        </w:trPr>
        <w:tc>
          <w:tcPr>
            <w:tcW w:w="1248" w:type="pct"/>
            <w:vMerge w:val="restart"/>
            <w:shd w:val="clear" w:color="auto" w:fill="auto"/>
            <w:vAlign w:val="center"/>
          </w:tcPr>
          <w:p w:rsidR="006115DB" w:rsidRPr="00CC4CB3" w:rsidRDefault="006115DB" w:rsidP="004E7393">
            <w:pPr>
              <w:rPr>
                <w:rFonts w:ascii="Arial Narrow" w:hAnsi="Arial Narrow"/>
                <w:b/>
                <w:i/>
                <w:color w:val="000000"/>
                <w:sz w:val="20"/>
              </w:rPr>
            </w:pPr>
          </w:p>
        </w:tc>
        <w:tc>
          <w:tcPr>
            <w:tcW w:w="907" w:type="pct"/>
            <w:gridSpan w:val="2"/>
            <w:vMerge w:val="restart"/>
            <w:vAlign w:val="center"/>
          </w:tcPr>
          <w:p w:rsidR="006115DB" w:rsidRPr="00833D92" w:rsidRDefault="006115DB" w:rsidP="004E7393">
            <w:pPr>
              <w:jc w:val="center"/>
              <w:rPr>
                <w:rFonts w:ascii="Arial Narrow" w:hAnsi="Arial Narrow"/>
                <w:b/>
                <w:color w:val="000000"/>
                <w:sz w:val="20"/>
              </w:rPr>
            </w:pPr>
            <w:proofErr w:type="spellStart"/>
            <w:r w:rsidRPr="00833D92">
              <w:rPr>
                <w:rFonts w:ascii="Arial Narrow" w:hAnsi="Arial Narrow"/>
                <w:b/>
                <w:color w:val="000000"/>
                <w:sz w:val="20"/>
              </w:rPr>
              <w:t>Nivolumab</w:t>
            </w:r>
            <w:proofErr w:type="spellEnd"/>
          </w:p>
        </w:tc>
        <w:tc>
          <w:tcPr>
            <w:tcW w:w="817" w:type="pct"/>
            <w:gridSpan w:val="2"/>
            <w:vMerge w:val="restart"/>
            <w:vAlign w:val="center"/>
          </w:tcPr>
          <w:p w:rsidR="006115DB" w:rsidRPr="00833D92" w:rsidRDefault="006115DB" w:rsidP="004E7393">
            <w:pPr>
              <w:jc w:val="center"/>
              <w:rPr>
                <w:rFonts w:ascii="Arial Narrow" w:hAnsi="Arial Narrow"/>
                <w:b/>
                <w:color w:val="000000"/>
                <w:sz w:val="20"/>
              </w:rPr>
            </w:pPr>
            <w:proofErr w:type="spellStart"/>
            <w:r w:rsidRPr="00833D92">
              <w:rPr>
                <w:rFonts w:ascii="Arial Narrow" w:hAnsi="Arial Narrow"/>
                <w:b/>
                <w:color w:val="000000"/>
                <w:sz w:val="20"/>
              </w:rPr>
              <w:t>Docetaxel</w:t>
            </w:r>
            <w:proofErr w:type="spellEnd"/>
          </w:p>
        </w:tc>
        <w:tc>
          <w:tcPr>
            <w:tcW w:w="1317" w:type="pct"/>
            <w:gridSpan w:val="3"/>
            <w:vAlign w:val="center"/>
          </w:tcPr>
          <w:p w:rsidR="006115DB" w:rsidRPr="00833D92" w:rsidRDefault="006115DB" w:rsidP="004E7393">
            <w:pPr>
              <w:jc w:val="center"/>
              <w:rPr>
                <w:rFonts w:ascii="Arial Narrow" w:hAnsi="Arial Narrow"/>
                <w:b/>
                <w:color w:val="000000"/>
                <w:sz w:val="20"/>
              </w:rPr>
            </w:pPr>
            <w:r w:rsidRPr="00833D92">
              <w:rPr>
                <w:rFonts w:ascii="Arial Narrow" w:hAnsi="Arial Narrow"/>
                <w:b/>
                <w:color w:val="000000"/>
                <w:sz w:val="20"/>
              </w:rPr>
              <w:t>Event rate/100 patients</w:t>
            </w:r>
          </w:p>
          <w:p w:rsidR="006115DB" w:rsidRPr="00833D92" w:rsidRDefault="006115DB" w:rsidP="000E6DDC">
            <w:pPr>
              <w:jc w:val="center"/>
              <w:rPr>
                <w:rFonts w:ascii="Arial Narrow" w:hAnsi="Arial Narrow"/>
                <w:b/>
                <w:color w:val="000000"/>
                <w:sz w:val="20"/>
              </w:rPr>
            </w:pPr>
            <w:r w:rsidRPr="00833D92">
              <w:rPr>
                <w:rFonts w:ascii="Arial Narrow" w:hAnsi="Arial Narrow"/>
                <w:b/>
                <w:color w:val="000000"/>
                <w:sz w:val="20"/>
              </w:rPr>
              <w:t>(95% CI)</w:t>
            </w:r>
          </w:p>
        </w:tc>
        <w:tc>
          <w:tcPr>
            <w:tcW w:w="711" w:type="pct"/>
            <w:gridSpan w:val="2"/>
            <w:vMerge w:val="restart"/>
            <w:vAlign w:val="center"/>
          </w:tcPr>
          <w:p w:rsidR="006115DB" w:rsidRPr="00833D92" w:rsidRDefault="006115DB" w:rsidP="004E7393">
            <w:pPr>
              <w:jc w:val="center"/>
              <w:rPr>
                <w:rFonts w:ascii="Arial Narrow" w:hAnsi="Arial Narrow"/>
                <w:b/>
                <w:color w:val="000000"/>
                <w:sz w:val="20"/>
              </w:rPr>
            </w:pPr>
            <w:r w:rsidRPr="00833D92">
              <w:rPr>
                <w:rFonts w:ascii="Arial Narrow" w:hAnsi="Arial Narrow"/>
                <w:b/>
                <w:color w:val="000000"/>
                <w:sz w:val="20"/>
              </w:rPr>
              <w:t>RD/100 patients</w:t>
            </w:r>
          </w:p>
          <w:p w:rsidR="006115DB" w:rsidRPr="00833D92" w:rsidRDefault="006115DB" w:rsidP="000E6DDC">
            <w:pPr>
              <w:jc w:val="center"/>
              <w:rPr>
                <w:rFonts w:ascii="Arial Narrow" w:hAnsi="Arial Narrow"/>
                <w:b/>
                <w:color w:val="000000"/>
                <w:sz w:val="20"/>
              </w:rPr>
            </w:pPr>
            <w:r w:rsidRPr="00833D92">
              <w:rPr>
                <w:rFonts w:ascii="Arial Narrow" w:hAnsi="Arial Narrow"/>
                <w:b/>
                <w:color w:val="000000"/>
                <w:sz w:val="20"/>
              </w:rPr>
              <w:t>(95% CI)</w:t>
            </w:r>
          </w:p>
        </w:tc>
      </w:tr>
      <w:tr w:rsidR="006115DB" w:rsidRPr="006E069F" w:rsidTr="0036260F">
        <w:trPr>
          <w:trHeight w:val="315"/>
          <w:tblHeader/>
        </w:trPr>
        <w:tc>
          <w:tcPr>
            <w:tcW w:w="1248" w:type="pct"/>
            <w:vMerge/>
            <w:shd w:val="clear" w:color="auto" w:fill="auto"/>
            <w:vAlign w:val="center"/>
          </w:tcPr>
          <w:p w:rsidR="006115DB" w:rsidRPr="006E069F" w:rsidRDefault="006115DB" w:rsidP="004E7393">
            <w:pPr>
              <w:rPr>
                <w:rFonts w:ascii="Arial Narrow" w:hAnsi="Arial Narrow"/>
                <w:b/>
                <w:i/>
                <w:color w:val="000000"/>
                <w:sz w:val="20"/>
                <w:highlight w:val="green"/>
              </w:rPr>
            </w:pPr>
          </w:p>
        </w:tc>
        <w:tc>
          <w:tcPr>
            <w:tcW w:w="907" w:type="pct"/>
            <w:gridSpan w:val="2"/>
            <w:vMerge/>
            <w:vAlign w:val="center"/>
          </w:tcPr>
          <w:p w:rsidR="006115DB" w:rsidRPr="00833D92" w:rsidRDefault="006115DB" w:rsidP="004E7393">
            <w:pPr>
              <w:jc w:val="center"/>
              <w:rPr>
                <w:rFonts w:ascii="Arial Narrow" w:hAnsi="Arial Narrow"/>
                <w:b/>
                <w:color w:val="000000"/>
                <w:sz w:val="20"/>
                <w:highlight w:val="green"/>
              </w:rPr>
            </w:pPr>
          </w:p>
        </w:tc>
        <w:tc>
          <w:tcPr>
            <w:tcW w:w="817" w:type="pct"/>
            <w:gridSpan w:val="2"/>
            <w:vMerge/>
            <w:vAlign w:val="center"/>
          </w:tcPr>
          <w:p w:rsidR="006115DB" w:rsidRPr="00833D92" w:rsidRDefault="006115DB" w:rsidP="004E7393">
            <w:pPr>
              <w:jc w:val="center"/>
              <w:rPr>
                <w:rFonts w:ascii="Arial Narrow" w:hAnsi="Arial Narrow"/>
                <w:b/>
                <w:color w:val="000000"/>
                <w:sz w:val="20"/>
                <w:highlight w:val="green"/>
              </w:rPr>
            </w:pPr>
          </w:p>
        </w:tc>
        <w:tc>
          <w:tcPr>
            <w:tcW w:w="705" w:type="pct"/>
            <w:gridSpan w:val="2"/>
            <w:vAlign w:val="center"/>
          </w:tcPr>
          <w:p w:rsidR="006115DB" w:rsidRPr="00833D92" w:rsidRDefault="006115DB" w:rsidP="004E7393">
            <w:pPr>
              <w:jc w:val="center"/>
              <w:rPr>
                <w:rFonts w:ascii="Arial Narrow" w:hAnsi="Arial Narrow"/>
                <w:b/>
                <w:color w:val="000000"/>
                <w:sz w:val="20"/>
              </w:rPr>
            </w:pPr>
            <w:proofErr w:type="spellStart"/>
            <w:r w:rsidRPr="00833D92">
              <w:rPr>
                <w:rFonts w:ascii="Arial Narrow" w:hAnsi="Arial Narrow"/>
                <w:b/>
                <w:color w:val="000000"/>
                <w:sz w:val="20"/>
              </w:rPr>
              <w:t>Nivolumab</w:t>
            </w:r>
            <w:proofErr w:type="spellEnd"/>
          </w:p>
        </w:tc>
        <w:tc>
          <w:tcPr>
            <w:tcW w:w="612" w:type="pct"/>
            <w:vAlign w:val="center"/>
          </w:tcPr>
          <w:p w:rsidR="006115DB" w:rsidRPr="00833D92" w:rsidRDefault="006115DB" w:rsidP="004E7393">
            <w:pPr>
              <w:jc w:val="center"/>
              <w:rPr>
                <w:rFonts w:ascii="Arial Narrow" w:hAnsi="Arial Narrow"/>
                <w:b/>
                <w:color w:val="000000"/>
                <w:sz w:val="20"/>
              </w:rPr>
            </w:pPr>
            <w:proofErr w:type="spellStart"/>
            <w:r w:rsidRPr="00833D92">
              <w:rPr>
                <w:rFonts w:ascii="Arial Narrow" w:hAnsi="Arial Narrow"/>
                <w:b/>
                <w:color w:val="000000"/>
                <w:sz w:val="20"/>
              </w:rPr>
              <w:t>Docetaxel</w:t>
            </w:r>
            <w:proofErr w:type="spellEnd"/>
          </w:p>
        </w:tc>
        <w:tc>
          <w:tcPr>
            <w:tcW w:w="711" w:type="pct"/>
            <w:gridSpan w:val="2"/>
            <w:vMerge/>
            <w:vAlign w:val="center"/>
          </w:tcPr>
          <w:p w:rsidR="006115DB" w:rsidRPr="00833D92" w:rsidRDefault="006115DB" w:rsidP="004E7393">
            <w:pPr>
              <w:jc w:val="center"/>
              <w:rPr>
                <w:rFonts w:ascii="Arial Narrow" w:hAnsi="Arial Narrow"/>
                <w:b/>
                <w:color w:val="000000"/>
                <w:sz w:val="20"/>
                <w:highlight w:val="green"/>
              </w:rPr>
            </w:pPr>
          </w:p>
        </w:tc>
      </w:tr>
      <w:tr w:rsidR="006115DB" w:rsidRPr="006E069F" w:rsidTr="000E6DDC">
        <w:tc>
          <w:tcPr>
            <w:tcW w:w="5000" w:type="pct"/>
            <w:gridSpan w:val="10"/>
            <w:shd w:val="clear" w:color="auto" w:fill="FFFFFF" w:themeFill="background1"/>
            <w:vAlign w:val="center"/>
          </w:tcPr>
          <w:p w:rsidR="006115DB" w:rsidRPr="00833D92" w:rsidRDefault="006115DB" w:rsidP="004E7393">
            <w:pPr>
              <w:rPr>
                <w:rFonts w:ascii="Arial Narrow" w:hAnsi="Arial Narrow"/>
                <w:b/>
                <w:color w:val="000000"/>
                <w:sz w:val="20"/>
              </w:rPr>
            </w:pPr>
            <w:r w:rsidRPr="00833D92">
              <w:rPr>
                <w:rFonts w:ascii="Arial Narrow" w:hAnsi="Arial Narrow"/>
                <w:b/>
                <w:color w:val="000000"/>
                <w:sz w:val="20"/>
              </w:rPr>
              <w:t>Benefits</w:t>
            </w:r>
          </w:p>
        </w:tc>
      </w:tr>
      <w:tr w:rsidR="006115DB" w:rsidRPr="006E069F" w:rsidTr="000E6DDC">
        <w:tc>
          <w:tcPr>
            <w:tcW w:w="5000" w:type="pct"/>
            <w:gridSpan w:val="10"/>
            <w:shd w:val="clear" w:color="auto" w:fill="auto"/>
            <w:vAlign w:val="center"/>
          </w:tcPr>
          <w:p w:rsidR="006115DB" w:rsidRPr="005E6E19" w:rsidRDefault="006115DB" w:rsidP="004E7393">
            <w:pPr>
              <w:rPr>
                <w:rFonts w:ascii="Arial Narrow" w:hAnsi="Arial Narrow"/>
                <w:color w:val="000000"/>
                <w:sz w:val="20"/>
              </w:rPr>
            </w:pPr>
            <w:r w:rsidRPr="005E6E19">
              <w:rPr>
                <w:rFonts w:ascii="Arial Narrow" w:hAnsi="Arial Narrow"/>
                <w:color w:val="000000"/>
                <w:sz w:val="20"/>
              </w:rPr>
              <w:t>Overall survival (OS)</w:t>
            </w:r>
          </w:p>
        </w:tc>
      </w:tr>
      <w:tr w:rsidR="006115DB" w:rsidRPr="006E069F" w:rsidTr="00833D92">
        <w:tc>
          <w:tcPr>
            <w:tcW w:w="1248" w:type="pct"/>
            <w:shd w:val="clear" w:color="auto" w:fill="auto"/>
            <w:vAlign w:val="center"/>
          </w:tcPr>
          <w:p w:rsidR="006115DB" w:rsidRPr="005E6E19" w:rsidRDefault="006115DB" w:rsidP="00C90C64">
            <w:pPr>
              <w:jc w:val="left"/>
              <w:rPr>
                <w:rFonts w:ascii="Arial Narrow" w:hAnsi="Arial Narrow"/>
                <w:color w:val="000000"/>
                <w:sz w:val="20"/>
              </w:rPr>
            </w:pPr>
            <w:r w:rsidRPr="005E6E19">
              <w:rPr>
                <w:rFonts w:ascii="Arial Narrow" w:hAnsi="Arial Narrow"/>
                <w:sz w:val="20"/>
              </w:rPr>
              <w:t xml:space="preserve">Kaplan-Meir OS </w:t>
            </w:r>
            <w:proofErr w:type="spellStart"/>
            <w:r w:rsidRPr="005E6E19">
              <w:rPr>
                <w:rFonts w:ascii="Arial Narrow" w:hAnsi="Arial Narrow"/>
                <w:sz w:val="20"/>
              </w:rPr>
              <w:t>rate</w:t>
            </w:r>
            <w:r w:rsidRPr="005E6E19">
              <w:rPr>
                <w:rFonts w:ascii="Arial Narrow" w:hAnsi="Arial Narrow"/>
                <w:sz w:val="20"/>
                <w:vertAlign w:val="superscript"/>
              </w:rPr>
              <w:t>a</w:t>
            </w:r>
            <w:proofErr w:type="spellEnd"/>
            <w:r w:rsidRPr="005E6E19">
              <w:rPr>
                <w:rFonts w:ascii="Arial Narrow" w:hAnsi="Arial Narrow"/>
                <w:color w:val="000000"/>
                <w:sz w:val="20"/>
              </w:rPr>
              <w:t xml:space="preserve"> at 12 months (Database lock: December 2014)</w:t>
            </w:r>
          </w:p>
        </w:tc>
        <w:tc>
          <w:tcPr>
            <w:tcW w:w="907"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57/135</w:t>
            </w:r>
          </w:p>
        </w:tc>
        <w:tc>
          <w:tcPr>
            <w:tcW w:w="817"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32/137</w:t>
            </w:r>
          </w:p>
        </w:tc>
        <w:tc>
          <w:tcPr>
            <w:tcW w:w="705"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42</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(34, 50)</w:t>
            </w:r>
          </w:p>
        </w:tc>
        <w:tc>
          <w:tcPr>
            <w:tcW w:w="639"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24.0</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(17, 31)</w:t>
            </w:r>
          </w:p>
        </w:tc>
        <w:tc>
          <w:tcPr>
            <w:tcW w:w="684"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18</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(8, 30)</w:t>
            </w:r>
          </w:p>
        </w:tc>
      </w:tr>
      <w:tr w:rsidR="006115DB" w:rsidRPr="006E069F" w:rsidTr="00833D92">
        <w:tc>
          <w:tcPr>
            <w:tcW w:w="1248" w:type="pct"/>
            <w:shd w:val="clear" w:color="auto" w:fill="auto"/>
            <w:vAlign w:val="center"/>
          </w:tcPr>
          <w:p w:rsidR="006115DB" w:rsidRPr="005E6E19" w:rsidRDefault="006115DB" w:rsidP="00C90C64">
            <w:pPr>
              <w:jc w:val="left"/>
              <w:rPr>
                <w:rFonts w:ascii="Arial Narrow" w:hAnsi="Arial Narrow"/>
                <w:color w:val="000000"/>
                <w:sz w:val="20"/>
              </w:rPr>
            </w:pPr>
            <w:r w:rsidRPr="005E6E19">
              <w:rPr>
                <w:rFonts w:ascii="Arial Narrow" w:hAnsi="Arial Narrow"/>
                <w:sz w:val="20"/>
              </w:rPr>
              <w:t xml:space="preserve">Kaplan-Meir OS </w:t>
            </w:r>
            <w:proofErr w:type="spellStart"/>
            <w:r w:rsidRPr="005E6E19">
              <w:rPr>
                <w:rFonts w:ascii="Arial Narrow" w:hAnsi="Arial Narrow"/>
                <w:sz w:val="20"/>
              </w:rPr>
              <w:t>rate</w:t>
            </w:r>
            <w:r w:rsidRPr="005E6E19">
              <w:rPr>
                <w:rFonts w:ascii="Arial Narrow" w:hAnsi="Arial Narrow"/>
                <w:sz w:val="20"/>
                <w:vertAlign w:val="superscript"/>
              </w:rPr>
              <w:t>a</w:t>
            </w:r>
            <w:proofErr w:type="spellEnd"/>
            <w:r w:rsidRPr="005E6E19">
              <w:rPr>
                <w:rFonts w:ascii="Arial Narrow" w:hAnsi="Arial Narrow"/>
                <w:color w:val="000000"/>
                <w:sz w:val="20"/>
              </w:rPr>
              <w:t xml:space="preserve"> at 18 </w:t>
            </w:r>
            <w:proofErr w:type="spellStart"/>
            <w:r w:rsidRPr="005E6E19">
              <w:rPr>
                <w:rFonts w:ascii="Arial Narrow" w:hAnsi="Arial Narrow"/>
                <w:color w:val="000000"/>
                <w:sz w:val="20"/>
              </w:rPr>
              <w:t>months</w:t>
            </w:r>
            <w:r w:rsidRPr="005E6E19">
              <w:rPr>
                <w:rFonts w:ascii="Arial Narrow" w:hAnsi="Arial Narrow"/>
                <w:color w:val="000000"/>
                <w:sz w:val="20"/>
                <w:vertAlign w:val="superscript"/>
              </w:rPr>
              <w:t>b</w:t>
            </w:r>
            <w:proofErr w:type="spellEnd"/>
            <w:r w:rsidRPr="005E6E19">
              <w:rPr>
                <w:rFonts w:ascii="Arial Narrow" w:hAnsi="Arial Narrow"/>
                <w:color w:val="000000"/>
                <w:sz w:val="20"/>
                <w:vertAlign w:val="superscript"/>
              </w:rPr>
              <w:t xml:space="preserve"> </w:t>
            </w:r>
            <w:r w:rsidRPr="005E6E19">
              <w:rPr>
                <w:rFonts w:ascii="Arial Narrow" w:hAnsi="Arial Narrow"/>
                <w:color w:val="000000"/>
                <w:sz w:val="20"/>
              </w:rPr>
              <w:t>(Database lock: August 2015)</w:t>
            </w:r>
          </w:p>
        </w:tc>
        <w:tc>
          <w:tcPr>
            <w:tcW w:w="907"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38/135</w:t>
            </w:r>
          </w:p>
        </w:tc>
        <w:tc>
          <w:tcPr>
            <w:tcW w:w="817"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18/137</w:t>
            </w:r>
          </w:p>
        </w:tc>
        <w:tc>
          <w:tcPr>
            <w:tcW w:w="705"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28</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(NR)</w:t>
            </w:r>
          </w:p>
        </w:tc>
        <w:tc>
          <w:tcPr>
            <w:tcW w:w="639"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13</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(NR)</w:t>
            </w:r>
          </w:p>
        </w:tc>
        <w:tc>
          <w:tcPr>
            <w:tcW w:w="684"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15</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(6, 24)</w:t>
            </w:r>
          </w:p>
        </w:tc>
      </w:tr>
      <w:tr w:rsidR="006115DB" w:rsidRPr="006E069F" w:rsidTr="00833D92">
        <w:tc>
          <w:tcPr>
            <w:tcW w:w="1248" w:type="pct"/>
            <w:shd w:val="clear" w:color="auto" w:fill="auto"/>
            <w:vAlign w:val="center"/>
          </w:tcPr>
          <w:p w:rsidR="006115DB" w:rsidRPr="005E6E19" w:rsidRDefault="006115DB" w:rsidP="00C90C64">
            <w:pPr>
              <w:jc w:val="left"/>
              <w:rPr>
                <w:rFonts w:ascii="Arial Narrow" w:hAnsi="Arial Narrow"/>
                <w:color w:val="000000"/>
                <w:sz w:val="20"/>
              </w:rPr>
            </w:pPr>
          </w:p>
        </w:tc>
        <w:tc>
          <w:tcPr>
            <w:tcW w:w="907" w:type="pct"/>
            <w:gridSpan w:val="2"/>
            <w:vAlign w:val="center"/>
          </w:tcPr>
          <w:p w:rsidR="006115DB" w:rsidRPr="005E6E19" w:rsidRDefault="006115DB" w:rsidP="004E7393">
            <w:pPr>
              <w:jc w:val="center"/>
              <w:rPr>
                <w:rFonts w:ascii="Arial Narrow" w:hAnsi="Arial Narrow"/>
                <w:b/>
                <w:color w:val="000000"/>
                <w:sz w:val="20"/>
              </w:rPr>
            </w:pPr>
            <w:proofErr w:type="spellStart"/>
            <w:r w:rsidRPr="005E6E19">
              <w:rPr>
                <w:rFonts w:ascii="Arial Narrow" w:hAnsi="Arial Narrow"/>
                <w:b/>
                <w:color w:val="000000"/>
                <w:sz w:val="20"/>
              </w:rPr>
              <w:t>Nivolumab</w:t>
            </w:r>
            <w:proofErr w:type="spellEnd"/>
          </w:p>
        </w:tc>
        <w:tc>
          <w:tcPr>
            <w:tcW w:w="817" w:type="pct"/>
            <w:gridSpan w:val="2"/>
            <w:vAlign w:val="center"/>
          </w:tcPr>
          <w:p w:rsidR="006115DB" w:rsidRPr="005E6E19" w:rsidRDefault="006115DB" w:rsidP="004E7393">
            <w:pPr>
              <w:jc w:val="center"/>
              <w:rPr>
                <w:rFonts w:ascii="Arial Narrow" w:hAnsi="Arial Narrow"/>
                <w:b/>
                <w:color w:val="000000"/>
                <w:sz w:val="20"/>
              </w:rPr>
            </w:pPr>
            <w:proofErr w:type="spellStart"/>
            <w:r w:rsidRPr="005E6E19">
              <w:rPr>
                <w:rFonts w:ascii="Arial Narrow" w:hAnsi="Arial Narrow"/>
                <w:b/>
                <w:color w:val="000000"/>
                <w:sz w:val="20"/>
              </w:rPr>
              <w:t>Docetaxel</w:t>
            </w:r>
            <w:proofErr w:type="spellEnd"/>
          </w:p>
        </w:tc>
        <w:tc>
          <w:tcPr>
            <w:tcW w:w="1344" w:type="pct"/>
            <w:gridSpan w:val="4"/>
            <w:vAlign w:val="center"/>
          </w:tcPr>
          <w:p w:rsidR="006115DB" w:rsidRPr="005E6E19" w:rsidRDefault="006115DB" w:rsidP="004E7393">
            <w:pPr>
              <w:jc w:val="center"/>
              <w:rPr>
                <w:rFonts w:ascii="Arial Narrow" w:hAnsi="Arial Narrow"/>
                <w:b/>
                <w:color w:val="000000"/>
                <w:sz w:val="20"/>
              </w:rPr>
            </w:pPr>
            <w:r w:rsidRPr="005E6E19">
              <w:rPr>
                <w:rFonts w:ascii="Arial Narrow" w:hAnsi="Arial Narrow"/>
                <w:b/>
                <w:color w:val="000000"/>
                <w:sz w:val="20"/>
              </w:rPr>
              <w:t xml:space="preserve">Absolute </w:t>
            </w:r>
            <w:r w:rsidR="000E6DDC" w:rsidRPr="005E6E19">
              <w:rPr>
                <w:rFonts w:ascii="Arial Narrow" w:hAnsi="Arial Narrow"/>
                <w:b/>
                <w:color w:val="000000"/>
                <w:sz w:val="20"/>
              </w:rPr>
              <w:t>d</w:t>
            </w:r>
            <w:r w:rsidRPr="005E6E19">
              <w:rPr>
                <w:rFonts w:ascii="Arial Narrow" w:hAnsi="Arial Narrow"/>
                <w:b/>
                <w:color w:val="000000"/>
                <w:sz w:val="20"/>
              </w:rPr>
              <w:t>ifference</w:t>
            </w:r>
          </w:p>
        </w:tc>
        <w:tc>
          <w:tcPr>
            <w:tcW w:w="684" w:type="pct"/>
            <w:vAlign w:val="center"/>
          </w:tcPr>
          <w:p w:rsidR="006115DB" w:rsidRPr="005E6E19" w:rsidRDefault="006115DB" w:rsidP="004E7393">
            <w:pPr>
              <w:jc w:val="center"/>
              <w:rPr>
                <w:rFonts w:ascii="Arial Narrow" w:hAnsi="Arial Narrow"/>
                <w:b/>
                <w:color w:val="000000"/>
                <w:sz w:val="20"/>
              </w:rPr>
            </w:pPr>
            <w:r w:rsidRPr="005E6E19">
              <w:rPr>
                <w:rFonts w:ascii="Arial Narrow" w:hAnsi="Arial Narrow"/>
                <w:b/>
                <w:color w:val="000000"/>
                <w:sz w:val="20"/>
              </w:rPr>
              <w:t>HR (95% CI)</w:t>
            </w:r>
          </w:p>
        </w:tc>
      </w:tr>
      <w:tr w:rsidR="006115DB" w:rsidRPr="006E069F" w:rsidTr="00833D92">
        <w:tc>
          <w:tcPr>
            <w:tcW w:w="1248" w:type="pct"/>
            <w:shd w:val="clear" w:color="auto" w:fill="auto"/>
            <w:vAlign w:val="center"/>
          </w:tcPr>
          <w:p w:rsidR="006115DB" w:rsidRPr="005E6E19" w:rsidRDefault="006115DB" w:rsidP="00C90C64">
            <w:pPr>
              <w:jc w:val="left"/>
              <w:rPr>
                <w:rFonts w:ascii="Arial Narrow" w:hAnsi="Arial Narrow"/>
                <w:color w:val="000000"/>
                <w:sz w:val="20"/>
                <w:vertAlign w:val="superscript"/>
              </w:rPr>
            </w:pPr>
            <w:r w:rsidRPr="005E6E19">
              <w:rPr>
                <w:rFonts w:ascii="Arial Narrow" w:hAnsi="Arial Narrow"/>
                <w:color w:val="000000"/>
                <w:sz w:val="20"/>
              </w:rPr>
              <w:t>Median OS</w:t>
            </w:r>
            <w:r w:rsidR="000E6DDC" w:rsidRPr="005E6E19">
              <w:rPr>
                <w:rFonts w:ascii="Arial Narrow" w:hAnsi="Arial Narrow"/>
                <w:color w:val="000000"/>
                <w:sz w:val="20"/>
              </w:rPr>
              <w:t>,</w:t>
            </w:r>
            <w:r w:rsidRPr="005E6E19">
              <w:rPr>
                <w:rFonts w:ascii="Arial Narrow" w:hAnsi="Arial Narrow"/>
                <w:color w:val="000000"/>
                <w:sz w:val="20"/>
              </w:rPr>
              <w:t xml:space="preserve"> months</w:t>
            </w:r>
            <w:r w:rsidR="000E6DDC" w:rsidRPr="005E6E19">
              <w:rPr>
                <w:rFonts w:ascii="Arial Narrow" w:hAnsi="Arial Narrow"/>
                <w:color w:val="000000"/>
                <w:sz w:val="20"/>
              </w:rPr>
              <w:t xml:space="preserve"> (95% CI</w:t>
            </w:r>
            <w:r w:rsidRPr="005E6E19">
              <w:rPr>
                <w:rFonts w:ascii="Arial Narrow" w:hAnsi="Arial Narrow"/>
                <w:color w:val="000000"/>
                <w:sz w:val="20"/>
              </w:rPr>
              <w:t>) (August 2015 database lock, 18 months follow up)</w:t>
            </w:r>
            <w:r w:rsidRPr="005E6E19">
              <w:rPr>
                <w:rFonts w:ascii="Arial Narrow" w:hAnsi="Arial Narrow"/>
                <w:color w:val="000000"/>
                <w:sz w:val="20"/>
                <w:vertAlign w:val="superscript"/>
              </w:rPr>
              <w:t>c</w:t>
            </w:r>
          </w:p>
        </w:tc>
        <w:tc>
          <w:tcPr>
            <w:tcW w:w="907" w:type="pct"/>
            <w:gridSpan w:val="2"/>
            <w:vAlign w:val="center"/>
          </w:tcPr>
          <w:p w:rsidR="000E6DDC" w:rsidRPr="005E6E19" w:rsidRDefault="006115DB" w:rsidP="000E6DDC">
            <w:pPr>
              <w:jc w:val="center"/>
              <w:rPr>
                <w:rFonts w:ascii="Arial Narrow" w:hAnsi="Arial Narrow"/>
                <w:sz w:val="20"/>
              </w:rPr>
            </w:pPr>
            <w:r w:rsidRPr="005E6E19">
              <w:rPr>
                <w:rFonts w:ascii="Arial Narrow" w:hAnsi="Arial Narrow"/>
                <w:sz w:val="20"/>
              </w:rPr>
              <w:t>9.20</w:t>
            </w:r>
          </w:p>
          <w:p w:rsidR="006115DB" w:rsidRPr="005E6E19" w:rsidRDefault="006115DB" w:rsidP="000E6DDC">
            <w:pPr>
              <w:jc w:val="center"/>
              <w:rPr>
                <w:rFonts w:ascii="Arial Narrow" w:hAnsi="Arial Narrow"/>
                <w:sz w:val="20"/>
              </w:rPr>
            </w:pPr>
            <w:r w:rsidRPr="005E6E19">
              <w:rPr>
                <w:rFonts w:ascii="Arial Narrow" w:hAnsi="Arial Narrow"/>
                <w:sz w:val="20"/>
              </w:rPr>
              <w:t>(7.33, 12.62</w:t>
            </w:r>
            <w:r w:rsidR="000E6DDC" w:rsidRPr="005E6E19">
              <w:rPr>
                <w:rFonts w:ascii="Arial Narrow" w:hAnsi="Arial Narrow"/>
                <w:sz w:val="20"/>
              </w:rPr>
              <w:t>)</w:t>
            </w:r>
          </w:p>
        </w:tc>
        <w:tc>
          <w:tcPr>
            <w:tcW w:w="817" w:type="pct"/>
            <w:gridSpan w:val="2"/>
            <w:vAlign w:val="center"/>
          </w:tcPr>
          <w:p w:rsidR="000E6DDC" w:rsidRPr="005E6E19" w:rsidRDefault="006115DB" w:rsidP="000E6DDC">
            <w:pPr>
              <w:jc w:val="center"/>
              <w:rPr>
                <w:rFonts w:ascii="Arial Narrow" w:hAnsi="Arial Narrow"/>
                <w:sz w:val="20"/>
              </w:rPr>
            </w:pPr>
            <w:r w:rsidRPr="005E6E19">
              <w:rPr>
                <w:rFonts w:ascii="Arial Narrow" w:hAnsi="Arial Narrow"/>
                <w:sz w:val="20"/>
              </w:rPr>
              <w:t>6.00</w:t>
            </w:r>
          </w:p>
          <w:p w:rsidR="006115DB" w:rsidRPr="005E6E19" w:rsidRDefault="006115DB" w:rsidP="000E6DDC">
            <w:pPr>
              <w:jc w:val="center"/>
              <w:rPr>
                <w:rFonts w:ascii="Arial Narrow" w:hAnsi="Arial Narrow"/>
                <w:sz w:val="20"/>
              </w:rPr>
            </w:pPr>
            <w:r w:rsidRPr="005E6E19">
              <w:rPr>
                <w:rFonts w:ascii="Arial Narrow" w:hAnsi="Arial Narrow"/>
                <w:sz w:val="20"/>
              </w:rPr>
              <w:t>(5.29, 7.39)</w:t>
            </w:r>
          </w:p>
        </w:tc>
        <w:tc>
          <w:tcPr>
            <w:tcW w:w="1344" w:type="pct"/>
            <w:gridSpan w:val="4"/>
            <w:vAlign w:val="center"/>
          </w:tcPr>
          <w:p w:rsidR="006115DB" w:rsidRPr="005E6E19" w:rsidRDefault="006115DB" w:rsidP="000E6DDC">
            <w:pPr>
              <w:jc w:val="center"/>
              <w:rPr>
                <w:rFonts w:ascii="Arial Narrow" w:hAnsi="Arial Narrow"/>
                <w:color w:val="000000"/>
                <w:sz w:val="20"/>
              </w:rPr>
            </w:pPr>
            <w:r w:rsidRPr="005E6E19">
              <w:rPr>
                <w:rFonts w:ascii="Arial Narrow" w:hAnsi="Arial Narrow"/>
                <w:color w:val="000000"/>
                <w:sz w:val="20"/>
              </w:rPr>
              <w:t>3.20</w:t>
            </w:r>
          </w:p>
        </w:tc>
        <w:tc>
          <w:tcPr>
            <w:tcW w:w="684" w:type="pct"/>
            <w:vAlign w:val="center"/>
          </w:tcPr>
          <w:p w:rsidR="006115DB" w:rsidRPr="005E6E19" w:rsidRDefault="006115DB" w:rsidP="004E7393">
            <w:pPr>
              <w:jc w:val="center"/>
              <w:rPr>
                <w:rFonts w:ascii="Arial Narrow" w:hAnsi="Arial Narrow"/>
                <w:sz w:val="20"/>
              </w:rPr>
            </w:pPr>
            <w:r w:rsidRPr="005E6E19">
              <w:rPr>
                <w:rFonts w:ascii="Arial Narrow" w:hAnsi="Arial Narrow"/>
                <w:sz w:val="20"/>
              </w:rPr>
              <w:t>0.62</w:t>
            </w:r>
          </w:p>
          <w:p w:rsidR="006115DB" w:rsidRPr="005E6E19" w:rsidRDefault="006115DB" w:rsidP="004E7393">
            <w:pPr>
              <w:jc w:val="center"/>
              <w:rPr>
                <w:rFonts w:ascii="Arial Narrow" w:hAnsi="Arial Narrow"/>
                <w:color w:val="000000"/>
                <w:sz w:val="20"/>
              </w:rPr>
            </w:pPr>
            <w:r w:rsidRPr="005E6E19">
              <w:rPr>
                <w:rFonts w:ascii="Arial Narrow" w:hAnsi="Arial Narrow"/>
                <w:sz w:val="20"/>
              </w:rPr>
              <w:t>(0.48, 0.81)</w:t>
            </w:r>
          </w:p>
        </w:tc>
      </w:tr>
      <w:tr w:rsidR="006115DB" w:rsidRPr="000B46D9" w:rsidTr="000E6DDC">
        <w:tc>
          <w:tcPr>
            <w:tcW w:w="5000" w:type="pct"/>
            <w:gridSpan w:val="10"/>
            <w:tcBorders>
              <w:top w:val="double" w:sz="4" w:space="0" w:color="auto"/>
            </w:tcBorders>
            <w:shd w:val="clear" w:color="auto" w:fill="FFFFFF" w:themeFill="background1"/>
            <w:vAlign w:val="center"/>
          </w:tcPr>
          <w:p w:rsidR="006115DB" w:rsidRPr="005E6E19" w:rsidRDefault="006115DB" w:rsidP="004E7393">
            <w:pPr>
              <w:rPr>
                <w:rFonts w:ascii="Arial Narrow" w:hAnsi="Arial Narrow"/>
                <w:b/>
                <w:color w:val="000000"/>
                <w:sz w:val="20"/>
              </w:rPr>
            </w:pPr>
            <w:r w:rsidRPr="005E6E19">
              <w:rPr>
                <w:rFonts w:ascii="Arial Narrow" w:hAnsi="Arial Narrow"/>
                <w:b/>
                <w:color w:val="000000"/>
                <w:sz w:val="20"/>
              </w:rPr>
              <w:t>Harms (Safety set)</w:t>
            </w:r>
          </w:p>
        </w:tc>
      </w:tr>
      <w:tr w:rsidR="006115DB" w:rsidRPr="000B46D9" w:rsidTr="00833D92">
        <w:trPr>
          <w:trHeight w:val="70"/>
        </w:trPr>
        <w:tc>
          <w:tcPr>
            <w:tcW w:w="1248" w:type="pct"/>
            <w:vMerge w:val="restart"/>
            <w:shd w:val="clear" w:color="auto" w:fill="auto"/>
            <w:vAlign w:val="center"/>
          </w:tcPr>
          <w:p w:rsidR="006115DB" w:rsidRPr="000B46D9" w:rsidRDefault="006115DB" w:rsidP="004E7393">
            <w:pPr>
              <w:rPr>
                <w:rFonts w:ascii="Arial Narrow" w:hAnsi="Arial Narrow"/>
                <w:b/>
                <w:i/>
                <w:color w:val="000000"/>
                <w:sz w:val="20"/>
              </w:rPr>
            </w:pPr>
          </w:p>
        </w:tc>
        <w:tc>
          <w:tcPr>
            <w:tcW w:w="536" w:type="pct"/>
            <w:vMerge w:val="restart"/>
            <w:vAlign w:val="center"/>
          </w:tcPr>
          <w:p w:rsidR="006115DB" w:rsidRPr="00833D92" w:rsidRDefault="006115DB" w:rsidP="004E7393">
            <w:pPr>
              <w:jc w:val="center"/>
              <w:rPr>
                <w:rFonts w:ascii="Arial Narrow" w:hAnsi="Arial Narrow"/>
                <w:b/>
                <w:color w:val="000000"/>
                <w:sz w:val="20"/>
              </w:rPr>
            </w:pPr>
            <w:proofErr w:type="spellStart"/>
            <w:r w:rsidRPr="00833D92">
              <w:rPr>
                <w:rFonts w:ascii="Arial Narrow" w:hAnsi="Arial Narrow"/>
                <w:b/>
                <w:color w:val="000000"/>
                <w:sz w:val="20"/>
              </w:rPr>
              <w:t>Nivolumab</w:t>
            </w:r>
            <w:proofErr w:type="spellEnd"/>
          </w:p>
        </w:tc>
        <w:tc>
          <w:tcPr>
            <w:tcW w:w="594" w:type="pct"/>
            <w:gridSpan w:val="2"/>
            <w:vMerge w:val="restart"/>
            <w:vAlign w:val="center"/>
          </w:tcPr>
          <w:p w:rsidR="006115DB" w:rsidRPr="005E6E19" w:rsidRDefault="006115DB" w:rsidP="004E7393">
            <w:pPr>
              <w:jc w:val="center"/>
              <w:rPr>
                <w:rFonts w:ascii="Arial Narrow" w:hAnsi="Arial Narrow"/>
                <w:b/>
                <w:color w:val="000000"/>
                <w:sz w:val="20"/>
              </w:rPr>
            </w:pPr>
            <w:proofErr w:type="spellStart"/>
            <w:r w:rsidRPr="005E6E19">
              <w:rPr>
                <w:rFonts w:ascii="Arial Narrow" w:hAnsi="Arial Narrow"/>
                <w:b/>
                <w:color w:val="000000"/>
                <w:sz w:val="20"/>
              </w:rPr>
              <w:t>Docetaxel</w:t>
            </w:r>
            <w:proofErr w:type="spellEnd"/>
          </w:p>
        </w:tc>
        <w:tc>
          <w:tcPr>
            <w:tcW w:w="664" w:type="pct"/>
            <w:gridSpan w:val="2"/>
            <w:vMerge w:val="restart"/>
            <w:vAlign w:val="center"/>
          </w:tcPr>
          <w:p w:rsidR="006115DB" w:rsidRPr="005E6E19" w:rsidRDefault="006115DB" w:rsidP="004E7393">
            <w:pPr>
              <w:jc w:val="center"/>
              <w:rPr>
                <w:rFonts w:ascii="Arial Narrow" w:hAnsi="Arial Narrow"/>
                <w:b/>
                <w:color w:val="000000"/>
                <w:sz w:val="20"/>
              </w:rPr>
            </w:pPr>
            <w:r w:rsidRPr="005E6E19">
              <w:rPr>
                <w:rFonts w:ascii="Arial Narrow" w:hAnsi="Arial Narrow"/>
                <w:b/>
                <w:color w:val="000000"/>
                <w:sz w:val="20"/>
              </w:rPr>
              <w:t>RR</w:t>
            </w:r>
          </w:p>
          <w:p w:rsidR="006115DB" w:rsidRPr="005E6E19" w:rsidRDefault="006115DB" w:rsidP="004E7393">
            <w:pPr>
              <w:jc w:val="center"/>
              <w:rPr>
                <w:rFonts w:ascii="Arial Narrow" w:hAnsi="Arial Narrow"/>
                <w:b/>
                <w:color w:val="000000"/>
                <w:sz w:val="20"/>
              </w:rPr>
            </w:pPr>
            <w:r w:rsidRPr="005E6E19">
              <w:rPr>
                <w:rFonts w:ascii="Arial Narrow" w:hAnsi="Arial Narrow"/>
                <w:b/>
                <w:color w:val="000000"/>
                <w:sz w:val="20"/>
              </w:rPr>
              <w:t>(95% CI)</w:t>
            </w:r>
          </w:p>
        </w:tc>
        <w:tc>
          <w:tcPr>
            <w:tcW w:w="1274" w:type="pct"/>
            <w:gridSpan w:val="3"/>
            <w:vAlign w:val="center"/>
          </w:tcPr>
          <w:p w:rsidR="006115DB" w:rsidRPr="005E6E19" w:rsidRDefault="006115DB" w:rsidP="000E6DDC">
            <w:pPr>
              <w:jc w:val="center"/>
              <w:rPr>
                <w:rFonts w:ascii="Arial Narrow" w:hAnsi="Arial Narrow"/>
                <w:b/>
                <w:color w:val="000000"/>
                <w:sz w:val="20"/>
              </w:rPr>
            </w:pPr>
            <w:r w:rsidRPr="005E6E19">
              <w:rPr>
                <w:rFonts w:ascii="Arial Narrow" w:hAnsi="Arial Narrow"/>
                <w:b/>
                <w:color w:val="000000"/>
                <w:sz w:val="20"/>
              </w:rPr>
              <w:t>Event rate/100 patients</w:t>
            </w:r>
          </w:p>
        </w:tc>
        <w:tc>
          <w:tcPr>
            <w:tcW w:w="684" w:type="pct"/>
            <w:vMerge w:val="restart"/>
            <w:vAlign w:val="center"/>
          </w:tcPr>
          <w:p w:rsidR="006115DB" w:rsidRPr="005E6E19" w:rsidRDefault="006115DB" w:rsidP="004E7393">
            <w:pPr>
              <w:jc w:val="center"/>
              <w:rPr>
                <w:rFonts w:ascii="Arial Narrow" w:hAnsi="Arial Narrow"/>
                <w:b/>
                <w:color w:val="000000"/>
                <w:sz w:val="20"/>
              </w:rPr>
            </w:pPr>
            <w:r w:rsidRPr="005E6E19">
              <w:rPr>
                <w:rFonts w:ascii="Arial Narrow" w:hAnsi="Arial Narrow"/>
                <w:b/>
                <w:color w:val="000000"/>
                <w:sz w:val="20"/>
              </w:rPr>
              <w:t>RD</w:t>
            </w:r>
          </w:p>
          <w:p w:rsidR="006115DB" w:rsidRPr="005E6E19" w:rsidRDefault="006115DB" w:rsidP="004E7393">
            <w:pPr>
              <w:jc w:val="center"/>
              <w:rPr>
                <w:rFonts w:ascii="Arial Narrow" w:hAnsi="Arial Narrow"/>
                <w:b/>
                <w:color w:val="000000"/>
                <w:sz w:val="20"/>
              </w:rPr>
            </w:pPr>
            <w:r w:rsidRPr="005E6E19">
              <w:rPr>
                <w:rFonts w:ascii="Arial Narrow" w:hAnsi="Arial Narrow"/>
                <w:b/>
                <w:color w:val="000000"/>
                <w:sz w:val="20"/>
              </w:rPr>
              <w:t>(95% CI)</w:t>
            </w:r>
          </w:p>
        </w:tc>
      </w:tr>
      <w:tr w:rsidR="006115DB" w:rsidRPr="000B46D9" w:rsidTr="00833D92">
        <w:trPr>
          <w:trHeight w:val="390"/>
        </w:trPr>
        <w:tc>
          <w:tcPr>
            <w:tcW w:w="1248" w:type="pct"/>
            <w:vMerge/>
            <w:shd w:val="clear" w:color="auto" w:fill="auto"/>
            <w:vAlign w:val="center"/>
          </w:tcPr>
          <w:p w:rsidR="006115DB" w:rsidRPr="000B46D9" w:rsidRDefault="006115DB" w:rsidP="004E7393">
            <w:pPr>
              <w:rPr>
                <w:rFonts w:ascii="Arial Narrow" w:hAnsi="Arial Narrow"/>
                <w:b/>
                <w:i/>
                <w:color w:val="000000"/>
                <w:sz w:val="20"/>
              </w:rPr>
            </w:pPr>
          </w:p>
        </w:tc>
        <w:tc>
          <w:tcPr>
            <w:tcW w:w="536" w:type="pct"/>
            <w:vMerge/>
            <w:vAlign w:val="center"/>
          </w:tcPr>
          <w:p w:rsidR="006115DB" w:rsidRPr="000B46D9" w:rsidRDefault="006115DB" w:rsidP="004E7393">
            <w:pPr>
              <w:jc w:val="center"/>
              <w:rPr>
                <w:rFonts w:ascii="Arial Narrow" w:hAnsi="Arial Narrow"/>
                <w:b/>
                <w:i/>
                <w:color w:val="000000"/>
                <w:sz w:val="20"/>
              </w:rPr>
            </w:pPr>
          </w:p>
        </w:tc>
        <w:tc>
          <w:tcPr>
            <w:tcW w:w="594" w:type="pct"/>
            <w:gridSpan w:val="2"/>
            <w:vMerge/>
            <w:vAlign w:val="center"/>
          </w:tcPr>
          <w:p w:rsidR="006115DB" w:rsidRPr="005E6E19" w:rsidRDefault="006115DB" w:rsidP="004E7393">
            <w:pPr>
              <w:jc w:val="center"/>
              <w:rPr>
                <w:rFonts w:ascii="Arial Narrow" w:hAnsi="Arial Narrow"/>
                <w:b/>
                <w:color w:val="000000"/>
                <w:sz w:val="20"/>
              </w:rPr>
            </w:pPr>
          </w:p>
        </w:tc>
        <w:tc>
          <w:tcPr>
            <w:tcW w:w="664" w:type="pct"/>
            <w:gridSpan w:val="2"/>
            <w:vMerge/>
            <w:vAlign w:val="center"/>
          </w:tcPr>
          <w:p w:rsidR="006115DB" w:rsidRPr="005E6E19" w:rsidRDefault="006115DB" w:rsidP="004E7393">
            <w:pPr>
              <w:jc w:val="center"/>
              <w:rPr>
                <w:rFonts w:ascii="Arial Narrow" w:hAnsi="Arial Narrow"/>
                <w:b/>
                <w:color w:val="000000"/>
                <w:sz w:val="20"/>
              </w:rPr>
            </w:pPr>
          </w:p>
        </w:tc>
        <w:tc>
          <w:tcPr>
            <w:tcW w:w="635" w:type="pct"/>
            <w:vAlign w:val="center"/>
          </w:tcPr>
          <w:p w:rsidR="006115DB" w:rsidRPr="005E6E19" w:rsidRDefault="006115DB" w:rsidP="004E7393">
            <w:pPr>
              <w:jc w:val="center"/>
              <w:rPr>
                <w:rFonts w:ascii="Arial Narrow" w:hAnsi="Arial Narrow"/>
                <w:b/>
                <w:color w:val="000000"/>
                <w:sz w:val="20"/>
              </w:rPr>
            </w:pPr>
            <w:proofErr w:type="spellStart"/>
            <w:r w:rsidRPr="005E6E19">
              <w:rPr>
                <w:rFonts w:ascii="Arial Narrow" w:hAnsi="Arial Narrow"/>
                <w:b/>
                <w:color w:val="000000"/>
                <w:sz w:val="20"/>
              </w:rPr>
              <w:t>Nivolumab</w:t>
            </w:r>
            <w:proofErr w:type="spellEnd"/>
          </w:p>
        </w:tc>
        <w:tc>
          <w:tcPr>
            <w:tcW w:w="639" w:type="pct"/>
            <w:gridSpan w:val="2"/>
            <w:vAlign w:val="center"/>
          </w:tcPr>
          <w:p w:rsidR="006115DB" w:rsidRPr="005E6E19" w:rsidRDefault="006115DB" w:rsidP="004E7393">
            <w:pPr>
              <w:jc w:val="center"/>
              <w:rPr>
                <w:rFonts w:ascii="Arial Narrow" w:hAnsi="Arial Narrow"/>
                <w:b/>
                <w:color w:val="000000"/>
                <w:sz w:val="20"/>
              </w:rPr>
            </w:pPr>
            <w:proofErr w:type="spellStart"/>
            <w:r w:rsidRPr="005E6E19">
              <w:rPr>
                <w:rFonts w:ascii="Arial Narrow" w:hAnsi="Arial Narrow"/>
                <w:b/>
                <w:color w:val="000000"/>
                <w:sz w:val="20"/>
              </w:rPr>
              <w:t>Docetaxel</w:t>
            </w:r>
            <w:proofErr w:type="spellEnd"/>
          </w:p>
        </w:tc>
        <w:tc>
          <w:tcPr>
            <w:tcW w:w="684" w:type="pct"/>
            <w:vMerge/>
            <w:vAlign w:val="center"/>
          </w:tcPr>
          <w:p w:rsidR="006115DB" w:rsidRPr="005E6E19" w:rsidRDefault="006115DB" w:rsidP="004E7393">
            <w:pPr>
              <w:jc w:val="center"/>
              <w:rPr>
                <w:rFonts w:ascii="Arial Narrow" w:hAnsi="Arial Narrow"/>
                <w:b/>
                <w:color w:val="000000"/>
                <w:sz w:val="20"/>
              </w:rPr>
            </w:pPr>
          </w:p>
        </w:tc>
      </w:tr>
      <w:tr w:rsidR="006115DB" w:rsidRPr="000B46D9" w:rsidTr="00833D92">
        <w:tc>
          <w:tcPr>
            <w:tcW w:w="1248" w:type="pct"/>
            <w:shd w:val="clear" w:color="auto" w:fill="auto"/>
            <w:vAlign w:val="center"/>
          </w:tcPr>
          <w:p w:rsidR="006115DB" w:rsidRPr="005E6E19" w:rsidRDefault="006115DB" w:rsidP="00C90C64">
            <w:pPr>
              <w:jc w:val="left"/>
              <w:rPr>
                <w:rFonts w:ascii="Arial Narrow" w:hAnsi="Arial Narrow"/>
                <w:color w:val="000000"/>
                <w:sz w:val="20"/>
                <w:vertAlign w:val="superscript"/>
              </w:rPr>
            </w:pPr>
            <w:r w:rsidRPr="005E6E19">
              <w:rPr>
                <w:rFonts w:ascii="Arial Narrow" w:hAnsi="Arial Narrow"/>
                <w:color w:val="000000"/>
                <w:sz w:val="20"/>
              </w:rPr>
              <w:t>Drug related severe AEs (Grade ≥3)</w:t>
            </w:r>
          </w:p>
        </w:tc>
        <w:tc>
          <w:tcPr>
            <w:tcW w:w="536"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2/131</w:t>
            </w:r>
          </w:p>
        </w:tc>
        <w:tc>
          <w:tcPr>
            <w:tcW w:w="594"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9/129</w:t>
            </w:r>
          </w:p>
        </w:tc>
        <w:tc>
          <w:tcPr>
            <w:tcW w:w="664"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0.22</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(0.05, 0.99)</w:t>
            </w:r>
          </w:p>
        </w:tc>
        <w:tc>
          <w:tcPr>
            <w:tcW w:w="635"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1.5</w:t>
            </w:r>
          </w:p>
        </w:tc>
        <w:tc>
          <w:tcPr>
            <w:tcW w:w="639"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7.0</w:t>
            </w:r>
          </w:p>
        </w:tc>
        <w:tc>
          <w:tcPr>
            <w:tcW w:w="684"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-0.05</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(-0.10, -0.01)</w:t>
            </w:r>
          </w:p>
        </w:tc>
      </w:tr>
      <w:tr w:rsidR="006115DB" w:rsidRPr="000B46D9" w:rsidTr="00833D92">
        <w:tc>
          <w:tcPr>
            <w:tcW w:w="1248" w:type="pct"/>
            <w:shd w:val="clear" w:color="auto" w:fill="auto"/>
            <w:vAlign w:val="center"/>
          </w:tcPr>
          <w:p w:rsidR="006115DB" w:rsidRPr="005E6E19" w:rsidRDefault="006115DB" w:rsidP="00C90C64">
            <w:pPr>
              <w:jc w:val="left"/>
              <w:rPr>
                <w:rFonts w:ascii="Arial Narrow" w:hAnsi="Arial Narrow"/>
                <w:color w:val="000000"/>
                <w:sz w:val="20"/>
              </w:rPr>
            </w:pPr>
            <w:r w:rsidRPr="005E6E19">
              <w:rPr>
                <w:rFonts w:ascii="Arial Narrow" w:hAnsi="Arial Narrow"/>
                <w:color w:val="000000"/>
                <w:sz w:val="20"/>
              </w:rPr>
              <w:t>Drug related serious AEs (Grade ≥3)</w:t>
            </w:r>
          </w:p>
        </w:tc>
        <w:tc>
          <w:tcPr>
            <w:tcW w:w="536"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9/131</w:t>
            </w:r>
          </w:p>
        </w:tc>
        <w:tc>
          <w:tcPr>
            <w:tcW w:w="594"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31/129</w:t>
            </w:r>
          </w:p>
        </w:tc>
        <w:tc>
          <w:tcPr>
            <w:tcW w:w="664"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0.29</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(0.14, 0.58)</w:t>
            </w:r>
          </w:p>
        </w:tc>
        <w:tc>
          <w:tcPr>
            <w:tcW w:w="635"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6.9</w:t>
            </w:r>
          </w:p>
        </w:tc>
        <w:tc>
          <w:tcPr>
            <w:tcW w:w="639"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24.0</w:t>
            </w:r>
          </w:p>
        </w:tc>
        <w:tc>
          <w:tcPr>
            <w:tcW w:w="684"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-0.17</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(-0.26,- 0.09)</w:t>
            </w:r>
          </w:p>
        </w:tc>
      </w:tr>
      <w:tr w:rsidR="006115DB" w:rsidRPr="000B46D9" w:rsidTr="00833D92">
        <w:tc>
          <w:tcPr>
            <w:tcW w:w="1248" w:type="pct"/>
            <w:shd w:val="clear" w:color="auto" w:fill="auto"/>
            <w:vAlign w:val="center"/>
          </w:tcPr>
          <w:p w:rsidR="006115DB" w:rsidRPr="005E6E19" w:rsidRDefault="006115DB" w:rsidP="00C90C64">
            <w:pPr>
              <w:jc w:val="left"/>
              <w:rPr>
                <w:rFonts w:ascii="Arial Narrow" w:hAnsi="Arial Narrow"/>
                <w:color w:val="000000"/>
                <w:sz w:val="20"/>
              </w:rPr>
            </w:pPr>
            <w:r w:rsidRPr="005E6E19">
              <w:rPr>
                <w:rFonts w:ascii="Arial Narrow" w:hAnsi="Arial Narrow"/>
                <w:color w:val="000000"/>
                <w:sz w:val="20"/>
              </w:rPr>
              <w:t>Grade ≥3 drug-related neutropenia</w:t>
            </w:r>
          </w:p>
        </w:tc>
        <w:tc>
          <w:tcPr>
            <w:tcW w:w="536"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0/131</w:t>
            </w:r>
          </w:p>
        </w:tc>
        <w:tc>
          <w:tcPr>
            <w:tcW w:w="594"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38/129</w:t>
            </w:r>
          </w:p>
        </w:tc>
        <w:tc>
          <w:tcPr>
            <w:tcW w:w="664"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0.00</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(0.00)</w:t>
            </w:r>
          </w:p>
        </w:tc>
        <w:tc>
          <w:tcPr>
            <w:tcW w:w="635"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0.0</w:t>
            </w:r>
          </w:p>
        </w:tc>
        <w:tc>
          <w:tcPr>
            <w:tcW w:w="639"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29.5</w:t>
            </w:r>
          </w:p>
        </w:tc>
        <w:tc>
          <w:tcPr>
            <w:tcW w:w="684"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-0.29</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(-0.37,- 0.22)</w:t>
            </w:r>
          </w:p>
        </w:tc>
      </w:tr>
      <w:tr w:rsidR="006115DB" w:rsidRPr="000B46D9" w:rsidTr="00833D92">
        <w:trPr>
          <w:trHeight w:val="592"/>
        </w:trPr>
        <w:tc>
          <w:tcPr>
            <w:tcW w:w="1248" w:type="pct"/>
            <w:shd w:val="clear" w:color="auto" w:fill="auto"/>
            <w:vAlign w:val="center"/>
          </w:tcPr>
          <w:p w:rsidR="006115DB" w:rsidRPr="005E6E19" w:rsidRDefault="006115DB" w:rsidP="00C90C64">
            <w:pPr>
              <w:jc w:val="left"/>
              <w:rPr>
                <w:rFonts w:ascii="Arial Narrow" w:hAnsi="Arial Narrow"/>
                <w:color w:val="000000"/>
                <w:sz w:val="20"/>
              </w:rPr>
            </w:pPr>
            <w:r w:rsidRPr="005E6E19">
              <w:rPr>
                <w:rFonts w:ascii="Arial Narrow" w:hAnsi="Arial Narrow"/>
                <w:color w:val="000000"/>
                <w:sz w:val="20"/>
              </w:rPr>
              <w:t>“</w:t>
            </w:r>
            <w:proofErr w:type="spellStart"/>
            <w:r w:rsidRPr="005E6E19">
              <w:rPr>
                <w:rFonts w:ascii="Arial Narrow" w:hAnsi="Arial Narrow"/>
                <w:color w:val="000000"/>
                <w:sz w:val="20"/>
              </w:rPr>
              <w:t>Select”</w:t>
            </w:r>
            <w:r w:rsidRPr="005E6E19">
              <w:rPr>
                <w:rFonts w:ascii="Arial Narrow" w:hAnsi="Arial Narrow"/>
                <w:color w:val="000000"/>
                <w:sz w:val="20"/>
                <w:vertAlign w:val="superscript"/>
              </w:rPr>
              <w:t>d</w:t>
            </w:r>
            <w:proofErr w:type="spellEnd"/>
            <w:r w:rsidRPr="005E6E19">
              <w:rPr>
                <w:rFonts w:ascii="Arial Narrow" w:hAnsi="Arial Narrow"/>
                <w:color w:val="000000"/>
                <w:sz w:val="20"/>
              </w:rPr>
              <w:t xml:space="preserve"> Grade 3-4 endocrine related AEs</w:t>
            </w:r>
          </w:p>
        </w:tc>
        <w:tc>
          <w:tcPr>
            <w:tcW w:w="536"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9/131</w:t>
            </w:r>
          </w:p>
        </w:tc>
        <w:tc>
          <w:tcPr>
            <w:tcW w:w="594"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3/129</w:t>
            </w:r>
          </w:p>
        </w:tc>
        <w:tc>
          <w:tcPr>
            <w:tcW w:w="664"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2.95</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(0.87, 10.00)</w:t>
            </w:r>
          </w:p>
        </w:tc>
        <w:tc>
          <w:tcPr>
            <w:tcW w:w="635"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6.9</w:t>
            </w:r>
          </w:p>
        </w:tc>
        <w:tc>
          <w:tcPr>
            <w:tcW w:w="639" w:type="pct"/>
            <w:gridSpan w:val="2"/>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2.3</w:t>
            </w:r>
          </w:p>
        </w:tc>
        <w:tc>
          <w:tcPr>
            <w:tcW w:w="684" w:type="pct"/>
            <w:vAlign w:val="center"/>
          </w:tcPr>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0.05</w:t>
            </w:r>
          </w:p>
          <w:p w:rsidR="006115DB" w:rsidRPr="005E6E19" w:rsidRDefault="006115DB" w:rsidP="004E7393">
            <w:pPr>
              <w:jc w:val="center"/>
              <w:rPr>
                <w:rFonts w:ascii="Arial Narrow" w:hAnsi="Arial Narrow"/>
                <w:color w:val="000000"/>
                <w:sz w:val="20"/>
              </w:rPr>
            </w:pPr>
            <w:r w:rsidRPr="005E6E19">
              <w:rPr>
                <w:rFonts w:ascii="Arial Narrow" w:hAnsi="Arial Narrow"/>
                <w:color w:val="000000"/>
                <w:sz w:val="20"/>
              </w:rPr>
              <w:t>(-0.01, 0.10)</w:t>
            </w:r>
          </w:p>
        </w:tc>
      </w:tr>
    </w:tbl>
    <w:p w:rsidR="006115DB" w:rsidRPr="005E6E19" w:rsidRDefault="006115DB" w:rsidP="000E6DDC">
      <w:pPr>
        <w:pStyle w:val="TableFooter"/>
        <w:ind w:left="709"/>
        <w:rPr>
          <w:szCs w:val="18"/>
        </w:rPr>
      </w:pPr>
      <w:proofErr w:type="gramStart"/>
      <w:r w:rsidRPr="005E6E19">
        <w:rPr>
          <w:szCs w:val="18"/>
          <w:vertAlign w:val="superscript"/>
        </w:rPr>
        <w:t>a</w:t>
      </w:r>
      <w:proofErr w:type="gramEnd"/>
      <w:r w:rsidR="000E6DDC" w:rsidRPr="005E6E19">
        <w:rPr>
          <w:szCs w:val="18"/>
          <w:vertAlign w:val="superscript"/>
        </w:rPr>
        <w:t xml:space="preserve"> </w:t>
      </w:r>
      <w:r w:rsidRPr="005E6E19">
        <w:rPr>
          <w:szCs w:val="18"/>
        </w:rPr>
        <w:t>Numerator calculated from proportions provided in the submission and total number of patients randomised to treatment arm.</w:t>
      </w:r>
    </w:p>
    <w:p w:rsidR="006115DB" w:rsidRPr="005E6E19" w:rsidRDefault="006115DB" w:rsidP="000E6DDC">
      <w:pPr>
        <w:pStyle w:val="TableFooter"/>
        <w:ind w:left="709"/>
        <w:rPr>
          <w:szCs w:val="18"/>
        </w:rPr>
      </w:pPr>
      <w:proofErr w:type="gramStart"/>
      <w:r w:rsidRPr="005E6E19">
        <w:rPr>
          <w:szCs w:val="18"/>
          <w:vertAlign w:val="superscript"/>
        </w:rPr>
        <w:t>b</w:t>
      </w:r>
      <w:proofErr w:type="gramEnd"/>
      <w:r w:rsidR="000E6DDC" w:rsidRPr="005E6E19">
        <w:rPr>
          <w:szCs w:val="18"/>
          <w:vertAlign w:val="superscript"/>
        </w:rPr>
        <w:t xml:space="preserve"> </w:t>
      </w:r>
      <w:r w:rsidRPr="005E6E19">
        <w:rPr>
          <w:szCs w:val="18"/>
        </w:rPr>
        <w:t xml:space="preserve">Data sourced from </w:t>
      </w:r>
      <w:proofErr w:type="spellStart"/>
      <w:r w:rsidRPr="005E6E19">
        <w:rPr>
          <w:szCs w:val="18"/>
        </w:rPr>
        <w:t>Reckamp</w:t>
      </w:r>
      <w:proofErr w:type="spellEnd"/>
      <w:r w:rsidRPr="005E6E19">
        <w:rPr>
          <w:szCs w:val="18"/>
        </w:rPr>
        <w:t xml:space="preserve"> et al (2015):</w:t>
      </w:r>
      <w:r w:rsidRPr="005E6E19">
        <w:t xml:space="preserve"> </w:t>
      </w:r>
      <w:r w:rsidRPr="005E6E19">
        <w:rPr>
          <w:szCs w:val="18"/>
        </w:rPr>
        <w:t>16th World Conference on Lung Cancer. September 6 – 9. 2015. Denver, USA.</w:t>
      </w:r>
    </w:p>
    <w:p w:rsidR="006115DB" w:rsidRPr="005E6E19" w:rsidRDefault="006115DB" w:rsidP="000E6DDC">
      <w:pPr>
        <w:pStyle w:val="TableFooter"/>
        <w:ind w:left="709"/>
        <w:rPr>
          <w:szCs w:val="18"/>
        </w:rPr>
      </w:pPr>
      <w:proofErr w:type="gramStart"/>
      <w:r w:rsidRPr="005E6E19">
        <w:rPr>
          <w:szCs w:val="18"/>
          <w:vertAlign w:val="superscript"/>
        </w:rPr>
        <w:t>c</w:t>
      </w:r>
      <w:proofErr w:type="gramEnd"/>
      <w:r w:rsidR="000E6DDC" w:rsidRPr="005E6E19">
        <w:rPr>
          <w:szCs w:val="18"/>
          <w:vertAlign w:val="superscript"/>
        </w:rPr>
        <w:t xml:space="preserve"> </w:t>
      </w:r>
      <w:r w:rsidRPr="005E6E19">
        <w:rPr>
          <w:szCs w:val="18"/>
        </w:rPr>
        <w:t>Median OS and HRs were similar for both the December 2014 (10.6 months minimum follow up) and August 2015 (18 months minimum follow up) database locks.</w:t>
      </w:r>
    </w:p>
    <w:p w:rsidR="006115DB" w:rsidRPr="005E6E19" w:rsidRDefault="006115DB" w:rsidP="000E6DDC">
      <w:pPr>
        <w:pStyle w:val="TableFooter"/>
        <w:ind w:left="709"/>
        <w:rPr>
          <w:szCs w:val="18"/>
        </w:rPr>
      </w:pPr>
      <w:proofErr w:type="gramStart"/>
      <w:r w:rsidRPr="005E6E19">
        <w:rPr>
          <w:szCs w:val="18"/>
          <w:vertAlign w:val="superscript"/>
        </w:rPr>
        <w:t>d</w:t>
      </w:r>
      <w:proofErr w:type="gramEnd"/>
      <w:r w:rsidR="000E6DDC" w:rsidRPr="005E6E19">
        <w:rPr>
          <w:szCs w:val="18"/>
          <w:vertAlign w:val="superscript"/>
        </w:rPr>
        <w:t xml:space="preserve"> </w:t>
      </w:r>
      <w:r w:rsidRPr="005E6E19">
        <w:rPr>
          <w:szCs w:val="18"/>
        </w:rPr>
        <w:t xml:space="preserve">Select AEs were AEs of special interest that were potentially associated with the use of </w:t>
      </w:r>
      <w:proofErr w:type="spellStart"/>
      <w:r w:rsidRPr="005E6E19">
        <w:rPr>
          <w:szCs w:val="18"/>
        </w:rPr>
        <w:t>nivolumab</w:t>
      </w:r>
      <w:proofErr w:type="spellEnd"/>
      <w:r w:rsidRPr="005E6E19">
        <w:rPr>
          <w:szCs w:val="18"/>
        </w:rPr>
        <w:t xml:space="preserve"> (sourced from the CA209-017 clinical study report)</w:t>
      </w:r>
      <w:r w:rsidR="000E6DDC" w:rsidRPr="005E6E19">
        <w:rPr>
          <w:szCs w:val="18"/>
        </w:rPr>
        <w:t>.</w:t>
      </w:r>
    </w:p>
    <w:p w:rsidR="006115DB" w:rsidRPr="000B46D9" w:rsidRDefault="000E6DDC" w:rsidP="000E6DDC">
      <w:pPr>
        <w:pStyle w:val="TableFooter"/>
        <w:ind w:left="709"/>
        <w:rPr>
          <w:szCs w:val="18"/>
        </w:rPr>
      </w:pPr>
      <w:r>
        <w:rPr>
          <w:szCs w:val="18"/>
        </w:rPr>
        <w:t>AEs=adverse events; RD=risk difference; RR=risk ratio; CI=confidence interval; PD-L1=</w:t>
      </w:r>
      <w:r w:rsidR="006115DB" w:rsidRPr="000B46D9">
        <w:rPr>
          <w:szCs w:val="18"/>
        </w:rPr>
        <w:t>programmed-cell death ligand-1</w:t>
      </w:r>
    </w:p>
    <w:p w:rsidR="006115DB" w:rsidRPr="00A05BDE" w:rsidRDefault="006115DB" w:rsidP="000E6DDC">
      <w:pPr>
        <w:pStyle w:val="TableFooter"/>
        <w:ind w:left="709"/>
        <w:rPr>
          <w:szCs w:val="18"/>
        </w:rPr>
      </w:pPr>
      <w:r w:rsidRPr="000B46D9">
        <w:rPr>
          <w:szCs w:val="18"/>
        </w:rPr>
        <w:t>Source: Compiled during the evaluation and Table 3 of the Executive Summary of the submission.</w:t>
      </w:r>
    </w:p>
    <w:p w:rsidR="006115DB" w:rsidRDefault="006115DB" w:rsidP="006115DB"/>
    <w:p w:rsidR="006115DB" w:rsidRPr="005E6E19" w:rsidRDefault="006115DB" w:rsidP="0073258E">
      <w:pPr>
        <w:pStyle w:val="ListParagraph"/>
        <w:widowControl/>
        <w:numPr>
          <w:ilvl w:val="1"/>
          <w:numId w:val="2"/>
        </w:numPr>
      </w:pPr>
      <w:r w:rsidRPr="005E6E19">
        <w:t xml:space="preserve">On the basis of </w:t>
      </w:r>
      <w:r w:rsidR="006F616B" w:rsidRPr="005E6E19">
        <w:t xml:space="preserve">the </w:t>
      </w:r>
      <w:r w:rsidRPr="005E6E19">
        <w:t>direct evidence presented by the submission, for every 100 squamous NSCLC patients (unselected for PD-L1 expression</w:t>
      </w:r>
      <w:r w:rsidR="006F616B" w:rsidRPr="005E6E19">
        <w:t>)</w:t>
      </w:r>
      <w:r w:rsidRPr="005E6E19">
        <w:t xml:space="preserve"> treated with </w:t>
      </w:r>
      <w:proofErr w:type="spellStart"/>
      <w:r w:rsidRPr="005E6E19">
        <w:t>nivolumab</w:t>
      </w:r>
      <w:proofErr w:type="spellEnd"/>
      <w:r w:rsidRPr="005E6E19">
        <w:t xml:space="preserve"> in comparison to </w:t>
      </w:r>
      <w:proofErr w:type="spellStart"/>
      <w:r w:rsidRPr="005E6E19">
        <w:t>docetaxel</w:t>
      </w:r>
      <w:proofErr w:type="spellEnd"/>
      <w:r w:rsidRPr="005E6E19">
        <w:t>:</w:t>
      </w:r>
    </w:p>
    <w:p w:rsidR="006115DB" w:rsidRPr="005E6E19" w:rsidRDefault="006115DB" w:rsidP="0073258E">
      <w:pPr>
        <w:pStyle w:val="ListParagraph"/>
        <w:widowControl/>
        <w:numPr>
          <w:ilvl w:val="0"/>
          <w:numId w:val="3"/>
        </w:numPr>
      </w:pPr>
      <w:r w:rsidRPr="005E6E19">
        <w:t xml:space="preserve">Approximately 15 additional patients would be expected to be alive at 18 months. There was a 3.2 month difference in median OS time favouring patients treated with </w:t>
      </w:r>
      <w:proofErr w:type="spellStart"/>
      <w:r w:rsidRPr="005E6E19">
        <w:t>nivolumab</w:t>
      </w:r>
      <w:proofErr w:type="spellEnd"/>
      <w:r w:rsidRPr="005E6E19">
        <w:t xml:space="preserve"> over those treated with </w:t>
      </w:r>
      <w:proofErr w:type="spellStart"/>
      <w:r w:rsidRPr="005E6E19">
        <w:t>docetaxel</w:t>
      </w:r>
      <w:proofErr w:type="spellEnd"/>
      <w:r w:rsidRPr="005E6E19">
        <w:t>;</w:t>
      </w:r>
    </w:p>
    <w:p w:rsidR="006115DB" w:rsidRPr="001C7ACE" w:rsidRDefault="006115DB" w:rsidP="00AD51B0">
      <w:pPr>
        <w:pStyle w:val="ListParagraph"/>
        <w:widowControl/>
        <w:numPr>
          <w:ilvl w:val="0"/>
          <w:numId w:val="3"/>
        </w:numPr>
      </w:pPr>
      <w:r w:rsidRPr="005E6E19">
        <w:t xml:space="preserve">Approximately 17 fewer patients would experience a drug-related Grade 3 / 4 serious AE and 29 fewer patients would experience drug-related </w:t>
      </w:r>
      <w:r w:rsidR="00AD51B0" w:rsidRPr="00AD51B0">
        <w:t xml:space="preserve">Grade ≥3 </w:t>
      </w:r>
      <w:r w:rsidRPr="005E6E19">
        <w:t>neutropenia</w:t>
      </w:r>
      <w:r w:rsidR="007B32E4">
        <w:t xml:space="preserve">, but 5 more patients would experience </w:t>
      </w:r>
      <w:r w:rsidR="007B32E4" w:rsidRPr="00C57ED7">
        <w:t xml:space="preserve">endocrine-related </w:t>
      </w:r>
      <w:r w:rsidR="007B32E4">
        <w:t>AEs</w:t>
      </w:r>
      <w:r w:rsidRPr="00A366CD">
        <w:rPr>
          <w:i/>
        </w:rPr>
        <w:t>.</w:t>
      </w:r>
    </w:p>
    <w:p w:rsidR="006115DB" w:rsidRPr="006F616B" w:rsidRDefault="006115DB" w:rsidP="006115DB">
      <w:pPr>
        <w:widowControl/>
      </w:pPr>
    </w:p>
    <w:p w:rsidR="006115DB" w:rsidRPr="002C2775" w:rsidRDefault="006115DB" w:rsidP="006115DB">
      <w:pPr>
        <w:pStyle w:val="Heading2"/>
        <w:rPr>
          <w:i/>
        </w:rPr>
      </w:pPr>
      <w:bookmarkStart w:id="12" w:name="_Toc440981191"/>
      <w:r w:rsidRPr="002C2775">
        <w:rPr>
          <w:i/>
        </w:rPr>
        <w:t>Clinical claim</w:t>
      </w:r>
      <w:bookmarkEnd w:id="12"/>
    </w:p>
    <w:p w:rsidR="006115DB" w:rsidRPr="00882085" w:rsidRDefault="006115DB" w:rsidP="006115DB">
      <w:pPr>
        <w:ind w:left="720" w:hanging="720"/>
        <w:rPr>
          <w:szCs w:val="22"/>
        </w:rPr>
      </w:pPr>
    </w:p>
    <w:p w:rsidR="006115DB" w:rsidRPr="005472FF" w:rsidRDefault="006F616B" w:rsidP="0073258E">
      <w:pPr>
        <w:pStyle w:val="ListParagraph"/>
        <w:widowControl/>
        <w:numPr>
          <w:ilvl w:val="1"/>
          <w:numId w:val="2"/>
        </w:numPr>
        <w:rPr>
          <w:szCs w:val="22"/>
        </w:rPr>
      </w:pPr>
      <w:r w:rsidRPr="005472FF">
        <w:t>The submission described</w:t>
      </w:r>
      <w:r w:rsidR="006115DB" w:rsidRPr="005472FF">
        <w:t xml:space="preserve"> </w:t>
      </w:r>
      <w:proofErr w:type="spellStart"/>
      <w:r w:rsidR="006115DB" w:rsidRPr="005472FF">
        <w:t>nivolumab</w:t>
      </w:r>
      <w:proofErr w:type="spellEnd"/>
      <w:r w:rsidR="006115DB" w:rsidRPr="005472FF">
        <w:t xml:space="preserve"> as superior in terms of comparative effectiveness and superior in terms of comparative safety over </w:t>
      </w:r>
      <w:proofErr w:type="spellStart"/>
      <w:r w:rsidR="006115DB" w:rsidRPr="005472FF">
        <w:t>docetaxel</w:t>
      </w:r>
      <w:proofErr w:type="spellEnd"/>
      <w:r w:rsidR="006115DB" w:rsidRPr="005472FF">
        <w:t xml:space="preserve"> for the treatment of locally advanced or metastatic squamous NSCLC with progression on or after prior platinum doublet chemotherapy. This claim is reasonable based on the </w:t>
      </w:r>
      <w:r w:rsidR="006115DB" w:rsidRPr="005472FF">
        <w:lastRenderedPageBreak/>
        <w:t xml:space="preserve">results from CA209-017. However, </w:t>
      </w:r>
      <w:proofErr w:type="spellStart"/>
      <w:r w:rsidR="006115DB" w:rsidRPr="005472FF">
        <w:t>nivolumab</w:t>
      </w:r>
      <w:proofErr w:type="spellEnd"/>
      <w:r w:rsidR="006115DB" w:rsidRPr="005472FF">
        <w:t xml:space="preserve"> is likely to be associated with a higher rate of severe AEs in current clinical practice until there is adequate familiarity with its use (see </w:t>
      </w:r>
      <w:r w:rsidRPr="005472FF">
        <w:t>q</w:t>
      </w:r>
      <w:r w:rsidR="006115DB" w:rsidRPr="005472FF">
        <w:t>uality use of medicines section below).</w:t>
      </w:r>
    </w:p>
    <w:p w:rsidR="00963A0D" w:rsidRPr="005472FF" w:rsidRDefault="00963A0D" w:rsidP="00FB23D7">
      <w:pPr>
        <w:pStyle w:val="PBACHeading1"/>
        <w:numPr>
          <w:ilvl w:val="0"/>
          <w:numId w:val="0"/>
        </w:numPr>
        <w:ind w:left="720" w:hanging="720"/>
        <w:jc w:val="both"/>
        <w:rPr>
          <w:b w:val="0"/>
        </w:rPr>
      </w:pPr>
    </w:p>
    <w:p w:rsidR="006115DB" w:rsidRPr="00662DF1" w:rsidRDefault="00963A0D" w:rsidP="00FB23D7">
      <w:pPr>
        <w:pStyle w:val="ListParagraph"/>
        <w:widowControl/>
        <w:numPr>
          <w:ilvl w:val="1"/>
          <w:numId w:val="2"/>
        </w:numPr>
      </w:pPr>
      <w:r w:rsidRPr="005472FF">
        <w:t xml:space="preserve">The ESC considered that the submission’s claim of superior comparative effectiveness and superior comparative safety over </w:t>
      </w:r>
      <w:proofErr w:type="spellStart"/>
      <w:r w:rsidRPr="005472FF">
        <w:t>docetaxel</w:t>
      </w:r>
      <w:proofErr w:type="spellEnd"/>
      <w:r w:rsidRPr="005472FF">
        <w:t xml:space="preserve"> was reasonable.</w:t>
      </w:r>
    </w:p>
    <w:p w:rsidR="00662DF1" w:rsidRPr="00E24058" w:rsidRDefault="00662DF1" w:rsidP="00FB23D7">
      <w:pPr>
        <w:widowControl/>
        <w:rPr>
          <w:szCs w:val="22"/>
        </w:rPr>
      </w:pPr>
    </w:p>
    <w:p w:rsidR="00935B1E" w:rsidRPr="00935B1E" w:rsidRDefault="00935B1E" w:rsidP="00FB23D7">
      <w:pPr>
        <w:pStyle w:val="ListParagraph"/>
        <w:widowControl/>
        <w:numPr>
          <w:ilvl w:val="1"/>
          <w:numId w:val="2"/>
        </w:numPr>
        <w:rPr>
          <w:bCs/>
        </w:rPr>
      </w:pPr>
      <w:r w:rsidRPr="00935B1E">
        <w:rPr>
          <w:bCs/>
          <w:szCs w:val="22"/>
        </w:rPr>
        <w:t>The PBAC considered that the claim of superior comparative effectiveness</w:t>
      </w:r>
      <w:r>
        <w:rPr>
          <w:bCs/>
          <w:szCs w:val="22"/>
        </w:rPr>
        <w:t xml:space="preserve"> over </w:t>
      </w:r>
      <w:proofErr w:type="spellStart"/>
      <w:r>
        <w:rPr>
          <w:bCs/>
          <w:szCs w:val="22"/>
        </w:rPr>
        <w:t>docetaxel</w:t>
      </w:r>
      <w:proofErr w:type="spellEnd"/>
      <w:r w:rsidRPr="00935B1E">
        <w:rPr>
          <w:bCs/>
          <w:szCs w:val="22"/>
        </w:rPr>
        <w:t xml:space="preserve"> was reasonable.</w:t>
      </w:r>
    </w:p>
    <w:p w:rsidR="00935B1E" w:rsidRPr="00FC346C" w:rsidRDefault="00935B1E" w:rsidP="00FB23D7">
      <w:pPr>
        <w:widowControl/>
        <w:rPr>
          <w:bCs/>
          <w:szCs w:val="22"/>
        </w:rPr>
      </w:pPr>
    </w:p>
    <w:p w:rsidR="00935B1E" w:rsidRPr="00935B1E" w:rsidRDefault="00935B1E" w:rsidP="00FB23D7">
      <w:pPr>
        <w:pStyle w:val="ListParagraph"/>
        <w:widowControl/>
        <w:numPr>
          <w:ilvl w:val="1"/>
          <w:numId w:val="2"/>
        </w:numPr>
        <w:rPr>
          <w:szCs w:val="22"/>
        </w:rPr>
      </w:pPr>
      <w:r w:rsidRPr="00935B1E">
        <w:rPr>
          <w:szCs w:val="22"/>
        </w:rPr>
        <w:t xml:space="preserve">The PBAC considered that the claim of superior comparative safety </w:t>
      </w:r>
      <w:r>
        <w:rPr>
          <w:szCs w:val="22"/>
        </w:rPr>
        <w:t xml:space="preserve">over </w:t>
      </w:r>
      <w:proofErr w:type="spellStart"/>
      <w:r>
        <w:rPr>
          <w:szCs w:val="22"/>
        </w:rPr>
        <w:t>docetaxel</w:t>
      </w:r>
      <w:proofErr w:type="spellEnd"/>
      <w:r>
        <w:rPr>
          <w:szCs w:val="22"/>
        </w:rPr>
        <w:t xml:space="preserve"> </w:t>
      </w:r>
      <w:r w:rsidRPr="00935B1E">
        <w:rPr>
          <w:szCs w:val="22"/>
        </w:rPr>
        <w:t>was reasonable.</w:t>
      </w:r>
    </w:p>
    <w:p w:rsidR="00662DF1" w:rsidRPr="00882085" w:rsidRDefault="00662DF1" w:rsidP="00FB23D7">
      <w:pPr>
        <w:ind w:left="720" w:hanging="720"/>
        <w:rPr>
          <w:szCs w:val="22"/>
        </w:rPr>
      </w:pPr>
    </w:p>
    <w:p w:rsidR="006115DB" w:rsidRPr="002C2775" w:rsidRDefault="006115DB" w:rsidP="006115DB">
      <w:pPr>
        <w:pStyle w:val="Heading2"/>
        <w:rPr>
          <w:i/>
        </w:rPr>
      </w:pPr>
      <w:bookmarkStart w:id="13" w:name="_Toc440981192"/>
      <w:r w:rsidRPr="002C2775">
        <w:rPr>
          <w:i/>
        </w:rPr>
        <w:t>Economic analysis</w:t>
      </w:r>
      <w:bookmarkEnd w:id="13"/>
    </w:p>
    <w:p w:rsidR="006115DB" w:rsidRPr="00882085" w:rsidRDefault="006115DB" w:rsidP="006115DB">
      <w:pPr>
        <w:ind w:left="720" w:hanging="720"/>
        <w:rPr>
          <w:szCs w:val="22"/>
        </w:rPr>
      </w:pPr>
    </w:p>
    <w:p w:rsidR="006115DB" w:rsidRPr="00B50DB8" w:rsidRDefault="006F616B" w:rsidP="0073258E">
      <w:pPr>
        <w:pStyle w:val="ListParagraph"/>
        <w:widowControl/>
        <w:numPr>
          <w:ilvl w:val="1"/>
          <w:numId w:val="2"/>
        </w:numPr>
        <w:rPr>
          <w:szCs w:val="22"/>
        </w:rPr>
      </w:pPr>
      <w:r>
        <w:t>The economic evaluation wa</w:t>
      </w:r>
      <w:r w:rsidR="006115DB">
        <w:t xml:space="preserve">s a Markov model with three health states – progression-free, post-progression and death. In the model, patients are treated either by </w:t>
      </w:r>
      <w:proofErr w:type="spellStart"/>
      <w:r w:rsidR="006115DB">
        <w:t>nivolumab</w:t>
      </w:r>
      <w:proofErr w:type="spellEnd"/>
      <w:r w:rsidR="006115DB">
        <w:t xml:space="preserve"> or </w:t>
      </w:r>
      <w:proofErr w:type="spellStart"/>
      <w:r w:rsidR="006115DB">
        <w:t>docetaxel</w:t>
      </w:r>
      <w:proofErr w:type="spellEnd"/>
      <w:r w:rsidR="006115DB">
        <w:t xml:space="preserve"> and enter the progression-free health state in the first cycle. In the subsequent cycles, patients can remain in the progression-free state, transit to the post-progression state or die. </w:t>
      </w:r>
      <w:r w:rsidR="006115DB" w:rsidRPr="004C2986">
        <w:t xml:space="preserve">Transition probabilities </w:t>
      </w:r>
      <w:r>
        <w:t>we</w:t>
      </w:r>
      <w:r w:rsidR="006115DB" w:rsidRPr="004C2986">
        <w:t xml:space="preserve">re not explicitly calculated </w:t>
      </w:r>
      <w:r w:rsidR="006115DB">
        <w:t>or</w:t>
      </w:r>
      <w:r>
        <w:t xml:space="preserve"> used in the model. </w:t>
      </w:r>
      <w:r w:rsidR="006115DB" w:rsidRPr="004C2986">
        <w:t xml:space="preserve">Instead, the </w:t>
      </w:r>
      <w:r w:rsidR="006115DB">
        <w:t>proportion</w:t>
      </w:r>
      <w:r w:rsidR="006115DB" w:rsidRPr="004C2986">
        <w:t xml:space="preserve"> of patients in the progression-free state at each model cycle </w:t>
      </w:r>
      <w:r>
        <w:t>wa</w:t>
      </w:r>
      <w:r w:rsidR="006115DB" w:rsidRPr="004C2986">
        <w:t>s</w:t>
      </w:r>
      <w:r w:rsidR="00EA605A">
        <w:t xml:space="preserve"> obtained directly from patient-</w:t>
      </w:r>
      <w:r w:rsidR="006115DB" w:rsidRPr="004C2986">
        <w:t xml:space="preserve">level </w:t>
      </w:r>
      <w:r w:rsidR="00EA605A">
        <w:t xml:space="preserve">PFS </w:t>
      </w:r>
      <w:r w:rsidR="006115DB" w:rsidRPr="004C2986">
        <w:t>data of the CA209-0</w:t>
      </w:r>
      <w:r w:rsidR="006115DB">
        <w:t>1</w:t>
      </w:r>
      <w:r w:rsidR="006115DB" w:rsidRPr="004C2986">
        <w:t>7 trial</w:t>
      </w:r>
      <w:r w:rsidR="006115DB">
        <w:t xml:space="preserve"> and the extrapolated PFS curves</w:t>
      </w:r>
      <w:r>
        <w:t xml:space="preserve">. </w:t>
      </w:r>
      <w:r w:rsidR="006115DB" w:rsidRPr="004C2986">
        <w:t xml:space="preserve">The </w:t>
      </w:r>
      <w:r w:rsidR="006115DB">
        <w:t>proportion</w:t>
      </w:r>
      <w:r w:rsidR="006115DB" w:rsidRPr="004C2986">
        <w:t xml:space="preserve"> of patients who </w:t>
      </w:r>
      <w:r w:rsidR="006115DB">
        <w:t>died</w:t>
      </w:r>
      <w:r w:rsidR="006115DB" w:rsidRPr="004C2986">
        <w:t xml:space="preserve"> </w:t>
      </w:r>
      <w:r>
        <w:t>was</w:t>
      </w:r>
      <w:r w:rsidR="006115DB" w:rsidRPr="004C2986">
        <w:t xml:space="preserve"> calculated from the OS data (1-OS) at each model cycle. The proportion of patients in the </w:t>
      </w:r>
      <w:r w:rsidR="006115DB">
        <w:t xml:space="preserve">post-progression </w:t>
      </w:r>
      <w:r w:rsidR="006115DB" w:rsidRPr="004C2986">
        <w:t xml:space="preserve">state </w:t>
      </w:r>
      <w:r>
        <w:t>wa</w:t>
      </w:r>
      <w:r w:rsidR="006115DB" w:rsidRPr="004C2986">
        <w:t>s the difference between those in the OS health state and the PFS state at each time point in the modelled economic evaluation.</w:t>
      </w:r>
    </w:p>
    <w:p w:rsidR="006115DB" w:rsidRDefault="006115DB" w:rsidP="006115DB">
      <w:pPr>
        <w:widowControl/>
        <w:rPr>
          <w:szCs w:val="22"/>
        </w:rPr>
      </w:pPr>
    </w:p>
    <w:p w:rsidR="006115DB" w:rsidRDefault="006115DB" w:rsidP="006115DB">
      <w:pPr>
        <w:pStyle w:val="TableHeader"/>
        <w:ind w:firstLine="720"/>
      </w:pPr>
      <w:r w:rsidRPr="005C7F65">
        <w:t xml:space="preserve">Table </w:t>
      </w:r>
      <w:r>
        <w:t>8</w:t>
      </w:r>
      <w:r w:rsidRPr="005C7F65">
        <w:t>: Summary of model structure and rationale</w:t>
      </w:r>
    </w:p>
    <w:tbl>
      <w:tblPr>
        <w:tblW w:w="8330"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86"/>
        <w:gridCol w:w="6744"/>
      </w:tblGrid>
      <w:tr w:rsidR="006115DB" w:rsidRPr="004E2ADC" w:rsidTr="004E7393">
        <w:trPr>
          <w:trHeight w:val="240"/>
        </w:trPr>
        <w:tc>
          <w:tcPr>
            <w:tcW w:w="1586" w:type="dxa"/>
            <w:shd w:val="clear" w:color="auto" w:fill="auto"/>
          </w:tcPr>
          <w:p w:rsidR="006115DB" w:rsidRPr="004E2ADC" w:rsidRDefault="006115DB" w:rsidP="004E7393">
            <w:pPr>
              <w:rPr>
                <w:rFonts w:ascii="Arial Narrow" w:hAnsi="Arial Narrow"/>
                <w:sz w:val="20"/>
              </w:rPr>
            </w:pPr>
            <w:r w:rsidRPr="004E2ADC">
              <w:rPr>
                <w:rFonts w:ascii="Arial Narrow" w:hAnsi="Arial Narrow"/>
                <w:sz w:val="20"/>
              </w:rPr>
              <w:t>Time horizon</w:t>
            </w:r>
          </w:p>
        </w:tc>
        <w:tc>
          <w:tcPr>
            <w:tcW w:w="6744" w:type="dxa"/>
            <w:shd w:val="clear" w:color="auto" w:fill="auto"/>
          </w:tcPr>
          <w:p w:rsidR="006115DB" w:rsidRPr="00EF2C20" w:rsidRDefault="006115DB" w:rsidP="004E7393">
            <w:pPr>
              <w:rPr>
                <w:rFonts w:ascii="Arial Narrow" w:hAnsi="Arial Narrow"/>
                <w:sz w:val="20"/>
              </w:rPr>
            </w:pPr>
            <w:r>
              <w:rPr>
                <w:rFonts w:ascii="Arial Narrow" w:hAnsi="Arial Narrow"/>
                <w:sz w:val="20"/>
              </w:rPr>
              <w:t>10</w:t>
            </w:r>
            <w:r w:rsidRPr="00EF2C20">
              <w:rPr>
                <w:rFonts w:ascii="Arial Narrow" w:hAnsi="Arial Narrow"/>
                <w:sz w:val="20"/>
              </w:rPr>
              <w:t xml:space="preserve"> years in the model base case versus </w:t>
            </w:r>
            <w:r>
              <w:rPr>
                <w:rFonts w:ascii="Arial Narrow" w:hAnsi="Arial Narrow"/>
                <w:sz w:val="20"/>
              </w:rPr>
              <w:t>18 months</w:t>
            </w:r>
            <w:r w:rsidRPr="00EF2C20">
              <w:rPr>
                <w:rFonts w:ascii="Arial Narrow" w:hAnsi="Arial Narrow"/>
                <w:sz w:val="20"/>
              </w:rPr>
              <w:t xml:space="preserve"> in </w:t>
            </w:r>
            <w:r>
              <w:rPr>
                <w:rFonts w:ascii="Arial Narrow" w:hAnsi="Arial Narrow"/>
                <w:sz w:val="20"/>
              </w:rPr>
              <w:t xml:space="preserve">the </w:t>
            </w:r>
            <w:r w:rsidRPr="00EF2C20">
              <w:rPr>
                <w:rFonts w:ascii="Arial Narrow" w:hAnsi="Arial Narrow"/>
                <w:sz w:val="20"/>
              </w:rPr>
              <w:t>trial</w:t>
            </w:r>
          </w:p>
        </w:tc>
      </w:tr>
      <w:tr w:rsidR="006115DB" w:rsidRPr="004E2ADC" w:rsidTr="006F616B">
        <w:trPr>
          <w:trHeight w:val="155"/>
        </w:trPr>
        <w:tc>
          <w:tcPr>
            <w:tcW w:w="1586" w:type="dxa"/>
            <w:shd w:val="clear" w:color="auto" w:fill="auto"/>
          </w:tcPr>
          <w:p w:rsidR="006115DB" w:rsidRPr="004E2ADC" w:rsidRDefault="006115DB" w:rsidP="004E7393">
            <w:pPr>
              <w:rPr>
                <w:rFonts w:ascii="Arial Narrow" w:hAnsi="Arial Narrow"/>
                <w:sz w:val="20"/>
              </w:rPr>
            </w:pPr>
            <w:r w:rsidRPr="004E2ADC">
              <w:rPr>
                <w:rFonts w:ascii="Arial Narrow" w:hAnsi="Arial Narrow"/>
                <w:sz w:val="20"/>
              </w:rPr>
              <w:t>Outcomes</w:t>
            </w:r>
          </w:p>
        </w:tc>
        <w:tc>
          <w:tcPr>
            <w:tcW w:w="6744" w:type="dxa"/>
            <w:shd w:val="clear" w:color="auto" w:fill="auto"/>
          </w:tcPr>
          <w:p w:rsidR="006115DB" w:rsidRPr="00EF2C20" w:rsidRDefault="006115DB" w:rsidP="004E7393">
            <w:pPr>
              <w:rPr>
                <w:rFonts w:ascii="Arial Narrow" w:hAnsi="Arial Narrow"/>
                <w:sz w:val="20"/>
              </w:rPr>
            </w:pPr>
            <w:r>
              <w:rPr>
                <w:rFonts w:ascii="Arial Narrow" w:hAnsi="Arial Narrow"/>
                <w:sz w:val="20"/>
              </w:rPr>
              <w:t>LYG and QALYs</w:t>
            </w:r>
          </w:p>
        </w:tc>
      </w:tr>
      <w:tr w:rsidR="006115DB" w:rsidRPr="004E2ADC" w:rsidTr="006F616B">
        <w:trPr>
          <w:trHeight w:val="470"/>
        </w:trPr>
        <w:tc>
          <w:tcPr>
            <w:tcW w:w="1586" w:type="dxa"/>
            <w:shd w:val="clear" w:color="auto" w:fill="auto"/>
          </w:tcPr>
          <w:p w:rsidR="006115DB" w:rsidRPr="004E2ADC" w:rsidRDefault="006115DB" w:rsidP="004E7393">
            <w:pPr>
              <w:rPr>
                <w:rFonts w:ascii="Arial Narrow" w:hAnsi="Arial Narrow"/>
                <w:sz w:val="20"/>
              </w:rPr>
            </w:pPr>
            <w:r w:rsidRPr="004E2ADC">
              <w:rPr>
                <w:rFonts w:ascii="Arial Narrow" w:hAnsi="Arial Narrow"/>
                <w:sz w:val="20"/>
              </w:rPr>
              <w:t>Methods used to generate results</w:t>
            </w:r>
          </w:p>
        </w:tc>
        <w:tc>
          <w:tcPr>
            <w:tcW w:w="6744" w:type="dxa"/>
            <w:shd w:val="clear" w:color="auto" w:fill="auto"/>
          </w:tcPr>
          <w:p w:rsidR="006115DB" w:rsidRPr="00EF2C20" w:rsidRDefault="006115DB" w:rsidP="004E7393">
            <w:pPr>
              <w:rPr>
                <w:rFonts w:ascii="Arial Narrow" w:hAnsi="Arial Narrow"/>
                <w:sz w:val="20"/>
              </w:rPr>
            </w:pPr>
            <w:r>
              <w:rPr>
                <w:rFonts w:ascii="Arial Narrow" w:hAnsi="Arial Narrow"/>
                <w:sz w:val="20"/>
              </w:rPr>
              <w:t>Three states (progression-free, progressed and death) Markov model. Co</w:t>
            </w:r>
            <w:r w:rsidRPr="00EF2C20">
              <w:rPr>
                <w:rFonts w:ascii="Arial Narrow" w:hAnsi="Arial Narrow"/>
                <w:sz w:val="20"/>
              </w:rPr>
              <w:t>hort expected value analysis</w:t>
            </w:r>
          </w:p>
        </w:tc>
      </w:tr>
      <w:tr w:rsidR="006115DB" w:rsidRPr="004E2ADC" w:rsidTr="004E7393">
        <w:trPr>
          <w:trHeight w:val="225"/>
        </w:trPr>
        <w:tc>
          <w:tcPr>
            <w:tcW w:w="1586" w:type="dxa"/>
            <w:shd w:val="clear" w:color="auto" w:fill="auto"/>
          </w:tcPr>
          <w:p w:rsidR="006115DB" w:rsidRPr="004E2ADC" w:rsidRDefault="006115DB" w:rsidP="004E7393">
            <w:pPr>
              <w:rPr>
                <w:rFonts w:ascii="Arial Narrow" w:hAnsi="Arial Narrow"/>
                <w:sz w:val="20"/>
              </w:rPr>
            </w:pPr>
            <w:r w:rsidRPr="004E2ADC">
              <w:rPr>
                <w:rFonts w:ascii="Arial Narrow" w:hAnsi="Arial Narrow"/>
                <w:sz w:val="20"/>
              </w:rPr>
              <w:t>Cycle length</w:t>
            </w:r>
          </w:p>
        </w:tc>
        <w:tc>
          <w:tcPr>
            <w:tcW w:w="6744" w:type="dxa"/>
            <w:shd w:val="clear" w:color="auto" w:fill="auto"/>
          </w:tcPr>
          <w:p w:rsidR="006115DB" w:rsidRPr="00EF2C20" w:rsidRDefault="006115DB" w:rsidP="004E7393">
            <w:pPr>
              <w:rPr>
                <w:rFonts w:ascii="Arial Narrow" w:hAnsi="Arial Narrow"/>
                <w:sz w:val="20"/>
              </w:rPr>
            </w:pPr>
            <w:r>
              <w:rPr>
                <w:rFonts w:ascii="Arial Narrow" w:hAnsi="Arial Narrow"/>
                <w:sz w:val="20"/>
              </w:rPr>
              <w:t>Three</w:t>
            </w:r>
            <w:r w:rsidRPr="00EF2C20">
              <w:rPr>
                <w:rFonts w:ascii="Arial Narrow" w:hAnsi="Arial Narrow"/>
                <w:sz w:val="20"/>
              </w:rPr>
              <w:t xml:space="preserve"> weeks</w:t>
            </w:r>
          </w:p>
        </w:tc>
      </w:tr>
      <w:tr w:rsidR="006115DB" w:rsidRPr="004E2ADC" w:rsidTr="004E7393">
        <w:trPr>
          <w:trHeight w:val="448"/>
        </w:trPr>
        <w:tc>
          <w:tcPr>
            <w:tcW w:w="1586" w:type="dxa"/>
            <w:shd w:val="clear" w:color="auto" w:fill="auto"/>
          </w:tcPr>
          <w:p w:rsidR="006115DB" w:rsidRPr="004E2ADC" w:rsidRDefault="006115DB" w:rsidP="004E7393">
            <w:pPr>
              <w:rPr>
                <w:rFonts w:ascii="Arial Narrow" w:hAnsi="Arial Narrow"/>
                <w:sz w:val="20"/>
              </w:rPr>
            </w:pPr>
            <w:r w:rsidRPr="004E2ADC">
              <w:rPr>
                <w:rFonts w:ascii="Arial Narrow" w:hAnsi="Arial Narrow"/>
                <w:sz w:val="20"/>
              </w:rPr>
              <w:t>Transition probabilities</w:t>
            </w:r>
          </w:p>
        </w:tc>
        <w:tc>
          <w:tcPr>
            <w:tcW w:w="6744" w:type="dxa"/>
            <w:shd w:val="clear" w:color="auto" w:fill="auto"/>
          </w:tcPr>
          <w:p w:rsidR="006115DB" w:rsidRPr="00EF2C20" w:rsidRDefault="006115DB" w:rsidP="004E7393">
            <w:pPr>
              <w:rPr>
                <w:rFonts w:ascii="Arial Narrow" w:hAnsi="Arial Narrow"/>
                <w:sz w:val="20"/>
              </w:rPr>
            </w:pPr>
            <w:r>
              <w:rPr>
                <w:rFonts w:ascii="Arial Narrow" w:hAnsi="Arial Narrow"/>
                <w:sz w:val="20"/>
              </w:rPr>
              <w:t>Trial-based Kaplan-Meier PFS and OS curves as well as extrapolated PFS and OS curves</w:t>
            </w:r>
          </w:p>
        </w:tc>
      </w:tr>
      <w:tr w:rsidR="006115DB" w:rsidRPr="004E2ADC" w:rsidTr="004E7393">
        <w:trPr>
          <w:trHeight w:val="240"/>
        </w:trPr>
        <w:tc>
          <w:tcPr>
            <w:tcW w:w="1586" w:type="dxa"/>
            <w:shd w:val="clear" w:color="auto" w:fill="auto"/>
          </w:tcPr>
          <w:p w:rsidR="006115DB" w:rsidRPr="004E2ADC" w:rsidRDefault="006115DB" w:rsidP="004E7393">
            <w:pPr>
              <w:rPr>
                <w:rFonts w:ascii="Arial Narrow" w:hAnsi="Arial Narrow"/>
                <w:sz w:val="20"/>
              </w:rPr>
            </w:pPr>
            <w:r w:rsidRPr="004E2ADC">
              <w:rPr>
                <w:rFonts w:ascii="Arial Narrow" w:hAnsi="Arial Narrow"/>
                <w:sz w:val="20"/>
              </w:rPr>
              <w:t>Discount rate</w:t>
            </w:r>
          </w:p>
        </w:tc>
        <w:tc>
          <w:tcPr>
            <w:tcW w:w="6744" w:type="dxa"/>
            <w:shd w:val="clear" w:color="auto" w:fill="auto"/>
          </w:tcPr>
          <w:p w:rsidR="006115DB" w:rsidRPr="00EF2C20" w:rsidRDefault="006115DB" w:rsidP="004E7393">
            <w:pPr>
              <w:rPr>
                <w:rFonts w:ascii="Arial Narrow" w:hAnsi="Arial Narrow"/>
                <w:sz w:val="20"/>
              </w:rPr>
            </w:pPr>
            <w:r>
              <w:rPr>
                <w:rFonts w:ascii="Arial Narrow" w:hAnsi="Arial Narrow"/>
                <w:sz w:val="20"/>
              </w:rPr>
              <w:t>5</w:t>
            </w:r>
            <w:r w:rsidRPr="00EF2C20">
              <w:rPr>
                <w:rFonts w:ascii="Arial Narrow" w:hAnsi="Arial Narrow"/>
                <w:sz w:val="20"/>
              </w:rPr>
              <w:t xml:space="preserve">% </w:t>
            </w:r>
            <w:r>
              <w:rPr>
                <w:rFonts w:ascii="Arial Narrow" w:hAnsi="Arial Narrow"/>
                <w:sz w:val="20"/>
              </w:rPr>
              <w:t xml:space="preserve">per annum </w:t>
            </w:r>
            <w:r w:rsidRPr="00EF2C20">
              <w:rPr>
                <w:rFonts w:ascii="Arial Narrow" w:hAnsi="Arial Narrow"/>
                <w:sz w:val="20"/>
              </w:rPr>
              <w:t>for costs and outcomes</w:t>
            </w:r>
          </w:p>
        </w:tc>
      </w:tr>
      <w:tr w:rsidR="006115DB" w:rsidRPr="004E2ADC" w:rsidTr="004E7393">
        <w:trPr>
          <w:trHeight w:val="225"/>
        </w:trPr>
        <w:tc>
          <w:tcPr>
            <w:tcW w:w="1586" w:type="dxa"/>
            <w:shd w:val="clear" w:color="auto" w:fill="auto"/>
          </w:tcPr>
          <w:p w:rsidR="006115DB" w:rsidRPr="004E2ADC" w:rsidRDefault="006115DB" w:rsidP="004E7393">
            <w:pPr>
              <w:rPr>
                <w:rFonts w:ascii="Arial Narrow" w:hAnsi="Arial Narrow"/>
                <w:sz w:val="20"/>
              </w:rPr>
            </w:pPr>
            <w:r w:rsidRPr="004E2ADC">
              <w:rPr>
                <w:rFonts w:ascii="Arial Narrow" w:hAnsi="Arial Narrow"/>
                <w:sz w:val="20"/>
              </w:rPr>
              <w:t>Software package</w:t>
            </w:r>
          </w:p>
        </w:tc>
        <w:tc>
          <w:tcPr>
            <w:tcW w:w="6744" w:type="dxa"/>
            <w:shd w:val="clear" w:color="auto" w:fill="auto"/>
          </w:tcPr>
          <w:p w:rsidR="006115DB" w:rsidRPr="00EF2C20" w:rsidRDefault="006115DB" w:rsidP="004E7393">
            <w:pPr>
              <w:rPr>
                <w:rFonts w:ascii="Arial Narrow" w:hAnsi="Arial Narrow"/>
                <w:sz w:val="20"/>
              </w:rPr>
            </w:pPr>
            <w:r w:rsidRPr="00EF2C20">
              <w:rPr>
                <w:rFonts w:ascii="Arial Narrow" w:hAnsi="Arial Narrow"/>
                <w:sz w:val="20"/>
              </w:rPr>
              <w:t>Excel 2010</w:t>
            </w:r>
          </w:p>
        </w:tc>
      </w:tr>
    </w:tbl>
    <w:p w:rsidR="006115DB" w:rsidRDefault="006115DB" w:rsidP="00295AB8">
      <w:pPr>
        <w:pStyle w:val="TableFooter"/>
        <w:tabs>
          <w:tab w:val="right" w:pos="9026"/>
        </w:tabs>
        <w:ind w:left="709"/>
      </w:pPr>
      <w:r>
        <w:t>LYG</w:t>
      </w:r>
      <w:r w:rsidR="00EA605A">
        <w:t>=life-</w:t>
      </w:r>
      <w:r w:rsidR="006F616B">
        <w:t>year gained; QALY=quality-adjusted life year; PFS</w:t>
      </w:r>
      <w:r>
        <w:t>=</w:t>
      </w:r>
      <w:r w:rsidR="006F616B">
        <w:t>progression</w:t>
      </w:r>
      <w:r w:rsidR="00EA605A">
        <w:t>-</w:t>
      </w:r>
      <w:r w:rsidR="006F616B">
        <w:t>free survival; OS</w:t>
      </w:r>
      <w:r>
        <w:t>=</w:t>
      </w:r>
      <w:r w:rsidR="00295AB8">
        <w:t>overall survival</w:t>
      </w:r>
    </w:p>
    <w:p w:rsidR="006115DB" w:rsidRDefault="006115DB" w:rsidP="006115DB">
      <w:pPr>
        <w:pStyle w:val="TableFooter"/>
        <w:ind w:firstLine="720"/>
      </w:pPr>
      <w:r w:rsidRPr="00D13A3E">
        <w:t>Source: constructed during the evaluation</w:t>
      </w:r>
      <w:r w:rsidR="00295AB8">
        <w:t>.</w:t>
      </w:r>
    </w:p>
    <w:p w:rsidR="006115DB" w:rsidRDefault="006115DB" w:rsidP="006115DB"/>
    <w:p w:rsidR="006115DB" w:rsidRPr="00B50DB8" w:rsidRDefault="006115DB" w:rsidP="0073258E">
      <w:pPr>
        <w:pStyle w:val="ListParagraph"/>
        <w:widowControl/>
        <w:numPr>
          <w:ilvl w:val="1"/>
          <w:numId w:val="2"/>
        </w:numPr>
        <w:rPr>
          <w:szCs w:val="22"/>
        </w:rPr>
      </w:pPr>
      <w:r>
        <w:t>The key drivers of the model are summarised below.</w:t>
      </w:r>
    </w:p>
    <w:p w:rsidR="00D24508" w:rsidRPr="00FC346C" w:rsidRDefault="00D24508">
      <w:pPr>
        <w:widowControl/>
        <w:jc w:val="left"/>
        <w:rPr>
          <w:szCs w:val="22"/>
        </w:rPr>
      </w:pPr>
    </w:p>
    <w:p w:rsidR="00944B94" w:rsidRDefault="00944B94">
      <w:pPr>
        <w:widowControl/>
        <w:jc w:val="left"/>
        <w:rPr>
          <w:rFonts w:ascii="Arial Narrow" w:hAnsi="Arial Narrow"/>
          <w:b/>
          <w:sz w:val="20"/>
        </w:rPr>
      </w:pPr>
      <w:r>
        <w:br w:type="page"/>
      </w:r>
    </w:p>
    <w:p w:rsidR="006115DB" w:rsidRPr="00864E0C" w:rsidRDefault="006115DB" w:rsidP="006115DB">
      <w:pPr>
        <w:pStyle w:val="TableHeader"/>
        <w:ind w:firstLine="720"/>
      </w:pPr>
      <w:r w:rsidRPr="00864E0C">
        <w:lastRenderedPageBreak/>
        <w:t>Table 9: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6115DB" w:rsidRPr="00F24BB1" w:rsidTr="004E7393">
        <w:trPr>
          <w:tblHeader/>
        </w:trPr>
        <w:tc>
          <w:tcPr>
            <w:tcW w:w="1529" w:type="pct"/>
            <w:shd w:val="clear" w:color="auto" w:fill="auto"/>
            <w:vAlign w:val="center"/>
          </w:tcPr>
          <w:p w:rsidR="006115DB" w:rsidRPr="005E6E19" w:rsidRDefault="006115DB" w:rsidP="004E7393">
            <w:pPr>
              <w:jc w:val="left"/>
              <w:rPr>
                <w:rFonts w:ascii="Arial Narrow" w:hAnsi="Arial Narrow"/>
                <w:b/>
                <w:sz w:val="20"/>
                <w:lang w:val="en-US"/>
              </w:rPr>
            </w:pPr>
            <w:r w:rsidRPr="005E6E19">
              <w:rPr>
                <w:rFonts w:ascii="Arial Narrow" w:hAnsi="Arial Narrow"/>
                <w:b/>
                <w:sz w:val="20"/>
                <w:lang w:val="en-US"/>
              </w:rPr>
              <w:t>Description</w:t>
            </w:r>
          </w:p>
        </w:tc>
        <w:tc>
          <w:tcPr>
            <w:tcW w:w="2123" w:type="pct"/>
            <w:shd w:val="clear" w:color="auto" w:fill="auto"/>
            <w:vAlign w:val="center"/>
          </w:tcPr>
          <w:p w:rsidR="006115DB" w:rsidRPr="005E6E19" w:rsidRDefault="006115DB" w:rsidP="004E7393">
            <w:pPr>
              <w:jc w:val="center"/>
              <w:rPr>
                <w:rFonts w:ascii="Arial Narrow" w:hAnsi="Arial Narrow"/>
                <w:b/>
                <w:sz w:val="20"/>
                <w:lang w:val="en-US"/>
              </w:rPr>
            </w:pPr>
            <w:r w:rsidRPr="005E6E19">
              <w:rPr>
                <w:rFonts w:ascii="Arial Narrow" w:hAnsi="Arial Narrow"/>
                <w:b/>
                <w:sz w:val="20"/>
                <w:lang w:val="en-US"/>
              </w:rPr>
              <w:t>Method/Value</w:t>
            </w:r>
          </w:p>
        </w:tc>
        <w:tc>
          <w:tcPr>
            <w:tcW w:w="1348" w:type="pct"/>
            <w:shd w:val="clear" w:color="auto" w:fill="auto"/>
            <w:vAlign w:val="center"/>
          </w:tcPr>
          <w:p w:rsidR="006115DB" w:rsidRPr="005E6E19" w:rsidRDefault="006115DB" w:rsidP="004E7393">
            <w:pPr>
              <w:jc w:val="center"/>
              <w:rPr>
                <w:rFonts w:ascii="Arial Narrow" w:hAnsi="Arial Narrow"/>
                <w:b/>
                <w:sz w:val="20"/>
                <w:lang w:val="en-US"/>
              </w:rPr>
            </w:pPr>
            <w:r w:rsidRPr="005E6E19">
              <w:rPr>
                <w:rFonts w:ascii="Arial Narrow" w:hAnsi="Arial Narrow"/>
                <w:b/>
                <w:sz w:val="20"/>
                <w:lang w:val="en-US"/>
              </w:rPr>
              <w:t>Impact</w:t>
            </w:r>
          </w:p>
        </w:tc>
      </w:tr>
      <w:tr w:rsidR="006115DB" w:rsidRPr="00F24BB1" w:rsidTr="004E7393">
        <w:tc>
          <w:tcPr>
            <w:tcW w:w="1529" w:type="pct"/>
            <w:shd w:val="clear" w:color="auto" w:fill="auto"/>
            <w:vAlign w:val="center"/>
          </w:tcPr>
          <w:p w:rsidR="006115DB" w:rsidRPr="005E6E19" w:rsidRDefault="006115DB" w:rsidP="004E7393">
            <w:pPr>
              <w:jc w:val="left"/>
              <w:rPr>
                <w:rFonts w:ascii="Arial Narrow" w:hAnsi="Arial Narrow"/>
                <w:sz w:val="20"/>
                <w:lang w:val="en-US"/>
              </w:rPr>
            </w:pPr>
            <w:r w:rsidRPr="005E6E19">
              <w:rPr>
                <w:rFonts w:ascii="Arial Narrow" w:hAnsi="Arial Narrow"/>
                <w:sz w:val="20"/>
                <w:lang w:val="en-US"/>
              </w:rPr>
              <w:t>Time horizon</w:t>
            </w:r>
          </w:p>
        </w:tc>
        <w:tc>
          <w:tcPr>
            <w:tcW w:w="2123" w:type="pct"/>
            <w:shd w:val="clear" w:color="auto" w:fill="auto"/>
            <w:vAlign w:val="center"/>
          </w:tcPr>
          <w:p w:rsidR="006115DB" w:rsidRPr="005E6E19" w:rsidRDefault="006115DB" w:rsidP="004E7393">
            <w:pPr>
              <w:jc w:val="left"/>
              <w:rPr>
                <w:rFonts w:ascii="Arial Narrow" w:hAnsi="Arial Narrow"/>
                <w:sz w:val="20"/>
                <w:lang w:val="en-US"/>
              </w:rPr>
            </w:pPr>
            <w:r w:rsidRPr="005E6E19">
              <w:rPr>
                <w:rFonts w:ascii="Arial Narrow" w:hAnsi="Arial Narrow"/>
                <w:sz w:val="20"/>
                <w:lang w:val="en-US"/>
              </w:rPr>
              <w:t>10 years; assumed from 18 month trial duration</w:t>
            </w:r>
          </w:p>
        </w:tc>
        <w:tc>
          <w:tcPr>
            <w:tcW w:w="1348" w:type="pct"/>
            <w:shd w:val="clear" w:color="auto" w:fill="auto"/>
            <w:vAlign w:val="center"/>
          </w:tcPr>
          <w:p w:rsidR="006115DB" w:rsidRPr="005E6E19" w:rsidRDefault="006115DB" w:rsidP="004E7393">
            <w:pPr>
              <w:jc w:val="center"/>
              <w:rPr>
                <w:rFonts w:ascii="Arial Narrow" w:hAnsi="Arial Narrow"/>
                <w:sz w:val="20"/>
                <w:lang w:val="en-US"/>
              </w:rPr>
            </w:pPr>
            <w:r w:rsidRPr="005E6E19">
              <w:rPr>
                <w:rFonts w:ascii="Arial Narrow" w:hAnsi="Arial Narrow"/>
                <w:sz w:val="20"/>
                <w:lang w:val="en-US"/>
              </w:rPr>
              <w:t xml:space="preserve">High, </w:t>
            </w:r>
            <w:proofErr w:type="spellStart"/>
            <w:r w:rsidRPr="005E6E19">
              <w:rPr>
                <w:rFonts w:ascii="Arial Narrow" w:hAnsi="Arial Narrow"/>
                <w:sz w:val="20"/>
                <w:lang w:val="en-US"/>
              </w:rPr>
              <w:t>favours</w:t>
            </w:r>
            <w:proofErr w:type="spellEnd"/>
            <w:r w:rsidRPr="005E6E19">
              <w:rPr>
                <w:rFonts w:ascii="Arial Narrow" w:hAnsi="Arial Narrow"/>
                <w:sz w:val="20"/>
                <w:lang w:val="en-US"/>
              </w:rPr>
              <w:t xml:space="preserve"> </w:t>
            </w:r>
            <w:proofErr w:type="spellStart"/>
            <w:r w:rsidRPr="005E6E19">
              <w:rPr>
                <w:rFonts w:ascii="Arial Narrow" w:hAnsi="Arial Narrow"/>
                <w:sz w:val="20"/>
                <w:lang w:val="en-US"/>
              </w:rPr>
              <w:t>nivolumab</w:t>
            </w:r>
            <w:proofErr w:type="spellEnd"/>
          </w:p>
        </w:tc>
      </w:tr>
      <w:tr w:rsidR="006115DB" w:rsidRPr="00F24BB1" w:rsidTr="004E7393">
        <w:tc>
          <w:tcPr>
            <w:tcW w:w="1529" w:type="pct"/>
            <w:shd w:val="clear" w:color="auto" w:fill="auto"/>
            <w:vAlign w:val="center"/>
          </w:tcPr>
          <w:p w:rsidR="006115DB" w:rsidRPr="005E6E19" w:rsidRDefault="006115DB" w:rsidP="004E7393">
            <w:pPr>
              <w:jc w:val="left"/>
              <w:rPr>
                <w:rFonts w:ascii="Arial Narrow" w:hAnsi="Arial Narrow"/>
                <w:sz w:val="20"/>
                <w:lang w:val="en-US"/>
              </w:rPr>
            </w:pPr>
            <w:r w:rsidRPr="005E6E19">
              <w:rPr>
                <w:rFonts w:ascii="Arial Narrow" w:hAnsi="Arial Narrow"/>
                <w:sz w:val="20"/>
                <w:lang w:val="en-US"/>
              </w:rPr>
              <w:t>Method of extrapolation</w:t>
            </w:r>
          </w:p>
        </w:tc>
        <w:tc>
          <w:tcPr>
            <w:tcW w:w="2123" w:type="pct"/>
            <w:shd w:val="clear" w:color="auto" w:fill="auto"/>
            <w:vAlign w:val="center"/>
          </w:tcPr>
          <w:p w:rsidR="006115DB" w:rsidRPr="005E6E19" w:rsidRDefault="006115DB" w:rsidP="004E7393">
            <w:pPr>
              <w:jc w:val="left"/>
              <w:rPr>
                <w:rFonts w:ascii="Arial Narrow" w:hAnsi="Arial Narrow"/>
                <w:sz w:val="20"/>
                <w:lang w:val="en-US"/>
              </w:rPr>
            </w:pPr>
            <w:r w:rsidRPr="005E6E19">
              <w:rPr>
                <w:rFonts w:ascii="Arial Narrow" w:hAnsi="Arial Narrow"/>
                <w:sz w:val="20"/>
                <w:lang w:val="en-US"/>
              </w:rPr>
              <w:t>Log-logistic distribution for PFS and OS in both arms, assuming continued treatment effect</w:t>
            </w:r>
          </w:p>
        </w:tc>
        <w:tc>
          <w:tcPr>
            <w:tcW w:w="1348" w:type="pct"/>
            <w:shd w:val="clear" w:color="auto" w:fill="auto"/>
            <w:vAlign w:val="center"/>
          </w:tcPr>
          <w:p w:rsidR="006115DB" w:rsidRPr="005E6E19" w:rsidRDefault="006115DB" w:rsidP="004E7393">
            <w:pPr>
              <w:jc w:val="center"/>
              <w:rPr>
                <w:rFonts w:ascii="Arial Narrow" w:hAnsi="Arial Narrow"/>
                <w:sz w:val="20"/>
                <w:lang w:val="en-US"/>
              </w:rPr>
            </w:pPr>
            <w:r w:rsidRPr="005E6E19">
              <w:rPr>
                <w:rFonts w:ascii="Arial Narrow" w:hAnsi="Arial Narrow"/>
                <w:sz w:val="20"/>
                <w:lang w:val="en-US"/>
              </w:rPr>
              <w:t xml:space="preserve">High, </w:t>
            </w:r>
            <w:proofErr w:type="spellStart"/>
            <w:r w:rsidRPr="005E6E19">
              <w:rPr>
                <w:rFonts w:ascii="Arial Narrow" w:hAnsi="Arial Narrow"/>
                <w:sz w:val="20"/>
                <w:lang w:val="en-US"/>
              </w:rPr>
              <w:t>favours</w:t>
            </w:r>
            <w:proofErr w:type="spellEnd"/>
            <w:r w:rsidRPr="005E6E19">
              <w:rPr>
                <w:rFonts w:ascii="Arial Narrow" w:hAnsi="Arial Narrow"/>
                <w:sz w:val="20"/>
                <w:lang w:val="en-US"/>
              </w:rPr>
              <w:t xml:space="preserve"> </w:t>
            </w:r>
            <w:proofErr w:type="spellStart"/>
            <w:r w:rsidRPr="005E6E19">
              <w:rPr>
                <w:rFonts w:ascii="Arial Narrow" w:hAnsi="Arial Narrow"/>
                <w:sz w:val="20"/>
                <w:lang w:val="en-US"/>
              </w:rPr>
              <w:t>nivolumab</w:t>
            </w:r>
            <w:proofErr w:type="spellEnd"/>
          </w:p>
        </w:tc>
      </w:tr>
      <w:tr w:rsidR="006115DB" w:rsidRPr="006F13DA" w:rsidTr="004E7393">
        <w:tc>
          <w:tcPr>
            <w:tcW w:w="1529" w:type="pct"/>
            <w:shd w:val="clear" w:color="auto" w:fill="auto"/>
            <w:vAlign w:val="center"/>
          </w:tcPr>
          <w:p w:rsidR="006115DB" w:rsidRPr="005E6E19" w:rsidRDefault="006115DB" w:rsidP="004E7393">
            <w:pPr>
              <w:jc w:val="left"/>
              <w:rPr>
                <w:rFonts w:ascii="Arial Narrow" w:hAnsi="Arial Narrow"/>
                <w:sz w:val="20"/>
                <w:lang w:val="en-US"/>
              </w:rPr>
            </w:pPr>
            <w:r w:rsidRPr="005E6E19">
              <w:rPr>
                <w:rFonts w:ascii="Arial Narrow" w:hAnsi="Arial Narrow"/>
                <w:sz w:val="20"/>
                <w:lang w:val="en-US"/>
              </w:rPr>
              <w:t xml:space="preserve">Duration of </w:t>
            </w:r>
            <w:proofErr w:type="spellStart"/>
            <w:r w:rsidRPr="005E6E19">
              <w:rPr>
                <w:rFonts w:ascii="Arial Narrow" w:hAnsi="Arial Narrow"/>
                <w:sz w:val="20"/>
                <w:lang w:val="en-US"/>
              </w:rPr>
              <w:t>nivolumab</w:t>
            </w:r>
            <w:proofErr w:type="spellEnd"/>
            <w:r w:rsidRPr="005E6E19">
              <w:rPr>
                <w:rFonts w:ascii="Arial Narrow" w:hAnsi="Arial Narrow"/>
                <w:sz w:val="20"/>
                <w:lang w:val="en-US"/>
              </w:rPr>
              <w:t xml:space="preserve"> treatment</w:t>
            </w:r>
          </w:p>
        </w:tc>
        <w:tc>
          <w:tcPr>
            <w:tcW w:w="2123" w:type="pct"/>
            <w:shd w:val="clear" w:color="auto" w:fill="auto"/>
            <w:vAlign w:val="center"/>
          </w:tcPr>
          <w:p w:rsidR="006115DB" w:rsidRPr="005E6E19" w:rsidRDefault="006115DB" w:rsidP="004E7393">
            <w:pPr>
              <w:jc w:val="left"/>
              <w:rPr>
                <w:rFonts w:ascii="Arial Narrow" w:hAnsi="Arial Narrow"/>
                <w:sz w:val="20"/>
                <w:lang w:val="en-US"/>
              </w:rPr>
            </w:pPr>
            <w:r w:rsidRPr="005E6E19">
              <w:rPr>
                <w:rFonts w:ascii="Arial Narrow" w:hAnsi="Arial Narrow"/>
                <w:sz w:val="20"/>
                <w:lang w:val="en-US"/>
              </w:rPr>
              <w:t>CA209-017 mean trial-based treatment duration – i.e. truncated with respect to resource use</w:t>
            </w:r>
          </w:p>
        </w:tc>
        <w:tc>
          <w:tcPr>
            <w:tcW w:w="1348" w:type="pct"/>
            <w:shd w:val="clear" w:color="auto" w:fill="auto"/>
            <w:vAlign w:val="center"/>
          </w:tcPr>
          <w:p w:rsidR="006115DB" w:rsidRPr="005E6E19" w:rsidRDefault="006115DB" w:rsidP="004E7393">
            <w:pPr>
              <w:jc w:val="center"/>
              <w:rPr>
                <w:rFonts w:ascii="Arial Narrow" w:hAnsi="Arial Narrow"/>
                <w:sz w:val="20"/>
                <w:lang w:val="en-US"/>
              </w:rPr>
            </w:pPr>
            <w:r w:rsidRPr="005E6E19">
              <w:rPr>
                <w:rFonts w:ascii="Arial Narrow" w:hAnsi="Arial Narrow"/>
                <w:sz w:val="20"/>
                <w:lang w:val="en-US"/>
              </w:rPr>
              <w:t xml:space="preserve">High, </w:t>
            </w:r>
            <w:proofErr w:type="spellStart"/>
            <w:r w:rsidRPr="005E6E19">
              <w:rPr>
                <w:rFonts w:ascii="Arial Narrow" w:hAnsi="Arial Narrow"/>
                <w:sz w:val="20"/>
                <w:lang w:val="en-US"/>
              </w:rPr>
              <w:t>favours</w:t>
            </w:r>
            <w:proofErr w:type="spellEnd"/>
            <w:r w:rsidRPr="005E6E19">
              <w:rPr>
                <w:rFonts w:ascii="Arial Narrow" w:hAnsi="Arial Narrow"/>
                <w:sz w:val="20"/>
                <w:lang w:val="en-US"/>
              </w:rPr>
              <w:t xml:space="preserve"> </w:t>
            </w:r>
            <w:proofErr w:type="spellStart"/>
            <w:r w:rsidRPr="005E6E19">
              <w:rPr>
                <w:rFonts w:ascii="Arial Narrow" w:hAnsi="Arial Narrow"/>
                <w:sz w:val="20"/>
                <w:lang w:val="en-US"/>
              </w:rPr>
              <w:t>nivolumab</w:t>
            </w:r>
            <w:proofErr w:type="spellEnd"/>
          </w:p>
        </w:tc>
      </w:tr>
      <w:tr w:rsidR="006115DB" w:rsidRPr="00F24BB1" w:rsidTr="004E7393">
        <w:tc>
          <w:tcPr>
            <w:tcW w:w="1529" w:type="pct"/>
            <w:shd w:val="clear" w:color="auto" w:fill="auto"/>
            <w:vAlign w:val="center"/>
          </w:tcPr>
          <w:p w:rsidR="006115DB" w:rsidRPr="005E6E19" w:rsidRDefault="006115DB" w:rsidP="004E7393">
            <w:pPr>
              <w:jc w:val="left"/>
              <w:rPr>
                <w:rFonts w:ascii="Arial Narrow" w:hAnsi="Arial Narrow"/>
                <w:sz w:val="20"/>
                <w:lang w:val="en-US"/>
              </w:rPr>
            </w:pPr>
            <w:r w:rsidRPr="005E6E19">
              <w:rPr>
                <w:rFonts w:ascii="Arial Narrow" w:hAnsi="Arial Narrow"/>
                <w:sz w:val="20"/>
                <w:lang w:val="en-US"/>
              </w:rPr>
              <w:t>Ongoing disease management costs for progressive disease</w:t>
            </w:r>
          </w:p>
        </w:tc>
        <w:tc>
          <w:tcPr>
            <w:tcW w:w="2123" w:type="pct"/>
            <w:shd w:val="clear" w:color="auto" w:fill="auto"/>
            <w:vAlign w:val="center"/>
          </w:tcPr>
          <w:p w:rsidR="006115DB" w:rsidRPr="005E6E19" w:rsidRDefault="006115DB" w:rsidP="00EA605A">
            <w:pPr>
              <w:jc w:val="left"/>
              <w:rPr>
                <w:rFonts w:ascii="Arial Narrow" w:hAnsi="Arial Narrow"/>
                <w:sz w:val="20"/>
                <w:lang w:val="en-US"/>
              </w:rPr>
            </w:pPr>
            <w:r w:rsidRPr="005E6E19">
              <w:rPr>
                <w:rFonts w:ascii="Arial Narrow" w:hAnsi="Arial Narrow"/>
                <w:sz w:val="20"/>
                <w:lang w:val="en-US"/>
              </w:rPr>
              <w:t xml:space="preserve">The costs of ongoing disease management post-progression 2-5 years and beyond 5 years were assumed to be halved and quartered respectively compared with the costs in the first </w:t>
            </w:r>
            <w:r w:rsidR="00EA605A">
              <w:rPr>
                <w:rFonts w:ascii="Arial Narrow" w:hAnsi="Arial Narrow"/>
                <w:sz w:val="20"/>
                <w:lang w:val="en-US"/>
              </w:rPr>
              <w:t>2</w:t>
            </w:r>
            <w:r w:rsidRPr="005E6E19">
              <w:rPr>
                <w:rFonts w:ascii="Arial Narrow" w:hAnsi="Arial Narrow"/>
                <w:sz w:val="20"/>
                <w:lang w:val="en-US"/>
              </w:rPr>
              <w:t xml:space="preserve"> years.</w:t>
            </w:r>
          </w:p>
        </w:tc>
        <w:tc>
          <w:tcPr>
            <w:tcW w:w="1348" w:type="pct"/>
            <w:shd w:val="clear" w:color="auto" w:fill="auto"/>
            <w:vAlign w:val="center"/>
          </w:tcPr>
          <w:p w:rsidR="006115DB" w:rsidRPr="005E6E19" w:rsidRDefault="006115DB" w:rsidP="004E7393">
            <w:pPr>
              <w:jc w:val="center"/>
              <w:rPr>
                <w:rFonts w:ascii="Arial Narrow" w:hAnsi="Arial Narrow"/>
                <w:sz w:val="20"/>
                <w:lang w:val="en-US"/>
              </w:rPr>
            </w:pPr>
            <w:r w:rsidRPr="005E6E19">
              <w:rPr>
                <w:rFonts w:ascii="Arial Narrow" w:hAnsi="Arial Narrow"/>
                <w:sz w:val="20"/>
                <w:lang w:val="en-US"/>
              </w:rPr>
              <w:t xml:space="preserve">Moderate, </w:t>
            </w:r>
            <w:proofErr w:type="spellStart"/>
            <w:r w:rsidRPr="005E6E19">
              <w:rPr>
                <w:rFonts w:ascii="Arial Narrow" w:hAnsi="Arial Narrow"/>
                <w:sz w:val="20"/>
                <w:lang w:val="en-US"/>
              </w:rPr>
              <w:t>favours</w:t>
            </w:r>
            <w:proofErr w:type="spellEnd"/>
            <w:r w:rsidRPr="005E6E19">
              <w:rPr>
                <w:rFonts w:ascii="Arial Narrow" w:hAnsi="Arial Narrow"/>
                <w:sz w:val="20"/>
                <w:lang w:val="en-US"/>
              </w:rPr>
              <w:t xml:space="preserve"> </w:t>
            </w:r>
            <w:proofErr w:type="spellStart"/>
            <w:r w:rsidRPr="005E6E19">
              <w:rPr>
                <w:rFonts w:ascii="Arial Narrow" w:hAnsi="Arial Narrow"/>
                <w:sz w:val="20"/>
                <w:lang w:val="en-US"/>
              </w:rPr>
              <w:t>nivolumab</w:t>
            </w:r>
            <w:proofErr w:type="spellEnd"/>
          </w:p>
        </w:tc>
      </w:tr>
      <w:tr w:rsidR="006115DB" w:rsidRPr="00F24BB1" w:rsidTr="004E7393">
        <w:tc>
          <w:tcPr>
            <w:tcW w:w="1529" w:type="pct"/>
            <w:shd w:val="clear" w:color="auto" w:fill="auto"/>
            <w:vAlign w:val="center"/>
          </w:tcPr>
          <w:p w:rsidR="006115DB" w:rsidRPr="005E6E19" w:rsidRDefault="006115DB" w:rsidP="004E7393">
            <w:pPr>
              <w:jc w:val="left"/>
              <w:rPr>
                <w:rFonts w:ascii="Arial Narrow" w:hAnsi="Arial Narrow"/>
                <w:sz w:val="20"/>
                <w:lang w:val="en-US"/>
              </w:rPr>
            </w:pPr>
            <w:r w:rsidRPr="005E6E19">
              <w:rPr>
                <w:rFonts w:ascii="Arial Narrow" w:hAnsi="Arial Narrow"/>
                <w:sz w:val="20"/>
                <w:lang w:val="en-US"/>
              </w:rPr>
              <w:t>Utility value</w:t>
            </w:r>
          </w:p>
        </w:tc>
        <w:tc>
          <w:tcPr>
            <w:tcW w:w="2123" w:type="pct"/>
            <w:shd w:val="clear" w:color="auto" w:fill="auto"/>
            <w:vAlign w:val="center"/>
          </w:tcPr>
          <w:p w:rsidR="006115DB" w:rsidRPr="005E6E19" w:rsidRDefault="006115DB" w:rsidP="004E7393">
            <w:pPr>
              <w:jc w:val="left"/>
              <w:rPr>
                <w:rFonts w:ascii="Arial Narrow" w:hAnsi="Arial Narrow"/>
                <w:sz w:val="20"/>
                <w:lang w:val="en-US"/>
              </w:rPr>
            </w:pPr>
            <w:r w:rsidRPr="005E6E19">
              <w:rPr>
                <w:rFonts w:ascii="Arial Narrow" w:hAnsi="Arial Narrow"/>
                <w:sz w:val="20"/>
                <w:lang w:val="en-US"/>
              </w:rPr>
              <w:t>CA209-017 trial-based utility data</w:t>
            </w:r>
          </w:p>
        </w:tc>
        <w:tc>
          <w:tcPr>
            <w:tcW w:w="1348" w:type="pct"/>
            <w:shd w:val="clear" w:color="auto" w:fill="auto"/>
            <w:vAlign w:val="center"/>
          </w:tcPr>
          <w:p w:rsidR="006115DB" w:rsidRPr="005E6E19" w:rsidRDefault="006115DB" w:rsidP="004E7393">
            <w:pPr>
              <w:jc w:val="center"/>
              <w:rPr>
                <w:rFonts w:ascii="Arial Narrow" w:hAnsi="Arial Narrow"/>
                <w:sz w:val="20"/>
                <w:lang w:val="en-US"/>
              </w:rPr>
            </w:pPr>
            <w:r w:rsidRPr="005E6E19">
              <w:rPr>
                <w:rFonts w:ascii="Arial Narrow" w:hAnsi="Arial Narrow"/>
                <w:sz w:val="20"/>
                <w:lang w:val="en-US"/>
              </w:rPr>
              <w:t xml:space="preserve">Moderate, </w:t>
            </w:r>
            <w:proofErr w:type="spellStart"/>
            <w:r w:rsidRPr="005E6E19">
              <w:rPr>
                <w:rFonts w:ascii="Arial Narrow" w:hAnsi="Arial Narrow"/>
                <w:sz w:val="20"/>
                <w:lang w:val="en-US"/>
              </w:rPr>
              <w:t>favours</w:t>
            </w:r>
            <w:proofErr w:type="spellEnd"/>
            <w:r w:rsidRPr="005E6E19">
              <w:rPr>
                <w:rFonts w:ascii="Arial Narrow" w:hAnsi="Arial Narrow"/>
                <w:sz w:val="20"/>
                <w:lang w:val="en-US"/>
              </w:rPr>
              <w:t xml:space="preserve"> </w:t>
            </w:r>
            <w:proofErr w:type="spellStart"/>
            <w:r w:rsidRPr="005E6E19">
              <w:rPr>
                <w:rFonts w:ascii="Arial Narrow" w:hAnsi="Arial Narrow"/>
                <w:sz w:val="20"/>
                <w:lang w:val="en-US"/>
              </w:rPr>
              <w:t>nivolumab</w:t>
            </w:r>
            <w:proofErr w:type="spellEnd"/>
          </w:p>
        </w:tc>
      </w:tr>
      <w:tr w:rsidR="006115DB" w:rsidRPr="00F24BB1" w:rsidTr="004E7393">
        <w:tc>
          <w:tcPr>
            <w:tcW w:w="1529" w:type="pct"/>
            <w:shd w:val="clear" w:color="auto" w:fill="auto"/>
            <w:vAlign w:val="center"/>
          </w:tcPr>
          <w:p w:rsidR="006115DB" w:rsidRPr="005E6E19" w:rsidRDefault="006115DB" w:rsidP="004E7393">
            <w:pPr>
              <w:jc w:val="left"/>
              <w:rPr>
                <w:rFonts w:ascii="Arial Narrow" w:hAnsi="Arial Narrow"/>
                <w:sz w:val="20"/>
                <w:lang w:val="en-US"/>
              </w:rPr>
            </w:pPr>
            <w:r w:rsidRPr="005E6E19">
              <w:rPr>
                <w:rFonts w:ascii="Arial Narrow" w:hAnsi="Arial Narrow"/>
                <w:sz w:val="20"/>
                <w:lang w:val="en-US"/>
              </w:rPr>
              <w:t>Ongoing disease management costs for pre-progression disease</w:t>
            </w:r>
          </w:p>
        </w:tc>
        <w:tc>
          <w:tcPr>
            <w:tcW w:w="2123" w:type="pct"/>
            <w:shd w:val="clear" w:color="auto" w:fill="auto"/>
            <w:vAlign w:val="center"/>
          </w:tcPr>
          <w:p w:rsidR="006115DB" w:rsidRPr="005E6E19" w:rsidRDefault="006115DB" w:rsidP="004E7393">
            <w:pPr>
              <w:jc w:val="left"/>
              <w:rPr>
                <w:rFonts w:ascii="Arial Narrow" w:hAnsi="Arial Narrow"/>
                <w:sz w:val="20"/>
                <w:lang w:val="en-US"/>
              </w:rPr>
            </w:pPr>
            <w:r w:rsidRPr="005E6E19">
              <w:rPr>
                <w:rFonts w:ascii="Arial Narrow" w:hAnsi="Arial Narrow"/>
                <w:sz w:val="20"/>
                <w:lang w:val="en-US"/>
              </w:rPr>
              <w:t xml:space="preserve">The submission assumed that during pre-progression period, patients treated with </w:t>
            </w:r>
            <w:proofErr w:type="spellStart"/>
            <w:r w:rsidRPr="005E6E19">
              <w:rPr>
                <w:rFonts w:ascii="Arial Narrow" w:hAnsi="Arial Narrow"/>
                <w:sz w:val="20"/>
                <w:lang w:val="en-US"/>
              </w:rPr>
              <w:t>nivolumab</w:t>
            </w:r>
            <w:proofErr w:type="spellEnd"/>
            <w:r w:rsidRPr="005E6E19">
              <w:rPr>
                <w:rFonts w:ascii="Arial Narrow" w:hAnsi="Arial Narrow"/>
                <w:sz w:val="20"/>
                <w:lang w:val="en-US"/>
              </w:rPr>
              <w:t xml:space="preserve"> would require 80% of the costs of health care resources of those treated with </w:t>
            </w:r>
            <w:proofErr w:type="spellStart"/>
            <w:r w:rsidRPr="005E6E19">
              <w:rPr>
                <w:rFonts w:ascii="Arial Narrow" w:hAnsi="Arial Narrow"/>
                <w:sz w:val="20"/>
                <w:lang w:val="en-US"/>
              </w:rPr>
              <w:t>docetaxel</w:t>
            </w:r>
            <w:proofErr w:type="spellEnd"/>
            <w:r w:rsidRPr="005E6E19">
              <w:rPr>
                <w:rFonts w:ascii="Arial Narrow" w:hAnsi="Arial Narrow"/>
                <w:sz w:val="20"/>
                <w:lang w:val="en-US"/>
              </w:rPr>
              <w:t>, based on one clinician’s opinion.</w:t>
            </w:r>
          </w:p>
        </w:tc>
        <w:tc>
          <w:tcPr>
            <w:tcW w:w="1348" w:type="pct"/>
            <w:shd w:val="clear" w:color="auto" w:fill="auto"/>
            <w:vAlign w:val="center"/>
          </w:tcPr>
          <w:p w:rsidR="006115DB" w:rsidRPr="005E6E19" w:rsidRDefault="006115DB" w:rsidP="004E7393">
            <w:pPr>
              <w:jc w:val="center"/>
              <w:rPr>
                <w:rFonts w:ascii="Arial Narrow" w:hAnsi="Arial Narrow"/>
                <w:sz w:val="20"/>
                <w:lang w:val="en-US"/>
              </w:rPr>
            </w:pPr>
            <w:r w:rsidRPr="005E6E19">
              <w:rPr>
                <w:rFonts w:ascii="Arial Narrow" w:hAnsi="Arial Narrow"/>
                <w:sz w:val="20"/>
                <w:lang w:val="en-US"/>
              </w:rPr>
              <w:t xml:space="preserve">Moderate, </w:t>
            </w:r>
            <w:proofErr w:type="spellStart"/>
            <w:r w:rsidRPr="005E6E19">
              <w:rPr>
                <w:rFonts w:ascii="Arial Narrow" w:hAnsi="Arial Narrow"/>
                <w:sz w:val="20"/>
                <w:lang w:val="en-US"/>
              </w:rPr>
              <w:t>favours</w:t>
            </w:r>
            <w:proofErr w:type="spellEnd"/>
            <w:r w:rsidRPr="005E6E19">
              <w:rPr>
                <w:rFonts w:ascii="Arial Narrow" w:hAnsi="Arial Narrow"/>
                <w:sz w:val="20"/>
                <w:lang w:val="en-US"/>
              </w:rPr>
              <w:t xml:space="preserve"> </w:t>
            </w:r>
            <w:proofErr w:type="spellStart"/>
            <w:r w:rsidRPr="005E6E19">
              <w:rPr>
                <w:rFonts w:ascii="Arial Narrow" w:hAnsi="Arial Narrow"/>
                <w:sz w:val="20"/>
                <w:lang w:val="en-US"/>
              </w:rPr>
              <w:t>nivolumab</w:t>
            </w:r>
            <w:proofErr w:type="spellEnd"/>
          </w:p>
        </w:tc>
      </w:tr>
    </w:tbl>
    <w:p w:rsidR="006115DB" w:rsidRPr="00295AB8" w:rsidRDefault="00295AB8" w:rsidP="006115DB">
      <w:pPr>
        <w:pStyle w:val="TableFooter"/>
        <w:ind w:firstLine="720"/>
      </w:pPr>
      <w:r>
        <w:t>PFS=</w:t>
      </w:r>
      <w:r w:rsidR="006115DB" w:rsidRPr="00295AB8">
        <w:t xml:space="preserve">progression-free </w:t>
      </w:r>
      <w:r>
        <w:t>survival; OS=overall survival</w:t>
      </w:r>
    </w:p>
    <w:p w:rsidR="006115DB" w:rsidRPr="00295AB8" w:rsidRDefault="006115DB" w:rsidP="006115DB">
      <w:pPr>
        <w:pStyle w:val="TableFooter"/>
        <w:ind w:firstLine="720"/>
      </w:pPr>
      <w:r w:rsidRPr="00295AB8">
        <w:t>Source: compiled during the evaluation</w:t>
      </w:r>
      <w:r w:rsidR="00295AB8">
        <w:t>.</w:t>
      </w:r>
    </w:p>
    <w:p w:rsidR="006115DB" w:rsidRPr="00275C5A" w:rsidRDefault="006115DB" w:rsidP="006115DB">
      <w:pPr>
        <w:widowControl/>
        <w:rPr>
          <w:szCs w:val="22"/>
        </w:rPr>
      </w:pPr>
    </w:p>
    <w:p w:rsidR="006115DB" w:rsidRPr="005472FF" w:rsidRDefault="006115DB" w:rsidP="0073258E">
      <w:pPr>
        <w:pStyle w:val="ListParagraph"/>
        <w:widowControl/>
        <w:numPr>
          <w:ilvl w:val="1"/>
          <w:numId w:val="2"/>
        </w:numPr>
        <w:rPr>
          <w:szCs w:val="22"/>
        </w:rPr>
      </w:pPr>
      <w:r w:rsidRPr="005472FF">
        <w:rPr>
          <w:szCs w:val="22"/>
        </w:rPr>
        <w:t xml:space="preserve">In the base case of the model, the submission used a 10-year time horizon. This </w:t>
      </w:r>
      <w:r w:rsidR="00295AB8" w:rsidRPr="005472FF">
        <w:rPr>
          <w:szCs w:val="22"/>
        </w:rPr>
        <w:t>wa</w:t>
      </w:r>
      <w:r w:rsidRPr="005472FF">
        <w:rPr>
          <w:szCs w:val="22"/>
        </w:rPr>
        <w:t>s not reasonable, given that the proposed population is advanced or metastatic squamous NSCLC patients who have progressed on first-line treatment.</w:t>
      </w:r>
      <w:r w:rsidR="00295AB8" w:rsidRPr="005472FF">
        <w:rPr>
          <w:szCs w:val="22"/>
        </w:rPr>
        <w:t xml:space="preserve"> Previous submissions to the PBAC for other NSCLC treatments used a 5-year time horizon.</w:t>
      </w:r>
      <w:r w:rsidR="006F3D7B" w:rsidRPr="005472FF">
        <w:rPr>
          <w:szCs w:val="22"/>
        </w:rPr>
        <w:t xml:space="preserve"> The PSCR (p.2-3) maintained that 10 years was an appropriate time horizon, citing data from </w:t>
      </w:r>
      <w:proofErr w:type="spellStart"/>
      <w:r w:rsidR="006F3D7B" w:rsidRPr="005472FF">
        <w:rPr>
          <w:szCs w:val="22"/>
        </w:rPr>
        <w:t>Gettinger</w:t>
      </w:r>
      <w:proofErr w:type="spellEnd"/>
      <w:r w:rsidR="006F3D7B" w:rsidRPr="005472FF">
        <w:rPr>
          <w:szCs w:val="22"/>
        </w:rPr>
        <w:t xml:space="preserve"> et al (2015). The ESC noted</w:t>
      </w:r>
      <w:r w:rsidR="00817BFC" w:rsidRPr="005472FF">
        <w:rPr>
          <w:szCs w:val="22"/>
        </w:rPr>
        <w:t>,</w:t>
      </w:r>
      <w:r w:rsidR="006F3D7B" w:rsidRPr="005472FF">
        <w:rPr>
          <w:szCs w:val="22"/>
        </w:rPr>
        <w:t xml:space="preserve"> however</w:t>
      </w:r>
      <w:r w:rsidR="00817BFC" w:rsidRPr="005472FF">
        <w:rPr>
          <w:szCs w:val="22"/>
        </w:rPr>
        <w:t>,</w:t>
      </w:r>
      <w:r w:rsidR="006F3D7B" w:rsidRPr="005472FF">
        <w:rPr>
          <w:szCs w:val="22"/>
        </w:rPr>
        <w:t xml:space="preserve"> that the updated 4-year OS rate presented is </w:t>
      </w:r>
      <w:r w:rsidR="00557316">
        <w:rPr>
          <w:noProof/>
          <w:color w:val="000000"/>
          <w:szCs w:val="22"/>
          <w:highlight w:val="black"/>
        </w:rPr>
        <w:t>''''''</w:t>
      </w:r>
      <w:r w:rsidR="006F3D7B" w:rsidRPr="005472FF">
        <w:rPr>
          <w:szCs w:val="22"/>
        </w:rPr>
        <w:t>%, and considered t</w:t>
      </w:r>
      <w:r w:rsidR="00817BFC" w:rsidRPr="005472FF">
        <w:rPr>
          <w:szCs w:val="22"/>
        </w:rPr>
        <w:t>hat this data would support a 5-year rather than a 10-</w:t>
      </w:r>
      <w:r w:rsidR="006F3D7B" w:rsidRPr="005472FF">
        <w:rPr>
          <w:szCs w:val="22"/>
        </w:rPr>
        <w:t>year time horiz</w:t>
      </w:r>
      <w:r w:rsidR="00817BFC" w:rsidRPr="005472FF">
        <w:rPr>
          <w:szCs w:val="22"/>
        </w:rPr>
        <w:t>on. The PSCR further stated</w:t>
      </w:r>
      <w:r w:rsidR="006F3D7B" w:rsidRPr="005472FF">
        <w:rPr>
          <w:szCs w:val="22"/>
        </w:rPr>
        <w:t xml:space="preserve"> that age at entry of patients in CA209-057 ranged between 37 and 84 years of age, and that it was clinically plausible, primarily for the younger patients, to expect a proportion of this cohort to be alive at 10 years of follow-up. The ESC considered that younger patients would generally have a poorer prognosis</w:t>
      </w:r>
      <w:r w:rsidR="00817BFC" w:rsidRPr="005472FF">
        <w:rPr>
          <w:szCs w:val="22"/>
        </w:rPr>
        <w:t>,</w:t>
      </w:r>
      <w:r w:rsidR="006F3D7B" w:rsidRPr="005472FF">
        <w:rPr>
          <w:szCs w:val="22"/>
        </w:rPr>
        <w:t xml:space="preserve"> and </w:t>
      </w:r>
      <w:r w:rsidR="00817BFC" w:rsidRPr="005472FF">
        <w:rPr>
          <w:szCs w:val="22"/>
        </w:rPr>
        <w:t>so a 10-</w:t>
      </w:r>
      <w:r w:rsidR="006F3D7B" w:rsidRPr="005472FF">
        <w:rPr>
          <w:szCs w:val="22"/>
        </w:rPr>
        <w:t>year time horizon would not be appropriate.</w:t>
      </w:r>
    </w:p>
    <w:p w:rsidR="006115DB" w:rsidRPr="005472FF" w:rsidRDefault="006115DB" w:rsidP="006115DB">
      <w:pPr>
        <w:widowControl/>
        <w:rPr>
          <w:szCs w:val="22"/>
        </w:rPr>
      </w:pPr>
    </w:p>
    <w:p w:rsidR="006115DB" w:rsidRPr="005472FF" w:rsidRDefault="006115DB" w:rsidP="0073258E">
      <w:pPr>
        <w:pStyle w:val="ListParagraph"/>
        <w:widowControl/>
        <w:numPr>
          <w:ilvl w:val="1"/>
          <w:numId w:val="2"/>
        </w:numPr>
        <w:rPr>
          <w:szCs w:val="22"/>
        </w:rPr>
      </w:pPr>
      <w:r w:rsidRPr="005472FF">
        <w:rPr>
          <w:szCs w:val="22"/>
        </w:rPr>
        <w:t>The submission used three methods to derive the time point from which to extrapolate the Kaplan-Meier OS and PFS curves of the CA209-017 trial. In the base case of the model, the submission used median time to follow-up based on the reverse Kaplan-Meier methodology (</w:t>
      </w:r>
      <w:proofErr w:type="spellStart"/>
      <w:r w:rsidRPr="005472FF">
        <w:rPr>
          <w:szCs w:val="22"/>
        </w:rPr>
        <w:t>Schemper</w:t>
      </w:r>
      <w:proofErr w:type="spellEnd"/>
      <w:r w:rsidRPr="005472FF">
        <w:rPr>
          <w:szCs w:val="22"/>
        </w:rPr>
        <w:t xml:space="preserve"> and Smith 1996, provided in the submission). Median duration of follow-up and the end of available Kaplan-Meier curves were used in sensitivity analyses. However, </w:t>
      </w:r>
      <w:r w:rsidRPr="005472FF">
        <w:t xml:space="preserve">the truncation time point of </w:t>
      </w:r>
      <w:r w:rsidR="00557316">
        <w:rPr>
          <w:noProof/>
          <w:color w:val="000000"/>
          <w:highlight w:val="black"/>
        </w:rPr>
        <w:t>'''''''</w:t>
      </w:r>
      <w:r w:rsidRPr="005472FF">
        <w:t xml:space="preserve"> weeks, reported as the end of available trial-based Kaplan-Meier curve for OS in the </w:t>
      </w:r>
      <w:proofErr w:type="spellStart"/>
      <w:r w:rsidRPr="005472FF">
        <w:t>docetaxel</w:t>
      </w:r>
      <w:proofErr w:type="spellEnd"/>
      <w:r w:rsidRPr="005472FF">
        <w:t xml:space="preserve"> arm, appeared to be incorrect. The overall survival curves presented in the submission indicate that maximum duration of follow-up for OS in the </w:t>
      </w:r>
      <w:proofErr w:type="spellStart"/>
      <w:r w:rsidRPr="005472FF">
        <w:t>docetaxel</w:t>
      </w:r>
      <w:proofErr w:type="spellEnd"/>
      <w:r w:rsidRPr="005472FF">
        <w:t xml:space="preserve"> arm exceeds 30 months. It </w:t>
      </w:r>
      <w:r w:rsidR="00295AB8" w:rsidRPr="005472FF">
        <w:t>wa</w:t>
      </w:r>
      <w:r w:rsidRPr="005472FF">
        <w:t xml:space="preserve">s unclear whether the exclusion of later data points in the </w:t>
      </w:r>
      <w:proofErr w:type="spellStart"/>
      <w:r w:rsidRPr="005472FF">
        <w:t>docetaxel</w:t>
      </w:r>
      <w:proofErr w:type="spellEnd"/>
      <w:r w:rsidRPr="005472FF">
        <w:t xml:space="preserve"> arm change</w:t>
      </w:r>
      <w:r w:rsidR="00295AB8" w:rsidRPr="005472FF">
        <w:t>d</w:t>
      </w:r>
      <w:r w:rsidRPr="005472FF">
        <w:t xml:space="preserve"> the extrapolated curve function.</w:t>
      </w:r>
    </w:p>
    <w:p w:rsidR="006115DB" w:rsidRPr="005472FF" w:rsidRDefault="006115DB" w:rsidP="006115DB">
      <w:pPr>
        <w:rPr>
          <w:szCs w:val="22"/>
        </w:rPr>
      </w:pPr>
    </w:p>
    <w:p w:rsidR="006115DB" w:rsidRPr="005472FF" w:rsidRDefault="006115DB" w:rsidP="00113B94">
      <w:pPr>
        <w:pStyle w:val="ListParagraph"/>
        <w:widowControl/>
        <w:numPr>
          <w:ilvl w:val="1"/>
          <w:numId w:val="2"/>
        </w:numPr>
        <w:rPr>
          <w:szCs w:val="22"/>
        </w:rPr>
      </w:pPr>
      <w:r w:rsidRPr="005472FF">
        <w:t xml:space="preserve">The submission </w:t>
      </w:r>
      <w:r w:rsidR="00295AB8" w:rsidRPr="005472FF">
        <w:t>chose</w:t>
      </w:r>
      <w:r w:rsidRPr="005472FF">
        <w:t xml:space="preserve"> the log-logistic parametric distributions for extrapolation of both OS and PFS in both arms. The submission stated that these selections were based on both face validity and goodness of fit statistics. Visual inspection of the curves indicates that the extrapolation using </w:t>
      </w:r>
      <w:r w:rsidR="00295AB8" w:rsidRPr="005472FF">
        <w:t>l</w:t>
      </w:r>
      <w:r w:rsidRPr="005472FF">
        <w:t>og-logistic models is more optimistic than that using Weibull models in predicting OS and PFS for both treatment arms.</w:t>
      </w:r>
      <w:r w:rsidR="00295AB8" w:rsidRPr="005472FF">
        <w:t xml:space="preserve"> </w:t>
      </w:r>
      <w:r w:rsidR="00295AB8" w:rsidRPr="005472FF">
        <w:lastRenderedPageBreak/>
        <w:t>The model wa</w:t>
      </w:r>
      <w:r w:rsidRPr="005472FF">
        <w:t>s sensitive to the methods of extrapolation. When using the Weibull model to extrapolate both PFS and OS in both arms, the incremental cost effectiveness ratio (ICER) increase</w:t>
      </w:r>
      <w:r w:rsidR="00295AB8" w:rsidRPr="005472FF">
        <w:t>d</w:t>
      </w:r>
      <w:r w:rsidRPr="005472FF">
        <w:t xml:space="preserve"> to </w:t>
      </w:r>
      <w:r w:rsidR="00641F05">
        <w:t>more than</w:t>
      </w:r>
      <w:r w:rsidRPr="005472FF">
        <w:t xml:space="preserve"> </w:t>
      </w:r>
      <w:r w:rsidR="002209B9">
        <w:t>$75,000/QALY-$105,000/</w:t>
      </w:r>
      <w:r w:rsidRPr="005472FF">
        <w:t>QALY</w:t>
      </w:r>
      <w:r w:rsidR="00641F05">
        <w:t xml:space="preserve"> gained</w:t>
      </w:r>
      <w:r w:rsidRPr="005472FF">
        <w:t>.</w:t>
      </w:r>
      <w:r w:rsidR="006178C2" w:rsidRPr="005472FF">
        <w:t xml:space="preserve"> The PSCR (p.3) maintained that the log-logistic </w:t>
      </w:r>
      <w:r w:rsidR="00817BFC" w:rsidRPr="005472FF">
        <w:t>function wa</w:t>
      </w:r>
      <w:r w:rsidR="006178C2" w:rsidRPr="005472FF">
        <w:t xml:space="preserve">s the most appropriate. The ESC </w:t>
      </w:r>
      <w:r w:rsidR="00817BFC" w:rsidRPr="005472FF">
        <w:t xml:space="preserve">noted </w:t>
      </w:r>
      <w:r w:rsidR="006178C2" w:rsidRPr="005472FF">
        <w:t xml:space="preserve">that the Weibull </w:t>
      </w:r>
      <w:r w:rsidR="00817BFC" w:rsidRPr="005472FF">
        <w:t>function</w:t>
      </w:r>
      <w:r w:rsidR="006178C2" w:rsidRPr="005472FF">
        <w:t xml:space="preserve"> would be more conservative.</w:t>
      </w:r>
      <w:r w:rsidR="00113B94">
        <w:t xml:space="preserve"> The Pre-PBAC Response (p.2) acknowledged the sensitivity of the modelled economic evaluation to different parametric functions, however argued that “the log-logistic OS curve </w:t>
      </w:r>
      <w:r w:rsidR="00113B94" w:rsidRPr="00113B94">
        <w:t>predicts 19% of patients will still be alive at 3 years, whereas the Weibull OS curve predicts 12% of patients will be alive at 3 years. Results from CA209-003, which reported data specific to squamous NSCLC patients demonstrated that 28% of patients are still alive at 3 years – thereby illustrating that application of both the log-logistic and Weibull functions may be conservative</w:t>
      </w:r>
      <w:r w:rsidR="00113B94">
        <w:t>.”</w:t>
      </w:r>
    </w:p>
    <w:p w:rsidR="006115DB" w:rsidRPr="005472FF" w:rsidRDefault="006115DB" w:rsidP="006115DB">
      <w:pPr>
        <w:rPr>
          <w:szCs w:val="22"/>
        </w:rPr>
      </w:pPr>
    </w:p>
    <w:p w:rsidR="006115DB" w:rsidRPr="005472FF" w:rsidRDefault="006115DB" w:rsidP="0073258E">
      <w:pPr>
        <w:pStyle w:val="ListParagraph"/>
        <w:widowControl/>
        <w:numPr>
          <w:ilvl w:val="1"/>
          <w:numId w:val="2"/>
        </w:numPr>
        <w:rPr>
          <w:szCs w:val="22"/>
        </w:rPr>
      </w:pPr>
      <w:r w:rsidRPr="005472FF">
        <w:rPr>
          <w:szCs w:val="22"/>
        </w:rPr>
        <w:t>The model assumed that, after the truncation point, the PFS and OS curves would follow the chosen parametric functions continually until the end of the model.</w:t>
      </w:r>
      <w:r w:rsidR="00295AB8" w:rsidRPr="005472FF">
        <w:rPr>
          <w:szCs w:val="22"/>
        </w:rPr>
        <w:t xml:space="preserve"> This wa</w:t>
      </w:r>
      <w:r w:rsidRPr="005472FF">
        <w:rPr>
          <w:szCs w:val="22"/>
        </w:rPr>
        <w:t>s not reasonabl</w:t>
      </w:r>
      <w:r w:rsidR="00295AB8" w:rsidRPr="005472FF">
        <w:rPr>
          <w:szCs w:val="22"/>
        </w:rPr>
        <w:t>e in the absence of robust long-</w:t>
      </w:r>
      <w:r w:rsidRPr="005472FF">
        <w:rPr>
          <w:szCs w:val="22"/>
        </w:rPr>
        <w:t xml:space="preserve">term survival data from the patients treated with </w:t>
      </w:r>
      <w:proofErr w:type="spellStart"/>
      <w:r w:rsidRPr="005472FF">
        <w:rPr>
          <w:szCs w:val="22"/>
        </w:rPr>
        <w:t>nivolumab</w:t>
      </w:r>
      <w:proofErr w:type="spellEnd"/>
      <w:r w:rsidRPr="005472FF">
        <w:rPr>
          <w:szCs w:val="22"/>
        </w:rPr>
        <w:t>. The submission should have provided a conservative modelling approach assuming the two OS curves converging within the time horizon.</w:t>
      </w:r>
      <w:r w:rsidR="006178C2" w:rsidRPr="005472FF">
        <w:rPr>
          <w:szCs w:val="22"/>
        </w:rPr>
        <w:t xml:space="preserve"> </w:t>
      </w:r>
      <w:r w:rsidR="00817BFC" w:rsidRPr="005472FF">
        <w:rPr>
          <w:szCs w:val="22"/>
        </w:rPr>
        <w:t>The PSCR (p.4) claimed that ‘</w:t>
      </w:r>
      <w:r w:rsidR="006178C2" w:rsidRPr="005472FF">
        <w:rPr>
          <w:szCs w:val="22"/>
        </w:rPr>
        <w:t xml:space="preserve">the durable survival associated with </w:t>
      </w:r>
      <w:proofErr w:type="spellStart"/>
      <w:r w:rsidR="006178C2" w:rsidRPr="005472FF">
        <w:rPr>
          <w:szCs w:val="22"/>
        </w:rPr>
        <w:t>nivolumab</w:t>
      </w:r>
      <w:proofErr w:type="spellEnd"/>
      <w:r w:rsidR="006178C2" w:rsidRPr="005472FF">
        <w:rPr>
          <w:szCs w:val="22"/>
        </w:rPr>
        <w:t xml:space="preserve"> as reflected in the survival curve as “flattening” does not favour this approach</w:t>
      </w:r>
      <w:r w:rsidR="00817BFC" w:rsidRPr="005472FF">
        <w:rPr>
          <w:szCs w:val="22"/>
        </w:rPr>
        <w:t>’</w:t>
      </w:r>
      <w:r w:rsidR="006178C2" w:rsidRPr="005472FF">
        <w:rPr>
          <w:szCs w:val="22"/>
        </w:rPr>
        <w:t>. The ESC considered the base case assumption to be implausible, particu</w:t>
      </w:r>
      <w:r w:rsidR="00817BFC" w:rsidRPr="005472FF">
        <w:rPr>
          <w:szCs w:val="22"/>
        </w:rPr>
        <w:t>larly when combined with the 10-</w:t>
      </w:r>
      <w:r w:rsidR="006178C2" w:rsidRPr="005472FF">
        <w:rPr>
          <w:szCs w:val="22"/>
        </w:rPr>
        <w:t>year horizon.</w:t>
      </w:r>
    </w:p>
    <w:p w:rsidR="006115DB" w:rsidRPr="005472FF" w:rsidRDefault="006115DB" w:rsidP="006115DB">
      <w:pPr>
        <w:rPr>
          <w:szCs w:val="22"/>
        </w:rPr>
      </w:pPr>
    </w:p>
    <w:p w:rsidR="006115DB" w:rsidRPr="005472FF" w:rsidRDefault="006115DB" w:rsidP="0073258E">
      <w:pPr>
        <w:pStyle w:val="ListParagraph"/>
        <w:widowControl/>
        <w:numPr>
          <w:ilvl w:val="1"/>
          <w:numId w:val="2"/>
        </w:numPr>
        <w:rPr>
          <w:szCs w:val="22"/>
        </w:rPr>
      </w:pPr>
      <w:r w:rsidRPr="005472FF">
        <w:rPr>
          <w:szCs w:val="22"/>
        </w:rPr>
        <w:t xml:space="preserve">Utilities were derived from CA209-017. </w:t>
      </w:r>
      <w:r w:rsidRPr="005472FF">
        <w:t xml:space="preserve">The sample of respondents to the European quality of life 5-dimensions 3-levels (EQ-5D-3L) questionnaires </w:t>
      </w:r>
      <w:r w:rsidR="00295AB8" w:rsidRPr="005472FF">
        <w:t>wa</w:t>
      </w:r>
      <w:r w:rsidRPr="005472FF">
        <w:t>s small, especially at the later stage</w:t>
      </w:r>
      <w:r w:rsidR="00295AB8" w:rsidRPr="005472FF">
        <w:t>s</w:t>
      </w:r>
      <w:r w:rsidRPr="005472FF">
        <w:t xml:space="preserve"> of the trial. The effect of a healthier cohort providing quality of life data (and sicker patients not responding) may be present and the utility values, particularly for progressive disease, may be overestimated.</w:t>
      </w:r>
    </w:p>
    <w:p w:rsidR="006115DB" w:rsidRPr="005472FF" w:rsidRDefault="006115DB" w:rsidP="006115DB">
      <w:pPr>
        <w:rPr>
          <w:szCs w:val="22"/>
        </w:rPr>
      </w:pPr>
    </w:p>
    <w:p w:rsidR="006115DB" w:rsidRPr="005472FF" w:rsidRDefault="006115DB" w:rsidP="0073258E">
      <w:pPr>
        <w:pStyle w:val="ListParagraph"/>
        <w:widowControl/>
        <w:numPr>
          <w:ilvl w:val="1"/>
          <w:numId w:val="2"/>
        </w:numPr>
        <w:rPr>
          <w:szCs w:val="22"/>
        </w:rPr>
      </w:pPr>
      <w:r w:rsidRPr="005472FF">
        <w:rPr>
          <w:szCs w:val="22"/>
        </w:rPr>
        <w:t xml:space="preserve">Ongoing disease management costs were obtained from a Health Resource Utilisation (HRU) survey of 15 oncologists. </w:t>
      </w:r>
      <w:r w:rsidRPr="005472FF">
        <w:t>The response rate was low (7/15 = 46.7%). Therefore the repre</w:t>
      </w:r>
      <w:r w:rsidR="00295AB8" w:rsidRPr="005472FF">
        <w:t>sentativeness of the responses wa</w:t>
      </w:r>
      <w:r w:rsidRPr="005472FF">
        <w:t>s uncertain. In the base case of the model, the submission assumed that</w:t>
      </w:r>
      <w:r w:rsidR="00295AB8" w:rsidRPr="005472FF">
        <w:t>,</w:t>
      </w:r>
      <w:r w:rsidRPr="005472FF">
        <w:t xml:space="preserve"> during </w:t>
      </w:r>
      <w:r w:rsidR="00295AB8" w:rsidRPr="005472FF">
        <w:t xml:space="preserve">the </w:t>
      </w:r>
      <w:r w:rsidRPr="005472FF">
        <w:t xml:space="preserve">pre-progression period, patients treated with </w:t>
      </w:r>
      <w:proofErr w:type="spellStart"/>
      <w:r w:rsidRPr="005472FF">
        <w:t>nivolumab</w:t>
      </w:r>
      <w:proofErr w:type="spellEnd"/>
      <w:r w:rsidRPr="005472FF">
        <w:t xml:space="preserve"> would require 80% of the costs of health care resources of those treated with </w:t>
      </w:r>
      <w:proofErr w:type="spellStart"/>
      <w:r w:rsidRPr="005472FF">
        <w:t>docetaxel</w:t>
      </w:r>
      <w:proofErr w:type="spellEnd"/>
      <w:r w:rsidRPr="005472FF">
        <w:t>, based on one clinician’s opinion, on the ground</w:t>
      </w:r>
      <w:r w:rsidR="00F31B3A" w:rsidRPr="005472FF">
        <w:t>s</w:t>
      </w:r>
      <w:r w:rsidRPr="005472FF">
        <w:t xml:space="preserve"> of </w:t>
      </w:r>
      <w:proofErr w:type="spellStart"/>
      <w:r w:rsidRPr="005472FF">
        <w:t>nivolumab’s</w:t>
      </w:r>
      <w:proofErr w:type="spellEnd"/>
      <w:r w:rsidRPr="005472FF">
        <w:t xml:space="preserve"> better tolerability. Relying on only one clinician’s opinion in deciding the pre-progression resource use in the </w:t>
      </w:r>
      <w:proofErr w:type="spellStart"/>
      <w:r w:rsidRPr="005472FF">
        <w:t>nivolumab</w:t>
      </w:r>
      <w:proofErr w:type="spellEnd"/>
      <w:r w:rsidRPr="005472FF">
        <w:t xml:space="preserve"> arm </w:t>
      </w:r>
      <w:r w:rsidR="00295AB8" w:rsidRPr="005472FF">
        <w:t>was inappropriate and biased</w:t>
      </w:r>
      <w:r w:rsidRPr="005472FF">
        <w:t xml:space="preserve"> the result of economic model in favour of </w:t>
      </w:r>
      <w:proofErr w:type="spellStart"/>
      <w:r w:rsidRPr="005472FF">
        <w:t>nivolumab</w:t>
      </w:r>
      <w:proofErr w:type="spellEnd"/>
      <w:r w:rsidRPr="005472FF">
        <w:t>. Compared with the model for non-squamous NSCLC, this assumption ha</w:t>
      </w:r>
      <w:r w:rsidR="00295AB8" w:rsidRPr="005472FF">
        <w:t>d</w:t>
      </w:r>
      <w:r w:rsidRPr="005472FF">
        <w:t xml:space="preserve"> a relatively large impact on the result of the economic evaluation for the treatment of squamous NSCLC, </w:t>
      </w:r>
      <w:r w:rsidR="00F31B3A" w:rsidRPr="005472FF">
        <w:t>because</w:t>
      </w:r>
      <w:r w:rsidRPr="005472FF">
        <w:t xml:space="preserve"> the majority (about 80%) of survival gain of </w:t>
      </w:r>
      <w:proofErr w:type="spellStart"/>
      <w:r w:rsidRPr="005472FF">
        <w:t>nivolumab</w:t>
      </w:r>
      <w:proofErr w:type="spellEnd"/>
      <w:r w:rsidRPr="005472FF">
        <w:t xml:space="preserve"> compared with </w:t>
      </w:r>
      <w:proofErr w:type="spellStart"/>
      <w:r w:rsidRPr="005472FF">
        <w:t>docetaxel</w:t>
      </w:r>
      <w:proofErr w:type="spellEnd"/>
      <w:r w:rsidRPr="005472FF">
        <w:t xml:space="preserve"> was obtained from the progression-free state.</w:t>
      </w:r>
      <w:r w:rsidR="009B34ED" w:rsidRPr="005472FF">
        <w:t xml:space="preserve"> The PSCR (p.4) argue</w:t>
      </w:r>
      <w:r w:rsidR="00817BFC" w:rsidRPr="005472FF">
        <w:t>d</w:t>
      </w:r>
      <w:r w:rsidR="009B34ED" w:rsidRPr="005472FF">
        <w:t xml:space="preserve"> that “applying 80% of the cost of the </w:t>
      </w:r>
      <w:proofErr w:type="spellStart"/>
      <w:r w:rsidR="009B34ED" w:rsidRPr="005472FF">
        <w:t>docetaxel</w:t>
      </w:r>
      <w:proofErr w:type="spellEnd"/>
      <w:r w:rsidR="009B34ED" w:rsidRPr="005472FF">
        <w:t xml:space="preserve"> arm to the </w:t>
      </w:r>
      <w:proofErr w:type="spellStart"/>
      <w:r w:rsidR="009B34ED" w:rsidRPr="005472FF">
        <w:t>nivolumab</w:t>
      </w:r>
      <w:proofErr w:type="spellEnd"/>
      <w:r w:rsidR="009B34ED" w:rsidRPr="005472FF">
        <w:t xml:space="preserve"> arm is not only reasonable given the improved tolerability of </w:t>
      </w:r>
      <w:proofErr w:type="spellStart"/>
      <w:r w:rsidR="009B34ED" w:rsidRPr="005472FF">
        <w:t>nivolumab</w:t>
      </w:r>
      <w:proofErr w:type="spellEnd"/>
      <w:r w:rsidR="009B34ED" w:rsidRPr="005472FF">
        <w:t xml:space="preserve"> compared with </w:t>
      </w:r>
      <w:proofErr w:type="spellStart"/>
      <w:r w:rsidR="009B34ED" w:rsidRPr="005472FF">
        <w:t>docetaxel</w:t>
      </w:r>
      <w:proofErr w:type="spellEnd"/>
      <w:r w:rsidR="009B34ED" w:rsidRPr="005472FF">
        <w:t xml:space="preserve">, but potentially conservative.” The ESC </w:t>
      </w:r>
      <w:r w:rsidR="00817BFC" w:rsidRPr="005472FF">
        <w:t xml:space="preserve">considered </w:t>
      </w:r>
      <w:r w:rsidR="009B34ED" w:rsidRPr="005472FF">
        <w:t xml:space="preserve">that there was </w:t>
      </w:r>
      <w:r w:rsidR="00817BFC" w:rsidRPr="005472FF">
        <w:t>in</w:t>
      </w:r>
      <w:r w:rsidR="009B34ED" w:rsidRPr="005472FF">
        <w:t>adequate evidence to support this assertion.</w:t>
      </w:r>
    </w:p>
    <w:p w:rsidR="006115DB" w:rsidRPr="005472FF" w:rsidRDefault="006115DB" w:rsidP="006115DB"/>
    <w:p w:rsidR="006115DB" w:rsidRPr="005472FF" w:rsidRDefault="006115DB" w:rsidP="0073258E">
      <w:pPr>
        <w:pStyle w:val="ListParagraph"/>
        <w:widowControl/>
        <w:numPr>
          <w:ilvl w:val="1"/>
          <w:numId w:val="2"/>
        </w:numPr>
        <w:rPr>
          <w:szCs w:val="22"/>
        </w:rPr>
      </w:pPr>
      <w:r w:rsidRPr="005472FF">
        <w:t xml:space="preserve">The submission also </w:t>
      </w:r>
      <w:r w:rsidR="00F31B3A" w:rsidRPr="005472FF">
        <w:t>assumed</w:t>
      </w:r>
      <w:r w:rsidRPr="005472FF">
        <w:t xml:space="preserve"> that, during the post-progression period, the resource use generated from survey results </w:t>
      </w:r>
      <w:r w:rsidR="00F31B3A" w:rsidRPr="005472FF">
        <w:t>wa</w:t>
      </w:r>
      <w:r w:rsidRPr="005472FF">
        <w:t xml:space="preserve">s only applicable to the first two years. In years 2-5 post-progression, the cost </w:t>
      </w:r>
      <w:r w:rsidR="00F31B3A" w:rsidRPr="005472FF">
        <w:t>wa</w:t>
      </w:r>
      <w:r w:rsidRPr="005472FF">
        <w:t xml:space="preserve">s halved and beyond 5 years, the cost </w:t>
      </w:r>
      <w:r w:rsidR="00F31B3A" w:rsidRPr="005472FF">
        <w:t>wa</w:t>
      </w:r>
      <w:r w:rsidRPr="005472FF">
        <w:t xml:space="preserve">s quartered. In the economic model, since patients treated with </w:t>
      </w:r>
      <w:proofErr w:type="spellStart"/>
      <w:r w:rsidRPr="005472FF">
        <w:t>nivolumab</w:t>
      </w:r>
      <w:proofErr w:type="spellEnd"/>
      <w:r w:rsidRPr="005472FF">
        <w:t xml:space="preserve"> have a </w:t>
      </w:r>
      <w:r w:rsidRPr="005472FF">
        <w:lastRenderedPageBreak/>
        <w:t xml:space="preserve">longer post-progression survival than those treated with </w:t>
      </w:r>
      <w:proofErr w:type="spellStart"/>
      <w:r w:rsidRPr="005472FF">
        <w:t>docetaxel</w:t>
      </w:r>
      <w:proofErr w:type="spellEnd"/>
      <w:r w:rsidRPr="005472FF">
        <w:t xml:space="preserve">, reducing costs for long-term survivors favoured the </w:t>
      </w:r>
      <w:proofErr w:type="spellStart"/>
      <w:r w:rsidRPr="005472FF">
        <w:t>nivolumab</w:t>
      </w:r>
      <w:proofErr w:type="spellEnd"/>
      <w:r w:rsidRPr="005472FF">
        <w:t xml:space="preserve"> arm.</w:t>
      </w:r>
      <w:r w:rsidR="00533A76" w:rsidRPr="005472FF">
        <w:t xml:space="preserve"> The PSCR (p.4-5) cited follow-up after cancer treatment fact-sheets to argue that patients require less frequent follow-up over time, however the ESC considered these patients </w:t>
      </w:r>
      <w:r w:rsidR="00817BFC" w:rsidRPr="005472FF">
        <w:t>would be disease-</w:t>
      </w:r>
      <w:r w:rsidR="00533A76" w:rsidRPr="005472FF">
        <w:t>free survivors</w:t>
      </w:r>
      <w:r w:rsidR="00817BFC" w:rsidRPr="005472FF">
        <w:t>,</w:t>
      </w:r>
      <w:r w:rsidR="00533A76" w:rsidRPr="005472FF">
        <w:t xml:space="preserve"> and </w:t>
      </w:r>
      <w:r w:rsidR="00817BFC" w:rsidRPr="005472FF">
        <w:t>so we</w:t>
      </w:r>
      <w:r w:rsidR="00533A76" w:rsidRPr="005472FF">
        <w:t xml:space="preserve">re not relevant to the patients </w:t>
      </w:r>
      <w:r w:rsidR="00817BFC" w:rsidRPr="005472FF">
        <w:t xml:space="preserve">in the model </w:t>
      </w:r>
      <w:r w:rsidR="00533A76" w:rsidRPr="005472FF">
        <w:t>who w</w:t>
      </w:r>
      <w:r w:rsidR="00817BFC" w:rsidRPr="005472FF">
        <w:t>ould</w:t>
      </w:r>
      <w:r w:rsidR="00533A76" w:rsidRPr="005472FF">
        <w:t xml:space="preserve"> progress and require increased resources.</w:t>
      </w:r>
    </w:p>
    <w:p w:rsidR="006115DB" w:rsidRPr="005472FF" w:rsidRDefault="006115DB" w:rsidP="006115DB">
      <w:pPr>
        <w:rPr>
          <w:szCs w:val="22"/>
        </w:rPr>
      </w:pPr>
    </w:p>
    <w:p w:rsidR="006115DB" w:rsidRPr="005472FF" w:rsidRDefault="006115DB" w:rsidP="0073258E">
      <w:pPr>
        <w:pStyle w:val="ListParagraph"/>
        <w:widowControl/>
        <w:numPr>
          <w:ilvl w:val="1"/>
          <w:numId w:val="2"/>
        </w:numPr>
        <w:rPr>
          <w:szCs w:val="22"/>
        </w:rPr>
      </w:pPr>
      <w:r w:rsidRPr="005472FF">
        <w:t xml:space="preserve">The </w:t>
      </w:r>
      <w:r w:rsidR="00EE0993" w:rsidRPr="005472FF">
        <w:t>mean</w:t>
      </w:r>
      <w:r w:rsidRPr="005472FF">
        <w:t xml:space="preserve"> durations of therapy, which were </w:t>
      </w:r>
      <w:r w:rsidR="00557316">
        <w:rPr>
          <w:noProof/>
          <w:color w:val="000000"/>
          <w:highlight w:val="black"/>
        </w:rPr>
        <w:t xml:space="preserve">'''''''''''' </w:t>
      </w:r>
      <w:r w:rsidRPr="005472FF">
        <w:t xml:space="preserve">infusions for </w:t>
      </w:r>
      <w:proofErr w:type="spellStart"/>
      <w:r w:rsidRPr="005472FF">
        <w:t>nivolumab</w:t>
      </w:r>
      <w:proofErr w:type="spellEnd"/>
      <w:r w:rsidRPr="005472FF">
        <w:t xml:space="preserve"> and </w:t>
      </w:r>
      <w:r w:rsidR="00557316">
        <w:rPr>
          <w:noProof/>
          <w:color w:val="000000"/>
          <w:highlight w:val="black"/>
        </w:rPr>
        <w:t xml:space="preserve">''''''''''' </w:t>
      </w:r>
      <w:r w:rsidRPr="005472FF">
        <w:t xml:space="preserve">infusions for </w:t>
      </w:r>
      <w:proofErr w:type="spellStart"/>
      <w:r w:rsidRPr="005472FF">
        <w:t>docetaxel</w:t>
      </w:r>
      <w:proofErr w:type="spellEnd"/>
      <w:r w:rsidRPr="005472FF">
        <w:t xml:space="preserve">, as observed in CA209-017, were used in the modelled economic evaluation.  This </w:t>
      </w:r>
      <w:r w:rsidR="00F31B3A" w:rsidRPr="005472FF">
        <w:t>wa</w:t>
      </w:r>
      <w:r w:rsidRPr="005472FF">
        <w:t xml:space="preserve">s </w:t>
      </w:r>
      <w:r w:rsidR="00F31B3A" w:rsidRPr="005472FF">
        <w:t>inappropriate and underestimated</w:t>
      </w:r>
      <w:r w:rsidRPr="005472FF">
        <w:t xml:space="preserve"> the costs of </w:t>
      </w:r>
      <w:proofErr w:type="spellStart"/>
      <w:r w:rsidRPr="005472FF">
        <w:t>nivolumab</w:t>
      </w:r>
      <w:proofErr w:type="spellEnd"/>
      <w:r w:rsidRPr="005472FF">
        <w:t xml:space="preserve"> and </w:t>
      </w:r>
      <w:proofErr w:type="spellStart"/>
      <w:r w:rsidRPr="005472FF">
        <w:t>docetaxel</w:t>
      </w:r>
      <w:proofErr w:type="spellEnd"/>
      <w:r w:rsidRPr="005472FF">
        <w:t xml:space="preserve">. Given that </w:t>
      </w:r>
      <w:r w:rsidR="00F31B3A" w:rsidRPr="005472FF">
        <w:t>health outcomes</w:t>
      </w:r>
      <w:r w:rsidRPr="005472FF">
        <w:t xml:space="preserve"> </w:t>
      </w:r>
      <w:r w:rsidR="00F31B3A" w:rsidRPr="005472FF">
        <w:t>were</w:t>
      </w:r>
      <w:r w:rsidRPr="005472FF">
        <w:t xml:space="preserve"> extrapolated for both the </w:t>
      </w:r>
      <w:proofErr w:type="spellStart"/>
      <w:r w:rsidRPr="005472FF">
        <w:t>nivolumab</w:t>
      </w:r>
      <w:proofErr w:type="spellEnd"/>
      <w:r w:rsidRPr="005472FF">
        <w:t xml:space="preserve"> and </w:t>
      </w:r>
      <w:proofErr w:type="spellStart"/>
      <w:r w:rsidRPr="005472FF">
        <w:t>docetaxel</w:t>
      </w:r>
      <w:proofErr w:type="spellEnd"/>
      <w:r w:rsidRPr="005472FF">
        <w:t xml:space="preserve"> arms in the model, treatment durations should have been extrapolated correspondingly. Since </w:t>
      </w:r>
      <w:proofErr w:type="spellStart"/>
      <w:r w:rsidRPr="005472FF">
        <w:t>nivolumab</w:t>
      </w:r>
      <w:proofErr w:type="spellEnd"/>
      <w:r w:rsidRPr="005472FF">
        <w:t xml:space="preserve"> was associated with a longer extrapolated PFS compared with </w:t>
      </w:r>
      <w:proofErr w:type="spellStart"/>
      <w:r w:rsidRPr="005472FF">
        <w:t>docetaxel</w:t>
      </w:r>
      <w:proofErr w:type="spellEnd"/>
      <w:r w:rsidRPr="005472FF">
        <w:t xml:space="preserve">, using trial-based treatment duration biased the results of economic evaluation in favour of </w:t>
      </w:r>
      <w:proofErr w:type="spellStart"/>
      <w:r w:rsidRPr="005472FF">
        <w:t>nivolumab</w:t>
      </w:r>
      <w:proofErr w:type="spellEnd"/>
      <w:r w:rsidRPr="005472FF">
        <w:t>.</w:t>
      </w:r>
      <w:r w:rsidR="00386BC3" w:rsidRPr="005472FF">
        <w:t xml:space="preserve"> Although the PSCR (p.4) maintained that these were the appropriate </w:t>
      </w:r>
      <w:r w:rsidR="00EE0993" w:rsidRPr="005472FF">
        <w:t>mean</w:t>
      </w:r>
      <w:r w:rsidR="00386BC3" w:rsidRPr="005472FF">
        <w:t xml:space="preserve"> durations of therapy, the ESC </w:t>
      </w:r>
      <w:r w:rsidR="004171B8" w:rsidRPr="005472FF">
        <w:t>considered</w:t>
      </w:r>
      <w:r w:rsidR="00386BC3" w:rsidRPr="005472FF">
        <w:t xml:space="preserve"> that if the model </w:t>
      </w:r>
      <w:r w:rsidR="00EE0993" w:rsidRPr="005472FF">
        <w:t>extrapolates health outcomes over 10 years, then it should also extrapolate the corresponding costs of treatment linked to those health outcomes</w:t>
      </w:r>
      <w:r w:rsidR="00386BC3" w:rsidRPr="005472FF">
        <w:t>.</w:t>
      </w:r>
    </w:p>
    <w:p w:rsidR="006115DB" w:rsidRPr="00F31B3A" w:rsidRDefault="006115DB" w:rsidP="006115DB">
      <w:pPr>
        <w:rPr>
          <w:szCs w:val="22"/>
        </w:rPr>
      </w:pPr>
    </w:p>
    <w:p w:rsidR="006115DB" w:rsidRPr="003656B2" w:rsidRDefault="006115DB" w:rsidP="0073258E">
      <w:pPr>
        <w:pStyle w:val="ListParagraph"/>
        <w:widowControl/>
        <w:numPr>
          <w:ilvl w:val="1"/>
          <w:numId w:val="2"/>
        </w:numPr>
        <w:rPr>
          <w:szCs w:val="22"/>
        </w:rPr>
      </w:pPr>
      <w:r w:rsidRPr="003656B2">
        <w:t xml:space="preserve">Results of the </w:t>
      </w:r>
      <w:r>
        <w:t>economic evaluation are presented below.</w:t>
      </w:r>
    </w:p>
    <w:p w:rsidR="006115DB" w:rsidRDefault="006115DB" w:rsidP="006115DB">
      <w:pPr>
        <w:widowControl/>
        <w:rPr>
          <w:szCs w:val="22"/>
        </w:rPr>
      </w:pPr>
    </w:p>
    <w:p w:rsidR="006115DB" w:rsidRDefault="006115DB" w:rsidP="006115DB">
      <w:pPr>
        <w:pStyle w:val="TableHeader"/>
        <w:ind w:firstLine="720"/>
      </w:pPr>
      <w:r w:rsidRPr="00FD12C2">
        <w:t xml:space="preserve">Table </w:t>
      </w:r>
      <w:r>
        <w:t>10</w:t>
      </w:r>
      <w:r w:rsidRPr="00FD12C2">
        <w:t>:</w:t>
      </w:r>
      <w:r w:rsidRPr="005C7F65">
        <w:t xml:space="preserve"> Results of the stepped economic evaluation</w:t>
      </w:r>
    </w:p>
    <w:tbl>
      <w:tblPr>
        <w:tblW w:w="4568" w:type="pct"/>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79"/>
        <w:gridCol w:w="2127"/>
        <w:gridCol w:w="2126"/>
        <w:gridCol w:w="1965"/>
      </w:tblGrid>
      <w:tr w:rsidR="006115DB" w:rsidRPr="004E2ADC" w:rsidTr="0085751F">
        <w:tc>
          <w:tcPr>
            <w:tcW w:w="1253" w:type="pct"/>
            <w:vAlign w:val="center"/>
          </w:tcPr>
          <w:p w:rsidR="006115DB" w:rsidRPr="004E2ADC" w:rsidRDefault="006115DB" w:rsidP="004E7393">
            <w:pPr>
              <w:jc w:val="left"/>
              <w:rPr>
                <w:rFonts w:ascii="Arial Narrow" w:hAnsi="Arial Narrow" w:cs="Times New Roman"/>
                <w:b/>
                <w:sz w:val="20"/>
              </w:rPr>
            </w:pPr>
            <w:r w:rsidRPr="004E2ADC">
              <w:rPr>
                <w:rFonts w:ascii="Arial Narrow" w:hAnsi="Arial Narrow" w:cs="Times New Roman"/>
                <w:b/>
                <w:sz w:val="20"/>
              </w:rPr>
              <w:t>Step and component</w:t>
            </w:r>
          </w:p>
        </w:tc>
        <w:tc>
          <w:tcPr>
            <w:tcW w:w="1282" w:type="pct"/>
            <w:vAlign w:val="center"/>
          </w:tcPr>
          <w:p w:rsidR="006115DB" w:rsidRPr="004E2ADC" w:rsidRDefault="006115DB" w:rsidP="004E7393">
            <w:pPr>
              <w:jc w:val="center"/>
              <w:rPr>
                <w:rFonts w:ascii="Arial Narrow" w:hAnsi="Arial Narrow" w:cs="Times New Roman"/>
                <w:b/>
                <w:sz w:val="20"/>
              </w:rPr>
            </w:pPr>
            <w:proofErr w:type="spellStart"/>
            <w:r>
              <w:rPr>
                <w:rFonts w:ascii="Arial Narrow" w:hAnsi="Arial Narrow" w:cs="Times New Roman"/>
                <w:b/>
                <w:sz w:val="20"/>
              </w:rPr>
              <w:t>Nivolumab</w:t>
            </w:r>
            <w:proofErr w:type="spellEnd"/>
          </w:p>
        </w:tc>
        <w:tc>
          <w:tcPr>
            <w:tcW w:w="1281" w:type="pct"/>
            <w:vAlign w:val="center"/>
          </w:tcPr>
          <w:p w:rsidR="006115DB" w:rsidRPr="004E2ADC" w:rsidRDefault="006115DB" w:rsidP="004E7393">
            <w:pPr>
              <w:jc w:val="center"/>
              <w:rPr>
                <w:rFonts w:ascii="Arial Narrow" w:hAnsi="Arial Narrow" w:cs="Times New Roman"/>
                <w:b/>
                <w:sz w:val="20"/>
              </w:rPr>
            </w:pPr>
            <w:proofErr w:type="spellStart"/>
            <w:r>
              <w:rPr>
                <w:rFonts w:ascii="Arial Narrow" w:hAnsi="Arial Narrow" w:cs="Times New Roman"/>
                <w:b/>
                <w:sz w:val="20"/>
              </w:rPr>
              <w:t>Docetaxel</w:t>
            </w:r>
            <w:proofErr w:type="spellEnd"/>
          </w:p>
        </w:tc>
        <w:tc>
          <w:tcPr>
            <w:tcW w:w="1184" w:type="pct"/>
            <w:vAlign w:val="center"/>
          </w:tcPr>
          <w:p w:rsidR="006115DB" w:rsidRPr="004E2ADC" w:rsidRDefault="006115DB" w:rsidP="004E7393">
            <w:pPr>
              <w:jc w:val="center"/>
              <w:rPr>
                <w:rFonts w:ascii="Arial Narrow" w:hAnsi="Arial Narrow" w:cs="Times New Roman"/>
                <w:b/>
                <w:sz w:val="20"/>
              </w:rPr>
            </w:pPr>
            <w:r w:rsidRPr="004E2ADC">
              <w:rPr>
                <w:rFonts w:ascii="Arial Narrow" w:hAnsi="Arial Narrow" w:cs="Times New Roman"/>
                <w:b/>
                <w:sz w:val="20"/>
              </w:rPr>
              <w:t>Increment</w:t>
            </w:r>
          </w:p>
        </w:tc>
      </w:tr>
      <w:tr w:rsidR="006115DB" w:rsidRPr="004E2ADC" w:rsidTr="004E7393">
        <w:tc>
          <w:tcPr>
            <w:tcW w:w="5000" w:type="pct"/>
            <w:gridSpan w:val="4"/>
            <w:vAlign w:val="center"/>
          </w:tcPr>
          <w:p w:rsidR="006115DB" w:rsidRPr="004E2ADC" w:rsidRDefault="006115DB" w:rsidP="004E7393">
            <w:pPr>
              <w:keepNext/>
              <w:jc w:val="left"/>
              <w:rPr>
                <w:rFonts w:ascii="Arial Narrow" w:hAnsi="Arial Narrow" w:cs="Arial Narrow"/>
                <w:b/>
                <w:bCs/>
                <w:sz w:val="20"/>
              </w:rPr>
            </w:pPr>
            <w:r w:rsidRPr="004E2ADC">
              <w:rPr>
                <w:rFonts w:ascii="Arial Narrow" w:hAnsi="Arial Narrow" w:cs="Arial Narrow"/>
                <w:b/>
                <w:bCs/>
                <w:sz w:val="20"/>
              </w:rPr>
              <w:t>Step 1</w:t>
            </w:r>
            <w:r>
              <w:rPr>
                <w:rFonts w:ascii="Arial Narrow" w:hAnsi="Arial Narrow" w:cs="Arial Narrow"/>
                <w:b/>
                <w:bCs/>
                <w:sz w:val="20"/>
              </w:rPr>
              <w:t xml:space="preserve"> and Step 2</w:t>
            </w:r>
            <w:r w:rsidRPr="004E2ADC">
              <w:rPr>
                <w:rFonts w:ascii="Arial Narrow" w:hAnsi="Arial Narrow" w:cs="Arial Narrow"/>
                <w:b/>
                <w:bCs/>
                <w:sz w:val="20"/>
              </w:rPr>
              <w:t xml:space="preserve">: </w:t>
            </w:r>
            <w:r>
              <w:rPr>
                <w:rFonts w:ascii="Arial Narrow" w:hAnsi="Arial Narrow" w:cs="Arial Narrow"/>
                <w:b/>
                <w:bCs/>
                <w:sz w:val="20"/>
              </w:rPr>
              <w:t>Within trial duration</w:t>
            </w:r>
            <w:r w:rsidRPr="004E2ADC">
              <w:rPr>
                <w:rFonts w:ascii="Arial Narrow" w:hAnsi="Arial Narrow" w:cs="Arial Narrow"/>
                <w:b/>
                <w:bCs/>
                <w:sz w:val="20"/>
              </w:rPr>
              <w:t xml:space="preserve"> costs and outcomes</w:t>
            </w:r>
          </w:p>
        </w:tc>
      </w:tr>
      <w:tr w:rsidR="006115DB" w:rsidRPr="004E2ADC" w:rsidTr="0085751F">
        <w:tc>
          <w:tcPr>
            <w:tcW w:w="1253" w:type="pct"/>
            <w:vAlign w:val="center"/>
          </w:tcPr>
          <w:p w:rsidR="006115DB" w:rsidRPr="004E2ADC" w:rsidRDefault="006115DB" w:rsidP="004E7393">
            <w:pPr>
              <w:jc w:val="left"/>
              <w:rPr>
                <w:rFonts w:ascii="Arial Narrow" w:hAnsi="Arial Narrow" w:cs="Times New Roman"/>
                <w:sz w:val="20"/>
              </w:rPr>
            </w:pPr>
            <w:r w:rsidRPr="004E2ADC">
              <w:rPr>
                <w:rFonts w:ascii="Arial Narrow" w:hAnsi="Arial Narrow" w:cs="Times New Roman"/>
                <w:sz w:val="20"/>
              </w:rPr>
              <w:t>Costs</w:t>
            </w:r>
            <w:r>
              <w:rPr>
                <w:rFonts w:ascii="Arial Narrow" w:hAnsi="Arial Narrow" w:cs="Times New Roman"/>
                <w:sz w:val="20"/>
              </w:rPr>
              <w:t>*</w:t>
            </w:r>
          </w:p>
        </w:tc>
        <w:tc>
          <w:tcPr>
            <w:tcW w:w="1282" w:type="pct"/>
          </w:tcPr>
          <w:p w:rsidR="006115DB" w:rsidRPr="004E2ADC" w:rsidRDefault="006115DB" w:rsidP="004E7393">
            <w:pPr>
              <w:jc w:val="right"/>
              <w:rPr>
                <w:rFonts w:ascii="Arial Narrow" w:hAnsi="Arial Narrow" w:cs="Times New Roman"/>
                <w:sz w:val="20"/>
              </w:rPr>
            </w:pPr>
            <w:r w:rsidRPr="00E11A98">
              <w:rPr>
                <w:rFonts w:ascii="Arial Narrow" w:hAnsi="Arial Narrow" w:cs="Times New Roman"/>
                <w:sz w:val="20"/>
              </w:rPr>
              <w:t>$</w:t>
            </w:r>
            <w:r w:rsidR="00557316">
              <w:rPr>
                <w:rFonts w:ascii="Arial Narrow" w:hAnsi="Arial Narrow" w:cs="Times New Roman"/>
                <w:noProof/>
                <w:color w:val="000000"/>
                <w:sz w:val="20"/>
                <w:highlight w:val="black"/>
              </w:rPr>
              <w:t>''''''''''''''''''</w:t>
            </w:r>
          </w:p>
        </w:tc>
        <w:tc>
          <w:tcPr>
            <w:tcW w:w="1281" w:type="pct"/>
            <w:vAlign w:val="center"/>
          </w:tcPr>
          <w:p w:rsidR="006115DB" w:rsidRPr="004E2ADC" w:rsidRDefault="006115DB" w:rsidP="004E7393">
            <w:pPr>
              <w:jc w:val="right"/>
              <w:rPr>
                <w:rFonts w:ascii="Arial Narrow" w:hAnsi="Arial Narrow" w:cs="Times New Roman"/>
                <w:sz w:val="20"/>
              </w:rPr>
            </w:pPr>
            <w:r w:rsidRPr="004E2ADC">
              <w:rPr>
                <w:rFonts w:ascii="Arial Narrow" w:hAnsi="Arial Narrow" w:cs="Times New Roman"/>
                <w:sz w:val="20"/>
              </w:rPr>
              <w:t>$</w:t>
            </w:r>
            <w:r w:rsidR="00847BD0">
              <w:rPr>
                <w:rFonts w:ascii="Arial Narrow" w:hAnsi="Arial Narrow" w:cs="Times New Roman"/>
                <w:noProof/>
                <w:color w:val="000000"/>
                <w:sz w:val="20"/>
                <w:highlight w:val="black"/>
              </w:rPr>
              <w:t>''''''''''''''''</w:t>
            </w:r>
          </w:p>
        </w:tc>
        <w:tc>
          <w:tcPr>
            <w:tcW w:w="1184" w:type="pct"/>
          </w:tcPr>
          <w:p w:rsidR="006115DB" w:rsidRPr="004E2ADC" w:rsidRDefault="006115DB" w:rsidP="004E7393">
            <w:pPr>
              <w:jc w:val="right"/>
              <w:rPr>
                <w:rFonts w:ascii="Arial Narrow" w:hAnsi="Arial Narrow" w:cs="Times New Roman"/>
                <w:sz w:val="20"/>
              </w:rPr>
            </w:pPr>
            <w:r w:rsidRPr="00E11A98">
              <w:rPr>
                <w:rFonts w:ascii="Arial Narrow" w:hAnsi="Arial Narrow" w:cs="Times New Roman"/>
                <w:sz w:val="20"/>
              </w:rPr>
              <w:t>$</w:t>
            </w:r>
            <w:r w:rsidR="00557316">
              <w:rPr>
                <w:rFonts w:ascii="Arial Narrow" w:hAnsi="Arial Narrow" w:cs="Times New Roman"/>
                <w:noProof/>
                <w:color w:val="000000"/>
                <w:sz w:val="20"/>
                <w:highlight w:val="black"/>
              </w:rPr>
              <w:t>''''''''''''''''</w:t>
            </w:r>
          </w:p>
        </w:tc>
      </w:tr>
      <w:tr w:rsidR="006115DB" w:rsidRPr="004E2ADC" w:rsidTr="0085751F">
        <w:tc>
          <w:tcPr>
            <w:tcW w:w="1253" w:type="pct"/>
            <w:vAlign w:val="center"/>
          </w:tcPr>
          <w:p w:rsidR="006115DB" w:rsidRPr="004E2ADC" w:rsidRDefault="006115DB" w:rsidP="001C7ACE">
            <w:pPr>
              <w:jc w:val="left"/>
              <w:rPr>
                <w:rFonts w:ascii="Arial Narrow" w:hAnsi="Arial Narrow" w:cs="Times New Roman"/>
                <w:sz w:val="20"/>
              </w:rPr>
            </w:pPr>
            <w:r>
              <w:rPr>
                <w:rFonts w:ascii="Arial Narrow" w:hAnsi="Arial Narrow" w:cs="Times New Roman"/>
                <w:sz w:val="20"/>
              </w:rPr>
              <w:t>L</w:t>
            </w:r>
            <w:r w:rsidR="001C7ACE">
              <w:rPr>
                <w:rFonts w:ascii="Arial Narrow" w:hAnsi="Arial Narrow" w:cs="Times New Roman"/>
                <w:i/>
                <w:sz w:val="20"/>
              </w:rPr>
              <w:t>Y</w:t>
            </w:r>
            <w:r>
              <w:rPr>
                <w:rFonts w:ascii="Arial Narrow" w:hAnsi="Arial Narrow" w:cs="Times New Roman"/>
                <w:sz w:val="20"/>
              </w:rPr>
              <w:t>s</w:t>
            </w:r>
          </w:p>
        </w:tc>
        <w:tc>
          <w:tcPr>
            <w:tcW w:w="1282" w:type="pct"/>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1.12</w:t>
            </w:r>
          </w:p>
        </w:tc>
        <w:tc>
          <w:tcPr>
            <w:tcW w:w="1281" w:type="pct"/>
            <w:vAlign w:val="center"/>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0.73</w:t>
            </w:r>
          </w:p>
        </w:tc>
        <w:tc>
          <w:tcPr>
            <w:tcW w:w="1184" w:type="pct"/>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0.39</w:t>
            </w:r>
          </w:p>
        </w:tc>
      </w:tr>
      <w:tr w:rsidR="006115DB" w:rsidRPr="004E2ADC" w:rsidTr="0085751F">
        <w:tc>
          <w:tcPr>
            <w:tcW w:w="1253" w:type="pct"/>
            <w:vAlign w:val="center"/>
          </w:tcPr>
          <w:p w:rsidR="006115DB" w:rsidRDefault="006115DB" w:rsidP="004E7393">
            <w:pPr>
              <w:jc w:val="left"/>
              <w:rPr>
                <w:rFonts w:ascii="Arial Narrow" w:hAnsi="Arial Narrow" w:cs="Times New Roman"/>
                <w:sz w:val="20"/>
              </w:rPr>
            </w:pPr>
            <w:r>
              <w:rPr>
                <w:rFonts w:ascii="Arial Narrow" w:hAnsi="Arial Narrow" w:cs="Times New Roman"/>
                <w:sz w:val="20"/>
              </w:rPr>
              <w:t>QALYs</w:t>
            </w:r>
          </w:p>
        </w:tc>
        <w:tc>
          <w:tcPr>
            <w:tcW w:w="1282" w:type="pct"/>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0.83</w:t>
            </w:r>
          </w:p>
        </w:tc>
        <w:tc>
          <w:tcPr>
            <w:tcW w:w="1281" w:type="pct"/>
            <w:vAlign w:val="center"/>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0.50</w:t>
            </w:r>
          </w:p>
        </w:tc>
        <w:tc>
          <w:tcPr>
            <w:tcW w:w="1184" w:type="pct"/>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0.33</w:t>
            </w:r>
          </w:p>
        </w:tc>
      </w:tr>
      <w:tr w:rsidR="006115DB" w:rsidRPr="004E2ADC" w:rsidTr="0085751F">
        <w:tc>
          <w:tcPr>
            <w:tcW w:w="3816" w:type="pct"/>
            <w:gridSpan w:val="3"/>
            <w:vAlign w:val="center"/>
          </w:tcPr>
          <w:p w:rsidR="006115DB" w:rsidRPr="004E2ADC" w:rsidRDefault="006115DB" w:rsidP="004E7393">
            <w:pPr>
              <w:jc w:val="left"/>
              <w:rPr>
                <w:rFonts w:ascii="Arial Narrow" w:hAnsi="Arial Narrow" w:cs="Times New Roman"/>
                <w:sz w:val="20"/>
              </w:rPr>
            </w:pPr>
            <w:r w:rsidRPr="004E2ADC">
              <w:rPr>
                <w:rFonts w:ascii="Arial Narrow" w:hAnsi="Arial Narrow" w:cs="Times New Roman"/>
                <w:b/>
                <w:snapToGrid/>
                <w:sz w:val="20"/>
              </w:rPr>
              <w:t>Incremental cost/</w:t>
            </w:r>
            <w:r>
              <w:rPr>
                <w:rFonts w:ascii="Arial Narrow" w:hAnsi="Arial Narrow" w:cs="Times New Roman"/>
                <w:b/>
                <w:snapToGrid/>
                <w:sz w:val="20"/>
              </w:rPr>
              <w:t>LY</w:t>
            </w:r>
            <w:r w:rsidR="00641F05">
              <w:rPr>
                <w:rFonts w:ascii="Arial Narrow" w:hAnsi="Arial Narrow" w:cs="Times New Roman"/>
                <w:b/>
                <w:snapToGrid/>
                <w:sz w:val="20"/>
              </w:rPr>
              <w:t xml:space="preserve"> gained</w:t>
            </w:r>
          </w:p>
        </w:tc>
        <w:tc>
          <w:tcPr>
            <w:tcW w:w="1184" w:type="pct"/>
          </w:tcPr>
          <w:p w:rsidR="006115DB" w:rsidRPr="00E11A98" w:rsidRDefault="006115DB" w:rsidP="004E7393">
            <w:pPr>
              <w:jc w:val="right"/>
              <w:rPr>
                <w:rFonts w:ascii="Arial Narrow" w:hAnsi="Arial Narrow" w:cs="Times New Roman"/>
                <w:sz w:val="20"/>
              </w:rPr>
            </w:pPr>
            <w:r w:rsidRPr="00E11A98">
              <w:rPr>
                <w:rFonts w:ascii="Arial Narrow" w:hAnsi="Arial Narrow" w:cs="Times New Roman"/>
                <w:b/>
                <w:sz w:val="20"/>
              </w:rPr>
              <w:t>$</w:t>
            </w:r>
            <w:r w:rsidR="00557316">
              <w:rPr>
                <w:rFonts w:ascii="Arial Narrow" w:hAnsi="Arial Narrow" w:cs="Times New Roman"/>
                <w:b/>
                <w:noProof/>
                <w:color w:val="000000"/>
                <w:sz w:val="20"/>
                <w:highlight w:val="black"/>
              </w:rPr>
              <w:t>''''''''''''''''</w:t>
            </w:r>
          </w:p>
        </w:tc>
      </w:tr>
      <w:tr w:rsidR="006115DB" w:rsidRPr="004E2ADC" w:rsidTr="0085751F">
        <w:tc>
          <w:tcPr>
            <w:tcW w:w="3816" w:type="pct"/>
            <w:gridSpan w:val="3"/>
            <w:vAlign w:val="center"/>
          </w:tcPr>
          <w:p w:rsidR="006115DB" w:rsidRPr="004E2ADC" w:rsidRDefault="006115DB" w:rsidP="004E7393">
            <w:pPr>
              <w:jc w:val="left"/>
              <w:rPr>
                <w:rFonts w:ascii="Arial Narrow" w:hAnsi="Arial Narrow" w:cs="Times New Roman"/>
                <w:b/>
                <w:snapToGrid/>
                <w:sz w:val="20"/>
              </w:rPr>
            </w:pPr>
            <w:r>
              <w:rPr>
                <w:rFonts w:ascii="Arial Narrow" w:hAnsi="Arial Narrow" w:cs="Times New Roman"/>
                <w:b/>
                <w:snapToGrid/>
                <w:sz w:val="20"/>
              </w:rPr>
              <w:t>Incremental cost/QALY</w:t>
            </w:r>
            <w:r w:rsidR="00641F05">
              <w:rPr>
                <w:rFonts w:ascii="Arial Narrow" w:hAnsi="Arial Narrow" w:cs="Times New Roman"/>
                <w:b/>
                <w:snapToGrid/>
                <w:sz w:val="20"/>
              </w:rPr>
              <w:t xml:space="preserve"> gained</w:t>
            </w:r>
          </w:p>
        </w:tc>
        <w:tc>
          <w:tcPr>
            <w:tcW w:w="1184" w:type="pct"/>
          </w:tcPr>
          <w:p w:rsidR="006115DB" w:rsidRPr="00E11A98" w:rsidRDefault="006115DB" w:rsidP="004E7393">
            <w:pPr>
              <w:jc w:val="right"/>
              <w:rPr>
                <w:rFonts w:ascii="Arial Narrow" w:hAnsi="Arial Narrow" w:cs="Times New Roman"/>
                <w:b/>
                <w:sz w:val="20"/>
              </w:rPr>
            </w:pPr>
            <w:r w:rsidRPr="00E11A98">
              <w:rPr>
                <w:rFonts w:ascii="Arial Narrow" w:hAnsi="Arial Narrow" w:cs="Times New Roman"/>
                <w:b/>
                <w:sz w:val="20"/>
              </w:rPr>
              <w:t>$</w:t>
            </w:r>
            <w:r w:rsidR="00557316">
              <w:rPr>
                <w:rFonts w:ascii="Arial Narrow" w:hAnsi="Arial Narrow" w:cs="Times New Roman"/>
                <w:b/>
                <w:noProof/>
                <w:color w:val="000000"/>
                <w:sz w:val="20"/>
                <w:highlight w:val="black"/>
              </w:rPr>
              <w:t>''''''''''''''''</w:t>
            </w:r>
          </w:p>
        </w:tc>
      </w:tr>
      <w:tr w:rsidR="006115DB" w:rsidRPr="004E2ADC" w:rsidTr="004E7393">
        <w:tc>
          <w:tcPr>
            <w:tcW w:w="5000" w:type="pct"/>
            <w:gridSpan w:val="4"/>
            <w:vAlign w:val="center"/>
          </w:tcPr>
          <w:p w:rsidR="006115DB" w:rsidRPr="00FC346C" w:rsidRDefault="006115DB" w:rsidP="00FC346C">
            <w:pPr>
              <w:keepNext/>
              <w:jc w:val="left"/>
              <w:rPr>
                <w:rFonts w:ascii="Arial Narrow" w:hAnsi="Arial Narrow" w:cs="Arial Narrow"/>
                <w:b/>
                <w:bCs/>
                <w:sz w:val="20"/>
              </w:rPr>
            </w:pPr>
            <w:r w:rsidRPr="00FC346C">
              <w:rPr>
                <w:rFonts w:ascii="Arial Narrow" w:hAnsi="Arial Narrow" w:cs="Arial Narrow"/>
                <w:b/>
                <w:bCs/>
                <w:sz w:val="20"/>
              </w:rPr>
              <w:t>Step 3: modelled evaluation (</w:t>
            </w:r>
            <w:r w:rsidR="00FC346C">
              <w:rPr>
                <w:rFonts w:ascii="Arial Narrow" w:hAnsi="Arial Narrow" w:cs="Arial Narrow"/>
                <w:b/>
                <w:bCs/>
                <w:sz w:val="20"/>
              </w:rPr>
              <w:t>e</w:t>
            </w:r>
            <w:r w:rsidRPr="00FC346C">
              <w:rPr>
                <w:rFonts w:ascii="Arial Narrow" w:hAnsi="Arial Narrow" w:cs="Arial Narrow"/>
                <w:b/>
                <w:bCs/>
                <w:sz w:val="20"/>
              </w:rPr>
              <w:t>xtrapolating health outcome to 10 years, without extrapolating drug costs)</w:t>
            </w:r>
          </w:p>
        </w:tc>
      </w:tr>
      <w:tr w:rsidR="006115DB" w:rsidRPr="004E2ADC" w:rsidTr="0085751F">
        <w:tc>
          <w:tcPr>
            <w:tcW w:w="1253" w:type="pct"/>
            <w:vAlign w:val="center"/>
          </w:tcPr>
          <w:p w:rsidR="006115DB" w:rsidRPr="004E2ADC" w:rsidRDefault="006115DB" w:rsidP="004E7393">
            <w:pPr>
              <w:jc w:val="left"/>
              <w:rPr>
                <w:rFonts w:ascii="Arial Narrow" w:hAnsi="Arial Narrow" w:cs="Times New Roman"/>
                <w:sz w:val="20"/>
              </w:rPr>
            </w:pPr>
            <w:r w:rsidRPr="004E2ADC">
              <w:rPr>
                <w:rFonts w:ascii="Arial Narrow" w:hAnsi="Arial Narrow" w:cs="Times New Roman"/>
                <w:sz w:val="20"/>
              </w:rPr>
              <w:t>Costs</w:t>
            </w:r>
            <w:r>
              <w:rPr>
                <w:rFonts w:ascii="Arial Narrow" w:hAnsi="Arial Narrow" w:cs="Times New Roman"/>
                <w:sz w:val="20"/>
              </w:rPr>
              <w:t>*</w:t>
            </w:r>
          </w:p>
        </w:tc>
        <w:tc>
          <w:tcPr>
            <w:tcW w:w="1282" w:type="pct"/>
          </w:tcPr>
          <w:p w:rsidR="006115DB" w:rsidRPr="004E2ADC" w:rsidRDefault="006115DB" w:rsidP="004E7393">
            <w:pPr>
              <w:jc w:val="right"/>
              <w:rPr>
                <w:rFonts w:ascii="Arial Narrow" w:hAnsi="Arial Narrow" w:cs="Times New Roman"/>
                <w:sz w:val="20"/>
              </w:rPr>
            </w:pPr>
            <w:r w:rsidRPr="00E11A98">
              <w:rPr>
                <w:rFonts w:ascii="Arial Narrow" w:hAnsi="Arial Narrow" w:cs="Times New Roman"/>
                <w:sz w:val="20"/>
              </w:rPr>
              <w:t>$</w:t>
            </w:r>
            <w:r w:rsidR="00557316">
              <w:rPr>
                <w:rFonts w:ascii="Arial Narrow" w:hAnsi="Arial Narrow" w:cs="Times New Roman"/>
                <w:noProof/>
                <w:color w:val="000000"/>
                <w:sz w:val="20"/>
                <w:highlight w:val="black"/>
              </w:rPr>
              <w:t>'''''''''''''''</w:t>
            </w:r>
          </w:p>
        </w:tc>
        <w:tc>
          <w:tcPr>
            <w:tcW w:w="1281" w:type="pct"/>
            <w:vAlign w:val="center"/>
          </w:tcPr>
          <w:p w:rsidR="006115DB" w:rsidRPr="004E2ADC" w:rsidRDefault="006115DB" w:rsidP="004E7393">
            <w:pPr>
              <w:jc w:val="right"/>
              <w:rPr>
                <w:rFonts w:ascii="Arial Narrow" w:hAnsi="Arial Narrow" w:cs="Times New Roman"/>
                <w:sz w:val="20"/>
              </w:rPr>
            </w:pPr>
            <w:r w:rsidRPr="004E2ADC">
              <w:rPr>
                <w:rFonts w:ascii="Arial Narrow" w:hAnsi="Arial Narrow" w:cs="Times New Roman"/>
                <w:sz w:val="20"/>
              </w:rPr>
              <w:t>$</w:t>
            </w:r>
            <w:r w:rsidR="00847BD0">
              <w:rPr>
                <w:rFonts w:ascii="Arial Narrow" w:hAnsi="Arial Narrow" w:cs="Times New Roman"/>
                <w:noProof/>
                <w:color w:val="000000"/>
                <w:sz w:val="20"/>
                <w:highlight w:val="black"/>
              </w:rPr>
              <w:t>'''''''''''''''</w:t>
            </w:r>
          </w:p>
        </w:tc>
        <w:tc>
          <w:tcPr>
            <w:tcW w:w="1184" w:type="pct"/>
          </w:tcPr>
          <w:p w:rsidR="006115DB" w:rsidRPr="004E2ADC" w:rsidRDefault="006115DB" w:rsidP="004E7393">
            <w:pPr>
              <w:jc w:val="right"/>
              <w:rPr>
                <w:rFonts w:ascii="Arial Narrow" w:hAnsi="Arial Narrow" w:cs="Times New Roman"/>
                <w:sz w:val="20"/>
              </w:rPr>
            </w:pPr>
            <w:r w:rsidRPr="00E11A98">
              <w:rPr>
                <w:rFonts w:ascii="Arial Narrow" w:hAnsi="Arial Narrow" w:cs="Times New Roman"/>
                <w:sz w:val="20"/>
              </w:rPr>
              <w:t>$</w:t>
            </w:r>
            <w:r w:rsidR="00557316">
              <w:rPr>
                <w:rFonts w:ascii="Arial Narrow" w:hAnsi="Arial Narrow" w:cs="Times New Roman"/>
                <w:noProof/>
                <w:color w:val="000000"/>
                <w:sz w:val="20"/>
                <w:highlight w:val="black"/>
              </w:rPr>
              <w:t>''''''''''''''''</w:t>
            </w:r>
          </w:p>
        </w:tc>
      </w:tr>
      <w:tr w:rsidR="006115DB" w:rsidRPr="004E2ADC" w:rsidTr="0085751F">
        <w:tc>
          <w:tcPr>
            <w:tcW w:w="1253" w:type="pct"/>
            <w:vAlign w:val="center"/>
          </w:tcPr>
          <w:p w:rsidR="006115DB" w:rsidRPr="004E2ADC" w:rsidRDefault="006115DB" w:rsidP="004E7393">
            <w:pPr>
              <w:jc w:val="left"/>
              <w:rPr>
                <w:rFonts w:ascii="Arial Narrow" w:hAnsi="Arial Narrow" w:cs="Times New Roman"/>
                <w:sz w:val="20"/>
              </w:rPr>
            </w:pPr>
            <w:r>
              <w:rPr>
                <w:rFonts w:ascii="Arial Narrow" w:hAnsi="Arial Narrow" w:cs="Times New Roman"/>
                <w:sz w:val="20"/>
              </w:rPr>
              <w:t>L</w:t>
            </w:r>
            <w:r w:rsidR="001C7ACE">
              <w:rPr>
                <w:rFonts w:ascii="Arial Narrow" w:hAnsi="Arial Narrow" w:cs="Times New Roman"/>
                <w:sz w:val="20"/>
              </w:rPr>
              <w:t>Y</w:t>
            </w:r>
            <w:r>
              <w:rPr>
                <w:rFonts w:ascii="Arial Narrow" w:hAnsi="Arial Narrow" w:cs="Times New Roman"/>
                <w:sz w:val="20"/>
              </w:rPr>
              <w:t>s</w:t>
            </w:r>
          </w:p>
        </w:tc>
        <w:tc>
          <w:tcPr>
            <w:tcW w:w="1282" w:type="pct"/>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1.77</w:t>
            </w:r>
          </w:p>
        </w:tc>
        <w:tc>
          <w:tcPr>
            <w:tcW w:w="1281" w:type="pct"/>
            <w:vAlign w:val="center"/>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0.98</w:t>
            </w:r>
          </w:p>
        </w:tc>
        <w:tc>
          <w:tcPr>
            <w:tcW w:w="1184" w:type="pct"/>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0.79</w:t>
            </w:r>
          </w:p>
        </w:tc>
      </w:tr>
      <w:tr w:rsidR="006115DB" w:rsidRPr="004E2ADC" w:rsidTr="0085751F">
        <w:tc>
          <w:tcPr>
            <w:tcW w:w="1253" w:type="pct"/>
            <w:vAlign w:val="center"/>
          </w:tcPr>
          <w:p w:rsidR="006115DB" w:rsidRDefault="006115DB" w:rsidP="004E7393">
            <w:pPr>
              <w:jc w:val="left"/>
              <w:rPr>
                <w:rFonts w:ascii="Arial Narrow" w:hAnsi="Arial Narrow" w:cs="Times New Roman"/>
                <w:sz w:val="20"/>
              </w:rPr>
            </w:pPr>
            <w:r>
              <w:rPr>
                <w:rFonts w:ascii="Arial Narrow" w:hAnsi="Arial Narrow" w:cs="Times New Roman"/>
                <w:sz w:val="20"/>
              </w:rPr>
              <w:t>QALYs</w:t>
            </w:r>
          </w:p>
        </w:tc>
        <w:tc>
          <w:tcPr>
            <w:tcW w:w="1282" w:type="pct"/>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1.30</w:t>
            </w:r>
          </w:p>
        </w:tc>
        <w:tc>
          <w:tcPr>
            <w:tcW w:w="1281" w:type="pct"/>
            <w:vAlign w:val="center"/>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0.66</w:t>
            </w:r>
          </w:p>
        </w:tc>
        <w:tc>
          <w:tcPr>
            <w:tcW w:w="1184" w:type="pct"/>
          </w:tcPr>
          <w:p w:rsidR="006115DB" w:rsidRPr="004E2ADC" w:rsidRDefault="006115DB" w:rsidP="004E7393">
            <w:pPr>
              <w:jc w:val="center"/>
              <w:rPr>
                <w:rFonts w:ascii="Arial Narrow" w:hAnsi="Arial Narrow" w:cs="Times New Roman"/>
                <w:sz w:val="20"/>
              </w:rPr>
            </w:pPr>
            <w:r>
              <w:rPr>
                <w:rFonts w:ascii="Arial Narrow" w:hAnsi="Arial Narrow" w:cs="Times New Roman"/>
                <w:sz w:val="20"/>
              </w:rPr>
              <w:t>0.63</w:t>
            </w:r>
          </w:p>
        </w:tc>
      </w:tr>
      <w:tr w:rsidR="006115DB" w:rsidRPr="004E2ADC" w:rsidTr="0085751F">
        <w:tc>
          <w:tcPr>
            <w:tcW w:w="3816" w:type="pct"/>
            <w:gridSpan w:val="3"/>
            <w:vAlign w:val="center"/>
          </w:tcPr>
          <w:p w:rsidR="006115DB" w:rsidRPr="004E2ADC" w:rsidRDefault="006115DB" w:rsidP="004E7393">
            <w:pPr>
              <w:jc w:val="left"/>
              <w:rPr>
                <w:rFonts w:ascii="Arial Narrow" w:hAnsi="Arial Narrow" w:cs="Times New Roman"/>
                <w:b/>
                <w:sz w:val="20"/>
              </w:rPr>
            </w:pPr>
            <w:r w:rsidRPr="004E2ADC">
              <w:rPr>
                <w:rFonts w:ascii="Arial Narrow" w:hAnsi="Arial Narrow" w:cs="Times New Roman"/>
                <w:b/>
                <w:sz w:val="20"/>
              </w:rPr>
              <w:t xml:space="preserve">Incremental cost/extra </w:t>
            </w:r>
            <w:r>
              <w:rPr>
                <w:rFonts w:ascii="Arial Narrow" w:hAnsi="Arial Narrow" w:cs="Times New Roman"/>
                <w:b/>
                <w:sz w:val="20"/>
              </w:rPr>
              <w:t>LY</w:t>
            </w:r>
            <w:r w:rsidRPr="004E2ADC">
              <w:rPr>
                <w:rFonts w:ascii="Arial Narrow" w:hAnsi="Arial Narrow" w:cs="Times New Roman"/>
                <w:b/>
                <w:sz w:val="20"/>
              </w:rPr>
              <w:t xml:space="preserve"> gained</w:t>
            </w:r>
          </w:p>
        </w:tc>
        <w:tc>
          <w:tcPr>
            <w:tcW w:w="1184" w:type="pct"/>
          </w:tcPr>
          <w:p w:rsidR="006115DB" w:rsidRPr="00E11A98" w:rsidRDefault="006115DB" w:rsidP="004E7393">
            <w:pPr>
              <w:jc w:val="right"/>
              <w:rPr>
                <w:rFonts w:ascii="Arial Narrow" w:hAnsi="Arial Narrow" w:cs="Times New Roman"/>
                <w:b/>
                <w:sz w:val="20"/>
              </w:rPr>
            </w:pPr>
            <w:r w:rsidRPr="00E11A98">
              <w:rPr>
                <w:rFonts w:ascii="Arial Narrow" w:hAnsi="Arial Narrow" w:cs="Times New Roman"/>
                <w:b/>
                <w:sz w:val="20"/>
              </w:rPr>
              <w:t>$</w:t>
            </w:r>
            <w:r w:rsidR="00557316">
              <w:rPr>
                <w:rFonts w:ascii="Arial Narrow" w:hAnsi="Arial Narrow" w:cs="Times New Roman"/>
                <w:b/>
                <w:noProof/>
                <w:color w:val="000000"/>
                <w:sz w:val="20"/>
                <w:highlight w:val="black"/>
              </w:rPr>
              <w:t>''''''''''''''</w:t>
            </w:r>
          </w:p>
        </w:tc>
      </w:tr>
      <w:tr w:rsidR="006115DB" w:rsidRPr="004E2ADC" w:rsidTr="0085751F">
        <w:tc>
          <w:tcPr>
            <w:tcW w:w="3816" w:type="pct"/>
            <w:gridSpan w:val="3"/>
            <w:vAlign w:val="center"/>
          </w:tcPr>
          <w:p w:rsidR="006115DB" w:rsidRPr="004E2ADC" w:rsidRDefault="006115DB" w:rsidP="004E7393">
            <w:pPr>
              <w:jc w:val="left"/>
              <w:rPr>
                <w:rFonts w:ascii="Arial Narrow" w:hAnsi="Arial Narrow" w:cs="Times New Roman"/>
                <w:b/>
                <w:sz w:val="20"/>
              </w:rPr>
            </w:pPr>
            <w:r w:rsidRPr="004E2ADC">
              <w:rPr>
                <w:rFonts w:ascii="Arial Narrow" w:hAnsi="Arial Narrow" w:cs="Times New Roman"/>
                <w:b/>
                <w:sz w:val="20"/>
              </w:rPr>
              <w:t xml:space="preserve">Incremental cost/extra </w:t>
            </w:r>
            <w:r>
              <w:rPr>
                <w:rFonts w:ascii="Arial Narrow" w:hAnsi="Arial Narrow" w:cs="Times New Roman"/>
                <w:b/>
                <w:sz w:val="20"/>
              </w:rPr>
              <w:t>QALY</w:t>
            </w:r>
            <w:r w:rsidRPr="004E2ADC">
              <w:rPr>
                <w:rFonts w:ascii="Arial Narrow" w:hAnsi="Arial Narrow" w:cs="Times New Roman"/>
                <w:b/>
                <w:sz w:val="20"/>
              </w:rPr>
              <w:t xml:space="preserve"> gained</w:t>
            </w:r>
          </w:p>
        </w:tc>
        <w:tc>
          <w:tcPr>
            <w:tcW w:w="1184" w:type="pct"/>
          </w:tcPr>
          <w:p w:rsidR="006115DB" w:rsidRPr="00E11A98" w:rsidRDefault="006115DB" w:rsidP="004E7393">
            <w:pPr>
              <w:jc w:val="right"/>
              <w:rPr>
                <w:rFonts w:ascii="Arial Narrow" w:hAnsi="Arial Narrow" w:cs="Times New Roman"/>
                <w:b/>
                <w:sz w:val="20"/>
              </w:rPr>
            </w:pPr>
            <w:r w:rsidRPr="00E11A98">
              <w:rPr>
                <w:rFonts w:ascii="Arial Narrow" w:hAnsi="Arial Narrow" w:cs="Times New Roman"/>
                <w:b/>
                <w:sz w:val="20"/>
              </w:rPr>
              <w:t>$</w:t>
            </w:r>
            <w:r w:rsidR="00557316">
              <w:rPr>
                <w:rFonts w:ascii="Arial Narrow" w:hAnsi="Arial Narrow" w:cs="Times New Roman"/>
                <w:b/>
                <w:noProof/>
                <w:color w:val="000000"/>
                <w:sz w:val="20"/>
                <w:highlight w:val="black"/>
              </w:rPr>
              <w:t>''''''''''''''</w:t>
            </w:r>
          </w:p>
        </w:tc>
      </w:tr>
    </w:tbl>
    <w:p w:rsidR="006115DB" w:rsidRDefault="006115DB" w:rsidP="0085751F">
      <w:pPr>
        <w:pStyle w:val="TableFooter"/>
        <w:ind w:left="709"/>
      </w:pPr>
      <w:r>
        <w:t>LY</w:t>
      </w:r>
      <w:r w:rsidR="0085751F">
        <w:t>=life year; QALY=</w:t>
      </w:r>
      <w:r>
        <w:t>quality-adjusted life year</w:t>
      </w:r>
    </w:p>
    <w:p w:rsidR="006115DB" w:rsidRDefault="006115DB" w:rsidP="006115DB">
      <w:pPr>
        <w:pStyle w:val="TableFooter"/>
        <w:ind w:firstLine="720"/>
      </w:pPr>
      <w:r>
        <w:t>*</w:t>
      </w:r>
      <w:r w:rsidR="0085751F">
        <w:t xml:space="preserve"> </w:t>
      </w:r>
      <w:r>
        <w:t>Drug costs are based on ex-manufacturer’s prices.</w:t>
      </w:r>
    </w:p>
    <w:p w:rsidR="006115DB" w:rsidRDefault="006115DB" w:rsidP="006115DB">
      <w:pPr>
        <w:pStyle w:val="TableFooter"/>
        <w:ind w:left="720"/>
      </w:pPr>
      <w:r w:rsidRPr="00D13A3E">
        <w:t xml:space="preserve">Source: </w:t>
      </w:r>
      <w:r>
        <w:t>Tables 74-77, pp163-4 of the submission.</w:t>
      </w:r>
    </w:p>
    <w:p w:rsidR="006115DB" w:rsidRPr="008829BB" w:rsidRDefault="006115DB" w:rsidP="006115DB"/>
    <w:p w:rsidR="006115DB" w:rsidRPr="005E6E19" w:rsidRDefault="006115DB" w:rsidP="0073258E">
      <w:pPr>
        <w:pStyle w:val="ListParagraph"/>
        <w:widowControl/>
        <w:numPr>
          <w:ilvl w:val="1"/>
          <w:numId w:val="2"/>
        </w:numPr>
        <w:rPr>
          <w:szCs w:val="22"/>
        </w:rPr>
      </w:pPr>
      <w:r w:rsidRPr="005E6E19">
        <w:t xml:space="preserve">The largest cost component in the </w:t>
      </w:r>
      <w:proofErr w:type="spellStart"/>
      <w:r w:rsidRPr="005E6E19">
        <w:t>docetaxel</w:t>
      </w:r>
      <w:proofErr w:type="spellEnd"/>
      <w:r w:rsidRPr="005E6E19">
        <w:t xml:space="preserve"> arm </w:t>
      </w:r>
      <w:r w:rsidR="0085751F" w:rsidRPr="005E6E19">
        <w:t>wa</w:t>
      </w:r>
      <w:r w:rsidRPr="005E6E19">
        <w:t>s the ‘ongoing disease management costs’, which contribute</w:t>
      </w:r>
      <w:r w:rsidR="0085751F" w:rsidRPr="005E6E19">
        <w:t>d</w:t>
      </w:r>
      <w:r w:rsidRPr="005E6E19">
        <w:t xml:space="preserve"> as a cost-offset to the incremental cost difference between the two arms.</w:t>
      </w:r>
    </w:p>
    <w:p w:rsidR="006115DB" w:rsidRPr="005E6E19" w:rsidRDefault="006115DB" w:rsidP="006115DB">
      <w:pPr>
        <w:widowControl/>
        <w:rPr>
          <w:szCs w:val="22"/>
        </w:rPr>
      </w:pPr>
    </w:p>
    <w:p w:rsidR="006115DB" w:rsidRPr="005E6E19" w:rsidRDefault="006115DB" w:rsidP="0073258E">
      <w:pPr>
        <w:pStyle w:val="ListParagraph"/>
        <w:widowControl/>
        <w:numPr>
          <w:ilvl w:val="1"/>
          <w:numId w:val="2"/>
        </w:numPr>
        <w:rPr>
          <w:szCs w:val="22"/>
        </w:rPr>
      </w:pPr>
      <w:r w:rsidRPr="005E6E19">
        <w:t xml:space="preserve">Extrapolating health outcomes to 10 years without extrapolating drug usage substantially decreased the ICER in favour of </w:t>
      </w:r>
      <w:proofErr w:type="spellStart"/>
      <w:r w:rsidRPr="005E6E19">
        <w:t>nivolumab</w:t>
      </w:r>
      <w:proofErr w:type="spellEnd"/>
      <w:r w:rsidRPr="005E6E19">
        <w:t>.</w:t>
      </w:r>
    </w:p>
    <w:p w:rsidR="006115DB" w:rsidRPr="005E6E19" w:rsidRDefault="006115DB" w:rsidP="006115DB">
      <w:pPr>
        <w:widowControl/>
        <w:rPr>
          <w:szCs w:val="22"/>
        </w:rPr>
      </w:pPr>
    </w:p>
    <w:p w:rsidR="00D24508" w:rsidRDefault="006115DB" w:rsidP="0073258E">
      <w:pPr>
        <w:pStyle w:val="ListParagraph"/>
        <w:widowControl/>
        <w:numPr>
          <w:ilvl w:val="1"/>
          <w:numId w:val="2"/>
        </w:numPr>
        <w:rPr>
          <w:szCs w:val="22"/>
        </w:rPr>
      </w:pPr>
      <w:r>
        <w:rPr>
          <w:szCs w:val="22"/>
        </w:rPr>
        <w:t>The results of key sensitivity analyses are presented below.</w:t>
      </w:r>
    </w:p>
    <w:p w:rsidR="00662DF1" w:rsidRPr="00662DF1" w:rsidRDefault="00662DF1" w:rsidP="00662DF1">
      <w:pPr>
        <w:widowControl/>
        <w:rPr>
          <w:szCs w:val="22"/>
        </w:rPr>
      </w:pPr>
    </w:p>
    <w:p w:rsidR="006115DB" w:rsidRDefault="006115DB" w:rsidP="006115DB">
      <w:pPr>
        <w:pStyle w:val="TableHeader"/>
        <w:ind w:left="720"/>
      </w:pPr>
      <w:r w:rsidRPr="00FD12C2">
        <w:t>Table</w:t>
      </w:r>
      <w:r>
        <w:t xml:space="preserve"> 11</w:t>
      </w:r>
      <w:r w:rsidRPr="00FD12C2">
        <w:t>:</w:t>
      </w:r>
      <w:r>
        <w:t xml:space="preserve"> Results of key sensitivity analyses</w:t>
      </w:r>
    </w:p>
    <w:tbl>
      <w:tblPr>
        <w:tblStyle w:val="TableGrid"/>
        <w:tblW w:w="0" w:type="auto"/>
        <w:tblInd w:w="822" w:type="dxa"/>
        <w:tblLayout w:type="fixed"/>
        <w:tblLook w:val="04A0" w:firstRow="1" w:lastRow="0" w:firstColumn="1" w:lastColumn="0" w:noHBand="0" w:noVBand="1"/>
        <w:tblCaption w:val="Table 11: Results of key sensitivity analyses"/>
      </w:tblPr>
      <w:tblGrid>
        <w:gridCol w:w="1413"/>
        <w:gridCol w:w="4961"/>
        <w:gridCol w:w="992"/>
        <w:gridCol w:w="1054"/>
      </w:tblGrid>
      <w:tr w:rsidR="006115DB" w:rsidTr="0036260F">
        <w:trPr>
          <w:tblHeader/>
        </w:trPr>
        <w:tc>
          <w:tcPr>
            <w:tcW w:w="1413" w:type="dxa"/>
          </w:tcPr>
          <w:p w:rsidR="006115DB" w:rsidRPr="00F301BC" w:rsidRDefault="006115DB" w:rsidP="004E7393">
            <w:pPr>
              <w:jc w:val="center"/>
              <w:rPr>
                <w:rFonts w:ascii="Arial Narrow" w:hAnsi="Arial Narrow"/>
                <w:b/>
                <w:sz w:val="20"/>
              </w:rPr>
            </w:pPr>
            <w:r w:rsidRPr="00F301BC">
              <w:rPr>
                <w:rFonts w:ascii="Arial Narrow" w:hAnsi="Arial Narrow"/>
                <w:b/>
                <w:sz w:val="20"/>
              </w:rPr>
              <w:t>Label</w:t>
            </w:r>
          </w:p>
        </w:tc>
        <w:tc>
          <w:tcPr>
            <w:tcW w:w="4961" w:type="dxa"/>
          </w:tcPr>
          <w:p w:rsidR="006115DB" w:rsidRPr="00F301BC" w:rsidRDefault="006115DB" w:rsidP="004E7393">
            <w:pPr>
              <w:jc w:val="center"/>
              <w:rPr>
                <w:rFonts w:ascii="Arial Narrow" w:hAnsi="Arial Narrow"/>
                <w:b/>
                <w:sz w:val="20"/>
              </w:rPr>
            </w:pPr>
            <w:r>
              <w:rPr>
                <w:rFonts w:ascii="Arial Narrow" w:hAnsi="Arial Narrow"/>
                <w:b/>
                <w:sz w:val="20"/>
              </w:rPr>
              <w:t>Model parameter</w:t>
            </w:r>
          </w:p>
        </w:tc>
        <w:tc>
          <w:tcPr>
            <w:tcW w:w="992" w:type="dxa"/>
          </w:tcPr>
          <w:p w:rsidR="006115DB" w:rsidRPr="00F301BC" w:rsidRDefault="006115DB" w:rsidP="004E7393">
            <w:pPr>
              <w:jc w:val="center"/>
              <w:rPr>
                <w:rFonts w:ascii="Arial Narrow" w:hAnsi="Arial Narrow"/>
                <w:b/>
                <w:sz w:val="20"/>
              </w:rPr>
            </w:pPr>
            <w:r>
              <w:rPr>
                <w:rFonts w:ascii="Arial Narrow" w:hAnsi="Arial Narrow"/>
                <w:b/>
                <w:sz w:val="20"/>
              </w:rPr>
              <w:t>$/LY</w:t>
            </w:r>
          </w:p>
        </w:tc>
        <w:tc>
          <w:tcPr>
            <w:tcW w:w="1054" w:type="dxa"/>
          </w:tcPr>
          <w:p w:rsidR="006115DB" w:rsidRPr="00F301BC" w:rsidRDefault="006115DB" w:rsidP="004E7393">
            <w:pPr>
              <w:jc w:val="center"/>
              <w:rPr>
                <w:rFonts w:ascii="Arial Narrow" w:hAnsi="Arial Narrow"/>
                <w:b/>
                <w:sz w:val="20"/>
              </w:rPr>
            </w:pPr>
            <w:r>
              <w:rPr>
                <w:rFonts w:ascii="Arial Narrow" w:hAnsi="Arial Narrow"/>
                <w:b/>
                <w:sz w:val="20"/>
              </w:rPr>
              <w:t>$/QALY</w:t>
            </w:r>
          </w:p>
        </w:tc>
      </w:tr>
      <w:tr w:rsidR="006115DB" w:rsidTr="0085751F">
        <w:tc>
          <w:tcPr>
            <w:tcW w:w="1413" w:type="dxa"/>
          </w:tcPr>
          <w:p w:rsidR="006115DB" w:rsidRPr="00F301BC" w:rsidRDefault="006115DB" w:rsidP="004E7393">
            <w:pPr>
              <w:rPr>
                <w:rFonts w:ascii="Arial Narrow" w:hAnsi="Arial Narrow"/>
                <w:b/>
                <w:sz w:val="20"/>
              </w:rPr>
            </w:pPr>
            <w:r w:rsidRPr="00F301BC">
              <w:rPr>
                <w:rFonts w:ascii="Arial Narrow" w:hAnsi="Arial Narrow"/>
                <w:b/>
                <w:sz w:val="20"/>
              </w:rPr>
              <w:t>Base case</w:t>
            </w:r>
          </w:p>
        </w:tc>
        <w:tc>
          <w:tcPr>
            <w:tcW w:w="4961" w:type="dxa"/>
          </w:tcPr>
          <w:p w:rsidR="006115DB" w:rsidRPr="00F301BC" w:rsidRDefault="006115DB" w:rsidP="004E7393">
            <w:pPr>
              <w:rPr>
                <w:rFonts w:ascii="Arial Narrow" w:hAnsi="Arial Narrow"/>
                <w:b/>
                <w:sz w:val="20"/>
              </w:rPr>
            </w:pPr>
            <w:r w:rsidRPr="00F301BC">
              <w:rPr>
                <w:rFonts w:ascii="Arial Narrow" w:hAnsi="Arial Narrow"/>
                <w:b/>
                <w:sz w:val="20"/>
              </w:rPr>
              <w:t>Base case</w:t>
            </w:r>
          </w:p>
        </w:tc>
        <w:tc>
          <w:tcPr>
            <w:tcW w:w="992" w:type="dxa"/>
          </w:tcPr>
          <w:p w:rsidR="006115DB" w:rsidRPr="00F301BC" w:rsidRDefault="006115DB" w:rsidP="004E7393">
            <w:pPr>
              <w:jc w:val="right"/>
              <w:rPr>
                <w:rFonts w:ascii="Arial Narrow" w:hAnsi="Arial Narrow"/>
                <w:b/>
                <w:sz w:val="20"/>
              </w:rPr>
            </w:pPr>
            <w:r w:rsidRPr="00F301BC">
              <w:rPr>
                <w:rFonts w:ascii="Arial Narrow" w:hAnsi="Arial Narrow"/>
                <w:b/>
                <w:sz w:val="20"/>
              </w:rPr>
              <w:t>$</w:t>
            </w:r>
            <w:r w:rsidR="00557316">
              <w:rPr>
                <w:rFonts w:ascii="Arial Narrow" w:hAnsi="Arial Narrow"/>
                <w:b/>
                <w:noProof/>
                <w:color w:val="000000"/>
                <w:sz w:val="20"/>
                <w:highlight w:val="black"/>
              </w:rPr>
              <w:t>''''''''''''''</w:t>
            </w:r>
          </w:p>
        </w:tc>
        <w:tc>
          <w:tcPr>
            <w:tcW w:w="1054" w:type="dxa"/>
          </w:tcPr>
          <w:p w:rsidR="006115DB" w:rsidRPr="00F301BC" w:rsidRDefault="006115DB" w:rsidP="004E7393">
            <w:pPr>
              <w:jc w:val="right"/>
              <w:rPr>
                <w:rFonts w:ascii="Arial Narrow" w:hAnsi="Arial Narrow"/>
                <w:b/>
                <w:sz w:val="20"/>
              </w:rPr>
            </w:pPr>
            <w:r w:rsidRPr="00F301BC">
              <w:rPr>
                <w:rFonts w:ascii="Arial Narrow" w:hAnsi="Arial Narrow"/>
                <w:b/>
                <w:sz w:val="20"/>
              </w:rPr>
              <w:t>$</w:t>
            </w:r>
            <w:r w:rsidR="00557316">
              <w:rPr>
                <w:rFonts w:ascii="Arial Narrow" w:hAnsi="Arial Narrow"/>
                <w:b/>
                <w:noProof/>
                <w:color w:val="000000"/>
                <w:sz w:val="20"/>
                <w:highlight w:val="black"/>
              </w:rPr>
              <w:t>''''''''''''</w:t>
            </w:r>
          </w:p>
        </w:tc>
      </w:tr>
      <w:tr w:rsidR="006115DB" w:rsidTr="0085751F">
        <w:trPr>
          <w:trHeight w:val="179"/>
        </w:trPr>
        <w:tc>
          <w:tcPr>
            <w:tcW w:w="1413" w:type="dxa"/>
            <w:vMerge w:val="restart"/>
          </w:tcPr>
          <w:p w:rsidR="006115DB" w:rsidRPr="00F301BC" w:rsidRDefault="006115DB" w:rsidP="0085751F">
            <w:pPr>
              <w:jc w:val="left"/>
              <w:rPr>
                <w:rFonts w:ascii="Arial Narrow" w:hAnsi="Arial Narrow"/>
                <w:sz w:val="20"/>
              </w:rPr>
            </w:pPr>
            <w:r>
              <w:rPr>
                <w:rFonts w:ascii="Arial Narrow" w:hAnsi="Arial Narrow"/>
                <w:sz w:val="20"/>
              </w:rPr>
              <w:lastRenderedPageBreak/>
              <w:t>SA.1:</w:t>
            </w:r>
            <w:r w:rsidRPr="00A54BBA">
              <w:rPr>
                <w:rFonts w:ascii="Arial Narrow" w:hAnsi="Arial Narrow" w:cs="Times New Roman"/>
                <w:sz w:val="20"/>
              </w:rPr>
              <w:t xml:space="preserve"> </w:t>
            </w:r>
            <w:r>
              <w:rPr>
                <w:rFonts w:ascii="Arial Narrow" w:hAnsi="Arial Narrow" w:cs="Times New Roman"/>
                <w:sz w:val="20"/>
              </w:rPr>
              <w:t>OS and PFS</w:t>
            </w:r>
          </w:p>
        </w:tc>
        <w:tc>
          <w:tcPr>
            <w:tcW w:w="4961" w:type="dxa"/>
          </w:tcPr>
          <w:p w:rsidR="006115DB" w:rsidRPr="00F301BC" w:rsidRDefault="006115DB" w:rsidP="004E7393">
            <w:pPr>
              <w:widowControl/>
              <w:spacing w:before="20" w:after="20"/>
              <w:jc w:val="left"/>
              <w:rPr>
                <w:rFonts w:ascii="Arial Narrow" w:hAnsi="Arial Narrow"/>
                <w:sz w:val="20"/>
              </w:rPr>
            </w:pPr>
            <w:r w:rsidRPr="00A54BBA">
              <w:rPr>
                <w:rFonts w:ascii="Arial Narrow" w:eastAsia="Calibri" w:hAnsi="Arial Narrow" w:cs="Times New Roman"/>
                <w:sz w:val="20"/>
              </w:rPr>
              <w:t xml:space="preserve">Lower confidence </w:t>
            </w:r>
            <w:r>
              <w:rPr>
                <w:rFonts w:ascii="Arial Narrow" w:eastAsia="Calibri" w:hAnsi="Arial Narrow" w:cs="Times New Roman"/>
                <w:sz w:val="20"/>
              </w:rPr>
              <w:t>limits</w:t>
            </w:r>
          </w:p>
        </w:tc>
        <w:tc>
          <w:tcPr>
            <w:tcW w:w="992" w:type="dxa"/>
          </w:tcPr>
          <w:p w:rsidR="006115DB" w:rsidRPr="00F301BC"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F301BC"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64"/>
        </w:trPr>
        <w:tc>
          <w:tcPr>
            <w:tcW w:w="1413" w:type="dxa"/>
            <w:vMerge/>
          </w:tcPr>
          <w:p w:rsidR="006115DB" w:rsidRDefault="006115DB" w:rsidP="0085751F">
            <w:pPr>
              <w:jc w:val="left"/>
              <w:rPr>
                <w:rFonts w:ascii="Arial Narrow" w:hAnsi="Arial Narrow"/>
                <w:sz w:val="20"/>
              </w:rPr>
            </w:pPr>
          </w:p>
        </w:tc>
        <w:tc>
          <w:tcPr>
            <w:tcW w:w="4961" w:type="dxa"/>
          </w:tcPr>
          <w:p w:rsidR="006115DB" w:rsidRPr="00A54BBA" w:rsidRDefault="006115DB" w:rsidP="004E7393">
            <w:pPr>
              <w:widowControl/>
              <w:spacing w:before="20" w:after="20"/>
              <w:jc w:val="left"/>
              <w:rPr>
                <w:rFonts w:ascii="Arial Narrow" w:eastAsia="Calibri" w:hAnsi="Arial Narrow" w:cs="Times New Roman"/>
                <w:sz w:val="20"/>
              </w:rPr>
            </w:pPr>
            <w:r w:rsidRPr="00A54BBA">
              <w:rPr>
                <w:rFonts w:ascii="Arial Narrow" w:eastAsia="Calibri" w:hAnsi="Arial Narrow" w:cs="Times New Roman"/>
                <w:sz w:val="20"/>
              </w:rPr>
              <w:t>Upper confidence</w:t>
            </w:r>
            <w:r>
              <w:rPr>
                <w:rFonts w:ascii="Arial Narrow" w:eastAsia="Calibri" w:hAnsi="Arial Narrow" w:cs="Times New Roman"/>
                <w:sz w:val="20"/>
              </w:rPr>
              <w:t xml:space="preserve"> limits</w:t>
            </w:r>
          </w:p>
        </w:tc>
        <w:tc>
          <w:tcPr>
            <w:tcW w:w="992" w:type="dxa"/>
          </w:tcPr>
          <w:p w:rsidR="006115DB"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190"/>
        </w:trPr>
        <w:tc>
          <w:tcPr>
            <w:tcW w:w="1413" w:type="dxa"/>
          </w:tcPr>
          <w:p w:rsidR="006115DB" w:rsidRPr="00F301BC" w:rsidRDefault="006115DB" w:rsidP="0085751F">
            <w:pPr>
              <w:jc w:val="left"/>
              <w:rPr>
                <w:rFonts w:ascii="Arial Narrow" w:hAnsi="Arial Narrow"/>
                <w:sz w:val="20"/>
              </w:rPr>
            </w:pPr>
            <w:r>
              <w:rPr>
                <w:rFonts w:ascii="Arial Narrow" w:hAnsi="Arial Narrow"/>
                <w:sz w:val="20"/>
              </w:rPr>
              <w:t>SA.2: Point of extrapolation</w:t>
            </w:r>
          </w:p>
        </w:tc>
        <w:tc>
          <w:tcPr>
            <w:tcW w:w="4961" w:type="dxa"/>
          </w:tcPr>
          <w:p w:rsidR="006115DB" w:rsidRPr="00F301BC" w:rsidRDefault="006115DB" w:rsidP="004E7393">
            <w:pPr>
              <w:rPr>
                <w:rFonts w:ascii="Arial Narrow" w:hAnsi="Arial Narrow"/>
                <w:sz w:val="20"/>
              </w:rPr>
            </w:pPr>
            <w:r>
              <w:rPr>
                <w:rFonts w:ascii="Arial Narrow" w:hAnsi="Arial Narrow"/>
                <w:sz w:val="20"/>
              </w:rPr>
              <w:t>Median duration of follow-up</w:t>
            </w:r>
          </w:p>
        </w:tc>
        <w:tc>
          <w:tcPr>
            <w:tcW w:w="992" w:type="dxa"/>
          </w:tcPr>
          <w:p w:rsidR="006115DB" w:rsidRPr="00F301BC"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F301BC"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r>
      <w:tr w:rsidR="006115DB" w:rsidTr="0085751F">
        <w:tc>
          <w:tcPr>
            <w:tcW w:w="1413" w:type="dxa"/>
          </w:tcPr>
          <w:p w:rsidR="006115DB" w:rsidRPr="00F301BC" w:rsidRDefault="006115DB" w:rsidP="0085751F">
            <w:pPr>
              <w:jc w:val="left"/>
              <w:rPr>
                <w:rFonts w:ascii="Arial Narrow" w:hAnsi="Arial Narrow"/>
                <w:sz w:val="20"/>
              </w:rPr>
            </w:pPr>
            <w:r>
              <w:rPr>
                <w:rFonts w:ascii="Arial Narrow" w:hAnsi="Arial Narrow"/>
                <w:sz w:val="20"/>
              </w:rPr>
              <w:t>SA.5: Method of extrapolation</w:t>
            </w:r>
          </w:p>
        </w:tc>
        <w:tc>
          <w:tcPr>
            <w:tcW w:w="4961" w:type="dxa"/>
          </w:tcPr>
          <w:p w:rsidR="006115DB" w:rsidRPr="00F301BC" w:rsidRDefault="006115DB" w:rsidP="004E7393">
            <w:pPr>
              <w:rPr>
                <w:rFonts w:ascii="Arial Narrow" w:hAnsi="Arial Narrow"/>
                <w:sz w:val="20"/>
              </w:rPr>
            </w:pPr>
            <w:r>
              <w:rPr>
                <w:rFonts w:ascii="Arial Narrow" w:hAnsi="Arial Narrow"/>
                <w:sz w:val="20"/>
              </w:rPr>
              <w:t xml:space="preserve">Weibull for </w:t>
            </w:r>
            <w:proofErr w:type="spellStart"/>
            <w:r>
              <w:rPr>
                <w:rFonts w:ascii="Arial Narrow" w:hAnsi="Arial Narrow"/>
                <w:sz w:val="20"/>
              </w:rPr>
              <w:t>nivolumab</w:t>
            </w:r>
            <w:proofErr w:type="spellEnd"/>
            <w:r>
              <w:rPr>
                <w:rFonts w:ascii="Arial Narrow" w:hAnsi="Arial Narrow"/>
                <w:sz w:val="20"/>
              </w:rPr>
              <w:t xml:space="preserve"> and </w:t>
            </w:r>
            <w:proofErr w:type="spellStart"/>
            <w:r>
              <w:rPr>
                <w:rFonts w:ascii="Arial Narrow" w:hAnsi="Arial Narrow"/>
                <w:sz w:val="20"/>
              </w:rPr>
              <w:t>docetaxel</w:t>
            </w:r>
            <w:proofErr w:type="spellEnd"/>
            <w:r>
              <w:rPr>
                <w:rFonts w:ascii="Arial Narrow" w:hAnsi="Arial Narrow"/>
                <w:sz w:val="20"/>
              </w:rPr>
              <w:t xml:space="preserve"> PFS and OS</w:t>
            </w:r>
          </w:p>
        </w:tc>
        <w:tc>
          <w:tcPr>
            <w:tcW w:w="992" w:type="dxa"/>
          </w:tcPr>
          <w:p w:rsidR="006115DB" w:rsidRPr="00F301BC"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F301BC"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190"/>
        </w:trPr>
        <w:tc>
          <w:tcPr>
            <w:tcW w:w="1413" w:type="dxa"/>
            <w:vMerge w:val="restart"/>
          </w:tcPr>
          <w:p w:rsidR="006115DB" w:rsidRDefault="006115DB" w:rsidP="0085751F">
            <w:pPr>
              <w:jc w:val="left"/>
              <w:rPr>
                <w:rFonts w:ascii="Arial Narrow" w:hAnsi="Arial Narrow"/>
                <w:sz w:val="20"/>
              </w:rPr>
            </w:pPr>
            <w:r>
              <w:rPr>
                <w:rFonts w:ascii="Arial Narrow" w:hAnsi="Arial Narrow"/>
                <w:sz w:val="20"/>
              </w:rPr>
              <w:t>SA.6: Utility value</w:t>
            </w:r>
          </w:p>
        </w:tc>
        <w:tc>
          <w:tcPr>
            <w:tcW w:w="4961" w:type="dxa"/>
          </w:tcPr>
          <w:p w:rsidR="006115DB" w:rsidRDefault="006115DB" w:rsidP="004E7393">
            <w:pPr>
              <w:rPr>
                <w:rFonts w:ascii="Arial Narrow" w:hAnsi="Arial Narrow"/>
                <w:sz w:val="20"/>
              </w:rPr>
            </w:pPr>
            <w:r>
              <w:rPr>
                <w:rFonts w:ascii="Arial Narrow" w:hAnsi="Arial Narrow"/>
                <w:sz w:val="20"/>
              </w:rPr>
              <w:t xml:space="preserve">Overall </w:t>
            </w:r>
            <w:proofErr w:type="spellStart"/>
            <w:r>
              <w:rPr>
                <w:rFonts w:ascii="Arial Narrow" w:hAnsi="Arial Narrow"/>
                <w:sz w:val="20"/>
              </w:rPr>
              <w:t>nivolumab</w:t>
            </w:r>
            <w:proofErr w:type="spellEnd"/>
            <w:r>
              <w:rPr>
                <w:rFonts w:ascii="Arial Narrow" w:hAnsi="Arial Narrow"/>
                <w:sz w:val="20"/>
              </w:rPr>
              <w:t xml:space="preserve"> and </w:t>
            </w:r>
            <w:proofErr w:type="spellStart"/>
            <w:r>
              <w:rPr>
                <w:rFonts w:ascii="Arial Narrow" w:hAnsi="Arial Narrow"/>
                <w:sz w:val="20"/>
              </w:rPr>
              <w:t>docetaxel</w:t>
            </w:r>
            <w:proofErr w:type="spellEnd"/>
            <w:r>
              <w:rPr>
                <w:rFonts w:ascii="Arial Narrow" w:hAnsi="Arial Narrow"/>
                <w:sz w:val="20"/>
              </w:rPr>
              <w:t xml:space="preserve"> utility values (not arm specific)</w:t>
            </w:r>
          </w:p>
        </w:tc>
        <w:tc>
          <w:tcPr>
            <w:tcW w:w="992" w:type="dxa"/>
          </w:tcPr>
          <w:p w:rsidR="006115DB"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190"/>
        </w:trPr>
        <w:tc>
          <w:tcPr>
            <w:tcW w:w="1413" w:type="dxa"/>
            <w:vMerge/>
          </w:tcPr>
          <w:p w:rsidR="006115DB" w:rsidRDefault="006115DB" w:rsidP="0085751F">
            <w:pPr>
              <w:jc w:val="left"/>
              <w:rPr>
                <w:rFonts w:ascii="Arial Narrow" w:hAnsi="Arial Narrow"/>
                <w:sz w:val="20"/>
              </w:rPr>
            </w:pPr>
          </w:p>
        </w:tc>
        <w:tc>
          <w:tcPr>
            <w:tcW w:w="4961" w:type="dxa"/>
          </w:tcPr>
          <w:p w:rsidR="006115DB" w:rsidRPr="00163E1B" w:rsidRDefault="006115DB" w:rsidP="004E7393">
            <w:pPr>
              <w:rPr>
                <w:rFonts w:ascii="Arial Narrow" w:hAnsi="Arial Narrow"/>
                <w:i/>
                <w:sz w:val="20"/>
              </w:rPr>
            </w:pPr>
            <w:r w:rsidRPr="00371097">
              <w:rPr>
                <w:rFonts w:ascii="Arial Narrow" w:hAnsi="Arial Narrow"/>
                <w:sz w:val="20"/>
              </w:rPr>
              <w:t xml:space="preserve">Respective </w:t>
            </w:r>
            <w:r>
              <w:rPr>
                <w:rFonts w:ascii="Arial Narrow" w:hAnsi="Arial Narrow"/>
                <w:sz w:val="20"/>
              </w:rPr>
              <w:t xml:space="preserve">trial-based </w:t>
            </w:r>
            <w:proofErr w:type="spellStart"/>
            <w:r w:rsidRPr="00371097">
              <w:rPr>
                <w:rFonts w:ascii="Arial Narrow" w:hAnsi="Arial Narrow"/>
                <w:sz w:val="20"/>
              </w:rPr>
              <w:t>nivolumab</w:t>
            </w:r>
            <w:proofErr w:type="spellEnd"/>
            <w:r w:rsidRPr="00371097">
              <w:rPr>
                <w:rFonts w:ascii="Arial Narrow" w:hAnsi="Arial Narrow"/>
                <w:sz w:val="20"/>
              </w:rPr>
              <w:t xml:space="preserve"> and </w:t>
            </w:r>
            <w:proofErr w:type="spellStart"/>
            <w:r w:rsidRPr="00371097">
              <w:rPr>
                <w:rFonts w:ascii="Arial Narrow" w:hAnsi="Arial Narrow"/>
                <w:sz w:val="20"/>
              </w:rPr>
              <w:t>docetaxel</w:t>
            </w:r>
            <w:proofErr w:type="spellEnd"/>
            <w:r w:rsidRPr="00371097">
              <w:rPr>
                <w:rFonts w:ascii="Arial Narrow" w:hAnsi="Arial Narrow"/>
                <w:sz w:val="20"/>
              </w:rPr>
              <w:t xml:space="preserve"> utility values</w:t>
            </w:r>
            <w:r>
              <w:rPr>
                <w:rFonts w:ascii="Arial Narrow" w:hAnsi="Arial Narrow"/>
                <w:sz w:val="20"/>
              </w:rPr>
              <w:t>*</w:t>
            </w:r>
          </w:p>
        </w:tc>
        <w:tc>
          <w:tcPr>
            <w:tcW w:w="992" w:type="dxa"/>
          </w:tcPr>
          <w:p w:rsidR="006115DB" w:rsidRPr="00586E64" w:rsidRDefault="006115DB" w:rsidP="004E7393">
            <w:pPr>
              <w:jc w:val="right"/>
              <w:rPr>
                <w:rFonts w:ascii="Arial Narrow" w:hAnsi="Arial Narrow"/>
                <w:sz w:val="20"/>
              </w:rPr>
            </w:pPr>
            <w:r w:rsidRPr="00586E64">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586E64" w:rsidRDefault="006115DB" w:rsidP="004E7393">
            <w:pPr>
              <w:jc w:val="right"/>
              <w:rPr>
                <w:rFonts w:ascii="Arial Narrow" w:hAnsi="Arial Narrow"/>
                <w:sz w:val="20"/>
              </w:rPr>
            </w:pPr>
            <w:r w:rsidRPr="00586E64">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380"/>
        </w:trPr>
        <w:tc>
          <w:tcPr>
            <w:tcW w:w="1413" w:type="dxa"/>
            <w:vMerge w:val="restart"/>
          </w:tcPr>
          <w:p w:rsidR="006115DB" w:rsidRDefault="006115DB" w:rsidP="0085751F">
            <w:pPr>
              <w:jc w:val="left"/>
              <w:rPr>
                <w:rFonts w:ascii="Arial Narrow" w:hAnsi="Arial Narrow"/>
                <w:sz w:val="20"/>
              </w:rPr>
            </w:pPr>
            <w:r>
              <w:rPr>
                <w:rFonts w:ascii="Arial Narrow" w:hAnsi="Arial Narrow"/>
                <w:sz w:val="20"/>
              </w:rPr>
              <w:t>SA.7: Ongoing disease management costs</w:t>
            </w:r>
          </w:p>
        </w:tc>
        <w:tc>
          <w:tcPr>
            <w:tcW w:w="4961" w:type="dxa"/>
          </w:tcPr>
          <w:p w:rsidR="006115DB" w:rsidRDefault="006115DB" w:rsidP="004E7393">
            <w:pPr>
              <w:rPr>
                <w:rFonts w:ascii="Arial Narrow" w:hAnsi="Arial Narrow"/>
                <w:sz w:val="20"/>
              </w:rPr>
            </w:pPr>
            <w:proofErr w:type="spellStart"/>
            <w:r w:rsidRPr="00163E1B">
              <w:rPr>
                <w:rFonts w:ascii="Arial Narrow" w:hAnsi="Arial Narrow"/>
                <w:sz w:val="20"/>
              </w:rPr>
              <w:t>Docetaxel</w:t>
            </w:r>
            <w:proofErr w:type="spellEnd"/>
            <w:r w:rsidRPr="00163E1B">
              <w:rPr>
                <w:rFonts w:ascii="Arial Narrow" w:hAnsi="Arial Narrow"/>
                <w:sz w:val="20"/>
              </w:rPr>
              <w:t xml:space="preserve"> and </w:t>
            </w:r>
            <w:proofErr w:type="spellStart"/>
            <w:r w:rsidRPr="00163E1B">
              <w:rPr>
                <w:rFonts w:ascii="Arial Narrow" w:hAnsi="Arial Narrow"/>
                <w:sz w:val="20"/>
              </w:rPr>
              <w:t>nivolumab</w:t>
            </w:r>
            <w:proofErr w:type="spellEnd"/>
            <w:r w:rsidRPr="00163E1B">
              <w:rPr>
                <w:rFonts w:ascii="Arial Narrow" w:hAnsi="Arial Narrow"/>
                <w:sz w:val="20"/>
              </w:rPr>
              <w:t xml:space="preserve"> pre-progression and post-progression costs equal</w:t>
            </w:r>
            <w:r>
              <w:rPr>
                <w:rFonts w:ascii="Arial Narrow" w:hAnsi="Arial Narrow"/>
                <w:sz w:val="20"/>
              </w:rPr>
              <w:t xml:space="preserve"> (SA.7-1)</w:t>
            </w:r>
          </w:p>
        </w:tc>
        <w:tc>
          <w:tcPr>
            <w:tcW w:w="992" w:type="dxa"/>
          </w:tcPr>
          <w:p w:rsidR="006115DB"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Default="006115DB" w:rsidP="004E7393">
            <w:pPr>
              <w:jc w:val="right"/>
              <w:rPr>
                <w:rFonts w:ascii="Arial Narrow" w:hAnsi="Arial Narrow"/>
                <w:sz w:val="20"/>
              </w:rPr>
            </w:pPr>
            <w:r>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380"/>
        </w:trPr>
        <w:tc>
          <w:tcPr>
            <w:tcW w:w="1413" w:type="dxa"/>
            <w:vMerge/>
          </w:tcPr>
          <w:p w:rsidR="006115DB" w:rsidRDefault="006115DB" w:rsidP="0085751F">
            <w:pPr>
              <w:jc w:val="left"/>
              <w:rPr>
                <w:rFonts w:ascii="Arial Narrow" w:hAnsi="Arial Narrow"/>
                <w:sz w:val="20"/>
              </w:rPr>
            </w:pPr>
          </w:p>
        </w:tc>
        <w:tc>
          <w:tcPr>
            <w:tcW w:w="4961" w:type="dxa"/>
          </w:tcPr>
          <w:p w:rsidR="006115DB" w:rsidRPr="00A26602" w:rsidRDefault="006115DB" w:rsidP="004E7393">
            <w:pPr>
              <w:rPr>
                <w:rFonts w:ascii="Arial Narrow" w:hAnsi="Arial Narrow"/>
                <w:sz w:val="20"/>
              </w:rPr>
            </w:pPr>
            <w:r w:rsidRPr="00A26602">
              <w:rPr>
                <w:rFonts w:ascii="Arial Narrow" w:hAnsi="Arial Narrow"/>
                <w:sz w:val="20"/>
              </w:rPr>
              <w:t>Post-progression costs equal to that estimated from the HRU survey regardless of years spent in progressive disease (SA.7-2)</w:t>
            </w:r>
          </w:p>
        </w:tc>
        <w:tc>
          <w:tcPr>
            <w:tcW w:w="992"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236"/>
        </w:trPr>
        <w:tc>
          <w:tcPr>
            <w:tcW w:w="1413" w:type="dxa"/>
            <w:vMerge/>
          </w:tcPr>
          <w:p w:rsidR="006115DB" w:rsidRDefault="006115DB" w:rsidP="0085751F">
            <w:pPr>
              <w:jc w:val="left"/>
              <w:rPr>
                <w:rFonts w:ascii="Arial Narrow" w:hAnsi="Arial Narrow"/>
                <w:sz w:val="20"/>
              </w:rPr>
            </w:pPr>
          </w:p>
        </w:tc>
        <w:tc>
          <w:tcPr>
            <w:tcW w:w="4961" w:type="dxa"/>
          </w:tcPr>
          <w:p w:rsidR="006115DB" w:rsidRPr="00E27148" w:rsidRDefault="006115DB" w:rsidP="004E7393">
            <w:pPr>
              <w:rPr>
                <w:rFonts w:ascii="Arial Narrow" w:hAnsi="Arial Narrow"/>
                <w:i/>
                <w:sz w:val="20"/>
              </w:rPr>
            </w:pPr>
            <w:r>
              <w:rPr>
                <w:rFonts w:ascii="Arial Narrow" w:hAnsi="Arial Narrow"/>
                <w:i/>
                <w:sz w:val="20"/>
              </w:rPr>
              <w:t>SA.7-1+SA.7-2</w:t>
            </w:r>
          </w:p>
        </w:tc>
        <w:tc>
          <w:tcPr>
            <w:tcW w:w="992"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190"/>
        </w:trPr>
        <w:tc>
          <w:tcPr>
            <w:tcW w:w="1413" w:type="dxa"/>
            <w:vMerge w:val="restart"/>
          </w:tcPr>
          <w:p w:rsidR="006115DB" w:rsidRDefault="006115DB" w:rsidP="0085751F">
            <w:pPr>
              <w:jc w:val="left"/>
              <w:rPr>
                <w:rFonts w:ascii="Arial Narrow" w:hAnsi="Arial Narrow"/>
                <w:sz w:val="20"/>
              </w:rPr>
            </w:pPr>
            <w:r>
              <w:rPr>
                <w:rFonts w:ascii="Arial Narrow" w:hAnsi="Arial Narrow"/>
                <w:sz w:val="20"/>
              </w:rPr>
              <w:t>SA.8: Time horizon</w:t>
            </w:r>
          </w:p>
        </w:tc>
        <w:tc>
          <w:tcPr>
            <w:tcW w:w="4961" w:type="dxa"/>
          </w:tcPr>
          <w:p w:rsidR="006115DB" w:rsidRDefault="006115DB" w:rsidP="004E7393">
            <w:pPr>
              <w:rPr>
                <w:rFonts w:ascii="Arial Narrow" w:hAnsi="Arial Narrow"/>
                <w:sz w:val="20"/>
              </w:rPr>
            </w:pPr>
            <w:r>
              <w:rPr>
                <w:rFonts w:ascii="Arial Narrow" w:hAnsi="Arial Narrow"/>
                <w:sz w:val="20"/>
              </w:rPr>
              <w:t>5 years</w:t>
            </w:r>
          </w:p>
        </w:tc>
        <w:tc>
          <w:tcPr>
            <w:tcW w:w="992"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190"/>
        </w:trPr>
        <w:tc>
          <w:tcPr>
            <w:tcW w:w="1413" w:type="dxa"/>
            <w:vMerge/>
          </w:tcPr>
          <w:p w:rsidR="006115DB" w:rsidRDefault="006115DB" w:rsidP="0085751F">
            <w:pPr>
              <w:jc w:val="left"/>
              <w:rPr>
                <w:rFonts w:ascii="Arial Narrow" w:hAnsi="Arial Narrow"/>
                <w:sz w:val="20"/>
              </w:rPr>
            </w:pPr>
          </w:p>
        </w:tc>
        <w:tc>
          <w:tcPr>
            <w:tcW w:w="4961" w:type="dxa"/>
          </w:tcPr>
          <w:p w:rsidR="006115DB" w:rsidRPr="00E27148" w:rsidRDefault="006115DB" w:rsidP="004E7393">
            <w:pPr>
              <w:rPr>
                <w:rFonts w:ascii="Arial Narrow" w:hAnsi="Arial Narrow"/>
                <w:i/>
                <w:sz w:val="20"/>
              </w:rPr>
            </w:pPr>
            <w:r w:rsidRPr="00E27148">
              <w:rPr>
                <w:rFonts w:ascii="Arial Narrow" w:hAnsi="Arial Narrow"/>
                <w:i/>
                <w:sz w:val="20"/>
              </w:rPr>
              <w:t>3 years</w:t>
            </w:r>
          </w:p>
        </w:tc>
        <w:tc>
          <w:tcPr>
            <w:tcW w:w="992"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190"/>
        </w:trPr>
        <w:tc>
          <w:tcPr>
            <w:tcW w:w="1413" w:type="dxa"/>
          </w:tcPr>
          <w:p w:rsidR="006115DB" w:rsidRDefault="006115DB" w:rsidP="0085751F">
            <w:pPr>
              <w:jc w:val="left"/>
              <w:rPr>
                <w:rFonts w:ascii="Arial Narrow" w:hAnsi="Arial Narrow"/>
                <w:sz w:val="20"/>
              </w:rPr>
            </w:pPr>
            <w:r>
              <w:rPr>
                <w:rFonts w:ascii="Arial Narrow" w:hAnsi="Arial Narrow"/>
                <w:sz w:val="20"/>
              </w:rPr>
              <w:t>SA.9: Including drug wastage**</w:t>
            </w:r>
          </w:p>
        </w:tc>
        <w:tc>
          <w:tcPr>
            <w:tcW w:w="4961" w:type="dxa"/>
          </w:tcPr>
          <w:p w:rsidR="006115DB" w:rsidRPr="005E6E19" w:rsidRDefault="006115DB" w:rsidP="004E7393">
            <w:pPr>
              <w:rPr>
                <w:rFonts w:ascii="Arial Narrow" w:hAnsi="Arial Narrow"/>
                <w:sz w:val="20"/>
              </w:rPr>
            </w:pPr>
            <w:r w:rsidRPr="005E6E19">
              <w:rPr>
                <w:rFonts w:ascii="Arial Narrow" w:hAnsi="Arial Narrow"/>
                <w:sz w:val="20"/>
              </w:rPr>
              <w:t>2 vials of 100</w:t>
            </w:r>
            <w:r w:rsidR="0085751F" w:rsidRPr="005E6E19">
              <w:rPr>
                <w:rFonts w:ascii="Arial Narrow" w:hAnsi="Arial Narrow"/>
                <w:sz w:val="20"/>
              </w:rPr>
              <w:t> </w:t>
            </w:r>
            <w:r w:rsidRPr="005E6E19">
              <w:rPr>
                <w:rFonts w:ascii="Arial Narrow" w:hAnsi="Arial Narrow"/>
                <w:sz w:val="20"/>
              </w:rPr>
              <w:t>mg and 1 vial of 40</w:t>
            </w:r>
            <w:r w:rsidR="0085751F" w:rsidRPr="005E6E19">
              <w:rPr>
                <w:rFonts w:ascii="Arial Narrow" w:hAnsi="Arial Narrow"/>
                <w:sz w:val="20"/>
              </w:rPr>
              <w:t> </w:t>
            </w:r>
            <w:r w:rsidRPr="005E6E19">
              <w:rPr>
                <w:rFonts w:ascii="Arial Narrow" w:hAnsi="Arial Narrow"/>
                <w:sz w:val="20"/>
              </w:rPr>
              <w:t xml:space="preserve">mg for </w:t>
            </w:r>
            <w:proofErr w:type="spellStart"/>
            <w:r w:rsidRPr="005E6E19">
              <w:rPr>
                <w:rFonts w:ascii="Arial Narrow" w:hAnsi="Arial Narrow"/>
                <w:sz w:val="20"/>
              </w:rPr>
              <w:t>nivolumab</w:t>
            </w:r>
            <w:proofErr w:type="spellEnd"/>
          </w:p>
        </w:tc>
        <w:tc>
          <w:tcPr>
            <w:tcW w:w="992"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190"/>
        </w:trPr>
        <w:tc>
          <w:tcPr>
            <w:tcW w:w="1413" w:type="dxa"/>
          </w:tcPr>
          <w:p w:rsidR="006115DB" w:rsidRDefault="006115DB" w:rsidP="0085751F">
            <w:pPr>
              <w:jc w:val="left"/>
              <w:rPr>
                <w:rFonts w:ascii="Arial Narrow" w:hAnsi="Arial Narrow"/>
                <w:sz w:val="20"/>
              </w:rPr>
            </w:pPr>
            <w:r>
              <w:rPr>
                <w:rFonts w:ascii="Arial Narrow" w:hAnsi="Arial Narrow"/>
                <w:sz w:val="20"/>
              </w:rPr>
              <w:t>SA.8</w:t>
            </w:r>
            <w:r w:rsidR="0085751F">
              <w:rPr>
                <w:rFonts w:ascii="Arial Narrow" w:hAnsi="Arial Narrow"/>
                <w:sz w:val="20"/>
              </w:rPr>
              <w:t xml:space="preserve"> </w:t>
            </w:r>
            <w:r>
              <w:rPr>
                <w:rFonts w:ascii="Arial Narrow" w:hAnsi="Arial Narrow"/>
                <w:sz w:val="20"/>
              </w:rPr>
              <w:t>+</w:t>
            </w:r>
            <w:r w:rsidR="0085751F">
              <w:rPr>
                <w:rFonts w:ascii="Arial Narrow" w:hAnsi="Arial Narrow"/>
                <w:sz w:val="20"/>
              </w:rPr>
              <w:t xml:space="preserve"> </w:t>
            </w:r>
            <w:r>
              <w:rPr>
                <w:rFonts w:ascii="Arial Narrow" w:hAnsi="Arial Narrow"/>
                <w:sz w:val="20"/>
              </w:rPr>
              <w:t>SA.9</w:t>
            </w:r>
          </w:p>
        </w:tc>
        <w:tc>
          <w:tcPr>
            <w:tcW w:w="4961" w:type="dxa"/>
          </w:tcPr>
          <w:p w:rsidR="006115DB" w:rsidRPr="005E6E19" w:rsidRDefault="006115DB" w:rsidP="00833D92">
            <w:pPr>
              <w:rPr>
                <w:rFonts w:ascii="Arial Narrow" w:hAnsi="Arial Narrow"/>
                <w:sz w:val="20"/>
              </w:rPr>
            </w:pPr>
            <w:r w:rsidRPr="005E6E19">
              <w:rPr>
                <w:rFonts w:ascii="Arial Narrow" w:hAnsi="Arial Narrow"/>
                <w:sz w:val="20"/>
              </w:rPr>
              <w:t>5</w:t>
            </w:r>
            <w:r w:rsidR="00833D92">
              <w:rPr>
                <w:rFonts w:ascii="Arial Narrow" w:hAnsi="Arial Narrow"/>
                <w:sz w:val="20"/>
              </w:rPr>
              <w:t>-</w:t>
            </w:r>
            <w:r w:rsidRPr="005E6E19">
              <w:rPr>
                <w:rFonts w:ascii="Arial Narrow" w:hAnsi="Arial Narrow"/>
                <w:sz w:val="20"/>
              </w:rPr>
              <w:t xml:space="preserve">year time horizon and including wastage of </w:t>
            </w:r>
            <w:proofErr w:type="spellStart"/>
            <w:r w:rsidRPr="005E6E19">
              <w:rPr>
                <w:rFonts w:ascii="Arial Narrow" w:hAnsi="Arial Narrow"/>
                <w:sz w:val="20"/>
              </w:rPr>
              <w:t>nivolumab</w:t>
            </w:r>
            <w:proofErr w:type="spellEnd"/>
            <w:r w:rsidRPr="005E6E19">
              <w:rPr>
                <w:rFonts w:ascii="Arial Narrow" w:hAnsi="Arial Narrow" w:cs="Times New Roman"/>
                <w:sz w:val="20"/>
              </w:rPr>
              <w:t xml:space="preserve"> (extrapolation methods used as in the base case – log-logistic model for both PFS and OS in both arms)</w:t>
            </w:r>
          </w:p>
        </w:tc>
        <w:tc>
          <w:tcPr>
            <w:tcW w:w="992"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190"/>
        </w:trPr>
        <w:tc>
          <w:tcPr>
            <w:tcW w:w="1413" w:type="dxa"/>
          </w:tcPr>
          <w:p w:rsidR="006115DB" w:rsidRDefault="006115DB" w:rsidP="0085751F">
            <w:pPr>
              <w:jc w:val="left"/>
              <w:rPr>
                <w:rFonts w:ascii="Arial Narrow" w:hAnsi="Arial Narrow"/>
                <w:sz w:val="20"/>
              </w:rPr>
            </w:pPr>
            <w:r>
              <w:rPr>
                <w:rFonts w:ascii="Arial Narrow" w:hAnsi="Arial Narrow"/>
                <w:sz w:val="20"/>
              </w:rPr>
              <w:t>SA.7-1</w:t>
            </w:r>
            <w:r w:rsidR="0085751F">
              <w:rPr>
                <w:rFonts w:ascii="Arial Narrow" w:hAnsi="Arial Narrow"/>
                <w:sz w:val="20"/>
              </w:rPr>
              <w:t xml:space="preserve"> </w:t>
            </w:r>
            <w:r>
              <w:rPr>
                <w:rFonts w:ascii="Arial Narrow" w:hAnsi="Arial Narrow"/>
                <w:sz w:val="20"/>
              </w:rPr>
              <w:t>+</w:t>
            </w:r>
            <w:r w:rsidR="0085751F">
              <w:rPr>
                <w:rFonts w:ascii="Arial Narrow" w:hAnsi="Arial Narrow"/>
                <w:sz w:val="20"/>
              </w:rPr>
              <w:t xml:space="preserve"> </w:t>
            </w:r>
            <w:r>
              <w:rPr>
                <w:rFonts w:ascii="Arial Narrow" w:hAnsi="Arial Narrow"/>
                <w:sz w:val="20"/>
              </w:rPr>
              <w:t>SA.7-2</w:t>
            </w:r>
            <w:r w:rsidR="0085751F">
              <w:rPr>
                <w:rFonts w:ascii="Arial Narrow" w:hAnsi="Arial Narrow"/>
                <w:sz w:val="20"/>
              </w:rPr>
              <w:t xml:space="preserve"> </w:t>
            </w:r>
            <w:r>
              <w:rPr>
                <w:rFonts w:ascii="Arial Narrow" w:hAnsi="Arial Narrow"/>
                <w:sz w:val="20"/>
              </w:rPr>
              <w:t>+</w:t>
            </w:r>
            <w:r w:rsidR="0085751F">
              <w:rPr>
                <w:rFonts w:ascii="Arial Narrow" w:hAnsi="Arial Narrow"/>
                <w:sz w:val="20"/>
              </w:rPr>
              <w:t xml:space="preserve"> </w:t>
            </w:r>
            <w:r>
              <w:rPr>
                <w:rFonts w:ascii="Arial Narrow" w:hAnsi="Arial Narrow"/>
                <w:sz w:val="20"/>
              </w:rPr>
              <w:t>SA.8</w:t>
            </w:r>
            <w:r w:rsidR="0085751F">
              <w:rPr>
                <w:rFonts w:ascii="Arial Narrow" w:hAnsi="Arial Narrow"/>
                <w:sz w:val="20"/>
              </w:rPr>
              <w:t xml:space="preserve"> </w:t>
            </w:r>
            <w:r>
              <w:rPr>
                <w:rFonts w:ascii="Arial Narrow" w:hAnsi="Arial Narrow"/>
                <w:sz w:val="20"/>
              </w:rPr>
              <w:t>+</w:t>
            </w:r>
            <w:r w:rsidR="0085751F">
              <w:rPr>
                <w:rFonts w:ascii="Arial Narrow" w:hAnsi="Arial Narrow"/>
                <w:sz w:val="20"/>
              </w:rPr>
              <w:t xml:space="preserve"> </w:t>
            </w:r>
            <w:r>
              <w:rPr>
                <w:rFonts w:ascii="Arial Narrow" w:hAnsi="Arial Narrow"/>
                <w:sz w:val="20"/>
              </w:rPr>
              <w:t>SA.9</w:t>
            </w:r>
          </w:p>
        </w:tc>
        <w:tc>
          <w:tcPr>
            <w:tcW w:w="4961" w:type="dxa"/>
          </w:tcPr>
          <w:p w:rsidR="006115DB" w:rsidRPr="005E6E19" w:rsidRDefault="00833D92" w:rsidP="004E7393">
            <w:pPr>
              <w:rPr>
                <w:rFonts w:ascii="Arial Narrow" w:hAnsi="Arial Narrow"/>
                <w:sz w:val="20"/>
              </w:rPr>
            </w:pPr>
            <w:r>
              <w:rPr>
                <w:rFonts w:ascii="Arial Narrow" w:hAnsi="Arial Narrow" w:cs="Times New Roman"/>
                <w:sz w:val="20"/>
              </w:rPr>
              <w:t>5-</w:t>
            </w:r>
            <w:r w:rsidR="006115DB" w:rsidRPr="005E6E19">
              <w:rPr>
                <w:rFonts w:ascii="Arial Narrow" w:hAnsi="Arial Narrow" w:cs="Times New Roman"/>
                <w:sz w:val="20"/>
              </w:rPr>
              <w:t xml:space="preserve">year time horizon, including wastage of </w:t>
            </w:r>
            <w:proofErr w:type="spellStart"/>
            <w:r w:rsidR="006115DB" w:rsidRPr="005E6E19">
              <w:rPr>
                <w:rFonts w:ascii="Arial Narrow" w:hAnsi="Arial Narrow" w:cs="Times New Roman"/>
                <w:sz w:val="20"/>
              </w:rPr>
              <w:t>nivolumab</w:t>
            </w:r>
            <w:proofErr w:type="spellEnd"/>
            <w:r w:rsidR="006115DB" w:rsidRPr="005E6E19">
              <w:rPr>
                <w:rFonts w:ascii="Arial Narrow" w:hAnsi="Arial Narrow" w:cs="Times New Roman"/>
                <w:sz w:val="20"/>
              </w:rPr>
              <w:t xml:space="preserve">, assuming </w:t>
            </w:r>
            <w:proofErr w:type="spellStart"/>
            <w:r w:rsidR="006115DB" w:rsidRPr="005E6E19">
              <w:rPr>
                <w:rFonts w:ascii="Arial Narrow" w:hAnsi="Arial Narrow" w:cs="Times New Roman"/>
                <w:sz w:val="20"/>
              </w:rPr>
              <w:t>docetaxel</w:t>
            </w:r>
            <w:proofErr w:type="spellEnd"/>
            <w:r w:rsidR="006115DB" w:rsidRPr="005E6E19">
              <w:rPr>
                <w:rFonts w:ascii="Arial Narrow" w:hAnsi="Arial Narrow" w:cs="Times New Roman"/>
                <w:sz w:val="20"/>
              </w:rPr>
              <w:t xml:space="preserve"> and </w:t>
            </w:r>
            <w:proofErr w:type="spellStart"/>
            <w:r w:rsidR="006115DB" w:rsidRPr="005E6E19">
              <w:rPr>
                <w:rFonts w:ascii="Arial Narrow" w:hAnsi="Arial Narrow" w:cs="Times New Roman"/>
                <w:sz w:val="20"/>
              </w:rPr>
              <w:t>nivolumab</w:t>
            </w:r>
            <w:proofErr w:type="spellEnd"/>
            <w:r w:rsidR="006115DB" w:rsidRPr="005E6E19">
              <w:rPr>
                <w:rFonts w:ascii="Arial Narrow" w:hAnsi="Arial Narrow" w:cs="Times New Roman"/>
                <w:sz w:val="20"/>
              </w:rPr>
              <w:t xml:space="preserve"> pre-progression and post-progression costs equal, </w:t>
            </w:r>
            <w:r w:rsidR="006115DB" w:rsidRPr="005E6E19">
              <w:rPr>
                <w:rFonts w:ascii="Arial Narrow" w:eastAsia="Calibri" w:hAnsi="Arial Narrow" w:cs="Times New Roman"/>
                <w:sz w:val="20"/>
              </w:rPr>
              <w:t>and post-progression costs equal regardless of years spent in the progressive disease</w:t>
            </w:r>
          </w:p>
        </w:tc>
        <w:tc>
          <w:tcPr>
            <w:tcW w:w="992"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190"/>
        </w:trPr>
        <w:tc>
          <w:tcPr>
            <w:tcW w:w="1413" w:type="dxa"/>
          </w:tcPr>
          <w:p w:rsidR="006115DB" w:rsidRDefault="006115DB" w:rsidP="0085751F">
            <w:pPr>
              <w:jc w:val="left"/>
              <w:rPr>
                <w:rFonts w:ascii="Arial Narrow" w:hAnsi="Arial Narrow"/>
                <w:sz w:val="20"/>
              </w:rPr>
            </w:pPr>
            <w:r>
              <w:rPr>
                <w:rFonts w:ascii="Arial Narrow" w:hAnsi="Arial Narrow"/>
                <w:sz w:val="20"/>
              </w:rPr>
              <w:t>SA.5</w:t>
            </w:r>
            <w:r w:rsidR="0085751F">
              <w:rPr>
                <w:rFonts w:ascii="Arial Narrow" w:hAnsi="Arial Narrow"/>
                <w:sz w:val="20"/>
              </w:rPr>
              <w:t xml:space="preserve"> </w:t>
            </w:r>
            <w:r>
              <w:rPr>
                <w:rFonts w:ascii="Arial Narrow" w:hAnsi="Arial Narrow"/>
                <w:sz w:val="20"/>
              </w:rPr>
              <w:t>+</w:t>
            </w:r>
            <w:r w:rsidR="0085751F">
              <w:rPr>
                <w:rFonts w:ascii="Arial Narrow" w:hAnsi="Arial Narrow"/>
                <w:sz w:val="20"/>
              </w:rPr>
              <w:t xml:space="preserve"> </w:t>
            </w:r>
            <w:r>
              <w:rPr>
                <w:rFonts w:ascii="Arial Narrow" w:hAnsi="Arial Narrow"/>
                <w:sz w:val="20"/>
              </w:rPr>
              <w:t>SA.8</w:t>
            </w:r>
            <w:r w:rsidR="0085751F">
              <w:rPr>
                <w:rFonts w:ascii="Arial Narrow" w:hAnsi="Arial Narrow"/>
                <w:sz w:val="20"/>
              </w:rPr>
              <w:t xml:space="preserve"> </w:t>
            </w:r>
            <w:r>
              <w:rPr>
                <w:rFonts w:ascii="Arial Narrow" w:hAnsi="Arial Narrow"/>
                <w:sz w:val="20"/>
              </w:rPr>
              <w:t>+</w:t>
            </w:r>
            <w:r w:rsidR="0085751F">
              <w:rPr>
                <w:rFonts w:ascii="Arial Narrow" w:hAnsi="Arial Narrow"/>
                <w:sz w:val="20"/>
              </w:rPr>
              <w:t xml:space="preserve"> </w:t>
            </w:r>
            <w:r>
              <w:rPr>
                <w:rFonts w:ascii="Arial Narrow" w:hAnsi="Arial Narrow"/>
                <w:sz w:val="20"/>
              </w:rPr>
              <w:t>SA.9</w:t>
            </w:r>
          </w:p>
        </w:tc>
        <w:tc>
          <w:tcPr>
            <w:tcW w:w="4961" w:type="dxa"/>
          </w:tcPr>
          <w:p w:rsidR="006115DB" w:rsidRPr="005E6E19" w:rsidRDefault="006115DB" w:rsidP="00833D92">
            <w:pPr>
              <w:rPr>
                <w:rFonts w:ascii="Arial Narrow" w:hAnsi="Arial Narrow"/>
                <w:sz w:val="20"/>
              </w:rPr>
            </w:pPr>
            <w:r w:rsidRPr="005E6E19">
              <w:rPr>
                <w:rFonts w:ascii="Arial Narrow" w:hAnsi="Arial Narrow"/>
                <w:sz w:val="20"/>
              </w:rPr>
              <w:t>5</w:t>
            </w:r>
            <w:r w:rsidR="00833D92">
              <w:rPr>
                <w:rFonts w:ascii="Arial Narrow" w:hAnsi="Arial Narrow"/>
                <w:sz w:val="20"/>
              </w:rPr>
              <w:t>-</w:t>
            </w:r>
            <w:r w:rsidRPr="005E6E19">
              <w:rPr>
                <w:rFonts w:ascii="Arial Narrow" w:hAnsi="Arial Narrow"/>
                <w:sz w:val="20"/>
              </w:rPr>
              <w:t xml:space="preserve">year time horizon, including wastage of </w:t>
            </w:r>
            <w:proofErr w:type="spellStart"/>
            <w:r w:rsidRPr="005E6E19">
              <w:rPr>
                <w:rFonts w:ascii="Arial Narrow" w:hAnsi="Arial Narrow"/>
                <w:sz w:val="20"/>
              </w:rPr>
              <w:t>nivolumab</w:t>
            </w:r>
            <w:proofErr w:type="spellEnd"/>
            <w:r w:rsidRPr="005E6E19">
              <w:rPr>
                <w:rFonts w:ascii="Arial Narrow" w:hAnsi="Arial Narrow"/>
                <w:sz w:val="20"/>
              </w:rPr>
              <w:t xml:space="preserve"> and extrapolation using Weibull for PFS and OS in both arms</w:t>
            </w:r>
          </w:p>
        </w:tc>
        <w:tc>
          <w:tcPr>
            <w:tcW w:w="992"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r>
      <w:tr w:rsidR="006115DB" w:rsidTr="0085751F">
        <w:trPr>
          <w:trHeight w:val="190"/>
        </w:trPr>
        <w:tc>
          <w:tcPr>
            <w:tcW w:w="1413" w:type="dxa"/>
          </w:tcPr>
          <w:p w:rsidR="006115DB" w:rsidRDefault="006115DB" w:rsidP="0085751F">
            <w:pPr>
              <w:jc w:val="left"/>
              <w:rPr>
                <w:rFonts w:ascii="Arial Narrow" w:hAnsi="Arial Narrow"/>
                <w:sz w:val="20"/>
              </w:rPr>
            </w:pPr>
            <w:r>
              <w:rPr>
                <w:rFonts w:ascii="Arial Narrow" w:hAnsi="Arial Narrow"/>
                <w:sz w:val="20"/>
              </w:rPr>
              <w:t>SA.5</w:t>
            </w:r>
            <w:r w:rsidR="0085751F">
              <w:rPr>
                <w:rFonts w:ascii="Arial Narrow" w:hAnsi="Arial Narrow"/>
                <w:sz w:val="20"/>
              </w:rPr>
              <w:t xml:space="preserve"> </w:t>
            </w:r>
            <w:r>
              <w:rPr>
                <w:rFonts w:ascii="Arial Narrow" w:hAnsi="Arial Narrow"/>
                <w:sz w:val="20"/>
              </w:rPr>
              <w:t>+</w:t>
            </w:r>
            <w:r w:rsidR="0085751F">
              <w:rPr>
                <w:rFonts w:ascii="Arial Narrow" w:hAnsi="Arial Narrow"/>
                <w:sz w:val="20"/>
              </w:rPr>
              <w:t xml:space="preserve"> </w:t>
            </w:r>
            <w:r>
              <w:rPr>
                <w:rFonts w:ascii="Arial Narrow" w:hAnsi="Arial Narrow"/>
                <w:sz w:val="20"/>
              </w:rPr>
              <w:t>SA.7-1</w:t>
            </w:r>
            <w:r w:rsidR="0085751F">
              <w:rPr>
                <w:rFonts w:ascii="Arial Narrow" w:hAnsi="Arial Narrow"/>
                <w:sz w:val="20"/>
              </w:rPr>
              <w:t xml:space="preserve"> </w:t>
            </w:r>
            <w:r>
              <w:rPr>
                <w:rFonts w:ascii="Arial Narrow" w:hAnsi="Arial Narrow"/>
                <w:sz w:val="20"/>
              </w:rPr>
              <w:t>+</w:t>
            </w:r>
            <w:r w:rsidR="0085751F">
              <w:rPr>
                <w:rFonts w:ascii="Arial Narrow" w:hAnsi="Arial Narrow"/>
                <w:sz w:val="20"/>
              </w:rPr>
              <w:t xml:space="preserve"> </w:t>
            </w:r>
            <w:r>
              <w:rPr>
                <w:rFonts w:ascii="Arial Narrow" w:hAnsi="Arial Narrow"/>
                <w:sz w:val="20"/>
              </w:rPr>
              <w:t>SA.7-2</w:t>
            </w:r>
            <w:r w:rsidR="0085751F">
              <w:rPr>
                <w:rFonts w:ascii="Arial Narrow" w:hAnsi="Arial Narrow"/>
                <w:sz w:val="20"/>
              </w:rPr>
              <w:t xml:space="preserve"> </w:t>
            </w:r>
            <w:r>
              <w:rPr>
                <w:rFonts w:ascii="Arial Narrow" w:hAnsi="Arial Narrow"/>
                <w:sz w:val="20"/>
              </w:rPr>
              <w:t>+</w:t>
            </w:r>
            <w:r w:rsidR="0085751F">
              <w:rPr>
                <w:rFonts w:ascii="Arial Narrow" w:hAnsi="Arial Narrow"/>
                <w:sz w:val="20"/>
              </w:rPr>
              <w:t xml:space="preserve"> </w:t>
            </w:r>
            <w:r>
              <w:rPr>
                <w:rFonts w:ascii="Arial Narrow" w:hAnsi="Arial Narrow"/>
                <w:sz w:val="20"/>
              </w:rPr>
              <w:t>SA.8</w:t>
            </w:r>
            <w:r w:rsidR="0085751F">
              <w:rPr>
                <w:rFonts w:ascii="Arial Narrow" w:hAnsi="Arial Narrow"/>
                <w:sz w:val="20"/>
              </w:rPr>
              <w:t xml:space="preserve"> </w:t>
            </w:r>
            <w:r>
              <w:rPr>
                <w:rFonts w:ascii="Arial Narrow" w:hAnsi="Arial Narrow"/>
                <w:sz w:val="20"/>
              </w:rPr>
              <w:t>+</w:t>
            </w:r>
            <w:r w:rsidR="0085751F">
              <w:rPr>
                <w:rFonts w:ascii="Arial Narrow" w:hAnsi="Arial Narrow"/>
                <w:sz w:val="20"/>
              </w:rPr>
              <w:t xml:space="preserve"> </w:t>
            </w:r>
            <w:r>
              <w:rPr>
                <w:rFonts w:ascii="Arial Narrow" w:hAnsi="Arial Narrow"/>
                <w:sz w:val="20"/>
              </w:rPr>
              <w:t>SA.9</w:t>
            </w:r>
          </w:p>
        </w:tc>
        <w:tc>
          <w:tcPr>
            <w:tcW w:w="4961" w:type="dxa"/>
          </w:tcPr>
          <w:p w:rsidR="006115DB" w:rsidRPr="005E6E19" w:rsidRDefault="00833D92" w:rsidP="004E7393">
            <w:pPr>
              <w:rPr>
                <w:rFonts w:ascii="Arial Narrow" w:hAnsi="Arial Narrow"/>
                <w:sz w:val="20"/>
              </w:rPr>
            </w:pPr>
            <w:r>
              <w:rPr>
                <w:rFonts w:ascii="Arial Narrow" w:hAnsi="Arial Narrow" w:cs="Times New Roman"/>
                <w:sz w:val="20"/>
              </w:rPr>
              <w:t>5-</w:t>
            </w:r>
            <w:r w:rsidR="006115DB" w:rsidRPr="005E6E19">
              <w:rPr>
                <w:rFonts w:ascii="Arial Narrow" w:hAnsi="Arial Narrow" w:cs="Times New Roman"/>
                <w:sz w:val="20"/>
              </w:rPr>
              <w:t xml:space="preserve">year time horizon, including wastage of </w:t>
            </w:r>
            <w:proofErr w:type="spellStart"/>
            <w:r w:rsidR="006115DB" w:rsidRPr="005E6E19">
              <w:rPr>
                <w:rFonts w:ascii="Arial Narrow" w:hAnsi="Arial Narrow" w:cs="Times New Roman"/>
                <w:sz w:val="20"/>
              </w:rPr>
              <w:t>nivolumab</w:t>
            </w:r>
            <w:proofErr w:type="spellEnd"/>
            <w:r w:rsidR="006115DB" w:rsidRPr="005E6E19">
              <w:rPr>
                <w:rFonts w:ascii="Arial Narrow" w:hAnsi="Arial Narrow" w:cs="Times New Roman"/>
                <w:sz w:val="20"/>
              </w:rPr>
              <w:t xml:space="preserve">, assuming </w:t>
            </w:r>
            <w:proofErr w:type="spellStart"/>
            <w:r w:rsidR="006115DB" w:rsidRPr="005E6E19">
              <w:rPr>
                <w:rFonts w:ascii="Arial Narrow" w:hAnsi="Arial Narrow" w:cs="Times New Roman"/>
                <w:sz w:val="20"/>
              </w:rPr>
              <w:t>docetaxel</w:t>
            </w:r>
            <w:proofErr w:type="spellEnd"/>
            <w:r w:rsidR="006115DB" w:rsidRPr="005E6E19">
              <w:rPr>
                <w:rFonts w:ascii="Arial Narrow" w:hAnsi="Arial Narrow" w:cs="Times New Roman"/>
                <w:sz w:val="20"/>
              </w:rPr>
              <w:t xml:space="preserve"> and </w:t>
            </w:r>
            <w:proofErr w:type="spellStart"/>
            <w:r w:rsidR="006115DB" w:rsidRPr="005E6E19">
              <w:rPr>
                <w:rFonts w:ascii="Arial Narrow" w:hAnsi="Arial Narrow" w:cs="Times New Roman"/>
                <w:sz w:val="20"/>
              </w:rPr>
              <w:t>nivolumab</w:t>
            </w:r>
            <w:proofErr w:type="spellEnd"/>
            <w:r w:rsidR="006115DB" w:rsidRPr="005E6E19">
              <w:rPr>
                <w:rFonts w:ascii="Arial Narrow" w:hAnsi="Arial Narrow" w:cs="Times New Roman"/>
                <w:sz w:val="20"/>
              </w:rPr>
              <w:t xml:space="preserve"> pre-progression and post-progression costs equal, </w:t>
            </w:r>
            <w:r w:rsidR="006115DB" w:rsidRPr="005E6E19">
              <w:rPr>
                <w:rFonts w:ascii="Arial Narrow" w:eastAsia="Calibri" w:hAnsi="Arial Narrow" w:cs="Times New Roman"/>
                <w:sz w:val="20"/>
              </w:rPr>
              <w:t>and post-progression costs equal regardless of years spent in progressive disease, extrapolating using Weibull model for both PFS and OS in both arms</w:t>
            </w:r>
          </w:p>
        </w:tc>
        <w:tc>
          <w:tcPr>
            <w:tcW w:w="992"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c>
          <w:tcPr>
            <w:tcW w:w="1054" w:type="dxa"/>
          </w:tcPr>
          <w:p w:rsidR="006115DB" w:rsidRPr="005E6E19" w:rsidRDefault="006115DB" w:rsidP="004E7393">
            <w:pPr>
              <w:jc w:val="right"/>
              <w:rPr>
                <w:rFonts w:ascii="Arial Narrow" w:hAnsi="Arial Narrow"/>
                <w:sz w:val="20"/>
              </w:rPr>
            </w:pPr>
            <w:r w:rsidRPr="005E6E19">
              <w:rPr>
                <w:rFonts w:ascii="Arial Narrow" w:hAnsi="Arial Narrow"/>
                <w:sz w:val="20"/>
              </w:rPr>
              <w:t>$</w:t>
            </w:r>
            <w:r w:rsidR="00557316">
              <w:rPr>
                <w:rFonts w:ascii="Arial Narrow" w:hAnsi="Arial Narrow"/>
                <w:noProof/>
                <w:color w:val="000000"/>
                <w:sz w:val="20"/>
                <w:highlight w:val="black"/>
              </w:rPr>
              <w:t>'''''''''''''''''''</w:t>
            </w:r>
          </w:p>
        </w:tc>
      </w:tr>
    </w:tbl>
    <w:p w:rsidR="006115DB" w:rsidRDefault="006115DB" w:rsidP="006115DB">
      <w:pPr>
        <w:pStyle w:val="TableFooter"/>
        <w:ind w:left="720"/>
      </w:pPr>
      <w:r>
        <w:t>*</w:t>
      </w:r>
      <w:r w:rsidR="0085751F">
        <w:t xml:space="preserve"> </w:t>
      </w:r>
      <w:r>
        <w:t xml:space="preserve">Since </w:t>
      </w:r>
      <w:r w:rsidRPr="00E460E0">
        <w:t xml:space="preserve">the </w:t>
      </w:r>
      <w:r>
        <w:t xml:space="preserve">observed </w:t>
      </w:r>
      <w:r w:rsidRPr="00E460E0">
        <w:t xml:space="preserve">utility for progressive disease in the </w:t>
      </w:r>
      <w:proofErr w:type="spellStart"/>
      <w:r w:rsidRPr="00E460E0">
        <w:t>nivolumab</w:t>
      </w:r>
      <w:proofErr w:type="spellEnd"/>
      <w:r w:rsidRPr="00E460E0">
        <w:t xml:space="preserve"> arm </w:t>
      </w:r>
      <w:r>
        <w:t xml:space="preserve">in CA2-09-017 </w:t>
      </w:r>
      <w:r w:rsidR="0085751F">
        <w:t>wa</w:t>
      </w:r>
      <w:r w:rsidRPr="00E460E0">
        <w:t xml:space="preserve">s lower than that in the </w:t>
      </w:r>
      <w:proofErr w:type="spellStart"/>
      <w:r w:rsidRPr="00E460E0">
        <w:t>docetaxel</w:t>
      </w:r>
      <w:proofErr w:type="spellEnd"/>
      <w:r w:rsidRPr="00E460E0">
        <w:t xml:space="preserve"> arm</w:t>
      </w:r>
      <w:r>
        <w:t xml:space="preserve">, </w:t>
      </w:r>
      <w:r w:rsidRPr="00E460E0">
        <w:t xml:space="preserve">the </w:t>
      </w:r>
      <w:r>
        <w:t xml:space="preserve">observed </w:t>
      </w:r>
      <w:r w:rsidRPr="00E460E0">
        <w:t xml:space="preserve">utility value for “progressive disease” in the </w:t>
      </w:r>
      <w:proofErr w:type="spellStart"/>
      <w:r w:rsidRPr="00E460E0">
        <w:t>docetaxel</w:t>
      </w:r>
      <w:proofErr w:type="spellEnd"/>
      <w:r w:rsidRPr="00E460E0">
        <w:t xml:space="preserve"> treatment arm </w:t>
      </w:r>
      <w:r w:rsidR="0085751F">
        <w:t>wa</w:t>
      </w:r>
      <w:r w:rsidRPr="00E460E0">
        <w:t>s applied to both treatment arms</w:t>
      </w:r>
      <w:r>
        <w:t xml:space="preserve"> in the base case</w:t>
      </w:r>
      <w:r w:rsidRPr="00E460E0">
        <w:t xml:space="preserve">. The submission </w:t>
      </w:r>
      <w:r>
        <w:t>argued</w:t>
      </w:r>
      <w:r w:rsidRPr="00E460E0">
        <w:t xml:space="preserve"> that “it seems implausible that patients in the </w:t>
      </w:r>
      <w:proofErr w:type="spellStart"/>
      <w:r w:rsidRPr="00E460E0">
        <w:t>nivolumab</w:t>
      </w:r>
      <w:proofErr w:type="spellEnd"/>
      <w:r w:rsidRPr="00E460E0">
        <w:t xml:space="preserve"> treatment arm should have a lower ‘progressive disease’ utility value”.</w:t>
      </w:r>
    </w:p>
    <w:p w:rsidR="006115DB" w:rsidRDefault="006115DB" w:rsidP="006115DB">
      <w:pPr>
        <w:pStyle w:val="TableFooter"/>
        <w:ind w:left="720"/>
      </w:pPr>
      <w:r>
        <w:t>**</w:t>
      </w:r>
      <w:r w:rsidR="0085751F">
        <w:t xml:space="preserve"> </w:t>
      </w:r>
      <w:r>
        <w:t xml:space="preserve">Wastage of </w:t>
      </w:r>
      <w:proofErr w:type="spellStart"/>
      <w:r>
        <w:t>docetaxel</w:t>
      </w:r>
      <w:proofErr w:type="spellEnd"/>
      <w:r>
        <w:t xml:space="preserve"> </w:t>
      </w:r>
      <w:r w:rsidR="0085751F">
        <w:t>w</w:t>
      </w:r>
      <w:r>
        <w:t>as not included</w:t>
      </w:r>
      <w:r w:rsidR="0085751F">
        <w:t>,</w:t>
      </w:r>
      <w:r>
        <w:t xml:space="preserve"> but this would not have a material impact on the result</w:t>
      </w:r>
      <w:r w:rsidR="0085751F">
        <w:t>s</w:t>
      </w:r>
      <w:r>
        <w:t xml:space="preserve"> of the economic evaluation.</w:t>
      </w:r>
    </w:p>
    <w:p w:rsidR="006115DB" w:rsidRDefault="0085751F" w:rsidP="006115DB">
      <w:pPr>
        <w:pStyle w:val="TableFooter"/>
        <w:ind w:firstLine="720"/>
      </w:pPr>
      <w:r>
        <w:t>LY=life year; QALY</w:t>
      </w:r>
      <w:r w:rsidR="006115DB">
        <w:t>=</w:t>
      </w:r>
      <w:r>
        <w:t>quality-adjusted life year; PFS</w:t>
      </w:r>
      <w:r w:rsidR="006115DB">
        <w:t>=</w:t>
      </w:r>
      <w:r>
        <w:t>progression</w:t>
      </w:r>
      <w:r w:rsidR="00EA605A">
        <w:t>-</w:t>
      </w:r>
      <w:r>
        <w:t>free survival; OS=overall survival</w:t>
      </w:r>
    </w:p>
    <w:p w:rsidR="006115DB" w:rsidRPr="00F301BC" w:rsidRDefault="006115DB" w:rsidP="006115DB">
      <w:pPr>
        <w:pStyle w:val="TableFooter"/>
        <w:ind w:firstLine="720"/>
      </w:pPr>
      <w:r>
        <w:t>Source: Table 79, p167 of the submission and additional analyses conducted during the evaluation.</w:t>
      </w:r>
    </w:p>
    <w:p w:rsidR="00662DF1" w:rsidRPr="0085751F" w:rsidRDefault="00662DF1" w:rsidP="0085751F">
      <w:pPr>
        <w:rPr>
          <w:szCs w:val="22"/>
        </w:rPr>
      </w:pPr>
    </w:p>
    <w:p w:rsidR="006115DB" w:rsidRPr="005E6E19" w:rsidRDefault="006115DB" w:rsidP="0073258E">
      <w:pPr>
        <w:pStyle w:val="ListParagraph"/>
        <w:widowControl/>
        <w:numPr>
          <w:ilvl w:val="1"/>
          <w:numId w:val="2"/>
        </w:numPr>
        <w:rPr>
          <w:szCs w:val="22"/>
        </w:rPr>
      </w:pPr>
      <w:r w:rsidRPr="005E6E19">
        <w:rPr>
          <w:szCs w:val="22"/>
        </w:rPr>
        <w:t xml:space="preserve">Table 11 </w:t>
      </w:r>
      <w:r w:rsidR="0085751F" w:rsidRPr="005E6E19">
        <w:rPr>
          <w:szCs w:val="22"/>
        </w:rPr>
        <w:t>indicates that the model wa</w:t>
      </w:r>
      <w:r w:rsidRPr="005E6E19">
        <w:rPr>
          <w:szCs w:val="22"/>
        </w:rPr>
        <w:t xml:space="preserve">s sensitive to time horizon, treatment effect of </w:t>
      </w:r>
      <w:proofErr w:type="spellStart"/>
      <w:r w:rsidRPr="005E6E19">
        <w:rPr>
          <w:szCs w:val="22"/>
        </w:rPr>
        <w:t>nivolumab</w:t>
      </w:r>
      <w:proofErr w:type="spellEnd"/>
      <w:r w:rsidRPr="005E6E19">
        <w:rPr>
          <w:szCs w:val="22"/>
        </w:rPr>
        <w:t xml:space="preserve"> compared with </w:t>
      </w:r>
      <w:proofErr w:type="spellStart"/>
      <w:r w:rsidRPr="005E6E19">
        <w:rPr>
          <w:szCs w:val="22"/>
        </w:rPr>
        <w:t>docetaxel</w:t>
      </w:r>
      <w:proofErr w:type="spellEnd"/>
      <w:r w:rsidRPr="005E6E19">
        <w:rPr>
          <w:szCs w:val="22"/>
        </w:rPr>
        <w:t xml:space="preserve"> in terms of 95% confidence intervals for PFS and OS, method of extrapolation, utility values and the assumption that the disease management cost reduces substantially when patients survive more than 2 years post progression.</w:t>
      </w:r>
    </w:p>
    <w:p w:rsidR="006115DB" w:rsidRPr="005E6E19" w:rsidRDefault="006115DB" w:rsidP="006115DB">
      <w:pPr>
        <w:widowControl/>
        <w:rPr>
          <w:szCs w:val="22"/>
        </w:rPr>
      </w:pPr>
    </w:p>
    <w:p w:rsidR="006115DB" w:rsidRPr="005E6E19" w:rsidRDefault="006115DB" w:rsidP="0073258E">
      <w:pPr>
        <w:pStyle w:val="ListParagraph"/>
        <w:widowControl/>
        <w:numPr>
          <w:ilvl w:val="1"/>
          <w:numId w:val="2"/>
        </w:numPr>
        <w:rPr>
          <w:szCs w:val="22"/>
        </w:rPr>
      </w:pPr>
      <w:r w:rsidRPr="005E6E19">
        <w:rPr>
          <w:szCs w:val="22"/>
        </w:rPr>
        <w:t>Time horizon an</w:t>
      </w:r>
      <w:r w:rsidR="0085751F" w:rsidRPr="005E6E19">
        <w:rPr>
          <w:szCs w:val="22"/>
        </w:rPr>
        <w:t>d extrapolation methods had</w:t>
      </w:r>
      <w:r w:rsidRPr="005E6E19">
        <w:rPr>
          <w:szCs w:val="22"/>
        </w:rPr>
        <w:t xml:space="preserve"> the most impact on the result of the economic evaluation. When using a 3-year time horizon, the ICER increase</w:t>
      </w:r>
      <w:r w:rsidR="0085751F" w:rsidRPr="005E6E19">
        <w:rPr>
          <w:szCs w:val="22"/>
        </w:rPr>
        <w:t>d</w:t>
      </w:r>
      <w:r w:rsidRPr="005E6E19">
        <w:rPr>
          <w:szCs w:val="22"/>
        </w:rPr>
        <w:t xml:space="preserve"> to </w:t>
      </w:r>
      <w:r w:rsidR="00E3439C">
        <w:rPr>
          <w:szCs w:val="22"/>
        </w:rPr>
        <w:t xml:space="preserve">$75,000/QALY - $105,000/QALY </w:t>
      </w:r>
      <w:r w:rsidR="00641F05">
        <w:rPr>
          <w:szCs w:val="22"/>
        </w:rPr>
        <w:t>gained</w:t>
      </w:r>
      <w:r w:rsidR="00641F05" w:rsidRPr="005E6E19">
        <w:rPr>
          <w:szCs w:val="22"/>
        </w:rPr>
        <w:t xml:space="preserve"> </w:t>
      </w:r>
      <w:r w:rsidRPr="005E6E19">
        <w:rPr>
          <w:szCs w:val="22"/>
        </w:rPr>
        <w:t xml:space="preserve">from the base case of </w:t>
      </w:r>
      <w:r w:rsidR="00EF3206">
        <w:rPr>
          <w:szCs w:val="22"/>
        </w:rPr>
        <w:t xml:space="preserve">$45,000/QALY - $75,000/QALY </w:t>
      </w:r>
      <w:r w:rsidR="00641F05">
        <w:rPr>
          <w:szCs w:val="22"/>
        </w:rPr>
        <w:t>gained</w:t>
      </w:r>
      <w:r w:rsidRPr="005E6E19">
        <w:rPr>
          <w:szCs w:val="22"/>
        </w:rPr>
        <w:t xml:space="preserve">. </w:t>
      </w:r>
      <w:r w:rsidR="0085751F" w:rsidRPr="005E6E19">
        <w:rPr>
          <w:szCs w:val="22"/>
        </w:rPr>
        <w:t>When</w:t>
      </w:r>
      <w:r w:rsidRPr="005E6E19">
        <w:rPr>
          <w:szCs w:val="22"/>
        </w:rPr>
        <w:t xml:space="preserve"> extrapolating both PFS and OS with Weibull models in both treatment arms, the ICER increase</w:t>
      </w:r>
      <w:r w:rsidR="0085751F" w:rsidRPr="005E6E19">
        <w:rPr>
          <w:szCs w:val="22"/>
        </w:rPr>
        <w:t>d</w:t>
      </w:r>
      <w:r w:rsidRPr="005E6E19">
        <w:rPr>
          <w:szCs w:val="22"/>
        </w:rPr>
        <w:t xml:space="preserve"> to </w:t>
      </w:r>
      <w:r w:rsidR="00EF3206">
        <w:rPr>
          <w:szCs w:val="22"/>
        </w:rPr>
        <w:t xml:space="preserve">$75,000/QALY - $105,000/QALY </w:t>
      </w:r>
      <w:r w:rsidR="00641F05">
        <w:rPr>
          <w:szCs w:val="22"/>
        </w:rPr>
        <w:t>gained</w:t>
      </w:r>
      <w:r w:rsidRPr="005E6E19">
        <w:rPr>
          <w:szCs w:val="22"/>
        </w:rPr>
        <w:t>.</w:t>
      </w:r>
    </w:p>
    <w:p w:rsidR="006115DB" w:rsidRPr="0085751F" w:rsidRDefault="006115DB" w:rsidP="006115DB">
      <w:pPr>
        <w:widowControl/>
        <w:rPr>
          <w:szCs w:val="22"/>
        </w:rPr>
      </w:pPr>
    </w:p>
    <w:p w:rsidR="006115DB" w:rsidRPr="005E6E19" w:rsidRDefault="006115DB" w:rsidP="0073258E">
      <w:pPr>
        <w:pStyle w:val="ListParagraph"/>
        <w:widowControl/>
        <w:numPr>
          <w:ilvl w:val="1"/>
          <w:numId w:val="2"/>
        </w:numPr>
        <w:rPr>
          <w:szCs w:val="22"/>
        </w:rPr>
      </w:pPr>
      <w:r w:rsidRPr="005E6E19">
        <w:rPr>
          <w:szCs w:val="22"/>
        </w:rPr>
        <w:t xml:space="preserve">Drug wastage should have been included in the base case of the model as this would reflect clinical practice. A 5-year or 3-year time horizon </w:t>
      </w:r>
      <w:r w:rsidR="0085751F" w:rsidRPr="005E6E19">
        <w:rPr>
          <w:szCs w:val="22"/>
        </w:rPr>
        <w:t>would be</w:t>
      </w:r>
      <w:r w:rsidRPr="005E6E19">
        <w:rPr>
          <w:szCs w:val="22"/>
        </w:rPr>
        <w:t xml:space="preserve"> more reasonable </w:t>
      </w:r>
      <w:r w:rsidRPr="005E6E19">
        <w:rPr>
          <w:szCs w:val="22"/>
        </w:rPr>
        <w:lastRenderedPageBreak/>
        <w:t>than a 10-year horizon used in the base case. During the evaluation, multi-</w:t>
      </w:r>
      <w:proofErr w:type="spellStart"/>
      <w:r w:rsidRPr="005E6E19">
        <w:rPr>
          <w:szCs w:val="22"/>
        </w:rPr>
        <w:t>variate</w:t>
      </w:r>
      <w:proofErr w:type="spellEnd"/>
      <w:r w:rsidRPr="005E6E19">
        <w:rPr>
          <w:szCs w:val="22"/>
        </w:rPr>
        <w:t xml:space="preserve"> sensitivity analyses were conducted and suggested that, when assuming a 5-year time horizon and including drug wastage, the ICER increased to </w:t>
      </w:r>
      <w:r w:rsidR="00E8566E">
        <w:rPr>
          <w:szCs w:val="22"/>
        </w:rPr>
        <w:t xml:space="preserve">$75,000/QALY - $105,000/QALY </w:t>
      </w:r>
      <w:r w:rsidR="00641F05">
        <w:rPr>
          <w:szCs w:val="22"/>
        </w:rPr>
        <w:t>gained</w:t>
      </w:r>
      <w:r w:rsidRPr="005E6E19">
        <w:rPr>
          <w:szCs w:val="22"/>
        </w:rPr>
        <w:t xml:space="preserve">, while keeping the extrapolation method of log-logistic model as used in the base case. Additionally, </w:t>
      </w:r>
      <w:r w:rsidR="0085751F" w:rsidRPr="005E6E19">
        <w:rPr>
          <w:szCs w:val="22"/>
        </w:rPr>
        <w:t>when</w:t>
      </w:r>
      <w:r w:rsidRPr="005E6E19">
        <w:rPr>
          <w:szCs w:val="22"/>
        </w:rPr>
        <w:t xml:space="preserve"> extrapolating PFS and OS using Weibull model for both arms, the ICER further increased to </w:t>
      </w:r>
      <w:r w:rsidR="00E8566E">
        <w:rPr>
          <w:szCs w:val="22"/>
        </w:rPr>
        <w:t xml:space="preserve">$105,000/QALY - $200,000/QALY </w:t>
      </w:r>
      <w:r w:rsidR="00641F05">
        <w:rPr>
          <w:szCs w:val="22"/>
        </w:rPr>
        <w:t>gained</w:t>
      </w:r>
      <w:r w:rsidRPr="005E6E19">
        <w:rPr>
          <w:szCs w:val="22"/>
        </w:rPr>
        <w:t>.</w:t>
      </w:r>
    </w:p>
    <w:p w:rsidR="006115DB" w:rsidRPr="005E6E19" w:rsidRDefault="006115DB" w:rsidP="006115DB">
      <w:pPr>
        <w:widowControl/>
        <w:rPr>
          <w:szCs w:val="22"/>
        </w:rPr>
      </w:pPr>
    </w:p>
    <w:p w:rsidR="006115DB" w:rsidRPr="005E6E19" w:rsidRDefault="006115DB" w:rsidP="0073258E">
      <w:pPr>
        <w:pStyle w:val="ListParagraph"/>
        <w:widowControl/>
        <w:numPr>
          <w:ilvl w:val="1"/>
          <w:numId w:val="2"/>
        </w:numPr>
        <w:rPr>
          <w:szCs w:val="22"/>
        </w:rPr>
      </w:pPr>
      <w:r w:rsidRPr="005E6E19">
        <w:t>When applying the estimated post-progression costs from HRU survey results to all post-progr</w:t>
      </w:r>
      <w:r w:rsidR="0085751F" w:rsidRPr="005E6E19">
        <w:t>ession years, the ICER increased</w:t>
      </w:r>
      <w:r w:rsidRPr="005E6E19">
        <w:t xml:space="preserve"> to </w:t>
      </w:r>
      <w:r w:rsidR="0033262E">
        <w:rPr>
          <w:szCs w:val="22"/>
        </w:rPr>
        <w:t xml:space="preserve">$75,000/QALY - $105,000/QALY </w:t>
      </w:r>
      <w:r w:rsidR="00641F05">
        <w:rPr>
          <w:szCs w:val="22"/>
        </w:rPr>
        <w:t>gained</w:t>
      </w:r>
      <w:r w:rsidRPr="005E6E19">
        <w:t xml:space="preserve">. If further assuming pre-progression costs being equal </w:t>
      </w:r>
      <w:r w:rsidR="0085751F" w:rsidRPr="005E6E19">
        <w:t>in both arms, the ICER increased</w:t>
      </w:r>
      <w:r w:rsidRPr="005E6E19">
        <w:t xml:space="preserve"> to </w:t>
      </w:r>
      <w:r w:rsidR="0033262E">
        <w:rPr>
          <w:szCs w:val="22"/>
        </w:rPr>
        <w:t xml:space="preserve">$75,000/QALY - $105,000/QALY </w:t>
      </w:r>
      <w:r w:rsidR="00641F05">
        <w:rPr>
          <w:szCs w:val="22"/>
        </w:rPr>
        <w:t>gained</w:t>
      </w:r>
      <w:r w:rsidRPr="005E6E19">
        <w:t xml:space="preserve">. The ICER would increase </w:t>
      </w:r>
      <w:r w:rsidR="00641F05">
        <w:t xml:space="preserve">to more than </w:t>
      </w:r>
      <w:r w:rsidR="0033262E">
        <w:rPr>
          <w:szCs w:val="22"/>
        </w:rPr>
        <w:t xml:space="preserve">$105,000/QALY - $200,000/QALY </w:t>
      </w:r>
      <w:r w:rsidR="00641F05">
        <w:rPr>
          <w:szCs w:val="22"/>
        </w:rPr>
        <w:t>gained</w:t>
      </w:r>
      <w:r w:rsidRPr="005E6E19">
        <w:t xml:space="preserve"> when also assuming a 5-year time horizon and including wastage of </w:t>
      </w:r>
      <w:proofErr w:type="spellStart"/>
      <w:r w:rsidRPr="005E6E19">
        <w:t>nivolumab</w:t>
      </w:r>
      <w:proofErr w:type="spellEnd"/>
      <w:r w:rsidRPr="005E6E19">
        <w:t>, while keeping the extrapolation methods as that used in the base case.</w:t>
      </w:r>
    </w:p>
    <w:p w:rsidR="006115DB" w:rsidRDefault="006115DB" w:rsidP="006115DB">
      <w:pPr>
        <w:widowControl/>
        <w:rPr>
          <w:szCs w:val="22"/>
        </w:rPr>
      </w:pPr>
    </w:p>
    <w:p w:rsidR="006115DB" w:rsidRPr="002C2775" w:rsidRDefault="006115DB" w:rsidP="006115DB">
      <w:pPr>
        <w:pStyle w:val="Heading2"/>
        <w:rPr>
          <w:i/>
          <w:szCs w:val="22"/>
        </w:rPr>
      </w:pPr>
      <w:bookmarkStart w:id="14" w:name="_Toc440981193"/>
      <w:proofErr w:type="gramStart"/>
      <w:r w:rsidRPr="002C2775">
        <w:rPr>
          <w:i/>
        </w:rPr>
        <w:t>Drug cost/patient/course: $</w:t>
      </w:r>
      <w:r w:rsidR="00557316">
        <w:rPr>
          <w:i/>
          <w:noProof/>
          <w:color w:val="000000"/>
          <w:highlight w:val="black"/>
        </w:rPr>
        <w:t>'''''''''''''''</w:t>
      </w:r>
      <w:r w:rsidRPr="002C2775">
        <w:rPr>
          <w:i/>
        </w:rPr>
        <w:t>.</w:t>
      </w:r>
      <w:bookmarkEnd w:id="14"/>
      <w:proofErr w:type="gramEnd"/>
    </w:p>
    <w:p w:rsidR="006115DB" w:rsidRPr="00C25D9C" w:rsidRDefault="006115DB" w:rsidP="006115DB">
      <w:pPr>
        <w:widowControl/>
        <w:rPr>
          <w:szCs w:val="22"/>
        </w:rPr>
      </w:pPr>
    </w:p>
    <w:p w:rsidR="00992D38" w:rsidRPr="00992D38" w:rsidRDefault="006115DB" w:rsidP="0033262E">
      <w:pPr>
        <w:pStyle w:val="ListParagraph"/>
        <w:widowControl/>
        <w:numPr>
          <w:ilvl w:val="1"/>
          <w:numId w:val="2"/>
        </w:numPr>
        <w:rPr>
          <w:b/>
          <w:i/>
        </w:rPr>
      </w:pPr>
      <w:r w:rsidRPr="00992D38">
        <w:rPr>
          <w:szCs w:val="22"/>
        </w:rPr>
        <w:t>The total drug cost per patient is a</w:t>
      </w:r>
      <w:r w:rsidR="00615E67" w:rsidRPr="00992D38">
        <w:rPr>
          <w:szCs w:val="22"/>
        </w:rPr>
        <w:t>t least</w:t>
      </w:r>
      <w:r w:rsidRPr="00992D38">
        <w:rPr>
          <w:szCs w:val="22"/>
        </w:rPr>
        <w:t xml:space="preserve"> $</w:t>
      </w:r>
      <w:r w:rsidR="00557316">
        <w:rPr>
          <w:noProof/>
          <w:color w:val="000000"/>
          <w:szCs w:val="22"/>
          <w:highlight w:val="black"/>
        </w:rPr>
        <w:t>''''''''''''''''</w:t>
      </w:r>
      <w:r w:rsidRPr="00992D38">
        <w:rPr>
          <w:szCs w:val="22"/>
        </w:rPr>
        <w:t xml:space="preserve">. This </w:t>
      </w:r>
      <w:r w:rsidR="00615E67" w:rsidRPr="00992D38">
        <w:rPr>
          <w:szCs w:val="22"/>
        </w:rPr>
        <w:t>wa</w:t>
      </w:r>
      <w:r w:rsidRPr="00992D38">
        <w:rPr>
          <w:szCs w:val="22"/>
        </w:rPr>
        <w:t xml:space="preserve">s calculated using the proposed effective dispensed price and assuming </w:t>
      </w:r>
      <w:r w:rsidR="00615E67" w:rsidRPr="00992D38">
        <w:rPr>
          <w:szCs w:val="22"/>
        </w:rPr>
        <w:t xml:space="preserve">the </w:t>
      </w:r>
      <w:r w:rsidRPr="00992D38">
        <w:rPr>
          <w:szCs w:val="22"/>
        </w:rPr>
        <w:t>average body weight of 74.25</w:t>
      </w:r>
      <w:r w:rsidR="00615E67" w:rsidRPr="00992D38">
        <w:rPr>
          <w:szCs w:val="22"/>
        </w:rPr>
        <w:t> </w:t>
      </w:r>
      <w:r w:rsidRPr="00992D38">
        <w:rPr>
          <w:szCs w:val="22"/>
        </w:rPr>
        <w:t>kg for a patient, requiring 222.75</w:t>
      </w:r>
      <w:r w:rsidR="00615E67" w:rsidRPr="00992D38">
        <w:rPr>
          <w:szCs w:val="22"/>
        </w:rPr>
        <w:t> </w:t>
      </w:r>
      <w:r w:rsidRPr="00992D38">
        <w:rPr>
          <w:szCs w:val="22"/>
        </w:rPr>
        <w:t xml:space="preserve">mg of </w:t>
      </w:r>
      <w:proofErr w:type="spellStart"/>
      <w:r w:rsidRPr="00992D38">
        <w:rPr>
          <w:szCs w:val="22"/>
        </w:rPr>
        <w:t>nivolumab</w:t>
      </w:r>
      <w:proofErr w:type="spellEnd"/>
      <w:r w:rsidRPr="00992D38">
        <w:rPr>
          <w:szCs w:val="22"/>
        </w:rPr>
        <w:t>, supplied from 2 × 100</w:t>
      </w:r>
      <w:r w:rsidR="00615E67" w:rsidRPr="00992D38">
        <w:rPr>
          <w:szCs w:val="22"/>
        </w:rPr>
        <w:t> </w:t>
      </w:r>
      <w:r w:rsidRPr="00992D38">
        <w:rPr>
          <w:szCs w:val="22"/>
        </w:rPr>
        <w:t>mg vials and 1 × 40</w:t>
      </w:r>
      <w:r w:rsidR="00615E67" w:rsidRPr="00992D38">
        <w:rPr>
          <w:szCs w:val="22"/>
        </w:rPr>
        <w:t> </w:t>
      </w:r>
      <w:r w:rsidRPr="00992D38">
        <w:rPr>
          <w:szCs w:val="22"/>
        </w:rPr>
        <w:t xml:space="preserve">mg vial of  </w:t>
      </w:r>
      <w:proofErr w:type="spellStart"/>
      <w:r w:rsidRPr="00992D38">
        <w:rPr>
          <w:szCs w:val="22"/>
        </w:rPr>
        <w:t>nivolumab</w:t>
      </w:r>
      <w:proofErr w:type="spellEnd"/>
      <w:r w:rsidRPr="00992D38">
        <w:rPr>
          <w:szCs w:val="22"/>
        </w:rPr>
        <w:t xml:space="preserve"> (allowing for wastage), with </w:t>
      </w:r>
      <w:r w:rsidR="00557316">
        <w:rPr>
          <w:noProof/>
          <w:color w:val="000000"/>
          <w:szCs w:val="22"/>
          <w:highlight w:val="black"/>
        </w:rPr>
        <w:t>''''''''''''''</w:t>
      </w:r>
      <w:r w:rsidRPr="00992D38">
        <w:rPr>
          <w:szCs w:val="22"/>
        </w:rPr>
        <w:t xml:space="preserve"> infusions, as observed from CA209-017</w:t>
      </w:r>
      <w:r w:rsidR="00615E67" w:rsidRPr="00992D38">
        <w:rPr>
          <w:szCs w:val="22"/>
        </w:rPr>
        <w:t xml:space="preserve"> (without any extrapolation over time)</w:t>
      </w:r>
      <w:r w:rsidRPr="00992D38">
        <w:rPr>
          <w:szCs w:val="22"/>
        </w:rPr>
        <w:t xml:space="preserve">. It </w:t>
      </w:r>
      <w:r w:rsidR="00615E67" w:rsidRPr="00992D38">
        <w:rPr>
          <w:szCs w:val="22"/>
        </w:rPr>
        <w:t>wa</w:t>
      </w:r>
      <w:r w:rsidRPr="00992D38">
        <w:rPr>
          <w:szCs w:val="22"/>
        </w:rPr>
        <w:t xml:space="preserve">s also assumed that 13% of the drug </w:t>
      </w:r>
      <w:r w:rsidR="00615E67" w:rsidRPr="00992D38">
        <w:rPr>
          <w:szCs w:val="22"/>
        </w:rPr>
        <w:t>would be</w:t>
      </w:r>
      <w:r w:rsidRPr="00992D38">
        <w:rPr>
          <w:szCs w:val="22"/>
        </w:rPr>
        <w:t xml:space="preserve"> dispensed in public hospitals and 87% in private hospitals. This is compared with a total cost of $</w:t>
      </w:r>
      <w:r w:rsidR="00557316">
        <w:rPr>
          <w:noProof/>
          <w:color w:val="000000"/>
          <w:szCs w:val="22"/>
          <w:highlight w:val="black"/>
        </w:rPr>
        <w:t>''''''''''</w:t>
      </w:r>
      <w:r w:rsidRPr="00992D38">
        <w:rPr>
          <w:szCs w:val="22"/>
        </w:rPr>
        <w:t xml:space="preserve"> for treatment with </w:t>
      </w:r>
      <w:proofErr w:type="spellStart"/>
      <w:r w:rsidRPr="00992D38">
        <w:rPr>
          <w:szCs w:val="22"/>
        </w:rPr>
        <w:t>docetaxel</w:t>
      </w:r>
      <w:proofErr w:type="spellEnd"/>
      <w:r w:rsidRPr="00992D38">
        <w:rPr>
          <w:szCs w:val="22"/>
        </w:rPr>
        <w:t xml:space="preserve">, based on </w:t>
      </w:r>
      <w:r w:rsidR="00615E67" w:rsidRPr="00992D38">
        <w:rPr>
          <w:szCs w:val="22"/>
        </w:rPr>
        <w:t>its</w:t>
      </w:r>
      <w:r w:rsidRPr="00992D38">
        <w:rPr>
          <w:szCs w:val="22"/>
        </w:rPr>
        <w:t xml:space="preserve"> usage in CA209-017.</w:t>
      </w:r>
      <w:bookmarkStart w:id="15" w:name="_Toc440981194"/>
    </w:p>
    <w:p w:rsidR="00992D38" w:rsidRPr="00992D38" w:rsidRDefault="00992D38" w:rsidP="00992D38">
      <w:pPr>
        <w:pStyle w:val="ListParagraph"/>
        <w:widowControl/>
        <w:jc w:val="left"/>
        <w:rPr>
          <w:b/>
          <w:i/>
        </w:rPr>
      </w:pPr>
    </w:p>
    <w:p w:rsidR="006115DB" w:rsidRPr="002C2775" w:rsidRDefault="006115DB" w:rsidP="006115DB">
      <w:pPr>
        <w:pStyle w:val="Heading2"/>
        <w:rPr>
          <w:i/>
        </w:rPr>
      </w:pPr>
      <w:r w:rsidRPr="002C2775">
        <w:rPr>
          <w:i/>
        </w:rPr>
        <w:t>Estimated PBS usage &amp; financial implications</w:t>
      </w:r>
      <w:bookmarkEnd w:id="15"/>
    </w:p>
    <w:p w:rsidR="006115DB" w:rsidRDefault="006115DB" w:rsidP="006115DB">
      <w:pPr>
        <w:ind w:left="720" w:hanging="720"/>
        <w:rPr>
          <w:szCs w:val="22"/>
        </w:rPr>
      </w:pPr>
    </w:p>
    <w:p w:rsidR="00320D16" w:rsidRPr="00CE4356" w:rsidRDefault="00320D16" w:rsidP="00320D16">
      <w:pPr>
        <w:pStyle w:val="ListParagraph"/>
        <w:widowControl/>
        <w:numPr>
          <w:ilvl w:val="1"/>
          <w:numId w:val="2"/>
        </w:numPr>
        <w:rPr>
          <w:szCs w:val="22"/>
        </w:rPr>
      </w:pPr>
      <w:r>
        <w:t>The submission was considered by DUSC</w:t>
      </w:r>
      <w:r w:rsidRPr="00B50DB8">
        <w:rPr>
          <w:color w:val="0070C0"/>
        </w:rPr>
        <w:t xml:space="preserve">. </w:t>
      </w:r>
      <w:r>
        <w:t>The submission took an epidemiological approach to estimate the number of patients with squamous NSCLC each year. The submission further estimated the proportion of patients treated with second- and third-line therapies based on expert opinion.</w:t>
      </w:r>
    </w:p>
    <w:p w:rsidR="00320D16" w:rsidRPr="00615E67" w:rsidRDefault="00320D16" w:rsidP="00320D16">
      <w:pPr>
        <w:widowControl/>
        <w:rPr>
          <w:szCs w:val="22"/>
        </w:rPr>
      </w:pPr>
    </w:p>
    <w:p w:rsidR="00320D16" w:rsidRPr="00320D16" w:rsidRDefault="00320D16" w:rsidP="00320D16">
      <w:pPr>
        <w:pStyle w:val="ListParagraph"/>
        <w:widowControl/>
        <w:numPr>
          <w:ilvl w:val="1"/>
          <w:numId w:val="2"/>
        </w:numPr>
        <w:rPr>
          <w:szCs w:val="22"/>
        </w:rPr>
      </w:pPr>
      <w:r w:rsidRPr="00320D16">
        <w:t xml:space="preserve">There was considerable uncertainty in the proportions of patients assumed to receive each treatment option, given that they were based on advice from the eight expert members of the sponsor’s advisory board. The level of agreement among these advisors was not reported, nor was any justification provided for the proportions proposed. Consequently, </w:t>
      </w:r>
      <w:r w:rsidRPr="00320D16">
        <w:rPr>
          <w:szCs w:val="24"/>
        </w:rPr>
        <w:t>there was substantial uncertainty in the estimated number of patients likely to be treated</w:t>
      </w:r>
      <w:r w:rsidRPr="00320D16">
        <w:t>.</w:t>
      </w:r>
    </w:p>
    <w:p w:rsidR="00320D16" w:rsidRPr="00320D16" w:rsidRDefault="00320D16" w:rsidP="00320D16">
      <w:pPr>
        <w:rPr>
          <w:szCs w:val="22"/>
        </w:rPr>
      </w:pPr>
    </w:p>
    <w:p w:rsidR="00320D16" w:rsidRPr="00320D16" w:rsidRDefault="00320D16" w:rsidP="00320D16">
      <w:pPr>
        <w:pStyle w:val="ListParagraph"/>
        <w:widowControl/>
        <w:numPr>
          <w:ilvl w:val="1"/>
          <w:numId w:val="2"/>
        </w:numPr>
        <w:rPr>
          <w:szCs w:val="22"/>
        </w:rPr>
      </w:pPr>
      <w:r w:rsidRPr="00320D16">
        <w:rPr>
          <w:szCs w:val="24"/>
        </w:rPr>
        <w:t xml:space="preserve">The total cost of </w:t>
      </w:r>
      <w:proofErr w:type="spellStart"/>
      <w:r w:rsidRPr="00320D16">
        <w:rPr>
          <w:szCs w:val="24"/>
        </w:rPr>
        <w:t>nivolumab</w:t>
      </w:r>
      <w:proofErr w:type="spellEnd"/>
      <w:r w:rsidRPr="00320D16">
        <w:rPr>
          <w:szCs w:val="24"/>
        </w:rPr>
        <w:t xml:space="preserve"> was likely to be an underestimate since the treatment duration was assumed to be that observed in CA209-017. The trial duration was unlikely to be sufficient to capture the full treatment duration. The estimated use and financial implications of </w:t>
      </w:r>
      <w:proofErr w:type="spellStart"/>
      <w:r w:rsidRPr="00320D16">
        <w:rPr>
          <w:szCs w:val="24"/>
        </w:rPr>
        <w:t>nivolumab</w:t>
      </w:r>
      <w:proofErr w:type="spellEnd"/>
      <w:r w:rsidRPr="00320D16">
        <w:rPr>
          <w:szCs w:val="24"/>
        </w:rPr>
        <w:t xml:space="preserve"> in the treatment of squamous NSCLC are summarised below</w:t>
      </w:r>
      <w:r w:rsidRPr="00BE33A2">
        <w:rPr>
          <w:szCs w:val="24"/>
        </w:rPr>
        <w:t>.</w:t>
      </w:r>
      <w:r w:rsidR="00BE33A2" w:rsidRPr="00BE33A2">
        <w:rPr>
          <w:szCs w:val="24"/>
        </w:rPr>
        <w:t xml:space="preserve"> </w:t>
      </w:r>
      <w:r w:rsidR="00BE33A2" w:rsidRPr="00BE33A2">
        <w:rPr>
          <w:szCs w:val="22"/>
        </w:rPr>
        <w:t xml:space="preserve">The net cost to the PBS/RPBS over five years was estimated to be </w:t>
      </w:r>
      <w:r w:rsidR="002209B9">
        <w:rPr>
          <w:szCs w:val="22"/>
        </w:rPr>
        <w:t>more than $100</w:t>
      </w:r>
      <w:r w:rsidR="00BE33A2" w:rsidRPr="00BE33A2">
        <w:rPr>
          <w:szCs w:val="22"/>
        </w:rPr>
        <w:t xml:space="preserve"> million.</w:t>
      </w:r>
    </w:p>
    <w:p w:rsidR="00320D16" w:rsidRDefault="00320D16" w:rsidP="00320D16">
      <w:pPr>
        <w:widowControl/>
        <w:rPr>
          <w:szCs w:val="22"/>
        </w:rPr>
      </w:pPr>
    </w:p>
    <w:p w:rsidR="00944B94" w:rsidRDefault="00944B94">
      <w:pPr>
        <w:widowControl/>
        <w:jc w:val="left"/>
        <w:rPr>
          <w:rFonts w:ascii="Arial Narrow" w:hAnsi="Arial Narrow"/>
          <w:b/>
          <w:sz w:val="20"/>
          <w:szCs w:val="22"/>
        </w:rPr>
      </w:pPr>
      <w:r>
        <w:rPr>
          <w:szCs w:val="22"/>
        </w:rPr>
        <w:br w:type="page"/>
      </w:r>
    </w:p>
    <w:p w:rsidR="002328F0" w:rsidRPr="002328F0" w:rsidRDefault="002328F0" w:rsidP="002328F0">
      <w:pPr>
        <w:pStyle w:val="TableHeader"/>
        <w:widowControl/>
        <w:ind w:firstLine="720"/>
        <w:rPr>
          <w:szCs w:val="22"/>
        </w:rPr>
      </w:pPr>
      <w:r w:rsidRPr="002328F0">
        <w:rPr>
          <w:szCs w:val="22"/>
        </w:rPr>
        <w:lastRenderedPageBreak/>
        <w:t>Table 1</w:t>
      </w:r>
      <w:r>
        <w:rPr>
          <w:szCs w:val="22"/>
        </w:rPr>
        <w:t>2</w:t>
      </w:r>
      <w:r w:rsidRPr="002328F0">
        <w:rPr>
          <w:szCs w:val="22"/>
        </w:rPr>
        <w:t xml:space="preserve">: Estimated extent of </w:t>
      </w:r>
      <w:proofErr w:type="spellStart"/>
      <w:r w:rsidRPr="002328F0">
        <w:rPr>
          <w:szCs w:val="22"/>
        </w:rPr>
        <w:t>nivolumab</w:t>
      </w:r>
      <w:proofErr w:type="spellEnd"/>
      <w:r w:rsidRPr="002328F0">
        <w:rPr>
          <w:szCs w:val="22"/>
        </w:rPr>
        <w:t xml:space="preserve"> use and associated costs to the PBS</w:t>
      </w:r>
    </w:p>
    <w:tbl>
      <w:tblPr>
        <w:tblStyle w:val="TableGrid"/>
        <w:tblW w:w="4403" w:type="pct"/>
        <w:tblInd w:w="817" w:type="dxa"/>
        <w:tblLook w:val="04A0" w:firstRow="1" w:lastRow="0" w:firstColumn="1" w:lastColumn="0" w:noHBand="0" w:noVBand="1"/>
        <w:tblCaption w:val="Table 12: Estimated extent of nivolumab use and associated costs to the PBS"/>
      </w:tblPr>
      <w:tblGrid>
        <w:gridCol w:w="2039"/>
        <w:gridCol w:w="1220"/>
        <w:gridCol w:w="1220"/>
        <w:gridCol w:w="1220"/>
        <w:gridCol w:w="1220"/>
        <w:gridCol w:w="1220"/>
      </w:tblGrid>
      <w:tr w:rsidR="002328F0" w:rsidRPr="00D359D0" w:rsidTr="00FC346C">
        <w:trPr>
          <w:tblHeader/>
        </w:trPr>
        <w:tc>
          <w:tcPr>
            <w:tcW w:w="1481" w:type="pct"/>
            <w:tcBorders>
              <w:top w:val="single" w:sz="4" w:space="0" w:color="auto"/>
              <w:left w:val="single" w:sz="4" w:space="0" w:color="auto"/>
            </w:tcBorders>
          </w:tcPr>
          <w:p w:rsidR="002328F0" w:rsidRPr="00D359D0" w:rsidRDefault="002328F0" w:rsidP="006D5DA3">
            <w:pPr>
              <w:pStyle w:val="Tabletext"/>
              <w:jc w:val="center"/>
              <w:rPr>
                <w:b/>
              </w:rPr>
            </w:pPr>
          </w:p>
        </w:tc>
        <w:tc>
          <w:tcPr>
            <w:tcW w:w="694" w:type="pct"/>
          </w:tcPr>
          <w:p w:rsidR="002328F0" w:rsidRPr="00D359D0" w:rsidRDefault="002328F0" w:rsidP="006D5DA3">
            <w:pPr>
              <w:pStyle w:val="Tabletext"/>
              <w:jc w:val="center"/>
              <w:rPr>
                <w:b/>
              </w:rPr>
            </w:pPr>
            <w:r w:rsidRPr="00D359D0">
              <w:rPr>
                <w:b/>
              </w:rPr>
              <w:t>Year 1</w:t>
            </w:r>
          </w:p>
        </w:tc>
        <w:tc>
          <w:tcPr>
            <w:tcW w:w="694" w:type="pct"/>
          </w:tcPr>
          <w:p w:rsidR="002328F0" w:rsidRPr="00D359D0" w:rsidRDefault="002328F0" w:rsidP="006D5DA3">
            <w:pPr>
              <w:pStyle w:val="Tabletext"/>
              <w:jc w:val="center"/>
              <w:rPr>
                <w:b/>
              </w:rPr>
            </w:pPr>
            <w:r w:rsidRPr="00D359D0">
              <w:rPr>
                <w:b/>
              </w:rPr>
              <w:t>Year 2</w:t>
            </w:r>
          </w:p>
        </w:tc>
        <w:tc>
          <w:tcPr>
            <w:tcW w:w="725" w:type="pct"/>
          </w:tcPr>
          <w:p w:rsidR="002328F0" w:rsidRPr="00D359D0" w:rsidRDefault="002328F0" w:rsidP="006D5DA3">
            <w:pPr>
              <w:pStyle w:val="Tabletext"/>
              <w:jc w:val="center"/>
              <w:rPr>
                <w:b/>
              </w:rPr>
            </w:pPr>
            <w:r w:rsidRPr="00D359D0">
              <w:rPr>
                <w:b/>
              </w:rPr>
              <w:t>Year 3</w:t>
            </w:r>
          </w:p>
        </w:tc>
        <w:tc>
          <w:tcPr>
            <w:tcW w:w="711" w:type="pct"/>
          </w:tcPr>
          <w:p w:rsidR="002328F0" w:rsidRPr="00D359D0" w:rsidRDefault="002328F0" w:rsidP="006D5DA3">
            <w:pPr>
              <w:pStyle w:val="Tabletext"/>
              <w:jc w:val="center"/>
              <w:rPr>
                <w:b/>
              </w:rPr>
            </w:pPr>
            <w:r w:rsidRPr="00D359D0">
              <w:rPr>
                <w:b/>
              </w:rPr>
              <w:t>Year 4</w:t>
            </w:r>
          </w:p>
        </w:tc>
        <w:tc>
          <w:tcPr>
            <w:tcW w:w="695" w:type="pct"/>
          </w:tcPr>
          <w:p w:rsidR="002328F0" w:rsidRPr="00D359D0" w:rsidRDefault="002328F0" w:rsidP="006D5DA3">
            <w:pPr>
              <w:pStyle w:val="Tabletext"/>
              <w:jc w:val="center"/>
              <w:rPr>
                <w:b/>
              </w:rPr>
            </w:pPr>
            <w:r w:rsidRPr="00D359D0">
              <w:rPr>
                <w:b/>
              </w:rPr>
              <w:t>Year 5</w:t>
            </w:r>
          </w:p>
        </w:tc>
      </w:tr>
      <w:tr w:rsidR="002328F0" w:rsidRPr="00D359D0" w:rsidTr="00A20DA8">
        <w:tc>
          <w:tcPr>
            <w:tcW w:w="5000" w:type="pct"/>
            <w:gridSpan w:val="6"/>
            <w:tcBorders>
              <w:bottom w:val="single" w:sz="4" w:space="0" w:color="auto"/>
            </w:tcBorders>
          </w:tcPr>
          <w:p w:rsidR="002328F0" w:rsidRPr="00D359D0" w:rsidRDefault="002328F0" w:rsidP="006D5DA3">
            <w:pPr>
              <w:pStyle w:val="Tabletext"/>
              <w:rPr>
                <w:b/>
              </w:rPr>
            </w:pPr>
            <w:r w:rsidRPr="00D359D0">
              <w:rPr>
                <w:b/>
              </w:rPr>
              <w:t>Estimated extent of use</w:t>
            </w:r>
          </w:p>
        </w:tc>
      </w:tr>
      <w:tr w:rsidR="002328F0" w:rsidRPr="00D359D0" w:rsidTr="00A20DA8">
        <w:tc>
          <w:tcPr>
            <w:tcW w:w="1481" w:type="pct"/>
            <w:tcBorders>
              <w:bottom w:val="single" w:sz="4" w:space="0" w:color="auto"/>
            </w:tcBorders>
          </w:tcPr>
          <w:p w:rsidR="002328F0" w:rsidRPr="00D359D0" w:rsidRDefault="002328F0" w:rsidP="006D5DA3">
            <w:pPr>
              <w:pStyle w:val="Tabletext"/>
            </w:pPr>
            <w:r w:rsidRPr="00D359D0">
              <w:t xml:space="preserve">Patients treated with </w:t>
            </w:r>
            <w:proofErr w:type="spellStart"/>
            <w:r w:rsidRPr="00D359D0">
              <w:t>nivolumab</w:t>
            </w:r>
            <w:proofErr w:type="spellEnd"/>
          </w:p>
        </w:tc>
        <w:tc>
          <w:tcPr>
            <w:tcW w:w="694" w:type="pct"/>
            <w:tcBorders>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694" w:type="pct"/>
            <w:tcBorders>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725" w:type="pct"/>
            <w:tcBorders>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711" w:type="pct"/>
            <w:tcBorders>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695" w:type="pct"/>
            <w:tcBorders>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r>
      <w:tr w:rsidR="002328F0" w:rsidRPr="00D359D0" w:rsidTr="00A20DA8">
        <w:tc>
          <w:tcPr>
            <w:tcW w:w="1481" w:type="pct"/>
            <w:tcBorders>
              <w:top w:val="nil"/>
              <w:bottom w:val="single" w:sz="4" w:space="0" w:color="auto"/>
            </w:tcBorders>
          </w:tcPr>
          <w:p w:rsidR="002328F0" w:rsidRPr="00D359D0" w:rsidRDefault="002328F0" w:rsidP="006D5DA3">
            <w:pPr>
              <w:pStyle w:val="Tabletext"/>
              <w:ind w:left="142"/>
              <w:rPr>
                <w:vertAlign w:val="superscript"/>
                <w:lang w:eastAsia="ja-JP"/>
              </w:rPr>
            </w:pPr>
            <w:r w:rsidRPr="00D359D0">
              <w:rPr>
                <w:lang w:eastAsia="ja-JP"/>
              </w:rPr>
              <w:t xml:space="preserve">Number of </w:t>
            </w:r>
            <w:proofErr w:type="spellStart"/>
            <w:r w:rsidRPr="00D359D0">
              <w:rPr>
                <w:lang w:eastAsia="ja-JP"/>
              </w:rPr>
              <w:t>administrations</w:t>
            </w:r>
            <w:r w:rsidRPr="00D359D0">
              <w:rPr>
                <w:vertAlign w:val="superscript"/>
                <w:lang w:eastAsia="ja-JP"/>
              </w:rPr>
              <w:t>a</w:t>
            </w:r>
            <w:proofErr w:type="spellEnd"/>
          </w:p>
        </w:tc>
        <w:tc>
          <w:tcPr>
            <w:tcW w:w="694" w:type="pct"/>
            <w:tcBorders>
              <w:top w:val="nil"/>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694" w:type="pct"/>
            <w:tcBorders>
              <w:top w:val="nil"/>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725" w:type="pct"/>
            <w:tcBorders>
              <w:top w:val="nil"/>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711" w:type="pct"/>
            <w:tcBorders>
              <w:top w:val="nil"/>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695" w:type="pct"/>
            <w:tcBorders>
              <w:top w:val="nil"/>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r>
      <w:tr w:rsidR="002328F0" w:rsidRPr="00D359D0" w:rsidTr="00A20DA8">
        <w:tc>
          <w:tcPr>
            <w:tcW w:w="1481" w:type="pct"/>
            <w:tcBorders>
              <w:bottom w:val="nil"/>
            </w:tcBorders>
          </w:tcPr>
          <w:p w:rsidR="002328F0" w:rsidRPr="00D359D0" w:rsidRDefault="002328F0" w:rsidP="006D5DA3">
            <w:pPr>
              <w:pStyle w:val="Tabletext"/>
              <w:rPr>
                <w:lang w:eastAsia="ja-JP"/>
              </w:rPr>
            </w:pPr>
            <w:r w:rsidRPr="00D359D0">
              <w:rPr>
                <w:lang w:eastAsia="ja-JP"/>
              </w:rPr>
              <w:t xml:space="preserve">Number of </w:t>
            </w:r>
            <w:proofErr w:type="spellStart"/>
            <w:r w:rsidRPr="00D359D0">
              <w:rPr>
                <w:lang w:eastAsia="ja-JP"/>
              </w:rPr>
              <w:t>vials</w:t>
            </w:r>
            <w:r w:rsidRPr="00D359D0">
              <w:rPr>
                <w:vertAlign w:val="superscript"/>
                <w:lang w:eastAsia="ja-JP"/>
              </w:rPr>
              <w:t>b</w:t>
            </w:r>
            <w:proofErr w:type="spellEnd"/>
          </w:p>
        </w:tc>
        <w:tc>
          <w:tcPr>
            <w:tcW w:w="694" w:type="pct"/>
            <w:tcBorders>
              <w:bottom w:val="nil"/>
            </w:tcBorders>
          </w:tcPr>
          <w:p w:rsidR="002328F0" w:rsidRPr="00D359D0" w:rsidRDefault="002328F0" w:rsidP="006D5DA3">
            <w:pPr>
              <w:pStyle w:val="Tabletext"/>
              <w:jc w:val="center"/>
            </w:pPr>
          </w:p>
        </w:tc>
        <w:tc>
          <w:tcPr>
            <w:tcW w:w="694" w:type="pct"/>
            <w:tcBorders>
              <w:bottom w:val="nil"/>
            </w:tcBorders>
          </w:tcPr>
          <w:p w:rsidR="002328F0" w:rsidRPr="00D359D0" w:rsidRDefault="002328F0" w:rsidP="006D5DA3">
            <w:pPr>
              <w:pStyle w:val="Tabletext"/>
              <w:jc w:val="center"/>
            </w:pPr>
          </w:p>
        </w:tc>
        <w:tc>
          <w:tcPr>
            <w:tcW w:w="725" w:type="pct"/>
            <w:tcBorders>
              <w:bottom w:val="nil"/>
            </w:tcBorders>
          </w:tcPr>
          <w:p w:rsidR="002328F0" w:rsidRPr="00D359D0" w:rsidRDefault="002328F0" w:rsidP="006D5DA3">
            <w:pPr>
              <w:pStyle w:val="Tabletext"/>
              <w:jc w:val="center"/>
            </w:pPr>
          </w:p>
        </w:tc>
        <w:tc>
          <w:tcPr>
            <w:tcW w:w="711" w:type="pct"/>
            <w:tcBorders>
              <w:bottom w:val="nil"/>
            </w:tcBorders>
          </w:tcPr>
          <w:p w:rsidR="002328F0" w:rsidRPr="00D359D0" w:rsidRDefault="002328F0" w:rsidP="006D5DA3">
            <w:pPr>
              <w:pStyle w:val="Tabletext"/>
              <w:jc w:val="center"/>
            </w:pPr>
          </w:p>
        </w:tc>
        <w:tc>
          <w:tcPr>
            <w:tcW w:w="695" w:type="pct"/>
            <w:tcBorders>
              <w:bottom w:val="nil"/>
            </w:tcBorders>
          </w:tcPr>
          <w:p w:rsidR="002328F0" w:rsidRPr="00D359D0" w:rsidRDefault="002328F0" w:rsidP="006D5DA3">
            <w:pPr>
              <w:pStyle w:val="Tabletext"/>
              <w:jc w:val="center"/>
            </w:pPr>
          </w:p>
        </w:tc>
      </w:tr>
      <w:tr w:rsidR="002328F0" w:rsidRPr="00D359D0" w:rsidTr="00A20DA8">
        <w:tc>
          <w:tcPr>
            <w:tcW w:w="1481" w:type="pct"/>
            <w:tcBorders>
              <w:top w:val="nil"/>
              <w:bottom w:val="nil"/>
            </w:tcBorders>
          </w:tcPr>
          <w:p w:rsidR="002328F0" w:rsidRPr="00D359D0" w:rsidRDefault="002328F0" w:rsidP="006D5DA3">
            <w:pPr>
              <w:pStyle w:val="Tabletext"/>
              <w:ind w:left="142"/>
              <w:rPr>
                <w:vertAlign w:val="superscript"/>
                <w:lang w:eastAsia="ja-JP"/>
              </w:rPr>
            </w:pPr>
            <w:r w:rsidRPr="00D359D0">
              <w:rPr>
                <w:lang w:eastAsia="ja-JP"/>
              </w:rPr>
              <w:t>100mg/</w:t>
            </w:r>
            <w:proofErr w:type="spellStart"/>
            <w:r w:rsidRPr="00D359D0">
              <w:rPr>
                <w:lang w:eastAsia="ja-JP"/>
              </w:rPr>
              <w:t>mL</w:t>
            </w:r>
            <w:r w:rsidRPr="00D359D0">
              <w:rPr>
                <w:vertAlign w:val="superscript"/>
                <w:lang w:eastAsia="ja-JP"/>
              </w:rPr>
              <w:t>a</w:t>
            </w:r>
            <w:proofErr w:type="spellEnd"/>
          </w:p>
        </w:tc>
        <w:tc>
          <w:tcPr>
            <w:tcW w:w="694" w:type="pct"/>
            <w:tcBorders>
              <w:top w:val="nil"/>
              <w:bottom w:val="nil"/>
            </w:tcBorders>
          </w:tcPr>
          <w:p w:rsidR="002328F0" w:rsidRPr="00557316" w:rsidRDefault="00557316" w:rsidP="006D5DA3">
            <w:pPr>
              <w:pStyle w:val="Tabletext"/>
              <w:jc w:val="center"/>
              <w:rPr>
                <w:highlight w:val="black"/>
              </w:rPr>
            </w:pPr>
            <w:r>
              <w:rPr>
                <w:noProof/>
                <w:color w:val="000000"/>
                <w:highlight w:val="black"/>
              </w:rPr>
              <w:t>'''''''''''''''</w:t>
            </w:r>
          </w:p>
        </w:tc>
        <w:tc>
          <w:tcPr>
            <w:tcW w:w="694" w:type="pct"/>
            <w:tcBorders>
              <w:top w:val="nil"/>
              <w:bottom w:val="nil"/>
            </w:tcBorders>
          </w:tcPr>
          <w:p w:rsidR="002328F0" w:rsidRPr="00557316" w:rsidRDefault="00557316" w:rsidP="006D5DA3">
            <w:pPr>
              <w:pStyle w:val="Tabletext"/>
              <w:jc w:val="center"/>
              <w:rPr>
                <w:highlight w:val="black"/>
              </w:rPr>
            </w:pPr>
            <w:r>
              <w:rPr>
                <w:noProof/>
                <w:color w:val="000000"/>
                <w:highlight w:val="black"/>
              </w:rPr>
              <w:t>''''''''''''''''</w:t>
            </w:r>
          </w:p>
        </w:tc>
        <w:tc>
          <w:tcPr>
            <w:tcW w:w="725" w:type="pct"/>
            <w:tcBorders>
              <w:top w:val="nil"/>
              <w:bottom w:val="nil"/>
            </w:tcBorders>
          </w:tcPr>
          <w:p w:rsidR="002328F0" w:rsidRPr="00557316" w:rsidRDefault="00557316" w:rsidP="006D5DA3">
            <w:pPr>
              <w:pStyle w:val="Tabletext"/>
              <w:jc w:val="center"/>
              <w:rPr>
                <w:highlight w:val="black"/>
              </w:rPr>
            </w:pPr>
            <w:r>
              <w:rPr>
                <w:noProof/>
                <w:color w:val="000000"/>
                <w:highlight w:val="black"/>
              </w:rPr>
              <w:t>'''''''''''''''</w:t>
            </w:r>
          </w:p>
        </w:tc>
        <w:tc>
          <w:tcPr>
            <w:tcW w:w="711" w:type="pct"/>
            <w:tcBorders>
              <w:top w:val="nil"/>
              <w:bottom w:val="nil"/>
            </w:tcBorders>
          </w:tcPr>
          <w:p w:rsidR="002328F0" w:rsidRPr="00557316" w:rsidRDefault="00557316" w:rsidP="006D5DA3">
            <w:pPr>
              <w:pStyle w:val="Tabletext"/>
              <w:jc w:val="center"/>
              <w:rPr>
                <w:highlight w:val="black"/>
              </w:rPr>
            </w:pPr>
            <w:r>
              <w:rPr>
                <w:noProof/>
                <w:color w:val="000000"/>
                <w:highlight w:val="black"/>
              </w:rPr>
              <w:t>''''''''''''''''</w:t>
            </w:r>
          </w:p>
        </w:tc>
        <w:tc>
          <w:tcPr>
            <w:tcW w:w="695" w:type="pct"/>
            <w:tcBorders>
              <w:top w:val="nil"/>
              <w:bottom w:val="nil"/>
            </w:tcBorders>
          </w:tcPr>
          <w:p w:rsidR="002328F0" w:rsidRPr="00557316" w:rsidRDefault="00557316" w:rsidP="006D5DA3">
            <w:pPr>
              <w:pStyle w:val="Tabletext"/>
              <w:jc w:val="center"/>
              <w:rPr>
                <w:highlight w:val="black"/>
              </w:rPr>
            </w:pPr>
            <w:r>
              <w:rPr>
                <w:noProof/>
                <w:color w:val="000000"/>
                <w:highlight w:val="black"/>
              </w:rPr>
              <w:t>''''''''''''''''</w:t>
            </w:r>
          </w:p>
        </w:tc>
      </w:tr>
      <w:tr w:rsidR="002328F0" w:rsidRPr="00D359D0" w:rsidTr="00A20DA8">
        <w:tc>
          <w:tcPr>
            <w:tcW w:w="1481" w:type="pct"/>
            <w:tcBorders>
              <w:top w:val="nil"/>
              <w:bottom w:val="single" w:sz="4" w:space="0" w:color="auto"/>
            </w:tcBorders>
          </w:tcPr>
          <w:p w:rsidR="002328F0" w:rsidRPr="00D359D0" w:rsidRDefault="002328F0" w:rsidP="006D5DA3">
            <w:pPr>
              <w:pStyle w:val="Tabletext"/>
              <w:ind w:left="142"/>
              <w:rPr>
                <w:vertAlign w:val="superscript"/>
                <w:lang w:eastAsia="ja-JP"/>
              </w:rPr>
            </w:pPr>
            <w:r w:rsidRPr="00D359D0">
              <w:rPr>
                <w:lang w:eastAsia="ja-JP"/>
              </w:rPr>
              <w:t>40mg/4mL (wastage included)</w:t>
            </w:r>
            <w:r w:rsidRPr="00D359D0">
              <w:rPr>
                <w:vertAlign w:val="superscript"/>
                <w:lang w:eastAsia="ja-JP"/>
              </w:rPr>
              <w:t>a</w:t>
            </w:r>
          </w:p>
        </w:tc>
        <w:tc>
          <w:tcPr>
            <w:tcW w:w="694" w:type="pct"/>
            <w:tcBorders>
              <w:top w:val="nil"/>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694" w:type="pct"/>
            <w:tcBorders>
              <w:top w:val="nil"/>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725" w:type="pct"/>
            <w:tcBorders>
              <w:top w:val="nil"/>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711" w:type="pct"/>
            <w:tcBorders>
              <w:top w:val="nil"/>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695" w:type="pct"/>
            <w:tcBorders>
              <w:top w:val="nil"/>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r>
      <w:tr w:rsidR="002328F0" w:rsidRPr="00D359D0" w:rsidTr="00A20DA8">
        <w:tc>
          <w:tcPr>
            <w:tcW w:w="5000" w:type="pct"/>
            <w:gridSpan w:val="6"/>
            <w:tcBorders>
              <w:bottom w:val="single" w:sz="4" w:space="0" w:color="auto"/>
            </w:tcBorders>
          </w:tcPr>
          <w:p w:rsidR="002328F0" w:rsidRPr="00D359D0" w:rsidRDefault="002328F0" w:rsidP="006D5DA3">
            <w:pPr>
              <w:pStyle w:val="Tabletext"/>
              <w:rPr>
                <w:b/>
              </w:rPr>
            </w:pPr>
            <w:r w:rsidRPr="00D359D0">
              <w:rPr>
                <w:b/>
              </w:rPr>
              <w:t>Estimated drug cost to the PBS and RPBS</w:t>
            </w:r>
          </w:p>
        </w:tc>
      </w:tr>
      <w:tr w:rsidR="002328F0" w:rsidRPr="00D359D0" w:rsidTr="00A20DA8">
        <w:tc>
          <w:tcPr>
            <w:tcW w:w="1481" w:type="pct"/>
            <w:tcBorders>
              <w:top w:val="single" w:sz="4" w:space="0" w:color="auto"/>
            </w:tcBorders>
          </w:tcPr>
          <w:p w:rsidR="002328F0" w:rsidRPr="00D359D0" w:rsidRDefault="002328F0" w:rsidP="006D5DA3">
            <w:pPr>
              <w:pStyle w:val="Tabletext"/>
              <w:rPr>
                <w:i/>
                <w:vertAlign w:val="superscript"/>
                <w:lang w:eastAsia="ja-JP"/>
              </w:rPr>
            </w:pPr>
            <w:r w:rsidRPr="00D359D0">
              <w:rPr>
                <w:lang w:eastAsia="ja-JP"/>
              </w:rPr>
              <w:t>Cost to the PBS/RPBS (including wastage)</w:t>
            </w:r>
            <w:proofErr w:type="spellStart"/>
            <w:r w:rsidRPr="00D359D0">
              <w:rPr>
                <w:vertAlign w:val="superscript"/>
                <w:lang w:eastAsia="ja-JP"/>
              </w:rPr>
              <w:t>a,b,c</w:t>
            </w:r>
            <w:r w:rsidR="00C87AAC">
              <w:rPr>
                <w:vertAlign w:val="superscript"/>
                <w:lang w:eastAsia="ja-JP"/>
              </w:rPr>
              <w:t>,d</w:t>
            </w:r>
            <w:proofErr w:type="spellEnd"/>
          </w:p>
        </w:tc>
        <w:tc>
          <w:tcPr>
            <w:tcW w:w="694" w:type="pct"/>
            <w:tcBorders>
              <w:top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694" w:type="pct"/>
            <w:tcBorders>
              <w:top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725" w:type="pct"/>
            <w:tcBorders>
              <w:top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711" w:type="pct"/>
            <w:tcBorders>
              <w:top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695" w:type="pct"/>
            <w:tcBorders>
              <w:top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r>
      <w:tr w:rsidR="002328F0" w:rsidRPr="00D359D0" w:rsidTr="00A20DA8">
        <w:tc>
          <w:tcPr>
            <w:tcW w:w="1481" w:type="pct"/>
            <w:tcBorders>
              <w:bottom w:val="single" w:sz="4" w:space="0" w:color="auto"/>
            </w:tcBorders>
          </w:tcPr>
          <w:p w:rsidR="002328F0" w:rsidRPr="00D359D0" w:rsidRDefault="002328F0" w:rsidP="006D5DA3">
            <w:pPr>
              <w:pStyle w:val="Tabletext"/>
              <w:rPr>
                <w:lang w:eastAsia="ja-JP"/>
              </w:rPr>
            </w:pPr>
            <w:r w:rsidRPr="00D359D0">
              <w:rPr>
                <w:lang w:eastAsia="ja-JP"/>
              </w:rPr>
              <w:t>Patient co-payments</w:t>
            </w:r>
          </w:p>
        </w:tc>
        <w:tc>
          <w:tcPr>
            <w:tcW w:w="694" w:type="pct"/>
            <w:tcBorders>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694" w:type="pct"/>
            <w:tcBorders>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725" w:type="pct"/>
            <w:tcBorders>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711" w:type="pct"/>
            <w:tcBorders>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695" w:type="pct"/>
            <w:tcBorders>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r>
      <w:tr w:rsidR="002328F0" w:rsidRPr="00D359D0" w:rsidTr="00A20DA8">
        <w:tc>
          <w:tcPr>
            <w:tcW w:w="1481" w:type="pct"/>
            <w:tcBorders>
              <w:bottom w:val="single" w:sz="4" w:space="0" w:color="auto"/>
            </w:tcBorders>
          </w:tcPr>
          <w:p w:rsidR="002328F0" w:rsidRPr="00D359D0" w:rsidRDefault="002328F0" w:rsidP="006D5DA3">
            <w:pPr>
              <w:pStyle w:val="Tabletext"/>
              <w:rPr>
                <w:lang w:eastAsia="ja-JP"/>
              </w:rPr>
            </w:pPr>
            <w:r w:rsidRPr="00D359D0">
              <w:rPr>
                <w:lang w:eastAsia="ja-JP"/>
              </w:rPr>
              <w:t>Net drug cost to the PBS/RPBS (including wastage)</w:t>
            </w:r>
            <w:r w:rsidRPr="00D359D0">
              <w:rPr>
                <w:vertAlign w:val="superscript"/>
                <w:lang w:eastAsia="ja-JP"/>
              </w:rPr>
              <w:t xml:space="preserve"> </w:t>
            </w:r>
            <w:proofErr w:type="spellStart"/>
            <w:r w:rsidRPr="00D359D0">
              <w:rPr>
                <w:vertAlign w:val="superscript"/>
                <w:lang w:eastAsia="ja-JP"/>
              </w:rPr>
              <w:t>a,b,c</w:t>
            </w:r>
            <w:r w:rsidR="00C87AAC">
              <w:rPr>
                <w:vertAlign w:val="superscript"/>
                <w:lang w:eastAsia="ja-JP"/>
              </w:rPr>
              <w:t>,d</w:t>
            </w:r>
            <w:proofErr w:type="spellEnd"/>
          </w:p>
        </w:tc>
        <w:tc>
          <w:tcPr>
            <w:tcW w:w="694" w:type="pct"/>
            <w:tcBorders>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694" w:type="pct"/>
            <w:tcBorders>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725" w:type="pct"/>
            <w:tcBorders>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711" w:type="pct"/>
            <w:tcBorders>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695" w:type="pct"/>
            <w:tcBorders>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r>
      <w:tr w:rsidR="002328F0" w:rsidRPr="00D359D0" w:rsidTr="00A20DA8">
        <w:tc>
          <w:tcPr>
            <w:tcW w:w="5000" w:type="pct"/>
            <w:gridSpan w:val="6"/>
            <w:tcBorders>
              <w:top w:val="single" w:sz="4" w:space="0" w:color="auto"/>
              <w:bottom w:val="single" w:sz="4" w:space="0" w:color="auto"/>
            </w:tcBorders>
          </w:tcPr>
          <w:p w:rsidR="002328F0" w:rsidRPr="00D359D0" w:rsidRDefault="002328F0" w:rsidP="006D5DA3">
            <w:pPr>
              <w:pStyle w:val="Tabletext"/>
              <w:rPr>
                <w:b/>
              </w:rPr>
            </w:pPr>
            <w:r w:rsidRPr="00D359D0">
              <w:rPr>
                <w:b/>
              </w:rPr>
              <w:t>Estimated cost offsets</w:t>
            </w:r>
          </w:p>
        </w:tc>
      </w:tr>
      <w:tr w:rsidR="002328F0" w:rsidRPr="00D359D0" w:rsidTr="00A20DA8">
        <w:tc>
          <w:tcPr>
            <w:tcW w:w="1481" w:type="pct"/>
            <w:tcBorders>
              <w:top w:val="single" w:sz="4" w:space="0" w:color="auto"/>
              <w:bottom w:val="single" w:sz="4" w:space="0" w:color="auto"/>
            </w:tcBorders>
          </w:tcPr>
          <w:p w:rsidR="002328F0" w:rsidRPr="00D359D0" w:rsidRDefault="002328F0" w:rsidP="006D5DA3">
            <w:pPr>
              <w:pStyle w:val="Tabletext"/>
              <w:rPr>
                <w:lang w:eastAsia="ja-JP"/>
              </w:rPr>
            </w:pPr>
            <w:r w:rsidRPr="00D359D0">
              <w:rPr>
                <w:lang w:eastAsia="ja-JP"/>
              </w:rPr>
              <w:t xml:space="preserve">Reduction in patients using </w:t>
            </w:r>
            <w:proofErr w:type="spellStart"/>
            <w:r w:rsidRPr="00D359D0">
              <w:rPr>
                <w:lang w:eastAsia="ja-JP"/>
              </w:rPr>
              <w:t>docetaxel</w:t>
            </w:r>
            <w:proofErr w:type="spellEnd"/>
            <w:r w:rsidRPr="00D359D0">
              <w:rPr>
                <w:lang w:eastAsia="ja-JP"/>
              </w:rPr>
              <w:t xml:space="preserve"> due to </w:t>
            </w:r>
            <w:proofErr w:type="spellStart"/>
            <w:r w:rsidRPr="00D359D0">
              <w:rPr>
                <w:lang w:eastAsia="ja-JP"/>
              </w:rPr>
              <w:t>nivolumab</w:t>
            </w:r>
            <w:proofErr w:type="spellEnd"/>
          </w:p>
        </w:tc>
        <w:tc>
          <w:tcPr>
            <w:tcW w:w="694" w:type="pct"/>
            <w:tcBorders>
              <w:top w:val="single" w:sz="4" w:space="0" w:color="auto"/>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694" w:type="pct"/>
            <w:tcBorders>
              <w:top w:val="single" w:sz="4" w:space="0" w:color="auto"/>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725" w:type="pct"/>
            <w:tcBorders>
              <w:top w:val="single" w:sz="4" w:space="0" w:color="auto"/>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711" w:type="pct"/>
            <w:tcBorders>
              <w:top w:val="single" w:sz="4" w:space="0" w:color="auto"/>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c>
          <w:tcPr>
            <w:tcW w:w="695" w:type="pct"/>
            <w:tcBorders>
              <w:top w:val="single" w:sz="4" w:space="0" w:color="auto"/>
              <w:bottom w:val="single" w:sz="4" w:space="0" w:color="auto"/>
            </w:tcBorders>
          </w:tcPr>
          <w:p w:rsidR="002328F0" w:rsidRPr="00557316" w:rsidRDefault="00557316" w:rsidP="006D5DA3">
            <w:pPr>
              <w:pStyle w:val="Tabletext"/>
              <w:jc w:val="center"/>
              <w:rPr>
                <w:highlight w:val="black"/>
              </w:rPr>
            </w:pPr>
            <w:r>
              <w:rPr>
                <w:noProof/>
                <w:color w:val="000000"/>
                <w:highlight w:val="black"/>
              </w:rPr>
              <w:t>'''''''''</w:t>
            </w:r>
          </w:p>
        </w:tc>
      </w:tr>
      <w:tr w:rsidR="002328F0" w:rsidRPr="00D359D0" w:rsidTr="00A20DA8">
        <w:tc>
          <w:tcPr>
            <w:tcW w:w="1481" w:type="pct"/>
            <w:tcBorders>
              <w:top w:val="single" w:sz="4" w:space="0" w:color="auto"/>
              <w:bottom w:val="single" w:sz="4" w:space="0" w:color="auto"/>
            </w:tcBorders>
          </w:tcPr>
          <w:p w:rsidR="002328F0" w:rsidRPr="00D359D0" w:rsidRDefault="002328F0" w:rsidP="006D5DA3">
            <w:pPr>
              <w:pStyle w:val="Tabletext"/>
              <w:rPr>
                <w:vertAlign w:val="superscript"/>
                <w:lang w:eastAsia="ja-JP"/>
              </w:rPr>
            </w:pPr>
            <w:r w:rsidRPr="00D359D0">
              <w:rPr>
                <w:lang w:eastAsia="ja-JP"/>
              </w:rPr>
              <w:t>Net savings to PBS/</w:t>
            </w:r>
            <w:proofErr w:type="spellStart"/>
            <w:r w:rsidRPr="00D359D0">
              <w:rPr>
                <w:lang w:eastAsia="ja-JP"/>
              </w:rPr>
              <w:t>RPBS</w:t>
            </w:r>
            <w:r w:rsidRPr="00D359D0">
              <w:rPr>
                <w:i/>
                <w:vertAlign w:val="superscript"/>
                <w:lang w:eastAsia="ja-JP"/>
              </w:rPr>
              <w:t>d</w:t>
            </w:r>
            <w:proofErr w:type="spellEnd"/>
          </w:p>
        </w:tc>
        <w:tc>
          <w:tcPr>
            <w:tcW w:w="694" w:type="pct"/>
            <w:tcBorders>
              <w:top w:val="single" w:sz="4" w:space="0" w:color="auto"/>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694" w:type="pct"/>
            <w:tcBorders>
              <w:top w:val="single" w:sz="4" w:space="0" w:color="auto"/>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725" w:type="pct"/>
            <w:tcBorders>
              <w:top w:val="single" w:sz="4" w:space="0" w:color="auto"/>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711" w:type="pct"/>
            <w:tcBorders>
              <w:top w:val="single" w:sz="4" w:space="0" w:color="auto"/>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695" w:type="pct"/>
            <w:tcBorders>
              <w:top w:val="single" w:sz="4" w:space="0" w:color="auto"/>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r>
      <w:tr w:rsidR="002328F0" w:rsidRPr="00D359D0" w:rsidTr="00A20DA8">
        <w:tc>
          <w:tcPr>
            <w:tcW w:w="5000" w:type="pct"/>
            <w:gridSpan w:val="6"/>
            <w:tcBorders>
              <w:top w:val="single" w:sz="4" w:space="0" w:color="auto"/>
              <w:bottom w:val="single" w:sz="4" w:space="0" w:color="auto"/>
            </w:tcBorders>
          </w:tcPr>
          <w:p w:rsidR="002328F0" w:rsidRPr="00D359D0" w:rsidRDefault="002328F0" w:rsidP="006D5DA3">
            <w:pPr>
              <w:pStyle w:val="Tabletext"/>
              <w:rPr>
                <w:i/>
              </w:rPr>
            </w:pPr>
            <w:r w:rsidRPr="00D359D0">
              <w:rPr>
                <w:b/>
                <w:lang w:eastAsia="ja-JP"/>
              </w:rPr>
              <w:t>Overall cost to the PBS/RPBS</w:t>
            </w:r>
          </w:p>
        </w:tc>
      </w:tr>
      <w:tr w:rsidR="002328F0" w:rsidRPr="00D359D0" w:rsidTr="00A20DA8">
        <w:tc>
          <w:tcPr>
            <w:tcW w:w="1481" w:type="pct"/>
            <w:tcBorders>
              <w:top w:val="single" w:sz="4" w:space="0" w:color="auto"/>
              <w:bottom w:val="single" w:sz="4" w:space="0" w:color="auto"/>
            </w:tcBorders>
          </w:tcPr>
          <w:p w:rsidR="002328F0" w:rsidRPr="00D359D0" w:rsidRDefault="002328F0" w:rsidP="006D5DA3">
            <w:pPr>
              <w:pStyle w:val="Tabletext"/>
              <w:rPr>
                <w:lang w:eastAsia="ja-JP"/>
              </w:rPr>
            </w:pPr>
            <w:r w:rsidRPr="00D359D0">
              <w:rPr>
                <w:lang w:eastAsia="ja-JP"/>
              </w:rPr>
              <w:t>Overall net cost</w:t>
            </w:r>
            <w:r w:rsidRPr="00D359D0">
              <w:rPr>
                <w:vertAlign w:val="superscript"/>
                <w:lang w:eastAsia="ja-JP"/>
              </w:rPr>
              <w:t xml:space="preserve"> </w:t>
            </w:r>
            <w:proofErr w:type="spellStart"/>
            <w:r w:rsidRPr="00D359D0">
              <w:rPr>
                <w:vertAlign w:val="superscript"/>
                <w:lang w:eastAsia="ja-JP"/>
              </w:rPr>
              <w:t>a,b,c</w:t>
            </w:r>
            <w:r w:rsidR="00C87AAC">
              <w:rPr>
                <w:vertAlign w:val="superscript"/>
                <w:lang w:eastAsia="ja-JP"/>
              </w:rPr>
              <w:t>,d</w:t>
            </w:r>
            <w:proofErr w:type="spellEnd"/>
          </w:p>
        </w:tc>
        <w:tc>
          <w:tcPr>
            <w:tcW w:w="694" w:type="pct"/>
            <w:tcBorders>
              <w:top w:val="single" w:sz="4" w:space="0" w:color="auto"/>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694" w:type="pct"/>
            <w:tcBorders>
              <w:top w:val="single" w:sz="4" w:space="0" w:color="auto"/>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725" w:type="pct"/>
            <w:tcBorders>
              <w:top w:val="single" w:sz="4" w:space="0" w:color="auto"/>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711" w:type="pct"/>
            <w:tcBorders>
              <w:top w:val="single" w:sz="4" w:space="0" w:color="auto"/>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c>
          <w:tcPr>
            <w:tcW w:w="695" w:type="pct"/>
            <w:tcBorders>
              <w:top w:val="single" w:sz="4" w:space="0" w:color="auto"/>
              <w:bottom w:val="single" w:sz="4" w:space="0" w:color="auto"/>
            </w:tcBorders>
          </w:tcPr>
          <w:p w:rsidR="002328F0" w:rsidRPr="00D359D0" w:rsidRDefault="002328F0" w:rsidP="006D5DA3">
            <w:pPr>
              <w:pStyle w:val="Tabletext"/>
              <w:jc w:val="center"/>
            </w:pPr>
            <w:r w:rsidRPr="00D359D0">
              <w:t>$</w:t>
            </w:r>
            <w:r w:rsidR="00557316">
              <w:rPr>
                <w:noProof/>
                <w:color w:val="000000"/>
                <w:highlight w:val="black"/>
              </w:rPr>
              <w:t>''''''''''''''''''''''''''''</w:t>
            </w:r>
          </w:p>
        </w:tc>
      </w:tr>
    </w:tbl>
    <w:p w:rsidR="002328F0" w:rsidRPr="009623C3" w:rsidRDefault="002328F0" w:rsidP="002328F0">
      <w:pPr>
        <w:pStyle w:val="TableFooter"/>
        <w:widowControl/>
        <w:ind w:left="709"/>
        <w:rPr>
          <w:szCs w:val="18"/>
        </w:rPr>
      </w:pPr>
      <w:r w:rsidRPr="009623C3">
        <w:rPr>
          <w:szCs w:val="18"/>
        </w:rPr>
        <w:t>Source: Commentary on the main submission, Tables E.2.3 (p76), E.3.1 (p77) and E.4.1 (p78).</w:t>
      </w:r>
    </w:p>
    <w:p w:rsidR="002328F0" w:rsidRPr="009623C3" w:rsidRDefault="002328F0" w:rsidP="002328F0">
      <w:pPr>
        <w:pStyle w:val="TableFooter"/>
        <w:widowControl/>
        <w:ind w:left="709"/>
        <w:rPr>
          <w:szCs w:val="18"/>
        </w:rPr>
      </w:pPr>
      <w:proofErr w:type="spellStart"/>
      <w:proofErr w:type="gramStart"/>
      <w:r w:rsidRPr="009623C3">
        <w:rPr>
          <w:szCs w:val="18"/>
          <w:vertAlign w:val="superscript"/>
        </w:rPr>
        <w:t>a</w:t>
      </w:r>
      <w:proofErr w:type="spellEnd"/>
      <w:proofErr w:type="gramEnd"/>
      <w:r w:rsidRPr="009623C3">
        <w:rPr>
          <w:szCs w:val="18"/>
        </w:rPr>
        <w:t xml:space="preserve"> Assuming </w:t>
      </w:r>
      <w:r w:rsidR="00557316">
        <w:rPr>
          <w:noProof/>
          <w:color w:val="000000"/>
          <w:szCs w:val="18"/>
          <w:highlight w:val="black"/>
        </w:rPr>
        <w:t xml:space="preserve">''''''''''''''' </w:t>
      </w:r>
      <w:r w:rsidRPr="009623C3">
        <w:rPr>
          <w:szCs w:val="18"/>
        </w:rPr>
        <w:t>administrations per patient.</w:t>
      </w:r>
    </w:p>
    <w:p w:rsidR="002328F0" w:rsidRPr="009623C3" w:rsidRDefault="002328F0" w:rsidP="002328F0">
      <w:pPr>
        <w:pStyle w:val="TableFooter"/>
        <w:widowControl/>
        <w:ind w:left="709"/>
        <w:rPr>
          <w:szCs w:val="18"/>
        </w:rPr>
      </w:pPr>
      <w:proofErr w:type="gramStart"/>
      <w:r w:rsidRPr="009623C3">
        <w:rPr>
          <w:szCs w:val="18"/>
          <w:vertAlign w:val="superscript"/>
        </w:rPr>
        <w:t>b</w:t>
      </w:r>
      <w:proofErr w:type="gramEnd"/>
      <w:r w:rsidRPr="009623C3">
        <w:rPr>
          <w:szCs w:val="18"/>
          <w:vertAlign w:val="superscript"/>
        </w:rPr>
        <w:t xml:space="preserve"> </w:t>
      </w:r>
      <w:r w:rsidRPr="009623C3">
        <w:rPr>
          <w:szCs w:val="18"/>
        </w:rPr>
        <w:t xml:space="preserve">Assuming on average one patient needs 223.0mg of </w:t>
      </w:r>
      <w:proofErr w:type="spellStart"/>
      <w:r w:rsidRPr="009623C3">
        <w:rPr>
          <w:szCs w:val="18"/>
        </w:rPr>
        <w:t>nivolumab</w:t>
      </w:r>
      <w:proofErr w:type="spellEnd"/>
      <w:r w:rsidRPr="009623C3">
        <w:rPr>
          <w:szCs w:val="18"/>
        </w:rPr>
        <w:t xml:space="preserve"> with a body weight of 74.25kg. To supply 223.0mg of </w:t>
      </w:r>
      <w:proofErr w:type="spellStart"/>
      <w:r w:rsidRPr="009623C3">
        <w:rPr>
          <w:szCs w:val="18"/>
        </w:rPr>
        <w:t>nivolumab</w:t>
      </w:r>
      <w:proofErr w:type="spellEnd"/>
      <w:r w:rsidRPr="009623C3">
        <w:rPr>
          <w:szCs w:val="18"/>
        </w:rPr>
        <w:t>, 2 vials of 100mg/10mL and 0.58 vials of 40mg/4ml were assumed in the submission. During the evaluation, 2 vials 100mg/mL and 1 vial 40mg/4mL were used in the sensitivity analysis.</w:t>
      </w:r>
    </w:p>
    <w:p w:rsidR="002328F0" w:rsidRPr="009623C3" w:rsidRDefault="002328F0" w:rsidP="002328F0">
      <w:pPr>
        <w:pStyle w:val="TableFooter"/>
        <w:widowControl/>
        <w:ind w:left="709"/>
        <w:rPr>
          <w:szCs w:val="18"/>
        </w:rPr>
      </w:pPr>
      <w:proofErr w:type="gramStart"/>
      <w:r w:rsidRPr="009623C3">
        <w:rPr>
          <w:szCs w:val="18"/>
          <w:vertAlign w:val="superscript"/>
        </w:rPr>
        <w:t>c</w:t>
      </w:r>
      <w:proofErr w:type="gramEnd"/>
      <w:r w:rsidRPr="009623C3">
        <w:rPr>
          <w:szCs w:val="18"/>
          <w:vertAlign w:val="superscript"/>
        </w:rPr>
        <w:t xml:space="preserve"> </w:t>
      </w:r>
      <w:r w:rsidRPr="009623C3">
        <w:rPr>
          <w:szCs w:val="18"/>
        </w:rPr>
        <w:t xml:space="preserve">The dispensed price of </w:t>
      </w:r>
      <w:proofErr w:type="spellStart"/>
      <w:r w:rsidRPr="009623C3">
        <w:rPr>
          <w:szCs w:val="18"/>
        </w:rPr>
        <w:t>nivolumab</w:t>
      </w:r>
      <w:proofErr w:type="spellEnd"/>
      <w:r w:rsidRPr="009623C3">
        <w:rPr>
          <w:szCs w:val="18"/>
        </w:rPr>
        <w:t xml:space="preserve"> was updated during the evaluation including a 1.4% pharmacy mark-up for private hospitals and the preparation fee of $102.67.</w:t>
      </w:r>
    </w:p>
    <w:p w:rsidR="002328F0" w:rsidRDefault="002328F0" w:rsidP="002328F0">
      <w:pPr>
        <w:pStyle w:val="TableFooter"/>
        <w:widowControl/>
        <w:ind w:left="709"/>
        <w:rPr>
          <w:szCs w:val="18"/>
        </w:rPr>
      </w:pPr>
      <w:proofErr w:type="gramStart"/>
      <w:r w:rsidRPr="009623C3">
        <w:rPr>
          <w:szCs w:val="18"/>
          <w:vertAlign w:val="superscript"/>
        </w:rPr>
        <w:t>d</w:t>
      </w:r>
      <w:proofErr w:type="gramEnd"/>
      <w:r w:rsidRPr="009623C3">
        <w:rPr>
          <w:szCs w:val="18"/>
          <w:vertAlign w:val="superscript"/>
        </w:rPr>
        <w:t xml:space="preserve"> </w:t>
      </w:r>
      <w:r w:rsidRPr="009623C3">
        <w:rPr>
          <w:szCs w:val="18"/>
        </w:rPr>
        <w:t xml:space="preserve">Revised during the evaluation to include wastage. The dispensed prices of </w:t>
      </w:r>
      <w:proofErr w:type="spellStart"/>
      <w:r w:rsidRPr="009623C3">
        <w:rPr>
          <w:szCs w:val="18"/>
        </w:rPr>
        <w:t>docetaxel</w:t>
      </w:r>
      <w:proofErr w:type="spellEnd"/>
      <w:r w:rsidRPr="009623C3">
        <w:rPr>
          <w:szCs w:val="18"/>
        </w:rPr>
        <w:t xml:space="preserve"> were updated to include a 1.4% pharmacy mark- up for private hospitals and the preparation fee of $102.67. </w:t>
      </w:r>
      <w:proofErr w:type="gramStart"/>
      <w:r w:rsidRPr="009623C3">
        <w:rPr>
          <w:szCs w:val="18"/>
        </w:rPr>
        <w:t xml:space="preserve">Excludes patient </w:t>
      </w:r>
      <w:proofErr w:type="spellStart"/>
      <w:r w:rsidRPr="009623C3">
        <w:rPr>
          <w:szCs w:val="18"/>
        </w:rPr>
        <w:t>copayments</w:t>
      </w:r>
      <w:proofErr w:type="spellEnd"/>
      <w:r w:rsidRPr="009623C3">
        <w:rPr>
          <w:szCs w:val="18"/>
        </w:rPr>
        <w:t>.</w:t>
      </w:r>
      <w:proofErr w:type="gramEnd"/>
    </w:p>
    <w:p w:rsidR="0033262E" w:rsidRDefault="0033262E" w:rsidP="002328F0">
      <w:pPr>
        <w:pStyle w:val="TableFooter"/>
        <w:widowControl/>
        <w:ind w:left="709"/>
        <w:rPr>
          <w:szCs w:val="18"/>
        </w:rPr>
      </w:pPr>
    </w:p>
    <w:p w:rsidR="0033262E" w:rsidRPr="000B473D" w:rsidRDefault="0033262E" w:rsidP="002328F0">
      <w:pPr>
        <w:pStyle w:val="TableFooter"/>
        <w:widowControl/>
        <w:ind w:left="709"/>
        <w:rPr>
          <w:rFonts w:ascii="Arial" w:hAnsi="Arial"/>
          <w:sz w:val="22"/>
        </w:rPr>
      </w:pPr>
      <w:r w:rsidRPr="000B473D">
        <w:rPr>
          <w:rFonts w:ascii="Arial" w:hAnsi="Arial"/>
          <w:sz w:val="22"/>
        </w:rPr>
        <w:t xml:space="preserve">The redacted table above shows that </w:t>
      </w:r>
      <w:r w:rsidR="000B473D" w:rsidRPr="000B473D">
        <w:rPr>
          <w:rFonts w:ascii="Arial" w:hAnsi="Arial"/>
          <w:sz w:val="22"/>
        </w:rPr>
        <w:t xml:space="preserve">in </w:t>
      </w:r>
      <w:r w:rsidRPr="000B473D">
        <w:rPr>
          <w:rFonts w:ascii="Arial" w:hAnsi="Arial"/>
          <w:sz w:val="22"/>
        </w:rPr>
        <w:t xml:space="preserve">year 5, the estimated number of patients would be less than 10,000 and </w:t>
      </w:r>
      <w:r w:rsidR="000B473D" w:rsidRPr="000B473D">
        <w:rPr>
          <w:rFonts w:ascii="Arial" w:hAnsi="Arial"/>
          <w:sz w:val="22"/>
        </w:rPr>
        <w:t>the net cost to PBS would be $30 - $60 million.</w:t>
      </w:r>
    </w:p>
    <w:p w:rsidR="00320D16" w:rsidRPr="00FC346C" w:rsidRDefault="00320D16" w:rsidP="006115DB">
      <w:pPr>
        <w:ind w:left="720" w:hanging="720"/>
        <w:rPr>
          <w:szCs w:val="22"/>
        </w:rPr>
      </w:pPr>
    </w:p>
    <w:p w:rsidR="0073258E" w:rsidRPr="00FC346C" w:rsidRDefault="0073258E" w:rsidP="007D5A2D">
      <w:pPr>
        <w:pStyle w:val="ListParagraph"/>
        <w:widowControl/>
        <w:numPr>
          <w:ilvl w:val="1"/>
          <w:numId w:val="2"/>
        </w:numPr>
      </w:pPr>
      <w:r w:rsidRPr="00FC346C">
        <w:t>DUSC consider</w:t>
      </w:r>
      <w:r w:rsidR="007068C1" w:rsidRPr="00FC346C">
        <w:t>ed</w:t>
      </w:r>
      <w:r w:rsidRPr="00FC346C">
        <w:t xml:space="preserve"> the estimates presented in the submission to be underestimated. The main issues </w:t>
      </w:r>
      <w:r w:rsidR="005D18F3" w:rsidRPr="00FC346C">
        <w:t>we</w:t>
      </w:r>
      <w:r w:rsidRPr="00FC346C">
        <w:t>re:</w:t>
      </w:r>
    </w:p>
    <w:p w:rsidR="0073258E" w:rsidRPr="00FC346C" w:rsidRDefault="0073258E" w:rsidP="007D5A2D">
      <w:pPr>
        <w:pStyle w:val="BodyText"/>
        <w:numPr>
          <w:ilvl w:val="0"/>
          <w:numId w:val="9"/>
        </w:numPr>
        <w:jc w:val="both"/>
        <w:rPr>
          <w:color w:val="000000" w:themeColor="text1"/>
          <w:szCs w:val="22"/>
        </w:rPr>
      </w:pPr>
      <w:r w:rsidRPr="00FC346C">
        <w:rPr>
          <w:color w:val="000000" w:themeColor="text1"/>
          <w:szCs w:val="22"/>
        </w:rPr>
        <w:t>The financial implications to government may be significantly underestimated by applying a ‘wider’ versus ‘narrower’ definition of NSCLC to estimate the squamous NSCLC eligible population (18.3% vs. 25.8%, respectively).</w:t>
      </w:r>
      <w:r w:rsidR="007F1073" w:rsidRPr="00FC346C">
        <w:rPr>
          <w:color w:val="000000" w:themeColor="text1"/>
          <w:szCs w:val="22"/>
        </w:rPr>
        <w:t xml:space="preserve"> The Pre-PBAC Response (p.3) acknowledged that there is uncertainty regarding the true split between squamous and non-squamous NSCLC patients in Australia, noting that an “increase in cost to the PBS for the squamous NSCLC indication is offset by a reduction in PBS cost for the non-squamous indication.”</w:t>
      </w:r>
    </w:p>
    <w:p w:rsidR="0073258E" w:rsidRPr="00FC346C" w:rsidRDefault="0073258E" w:rsidP="007D5A2D">
      <w:pPr>
        <w:pStyle w:val="BodyText"/>
        <w:numPr>
          <w:ilvl w:val="0"/>
          <w:numId w:val="9"/>
        </w:numPr>
        <w:jc w:val="both"/>
        <w:rPr>
          <w:color w:val="000000" w:themeColor="text1"/>
          <w:szCs w:val="22"/>
        </w:rPr>
      </w:pPr>
      <w:r w:rsidRPr="00FC346C">
        <w:rPr>
          <w:color w:val="000000" w:themeColor="text1"/>
          <w:szCs w:val="22"/>
        </w:rPr>
        <w:t xml:space="preserve">The number of eligible patients receiving prior platinum-based chemotherapy </w:t>
      </w:r>
      <w:r w:rsidR="00FC346C" w:rsidRPr="00FC346C">
        <w:rPr>
          <w:color w:val="000000" w:themeColor="text1"/>
          <w:szCs w:val="22"/>
        </w:rPr>
        <w:t>wa</w:t>
      </w:r>
      <w:r w:rsidRPr="00FC346C">
        <w:rPr>
          <w:color w:val="000000" w:themeColor="text1"/>
          <w:szCs w:val="22"/>
        </w:rPr>
        <w:t xml:space="preserve">s likely to be underestimated by assuming a relatively large proportion (25%) </w:t>
      </w:r>
      <w:proofErr w:type="gramStart"/>
      <w:r w:rsidRPr="00FC346C">
        <w:rPr>
          <w:color w:val="000000" w:themeColor="text1"/>
          <w:szCs w:val="22"/>
        </w:rPr>
        <w:t>receive</w:t>
      </w:r>
      <w:proofErr w:type="gramEnd"/>
      <w:r w:rsidRPr="00FC346C">
        <w:rPr>
          <w:color w:val="000000" w:themeColor="text1"/>
          <w:szCs w:val="22"/>
        </w:rPr>
        <w:t xml:space="preserve"> single agent chemotherapy instead. There would be an incentive to use doublet chemotherapy over single agents in order to access </w:t>
      </w:r>
      <w:proofErr w:type="spellStart"/>
      <w:r w:rsidRPr="00FC346C">
        <w:rPr>
          <w:color w:val="000000" w:themeColor="text1"/>
          <w:szCs w:val="22"/>
        </w:rPr>
        <w:t>nivolumab</w:t>
      </w:r>
      <w:proofErr w:type="spellEnd"/>
      <w:r w:rsidRPr="00FC346C">
        <w:rPr>
          <w:color w:val="000000" w:themeColor="text1"/>
          <w:szCs w:val="22"/>
        </w:rPr>
        <w:t>.</w:t>
      </w:r>
    </w:p>
    <w:p w:rsidR="0073258E" w:rsidRPr="00FC346C" w:rsidRDefault="0073258E" w:rsidP="007D5A2D">
      <w:pPr>
        <w:pStyle w:val="BodyText"/>
        <w:numPr>
          <w:ilvl w:val="0"/>
          <w:numId w:val="9"/>
        </w:numPr>
        <w:jc w:val="both"/>
        <w:rPr>
          <w:color w:val="000000" w:themeColor="text1"/>
          <w:szCs w:val="22"/>
        </w:rPr>
      </w:pPr>
      <w:r w:rsidRPr="00FC346C">
        <w:rPr>
          <w:color w:val="000000" w:themeColor="text1"/>
          <w:szCs w:val="22"/>
        </w:rPr>
        <w:t xml:space="preserve">The duration of </w:t>
      </w:r>
      <w:proofErr w:type="spellStart"/>
      <w:r w:rsidRPr="00FC346C">
        <w:rPr>
          <w:color w:val="000000" w:themeColor="text1"/>
          <w:szCs w:val="22"/>
        </w:rPr>
        <w:t>nivolumab</w:t>
      </w:r>
      <w:proofErr w:type="spellEnd"/>
      <w:r w:rsidRPr="00FC346C">
        <w:rPr>
          <w:color w:val="000000" w:themeColor="text1"/>
          <w:szCs w:val="22"/>
        </w:rPr>
        <w:t xml:space="preserve"> treatment in practice </w:t>
      </w:r>
      <w:r w:rsidR="00FC346C" w:rsidRPr="00FC346C">
        <w:rPr>
          <w:color w:val="000000" w:themeColor="text1"/>
          <w:szCs w:val="22"/>
        </w:rPr>
        <w:t xml:space="preserve">would </w:t>
      </w:r>
      <w:r w:rsidRPr="00FC346C">
        <w:rPr>
          <w:color w:val="000000" w:themeColor="text1"/>
          <w:szCs w:val="22"/>
        </w:rPr>
        <w:t>likely be longer than the estimate based on Trial 017 due to the early cessation of this trial.</w:t>
      </w:r>
    </w:p>
    <w:p w:rsidR="0073258E" w:rsidRPr="00FC346C" w:rsidRDefault="0073258E" w:rsidP="007D5A2D">
      <w:pPr>
        <w:pStyle w:val="BodyText"/>
        <w:numPr>
          <w:ilvl w:val="0"/>
          <w:numId w:val="9"/>
        </w:numPr>
        <w:ind w:left="1071" w:hanging="357"/>
        <w:jc w:val="both"/>
        <w:rPr>
          <w:color w:val="000000" w:themeColor="text1"/>
          <w:szCs w:val="22"/>
        </w:rPr>
      </w:pPr>
      <w:r w:rsidRPr="00FC346C">
        <w:rPr>
          <w:color w:val="000000" w:themeColor="text1"/>
          <w:szCs w:val="22"/>
        </w:rPr>
        <w:lastRenderedPageBreak/>
        <w:t>The</w:t>
      </w:r>
      <w:r w:rsidR="00FC346C" w:rsidRPr="00FC346C">
        <w:rPr>
          <w:color w:val="000000" w:themeColor="text1"/>
          <w:szCs w:val="22"/>
        </w:rPr>
        <w:t>re was</w:t>
      </w:r>
      <w:r w:rsidRPr="00FC346C">
        <w:rPr>
          <w:color w:val="000000" w:themeColor="text1"/>
          <w:szCs w:val="22"/>
        </w:rPr>
        <w:t xml:space="preserve"> potential for use beyond the restriction: (</w:t>
      </w:r>
      <w:proofErr w:type="spellStart"/>
      <w:r w:rsidRPr="00FC346C">
        <w:rPr>
          <w:color w:val="000000" w:themeColor="text1"/>
          <w:szCs w:val="22"/>
        </w:rPr>
        <w:t>i</w:t>
      </w:r>
      <w:proofErr w:type="spellEnd"/>
      <w:r w:rsidRPr="00FC346C">
        <w:rPr>
          <w:color w:val="000000" w:themeColor="text1"/>
          <w:szCs w:val="22"/>
        </w:rPr>
        <w:t>) use in earlier lines of therapy; (ii) use in patients with a performance status that is worse than those participatin</w:t>
      </w:r>
      <w:r w:rsidR="00A26602">
        <w:rPr>
          <w:color w:val="000000" w:themeColor="text1"/>
          <w:szCs w:val="22"/>
        </w:rPr>
        <w:t>g in the key trial (i.e. ECOG &gt;</w:t>
      </w:r>
      <w:r w:rsidRPr="00FC346C">
        <w:rPr>
          <w:color w:val="000000" w:themeColor="text1"/>
          <w:szCs w:val="22"/>
        </w:rPr>
        <w:t>1); and (iii) use beyond disease progression.</w:t>
      </w:r>
    </w:p>
    <w:p w:rsidR="00BB45FB" w:rsidRPr="00133A1A" w:rsidRDefault="00BB45FB" w:rsidP="00133A1A">
      <w:bookmarkStart w:id="16" w:name="_Toc440981195"/>
    </w:p>
    <w:p w:rsidR="006115DB" w:rsidRPr="002C2775" w:rsidRDefault="006115DB" w:rsidP="006115DB">
      <w:pPr>
        <w:pStyle w:val="Heading2"/>
        <w:rPr>
          <w:i/>
        </w:rPr>
      </w:pPr>
      <w:r w:rsidRPr="002C2775">
        <w:rPr>
          <w:i/>
        </w:rPr>
        <w:t>Quality Use of Medicines</w:t>
      </w:r>
      <w:bookmarkEnd w:id="16"/>
    </w:p>
    <w:p w:rsidR="006115DB" w:rsidRPr="00576972" w:rsidRDefault="006115DB" w:rsidP="006115DB">
      <w:pPr>
        <w:widowControl/>
        <w:rPr>
          <w:szCs w:val="22"/>
        </w:rPr>
      </w:pPr>
    </w:p>
    <w:p w:rsidR="006115DB" w:rsidRPr="006C03DC" w:rsidRDefault="006115DB" w:rsidP="0073258E">
      <w:pPr>
        <w:pStyle w:val="ListParagraph"/>
        <w:widowControl/>
        <w:numPr>
          <w:ilvl w:val="1"/>
          <w:numId w:val="2"/>
        </w:numPr>
        <w:rPr>
          <w:szCs w:val="22"/>
        </w:rPr>
      </w:pPr>
      <w:r>
        <w:t>Given the need (</w:t>
      </w:r>
      <w:r w:rsidRPr="009971BB">
        <w:t>at least in the short term</w:t>
      </w:r>
      <w:r>
        <w:t xml:space="preserve"> as noted in the submission) for </w:t>
      </w:r>
      <w:r w:rsidRPr="009971BB">
        <w:t>close attention to the early identification and appropriate treatment of immune-related adverse reactions</w:t>
      </w:r>
      <w:r>
        <w:t>, t</w:t>
      </w:r>
      <w:r w:rsidRPr="0086524D">
        <w:t xml:space="preserve">he submission provided a summary of the sponsor’s plans regarding the quality use of medicines. </w:t>
      </w:r>
      <w:r>
        <w:t xml:space="preserve">This included </w:t>
      </w:r>
      <w:r w:rsidRPr="006D45F1">
        <w:t xml:space="preserve">a support and educational framework for practitioners and patients </w:t>
      </w:r>
      <w:r>
        <w:t xml:space="preserve">and other </w:t>
      </w:r>
      <w:r w:rsidRPr="006C03DC">
        <w:t xml:space="preserve">initiatives </w:t>
      </w:r>
      <w:r w:rsidRPr="00287DBE">
        <w:rPr>
          <w:szCs w:val="22"/>
        </w:rPr>
        <w:t>supporting</w:t>
      </w:r>
      <w:r w:rsidRPr="006C03DC">
        <w:t xml:space="preserve"> </w:t>
      </w:r>
      <w:proofErr w:type="spellStart"/>
      <w:r w:rsidRPr="006C03DC">
        <w:t>nivolumab</w:t>
      </w:r>
      <w:proofErr w:type="spellEnd"/>
      <w:r w:rsidRPr="006C03DC">
        <w:t xml:space="preserve"> use</w:t>
      </w:r>
      <w:r w:rsidRPr="006D45F1">
        <w:t xml:space="preserve"> in Australian clinical practice</w:t>
      </w:r>
      <w:r>
        <w:t>.</w:t>
      </w:r>
    </w:p>
    <w:p w:rsidR="006115DB" w:rsidRDefault="006115DB" w:rsidP="006115DB">
      <w:pPr>
        <w:widowControl/>
        <w:rPr>
          <w:szCs w:val="22"/>
        </w:rPr>
      </w:pPr>
    </w:p>
    <w:p w:rsidR="006115DB" w:rsidRPr="002C2775" w:rsidRDefault="006115DB" w:rsidP="006115DB">
      <w:pPr>
        <w:pStyle w:val="Heading2"/>
        <w:rPr>
          <w:i/>
          <w:szCs w:val="22"/>
        </w:rPr>
      </w:pPr>
      <w:bookmarkStart w:id="17" w:name="_Toc440981196"/>
      <w:r w:rsidRPr="002C2775">
        <w:rPr>
          <w:i/>
        </w:rPr>
        <w:t xml:space="preserve">Financial Management – </w:t>
      </w:r>
      <w:r>
        <w:rPr>
          <w:i/>
        </w:rPr>
        <w:t>Risk Share</w:t>
      </w:r>
      <w:r w:rsidRPr="002C2775">
        <w:rPr>
          <w:i/>
        </w:rPr>
        <w:t xml:space="preserve"> Arrangements</w:t>
      </w:r>
      <w:bookmarkEnd w:id="17"/>
    </w:p>
    <w:p w:rsidR="006115DB" w:rsidRPr="00576972" w:rsidRDefault="006115DB" w:rsidP="006115DB">
      <w:pPr>
        <w:widowControl/>
        <w:rPr>
          <w:szCs w:val="22"/>
        </w:rPr>
      </w:pPr>
    </w:p>
    <w:p w:rsidR="006115DB" w:rsidRPr="00662DF1" w:rsidRDefault="006115DB" w:rsidP="0073258E">
      <w:pPr>
        <w:pStyle w:val="ListParagraph"/>
        <w:widowControl/>
        <w:numPr>
          <w:ilvl w:val="1"/>
          <w:numId w:val="2"/>
        </w:numPr>
        <w:rPr>
          <w:szCs w:val="22"/>
        </w:rPr>
      </w:pPr>
      <w:r>
        <w:t xml:space="preserve">The submission proposed </w:t>
      </w:r>
      <w:r w:rsidR="00A93363">
        <w:t xml:space="preserve">a </w:t>
      </w:r>
      <w:r>
        <w:t>Special Prici</w:t>
      </w:r>
      <w:r w:rsidR="00A93363">
        <w:t>ng Arrangement</w:t>
      </w:r>
      <w:r>
        <w:t xml:space="preserve"> (SPA) where the published price </w:t>
      </w:r>
      <w:r w:rsidR="00A93363">
        <w:t>would be</w:t>
      </w:r>
      <w:r>
        <w:t xml:space="preserve"> greater than the effective price. The submission also stated that the sponsor would commit to negotiation to manage residual uncertainty with respect to expenditure.</w:t>
      </w:r>
    </w:p>
    <w:p w:rsidR="00662DF1" w:rsidRPr="00FC346C" w:rsidRDefault="00662DF1" w:rsidP="00FC346C">
      <w:pPr>
        <w:tabs>
          <w:tab w:val="left" w:pos="2955"/>
        </w:tabs>
        <w:rPr>
          <w:szCs w:val="22"/>
        </w:rPr>
      </w:pPr>
    </w:p>
    <w:p w:rsidR="00662DF1" w:rsidRPr="00BC3E13" w:rsidRDefault="00662DF1" w:rsidP="0073258E">
      <w:pPr>
        <w:ind w:left="709"/>
        <w:contextualSpacing/>
        <w:rPr>
          <w:i/>
          <w:szCs w:val="22"/>
        </w:rPr>
      </w:pPr>
      <w:r w:rsidRPr="00BC3E13">
        <w:rPr>
          <w:i/>
          <w:szCs w:val="22"/>
        </w:rPr>
        <w:t>For more detail on PBAC’s view, see section 7 “PBAC outcome”</w:t>
      </w:r>
      <w:r w:rsidR="00FC346C">
        <w:rPr>
          <w:i/>
          <w:szCs w:val="22"/>
        </w:rPr>
        <w:t>.</w:t>
      </w:r>
    </w:p>
    <w:p w:rsidR="00662DF1" w:rsidRPr="00FC346C" w:rsidRDefault="00662DF1" w:rsidP="00FC346C">
      <w:pPr>
        <w:rPr>
          <w:szCs w:val="22"/>
        </w:rPr>
      </w:pPr>
    </w:p>
    <w:p w:rsidR="0073258E" w:rsidRPr="00FC346C" w:rsidRDefault="0073258E" w:rsidP="00992D38">
      <w:pPr>
        <w:widowControl/>
        <w:jc w:val="left"/>
        <w:rPr>
          <w:szCs w:val="22"/>
        </w:rPr>
      </w:pPr>
    </w:p>
    <w:p w:rsidR="00662DF1" w:rsidRPr="00BC3E13" w:rsidRDefault="00662DF1" w:rsidP="00133A1A">
      <w:pPr>
        <w:pStyle w:val="Heading1"/>
        <w:rPr>
          <w:b w:val="0"/>
          <w:bCs/>
        </w:rPr>
      </w:pPr>
      <w:r w:rsidRPr="00BC3E13">
        <w:rPr>
          <w:bCs/>
        </w:rPr>
        <w:t>PBAC Outcome</w:t>
      </w:r>
    </w:p>
    <w:p w:rsidR="00662DF1" w:rsidRPr="00FC346C" w:rsidRDefault="00662DF1" w:rsidP="00662DF1">
      <w:pPr>
        <w:contextualSpacing/>
        <w:rPr>
          <w:bCs/>
          <w:szCs w:val="22"/>
          <w:lang w:val="en-GB"/>
        </w:rPr>
      </w:pPr>
    </w:p>
    <w:p w:rsidR="00662DF1" w:rsidRPr="00A82CDA" w:rsidRDefault="009F673A" w:rsidP="0073258E">
      <w:pPr>
        <w:numPr>
          <w:ilvl w:val="1"/>
          <w:numId w:val="2"/>
        </w:numPr>
        <w:contextualSpacing/>
        <w:rPr>
          <w:bCs/>
          <w:szCs w:val="22"/>
          <w:lang w:val="en-GB"/>
        </w:rPr>
      </w:pPr>
      <w:r w:rsidRPr="00A82CDA">
        <w:rPr>
          <w:bCs/>
          <w:szCs w:val="22"/>
          <w:lang w:val="en-GB"/>
        </w:rPr>
        <w:t xml:space="preserve">The PBAC </w:t>
      </w:r>
      <w:r w:rsidR="002E7AD7" w:rsidRPr="00A82CDA">
        <w:rPr>
          <w:bCs/>
          <w:szCs w:val="22"/>
          <w:lang w:val="en-GB"/>
        </w:rPr>
        <w:t>decided not to recommend</w:t>
      </w:r>
      <w:r w:rsidRPr="00A82CDA">
        <w:rPr>
          <w:bCs/>
          <w:szCs w:val="22"/>
          <w:lang w:val="en-GB"/>
        </w:rPr>
        <w:t xml:space="preserve"> </w:t>
      </w:r>
      <w:r w:rsidR="00B6015E">
        <w:rPr>
          <w:bCs/>
          <w:szCs w:val="22"/>
          <w:lang w:val="en-GB"/>
        </w:rPr>
        <w:t xml:space="preserve">that </w:t>
      </w:r>
      <w:proofErr w:type="spellStart"/>
      <w:r w:rsidRPr="00A82CDA">
        <w:rPr>
          <w:bCs/>
          <w:szCs w:val="22"/>
          <w:lang w:val="en-GB"/>
        </w:rPr>
        <w:t>nivolumab</w:t>
      </w:r>
      <w:proofErr w:type="spellEnd"/>
      <w:r w:rsidRPr="00A82CDA">
        <w:rPr>
          <w:bCs/>
          <w:szCs w:val="22"/>
          <w:lang w:val="en-GB"/>
        </w:rPr>
        <w:t xml:space="preserve"> </w:t>
      </w:r>
      <w:r w:rsidR="00B6015E">
        <w:rPr>
          <w:bCs/>
          <w:szCs w:val="22"/>
          <w:lang w:val="en-GB"/>
        </w:rPr>
        <w:t xml:space="preserve">be listed in the PBS </w:t>
      </w:r>
      <w:r w:rsidRPr="00A82CDA">
        <w:rPr>
          <w:bCs/>
          <w:szCs w:val="22"/>
          <w:lang w:val="en-GB"/>
        </w:rPr>
        <w:t xml:space="preserve">for the treatment of squamous NSCLC </w:t>
      </w:r>
      <w:r w:rsidR="004A0319" w:rsidRPr="00A82CDA">
        <w:rPr>
          <w:bCs/>
          <w:szCs w:val="22"/>
          <w:lang w:val="en-GB"/>
        </w:rPr>
        <w:t xml:space="preserve">on the basis that </w:t>
      </w:r>
      <w:r w:rsidR="00B6015E">
        <w:rPr>
          <w:bCs/>
          <w:szCs w:val="22"/>
          <w:lang w:val="en-GB"/>
        </w:rPr>
        <w:t xml:space="preserve">acceptable </w:t>
      </w:r>
      <w:r w:rsidR="004A0319" w:rsidRPr="00A82CDA">
        <w:rPr>
          <w:bCs/>
          <w:szCs w:val="22"/>
          <w:lang w:val="en-GB"/>
        </w:rPr>
        <w:t>cost-effectiveness had not been</w:t>
      </w:r>
      <w:r w:rsidR="007325FC">
        <w:rPr>
          <w:bCs/>
          <w:szCs w:val="22"/>
          <w:lang w:val="en-GB"/>
        </w:rPr>
        <w:t xml:space="preserve"> adequately </w:t>
      </w:r>
      <w:r w:rsidR="004A0319" w:rsidRPr="00A82CDA">
        <w:rPr>
          <w:bCs/>
          <w:szCs w:val="22"/>
          <w:lang w:val="en-GB"/>
        </w:rPr>
        <w:t>demonstrated.</w:t>
      </w:r>
      <w:r w:rsidR="00CF461F" w:rsidRPr="00A82CDA">
        <w:rPr>
          <w:bCs/>
          <w:szCs w:val="22"/>
          <w:lang w:val="en-GB"/>
        </w:rPr>
        <w:t xml:space="preserve"> </w:t>
      </w:r>
      <w:r w:rsidR="004A0319" w:rsidRPr="00A82CDA">
        <w:rPr>
          <w:bCs/>
          <w:szCs w:val="22"/>
          <w:lang w:val="en-GB"/>
        </w:rPr>
        <w:t>T</w:t>
      </w:r>
      <w:r w:rsidR="00CF461F" w:rsidRPr="00A82CDA">
        <w:rPr>
          <w:bCs/>
          <w:szCs w:val="22"/>
          <w:lang w:val="en-GB"/>
        </w:rPr>
        <w:t xml:space="preserve">he PBAC considered that </w:t>
      </w:r>
      <w:r w:rsidR="004A0319" w:rsidRPr="00A82CDA">
        <w:rPr>
          <w:bCs/>
          <w:szCs w:val="22"/>
          <w:lang w:val="en-GB"/>
        </w:rPr>
        <w:t xml:space="preserve">the economic model </w:t>
      </w:r>
      <w:r w:rsidR="007325FC">
        <w:rPr>
          <w:bCs/>
          <w:szCs w:val="22"/>
          <w:lang w:val="en-GB"/>
        </w:rPr>
        <w:t xml:space="preserve">presented in the submission </w:t>
      </w:r>
      <w:r w:rsidR="00BD2CDB">
        <w:rPr>
          <w:bCs/>
          <w:szCs w:val="22"/>
          <w:lang w:val="en-GB"/>
        </w:rPr>
        <w:t>included</w:t>
      </w:r>
      <w:r w:rsidR="007325FC">
        <w:rPr>
          <w:bCs/>
          <w:szCs w:val="22"/>
          <w:lang w:val="en-GB"/>
        </w:rPr>
        <w:t xml:space="preserve"> numerous assumptions that favoured </w:t>
      </w:r>
      <w:proofErr w:type="spellStart"/>
      <w:r w:rsidR="007325FC">
        <w:rPr>
          <w:bCs/>
          <w:szCs w:val="22"/>
          <w:lang w:val="en-GB"/>
        </w:rPr>
        <w:t>nivolumab</w:t>
      </w:r>
      <w:proofErr w:type="spellEnd"/>
      <w:r w:rsidR="007325FC">
        <w:rPr>
          <w:bCs/>
          <w:szCs w:val="22"/>
          <w:lang w:val="en-GB"/>
        </w:rPr>
        <w:t>,</w:t>
      </w:r>
      <w:r w:rsidR="004A0319" w:rsidRPr="00A82CDA">
        <w:rPr>
          <w:bCs/>
          <w:szCs w:val="22"/>
          <w:lang w:val="en-GB"/>
        </w:rPr>
        <w:t xml:space="preserve"> and </w:t>
      </w:r>
      <w:r w:rsidR="007325FC">
        <w:rPr>
          <w:bCs/>
          <w:szCs w:val="22"/>
          <w:lang w:val="en-GB"/>
        </w:rPr>
        <w:t xml:space="preserve">that </w:t>
      </w:r>
      <w:r w:rsidR="00CF461F" w:rsidRPr="00A82CDA">
        <w:rPr>
          <w:bCs/>
          <w:szCs w:val="22"/>
          <w:lang w:val="en-GB"/>
        </w:rPr>
        <w:t>the</w:t>
      </w:r>
      <w:r w:rsidRPr="00A82CDA">
        <w:rPr>
          <w:bCs/>
          <w:szCs w:val="22"/>
          <w:lang w:val="en-GB"/>
        </w:rPr>
        <w:t xml:space="preserve"> </w:t>
      </w:r>
      <w:r w:rsidR="004A0319" w:rsidRPr="00A82CDA">
        <w:rPr>
          <w:bCs/>
          <w:szCs w:val="22"/>
          <w:lang w:val="en-GB"/>
        </w:rPr>
        <w:t xml:space="preserve">resulting </w:t>
      </w:r>
      <w:r w:rsidR="00CD30FB">
        <w:rPr>
          <w:bCs/>
          <w:szCs w:val="22"/>
          <w:lang w:val="en-GB"/>
        </w:rPr>
        <w:t xml:space="preserve">incremental </w:t>
      </w:r>
      <w:r w:rsidRPr="00A82CDA">
        <w:rPr>
          <w:bCs/>
          <w:szCs w:val="22"/>
          <w:lang w:val="en-GB"/>
        </w:rPr>
        <w:t>cost-effectiveness</w:t>
      </w:r>
      <w:r w:rsidR="00CD30FB">
        <w:rPr>
          <w:bCs/>
          <w:szCs w:val="22"/>
          <w:lang w:val="en-GB"/>
        </w:rPr>
        <w:t xml:space="preserve"> ratio</w:t>
      </w:r>
      <w:r w:rsidR="00CF461F" w:rsidRPr="00A82CDA">
        <w:rPr>
          <w:bCs/>
          <w:szCs w:val="22"/>
          <w:lang w:val="en-GB"/>
        </w:rPr>
        <w:t xml:space="preserve"> was </w:t>
      </w:r>
      <w:r w:rsidR="007B32E4">
        <w:rPr>
          <w:bCs/>
          <w:szCs w:val="22"/>
          <w:lang w:val="en-GB"/>
        </w:rPr>
        <w:t>too high and likely to be significantly underestimated</w:t>
      </w:r>
      <w:r w:rsidR="00EA605A">
        <w:rPr>
          <w:bCs/>
          <w:szCs w:val="22"/>
          <w:lang w:val="en-GB"/>
        </w:rPr>
        <w:t>.</w:t>
      </w:r>
    </w:p>
    <w:p w:rsidR="00662DF1" w:rsidRPr="00A82CDA" w:rsidRDefault="00662DF1" w:rsidP="00EA605A">
      <w:pPr>
        <w:contextualSpacing/>
        <w:rPr>
          <w:bCs/>
          <w:szCs w:val="22"/>
          <w:lang w:val="en-GB"/>
        </w:rPr>
      </w:pPr>
    </w:p>
    <w:p w:rsidR="00662DF1" w:rsidRPr="00E9400F" w:rsidRDefault="00016945" w:rsidP="0073258E">
      <w:pPr>
        <w:numPr>
          <w:ilvl w:val="1"/>
          <w:numId w:val="2"/>
        </w:numPr>
        <w:contextualSpacing/>
        <w:rPr>
          <w:bCs/>
          <w:szCs w:val="22"/>
          <w:lang w:val="en-GB"/>
        </w:rPr>
      </w:pPr>
      <w:r w:rsidRPr="00E9400F">
        <w:rPr>
          <w:bCs/>
          <w:szCs w:val="22"/>
          <w:lang w:val="en-GB"/>
        </w:rPr>
        <w:t xml:space="preserve">The PBAC </w:t>
      </w:r>
      <w:r w:rsidR="004A0319" w:rsidRPr="00E9400F">
        <w:rPr>
          <w:bCs/>
          <w:szCs w:val="22"/>
          <w:lang w:val="en-GB"/>
        </w:rPr>
        <w:t xml:space="preserve">recognised that there is a </w:t>
      </w:r>
      <w:r w:rsidR="00E9400F">
        <w:rPr>
          <w:bCs/>
          <w:szCs w:val="22"/>
          <w:lang w:val="en-GB"/>
        </w:rPr>
        <w:t xml:space="preserve">high </w:t>
      </w:r>
      <w:r w:rsidR="004A0319" w:rsidRPr="00E9400F">
        <w:rPr>
          <w:bCs/>
          <w:szCs w:val="22"/>
          <w:lang w:val="en-GB"/>
        </w:rPr>
        <w:t>clinical need for</w:t>
      </w:r>
      <w:r w:rsidR="00717F21">
        <w:rPr>
          <w:bCs/>
          <w:szCs w:val="22"/>
          <w:lang w:val="en-GB"/>
        </w:rPr>
        <w:t xml:space="preserve"> new</w:t>
      </w:r>
      <w:r w:rsidR="00E9400F">
        <w:rPr>
          <w:bCs/>
          <w:szCs w:val="22"/>
          <w:lang w:val="en-GB"/>
        </w:rPr>
        <w:t xml:space="preserve"> treatment</w:t>
      </w:r>
      <w:r w:rsidR="00717F21">
        <w:rPr>
          <w:bCs/>
          <w:szCs w:val="22"/>
          <w:lang w:val="en-GB"/>
        </w:rPr>
        <w:t>s</w:t>
      </w:r>
      <w:r w:rsidR="00E9400F">
        <w:rPr>
          <w:bCs/>
          <w:szCs w:val="22"/>
          <w:lang w:val="en-GB"/>
        </w:rPr>
        <w:t xml:space="preserve"> for</w:t>
      </w:r>
      <w:r w:rsidR="004A0319" w:rsidRPr="00E9400F">
        <w:rPr>
          <w:bCs/>
          <w:szCs w:val="22"/>
          <w:lang w:val="en-GB"/>
        </w:rPr>
        <w:t xml:space="preserve"> patients with NSCLC</w:t>
      </w:r>
      <w:r w:rsidR="00717F21">
        <w:rPr>
          <w:bCs/>
          <w:szCs w:val="22"/>
          <w:lang w:val="en-GB"/>
        </w:rPr>
        <w:t>, especially for the squamous histological subtype,</w:t>
      </w:r>
      <w:r w:rsidR="004A0319" w:rsidRPr="00E9400F">
        <w:rPr>
          <w:bCs/>
          <w:szCs w:val="22"/>
          <w:lang w:val="en-GB"/>
        </w:rPr>
        <w:t xml:space="preserve"> and that there </w:t>
      </w:r>
      <w:r w:rsidR="00467AD1">
        <w:rPr>
          <w:bCs/>
          <w:szCs w:val="22"/>
          <w:lang w:val="en-GB"/>
        </w:rPr>
        <w:t xml:space="preserve">is </w:t>
      </w:r>
      <w:r w:rsidR="004A0319" w:rsidRPr="00E9400F">
        <w:rPr>
          <w:bCs/>
          <w:szCs w:val="22"/>
          <w:lang w:val="en-GB"/>
        </w:rPr>
        <w:t>a clinical place for</w:t>
      </w:r>
      <w:r w:rsidRPr="00E9400F">
        <w:rPr>
          <w:bCs/>
          <w:szCs w:val="22"/>
          <w:lang w:val="en-GB"/>
        </w:rPr>
        <w:t xml:space="preserve"> </w:t>
      </w:r>
      <w:proofErr w:type="spellStart"/>
      <w:r w:rsidRPr="00E9400F">
        <w:rPr>
          <w:bCs/>
          <w:szCs w:val="22"/>
          <w:lang w:val="en-GB"/>
        </w:rPr>
        <w:t>nivolumab</w:t>
      </w:r>
      <w:proofErr w:type="spellEnd"/>
      <w:r w:rsidR="004A0319" w:rsidRPr="00E9400F">
        <w:rPr>
          <w:bCs/>
          <w:szCs w:val="22"/>
          <w:lang w:val="en-GB"/>
        </w:rPr>
        <w:t xml:space="preserve"> in this population.</w:t>
      </w:r>
      <w:r w:rsidRPr="00E9400F">
        <w:rPr>
          <w:bCs/>
          <w:szCs w:val="22"/>
          <w:lang w:val="en-GB"/>
        </w:rPr>
        <w:t xml:space="preserve"> </w:t>
      </w:r>
      <w:r w:rsidR="00717F21">
        <w:rPr>
          <w:bCs/>
          <w:szCs w:val="22"/>
          <w:lang w:val="en-GB"/>
        </w:rPr>
        <w:t xml:space="preserve">The PBAC noted that the submission requested a second-line PBS listing for </w:t>
      </w:r>
      <w:proofErr w:type="spellStart"/>
      <w:r w:rsidR="00717F21">
        <w:rPr>
          <w:bCs/>
          <w:szCs w:val="22"/>
          <w:lang w:val="en-GB"/>
        </w:rPr>
        <w:t>nivolumab</w:t>
      </w:r>
      <w:proofErr w:type="spellEnd"/>
      <w:r w:rsidR="00717F21">
        <w:rPr>
          <w:bCs/>
          <w:szCs w:val="22"/>
          <w:lang w:val="en-GB"/>
        </w:rPr>
        <w:t>, following progression on or after platinum-based chemotherapy.</w:t>
      </w:r>
    </w:p>
    <w:p w:rsidR="00662DF1" w:rsidRPr="00016945" w:rsidRDefault="00662DF1" w:rsidP="00EA605A">
      <w:pPr>
        <w:contextualSpacing/>
        <w:rPr>
          <w:bCs/>
          <w:szCs w:val="22"/>
          <w:lang w:val="en-GB"/>
        </w:rPr>
      </w:pPr>
    </w:p>
    <w:p w:rsidR="00BA14E9" w:rsidRDefault="00016945" w:rsidP="0073258E">
      <w:pPr>
        <w:numPr>
          <w:ilvl w:val="1"/>
          <w:numId w:val="2"/>
        </w:numPr>
        <w:contextualSpacing/>
        <w:rPr>
          <w:bCs/>
          <w:szCs w:val="22"/>
          <w:lang w:val="en-GB"/>
        </w:rPr>
      </w:pPr>
      <w:r w:rsidRPr="00C44D81">
        <w:rPr>
          <w:bCs/>
          <w:szCs w:val="22"/>
          <w:lang w:val="en-GB"/>
        </w:rPr>
        <w:t xml:space="preserve">The PBAC </w:t>
      </w:r>
      <w:r w:rsidR="0004692B">
        <w:rPr>
          <w:bCs/>
          <w:szCs w:val="22"/>
          <w:lang w:val="en-GB"/>
        </w:rPr>
        <w:t>considered</w:t>
      </w:r>
      <w:r w:rsidRPr="00C44D81">
        <w:rPr>
          <w:bCs/>
          <w:szCs w:val="22"/>
          <w:lang w:val="en-GB"/>
        </w:rPr>
        <w:t xml:space="preserve"> th</w:t>
      </w:r>
      <w:r w:rsidR="00BA14E9">
        <w:rPr>
          <w:bCs/>
          <w:szCs w:val="22"/>
          <w:lang w:val="en-GB"/>
        </w:rPr>
        <w:t xml:space="preserve">e following with regard to the </w:t>
      </w:r>
      <w:r w:rsidR="00157166">
        <w:rPr>
          <w:bCs/>
          <w:szCs w:val="22"/>
          <w:lang w:val="en-GB"/>
        </w:rPr>
        <w:t>requested</w:t>
      </w:r>
      <w:r w:rsidR="00BA14E9">
        <w:rPr>
          <w:bCs/>
          <w:szCs w:val="22"/>
          <w:lang w:val="en-GB"/>
        </w:rPr>
        <w:t xml:space="preserve"> restriction:</w:t>
      </w:r>
    </w:p>
    <w:p w:rsidR="00BA14E9" w:rsidRDefault="00BA14E9" w:rsidP="00BA14E9">
      <w:pPr>
        <w:pStyle w:val="ListParagraph"/>
        <w:numPr>
          <w:ilvl w:val="0"/>
          <w:numId w:val="19"/>
        </w:numPr>
        <w:rPr>
          <w:bCs/>
          <w:szCs w:val="22"/>
          <w:lang w:val="en-GB"/>
        </w:rPr>
      </w:pPr>
      <w:r>
        <w:rPr>
          <w:bCs/>
          <w:szCs w:val="22"/>
          <w:lang w:val="en-GB"/>
        </w:rPr>
        <w:t xml:space="preserve">that </w:t>
      </w:r>
      <w:r w:rsidR="00EA605A">
        <w:rPr>
          <w:bCs/>
          <w:szCs w:val="22"/>
          <w:lang w:val="en-GB"/>
        </w:rPr>
        <w:t>any</w:t>
      </w:r>
      <w:r w:rsidR="00157166">
        <w:rPr>
          <w:bCs/>
          <w:szCs w:val="22"/>
          <w:lang w:val="en-GB"/>
        </w:rPr>
        <w:t xml:space="preserve"> </w:t>
      </w:r>
      <w:r>
        <w:rPr>
          <w:bCs/>
          <w:szCs w:val="22"/>
          <w:lang w:val="en-GB"/>
        </w:rPr>
        <w:t xml:space="preserve">continuing treatment restriction </w:t>
      </w:r>
      <w:r w:rsidR="00EA605A">
        <w:rPr>
          <w:bCs/>
          <w:szCs w:val="22"/>
          <w:lang w:val="en-GB"/>
        </w:rPr>
        <w:t xml:space="preserve">would need to </w:t>
      </w:r>
      <w:r>
        <w:rPr>
          <w:bCs/>
          <w:szCs w:val="22"/>
          <w:lang w:val="en-GB"/>
        </w:rPr>
        <w:t xml:space="preserve">contain </w:t>
      </w:r>
      <w:r w:rsidR="005E19CD">
        <w:rPr>
          <w:bCs/>
          <w:szCs w:val="22"/>
          <w:lang w:val="en-GB"/>
        </w:rPr>
        <w:t>the</w:t>
      </w:r>
      <w:r>
        <w:rPr>
          <w:bCs/>
          <w:szCs w:val="22"/>
          <w:lang w:val="en-GB"/>
        </w:rPr>
        <w:t xml:space="preserve"> criterion </w:t>
      </w:r>
      <w:r w:rsidR="005E19CD">
        <w:rPr>
          <w:bCs/>
          <w:szCs w:val="22"/>
          <w:lang w:val="en-GB"/>
        </w:rPr>
        <w:t>already used for PD-</w:t>
      </w:r>
      <w:r w:rsidR="00B451D4">
        <w:rPr>
          <w:bCs/>
          <w:szCs w:val="22"/>
          <w:lang w:val="en-GB"/>
        </w:rPr>
        <w:t>1</w:t>
      </w:r>
      <w:r w:rsidR="005E19CD">
        <w:rPr>
          <w:bCs/>
          <w:szCs w:val="22"/>
          <w:lang w:val="en-GB"/>
        </w:rPr>
        <w:t xml:space="preserve"> inhibitors </w:t>
      </w:r>
      <w:r w:rsidR="00016945" w:rsidRPr="00BA14E9">
        <w:rPr>
          <w:bCs/>
          <w:szCs w:val="22"/>
          <w:lang w:val="en-GB"/>
        </w:rPr>
        <w:t>requir</w:t>
      </w:r>
      <w:r>
        <w:rPr>
          <w:bCs/>
          <w:szCs w:val="22"/>
          <w:lang w:val="en-GB"/>
        </w:rPr>
        <w:t>ing</w:t>
      </w:r>
      <w:r w:rsidR="00157166">
        <w:rPr>
          <w:bCs/>
          <w:szCs w:val="22"/>
          <w:lang w:val="en-GB"/>
        </w:rPr>
        <w:t xml:space="preserve"> stable or responding disease</w:t>
      </w:r>
      <w:r w:rsidR="005E19CD">
        <w:rPr>
          <w:bCs/>
          <w:szCs w:val="22"/>
          <w:lang w:val="en-GB"/>
        </w:rPr>
        <w:t xml:space="preserve"> whilst acknowledging early “pseudo-progression”</w:t>
      </w:r>
      <w:r w:rsidR="00157166">
        <w:rPr>
          <w:bCs/>
          <w:szCs w:val="22"/>
          <w:lang w:val="en-GB"/>
        </w:rPr>
        <w:t>;</w:t>
      </w:r>
    </w:p>
    <w:p w:rsidR="00BA14E9" w:rsidRDefault="00BA14E9" w:rsidP="00BA14E9">
      <w:pPr>
        <w:pStyle w:val="ListParagraph"/>
        <w:numPr>
          <w:ilvl w:val="0"/>
          <w:numId w:val="19"/>
        </w:numPr>
        <w:rPr>
          <w:bCs/>
          <w:szCs w:val="22"/>
          <w:lang w:val="en-GB"/>
        </w:rPr>
      </w:pPr>
      <w:r>
        <w:rPr>
          <w:bCs/>
          <w:szCs w:val="22"/>
          <w:lang w:val="en-GB"/>
        </w:rPr>
        <w:t>t</w:t>
      </w:r>
      <w:r w:rsidR="00016945" w:rsidRPr="00BA14E9">
        <w:rPr>
          <w:bCs/>
          <w:szCs w:val="22"/>
          <w:lang w:val="en-GB"/>
        </w:rPr>
        <w:t xml:space="preserve">hat </w:t>
      </w:r>
      <w:r w:rsidR="00157166">
        <w:rPr>
          <w:bCs/>
          <w:szCs w:val="22"/>
          <w:lang w:val="en-GB"/>
        </w:rPr>
        <w:t xml:space="preserve">the patient’s </w:t>
      </w:r>
      <w:r w:rsidR="00016945" w:rsidRPr="00BA14E9">
        <w:rPr>
          <w:bCs/>
          <w:szCs w:val="22"/>
          <w:lang w:val="en-GB"/>
        </w:rPr>
        <w:t>performanc</w:t>
      </w:r>
      <w:r w:rsidR="00864E0C" w:rsidRPr="00BA14E9">
        <w:rPr>
          <w:bCs/>
          <w:szCs w:val="22"/>
          <w:lang w:val="en-GB"/>
        </w:rPr>
        <w:t>e</w:t>
      </w:r>
      <w:r w:rsidR="00016945" w:rsidRPr="00BA14E9">
        <w:rPr>
          <w:bCs/>
          <w:szCs w:val="22"/>
          <w:lang w:val="en-GB"/>
        </w:rPr>
        <w:t xml:space="preserve"> status </w:t>
      </w:r>
      <w:r w:rsidR="00EA605A">
        <w:rPr>
          <w:bCs/>
          <w:szCs w:val="22"/>
          <w:lang w:val="en-GB"/>
        </w:rPr>
        <w:t xml:space="preserve">would need to be </w:t>
      </w:r>
      <w:r w:rsidR="00016945" w:rsidRPr="00BA14E9">
        <w:rPr>
          <w:bCs/>
          <w:szCs w:val="22"/>
          <w:lang w:val="en-GB"/>
        </w:rPr>
        <w:t>0 or 1</w:t>
      </w:r>
      <w:r w:rsidR="00157166">
        <w:rPr>
          <w:bCs/>
          <w:szCs w:val="22"/>
          <w:lang w:val="en-GB"/>
        </w:rPr>
        <w:t>, consistent with</w:t>
      </w:r>
      <w:r w:rsidR="00016945" w:rsidRPr="00BA14E9">
        <w:rPr>
          <w:bCs/>
          <w:szCs w:val="22"/>
          <w:lang w:val="en-GB"/>
        </w:rPr>
        <w:t xml:space="preserve"> the </w:t>
      </w:r>
      <w:r w:rsidR="00EA605A">
        <w:rPr>
          <w:bCs/>
          <w:szCs w:val="22"/>
          <w:lang w:val="en-GB"/>
        </w:rPr>
        <w:t xml:space="preserve">eligibility criteria of the key </w:t>
      </w:r>
      <w:r w:rsidR="00016945" w:rsidRPr="00BA14E9">
        <w:rPr>
          <w:bCs/>
          <w:szCs w:val="22"/>
          <w:lang w:val="en-GB"/>
        </w:rPr>
        <w:t>clinical trial</w:t>
      </w:r>
      <w:r w:rsidR="00157166">
        <w:rPr>
          <w:bCs/>
          <w:szCs w:val="22"/>
          <w:lang w:val="en-GB"/>
        </w:rPr>
        <w:t>;</w:t>
      </w:r>
    </w:p>
    <w:p w:rsidR="00662DF1" w:rsidRPr="00BA14E9" w:rsidRDefault="00622240" w:rsidP="00BA14E9">
      <w:pPr>
        <w:pStyle w:val="ListParagraph"/>
        <w:numPr>
          <w:ilvl w:val="0"/>
          <w:numId w:val="19"/>
        </w:numPr>
        <w:rPr>
          <w:bCs/>
          <w:szCs w:val="22"/>
          <w:lang w:val="en-GB"/>
        </w:rPr>
      </w:pPr>
      <w:proofErr w:type="gramStart"/>
      <w:r>
        <w:rPr>
          <w:bCs/>
          <w:szCs w:val="22"/>
          <w:lang w:val="en-GB"/>
        </w:rPr>
        <w:t>n</w:t>
      </w:r>
      <w:r w:rsidR="0075562D" w:rsidRPr="00BA14E9">
        <w:rPr>
          <w:bCs/>
          <w:szCs w:val="22"/>
          <w:lang w:val="en-GB"/>
        </w:rPr>
        <w:t>o</w:t>
      </w:r>
      <w:proofErr w:type="gramEnd"/>
      <w:r w:rsidR="0075562D" w:rsidRPr="00BA14E9">
        <w:rPr>
          <w:bCs/>
          <w:szCs w:val="22"/>
          <w:lang w:val="en-GB"/>
        </w:rPr>
        <w:t xml:space="preserve"> clear predictive effect of PD-L</w:t>
      </w:r>
      <w:r w:rsidR="002F324B">
        <w:rPr>
          <w:bCs/>
          <w:szCs w:val="22"/>
          <w:lang w:val="en-GB"/>
        </w:rPr>
        <w:t>1</w:t>
      </w:r>
      <w:r w:rsidR="0075562D" w:rsidRPr="00BA14E9">
        <w:rPr>
          <w:bCs/>
          <w:szCs w:val="22"/>
          <w:lang w:val="en-GB"/>
        </w:rPr>
        <w:t xml:space="preserve"> status on the comparative effectiveness of </w:t>
      </w:r>
      <w:proofErr w:type="spellStart"/>
      <w:r w:rsidR="0075562D" w:rsidRPr="00BA14E9">
        <w:rPr>
          <w:bCs/>
          <w:szCs w:val="22"/>
          <w:lang w:val="en-GB"/>
        </w:rPr>
        <w:t>nivolumab</w:t>
      </w:r>
      <w:proofErr w:type="spellEnd"/>
      <w:r>
        <w:rPr>
          <w:bCs/>
          <w:szCs w:val="22"/>
          <w:lang w:val="en-GB"/>
        </w:rPr>
        <w:t xml:space="preserve"> was demonstrated in the pivotal clinical trial</w:t>
      </w:r>
      <w:r w:rsidR="008405DE">
        <w:rPr>
          <w:bCs/>
          <w:szCs w:val="22"/>
          <w:lang w:val="en-GB"/>
        </w:rPr>
        <w:t xml:space="preserve"> CA209-017</w:t>
      </w:r>
      <w:r w:rsidR="001A78DB">
        <w:rPr>
          <w:bCs/>
          <w:szCs w:val="22"/>
          <w:lang w:val="en-GB"/>
        </w:rPr>
        <w:t xml:space="preserve">, therefore it </w:t>
      </w:r>
      <w:r w:rsidR="00EA605A">
        <w:rPr>
          <w:bCs/>
          <w:szCs w:val="22"/>
          <w:lang w:val="en-GB"/>
        </w:rPr>
        <w:t>would</w:t>
      </w:r>
      <w:r w:rsidR="001A78DB">
        <w:rPr>
          <w:bCs/>
          <w:szCs w:val="22"/>
          <w:lang w:val="en-GB"/>
        </w:rPr>
        <w:t xml:space="preserve"> be appropriate to allow treatment for patients regardless of PD-L1 status.</w:t>
      </w:r>
    </w:p>
    <w:p w:rsidR="00662DF1" w:rsidRPr="00C44D81" w:rsidRDefault="00662DF1" w:rsidP="00EA605A">
      <w:pPr>
        <w:contextualSpacing/>
        <w:rPr>
          <w:bCs/>
          <w:szCs w:val="22"/>
          <w:lang w:val="en-GB"/>
        </w:rPr>
      </w:pPr>
    </w:p>
    <w:p w:rsidR="00662DF1" w:rsidRPr="00C44D81" w:rsidRDefault="002E7AD7" w:rsidP="0073258E">
      <w:pPr>
        <w:numPr>
          <w:ilvl w:val="1"/>
          <w:numId w:val="2"/>
        </w:numPr>
        <w:contextualSpacing/>
        <w:rPr>
          <w:bCs/>
          <w:szCs w:val="22"/>
          <w:lang w:val="en-GB"/>
        </w:rPr>
      </w:pPr>
      <w:r w:rsidRPr="00C44D81">
        <w:rPr>
          <w:bCs/>
          <w:szCs w:val="22"/>
          <w:lang w:val="en-GB"/>
        </w:rPr>
        <w:lastRenderedPageBreak/>
        <w:t>The</w:t>
      </w:r>
      <w:r w:rsidR="00662DF1" w:rsidRPr="00C44D81">
        <w:rPr>
          <w:bCs/>
          <w:szCs w:val="22"/>
          <w:lang w:val="en-GB"/>
        </w:rPr>
        <w:t xml:space="preserve"> PBAC </w:t>
      </w:r>
      <w:r w:rsidRPr="00C44D81">
        <w:rPr>
          <w:bCs/>
          <w:szCs w:val="22"/>
          <w:lang w:val="en-GB"/>
        </w:rPr>
        <w:t xml:space="preserve">considered that the submission’s nominated comparator, </w:t>
      </w:r>
      <w:proofErr w:type="spellStart"/>
      <w:r w:rsidRPr="00C44D81">
        <w:rPr>
          <w:bCs/>
          <w:szCs w:val="22"/>
          <w:lang w:val="en-GB"/>
        </w:rPr>
        <w:t>docetaxel</w:t>
      </w:r>
      <w:proofErr w:type="spellEnd"/>
      <w:r w:rsidRPr="00C44D81">
        <w:rPr>
          <w:bCs/>
          <w:szCs w:val="22"/>
          <w:lang w:val="en-GB"/>
        </w:rPr>
        <w:t>, was appropriate.</w:t>
      </w:r>
    </w:p>
    <w:p w:rsidR="00662DF1" w:rsidRPr="00DC1AB9" w:rsidRDefault="00662DF1" w:rsidP="00EA605A">
      <w:pPr>
        <w:contextualSpacing/>
        <w:rPr>
          <w:bCs/>
          <w:szCs w:val="22"/>
          <w:lang w:val="en-GB"/>
        </w:rPr>
      </w:pPr>
    </w:p>
    <w:p w:rsidR="00662DF1" w:rsidRPr="00DC1AB9" w:rsidRDefault="00652CB6" w:rsidP="0073258E">
      <w:pPr>
        <w:numPr>
          <w:ilvl w:val="1"/>
          <w:numId w:val="2"/>
        </w:numPr>
        <w:contextualSpacing/>
        <w:rPr>
          <w:bCs/>
          <w:szCs w:val="22"/>
          <w:lang w:val="en-GB"/>
        </w:rPr>
      </w:pPr>
      <w:r w:rsidRPr="00DC1AB9">
        <w:rPr>
          <w:bCs/>
          <w:szCs w:val="22"/>
          <w:lang w:val="en-GB"/>
        </w:rPr>
        <w:t xml:space="preserve">The PBAC noted that the </w:t>
      </w:r>
      <w:r w:rsidR="00EA605A">
        <w:rPr>
          <w:bCs/>
          <w:szCs w:val="22"/>
          <w:lang w:val="en-GB"/>
        </w:rPr>
        <w:t>key</w:t>
      </w:r>
      <w:r w:rsidRPr="00DC1AB9">
        <w:rPr>
          <w:bCs/>
          <w:szCs w:val="22"/>
          <w:lang w:val="en-GB"/>
        </w:rPr>
        <w:t xml:space="preserve"> clinical trial, CA209-017, direct</w:t>
      </w:r>
      <w:r w:rsidR="00EA605A">
        <w:rPr>
          <w:bCs/>
          <w:szCs w:val="22"/>
          <w:lang w:val="en-GB"/>
        </w:rPr>
        <w:t>ly compared</w:t>
      </w:r>
      <w:r w:rsidRPr="00DC1AB9">
        <w:rPr>
          <w:bCs/>
          <w:szCs w:val="22"/>
          <w:lang w:val="en-GB"/>
        </w:rPr>
        <w:t xml:space="preserve"> </w:t>
      </w:r>
      <w:proofErr w:type="spellStart"/>
      <w:r w:rsidRPr="00DC1AB9">
        <w:rPr>
          <w:bCs/>
          <w:szCs w:val="22"/>
          <w:lang w:val="en-GB"/>
        </w:rPr>
        <w:t>nivolumab</w:t>
      </w:r>
      <w:proofErr w:type="spellEnd"/>
      <w:r w:rsidRPr="00DC1AB9">
        <w:rPr>
          <w:bCs/>
          <w:szCs w:val="22"/>
          <w:lang w:val="en-GB"/>
        </w:rPr>
        <w:t xml:space="preserve"> and </w:t>
      </w:r>
      <w:proofErr w:type="spellStart"/>
      <w:r w:rsidRPr="00DC1AB9">
        <w:rPr>
          <w:bCs/>
          <w:szCs w:val="22"/>
          <w:lang w:val="en-GB"/>
        </w:rPr>
        <w:t>docetaxel</w:t>
      </w:r>
      <w:proofErr w:type="spellEnd"/>
      <w:r w:rsidR="00784786">
        <w:rPr>
          <w:bCs/>
          <w:szCs w:val="22"/>
          <w:lang w:val="en-GB"/>
        </w:rPr>
        <w:t>,</w:t>
      </w:r>
      <w:r w:rsidRPr="00DC1AB9">
        <w:rPr>
          <w:bCs/>
          <w:szCs w:val="22"/>
          <w:lang w:val="en-GB"/>
        </w:rPr>
        <w:t xml:space="preserve"> and </w:t>
      </w:r>
      <w:r w:rsidR="00EA605A">
        <w:rPr>
          <w:bCs/>
          <w:szCs w:val="22"/>
          <w:lang w:val="en-GB"/>
        </w:rPr>
        <w:t xml:space="preserve">the </w:t>
      </w:r>
      <w:r w:rsidRPr="00DC1AB9">
        <w:rPr>
          <w:bCs/>
          <w:szCs w:val="22"/>
          <w:lang w:val="en-GB"/>
        </w:rPr>
        <w:t xml:space="preserve">risk of bias was low for the outcome of overall survival. </w:t>
      </w:r>
      <w:r w:rsidR="00784786">
        <w:rPr>
          <w:bCs/>
          <w:szCs w:val="22"/>
          <w:lang w:val="en-GB"/>
        </w:rPr>
        <w:t>T</w:t>
      </w:r>
      <w:r w:rsidR="00A2450B" w:rsidRPr="00DC1AB9">
        <w:rPr>
          <w:bCs/>
          <w:szCs w:val="22"/>
          <w:lang w:val="en-GB"/>
        </w:rPr>
        <w:t xml:space="preserve">he PBAC </w:t>
      </w:r>
      <w:r w:rsidR="00784786">
        <w:rPr>
          <w:bCs/>
          <w:szCs w:val="22"/>
          <w:lang w:val="en-GB"/>
        </w:rPr>
        <w:t>noted</w:t>
      </w:r>
      <w:r w:rsidR="00A2450B" w:rsidRPr="00DC1AB9">
        <w:rPr>
          <w:bCs/>
          <w:szCs w:val="22"/>
          <w:lang w:val="en-GB"/>
        </w:rPr>
        <w:t xml:space="preserve"> that the </w:t>
      </w:r>
      <w:r w:rsidR="00784786">
        <w:rPr>
          <w:bCs/>
          <w:szCs w:val="22"/>
          <w:lang w:val="en-GB"/>
        </w:rPr>
        <w:t>mean age in trial</w:t>
      </w:r>
      <w:r w:rsidR="00A2450B" w:rsidRPr="00DC1AB9">
        <w:rPr>
          <w:bCs/>
          <w:szCs w:val="22"/>
          <w:lang w:val="en-GB"/>
        </w:rPr>
        <w:t xml:space="preserve"> CA209-017 </w:t>
      </w:r>
      <w:r w:rsidR="00784786">
        <w:rPr>
          <w:bCs/>
          <w:szCs w:val="22"/>
          <w:lang w:val="en-GB"/>
        </w:rPr>
        <w:t xml:space="preserve">was 62 years, which may not be representative of </w:t>
      </w:r>
      <w:r w:rsidR="00A2450B" w:rsidRPr="00DC1AB9">
        <w:rPr>
          <w:bCs/>
          <w:szCs w:val="22"/>
          <w:lang w:val="en-GB"/>
        </w:rPr>
        <w:t>the Australian population</w:t>
      </w:r>
      <w:r w:rsidR="00B6015E">
        <w:rPr>
          <w:bCs/>
          <w:szCs w:val="22"/>
          <w:lang w:val="en-GB"/>
        </w:rPr>
        <w:t xml:space="preserve"> with </w:t>
      </w:r>
      <w:r w:rsidR="00B6015E" w:rsidRPr="00DC1AB9">
        <w:rPr>
          <w:bCs/>
          <w:szCs w:val="22"/>
          <w:lang w:val="en-GB"/>
        </w:rPr>
        <w:t>lung cancer</w:t>
      </w:r>
      <w:r w:rsidR="00784786">
        <w:rPr>
          <w:bCs/>
          <w:szCs w:val="22"/>
          <w:lang w:val="en-GB"/>
        </w:rPr>
        <w:t>, wh</w:t>
      </w:r>
      <w:r w:rsidR="00B6015E">
        <w:rPr>
          <w:bCs/>
          <w:szCs w:val="22"/>
          <w:lang w:val="en-GB"/>
        </w:rPr>
        <w:t xml:space="preserve">ich has a </w:t>
      </w:r>
      <w:r w:rsidR="00A2450B" w:rsidRPr="00DC1AB9">
        <w:rPr>
          <w:bCs/>
          <w:szCs w:val="22"/>
          <w:lang w:val="en-GB"/>
        </w:rPr>
        <w:t xml:space="preserve">mean age </w:t>
      </w:r>
      <w:r w:rsidR="00B6015E">
        <w:rPr>
          <w:bCs/>
          <w:szCs w:val="22"/>
          <w:lang w:val="en-GB"/>
        </w:rPr>
        <w:t xml:space="preserve">at </w:t>
      </w:r>
      <w:r w:rsidR="00A2450B" w:rsidRPr="00DC1AB9">
        <w:rPr>
          <w:bCs/>
          <w:szCs w:val="22"/>
          <w:lang w:val="en-GB"/>
        </w:rPr>
        <w:t xml:space="preserve">diagnosis </w:t>
      </w:r>
      <w:r w:rsidR="00B6015E">
        <w:rPr>
          <w:bCs/>
          <w:szCs w:val="22"/>
          <w:lang w:val="en-GB"/>
        </w:rPr>
        <w:t>of</w:t>
      </w:r>
      <w:r w:rsidR="00A2450B" w:rsidRPr="00DC1AB9">
        <w:rPr>
          <w:bCs/>
          <w:szCs w:val="22"/>
          <w:lang w:val="en-GB"/>
        </w:rPr>
        <w:t xml:space="preserve"> </w:t>
      </w:r>
      <w:r w:rsidR="00EA605A">
        <w:rPr>
          <w:bCs/>
          <w:szCs w:val="22"/>
          <w:lang w:val="en-GB"/>
        </w:rPr>
        <w:t xml:space="preserve">more than </w:t>
      </w:r>
      <w:r w:rsidR="00A2450B" w:rsidRPr="00DC1AB9">
        <w:rPr>
          <w:bCs/>
          <w:szCs w:val="22"/>
          <w:lang w:val="en-GB"/>
        </w:rPr>
        <w:t xml:space="preserve">70 years. </w:t>
      </w:r>
      <w:r w:rsidR="003E0718">
        <w:rPr>
          <w:bCs/>
          <w:szCs w:val="22"/>
          <w:lang w:val="en-GB"/>
        </w:rPr>
        <w:t>The PBAC considered that this difference between the trial and proposed PBS population</w:t>
      </w:r>
      <w:r w:rsidR="00EA605A">
        <w:rPr>
          <w:bCs/>
          <w:szCs w:val="22"/>
          <w:lang w:val="en-GB"/>
        </w:rPr>
        <w:t>s</w:t>
      </w:r>
      <w:r w:rsidR="003E0718">
        <w:rPr>
          <w:bCs/>
          <w:szCs w:val="22"/>
          <w:lang w:val="en-GB"/>
        </w:rPr>
        <w:t xml:space="preserve"> would have implications </w:t>
      </w:r>
      <w:r w:rsidR="00211C57">
        <w:rPr>
          <w:bCs/>
          <w:szCs w:val="22"/>
          <w:lang w:val="en-GB"/>
        </w:rPr>
        <w:t>for</w:t>
      </w:r>
      <w:r w:rsidR="003E0718">
        <w:rPr>
          <w:bCs/>
          <w:szCs w:val="22"/>
          <w:lang w:val="en-GB"/>
        </w:rPr>
        <w:t xml:space="preserve"> the </w:t>
      </w:r>
      <w:r w:rsidR="00092C69">
        <w:rPr>
          <w:bCs/>
          <w:szCs w:val="22"/>
          <w:lang w:val="en-GB"/>
        </w:rPr>
        <w:t xml:space="preserve">estimation of </w:t>
      </w:r>
      <w:r w:rsidR="003E0718">
        <w:rPr>
          <w:bCs/>
          <w:szCs w:val="22"/>
          <w:lang w:val="en-GB"/>
        </w:rPr>
        <w:t>comparative b</w:t>
      </w:r>
      <w:r w:rsidR="00211C57">
        <w:rPr>
          <w:bCs/>
          <w:szCs w:val="22"/>
          <w:lang w:val="en-GB"/>
        </w:rPr>
        <w:t xml:space="preserve">enefits </w:t>
      </w:r>
      <w:r w:rsidR="00092C69">
        <w:rPr>
          <w:bCs/>
          <w:szCs w:val="22"/>
          <w:lang w:val="en-GB"/>
        </w:rPr>
        <w:t>and</w:t>
      </w:r>
      <w:r w:rsidR="00211C57">
        <w:rPr>
          <w:bCs/>
          <w:szCs w:val="22"/>
          <w:lang w:val="en-GB"/>
        </w:rPr>
        <w:t xml:space="preserve"> utilisation.</w:t>
      </w:r>
    </w:p>
    <w:p w:rsidR="00662DF1" w:rsidRPr="003C3927" w:rsidRDefault="00662DF1" w:rsidP="00EA605A">
      <w:pPr>
        <w:contextualSpacing/>
        <w:rPr>
          <w:bCs/>
          <w:szCs w:val="22"/>
          <w:highlight w:val="yellow"/>
          <w:lang w:val="en-GB"/>
        </w:rPr>
      </w:pPr>
    </w:p>
    <w:p w:rsidR="00157166" w:rsidRPr="00935B1E" w:rsidRDefault="00157166" w:rsidP="00EA605A">
      <w:pPr>
        <w:pStyle w:val="ListParagraph"/>
        <w:widowControl/>
        <w:numPr>
          <w:ilvl w:val="1"/>
          <w:numId w:val="2"/>
        </w:numPr>
        <w:rPr>
          <w:bCs/>
        </w:rPr>
      </w:pPr>
      <w:r w:rsidRPr="00935B1E">
        <w:rPr>
          <w:bCs/>
          <w:szCs w:val="22"/>
        </w:rPr>
        <w:t>The PBAC considered that the claim of superior comparative effectiveness</w:t>
      </w:r>
      <w:r>
        <w:rPr>
          <w:bCs/>
          <w:szCs w:val="22"/>
        </w:rPr>
        <w:t xml:space="preserve"> over </w:t>
      </w:r>
      <w:proofErr w:type="spellStart"/>
      <w:r>
        <w:rPr>
          <w:bCs/>
          <w:szCs w:val="22"/>
        </w:rPr>
        <w:t>docetaxel</w:t>
      </w:r>
      <w:proofErr w:type="spellEnd"/>
      <w:r w:rsidRPr="00935B1E">
        <w:rPr>
          <w:bCs/>
          <w:szCs w:val="22"/>
        </w:rPr>
        <w:t xml:space="preserve"> was reasonable</w:t>
      </w:r>
      <w:r w:rsidR="00211C57">
        <w:rPr>
          <w:bCs/>
          <w:szCs w:val="22"/>
        </w:rPr>
        <w:t xml:space="preserve">, noting </w:t>
      </w:r>
      <w:r w:rsidR="007E670D">
        <w:rPr>
          <w:bCs/>
          <w:szCs w:val="22"/>
        </w:rPr>
        <w:t>the</w:t>
      </w:r>
      <w:r w:rsidR="00211C57">
        <w:rPr>
          <w:bCs/>
          <w:szCs w:val="22"/>
        </w:rPr>
        <w:t xml:space="preserve"> </w:t>
      </w:r>
      <w:r w:rsidR="007E670D">
        <w:rPr>
          <w:bCs/>
          <w:szCs w:val="22"/>
        </w:rPr>
        <w:t xml:space="preserve">incremental benefit in </w:t>
      </w:r>
      <w:r w:rsidR="00211C57">
        <w:rPr>
          <w:bCs/>
          <w:szCs w:val="22"/>
        </w:rPr>
        <w:t xml:space="preserve">median </w:t>
      </w:r>
      <w:r w:rsidR="007E670D">
        <w:rPr>
          <w:bCs/>
          <w:szCs w:val="22"/>
        </w:rPr>
        <w:t xml:space="preserve">overall survival of 3.2 months. The PBAC noted </w:t>
      </w:r>
      <w:r w:rsidR="00E43F33">
        <w:rPr>
          <w:bCs/>
          <w:szCs w:val="22"/>
        </w:rPr>
        <w:t>however,</w:t>
      </w:r>
      <w:r w:rsidR="007E670D">
        <w:rPr>
          <w:bCs/>
          <w:szCs w:val="22"/>
        </w:rPr>
        <w:t xml:space="preserve"> that the incrementa</w:t>
      </w:r>
      <w:r w:rsidR="00EA605A">
        <w:rPr>
          <w:bCs/>
          <w:szCs w:val="22"/>
        </w:rPr>
        <w:t>l benefit in median progression-free survival was 0.7 months.</w:t>
      </w:r>
    </w:p>
    <w:p w:rsidR="00133CAF" w:rsidRPr="00133CAF" w:rsidRDefault="00133CAF" w:rsidP="00133CAF">
      <w:pPr>
        <w:widowControl/>
        <w:rPr>
          <w:bCs/>
          <w:szCs w:val="22"/>
        </w:rPr>
      </w:pPr>
    </w:p>
    <w:p w:rsidR="00157166" w:rsidRDefault="00133CAF" w:rsidP="00133CAF">
      <w:pPr>
        <w:pStyle w:val="ListParagraph"/>
        <w:widowControl/>
        <w:numPr>
          <w:ilvl w:val="1"/>
          <w:numId w:val="2"/>
        </w:numPr>
        <w:rPr>
          <w:bCs/>
          <w:szCs w:val="22"/>
        </w:rPr>
      </w:pPr>
      <w:r w:rsidRPr="00133CAF">
        <w:rPr>
          <w:bCs/>
          <w:szCs w:val="22"/>
        </w:rPr>
        <w:t xml:space="preserve">The PBAC </w:t>
      </w:r>
      <w:proofErr w:type="gramStart"/>
      <w:r w:rsidRPr="00133CAF">
        <w:rPr>
          <w:bCs/>
          <w:szCs w:val="22"/>
        </w:rPr>
        <w:t>considered</w:t>
      </w:r>
      <w:r>
        <w:rPr>
          <w:bCs/>
          <w:szCs w:val="22"/>
        </w:rPr>
        <w:t>,</w:t>
      </w:r>
      <w:proofErr w:type="gramEnd"/>
      <w:r>
        <w:rPr>
          <w:bCs/>
          <w:szCs w:val="22"/>
        </w:rPr>
        <w:t xml:space="preserve"> that in contrast to the corresponding trial in non-squamous NSCLC, trial CA209-017</w:t>
      </w:r>
      <w:r w:rsidRPr="00133CAF">
        <w:rPr>
          <w:bCs/>
          <w:szCs w:val="22"/>
        </w:rPr>
        <w:t xml:space="preserve"> </w:t>
      </w:r>
      <w:r>
        <w:rPr>
          <w:bCs/>
          <w:szCs w:val="22"/>
        </w:rPr>
        <w:t xml:space="preserve">did not support any conclusion of </w:t>
      </w:r>
      <w:r w:rsidRPr="00133CAF">
        <w:rPr>
          <w:bCs/>
          <w:szCs w:val="22"/>
        </w:rPr>
        <w:t>treatment effect variation by PD-L1 status.</w:t>
      </w:r>
    </w:p>
    <w:p w:rsidR="00133CAF" w:rsidRPr="00133CAF" w:rsidRDefault="00133CAF" w:rsidP="00133CAF">
      <w:pPr>
        <w:widowControl/>
        <w:rPr>
          <w:bCs/>
          <w:szCs w:val="22"/>
        </w:rPr>
      </w:pPr>
    </w:p>
    <w:p w:rsidR="00157166" w:rsidRPr="00935B1E" w:rsidRDefault="00157166" w:rsidP="00157166">
      <w:pPr>
        <w:pStyle w:val="ListParagraph"/>
        <w:widowControl/>
        <w:numPr>
          <w:ilvl w:val="1"/>
          <w:numId w:val="2"/>
        </w:numPr>
        <w:rPr>
          <w:szCs w:val="22"/>
        </w:rPr>
      </w:pPr>
      <w:r w:rsidRPr="00935B1E">
        <w:rPr>
          <w:szCs w:val="22"/>
        </w:rPr>
        <w:t xml:space="preserve">The PBAC considered that the claim of superior comparative safety </w:t>
      </w:r>
      <w:r>
        <w:rPr>
          <w:szCs w:val="22"/>
        </w:rPr>
        <w:t xml:space="preserve">over </w:t>
      </w:r>
      <w:proofErr w:type="spellStart"/>
      <w:r>
        <w:rPr>
          <w:szCs w:val="22"/>
        </w:rPr>
        <w:t>docetaxel</w:t>
      </w:r>
      <w:proofErr w:type="spellEnd"/>
      <w:r>
        <w:rPr>
          <w:szCs w:val="22"/>
        </w:rPr>
        <w:t xml:space="preserve"> </w:t>
      </w:r>
      <w:r w:rsidR="00E43F33">
        <w:rPr>
          <w:szCs w:val="22"/>
        </w:rPr>
        <w:t xml:space="preserve">was reasonable, noting the more favourable adverse event profile of </w:t>
      </w:r>
      <w:proofErr w:type="spellStart"/>
      <w:r w:rsidR="00E43F33">
        <w:rPr>
          <w:szCs w:val="22"/>
        </w:rPr>
        <w:t>nivolumab</w:t>
      </w:r>
      <w:proofErr w:type="spellEnd"/>
      <w:r w:rsidR="00E43F33">
        <w:rPr>
          <w:szCs w:val="22"/>
        </w:rPr>
        <w:t xml:space="preserve"> for Grade 3 and </w:t>
      </w:r>
      <w:r w:rsidR="00EA605A">
        <w:rPr>
          <w:szCs w:val="22"/>
        </w:rPr>
        <w:t>more drug-</w:t>
      </w:r>
      <w:r w:rsidR="00E43F33">
        <w:rPr>
          <w:szCs w:val="22"/>
        </w:rPr>
        <w:t xml:space="preserve">related adverse events and </w:t>
      </w:r>
      <w:r w:rsidR="00B6015E">
        <w:rPr>
          <w:szCs w:val="22"/>
        </w:rPr>
        <w:t xml:space="preserve">for </w:t>
      </w:r>
      <w:r w:rsidR="00E43F33">
        <w:rPr>
          <w:szCs w:val="22"/>
        </w:rPr>
        <w:t xml:space="preserve">neutropenia compared </w:t>
      </w:r>
      <w:r w:rsidR="00B6015E">
        <w:rPr>
          <w:szCs w:val="22"/>
        </w:rPr>
        <w:t>with</w:t>
      </w:r>
      <w:r w:rsidR="00E43F33">
        <w:rPr>
          <w:szCs w:val="22"/>
        </w:rPr>
        <w:t xml:space="preserve"> </w:t>
      </w:r>
      <w:proofErr w:type="spellStart"/>
      <w:r w:rsidR="00E43F33">
        <w:rPr>
          <w:szCs w:val="22"/>
        </w:rPr>
        <w:t>docetaxel</w:t>
      </w:r>
      <w:proofErr w:type="spellEnd"/>
      <w:r w:rsidR="00E43F33">
        <w:rPr>
          <w:szCs w:val="22"/>
        </w:rPr>
        <w:t>.</w:t>
      </w:r>
    </w:p>
    <w:p w:rsidR="00662DF1" w:rsidRPr="00A415A7" w:rsidRDefault="00662DF1" w:rsidP="00EA605A">
      <w:pPr>
        <w:contextualSpacing/>
        <w:rPr>
          <w:bCs/>
          <w:szCs w:val="22"/>
          <w:lang w:val="en-GB"/>
        </w:rPr>
      </w:pPr>
    </w:p>
    <w:p w:rsidR="002F324B" w:rsidRPr="00571995" w:rsidRDefault="00571995" w:rsidP="00662DF1">
      <w:pPr>
        <w:pStyle w:val="ListParagraph"/>
        <w:numPr>
          <w:ilvl w:val="1"/>
          <w:numId w:val="2"/>
        </w:numPr>
        <w:rPr>
          <w:bCs/>
          <w:szCs w:val="22"/>
          <w:lang w:val="en-GB"/>
        </w:rPr>
      </w:pPr>
      <w:r w:rsidRPr="00571995">
        <w:rPr>
          <w:bCs/>
          <w:szCs w:val="22"/>
          <w:lang w:val="en-GB"/>
        </w:rPr>
        <w:t xml:space="preserve">The PBAC considered that the incremental cost per QALY </w:t>
      </w:r>
      <w:r w:rsidR="00EA605A">
        <w:rPr>
          <w:bCs/>
          <w:szCs w:val="22"/>
          <w:lang w:val="en-GB"/>
        </w:rPr>
        <w:t xml:space="preserve">gained </w:t>
      </w:r>
      <w:r w:rsidR="00602C13">
        <w:rPr>
          <w:bCs/>
          <w:szCs w:val="22"/>
          <w:lang w:val="en-GB"/>
        </w:rPr>
        <w:t>of</w:t>
      </w:r>
      <w:r w:rsidR="00602C13" w:rsidRPr="00571995">
        <w:rPr>
          <w:bCs/>
          <w:szCs w:val="22"/>
          <w:lang w:val="en-GB"/>
        </w:rPr>
        <w:t xml:space="preserve"> </w:t>
      </w:r>
      <w:r w:rsidR="004D2FD4">
        <w:rPr>
          <w:bCs/>
          <w:szCs w:val="22"/>
          <w:lang w:val="en-GB"/>
        </w:rPr>
        <w:t xml:space="preserve">$45,000/QALY - $75,000/QALY </w:t>
      </w:r>
      <w:r w:rsidR="00602C13">
        <w:rPr>
          <w:bCs/>
          <w:szCs w:val="22"/>
          <w:lang w:val="en-GB"/>
        </w:rPr>
        <w:t xml:space="preserve">for </w:t>
      </w:r>
      <w:proofErr w:type="spellStart"/>
      <w:r w:rsidRPr="00571995">
        <w:rPr>
          <w:bCs/>
          <w:szCs w:val="22"/>
          <w:lang w:val="en-GB"/>
        </w:rPr>
        <w:t>nivolumab</w:t>
      </w:r>
      <w:proofErr w:type="spellEnd"/>
      <w:r w:rsidRPr="00571995">
        <w:rPr>
          <w:bCs/>
          <w:szCs w:val="22"/>
          <w:lang w:val="en-GB"/>
        </w:rPr>
        <w:t xml:space="preserve"> over </w:t>
      </w:r>
      <w:proofErr w:type="spellStart"/>
      <w:r w:rsidRPr="00571995">
        <w:rPr>
          <w:bCs/>
          <w:szCs w:val="22"/>
          <w:lang w:val="en-GB"/>
        </w:rPr>
        <w:t>docetaxel</w:t>
      </w:r>
      <w:proofErr w:type="spellEnd"/>
      <w:r w:rsidRPr="00571995">
        <w:rPr>
          <w:bCs/>
          <w:szCs w:val="22"/>
          <w:lang w:val="en-GB"/>
        </w:rPr>
        <w:t xml:space="preserve"> presented in the submission’s base case analysis</w:t>
      </w:r>
      <w:r w:rsidR="00EC1BC9">
        <w:rPr>
          <w:bCs/>
          <w:szCs w:val="22"/>
          <w:lang w:val="en-GB"/>
        </w:rPr>
        <w:t xml:space="preserve"> was </w:t>
      </w:r>
      <w:r w:rsidR="00183B41">
        <w:rPr>
          <w:bCs/>
          <w:szCs w:val="22"/>
          <w:lang w:val="en-GB"/>
        </w:rPr>
        <w:t xml:space="preserve">too </w:t>
      </w:r>
      <w:r w:rsidR="00EC1BC9">
        <w:rPr>
          <w:bCs/>
          <w:szCs w:val="22"/>
          <w:lang w:val="en-GB"/>
        </w:rPr>
        <w:t>high</w:t>
      </w:r>
      <w:r w:rsidRPr="00571995">
        <w:rPr>
          <w:bCs/>
          <w:szCs w:val="22"/>
          <w:lang w:val="en-GB"/>
        </w:rPr>
        <w:t xml:space="preserve">, </w:t>
      </w:r>
      <w:r w:rsidR="00EC1BC9">
        <w:rPr>
          <w:bCs/>
          <w:szCs w:val="22"/>
          <w:lang w:val="en-GB"/>
        </w:rPr>
        <w:t xml:space="preserve">and </w:t>
      </w:r>
      <w:r w:rsidRPr="00571995">
        <w:rPr>
          <w:bCs/>
          <w:szCs w:val="22"/>
          <w:lang w:val="en-GB"/>
        </w:rPr>
        <w:t xml:space="preserve">was </w:t>
      </w:r>
      <w:r w:rsidR="00B1363A">
        <w:rPr>
          <w:bCs/>
          <w:szCs w:val="22"/>
          <w:lang w:val="en-GB"/>
        </w:rPr>
        <w:t xml:space="preserve">likely </w:t>
      </w:r>
      <w:r w:rsidR="00833D92">
        <w:rPr>
          <w:bCs/>
          <w:szCs w:val="22"/>
          <w:lang w:val="en-GB"/>
        </w:rPr>
        <w:t xml:space="preserve">to be </w:t>
      </w:r>
      <w:r w:rsidRPr="00571995">
        <w:rPr>
          <w:bCs/>
          <w:szCs w:val="22"/>
          <w:lang w:val="en-GB"/>
        </w:rPr>
        <w:t xml:space="preserve">significantly underestimated due to several concerns </w:t>
      </w:r>
      <w:r w:rsidR="00883A92">
        <w:rPr>
          <w:bCs/>
          <w:szCs w:val="22"/>
          <w:lang w:val="en-GB"/>
        </w:rPr>
        <w:t>raised by</w:t>
      </w:r>
      <w:r w:rsidR="00C83035">
        <w:rPr>
          <w:bCs/>
          <w:szCs w:val="22"/>
          <w:lang w:val="en-GB"/>
        </w:rPr>
        <w:t xml:space="preserve"> the</w:t>
      </w:r>
      <w:r w:rsidR="00883A92">
        <w:rPr>
          <w:bCs/>
          <w:szCs w:val="22"/>
          <w:lang w:val="en-GB"/>
        </w:rPr>
        <w:t xml:space="preserve"> ESC regarding</w:t>
      </w:r>
      <w:r w:rsidRPr="00571995">
        <w:rPr>
          <w:bCs/>
          <w:szCs w:val="22"/>
          <w:lang w:val="en-GB"/>
        </w:rPr>
        <w:t xml:space="preserve"> the economic model, including:</w:t>
      </w:r>
    </w:p>
    <w:p w:rsidR="002F324B" w:rsidRPr="00F26BBB" w:rsidRDefault="001F1209" w:rsidP="002F324B">
      <w:pPr>
        <w:pStyle w:val="ListParagraph"/>
        <w:numPr>
          <w:ilvl w:val="0"/>
          <w:numId w:val="20"/>
        </w:numPr>
        <w:rPr>
          <w:bCs/>
          <w:szCs w:val="22"/>
          <w:lang w:val="en-GB"/>
        </w:rPr>
      </w:pPr>
      <w:r>
        <w:rPr>
          <w:bCs/>
          <w:szCs w:val="22"/>
          <w:lang w:val="en-GB"/>
        </w:rPr>
        <w:t>t</w:t>
      </w:r>
      <w:r w:rsidR="00B1363A">
        <w:rPr>
          <w:bCs/>
          <w:szCs w:val="22"/>
          <w:lang w:val="en-GB"/>
        </w:rPr>
        <w:t>ime horizon: the submission used a ten</w:t>
      </w:r>
      <w:r w:rsidR="00833D92">
        <w:rPr>
          <w:bCs/>
          <w:szCs w:val="22"/>
          <w:lang w:val="en-GB"/>
        </w:rPr>
        <w:t>-</w:t>
      </w:r>
      <w:r w:rsidR="00B1363A">
        <w:rPr>
          <w:bCs/>
          <w:szCs w:val="22"/>
          <w:lang w:val="en-GB"/>
        </w:rPr>
        <w:t>year time horizon, how</w:t>
      </w:r>
      <w:r w:rsidR="00833D92">
        <w:rPr>
          <w:bCs/>
          <w:szCs w:val="22"/>
          <w:lang w:val="en-GB"/>
        </w:rPr>
        <w:t xml:space="preserve">ever the PBAC </w:t>
      </w:r>
      <w:r w:rsidR="00C83035">
        <w:rPr>
          <w:bCs/>
          <w:szCs w:val="22"/>
          <w:lang w:val="en-GB"/>
        </w:rPr>
        <w:t xml:space="preserve">agreed with the ESC </w:t>
      </w:r>
      <w:r w:rsidR="00FF2613" w:rsidRPr="008357D5">
        <w:rPr>
          <w:bCs/>
          <w:szCs w:val="22"/>
          <w:lang w:val="en-GB"/>
        </w:rPr>
        <w:t>(see paragraph 6.2</w:t>
      </w:r>
      <w:r w:rsidR="00882C84" w:rsidRPr="008357D5">
        <w:rPr>
          <w:bCs/>
          <w:szCs w:val="22"/>
          <w:lang w:val="en-GB"/>
        </w:rPr>
        <w:t>2</w:t>
      </w:r>
      <w:r w:rsidR="00FF2613" w:rsidRPr="008357D5">
        <w:rPr>
          <w:bCs/>
          <w:szCs w:val="22"/>
          <w:lang w:val="en-GB"/>
        </w:rPr>
        <w:t>)</w:t>
      </w:r>
      <w:r w:rsidR="00FF2613">
        <w:rPr>
          <w:bCs/>
          <w:szCs w:val="22"/>
          <w:lang w:val="en-GB"/>
        </w:rPr>
        <w:t xml:space="preserve"> that </w:t>
      </w:r>
      <w:r w:rsidR="00833D92">
        <w:rPr>
          <w:bCs/>
          <w:szCs w:val="22"/>
          <w:lang w:val="en-GB"/>
        </w:rPr>
        <w:t>a five-</w:t>
      </w:r>
      <w:r w:rsidR="00B1363A">
        <w:rPr>
          <w:bCs/>
          <w:szCs w:val="22"/>
          <w:lang w:val="en-GB"/>
        </w:rPr>
        <w:t>year time</w:t>
      </w:r>
      <w:r>
        <w:rPr>
          <w:bCs/>
          <w:szCs w:val="22"/>
          <w:lang w:val="en-GB"/>
        </w:rPr>
        <w:t xml:space="preserve"> horizon </w:t>
      </w:r>
      <w:r w:rsidR="00FF2613">
        <w:rPr>
          <w:bCs/>
          <w:szCs w:val="22"/>
          <w:lang w:val="en-GB"/>
        </w:rPr>
        <w:t xml:space="preserve">would </w:t>
      </w:r>
      <w:r>
        <w:rPr>
          <w:bCs/>
          <w:szCs w:val="22"/>
          <w:lang w:val="en-GB"/>
        </w:rPr>
        <w:t>be more appropriate;</w:t>
      </w:r>
    </w:p>
    <w:p w:rsidR="002F324B" w:rsidRDefault="001F1209" w:rsidP="002F324B">
      <w:pPr>
        <w:pStyle w:val="ListParagraph"/>
        <w:numPr>
          <w:ilvl w:val="0"/>
          <w:numId w:val="20"/>
        </w:numPr>
        <w:rPr>
          <w:bCs/>
          <w:szCs w:val="22"/>
          <w:lang w:val="en-GB"/>
        </w:rPr>
      </w:pPr>
      <w:r>
        <w:rPr>
          <w:bCs/>
          <w:szCs w:val="22"/>
          <w:lang w:val="en-GB"/>
        </w:rPr>
        <w:t>t</w:t>
      </w:r>
      <w:r w:rsidR="002F324B" w:rsidRPr="00F26BBB">
        <w:rPr>
          <w:bCs/>
          <w:szCs w:val="22"/>
          <w:lang w:val="en-GB"/>
        </w:rPr>
        <w:t xml:space="preserve">he </w:t>
      </w:r>
      <w:r w:rsidR="007D5A2D" w:rsidRPr="00F26BBB">
        <w:rPr>
          <w:bCs/>
          <w:szCs w:val="22"/>
          <w:lang w:val="en-GB"/>
        </w:rPr>
        <w:t>method</w:t>
      </w:r>
      <w:r w:rsidR="00B1363A">
        <w:rPr>
          <w:bCs/>
          <w:szCs w:val="22"/>
          <w:lang w:val="en-GB"/>
        </w:rPr>
        <w:t xml:space="preserve"> of extrapolation: </w:t>
      </w:r>
      <w:r>
        <w:rPr>
          <w:bCs/>
          <w:szCs w:val="22"/>
          <w:lang w:val="en-GB"/>
        </w:rPr>
        <w:t xml:space="preserve">sensitivity analysis using Weibull extrapolation increased the ICER to </w:t>
      </w:r>
      <w:r w:rsidR="00833D92">
        <w:rPr>
          <w:bCs/>
          <w:szCs w:val="22"/>
          <w:lang w:val="en-GB"/>
        </w:rPr>
        <w:t>more than</w:t>
      </w:r>
      <w:r>
        <w:rPr>
          <w:bCs/>
          <w:szCs w:val="22"/>
          <w:lang w:val="en-GB"/>
        </w:rPr>
        <w:t xml:space="preserve"> $100,000</w:t>
      </w:r>
      <w:r w:rsidR="00833D92">
        <w:rPr>
          <w:bCs/>
          <w:szCs w:val="22"/>
          <w:lang w:val="en-GB"/>
        </w:rPr>
        <w:t xml:space="preserve"> per </w:t>
      </w:r>
      <w:r>
        <w:rPr>
          <w:bCs/>
          <w:szCs w:val="22"/>
          <w:lang w:val="en-GB"/>
        </w:rPr>
        <w:t>QALY</w:t>
      </w:r>
      <w:r w:rsidR="00833D92">
        <w:rPr>
          <w:bCs/>
          <w:szCs w:val="22"/>
          <w:lang w:val="en-GB"/>
        </w:rPr>
        <w:t xml:space="preserve"> gained</w:t>
      </w:r>
      <w:r>
        <w:rPr>
          <w:bCs/>
          <w:szCs w:val="22"/>
          <w:lang w:val="en-GB"/>
        </w:rPr>
        <w:t>;</w:t>
      </w:r>
    </w:p>
    <w:p w:rsidR="001F1209" w:rsidRPr="00F26BBB" w:rsidRDefault="001F1209" w:rsidP="002F324B">
      <w:pPr>
        <w:pStyle w:val="ListParagraph"/>
        <w:numPr>
          <w:ilvl w:val="0"/>
          <w:numId w:val="20"/>
        </w:numPr>
        <w:rPr>
          <w:bCs/>
          <w:szCs w:val="22"/>
          <w:lang w:val="en-GB"/>
        </w:rPr>
      </w:pPr>
      <w:r>
        <w:t xml:space="preserve">the extrapolated PFS and OS curves follow parametric functions until the end of the model, when a </w:t>
      </w:r>
      <w:r w:rsidR="00FF2613">
        <w:t xml:space="preserve">more appropriate </w:t>
      </w:r>
      <w:r>
        <w:t xml:space="preserve">approach would </w:t>
      </w:r>
      <w:r w:rsidR="00833D92">
        <w:t xml:space="preserve">have </w:t>
      </w:r>
      <w:r>
        <w:t>be</w:t>
      </w:r>
      <w:r w:rsidR="00833D92">
        <w:t>en</w:t>
      </w:r>
      <w:r>
        <w:t xml:space="preserve"> to assume the two OS curves converge within the time horizon;</w:t>
      </w:r>
    </w:p>
    <w:p w:rsidR="00935B1E" w:rsidRPr="00957C0B" w:rsidRDefault="00FF2613" w:rsidP="002F324B">
      <w:pPr>
        <w:pStyle w:val="ListParagraph"/>
        <w:numPr>
          <w:ilvl w:val="0"/>
          <w:numId w:val="20"/>
        </w:numPr>
        <w:rPr>
          <w:bCs/>
          <w:szCs w:val="22"/>
          <w:lang w:val="en-GB"/>
        </w:rPr>
      </w:pPr>
      <w:proofErr w:type="gramStart"/>
      <w:r w:rsidRPr="00957C0B">
        <w:rPr>
          <w:bCs/>
          <w:szCs w:val="22"/>
          <w:lang w:val="en-GB"/>
        </w:rPr>
        <w:t>the</w:t>
      </w:r>
      <w:proofErr w:type="gramEnd"/>
      <w:r w:rsidRPr="00957C0B">
        <w:rPr>
          <w:bCs/>
          <w:szCs w:val="22"/>
          <w:lang w:val="en-GB"/>
        </w:rPr>
        <w:t xml:space="preserve"> </w:t>
      </w:r>
      <w:r w:rsidR="001F1209" w:rsidRPr="00957C0B">
        <w:rPr>
          <w:bCs/>
          <w:szCs w:val="22"/>
          <w:lang w:val="en-GB"/>
        </w:rPr>
        <w:t>a</w:t>
      </w:r>
      <w:r w:rsidR="007D5A2D" w:rsidRPr="00957C0B">
        <w:rPr>
          <w:bCs/>
          <w:szCs w:val="22"/>
          <w:lang w:val="en-GB"/>
        </w:rPr>
        <w:t xml:space="preserve">ssumptions </w:t>
      </w:r>
      <w:r w:rsidRPr="00957C0B">
        <w:rPr>
          <w:bCs/>
          <w:szCs w:val="22"/>
          <w:lang w:val="en-GB"/>
        </w:rPr>
        <w:t xml:space="preserve">applied </w:t>
      </w:r>
      <w:r w:rsidR="00B1363A" w:rsidRPr="00957C0B">
        <w:rPr>
          <w:bCs/>
          <w:szCs w:val="22"/>
          <w:lang w:val="en-GB"/>
        </w:rPr>
        <w:t>regarding treatment duration and costs of ongoing</w:t>
      </w:r>
      <w:r w:rsidR="001F1209" w:rsidRPr="00957C0B">
        <w:rPr>
          <w:bCs/>
          <w:szCs w:val="22"/>
          <w:lang w:val="en-GB"/>
        </w:rPr>
        <w:t xml:space="preserve"> disease management </w:t>
      </w:r>
      <w:r w:rsidRPr="00957C0B">
        <w:rPr>
          <w:bCs/>
          <w:szCs w:val="22"/>
          <w:lang w:val="en-GB"/>
        </w:rPr>
        <w:t xml:space="preserve">favoured </w:t>
      </w:r>
      <w:proofErr w:type="spellStart"/>
      <w:r w:rsidRPr="00957C0B">
        <w:rPr>
          <w:bCs/>
          <w:szCs w:val="22"/>
          <w:lang w:val="en-GB"/>
        </w:rPr>
        <w:t>nivolumab</w:t>
      </w:r>
      <w:proofErr w:type="spellEnd"/>
      <w:r w:rsidR="001F1209" w:rsidRPr="00957C0B">
        <w:rPr>
          <w:bCs/>
          <w:szCs w:val="22"/>
          <w:lang w:val="en-GB"/>
        </w:rPr>
        <w:t>.</w:t>
      </w:r>
    </w:p>
    <w:p w:rsidR="00E704AE" w:rsidRPr="00F26BBB" w:rsidRDefault="00E704AE" w:rsidP="00F26BBB">
      <w:pPr>
        <w:tabs>
          <w:tab w:val="left" w:pos="5347"/>
        </w:tabs>
        <w:contextualSpacing/>
        <w:rPr>
          <w:bCs/>
          <w:szCs w:val="22"/>
          <w:lang w:val="en-GB"/>
        </w:rPr>
      </w:pPr>
    </w:p>
    <w:p w:rsidR="00662DF1" w:rsidRPr="00A14104" w:rsidRDefault="00BE33A2" w:rsidP="0073258E">
      <w:pPr>
        <w:numPr>
          <w:ilvl w:val="1"/>
          <w:numId w:val="2"/>
        </w:numPr>
        <w:contextualSpacing/>
        <w:rPr>
          <w:bCs/>
          <w:szCs w:val="22"/>
          <w:lang w:val="en-GB"/>
        </w:rPr>
      </w:pPr>
      <w:r w:rsidRPr="00A14104">
        <w:rPr>
          <w:bCs/>
          <w:szCs w:val="22"/>
          <w:lang w:val="en-GB"/>
        </w:rPr>
        <w:t xml:space="preserve">The </w:t>
      </w:r>
      <w:r w:rsidR="00341B02" w:rsidRPr="00A14104">
        <w:rPr>
          <w:bCs/>
          <w:szCs w:val="22"/>
          <w:lang w:val="en-GB"/>
        </w:rPr>
        <w:t xml:space="preserve">PBAC </w:t>
      </w:r>
      <w:r w:rsidRPr="00A14104">
        <w:rPr>
          <w:bCs/>
          <w:szCs w:val="22"/>
          <w:lang w:val="en-GB"/>
        </w:rPr>
        <w:t xml:space="preserve">noted that the estimated net cost of </w:t>
      </w:r>
      <w:proofErr w:type="spellStart"/>
      <w:r w:rsidRPr="00A14104">
        <w:rPr>
          <w:bCs/>
          <w:szCs w:val="22"/>
          <w:lang w:val="en-GB"/>
        </w:rPr>
        <w:t>nivolumab</w:t>
      </w:r>
      <w:proofErr w:type="spellEnd"/>
      <w:r w:rsidRPr="00A14104">
        <w:rPr>
          <w:bCs/>
          <w:szCs w:val="22"/>
          <w:lang w:val="en-GB"/>
        </w:rPr>
        <w:t xml:space="preserve"> for squamous NSCLC was </w:t>
      </w:r>
      <w:r w:rsidR="00641F05">
        <w:rPr>
          <w:bCs/>
          <w:szCs w:val="22"/>
          <w:lang w:val="en-GB"/>
        </w:rPr>
        <w:t>more than</w:t>
      </w:r>
      <w:r w:rsidRPr="00A14104">
        <w:rPr>
          <w:bCs/>
          <w:szCs w:val="22"/>
          <w:lang w:val="en-GB"/>
        </w:rPr>
        <w:t xml:space="preserve"> $</w:t>
      </w:r>
      <w:r w:rsidR="00557316">
        <w:rPr>
          <w:bCs/>
          <w:noProof/>
          <w:color w:val="000000"/>
          <w:szCs w:val="22"/>
          <w:highlight w:val="black"/>
          <w:lang w:val="en-GB"/>
        </w:rPr>
        <w:t>''''''''''</w:t>
      </w:r>
      <w:r w:rsidRPr="00A14104">
        <w:rPr>
          <w:bCs/>
          <w:szCs w:val="22"/>
          <w:lang w:val="en-GB"/>
        </w:rPr>
        <w:t xml:space="preserve"> million over five years. The PBAC noted the DUSC’s concerns regarding the eligible patient numbers, duration of treatment in practice</w:t>
      </w:r>
      <w:r w:rsidR="00FB7378">
        <w:rPr>
          <w:bCs/>
          <w:szCs w:val="22"/>
          <w:lang w:val="en-GB"/>
        </w:rPr>
        <w:t>,</w:t>
      </w:r>
      <w:r w:rsidRPr="00A14104">
        <w:rPr>
          <w:bCs/>
          <w:szCs w:val="22"/>
          <w:lang w:val="en-GB"/>
        </w:rPr>
        <w:t xml:space="preserve"> and potential risk of </w:t>
      </w:r>
      <w:r w:rsidR="00CE0E8A">
        <w:rPr>
          <w:bCs/>
          <w:szCs w:val="22"/>
          <w:lang w:val="en-GB"/>
        </w:rPr>
        <w:t>use beyond the restriction</w:t>
      </w:r>
      <w:r w:rsidRPr="00A14104">
        <w:rPr>
          <w:bCs/>
          <w:szCs w:val="22"/>
          <w:lang w:val="en-GB"/>
        </w:rPr>
        <w:t xml:space="preserve">, and </w:t>
      </w:r>
      <w:r w:rsidR="00341B02" w:rsidRPr="00A14104">
        <w:rPr>
          <w:bCs/>
          <w:szCs w:val="22"/>
          <w:lang w:val="en-GB"/>
        </w:rPr>
        <w:t xml:space="preserve">advised </w:t>
      </w:r>
      <w:r w:rsidRPr="00A14104">
        <w:rPr>
          <w:bCs/>
          <w:szCs w:val="22"/>
          <w:lang w:val="en-GB"/>
        </w:rPr>
        <w:t xml:space="preserve">that </w:t>
      </w:r>
      <w:r w:rsidR="00341B02" w:rsidRPr="00A14104">
        <w:rPr>
          <w:bCs/>
          <w:szCs w:val="22"/>
          <w:lang w:val="en-GB"/>
        </w:rPr>
        <w:t xml:space="preserve">a financial cap would be required </w:t>
      </w:r>
      <w:r w:rsidRPr="00A14104">
        <w:rPr>
          <w:bCs/>
          <w:szCs w:val="22"/>
          <w:lang w:val="en-GB"/>
        </w:rPr>
        <w:t>to manage these uncertainties</w:t>
      </w:r>
      <w:r w:rsidR="00833D92">
        <w:rPr>
          <w:bCs/>
          <w:szCs w:val="22"/>
          <w:lang w:val="en-GB"/>
        </w:rPr>
        <w:t>.</w:t>
      </w:r>
    </w:p>
    <w:p w:rsidR="00662DF1" w:rsidRPr="00A14104" w:rsidRDefault="00662DF1" w:rsidP="00833D92">
      <w:pPr>
        <w:contextualSpacing/>
        <w:rPr>
          <w:bCs/>
          <w:szCs w:val="22"/>
          <w:lang w:val="en-GB"/>
        </w:rPr>
      </w:pPr>
    </w:p>
    <w:p w:rsidR="00E31CA3" w:rsidRPr="00E751DD" w:rsidRDefault="00E31CA3" w:rsidP="00E31CA3">
      <w:pPr>
        <w:pStyle w:val="ListParagraph"/>
        <w:widowControl/>
        <w:numPr>
          <w:ilvl w:val="1"/>
          <w:numId w:val="2"/>
        </w:numPr>
        <w:ind w:left="709" w:hanging="709"/>
        <w:rPr>
          <w:szCs w:val="22"/>
        </w:rPr>
      </w:pPr>
      <w:r w:rsidRPr="00A14104">
        <w:rPr>
          <w:szCs w:val="22"/>
        </w:rPr>
        <w:t>The PBAC considered</w:t>
      </w:r>
      <w:r>
        <w:rPr>
          <w:szCs w:val="22"/>
        </w:rPr>
        <w:t xml:space="preserve"> that any resubmission should be a major submission to allow for evaluation of an improved economic model.</w:t>
      </w:r>
    </w:p>
    <w:p w:rsidR="00662DF1" w:rsidRPr="002E7AD7" w:rsidRDefault="00662DF1" w:rsidP="00833D92">
      <w:pPr>
        <w:contextualSpacing/>
        <w:rPr>
          <w:bCs/>
          <w:szCs w:val="22"/>
          <w:lang w:val="en-GB"/>
        </w:rPr>
      </w:pPr>
    </w:p>
    <w:p w:rsidR="00662DF1" w:rsidRPr="00833D92" w:rsidRDefault="00662DF1" w:rsidP="00BC3E13">
      <w:pPr>
        <w:numPr>
          <w:ilvl w:val="1"/>
          <w:numId w:val="2"/>
        </w:numPr>
        <w:contextualSpacing/>
        <w:rPr>
          <w:bCs/>
          <w:szCs w:val="22"/>
          <w:lang w:val="en-GB"/>
        </w:rPr>
      </w:pPr>
      <w:r w:rsidRPr="002E7AD7">
        <w:rPr>
          <w:bCs/>
          <w:szCs w:val="22"/>
          <w:lang w:val="en-GB"/>
        </w:rPr>
        <w:t>The PBA</w:t>
      </w:r>
      <w:r w:rsidR="00BC3E13" w:rsidRPr="002E7AD7">
        <w:rPr>
          <w:bCs/>
          <w:szCs w:val="22"/>
          <w:lang w:val="en-GB"/>
        </w:rPr>
        <w:t>C noted that this submission is</w:t>
      </w:r>
      <w:r w:rsidRPr="002E7AD7">
        <w:rPr>
          <w:bCs/>
          <w:szCs w:val="22"/>
          <w:lang w:val="en-GB"/>
        </w:rPr>
        <w:t xml:space="preserve"> eligible for an Independent Review.</w:t>
      </w:r>
    </w:p>
    <w:p w:rsidR="00662DF1" w:rsidRPr="00833D92" w:rsidRDefault="00662DF1" w:rsidP="00662DF1">
      <w:pPr>
        <w:rPr>
          <w:szCs w:val="22"/>
          <w:lang w:val="en-GB"/>
        </w:rPr>
      </w:pPr>
    </w:p>
    <w:p w:rsidR="00662DF1" w:rsidRPr="00833D92" w:rsidRDefault="00662DF1" w:rsidP="00662DF1">
      <w:pPr>
        <w:rPr>
          <w:bCs/>
          <w:szCs w:val="22"/>
          <w:lang w:val="en-GB"/>
        </w:rPr>
      </w:pPr>
    </w:p>
    <w:p w:rsidR="00662DF1" w:rsidRPr="002E7AD7" w:rsidRDefault="00662DF1" w:rsidP="00662DF1">
      <w:pPr>
        <w:rPr>
          <w:b/>
          <w:bCs/>
          <w:szCs w:val="22"/>
          <w:lang w:val="en-GB"/>
        </w:rPr>
      </w:pPr>
      <w:r w:rsidRPr="002E7AD7">
        <w:rPr>
          <w:b/>
          <w:bCs/>
          <w:szCs w:val="22"/>
          <w:lang w:val="en-GB"/>
        </w:rPr>
        <w:t>Outcome:</w:t>
      </w:r>
    </w:p>
    <w:p w:rsidR="00662DF1" w:rsidRDefault="00BC3E13" w:rsidP="00662DF1">
      <w:pPr>
        <w:rPr>
          <w:bCs/>
          <w:szCs w:val="22"/>
          <w:lang w:val="en-GB"/>
        </w:rPr>
      </w:pPr>
      <w:r w:rsidRPr="002E7AD7">
        <w:rPr>
          <w:bCs/>
          <w:szCs w:val="22"/>
          <w:lang w:val="en-GB"/>
        </w:rPr>
        <w:t>Rejected</w:t>
      </w:r>
    </w:p>
    <w:p w:rsidR="00D86DBF" w:rsidRDefault="00D86DBF" w:rsidP="00662DF1">
      <w:pPr>
        <w:rPr>
          <w:bCs/>
          <w:szCs w:val="22"/>
          <w:lang w:val="en-GB"/>
        </w:rPr>
      </w:pPr>
    </w:p>
    <w:p w:rsidR="00D86DBF" w:rsidRDefault="00D86DBF" w:rsidP="00D86DBF">
      <w:pPr>
        <w:pStyle w:val="Heading1"/>
      </w:pPr>
      <w:r w:rsidRPr="00632206">
        <w:t>Context for Decision</w:t>
      </w:r>
    </w:p>
    <w:p w:rsidR="00D86DBF" w:rsidRDefault="00D86DBF" w:rsidP="00D86DBF">
      <w:pPr>
        <w:ind w:left="720"/>
      </w:pPr>
    </w:p>
    <w:p w:rsidR="00D86DBF" w:rsidRDefault="00D86DBF" w:rsidP="00D86DBF">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86DBF" w:rsidRDefault="00D86DBF" w:rsidP="00D86DBF">
      <w:pPr>
        <w:ind w:left="720"/>
      </w:pPr>
    </w:p>
    <w:p w:rsidR="00D86DBF" w:rsidRDefault="00D86DBF" w:rsidP="00D86DBF">
      <w:pPr>
        <w:pStyle w:val="Heading1"/>
      </w:pPr>
      <w:r w:rsidRPr="00451386">
        <w:t>Sponsor’s Comment</w:t>
      </w:r>
    </w:p>
    <w:p w:rsidR="00590E1F" w:rsidRDefault="00590E1F" w:rsidP="00590E1F">
      <w:pPr>
        <w:pStyle w:val="PBACHeading1"/>
        <w:numPr>
          <w:ilvl w:val="0"/>
          <w:numId w:val="0"/>
        </w:numPr>
        <w:ind w:left="720"/>
        <w:rPr>
          <w:highlight w:val="yellow"/>
        </w:rPr>
      </w:pPr>
    </w:p>
    <w:p w:rsidR="00590E1F" w:rsidRPr="00590E1F" w:rsidRDefault="00590E1F" w:rsidP="00590E1F">
      <w:pPr>
        <w:pStyle w:val="PBACHeading1"/>
        <w:numPr>
          <w:ilvl w:val="0"/>
          <w:numId w:val="0"/>
        </w:numPr>
        <w:ind w:left="720"/>
        <w:jc w:val="both"/>
        <w:rPr>
          <w:b w:val="0"/>
          <w:szCs w:val="20"/>
        </w:rPr>
      </w:pPr>
      <w:r w:rsidRPr="00590E1F">
        <w:rPr>
          <w:b w:val="0"/>
          <w:szCs w:val="20"/>
        </w:rPr>
        <w:t xml:space="preserve">The sponsor is working to ensure timely PBS listing of </w:t>
      </w:r>
      <w:proofErr w:type="spellStart"/>
      <w:r w:rsidRPr="00590E1F">
        <w:rPr>
          <w:b w:val="0"/>
          <w:szCs w:val="20"/>
        </w:rPr>
        <w:t>nivolumab</w:t>
      </w:r>
      <w:proofErr w:type="spellEnd"/>
      <w:r w:rsidRPr="00590E1F">
        <w:rPr>
          <w:b w:val="0"/>
          <w:szCs w:val="20"/>
        </w:rPr>
        <w:t xml:space="preserve"> for Australian patients with squamous NSCLC.</w:t>
      </w:r>
    </w:p>
    <w:p w:rsidR="00D86DBF" w:rsidRDefault="00D86DBF" w:rsidP="00D86DBF">
      <w:pPr>
        <w:ind w:left="720"/>
        <w:rPr>
          <w:bCs/>
          <w:highlight w:val="yellow"/>
          <w:lang w:val="en-GB"/>
        </w:rPr>
      </w:pPr>
    </w:p>
    <w:p w:rsidR="00D86DBF" w:rsidRPr="00944B94" w:rsidRDefault="00D86DBF" w:rsidP="00662DF1">
      <w:pPr>
        <w:rPr>
          <w:bCs/>
          <w:szCs w:val="22"/>
          <w:lang w:val="en-GB"/>
        </w:rPr>
      </w:pPr>
    </w:p>
    <w:sectPr w:rsidR="00D86DBF" w:rsidRPr="00944B94" w:rsidSect="005E6E1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215D04" w15:done="0"/>
  <w15:commentEx w15:paraId="5D194C56" w15:done="0"/>
  <w15:commentEx w15:paraId="3E9CE7F9" w15:done="0"/>
  <w15:commentEx w15:paraId="009936F3" w15:done="0"/>
  <w15:commentEx w15:paraId="10DDC7DB" w15:done="0"/>
  <w15:commentEx w15:paraId="2748E7E7" w15:done="0"/>
  <w15:commentEx w15:paraId="32F54D41" w15:done="0"/>
  <w15:commentEx w15:paraId="2D5BBC20" w15:done="0"/>
  <w15:commentEx w15:paraId="165437DD" w15:done="0"/>
  <w15:commentEx w15:paraId="79C4F389" w15:done="0"/>
  <w15:commentEx w15:paraId="6402A0F5" w15:done="0"/>
  <w15:commentEx w15:paraId="07A18345" w15:done="0"/>
  <w15:commentEx w15:paraId="5A359A93" w15:done="0"/>
  <w15:commentEx w15:paraId="5577CF32" w15:done="0"/>
  <w15:commentEx w15:paraId="70548A2D" w15:done="0"/>
  <w15:commentEx w15:paraId="7645D874" w15:done="0"/>
  <w15:commentEx w15:paraId="708DE0EF" w15:done="0"/>
  <w15:commentEx w15:paraId="0DFB2857" w15:done="0"/>
  <w15:commentEx w15:paraId="02941AEE" w15:done="0"/>
  <w15:commentEx w15:paraId="06D9BB43" w15:done="0"/>
  <w15:commentEx w15:paraId="69F19F8E" w15:done="0"/>
  <w15:commentEx w15:paraId="7582ED7B" w15:done="0"/>
  <w15:commentEx w15:paraId="3ADD6F9C" w15:done="0"/>
  <w15:commentEx w15:paraId="5C0F8B1D" w15:done="0"/>
  <w15:commentEx w15:paraId="5B58B066" w15:done="0"/>
  <w15:commentEx w15:paraId="7474233A" w15:done="0"/>
  <w15:commentEx w15:paraId="267850AC" w15:done="0"/>
  <w15:commentEx w15:paraId="70BB9FD6" w15:done="0"/>
  <w15:commentEx w15:paraId="52C9453F" w15:done="0"/>
  <w15:commentEx w15:paraId="0E72585B" w15:done="0"/>
  <w15:commentEx w15:paraId="53B466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BD0" w:rsidRDefault="00847BD0" w:rsidP="00124A51">
      <w:r>
        <w:separator/>
      </w:r>
    </w:p>
  </w:endnote>
  <w:endnote w:type="continuationSeparator" w:id="0">
    <w:p w:rsidR="00847BD0" w:rsidRDefault="00847BD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FC" w:rsidRDefault="006D68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015032"/>
      <w:docPartObj>
        <w:docPartGallery w:val="Page Numbers (Bottom of Page)"/>
        <w:docPartUnique/>
      </w:docPartObj>
    </w:sdtPr>
    <w:sdtEndPr>
      <w:rPr>
        <w:noProof/>
      </w:rPr>
    </w:sdtEndPr>
    <w:sdtContent>
      <w:p w:rsidR="0033262E" w:rsidRDefault="0033262E">
        <w:pPr>
          <w:pStyle w:val="Footer"/>
          <w:jc w:val="center"/>
        </w:pPr>
      </w:p>
      <w:p w:rsidR="0033262E" w:rsidRPr="000E5B95" w:rsidRDefault="0033262E" w:rsidP="000E5B95">
        <w:pPr>
          <w:pStyle w:val="Footer"/>
          <w:jc w:val="center"/>
        </w:pPr>
        <w:r>
          <w:fldChar w:fldCharType="begin"/>
        </w:r>
        <w:r>
          <w:instrText xml:space="preserve"> PAGE   \* MERGEFORMAT </w:instrText>
        </w:r>
        <w:r>
          <w:fldChar w:fldCharType="separate"/>
        </w:r>
        <w:r w:rsidR="0036260F">
          <w:rPr>
            <w:noProof/>
          </w:rPr>
          <w:t>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FC" w:rsidRDefault="006D68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BD0" w:rsidRDefault="00847BD0" w:rsidP="00124A51">
      <w:r>
        <w:separator/>
      </w:r>
    </w:p>
  </w:footnote>
  <w:footnote w:type="continuationSeparator" w:id="0">
    <w:p w:rsidR="00847BD0" w:rsidRDefault="00847BD0" w:rsidP="00124A51">
      <w:r>
        <w:continuationSeparator/>
      </w:r>
    </w:p>
  </w:footnote>
  <w:footnote w:id="1">
    <w:p w:rsidR="0033262E" w:rsidRDefault="0033262E" w:rsidP="006115DB">
      <w:pPr>
        <w:pStyle w:val="FootnoteText"/>
      </w:pPr>
      <w:r>
        <w:rPr>
          <w:rStyle w:val="FootnoteReference"/>
        </w:rPr>
        <w:footnoteRef/>
      </w:r>
      <w:r>
        <w:t xml:space="preserve"> Preparation fee of $102.67 has been used</w:t>
      </w:r>
    </w:p>
  </w:footnote>
  <w:footnote w:id="2">
    <w:p w:rsidR="0033262E" w:rsidRDefault="0033262E" w:rsidP="006115DB">
      <w:pPr>
        <w:pStyle w:val="FootnoteText"/>
      </w:pPr>
      <w:r>
        <w:rPr>
          <w:rStyle w:val="FootnoteReference"/>
        </w:rPr>
        <w:footnoteRef/>
      </w:r>
      <w:r>
        <w:t xml:space="preserve"> Choice of Select AEs was based on 4 guiding principles: 1) AEs that may differ in type, frequency, or severity from AEs caused by non-immunotherapies, 2) AEs that may require immunosuppression (e.g., corticosteroids) as part of their management, 3) AEs whose early recognition and management may mitigate severe toxicity, and 4) AEs for which multiple event terms may be used to describe a single type of AE, thereby necessitating the pooling of terms for full characterisation.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FC" w:rsidRDefault="006D6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2E" w:rsidRPr="00662DF1" w:rsidRDefault="0033262E" w:rsidP="002328F0">
    <w:pPr>
      <w:tabs>
        <w:tab w:val="left" w:pos="142"/>
        <w:tab w:val="right" w:pos="9027"/>
      </w:tabs>
      <w:jc w:val="center"/>
      <w:rPr>
        <w:i/>
        <w:color w:val="A6A6A6" w:themeColor="background1" w:themeShade="A6"/>
      </w:rPr>
    </w:pPr>
    <w:r>
      <w:rPr>
        <w:i/>
        <w:color w:val="A6A6A6" w:themeColor="background1" w:themeShade="A6"/>
      </w:rPr>
      <w:t xml:space="preserve">Public Summary Document </w:t>
    </w:r>
    <w:r w:rsidRPr="00662DF1">
      <w:rPr>
        <w:i/>
        <w:color w:val="A6A6A6" w:themeColor="background1" w:themeShade="A6"/>
      </w:rPr>
      <w:t>– March 2016 PBAC Meeting</w:t>
    </w:r>
  </w:p>
  <w:p w:rsidR="0033262E" w:rsidRDefault="0033262E" w:rsidP="00662DF1">
    <w:pPr>
      <w:tabs>
        <w:tab w:val="left" w:pos="142"/>
        <w:tab w:val="right" w:pos="9027"/>
      </w:tabs>
      <w:jc w:val="right"/>
    </w:pPr>
    <w:r>
      <w:rPr>
        <w:color w:val="D9D9D9" w:themeColor="background1" w:themeShade="D9"/>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FC" w:rsidRDefault="006D6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04EBDE8"/>
    <w:lvl w:ilvl="0">
      <w:start w:val="1"/>
      <w:numFmt w:val="decimal"/>
      <w:lvlText w:val="%1."/>
      <w:lvlJc w:val="left"/>
      <w:pPr>
        <w:tabs>
          <w:tab w:val="num" w:pos="360"/>
        </w:tabs>
        <w:ind w:left="360" w:hanging="360"/>
      </w:p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FE312C"/>
    <w:multiLevelType w:val="hybridMultilevel"/>
    <w:tmpl w:val="409E809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069517D"/>
    <w:multiLevelType w:val="hybridMultilevel"/>
    <w:tmpl w:val="8E7258C6"/>
    <w:lvl w:ilvl="0" w:tplc="0C090001">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6E0E43"/>
    <w:multiLevelType w:val="hybridMultilevel"/>
    <w:tmpl w:val="B28E9AF6"/>
    <w:lvl w:ilvl="0" w:tplc="0C090001">
      <w:start w:val="1"/>
      <w:numFmt w:val="bullet"/>
      <w:lvlText w:val=""/>
      <w:lvlJc w:val="left"/>
      <w:pPr>
        <w:ind w:left="1509" w:hanging="360"/>
      </w:pPr>
      <w:rPr>
        <w:rFonts w:ascii="Symbol" w:hAnsi="Symbol"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BC56449"/>
    <w:multiLevelType w:val="multilevel"/>
    <w:tmpl w:val="B83E9DB4"/>
    <w:lvl w:ilvl="0">
      <w:start w:val="1"/>
      <w:numFmt w:val="decimal"/>
      <w:lvlText w:val="%1"/>
      <w:lvlJc w:val="left"/>
      <w:pPr>
        <w:ind w:left="1065" w:hanging="705"/>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D95593F"/>
    <w:multiLevelType w:val="hybridMultilevel"/>
    <w:tmpl w:val="38765B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50F399D"/>
    <w:multiLevelType w:val="hybridMultilevel"/>
    <w:tmpl w:val="0FCC75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6FFE2EE5"/>
    <w:multiLevelType w:val="hybridMultilevel"/>
    <w:tmpl w:val="6C182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84D033C"/>
    <w:multiLevelType w:val="multilevel"/>
    <w:tmpl w:val="B2B66DF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1"/>
  </w:num>
  <w:num w:numId="4">
    <w:abstractNumId w:val="12"/>
  </w:num>
  <w:num w:numId="5">
    <w:abstractNumId w:val="7"/>
  </w:num>
  <w:num w:numId="6">
    <w:abstractNumId w:val="3"/>
  </w:num>
  <w:num w:numId="7">
    <w:abstractNumId w:val="1"/>
  </w:num>
  <w:num w:numId="8">
    <w:abstractNumId w:val="6"/>
  </w:num>
  <w:num w:numId="9">
    <w:abstractNumId w:val="2"/>
  </w:num>
  <w:num w:numId="10">
    <w:abstractNumId w:val="0"/>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9"/>
  </w:num>
  <w:num w:numId="20">
    <w:abstractNumId w:val="5"/>
  </w:num>
  <w:num w:numId="21">
    <w:abstractNumId w:val="8"/>
  </w:num>
  <w:num w:numId="22">
    <w:abstractNumId w:val="4"/>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ie Jackowski">
    <w15:presenceInfo w15:providerId="Windows Live" w15:userId="24f8055e49ac7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0p0sz5uatetne0tvixssabsvrs529wvpvd&quot;&gt;EGFR Copy&lt;record-ids&gt;&lt;item&gt;313&lt;/item&gt;&lt;item&gt;509&lt;/item&gt;&lt;item&gt;512&lt;/item&gt;&lt;item&gt;515&lt;/item&gt;&lt;item&gt;517&lt;/item&gt;&lt;item&gt;518&lt;/item&gt;&lt;item&gt;522&lt;/item&gt;&lt;item&gt;523&lt;/item&gt;&lt;item&gt;524&lt;/item&gt;&lt;item&gt;525&lt;/item&gt;&lt;item&gt;528&lt;/item&gt;&lt;item&gt;529&lt;/item&gt;&lt;item&gt;530&lt;/item&gt;&lt;/record-ids&gt;&lt;/item&gt;&lt;/Libraries&gt;"/>
  </w:docVars>
  <w:rsids>
    <w:rsidRoot w:val="00E65E79"/>
    <w:rsid w:val="00000790"/>
    <w:rsid w:val="0000110B"/>
    <w:rsid w:val="00001163"/>
    <w:rsid w:val="00002B41"/>
    <w:rsid w:val="00003499"/>
    <w:rsid w:val="00003661"/>
    <w:rsid w:val="00013247"/>
    <w:rsid w:val="000132D8"/>
    <w:rsid w:val="00013F70"/>
    <w:rsid w:val="00015886"/>
    <w:rsid w:val="000162EF"/>
    <w:rsid w:val="00016945"/>
    <w:rsid w:val="0001709E"/>
    <w:rsid w:val="00017A54"/>
    <w:rsid w:val="0002028F"/>
    <w:rsid w:val="0002225F"/>
    <w:rsid w:val="00022C66"/>
    <w:rsid w:val="00023763"/>
    <w:rsid w:val="000247B5"/>
    <w:rsid w:val="00024AF1"/>
    <w:rsid w:val="00026C67"/>
    <w:rsid w:val="00027DBF"/>
    <w:rsid w:val="0003111F"/>
    <w:rsid w:val="0003368A"/>
    <w:rsid w:val="00040895"/>
    <w:rsid w:val="0004194F"/>
    <w:rsid w:val="00043C37"/>
    <w:rsid w:val="00044291"/>
    <w:rsid w:val="0004692B"/>
    <w:rsid w:val="0004770C"/>
    <w:rsid w:val="00047D28"/>
    <w:rsid w:val="0005027D"/>
    <w:rsid w:val="000546D7"/>
    <w:rsid w:val="00057C99"/>
    <w:rsid w:val="0006128A"/>
    <w:rsid w:val="000613AC"/>
    <w:rsid w:val="000638F5"/>
    <w:rsid w:val="00064B2A"/>
    <w:rsid w:val="00065C0A"/>
    <w:rsid w:val="00070AAD"/>
    <w:rsid w:val="00071248"/>
    <w:rsid w:val="00071536"/>
    <w:rsid w:val="000720B9"/>
    <w:rsid w:val="0008088C"/>
    <w:rsid w:val="000812CA"/>
    <w:rsid w:val="00083FF9"/>
    <w:rsid w:val="000846E3"/>
    <w:rsid w:val="000873D6"/>
    <w:rsid w:val="00087A0F"/>
    <w:rsid w:val="00090C7E"/>
    <w:rsid w:val="00090E9C"/>
    <w:rsid w:val="000928E0"/>
    <w:rsid w:val="00092C69"/>
    <w:rsid w:val="000934FD"/>
    <w:rsid w:val="000940D8"/>
    <w:rsid w:val="00094BC2"/>
    <w:rsid w:val="000B06A2"/>
    <w:rsid w:val="000B46D9"/>
    <w:rsid w:val="000B473D"/>
    <w:rsid w:val="000B609F"/>
    <w:rsid w:val="000B632E"/>
    <w:rsid w:val="000C00D6"/>
    <w:rsid w:val="000C18CA"/>
    <w:rsid w:val="000C22C9"/>
    <w:rsid w:val="000C2860"/>
    <w:rsid w:val="000C2ABE"/>
    <w:rsid w:val="000C2E90"/>
    <w:rsid w:val="000C4474"/>
    <w:rsid w:val="000C4FC2"/>
    <w:rsid w:val="000C54DE"/>
    <w:rsid w:val="000C58A1"/>
    <w:rsid w:val="000C62F4"/>
    <w:rsid w:val="000C73B5"/>
    <w:rsid w:val="000D029A"/>
    <w:rsid w:val="000D1BFC"/>
    <w:rsid w:val="000D2A9E"/>
    <w:rsid w:val="000D3F40"/>
    <w:rsid w:val="000D4990"/>
    <w:rsid w:val="000D6B96"/>
    <w:rsid w:val="000D77CA"/>
    <w:rsid w:val="000E1399"/>
    <w:rsid w:val="000E1727"/>
    <w:rsid w:val="000E5B95"/>
    <w:rsid w:val="000E6382"/>
    <w:rsid w:val="000E6C72"/>
    <w:rsid w:val="000E6DDC"/>
    <w:rsid w:val="000E7FE8"/>
    <w:rsid w:val="000F02C5"/>
    <w:rsid w:val="000F1743"/>
    <w:rsid w:val="000F1AA4"/>
    <w:rsid w:val="000F2B31"/>
    <w:rsid w:val="000F4453"/>
    <w:rsid w:val="000F4BB8"/>
    <w:rsid w:val="000F7127"/>
    <w:rsid w:val="000F7228"/>
    <w:rsid w:val="00100F8A"/>
    <w:rsid w:val="00102619"/>
    <w:rsid w:val="00105722"/>
    <w:rsid w:val="001062D4"/>
    <w:rsid w:val="00106413"/>
    <w:rsid w:val="0010749A"/>
    <w:rsid w:val="001101ED"/>
    <w:rsid w:val="0011032E"/>
    <w:rsid w:val="001124DD"/>
    <w:rsid w:val="0011348B"/>
    <w:rsid w:val="00113B94"/>
    <w:rsid w:val="001141F3"/>
    <w:rsid w:val="0011529C"/>
    <w:rsid w:val="00116325"/>
    <w:rsid w:val="0011681D"/>
    <w:rsid w:val="0011734C"/>
    <w:rsid w:val="0011798A"/>
    <w:rsid w:val="00121799"/>
    <w:rsid w:val="001222FC"/>
    <w:rsid w:val="00123C0B"/>
    <w:rsid w:val="00124A51"/>
    <w:rsid w:val="00126621"/>
    <w:rsid w:val="00130011"/>
    <w:rsid w:val="001301E9"/>
    <w:rsid w:val="00130810"/>
    <w:rsid w:val="001330D1"/>
    <w:rsid w:val="0013361D"/>
    <w:rsid w:val="00133A1A"/>
    <w:rsid w:val="00133CAF"/>
    <w:rsid w:val="00137530"/>
    <w:rsid w:val="00137645"/>
    <w:rsid w:val="0014015A"/>
    <w:rsid w:val="00140E99"/>
    <w:rsid w:val="00141A59"/>
    <w:rsid w:val="00142017"/>
    <w:rsid w:val="00142AD6"/>
    <w:rsid w:val="001438E2"/>
    <w:rsid w:val="00143C04"/>
    <w:rsid w:val="0014534D"/>
    <w:rsid w:val="001454DF"/>
    <w:rsid w:val="00145540"/>
    <w:rsid w:val="001456B0"/>
    <w:rsid w:val="00145A7D"/>
    <w:rsid w:val="00145A92"/>
    <w:rsid w:val="00145CC6"/>
    <w:rsid w:val="00150D64"/>
    <w:rsid w:val="00152D3B"/>
    <w:rsid w:val="001565AD"/>
    <w:rsid w:val="00157130"/>
    <w:rsid w:val="00157166"/>
    <w:rsid w:val="00162913"/>
    <w:rsid w:val="00163EFF"/>
    <w:rsid w:val="00164A06"/>
    <w:rsid w:val="00164D17"/>
    <w:rsid w:val="001661FB"/>
    <w:rsid w:val="00171AA9"/>
    <w:rsid w:val="00174655"/>
    <w:rsid w:val="00174DB4"/>
    <w:rsid w:val="0017701F"/>
    <w:rsid w:val="00182E1C"/>
    <w:rsid w:val="00183B41"/>
    <w:rsid w:val="0018752F"/>
    <w:rsid w:val="0019041A"/>
    <w:rsid w:val="0019455C"/>
    <w:rsid w:val="00195222"/>
    <w:rsid w:val="00195749"/>
    <w:rsid w:val="001975D8"/>
    <w:rsid w:val="001A78DB"/>
    <w:rsid w:val="001B0077"/>
    <w:rsid w:val="001B13E6"/>
    <w:rsid w:val="001B2726"/>
    <w:rsid w:val="001B3443"/>
    <w:rsid w:val="001B3638"/>
    <w:rsid w:val="001B5DFF"/>
    <w:rsid w:val="001B6326"/>
    <w:rsid w:val="001B7680"/>
    <w:rsid w:val="001C2179"/>
    <w:rsid w:val="001C5BC8"/>
    <w:rsid w:val="001C5D83"/>
    <w:rsid w:val="001C6E66"/>
    <w:rsid w:val="001C7ACE"/>
    <w:rsid w:val="001C7B8B"/>
    <w:rsid w:val="001D091F"/>
    <w:rsid w:val="001D1E18"/>
    <w:rsid w:val="001D1F76"/>
    <w:rsid w:val="001D2538"/>
    <w:rsid w:val="001D2D2E"/>
    <w:rsid w:val="001D48D3"/>
    <w:rsid w:val="001E08CF"/>
    <w:rsid w:val="001E0952"/>
    <w:rsid w:val="001E238E"/>
    <w:rsid w:val="001E2B1E"/>
    <w:rsid w:val="001E3E82"/>
    <w:rsid w:val="001E52EB"/>
    <w:rsid w:val="001E740C"/>
    <w:rsid w:val="001E7B3E"/>
    <w:rsid w:val="001F0AEA"/>
    <w:rsid w:val="001F1209"/>
    <w:rsid w:val="001F1235"/>
    <w:rsid w:val="001F1CB3"/>
    <w:rsid w:val="001F29C1"/>
    <w:rsid w:val="001F3DE4"/>
    <w:rsid w:val="001F63BE"/>
    <w:rsid w:val="001F7361"/>
    <w:rsid w:val="002001FD"/>
    <w:rsid w:val="0020226D"/>
    <w:rsid w:val="0020385F"/>
    <w:rsid w:val="002039D5"/>
    <w:rsid w:val="00207021"/>
    <w:rsid w:val="00207AD0"/>
    <w:rsid w:val="00207D00"/>
    <w:rsid w:val="002105C1"/>
    <w:rsid w:val="00211C57"/>
    <w:rsid w:val="00211D67"/>
    <w:rsid w:val="00213DAF"/>
    <w:rsid w:val="002209B9"/>
    <w:rsid w:val="002211D5"/>
    <w:rsid w:val="002229B6"/>
    <w:rsid w:val="00223667"/>
    <w:rsid w:val="0022376A"/>
    <w:rsid w:val="00223B49"/>
    <w:rsid w:val="00224DD4"/>
    <w:rsid w:val="00225123"/>
    <w:rsid w:val="00225596"/>
    <w:rsid w:val="002268FE"/>
    <w:rsid w:val="00227BAA"/>
    <w:rsid w:val="00230752"/>
    <w:rsid w:val="002309CC"/>
    <w:rsid w:val="00232141"/>
    <w:rsid w:val="002328F0"/>
    <w:rsid w:val="00234490"/>
    <w:rsid w:val="00237CA1"/>
    <w:rsid w:val="00240D00"/>
    <w:rsid w:val="00241ADA"/>
    <w:rsid w:val="00242C01"/>
    <w:rsid w:val="00245D89"/>
    <w:rsid w:val="00246C0F"/>
    <w:rsid w:val="0024745E"/>
    <w:rsid w:val="00252E3E"/>
    <w:rsid w:val="00253240"/>
    <w:rsid w:val="002539C9"/>
    <w:rsid w:val="00254DCF"/>
    <w:rsid w:val="0025534B"/>
    <w:rsid w:val="00255BB7"/>
    <w:rsid w:val="00261894"/>
    <w:rsid w:val="00262A87"/>
    <w:rsid w:val="00267003"/>
    <w:rsid w:val="00267468"/>
    <w:rsid w:val="00271672"/>
    <w:rsid w:val="00272067"/>
    <w:rsid w:val="0027251C"/>
    <w:rsid w:val="00275C5A"/>
    <w:rsid w:val="00276516"/>
    <w:rsid w:val="00281014"/>
    <w:rsid w:val="00281CD2"/>
    <w:rsid w:val="00282173"/>
    <w:rsid w:val="00287965"/>
    <w:rsid w:val="0029517F"/>
    <w:rsid w:val="00295AB8"/>
    <w:rsid w:val="002A14AB"/>
    <w:rsid w:val="002A1F2E"/>
    <w:rsid w:val="002A6E06"/>
    <w:rsid w:val="002B0315"/>
    <w:rsid w:val="002B1C1F"/>
    <w:rsid w:val="002B314F"/>
    <w:rsid w:val="002B3D82"/>
    <w:rsid w:val="002B432F"/>
    <w:rsid w:val="002B43E8"/>
    <w:rsid w:val="002B6343"/>
    <w:rsid w:val="002B6CCE"/>
    <w:rsid w:val="002C127D"/>
    <w:rsid w:val="002C18C7"/>
    <w:rsid w:val="002C2775"/>
    <w:rsid w:val="002C27C1"/>
    <w:rsid w:val="002C27F7"/>
    <w:rsid w:val="002C674D"/>
    <w:rsid w:val="002D0336"/>
    <w:rsid w:val="002D5F68"/>
    <w:rsid w:val="002D7E68"/>
    <w:rsid w:val="002E4DC0"/>
    <w:rsid w:val="002E7AD7"/>
    <w:rsid w:val="002E7B52"/>
    <w:rsid w:val="002F324B"/>
    <w:rsid w:val="002F3FE5"/>
    <w:rsid w:val="002F4232"/>
    <w:rsid w:val="002F49DD"/>
    <w:rsid w:val="002F59D6"/>
    <w:rsid w:val="00301017"/>
    <w:rsid w:val="00301D08"/>
    <w:rsid w:val="0030786C"/>
    <w:rsid w:val="0031031A"/>
    <w:rsid w:val="00310981"/>
    <w:rsid w:val="00310AF5"/>
    <w:rsid w:val="00313FCD"/>
    <w:rsid w:val="0031529F"/>
    <w:rsid w:val="00315498"/>
    <w:rsid w:val="00320138"/>
    <w:rsid w:val="00320D16"/>
    <w:rsid w:val="00321C04"/>
    <w:rsid w:val="0032378B"/>
    <w:rsid w:val="0033262E"/>
    <w:rsid w:val="003366C9"/>
    <w:rsid w:val="003371B0"/>
    <w:rsid w:val="0034145D"/>
    <w:rsid w:val="00341B02"/>
    <w:rsid w:val="00342D73"/>
    <w:rsid w:val="00346A91"/>
    <w:rsid w:val="00347483"/>
    <w:rsid w:val="00347AAD"/>
    <w:rsid w:val="0035036C"/>
    <w:rsid w:val="00350911"/>
    <w:rsid w:val="00351B0E"/>
    <w:rsid w:val="00353100"/>
    <w:rsid w:val="00354F88"/>
    <w:rsid w:val="003557D5"/>
    <w:rsid w:val="0035620E"/>
    <w:rsid w:val="00357714"/>
    <w:rsid w:val="0036260F"/>
    <w:rsid w:val="00363B9E"/>
    <w:rsid w:val="003703C5"/>
    <w:rsid w:val="003709C7"/>
    <w:rsid w:val="003720CF"/>
    <w:rsid w:val="0037242E"/>
    <w:rsid w:val="00375636"/>
    <w:rsid w:val="003765C7"/>
    <w:rsid w:val="00376F6C"/>
    <w:rsid w:val="00377A89"/>
    <w:rsid w:val="00380D2E"/>
    <w:rsid w:val="003831F8"/>
    <w:rsid w:val="0038365C"/>
    <w:rsid w:val="003841B0"/>
    <w:rsid w:val="0038645B"/>
    <w:rsid w:val="0038689D"/>
    <w:rsid w:val="00386BC3"/>
    <w:rsid w:val="00387138"/>
    <w:rsid w:val="00390DB8"/>
    <w:rsid w:val="00396FD0"/>
    <w:rsid w:val="00397008"/>
    <w:rsid w:val="00397A58"/>
    <w:rsid w:val="003A09B9"/>
    <w:rsid w:val="003A14DF"/>
    <w:rsid w:val="003A1A7A"/>
    <w:rsid w:val="003A4386"/>
    <w:rsid w:val="003A6271"/>
    <w:rsid w:val="003B1BE3"/>
    <w:rsid w:val="003B1E5E"/>
    <w:rsid w:val="003B2572"/>
    <w:rsid w:val="003B2A35"/>
    <w:rsid w:val="003C0A99"/>
    <w:rsid w:val="003C27AF"/>
    <w:rsid w:val="003C318D"/>
    <w:rsid w:val="003C362B"/>
    <w:rsid w:val="003C6094"/>
    <w:rsid w:val="003C61AA"/>
    <w:rsid w:val="003D07E1"/>
    <w:rsid w:val="003D1828"/>
    <w:rsid w:val="003D2185"/>
    <w:rsid w:val="003D2422"/>
    <w:rsid w:val="003D6DDA"/>
    <w:rsid w:val="003D7B49"/>
    <w:rsid w:val="003E0718"/>
    <w:rsid w:val="003E2077"/>
    <w:rsid w:val="003E4CA4"/>
    <w:rsid w:val="003E60C3"/>
    <w:rsid w:val="003F04AF"/>
    <w:rsid w:val="003F1A31"/>
    <w:rsid w:val="003F1BFA"/>
    <w:rsid w:val="003F25B0"/>
    <w:rsid w:val="003F3159"/>
    <w:rsid w:val="003F3B12"/>
    <w:rsid w:val="003F4156"/>
    <w:rsid w:val="003F4924"/>
    <w:rsid w:val="003F531B"/>
    <w:rsid w:val="003F7CD2"/>
    <w:rsid w:val="00400FD0"/>
    <w:rsid w:val="00402345"/>
    <w:rsid w:val="00406225"/>
    <w:rsid w:val="00406B79"/>
    <w:rsid w:val="00407482"/>
    <w:rsid w:val="00407588"/>
    <w:rsid w:val="00410708"/>
    <w:rsid w:val="00410EC7"/>
    <w:rsid w:val="00411B5B"/>
    <w:rsid w:val="0041300B"/>
    <w:rsid w:val="00413FC7"/>
    <w:rsid w:val="00414476"/>
    <w:rsid w:val="00414B59"/>
    <w:rsid w:val="00414CC5"/>
    <w:rsid w:val="00416ACE"/>
    <w:rsid w:val="004171B8"/>
    <w:rsid w:val="00420B9F"/>
    <w:rsid w:val="00430B2B"/>
    <w:rsid w:val="004319F8"/>
    <w:rsid w:val="004328EC"/>
    <w:rsid w:val="00433044"/>
    <w:rsid w:val="004335B8"/>
    <w:rsid w:val="00435788"/>
    <w:rsid w:val="00435EE8"/>
    <w:rsid w:val="00436F21"/>
    <w:rsid w:val="00441B09"/>
    <w:rsid w:val="004443A7"/>
    <w:rsid w:val="004464EB"/>
    <w:rsid w:val="00450A67"/>
    <w:rsid w:val="00452BFF"/>
    <w:rsid w:val="0045307C"/>
    <w:rsid w:val="00455D45"/>
    <w:rsid w:val="00456E7D"/>
    <w:rsid w:val="004612A7"/>
    <w:rsid w:val="0046156D"/>
    <w:rsid w:val="0046279E"/>
    <w:rsid w:val="0046285B"/>
    <w:rsid w:val="004631F1"/>
    <w:rsid w:val="00464483"/>
    <w:rsid w:val="00464595"/>
    <w:rsid w:val="00464892"/>
    <w:rsid w:val="00467AD1"/>
    <w:rsid w:val="0047544F"/>
    <w:rsid w:val="00475871"/>
    <w:rsid w:val="00476D02"/>
    <w:rsid w:val="004807A8"/>
    <w:rsid w:val="00481709"/>
    <w:rsid w:val="00482048"/>
    <w:rsid w:val="00484191"/>
    <w:rsid w:val="0048525E"/>
    <w:rsid w:val="004857A2"/>
    <w:rsid w:val="004867E2"/>
    <w:rsid w:val="00486E03"/>
    <w:rsid w:val="004879A0"/>
    <w:rsid w:val="00490F65"/>
    <w:rsid w:val="004913FC"/>
    <w:rsid w:val="00491B3A"/>
    <w:rsid w:val="00491E99"/>
    <w:rsid w:val="00492CFD"/>
    <w:rsid w:val="00493A90"/>
    <w:rsid w:val="004940BC"/>
    <w:rsid w:val="004962D2"/>
    <w:rsid w:val="00496984"/>
    <w:rsid w:val="004974E1"/>
    <w:rsid w:val="004A0319"/>
    <w:rsid w:val="004A0DA1"/>
    <w:rsid w:val="004A52B9"/>
    <w:rsid w:val="004A5B7E"/>
    <w:rsid w:val="004A6597"/>
    <w:rsid w:val="004A7901"/>
    <w:rsid w:val="004B0029"/>
    <w:rsid w:val="004B18D6"/>
    <w:rsid w:val="004B1CB4"/>
    <w:rsid w:val="004B2F18"/>
    <w:rsid w:val="004B3D46"/>
    <w:rsid w:val="004B3DDB"/>
    <w:rsid w:val="004B4294"/>
    <w:rsid w:val="004B44FD"/>
    <w:rsid w:val="004B5CFC"/>
    <w:rsid w:val="004C4444"/>
    <w:rsid w:val="004C4AED"/>
    <w:rsid w:val="004C5123"/>
    <w:rsid w:val="004D06C2"/>
    <w:rsid w:val="004D07FF"/>
    <w:rsid w:val="004D1C1F"/>
    <w:rsid w:val="004D2FD4"/>
    <w:rsid w:val="004D4007"/>
    <w:rsid w:val="004D59F5"/>
    <w:rsid w:val="004D5FE6"/>
    <w:rsid w:val="004E0EB8"/>
    <w:rsid w:val="004E2647"/>
    <w:rsid w:val="004E2ADC"/>
    <w:rsid w:val="004E3B06"/>
    <w:rsid w:val="004E43B2"/>
    <w:rsid w:val="004E7393"/>
    <w:rsid w:val="004E79FA"/>
    <w:rsid w:val="004E7CA4"/>
    <w:rsid w:val="004E7E39"/>
    <w:rsid w:val="004F0393"/>
    <w:rsid w:val="004F04FF"/>
    <w:rsid w:val="004F155C"/>
    <w:rsid w:val="004F1D02"/>
    <w:rsid w:val="004F2679"/>
    <w:rsid w:val="004F2C07"/>
    <w:rsid w:val="004F2D44"/>
    <w:rsid w:val="004F4E18"/>
    <w:rsid w:val="004F507D"/>
    <w:rsid w:val="004F5D8A"/>
    <w:rsid w:val="004F7865"/>
    <w:rsid w:val="004F7986"/>
    <w:rsid w:val="004F7BEE"/>
    <w:rsid w:val="005018FD"/>
    <w:rsid w:val="00502CB1"/>
    <w:rsid w:val="00506307"/>
    <w:rsid w:val="005066C8"/>
    <w:rsid w:val="00506928"/>
    <w:rsid w:val="00507A39"/>
    <w:rsid w:val="0051348F"/>
    <w:rsid w:val="005152B5"/>
    <w:rsid w:val="00517F1E"/>
    <w:rsid w:val="0052098A"/>
    <w:rsid w:val="00521319"/>
    <w:rsid w:val="00523C28"/>
    <w:rsid w:val="00525AD5"/>
    <w:rsid w:val="00527B29"/>
    <w:rsid w:val="005310A5"/>
    <w:rsid w:val="00532C0A"/>
    <w:rsid w:val="00533393"/>
    <w:rsid w:val="0053385C"/>
    <w:rsid w:val="00533A76"/>
    <w:rsid w:val="00536119"/>
    <w:rsid w:val="005361CB"/>
    <w:rsid w:val="0054263A"/>
    <w:rsid w:val="00543913"/>
    <w:rsid w:val="005472FF"/>
    <w:rsid w:val="00551884"/>
    <w:rsid w:val="00552BD3"/>
    <w:rsid w:val="00555109"/>
    <w:rsid w:val="00557316"/>
    <w:rsid w:val="00557393"/>
    <w:rsid w:val="00557D5A"/>
    <w:rsid w:val="00557DAA"/>
    <w:rsid w:val="00561D27"/>
    <w:rsid w:val="00561E71"/>
    <w:rsid w:val="0056608F"/>
    <w:rsid w:val="00566505"/>
    <w:rsid w:val="0056696F"/>
    <w:rsid w:val="00571995"/>
    <w:rsid w:val="00573017"/>
    <w:rsid w:val="00575D8D"/>
    <w:rsid w:val="005768D0"/>
    <w:rsid w:val="00576972"/>
    <w:rsid w:val="00580D33"/>
    <w:rsid w:val="00583699"/>
    <w:rsid w:val="0058383C"/>
    <w:rsid w:val="005878C1"/>
    <w:rsid w:val="00590E1F"/>
    <w:rsid w:val="005969D2"/>
    <w:rsid w:val="00596B9C"/>
    <w:rsid w:val="005975FF"/>
    <w:rsid w:val="005977A6"/>
    <w:rsid w:val="005A2562"/>
    <w:rsid w:val="005A3FEE"/>
    <w:rsid w:val="005A5C6D"/>
    <w:rsid w:val="005A5EA5"/>
    <w:rsid w:val="005B3BEA"/>
    <w:rsid w:val="005B503C"/>
    <w:rsid w:val="005B50BD"/>
    <w:rsid w:val="005B5857"/>
    <w:rsid w:val="005B7176"/>
    <w:rsid w:val="005C1B83"/>
    <w:rsid w:val="005C2B66"/>
    <w:rsid w:val="005C346B"/>
    <w:rsid w:val="005C4FB1"/>
    <w:rsid w:val="005C7F65"/>
    <w:rsid w:val="005D044D"/>
    <w:rsid w:val="005D18AD"/>
    <w:rsid w:val="005D18F3"/>
    <w:rsid w:val="005D4126"/>
    <w:rsid w:val="005D42DD"/>
    <w:rsid w:val="005D5FF9"/>
    <w:rsid w:val="005D6D4C"/>
    <w:rsid w:val="005E02D3"/>
    <w:rsid w:val="005E0457"/>
    <w:rsid w:val="005E19CD"/>
    <w:rsid w:val="005E2015"/>
    <w:rsid w:val="005E2CDF"/>
    <w:rsid w:val="005E34DF"/>
    <w:rsid w:val="005E6E19"/>
    <w:rsid w:val="005E73C0"/>
    <w:rsid w:val="005E77A3"/>
    <w:rsid w:val="005F035E"/>
    <w:rsid w:val="005F102B"/>
    <w:rsid w:val="005F2706"/>
    <w:rsid w:val="005F2884"/>
    <w:rsid w:val="005F56EA"/>
    <w:rsid w:val="005F6A8F"/>
    <w:rsid w:val="00602C13"/>
    <w:rsid w:val="0060524B"/>
    <w:rsid w:val="00605279"/>
    <w:rsid w:val="00607669"/>
    <w:rsid w:val="006115DB"/>
    <w:rsid w:val="0061248C"/>
    <w:rsid w:val="00612F97"/>
    <w:rsid w:val="00614987"/>
    <w:rsid w:val="00615618"/>
    <w:rsid w:val="00615E67"/>
    <w:rsid w:val="006164F9"/>
    <w:rsid w:val="00616802"/>
    <w:rsid w:val="006178C2"/>
    <w:rsid w:val="00617E12"/>
    <w:rsid w:val="00621477"/>
    <w:rsid w:val="00622240"/>
    <w:rsid w:val="00622244"/>
    <w:rsid w:val="00631D6B"/>
    <w:rsid w:val="0063479F"/>
    <w:rsid w:val="00636470"/>
    <w:rsid w:val="006364A1"/>
    <w:rsid w:val="00637BFD"/>
    <w:rsid w:val="00641F05"/>
    <w:rsid w:val="00643715"/>
    <w:rsid w:val="006471CC"/>
    <w:rsid w:val="0065079F"/>
    <w:rsid w:val="00650DAA"/>
    <w:rsid w:val="00652CB6"/>
    <w:rsid w:val="0065305D"/>
    <w:rsid w:val="0065394E"/>
    <w:rsid w:val="00653ED9"/>
    <w:rsid w:val="00654122"/>
    <w:rsid w:val="0065412C"/>
    <w:rsid w:val="00657367"/>
    <w:rsid w:val="00661BB7"/>
    <w:rsid w:val="00662DF1"/>
    <w:rsid w:val="00663FE2"/>
    <w:rsid w:val="006641A1"/>
    <w:rsid w:val="00670F1A"/>
    <w:rsid w:val="00671C04"/>
    <w:rsid w:val="00672AF4"/>
    <w:rsid w:val="00673758"/>
    <w:rsid w:val="006744A0"/>
    <w:rsid w:val="00674E42"/>
    <w:rsid w:val="006752A0"/>
    <w:rsid w:val="00680F88"/>
    <w:rsid w:val="00682112"/>
    <w:rsid w:val="00685045"/>
    <w:rsid w:val="00686BAC"/>
    <w:rsid w:val="006872BA"/>
    <w:rsid w:val="006917D7"/>
    <w:rsid w:val="00692291"/>
    <w:rsid w:val="00694F44"/>
    <w:rsid w:val="006A217C"/>
    <w:rsid w:val="006A254C"/>
    <w:rsid w:val="006A2867"/>
    <w:rsid w:val="006A3C74"/>
    <w:rsid w:val="006A4051"/>
    <w:rsid w:val="006A4A9C"/>
    <w:rsid w:val="006A4EE2"/>
    <w:rsid w:val="006B15AA"/>
    <w:rsid w:val="006B5BC9"/>
    <w:rsid w:val="006B7CD6"/>
    <w:rsid w:val="006C072A"/>
    <w:rsid w:val="006C2A8E"/>
    <w:rsid w:val="006C7096"/>
    <w:rsid w:val="006D07A4"/>
    <w:rsid w:val="006D152C"/>
    <w:rsid w:val="006D3C7D"/>
    <w:rsid w:val="006D45F1"/>
    <w:rsid w:val="006D476E"/>
    <w:rsid w:val="006D5D5F"/>
    <w:rsid w:val="006D5DA3"/>
    <w:rsid w:val="006D68FC"/>
    <w:rsid w:val="006D7EFA"/>
    <w:rsid w:val="006E069F"/>
    <w:rsid w:val="006E2E7D"/>
    <w:rsid w:val="006E4807"/>
    <w:rsid w:val="006E49A0"/>
    <w:rsid w:val="006E6E62"/>
    <w:rsid w:val="006F0893"/>
    <w:rsid w:val="006F13DA"/>
    <w:rsid w:val="006F1B4A"/>
    <w:rsid w:val="006F307F"/>
    <w:rsid w:val="006F3D7B"/>
    <w:rsid w:val="006F48AD"/>
    <w:rsid w:val="006F5672"/>
    <w:rsid w:val="006F5ECB"/>
    <w:rsid w:val="006F616B"/>
    <w:rsid w:val="006F63A5"/>
    <w:rsid w:val="007004E5"/>
    <w:rsid w:val="00701BF3"/>
    <w:rsid w:val="00701BF5"/>
    <w:rsid w:val="0070276E"/>
    <w:rsid w:val="0070288F"/>
    <w:rsid w:val="00702F8F"/>
    <w:rsid w:val="007036CC"/>
    <w:rsid w:val="00705894"/>
    <w:rsid w:val="00706676"/>
    <w:rsid w:val="007068C1"/>
    <w:rsid w:val="00711A36"/>
    <w:rsid w:val="0071269C"/>
    <w:rsid w:val="007133FD"/>
    <w:rsid w:val="00716B01"/>
    <w:rsid w:val="00716E8B"/>
    <w:rsid w:val="007172AD"/>
    <w:rsid w:val="00717F21"/>
    <w:rsid w:val="00722FB2"/>
    <w:rsid w:val="0072416F"/>
    <w:rsid w:val="00724AA5"/>
    <w:rsid w:val="00730242"/>
    <w:rsid w:val="0073258E"/>
    <w:rsid w:val="007325FC"/>
    <w:rsid w:val="00732D6D"/>
    <w:rsid w:val="00735328"/>
    <w:rsid w:val="0073578C"/>
    <w:rsid w:val="0073685B"/>
    <w:rsid w:val="007368BF"/>
    <w:rsid w:val="00736B6C"/>
    <w:rsid w:val="007406C8"/>
    <w:rsid w:val="00740881"/>
    <w:rsid w:val="00740EF7"/>
    <w:rsid w:val="00742BF9"/>
    <w:rsid w:val="007437FE"/>
    <w:rsid w:val="0074508E"/>
    <w:rsid w:val="0075562D"/>
    <w:rsid w:val="00755A92"/>
    <w:rsid w:val="007565C9"/>
    <w:rsid w:val="00760064"/>
    <w:rsid w:val="00761B62"/>
    <w:rsid w:val="00766C59"/>
    <w:rsid w:val="00771364"/>
    <w:rsid w:val="00772CE6"/>
    <w:rsid w:val="007742E1"/>
    <w:rsid w:val="00777BF8"/>
    <w:rsid w:val="00782408"/>
    <w:rsid w:val="007824C7"/>
    <w:rsid w:val="00784786"/>
    <w:rsid w:val="00784C16"/>
    <w:rsid w:val="00787478"/>
    <w:rsid w:val="00791734"/>
    <w:rsid w:val="00791C6E"/>
    <w:rsid w:val="00796570"/>
    <w:rsid w:val="00796912"/>
    <w:rsid w:val="00796EF3"/>
    <w:rsid w:val="007A0A12"/>
    <w:rsid w:val="007A2690"/>
    <w:rsid w:val="007A49AD"/>
    <w:rsid w:val="007A4E86"/>
    <w:rsid w:val="007A515B"/>
    <w:rsid w:val="007A7B73"/>
    <w:rsid w:val="007A7C8E"/>
    <w:rsid w:val="007B0659"/>
    <w:rsid w:val="007B0FD3"/>
    <w:rsid w:val="007B1A1F"/>
    <w:rsid w:val="007B251D"/>
    <w:rsid w:val="007B32E4"/>
    <w:rsid w:val="007B3C0F"/>
    <w:rsid w:val="007B48DD"/>
    <w:rsid w:val="007B6AA6"/>
    <w:rsid w:val="007B7250"/>
    <w:rsid w:val="007B7287"/>
    <w:rsid w:val="007B77D1"/>
    <w:rsid w:val="007C26D8"/>
    <w:rsid w:val="007C33FF"/>
    <w:rsid w:val="007C361D"/>
    <w:rsid w:val="007C3685"/>
    <w:rsid w:val="007C6A83"/>
    <w:rsid w:val="007C7020"/>
    <w:rsid w:val="007D02A4"/>
    <w:rsid w:val="007D06D5"/>
    <w:rsid w:val="007D0B38"/>
    <w:rsid w:val="007D10BB"/>
    <w:rsid w:val="007D20E6"/>
    <w:rsid w:val="007D2564"/>
    <w:rsid w:val="007D27D4"/>
    <w:rsid w:val="007D5A2D"/>
    <w:rsid w:val="007D7A4A"/>
    <w:rsid w:val="007D7B9D"/>
    <w:rsid w:val="007E0317"/>
    <w:rsid w:val="007E4EA7"/>
    <w:rsid w:val="007E4EC6"/>
    <w:rsid w:val="007E6274"/>
    <w:rsid w:val="007E670D"/>
    <w:rsid w:val="007F1017"/>
    <w:rsid w:val="007F1073"/>
    <w:rsid w:val="007F1215"/>
    <w:rsid w:val="007F2DC3"/>
    <w:rsid w:val="007F4A3F"/>
    <w:rsid w:val="007F64C8"/>
    <w:rsid w:val="00800E10"/>
    <w:rsid w:val="00801A5F"/>
    <w:rsid w:val="00802E73"/>
    <w:rsid w:val="00803E7E"/>
    <w:rsid w:val="008048F5"/>
    <w:rsid w:val="00805142"/>
    <w:rsid w:val="00805764"/>
    <w:rsid w:val="00807A8B"/>
    <w:rsid w:val="00807E68"/>
    <w:rsid w:val="00810AAF"/>
    <w:rsid w:val="00812149"/>
    <w:rsid w:val="0081451A"/>
    <w:rsid w:val="008154E7"/>
    <w:rsid w:val="008166EF"/>
    <w:rsid w:val="00817A0E"/>
    <w:rsid w:val="00817BFC"/>
    <w:rsid w:val="0082250B"/>
    <w:rsid w:val="00824678"/>
    <w:rsid w:val="00824823"/>
    <w:rsid w:val="00825228"/>
    <w:rsid w:val="00825EF2"/>
    <w:rsid w:val="008264EB"/>
    <w:rsid w:val="008267E8"/>
    <w:rsid w:val="00833B05"/>
    <w:rsid w:val="00833D92"/>
    <w:rsid w:val="00834584"/>
    <w:rsid w:val="008352C7"/>
    <w:rsid w:val="00835604"/>
    <w:rsid w:val="008357D5"/>
    <w:rsid w:val="00836389"/>
    <w:rsid w:val="008376A3"/>
    <w:rsid w:val="008405DE"/>
    <w:rsid w:val="00840CA2"/>
    <w:rsid w:val="00843BA5"/>
    <w:rsid w:val="00844E71"/>
    <w:rsid w:val="00844E99"/>
    <w:rsid w:val="00845EA8"/>
    <w:rsid w:val="008461B3"/>
    <w:rsid w:val="00846E11"/>
    <w:rsid w:val="0084715C"/>
    <w:rsid w:val="00847BD0"/>
    <w:rsid w:val="00850AA0"/>
    <w:rsid w:val="00851580"/>
    <w:rsid w:val="00853612"/>
    <w:rsid w:val="00855404"/>
    <w:rsid w:val="00856E9A"/>
    <w:rsid w:val="0085729C"/>
    <w:rsid w:val="0085751F"/>
    <w:rsid w:val="00857A5E"/>
    <w:rsid w:val="00860EAD"/>
    <w:rsid w:val="0086102C"/>
    <w:rsid w:val="0086122F"/>
    <w:rsid w:val="00862502"/>
    <w:rsid w:val="00864E0C"/>
    <w:rsid w:val="00871B1E"/>
    <w:rsid w:val="008737A9"/>
    <w:rsid w:val="00874DA3"/>
    <w:rsid w:val="00876725"/>
    <w:rsid w:val="008767A6"/>
    <w:rsid w:val="008767C4"/>
    <w:rsid w:val="00880271"/>
    <w:rsid w:val="00881950"/>
    <w:rsid w:val="00882874"/>
    <w:rsid w:val="00882C84"/>
    <w:rsid w:val="00883787"/>
    <w:rsid w:val="00883A92"/>
    <w:rsid w:val="0088613F"/>
    <w:rsid w:val="00886613"/>
    <w:rsid w:val="008925ED"/>
    <w:rsid w:val="00893C10"/>
    <w:rsid w:val="00894489"/>
    <w:rsid w:val="00894A6B"/>
    <w:rsid w:val="008963A5"/>
    <w:rsid w:val="008971E6"/>
    <w:rsid w:val="008A2C02"/>
    <w:rsid w:val="008A3C3E"/>
    <w:rsid w:val="008A79DE"/>
    <w:rsid w:val="008B0F36"/>
    <w:rsid w:val="008B29F2"/>
    <w:rsid w:val="008B40AA"/>
    <w:rsid w:val="008B6BF1"/>
    <w:rsid w:val="008B7D7E"/>
    <w:rsid w:val="008C0134"/>
    <w:rsid w:val="008C4CEF"/>
    <w:rsid w:val="008C7ECB"/>
    <w:rsid w:val="008D0F06"/>
    <w:rsid w:val="008D2DCD"/>
    <w:rsid w:val="008D340D"/>
    <w:rsid w:val="008D38BB"/>
    <w:rsid w:val="008D4B9C"/>
    <w:rsid w:val="008D6C83"/>
    <w:rsid w:val="008E0743"/>
    <w:rsid w:val="008E132B"/>
    <w:rsid w:val="008E1750"/>
    <w:rsid w:val="008E1B9E"/>
    <w:rsid w:val="008E475E"/>
    <w:rsid w:val="008E47BE"/>
    <w:rsid w:val="008E7619"/>
    <w:rsid w:val="008F120A"/>
    <w:rsid w:val="008F17C0"/>
    <w:rsid w:val="008F2E61"/>
    <w:rsid w:val="008F3340"/>
    <w:rsid w:val="008F3701"/>
    <w:rsid w:val="008F37B1"/>
    <w:rsid w:val="008F3DB0"/>
    <w:rsid w:val="008F48EB"/>
    <w:rsid w:val="008F4F0B"/>
    <w:rsid w:val="008F7AF1"/>
    <w:rsid w:val="00901F69"/>
    <w:rsid w:val="00903D54"/>
    <w:rsid w:val="009043FF"/>
    <w:rsid w:val="00904668"/>
    <w:rsid w:val="009062A5"/>
    <w:rsid w:val="00911272"/>
    <w:rsid w:val="00914AD1"/>
    <w:rsid w:val="00914E7F"/>
    <w:rsid w:val="00914F09"/>
    <w:rsid w:val="00916FA3"/>
    <w:rsid w:val="009244B4"/>
    <w:rsid w:val="0092761F"/>
    <w:rsid w:val="00935234"/>
    <w:rsid w:val="00935B1E"/>
    <w:rsid w:val="00936360"/>
    <w:rsid w:val="00936D02"/>
    <w:rsid w:val="0093710B"/>
    <w:rsid w:val="00937246"/>
    <w:rsid w:val="0093791D"/>
    <w:rsid w:val="00942B19"/>
    <w:rsid w:val="00942D18"/>
    <w:rsid w:val="00944B94"/>
    <w:rsid w:val="0094648E"/>
    <w:rsid w:val="0095120D"/>
    <w:rsid w:val="00951F6A"/>
    <w:rsid w:val="0095561B"/>
    <w:rsid w:val="0095571E"/>
    <w:rsid w:val="009567A5"/>
    <w:rsid w:val="00957C0B"/>
    <w:rsid w:val="00957EC4"/>
    <w:rsid w:val="00962CB9"/>
    <w:rsid w:val="00963A0D"/>
    <w:rsid w:val="00964312"/>
    <w:rsid w:val="00964E96"/>
    <w:rsid w:val="009675FB"/>
    <w:rsid w:val="00972E79"/>
    <w:rsid w:val="00975248"/>
    <w:rsid w:val="009763E0"/>
    <w:rsid w:val="0097777B"/>
    <w:rsid w:val="00977BCF"/>
    <w:rsid w:val="00980E4E"/>
    <w:rsid w:val="00981475"/>
    <w:rsid w:val="00983E57"/>
    <w:rsid w:val="00987176"/>
    <w:rsid w:val="009914F5"/>
    <w:rsid w:val="00992D38"/>
    <w:rsid w:val="00996B1A"/>
    <w:rsid w:val="009A2039"/>
    <w:rsid w:val="009A25F7"/>
    <w:rsid w:val="009A3DE9"/>
    <w:rsid w:val="009A5049"/>
    <w:rsid w:val="009A5971"/>
    <w:rsid w:val="009A6D8E"/>
    <w:rsid w:val="009B32CC"/>
    <w:rsid w:val="009B34ED"/>
    <w:rsid w:val="009B3E26"/>
    <w:rsid w:val="009D18FE"/>
    <w:rsid w:val="009D1919"/>
    <w:rsid w:val="009D1E40"/>
    <w:rsid w:val="009D3FBF"/>
    <w:rsid w:val="009D5B91"/>
    <w:rsid w:val="009E1195"/>
    <w:rsid w:val="009E1209"/>
    <w:rsid w:val="009E2869"/>
    <w:rsid w:val="009E4C07"/>
    <w:rsid w:val="009E4CAF"/>
    <w:rsid w:val="009E6799"/>
    <w:rsid w:val="009F45B7"/>
    <w:rsid w:val="009F53BC"/>
    <w:rsid w:val="009F673A"/>
    <w:rsid w:val="009F6C99"/>
    <w:rsid w:val="009F766E"/>
    <w:rsid w:val="009F7902"/>
    <w:rsid w:val="00A0162E"/>
    <w:rsid w:val="00A037C7"/>
    <w:rsid w:val="00A03D43"/>
    <w:rsid w:val="00A04380"/>
    <w:rsid w:val="00A062EE"/>
    <w:rsid w:val="00A13948"/>
    <w:rsid w:val="00A14104"/>
    <w:rsid w:val="00A141AD"/>
    <w:rsid w:val="00A16E1C"/>
    <w:rsid w:val="00A20DA8"/>
    <w:rsid w:val="00A215AE"/>
    <w:rsid w:val="00A2450B"/>
    <w:rsid w:val="00A25639"/>
    <w:rsid w:val="00A26602"/>
    <w:rsid w:val="00A27AEC"/>
    <w:rsid w:val="00A30069"/>
    <w:rsid w:val="00A308AC"/>
    <w:rsid w:val="00A30C38"/>
    <w:rsid w:val="00A331D1"/>
    <w:rsid w:val="00A33C2D"/>
    <w:rsid w:val="00A33C3E"/>
    <w:rsid w:val="00A35D16"/>
    <w:rsid w:val="00A366CD"/>
    <w:rsid w:val="00A378CB"/>
    <w:rsid w:val="00A40780"/>
    <w:rsid w:val="00A40EAA"/>
    <w:rsid w:val="00A415A7"/>
    <w:rsid w:val="00A43C59"/>
    <w:rsid w:val="00A46035"/>
    <w:rsid w:val="00A468E3"/>
    <w:rsid w:val="00A50351"/>
    <w:rsid w:val="00A50ECD"/>
    <w:rsid w:val="00A52729"/>
    <w:rsid w:val="00A53675"/>
    <w:rsid w:val="00A55B3E"/>
    <w:rsid w:val="00A565C3"/>
    <w:rsid w:val="00A56B6A"/>
    <w:rsid w:val="00A578DC"/>
    <w:rsid w:val="00A61770"/>
    <w:rsid w:val="00A618EB"/>
    <w:rsid w:val="00A62C97"/>
    <w:rsid w:val="00A663B2"/>
    <w:rsid w:val="00A66507"/>
    <w:rsid w:val="00A667A1"/>
    <w:rsid w:val="00A66C50"/>
    <w:rsid w:val="00A66EB1"/>
    <w:rsid w:val="00A6725B"/>
    <w:rsid w:val="00A70A72"/>
    <w:rsid w:val="00A70C36"/>
    <w:rsid w:val="00A72559"/>
    <w:rsid w:val="00A72B81"/>
    <w:rsid w:val="00A77CDE"/>
    <w:rsid w:val="00A81C99"/>
    <w:rsid w:val="00A82CDA"/>
    <w:rsid w:val="00A869EA"/>
    <w:rsid w:val="00A86E8B"/>
    <w:rsid w:val="00A914BA"/>
    <w:rsid w:val="00A92B27"/>
    <w:rsid w:val="00A92DD4"/>
    <w:rsid w:val="00A93072"/>
    <w:rsid w:val="00A93363"/>
    <w:rsid w:val="00A959D8"/>
    <w:rsid w:val="00AA0231"/>
    <w:rsid w:val="00AA2BAF"/>
    <w:rsid w:val="00AA4A6B"/>
    <w:rsid w:val="00AA6BBF"/>
    <w:rsid w:val="00AB0045"/>
    <w:rsid w:val="00AB0340"/>
    <w:rsid w:val="00AB042A"/>
    <w:rsid w:val="00AB18D0"/>
    <w:rsid w:val="00AB2D34"/>
    <w:rsid w:val="00AB3430"/>
    <w:rsid w:val="00AB7A06"/>
    <w:rsid w:val="00AB7A39"/>
    <w:rsid w:val="00AB7CFA"/>
    <w:rsid w:val="00AC019E"/>
    <w:rsid w:val="00AC26E7"/>
    <w:rsid w:val="00AC37FC"/>
    <w:rsid w:val="00AC46AB"/>
    <w:rsid w:val="00AC61BF"/>
    <w:rsid w:val="00AC726B"/>
    <w:rsid w:val="00AD2A1F"/>
    <w:rsid w:val="00AD3FD3"/>
    <w:rsid w:val="00AD4737"/>
    <w:rsid w:val="00AD4A16"/>
    <w:rsid w:val="00AD51B0"/>
    <w:rsid w:val="00AD7831"/>
    <w:rsid w:val="00AE06AF"/>
    <w:rsid w:val="00AE1ED4"/>
    <w:rsid w:val="00AE2666"/>
    <w:rsid w:val="00AE29CB"/>
    <w:rsid w:val="00AE72A9"/>
    <w:rsid w:val="00AE7EC8"/>
    <w:rsid w:val="00AF36E9"/>
    <w:rsid w:val="00AF3881"/>
    <w:rsid w:val="00AF43A1"/>
    <w:rsid w:val="00AF5BEA"/>
    <w:rsid w:val="00AF5C74"/>
    <w:rsid w:val="00AF674B"/>
    <w:rsid w:val="00AF6B27"/>
    <w:rsid w:val="00B00A55"/>
    <w:rsid w:val="00B0176E"/>
    <w:rsid w:val="00B02D97"/>
    <w:rsid w:val="00B0348F"/>
    <w:rsid w:val="00B03FA3"/>
    <w:rsid w:val="00B04CFE"/>
    <w:rsid w:val="00B05539"/>
    <w:rsid w:val="00B05CB0"/>
    <w:rsid w:val="00B10E65"/>
    <w:rsid w:val="00B11D9A"/>
    <w:rsid w:val="00B1363A"/>
    <w:rsid w:val="00B147ED"/>
    <w:rsid w:val="00B149E8"/>
    <w:rsid w:val="00B210C1"/>
    <w:rsid w:val="00B21BE4"/>
    <w:rsid w:val="00B24A07"/>
    <w:rsid w:val="00B25F82"/>
    <w:rsid w:val="00B3067B"/>
    <w:rsid w:val="00B30EE0"/>
    <w:rsid w:val="00B37659"/>
    <w:rsid w:val="00B42851"/>
    <w:rsid w:val="00B451D4"/>
    <w:rsid w:val="00B469F8"/>
    <w:rsid w:val="00B50DB8"/>
    <w:rsid w:val="00B51592"/>
    <w:rsid w:val="00B515B1"/>
    <w:rsid w:val="00B526D8"/>
    <w:rsid w:val="00B534D3"/>
    <w:rsid w:val="00B53905"/>
    <w:rsid w:val="00B54B5B"/>
    <w:rsid w:val="00B5562E"/>
    <w:rsid w:val="00B56384"/>
    <w:rsid w:val="00B56D99"/>
    <w:rsid w:val="00B57000"/>
    <w:rsid w:val="00B57964"/>
    <w:rsid w:val="00B6015E"/>
    <w:rsid w:val="00B60179"/>
    <w:rsid w:val="00B60939"/>
    <w:rsid w:val="00B60AFD"/>
    <w:rsid w:val="00B61EB8"/>
    <w:rsid w:val="00B62042"/>
    <w:rsid w:val="00B62715"/>
    <w:rsid w:val="00B64706"/>
    <w:rsid w:val="00B70682"/>
    <w:rsid w:val="00B70A55"/>
    <w:rsid w:val="00B7189C"/>
    <w:rsid w:val="00B7653B"/>
    <w:rsid w:val="00B80B54"/>
    <w:rsid w:val="00B818A4"/>
    <w:rsid w:val="00B82395"/>
    <w:rsid w:val="00B84354"/>
    <w:rsid w:val="00B8649C"/>
    <w:rsid w:val="00B9147F"/>
    <w:rsid w:val="00B92C79"/>
    <w:rsid w:val="00B92D0B"/>
    <w:rsid w:val="00B92EB9"/>
    <w:rsid w:val="00B94945"/>
    <w:rsid w:val="00BA0A7D"/>
    <w:rsid w:val="00BA142D"/>
    <w:rsid w:val="00BA14E9"/>
    <w:rsid w:val="00BA3064"/>
    <w:rsid w:val="00BA4DAE"/>
    <w:rsid w:val="00BA5A74"/>
    <w:rsid w:val="00BA6F70"/>
    <w:rsid w:val="00BB076C"/>
    <w:rsid w:val="00BB18C0"/>
    <w:rsid w:val="00BB3F1D"/>
    <w:rsid w:val="00BB45FB"/>
    <w:rsid w:val="00BB7405"/>
    <w:rsid w:val="00BC3E13"/>
    <w:rsid w:val="00BC59B8"/>
    <w:rsid w:val="00BC612A"/>
    <w:rsid w:val="00BC7D5D"/>
    <w:rsid w:val="00BD029E"/>
    <w:rsid w:val="00BD2796"/>
    <w:rsid w:val="00BD2CDB"/>
    <w:rsid w:val="00BD4941"/>
    <w:rsid w:val="00BD50D1"/>
    <w:rsid w:val="00BD611F"/>
    <w:rsid w:val="00BD6CF3"/>
    <w:rsid w:val="00BE0C64"/>
    <w:rsid w:val="00BE2180"/>
    <w:rsid w:val="00BE33A2"/>
    <w:rsid w:val="00BE423B"/>
    <w:rsid w:val="00BE4275"/>
    <w:rsid w:val="00BE59F8"/>
    <w:rsid w:val="00BE60A9"/>
    <w:rsid w:val="00BE681F"/>
    <w:rsid w:val="00BF00AB"/>
    <w:rsid w:val="00BF0615"/>
    <w:rsid w:val="00BF1F62"/>
    <w:rsid w:val="00BF2433"/>
    <w:rsid w:val="00BF547B"/>
    <w:rsid w:val="00BF61C9"/>
    <w:rsid w:val="00BF65C4"/>
    <w:rsid w:val="00C000B6"/>
    <w:rsid w:val="00C02126"/>
    <w:rsid w:val="00C07E83"/>
    <w:rsid w:val="00C10745"/>
    <w:rsid w:val="00C13161"/>
    <w:rsid w:val="00C13489"/>
    <w:rsid w:val="00C16AAB"/>
    <w:rsid w:val="00C21FE4"/>
    <w:rsid w:val="00C25418"/>
    <w:rsid w:val="00C255A6"/>
    <w:rsid w:val="00C25D9C"/>
    <w:rsid w:val="00C275F2"/>
    <w:rsid w:val="00C31649"/>
    <w:rsid w:val="00C31A9A"/>
    <w:rsid w:val="00C31B93"/>
    <w:rsid w:val="00C354B2"/>
    <w:rsid w:val="00C36982"/>
    <w:rsid w:val="00C40385"/>
    <w:rsid w:val="00C40CF2"/>
    <w:rsid w:val="00C44D81"/>
    <w:rsid w:val="00C460A8"/>
    <w:rsid w:val="00C47031"/>
    <w:rsid w:val="00C526CF"/>
    <w:rsid w:val="00C55395"/>
    <w:rsid w:val="00C56786"/>
    <w:rsid w:val="00C57ED7"/>
    <w:rsid w:val="00C600FA"/>
    <w:rsid w:val="00C60BC1"/>
    <w:rsid w:val="00C61622"/>
    <w:rsid w:val="00C63607"/>
    <w:rsid w:val="00C63B21"/>
    <w:rsid w:val="00C6535E"/>
    <w:rsid w:val="00C65576"/>
    <w:rsid w:val="00C66165"/>
    <w:rsid w:val="00C66499"/>
    <w:rsid w:val="00C67616"/>
    <w:rsid w:val="00C71105"/>
    <w:rsid w:val="00C72D89"/>
    <w:rsid w:val="00C750C8"/>
    <w:rsid w:val="00C758BD"/>
    <w:rsid w:val="00C763A1"/>
    <w:rsid w:val="00C7708A"/>
    <w:rsid w:val="00C77D5B"/>
    <w:rsid w:val="00C803CD"/>
    <w:rsid w:val="00C80D4D"/>
    <w:rsid w:val="00C81C96"/>
    <w:rsid w:val="00C8213F"/>
    <w:rsid w:val="00C83035"/>
    <w:rsid w:val="00C8797A"/>
    <w:rsid w:val="00C87AAC"/>
    <w:rsid w:val="00C90C64"/>
    <w:rsid w:val="00C90DCD"/>
    <w:rsid w:val="00C938CF"/>
    <w:rsid w:val="00C93FC8"/>
    <w:rsid w:val="00C95C70"/>
    <w:rsid w:val="00C95FFF"/>
    <w:rsid w:val="00C967C8"/>
    <w:rsid w:val="00C9741A"/>
    <w:rsid w:val="00CA02D5"/>
    <w:rsid w:val="00CA2083"/>
    <w:rsid w:val="00CA5245"/>
    <w:rsid w:val="00CA6EDB"/>
    <w:rsid w:val="00CA79B9"/>
    <w:rsid w:val="00CA7B09"/>
    <w:rsid w:val="00CB0C0E"/>
    <w:rsid w:val="00CB171D"/>
    <w:rsid w:val="00CB22DE"/>
    <w:rsid w:val="00CB5B1A"/>
    <w:rsid w:val="00CB5D0C"/>
    <w:rsid w:val="00CB6C9A"/>
    <w:rsid w:val="00CC44A9"/>
    <w:rsid w:val="00CC4C29"/>
    <w:rsid w:val="00CC4CB3"/>
    <w:rsid w:val="00CC57A9"/>
    <w:rsid w:val="00CD0BF2"/>
    <w:rsid w:val="00CD112C"/>
    <w:rsid w:val="00CD2514"/>
    <w:rsid w:val="00CD2CBA"/>
    <w:rsid w:val="00CD30FB"/>
    <w:rsid w:val="00CD6ADC"/>
    <w:rsid w:val="00CE0E8A"/>
    <w:rsid w:val="00CE131F"/>
    <w:rsid w:val="00CE6274"/>
    <w:rsid w:val="00CE7A62"/>
    <w:rsid w:val="00CF37BA"/>
    <w:rsid w:val="00CF415E"/>
    <w:rsid w:val="00CF456B"/>
    <w:rsid w:val="00CF461F"/>
    <w:rsid w:val="00CF5A22"/>
    <w:rsid w:val="00D0041F"/>
    <w:rsid w:val="00D00F23"/>
    <w:rsid w:val="00D011D1"/>
    <w:rsid w:val="00D01497"/>
    <w:rsid w:val="00D0262E"/>
    <w:rsid w:val="00D073C6"/>
    <w:rsid w:val="00D110BD"/>
    <w:rsid w:val="00D13F19"/>
    <w:rsid w:val="00D171D1"/>
    <w:rsid w:val="00D1798A"/>
    <w:rsid w:val="00D17D6C"/>
    <w:rsid w:val="00D17EFA"/>
    <w:rsid w:val="00D20068"/>
    <w:rsid w:val="00D24508"/>
    <w:rsid w:val="00D24709"/>
    <w:rsid w:val="00D2563B"/>
    <w:rsid w:val="00D25E8D"/>
    <w:rsid w:val="00D27DF2"/>
    <w:rsid w:val="00D313E7"/>
    <w:rsid w:val="00D31853"/>
    <w:rsid w:val="00D3407A"/>
    <w:rsid w:val="00D3437E"/>
    <w:rsid w:val="00D34844"/>
    <w:rsid w:val="00D357FF"/>
    <w:rsid w:val="00D3777B"/>
    <w:rsid w:val="00D40179"/>
    <w:rsid w:val="00D422D0"/>
    <w:rsid w:val="00D42B33"/>
    <w:rsid w:val="00D50C38"/>
    <w:rsid w:val="00D52BAD"/>
    <w:rsid w:val="00D54083"/>
    <w:rsid w:val="00D573A8"/>
    <w:rsid w:val="00D60E9B"/>
    <w:rsid w:val="00D629BB"/>
    <w:rsid w:val="00D64C0C"/>
    <w:rsid w:val="00D64FD1"/>
    <w:rsid w:val="00D661FC"/>
    <w:rsid w:val="00D66250"/>
    <w:rsid w:val="00D66D65"/>
    <w:rsid w:val="00D71ADC"/>
    <w:rsid w:val="00D7294B"/>
    <w:rsid w:val="00D72B7E"/>
    <w:rsid w:val="00D73021"/>
    <w:rsid w:val="00D74743"/>
    <w:rsid w:val="00D74EF6"/>
    <w:rsid w:val="00D76A44"/>
    <w:rsid w:val="00D801AF"/>
    <w:rsid w:val="00D826DF"/>
    <w:rsid w:val="00D86DBF"/>
    <w:rsid w:val="00D915EA"/>
    <w:rsid w:val="00D93753"/>
    <w:rsid w:val="00D940F6"/>
    <w:rsid w:val="00D94EE3"/>
    <w:rsid w:val="00D97E30"/>
    <w:rsid w:val="00DA1A4D"/>
    <w:rsid w:val="00DA51A7"/>
    <w:rsid w:val="00DA54F5"/>
    <w:rsid w:val="00DA5925"/>
    <w:rsid w:val="00DA6BB5"/>
    <w:rsid w:val="00DA6FCE"/>
    <w:rsid w:val="00DA77A5"/>
    <w:rsid w:val="00DB05B6"/>
    <w:rsid w:val="00DB30F0"/>
    <w:rsid w:val="00DB40BC"/>
    <w:rsid w:val="00DB4A79"/>
    <w:rsid w:val="00DB4CBA"/>
    <w:rsid w:val="00DB58CF"/>
    <w:rsid w:val="00DB7C91"/>
    <w:rsid w:val="00DC1262"/>
    <w:rsid w:val="00DC1AB9"/>
    <w:rsid w:val="00DC20CE"/>
    <w:rsid w:val="00DC3083"/>
    <w:rsid w:val="00DC5501"/>
    <w:rsid w:val="00DC7055"/>
    <w:rsid w:val="00DD157C"/>
    <w:rsid w:val="00DD1F17"/>
    <w:rsid w:val="00DD38C5"/>
    <w:rsid w:val="00DD3B9B"/>
    <w:rsid w:val="00DD3F28"/>
    <w:rsid w:val="00DD4537"/>
    <w:rsid w:val="00DD4BCC"/>
    <w:rsid w:val="00DD4E15"/>
    <w:rsid w:val="00DD739E"/>
    <w:rsid w:val="00DE122A"/>
    <w:rsid w:val="00DE4FCB"/>
    <w:rsid w:val="00DE60F5"/>
    <w:rsid w:val="00DF5CE0"/>
    <w:rsid w:val="00DF5D2B"/>
    <w:rsid w:val="00DF7E27"/>
    <w:rsid w:val="00E01411"/>
    <w:rsid w:val="00E04768"/>
    <w:rsid w:val="00E10149"/>
    <w:rsid w:val="00E103D2"/>
    <w:rsid w:val="00E104EE"/>
    <w:rsid w:val="00E16372"/>
    <w:rsid w:val="00E16513"/>
    <w:rsid w:val="00E20ED6"/>
    <w:rsid w:val="00E21358"/>
    <w:rsid w:val="00E2249B"/>
    <w:rsid w:val="00E22A0D"/>
    <w:rsid w:val="00E24E95"/>
    <w:rsid w:val="00E259CE"/>
    <w:rsid w:val="00E2771E"/>
    <w:rsid w:val="00E31CA3"/>
    <w:rsid w:val="00E32384"/>
    <w:rsid w:val="00E33A7C"/>
    <w:rsid w:val="00E3439C"/>
    <w:rsid w:val="00E3629F"/>
    <w:rsid w:val="00E37569"/>
    <w:rsid w:val="00E41E30"/>
    <w:rsid w:val="00E41E64"/>
    <w:rsid w:val="00E423FE"/>
    <w:rsid w:val="00E424C0"/>
    <w:rsid w:val="00E42697"/>
    <w:rsid w:val="00E43D70"/>
    <w:rsid w:val="00E43F33"/>
    <w:rsid w:val="00E45457"/>
    <w:rsid w:val="00E46322"/>
    <w:rsid w:val="00E47B2C"/>
    <w:rsid w:val="00E51560"/>
    <w:rsid w:val="00E55424"/>
    <w:rsid w:val="00E55BB5"/>
    <w:rsid w:val="00E65E36"/>
    <w:rsid w:val="00E65E79"/>
    <w:rsid w:val="00E67416"/>
    <w:rsid w:val="00E704AE"/>
    <w:rsid w:val="00E717B1"/>
    <w:rsid w:val="00E718B6"/>
    <w:rsid w:val="00E73143"/>
    <w:rsid w:val="00E73581"/>
    <w:rsid w:val="00E7761C"/>
    <w:rsid w:val="00E83BDF"/>
    <w:rsid w:val="00E8566E"/>
    <w:rsid w:val="00E85EAF"/>
    <w:rsid w:val="00E86D68"/>
    <w:rsid w:val="00E91481"/>
    <w:rsid w:val="00E917D1"/>
    <w:rsid w:val="00E91F5A"/>
    <w:rsid w:val="00E921D0"/>
    <w:rsid w:val="00E927D3"/>
    <w:rsid w:val="00E92F64"/>
    <w:rsid w:val="00E9400F"/>
    <w:rsid w:val="00E9442B"/>
    <w:rsid w:val="00E9515B"/>
    <w:rsid w:val="00E963A1"/>
    <w:rsid w:val="00E96423"/>
    <w:rsid w:val="00E96479"/>
    <w:rsid w:val="00EA0844"/>
    <w:rsid w:val="00EA3864"/>
    <w:rsid w:val="00EA5E7D"/>
    <w:rsid w:val="00EA605A"/>
    <w:rsid w:val="00EA61B5"/>
    <w:rsid w:val="00EB13A5"/>
    <w:rsid w:val="00EB15B6"/>
    <w:rsid w:val="00EB2B92"/>
    <w:rsid w:val="00EB3383"/>
    <w:rsid w:val="00EB4916"/>
    <w:rsid w:val="00EB6186"/>
    <w:rsid w:val="00EB6D63"/>
    <w:rsid w:val="00EB72D2"/>
    <w:rsid w:val="00EB78A9"/>
    <w:rsid w:val="00EC00C9"/>
    <w:rsid w:val="00EC0E6B"/>
    <w:rsid w:val="00EC1BC9"/>
    <w:rsid w:val="00EC5E4D"/>
    <w:rsid w:val="00EC6CBA"/>
    <w:rsid w:val="00EC776B"/>
    <w:rsid w:val="00EC7879"/>
    <w:rsid w:val="00ED4BE7"/>
    <w:rsid w:val="00ED4ECD"/>
    <w:rsid w:val="00ED4EF6"/>
    <w:rsid w:val="00ED6421"/>
    <w:rsid w:val="00EE01BF"/>
    <w:rsid w:val="00EE07D3"/>
    <w:rsid w:val="00EE0993"/>
    <w:rsid w:val="00EE0CDC"/>
    <w:rsid w:val="00EE3536"/>
    <w:rsid w:val="00EE434D"/>
    <w:rsid w:val="00EE6BA2"/>
    <w:rsid w:val="00EF126A"/>
    <w:rsid w:val="00EF1AE6"/>
    <w:rsid w:val="00EF1C4C"/>
    <w:rsid w:val="00EF2D9F"/>
    <w:rsid w:val="00EF3206"/>
    <w:rsid w:val="00EF34EC"/>
    <w:rsid w:val="00EF39AD"/>
    <w:rsid w:val="00EF42C5"/>
    <w:rsid w:val="00EF4A2B"/>
    <w:rsid w:val="00EF6A93"/>
    <w:rsid w:val="00EF7031"/>
    <w:rsid w:val="00F017B8"/>
    <w:rsid w:val="00F03801"/>
    <w:rsid w:val="00F04A45"/>
    <w:rsid w:val="00F04FB9"/>
    <w:rsid w:val="00F067A2"/>
    <w:rsid w:val="00F11E4A"/>
    <w:rsid w:val="00F1718F"/>
    <w:rsid w:val="00F23BA2"/>
    <w:rsid w:val="00F24837"/>
    <w:rsid w:val="00F25045"/>
    <w:rsid w:val="00F2575F"/>
    <w:rsid w:val="00F26BBB"/>
    <w:rsid w:val="00F272FB"/>
    <w:rsid w:val="00F27A62"/>
    <w:rsid w:val="00F27AB3"/>
    <w:rsid w:val="00F27C9D"/>
    <w:rsid w:val="00F31B3A"/>
    <w:rsid w:val="00F3386F"/>
    <w:rsid w:val="00F33DE9"/>
    <w:rsid w:val="00F34AC8"/>
    <w:rsid w:val="00F34D7B"/>
    <w:rsid w:val="00F35175"/>
    <w:rsid w:val="00F358E5"/>
    <w:rsid w:val="00F35E55"/>
    <w:rsid w:val="00F3619A"/>
    <w:rsid w:val="00F36C1D"/>
    <w:rsid w:val="00F3767F"/>
    <w:rsid w:val="00F40011"/>
    <w:rsid w:val="00F412CC"/>
    <w:rsid w:val="00F45026"/>
    <w:rsid w:val="00F469E7"/>
    <w:rsid w:val="00F46CB6"/>
    <w:rsid w:val="00F47DFF"/>
    <w:rsid w:val="00F51BBE"/>
    <w:rsid w:val="00F546A9"/>
    <w:rsid w:val="00F548E0"/>
    <w:rsid w:val="00F55E73"/>
    <w:rsid w:val="00F5710A"/>
    <w:rsid w:val="00F578FC"/>
    <w:rsid w:val="00F60092"/>
    <w:rsid w:val="00F6635C"/>
    <w:rsid w:val="00F70349"/>
    <w:rsid w:val="00F71B77"/>
    <w:rsid w:val="00F72182"/>
    <w:rsid w:val="00F72665"/>
    <w:rsid w:val="00F73F34"/>
    <w:rsid w:val="00F746DA"/>
    <w:rsid w:val="00F7780E"/>
    <w:rsid w:val="00F80E5D"/>
    <w:rsid w:val="00F80FDE"/>
    <w:rsid w:val="00F83619"/>
    <w:rsid w:val="00F8416E"/>
    <w:rsid w:val="00F851CE"/>
    <w:rsid w:val="00F9004D"/>
    <w:rsid w:val="00F9220B"/>
    <w:rsid w:val="00F92F46"/>
    <w:rsid w:val="00F95835"/>
    <w:rsid w:val="00F97A78"/>
    <w:rsid w:val="00FA24E7"/>
    <w:rsid w:val="00FA2819"/>
    <w:rsid w:val="00FA42C0"/>
    <w:rsid w:val="00FB1889"/>
    <w:rsid w:val="00FB23D7"/>
    <w:rsid w:val="00FB2B26"/>
    <w:rsid w:val="00FB2FCB"/>
    <w:rsid w:val="00FB383D"/>
    <w:rsid w:val="00FB6161"/>
    <w:rsid w:val="00FB7378"/>
    <w:rsid w:val="00FC1074"/>
    <w:rsid w:val="00FC1884"/>
    <w:rsid w:val="00FC1ED1"/>
    <w:rsid w:val="00FC346C"/>
    <w:rsid w:val="00FC3699"/>
    <w:rsid w:val="00FC4F85"/>
    <w:rsid w:val="00FC6629"/>
    <w:rsid w:val="00FC78BA"/>
    <w:rsid w:val="00FC7D0B"/>
    <w:rsid w:val="00FD0AD9"/>
    <w:rsid w:val="00FD0D39"/>
    <w:rsid w:val="00FD12C2"/>
    <w:rsid w:val="00FD2100"/>
    <w:rsid w:val="00FD2F1C"/>
    <w:rsid w:val="00FD446D"/>
    <w:rsid w:val="00FD47FA"/>
    <w:rsid w:val="00FD59B2"/>
    <w:rsid w:val="00FD7711"/>
    <w:rsid w:val="00FD7937"/>
    <w:rsid w:val="00FF2613"/>
    <w:rsid w:val="00FF3DCF"/>
    <w:rsid w:val="00FF5AA3"/>
    <w:rsid w:val="00FF5F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7" w:qFormat="1"/>
    <w:lsdException w:name="annotation reference" w:uiPriority="9"/>
    <w:lsdException w:name="List Number" w:semiHidden="0" w:uiPriority="9" w:unhideWhenUsed="0"/>
    <w:lsdException w:name="List 4" w:semiHidden="0" w:uiPriority="9" w:unhideWhenUsed="0"/>
    <w:lsdException w:name="List 5" w:semiHidden="0" w:uiPriority="9" w:unhideWhenUsed="0"/>
    <w:lsdException w:name="List Bullet 2" w:uiPriority="99"/>
    <w:lsdException w:name="Title" w:semiHidden="0" w:uiPriority="7" w:unhideWhenUsed="0"/>
    <w:lsdException w:name="Body Text" w:qFormat="1"/>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PBACHeading1"/>
    <w:next w:val="Normal"/>
    <w:uiPriority w:val="1"/>
    <w:qFormat/>
    <w:rsid w:val="00133A1A"/>
    <w:pPr>
      <w:outlineLvl w:val="0"/>
    </w:p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
    <w:basedOn w:val="Normal"/>
    <w:next w:val="TableHeader"/>
    <w:link w:val="CaptionChar"/>
    <w:uiPriority w:val="7"/>
    <w:unhideWhenUsed/>
    <w:qFormat/>
    <w:rsid w:val="005C7F65"/>
    <w:rPr>
      <w:rFonts w:ascii="Arial Narrow" w:hAnsi="Arial Narrow"/>
      <w:b/>
      <w:bCs/>
      <w:sz w:val="20"/>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7"/>
    <w:rsid w:val="005C7F65"/>
    <w:rPr>
      <w:rFonts w:ascii="Arial Narrow" w:hAnsi="Arial Narrow" w:cs="Arial"/>
      <w:b/>
      <w:bCs/>
      <w:snapToGrid w:val="0"/>
      <w:szCs w:val="18"/>
      <w:lang w:eastAsia="en-US"/>
    </w:rPr>
  </w:style>
  <w:style w:type="paragraph" w:styleId="Title">
    <w:name w:val="Title"/>
    <w:next w:val="Normal"/>
    <w:link w:val="TitleChar"/>
    <w:uiPriority w:val="7"/>
    <w:rsid w:val="00133A1A"/>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uiPriority w:val="7"/>
    <w:rsid w:val="00133A1A"/>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aliases w:val="Page Footer"/>
    <w:basedOn w:val="Normal"/>
    <w:link w:val="FooterChar"/>
    <w:uiPriority w:val="99"/>
    <w:rsid w:val="00124A51"/>
    <w:pPr>
      <w:tabs>
        <w:tab w:val="center" w:pos="4513"/>
        <w:tab w:val="right" w:pos="9026"/>
      </w:tabs>
    </w:pPr>
  </w:style>
  <w:style w:type="character" w:customStyle="1" w:styleId="FooterChar">
    <w:name w:val="Footer Char"/>
    <w:aliases w:val="Page 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
    <w:rsid w:val="005C7F65"/>
    <w:rPr>
      <w:rFonts w:ascii="Arial Narrow" w:hAnsi="Arial Narrow"/>
      <w:b/>
      <w:sz w:val="20"/>
      <w:szCs w:val="16"/>
    </w:rPr>
  </w:style>
  <w:style w:type="paragraph" w:customStyle="1" w:styleId="Tabletext">
    <w:name w:val="Table text"/>
    <w:basedOn w:val="Normal"/>
    <w:link w:val="TabletextChar"/>
    <w:uiPriority w:val="99"/>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99"/>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styleId="FootnoteText">
    <w:name w:val="footnote text"/>
    <w:basedOn w:val="Normal"/>
    <w:link w:val="FootnoteTextChar"/>
    <w:semiHidden/>
    <w:unhideWhenUsed/>
    <w:rsid w:val="00BA5A74"/>
    <w:rPr>
      <w:sz w:val="20"/>
    </w:rPr>
  </w:style>
  <w:style w:type="character" w:customStyle="1" w:styleId="FootnoteTextChar">
    <w:name w:val="Footnote Text Char"/>
    <w:basedOn w:val="DefaultParagraphFont"/>
    <w:link w:val="FootnoteText"/>
    <w:semiHidden/>
    <w:rsid w:val="00BA5A74"/>
    <w:rPr>
      <w:rFonts w:ascii="Arial" w:hAnsi="Arial" w:cs="Arial"/>
      <w:snapToGrid w:val="0"/>
      <w:lang w:eastAsia="en-US"/>
    </w:rPr>
  </w:style>
  <w:style w:type="character" w:styleId="FootnoteReference">
    <w:name w:val="footnote reference"/>
    <w:basedOn w:val="DefaultParagraphFont"/>
    <w:semiHidden/>
    <w:unhideWhenUsed/>
    <w:rsid w:val="00BA5A74"/>
    <w:rPr>
      <w:vertAlign w:val="superscript"/>
    </w:rPr>
  </w:style>
  <w:style w:type="paragraph" w:customStyle="1" w:styleId="BMSBodyText">
    <w:name w:val="BMS Body Text"/>
    <w:link w:val="BMSBodyTextChar"/>
    <w:qFormat/>
    <w:rsid w:val="00BA5A74"/>
    <w:pPr>
      <w:spacing w:after="200" w:line="360" w:lineRule="auto"/>
    </w:pPr>
    <w:rPr>
      <w:rFonts w:ascii="Arial" w:hAnsi="Arial"/>
      <w:color w:val="000000"/>
      <w:sz w:val="22"/>
      <w:szCs w:val="24"/>
      <w:lang w:val="en-US" w:eastAsia="en-US"/>
    </w:rPr>
  </w:style>
  <w:style w:type="character" w:customStyle="1" w:styleId="BMSBodyTextChar">
    <w:name w:val="BMS Body Text Char"/>
    <w:basedOn w:val="DefaultParagraphFont"/>
    <w:link w:val="BMSBodyText"/>
    <w:locked/>
    <w:rsid w:val="00BA5A74"/>
    <w:rPr>
      <w:rFonts w:ascii="Arial" w:hAnsi="Arial"/>
      <w:color w:val="000000"/>
      <w:sz w:val="22"/>
      <w:szCs w:val="24"/>
      <w:lang w:val="en-US" w:eastAsia="en-US"/>
    </w:rPr>
  </w:style>
  <w:style w:type="character" w:customStyle="1" w:styleId="underline0">
    <w:name w:val="underline0"/>
    <w:basedOn w:val="DefaultParagraphFont"/>
    <w:rsid w:val="0095120D"/>
  </w:style>
  <w:style w:type="character" w:customStyle="1" w:styleId="ListParagraphChar">
    <w:name w:val="List Paragraph Char"/>
    <w:aliases w:val="BulletPoints Char"/>
    <w:link w:val="ListParagraph"/>
    <w:uiPriority w:val="34"/>
    <w:rsid w:val="0095120D"/>
    <w:rPr>
      <w:rFonts w:ascii="Arial" w:hAnsi="Arial" w:cs="Arial"/>
      <w:snapToGrid w:val="0"/>
      <w:sz w:val="22"/>
      <w:lang w:eastAsia="en-US"/>
    </w:rPr>
  </w:style>
  <w:style w:type="paragraph" w:customStyle="1" w:styleId="Default">
    <w:name w:val="Default"/>
    <w:rsid w:val="0046156D"/>
    <w:pPr>
      <w:autoSpaceDE w:val="0"/>
      <w:autoSpaceDN w:val="0"/>
      <w:adjustRightInd w:val="0"/>
    </w:pPr>
    <w:rPr>
      <w:rFonts w:eastAsiaTheme="minorHAnsi"/>
      <w:color w:val="000000"/>
      <w:sz w:val="24"/>
      <w:szCs w:val="24"/>
      <w:lang w:eastAsia="en-US"/>
    </w:rPr>
  </w:style>
  <w:style w:type="character" w:customStyle="1" w:styleId="StyleArial11pt">
    <w:name w:val="Style Arial 11 pt"/>
    <w:basedOn w:val="DefaultParagraphFont"/>
    <w:rsid w:val="006164F9"/>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B2572"/>
    <w:pPr>
      <w:widowControl/>
      <w:spacing w:after="160" w:line="240" w:lineRule="exact"/>
      <w:jc w:val="left"/>
    </w:pPr>
    <w:rPr>
      <w:rFonts w:ascii="Verdana" w:eastAsia="MS Mincho" w:hAnsi="Verdana" w:cs="Verdana"/>
      <w:snapToGrid/>
      <w:sz w:val="20"/>
      <w:lang w:val="en-US"/>
    </w:rPr>
  </w:style>
  <w:style w:type="table" w:customStyle="1" w:styleId="TableGridbeth1">
    <w:name w:val="Table Gridbeth1"/>
    <w:basedOn w:val="TableNormal"/>
    <w:next w:val="TableGrid"/>
    <w:uiPriority w:val="59"/>
    <w:rsid w:val="00772CE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uiPriority w:val="99"/>
    <w:qFormat/>
    <w:rsid w:val="00F45026"/>
    <w:pPr>
      <w:widowControl/>
      <w:spacing w:after="240" w:line="360" w:lineRule="auto"/>
      <w:jc w:val="left"/>
    </w:pPr>
    <w:rPr>
      <w:rFonts w:cs="Times New Roman"/>
      <w:snapToGrid/>
    </w:rPr>
  </w:style>
  <w:style w:type="character" w:customStyle="1" w:styleId="BodytextChar0">
    <w:name w:val="Body text Char"/>
    <w:link w:val="BodyText1"/>
    <w:locked/>
    <w:rsid w:val="00F45026"/>
    <w:rPr>
      <w:rFonts w:ascii="Arial" w:hAnsi="Arial"/>
      <w:sz w:val="22"/>
      <w:lang w:eastAsia="en-US"/>
    </w:rPr>
  </w:style>
  <w:style w:type="paragraph" w:customStyle="1" w:styleId="TableNotes">
    <w:name w:val="Table Notes"/>
    <w:basedOn w:val="Normal"/>
    <w:next w:val="Normal"/>
    <w:link w:val="TableNotesChar"/>
    <w:uiPriority w:val="99"/>
    <w:qFormat/>
    <w:rsid w:val="007F64C8"/>
    <w:pPr>
      <w:keepLines/>
      <w:widowControl/>
      <w:spacing w:after="360"/>
      <w:contextualSpacing/>
      <w:jc w:val="left"/>
    </w:pPr>
    <w:rPr>
      <w:rFonts w:cs="Times New Roman"/>
      <w:snapToGrid/>
      <w:sz w:val="16"/>
      <w:szCs w:val="16"/>
      <w:lang w:eastAsia="en-AU"/>
    </w:rPr>
  </w:style>
  <w:style w:type="character" w:customStyle="1" w:styleId="TableNotesChar">
    <w:name w:val="Table Notes Char"/>
    <w:link w:val="TableNotes"/>
    <w:uiPriority w:val="99"/>
    <w:rsid w:val="007F64C8"/>
    <w:rPr>
      <w:rFonts w:ascii="Arial" w:hAnsi="Arial"/>
      <w:sz w:val="16"/>
      <w:szCs w:val="16"/>
    </w:rPr>
  </w:style>
  <w:style w:type="character" w:customStyle="1" w:styleId="TableTextChar0">
    <w:name w:val="TableText Char"/>
    <w:link w:val="TableText0"/>
    <w:uiPriority w:val="99"/>
    <w:rsid w:val="007F64C8"/>
    <w:rPr>
      <w:rFonts w:ascii="Arial Narrow" w:hAnsi="Arial Narrow" w:cs="Arial Narrow"/>
      <w:lang w:eastAsia="en-US"/>
    </w:rPr>
  </w:style>
  <w:style w:type="paragraph" w:customStyle="1" w:styleId="TableText1">
    <w:name w:val="Table Text"/>
    <w:basedOn w:val="Normal"/>
    <w:link w:val="TableTextChar1"/>
    <w:qFormat/>
    <w:rsid w:val="004F2D44"/>
    <w:pPr>
      <w:keepNext/>
      <w:keepLines/>
      <w:widowControl/>
      <w:spacing w:before="60" w:after="40"/>
    </w:pPr>
    <w:rPr>
      <w:rFonts w:ascii="Arial Narrow" w:hAnsi="Arial Narrow" w:cs="Times New Roman"/>
      <w:snapToGrid/>
      <w:sz w:val="20"/>
      <w:lang w:eastAsia="en-AU"/>
    </w:rPr>
  </w:style>
  <w:style w:type="character" w:customStyle="1" w:styleId="TableTextChar1">
    <w:name w:val="Table Text Char"/>
    <w:link w:val="TableText1"/>
    <w:locked/>
    <w:rsid w:val="004F2D44"/>
    <w:rPr>
      <w:rFonts w:ascii="Arial Narrow" w:hAnsi="Arial Narrow"/>
    </w:rPr>
  </w:style>
  <w:style w:type="character" w:styleId="FollowedHyperlink">
    <w:name w:val="FollowedHyperlink"/>
    <w:basedOn w:val="DefaultParagraphFont"/>
    <w:semiHidden/>
    <w:unhideWhenUsed/>
    <w:rsid w:val="00972E79"/>
    <w:rPr>
      <w:color w:val="800080" w:themeColor="followedHyperlink"/>
      <w:u w:val="single"/>
    </w:rPr>
  </w:style>
  <w:style w:type="table" w:customStyle="1" w:styleId="Summarybox251">
    <w:name w:val="Summary box251"/>
    <w:basedOn w:val="TableNormal"/>
    <w:uiPriority w:val="59"/>
    <w:rsid w:val="00AB7A39"/>
    <w:pPr>
      <w:spacing w:before="20" w:after="20"/>
    </w:pPr>
    <w:rPr>
      <w:rFonts w:ascii="Garamond" w:hAnsi="Garamond"/>
      <w:sz w:val="18"/>
      <w:lang w:eastAsia="zh-CN"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line="360" w:lineRule="auto"/>
      </w:pPr>
      <w:rPr>
        <w:rFonts w:ascii="Garamond" w:hAnsi="Garamond" w:hint="default"/>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271">
    <w:name w:val="Summary box271"/>
    <w:basedOn w:val="TableNormal"/>
    <w:uiPriority w:val="59"/>
    <w:rsid w:val="00AB7A39"/>
    <w:pPr>
      <w:spacing w:before="20" w:after="20"/>
    </w:pPr>
    <w:rPr>
      <w:rFonts w:ascii="Garamond" w:hAnsi="Garamond"/>
      <w:sz w:val="18"/>
      <w:lang w:eastAsia="zh-CN"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line="360" w:lineRule="auto"/>
      </w:pPr>
      <w:rPr>
        <w:rFonts w:ascii="Garamond" w:hAnsi="Garamond" w:hint="default"/>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leGridbeth4">
    <w:name w:val="Table Gridbeth4"/>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1">
    <w:name w:val="Table Gridbeth41"/>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2">
    <w:name w:val="Table Gridbeth42"/>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3">
    <w:name w:val="Table Gridbeth43"/>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4">
    <w:name w:val="Table Gridbeth44"/>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5">
    <w:name w:val="Table Gridbeth45"/>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E7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uiPriority w:val="59"/>
    <w:rsid w:val="00AE7EC8"/>
    <w:pPr>
      <w:spacing w:before="80" w:after="80" w:line="288"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7">
    <w:name w:val="Table Gridbeth7"/>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8">
    <w:name w:val="Table Gridbeth8"/>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9">
    <w:name w:val="Table Gridbeth9"/>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0">
    <w:name w:val="Table Gridbeth10"/>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2">
    <w:name w:val="Table Gridbeth12"/>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3">
    <w:name w:val="Table Gridbeth13"/>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4">
    <w:name w:val="Table Gridbeth14"/>
    <w:basedOn w:val="TableNormal"/>
    <w:next w:val="TableGrid"/>
    <w:uiPriority w:val="59"/>
    <w:rsid w:val="00AE7EC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5">
    <w:name w:val="Table Gridbeth15"/>
    <w:basedOn w:val="TableNormal"/>
    <w:next w:val="TableGrid"/>
    <w:uiPriority w:val="59"/>
    <w:rsid w:val="00AE7EC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6">
    <w:name w:val="Table Gridbeth16"/>
    <w:basedOn w:val="TableNormal"/>
    <w:next w:val="TableGrid"/>
    <w:uiPriority w:val="59"/>
    <w:rsid w:val="00AE7EC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7">
    <w:name w:val="Table Gridbeth17"/>
    <w:basedOn w:val="TableNormal"/>
    <w:next w:val="TableGrid"/>
    <w:uiPriority w:val="59"/>
    <w:rsid w:val="00AE7EC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8">
    <w:name w:val="Table Gridbeth18"/>
    <w:basedOn w:val="TableNormal"/>
    <w:next w:val="TableGrid"/>
    <w:uiPriority w:val="59"/>
    <w:rsid w:val="00AE7EC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4A5B7E"/>
    <w:pPr>
      <w:widowControl/>
      <w:spacing w:before="40" w:after="40"/>
    </w:pPr>
    <w:rPr>
      <w:rFonts w:cs="Times New Roman"/>
      <w:snapToGrid/>
      <w:sz w:val="20"/>
      <w:lang w:eastAsia="en-AU"/>
    </w:rPr>
  </w:style>
  <w:style w:type="character" w:customStyle="1" w:styleId="TableChar">
    <w:name w:val="Table Char"/>
    <w:link w:val="Table"/>
    <w:rsid w:val="004A5B7E"/>
    <w:rPr>
      <w:rFonts w:ascii="Arial" w:hAnsi="Arial"/>
    </w:rPr>
  </w:style>
  <w:style w:type="paragraph" w:customStyle="1" w:styleId="EndNoteBibliographyTitle">
    <w:name w:val="EndNote Bibliography Title"/>
    <w:basedOn w:val="Normal"/>
    <w:link w:val="EndNoteBibliographyTitleChar"/>
    <w:rsid w:val="00874DA3"/>
    <w:pPr>
      <w:jc w:val="center"/>
    </w:pPr>
    <w:rPr>
      <w:noProof/>
      <w:lang w:val="en-US"/>
    </w:rPr>
  </w:style>
  <w:style w:type="character" w:customStyle="1" w:styleId="EndNoteBibliographyTitleChar">
    <w:name w:val="EndNote Bibliography Title Char"/>
    <w:basedOn w:val="DefaultParagraphFont"/>
    <w:link w:val="EndNoteBibliographyTitle"/>
    <w:rsid w:val="00874DA3"/>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874DA3"/>
    <w:rPr>
      <w:noProof/>
      <w:lang w:val="en-US"/>
    </w:rPr>
  </w:style>
  <w:style w:type="character" w:customStyle="1" w:styleId="EndNoteBibliographyChar">
    <w:name w:val="EndNote Bibliography Char"/>
    <w:basedOn w:val="DefaultParagraphFont"/>
    <w:link w:val="EndNoteBibliography"/>
    <w:rsid w:val="00874DA3"/>
    <w:rPr>
      <w:rFonts w:ascii="Arial" w:hAnsi="Arial" w:cs="Arial"/>
      <w:noProof/>
      <w:snapToGrid w:val="0"/>
      <w:sz w:val="22"/>
      <w:lang w:val="en-US" w:eastAsia="en-US"/>
    </w:rPr>
  </w:style>
  <w:style w:type="paragraph" w:styleId="ListBullet2">
    <w:name w:val="List Bullet 2"/>
    <w:basedOn w:val="Normal"/>
    <w:uiPriority w:val="99"/>
    <w:semiHidden/>
    <w:unhideWhenUsed/>
    <w:rsid w:val="00D86DBF"/>
    <w:pPr>
      <w:widowControl/>
      <w:numPr>
        <w:numId w:val="22"/>
      </w:numPr>
      <w:spacing w:after="200" w:line="276" w:lineRule="auto"/>
      <w:contextualSpacing/>
      <w:jc w:val="left"/>
    </w:pPr>
    <w:rPr>
      <w:rFonts w:ascii="Times New Roman" w:eastAsiaTheme="minorHAnsi" w:hAnsi="Times New Roman" w:cstheme="minorBidi"/>
      <w:snapToGrid/>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7" w:qFormat="1"/>
    <w:lsdException w:name="annotation reference" w:uiPriority="9"/>
    <w:lsdException w:name="List Number" w:semiHidden="0" w:uiPriority="9" w:unhideWhenUsed="0"/>
    <w:lsdException w:name="List 4" w:semiHidden="0" w:uiPriority="9" w:unhideWhenUsed="0"/>
    <w:lsdException w:name="List 5" w:semiHidden="0" w:uiPriority="9" w:unhideWhenUsed="0"/>
    <w:lsdException w:name="List Bullet 2" w:uiPriority="99"/>
    <w:lsdException w:name="Title" w:semiHidden="0" w:uiPriority="7" w:unhideWhenUsed="0"/>
    <w:lsdException w:name="Body Text" w:qFormat="1"/>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PBACHeading1"/>
    <w:next w:val="Normal"/>
    <w:uiPriority w:val="1"/>
    <w:qFormat/>
    <w:rsid w:val="00133A1A"/>
    <w:pPr>
      <w:outlineLvl w:val="0"/>
    </w:p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
    <w:basedOn w:val="Normal"/>
    <w:next w:val="TableHeader"/>
    <w:link w:val="CaptionChar"/>
    <w:uiPriority w:val="7"/>
    <w:unhideWhenUsed/>
    <w:qFormat/>
    <w:rsid w:val="005C7F65"/>
    <w:rPr>
      <w:rFonts w:ascii="Arial Narrow" w:hAnsi="Arial Narrow"/>
      <w:b/>
      <w:bCs/>
      <w:sz w:val="20"/>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7"/>
    <w:rsid w:val="005C7F65"/>
    <w:rPr>
      <w:rFonts w:ascii="Arial Narrow" w:hAnsi="Arial Narrow" w:cs="Arial"/>
      <w:b/>
      <w:bCs/>
      <w:snapToGrid w:val="0"/>
      <w:szCs w:val="18"/>
      <w:lang w:eastAsia="en-US"/>
    </w:rPr>
  </w:style>
  <w:style w:type="paragraph" w:styleId="Title">
    <w:name w:val="Title"/>
    <w:next w:val="Normal"/>
    <w:link w:val="TitleChar"/>
    <w:uiPriority w:val="7"/>
    <w:rsid w:val="00133A1A"/>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uiPriority w:val="7"/>
    <w:rsid w:val="00133A1A"/>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aliases w:val="Page Footer"/>
    <w:basedOn w:val="Normal"/>
    <w:link w:val="FooterChar"/>
    <w:uiPriority w:val="99"/>
    <w:rsid w:val="00124A51"/>
    <w:pPr>
      <w:tabs>
        <w:tab w:val="center" w:pos="4513"/>
        <w:tab w:val="right" w:pos="9026"/>
      </w:tabs>
    </w:pPr>
  </w:style>
  <w:style w:type="character" w:customStyle="1" w:styleId="FooterChar">
    <w:name w:val="Footer Char"/>
    <w:aliases w:val="Page 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
    <w:rsid w:val="005C7F65"/>
    <w:rPr>
      <w:rFonts w:ascii="Arial Narrow" w:hAnsi="Arial Narrow"/>
      <w:b/>
      <w:sz w:val="20"/>
      <w:szCs w:val="16"/>
    </w:rPr>
  </w:style>
  <w:style w:type="paragraph" w:customStyle="1" w:styleId="Tabletext">
    <w:name w:val="Table text"/>
    <w:basedOn w:val="Normal"/>
    <w:link w:val="TabletextChar"/>
    <w:uiPriority w:val="99"/>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99"/>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styleId="FootnoteText">
    <w:name w:val="footnote text"/>
    <w:basedOn w:val="Normal"/>
    <w:link w:val="FootnoteTextChar"/>
    <w:semiHidden/>
    <w:unhideWhenUsed/>
    <w:rsid w:val="00BA5A74"/>
    <w:rPr>
      <w:sz w:val="20"/>
    </w:rPr>
  </w:style>
  <w:style w:type="character" w:customStyle="1" w:styleId="FootnoteTextChar">
    <w:name w:val="Footnote Text Char"/>
    <w:basedOn w:val="DefaultParagraphFont"/>
    <w:link w:val="FootnoteText"/>
    <w:semiHidden/>
    <w:rsid w:val="00BA5A74"/>
    <w:rPr>
      <w:rFonts w:ascii="Arial" w:hAnsi="Arial" w:cs="Arial"/>
      <w:snapToGrid w:val="0"/>
      <w:lang w:eastAsia="en-US"/>
    </w:rPr>
  </w:style>
  <w:style w:type="character" w:styleId="FootnoteReference">
    <w:name w:val="footnote reference"/>
    <w:basedOn w:val="DefaultParagraphFont"/>
    <w:semiHidden/>
    <w:unhideWhenUsed/>
    <w:rsid w:val="00BA5A74"/>
    <w:rPr>
      <w:vertAlign w:val="superscript"/>
    </w:rPr>
  </w:style>
  <w:style w:type="paragraph" w:customStyle="1" w:styleId="BMSBodyText">
    <w:name w:val="BMS Body Text"/>
    <w:link w:val="BMSBodyTextChar"/>
    <w:qFormat/>
    <w:rsid w:val="00BA5A74"/>
    <w:pPr>
      <w:spacing w:after="200" w:line="360" w:lineRule="auto"/>
    </w:pPr>
    <w:rPr>
      <w:rFonts w:ascii="Arial" w:hAnsi="Arial"/>
      <w:color w:val="000000"/>
      <w:sz w:val="22"/>
      <w:szCs w:val="24"/>
      <w:lang w:val="en-US" w:eastAsia="en-US"/>
    </w:rPr>
  </w:style>
  <w:style w:type="character" w:customStyle="1" w:styleId="BMSBodyTextChar">
    <w:name w:val="BMS Body Text Char"/>
    <w:basedOn w:val="DefaultParagraphFont"/>
    <w:link w:val="BMSBodyText"/>
    <w:locked/>
    <w:rsid w:val="00BA5A74"/>
    <w:rPr>
      <w:rFonts w:ascii="Arial" w:hAnsi="Arial"/>
      <w:color w:val="000000"/>
      <w:sz w:val="22"/>
      <w:szCs w:val="24"/>
      <w:lang w:val="en-US" w:eastAsia="en-US"/>
    </w:rPr>
  </w:style>
  <w:style w:type="character" w:customStyle="1" w:styleId="underline0">
    <w:name w:val="underline0"/>
    <w:basedOn w:val="DefaultParagraphFont"/>
    <w:rsid w:val="0095120D"/>
  </w:style>
  <w:style w:type="character" w:customStyle="1" w:styleId="ListParagraphChar">
    <w:name w:val="List Paragraph Char"/>
    <w:aliases w:val="BulletPoints Char"/>
    <w:link w:val="ListParagraph"/>
    <w:uiPriority w:val="34"/>
    <w:rsid w:val="0095120D"/>
    <w:rPr>
      <w:rFonts w:ascii="Arial" w:hAnsi="Arial" w:cs="Arial"/>
      <w:snapToGrid w:val="0"/>
      <w:sz w:val="22"/>
      <w:lang w:eastAsia="en-US"/>
    </w:rPr>
  </w:style>
  <w:style w:type="paragraph" w:customStyle="1" w:styleId="Default">
    <w:name w:val="Default"/>
    <w:rsid w:val="0046156D"/>
    <w:pPr>
      <w:autoSpaceDE w:val="0"/>
      <w:autoSpaceDN w:val="0"/>
      <w:adjustRightInd w:val="0"/>
    </w:pPr>
    <w:rPr>
      <w:rFonts w:eastAsiaTheme="minorHAnsi"/>
      <w:color w:val="000000"/>
      <w:sz w:val="24"/>
      <w:szCs w:val="24"/>
      <w:lang w:eastAsia="en-US"/>
    </w:rPr>
  </w:style>
  <w:style w:type="character" w:customStyle="1" w:styleId="StyleArial11pt">
    <w:name w:val="Style Arial 11 pt"/>
    <w:basedOn w:val="DefaultParagraphFont"/>
    <w:rsid w:val="006164F9"/>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B2572"/>
    <w:pPr>
      <w:widowControl/>
      <w:spacing w:after="160" w:line="240" w:lineRule="exact"/>
      <w:jc w:val="left"/>
    </w:pPr>
    <w:rPr>
      <w:rFonts w:ascii="Verdana" w:eastAsia="MS Mincho" w:hAnsi="Verdana" w:cs="Verdana"/>
      <w:snapToGrid/>
      <w:sz w:val="20"/>
      <w:lang w:val="en-US"/>
    </w:rPr>
  </w:style>
  <w:style w:type="table" w:customStyle="1" w:styleId="TableGridbeth1">
    <w:name w:val="Table Gridbeth1"/>
    <w:basedOn w:val="TableNormal"/>
    <w:next w:val="TableGrid"/>
    <w:uiPriority w:val="59"/>
    <w:rsid w:val="00772CE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uiPriority w:val="99"/>
    <w:qFormat/>
    <w:rsid w:val="00F45026"/>
    <w:pPr>
      <w:widowControl/>
      <w:spacing w:after="240" w:line="360" w:lineRule="auto"/>
      <w:jc w:val="left"/>
    </w:pPr>
    <w:rPr>
      <w:rFonts w:cs="Times New Roman"/>
      <w:snapToGrid/>
    </w:rPr>
  </w:style>
  <w:style w:type="character" w:customStyle="1" w:styleId="BodytextChar0">
    <w:name w:val="Body text Char"/>
    <w:link w:val="BodyText1"/>
    <w:locked/>
    <w:rsid w:val="00F45026"/>
    <w:rPr>
      <w:rFonts w:ascii="Arial" w:hAnsi="Arial"/>
      <w:sz w:val="22"/>
      <w:lang w:eastAsia="en-US"/>
    </w:rPr>
  </w:style>
  <w:style w:type="paragraph" w:customStyle="1" w:styleId="TableNotes">
    <w:name w:val="Table Notes"/>
    <w:basedOn w:val="Normal"/>
    <w:next w:val="Normal"/>
    <w:link w:val="TableNotesChar"/>
    <w:uiPriority w:val="99"/>
    <w:qFormat/>
    <w:rsid w:val="007F64C8"/>
    <w:pPr>
      <w:keepLines/>
      <w:widowControl/>
      <w:spacing w:after="360"/>
      <w:contextualSpacing/>
      <w:jc w:val="left"/>
    </w:pPr>
    <w:rPr>
      <w:rFonts w:cs="Times New Roman"/>
      <w:snapToGrid/>
      <w:sz w:val="16"/>
      <w:szCs w:val="16"/>
      <w:lang w:eastAsia="en-AU"/>
    </w:rPr>
  </w:style>
  <w:style w:type="character" w:customStyle="1" w:styleId="TableNotesChar">
    <w:name w:val="Table Notes Char"/>
    <w:link w:val="TableNotes"/>
    <w:uiPriority w:val="99"/>
    <w:rsid w:val="007F64C8"/>
    <w:rPr>
      <w:rFonts w:ascii="Arial" w:hAnsi="Arial"/>
      <w:sz w:val="16"/>
      <w:szCs w:val="16"/>
    </w:rPr>
  </w:style>
  <w:style w:type="character" w:customStyle="1" w:styleId="TableTextChar0">
    <w:name w:val="TableText Char"/>
    <w:link w:val="TableText0"/>
    <w:uiPriority w:val="99"/>
    <w:rsid w:val="007F64C8"/>
    <w:rPr>
      <w:rFonts w:ascii="Arial Narrow" w:hAnsi="Arial Narrow" w:cs="Arial Narrow"/>
      <w:lang w:eastAsia="en-US"/>
    </w:rPr>
  </w:style>
  <w:style w:type="paragraph" w:customStyle="1" w:styleId="TableText1">
    <w:name w:val="Table Text"/>
    <w:basedOn w:val="Normal"/>
    <w:link w:val="TableTextChar1"/>
    <w:qFormat/>
    <w:rsid w:val="004F2D44"/>
    <w:pPr>
      <w:keepNext/>
      <w:keepLines/>
      <w:widowControl/>
      <w:spacing w:before="60" w:after="40"/>
    </w:pPr>
    <w:rPr>
      <w:rFonts w:ascii="Arial Narrow" w:hAnsi="Arial Narrow" w:cs="Times New Roman"/>
      <w:snapToGrid/>
      <w:sz w:val="20"/>
      <w:lang w:eastAsia="en-AU"/>
    </w:rPr>
  </w:style>
  <w:style w:type="character" w:customStyle="1" w:styleId="TableTextChar1">
    <w:name w:val="Table Text Char"/>
    <w:link w:val="TableText1"/>
    <w:locked/>
    <w:rsid w:val="004F2D44"/>
    <w:rPr>
      <w:rFonts w:ascii="Arial Narrow" w:hAnsi="Arial Narrow"/>
    </w:rPr>
  </w:style>
  <w:style w:type="character" w:styleId="FollowedHyperlink">
    <w:name w:val="FollowedHyperlink"/>
    <w:basedOn w:val="DefaultParagraphFont"/>
    <w:semiHidden/>
    <w:unhideWhenUsed/>
    <w:rsid w:val="00972E79"/>
    <w:rPr>
      <w:color w:val="800080" w:themeColor="followedHyperlink"/>
      <w:u w:val="single"/>
    </w:rPr>
  </w:style>
  <w:style w:type="table" w:customStyle="1" w:styleId="Summarybox251">
    <w:name w:val="Summary box251"/>
    <w:basedOn w:val="TableNormal"/>
    <w:uiPriority w:val="59"/>
    <w:rsid w:val="00AB7A39"/>
    <w:pPr>
      <w:spacing w:before="20" w:after="20"/>
    </w:pPr>
    <w:rPr>
      <w:rFonts w:ascii="Garamond" w:hAnsi="Garamond"/>
      <w:sz w:val="18"/>
      <w:lang w:eastAsia="zh-CN"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line="360" w:lineRule="auto"/>
      </w:pPr>
      <w:rPr>
        <w:rFonts w:ascii="Garamond" w:hAnsi="Garamond" w:hint="default"/>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Summarybox271">
    <w:name w:val="Summary box271"/>
    <w:basedOn w:val="TableNormal"/>
    <w:uiPriority w:val="59"/>
    <w:rsid w:val="00AB7A39"/>
    <w:pPr>
      <w:spacing w:before="20" w:after="20"/>
    </w:pPr>
    <w:rPr>
      <w:rFonts w:ascii="Garamond" w:hAnsi="Garamond"/>
      <w:sz w:val="18"/>
      <w:lang w:eastAsia="zh-CN"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line="360" w:lineRule="auto"/>
      </w:pPr>
      <w:rPr>
        <w:rFonts w:ascii="Garamond" w:hAnsi="Garamond" w:hint="default"/>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leGridbeth4">
    <w:name w:val="Table Gridbeth4"/>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1">
    <w:name w:val="Table Gridbeth41"/>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2">
    <w:name w:val="Table Gridbeth42"/>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3">
    <w:name w:val="Table Gridbeth43"/>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4">
    <w:name w:val="Table Gridbeth44"/>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5">
    <w:name w:val="Table Gridbeth45"/>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E7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uiPriority w:val="59"/>
    <w:rsid w:val="00AE7EC8"/>
    <w:pPr>
      <w:spacing w:before="80" w:after="80" w:line="288"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7">
    <w:name w:val="Table Gridbeth7"/>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8">
    <w:name w:val="Table Gridbeth8"/>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9">
    <w:name w:val="Table Gridbeth9"/>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0">
    <w:name w:val="Table Gridbeth10"/>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2">
    <w:name w:val="Table Gridbeth12"/>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3">
    <w:name w:val="Table Gridbeth13"/>
    <w:basedOn w:val="TableNormal"/>
    <w:next w:val="TableGrid"/>
    <w:uiPriority w:val="59"/>
    <w:rsid w:val="00AE7EC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4">
    <w:name w:val="Table Gridbeth14"/>
    <w:basedOn w:val="TableNormal"/>
    <w:next w:val="TableGrid"/>
    <w:uiPriority w:val="59"/>
    <w:rsid w:val="00AE7EC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5">
    <w:name w:val="Table Gridbeth15"/>
    <w:basedOn w:val="TableNormal"/>
    <w:next w:val="TableGrid"/>
    <w:uiPriority w:val="59"/>
    <w:rsid w:val="00AE7EC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6">
    <w:name w:val="Table Gridbeth16"/>
    <w:basedOn w:val="TableNormal"/>
    <w:next w:val="TableGrid"/>
    <w:uiPriority w:val="59"/>
    <w:rsid w:val="00AE7EC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7">
    <w:name w:val="Table Gridbeth17"/>
    <w:basedOn w:val="TableNormal"/>
    <w:next w:val="TableGrid"/>
    <w:uiPriority w:val="59"/>
    <w:rsid w:val="00AE7EC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8">
    <w:name w:val="Table Gridbeth18"/>
    <w:basedOn w:val="TableNormal"/>
    <w:next w:val="TableGrid"/>
    <w:uiPriority w:val="59"/>
    <w:rsid w:val="00AE7EC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4A5B7E"/>
    <w:pPr>
      <w:widowControl/>
      <w:spacing w:before="40" w:after="40"/>
    </w:pPr>
    <w:rPr>
      <w:rFonts w:cs="Times New Roman"/>
      <w:snapToGrid/>
      <w:sz w:val="20"/>
      <w:lang w:eastAsia="en-AU"/>
    </w:rPr>
  </w:style>
  <w:style w:type="character" w:customStyle="1" w:styleId="TableChar">
    <w:name w:val="Table Char"/>
    <w:link w:val="Table"/>
    <w:rsid w:val="004A5B7E"/>
    <w:rPr>
      <w:rFonts w:ascii="Arial" w:hAnsi="Arial"/>
    </w:rPr>
  </w:style>
  <w:style w:type="paragraph" w:customStyle="1" w:styleId="EndNoteBibliographyTitle">
    <w:name w:val="EndNote Bibliography Title"/>
    <w:basedOn w:val="Normal"/>
    <w:link w:val="EndNoteBibliographyTitleChar"/>
    <w:rsid w:val="00874DA3"/>
    <w:pPr>
      <w:jc w:val="center"/>
    </w:pPr>
    <w:rPr>
      <w:noProof/>
      <w:lang w:val="en-US"/>
    </w:rPr>
  </w:style>
  <w:style w:type="character" w:customStyle="1" w:styleId="EndNoteBibliographyTitleChar">
    <w:name w:val="EndNote Bibliography Title Char"/>
    <w:basedOn w:val="DefaultParagraphFont"/>
    <w:link w:val="EndNoteBibliographyTitle"/>
    <w:rsid w:val="00874DA3"/>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874DA3"/>
    <w:rPr>
      <w:noProof/>
      <w:lang w:val="en-US"/>
    </w:rPr>
  </w:style>
  <w:style w:type="character" w:customStyle="1" w:styleId="EndNoteBibliographyChar">
    <w:name w:val="EndNote Bibliography Char"/>
    <w:basedOn w:val="DefaultParagraphFont"/>
    <w:link w:val="EndNoteBibliography"/>
    <w:rsid w:val="00874DA3"/>
    <w:rPr>
      <w:rFonts w:ascii="Arial" w:hAnsi="Arial" w:cs="Arial"/>
      <w:noProof/>
      <w:snapToGrid w:val="0"/>
      <w:sz w:val="22"/>
      <w:lang w:val="en-US" w:eastAsia="en-US"/>
    </w:rPr>
  </w:style>
  <w:style w:type="paragraph" w:styleId="ListBullet2">
    <w:name w:val="List Bullet 2"/>
    <w:basedOn w:val="Normal"/>
    <w:uiPriority w:val="99"/>
    <w:semiHidden/>
    <w:unhideWhenUsed/>
    <w:rsid w:val="00D86DBF"/>
    <w:pPr>
      <w:widowControl/>
      <w:numPr>
        <w:numId w:val="22"/>
      </w:numPr>
      <w:spacing w:after="200" w:line="276" w:lineRule="auto"/>
      <w:contextualSpacing/>
      <w:jc w:val="left"/>
    </w:pPr>
    <w:rPr>
      <w:rFonts w:ascii="Times New Roman" w:eastAsiaTheme="minorHAnsi" w:hAnsi="Times New Roman" w:cstheme="minorBidi"/>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3791">
      <w:bodyDiv w:val="1"/>
      <w:marLeft w:val="0"/>
      <w:marRight w:val="0"/>
      <w:marTop w:val="0"/>
      <w:marBottom w:val="0"/>
      <w:divBdr>
        <w:top w:val="none" w:sz="0" w:space="0" w:color="auto"/>
        <w:left w:val="none" w:sz="0" w:space="0" w:color="auto"/>
        <w:bottom w:val="none" w:sz="0" w:space="0" w:color="auto"/>
        <w:right w:val="none" w:sz="0" w:space="0" w:color="auto"/>
      </w:divBdr>
    </w:div>
    <w:div w:id="468668437">
      <w:bodyDiv w:val="1"/>
      <w:marLeft w:val="0"/>
      <w:marRight w:val="0"/>
      <w:marTop w:val="0"/>
      <w:marBottom w:val="0"/>
      <w:divBdr>
        <w:top w:val="none" w:sz="0" w:space="0" w:color="auto"/>
        <w:left w:val="none" w:sz="0" w:space="0" w:color="auto"/>
        <w:bottom w:val="none" w:sz="0" w:space="0" w:color="auto"/>
        <w:right w:val="none" w:sz="0" w:space="0" w:color="auto"/>
      </w:divBdr>
    </w:div>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163666647">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68" Type="http://schemas.microsoft.com/office/2011/relationships/commentsExtended" Target="commentsExtended.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theme" Target="theme/theme1.xml"/><Relationship Id="rId6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05DD6-1D72-400C-A821-E3318011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8215</Words>
  <Characters>47856</Characters>
  <Application>Microsoft Office Word</Application>
  <DocSecurity>0</DocSecurity>
  <Lines>1650</Lines>
  <Paragraphs>1144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2016-06-21T06:14:00Z</dcterms:created>
  <dcterms:modified xsi:type="dcterms:W3CDTF">2016-06-22T04:53:00Z</dcterms:modified>
</cp:coreProperties>
</file>