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CF" w:rsidRPr="00B3204A" w:rsidRDefault="00EF44CF" w:rsidP="00B3204A">
      <w:pPr>
        <w:pStyle w:val="NoSpacing"/>
      </w:pPr>
      <w:bookmarkStart w:id="0" w:name="_GoBack"/>
      <w:bookmarkEnd w:id="0"/>
    </w:p>
    <w:p w:rsidR="00D3280C" w:rsidRPr="00B3204A" w:rsidRDefault="00DA658D" w:rsidP="00B3204A">
      <w:pPr>
        <w:pStyle w:val="minorovrheadings"/>
      </w:pPr>
      <w:r w:rsidRPr="00B3204A">
        <w:t>5.17</w:t>
      </w:r>
      <w:r w:rsidR="007C0F57" w:rsidRPr="00B3204A">
        <w:tab/>
      </w:r>
      <w:r w:rsidR="00DF104E" w:rsidRPr="00B3204A">
        <w:t>MORPHINE</w:t>
      </w:r>
      <w:r w:rsidR="00C751E7" w:rsidRPr="00B3204A">
        <w:t xml:space="preserve"> as morphine hydrochloride</w:t>
      </w:r>
      <w:r w:rsidR="00B3204A" w:rsidRPr="00B3204A">
        <w:br/>
      </w:r>
      <w:r w:rsidR="00EB3BC4" w:rsidRPr="00B3204A">
        <w:t>10</w:t>
      </w:r>
      <w:r w:rsidR="007E2A38" w:rsidRPr="00B3204A">
        <w:t xml:space="preserve"> </w:t>
      </w:r>
      <w:r w:rsidR="00EB3BC4" w:rsidRPr="00B3204A">
        <w:t xml:space="preserve">mg/mL </w:t>
      </w:r>
      <w:r w:rsidR="007E2A38" w:rsidRPr="00B3204A">
        <w:t>injection, 5 x 1 mL ampoules</w:t>
      </w:r>
      <w:r w:rsidR="00B3204A" w:rsidRPr="00B3204A">
        <w:br/>
      </w:r>
      <w:r w:rsidR="00EB3BC4" w:rsidRPr="00B3204A">
        <w:t>20</w:t>
      </w:r>
      <w:r w:rsidR="007E2A38" w:rsidRPr="00B3204A">
        <w:t xml:space="preserve"> </w:t>
      </w:r>
      <w:r w:rsidR="00EB3BC4" w:rsidRPr="00B3204A">
        <w:t xml:space="preserve">mg/mL </w:t>
      </w:r>
      <w:r w:rsidR="007E2A38" w:rsidRPr="00B3204A">
        <w:t>injection, 5 x 1 mL ampoules</w:t>
      </w:r>
      <w:r w:rsidR="00B3204A" w:rsidRPr="00B3204A">
        <w:br/>
      </w:r>
      <w:r w:rsidR="00EB3BC4" w:rsidRPr="00B3204A">
        <w:t>50</w:t>
      </w:r>
      <w:r w:rsidR="007E2A38" w:rsidRPr="00B3204A">
        <w:t xml:space="preserve"> </w:t>
      </w:r>
      <w:r w:rsidR="00EB3BC4" w:rsidRPr="00B3204A">
        <w:t>mg/5</w:t>
      </w:r>
      <w:r w:rsidR="007E2A38" w:rsidRPr="00B3204A">
        <w:t xml:space="preserve"> </w:t>
      </w:r>
      <w:r w:rsidR="00EB3BC4" w:rsidRPr="00B3204A">
        <w:t>mL</w:t>
      </w:r>
      <w:r w:rsidR="007E2A38" w:rsidRPr="00B3204A">
        <w:t xml:space="preserve"> injection</w:t>
      </w:r>
      <w:r w:rsidR="00EB3BC4" w:rsidRPr="00B3204A">
        <w:t xml:space="preserve">, </w:t>
      </w:r>
      <w:r w:rsidR="007E2A38" w:rsidRPr="00B3204A">
        <w:t>5 x 5 mL ampoules</w:t>
      </w:r>
      <w:r w:rsidR="00B3204A" w:rsidRPr="00B3204A">
        <w:br/>
      </w:r>
      <w:r w:rsidR="00EB3BC4" w:rsidRPr="00B3204A">
        <w:t>100</w:t>
      </w:r>
      <w:r w:rsidR="007E2A38" w:rsidRPr="00B3204A">
        <w:t xml:space="preserve"> </w:t>
      </w:r>
      <w:r w:rsidR="00EB3BC4" w:rsidRPr="00B3204A">
        <w:t>mg/5</w:t>
      </w:r>
      <w:r w:rsidR="007E2A38" w:rsidRPr="00B3204A">
        <w:t xml:space="preserve"> </w:t>
      </w:r>
      <w:r w:rsidRPr="00B3204A">
        <w:t>mL</w:t>
      </w:r>
      <w:r w:rsidR="007E2A38" w:rsidRPr="00B3204A">
        <w:t xml:space="preserve"> injection, 5 x 5 mL ampoules</w:t>
      </w:r>
      <w:r w:rsidR="00B3204A" w:rsidRPr="00B3204A">
        <w:br/>
      </w:r>
      <w:r w:rsidR="00350E0B" w:rsidRPr="00B3204A">
        <w:t>Morphine Juno</w:t>
      </w:r>
      <w:r w:rsidR="00EF44A0" w:rsidRPr="00B3204A">
        <w:t xml:space="preserve">, </w:t>
      </w:r>
      <w:r w:rsidRPr="00B3204A">
        <w:t>Juno pharmaceuticals</w:t>
      </w:r>
      <w:r w:rsidR="00495BA5" w:rsidRPr="00B3204A">
        <w:t xml:space="preserve"> Pty Ltd.</w:t>
      </w:r>
    </w:p>
    <w:p w:rsidR="00CE10C4" w:rsidRDefault="00CE10C4" w:rsidP="00C27B58">
      <w:pPr>
        <w:pStyle w:val="NoSpacing"/>
      </w:pPr>
    </w:p>
    <w:p w:rsidR="00AD72B9" w:rsidRDefault="00AD72B9" w:rsidP="00C27B58">
      <w:pPr>
        <w:pStyle w:val="NoSpacing"/>
      </w:pPr>
    </w:p>
    <w:p w:rsidR="00CE10C4" w:rsidRPr="00B3204A" w:rsidRDefault="00CE10C4" w:rsidP="00B3204A">
      <w:pPr>
        <w:pStyle w:val="Heading1"/>
      </w:pPr>
      <w:r w:rsidRPr="00B3204A">
        <w:t xml:space="preserve">Purpose of </w:t>
      </w:r>
      <w:r w:rsidR="0004240E" w:rsidRPr="00B3204A">
        <w:t>Application</w:t>
      </w:r>
    </w:p>
    <w:p w:rsidR="006A12A5" w:rsidRPr="00882085" w:rsidRDefault="006A12A5" w:rsidP="00882085">
      <w:pPr>
        <w:jc w:val="both"/>
        <w:rPr>
          <w:rFonts w:ascii="Arial" w:hAnsi="Arial"/>
          <w:sz w:val="22"/>
          <w:szCs w:val="22"/>
        </w:rPr>
      </w:pPr>
    </w:p>
    <w:p w:rsidR="006A12A5" w:rsidRPr="00EF44A0" w:rsidRDefault="00EF44A0" w:rsidP="00B3204A">
      <w:pPr>
        <w:pStyle w:val="ListParagraph"/>
        <w:numPr>
          <w:ilvl w:val="1"/>
          <w:numId w:val="1"/>
        </w:numPr>
        <w:jc w:val="both"/>
        <w:rPr>
          <w:rFonts w:ascii="Arial" w:hAnsi="Arial"/>
          <w:b/>
          <w:sz w:val="22"/>
          <w:szCs w:val="22"/>
        </w:rPr>
      </w:pPr>
      <w:r>
        <w:rPr>
          <w:rFonts w:ascii="Arial" w:hAnsi="Arial"/>
          <w:sz w:val="22"/>
          <w:szCs w:val="22"/>
        </w:rPr>
        <w:t>The mi</w:t>
      </w:r>
      <w:r w:rsidR="00FF2801">
        <w:rPr>
          <w:rFonts w:ascii="Arial" w:hAnsi="Arial"/>
          <w:sz w:val="22"/>
          <w:szCs w:val="22"/>
        </w:rPr>
        <w:t xml:space="preserve">nor submission </w:t>
      </w:r>
      <w:r w:rsidR="009E6C9E">
        <w:rPr>
          <w:rFonts w:ascii="Arial" w:hAnsi="Arial"/>
          <w:sz w:val="22"/>
          <w:szCs w:val="22"/>
        </w:rPr>
        <w:t xml:space="preserve">requested listing </w:t>
      </w:r>
      <w:r w:rsidR="00A1279F">
        <w:rPr>
          <w:rFonts w:ascii="Arial" w:hAnsi="Arial"/>
          <w:sz w:val="22"/>
          <w:szCs w:val="22"/>
        </w:rPr>
        <w:t xml:space="preserve">of </w:t>
      </w:r>
      <w:r w:rsidR="007E2A38">
        <w:rPr>
          <w:rFonts w:ascii="Arial" w:hAnsi="Arial"/>
          <w:sz w:val="22"/>
          <w:szCs w:val="22"/>
        </w:rPr>
        <w:t xml:space="preserve">four strengths of </w:t>
      </w:r>
      <w:r w:rsidR="009E6C9E">
        <w:rPr>
          <w:rFonts w:ascii="Arial" w:hAnsi="Arial"/>
          <w:sz w:val="22"/>
          <w:szCs w:val="22"/>
        </w:rPr>
        <w:t xml:space="preserve">morphine </w:t>
      </w:r>
      <w:r w:rsidR="00DF104E">
        <w:rPr>
          <w:rFonts w:ascii="Arial" w:hAnsi="Arial"/>
          <w:sz w:val="22"/>
          <w:szCs w:val="22"/>
        </w:rPr>
        <w:t xml:space="preserve">(as </w:t>
      </w:r>
      <w:r w:rsidR="00DF486D">
        <w:rPr>
          <w:rFonts w:ascii="Arial" w:hAnsi="Arial"/>
          <w:sz w:val="22"/>
          <w:szCs w:val="22"/>
        </w:rPr>
        <w:t xml:space="preserve">morphine </w:t>
      </w:r>
      <w:r w:rsidR="009E6C9E">
        <w:rPr>
          <w:rFonts w:ascii="Arial" w:hAnsi="Arial"/>
          <w:sz w:val="22"/>
          <w:szCs w:val="22"/>
        </w:rPr>
        <w:t>hydrochloride</w:t>
      </w:r>
      <w:r w:rsidR="00DF104E">
        <w:rPr>
          <w:rFonts w:ascii="Arial" w:hAnsi="Arial"/>
          <w:sz w:val="22"/>
          <w:szCs w:val="22"/>
        </w:rPr>
        <w:t>)</w:t>
      </w:r>
      <w:r w:rsidR="009E6C9E">
        <w:rPr>
          <w:rFonts w:ascii="Arial" w:hAnsi="Arial"/>
          <w:sz w:val="22"/>
          <w:szCs w:val="22"/>
        </w:rPr>
        <w:t xml:space="preserve"> for the </w:t>
      </w:r>
      <w:r w:rsidR="004D2D13">
        <w:rPr>
          <w:rFonts w:ascii="Arial" w:hAnsi="Arial"/>
          <w:sz w:val="22"/>
          <w:szCs w:val="22"/>
        </w:rPr>
        <w:t>management</w:t>
      </w:r>
      <w:r w:rsidR="009E6C9E">
        <w:rPr>
          <w:rFonts w:ascii="Arial" w:hAnsi="Arial"/>
          <w:sz w:val="22"/>
          <w:szCs w:val="22"/>
        </w:rPr>
        <w:t xml:space="preserve"> of </w:t>
      </w:r>
      <w:r w:rsidR="004D2D13">
        <w:rPr>
          <w:rFonts w:ascii="Arial" w:hAnsi="Arial"/>
          <w:sz w:val="22"/>
          <w:szCs w:val="22"/>
        </w:rPr>
        <w:t>pain.</w:t>
      </w:r>
    </w:p>
    <w:p w:rsidR="00F9629A" w:rsidRDefault="00F9629A" w:rsidP="00C27B58">
      <w:pPr>
        <w:pStyle w:val="NoSpacing"/>
      </w:pPr>
    </w:p>
    <w:p w:rsidR="00AD72B9" w:rsidRPr="00F9629A" w:rsidRDefault="00AD72B9" w:rsidP="00C27B58">
      <w:pPr>
        <w:pStyle w:val="NoSpacing"/>
      </w:pPr>
    </w:p>
    <w:p w:rsidR="00614159" w:rsidRPr="00882085" w:rsidRDefault="006A12A5" w:rsidP="00B3204A">
      <w:pPr>
        <w:pStyle w:val="Heading1"/>
        <w:rPr>
          <w:b w:val="0"/>
        </w:rPr>
      </w:pPr>
      <w:r w:rsidRPr="00882085">
        <w:t>Requested listing</w:t>
      </w:r>
    </w:p>
    <w:p w:rsidR="006A12A5" w:rsidRPr="00882085" w:rsidRDefault="006A12A5" w:rsidP="00882085">
      <w:pPr>
        <w:jc w:val="both"/>
        <w:rPr>
          <w:rFonts w:ascii="Arial" w:hAnsi="Arial"/>
          <w:b/>
          <w:sz w:val="22"/>
          <w:szCs w:val="22"/>
        </w:rPr>
      </w:pPr>
    </w:p>
    <w:p w:rsidR="008D4429" w:rsidRPr="008D4429" w:rsidRDefault="00EF44A0" w:rsidP="00B3204A">
      <w:pPr>
        <w:pStyle w:val="ListParagraph"/>
        <w:numPr>
          <w:ilvl w:val="1"/>
          <w:numId w:val="1"/>
        </w:numPr>
        <w:jc w:val="both"/>
        <w:rPr>
          <w:rFonts w:ascii="Arial" w:hAnsi="Arial"/>
          <w:sz w:val="22"/>
          <w:szCs w:val="22"/>
        </w:rPr>
      </w:pPr>
      <w:r>
        <w:rPr>
          <w:rFonts w:ascii="Arial" w:hAnsi="Arial"/>
          <w:sz w:val="22"/>
          <w:szCs w:val="22"/>
        </w:rPr>
        <w:t xml:space="preserve">The submission </w:t>
      </w:r>
      <w:r w:rsidR="00974409">
        <w:rPr>
          <w:rFonts w:ascii="Arial" w:hAnsi="Arial"/>
          <w:sz w:val="22"/>
          <w:szCs w:val="22"/>
        </w:rPr>
        <w:t>sought to list 10 mg</w:t>
      </w:r>
      <w:r w:rsidR="007E2A38">
        <w:rPr>
          <w:rFonts w:ascii="Arial" w:hAnsi="Arial"/>
          <w:sz w:val="22"/>
          <w:szCs w:val="22"/>
        </w:rPr>
        <w:t>/mL</w:t>
      </w:r>
      <w:r w:rsidR="00974409">
        <w:rPr>
          <w:rFonts w:ascii="Arial" w:hAnsi="Arial"/>
          <w:sz w:val="22"/>
          <w:szCs w:val="22"/>
        </w:rPr>
        <w:t>, 20 mg</w:t>
      </w:r>
      <w:r w:rsidR="007E2A38">
        <w:rPr>
          <w:rFonts w:ascii="Arial" w:hAnsi="Arial"/>
          <w:sz w:val="22"/>
          <w:szCs w:val="22"/>
        </w:rPr>
        <w:t>/mL</w:t>
      </w:r>
      <w:r w:rsidR="00974409">
        <w:rPr>
          <w:rFonts w:ascii="Arial" w:hAnsi="Arial"/>
          <w:sz w:val="22"/>
          <w:szCs w:val="22"/>
        </w:rPr>
        <w:t>, 50 mg</w:t>
      </w:r>
      <w:r w:rsidR="007E2A38">
        <w:rPr>
          <w:rFonts w:ascii="Arial" w:hAnsi="Arial"/>
          <w:sz w:val="22"/>
          <w:szCs w:val="22"/>
        </w:rPr>
        <w:t>/5 mL</w:t>
      </w:r>
      <w:r w:rsidR="00974409">
        <w:rPr>
          <w:rFonts w:ascii="Arial" w:hAnsi="Arial"/>
          <w:sz w:val="22"/>
          <w:szCs w:val="22"/>
        </w:rPr>
        <w:t>, and 100 mg</w:t>
      </w:r>
      <w:r w:rsidR="007E2A38">
        <w:rPr>
          <w:rFonts w:ascii="Arial" w:hAnsi="Arial"/>
          <w:sz w:val="22"/>
          <w:szCs w:val="22"/>
        </w:rPr>
        <w:t>/5 mL</w:t>
      </w:r>
      <w:r w:rsidR="00974409">
        <w:rPr>
          <w:rFonts w:ascii="Arial" w:hAnsi="Arial"/>
          <w:sz w:val="22"/>
          <w:szCs w:val="22"/>
        </w:rPr>
        <w:t xml:space="preserve"> </w:t>
      </w:r>
      <w:r w:rsidR="00DA1D61">
        <w:rPr>
          <w:rFonts w:ascii="Arial" w:hAnsi="Arial"/>
          <w:sz w:val="22"/>
          <w:szCs w:val="22"/>
        </w:rPr>
        <w:t>strengths on</w:t>
      </w:r>
      <w:r w:rsidR="00974409">
        <w:rPr>
          <w:rFonts w:ascii="Arial" w:hAnsi="Arial"/>
          <w:sz w:val="22"/>
          <w:szCs w:val="22"/>
        </w:rPr>
        <w:t xml:space="preserve"> the PBS as </w:t>
      </w:r>
      <w:r w:rsidR="00BA4AAE">
        <w:rPr>
          <w:rFonts w:ascii="Arial" w:hAnsi="Arial"/>
          <w:sz w:val="22"/>
          <w:szCs w:val="22"/>
        </w:rPr>
        <w:t xml:space="preserve">per the </w:t>
      </w:r>
      <w:r w:rsidR="007E2A38">
        <w:rPr>
          <w:rFonts w:ascii="Arial" w:hAnsi="Arial" w:cs="Arial"/>
          <w:sz w:val="22"/>
          <w:szCs w:val="22"/>
        </w:rPr>
        <w:t>current</w:t>
      </w:r>
      <w:r w:rsidR="007E2A38" w:rsidRPr="00DA1D61">
        <w:rPr>
          <w:rFonts w:ascii="Arial" w:hAnsi="Arial" w:cs="Arial"/>
          <w:sz w:val="22"/>
          <w:szCs w:val="22"/>
        </w:rPr>
        <w:t xml:space="preserve"> </w:t>
      </w:r>
      <w:r w:rsidR="009400FE" w:rsidRPr="00DA1D61">
        <w:rPr>
          <w:rFonts w:ascii="Arial" w:hAnsi="Arial" w:cs="Arial"/>
          <w:sz w:val="22"/>
          <w:szCs w:val="22"/>
        </w:rPr>
        <w:t>listing</w:t>
      </w:r>
      <w:r w:rsidR="002227F7">
        <w:rPr>
          <w:rFonts w:ascii="Arial" w:hAnsi="Arial" w:cs="Arial"/>
          <w:sz w:val="22"/>
          <w:szCs w:val="22"/>
        </w:rPr>
        <w:t xml:space="preserve">s for morphine </w:t>
      </w:r>
      <w:r w:rsidR="006578C3">
        <w:rPr>
          <w:rFonts w:ascii="Arial" w:hAnsi="Arial" w:cs="Arial"/>
          <w:sz w:val="22"/>
          <w:szCs w:val="22"/>
        </w:rPr>
        <w:t>(</w:t>
      </w:r>
      <w:r w:rsidR="00DF486D">
        <w:rPr>
          <w:rFonts w:ascii="Arial" w:hAnsi="Arial" w:cs="Arial"/>
          <w:sz w:val="22"/>
          <w:szCs w:val="22"/>
        </w:rPr>
        <w:t xml:space="preserve">as </w:t>
      </w:r>
      <w:r w:rsidR="006578C3">
        <w:rPr>
          <w:rFonts w:ascii="Arial" w:hAnsi="Arial" w:cs="Arial"/>
          <w:sz w:val="22"/>
          <w:szCs w:val="22"/>
        </w:rPr>
        <w:t xml:space="preserve">morphine </w:t>
      </w:r>
      <w:r w:rsidR="002227F7">
        <w:rPr>
          <w:rFonts w:ascii="Arial" w:hAnsi="Arial" w:cs="Arial"/>
          <w:sz w:val="22"/>
          <w:szCs w:val="22"/>
        </w:rPr>
        <w:t>sulf</w:t>
      </w:r>
      <w:r w:rsidR="007E2A38">
        <w:rPr>
          <w:rFonts w:ascii="Arial" w:hAnsi="Arial" w:cs="Arial"/>
          <w:sz w:val="22"/>
          <w:szCs w:val="22"/>
        </w:rPr>
        <w:t>ate</w:t>
      </w:r>
      <w:r w:rsidR="006578C3">
        <w:rPr>
          <w:rFonts w:ascii="Arial" w:hAnsi="Arial" w:cs="Arial"/>
          <w:sz w:val="22"/>
          <w:szCs w:val="22"/>
        </w:rPr>
        <w:t xml:space="preserve"> and morphine tartrate)</w:t>
      </w:r>
      <w:r w:rsidR="007E2A38">
        <w:rPr>
          <w:rFonts w:ascii="Arial" w:hAnsi="Arial" w:cs="Arial"/>
          <w:sz w:val="22"/>
          <w:szCs w:val="22"/>
        </w:rPr>
        <w:t xml:space="preserve"> </w:t>
      </w:r>
      <w:r w:rsidR="008D4429">
        <w:rPr>
          <w:rFonts w:ascii="Arial" w:hAnsi="Arial" w:cs="Arial"/>
          <w:sz w:val="22"/>
          <w:szCs w:val="22"/>
        </w:rPr>
        <w:t>(i.e. unrestricted with a CAUTION saying “</w:t>
      </w:r>
      <w:r w:rsidR="008D4429" w:rsidRPr="008D4429">
        <w:rPr>
          <w:rFonts w:ascii="Arial" w:hAnsi="Arial" w:cs="Arial"/>
          <w:sz w:val="22"/>
          <w:szCs w:val="22"/>
        </w:rPr>
        <w:t>The risk of drug dependence is high.</w:t>
      </w:r>
      <w:r w:rsidR="008D4429">
        <w:rPr>
          <w:rFonts w:ascii="Arial" w:hAnsi="Arial" w:cs="Arial"/>
          <w:sz w:val="22"/>
          <w:szCs w:val="22"/>
        </w:rPr>
        <w:t>”)</w:t>
      </w:r>
      <w:r w:rsidR="00DA1D61">
        <w:rPr>
          <w:rFonts w:ascii="Arial" w:hAnsi="Arial" w:cs="Arial"/>
          <w:sz w:val="22"/>
          <w:szCs w:val="22"/>
        </w:rPr>
        <w:t>.</w:t>
      </w:r>
      <w:r w:rsidR="00245AF2">
        <w:rPr>
          <w:rFonts w:ascii="Arial" w:hAnsi="Arial" w:cs="Arial"/>
          <w:sz w:val="22"/>
          <w:szCs w:val="22"/>
        </w:rPr>
        <w:t xml:space="preserve"> </w:t>
      </w:r>
    </w:p>
    <w:p w:rsidR="00B3204A" w:rsidRDefault="00B3204A" w:rsidP="00B3204A">
      <w:pPr>
        <w:pStyle w:val="NoSpacing"/>
        <w:rPr>
          <w:b/>
        </w:rPr>
      </w:pPr>
    </w:p>
    <w:p w:rsidR="00EF44CF" w:rsidRPr="00B3204A" w:rsidRDefault="00EF44CF" w:rsidP="00B3204A">
      <w:pPr>
        <w:pStyle w:val="NoSpacing"/>
      </w:pPr>
      <w:r w:rsidRPr="00B3204A">
        <w:t>For more detail on PBAC’s view, see section 5 “PBAC outcome”</w:t>
      </w:r>
    </w:p>
    <w:p w:rsidR="00AD72B9" w:rsidRDefault="00AD72B9" w:rsidP="00882085">
      <w:pPr>
        <w:jc w:val="both"/>
        <w:rPr>
          <w:rFonts w:ascii="Arial" w:hAnsi="Arial"/>
          <w:b/>
          <w:sz w:val="22"/>
          <w:szCs w:val="22"/>
        </w:rPr>
      </w:pPr>
    </w:p>
    <w:p w:rsidR="00EF44CF" w:rsidRDefault="00EF44CF" w:rsidP="00882085">
      <w:pPr>
        <w:jc w:val="both"/>
        <w:rPr>
          <w:rFonts w:ascii="Arial" w:hAnsi="Arial"/>
          <w:b/>
          <w:sz w:val="22"/>
          <w:szCs w:val="22"/>
        </w:rPr>
      </w:pPr>
    </w:p>
    <w:p w:rsidR="00CE10C4" w:rsidRPr="00834A38" w:rsidRDefault="00CE10C4" w:rsidP="00B3204A">
      <w:pPr>
        <w:pStyle w:val="Heading1"/>
      </w:pPr>
      <w:r w:rsidRPr="00882085">
        <w:t>Background</w:t>
      </w:r>
    </w:p>
    <w:p w:rsidR="00834A38" w:rsidRPr="00305A6C" w:rsidRDefault="00834A38" w:rsidP="00305A6C">
      <w:pPr>
        <w:jc w:val="both"/>
        <w:rPr>
          <w:rFonts w:ascii="Arial" w:hAnsi="Arial"/>
          <w:sz w:val="22"/>
          <w:szCs w:val="22"/>
        </w:rPr>
      </w:pPr>
    </w:p>
    <w:p w:rsidR="002B1AE6" w:rsidRPr="00AD72B9" w:rsidRDefault="00BA4AAE" w:rsidP="00B3204A">
      <w:pPr>
        <w:pStyle w:val="ListParagraph"/>
        <w:numPr>
          <w:ilvl w:val="1"/>
          <w:numId w:val="1"/>
        </w:numPr>
        <w:jc w:val="both"/>
        <w:rPr>
          <w:rFonts w:ascii="Arial" w:hAnsi="Arial"/>
          <w:sz w:val="22"/>
          <w:szCs w:val="22"/>
        </w:rPr>
      </w:pPr>
      <w:r>
        <w:rPr>
          <w:rFonts w:ascii="Arial" w:hAnsi="Arial"/>
          <w:sz w:val="22"/>
          <w:szCs w:val="22"/>
        </w:rPr>
        <w:t>The TGA approved the registration of m</w:t>
      </w:r>
      <w:r w:rsidR="00DD60FB" w:rsidRPr="00DD60FB">
        <w:rPr>
          <w:rFonts w:ascii="Arial" w:hAnsi="Arial"/>
          <w:sz w:val="22"/>
          <w:szCs w:val="22"/>
        </w:rPr>
        <w:t>orphine</w:t>
      </w:r>
      <w:r w:rsidR="00DF486D">
        <w:rPr>
          <w:rFonts w:ascii="Arial" w:hAnsi="Arial"/>
          <w:sz w:val="22"/>
          <w:szCs w:val="22"/>
        </w:rPr>
        <w:t xml:space="preserve"> hydrochloride</w:t>
      </w:r>
      <w:r w:rsidR="00DD60FB" w:rsidRPr="00DD60FB">
        <w:rPr>
          <w:rFonts w:ascii="Arial" w:hAnsi="Arial"/>
          <w:sz w:val="22"/>
          <w:szCs w:val="22"/>
        </w:rPr>
        <w:t xml:space="preserve"> </w:t>
      </w:r>
      <w:r>
        <w:rPr>
          <w:rFonts w:ascii="Arial" w:hAnsi="Arial"/>
          <w:sz w:val="22"/>
          <w:szCs w:val="22"/>
        </w:rPr>
        <w:t xml:space="preserve">(Morphine Juno) </w:t>
      </w:r>
      <w:r w:rsidR="00BE4B62">
        <w:rPr>
          <w:rFonts w:ascii="Arial" w:hAnsi="Arial"/>
          <w:sz w:val="22"/>
          <w:szCs w:val="22"/>
        </w:rPr>
        <w:t xml:space="preserve">on </w:t>
      </w:r>
      <w:r w:rsidR="00DF486D">
        <w:rPr>
          <w:rFonts w:ascii="Arial" w:hAnsi="Arial"/>
          <w:sz w:val="22"/>
          <w:szCs w:val="22"/>
        </w:rPr>
        <w:t>28 </w:t>
      </w:r>
      <w:r>
        <w:rPr>
          <w:rFonts w:ascii="Arial" w:hAnsi="Arial"/>
          <w:sz w:val="22"/>
          <w:szCs w:val="22"/>
        </w:rPr>
        <w:t xml:space="preserve">April </w:t>
      </w:r>
      <w:r w:rsidR="00BE4B62">
        <w:rPr>
          <w:rFonts w:ascii="Arial" w:hAnsi="Arial"/>
          <w:sz w:val="22"/>
          <w:szCs w:val="22"/>
        </w:rPr>
        <w:t>201</w:t>
      </w:r>
      <w:r>
        <w:rPr>
          <w:rFonts w:ascii="Arial" w:hAnsi="Arial"/>
          <w:sz w:val="22"/>
          <w:szCs w:val="22"/>
        </w:rPr>
        <w:t>5</w:t>
      </w:r>
      <w:r w:rsidR="00BE4B62">
        <w:rPr>
          <w:rFonts w:ascii="Arial" w:hAnsi="Arial"/>
          <w:sz w:val="22"/>
          <w:szCs w:val="22"/>
        </w:rPr>
        <w:t>.</w:t>
      </w:r>
      <w:r>
        <w:rPr>
          <w:rFonts w:ascii="Arial" w:hAnsi="Arial"/>
          <w:sz w:val="22"/>
          <w:szCs w:val="22"/>
        </w:rPr>
        <w:t xml:space="preserve"> </w:t>
      </w:r>
      <w:r w:rsidR="00C85CF0" w:rsidRPr="00AD72B9">
        <w:rPr>
          <w:rFonts w:ascii="Arial" w:hAnsi="Arial"/>
          <w:sz w:val="22"/>
          <w:szCs w:val="22"/>
        </w:rPr>
        <w:t>Morphine is TGA registered for</w:t>
      </w:r>
      <w:r>
        <w:rPr>
          <w:rFonts w:ascii="Arial" w:hAnsi="Arial"/>
          <w:sz w:val="22"/>
          <w:szCs w:val="22"/>
        </w:rPr>
        <w:t>:</w:t>
      </w:r>
    </w:p>
    <w:p w:rsidR="00C85CF0" w:rsidRPr="00C85CF0" w:rsidRDefault="00C85CF0" w:rsidP="00B3204A">
      <w:pPr>
        <w:pStyle w:val="ListParagraph"/>
        <w:numPr>
          <w:ilvl w:val="0"/>
          <w:numId w:val="2"/>
        </w:numPr>
        <w:ind w:left="993" w:hanging="284"/>
        <w:jc w:val="both"/>
        <w:rPr>
          <w:rFonts w:ascii="Arial" w:hAnsi="Arial"/>
          <w:i/>
          <w:sz w:val="22"/>
          <w:szCs w:val="22"/>
        </w:rPr>
      </w:pPr>
      <w:r>
        <w:rPr>
          <w:rFonts w:ascii="Arial" w:hAnsi="Arial"/>
          <w:sz w:val="22"/>
          <w:szCs w:val="22"/>
        </w:rPr>
        <w:t>the relief of moderate to severe pain not responsive to non-opioid analgesics</w:t>
      </w:r>
    </w:p>
    <w:p w:rsidR="00C85CF0" w:rsidRPr="00C85CF0" w:rsidRDefault="00C85CF0" w:rsidP="00B3204A">
      <w:pPr>
        <w:pStyle w:val="ListParagraph"/>
        <w:numPr>
          <w:ilvl w:val="0"/>
          <w:numId w:val="2"/>
        </w:numPr>
        <w:ind w:left="993" w:hanging="284"/>
        <w:jc w:val="both"/>
        <w:rPr>
          <w:rFonts w:ascii="Arial" w:hAnsi="Arial"/>
          <w:i/>
          <w:sz w:val="22"/>
          <w:szCs w:val="22"/>
        </w:rPr>
      </w:pPr>
      <w:r>
        <w:rPr>
          <w:rFonts w:ascii="Arial" w:hAnsi="Arial"/>
          <w:sz w:val="22"/>
          <w:szCs w:val="22"/>
        </w:rPr>
        <w:t>symptomatic relief of severe and intractable pains of various categories, in terminal cancer patients</w:t>
      </w:r>
    </w:p>
    <w:p w:rsidR="00C85CF0" w:rsidRPr="009D5D60" w:rsidRDefault="00C85CF0" w:rsidP="00B3204A">
      <w:pPr>
        <w:pStyle w:val="ListParagraph"/>
        <w:numPr>
          <w:ilvl w:val="0"/>
          <w:numId w:val="2"/>
        </w:numPr>
        <w:ind w:left="993" w:hanging="284"/>
        <w:jc w:val="both"/>
        <w:rPr>
          <w:rFonts w:ascii="Arial" w:hAnsi="Arial"/>
          <w:i/>
          <w:sz w:val="22"/>
          <w:szCs w:val="22"/>
        </w:rPr>
      </w:pPr>
      <w:r>
        <w:rPr>
          <w:rFonts w:ascii="Arial" w:hAnsi="Arial"/>
          <w:sz w:val="22"/>
          <w:szCs w:val="22"/>
        </w:rPr>
        <w:t xml:space="preserve">as a pre-operative medication </w:t>
      </w:r>
      <w:r w:rsidR="006C3559">
        <w:rPr>
          <w:rFonts w:ascii="Arial" w:hAnsi="Arial"/>
          <w:sz w:val="22"/>
          <w:szCs w:val="22"/>
        </w:rPr>
        <w:t>and as an analgesic adjunct in general anaesthesia.</w:t>
      </w:r>
    </w:p>
    <w:p w:rsidR="00280E5B" w:rsidRPr="00F838CD" w:rsidRDefault="00280E5B" w:rsidP="00F838CD">
      <w:pPr>
        <w:jc w:val="both"/>
        <w:rPr>
          <w:rFonts w:ascii="Arial" w:hAnsi="Arial"/>
          <w:i/>
          <w:sz w:val="22"/>
          <w:szCs w:val="22"/>
        </w:rPr>
      </w:pPr>
    </w:p>
    <w:p w:rsidR="005A3173" w:rsidRPr="00882085" w:rsidRDefault="005A3173" w:rsidP="00D84934">
      <w:pPr>
        <w:pStyle w:val="NoSpacing"/>
      </w:pPr>
    </w:p>
    <w:p w:rsidR="00834A38" w:rsidRPr="00834A38" w:rsidRDefault="00834A38" w:rsidP="00B3204A">
      <w:pPr>
        <w:pStyle w:val="Heading1"/>
        <w:rPr>
          <w:i/>
        </w:rPr>
      </w:pPr>
      <w:r>
        <w:t>Consideration of the evidence</w:t>
      </w:r>
    </w:p>
    <w:p w:rsidR="00EF44CF" w:rsidRDefault="00EF44CF" w:rsidP="00EF44CF">
      <w:pPr>
        <w:widowControl w:val="0"/>
        <w:jc w:val="both"/>
        <w:rPr>
          <w:rFonts w:ascii="Arial" w:hAnsi="Arial" w:cs="Arial"/>
          <w:b/>
          <w:bCs/>
          <w:i/>
          <w:snapToGrid w:val="0"/>
          <w:sz w:val="22"/>
          <w:szCs w:val="22"/>
        </w:rPr>
      </w:pPr>
    </w:p>
    <w:p w:rsidR="00EF44CF" w:rsidRPr="00AD32CF" w:rsidRDefault="00EF44CF" w:rsidP="00EF44CF">
      <w:pPr>
        <w:widowControl w:val="0"/>
        <w:spacing w:after="200" w:line="276" w:lineRule="auto"/>
        <w:jc w:val="both"/>
        <w:rPr>
          <w:rFonts w:ascii="Arial" w:hAnsi="Arial" w:cs="Arial"/>
          <w:b/>
          <w:bCs/>
          <w:i/>
          <w:snapToGrid w:val="0"/>
          <w:sz w:val="22"/>
          <w:szCs w:val="22"/>
        </w:rPr>
      </w:pPr>
      <w:r w:rsidRPr="00AD32CF">
        <w:rPr>
          <w:rFonts w:ascii="Arial" w:hAnsi="Arial" w:cs="Arial"/>
          <w:b/>
          <w:bCs/>
          <w:i/>
          <w:snapToGrid w:val="0"/>
          <w:sz w:val="22"/>
          <w:szCs w:val="22"/>
        </w:rPr>
        <w:t>Sponsor hearing</w:t>
      </w:r>
    </w:p>
    <w:p w:rsidR="00EF44CF" w:rsidRPr="00AD32CF" w:rsidRDefault="00EF44CF" w:rsidP="00B3204A">
      <w:pPr>
        <w:widowControl w:val="0"/>
        <w:numPr>
          <w:ilvl w:val="1"/>
          <w:numId w:val="1"/>
        </w:numPr>
        <w:contextualSpacing/>
        <w:jc w:val="both"/>
        <w:rPr>
          <w:rFonts w:ascii="Arial" w:hAnsi="Arial" w:cs="Arial"/>
          <w:bCs/>
          <w:snapToGrid w:val="0"/>
          <w:sz w:val="22"/>
          <w:szCs w:val="22"/>
        </w:rPr>
      </w:pPr>
      <w:r w:rsidRPr="00AD32CF">
        <w:rPr>
          <w:rFonts w:ascii="Arial" w:hAnsi="Arial" w:cs="Arial"/>
          <w:bCs/>
          <w:snapToGrid w:val="0"/>
          <w:sz w:val="22"/>
          <w:szCs w:val="22"/>
        </w:rPr>
        <w:t>There was no hearing for this item as it was a minor submission.</w:t>
      </w:r>
    </w:p>
    <w:p w:rsidR="00EF44CF" w:rsidRDefault="00EF44CF" w:rsidP="00EF44CF">
      <w:pPr>
        <w:jc w:val="both"/>
        <w:rPr>
          <w:rFonts w:ascii="Arial" w:hAnsi="Arial" w:cs="Arial"/>
          <w:bCs/>
          <w:snapToGrid w:val="0"/>
          <w:sz w:val="22"/>
          <w:szCs w:val="22"/>
        </w:rPr>
      </w:pPr>
    </w:p>
    <w:p w:rsidR="00EF44CF" w:rsidRPr="0035635D" w:rsidRDefault="00EF44CF" w:rsidP="00B853CB">
      <w:pPr>
        <w:keepNext/>
        <w:jc w:val="both"/>
        <w:rPr>
          <w:rFonts w:ascii="Arial" w:hAnsi="Arial" w:cs="Arial"/>
          <w:b/>
          <w:bCs/>
          <w:i/>
          <w:snapToGrid w:val="0"/>
          <w:sz w:val="22"/>
          <w:szCs w:val="22"/>
        </w:rPr>
      </w:pPr>
      <w:r>
        <w:rPr>
          <w:rFonts w:ascii="Arial" w:hAnsi="Arial" w:cs="Arial"/>
          <w:b/>
          <w:bCs/>
          <w:i/>
          <w:snapToGrid w:val="0"/>
          <w:sz w:val="22"/>
          <w:szCs w:val="22"/>
        </w:rPr>
        <w:t xml:space="preserve">Consumer comments </w:t>
      </w:r>
    </w:p>
    <w:p w:rsidR="00EF44CF" w:rsidRPr="00733212" w:rsidRDefault="00EF44CF" w:rsidP="00EF44CF">
      <w:pPr>
        <w:jc w:val="both"/>
        <w:rPr>
          <w:rFonts w:ascii="Arial" w:hAnsi="Arial" w:cs="Arial"/>
          <w:bCs/>
          <w:snapToGrid w:val="0"/>
          <w:sz w:val="22"/>
          <w:szCs w:val="22"/>
        </w:rPr>
      </w:pPr>
    </w:p>
    <w:p w:rsidR="00EF44CF" w:rsidRPr="00733212" w:rsidRDefault="00733212" w:rsidP="00B3204A">
      <w:pPr>
        <w:pStyle w:val="ListParagraph"/>
        <w:numPr>
          <w:ilvl w:val="1"/>
          <w:numId w:val="1"/>
        </w:numPr>
        <w:rPr>
          <w:rFonts w:ascii="Arial" w:hAnsi="Arial" w:cs="Arial"/>
          <w:bCs/>
          <w:snapToGrid w:val="0"/>
          <w:sz w:val="22"/>
          <w:szCs w:val="22"/>
        </w:rPr>
      </w:pPr>
      <w:r w:rsidRPr="00733212">
        <w:rPr>
          <w:rFonts w:ascii="Arial" w:hAnsi="Arial" w:cs="Arial"/>
          <w:bCs/>
          <w:snapToGrid w:val="0"/>
          <w:sz w:val="22"/>
          <w:szCs w:val="22"/>
        </w:rPr>
        <w:t>The PBAC noted that no consumer comments were received for this item.</w:t>
      </w:r>
    </w:p>
    <w:p w:rsidR="00834A38" w:rsidRPr="00EF44CF" w:rsidRDefault="00834A38" w:rsidP="00EF44CF">
      <w:pPr>
        <w:rPr>
          <w:rFonts w:ascii="Arial" w:hAnsi="Arial"/>
          <w:b/>
          <w:sz w:val="22"/>
          <w:szCs w:val="22"/>
        </w:rPr>
      </w:pPr>
    </w:p>
    <w:p w:rsidR="00834A38" w:rsidRPr="00305A6C" w:rsidRDefault="00834A38" w:rsidP="00305A6C">
      <w:pPr>
        <w:rPr>
          <w:rFonts w:ascii="Arial" w:hAnsi="Arial"/>
          <w:i/>
          <w:sz w:val="22"/>
          <w:szCs w:val="22"/>
        </w:rPr>
      </w:pPr>
      <w:r w:rsidRPr="00305A6C">
        <w:rPr>
          <w:rFonts w:ascii="Arial" w:hAnsi="Arial"/>
          <w:b/>
          <w:i/>
          <w:sz w:val="22"/>
          <w:szCs w:val="22"/>
        </w:rPr>
        <w:t>Economic analysis</w:t>
      </w:r>
    </w:p>
    <w:p w:rsidR="00834A38" w:rsidRPr="00476245" w:rsidRDefault="00834A38" w:rsidP="00834A38">
      <w:pPr>
        <w:pStyle w:val="ListParagraph"/>
        <w:jc w:val="both"/>
        <w:rPr>
          <w:rFonts w:ascii="Arial" w:hAnsi="Arial"/>
          <w:i/>
          <w:sz w:val="22"/>
          <w:szCs w:val="22"/>
        </w:rPr>
      </w:pPr>
    </w:p>
    <w:p w:rsidR="00EE1924" w:rsidRPr="0004231E" w:rsidRDefault="00EE1924" w:rsidP="00B3204A">
      <w:pPr>
        <w:pStyle w:val="ListParagraph"/>
        <w:numPr>
          <w:ilvl w:val="1"/>
          <w:numId w:val="1"/>
        </w:numPr>
        <w:jc w:val="both"/>
        <w:rPr>
          <w:rFonts w:ascii="Arial" w:hAnsi="Arial"/>
          <w:color w:val="FF00FF"/>
          <w:sz w:val="22"/>
          <w:szCs w:val="22"/>
        </w:rPr>
      </w:pPr>
      <w:r w:rsidRPr="002114F4">
        <w:rPr>
          <w:rFonts w:ascii="Arial" w:hAnsi="Arial"/>
          <w:sz w:val="22"/>
          <w:szCs w:val="22"/>
        </w:rPr>
        <w:t>As a minor submission, there was no economic comparison presented</w:t>
      </w:r>
      <w:r>
        <w:rPr>
          <w:rFonts w:ascii="Arial" w:hAnsi="Arial"/>
          <w:sz w:val="22"/>
          <w:szCs w:val="22"/>
        </w:rPr>
        <w:t>.</w:t>
      </w:r>
    </w:p>
    <w:p w:rsidR="0004231E" w:rsidRPr="00A23CE6" w:rsidRDefault="0004231E" w:rsidP="0004231E">
      <w:pPr>
        <w:pStyle w:val="ListParagraph"/>
        <w:jc w:val="both"/>
        <w:rPr>
          <w:rFonts w:ascii="Arial" w:hAnsi="Arial"/>
          <w:color w:val="FF00FF"/>
          <w:sz w:val="22"/>
          <w:szCs w:val="22"/>
        </w:rPr>
      </w:pPr>
    </w:p>
    <w:p w:rsidR="00A23CE6" w:rsidRPr="006C64F7" w:rsidRDefault="00A23CE6" w:rsidP="00B3204A">
      <w:pPr>
        <w:pStyle w:val="ListParagraph"/>
        <w:numPr>
          <w:ilvl w:val="1"/>
          <w:numId w:val="1"/>
        </w:numPr>
        <w:jc w:val="both"/>
        <w:rPr>
          <w:rFonts w:ascii="Arial" w:hAnsi="Arial"/>
          <w:color w:val="FF00FF"/>
          <w:sz w:val="22"/>
          <w:szCs w:val="22"/>
        </w:rPr>
      </w:pPr>
      <w:r>
        <w:rPr>
          <w:rFonts w:ascii="Arial" w:hAnsi="Arial"/>
          <w:sz w:val="22"/>
          <w:szCs w:val="22"/>
        </w:rPr>
        <w:lastRenderedPageBreak/>
        <w:t xml:space="preserve">The </w:t>
      </w:r>
      <w:r w:rsidR="00C24569">
        <w:rPr>
          <w:rFonts w:ascii="Arial" w:hAnsi="Arial"/>
          <w:sz w:val="22"/>
          <w:szCs w:val="22"/>
        </w:rPr>
        <w:t>submission assume</w:t>
      </w:r>
      <w:r w:rsidR="00B853CB">
        <w:rPr>
          <w:rFonts w:ascii="Arial" w:hAnsi="Arial"/>
          <w:sz w:val="22"/>
          <w:szCs w:val="22"/>
        </w:rPr>
        <w:t>d</w:t>
      </w:r>
      <w:r w:rsidR="00C24569">
        <w:rPr>
          <w:rFonts w:ascii="Arial" w:hAnsi="Arial"/>
          <w:sz w:val="22"/>
          <w:szCs w:val="22"/>
        </w:rPr>
        <w:t xml:space="preserve"> the listing of morphine </w:t>
      </w:r>
      <w:r w:rsidR="006578C3">
        <w:rPr>
          <w:rFonts w:ascii="Arial" w:hAnsi="Arial"/>
          <w:sz w:val="22"/>
          <w:szCs w:val="22"/>
        </w:rPr>
        <w:t>(</w:t>
      </w:r>
      <w:r w:rsidR="00DF486D">
        <w:rPr>
          <w:rFonts w:ascii="Arial" w:hAnsi="Arial" w:cs="Arial"/>
          <w:sz w:val="22"/>
          <w:szCs w:val="22"/>
        </w:rPr>
        <w:t xml:space="preserve">as </w:t>
      </w:r>
      <w:r w:rsidR="006578C3">
        <w:rPr>
          <w:rFonts w:ascii="Arial" w:hAnsi="Arial" w:cs="Arial"/>
          <w:sz w:val="22"/>
          <w:szCs w:val="22"/>
        </w:rPr>
        <w:t xml:space="preserve">morphine </w:t>
      </w:r>
      <w:r w:rsidR="006578C3">
        <w:rPr>
          <w:rFonts w:ascii="Arial" w:hAnsi="Arial"/>
          <w:sz w:val="22"/>
          <w:szCs w:val="22"/>
        </w:rPr>
        <w:t xml:space="preserve">hydrochloride) </w:t>
      </w:r>
      <w:r w:rsidR="00C24569">
        <w:rPr>
          <w:rFonts w:ascii="Arial" w:hAnsi="Arial"/>
          <w:sz w:val="22"/>
          <w:szCs w:val="22"/>
        </w:rPr>
        <w:t xml:space="preserve">to be </w:t>
      </w:r>
      <w:r w:rsidR="00C24569" w:rsidRPr="00151A8D">
        <w:rPr>
          <w:rFonts w:ascii="Arial" w:hAnsi="Arial"/>
          <w:sz w:val="22"/>
          <w:szCs w:val="22"/>
        </w:rPr>
        <w:t>cost neutral</w:t>
      </w:r>
      <w:r w:rsidR="00C24569">
        <w:rPr>
          <w:rFonts w:ascii="Arial" w:hAnsi="Arial"/>
          <w:sz w:val="22"/>
          <w:szCs w:val="22"/>
        </w:rPr>
        <w:t xml:space="preserve"> as it </w:t>
      </w:r>
      <w:r w:rsidR="00B853CB">
        <w:rPr>
          <w:rFonts w:ascii="Arial" w:hAnsi="Arial"/>
          <w:sz w:val="22"/>
          <w:szCs w:val="22"/>
        </w:rPr>
        <w:t>wa</w:t>
      </w:r>
      <w:r w:rsidR="00C24569">
        <w:rPr>
          <w:rFonts w:ascii="Arial" w:hAnsi="Arial"/>
          <w:sz w:val="22"/>
          <w:szCs w:val="22"/>
        </w:rPr>
        <w:t xml:space="preserve">s calculated on a “pricing per mg” basis </w:t>
      </w:r>
      <w:r w:rsidR="002227F7">
        <w:rPr>
          <w:rFonts w:ascii="Arial" w:hAnsi="Arial"/>
          <w:sz w:val="22"/>
          <w:szCs w:val="22"/>
        </w:rPr>
        <w:t>as the</w:t>
      </w:r>
      <w:r w:rsidR="006578C3">
        <w:rPr>
          <w:rFonts w:ascii="Arial" w:hAnsi="Arial"/>
          <w:sz w:val="22"/>
          <w:szCs w:val="22"/>
        </w:rPr>
        <w:t xml:space="preserve"> currently listed</w:t>
      </w:r>
      <w:r w:rsidR="002227F7">
        <w:rPr>
          <w:rFonts w:ascii="Arial" w:hAnsi="Arial"/>
          <w:sz w:val="22"/>
          <w:szCs w:val="22"/>
        </w:rPr>
        <w:t xml:space="preserve"> </w:t>
      </w:r>
      <w:r w:rsidR="00DF486D">
        <w:rPr>
          <w:rFonts w:ascii="Arial" w:hAnsi="Arial"/>
          <w:sz w:val="22"/>
          <w:szCs w:val="22"/>
        </w:rPr>
        <w:t xml:space="preserve">forms of </w:t>
      </w:r>
      <w:r w:rsidR="002227F7">
        <w:rPr>
          <w:rFonts w:ascii="Arial" w:hAnsi="Arial"/>
          <w:sz w:val="22"/>
          <w:szCs w:val="22"/>
        </w:rPr>
        <w:t xml:space="preserve">morphine </w:t>
      </w:r>
      <w:r w:rsidR="006578C3">
        <w:rPr>
          <w:rFonts w:ascii="Arial" w:hAnsi="Arial"/>
          <w:sz w:val="22"/>
          <w:szCs w:val="22"/>
        </w:rPr>
        <w:t>(</w:t>
      </w:r>
      <w:r w:rsidR="00DF486D">
        <w:rPr>
          <w:rFonts w:ascii="Arial" w:hAnsi="Arial" w:cs="Arial"/>
          <w:sz w:val="22"/>
          <w:szCs w:val="22"/>
        </w:rPr>
        <w:t xml:space="preserve">as </w:t>
      </w:r>
      <w:r w:rsidR="006578C3">
        <w:rPr>
          <w:rFonts w:ascii="Arial" w:hAnsi="Arial" w:cs="Arial"/>
          <w:sz w:val="22"/>
          <w:szCs w:val="22"/>
        </w:rPr>
        <w:t xml:space="preserve">morphine sulfate) </w:t>
      </w:r>
      <w:r w:rsidR="00E85DE8">
        <w:rPr>
          <w:rFonts w:ascii="Arial" w:hAnsi="Arial"/>
          <w:sz w:val="22"/>
          <w:szCs w:val="22"/>
        </w:rPr>
        <w:t>as per the following</w:t>
      </w:r>
      <w:r w:rsidR="00DF486D">
        <w:rPr>
          <w:rFonts w:ascii="Arial" w:hAnsi="Arial"/>
          <w:sz w:val="22"/>
          <w:szCs w:val="22"/>
        </w:rPr>
        <w:t>:</w:t>
      </w:r>
    </w:p>
    <w:p w:rsidR="005B0989" w:rsidRDefault="005B0989" w:rsidP="005B0989">
      <w:pPr>
        <w:pStyle w:val="ListParagraph"/>
        <w:jc w:val="both"/>
        <w:rPr>
          <w:rFonts w:ascii="Arial" w:hAnsi="Arial"/>
          <w:sz w:val="22"/>
          <w:szCs w:val="22"/>
        </w:rPr>
      </w:pPr>
      <w:r>
        <w:rPr>
          <w:rFonts w:ascii="Arial" w:hAnsi="Arial"/>
          <w:sz w:val="22"/>
          <w:szCs w:val="22"/>
        </w:rPr>
        <w:t>10 mg/mL - s</w:t>
      </w:r>
      <w:r w:rsidR="00E47470">
        <w:rPr>
          <w:rFonts w:ascii="Arial" w:hAnsi="Arial"/>
          <w:sz w:val="22"/>
          <w:szCs w:val="22"/>
        </w:rPr>
        <w:t>ame price as the morphine sulfa</w:t>
      </w:r>
      <w:r>
        <w:rPr>
          <w:rFonts w:ascii="Arial" w:hAnsi="Arial"/>
          <w:sz w:val="22"/>
          <w:szCs w:val="22"/>
        </w:rPr>
        <w:t>te 10 mg/mL</w:t>
      </w:r>
    </w:p>
    <w:p w:rsidR="005B0989" w:rsidRDefault="005B0989" w:rsidP="005B0989">
      <w:pPr>
        <w:pStyle w:val="ListParagraph"/>
        <w:jc w:val="both"/>
        <w:rPr>
          <w:rFonts w:ascii="Arial" w:hAnsi="Arial"/>
          <w:sz w:val="22"/>
          <w:szCs w:val="22"/>
        </w:rPr>
      </w:pPr>
      <w:r>
        <w:rPr>
          <w:rFonts w:ascii="Arial" w:hAnsi="Arial"/>
          <w:sz w:val="22"/>
          <w:szCs w:val="22"/>
        </w:rPr>
        <w:t xml:space="preserve">20 mg/mL - </w:t>
      </w:r>
      <w:r w:rsidR="00E47470">
        <w:rPr>
          <w:rFonts w:ascii="Arial" w:hAnsi="Arial"/>
          <w:sz w:val="22"/>
          <w:szCs w:val="22"/>
        </w:rPr>
        <w:t>same price as the morphine sulf</w:t>
      </w:r>
      <w:r>
        <w:rPr>
          <w:rFonts w:ascii="Arial" w:hAnsi="Arial"/>
          <w:sz w:val="22"/>
          <w:szCs w:val="22"/>
        </w:rPr>
        <w:t>ate 15 mg/mL</w:t>
      </w:r>
    </w:p>
    <w:p w:rsidR="005B0989" w:rsidRDefault="005B0989" w:rsidP="005B0989">
      <w:pPr>
        <w:pStyle w:val="ListParagraph"/>
        <w:jc w:val="both"/>
        <w:rPr>
          <w:rFonts w:ascii="Arial" w:hAnsi="Arial"/>
          <w:sz w:val="22"/>
          <w:szCs w:val="22"/>
        </w:rPr>
      </w:pPr>
      <w:r>
        <w:rPr>
          <w:rFonts w:ascii="Arial" w:hAnsi="Arial"/>
          <w:sz w:val="22"/>
          <w:szCs w:val="22"/>
        </w:rPr>
        <w:t xml:space="preserve">50 mg/mL - </w:t>
      </w:r>
      <w:r w:rsidR="00E47470">
        <w:rPr>
          <w:rFonts w:ascii="Arial" w:hAnsi="Arial"/>
          <w:sz w:val="22"/>
          <w:szCs w:val="22"/>
        </w:rPr>
        <w:t>same price as the morphine sulf</w:t>
      </w:r>
      <w:r>
        <w:rPr>
          <w:rFonts w:ascii="Arial" w:hAnsi="Arial"/>
          <w:sz w:val="22"/>
          <w:szCs w:val="22"/>
        </w:rPr>
        <w:t>ate 30 mg/mL</w:t>
      </w:r>
    </w:p>
    <w:p w:rsidR="005B0989" w:rsidRDefault="005B0989" w:rsidP="005B0989">
      <w:pPr>
        <w:pStyle w:val="ListParagraph"/>
        <w:jc w:val="both"/>
        <w:rPr>
          <w:rFonts w:ascii="Arial" w:hAnsi="Arial"/>
          <w:sz w:val="22"/>
          <w:szCs w:val="22"/>
        </w:rPr>
      </w:pPr>
      <w:r>
        <w:rPr>
          <w:rFonts w:ascii="Arial" w:hAnsi="Arial"/>
          <w:sz w:val="22"/>
          <w:szCs w:val="22"/>
        </w:rPr>
        <w:t xml:space="preserve">100 mg/mL - </w:t>
      </w:r>
      <w:r w:rsidR="00E47470">
        <w:rPr>
          <w:rFonts w:ascii="Arial" w:hAnsi="Arial"/>
          <w:sz w:val="22"/>
          <w:szCs w:val="22"/>
        </w:rPr>
        <w:t>same price as the morphine sulf</w:t>
      </w:r>
      <w:r>
        <w:rPr>
          <w:rFonts w:ascii="Arial" w:hAnsi="Arial"/>
          <w:sz w:val="22"/>
          <w:szCs w:val="22"/>
        </w:rPr>
        <w:t>ate 30 mg/mL</w:t>
      </w:r>
    </w:p>
    <w:p w:rsidR="00280E5B" w:rsidRDefault="00280E5B" w:rsidP="005B0989">
      <w:pPr>
        <w:pStyle w:val="ListParagraph"/>
        <w:jc w:val="both"/>
        <w:rPr>
          <w:rFonts w:ascii="Arial" w:hAnsi="Arial"/>
          <w:sz w:val="22"/>
          <w:szCs w:val="22"/>
        </w:rPr>
      </w:pPr>
    </w:p>
    <w:p w:rsidR="00EF44CF" w:rsidRPr="00EF44CF" w:rsidRDefault="00E66B6A" w:rsidP="00B3204A">
      <w:pPr>
        <w:pStyle w:val="ListParagraph"/>
        <w:numPr>
          <w:ilvl w:val="1"/>
          <w:numId w:val="1"/>
        </w:numPr>
        <w:jc w:val="both"/>
        <w:rPr>
          <w:rFonts w:ascii="Arial" w:hAnsi="Arial"/>
          <w:sz w:val="22"/>
          <w:szCs w:val="22"/>
        </w:rPr>
      </w:pPr>
      <w:r w:rsidRPr="00EF44CF">
        <w:rPr>
          <w:rFonts w:ascii="Arial" w:hAnsi="Arial"/>
          <w:sz w:val="22"/>
          <w:szCs w:val="22"/>
        </w:rPr>
        <w:t>The price of the 10</w:t>
      </w:r>
      <w:r w:rsidR="00B853CB">
        <w:rPr>
          <w:rFonts w:ascii="Arial" w:hAnsi="Arial"/>
          <w:sz w:val="22"/>
          <w:szCs w:val="22"/>
        </w:rPr>
        <w:t> </w:t>
      </w:r>
      <w:r w:rsidRPr="00EF44CF">
        <w:rPr>
          <w:rFonts w:ascii="Arial" w:hAnsi="Arial"/>
          <w:sz w:val="22"/>
          <w:szCs w:val="22"/>
        </w:rPr>
        <w:t>mg/mL vial is appropriate; however the price calculations for the larger vials do not take into account the price per mg of the currently listed 120</w:t>
      </w:r>
      <w:r w:rsidR="00B853CB">
        <w:rPr>
          <w:rFonts w:ascii="Arial" w:hAnsi="Arial"/>
          <w:sz w:val="22"/>
          <w:szCs w:val="22"/>
        </w:rPr>
        <w:t> </w:t>
      </w:r>
      <w:r w:rsidRPr="00EF44CF">
        <w:rPr>
          <w:rFonts w:ascii="Arial" w:hAnsi="Arial"/>
          <w:sz w:val="22"/>
          <w:szCs w:val="22"/>
        </w:rPr>
        <w:t>mg/1.5</w:t>
      </w:r>
      <w:r w:rsidR="00B853CB">
        <w:rPr>
          <w:rFonts w:ascii="Arial" w:hAnsi="Arial"/>
          <w:sz w:val="22"/>
          <w:szCs w:val="22"/>
        </w:rPr>
        <w:t> </w:t>
      </w:r>
      <w:r w:rsidRPr="00EF44CF">
        <w:rPr>
          <w:rFonts w:ascii="Arial" w:hAnsi="Arial"/>
          <w:sz w:val="22"/>
          <w:szCs w:val="22"/>
        </w:rPr>
        <w:t>mL vial containing morphine tartrate, which is lower than the price per mg of morphine sulfate 30</w:t>
      </w:r>
      <w:r w:rsidR="00B853CB">
        <w:rPr>
          <w:rFonts w:ascii="Arial" w:hAnsi="Arial"/>
          <w:sz w:val="22"/>
          <w:szCs w:val="22"/>
        </w:rPr>
        <w:t> </w:t>
      </w:r>
      <w:r w:rsidRPr="00EF44CF">
        <w:rPr>
          <w:rFonts w:ascii="Arial" w:hAnsi="Arial"/>
          <w:sz w:val="22"/>
          <w:szCs w:val="22"/>
        </w:rPr>
        <w:t>mg/mL (see table below).</w:t>
      </w:r>
      <w:r w:rsidR="009C6E55" w:rsidRPr="00EF44CF">
        <w:rPr>
          <w:rFonts w:ascii="Arial" w:hAnsi="Arial"/>
          <w:sz w:val="22"/>
          <w:szCs w:val="22"/>
        </w:rPr>
        <w:t xml:space="preserve"> To be cost neutral</w:t>
      </w:r>
      <w:r w:rsidR="00834A38" w:rsidRPr="00EF44CF">
        <w:rPr>
          <w:rFonts w:ascii="Arial" w:hAnsi="Arial"/>
          <w:sz w:val="22"/>
          <w:szCs w:val="22"/>
        </w:rPr>
        <w:t>,</w:t>
      </w:r>
      <w:r w:rsidR="009C6E55" w:rsidRPr="00EF44CF">
        <w:rPr>
          <w:rFonts w:ascii="Arial" w:hAnsi="Arial"/>
          <w:sz w:val="22"/>
          <w:szCs w:val="22"/>
        </w:rPr>
        <w:t xml:space="preserve"> the prices of the new forms would need to be adjusted to ensure they have the same relationship on a price per mg as the currently listed forms.</w:t>
      </w:r>
    </w:p>
    <w:p w:rsidR="00EF44CF" w:rsidRDefault="00EF44CF" w:rsidP="00EF44CF">
      <w:pPr>
        <w:jc w:val="both"/>
        <w:rPr>
          <w:rFonts w:ascii="Arial" w:hAnsi="Arial"/>
          <w:i/>
          <w:sz w:val="22"/>
          <w:szCs w:val="22"/>
        </w:rPr>
      </w:pPr>
    </w:p>
    <w:p w:rsidR="00EF44CF" w:rsidRPr="006578C3" w:rsidRDefault="00EF44CF" w:rsidP="00EF44CF">
      <w:pPr>
        <w:ind w:firstLine="709"/>
        <w:jc w:val="both"/>
        <w:rPr>
          <w:rFonts w:ascii="Arial Narrow" w:hAnsi="Arial Narrow"/>
          <w:b/>
          <w:sz w:val="20"/>
        </w:rPr>
      </w:pPr>
      <w:r w:rsidRPr="006578C3">
        <w:rPr>
          <w:rFonts w:ascii="Arial Narrow" w:hAnsi="Arial Narrow"/>
          <w:b/>
          <w:sz w:val="20"/>
        </w:rPr>
        <w:t>Table 1: Price per mg of currently listed forms of morphine injection</w:t>
      </w:r>
    </w:p>
    <w:tbl>
      <w:tblPr>
        <w:tblStyle w:val="TableGrid"/>
        <w:tblW w:w="4558" w:type="pct"/>
        <w:tblInd w:w="817" w:type="dxa"/>
        <w:tblLook w:val="04A0" w:firstRow="1" w:lastRow="0" w:firstColumn="1" w:lastColumn="0" w:noHBand="0" w:noVBand="1"/>
        <w:tblCaption w:val="Price per mg of c urrently listed forms of morphine injection"/>
      </w:tblPr>
      <w:tblGrid>
        <w:gridCol w:w="4961"/>
        <w:gridCol w:w="3464"/>
      </w:tblGrid>
      <w:tr w:rsidR="00EF44CF" w:rsidRPr="006578C3" w:rsidTr="00D4620A">
        <w:trPr>
          <w:tblHeader/>
        </w:trPr>
        <w:tc>
          <w:tcPr>
            <w:tcW w:w="2944" w:type="pct"/>
          </w:tcPr>
          <w:p w:rsidR="00EF44CF" w:rsidRPr="006578C3" w:rsidRDefault="00EF44CF" w:rsidP="00B0449F">
            <w:pPr>
              <w:jc w:val="center"/>
              <w:rPr>
                <w:rFonts w:ascii="Arial Narrow" w:hAnsi="Arial Narrow"/>
                <w:b/>
                <w:sz w:val="20"/>
              </w:rPr>
            </w:pPr>
            <w:r w:rsidRPr="006578C3">
              <w:rPr>
                <w:rFonts w:ascii="Arial Narrow" w:hAnsi="Arial Narrow"/>
                <w:b/>
                <w:sz w:val="20"/>
              </w:rPr>
              <w:t>Form</w:t>
            </w:r>
          </w:p>
        </w:tc>
        <w:tc>
          <w:tcPr>
            <w:tcW w:w="2056" w:type="pct"/>
          </w:tcPr>
          <w:p w:rsidR="00EF44CF" w:rsidRPr="006578C3" w:rsidRDefault="00EF44CF" w:rsidP="00B0449F">
            <w:pPr>
              <w:jc w:val="center"/>
              <w:rPr>
                <w:rFonts w:ascii="Arial Narrow" w:hAnsi="Arial Narrow"/>
                <w:b/>
                <w:sz w:val="20"/>
              </w:rPr>
            </w:pPr>
            <w:r w:rsidRPr="006578C3">
              <w:rPr>
                <w:rFonts w:ascii="Arial Narrow" w:hAnsi="Arial Narrow"/>
                <w:b/>
                <w:sz w:val="20"/>
              </w:rPr>
              <w:t>Price per mg</w:t>
            </w:r>
          </w:p>
        </w:tc>
      </w:tr>
      <w:tr w:rsidR="00EF44CF" w:rsidRPr="006578C3" w:rsidTr="00D4620A">
        <w:tc>
          <w:tcPr>
            <w:tcW w:w="2944" w:type="pct"/>
          </w:tcPr>
          <w:p w:rsidR="00EF44CF" w:rsidRPr="006578C3" w:rsidRDefault="00EF44CF" w:rsidP="00B0449F">
            <w:pPr>
              <w:jc w:val="both"/>
              <w:rPr>
                <w:rFonts w:ascii="Arial Narrow" w:hAnsi="Arial Narrow"/>
                <w:sz w:val="20"/>
              </w:rPr>
            </w:pPr>
            <w:r w:rsidRPr="006578C3">
              <w:rPr>
                <w:rFonts w:ascii="Arial Narrow" w:hAnsi="Arial Narrow"/>
                <w:sz w:val="20"/>
              </w:rPr>
              <w:t>morphine sulfate 10 mg/mL</w:t>
            </w:r>
          </w:p>
        </w:tc>
        <w:tc>
          <w:tcPr>
            <w:tcW w:w="2056" w:type="pct"/>
          </w:tcPr>
          <w:p w:rsidR="00EF44CF" w:rsidRPr="006578C3" w:rsidRDefault="00EF44CF" w:rsidP="00FD36BB">
            <w:pPr>
              <w:jc w:val="center"/>
              <w:rPr>
                <w:rFonts w:ascii="Arial Narrow" w:hAnsi="Arial Narrow"/>
                <w:sz w:val="20"/>
              </w:rPr>
            </w:pPr>
            <w:r w:rsidRPr="006578C3">
              <w:rPr>
                <w:rFonts w:ascii="Arial Narrow" w:hAnsi="Arial Narrow"/>
                <w:sz w:val="20"/>
              </w:rPr>
              <w:t>$</w:t>
            </w:r>
            <w:r w:rsidR="00FD36BB">
              <w:rPr>
                <w:rFonts w:ascii="Arial Narrow" w:hAnsi="Arial Narrow"/>
                <w:sz w:val="20"/>
              </w:rPr>
              <w:t>0.14</w:t>
            </w:r>
          </w:p>
        </w:tc>
      </w:tr>
      <w:tr w:rsidR="00EF44CF" w:rsidRPr="006578C3" w:rsidTr="00D4620A">
        <w:tc>
          <w:tcPr>
            <w:tcW w:w="2944" w:type="pct"/>
          </w:tcPr>
          <w:p w:rsidR="00EF44CF" w:rsidRPr="006578C3" w:rsidRDefault="00EF44CF" w:rsidP="00B0449F">
            <w:pPr>
              <w:jc w:val="both"/>
              <w:rPr>
                <w:rFonts w:ascii="Arial Narrow" w:hAnsi="Arial Narrow"/>
                <w:sz w:val="20"/>
              </w:rPr>
            </w:pPr>
            <w:r w:rsidRPr="006578C3">
              <w:rPr>
                <w:rFonts w:ascii="Arial Narrow" w:hAnsi="Arial Narrow"/>
                <w:sz w:val="20"/>
              </w:rPr>
              <w:t>morphine sulfate 15 mg/mL</w:t>
            </w:r>
          </w:p>
        </w:tc>
        <w:tc>
          <w:tcPr>
            <w:tcW w:w="2056" w:type="pct"/>
          </w:tcPr>
          <w:p w:rsidR="00EF44CF" w:rsidRPr="006578C3" w:rsidRDefault="00EF44CF" w:rsidP="00220142">
            <w:pPr>
              <w:jc w:val="center"/>
              <w:rPr>
                <w:rFonts w:ascii="Arial Narrow" w:hAnsi="Arial Narrow"/>
                <w:sz w:val="20"/>
              </w:rPr>
            </w:pPr>
            <w:r w:rsidRPr="006578C3">
              <w:rPr>
                <w:rFonts w:ascii="Arial Narrow" w:hAnsi="Arial Narrow"/>
                <w:sz w:val="20"/>
              </w:rPr>
              <w:t>$</w:t>
            </w:r>
            <w:r w:rsidR="00220142">
              <w:rPr>
                <w:rFonts w:ascii="Arial Narrow" w:hAnsi="Arial Narrow"/>
                <w:sz w:val="20"/>
              </w:rPr>
              <w:t>0.11</w:t>
            </w:r>
          </w:p>
        </w:tc>
      </w:tr>
      <w:tr w:rsidR="00EF44CF" w:rsidRPr="006578C3" w:rsidTr="00D4620A">
        <w:tc>
          <w:tcPr>
            <w:tcW w:w="2944" w:type="pct"/>
          </w:tcPr>
          <w:p w:rsidR="00EF44CF" w:rsidRPr="006578C3" w:rsidRDefault="00EF44CF" w:rsidP="00B0449F">
            <w:pPr>
              <w:jc w:val="both"/>
              <w:rPr>
                <w:rFonts w:ascii="Arial Narrow" w:hAnsi="Arial Narrow"/>
                <w:sz w:val="20"/>
              </w:rPr>
            </w:pPr>
            <w:r w:rsidRPr="006578C3">
              <w:rPr>
                <w:rFonts w:ascii="Arial Narrow" w:hAnsi="Arial Narrow"/>
                <w:sz w:val="20"/>
              </w:rPr>
              <w:t>morphine sulfate 30 mg/mL</w:t>
            </w:r>
          </w:p>
        </w:tc>
        <w:tc>
          <w:tcPr>
            <w:tcW w:w="2056" w:type="pct"/>
          </w:tcPr>
          <w:p w:rsidR="00EF44CF" w:rsidRPr="006578C3" w:rsidRDefault="00EF44CF" w:rsidP="00220142">
            <w:pPr>
              <w:jc w:val="center"/>
              <w:rPr>
                <w:rFonts w:ascii="Arial Narrow" w:hAnsi="Arial Narrow"/>
                <w:sz w:val="20"/>
              </w:rPr>
            </w:pPr>
            <w:r w:rsidRPr="006578C3">
              <w:rPr>
                <w:rFonts w:ascii="Arial Narrow" w:hAnsi="Arial Narrow"/>
                <w:sz w:val="20"/>
              </w:rPr>
              <w:t>$0.</w:t>
            </w:r>
            <w:r w:rsidR="00220142">
              <w:rPr>
                <w:rFonts w:ascii="Arial Narrow" w:hAnsi="Arial Narrow"/>
                <w:sz w:val="20"/>
              </w:rPr>
              <w:t>07</w:t>
            </w:r>
          </w:p>
        </w:tc>
      </w:tr>
      <w:tr w:rsidR="00EF44CF" w:rsidRPr="006578C3" w:rsidTr="00D4620A">
        <w:tc>
          <w:tcPr>
            <w:tcW w:w="2944" w:type="pct"/>
          </w:tcPr>
          <w:p w:rsidR="00EF44CF" w:rsidRPr="006578C3" w:rsidRDefault="00EF44CF" w:rsidP="00B0449F">
            <w:pPr>
              <w:jc w:val="both"/>
              <w:rPr>
                <w:rFonts w:ascii="Arial Narrow" w:hAnsi="Arial Narrow"/>
                <w:sz w:val="20"/>
              </w:rPr>
            </w:pPr>
            <w:r w:rsidRPr="006578C3">
              <w:rPr>
                <w:rFonts w:ascii="Arial Narrow" w:hAnsi="Arial Narrow"/>
                <w:sz w:val="20"/>
              </w:rPr>
              <w:t>morphine tartrate 120mg/1.5</w:t>
            </w:r>
            <w:r w:rsidR="00B853CB" w:rsidRPr="006578C3">
              <w:rPr>
                <w:rFonts w:ascii="Arial Narrow" w:hAnsi="Arial Narrow"/>
                <w:sz w:val="20"/>
              </w:rPr>
              <w:t> </w:t>
            </w:r>
            <w:r w:rsidRPr="006578C3">
              <w:rPr>
                <w:rFonts w:ascii="Arial Narrow" w:hAnsi="Arial Narrow"/>
                <w:sz w:val="20"/>
              </w:rPr>
              <w:t>mL</w:t>
            </w:r>
          </w:p>
        </w:tc>
        <w:tc>
          <w:tcPr>
            <w:tcW w:w="2056" w:type="pct"/>
          </w:tcPr>
          <w:p w:rsidR="00EF44CF" w:rsidRPr="006578C3" w:rsidRDefault="00EF44CF" w:rsidP="00220142">
            <w:pPr>
              <w:jc w:val="center"/>
              <w:rPr>
                <w:rFonts w:ascii="Arial Narrow" w:hAnsi="Arial Narrow"/>
                <w:sz w:val="20"/>
              </w:rPr>
            </w:pPr>
            <w:r w:rsidRPr="006578C3">
              <w:rPr>
                <w:rFonts w:ascii="Arial Narrow" w:hAnsi="Arial Narrow"/>
                <w:sz w:val="20"/>
              </w:rPr>
              <w:t>$0.</w:t>
            </w:r>
            <w:r w:rsidR="00220142">
              <w:rPr>
                <w:rFonts w:ascii="Arial Narrow" w:hAnsi="Arial Narrow"/>
                <w:sz w:val="20"/>
              </w:rPr>
              <w:t>05</w:t>
            </w:r>
          </w:p>
        </w:tc>
      </w:tr>
    </w:tbl>
    <w:p w:rsidR="0055653A" w:rsidRDefault="0055653A" w:rsidP="00B3204A">
      <w:pPr>
        <w:pStyle w:val="NoSpacing"/>
      </w:pPr>
    </w:p>
    <w:p w:rsidR="00EF44CF" w:rsidRPr="009C042C" w:rsidRDefault="00EF44CF" w:rsidP="00B3204A">
      <w:pPr>
        <w:pStyle w:val="NoSpacing"/>
      </w:pPr>
      <w:r w:rsidRPr="009C042C">
        <w:t xml:space="preserve">For more detail on PBAC’s view, see section </w:t>
      </w:r>
      <w:r>
        <w:t>5</w:t>
      </w:r>
      <w:r w:rsidRPr="009C042C">
        <w:t xml:space="preserve"> “PBAC outcome”</w:t>
      </w:r>
    </w:p>
    <w:p w:rsidR="00EF44CF" w:rsidRPr="0055653A" w:rsidRDefault="00EF44CF" w:rsidP="0055653A">
      <w:pPr>
        <w:jc w:val="both"/>
        <w:rPr>
          <w:rFonts w:ascii="Arial" w:hAnsi="Arial"/>
          <w:sz w:val="22"/>
          <w:szCs w:val="22"/>
        </w:rPr>
      </w:pPr>
    </w:p>
    <w:p w:rsidR="00EF44CF" w:rsidRDefault="00EF44CF" w:rsidP="0055653A">
      <w:pPr>
        <w:jc w:val="both"/>
        <w:rPr>
          <w:rFonts w:ascii="Arial" w:hAnsi="Arial"/>
          <w:i/>
          <w:sz w:val="22"/>
          <w:szCs w:val="22"/>
        </w:rPr>
      </w:pPr>
    </w:p>
    <w:p w:rsidR="00EF44CF" w:rsidRPr="00882085" w:rsidRDefault="00EF44CF" w:rsidP="00B3204A">
      <w:pPr>
        <w:pStyle w:val="Heading1"/>
        <w:rPr>
          <w:b w:val="0"/>
        </w:rPr>
      </w:pPr>
      <w:r>
        <w:t>PBAC outcome</w:t>
      </w:r>
    </w:p>
    <w:p w:rsidR="00EF44CF" w:rsidRDefault="00EF44CF" w:rsidP="00EF44CF">
      <w:pPr>
        <w:keepNext/>
        <w:jc w:val="both"/>
        <w:rPr>
          <w:rFonts w:ascii="Arial" w:hAnsi="Arial"/>
          <w:sz w:val="22"/>
          <w:szCs w:val="22"/>
        </w:rPr>
      </w:pPr>
    </w:p>
    <w:p w:rsidR="00EF44CF" w:rsidRPr="007138DB" w:rsidRDefault="00EF44CF" w:rsidP="00B3204A">
      <w:pPr>
        <w:pStyle w:val="ListParagraph"/>
        <w:numPr>
          <w:ilvl w:val="1"/>
          <w:numId w:val="1"/>
        </w:numPr>
        <w:jc w:val="both"/>
        <w:rPr>
          <w:rFonts w:ascii="Arial" w:hAnsi="Arial" w:cs="Arial"/>
          <w:i/>
          <w:sz w:val="22"/>
          <w:szCs w:val="22"/>
        </w:rPr>
      </w:pPr>
      <w:r w:rsidRPr="0059489B">
        <w:rPr>
          <w:rFonts w:ascii="Arial" w:hAnsi="Arial" w:cs="Arial"/>
          <w:bCs/>
          <w:snapToGrid w:val="0"/>
          <w:sz w:val="22"/>
          <w:szCs w:val="22"/>
          <w:lang w:val="en-GB"/>
        </w:rPr>
        <w:t>The PBA</w:t>
      </w:r>
      <w:r>
        <w:rPr>
          <w:rFonts w:ascii="Arial" w:hAnsi="Arial" w:cs="Arial"/>
          <w:bCs/>
          <w:snapToGrid w:val="0"/>
          <w:sz w:val="22"/>
          <w:szCs w:val="22"/>
          <w:lang w:val="en-GB"/>
        </w:rPr>
        <w:t xml:space="preserve">C recommended listing the </w:t>
      </w:r>
      <w:r>
        <w:rPr>
          <w:rFonts w:ascii="Arial" w:hAnsi="Arial"/>
          <w:sz w:val="22"/>
          <w:szCs w:val="22"/>
        </w:rPr>
        <w:t>10 mg/mL, 20 mg/mL, 50 mg/5 mL, and 100</w:t>
      </w:r>
      <w:r w:rsidR="00B853CB">
        <w:rPr>
          <w:rFonts w:ascii="Arial" w:hAnsi="Arial"/>
          <w:sz w:val="22"/>
          <w:szCs w:val="22"/>
        </w:rPr>
        <w:t> </w:t>
      </w:r>
      <w:r>
        <w:rPr>
          <w:rFonts w:ascii="Arial" w:hAnsi="Arial"/>
          <w:sz w:val="22"/>
          <w:szCs w:val="22"/>
        </w:rPr>
        <w:t>mg/5 mL strengths</w:t>
      </w:r>
      <w:r>
        <w:rPr>
          <w:rFonts w:ascii="Arial" w:hAnsi="Arial" w:cs="Arial"/>
          <w:bCs/>
          <w:snapToGrid w:val="0"/>
          <w:sz w:val="22"/>
          <w:szCs w:val="22"/>
          <w:lang w:val="en-GB"/>
        </w:rPr>
        <w:t xml:space="preserve"> of morphine </w:t>
      </w:r>
      <w:r w:rsidR="00CA6581">
        <w:rPr>
          <w:rFonts w:ascii="Arial" w:hAnsi="Arial" w:cs="Arial"/>
          <w:bCs/>
          <w:snapToGrid w:val="0"/>
          <w:sz w:val="22"/>
          <w:szCs w:val="22"/>
          <w:lang w:val="en-GB"/>
        </w:rPr>
        <w:t xml:space="preserve">(as morphine hydrochloride) </w:t>
      </w:r>
      <w:r>
        <w:rPr>
          <w:rFonts w:ascii="Arial" w:hAnsi="Arial" w:cs="Arial"/>
          <w:bCs/>
          <w:snapToGrid w:val="0"/>
          <w:sz w:val="22"/>
          <w:szCs w:val="22"/>
          <w:lang w:val="en-GB"/>
        </w:rPr>
        <w:t xml:space="preserve">under the same circumstances </w:t>
      </w:r>
      <w:r>
        <w:rPr>
          <w:rFonts w:ascii="Arial" w:hAnsi="Arial"/>
          <w:sz w:val="22"/>
          <w:szCs w:val="22"/>
        </w:rPr>
        <w:t xml:space="preserve">as per the </w:t>
      </w:r>
      <w:r>
        <w:rPr>
          <w:rFonts w:ascii="Arial" w:hAnsi="Arial" w:cs="Arial"/>
          <w:sz w:val="22"/>
          <w:szCs w:val="22"/>
        </w:rPr>
        <w:t>current</w:t>
      </w:r>
      <w:r w:rsidRPr="00DA1D61">
        <w:rPr>
          <w:rFonts w:ascii="Arial" w:hAnsi="Arial" w:cs="Arial"/>
          <w:sz w:val="22"/>
          <w:szCs w:val="22"/>
        </w:rPr>
        <w:t xml:space="preserve"> listing</w:t>
      </w:r>
      <w:r>
        <w:rPr>
          <w:rFonts w:ascii="Arial" w:hAnsi="Arial" w:cs="Arial"/>
          <w:sz w:val="22"/>
          <w:szCs w:val="22"/>
        </w:rPr>
        <w:t xml:space="preserve">s for </w:t>
      </w:r>
      <w:r w:rsidR="006578C3">
        <w:rPr>
          <w:rFonts w:ascii="Arial" w:hAnsi="Arial" w:cs="Arial"/>
          <w:sz w:val="22"/>
          <w:szCs w:val="22"/>
        </w:rPr>
        <w:t>morphine (</w:t>
      </w:r>
      <w:r w:rsidR="00CA6581">
        <w:rPr>
          <w:rFonts w:ascii="Arial" w:hAnsi="Arial" w:cs="Arial"/>
          <w:sz w:val="22"/>
          <w:szCs w:val="22"/>
        </w:rPr>
        <w:t>as</w:t>
      </w:r>
      <w:r w:rsidR="006578C3">
        <w:rPr>
          <w:rFonts w:ascii="Arial" w:hAnsi="Arial" w:cs="Arial"/>
          <w:sz w:val="22"/>
          <w:szCs w:val="22"/>
        </w:rPr>
        <w:t xml:space="preserve"> morphine sulfate and morphine tartrate)</w:t>
      </w:r>
      <w:r>
        <w:rPr>
          <w:rFonts w:ascii="Arial" w:hAnsi="Arial" w:cs="Arial"/>
          <w:sz w:val="22"/>
          <w:szCs w:val="22"/>
        </w:rPr>
        <w:t>.</w:t>
      </w:r>
      <w:r w:rsidR="00B853CB">
        <w:rPr>
          <w:rFonts w:ascii="Arial" w:hAnsi="Arial" w:cs="Arial"/>
          <w:sz w:val="22"/>
          <w:szCs w:val="22"/>
        </w:rPr>
        <w:t xml:space="preserve"> The PBAC recommended that the price of morphine be determined on a price per mg basis in line with </w:t>
      </w:r>
      <w:r w:rsidR="006578C3">
        <w:rPr>
          <w:rFonts w:ascii="Arial" w:hAnsi="Arial" w:cs="Arial"/>
          <w:sz w:val="22"/>
          <w:szCs w:val="22"/>
        </w:rPr>
        <w:t xml:space="preserve">the currently listed injections containing </w:t>
      </w:r>
      <w:r w:rsidR="00B853CB">
        <w:rPr>
          <w:rFonts w:ascii="Arial" w:hAnsi="Arial" w:cs="Arial"/>
          <w:sz w:val="22"/>
          <w:szCs w:val="22"/>
        </w:rPr>
        <w:t xml:space="preserve">morphine sulfate and morphine tartrate, including taking into account the currently listed 120 mg/1.5 mL vial </w:t>
      </w:r>
      <w:r w:rsidR="006578C3">
        <w:rPr>
          <w:rFonts w:ascii="Arial" w:hAnsi="Arial" w:cs="Arial"/>
          <w:sz w:val="22"/>
          <w:szCs w:val="22"/>
        </w:rPr>
        <w:t>containing</w:t>
      </w:r>
      <w:r w:rsidR="00B853CB">
        <w:rPr>
          <w:rFonts w:ascii="Arial" w:hAnsi="Arial" w:cs="Arial"/>
          <w:sz w:val="22"/>
          <w:szCs w:val="22"/>
        </w:rPr>
        <w:t xml:space="preserve"> morphine tartrate.</w:t>
      </w:r>
    </w:p>
    <w:p w:rsidR="00863F53" w:rsidRPr="007138DB" w:rsidRDefault="00863F53" w:rsidP="007138DB">
      <w:pPr>
        <w:jc w:val="both"/>
        <w:rPr>
          <w:rFonts w:ascii="Arial" w:hAnsi="Arial" w:cs="Arial"/>
          <w:i/>
          <w:sz w:val="22"/>
          <w:szCs w:val="22"/>
        </w:rPr>
      </w:pPr>
    </w:p>
    <w:p w:rsidR="00863F53" w:rsidRDefault="00863F53" w:rsidP="00B3204A">
      <w:pPr>
        <w:pStyle w:val="ListParagraph"/>
        <w:numPr>
          <w:ilvl w:val="1"/>
          <w:numId w:val="1"/>
        </w:numPr>
        <w:jc w:val="both"/>
        <w:rPr>
          <w:rFonts w:ascii="Arial" w:hAnsi="Arial" w:cs="Arial"/>
          <w:sz w:val="22"/>
          <w:szCs w:val="22"/>
        </w:rPr>
      </w:pPr>
      <w:r w:rsidRPr="007138DB">
        <w:rPr>
          <w:rFonts w:ascii="Arial" w:hAnsi="Arial" w:cs="Arial"/>
          <w:sz w:val="22"/>
          <w:szCs w:val="22"/>
        </w:rPr>
        <w:t xml:space="preserve">The PBAC noted </w:t>
      </w:r>
      <w:r w:rsidR="00543122" w:rsidRPr="007138DB">
        <w:rPr>
          <w:rFonts w:ascii="Arial" w:hAnsi="Arial" w:cs="Arial"/>
          <w:sz w:val="22"/>
          <w:szCs w:val="22"/>
        </w:rPr>
        <w:t xml:space="preserve">that </w:t>
      </w:r>
      <w:r w:rsidR="007138DB" w:rsidRPr="007138DB">
        <w:rPr>
          <w:rFonts w:ascii="Arial" w:hAnsi="Arial" w:cs="Arial"/>
          <w:sz w:val="22"/>
          <w:szCs w:val="22"/>
        </w:rPr>
        <w:t xml:space="preserve">the </w:t>
      </w:r>
      <w:r w:rsidR="00543122" w:rsidRPr="007138DB">
        <w:rPr>
          <w:rFonts w:ascii="Arial" w:hAnsi="Arial" w:cs="Arial"/>
          <w:sz w:val="22"/>
          <w:szCs w:val="22"/>
        </w:rPr>
        <w:t xml:space="preserve">TGA considered </w:t>
      </w:r>
      <w:r w:rsidR="008329DD" w:rsidRPr="007138DB">
        <w:rPr>
          <w:rFonts w:ascii="Arial" w:hAnsi="Arial" w:cs="Arial"/>
          <w:sz w:val="22"/>
          <w:szCs w:val="22"/>
        </w:rPr>
        <w:t xml:space="preserve">the new forms of morphine injection (as morphine hydrochloride) </w:t>
      </w:r>
      <w:r w:rsidR="00543122" w:rsidRPr="007138DB">
        <w:rPr>
          <w:rFonts w:ascii="Arial" w:hAnsi="Arial" w:cs="Arial"/>
          <w:sz w:val="22"/>
          <w:szCs w:val="22"/>
        </w:rPr>
        <w:t xml:space="preserve">as </w:t>
      </w:r>
      <w:r w:rsidR="008329DD" w:rsidRPr="007138DB">
        <w:rPr>
          <w:rFonts w:ascii="Arial" w:hAnsi="Arial" w:cs="Arial"/>
          <w:sz w:val="22"/>
          <w:szCs w:val="22"/>
        </w:rPr>
        <w:t>bioequivalent to the currently listed forms of morphine injection (as morphine sulfate and morphine tartrate)</w:t>
      </w:r>
      <w:r w:rsidR="00E57601" w:rsidRPr="007138DB">
        <w:rPr>
          <w:rFonts w:ascii="Arial" w:hAnsi="Arial" w:cs="Arial"/>
          <w:sz w:val="22"/>
          <w:szCs w:val="22"/>
        </w:rPr>
        <w:t>, and noted that</w:t>
      </w:r>
      <w:r w:rsidR="009105E7" w:rsidRPr="007138DB">
        <w:rPr>
          <w:rFonts w:ascii="Arial" w:hAnsi="Arial" w:cs="Arial"/>
          <w:sz w:val="22"/>
          <w:szCs w:val="22"/>
        </w:rPr>
        <w:t xml:space="preserve"> the new listing </w:t>
      </w:r>
      <w:r w:rsidR="00E57601" w:rsidRPr="007138DB">
        <w:rPr>
          <w:rFonts w:ascii="Arial" w:hAnsi="Arial" w:cs="Arial"/>
          <w:sz w:val="22"/>
          <w:szCs w:val="22"/>
        </w:rPr>
        <w:t>would trigger a 16% statutory price reduction</w:t>
      </w:r>
      <w:r w:rsidR="009105E7" w:rsidRPr="007138DB">
        <w:rPr>
          <w:rFonts w:ascii="Arial" w:hAnsi="Arial" w:cs="Arial"/>
          <w:sz w:val="22"/>
          <w:szCs w:val="22"/>
        </w:rPr>
        <w:t xml:space="preserve"> to the drug morphine with manner of administration injection.</w:t>
      </w:r>
    </w:p>
    <w:p w:rsidR="0064028D" w:rsidRPr="0064028D" w:rsidRDefault="0064028D" w:rsidP="0064028D">
      <w:pPr>
        <w:pStyle w:val="ListParagraph"/>
        <w:rPr>
          <w:rFonts w:ascii="Arial" w:hAnsi="Arial" w:cs="Arial"/>
          <w:sz w:val="22"/>
          <w:szCs w:val="22"/>
        </w:rPr>
      </w:pPr>
    </w:p>
    <w:p w:rsidR="00EF44CF" w:rsidRPr="002A7AF5" w:rsidRDefault="00EF44CF" w:rsidP="00B3204A">
      <w:pPr>
        <w:pStyle w:val="ListParagraph"/>
        <w:numPr>
          <w:ilvl w:val="1"/>
          <w:numId w:val="1"/>
        </w:numPr>
        <w:jc w:val="both"/>
        <w:rPr>
          <w:rFonts w:ascii="Arial" w:hAnsi="Arial" w:cs="Arial"/>
          <w:sz w:val="22"/>
          <w:szCs w:val="22"/>
        </w:rPr>
      </w:pPr>
      <w:r w:rsidRPr="002A7AF5">
        <w:rPr>
          <w:rFonts w:ascii="Arial" w:hAnsi="Arial" w:cs="Arial"/>
          <w:sz w:val="22"/>
          <w:szCs w:val="22"/>
        </w:rPr>
        <w:t xml:space="preserve">The PBAC noted that </w:t>
      </w:r>
      <w:r w:rsidR="00B853CB">
        <w:rPr>
          <w:rFonts w:ascii="Arial" w:hAnsi="Arial" w:cs="Arial"/>
          <w:sz w:val="22"/>
          <w:szCs w:val="22"/>
        </w:rPr>
        <w:t xml:space="preserve">morphine </w:t>
      </w:r>
      <w:r w:rsidRPr="002A7AF5">
        <w:rPr>
          <w:rFonts w:ascii="Arial" w:hAnsi="Arial" w:cs="Arial"/>
          <w:sz w:val="22"/>
          <w:szCs w:val="22"/>
        </w:rPr>
        <w:t xml:space="preserve">should be exempt from the Early Supply Rule </w:t>
      </w:r>
      <w:r w:rsidR="00B853CB">
        <w:rPr>
          <w:rFonts w:ascii="Arial" w:hAnsi="Arial" w:cs="Arial"/>
          <w:sz w:val="22"/>
          <w:szCs w:val="22"/>
        </w:rPr>
        <w:t xml:space="preserve">in line with the current listings for </w:t>
      </w:r>
      <w:r w:rsidR="00CA6581">
        <w:rPr>
          <w:rFonts w:ascii="Arial" w:hAnsi="Arial" w:cs="Arial"/>
          <w:sz w:val="22"/>
          <w:szCs w:val="22"/>
        </w:rPr>
        <w:t>morphine (as</w:t>
      </w:r>
      <w:r w:rsidR="006578C3">
        <w:rPr>
          <w:rFonts w:ascii="Arial" w:hAnsi="Arial" w:cs="Arial"/>
          <w:sz w:val="22"/>
          <w:szCs w:val="22"/>
        </w:rPr>
        <w:t xml:space="preserve"> </w:t>
      </w:r>
      <w:r w:rsidR="00B853CB">
        <w:rPr>
          <w:rFonts w:ascii="Arial" w:hAnsi="Arial" w:cs="Arial"/>
          <w:sz w:val="22"/>
          <w:szCs w:val="22"/>
        </w:rPr>
        <w:t>morphine sulfate and morphine tartrate</w:t>
      </w:r>
      <w:r w:rsidR="00CA6581">
        <w:rPr>
          <w:rFonts w:ascii="Arial" w:hAnsi="Arial" w:cs="Arial"/>
          <w:sz w:val="22"/>
          <w:szCs w:val="22"/>
        </w:rPr>
        <w:t>)</w:t>
      </w:r>
      <w:r w:rsidRPr="002A7AF5">
        <w:rPr>
          <w:rFonts w:ascii="Arial" w:hAnsi="Arial" w:cs="Arial"/>
          <w:sz w:val="22"/>
          <w:szCs w:val="22"/>
        </w:rPr>
        <w:t>.</w:t>
      </w:r>
    </w:p>
    <w:p w:rsidR="00EF44CF" w:rsidRDefault="00EF44CF" w:rsidP="00EF44CF">
      <w:pPr>
        <w:pStyle w:val="ListParagraph"/>
        <w:rPr>
          <w:rFonts w:ascii="Arial" w:hAnsi="Arial"/>
          <w:sz w:val="22"/>
          <w:szCs w:val="22"/>
        </w:rPr>
      </w:pPr>
    </w:p>
    <w:p w:rsidR="00EF44CF" w:rsidRPr="00D40348" w:rsidRDefault="00EF44CF" w:rsidP="00B3204A">
      <w:pPr>
        <w:widowControl w:val="0"/>
        <w:numPr>
          <w:ilvl w:val="1"/>
          <w:numId w:val="1"/>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advised that </w:t>
      </w:r>
      <w:r w:rsidR="00B853CB">
        <w:rPr>
          <w:rFonts w:ascii="Arial" w:hAnsi="Arial" w:cs="Arial"/>
          <w:bCs/>
          <w:snapToGrid w:val="0"/>
          <w:sz w:val="22"/>
          <w:szCs w:val="22"/>
          <w:lang w:val="en-GB"/>
        </w:rPr>
        <w:t xml:space="preserve">morphine </w:t>
      </w:r>
      <w:r>
        <w:rPr>
          <w:rFonts w:ascii="Arial" w:hAnsi="Arial" w:cs="Arial"/>
          <w:bCs/>
          <w:snapToGrid w:val="0"/>
          <w:sz w:val="22"/>
          <w:szCs w:val="22"/>
          <w:lang w:val="en-GB"/>
        </w:rPr>
        <w:t>is suitable for prescribing by nurse practitioners</w:t>
      </w:r>
      <w:r w:rsidR="00B853CB">
        <w:rPr>
          <w:rFonts w:ascii="Arial" w:hAnsi="Arial" w:cs="Arial"/>
          <w:bCs/>
          <w:snapToGrid w:val="0"/>
          <w:sz w:val="22"/>
          <w:szCs w:val="22"/>
          <w:lang w:val="en-GB"/>
        </w:rPr>
        <w:t>, in line with the</w:t>
      </w:r>
      <w:r w:rsidR="006578C3">
        <w:rPr>
          <w:rFonts w:ascii="Arial" w:hAnsi="Arial" w:cs="Arial"/>
          <w:bCs/>
          <w:snapToGrid w:val="0"/>
          <w:sz w:val="22"/>
          <w:szCs w:val="22"/>
          <w:lang w:val="en-GB"/>
        </w:rPr>
        <w:t xml:space="preserve"> current</w:t>
      </w:r>
      <w:r w:rsidR="00B853CB">
        <w:rPr>
          <w:rFonts w:ascii="Arial" w:hAnsi="Arial" w:cs="Arial"/>
          <w:bCs/>
          <w:snapToGrid w:val="0"/>
          <w:sz w:val="22"/>
          <w:szCs w:val="22"/>
          <w:lang w:val="en-GB"/>
        </w:rPr>
        <w:t xml:space="preserve"> listings for morphine </w:t>
      </w:r>
      <w:r w:rsidR="006578C3">
        <w:rPr>
          <w:rFonts w:ascii="Arial" w:hAnsi="Arial" w:cs="Arial"/>
          <w:bCs/>
          <w:snapToGrid w:val="0"/>
          <w:sz w:val="22"/>
          <w:szCs w:val="22"/>
          <w:lang w:val="en-GB"/>
        </w:rPr>
        <w:t>(</w:t>
      </w:r>
      <w:r w:rsidR="00CA6581">
        <w:rPr>
          <w:rFonts w:ascii="Arial" w:hAnsi="Arial" w:cs="Arial"/>
          <w:sz w:val="22"/>
          <w:szCs w:val="22"/>
        </w:rPr>
        <w:t xml:space="preserve">as </w:t>
      </w:r>
      <w:r w:rsidR="006578C3">
        <w:rPr>
          <w:rFonts w:ascii="Arial" w:hAnsi="Arial" w:cs="Arial"/>
          <w:sz w:val="22"/>
          <w:szCs w:val="22"/>
        </w:rPr>
        <w:t>morphine sulfate and morphine tartrate</w:t>
      </w:r>
      <w:r w:rsidR="006578C3">
        <w:rPr>
          <w:rFonts w:ascii="Arial" w:hAnsi="Arial" w:cs="Arial"/>
          <w:bCs/>
          <w:snapToGrid w:val="0"/>
          <w:sz w:val="22"/>
          <w:szCs w:val="22"/>
          <w:lang w:val="en-GB"/>
        </w:rPr>
        <w:t>)</w:t>
      </w:r>
      <w:r>
        <w:rPr>
          <w:rFonts w:ascii="Arial" w:hAnsi="Arial" w:cs="Arial"/>
          <w:bCs/>
          <w:snapToGrid w:val="0"/>
          <w:sz w:val="22"/>
          <w:szCs w:val="22"/>
          <w:lang w:val="en-GB"/>
        </w:rPr>
        <w:t>.</w:t>
      </w:r>
    </w:p>
    <w:p w:rsidR="00EF44CF" w:rsidRPr="00812B9C" w:rsidRDefault="00EF44CF" w:rsidP="00EF44CF">
      <w:pPr>
        <w:widowControl w:val="0"/>
        <w:contextualSpacing/>
        <w:jc w:val="both"/>
        <w:rPr>
          <w:rFonts w:ascii="Arial" w:hAnsi="Arial" w:cs="Arial"/>
          <w:b/>
          <w:bCs/>
          <w:snapToGrid w:val="0"/>
          <w:sz w:val="22"/>
          <w:szCs w:val="22"/>
          <w:lang w:val="en-GB"/>
        </w:rPr>
      </w:pPr>
    </w:p>
    <w:p w:rsidR="00EF44CF" w:rsidRPr="00A81FBA" w:rsidRDefault="00EF44CF" w:rsidP="00CA6581">
      <w:pPr>
        <w:keepNext/>
        <w:jc w:val="both"/>
        <w:rPr>
          <w:rFonts w:ascii="Arial" w:hAnsi="Arial" w:cs="Arial"/>
          <w:b/>
          <w:bCs/>
          <w:snapToGrid w:val="0"/>
          <w:sz w:val="22"/>
          <w:szCs w:val="22"/>
          <w:lang w:val="en-GB"/>
        </w:rPr>
      </w:pPr>
      <w:r w:rsidRPr="00A81FBA">
        <w:rPr>
          <w:rFonts w:ascii="Arial" w:hAnsi="Arial" w:cs="Arial"/>
          <w:b/>
          <w:bCs/>
          <w:snapToGrid w:val="0"/>
          <w:sz w:val="22"/>
          <w:szCs w:val="22"/>
          <w:lang w:val="en-GB"/>
        </w:rPr>
        <w:t>Outcome:</w:t>
      </w:r>
    </w:p>
    <w:p w:rsidR="00EF44CF" w:rsidRDefault="007022E1" w:rsidP="00EF44CF">
      <w:pPr>
        <w:jc w:val="both"/>
        <w:rPr>
          <w:rFonts w:ascii="Arial" w:hAnsi="Arial" w:cs="Arial"/>
          <w:bCs/>
          <w:snapToGrid w:val="0"/>
          <w:sz w:val="22"/>
          <w:szCs w:val="22"/>
          <w:lang w:val="en-GB"/>
        </w:rPr>
      </w:pPr>
      <w:r>
        <w:rPr>
          <w:rFonts w:ascii="Arial" w:hAnsi="Arial" w:cs="Arial"/>
          <w:bCs/>
          <w:snapToGrid w:val="0"/>
          <w:sz w:val="22"/>
          <w:szCs w:val="22"/>
          <w:lang w:val="en-GB"/>
        </w:rPr>
        <w:t>Recommended</w:t>
      </w:r>
    </w:p>
    <w:p w:rsidR="00EF44CF" w:rsidRDefault="00EF44CF" w:rsidP="00EF44CF">
      <w:pPr>
        <w:jc w:val="both"/>
        <w:rPr>
          <w:rFonts w:ascii="Arial" w:hAnsi="Arial"/>
          <w:i/>
          <w:sz w:val="22"/>
          <w:szCs w:val="22"/>
        </w:rPr>
      </w:pPr>
    </w:p>
    <w:p w:rsidR="004B3E67" w:rsidRDefault="004B3E67" w:rsidP="00EF44CF">
      <w:pPr>
        <w:jc w:val="both"/>
        <w:rPr>
          <w:rFonts w:ascii="Arial" w:hAnsi="Arial"/>
          <w:i/>
          <w:sz w:val="22"/>
          <w:szCs w:val="22"/>
        </w:rPr>
      </w:pPr>
    </w:p>
    <w:p w:rsidR="00D40348" w:rsidRPr="005D3FE1" w:rsidRDefault="00D40348" w:rsidP="00B3204A">
      <w:pPr>
        <w:pStyle w:val="Heading1"/>
        <w:rPr>
          <w:rFonts w:cs="Arial"/>
          <w:b w:val="0"/>
          <w:bCs/>
          <w:i/>
          <w:snapToGrid w:val="0"/>
          <w:lang w:val="en-GB"/>
        </w:rPr>
      </w:pPr>
      <w:r w:rsidRPr="005D3FE1">
        <w:rPr>
          <w:rFonts w:cs="Arial"/>
          <w:bCs/>
          <w:snapToGrid w:val="0"/>
          <w:lang w:val="en-GB"/>
        </w:rPr>
        <w:t>Recommended listing</w:t>
      </w:r>
    </w:p>
    <w:p w:rsidR="00D40348" w:rsidRDefault="00D40348" w:rsidP="00D40348">
      <w:pPr>
        <w:jc w:val="both"/>
        <w:rPr>
          <w:rFonts w:ascii="Arial" w:hAnsi="Arial" w:cs="Arial"/>
          <w:b/>
          <w:i/>
          <w:sz w:val="22"/>
          <w:szCs w:val="22"/>
        </w:rPr>
      </w:pPr>
    </w:p>
    <w:p w:rsidR="003B4F94" w:rsidRDefault="00D40348" w:rsidP="00B3204A">
      <w:pPr>
        <w:widowControl w:val="0"/>
        <w:numPr>
          <w:ilvl w:val="1"/>
          <w:numId w:val="1"/>
        </w:numPr>
        <w:contextualSpacing/>
        <w:jc w:val="both"/>
        <w:rPr>
          <w:rFonts w:ascii="Arial" w:hAnsi="Arial" w:cs="Arial"/>
          <w:bCs/>
          <w:snapToGrid w:val="0"/>
          <w:sz w:val="22"/>
          <w:szCs w:val="22"/>
        </w:rPr>
      </w:pPr>
      <w:r w:rsidRPr="005D3FE1">
        <w:rPr>
          <w:rFonts w:ascii="Arial" w:hAnsi="Arial" w:cs="Arial"/>
          <w:bCs/>
          <w:snapToGrid w:val="0"/>
          <w:sz w:val="22"/>
          <w:szCs w:val="22"/>
        </w:rPr>
        <w:t>Add new item</w:t>
      </w:r>
      <w:r>
        <w:rPr>
          <w:rFonts w:ascii="Arial" w:hAnsi="Arial" w:cs="Arial"/>
          <w:bCs/>
          <w:snapToGrid w:val="0"/>
          <w:sz w:val="22"/>
          <w:szCs w:val="22"/>
        </w:rPr>
        <w:t>s</w:t>
      </w:r>
      <w:r w:rsidRPr="005D3FE1">
        <w:rPr>
          <w:rFonts w:ascii="Arial" w:hAnsi="Arial" w:cs="Arial"/>
          <w:bCs/>
          <w:snapToGrid w:val="0"/>
          <w:sz w:val="22"/>
          <w:szCs w:val="22"/>
        </w:rPr>
        <w:t>:</w:t>
      </w:r>
    </w:p>
    <w:p w:rsidR="003B4F94" w:rsidRPr="003B4F94" w:rsidRDefault="003B4F94" w:rsidP="003B4F94">
      <w:pPr>
        <w:widowControl w:val="0"/>
        <w:ind w:left="720"/>
        <w:contextualSpacing/>
        <w:jc w:val="both"/>
        <w:rPr>
          <w:rFonts w:ascii="Arial" w:hAnsi="Arial" w:cs="Arial"/>
          <w:bCs/>
          <w:snapToGrid w:val="0"/>
          <w:sz w:val="22"/>
          <w:szCs w:val="22"/>
        </w:rPr>
      </w:pPr>
    </w:p>
    <w:tbl>
      <w:tblPr>
        <w:tblW w:w="4558" w:type="pct"/>
        <w:tblInd w:w="817" w:type="dxa"/>
        <w:tblLook w:val="0000" w:firstRow="0" w:lastRow="0" w:firstColumn="0" w:lastColumn="0" w:noHBand="0" w:noVBand="0"/>
      </w:tblPr>
      <w:tblGrid>
        <w:gridCol w:w="3436"/>
        <w:gridCol w:w="817"/>
        <w:gridCol w:w="1028"/>
        <w:gridCol w:w="1665"/>
        <w:gridCol w:w="1479"/>
      </w:tblGrid>
      <w:tr w:rsidR="003B4F94" w:rsidRPr="0039782C" w:rsidTr="000360BB">
        <w:trPr>
          <w:cantSplit/>
          <w:trHeight w:val="471"/>
        </w:trPr>
        <w:tc>
          <w:tcPr>
            <w:tcW w:w="2039" w:type="pct"/>
            <w:tcBorders>
              <w:bottom w:val="single" w:sz="4" w:space="0" w:color="auto"/>
            </w:tcBorders>
          </w:tcPr>
          <w:p w:rsidR="003B4F94" w:rsidRPr="0039782C" w:rsidRDefault="003B4F94" w:rsidP="000360BB">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3B4F94" w:rsidRPr="0039782C" w:rsidRDefault="003B4F94" w:rsidP="000360BB">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85" w:type="pct"/>
            <w:tcBorders>
              <w:bottom w:val="single" w:sz="4" w:space="0" w:color="auto"/>
            </w:tcBorders>
          </w:tcPr>
          <w:p w:rsidR="003B4F94" w:rsidRPr="0039782C" w:rsidRDefault="003B4F94" w:rsidP="000360BB">
            <w:pPr>
              <w:keepNext/>
              <w:ind w:left="-108"/>
              <w:jc w:val="both"/>
              <w:rPr>
                <w:rFonts w:ascii="Arial Narrow" w:hAnsi="Arial Narrow" w:cs="Arial"/>
                <w:b/>
                <w:sz w:val="20"/>
                <w:szCs w:val="20"/>
              </w:rPr>
            </w:pPr>
            <w:r w:rsidRPr="0039782C">
              <w:rPr>
                <w:rFonts w:ascii="Arial Narrow" w:hAnsi="Arial Narrow" w:cs="Arial"/>
                <w:b/>
                <w:sz w:val="20"/>
                <w:szCs w:val="20"/>
              </w:rPr>
              <w:t>Max.</w:t>
            </w:r>
          </w:p>
          <w:p w:rsidR="003B4F94" w:rsidRPr="0039782C" w:rsidRDefault="003B4F94" w:rsidP="000360BB">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610" w:type="pct"/>
            <w:tcBorders>
              <w:bottom w:val="single" w:sz="4" w:space="0" w:color="auto"/>
            </w:tcBorders>
          </w:tcPr>
          <w:p w:rsidR="003B4F94" w:rsidRPr="0039782C" w:rsidRDefault="003B4F94" w:rsidP="000360BB">
            <w:pPr>
              <w:keepNext/>
              <w:ind w:left="-108"/>
              <w:jc w:val="both"/>
              <w:rPr>
                <w:rFonts w:ascii="Arial Narrow" w:hAnsi="Arial Narrow" w:cs="Arial"/>
                <w:b/>
                <w:sz w:val="20"/>
                <w:szCs w:val="20"/>
              </w:rPr>
            </w:pPr>
            <w:r w:rsidRPr="0039782C">
              <w:rPr>
                <w:rFonts w:ascii="Arial Narrow" w:hAnsi="Arial Narrow" w:cs="Arial"/>
                <w:b/>
                <w:sz w:val="20"/>
                <w:szCs w:val="20"/>
              </w:rPr>
              <w:t>№.of</w:t>
            </w:r>
          </w:p>
          <w:p w:rsidR="003B4F94" w:rsidRPr="0039782C" w:rsidRDefault="003B4F94" w:rsidP="000360BB">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866" w:type="pct"/>
            <w:gridSpan w:val="2"/>
            <w:tcBorders>
              <w:bottom w:val="single" w:sz="4" w:space="0" w:color="auto"/>
            </w:tcBorders>
          </w:tcPr>
          <w:p w:rsidR="003B4F94" w:rsidRPr="0039782C" w:rsidRDefault="003B4F94" w:rsidP="000360BB">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3B4F94" w:rsidRPr="00260CE3" w:rsidTr="00425298">
        <w:trPr>
          <w:cantSplit/>
          <w:trHeight w:val="577"/>
        </w:trPr>
        <w:tc>
          <w:tcPr>
            <w:tcW w:w="2039" w:type="pct"/>
          </w:tcPr>
          <w:p w:rsidR="003B4F94" w:rsidRPr="00260CE3" w:rsidRDefault="003B4F94" w:rsidP="000360BB">
            <w:pPr>
              <w:keepNext/>
              <w:ind w:left="-108"/>
              <w:jc w:val="both"/>
              <w:rPr>
                <w:rFonts w:ascii="Arial Narrow" w:hAnsi="Arial Narrow" w:cs="Arial"/>
                <w:sz w:val="20"/>
                <w:szCs w:val="20"/>
              </w:rPr>
            </w:pPr>
            <w:r>
              <w:rPr>
                <w:rFonts w:ascii="Arial Narrow" w:hAnsi="Arial Narrow" w:cs="Arial"/>
                <w:smallCaps/>
                <w:sz w:val="20"/>
                <w:szCs w:val="20"/>
              </w:rPr>
              <w:t>MORPHINE HYDROCHLORIDE</w:t>
            </w:r>
          </w:p>
          <w:p w:rsidR="003B4F94" w:rsidRPr="00260CE3" w:rsidRDefault="003B4F94" w:rsidP="00425298">
            <w:pPr>
              <w:keepNext/>
              <w:ind w:left="-108"/>
              <w:jc w:val="both"/>
              <w:rPr>
                <w:rFonts w:ascii="Arial Narrow" w:hAnsi="Arial Narrow" w:cs="Arial"/>
                <w:sz w:val="20"/>
                <w:szCs w:val="20"/>
              </w:rPr>
            </w:pPr>
            <w:r>
              <w:rPr>
                <w:rFonts w:ascii="Arial Narrow" w:hAnsi="Arial Narrow" w:cs="Arial"/>
                <w:sz w:val="20"/>
                <w:szCs w:val="20"/>
              </w:rPr>
              <w:t xml:space="preserve">10mg/1mL injection, </w:t>
            </w:r>
            <w:r w:rsidR="000D6937">
              <w:rPr>
                <w:rFonts w:ascii="Arial Narrow" w:hAnsi="Arial Narrow" w:cs="Arial"/>
                <w:sz w:val="20"/>
                <w:szCs w:val="20"/>
              </w:rPr>
              <w:t xml:space="preserve">5 x 1 mL </w:t>
            </w:r>
            <w:r>
              <w:rPr>
                <w:rFonts w:ascii="Arial Narrow" w:hAnsi="Arial Narrow" w:cs="Arial"/>
                <w:sz w:val="20"/>
                <w:szCs w:val="20"/>
              </w:rPr>
              <w:t>ampoule</w:t>
            </w:r>
            <w:r w:rsidR="000D6937">
              <w:rPr>
                <w:rFonts w:ascii="Arial Narrow" w:hAnsi="Arial Narrow" w:cs="Arial"/>
                <w:sz w:val="20"/>
                <w:szCs w:val="20"/>
              </w:rPr>
              <w:t>s</w:t>
            </w:r>
          </w:p>
        </w:tc>
        <w:tc>
          <w:tcPr>
            <w:tcW w:w="485" w:type="pct"/>
            <w:vAlign w:val="center"/>
          </w:tcPr>
          <w:p w:rsidR="003B4F94" w:rsidRDefault="000D6937" w:rsidP="00425298">
            <w:pPr>
              <w:keepNext/>
              <w:ind w:left="-108"/>
              <w:rPr>
                <w:rFonts w:ascii="Arial Narrow" w:hAnsi="Arial Narrow" w:cs="Arial"/>
                <w:sz w:val="20"/>
                <w:szCs w:val="20"/>
              </w:rPr>
            </w:pPr>
            <w:r>
              <w:rPr>
                <w:rFonts w:ascii="Arial Narrow" w:hAnsi="Arial Narrow" w:cs="Arial"/>
                <w:sz w:val="20"/>
                <w:szCs w:val="20"/>
              </w:rPr>
              <w:t>1</w:t>
            </w:r>
          </w:p>
          <w:p w:rsidR="003B4F94" w:rsidRPr="00260CE3" w:rsidRDefault="003B4F94" w:rsidP="00425298">
            <w:pPr>
              <w:keepNext/>
              <w:ind w:left="-108"/>
              <w:rPr>
                <w:rFonts w:ascii="Arial Narrow" w:hAnsi="Arial Narrow" w:cs="Arial"/>
                <w:sz w:val="20"/>
                <w:szCs w:val="20"/>
              </w:rPr>
            </w:pPr>
          </w:p>
        </w:tc>
        <w:tc>
          <w:tcPr>
            <w:tcW w:w="610" w:type="pct"/>
            <w:vAlign w:val="center"/>
          </w:tcPr>
          <w:p w:rsidR="003B4F94" w:rsidRDefault="003B4F94" w:rsidP="00425298">
            <w:pPr>
              <w:keepNext/>
              <w:ind w:left="-108"/>
              <w:rPr>
                <w:rFonts w:ascii="Arial Narrow" w:hAnsi="Arial Narrow" w:cs="Arial"/>
                <w:sz w:val="20"/>
                <w:szCs w:val="20"/>
              </w:rPr>
            </w:pPr>
            <w:r>
              <w:rPr>
                <w:rFonts w:ascii="Arial Narrow" w:hAnsi="Arial Narrow" w:cs="Arial"/>
                <w:sz w:val="20"/>
                <w:szCs w:val="20"/>
              </w:rPr>
              <w:t>0</w:t>
            </w:r>
          </w:p>
          <w:p w:rsidR="003B4F94" w:rsidRPr="00260CE3" w:rsidRDefault="003B4F94" w:rsidP="00425298">
            <w:pPr>
              <w:keepNext/>
              <w:ind w:left="-108"/>
              <w:rPr>
                <w:rFonts w:ascii="Arial Narrow" w:hAnsi="Arial Narrow" w:cs="Arial"/>
                <w:sz w:val="20"/>
                <w:szCs w:val="20"/>
              </w:rPr>
            </w:pPr>
          </w:p>
        </w:tc>
        <w:tc>
          <w:tcPr>
            <w:tcW w:w="988" w:type="pct"/>
          </w:tcPr>
          <w:p w:rsidR="003B4F94" w:rsidRPr="00260CE3" w:rsidRDefault="003B4F94" w:rsidP="000360BB">
            <w:pPr>
              <w:keepNext/>
              <w:jc w:val="both"/>
              <w:rPr>
                <w:rFonts w:ascii="Arial Narrow" w:hAnsi="Arial Narrow" w:cs="Arial"/>
                <w:sz w:val="20"/>
                <w:szCs w:val="20"/>
              </w:rPr>
            </w:pPr>
            <w:r>
              <w:rPr>
                <w:rFonts w:ascii="Arial Narrow" w:hAnsi="Arial Narrow" w:cs="Arial"/>
                <w:sz w:val="20"/>
                <w:szCs w:val="20"/>
              </w:rPr>
              <w:t>MORPHINE (JUNO)</w:t>
            </w:r>
          </w:p>
        </w:tc>
        <w:tc>
          <w:tcPr>
            <w:tcW w:w="878" w:type="pct"/>
          </w:tcPr>
          <w:p w:rsidR="003B4F94" w:rsidRPr="00260CE3" w:rsidRDefault="003B4F94" w:rsidP="000360BB">
            <w:pPr>
              <w:keepNext/>
              <w:jc w:val="both"/>
              <w:rPr>
                <w:rFonts w:ascii="Arial Narrow" w:hAnsi="Arial Narrow" w:cs="Arial"/>
                <w:sz w:val="20"/>
                <w:szCs w:val="20"/>
              </w:rPr>
            </w:pPr>
            <w:r>
              <w:rPr>
                <w:rFonts w:ascii="Arial Narrow" w:hAnsi="Arial Narrow" w:cs="Arial"/>
                <w:sz w:val="20"/>
                <w:szCs w:val="20"/>
              </w:rPr>
              <w:t>Juno pharmaceuticals</w:t>
            </w:r>
          </w:p>
        </w:tc>
      </w:tr>
    </w:tbl>
    <w:p w:rsidR="00D40348" w:rsidRDefault="00D40348" w:rsidP="00D40348">
      <w:pPr>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6520"/>
      </w:tblGrid>
      <w:tr w:rsidR="00D40348" w:rsidRPr="00260CE3" w:rsidTr="00B0449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40348" w:rsidRPr="00260CE3" w:rsidRDefault="00D40348" w:rsidP="00425298">
            <w:pPr>
              <w:jc w:val="both"/>
              <w:rPr>
                <w:rFonts w:ascii="Arial Narrow" w:hAnsi="Arial Narrow" w:cs="Arial"/>
                <w:b/>
                <w:sz w:val="20"/>
                <w:szCs w:val="20"/>
              </w:rPr>
            </w:pPr>
            <w:r w:rsidRPr="00260CE3">
              <w:rPr>
                <w:rFonts w:ascii="Arial Narrow" w:hAnsi="Arial Narrow" w:cs="Arial"/>
                <w:b/>
                <w:sz w:val="20"/>
                <w:szCs w:val="20"/>
              </w:rPr>
              <w:t>Category / Program</w:t>
            </w:r>
          </w:p>
        </w:tc>
        <w:tc>
          <w:tcPr>
            <w:tcW w:w="6520" w:type="dxa"/>
            <w:tcBorders>
              <w:top w:val="single" w:sz="4" w:space="0" w:color="auto"/>
              <w:left w:val="single" w:sz="4" w:space="0" w:color="auto"/>
              <w:bottom w:val="single" w:sz="4" w:space="0" w:color="auto"/>
              <w:right w:val="single" w:sz="4" w:space="0" w:color="auto"/>
            </w:tcBorders>
          </w:tcPr>
          <w:p w:rsidR="00D40348" w:rsidRPr="00260CE3" w:rsidRDefault="003B4F94" w:rsidP="000C3988">
            <w:pPr>
              <w:rPr>
                <w:rFonts w:ascii="Arial Narrow" w:hAnsi="Arial Narrow" w:cs="Arial"/>
                <w:sz w:val="20"/>
                <w:szCs w:val="20"/>
              </w:rPr>
            </w:pPr>
            <w:r>
              <w:rPr>
                <w:rFonts w:ascii="Arial Narrow" w:hAnsi="Arial Narrow" w:cs="Arial"/>
                <w:sz w:val="20"/>
                <w:szCs w:val="20"/>
              </w:rPr>
              <w:t>General</w:t>
            </w:r>
            <w:r w:rsidR="000D6937">
              <w:rPr>
                <w:rFonts w:ascii="Arial Narrow" w:hAnsi="Arial Narrow" w:cs="Arial"/>
                <w:sz w:val="20"/>
                <w:szCs w:val="20"/>
              </w:rPr>
              <w:t xml:space="preserve"> Schedule</w:t>
            </w:r>
          </w:p>
        </w:tc>
      </w:tr>
      <w:tr w:rsidR="00D40348" w:rsidRPr="00260CE3" w:rsidTr="00B0449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40348" w:rsidRPr="00260CE3" w:rsidRDefault="00D40348" w:rsidP="00B0449F">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D40348" w:rsidRPr="00260CE3" w:rsidRDefault="00D40348" w:rsidP="00B0449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3E24C1">
              <w:rPr>
                <w:rFonts w:ascii="Arial Narrow" w:hAnsi="Arial Narrow" w:cs="Arial"/>
                <w:sz w:val="20"/>
                <w:szCs w:val="20"/>
              </w:rPr>
              <w:fldChar w:fldCharType="begin">
                <w:ffData>
                  <w:name w:val=""/>
                  <w:enabled/>
                  <w:calcOnExit w:val="0"/>
                  <w:checkBox>
                    <w:sizeAuto/>
                    <w:default w:val="1"/>
                  </w:checkBox>
                </w:ffData>
              </w:fldChar>
            </w:r>
            <w:r w:rsidR="003E24C1">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003E24C1">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3B4F94">
              <w:rPr>
                <w:rFonts w:ascii="Arial Narrow" w:hAnsi="Arial Narrow" w:cs="Arial"/>
                <w:sz w:val="20"/>
                <w:szCs w:val="20"/>
              </w:rPr>
              <w:fldChar w:fldCharType="begin">
                <w:ffData>
                  <w:name w:val="Check3"/>
                  <w:enabled/>
                  <w:calcOnExit w:val="0"/>
                  <w:checkBox>
                    <w:sizeAuto/>
                    <w:default w:val="1"/>
                  </w:checkBox>
                </w:ffData>
              </w:fldChar>
            </w:r>
            <w:bookmarkStart w:id="1" w:name="Check3"/>
            <w:r w:rsidR="003B4F94">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003B4F94">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D40348" w:rsidRPr="00260CE3" w:rsidRDefault="000B1FF6" w:rsidP="00B0449F">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bookmarkEnd w:id="2"/>
            <w:r w:rsidR="00D40348" w:rsidRPr="00260CE3">
              <w:rPr>
                <w:rFonts w:ascii="Arial Narrow" w:hAnsi="Arial Narrow" w:cs="Arial"/>
                <w:sz w:val="20"/>
                <w:szCs w:val="20"/>
              </w:rPr>
              <w:t>Midwives</w:t>
            </w:r>
          </w:p>
        </w:tc>
      </w:tr>
      <w:tr w:rsidR="00493C1F" w:rsidRPr="00260CE3" w:rsidTr="00B0449F">
        <w:trPr>
          <w:cantSplit/>
          <w:trHeight w:val="360"/>
        </w:trPr>
        <w:tc>
          <w:tcPr>
            <w:tcW w:w="1985" w:type="dxa"/>
            <w:tcBorders>
              <w:top w:val="single" w:sz="4" w:space="0" w:color="auto"/>
              <w:left w:val="single" w:sz="4" w:space="0" w:color="auto"/>
              <w:bottom w:val="single" w:sz="4" w:space="0" w:color="auto"/>
              <w:right w:val="single" w:sz="4" w:space="0" w:color="auto"/>
            </w:tcBorders>
          </w:tcPr>
          <w:p w:rsidR="00493C1F" w:rsidRPr="00260CE3" w:rsidRDefault="00493C1F" w:rsidP="00B0449F">
            <w:pPr>
              <w:jc w:val="both"/>
              <w:rPr>
                <w:rFonts w:ascii="Arial Narrow" w:hAnsi="Arial Narrow" w:cs="Arial"/>
                <w:b/>
                <w:sz w:val="20"/>
                <w:szCs w:val="20"/>
              </w:rPr>
            </w:pPr>
            <w:r>
              <w:rPr>
                <w:rFonts w:ascii="Arial Narrow" w:hAnsi="Arial Narrow" w:cs="Arial"/>
                <w:b/>
                <w:sz w:val="20"/>
                <w:szCs w:val="20"/>
              </w:rPr>
              <w:t>Cautions</w:t>
            </w:r>
          </w:p>
        </w:tc>
        <w:tc>
          <w:tcPr>
            <w:tcW w:w="6520" w:type="dxa"/>
            <w:tcBorders>
              <w:top w:val="single" w:sz="4" w:space="0" w:color="auto"/>
              <w:left w:val="single" w:sz="4" w:space="0" w:color="auto"/>
              <w:bottom w:val="single" w:sz="4" w:space="0" w:color="auto"/>
              <w:right w:val="single" w:sz="4" w:space="0" w:color="auto"/>
            </w:tcBorders>
          </w:tcPr>
          <w:p w:rsidR="00493C1F" w:rsidRPr="00CB5A84" w:rsidRDefault="00493C1F" w:rsidP="00B0449F">
            <w:pPr>
              <w:pStyle w:val="NormalWeb"/>
              <w:rPr>
                <w:rFonts w:ascii="Arial Narrow" w:hAnsi="Arial Narrow"/>
                <w:sz w:val="20"/>
                <w:szCs w:val="20"/>
              </w:rPr>
            </w:pPr>
            <w:r>
              <w:rPr>
                <w:rFonts w:ascii="Arial Narrow" w:hAnsi="Arial Narrow"/>
                <w:sz w:val="20"/>
                <w:szCs w:val="20"/>
              </w:rPr>
              <w:t>The risk of drug dependence is high.</w:t>
            </w:r>
          </w:p>
        </w:tc>
      </w:tr>
    </w:tbl>
    <w:p w:rsidR="00D40348" w:rsidRPr="00D84934" w:rsidRDefault="00D40348" w:rsidP="00D40348">
      <w:pPr>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6520"/>
      </w:tblGrid>
      <w:tr w:rsidR="000D6937" w:rsidRPr="00260CE3" w:rsidTr="004336F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D6937" w:rsidRPr="00260CE3" w:rsidRDefault="000D6937" w:rsidP="00425298">
            <w:pPr>
              <w:jc w:val="both"/>
              <w:rPr>
                <w:rFonts w:ascii="Arial Narrow" w:hAnsi="Arial Narrow" w:cs="Arial"/>
                <w:b/>
                <w:sz w:val="20"/>
                <w:szCs w:val="20"/>
              </w:rPr>
            </w:pPr>
            <w:r w:rsidRPr="00260CE3">
              <w:rPr>
                <w:rFonts w:ascii="Arial Narrow" w:hAnsi="Arial Narrow" w:cs="Arial"/>
                <w:b/>
                <w:sz w:val="20"/>
                <w:szCs w:val="20"/>
              </w:rPr>
              <w:t>Category / Program</w:t>
            </w:r>
          </w:p>
        </w:tc>
        <w:tc>
          <w:tcPr>
            <w:tcW w:w="6520"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rPr>
                <w:rFonts w:ascii="Arial Narrow" w:hAnsi="Arial Narrow" w:cs="Arial"/>
                <w:sz w:val="20"/>
                <w:szCs w:val="20"/>
              </w:rPr>
            </w:pPr>
            <w:r>
              <w:rPr>
                <w:rFonts w:ascii="Arial Narrow" w:hAnsi="Arial Narrow" w:cs="Arial"/>
                <w:sz w:val="20"/>
                <w:szCs w:val="20"/>
              </w:rPr>
              <w:t>General Schedule</w:t>
            </w:r>
          </w:p>
        </w:tc>
      </w:tr>
      <w:tr w:rsidR="000D6937" w:rsidRPr="00260CE3" w:rsidTr="004336F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D6937" w:rsidRPr="00260CE3" w:rsidRDefault="000D6937" w:rsidP="004336F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D6937" w:rsidRPr="00260CE3" w:rsidTr="004336F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jc w:val="both"/>
              <w:rPr>
                <w:rFonts w:ascii="Arial Narrow" w:hAnsi="Arial Narrow" w:cs="Arial"/>
                <w:b/>
                <w:sz w:val="20"/>
                <w:szCs w:val="20"/>
              </w:rPr>
            </w:pPr>
            <w:r>
              <w:rPr>
                <w:rFonts w:ascii="Arial Narrow" w:hAnsi="Arial Narrow" w:cs="Arial"/>
                <w:b/>
                <w:sz w:val="20"/>
                <w:szCs w:val="20"/>
              </w:rPr>
              <w:t>Cautions</w:t>
            </w:r>
          </w:p>
        </w:tc>
        <w:tc>
          <w:tcPr>
            <w:tcW w:w="6520" w:type="dxa"/>
            <w:tcBorders>
              <w:top w:val="single" w:sz="4" w:space="0" w:color="auto"/>
              <w:left w:val="single" w:sz="4" w:space="0" w:color="auto"/>
              <w:bottom w:val="single" w:sz="4" w:space="0" w:color="auto"/>
              <w:right w:val="single" w:sz="4" w:space="0" w:color="auto"/>
            </w:tcBorders>
          </w:tcPr>
          <w:p w:rsidR="000D6937" w:rsidRPr="00CB5A84" w:rsidRDefault="000D6937" w:rsidP="00425298">
            <w:pPr>
              <w:pStyle w:val="NormalWeb"/>
              <w:ind w:left="0"/>
              <w:rPr>
                <w:rFonts w:ascii="Arial Narrow" w:hAnsi="Arial Narrow"/>
                <w:sz w:val="20"/>
                <w:szCs w:val="20"/>
              </w:rPr>
            </w:pPr>
            <w:r>
              <w:rPr>
                <w:rFonts w:ascii="Arial Narrow" w:hAnsi="Arial Narrow"/>
                <w:sz w:val="20"/>
                <w:szCs w:val="20"/>
              </w:rPr>
              <w:t>The risk of drug dependence is high.</w:t>
            </w:r>
          </w:p>
        </w:tc>
      </w:tr>
      <w:tr w:rsidR="000D6937" w:rsidRPr="00260CE3" w:rsidTr="004336F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D6937" w:rsidRDefault="000D6937" w:rsidP="004336F6">
            <w:pPr>
              <w:jc w:val="both"/>
              <w:rPr>
                <w:rFonts w:ascii="Arial Narrow" w:hAnsi="Arial Narrow" w:cs="Arial"/>
                <w:b/>
                <w:sz w:val="20"/>
                <w:szCs w:val="20"/>
              </w:rPr>
            </w:pPr>
            <w:r>
              <w:rPr>
                <w:rFonts w:ascii="Arial Narrow" w:hAnsi="Arial Narrow" w:cs="Arial"/>
                <w:b/>
                <w:sz w:val="20"/>
                <w:szCs w:val="20"/>
              </w:rPr>
              <w:t>Administrative advice</w:t>
            </w:r>
          </w:p>
        </w:tc>
        <w:tc>
          <w:tcPr>
            <w:tcW w:w="6520" w:type="dxa"/>
            <w:tcBorders>
              <w:top w:val="single" w:sz="4" w:space="0" w:color="auto"/>
              <w:left w:val="single" w:sz="4" w:space="0" w:color="auto"/>
              <w:bottom w:val="single" w:sz="4" w:space="0" w:color="auto"/>
              <w:right w:val="single" w:sz="4" w:space="0" w:color="auto"/>
            </w:tcBorders>
          </w:tcPr>
          <w:p w:rsidR="000D6937" w:rsidRDefault="000D6937" w:rsidP="00425298">
            <w:pPr>
              <w:pStyle w:val="NormalWeb"/>
              <w:ind w:left="0"/>
              <w:rPr>
                <w:rFonts w:ascii="Arial Narrow" w:hAnsi="Arial Narrow"/>
                <w:sz w:val="20"/>
                <w:szCs w:val="20"/>
              </w:rPr>
            </w:pPr>
            <w:r w:rsidRPr="000D6937">
              <w:rPr>
                <w:rFonts w:ascii="Arial Narrow" w:hAnsi="Arial Narrow"/>
                <w:sz w:val="20"/>
                <w:szCs w:val="20"/>
              </w:rPr>
              <w:t>Prescribing of drugs of addiction by dentists is not permitted in some States/Territories.</w:t>
            </w:r>
          </w:p>
        </w:tc>
      </w:tr>
    </w:tbl>
    <w:p w:rsidR="00EF44CF" w:rsidRDefault="00EF44CF" w:rsidP="00EF44CF">
      <w:pPr>
        <w:jc w:val="both"/>
        <w:rPr>
          <w:rFonts w:ascii="Arial" w:hAnsi="Arial"/>
          <w:b/>
          <w:sz w:val="22"/>
          <w:szCs w:val="22"/>
        </w:rPr>
      </w:pPr>
    </w:p>
    <w:tbl>
      <w:tblPr>
        <w:tblW w:w="8505" w:type="dxa"/>
        <w:tblInd w:w="817" w:type="dxa"/>
        <w:tblLayout w:type="fixed"/>
        <w:tblLook w:val="0000" w:firstRow="0" w:lastRow="0" w:firstColumn="0" w:lastColumn="0" w:noHBand="0" w:noVBand="0"/>
      </w:tblPr>
      <w:tblGrid>
        <w:gridCol w:w="1985"/>
        <w:gridCol w:w="6520"/>
      </w:tblGrid>
      <w:tr w:rsidR="000D6937" w:rsidRPr="00260CE3" w:rsidTr="004336F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D6937" w:rsidRPr="00260CE3" w:rsidRDefault="000D6937" w:rsidP="00425298">
            <w:pPr>
              <w:jc w:val="both"/>
              <w:rPr>
                <w:rFonts w:ascii="Arial Narrow" w:hAnsi="Arial Narrow" w:cs="Arial"/>
                <w:b/>
                <w:sz w:val="20"/>
                <w:szCs w:val="20"/>
              </w:rPr>
            </w:pPr>
            <w:r w:rsidRPr="00260CE3">
              <w:rPr>
                <w:rFonts w:ascii="Arial Narrow" w:hAnsi="Arial Narrow" w:cs="Arial"/>
                <w:b/>
                <w:sz w:val="20"/>
                <w:szCs w:val="20"/>
              </w:rPr>
              <w:t>Category / Program</w:t>
            </w:r>
          </w:p>
        </w:tc>
        <w:tc>
          <w:tcPr>
            <w:tcW w:w="6520"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rPr>
                <w:rFonts w:ascii="Arial Narrow" w:hAnsi="Arial Narrow" w:cs="Arial"/>
                <w:sz w:val="20"/>
                <w:szCs w:val="20"/>
              </w:rPr>
            </w:pPr>
            <w:r>
              <w:rPr>
                <w:rFonts w:ascii="Arial Narrow" w:hAnsi="Arial Narrow" w:cs="Arial"/>
                <w:sz w:val="20"/>
                <w:szCs w:val="20"/>
              </w:rPr>
              <w:t>Prescriber bag</w:t>
            </w:r>
            <w:r w:rsidR="00EC63CF">
              <w:rPr>
                <w:rFonts w:ascii="Arial Narrow" w:hAnsi="Arial Narrow" w:cs="Arial"/>
                <w:sz w:val="20"/>
                <w:szCs w:val="20"/>
              </w:rPr>
              <w:t>*</w:t>
            </w:r>
          </w:p>
        </w:tc>
      </w:tr>
      <w:tr w:rsidR="000D6937" w:rsidRPr="00260CE3" w:rsidTr="004336F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D6937" w:rsidRPr="00260CE3" w:rsidRDefault="000D6937" w:rsidP="004336F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D6937" w:rsidRPr="00260CE3" w:rsidTr="004336F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D6937" w:rsidRPr="00260CE3" w:rsidRDefault="000D6937" w:rsidP="004336F6">
            <w:pPr>
              <w:jc w:val="both"/>
              <w:rPr>
                <w:rFonts w:ascii="Arial Narrow" w:hAnsi="Arial Narrow" w:cs="Arial"/>
                <w:b/>
                <w:sz w:val="20"/>
                <w:szCs w:val="20"/>
              </w:rPr>
            </w:pPr>
            <w:r>
              <w:rPr>
                <w:rFonts w:ascii="Arial Narrow" w:hAnsi="Arial Narrow" w:cs="Arial"/>
                <w:b/>
                <w:sz w:val="20"/>
                <w:szCs w:val="20"/>
              </w:rPr>
              <w:t>Cautions</w:t>
            </w:r>
          </w:p>
        </w:tc>
        <w:tc>
          <w:tcPr>
            <w:tcW w:w="6520" w:type="dxa"/>
            <w:tcBorders>
              <w:top w:val="single" w:sz="4" w:space="0" w:color="auto"/>
              <w:left w:val="single" w:sz="4" w:space="0" w:color="auto"/>
              <w:bottom w:val="single" w:sz="4" w:space="0" w:color="auto"/>
              <w:right w:val="single" w:sz="4" w:space="0" w:color="auto"/>
            </w:tcBorders>
          </w:tcPr>
          <w:p w:rsidR="000D6937" w:rsidRPr="00CB5A84" w:rsidRDefault="000D6937" w:rsidP="00425298">
            <w:pPr>
              <w:pStyle w:val="NormalWeb"/>
              <w:ind w:left="0"/>
              <w:rPr>
                <w:rFonts w:ascii="Arial Narrow" w:hAnsi="Arial Narrow"/>
                <w:sz w:val="20"/>
                <w:szCs w:val="20"/>
              </w:rPr>
            </w:pPr>
            <w:r>
              <w:rPr>
                <w:rFonts w:ascii="Arial Narrow" w:hAnsi="Arial Narrow"/>
                <w:sz w:val="20"/>
                <w:szCs w:val="20"/>
              </w:rPr>
              <w:t>The risk of drug dependence is high.</w:t>
            </w:r>
          </w:p>
        </w:tc>
      </w:tr>
    </w:tbl>
    <w:p w:rsidR="00524AAA" w:rsidRPr="00EC63CF" w:rsidRDefault="00EC63CF" w:rsidP="00EC63CF">
      <w:pPr>
        <w:ind w:left="720"/>
        <w:rPr>
          <w:rFonts w:ascii="Arial Narrow" w:hAnsi="Arial Narrow"/>
          <w:sz w:val="20"/>
          <w:szCs w:val="22"/>
        </w:rPr>
      </w:pPr>
      <w:r w:rsidRPr="00EC63CF">
        <w:rPr>
          <w:rFonts w:ascii="Arial Narrow" w:hAnsi="Arial Narrow"/>
          <w:sz w:val="20"/>
          <w:szCs w:val="22"/>
        </w:rPr>
        <w:t xml:space="preserve">*to be made available as options in the same Prescriber Bag Group as current Prescriber Bag listings </w:t>
      </w:r>
      <w:r w:rsidR="00C343FE">
        <w:rPr>
          <w:rFonts w:ascii="Arial Narrow" w:hAnsi="Arial Narrow"/>
          <w:sz w:val="20"/>
          <w:szCs w:val="22"/>
        </w:rPr>
        <w:t>for morphine sulfate (items 3479D and 3480E)</w:t>
      </w:r>
      <w:r w:rsidRPr="00EC63CF">
        <w:rPr>
          <w:rFonts w:ascii="Arial Narrow" w:hAnsi="Arial Narrow"/>
          <w:sz w:val="20"/>
          <w:szCs w:val="22"/>
        </w:rPr>
        <w:t xml:space="preserve"> and morphine hydrochloride 20 mg/1 mL injection</w:t>
      </w:r>
      <w:r>
        <w:rPr>
          <w:rFonts w:ascii="Arial Narrow" w:hAnsi="Arial Narrow"/>
          <w:sz w:val="20"/>
          <w:szCs w:val="22"/>
        </w:rPr>
        <w:t>.</w:t>
      </w:r>
    </w:p>
    <w:p w:rsidR="00425298" w:rsidRDefault="00425298" w:rsidP="00D71AD5">
      <w:pPr>
        <w:rPr>
          <w:rFonts w:ascii="Arial" w:hAnsi="Arial"/>
          <w:b/>
          <w:sz w:val="22"/>
          <w:szCs w:val="22"/>
        </w:rPr>
      </w:pPr>
    </w:p>
    <w:tbl>
      <w:tblPr>
        <w:tblW w:w="4558" w:type="pct"/>
        <w:tblInd w:w="817" w:type="dxa"/>
        <w:tblLook w:val="0000" w:firstRow="0" w:lastRow="0" w:firstColumn="0" w:lastColumn="0" w:noHBand="0" w:noVBand="0"/>
      </w:tblPr>
      <w:tblGrid>
        <w:gridCol w:w="3436"/>
        <w:gridCol w:w="817"/>
        <w:gridCol w:w="1028"/>
        <w:gridCol w:w="1665"/>
        <w:gridCol w:w="1479"/>
      </w:tblGrid>
      <w:tr w:rsidR="00CA590D" w:rsidRPr="0039782C" w:rsidTr="00FC1178">
        <w:trPr>
          <w:cantSplit/>
          <w:trHeight w:val="471"/>
        </w:trPr>
        <w:tc>
          <w:tcPr>
            <w:tcW w:w="2039" w:type="pct"/>
            <w:tcBorders>
              <w:bottom w:val="single" w:sz="4" w:space="0" w:color="auto"/>
            </w:tcBorders>
          </w:tcPr>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85" w:type="pct"/>
            <w:tcBorders>
              <w:bottom w:val="single" w:sz="4" w:space="0" w:color="auto"/>
            </w:tcBorders>
          </w:tcPr>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Max.</w:t>
            </w:r>
          </w:p>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610" w:type="pct"/>
            <w:tcBorders>
              <w:bottom w:val="single" w:sz="4" w:space="0" w:color="auto"/>
            </w:tcBorders>
          </w:tcPr>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№.of</w:t>
            </w:r>
          </w:p>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866" w:type="pct"/>
            <w:gridSpan w:val="2"/>
            <w:tcBorders>
              <w:bottom w:val="single" w:sz="4" w:space="0" w:color="auto"/>
            </w:tcBorders>
          </w:tcPr>
          <w:p w:rsidR="00CA590D" w:rsidRPr="0039782C" w:rsidRDefault="00CA590D" w:rsidP="00FC117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A590D" w:rsidRPr="00260CE3" w:rsidTr="00FC1178">
        <w:trPr>
          <w:cantSplit/>
          <w:trHeight w:val="577"/>
        </w:trPr>
        <w:tc>
          <w:tcPr>
            <w:tcW w:w="2039" w:type="pct"/>
          </w:tcPr>
          <w:p w:rsidR="00CA590D" w:rsidRPr="00260CE3" w:rsidRDefault="00CA590D" w:rsidP="00FC1178">
            <w:pPr>
              <w:keepNext/>
              <w:ind w:left="-108"/>
              <w:jc w:val="both"/>
              <w:rPr>
                <w:rFonts w:ascii="Arial Narrow" w:hAnsi="Arial Narrow" w:cs="Arial"/>
                <w:sz w:val="20"/>
                <w:szCs w:val="20"/>
              </w:rPr>
            </w:pPr>
            <w:r>
              <w:rPr>
                <w:rFonts w:ascii="Arial Narrow" w:hAnsi="Arial Narrow" w:cs="Arial"/>
                <w:smallCaps/>
                <w:sz w:val="20"/>
                <w:szCs w:val="20"/>
              </w:rPr>
              <w:t>MORPHINE HYDROCHLORIDE</w:t>
            </w:r>
          </w:p>
          <w:p w:rsidR="00CA590D" w:rsidRDefault="00CA590D" w:rsidP="00CA590D">
            <w:pPr>
              <w:keepNext/>
              <w:ind w:left="-108"/>
              <w:jc w:val="both"/>
              <w:rPr>
                <w:rFonts w:ascii="Arial Narrow" w:hAnsi="Arial Narrow" w:cs="Arial"/>
                <w:sz w:val="20"/>
                <w:szCs w:val="20"/>
              </w:rPr>
            </w:pPr>
            <w:r>
              <w:rPr>
                <w:rFonts w:ascii="Arial Narrow" w:hAnsi="Arial Narrow" w:cs="Arial"/>
                <w:sz w:val="20"/>
                <w:szCs w:val="20"/>
              </w:rPr>
              <w:t>20mg/1mL injection, 5 x 1 mL ampoule</w:t>
            </w:r>
            <w:r w:rsidR="00A64A07">
              <w:rPr>
                <w:rFonts w:ascii="Arial Narrow" w:hAnsi="Arial Narrow" w:cs="Arial"/>
                <w:sz w:val="20"/>
                <w:szCs w:val="20"/>
              </w:rPr>
              <w:t>s</w:t>
            </w:r>
          </w:p>
          <w:p w:rsidR="00CA590D" w:rsidRPr="00260CE3" w:rsidRDefault="00CA590D" w:rsidP="00FC1178">
            <w:pPr>
              <w:keepNext/>
              <w:ind w:left="-108"/>
              <w:jc w:val="both"/>
              <w:rPr>
                <w:rFonts w:ascii="Arial Narrow" w:hAnsi="Arial Narrow" w:cs="Arial"/>
                <w:sz w:val="20"/>
                <w:szCs w:val="20"/>
              </w:rPr>
            </w:pPr>
          </w:p>
        </w:tc>
        <w:tc>
          <w:tcPr>
            <w:tcW w:w="485" w:type="pct"/>
            <w:vAlign w:val="center"/>
          </w:tcPr>
          <w:p w:rsidR="00CA590D" w:rsidRDefault="00CA590D" w:rsidP="00FC1178">
            <w:pPr>
              <w:keepNext/>
              <w:ind w:left="-108"/>
              <w:rPr>
                <w:rFonts w:ascii="Arial Narrow" w:hAnsi="Arial Narrow" w:cs="Arial"/>
                <w:sz w:val="20"/>
                <w:szCs w:val="20"/>
              </w:rPr>
            </w:pPr>
            <w:r>
              <w:rPr>
                <w:rFonts w:ascii="Arial Narrow" w:hAnsi="Arial Narrow" w:cs="Arial"/>
                <w:sz w:val="20"/>
                <w:szCs w:val="20"/>
              </w:rPr>
              <w:t>1</w:t>
            </w:r>
          </w:p>
          <w:p w:rsidR="00CA590D" w:rsidRPr="00260CE3" w:rsidRDefault="00CA590D" w:rsidP="00FC1178">
            <w:pPr>
              <w:keepNext/>
              <w:ind w:left="-108"/>
              <w:rPr>
                <w:rFonts w:ascii="Arial Narrow" w:hAnsi="Arial Narrow" w:cs="Arial"/>
                <w:sz w:val="20"/>
                <w:szCs w:val="20"/>
              </w:rPr>
            </w:pPr>
          </w:p>
        </w:tc>
        <w:tc>
          <w:tcPr>
            <w:tcW w:w="610" w:type="pct"/>
            <w:vAlign w:val="center"/>
          </w:tcPr>
          <w:p w:rsidR="00CA590D" w:rsidRDefault="00CA590D" w:rsidP="00FC1178">
            <w:pPr>
              <w:keepNext/>
              <w:ind w:left="-108"/>
              <w:rPr>
                <w:rFonts w:ascii="Arial Narrow" w:hAnsi="Arial Narrow" w:cs="Arial"/>
                <w:sz w:val="20"/>
                <w:szCs w:val="20"/>
              </w:rPr>
            </w:pPr>
            <w:r>
              <w:rPr>
                <w:rFonts w:ascii="Arial Narrow" w:hAnsi="Arial Narrow" w:cs="Arial"/>
                <w:sz w:val="20"/>
                <w:szCs w:val="20"/>
              </w:rPr>
              <w:t>0</w:t>
            </w:r>
          </w:p>
          <w:p w:rsidR="00CA590D" w:rsidRPr="00260CE3" w:rsidRDefault="00CA590D" w:rsidP="00FC1178">
            <w:pPr>
              <w:keepNext/>
              <w:ind w:left="-108"/>
              <w:rPr>
                <w:rFonts w:ascii="Arial Narrow" w:hAnsi="Arial Narrow" w:cs="Arial"/>
                <w:sz w:val="20"/>
                <w:szCs w:val="20"/>
              </w:rPr>
            </w:pPr>
          </w:p>
        </w:tc>
        <w:tc>
          <w:tcPr>
            <w:tcW w:w="988" w:type="pct"/>
          </w:tcPr>
          <w:p w:rsidR="00CA590D" w:rsidRPr="00260CE3" w:rsidRDefault="00CA590D" w:rsidP="00FC1178">
            <w:pPr>
              <w:keepNext/>
              <w:jc w:val="both"/>
              <w:rPr>
                <w:rFonts w:ascii="Arial Narrow" w:hAnsi="Arial Narrow" w:cs="Arial"/>
                <w:sz w:val="20"/>
                <w:szCs w:val="20"/>
              </w:rPr>
            </w:pPr>
            <w:r>
              <w:rPr>
                <w:rFonts w:ascii="Arial Narrow" w:hAnsi="Arial Narrow" w:cs="Arial"/>
                <w:sz w:val="20"/>
                <w:szCs w:val="20"/>
              </w:rPr>
              <w:t>MORPHINE (JUNO)</w:t>
            </w:r>
          </w:p>
        </w:tc>
        <w:tc>
          <w:tcPr>
            <w:tcW w:w="878" w:type="pct"/>
          </w:tcPr>
          <w:p w:rsidR="00CA590D" w:rsidRPr="00260CE3" w:rsidRDefault="00CA590D" w:rsidP="00FC1178">
            <w:pPr>
              <w:keepNext/>
              <w:jc w:val="both"/>
              <w:rPr>
                <w:rFonts w:ascii="Arial Narrow" w:hAnsi="Arial Narrow" w:cs="Arial"/>
                <w:sz w:val="20"/>
                <w:szCs w:val="20"/>
              </w:rPr>
            </w:pPr>
            <w:r>
              <w:rPr>
                <w:rFonts w:ascii="Arial Narrow" w:hAnsi="Arial Narrow" w:cs="Arial"/>
                <w:sz w:val="20"/>
                <w:szCs w:val="20"/>
              </w:rPr>
              <w:t>Juno pharmaceuticals</w:t>
            </w:r>
          </w:p>
        </w:tc>
      </w:tr>
    </w:tbl>
    <w:p w:rsidR="00CA590D" w:rsidRDefault="00CA590D" w:rsidP="00D71AD5">
      <w:pPr>
        <w:rPr>
          <w:rFonts w:ascii="Arial" w:hAnsi="Arial"/>
          <w:b/>
          <w:sz w:val="22"/>
          <w:szCs w:val="22"/>
        </w:rPr>
      </w:pPr>
    </w:p>
    <w:tbl>
      <w:tblPr>
        <w:tblW w:w="8505" w:type="dxa"/>
        <w:tblInd w:w="817" w:type="dxa"/>
        <w:tblLayout w:type="fixed"/>
        <w:tblLook w:val="0000" w:firstRow="0" w:lastRow="0" w:firstColumn="0" w:lastColumn="0" w:noHBand="0" w:noVBand="0"/>
      </w:tblPr>
      <w:tblGrid>
        <w:gridCol w:w="1985"/>
        <w:gridCol w:w="6520"/>
      </w:tblGrid>
      <w:tr w:rsidR="00CA590D"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jc w:val="both"/>
              <w:rPr>
                <w:rFonts w:ascii="Arial Narrow" w:hAnsi="Arial Narrow" w:cs="Arial"/>
                <w:b/>
                <w:sz w:val="20"/>
                <w:szCs w:val="20"/>
              </w:rPr>
            </w:pPr>
            <w:r w:rsidRPr="00260CE3">
              <w:rPr>
                <w:rFonts w:ascii="Arial Narrow" w:hAnsi="Arial Narrow" w:cs="Arial"/>
                <w:b/>
                <w:sz w:val="20"/>
                <w:szCs w:val="20"/>
              </w:rPr>
              <w:t>Category / Program</w:t>
            </w:r>
          </w:p>
        </w:tc>
        <w:tc>
          <w:tcPr>
            <w:tcW w:w="6520"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rPr>
                <w:rFonts w:ascii="Arial Narrow" w:hAnsi="Arial Narrow" w:cs="Arial"/>
                <w:sz w:val="20"/>
                <w:szCs w:val="20"/>
              </w:rPr>
            </w:pPr>
            <w:r>
              <w:rPr>
                <w:rFonts w:ascii="Arial Narrow" w:hAnsi="Arial Narrow" w:cs="Arial"/>
                <w:sz w:val="20"/>
                <w:szCs w:val="20"/>
              </w:rPr>
              <w:t>General Schedule</w:t>
            </w:r>
          </w:p>
        </w:tc>
      </w:tr>
      <w:tr w:rsidR="00CA590D"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A590D" w:rsidRPr="00260CE3" w:rsidRDefault="00CA590D" w:rsidP="00FC117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Midwives</w:t>
            </w:r>
          </w:p>
        </w:tc>
      </w:tr>
      <w:tr w:rsidR="00CA590D"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jc w:val="both"/>
              <w:rPr>
                <w:rFonts w:ascii="Arial Narrow" w:hAnsi="Arial Narrow" w:cs="Arial"/>
                <w:b/>
                <w:sz w:val="20"/>
                <w:szCs w:val="20"/>
              </w:rPr>
            </w:pPr>
            <w:r>
              <w:rPr>
                <w:rFonts w:ascii="Arial Narrow" w:hAnsi="Arial Narrow" w:cs="Arial"/>
                <w:b/>
                <w:sz w:val="20"/>
                <w:szCs w:val="20"/>
              </w:rPr>
              <w:t>Cautions</w:t>
            </w:r>
          </w:p>
        </w:tc>
        <w:tc>
          <w:tcPr>
            <w:tcW w:w="6520" w:type="dxa"/>
            <w:tcBorders>
              <w:top w:val="single" w:sz="4" w:space="0" w:color="auto"/>
              <w:left w:val="single" w:sz="4" w:space="0" w:color="auto"/>
              <w:bottom w:val="single" w:sz="4" w:space="0" w:color="auto"/>
              <w:right w:val="single" w:sz="4" w:space="0" w:color="auto"/>
            </w:tcBorders>
          </w:tcPr>
          <w:p w:rsidR="00CA590D" w:rsidRPr="00CB5A84" w:rsidRDefault="00CA590D" w:rsidP="00FC1178">
            <w:pPr>
              <w:pStyle w:val="NormalWeb"/>
              <w:rPr>
                <w:rFonts w:ascii="Arial Narrow" w:hAnsi="Arial Narrow"/>
                <w:sz w:val="20"/>
                <w:szCs w:val="20"/>
              </w:rPr>
            </w:pPr>
            <w:r>
              <w:rPr>
                <w:rFonts w:ascii="Arial Narrow" w:hAnsi="Arial Narrow"/>
                <w:sz w:val="20"/>
                <w:szCs w:val="20"/>
              </w:rPr>
              <w:t>The risk of drug dependence is high.</w:t>
            </w:r>
          </w:p>
        </w:tc>
      </w:tr>
    </w:tbl>
    <w:p w:rsidR="00CA590D" w:rsidRPr="00D84934" w:rsidRDefault="00CA590D" w:rsidP="00CA590D">
      <w:pPr>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6520"/>
      </w:tblGrid>
      <w:tr w:rsidR="00CA590D"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jc w:val="both"/>
              <w:rPr>
                <w:rFonts w:ascii="Arial Narrow" w:hAnsi="Arial Narrow" w:cs="Arial"/>
                <w:b/>
                <w:sz w:val="20"/>
                <w:szCs w:val="20"/>
              </w:rPr>
            </w:pPr>
            <w:r w:rsidRPr="00260CE3">
              <w:rPr>
                <w:rFonts w:ascii="Arial Narrow" w:hAnsi="Arial Narrow" w:cs="Arial"/>
                <w:b/>
                <w:sz w:val="20"/>
                <w:szCs w:val="20"/>
              </w:rPr>
              <w:t>Category / Program</w:t>
            </w:r>
          </w:p>
        </w:tc>
        <w:tc>
          <w:tcPr>
            <w:tcW w:w="6520"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rPr>
                <w:rFonts w:ascii="Arial Narrow" w:hAnsi="Arial Narrow" w:cs="Arial"/>
                <w:sz w:val="20"/>
                <w:szCs w:val="20"/>
              </w:rPr>
            </w:pPr>
            <w:r>
              <w:rPr>
                <w:rFonts w:ascii="Arial Narrow" w:hAnsi="Arial Narrow" w:cs="Arial"/>
                <w:sz w:val="20"/>
                <w:szCs w:val="20"/>
              </w:rPr>
              <w:t>General Schedule</w:t>
            </w:r>
          </w:p>
        </w:tc>
      </w:tr>
      <w:tr w:rsidR="00CA590D"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A590D" w:rsidRPr="00260CE3" w:rsidRDefault="00CA590D" w:rsidP="00FC117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A590D"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A590D" w:rsidRPr="00260CE3" w:rsidRDefault="00CA590D" w:rsidP="00FC1178">
            <w:pPr>
              <w:jc w:val="both"/>
              <w:rPr>
                <w:rFonts w:ascii="Arial Narrow" w:hAnsi="Arial Narrow" w:cs="Arial"/>
                <w:b/>
                <w:sz w:val="20"/>
                <w:szCs w:val="20"/>
              </w:rPr>
            </w:pPr>
            <w:r>
              <w:rPr>
                <w:rFonts w:ascii="Arial Narrow" w:hAnsi="Arial Narrow" w:cs="Arial"/>
                <w:b/>
                <w:sz w:val="20"/>
                <w:szCs w:val="20"/>
              </w:rPr>
              <w:t>Cautions</w:t>
            </w:r>
          </w:p>
        </w:tc>
        <w:tc>
          <w:tcPr>
            <w:tcW w:w="6520" w:type="dxa"/>
            <w:tcBorders>
              <w:top w:val="single" w:sz="4" w:space="0" w:color="auto"/>
              <w:left w:val="single" w:sz="4" w:space="0" w:color="auto"/>
              <w:bottom w:val="single" w:sz="4" w:space="0" w:color="auto"/>
              <w:right w:val="single" w:sz="4" w:space="0" w:color="auto"/>
            </w:tcBorders>
          </w:tcPr>
          <w:p w:rsidR="00CA590D" w:rsidRPr="00CB5A84" w:rsidRDefault="00CA590D" w:rsidP="00FC1178">
            <w:pPr>
              <w:pStyle w:val="NormalWeb"/>
              <w:ind w:left="0"/>
              <w:rPr>
                <w:rFonts w:ascii="Arial Narrow" w:hAnsi="Arial Narrow"/>
                <w:sz w:val="20"/>
                <w:szCs w:val="20"/>
              </w:rPr>
            </w:pPr>
            <w:r>
              <w:rPr>
                <w:rFonts w:ascii="Arial Narrow" w:hAnsi="Arial Narrow"/>
                <w:sz w:val="20"/>
                <w:szCs w:val="20"/>
              </w:rPr>
              <w:t>The risk of drug dependence is high.</w:t>
            </w:r>
          </w:p>
        </w:tc>
      </w:tr>
      <w:tr w:rsidR="00CA590D"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A590D" w:rsidRDefault="00CA590D" w:rsidP="00FC1178">
            <w:pPr>
              <w:jc w:val="both"/>
              <w:rPr>
                <w:rFonts w:ascii="Arial Narrow" w:hAnsi="Arial Narrow" w:cs="Arial"/>
                <w:b/>
                <w:sz w:val="20"/>
                <w:szCs w:val="20"/>
              </w:rPr>
            </w:pPr>
            <w:r>
              <w:rPr>
                <w:rFonts w:ascii="Arial Narrow" w:hAnsi="Arial Narrow" w:cs="Arial"/>
                <w:b/>
                <w:sz w:val="20"/>
                <w:szCs w:val="20"/>
              </w:rPr>
              <w:t>Administrative advice</w:t>
            </w:r>
          </w:p>
        </w:tc>
        <w:tc>
          <w:tcPr>
            <w:tcW w:w="6520" w:type="dxa"/>
            <w:tcBorders>
              <w:top w:val="single" w:sz="4" w:space="0" w:color="auto"/>
              <w:left w:val="single" w:sz="4" w:space="0" w:color="auto"/>
              <w:bottom w:val="single" w:sz="4" w:space="0" w:color="auto"/>
              <w:right w:val="single" w:sz="4" w:space="0" w:color="auto"/>
            </w:tcBorders>
          </w:tcPr>
          <w:p w:rsidR="00CA590D" w:rsidRDefault="00CA590D" w:rsidP="00FC1178">
            <w:pPr>
              <w:pStyle w:val="NormalWeb"/>
              <w:ind w:left="0"/>
              <w:rPr>
                <w:rFonts w:ascii="Arial Narrow" w:hAnsi="Arial Narrow"/>
                <w:sz w:val="20"/>
                <w:szCs w:val="20"/>
              </w:rPr>
            </w:pPr>
            <w:r w:rsidRPr="000D6937">
              <w:rPr>
                <w:rFonts w:ascii="Arial Narrow" w:hAnsi="Arial Narrow"/>
                <w:sz w:val="20"/>
                <w:szCs w:val="20"/>
              </w:rPr>
              <w:t>Prescribing of drugs of addiction by dentists is not permitted in some States/Territories.</w:t>
            </w:r>
          </w:p>
        </w:tc>
      </w:tr>
    </w:tbl>
    <w:p w:rsidR="00EC63CF" w:rsidRDefault="00EC63CF" w:rsidP="00D71AD5">
      <w:pPr>
        <w:rPr>
          <w:rFonts w:ascii="Arial" w:hAnsi="Arial"/>
          <w:b/>
          <w:sz w:val="22"/>
          <w:szCs w:val="22"/>
        </w:rPr>
      </w:pPr>
      <w:r>
        <w:rPr>
          <w:rFonts w:ascii="Arial" w:hAnsi="Arial"/>
          <w:b/>
          <w:sz w:val="22"/>
          <w:szCs w:val="22"/>
        </w:rPr>
        <w:tab/>
      </w:r>
    </w:p>
    <w:tbl>
      <w:tblPr>
        <w:tblW w:w="8505" w:type="dxa"/>
        <w:tblInd w:w="817" w:type="dxa"/>
        <w:tblLayout w:type="fixed"/>
        <w:tblLook w:val="0000" w:firstRow="0" w:lastRow="0" w:firstColumn="0" w:lastColumn="0" w:noHBand="0" w:noVBand="0"/>
      </w:tblPr>
      <w:tblGrid>
        <w:gridCol w:w="1985"/>
        <w:gridCol w:w="6520"/>
      </w:tblGrid>
      <w:tr w:rsidR="00EC63CF"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jc w:val="both"/>
              <w:rPr>
                <w:rFonts w:ascii="Arial Narrow" w:hAnsi="Arial Narrow" w:cs="Arial"/>
                <w:b/>
                <w:sz w:val="20"/>
                <w:szCs w:val="20"/>
              </w:rPr>
            </w:pPr>
            <w:r w:rsidRPr="00260CE3">
              <w:rPr>
                <w:rFonts w:ascii="Arial Narrow" w:hAnsi="Arial Narrow" w:cs="Arial"/>
                <w:b/>
                <w:sz w:val="20"/>
                <w:szCs w:val="20"/>
              </w:rPr>
              <w:t>Category / Program</w:t>
            </w:r>
          </w:p>
        </w:tc>
        <w:tc>
          <w:tcPr>
            <w:tcW w:w="6520"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rPr>
                <w:rFonts w:ascii="Arial Narrow" w:hAnsi="Arial Narrow" w:cs="Arial"/>
                <w:sz w:val="20"/>
                <w:szCs w:val="20"/>
              </w:rPr>
            </w:pPr>
            <w:r>
              <w:rPr>
                <w:rFonts w:ascii="Arial Narrow" w:hAnsi="Arial Narrow" w:cs="Arial"/>
                <w:sz w:val="20"/>
                <w:szCs w:val="20"/>
              </w:rPr>
              <w:t>Prescriber bag</w:t>
            </w:r>
            <w:r w:rsidR="00C343FE">
              <w:rPr>
                <w:rFonts w:ascii="Arial Narrow" w:hAnsi="Arial Narrow" w:cs="Arial"/>
                <w:sz w:val="20"/>
                <w:szCs w:val="20"/>
              </w:rPr>
              <w:t>^</w:t>
            </w:r>
          </w:p>
        </w:tc>
      </w:tr>
      <w:tr w:rsidR="00EC63CF"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jc w:val="both"/>
              <w:rPr>
                <w:rFonts w:ascii="Arial Narrow" w:hAnsi="Arial Narrow" w:cs="Arial"/>
                <w:b/>
                <w:sz w:val="20"/>
                <w:szCs w:val="20"/>
              </w:rPr>
            </w:pPr>
            <w:r w:rsidRPr="00260CE3">
              <w:rPr>
                <w:rFonts w:ascii="Arial Narrow" w:hAnsi="Arial Narrow" w:cs="Arial"/>
                <w:b/>
                <w:sz w:val="20"/>
                <w:szCs w:val="20"/>
              </w:rPr>
              <w:lastRenderedPageBreak/>
              <w:t>Prescriber type:</w:t>
            </w:r>
          </w:p>
        </w:tc>
        <w:tc>
          <w:tcPr>
            <w:tcW w:w="6520"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C63CF" w:rsidRPr="00260CE3" w:rsidRDefault="00EC63CF" w:rsidP="00FC117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C63CF"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jc w:val="both"/>
              <w:rPr>
                <w:rFonts w:ascii="Arial Narrow" w:hAnsi="Arial Narrow" w:cs="Arial"/>
                <w:b/>
                <w:sz w:val="20"/>
                <w:szCs w:val="20"/>
              </w:rPr>
            </w:pPr>
            <w:r>
              <w:rPr>
                <w:rFonts w:ascii="Arial Narrow" w:hAnsi="Arial Narrow" w:cs="Arial"/>
                <w:b/>
                <w:sz w:val="20"/>
                <w:szCs w:val="20"/>
              </w:rPr>
              <w:t>Cautions</w:t>
            </w:r>
          </w:p>
        </w:tc>
        <w:tc>
          <w:tcPr>
            <w:tcW w:w="6520" w:type="dxa"/>
            <w:tcBorders>
              <w:top w:val="single" w:sz="4" w:space="0" w:color="auto"/>
              <w:left w:val="single" w:sz="4" w:space="0" w:color="auto"/>
              <w:bottom w:val="single" w:sz="4" w:space="0" w:color="auto"/>
              <w:right w:val="single" w:sz="4" w:space="0" w:color="auto"/>
            </w:tcBorders>
          </w:tcPr>
          <w:p w:rsidR="00EC63CF" w:rsidRPr="00CB5A84" w:rsidRDefault="00EC63CF" w:rsidP="00FC1178">
            <w:pPr>
              <w:pStyle w:val="NormalWeb"/>
              <w:ind w:left="0"/>
              <w:rPr>
                <w:rFonts w:ascii="Arial Narrow" w:hAnsi="Arial Narrow"/>
                <w:sz w:val="20"/>
                <w:szCs w:val="20"/>
              </w:rPr>
            </w:pPr>
            <w:r>
              <w:rPr>
                <w:rFonts w:ascii="Arial Narrow" w:hAnsi="Arial Narrow"/>
                <w:sz w:val="20"/>
                <w:szCs w:val="20"/>
              </w:rPr>
              <w:t>The risk of drug dependence is high.</w:t>
            </w:r>
          </w:p>
        </w:tc>
      </w:tr>
    </w:tbl>
    <w:p w:rsidR="00C343FE" w:rsidRPr="00EC63CF" w:rsidRDefault="00C343FE" w:rsidP="00C343FE">
      <w:pPr>
        <w:ind w:left="720"/>
        <w:rPr>
          <w:rFonts w:ascii="Arial Narrow" w:hAnsi="Arial Narrow"/>
          <w:sz w:val="20"/>
          <w:szCs w:val="22"/>
        </w:rPr>
      </w:pPr>
      <w:r>
        <w:rPr>
          <w:rFonts w:ascii="Arial" w:hAnsi="Arial"/>
          <w:sz w:val="22"/>
          <w:szCs w:val="22"/>
        </w:rPr>
        <w:t>^</w:t>
      </w:r>
      <w:r w:rsidRPr="00EC63CF">
        <w:rPr>
          <w:rFonts w:ascii="Arial Narrow" w:hAnsi="Arial Narrow"/>
          <w:sz w:val="20"/>
          <w:szCs w:val="22"/>
        </w:rPr>
        <w:t xml:space="preserve">to be made available as options in the same Prescriber Bag Group as current Prescriber Bag listings </w:t>
      </w:r>
      <w:r>
        <w:rPr>
          <w:rFonts w:ascii="Arial Narrow" w:hAnsi="Arial Narrow"/>
          <w:sz w:val="20"/>
          <w:szCs w:val="22"/>
        </w:rPr>
        <w:t>for morphine sulfate (items 3479D and 3480E)</w:t>
      </w:r>
      <w:r w:rsidRPr="00EC63CF">
        <w:rPr>
          <w:rFonts w:ascii="Arial Narrow" w:hAnsi="Arial Narrow"/>
          <w:sz w:val="20"/>
          <w:szCs w:val="22"/>
        </w:rPr>
        <w:t xml:space="preserve"> and morphine hydrochloride</w:t>
      </w:r>
      <w:r>
        <w:rPr>
          <w:rFonts w:ascii="Arial Narrow" w:hAnsi="Arial Narrow"/>
          <w:sz w:val="20"/>
          <w:szCs w:val="22"/>
        </w:rPr>
        <w:t xml:space="preserve"> 1</w:t>
      </w:r>
      <w:r w:rsidRPr="00EC63CF">
        <w:rPr>
          <w:rFonts w:ascii="Arial Narrow" w:hAnsi="Arial Narrow"/>
          <w:sz w:val="20"/>
          <w:szCs w:val="22"/>
        </w:rPr>
        <w:t>0 mg/1 mL injection</w:t>
      </w:r>
      <w:r>
        <w:rPr>
          <w:rFonts w:ascii="Arial Narrow" w:hAnsi="Arial Narrow"/>
          <w:sz w:val="20"/>
          <w:szCs w:val="22"/>
        </w:rPr>
        <w:t>.</w:t>
      </w:r>
    </w:p>
    <w:p w:rsidR="00CA590D" w:rsidRPr="00C343FE" w:rsidRDefault="00CA590D" w:rsidP="00D71AD5">
      <w:pPr>
        <w:rPr>
          <w:rFonts w:ascii="Arial" w:hAnsi="Arial"/>
          <w:sz w:val="22"/>
          <w:szCs w:val="22"/>
        </w:rPr>
      </w:pPr>
    </w:p>
    <w:p w:rsidR="00EC63CF" w:rsidRDefault="00EC63CF" w:rsidP="00D71AD5">
      <w:pPr>
        <w:rPr>
          <w:rFonts w:ascii="Arial" w:hAnsi="Arial"/>
          <w:b/>
          <w:sz w:val="22"/>
          <w:szCs w:val="22"/>
        </w:rPr>
      </w:pPr>
    </w:p>
    <w:tbl>
      <w:tblPr>
        <w:tblW w:w="4558" w:type="pct"/>
        <w:tblInd w:w="817" w:type="dxa"/>
        <w:tblLook w:val="0000" w:firstRow="0" w:lastRow="0" w:firstColumn="0" w:lastColumn="0" w:noHBand="0" w:noVBand="0"/>
      </w:tblPr>
      <w:tblGrid>
        <w:gridCol w:w="3436"/>
        <w:gridCol w:w="817"/>
        <w:gridCol w:w="1028"/>
        <w:gridCol w:w="1665"/>
        <w:gridCol w:w="1479"/>
      </w:tblGrid>
      <w:tr w:rsidR="00CA590D" w:rsidRPr="0039782C" w:rsidTr="00FC1178">
        <w:trPr>
          <w:cantSplit/>
          <w:trHeight w:val="471"/>
        </w:trPr>
        <w:tc>
          <w:tcPr>
            <w:tcW w:w="2039" w:type="pct"/>
            <w:tcBorders>
              <w:bottom w:val="single" w:sz="4" w:space="0" w:color="auto"/>
            </w:tcBorders>
          </w:tcPr>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85" w:type="pct"/>
            <w:tcBorders>
              <w:bottom w:val="single" w:sz="4" w:space="0" w:color="auto"/>
            </w:tcBorders>
          </w:tcPr>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Max.</w:t>
            </w:r>
          </w:p>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610" w:type="pct"/>
            <w:tcBorders>
              <w:bottom w:val="single" w:sz="4" w:space="0" w:color="auto"/>
            </w:tcBorders>
          </w:tcPr>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№.of</w:t>
            </w:r>
          </w:p>
          <w:p w:rsidR="00CA590D" w:rsidRPr="0039782C" w:rsidRDefault="00CA590D" w:rsidP="00FC117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866" w:type="pct"/>
            <w:gridSpan w:val="2"/>
            <w:tcBorders>
              <w:bottom w:val="single" w:sz="4" w:space="0" w:color="auto"/>
            </w:tcBorders>
          </w:tcPr>
          <w:p w:rsidR="00CA590D" w:rsidRPr="0039782C" w:rsidRDefault="00CA590D" w:rsidP="00FC117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A590D" w:rsidRPr="00260CE3" w:rsidTr="00FC1178">
        <w:trPr>
          <w:cantSplit/>
          <w:trHeight w:val="577"/>
        </w:trPr>
        <w:tc>
          <w:tcPr>
            <w:tcW w:w="2039" w:type="pct"/>
          </w:tcPr>
          <w:p w:rsidR="00C343FE" w:rsidRDefault="00B133CB" w:rsidP="00B133CB">
            <w:pPr>
              <w:keepNext/>
              <w:ind w:left="-108"/>
              <w:rPr>
                <w:rFonts w:ascii="Arial Narrow" w:hAnsi="Arial Narrow" w:cs="Arial"/>
                <w:sz w:val="20"/>
                <w:szCs w:val="20"/>
              </w:rPr>
            </w:pPr>
            <w:r>
              <w:rPr>
                <w:rFonts w:ascii="Arial Narrow" w:hAnsi="Arial Narrow" w:cs="Arial"/>
                <w:sz w:val="20"/>
                <w:szCs w:val="20"/>
              </w:rPr>
              <w:t>50mg/5mL injection, 5 x 5 mL ampoule</w:t>
            </w:r>
            <w:r w:rsidR="00A64A07">
              <w:rPr>
                <w:rFonts w:ascii="Arial Narrow" w:hAnsi="Arial Narrow" w:cs="Arial"/>
                <w:sz w:val="20"/>
                <w:szCs w:val="20"/>
              </w:rPr>
              <w:t>s</w:t>
            </w:r>
          </w:p>
          <w:p w:rsidR="00B133CB" w:rsidRPr="00B133CB" w:rsidRDefault="00C343FE" w:rsidP="00B133CB">
            <w:pPr>
              <w:keepNext/>
              <w:ind w:left="-108"/>
              <w:rPr>
                <w:rFonts w:ascii="Arial Narrow" w:hAnsi="Arial Narrow" w:cs="Arial"/>
                <w:sz w:val="20"/>
                <w:szCs w:val="20"/>
              </w:rPr>
            </w:pPr>
            <w:r>
              <w:rPr>
                <w:rFonts w:ascii="Arial Narrow" w:hAnsi="Arial Narrow" w:cs="Arial"/>
                <w:sz w:val="20"/>
                <w:szCs w:val="20"/>
              </w:rPr>
              <w:t>1</w:t>
            </w:r>
            <w:r w:rsidR="00B133CB">
              <w:rPr>
                <w:rFonts w:ascii="Arial Narrow" w:hAnsi="Arial Narrow" w:cs="Arial"/>
                <w:sz w:val="20"/>
                <w:szCs w:val="20"/>
              </w:rPr>
              <w:t>00mg/5mL injection, 5 x 5 mL ampoule</w:t>
            </w:r>
            <w:r w:rsidR="00A64A07">
              <w:rPr>
                <w:rFonts w:ascii="Arial Narrow" w:hAnsi="Arial Narrow" w:cs="Arial"/>
                <w:sz w:val="20"/>
                <w:szCs w:val="20"/>
              </w:rPr>
              <w:t>s</w:t>
            </w:r>
          </w:p>
          <w:p w:rsidR="00CA590D" w:rsidRPr="00260CE3" w:rsidRDefault="00CA590D" w:rsidP="00FC1178">
            <w:pPr>
              <w:keepNext/>
              <w:ind w:left="-108"/>
              <w:jc w:val="both"/>
              <w:rPr>
                <w:rFonts w:ascii="Arial Narrow" w:hAnsi="Arial Narrow" w:cs="Arial"/>
                <w:sz w:val="20"/>
                <w:szCs w:val="20"/>
              </w:rPr>
            </w:pPr>
          </w:p>
        </w:tc>
        <w:tc>
          <w:tcPr>
            <w:tcW w:w="485" w:type="pct"/>
            <w:vAlign w:val="center"/>
          </w:tcPr>
          <w:p w:rsidR="00CA590D" w:rsidRDefault="00CA590D" w:rsidP="00FC1178">
            <w:pPr>
              <w:keepNext/>
              <w:ind w:left="-108"/>
              <w:rPr>
                <w:rFonts w:ascii="Arial Narrow" w:hAnsi="Arial Narrow" w:cs="Arial"/>
                <w:sz w:val="20"/>
                <w:szCs w:val="20"/>
              </w:rPr>
            </w:pPr>
            <w:r>
              <w:rPr>
                <w:rFonts w:ascii="Arial Narrow" w:hAnsi="Arial Narrow" w:cs="Arial"/>
                <w:sz w:val="20"/>
                <w:szCs w:val="20"/>
              </w:rPr>
              <w:t>1</w:t>
            </w:r>
          </w:p>
          <w:p w:rsidR="00CA590D" w:rsidRPr="00260CE3" w:rsidRDefault="00CA590D" w:rsidP="00FC1178">
            <w:pPr>
              <w:keepNext/>
              <w:ind w:left="-108"/>
              <w:rPr>
                <w:rFonts w:ascii="Arial Narrow" w:hAnsi="Arial Narrow" w:cs="Arial"/>
                <w:sz w:val="20"/>
                <w:szCs w:val="20"/>
              </w:rPr>
            </w:pPr>
          </w:p>
        </w:tc>
        <w:tc>
          <w:tcPr>
            <w:tcW w:w="610" w:type="pct"/>
            <w:vAlign w:val="center"/>
          </w:tcPr>
          <w:p w:rsidR="00CA590D" w:rsidRDefault="00CA590D" w:rsidP="00FC1178">
            <w:pPr>
              <w:keepNext/>
              <w:ind w:left="-108"/>
              <w:rPr>
                <w:rFonts w:ascii="Arial Narrow" w:hAnsi="Arial Narrow" w:cs="Arial"/>
                <w:sz w:val="20"/>
                <w:szCs w:val="20"/>
              </w:rPr>
            </w:pPr>
            <w:r>
              <w:rPr>
                <w:rFonts w:ascii="Arial Narrow" w:hAnsi="Arial Narrow" w:cs="Arial"/>
                <w:sz w:val="20"/>
                <w:szCs w:val="20"/>
              </w:rPr>
              <w:t>0</w:t>
            </w:r>
          </w:p>
          <w:p w:rsidR="00CA590D" w:rsidRPr="00260CE3" w:rsidRDefault="00CA590D" w:rsidP="00FC1178">
            <w:pPr>
              <w:keepNext/>
              <w:ind w:left="-108"/>
              <w:rPr>
                <w:rFonts w:ascii="Arial Narrow" w:hAnsi="Arial Narrow" w:cs="Arial"/>
                <w:sz w:val="20"/>
                <w:szCs w:val="20"/>
              </w:rPr>
            </w:pPr>
          </w:p>
        </w:tc>
        <w:tc>
          <w:tcPr>
            <w:tcW w:w="988" w:type="pct"/>
          </w:tcPr>
          <w:p w:rsidR="00CA590D" w:rsidRPr="00260CE3" w:rsidRDefault="00CA590D" w:rsidP="00FC1178">
            <w:pPr>
              <w:keepNext/>
              <w:jc w:val="both"/>
              <w:rPr>
                <w:rFonts w:ascii="Arial Narrow" w:hAnsi="Arial Narrow" w:cs="Arial"/>
                <w:sz w:val="20"/>
                <w:szCs w:val="20"/>
              </w:rPr>
            </w:pPr>
            <w:r>
              <w:rPr>
                <w:rFonts w:ascii="Arial Narrow" w:hAnsi="Arial Narrow" w:cs="Arial"/>
                <w:sz w:val="20"/>
                <w:szCs w:val="20"/>
              </w:rPr>
              <w:t>MORPHINE (JUNO)</w:t>
            </w:r>
          </w:p>
        </w:tc>
        <w:tc>
          <w:tcPr>
            <w:tcW w:w="878" w:type="pct"/>
          </w:tcPr>
          <w:p w:rsidR="00CA590D" w:rsidRPr="00260CE3" w:rsidRDefault="00CA590D" w:rsidP="00FC1178">
            <w:pPr>
              <w:keepNext/>
              <w:jc w:val="both"/>
              <w:rPr>
                <w:rFonts w:ascii="Arial Narrow" w:hAnsi="Arial Narrow" w:cs="Arial"/>
                <w:sz w:val="20"/>
                <w:szCs w:val="20"/>
              </w:rPr>
            </w:pPr>
            <w:r>
              <w:rPr>
                <w:rFonts w:ascii="Arial Narrow" w:hAnsi="Arial Narrow" w:cs="Arial"/>
                <w:sz w:val="20"/>
                <w:szCs w:val="20"/>
              </w:rPr>
              <w:t>Juno pharmaceuticals</w:t>
            </w:r>
          </w:p>
        </w:tc>
      </w:tr>
    </w:tbl>
    <w:p w:rsidR="00CA590D" w:rsidRDefault="00CA590D" w:rsidP="00D71AD5">
      <w:pPr>
        <w:rPr>
          <w:rFonts w:ascii="Arial" w:hAnsi="Arial"/>
          <w:b/>
          <w:sz w:val="22"/>
          <w:szCs w:val="22"/>
        </w:rPr>
      </w:pPr>
    </w:p>
    <w:tbl>
      <w:tblPr>
        <w:tblW w:w="8505" w:type="dxa"/>
        <w:tblInd w:w="817" w:type="dxa"/>
        <w:tblLayout w:type="fixed"/>
        <w:tblLook w:val="0000" w:firstRow="0" w:lastRow="0" w:firstColumn="0" w:lastColumn="0" w:noHBand="0" w:noVBand="0"/>
      </w:tblPr>
      <w:tblGrid>
        <w:gridCol w:w="1985"/>
        <w:gridCol w:w="6520"/>
      </w:tblGrid>
      <w:tr w:rsidR="00EC63CF"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jc w:val="both"/>
              <w:rPr>
                <w:rFonts w:ascii="Arial Narrow" w:hAnsi="Arial Narrow" w:cs="Arial"/>
                <w:b/>
                <w:sz w:val="20"/>
                <w:szCs w:val="20"/>
              </w:rPr>
            </w:pPr>
            <w:r w:rsidRPr="00260CE3">
              <w:rPr>
                <w:rFonts w:ascii="Arial Narrow" w:hAnsi="Arial Narrow" w:cs="Arial"/>
                <w:b/>
                <w:sz w:val="20"/>
                <w:szCs w:val="20"/>
              </w:rPr>
              <w:t>Category / Program</w:t>
            </w:r>
          </w:p>
        </w:tc>
        <w:tc>
          <w:tcPr>
            <w:tcW w:w="6520"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rPr>
                <w:rFonts w:ascii="Arial Narrow" w:hAnsi="Arial Narrow" w:cs="Arial"/>
                <w:sz w:val="20"/>
                <w:szCs w:val="20"/>
              </w:rPr>
            </w:pPr>
            <w:r>
              <w:rPr>
                <w:rFonts w:ascii="Arial Narrow" w:hAnsi="Arial Narrow" w:cs="Arial"/>
                <w:sz w:val="20"/>
                <w:szCs w:val="20"/>
              </w:rPr>
              <w:t>General Schedule</w:t>
            </w:r>
          </w:p>
        </w:tc>
      </w:tr>
      <w:tr w:rsidR="00EC63CF"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C63CF" w:rsidRPr="00260CE3" w:rsidRDefault="00EC63CF" w:rsidP="00FC117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E7435">
              <w:rPr>
                <w:rFonts w:ascii="Arial Narrow" w:hAnsi="Arial Narrow" w:cs="Arial"/>
                <w:sz w:val="20"/>
                <w:szCs w:val="20"/>
              </w:rPr>
            </w:r>
            <w:r w:rsidR="00AE743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Midwives</w:t>
            </w:r>
          </w:p>
        </w:tc>
      </w:tr>
      <w:tr w:rsidR="00EC63CF" w:rsidRPr="00260CE3" w:rsidTr="00FC1178">
        <w:trPr>
          <w:cantSplit/>
          <w:trHeight w:val="360"/>
        </w:trPr>
        <w:tc>
          <w:tcPr>
            <w:tcW w:w="1985" w:type="dxa"/>
            <w:tcBorders>
              <w:top w:val="single" w:sz="4" w:space="0" w:color="auto"/>
              <w:left w:val="single" w:sz="4" w:space="0" w:color="auto"/>
              <w:bottom w:val="single" w:sz="4" w:space="0" w:color="auto"/>
              <w:right w:val="single" w:sz="4" w:space="0" w:color="auto"/>
            </w:tcBorders>
          </w:tcPr>
          <w:p w:rsidR="00EC63CF" w:rsidRPr="00260CE3" w:rsidRDefault="00EC63CF" w:rsidP="00FC1178">
            <w:pPr>
              <w:jc w:val="both"/>
              <w:rPr>
                <w:rFonts w:ascii="Arial Narrow" w:hAnsi="Arial Narrow" w:cs="Arial"/>
                <w:b/>
                <w:sz w:val="20"/>
                <w:szCs w:val="20"/>
              </w:rPr>
            </w:pPr>
            <w:r>
              <w:rPr>
                <w:rFonts w:ascii="Arial Narrow" w:hAnsi="Arial Narrow" w:cs="Arial"/>
                <w:b/>
                <w:sz w:val="20"/>
                <w:szCs w:val="20"/>
              </w:rPr>
              <w:t>Cautions</w:t>
            </w:r>
          </w:p>
        </w:tc>
        <w:tc>
          <w:tcPr>
            <w:tcW w:w="6520" w:type="dxa"/>
            <w:tcBorders>
              <w:top w:val="single" w:sz="4" w:space="0" w:color="auto"/>
              <w:left w:val="single" w:sz="4" w:space="0" w:color="auto"/>
              <w:bottom w:val="single" w:sz="4" w:space="0" w:color="auto"/>
              <w:right w:val="single" w:sz="4" w:space="0" w:color="auto"/>
            </w:tcBorders>
          </w:tcPr>
          <w:p w:rsidR="00EC63CF" w:rsidRPr="00CB5A84" w:rsidRDefault="00EC63CF" w:rsidP="00FC1178">
            <w:pPr>
              <w:pStyle w:val="NormalWeb"/>
              <w:rPr>
                <w:rFonts w:ascii="Arial Narrow" w:hAnsi="Arial Narrow"/>
                <w:sz w:val="20"/>
                <w:szCs w:val="20"/>
              </w:rPr>
            </w:pPr>
            <w:r>
              <w:rPr>
                <w:rFonts w:ascii="Arial Narrow" w:hAnsi="Arial Narrow"/>
                <w:sz w:val="20"/>
                <w:szCs w:val="20"/>
              </w:rPr>
              <w:t>The risk of drug dependence is high.</w:t>
            </w:r>
          </w:p>
        </w:tc>
      </w:tr>
    </w:tbl>
    <w:p w:rsidR="00425298" w:rsidRDefault="00425298" w:rsidP="00D71AD5">
      <w:pPr>
        <w:rPr>
          <w:rFonts w:ascii="Arial" w:hAnsi="Arial"/>
          <w:b/>
          <w:sz w:val="22"/>
          <w:szCs w:val="22"/>
        </w:rPr>
      </w:pPr>
    </w:p>
    <w:p w:rsidR="00E52DCB" w:rsidRPr="00017169" w:rsidRDefault="00E52DCB" w:rsidP="00E52DCB">
      <w:pPr>
        <w:jc w:val="both"/>
        <w:rPr>
          <w:rFonts w:ascii="Arial" w:hAnsi="Arial" w:cs="Arial"/>
          <w:bCs/>
          <w:snapToGrid w:val="0"/>
          <w:sz w:val="22"/>
          <w:szCs w:val="22"/>
          <w:lang w:val="en-GB" w:eastAsia="en-US"/>
        </w:rPr>
      </w:pPr>
    </w:p>
    <w:p w:rsidR="00E52DCB" w:rsidRDefault="00E52DCB" w:rsidP="00E52DCB">
      <w:pPr>
        <w:pStyle w:val="Heading1"/>
      </w:pPr>
      <w:r w:rsidRPr="004304F6">
        <w:t>Context for Decision</w:t>
      </w:r>
    </w:p>
    <w:p w:rsidR="00E52DCB" w:rsidRPr="00005D28" w:rsidRDefault="00E52DCB" w:rsidP="00E52DCB"/>
    <w:p w:rsidR="00E52DCB" w:rsidRDefault="00E52DCB" w:rsidP="00E52DCB">
      <w:pPr>
        <w:ind w:left="720"/>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52DCB" w:rsidRDefault="00E52DCB" w:rsidP="00E52DCB">
      <w:pPr>
        <w:ind w:left="720"/>
        <w:rPr>
          <w:rFonts w:ascii="Arial" w:hAnsi="Arial" w:cs="Arial"/>
          <w:sz w:val="22"/>
        </w:rPr>
      </w:pPr>
    </w:p>
    <w:p w:rsidR="00E52DCB" w:rsidRPr="004304F6" w:rsidRDefault="00E52DCB" w:rsidP="00E52DCB">
      <w:pPr>
        <w:rPr>
          <w:rFonts w:ascii="Arial" w:hAnsi="Arial" w:cs="Arial"/>
          <w:sz w:val="22"/>
        </w:rPr>
      </w:pPr>
    </w:p>
    <w:p w:rsidR="00E52DCB" w:rsidRPr="004304F6" w:rsidRDefault="00E52DCB" w:rsidP="00E52DCB">
      <w:pPr>
        <w:pStyle w:val="Heading1"/>
      </w:pPr>
      <w:r w:rsidRPr="004304F6">
        <w:t>Sponsor’s Comment</w:t>
      </w:r>
    </w:p>
    <w:p w:rsidR="00E52DCB" w:rsidRDefault="00E52DCB" w:rsidP="00E52DCB">
      <w:pPr>
        <w:jc w:val="both"/>
        <w:rPr>
          <w:rFonts w:ascii="Arial" w:hAnsi="Arial" w:cs="Arial"/>
          <w:b/>
          <w:sz w:val="22"/>
          <w:szCs w:val="22"/>
        </w:rPr>
      </w:pPr>
    </w:p>
    <w:p w:rsidR="00E52DCB" w:rsidRDefault="00E52DCB" w:rsidP="00E52DCB">
      <w:pPr>
        <w:spacing w:after="120"/>
        <w:ind w:left="720"/>
        <w:jc w:val="both"/>
        <w:rPr>
          <w:rFonts w:ascii="Arial" w:hAnsi="Arial" w:cs="Arial"/>
          <w:bCs/>
          <w:sz w:val="22"/>
        </w:rPr>
      </w:pPr>
      <w:r w:rsidRPr="003035CC">
        <w:rPr>
          <w:rFonts w:ascii="Arial" w:hAnsi="Arial" w:cs="Arial"/>
          <w:bCs/>
          <w:sz w:val="22"/>
        </w:rPr>
        <w:t>The sponsor had no comment.</w:t>
      </w:r>
    </w:p>
    <w:p w:rsidR="00E52DCB" w:rsidRDefault="00E52DCB" w:rsidP="00E52DCB">
      <w:pPr>
        <w:rPr>
          <w:rFonts w:ascii="Arial" w:hAnsi="Arial"/>
          <w:b/>
          <w:sz w:val="22"/>
          <w:szCs w:val="22"/>
        </w:rPr>
      </w:pPr>
    </w:p>
    <w:p w:rsidR="00E52DCB" w:rsidRPr="00012593" w:rsidRDefault="00E52DCB" w:rsidP="00E52DCB">
      <w:pPr>
        <w:rPr>
          <w:rFonts w:ascii="Arial" w:hAnsi="Arial"/>
          <w:b/>
          <w:sz w:val="22"/>
          <w:szCs w:val="22"/>
        </w:rPr>
      </w:pPr>
      <w:r w:rsidRPr="00012593">
        <w:rPr>
          <w:rFonts w:ascii="Arial" w:hAnsi="Arial"/>
          <w:b/>
          <w:sz w:val="22"/>
          <w:szCs w:val="22"/>
        </w:rPr>
        <w:t>ADDENDUM</w:t>
      </w:r>
    </w:p>
    <w:p w:rsidR="00E52DCB" w:rsidRDefault="00E52DCB" w:rsidP="00E52DCB">
      <w:pPr>
        <w:rPr>
          <w:rFonts w:ascii="Arial" w:hAnsi="Arial"/>
          <w:sz w:val="22"/>
          <w:szCs w:val="22"/>
        </w:rPr>
      </w:pPr>
    </w:p>
    <w:p w:rsidR="00E52DCB" w:rsidRPr="00012593" w:rsidRDefault="00E52DCB" w:rsidP="00E52DCB">
      <w:pPr>
        <w:jc w:val="both"/>
        <w:rPr>
          <w:rFonts w:ascii="Arial" w:hAnsi="Arial" w:cs="Arial"/>
          <w:sz w:val="22"/>
          <w:szCs w:val="22"/>
        </w:rPr>
      </w:pPr>
      <w:r w:rsidRPr="00012593">
        <w:rPr>
          <w:rFonts w:ascii="Arial" w:hAnsi="Arial" w:cs="Arial"/>
          <w:sz w:val="22"/>
          <w:szCs w:val="22"/>
        </w:rPr>
        <w:t xml:space="preserve">Following the PBAC Meeting, the PBAC acknowledged that the sponsor requested “a” flagging of morphine </w:t>
      </w:r>
      <w:r>
        <w:rPr>
          <w:rFonts w:ascii="Arial" w:hAnsi="Arial" w:cs="Arial"/>
          <w:sz w:val="22"/>
          <w:szCs w:val="22"/>
        </w:rPr>
        <w:t xml:space="preserve">(as morphine </w:t>
      </w:r>
      <w:r w:rsidRPr="00012593">
        <w:rPr>
          <w:rFonts w:ascii="Arial" w:hAnsi="Arial" w:cs="Arial"/>
          <w:sz w:val="22"/>
          <w:szCs w:val="22"/>
        </w:rPr>
        <w:t>hydrochloride</w:t>
      </w:r>
      <w:r>
        <w:rPr>
          <w:rFonts w:ascii="Arial" w:hAnsi="Arial" w:cs="Arial"/>
          <w:sz w:val="22"/>
          <w:szCs w:val="22"/>
        </w:rPr>
        <w:t xml:space="preserve">) with morphine (as </w:t>
      </w:r>
      <w:r w:rsidRPr="00AC3301">
        <w:rPr>
          <w:rFonts w:ascii="Arial" w:hAnsi="Arial" w:cs="Arial"/>
          <w:sz w:val="22"/>
          <w:szCs w:val="22"/>
        </w:rPr>
        <w:t>morphine tartrate and morphine sulfate</w:t>
      </w:r>
      <w:r>
        <w:rPr>
          <w:rFonts w:ascii="Arial" w:hAnsi="Arial" w:cs="Arial"/>
          <w:sz w:val="22"/>
          <w:szCs w:val="22"/>
        </w:rPr>
        <w:t>)</w:t>
      </w:r>
      <w:r w:rsidRPr="00AC3301">
        <w:rPr>
          <w:rFonts w:ascii="Arial" w:hAnsi="Arial" w:cs="Arial"/>
          <w:sz w:val="22"/>
          <w:szCs w:val="22"/>
        </w:rPr>
        <w:t xml:space="preserve"> on the PBS on the basis that the TGA considered that these products are bioequivalent</w:t>
      </w:r>
      <w:r w:rsidRPr="00012593">
        <w:rPr>
          <w:rFonts w:ascii="Arial" w:hAnsi="Arial" w:cs="Arial"/>
          <w:sz w:val="22"/>
          <w:szCs w:val="22"/>
        </w:rPr>
        <w:t xml:space="preserve">. The PBAC </w:t>
      </w:r>
      <w:r>
        <w:rPr>
          <w:rFonts w:ascii="Arial" w:hAnsi="Arial" w:cs="Arial"/>
          <w:sz w:val="22"/>
          <w:szCs w:val="22"/>
        </w:rPr>
        <w:t xml:space="preserve">noted that the </w:t>
      </w:r>
      <w:r w:rsidRPr="00012593">
        <w:rPr>
          <w:rFonts w:ascii="Arial" w:hAnsi="Arial" w:cs="Arial"/>
          <w:sz w:val="22"/>
          <w:szCs w:val="22"/>
        </w:rPr>
        <w:t xml:space="preserve">only </w:t>
      </w:r>
      <w:r>
        <w:rPr>
          <w:rFonts w:ascii="Arial" w:hAnsi="Arial" w:cs="Arial"/>
          <w:sz w:val="22"/>
          <w:szCs w:val="22"/>
        </w:rPr>
        <w:t xml:space="preserve">forms of morphine with a common strength were </w:t>
      </w:r>
      <w:r w:rsidRPr="00012593">
        <w:rPr>
          <w:rFonts w:ascii="Arial" w:hAnsi="Arial" w:cs="Arial"/>
          <w:sz w:val="22"/>
          <w:szCs w:val="22"/>
        </w:rPr>
        <w:t>morphine hydrochloride and morphine sulfate 10</w:t>
      </w:r>
      <w:r>
        <w:rPr>
          <w:rFonts w:ascii="Arial" w:hAnsi="Arial" w:cs="Arial"/>
          <w:sz w:val="22"/>
          <w:szCs w:val="22"/>
        </w:rPr>
        <w:t> </w:t>
      </w:r>
      <w:r w:rsidRPr="00012593">
        <w:rPr>
          <w:rFonts w:ascii="Arial" w:hAnsi="Arial" w:cs="Arial"/>
          <w:sz w:val="22"/>
          <w:szCs w:val="22"/>
        </w:rPr>
        <w:t>mg/1</w:t>
      </w:r>
      <w:r>
        <w:rPr>
          <w:rFonts w:ascii="Arial" w:hAnsi="Arial" w:cs="Arial"/>
          <w:sz w:val="22"/>
          <w:szCs w:val="22"/>
        </w:rPr>
        <w:t> </w:t>
      </w:r>
      <w:r w:rsidRPr="00012593">
        <w:rPr>
          <w:rFonts w:ascii="Arial" w:hAnsi="Arial" w:cs="Arial"/>
          <w:sz w:val="22"/>
          <w:szCs w:val="22"/>
        </w:rPr>
        <w:t xml:space="preserve">mL injection. The PBAC therefore recommended that </w:t>
      </w:r>
      <w:r w:rsidRPr="00144B84">
        <w:rPr>
          <w:rFonts w:ascii="Arial" w:hAnsi="Arial" w:cs="Arial"/>
          <w:sz w:val="22"/>
          <w:szCs w:val="22"/>
        </w:rPr>
        <w:t xml:space="preserve">morphine hydrochloride </w:t>
      </w:r>
      <w:r w:rsidRPr="00012593">
        <w:rPr>
          <w:rFonts w:ascii="Arial" w:hAnsi="Arial" w:cs="Arial"/>
          <w:sz w:val="22"/>
          <w:szCs w:val="22"/>
        </w:rPr>
        <w:t>10 mg/1 mL injection is suitable for “a” flagging with morphine sulfate</w:t>
      </w:r>
      <w:r>
        <w:rPr>
          <w:rFonts w:ascii="Arial" w:hAnsi="Arial" w:cs="Arial"/>
          <w:sz w:val="22"/>
          <w:szCs w:val="22"/>
        </w:rPr>
        <w:t xml:space="preserve"> </w:t>
      </w:r>
      <w:r w:rsidRPr="00346893">
        <w:rPr>
          <w:rFonts w:ascii="Arial" w:hAnsi="Arial" w:cs="Arial"/>
          <w:sz w:val="22"/>
          <w:szCs w:val="22"/>
        </w:rPr>
        <w:t>10 mg/1 mL injection</w:t>
      </w:r>
      <w:r w:rsidRPr="00012593">
        <w:rPr>
          <w:rFonts w:ascii="Arial" w:hAnsi="Arial" w:cs="Arial"/>
          <w:sz w:val="22"/>
          <w:szCs w:val="22"/>
        </w:rPr>
        <w:t>.</w:t>
      </w:r>
    </w:p>
    <w:sectPr w:rsidR="00E52DCB" w:rsidRPr="00012593"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099" w:rsidRDefault="00934099">
      <w:r>
        <w:separator/>
      </w:r>
    </w:p>
    <w:p w:rsidR="00934099" w:rsidRDefault="00934099"/>
  </w:endnote>
  <w:endnote w:type="continuationSeparator" w:id="0">
    <w:p w:rsidR="00934099" w:rsidRDefault="00934099">
      <w:r>
        <w:continuationSeparator/>
      </w:r>
    </w:p>
    <w:p w:rsidR="00934099" w:rsidRDefault="00934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34099" w:rsidTr="005A3173">
      <w:trPr>
        <w:trHeight w:val="151"/>
      </w:trPr>
      <w:tc>
        <w:tcPr>
          <w:tcW w:w="2250" w:type="pct"/>
          <w:tcBorders>
            <w:top w:val="nil"/>
            <w:left w:val="nil"/>
            <w:bottom w:val="single" w:sz="4" w:space="0" w:color="4F81BD"/>
            <w:right w:val="nil"/>
          </w:tcBorders>
        </w:tcPr>
        <w:p w:rsidR="00934099" w:rsidRPr="005A3173" w:rsidRDefault="009340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34099" w:rsidRPr="005A3173" w:rsidRDefault="009340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34099" w:rsidRPr="005A3173" w:rsidRDefault="00934099" w:rsidP="005A3173">
          <w:pPr>
            <w:pStyle w:val="Header"/>
            <w:spacing w:line="276" w:lineRule="auto"/>
            <w:rPr>
              <w:rFonts w:ascii="Calibri" w:eastAsia="MS Gothic" w:hAnsi="Calibri"/>
              <w:b/>
              <w:bCs/>
              <w:color w:val="4F81BD"/>
            </w:rPr>
          </w:pPr>
        </w:p>
      </w:tc>
    </w:tr>
    <w:tr w:rsidR="00934099" w:rsidTr="005A3173">
      <w:trPr>
        <w:trHeight w:val="150"/>
      </w:trPr>
      <w:tc>
        <w:tcPr>
          <w:tcW w:w="2250" w:type="pct"/>
          <w:tcBorders>
            <w:top w:val="single" w:sz="4" w:space="0" w:color="4F81BD"/>
            <w:left w:val="nil"/>
            <w:bottom w:val="nil"/>
            <w:right w:val="nil"/>
          </w:tcBorders>
        </w:tcPr>
        <w:p w:rsidR="00934099" w:rsidRPr="005A3173" w:rsidRDefault="00934099" w:rsidP="005A3173">
          <w:pPr>
            <w:pStyle w:val="Header"/>
            <w:spacing w:line="276" w:lineRule="auto"/>
            <w:rPr>
              <w:rFonts w:ascii="Calibri" w:eastAsia="MS Gothic" w:hAnsi="Calibri"/>
              <w:b/>
              <w:bCs/>
              <w:color w:val="4F81BD"/>
            </w:rPr>
          </w:pPr>
        </w:p>
      </w:tc>
      <w:tc>
        <w:tcPr>
          <w:tcW w:w="0" w:type="auto"/>
          <w:vMerge/>
          <w:vAlign w:val="center"/>
          <w:hideMark/>
        </w:tcPr>
        <w:p w:rsidR="00934099" w:rsidRPr="005A3173" w:rsidRDefault="009340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34099" w:rsidRPr="005A3173" w:rsidRDefault="00934099" w:rsidP="005A3173">
          <w:pPr>
            <w:pStyle w:val="Header"/>
            <w:spacing w:line="276" w:lineRule="auto"/>
            <w:rPr>
              <w:rFonts w:ascii="Calibri" w:eastAsia="MS Gothic" w:hAnsi="Calibri"/>
              <w:b/>
              <w:bCs/>
              <w:color w:val="4F81BD"/>
            </w:rPr>
          </w:pPr>
        </w:p>
      </w:tc>
    </w:tr>
  </w:tbl>
  <w:p w:rsidR="00934099" w:rsidRDefault="0093409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4099" w:rsidRDefault="00934099">
    <w:pPr>
      <w:pStyle w:val="Footer"/>
    </w:pPr>
  </w:p>
  <w:p w:rsidR="00934099" w:rsidRDefault="009340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295710"/>
      <w:docPartObj>
        <w:docPartGallery w:val="Page Numbers (Bottom of Page)"/>
        <w:docPartUnique/>
      </w:docPartObj>
    </w:sdtPr>
    <w:sdtEndPr>
      <w:rPr>
        <w:rFonts w:ascii="Arial" w:hAnsi="Arial" w:cs="Arial"/>
        <w:noProof/>
        <w:sz w:val="20"/>
        <w:szCs w:val="20"/>
      </w:rPr>
    </w:sdtEndPr>
    <w:sdtContent>
      <w:p w:rsidR="00934099" w:rsidRPr="00EC63CF" w:rsidRDefault="000810E1" w:rsidP="00EC63CF">
        <w:pPr>
          <w:pStyle w:val="Footer"/>
          <w:jc w:val="center"/>
          <w:rPr>
            <w:rFonts w:ascii="Arial" w:hAnsi="Arial" w:cs="Arial"/>
            <w:sz w:val="20"/>
            <w:szCs w:val="20"/>
          </w:rPr>
        </w:pPr>
        <w:r w:rsidRPr="000810E1">
          <w:rPr>
            <w:rFonts w:ascii="Arial" w:hAnsi="Arial" w:cs="Arial"/>
            <w:sz w:val="20"/>
            <w:szCs w:val="20"/>
          </w:rPr>
          <w:fldChar w:fldCharType="begin"/>
        </w:r>
        <w:r w:rsidRPr="000810E1">
          <w:rPr>
            <w:rFonts w:ascii="Arial" w:hAnsi="Arial" w:cs="Arial"/>
            <w:sz w:val="20"/>
            <w:szCs w:val="20"/>
          </w:rPr>
          <w:instrText xml:space="preserve"> PAGE   \* MERGEFORMAT </w:instrText>
        </w:r>
        <w:r w:rsidRPr="000810E1">
          <w:rPr>
            <w:rFonts w:ascii="Arial" w:hAnsi="Arial" w:cs="Arial"/>
            <w:sz w:val="20"/>
            <w:szCs w:val="20"/>
          </w:rPr>
          <w:fldChar w:fldCharType="separate"/>
        </w:r>
        <w:r w:rsidR="00AE7435">
          <w:rPr>
            <w:rFonts w:ascii="Arial" w:hAnsi="Arial" w:cs="Arial"/>
            <w:noProof/>
            <w:sz w:val="20"/>
            <w:szCs w:val="20"/>
          </w:rPr>
          <w:t>2</w:t>
        </w:r>
        <w:r w:rsidRPr="000810E1">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34099" w:rsidTr="005A3173">
      <w:trPr>
        <w:trHeight w:val="151"/>
      </w:trPr>
      <w:tc>
        <w:tcPr>
          <w:tcW w:w="2250" w:type="pct"/>
          <w:tcBorders>
            <w:top w:val="nil"/>
            <w:left w:val="nil"/>
            <w:bottom w:val="single" w:sz="4" w:space="0" w:color="4F81BD"/>
            <w:right w:val="nil"/>
          </w:tcBorders>
        </w:tcPr>
        <w:p w:rsidR="00934099" w:rsidRPr="005A3173" w:rsidRDefault="009340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34099" w:rsidRPr="005A3173" w:rsidRDefault="009340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34099" w:rsidRPr="005A3173" w:rsidRDefault="00934099" w:rsidP="005A3173">
          <w:pPr>
            <w:pStyle w:val="Header"/>
            <w:spacing w:line="276" w:lineRule="auto"/>
            <w:rPr>
              <w:rFonts w:ascii="Calibri" w:eastAsia="MS Gothic" w:hAnsi="Calibri"/>
              <w:b/>
              <w:bCs/>
              <w:color w:val="4F81BD"/>
            </w:rPr>
          </w:pPr>
        </w:p>
      </w:tc>
    </w:tr>
    <w:tr w:rsidR="00934099" w:rsidTr="005A3173">
      <w:trPr>
        <w:trHeight w:val="150"/>
      </w:trPr>
      <w:tc>
        <w:tcPr>
          <w:tcW w:w="2250" w:type="pct"/>
          <w:tcBorders>
            <w:top w:val="single" w:sz="4" w:space="0" w:color="4F81BD"/>
            <w:left w:val="nil"/>
            <w:bottom w:val="nil"/>
            <w:right w:val="nil"/>
          </w:tcBorders>
        </w:tcPr>
        <w:p w:rsidR="00934099" w:rsidRPr="005A3173" w:rsidRDefault="00934099" w:rsidP="005A3173">
          <w:pPr>
            <w:pStyle w:val="Header"/>
            <w:spacing w:line="276" w:lineRule="auto"/>
            <w:rPr>
              <w:rFonts w:ascii="Calibri" w:eastAsia="MS Gothic" w:hAnsi="Calibri"/>
              <w:b/>
              <w:bCs/>
              <w:color w:val="4F81BD"/>
            </w:rPr>
          </w:pPr>
        </w:p>
      </w:tc>
      <w:tc>
        <w:tcPr>
          <w:tcW w:w="0" w:type="auto"/>
          <w:vMerge/>
          <w:vAlign w:val="center"/>
          <w:hideMark/>
        </w:tcPr>
        <w:p w:rsidR="00934099" w:rsidRPr="005A3173" w:rsidRDefault="009340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34099" w:rsidRPr="005A3173" w:rsidRDefault="0093409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34099" w:rsidTr="005A3173">
      <w:trPr>
        <w:trHeight w:val="151"/>
      </w:trPr>
      <w:tc>
        <w:tcPr>
          <w:tcW w:w="2250" w:type="pct"/>
          <w:tcBorders>
            <w:top w:val="nil"/>
            <w:left w:val="nil"/>
            <w:bottom w:val="single" w:sz="4" w:space="0" w:color="4F81BD"/>
            <w:right w:val="nil"/>
          </w:tcBorders>
        </w:tcPr>
        <w:p w:rsidR="00934099" w:rsidRPr="005A3173" w:rsidRDefault="009340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34099" w:rsidRPr="005A3173" w:rsidRDefault="009340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34099" w:rsidRPr="005A3173" w:rsidRDefault="00934099" w:rsidP="005A3173">
          <w:pPr>
            <w:pStyle w:val="Header"/>
            <w:spacing w:line="276" w:lineRule="auto"/>
            <w:rPr>
              <w:rFonts w:ascii="Calibri" w:eastAsia="MS Gothic" w:hAnsi="Calibri"/>
              <w:b/>
              <w:bCs/>
              <w:color w:val="4F81BD"/>
            </w:rPr>
          </w:pPr>
        </w:p>
      </w:tc>
    </w:tr>
    <w:tr w:rsidR="00934099" w:rsidTr="005A3173">
      <w:trPr>
        <w:trHeight w:val="150"/>
      </w:trPr>
      <w:tc>
        <w:tcPr>
          <w:tcW w:w="2250" w:type="pct"/>
          <w:tcBorders>
            <w:top w:val="single" w:sz="4" w:space="0" w:color="4F81BD"/>
            <w:left w:val="nil"/>
            <w:bottom w:val="nil"/>
            <w:right w:val="nil"/>
          </w:tcBorders>
        </w:tcPr>
        <w:p w:rsidR="00934099" w:rsidRPr="005A3173" w:rsidRDefault="00934099" w:rsidP="005A3173">
          <w:pPr>
            <w:pStyle w:val="Header"/>
            <w:spacing w:line="276" w:lineRule="auto"/>
            <w:rPr>
              <w:rFonts w:ascii="Calibri" w:eastAsia="MS Gothic" w:hAnsi="Calibri"/>
              <w:b/>
              <w:bCs/>
              <w:color w:val="4F81BD"/>
            </w:rPr>
          </w:pPr>
        </w:p>
      </w:tc>
      <w:tc>
        <w:tcPr>
          <w:tcW w:w="0" w:type="auto"/>
          <w:vMerge/>
          <w:vAlign w:val="center"/>
          <w:hideMark/>
        </w:tcPr>
        <w:p w:rsidR="00934099" w:rsidRPr="005A3173" w:rsidRDefault="009340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34099" w:rsidRPr="005A3173" w:rsidRDefault="00934099" w:rsidP="005A3173">
          <w:pPr>
            <w:pStyle w:val="Header"/>
            <w:spacing w:line="276" w:lineRule="auto"/>
            <w:rPr>
              <w:rFonts w:ascii="Calibri" w:eastAsia="MS Gothic" w:hAnsi="Calibri"/>
              <w:b/>
              <w:bCs/>
              <w:color w:val="4F81BD"/>
            </w:rPr>
          </w:pPr>
        </w:p>
      </w:tc>
    </w:tr>
  </w:tbl>
  <w:p w:rsidR="00934099" w:rsidRPr="007C0F57" w:rsidRDefault="0093409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34099" w:rsidRPr="007C0F57" w:rsidRDefault="00934099" w:rsidP="007C0F57">
    <w:pPr>
      <w:pStyle w:val="Footer"/>
      <w:jc w:val="center"/>
      <w:rPr>
        <w:b/>
        <w:i/>
        <w:sz w:val="20"/>
        <w:szCs w:val="20"/>
      </w:rPr>
    </w:pPr>
    <w:r w:rsidRPr="007C0F57">
      <w:rPr>
        <w:b/>
        <w:i/>
        <w:sz w:val="20"/>
        <w:szCs w:val="20"/>
      </w:rPr>
      <w:t>Commercial-in-Confidence</w:t>
    </w:r>
  </w:p>
  <w:p w:rsidR="00934099" w:rsidRDefault="009340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099" w:rsidRDefault="00934099">
      <w:r>
        <w:separator/>
      </w:r>
    </w:p>
    <w:p w:rsidR="00934099" w:rsidRDefault="00934099"/>
  </w:footnote>
  <w:footnote w:type="continuationSeparator" w:id="0">
    <w:p w:rsidR="00934099" w:rsidRDefault="00934099">
      <w:r>
        <w:continuationSeparator/>
      </w:r>
    </w:p>
    <w:p w:rsidR="00934099" w:rsidRDefault="009340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34099" w:rsidRPr="008E0D90" w:rsidTr="00A06225">
      <w:trPr>
        <w:trHeight w:val="151"/>
      </w:trPr>
      <w:tc>
        <w:tcPr>
          <w:tcW w:w="2389" w:type="pct"/>
          <w:tcBorders>
            <w:top w:val="nil"/>
            <w:left w:val="nil"/>
            <w:bottom w:val="single" w:sz="4" w:space="0" w:color="4F81BD"/>
            <w:right w:val="nil"/>
          </w:tcBorders>
        </w:tcPr>
        <w:p w:rsidR="00934099" w:rsidRPr="00A06225" w:rsidRDefault="00934099">
          <w:pPr>
            <w:pStyle w:val="Header"/>
            <w:spacing w:line="276" w:lineRule="auto"/>
            <w:rPr>
              <w:rFonts w:ascii="Cambria" w:eastAsia="MS Gothic" w:hAnsi="Cambria"/>
              <w:b/>
              <w:bCs/>
              <w:color w:val="4F81BD"/>
            </w:rPr>
          </w:pPr>
        </w:p>
      </w:tc>
      <w:tc>
        <w:tcPr>
          <w:tcW w:w="333" w:type="pct"/>
          <w:vMerge w:val="restart"/>
          <w:noWrap/>
          <w:vAlign w:val="center"/>
          <w:hideMark/>
        </w:tcPr>
        <w:p w:rsidR="00934099" w:rsidRPr="00A06225" w:rsidRDefault="0093409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34099" w:rsidRPr="00A06225" w:rsidRDefault="00934099">
          <w:pPr>
            <w:pStyle w:val="Header"/>
            <w:spacing w:line="276" w:lineRule="auto"/>
            <w:rPr>
              <w:rFonts w:ascii="Cambria" w:eastAsia="MS Gothic" w:hAnsi="Cambria"/>
              <w:b/>
              <w:bCs/>
              <w:color w:val="4F81BD"/>
            </w:rPr>
          </w:pPr>
        </w:p>
      </w:tc>
    </w:tr>
    <w:tr w:rsidR="00934099" w:rsidRPr="008E0D90" w:rsidTr="00A06225">
      <w:trPr>
        <w:trHeight w:val="150"/>
      </w:trPr>
      <w:tc>
        <w:tcPr>
          <w:tcW w:w="2389" w:type="pct"/>
          <w:tcBorders>
            <w:top w:val="single" w:sz="4" w:space="0" w:color="4F81BD"/>
            <w:left w:val="nil"/>
            <w:bottom w:val="nil"/>
            <w:right w:val="nil"/>
          </w:tcBorders>
        </w:tcPr>
        <w:p w:rsidR="00934099" w:rsidRPr="00A06225" w:rsidRDefault="00934099">
          <w:pPr>
            <w:pStyle w:val="Header"/>
            <w:spacing w:line="276" w:lineRule="auto"/>
            <w:rPr>
              <w:rFonts w:ascii="Cambria" w:eastAsia="MS Gothic" w:hAnsi="Cambria"/>
              <w:b/>
              <w:bCs/>
              <w:color w:val="4F81BD"/>
            </w:rPr>
          </w:pPr>
        </w:p>
      </w:tc>
      <w:tc>
        <w:tcPr>
          <w:tcW w:w="0" w:type="auto"/>
          <w:vMerge/>
          <w:vAlign w:val="center"/>
          <w:hideMark/>
        </w:tcPr>
        <w:p w:rsidR="00934099" w:rsidRPr="00A06225" w:rsidRDefault="00934099">
          <w:pPr>
            <w:rPr>
              <w:rFonts w:ascii="Cambria" w:hAnsi="Cambria"/>
              <w:color w:val="4F81BD"/>
              <w:sz w:val="22"/>
              <w:szCs w:val="22"/>
            </w:rPr>
          </w:pPr>
        </w:p>
      </w:tc>
      <w:tc>
        <w:tcPr>
          <w:tcW w:w="2278" w:type="pct"/>
          <w:tcBorders>
            <w:top w:val="single" w:sz="4" w:space="0" w:color="4F81BD"/>
            <w:left w:val="nil"/>
            <w:bottom w:val="nil"/>
            <w:right w:val="nil"/>
          </w:tcBorders>
        </w:tcPr>
        <w:p w:rsidR="00934099" w:rsidRPr="00A06225" w:rsidRDefault="00934099">
          <w:pPr>
            <w:pStyle w:val="Header"/>
            <w:spacing w:line="276" w:lineRule="auto"/>
            <w:rPr>
              <w:rFonts w:ascii="Cambria" w:eastAsia="MS Gothic" w:hAnsi="Cambria"/>
              <w:b/>
              <w:bCs/>
              <w:color w:val="4F81BD"/>
            </w:rPr>
          </w:pPr>
        </w:p>
      </w:tc>
    </w:tr>
  </w:tbl>
  <w:p w:rsidR="00934099" w:rsidRDefault="00934099">
    <w:pPr>
      <w:pStyle w:val="Header"/>
    </w:pPr>
  </w:p>
  <w:p w:rsidR="00934099" w:rsidRDefault="009340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CF" w:rsidRPr="00DF217D" w:rsidRDefault="00FE7E02" w:rsidP="00EF44CF">
    <w:pPr>
      <w:pStyle w:val="Header"/>
      <w:ind w:left="360"/>
      <w:jc w:val="center"/>
      <w:rPr>
        <w:rFonts w:ascii="Arial" w:hAnsi="Arial" w:cs="Arial"/>
        <w:i/>
        <w:color w:val="808080"/>
        <w:sz w:val="22"/>
      </w:rPr>
    </w:pPr>
    <w:r>
      <w:rPr>
        <w:rFonts w:ascii="Arial" w:hAnsi="Arial" w:cs="Arial"/>
        <w:i/>
        <w:color w:val="808080"/>
        <w:sz w:val="22"/>
      </w:rPr>
      <w:t>Public Summary Document</w:t>
    </w:r>
    <w:r w:rsidR="00EF44CF">
      <w:rPr>
        <w:rFonts w:ascii="Arial" w:hAnsi="Arial" w:cs="Arial"/>
        <w:i/>
        <w:color w:val="808080"/>
        <w:sz w:val="22"/>
      </w:rPr>
      <w:t xml:space="preserve"> </w:t>
    </w:r>
    <w:r w:rsidR="00EF44CF" w:rsidRPr="00DF217D">
      <w:rPr>
        <w:rFonts w:ascii="Arial" w:hAnsi="Arial" w:cs="Arial"/>
        <w:i/>
        <w:color w:val="808080"/>
        <w:sz w:val="22"/>
      </w:rPr>
      <w:t xml:space="preserve">– </w:t>
    </w:r>
    <w:r w:rsidR="00EF44CF">
      <w:rPr>
        <w:rFonts w:ascii="Arial" w:hAnsi="Arial" w:cs="Arial"/>
        <w:i/>
        <w:color w:val="808080"/>
        <w:sz w:val="22"/>
      </w:rPr>
      <w:t xml:space="preserve">March 2016 </w:t>
    </w:r>
    <w:r w:rsidR="00EF44CF" w:rsidRPr="00DF217D">
      <w:rPr>
        <w:rFonts w:ascii="Arial" w:hAnsi="Arial" w:cs="Arial"/>
        <w:i/>
        <w:color w:val="808080"/>
        <w:sz w:val="22"/>
      </w:rPr>
      <w:t>PBAC</w:t>
    </w:r>
    <w:r w:rsidR="00EF44CF">
      <w:rPr>
        <w:rFonts w:ascii="Arial" w:hAnsi="Arial" w:cs="Arial"/>
        <w:i/>
        <w:color w:val="808080"/>
        <w:sz w:val="22"/>
      </w:rPr>
      <w:t xml:space="preserve"> </w:t>
    </w:r>
    <w:r w:rsidR="00EF44CF" w:rsidRPr="00DF217D">
      <w:rPr>
        <w:rFonts w:ascii="Arial" w:hAnsi="Arial" w:cs="Arial"/>
        <w:i/>
        <w:color w:val="808080"/>
        <w:sz w:val="22"/>
      </w:rPr>
      <w:t>Meeting</w:t>
    </w:r>
  </w:p>
  <w:p w:rsidR="007022E1" w:rsidRPr="00EF44CF" w:rsidRDefault="007022E1" w:rsidP="00EF44CF">
    <w:pPr>
      <w:pStyle w:val="Header"/>
      <w:ind w:left="360"/>
      <w:jc w:val="center"/>
      <w:rPr>
        <w:rFonts w:ascii="Arial" w:hAnsi="Arial" w:cs="Arial"/>
        <w:i/>
        <w:color w:val="808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52AD"/>
    <w:multiLevelType w:val="hybridMultilevel"/>
    <w:tmpl w:val="0A1C2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2">
    <w:nsid w:val="784D033C"/>
    <w:multiLevelType w:val="multilevel"/>
    <w:tmpl w:val="E484179A"/>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593"/>
    <w:rsid w:val="0002464A"/>
    <w:rsid w:val="0003106B"/>
    <w:rsid w:val="00040B93"/>
    <w:rsid w:val="000421A1"/>
    <w:rsid w:val="0004231E"/>
    <w:rsid w:val="0004240E"/>
    <w:rsid w:val="00045E26"/>
    <w:rsid w:val="0005087A"/>
    <w:rsid w:val="000514B5"/>
    <w:rsid w:val="000535EB"/>
    <w:rsid w:val="00055782"/>
    <w:rsid w:val="00060E64"/>
    <w:rsid w:val="00066755"/>
    <w:rsid w:val="000810E1"/>
    <w:rsid w:val="000969AD"/>
    <w:rsid w:val="000A4448"/>
    <w:rsid w:val="000B1FF6"/>
    <w:rsid w:val="000B558D"/>
    <w:rsid w:val="000C3988"/>
    <w:rsid w:val="000C6996"/>
    <w:rsid w:val="000D23BA"/>
    <w:rsid w:val="000D6937"/>
    <w:rsid w:val="000E50E8"/>
    <w:rsid w:val="000E681E"/>
    <w:rsid w:val="000F4E6A"/>
    <w:rsid w:val="001107BF"/>
    <w:rsid w:val="0012417C"/>
    <w:rsid w:val="00142395"/>
    <w:rsid w:val="00142714"/>
    <w:rsid w:val="001452ED"/>
    <w:rsid w:val="00151A8D"/>
    <w:rsid w:val="001830CE"/>
    <w:rsid w:val="00183CFC"/>
    <w:rsid w:val="00196307"/>
    <w:rsid w:val="001A1CE2"/>
    <w:rsid w:val="001B0042"/>
    <w:rsid w:val="001B017F"/>
    <w:rsid w:val="001B5129"/>
    <w:rsid w:val="001C1195"/>
    <w:rsid w:val="001C73E1"/>
    <w:rsid w:val="00213CFB"/>
    <w:rsid w:val="00220142"/>
    <w:rsid w:val="002227F7"/>
    <w:rsid w:val="00245AF2"/>
    <w:rsid w:val="00253890"/>
    <w:rsid w:val="00271BA1"/>
    <w:rsid w:val="00277505"/>
    <w:rsid w:val="00280E5B"/>
    <w:rsid w:val="0029458F"/>
    <w:rsid w:val="002A104C"/>
    <w:rsid w:val="002A4960"/>
    <w:rsid w:val="002B1AE6"/>
    <w:rsid w:val="002B30F8"/>
    <w:rsid w:val="002B64E9"/>
    <w:rsid w:val="002C212F"/>
    <w:rsid w:val="002E2013"/>
    <w:rsid w:val="002E3153"/>
    <w:rsid w:val="002E72CA"/>
    <w:rsid w:val="00305A6C"/>
    <w:rsid w:val="003147B7"/>
    <w:rsid w:val="00326E79"/>
    <w:rsid w:val="003367EF"/>
    <w:rsid w:val="00341AE4"/>
    <w:rsid w:val="00345A65"/>
    <w:rsid w:val="00350E0B"/>
    <w:rsid w:val="003872CF"/>
    <w:rsid w:val="0039782C"/>
    <w:rsid w:val="003A5B4A"/>
    <w:rsid w:val="003B23C5"/>
    <w:rsid w:val="003B2A75"/>
    <w:rsid w:val="003B4F94"/>
    <w:rsid w:val="003B5A0B"/>
    <w:rsid w:val="003D4AC4"/>
    <w:rsid w:val="003D63B7"/>
    <w:rsid w:val="003E24C1"/>
    <w:rsid w:val="003E468B"/>
    <w:rsid w:val="003F5C8C"/>
    <w:rsid w:val="00413EC3"/>
    <w:rsid w:val="00425298"/>
    <w:rsid w:val="004465BD"/>
    <w:rsid w:val="004574A2"/>
    <w:rsid w:val="00462195"/>
    <w:rsid w:val="00466ADA"/>
    <w:rsid w:val="00474C6D"/>
    <w:rsid w:val="00476245"/>
    <w:rsid w:val="0048456D"/>
    <w:rsid w:val="00485940"/>
    <w:rsid w:val="004873CE"/>
    <w:rsid w:val="00493C1F"/>
    <w:rsid w:val="00495BA5"/>
    <w:rsid w:val="004A4459"/>
    <w:rsid w:val="004A5A85"/>
    <w:rsid w:val="004B3E67"/>
    <w:rsid w:val="004B5640"/>
    <w:rsid w:val="004B7375"/>
    <w:rsid w:val="004C1BD7"/>
    <w:rsid w:val="004C691D"/>
    <w:rsid w:val="004D2D13"/>
    <w:rsid w:val="004E150C"/>
    <w:rsid w:val="004E692D"/>
    <w:rsid w:val="004F0BE9"/>
    <w:rsid w:val="00501554"/>
    <w:rsid w:val="005072DA"/>
    <w:rsid w:val="0050738C"/>
    <w:rsid w:val="00514CD7"/>
    <w:rsid w:val="00516D2C"/>
    <w:rsid w:val="00524AAA"/>
    <w:rsid w:val="005319B2"/>
    <w:rsid w:val="00532C74"/>
    <w:rsid w:val="00534E2E"/>
    <w:rsid w:val="0053732A"/>
    <w:rsid w:val="00543122"/>
    <w:rsid w:val="00544552"/>
    <w:rsid w:val="0055653A"/>
    <w:rsid w:val="00581932"/>
    <w:rsid w:val="00583479"/>
    <w:rsid w:val="005963BB"/>
    <w:rsid w:val="005A118E"/>
    <w:rsid w:val="005A3173"/>
    <w:rsid w:val="005A3223"/>
    <w:rsid w:val="005A3DA3"/>
    <w:rsid w:val="005A52C4"/>
    <w:rsid w:val="005B0989"/>
    <w:rsid w:val="005D03AB"/>
    <w:rsid w:val="005D5017"/>
    <w:rsid w:val="005D7D43"/>
    <w:rsid w:val="005E6819"/>
    <w:rsid w:val="00601A91"/>
    <w:rsid w:val="00602BA3"/>
    <w:rsid w:val="00614159"/>
    <w:rsid w:val="00617C00"/>
    <w:rsid w:val="006263BF"/>
    <w:rsid w:val="0062748A"/>
    <w:rsid w:val="00630A2C"/>
    <w:rsid w:val="0064028D"/>
    <w:rsid w:val="00651169"/>
    <w:rsid w:val="00653D69"/>
    <w:rsid w:val="006578C3"/>
    <w:rsid w:val="00670A76"/>
    <w:rsid w:val="006711AA"/>
    <w:rsid w:val="00672B57"/>
    <w:rsid w:val="00675622"/>
    <w:rsid w:val="006906DB"/>
    <w:rsid w:val="006A12A5"/>
    <w:rsid w:val="006B0D94"/>
    <w:rsid w:val="006B485D"/>
    <w:rsid w:val="006C3559"/>
    <w:rsid w:val="006C64F7"/>
    <w:rsid w:val="006C708E"/>
    <w:rsid w:val="006D6EC7"/>
    <w:rsid w:val="006E189D"/>
    <w:rsid w:val="006F5125"/>
    <w:rsid w:val="007022E1"/>
    <w:rsid w:val="00704B36"/>
    <w:rsid w:val="007138DB"/>
    <w:rsid w:val="007174BB"/>
    <w:rsid w:val="00733212"/>
    <w:rsid w:val="00745DE1"/>
    <w:rsid w:val="0076420C"/>
    <w:rsid w:val="007753C2"/>
    <w:rsid w:val="007838B8"/>
    <w:rsid w:val="007B33F8"/>
    <w:rsid w:val="007C0F57"/>
    <w:rsid w:val="007C40B6"/>
    <w:rsid w:val="007C729F"/>
    <w:rsid w:val="007D6F99"/>
    <w:rsid w:val="007E1D28"/>
    <w:rsid w:val="007E2A38"/>
    <w:rsid w:val="007F2641"/>
    <w:rsid w:val="007F7C36"/>
    <w:rsid w:val="00806796"/>
    <w:rsid w:val="00826F6D"/>
    <w:rsid w:val="008329DD"/>
    <w:rsid w:val="00834A38"/>
    <w:rsid w:val="008420C8"/>
    <w:rsid w:val="00843807"/>
    <w:rsid w:val="00856DDD"/>
    <w:rsid w:val="00863E68"/>
    <w:rsid w:val="00863F53"/>
    <w:rsid w:val="00882085"/>
    <w:rsid w:val="00883188"/>
    <w:rsid w:val="00897D58"/>
    <w:rsid w:val="008A1956"/>
    <w:rsid w:val="008A3B44"/>
    <w:rsid w:val="008A4937"/>
    <w:rsid w:val="008D3C82"/>
    <w:rsid w:val="008D4429"/>
    <w:rsid w:val="008D447E"/>
    <w:rsid w:val="008D7A41"/>
    <w:rsid w:val="008E3680"/>
    <w:rsid w:val="008E5870"/>
    <w:rsid w:val="008F1434"/>
    <w:rsid w:val="008F7355"/>
    <w:rsid w:val="009067B7"/>
    <w:rsid w:val="009105E7"/>
    <w:rsid w:val="00925EBD"/>
    <w:rsid w:val="00930937"/>
    <w:rsid w:val="00933E6C"/>
    <w:rsid w:val="00934099"/>
    <w:rsid w:val="009400FE"/>
    <w:rsid w:val="00942160"/>
    <w:rsid w:val="009556E9"/>
    <w:rsid w:val="009602C5"/>
    <w:rsid w:val="009632D5"/>
    <w:rsid w:val="00974409"/>
    <w:rsid w:val="00974C21"/>
    <w:rsid w:val="00977F94"/>
    <w:rsid w:val="00986A56"/>
    <w:rsid w:val="009A6B3F"/>
    <w:rsid w:val="009A7A80"/>
    <w:rsid w:val="009B0F67"/>
    <w:rsid w:val="009C61FC"/>
    <w:rsid w:val="009C6E55"/>
    <w:rsid w:val="009C703C"/>
    <w:rsid w:val="009D3CAA"/>
    <w:rsid w:val="009D5D60"/>
    <w:rsid w:val="009D645B"/>
    <w:rsid w:val="009E6C9E"/>
    <w:rsid w:val="009F4E46"/>
    <w:rsid w:val="009F5B65"/>
    <w:rsid w:val="009F5F2E"/>
    <w:rsid w:val="00A06225"/>
    <w:rsid w:val="00A1279F"/>
    <w:rsid w:val="00A128E6"/>
    <w:rsid w:val="00A226C3"/>
    <w:rsid w:val="00A23CE6"/>
    <w:rsid w:val="00A37C8D"/>
    <w:rsid w:val="00A5273B"/>
    <w:rsid w:val="00A53A9D"/>
    <w:rsid w:val="00A55FEE"/>
    <w:rsid w:val="00A62AEB"/>
    <w:rsid w:val="00A62C1A"/>
    <w:rsid w:val="00A6426D"/>
    <w:rsid w:val="00A64A07"/>
    <w:rsid w:val="00A70622"/>
    <w:rsid w:val="00A70977"/>
    <w:rsid w:val="00A8390C"/>
    <w:rsid w:val="00A928BD"/>
    <w:rsid w:val="00AA4D1C"/>
    <w:rsid w:val="00AC193C"/>
    <w:rsid w:val="00AC3301"/>
    <w:rsid w:val="00AC5206"/>
    <w:rsid w:val="00AC7A73"/>
    <w:rsid w:val="00AD72B9"/>
    <w:rsid w:val="00AE11A5"/>
    <w:rsid w:val="00AE13E2"/>
    <w:rsid w:val="00AE7435"/>
    <w:rsid w:val="00AF68CC"/>
    <w:rsid w:val="00B133CB"/>
    <w:rsid w:val="00B205AA"/>
    <w:rsid w:val="00B22E84"/>
    <w:rsid w:val="00B25F75"/>
    <w:rsid w:val="00B3204A"/>
    <w:rsid w:val="00B43241"/>
    <w:rsid w:val="00B43E90"/>
    <w:rsid w:val="00B467DC"/>
    <w:rsid w:val="00B56118"/>
    <w:rsid w:val="00B648D3"/>
    <w:rsid w:val="00B6773F"/>
    <w:rsid w:val="00B801BA"/>
    <w:rsid w:val="00B853CB"/>
    <w:rsid w:val="00BA4AAE"/>
    <w:rsid w:val="00BB69F5"/>
    <w:rsid w:val="00BB7EC3"/>
    <w:rsid w:val="00BC4B9A"/>
    <w:rsid w:val="00BD2E49"/>
    <w:rsid w:val="00BD784C"/>
    <w:rsid w:val="00BE4B62"/>
    <w:rsid w:val="00BF1315"/>
    <w:rsid w:val="00BF419F"/>
    <w:rsid w:val="00BF4CB6"/>
    <w:rsid w:val="00BF555A"/>
    <w:rsid w:val="00C00DA7"/>
    <w:rsid w:val="00C02196"/>
    <w:rsid w:val="00C12768"/>
    <w:rsid w:val="00C20217"/>
    <w:rsid w:val="00C24569"/>
    <w:rsid w:val="00C27B58"/>
    <w:rsid w:val="00C343FE"/>
    <w:rsid w:val="00C35996"/>
    <w:rsid w:val="00C5342C"/>
    <w:rsid w:val="00C6256A"/>
    <w:rsid w:val="00C677B5"/>
    <w:rsid w:val="00C751E7"/>
    <w:rsid w:val="00C85CF0"/>
    <w:rsid w:val="00C91449"/>
    <w:rsid w:val="00C92D10"/>
    <w:rsid w:val="00CA590D"/>
    <w:rsid w:val="00CA6581"/>
    <w:rsid w:val="00CD25A2"/>
    <w:rsid w:val="00CE10C4"/>
    <w:rsid w:val="00CE27B5"/>
    <w:rsid w:val="00CE4BEF"/>
    <w:rsid w:val="00D0321E"/>
    <w:rsid w:val="00D1455A"/>
    <w:rsid w:val="00D31F95"/>
    <w:rsid w:val="00D3280C"/>
    <w:rsid w:val="00D3406A"/>
    <w:rsid w:val="00D40348"/>
    <w:rsid w:val="00D44EC8"/>
    <w:rsid w:val="00D4620A"/>
    <w:rsid w:val="00D469B2"/>
    <w:rsid w:val="00D51A58"/>
    <w:rsid w:val="00D71AD5"/>
    <w:rsid w:val="00D741EB"/>
    <w:rsid w:val="00D806B3"/>
    <w:rsid w:val="00D84934"/>
    <w:rsid w:val="00D91271"/>
    <w:rsid w:val="00DA1D61"/>
    <w:rsid w:val="00DA2CB5"/>
    <w:rsid w:val="00DA4BAC"/>
    <w:rsid w:val="00DA658D"/>
    <w:rsid w:val="00DD60FB"/>
    <w:rsid w:val="00DE6D27"/>
    <w:rsid w:val="00DF104E"/>
    <w:rsid w:val="00DF217D"/>
    <w:rsid w:val="00DF26A7"/>
    <w:rsid w:val="00DF486D"/>
    <w:rsid w:val="00E1163E"/>
    <w:rsid w:val="00E164B3"/>
    <w:rsid w:val="00E16910"/>
    <w:rsid w:val="00E407EE"/>
    <w:rsid w:val="00E47470"/>
    <w:rsid w:val="00E52DCB"/>
    <w:rsid w:val="00E55694"/>
    <w:rsid w:val="00E57601"/>
    <w:rsid w:val="00E65E54"/>
    <w:rsid w:val="00E66B6A"/>
    <w:rsid w:val="00E71142"/>
    <w:rsid w:val="00E80155"/>
    <w:rsid w:val="00E83716"/>
    <w:rsid w:val="00E848C0"/>
    <w:rsid w:val="00E85DE8"/>
    <w:rsid w:val="00E91B96"/>
    <w:rsid w:val="00E941A1"/>
    <w:rsid w:val="00E95CE3"/>
    <w:rsid w:val="00E9625D"/>
    <w:rsid w:val="00EA2825"/>
    <w:rsid w:val="00EA3659"/>
    <w:rsid w:val="00EB3BC4"/>
    <w:rsid w:val="00EB5088"/>
    <w:rsid w:val="00EC63CF"/>
    <w:rsid w:val="00ED1644"/>
    <w:rsid w:val="00EE1924"/>
    <w:rsid w:val="00EF44A0"/>
    <w:rsid w:val="00EF44CF"/>
    <w:rsid w:val="00EF4FED"/>
    <w:rsid w:val="00F050BD"/>
    <w:rsid w:val="00F05657"/>
    <w:rsid w:val="00F25578"/>
    <w:rsid w:val="00F258E5"/>
    <w:rsid w:val="00F300BC"/>
    <w:rsid w:val="00F3334E"/>
    <w:rsid w:val="00F50EC4"/>
    <w:rsid w:val="00F57A6D"/>
    <w:rsid w:val="00F6146E"/>
    <w:rsid w:val="00F638CC"/>
    <w:rsid w:val="00F64CC1"/>
    <w:rsid w:val="00F8247A"/>
    <w:rsid w:val="00F838CD"/>
    <w:rsid w:val="00F845E9"/>
    <w:rsid w:val="00F8544B"/>
    <w:rsid w:val="00F91204"/>
    <w:rsid w:val="00F9214F"/>
    <w:rsid w:val="00F9629A"/>
    <w:rsid w:val="00FA5883"/>
    <w:rsid w:val="00FA6055"/>
    <w:rsid w:val="00FB322F"/>
    <w:rsid w:val="00FB442F"/>
    <w:rsid w:val="00FB78EE"/>
    <w:rsid w:val="00FC1929"/>
    <w:rsid w:val="00FC5B46"/>
    <w:rsid w:val="00FD268D"/>
    <w:rsid w:val="00FD36BB"/>
    <w:rsid w:val="00FE7CE3"/>
    <w:rsid w:val="00FE7E02"/>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B3204A"/>
    <w:pPr>
      <w:numPr>
        <w:numId w:val="1"/>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rsid w:val="00B3204A"/>
    <w:pPr>
      <w:ind w:left="720" w:hanging="720"/>
      <w:outlineLvl w:val="5"/>
    </w:pPr>
    <w:rPr>
      <w:rFonts w:ascii="Arial"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Revision">
    <w:name w:val="Revision"/>
    <w:hidden/>
    <w:uiPriority w:val="71"/>
    <w:rsid w:val="00C20217"/>
    <w:rPr>
      <w:sz w:val="24"/>
      <w:szCs w:val="24"/>
    </w:rPr>
  </w:style>
  <w:style w:type="paragraph" w:customStyle="1" w:styleId="minorovrheadings">
    <w:name w:val="minor ovr headings"/>
    <w:basedOn w:val="Normal"/>
    <w:link w:val="minorovrheadingsChar"/>
    <w:qFormat/>
    <w:rsid w:val="00B3204A"/>
    <w:pPr>
      <w:ind w:left="720" w:hanging="720"/>
      <w:outlineLvl w:val="0"/>
    </w:pPr>
    <w:rPr>
      <w:rFonts w:ascii="Arial" w:hAnsi="Arial"/>
      <w:b/>
      <w:sz w:val="28"/>
      <w:szCs w:val="28"/>
    </w:rPr>
  </w:style>
  <w:style w:type="character" w:customStyle="1" w:styleId="minorovrheadingsChar">
    <w:name w:val="minor ovr headings Char"/>
    <w:basedOn w:val="DefaultParagraphFont"/>
    <w:link w:val="minorovrheadings"/>
    <w:rsid w:val="00B3204A"/>
    <w:rPr>
      <w:rFonts w:ascii="Arial" w:hAnsi="Arial"/>
      <w:b/>
      <w:sz w:val="28"/>
      <w:szCs w:val="28"/>
    </w:rPr>
  </w:style>
  <w:style w:type="character" w:customStyle="1" w:styleId="form-strength">
    <w:name w:val="form-strength"/>
    <w:basedOn w:val="DefaultParagraphFont"/>
    <w:rsid w:val="00EF44CF"/>
  </w:style>
  <w:style w:type="character" w:customStyle="1" w:styleId="ListParagraphChar">
    <w:name w:val="List Paragraph Char"/>
    <w:basedOn w:val="DefaultParagraphFont"/>
    <w:link w:val="ListParagraph"/>
    <w:uiPriority w:val="34"/>
    <w:rsid w:val="00EF44CF"/>
    <w:rPr>
      <w:sz w:val="24"/>
      <w:szCs w:val="24"/>
    </w:rPr>
  </w:style>
  <w:style w:type="paragraph" w:styleId="NormalWeb">
    <w:name w:val="Normal (Web)"/>
    <w:basedOn w:val="Normal"/>
    <w:uiPriority w:val="99"/>
    <w:unhideWhenUsed/>
    <w:rsid w:val="00D40348"/>
    <w:pPr>
      <w:spacing w:before="75" w:after="75"/>
      <w:ind w:left="75" w:right="75"/>
    </w:pPr>
  </w:style>
  <w:style w:type="character" w:styleId="FollowedHyperlink">
    <w:name w:val="FollowedHyperlink"/>
    <w:basedOn w:val="DefaultParagraphFont"/>
    <w:rsid w:val="002E20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B3204A"/>
    <w:pPr>
      <w:numPr>
        <w:numId w:val="1"/>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rsid w:val="00B3204A"/>
    <w:pPr>
      <w:ind w:left="720" w:hanging="720"/>
      <w:outlineLvl w:val="5"/>
    </w:pPr>
    <w:rPr>
      <w:rFonts w:ascii="Arial"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Revision">
    <w:name w:val="Revision"/>
    <w:hidden/>
    <w:uiPriority w:val="71"/>
    <w:rsid w:val="00C20217"/>
    <w:rPr>
      <w:sz w:val="24"/>
      <w:szCs w:val="24"/>
    </w:rPr>
  </w:style>
  <w:style w:type="paragraph" w:customStyle="1" w:styleId="minorovrheadings">
    <w:name w:val="minor ovr headings"/>
    <w:basedOn w:val="Normal"/>
    <w:link w:val="minorovrheadingsChar"/>
    <w:qFormat/>
    <w:rsid w:val="00B3204A"/>
    <w:pPr>
      <w:ind w:left="720" w:hanging="720"/>
      <w:outlineLvl w:val="0"/>
    </w:pPr>
    <w:rPr>
      <w:rFonts w:ascii="Arial" w:hAnsi="Arial"/>
      <w:b/>
      <w:sz w:val="28"/>
      <w:szCs w:val="28"/>
    </w:rPr>
  </w:style>
  <w:style w:type="character" w:customStyle="1" w:styleId="minorovrheadingsChar">
    <w:name w:val="minor ovr headings Char"/>
    <w:basedOn w:val="DefaultParagraphFont"/>
    <w:link w:val="minorovrheadings"/>
    <w:rsid w:val="00B3204A"/>
    <w:rPr>
      <w:rFonts w:ascii="Arial" w:hAnsi="Arial"/>
      <w:b/>
      <w:sz w:val="28"/>
      <w:szCs w:val="28"/>
    </w:rPr>
  </w:style>
  <w:style w:type="character" w:customStyle="1" w:styleId="form-strength">
    <w:name w:val="form-strength"/>
    <w:basedOn w:val="DefaultParagraphFont"/>
    <w:rsid w:val="00EF44CF"/>
  </w:style>
  <w:style w:type="character" w:customStyle="1" w:styleId="ListParagraphChar">
    <w:name w:val="List Paragraph Char"/>
    <w:basedOn w:val="DefaultParagraphFont"/>
    <w:link w:val="ListParagraph"/>
    <w:uiPriority w:val="34"/>
    <w:rsid w:val="00EF44CF"/>
    <w:rPr>
      <w:sz w:val="24"/>
      <w:szCs w:val="24"/>
    </w:rPr>
  </w:style>
  <w:style w:type="paragraph" w:styleId="NormalWeb">
    <w:name w:val="Normal (Web)"/>
    <w:basedOn w:val="Normal"/>
    <w:uiPriority w:val="99"/>
    <w:unhideWhenUsed/>
    <w:rsid w:val="00D40348"/>
    <w:pPr>
      <w:spacing w:before="75" w:after="75"/>
      <w:ind w:left="75" w:right="75"/>
    </w:pPr>
  </w:style>
  <w:style w:type="character" w:styleId="FollowedHyperlink">
    <w:name w:val="FollowedHyperlink"/>
    <w:basedOn w:val="DefaultParagraphFont"/>
    <w:rsid w:val="002E20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34610461">
      <w:bodyDiv w:val="1"/>
      <w:marLeft w:val="0"/>
      <w:marRight w:val="0"/>
      <w:marTop w:val="0"/>
      <w:marBottom w:val="0"/>
      <w:divBdr>
        <w:top w:val="none" w:sz="0" w:space="0" w:color="auto"/>
        <w:left w:val="none" w:sz="0" w:space="0" w:color="auto"/>
        <w:bottom w:val="none" w:sz="0" w:space="0" w:color="auto"/>
        <w:right w:val="none" w:sz="0" w:space="0" w:color="auto"/>
      </w:divBdr>
    </w:div>
    <w:div w:id="157400318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7B48-2A21-47F4-9E0A-647B8AD0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6948</Characters>
  <Application>Microsoft Office Word</Application>
  <DocSecurity>2</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2016-06-22T03:50:00Z</dcterms:created>
  <dcterms:modified xsi:type="dcterms:W3CDTF">2016-06-23T05:34:00Z</dcterms:modified>
</cp:coreProperties>
</file>