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5E5CFA" w:rsidRDefault="00064550" w:rsidP="0054639C">
      <w:pPr>
        <w:pStyle w:val="Title"/>
      </w:pPr>
      <w:r w:rsidRPr="005E5CFA">
        <w:t>5.16</w:t>
      </w:r>
      <w:r w:rsidR="007C0F57" w:rsidRPr="005E5CFA">
        <w:tab/>
      </w:r>
      <w:r w:rsidR="007B39F5" w:rsidRPr="005E5CFA">
        <w:t>METHOTREXATE</w:t>
      </w:r>
      <w:r w:rsidR="005E5CFA" w:rsidRPr="00FE275D">
        <w:br/>
      </w:r>
      <w:r w:rsidR="007B39F5" w:rsidRPr="005E5CFA">
        <w:t>Solution for subcutaneous</w:t>
      </w:r>
      <w:r w:rsidR="005E5CFA">
        <w:t xml:space="preserve"> injection, pre-filled syringe, </w:t>
      </w:r>
      <w:r w:rsidR="007B39F5" w:rsidRPr="005E5CFA">
        <w:t>7.</w:t>
      </w:r>
      <w:r w:rsidR="004D6A66" w:rsidRPr="005E5CFA">
        <w:t>5 mg</w:t>
      </w:r>
      <w:r w:rsidR="007B39F5" w:rsidRPr="005E5CFA">
        <w:t>/0.15</w:t>
      </w:r>
      <w:r w:rsidR="005B2D76" w:rsidRPr="005E5CFA">
        <w:t> </w:t>
      </w:r>
      <w:r w:rsidR="007B39F5" w:rsidRPr="005E5CFA">
        <w:t>mL, 1</w:t>
      </w:r>
      <w:r w:rsidR="004D6A66" w:rsidRPr="005E5CFA">
        <w:t>0 mg</w:t>
      </w:r>
      <w:r w:rsidR="007B39F5" w:rsidRPr="005E5CFA">
        <w:t>/0.2</w:t>
      </w:r>
      <w:r w:rsidR="005B2D76" w:rsidRPr="005E5CFA">
        <w:t> </w:t>
      </w:r>
      <w:r w:rsidR="007B39F5" w:rsidRPr="005E5CFA">
        <w:t>mL, 1</w:t>
      </w:r>
      <w:r w:rsidR="004D6A66" w:rsidRPr="005E5CFA">
        <w:t>5 mg</w:t>
      </w:r>
      <w:r w:rsidR="007B39F5" w:rsidRPr="005E5CFA">
        <w:t>/0.3</w:t>
      </w:r>
      <w:r w:rsidR="005B2D76" w:rsidRPr="005E5CFA">
        <w:t> </w:t>
      </w:r>
      <w:r w:rsidR="007B39F5" w:rsidRPr="005E5CFA">
        <w:t>mL, 2</w:t>
      </w:r>
      <w:r w:rsidR="004D6A66" w:rsidRPr="005E5CFA">
        <w:t>0 mg</w:t>
      </w:r>
      <w:r w:rsidR="007B39F5" w:rsidRPr="005E5CFA">
        <w:t>/0.4</w:t>
      </w:r>
      <w:r w:rsidR="005B2D76" w:rsidRPr="005E5CFA">
        <w:t> </w:t>
      </w:r>
      <w:r w:rsidR="007B39F5" w:rsidRPr="005E5CFA">
        <w:t>mL, 2</w:t>
      </w:r>
      <w:r w:rsidR="004D6A66" w:rsidRPr="005E5CFA">
        <w:t>5 mg</w:t>
      </w:r>
      <w:r w:rsidR="007B39F5" w:rsidRPr="005E5CFA">
        <w:t>/0.5</w:t>
      </w:r>
      <w:r w:rsidR="005B2D76" w:rsidRPr="005E5CFA">
        <w:t> </w:t>
      </w:r>
      <w:r w:rsidR="007B39F5" w:rsidRPr="005E5CFA">
        <w:t>mL</w:t>
      </w:r>
      <w:r w:rsidR="0054639C">
        <w:br/>
      </w:r>
      <w:proofErr w:type="spellStart"/>
      <w:r w:rsidR="007B39F5" w:rsidRPr="005E5CFA">
        <w:t>Trexject</w:t>
      </w:r>
      <w:proofErr w:type="spellEnd"/>
      <w:r w:rsidR="007B39F5" w:rsidRPr="005E5CFA">
        <w:t>®, Link Medical Products Pty Ltd</w:t>
      </w:r>
    </w:p>
    <w:p w:rsidR="00CE10C4" w:rsidRPr="00997765" w:rsidRDefault="00CE10C4" w:rsidP="00C27B58">
      <w:pPr>
        <w:pStyle w:val="NoSpacing"/>
      </w:pPr>
    </w:p>
    <w:p w:rsidR="00C27B58" w:rsidRPr="00997765" w:rsidRDefault="00C27B58" w:rsidP="00C27B58">
      <w:pPr>
        <w:pStyle w:val="NoSpacing"/>
      </w:pPr>
    </w:p>
    <w:p w:rsidR="00CE10C4" w:rsidRPr="005E5CFA" w:rsidRDefault="00CE10C4" w:rsidP="005E5CFA">
      <w:pPr>
        <w:pStyle w:val="Heading1"/>
      </w:pPr>
      <w:r w:rsidRPr="005E5CFA">
        <w:t xml:space="preserve">Purpose of </w:t>
      </w:r>
      <w:r w:rsidR="0004240E" w:rsidRPr="005E5CFA">
        <w:t>Application</w:t>
      </w:r>
    </w:p>
    <w:p w:rsidR="006A12A5" w:rsidRPr="00997765" w:rsidRDefault="006A12A5" w:rsidP="00882085">
      <w:pPr>
        <w:jc w:val="both"/>
        <w:rPr>
          <w:rFonts w:ascii="Arial" w:hAnsi="Arial" w:cs="Arial"/>
          <w:sz w:val="22"/>
          <w:szCs w:val="22"/>
        </w:rPr>
      </w:pPr>
    </w:p>
    <w:p w:rsidR="0005557F" w:rsidRPr="00997765" w:rsidRDefault="00C51255" w:rsidP="0005557F">
      <w:pPr>
        <w:pStyle w:val="ListParagraph"/>
        <w:numPr>
          <w:ilvl w:val="1"/>
          <w:numId w:val="1"/>
        </w:numPr>
        <w:jc w:val="both"/>
        <w:rPr>
          <w:rFonts w:ascii="Arial" w:hAnsi="Arial" w:cs="Arial"/>
          <w:sz w:val="22"/>
          <w:szCs w:val="22"/>
        </w:rPr>
      </w:pPr>
      <w:r w:rsidRPr="00997765">
        <w:rPr>
          <w:rFonts w:ascii="Arial" w:hAnsi="Arial" w:cs="Arial"/>
          <w:sz w:val="22"/>
          <w:szCs w:val="22"/>
        </w:rPr>
        <w:t>The minor submission requested listing of methotrexate pre-filled syringe (with embedded needle) on the PBS for the treatment of rheumatoid arthritis or psori</w:t>
      </w:r>
      <w:r w:rsidR="006E7B9D" w:rsidRPr="00997765">
        <w:rPr>
          <w:rFonts w:ascii="Arial" w:hAnsi="Arial" w:cs="Arial"/>
          <w:sz w:val="22"/>
          <w:szCs w:val="22"/>
        </w:rPr>
        <w:t>asis when</w:t>
      </w:r>
      <w:r w:rsidRPr="00997765">
        <w:rPr>
          <w:rFonts w:ascii="Arial" w:hAnsi="Arial" w:cs="Arial"/>
          <w:sz w:val="22"/>
          <w:szCs w:val="22"/>
        </w:rPr>
        <w:t xml:space="preserve"> methotrexate</w:t>
      </w:r>
      <w:r w:rsidR="006E7B9D" w:rsidRPr="00997765">
        <w:rPr>
          <w:rFonts w:ascii="Arial" w:hAnsi="Arial" w:cs="Arial"/>
          <w:sz w:val="22"/>
          <w:szCs w:val="22"/>
        </w:rPr>
        <w:t xml:space="preserve"> oral tablet</w:t>
      </w:r>
      <w:r w:rsidRPr="00997765">
        <w:rPr>
          <w:rFonts w:ascii="Arial" w:hAnsi="Arial" w:cs="Arial"/>
          <w:sz w:val="22"/>
          <w:szCs w:val="22"/>
        </w:rPr>
        <w:t xml:space="preserve"> is unsuitable.</w:t>
      </w:r>
    </w:p>
    <w:p w:rsidR="00AB249E" w:rsidRPr="00997765" w:rsidRDefault="00AB249E" w:rsidP="00AB249E">
      <w:pPr>
        <w:pStyle w:val="ListParagraph"/>
        <w:jc w:val="both"/>
        <w:rPr>
          <w:rFonts w:ascii="Arial" w:hAnsi="Arial" w:cs="Arial"/>
          <w:sz w:val="22"/>
          <w:szCs w:val="22"/>
        </w:rPr>
      </w:pPr>
    </w:p>
    <w:p w:rsidR="002666A5" w:rsidRPr="005E5CFA" w:rsidRDefault="002666A5" w:rsidP="005E5CFA">
      <w:pPr>
        <w:pStyle w:val="Heading1"/>
      </w:pPr>
      <w:r w:rsidRPr="005E5CFA">
        <w:t>Requested listing</w:t>
      </w:r>
    </w:p>
    <w:p w:rsidR="002666A5" w:rsidRPr="00997765" w:rsidRDefault="002666A5" w:rsidP="002666A5">
      <w:pPr>
        <w:jc w:val="both"/>
        <w:rPr>
          <w:rFonts w:ascii="Arial" w:hAnsi="Arial"/>
          <w:b/>
          <w:sz w:val="22"/>
          <w:szCs w:val="22"/>
        </w:rPr>
      </w:pPr>
    </w:p>
    <w:p w:rsidR="002666A5" w:rsidRPr="00997765" w:rsidRDefault="002666A5" w:rsidP="00FC330F">
      <w:pPr>
        <w:pStyle w:val="ListParagraph"/>
        <w:numPr>
          <w:ilvl w:val="1"/>
          <w:numId w:val="1"/>
        </w:numPr>
        <w:jc w:val="both"/>
        <w:rPr>
          <w:rFonts w:ascii="Arial" w:hAnsi="Arial"/>
          <w:sz w:val="22"/>
          <w:szCs w:val="22"/>
        </w:rPr>
      </w:pPr>
      <w:r w:rsidRPr="00997765">
        <w:rPr>
          <w:rFonts w:ascii="Arial" w:hAnsi="Arial"/>
          <w:sz w:val="22"/>
          <w:szCs w:val="22"/>
        </w:rPr>
        <w:t>The submission requested the following new listing</w:t>
      </w:r>
      <w:r w:rsidR="00E43A7E" w:rsidRPr="00997765">
        <w:rPr>
          <w:rFonts w:ascii="Arial" w:hAnsi="Arial"/>
          <w:sz w:val="22"/>
          <w:szCs w:val="22"/>
        </w:rPr>
        <w:t xml:space="preserve"> (p 13-14 of the submission)</w:t>
      </w:r>
      <w:r w:rsidRPr="00997765">
        <w:rPr>
          <w:rFonts w:ascii="Arial" w:hAnsi="Arial"/>
          <w:sz w:val="22"/>
          <w:szCs w:val="22"/>
        </w:rPr>
        <w:t>:</w:t>
      </w:r>
    </w:p>
    <w:p w:rsidR="002666A5" w:rsidRPr="00997765" w:rsidRDefault="002666A5" w:rsidP="002666A5">
      <w:pPr>
        <w:pStyle w:val="NoSpacing"/>
      </w:pPr>
    </w:p>
    <w:tbl>
      <w:tblPr>
        <w:tblW w:w="8363" w:type="dxa"/>
        <w:tblInd w:w="817" w:type="dxa"/>
        <w:tblLayout w:type="fixed"/>
        <w:tblLook w:val="0000" w:firstRow="0" w:lastRow="0" w:firstColumn="0" w:lastColumn="0" w:noHBand="0" w:noVBand="0"/>
      </w:tblPr>
      <w:tblGrid>
        <w:gridCol w:w="1985"/>
        <w:gridCol w:w="1309"/>
        <w:gridCol w:w="567"/>
        <w:gridCol w:w="567"/>
        <w:gridCol w:w="1134"/>
        <w:gridCol w:w="959"/>
        <w:gridCol w:w="1842"/>
      </w:tblGrid>
      <w:tr w:rsidR="002666A5" w:rsidRPr="00997765" w:rsidTr="00086B75">
        <w:trPr>
          <w:cantSplit/>
          <w:trHeight w:val="471"/>
        </w:trPr>
        <w:tc>
          <w:tcPr>
            <w:tcW w:w="3294" w:type="dxa"/>
            <w:gridSpan w:val="2"/>
            <w:tcBorders>
              <w:bottom w:val="single" w:sz="4" w:space="0" w:color="auto"/>
            </w:tcBorders>
          </w:tcPr>
          <w:p w:rsidR="002666A5" w:rsidRPr="00997765" w:rsidRDefault="002666A5" w:rsidP="00086B75">
            <w:pPr>
              <w:keepNext/>
              <w:ind w:left="-108"/>
              <w:jc w:val="both"/>
              <w:rPr>
                <w:rFonts w:ascii="Arial Narrow" w:hAnsi="Arial Narrow" w:cs="Arial"/>
                <w:b/>
                <w:sz w:val="20"/>
                <w:szCs w:val="20"/>
              </w:rPr>
            </w:pPr>
            <w:r w:rsidRPr="00997765">
              <w:rPr>
                <w:rFonts w:ascii="Arial Narrow" w:hAnsi="Arial Narrow" w:cs="Arial"/>
                <w:b/>
                <w:sz w:val="20"/>
                <w:szCs w:val="20"/>
              </w:rPr>
              <w:t>Name, Restriction,</w:t>
            </w:r>
          </w:p>
          <w:p w:rsidR="002666A5" w:rsidRPr="00997765" w:rsidRDefault="002666A5" w:rsidP="00086B75">
            <w:pPr>
              <w:keepNext/>
              <w:ind w:left="-108"/>
              <w:jc w:val="both"/>
              <w:rPr>
                <w:rFonts w:ascii="Arial Narrow" w:hAnsi="Arial Narrow" w:cs="Arial"/>
                <w:b/>
                <w:sz w:val="20"/>
                <w:szCs w:val="20"/>
              </w:rPr>
            </w:pPr>
            <w:r w:rsidRPr="00997765">
              <w:rPr>
                <w:rFonts w:ascii="Arial Narrow" w:hAnsi="Arial Narrow" w:cs="Arial"/>
                <w:b/>
                <w:sz w:val="20"/>
                <w:szCs w:val="20"/>
              </w:rPr>
              <w:t>Manner of administration and form</w:t>
            </w:r>
          </w:p>
        </w:tc>
        <w:tc>
          <w:tcPr>
            <w:tcW w:w="567" w:type="dxa"/>
            <w:tcBorders>
              <w:bottom w:val="single" w:sz="4" w:space="0" w:color="auto"/>
            </w:tcBorders>
          </w:tcPr>
          <w:p w:rsidR="002666A5" w:rsidRPr="00997765" w:rsidRDefault="002666A5" w:rsidP="00086B75">
            <w:pPr>
              <w:keepNext/>
              <w:ind w:left="-108"/>
              <w:jc w:val="both"/>
              <w:rPr>
                <w:rFonts w:ascii="Arial Narrow" w:hAnsi="Arial Narrow" w:cs="Arial"/>
                <w:b/>
                <w:sz w:val="20"/>
                <w:szCs w:val="20"/>
              </w:rPr>
            </w:pPr>
            <w:r w:rsidRPr="00997765">
              <w:rPr>
                <w:rFonts w:ascii="Arial Narrow" w:hAnsi="Arial Narrow" w:cs="Arial"/>
                <w:b/>
                <w:sz w:val="20"/>
                <w:szCs w:val="20"/>
              </w:rPr>
              <w:t>Max.</w:t>
            </w:r>
          </w:p>
          <w:p w:rsidR="002666A5" w:rsidRPr="00997765" w:rsidRDefault="002666A5" w:rsidP="00086B75">
            <w:pPr>
              <w:keepNext/>
              <w:ind w:left="-108"/>
              <w:jc w:val="both"/>
              <w:rPr>
                <w:rFonts w:ascii="Arial Narrow" w:hAnsi="Arial Narrow" w:cs="Arial"/>
                <w:b/>
                <w:sz w:val="20"/>
                <w:szCs w:val="20"/>
              </w:rPr>
            </w:pPr>
            <w:proofErr w:type="spellStart"/>
            <w:r w:rsidRPr="00997765">
              <w:rPr>
                <w:rFonts w:ascii="Arial Narrow" w:hAnsi="Arial Narrow" w:cs="Arial"/>
                <w:b/>
                <w:sz w:val="20"/>
                <w:szCs w:val="20"/>
              </w:rPr>
              <w:t>Qty</w:t>
            </w:r>
            <w:proofErr w:type="spellEnd"/>
          </w:p>
        </w:tc>
        <w:tc>
          <w:tcPr>
            <w:tcW w:w="567" w:type="dxa"/>
            <w:tcBorders>
              <w:bottom w:val="single" w:sz="4" w:space="0" w:color="auto"/>
            </w:tcBorders>
          </w:tcPr>
          <w:p w:rsidR="002666A5" w:rsidRPr="00997765" w:rsidRDefault="002666A5" w:rsidP="00086B75">
            <w:pPr>
              <w:keepNext/>
              <w:ind w:left="-108"/>
              <w:jc w:val="both"/>
              <w:rPr>
                <w:rFonts w:ascii="Arial Narrow" w:hAnsi="Arial Narrow" w:cs="Arial"/>
                <w:b/>
                <w:sz w:val="20"/>
                <w:szCs w:val="20"/>
              </w:rPr>
            </w:pPr>
            <w:r w:rsidRPr="00997765">
              <w:rPr>
                <w:rFonts w:ascii="Arial Narrow" w:hAnsi="Arial Narrow" w:cs="Arial"/>
                <w:b/>
                <w:sz w:val="20"/>
                <w:szCs w:val="20"/>
              </w:rPr>
              <w:t>№.of</w:t>
            </w:r>
          </w:p>
          <w:p w:rsidR="002666A5" w:rsidRPr="00997765" w:rsidRDefault="002666A5" w:rsidP="00086B75">
            <w:pPr>
              <w:keepNext/>
              <w:ind w:left="-108"/>
              <w:jc w:val="both"/>
              <w:rPr>
                <w:rFonts w:ascii="Arial Narrow" w:hAnsi="Arial Narrow" w:cs="Arial"/>
                <w:b/>
                <w:sz w:val="20"/>
                <w:szCs w:val="20"/>
              </w:rPr>
            </w:pPr>
            <w:proofErr w:type="spellStart"/>
            <w:r w:rsidRPr="00997765">
              <w:rPr>
                <w:rFonts w:ascii="Arial Narrow" w:hAnsi="Arial Narrow" w:cs="Arial"/>
                <w:b/>
                <w:sz w:val="20"/>
                <w:szCs w:val="20"/>
              </w:rPr>
              <w:t>Rpts</w:t>
            </w:r>
            <w:proofErr w:type="spellEnd"/>
          </w:p>
        </w:tc>
        <w:tc>
          <w:tcPr>
            <w:tcW w:w="1134" w:type="dxa"/>
            <w:tcBorders>
              <w:bottom w:val="single" w:sz="4" w:space="0" w:color="auto"/>
            </w:tcBorders>
          </w:tcPr>
          <w:p w:rsidR="002666A5" w:rsidRPr="00997765" w:rsidRDefault="002666A5" w:rsidP="006E7B9D">
            <w:pPr>
              <w:keepNext/>
              <w:ind w:left="-108"/>
              <w:jc w:val="center"/>
              <w:rPr>
                <w:rFonts w:ascii="Arial Narrow" w:hAnsi="Arial Narrow" w:cs="Arial"/>
                <w:b/>
                <w:sz w:val="20"/>
                <w:szCs w:val="20"/>
              </w:rPr>
            </w:pPr>
            <w:r w:rsidRPr="00997765">
              <w:rPr>
                <w:rFonts w:ascii="Arial Narrow" w:hAnsi="Arial Narrow" w:cs="Arial"/>
                <w:b/>
                <w:sz w:val="20"/>
                <w:szCs w:val="20"/>
              </w:rPr>
              <w:t xml:space="preserve">Dispensed Price for Max. </w:t>
            </w:r>
            <w:proofErr w:type="spellStart"/>
            <w:r w:rsidRPr="00997765">
              <w:rPr>
                <w:rFonts w:ascii="Arial Narrow" w:hAnsi="Arial Narrow" w:cs="Arial"/>
                <w:b/>
                <w:sz w:val="20"/>
                <w:szCs w:val="20"/>
              </w:rPr>
              <w:t>Qty</w:t>
            </w:r>
            <w:proofErr w:type="spellEnd"/>
          </w:p>
        </w:tc>
        <w:tc>
          <w:tcPr>
            <w:tcW w:w="2801" w:type="dxa"/>
            <w:gridSpan w:val="2"/>
            <w:tcBorders>
              <w:bottom w:val="single" w:sz="4" w:space="0" w:color="auto"/>
            </w:tcBorders>
          </w:tcPr>
          <w:p w:rsidR="002666A5" w:rsidRPr="00997765" w:rsidRDefault="002666A5" w:rsidP="00FB19D8">
            <w:pPr>
              <w:keepNext/>
              <w:rPr>
                <w:rFonts w:ascii="Arial Narrow" w:hAnsi="Arial Narrow" w:cs="Arial"/>
                <w:b/>
                <w:sz w:val="20"/>
                <w:szCs w:val="20"/>
              </w:rPr>
            </w:pPr>
            <w:r w:rsidRPr="00997765">
              <w:rPr>
                <w:rFonts w:ascii="Arial Narrow" w:hAnsi="Arial Narrow" w:cs="Arial"/>
                <w:b/>
                <w:sz w:val="20"/>
                <w:szCs w:val="20"/>
              </w:rPr>
              <w:t>Proprietary Name and Manufacturer</w:t>
            </w:r>
          </w:p>
        </w:tc>
      </w:tr>
      <w:tr w:rsidR="002666A5" w:rsidRPr="00997765" w:rsidTr="0002685B">
        <w:trPr>
          <w:cantSplit/>
        </w:trPr>
        <w:tc>
          <w:tcPr>
            <w:tcW w:w="3294" w:type="dxa"/>
            <w:gridSpan w:val="2"/>
          </w:tcPr>
          <w:p w:rsidR="002666A5" w:rsidRPr="00997765" w:rsidRDefault="002666A5" w:rsidP="0002685B">
            <w:pPr>
              <w:keepNext/>
              <w:spacing w:after="60"/>
              <w:ind w:left="-108"/>
              <w:jc w:val="both"/>
              <w:rPr>
                <w:rFonts w:ascii="Arial Narrow" w:hAnsi="Arial Narrow" w:cs="Arial"/>
                <w:sz w:val="20"/>
                <w:szCs w:val="20"/>
              </w:rPr>
            </w:pPr>
            <w:r w:rsidRPr="00997765">
              <w:rPr>
                <w:rFonts w:ascii="Arial Narrow" w:hAnsi="Arial Narrow" w:cs="Arial"/>
                <w:smallCaps/>
                <w:sz w:val="20"/>
                <w:szCs w:val="20"/>
              </w:rPr>
              <w:t>Methotrexate</w:t>
            </w:r>
          </w:p>
        </w:tc>
        <w:tc>
          <w:tcPr>
            <w:tcW w:w="567" w:type="dxa"/>
          </w:tcPr>
          <w:p w:rsidR="002666A5" w:rsidRPr="00997765" w:rsidRDefault="002666A5" w:rsidP="0002685B">
            <w:pPr>
              <w:keepNext/>
              <w:spacing w:after="60"/>
              <w:jc w:val="both"/>
              <w:rPr>
                <w:rFonts w:ascii="Arial Narrow" w:hAnsi="Arial Narrow" w:cs="Arial"/>
                <w:sz w:val="20"/>
                <w:szCs w:val="20"/>
              </w:rPr>
            </w:pPr>
          </w:p>
        </w:tc>
        <w:tc>
          <w:tcPr>
            <w:tcW w:w="567" w:type="dxa"/>
          </w:tcPr>
          <w:p w:rsidR="002666A5" w:rsidRPr="00997765" w:rsidRDefault="002666A5" w:rsidP="0002685B">
            <w:pPr>
              <w:keepNext/>
              <w:spacing w:after="60"/>
              <w:jc w:val="both"/>
              <w:rPr>
                <w:rFonts w:ascii="Arial Narrow" w:hAnsi="Arial Narrow" w:cs="Arial"/>
                <w:sz w:val="20"/>
                <w:szCs w:val="20"/>
              </w:rPr>
            </w:pPr>
          </w:p>
        </w:tc>
        <w:tc>
          <w:tcPr>
            <w:tcW w:w="1134" w:type="dxa"/>
          </w:tcPr>
          <w:p w:rsidR="002666A5" w:rsidRPr="00997765" w:rsidRDefault="002666A5" w:rsidP="0002685B">
            <w:pPr>
              <w:keepNext/>
              <w:spacing w:after="60"/>
              <w:ind w:left="-108"/>
              <w:jc w:val="center"/>
              <w:rPr>
                <w:rFonts w:ascii="Arial Narrow" w:hAnsi="Arial Narrow" w:cs="Arial"/>
                <w:sz w:val="20"/>
                <w:szCs w:val="20"/>
              </w:rPr>
            </w:pPr>
          </w:p>
        </w:tc>
        <w:tc>
          <w:tcPr>
            <w:tcW w:w="959" w:type="dxa"/>
          </w:tcPr>
          <w:p w:rsidR="002666A5" w:rsidRPr="00997765" w:rsidRDefault="002666A5" w:rsidP="0002685B">
            <w:pPr>
              <w:keepNext/>
              <w:spacing w:after="60"/>
              <w:jc w:val="both"/>
              <w:rPr>
                <w:rFonts w:ascii="Arial Narrow" w:hAnsi="Arial Narrow" w:cs="Arial"/>
                <w:sz w:val="20"/>
                <w:szCs w:val="20"/>
                <w:vertAlign w:val="superscript"/>
              </w:rPr>
            </w:pPr>
            <w:proofErr w:type="spellStart"/>
            <w:r w:rsidRPr="00997765">
              <w:rPr>
                <w:rFonts w:ascii="Arial Narrow" w:hAnsi="Arial Narrow" w:cs="Arial"/>
                <w:sz w:val="20"/>
                <w:szCs w:val="20"/>
              </w:rPr>
              <w:t>Trexject</w:t>
            </w:r>
            <w:proofErr w:type="spellEnd"/>
            <w:r w:rsidRPr="00997765">
              <w:rPr>
                <w:rFonts w:ascii="Arial Narrow" w:hAnsi="Arial Narrow" w:cs="Arial"/>
                <w:sz w:val="20"/>
                <w:szCs w:val="20"/>
                <w:vertAlign w:val="superscript"/>
              </w:rPr>
              <w:t>®</w:t>
            </w:r>
          </w:p>
        </w:tc>
        <w:tc>
          <w:tcPr>
            <w:tcW w:w="1842" w:type="dxa"/>
          </w:tcPr>
          <w:p w:rsidR="0002685B" w:rsidRPr="00997765" w:rsidRDefault="0002685B" w:rsidP="0002685B">
            <w:pPr>
              <w:keepNext/>
              <w:spacing w:after="60"/>
              <w:rPr>
                <w:rFonts w:ascii="Arial Narrow" w:hAnsi="Arial Narrow" w:cs="Arial"/>
                <w:sz w:val="20"/>
                <w:szCs w:val="20"/>
              </w:rPr>
            </w:pPr>
            <w:r w:rsidRPr="00997765">
              <w:rPr>
                <w:rFonts w:ascii="Arial Narrow" w:hAnsi="Arial Narrow" w:cs="Arial"/>
                <w:sz w:val="20"/>
                <w:szCs w:val="20"/>
              </w:rPr>
              <w:t xml:space="preserve">Link Medical </w:t>
            </w:r>
            <w:r w:rsidR="002666A5" w:rsidRPr="00997765">
              <w:rPr>
                <w:rFonts w:ascii="Arial Narrow" w:hAnsi="Arial Narrow" w:cs="Arial"/>
                <w:sz w:val="20"/>
                <w:szCs w:val="20"/>
              </w:rPr>
              <w:t>Products</w:t>
            </w:r>
          </w:p>
        </w:tc>
      </w:tr>
      <w:tr w:rsidR="0002685B" w:rsidRPr="00997765" w:rsidTr="0002685B">
        <w:trPr>
          <w:cantSplit/>
        </w:trPr>
        <w:tc>
          <w:tcPr>
            <w:tcW w:w="3294" w:type="dxa"/>
            <w:gridSpan w:val="2"/>
          </w:tcPr>
          <w:p w:rsidR="0002685B" w:rsidRPr="00997765" w:rsidRDefault="0002685B" w:rsidP="0002685B">
            <w:pPr>
              <w:keepNext/>
              <w:spacing w:after="60"/>
              <w:ind w:left="-108"/>
              <w:jc w:val="both"/>
              <w:rPr>
                <w:rFonts w:ascii="Arial Narrow" w:hAnsi="Arial Narrow" w:cs="Arial"/>
                <w:smallCaps/>
                <w:sz w:val="20"/>
                <w:szCs w:val="20"/>
              </w:rPr>
            </w:pPr>
            <w:r w:rsidRPr="00997765">
              <w:rPr>
                <w:rFonts w:ascii="Arial Narrow" w:hAnsi="Arial Narrow" w:cs="Arial"/>
                <w:sz w:val="20"/>
                <w:szCs w:val="20"/>
              </w:rPr>
              <w:t>7.</w:t>
            </w:r>
            <w:r w:rsidR="004D6A66" w:rsidRPr="00997765">
              <w:rPr>
                <w:rFonts w:ascii="Arial Narrow" w:hAnsi="Arial Narrow" w:cs="Arial"/>
                <w:sz w:val="20"/>
                <w:szCs w:val="20"/>
              </w:rPr>
              <w:t>5 mg</w:t>
            </w:r>
            <w:r w:rsidRPr="00997765">
              <w:rPr>
                <w:rFonts w:ascii="Arial Narrow" w:hAnsi="Arial Narrow" w:cs="Arial"/>
                <w:sz w:val="20"/>
                <w:szCs w:val="20"/>
              </w:rPr>
              <w:t>/0.15</w:t>
            </w:r>
            <w:r w:rsidR="005B2D76" w:rsidRPr="00997765">
              <w:rPr>
                <w:rFonts w:ascii="Arial Narrow" w:hAnsi="Arial Narrow" w:cs="Arial"/>
                <w:sz w:val="20"/>
                <w:szCs w:val="20"/>
              </w:rPr>
              <w:t> </w:t>
            </w:r>
            <w:r w:rsidRPr="00997765">
              <w:rPr>
                <w:rFonts w:ascii="Arial Narrow" w:hAnsi="Arial Narrow" w:cs="Arial"/>
                <w:sz w:val="20"/>
                <w:szCs w:val="20"/>
              </w:rPr>
              <w:t>mL injection, 1 x 0.15</w:t>
            </w:r>
            <w:r w:rsidR="005B2D76" w:rsidRPr="00997765">
              <w:rPr>
                <w:rFonts w:ascii="Arial Narrow" w:hAnsi="Arial Narrow" w:cs="Arial"/>
                <w:sz w:val="20"/>
                <w:szCs w:val="20"/>
              </w:rPr>
              <w:t> </w:t>
            </w:r>
            <w:r w:rsidRPr="00997765">
              <w:rPr>
                <w:rFonts w:ascii="Arial Narrow" w:hAnsi="Arial Narrow" w:cs="Arial"/>
                <w:sz w:val="20"/>
                <w:szCs w:val="20"/>
              </w:rPr>
              <w:t>mL syringe</w:t>
            </w:r>
          </w:p>
        </w:tc>
        <w:tc>
          <w:tcPr>
            <w:tcW w:w="567" w:type="dxa"/>
          </w:tcPr>
          <w:p w:rsidR="0002685B" w:rsidRPr="00997765" w:rsidRDefault="0002685B" w:rsidP="0002685B">
            <w:pPr>
              <w:keepNext/>
              <w:spacing w:after="60"/>
              <w:jc w:val="both"/>
              <w:rPr>
                <w:rFonts w:ascii="Arial Narrow" w:hAnsi="Arial Narrow" w:cs="Arial"/>
                <w:sz w:val="20"/>
                <w:szCs w:val="20"/>
              </w:rPr>
            </w:pPr>
            <w:r w:rsidRPr="00997765">
              <w:rPr>
                <w:rFonts w:ascii="Arial Narrow" w:hAnsi="Arial Narrow" w:cs="Arial"/>
                <w:sz w:val="20"/>
                <w:szCs w:val="20"/>
              </w:rPr>
              <w:t>4</w:t>
            </w:r>
          </w:p>
        </w:tc>
        <w:tc>
          <w:tcPr>
            <w:tcW w:w="567" w:type="dxa"/>
          </w:tcPr>
          <w:p w:rsidR="0002685B" w:rsidRPr="00997765" w:rsidRDefault="0002685B" w:rsidP="0002685B">
            <w:pPr>
              <w:keepNext/>
              <w:spacing w:after="60"/>
              <w:jc w:val="both"/>
              <w:rPr>
                <w:rFonts w:ascii="Arial Narrow" w:hAnsi="Arial Narrow" w:cs="Arial"/>
                <w:sz w:val="20"/>
                <w:szCs w:val="20"/>
              </w:rPr>
            </w:pPr>
            <w:r w:rsidRPr="00997765">
              <w:rPr>
                <w:rFonts w:ascii="Arial Narrow" w:hAnsi="Arial Narrow" w:cs="Arial"/>
                <w:sz w:val="20"/>
                <w:szCs w:val="20"/>
              </w:rPr>
              <w:t>5</w:t>
            </w:r>
          </w:p>
        </w:tc>
        <w:tc>
          <w:tcPr>
            <w:tcW w:w="1134" w:type="dxa"/>
          </w:tcPr>
          <w:p w:rsidR="0002685B" w:rsidRPr="00997765" w:rsidRDefault="0002685B" w:rsidP="0002685B">
            <w:pPr>
              <w:keepNext/>
              <w:spacing w:after="60"/>
              <w:ind w:left="-108"/>
              <w:jc w:val="center"/>
              <w:rPr>
                <w:rFonts w:ascii="Arial Narrow" w:hAnsi="Arial Narrow" w:cs="Arial"/>
                <w:sz w:val="20"/>
                <w:szCs w:val="20"/>
              </w:rPr>
            </w:pPr>
            <w:r w:rsidRPr="00997765">
              <w:rPr>
                <w:rFonts w:ascii="Arial Narrow" w:hAnsi="Arial Narrow" w:cs="Arial"/>
                <w:sz w:val="20"/>
                <w:szCs w:val="20"/>
              </w:rPr>
              <w:t>$</w:t>
            </w:r>
            <w:r w:rsidR="00360D24">
              <w:rPr>
                <w:rFonts w:ascii="Arial Narrow" w:hAnsi="Arial Narrow" w:cs="Arial"/>
                <w:noProof/>
                <w:color w:val="000000"/>
                <w:sz w:val="20"/>
                <w:szCs w:val="20"/>
                <w:highlight w:val="black"/>
              </w:rPr>
              <w:t>'''''''''''''''</w:t>
            </w:r>
          </w:p>
        </w:tc>
        <w:tc>
          <w:tcPr>
            <w:tcW w:w="959" w:type="dxa"/>
          </w:tcPr>
          <w:p w:rsidR="0002685B" w:rsidRPr="00997765" w:rsidRDefault="0002685B" w:rsidP="0002685B">
            <w:pPr>
              <w:keepNext/>
              <w:spacing w:after="60"/>
              <w:jc w:val="both"/>
              <w:rPr>
                <w:rFonts w:ascii="Arial Narrow" w:hAnsi="Arial Narrow" w:cs="Arial"/>
                <w:sz w:val="20"/>
                <w:szCs w:val="20"/>
              </w:rPr>
            </w:pPr>
          </w:p>
        </w:tc>
        <w:tc>
          <w:tcPr>
            <w:tcW w:w="1842" w:type="dxa"/>
          </w:tcPr>
          <w:p w:rsidR="0002685B" w:rsidRPr="00997765" w:rsidRDefault="0002685B" w:rsidP="0002685B">
            <w:pPr>
              <w:keepNext/>
              <w:spacing w:after="60"/>
              <w:jc w:val="both"/>
              <w:rPr>
                <w:rFonts w:ascii="Arial Narrow" w:hAnsi="Arial Narrow" w:cs="Arial"/>
                <w:sz w:val="20"/>
                <w:szCs w:val="20"/>
              </w:rPr>
            </w:pPr>
          </w:p>
        </w:tc>
      </w:tr>
      <w:tr w:rsidR="0002685B" w:rsidRPr="00997765" w:rsidTr="0002685B">
        <w:trPr>
          <w:cantSplit/>
        </w:trPr>
        <w:tc>
          <w:tcPr>
            <w:tcW w:w="3294" w:type="dxa"/>
            <w:gridSpan w:val="2"/>
          </w:tcPr>
          <w:p w:rsidR="0002685B" w:rsidRPr="00997765" w:rsidRDefault="0002685B" w:rsidP="0002685B">
            <w:pPr>
              <w:keepNext/>
              <w:spacing w:after="60"/>
              <w:ind w:left="-108"/>
              <w:jc w:val="both"/>
              <w:rPr>
                <w:rFonts w:ascii="Arial Narrow" w:hAnsi="Arial Narrow" w:cs="Arial"/>
                <w:smallCaps/>
                <w:sz w:val="20"/>
                <w:szCs w:val="20"/>
              </w:rPr>
            </w:pPr>
            <w:r w:rsidRPr="00997765">
              <w:rPr>
                <w:rFonts w:ascii="Arial Narrow" w:hAnsi="Arial Narrow" w:cs="Arial"/>
                <w:sz w:val="20"/>
                <w:szCs w:val="20"/>
              </w:rPr>
              <w:t>1</w:t>
            </w:r>
            <w:r w:rsidR="004D6A66" w:rsidRPr="00997765">
              <w:rPr>
                <w:rFonts w:ascii="Arial Narrow" w:hAnsi="Arial Narrow" w:cs="Arial"/>
                <w:sz w:val="20"/>
                <w:szCs w:val="20"/>
              </w:rPr>
              <w:t>0 mg</w:t>
            </w:r>
            <w:r w:rsidRPr="00997765">
              <w:rPr>
                <w:rFonts w:ascii="Arial Narrow" w:hAnsi="Arial Narrow" w:cs="Arial"/>
                <w:sz w:val="20"/>
                <w:szCs w:val="20"/>
              </w:rPr>
              <w:t>/0.2</w:t>
            </w:r>
            <w:r w:rsidR="005B2D76" w:rsidRPr="00997765">
              <w:rPr>
                <w:rFonts w:ascii="Arial Narrow" w:hAnsi="Arial Narrow" w:cs="Arial"/>
                <w:sz w:val="20"/>
                <w:szCs w:val="20"/>
              </w:rPr>
              <w:t> </w:t>
            </w:r>
            <w:r w:rsidRPr="00997765">
              <w:rPr>
                <w:rFonts w:ascii="Arial Narrow" w:hAnsi="Arial Narrow" w:cs="Arial"/>
                <w:sz w:val="20"/>
                <w:szCs w:val="20"/>
              </w:rPr>
              <w:t>mL injection, 1 x 0.2</w:t>
            </w:r>
            <w:r w:rsidR="005B2D76" w:rsidRPr="00997765">
              <w:rPr>
                <w:rFonts w:ascii="Arial Narrow" w:hAnsi="Arial Narrow" w:cs="Arial"/>
                <w:sz w:val="20"/>
                <w:szCs w:val="20"/>
              </w:rPr>
              <w:t> </w:t>
            </w:r>
            <w:r w:rsidRPr="00997765">
              <w:rPr>
                <w:rFonts w:ascii="Arial Narrow" w:hAnsi="Arial Narrow" w:cs="Arial"/>
                <w:sz w:val="20"/>
                <w:szCs w:val="20"/>
              </w:rPr>
              <w:t xml:space="preserve">mL syringe </w:t>
            </w:r>
          </w:p>
        </w:tc>
        <w:tc>
          <w:tcPr>
            <w:tcW w:w="567" w:type="dxa"/>
          </w:tcPr>
          <w:p w:rsidR="0002685B" w:rsidRPr="00997765" w:rsidRDefault="0002685B" w:rsidP="0002685B">
            <w:pPr>
              <w:keepNext/>
              <w:spacing w:after="60"/>
              <w:jc w:val="both"/>
              <w:rPr>
                <w:rFonts w:ascii="Arial Narrow" w:hAnsi="Arial Narrow" w:cs="Arial"/>
                <w:sz w:val="20"/>
                <w:szCs w:val="20"/>
              </w:rPr>
            </w:pPr>
            <w:r w:rsidRPr="00997765">
              <w:rPr>
                <w:rFonts w:ascii="Arial Narrow" w:hAnsi="Arial Narrow" w:cs="Arial"/>
                <w:sz w:val="20"/>
                <w:szCs w:val="20"/>
              </w:rPr>
              <w:t>4</w:t>
            </w:r>
          </w:p>
        </w:tc>
        <w:tc>
          <w:tcPr>
            <w:tcW w:w="567" w:type="dxa"/>
          </w:tcPr>
          <w:p w:rsidR="0002685B" w:rsidRPr="00997765" w:rsidRDefault="0002685B" w:rsidP="0002685B">
            <w:pPr>
              <w:keepNext/>
              <w:spacing w:after="60"/>
              <w:jc w:val="both"/>
              <w:rPr>
                <w:rFonts w:ascii="Arial Narrow" w:hAnsi="Arial Narrow" w:cs="Arial"/>
                <w:sz w:val="20"/>
                <w:szCs w:val="20"/>
              </w:rPr>
            </w:pPr>
            <w:r w:rsidRPr="00997765">
              <w:rPr>
                <w:rFonts w:ascii="Arial Narrow" w:hAnsi="Arial Narrow" w:cs="Arial"/>
                <w:sz w:val="20"/>
                <w:szCs w:val="20"/>
              </w:rPr>
              <w:t>5</w:t>
            </w:r>
          </w:p>
        </w:tc>
        <w:tc>
          <w:tcPr>
            <w:tcW w:w="1134" w:type="dxa"/>
          </w:tcPr>
          <w:p w:rsidR="0002685B" w:rsidRPr="00997765" w:rsidRDefault="0002685B" w:rsidP="0002685B">
            <w:pPr>
              <w:keepNext/>
              <w:spacing w:after="60"/>
              <w:ind w:left="-108"/>
              <w:jc w:val="center"/>
              <w:rPr>
                <w:rFonts w:ascii="Arial Narrow" w:hAnsi="Arial Narrow" w:cs="Arial"/>
                <w:sz w:val="20"/>
                <w:szCs w:val="20"/>
              </w:rPr>
            </w:pPr>
            <w:r w:rsidRPr="00997765">
              <w:rPr>
                <w:rFonts w:ascii="Arial Narrow" w:hAnsi="Arial Narrow" w:cs="Arial"/>
                <w:sz w:val="20"/>
                <w:szCs w:val="20"/>
              </w:rPr>
              <w:t>$</w:t>
            </w:r>
            <w:r w:rsidR="00360D24">
              <w:rPr>
                <w:rFonts w:ascii="Arial Narrow" w:hAnsi="Arial Narrow" w:cs="Arial"/>
                <w:noProof/>
                <w:color w:val="000000"/>
                <w:sz w:val="20"/>
                <w:szCs w:val="20"/>
                <w:highlight w:val="black"/>
              </w:rPr>
              <w:t>'''''''''''''''''</w:t>
            </w:r>
          </w:p>
        </w:tc>
        <w:tc>
          <w:tcPr>
            <w:tcW w:w="959" w:type="dxa"/>
          </w:tcPr>
          <w:p w:rsidR="0002685B" w:rsidRPr="00997765" w:rsidRDefault="0002685B" w:rsidP="0002685B">
            <w:pPr>
              <w:keepNext/>
              <w:spacing w:after="60"/>
              <w:jc w:val="both"/>
              <w:rPr>
                <w:rFonts w:ascii="Arial Narrow" w:hAnsi="Arial Narrow" w:cs="Arial"/>
                <w:sz w:val="20"/>
                <w:szCs w:val="20"/>
                <w:vertAlign w:val="superscript"/>
              </w:rPr>
            </w:pPr>
          </w:p>
        </w:tc>
        <w:tc>
          <w:tcPr>
            <w:tcW w:w="1842" w:type="dxa"/>
          </w:tcPr>
          <w:p w:rsidR="0002685B" w:rsidRPr="00997765" w:rsidRDefault="0002685B" w:rsidP="0002685B">
            <w:pPr>
              <w:keepNext/>
              <w:spacing w:after="60"/>
              <w:rPr>
                <w:rFonts w:ascii="Arial Narrow" w:hAnsi="Arial Narrow" w:cs="Arial"/>
                <w:sz w:val="20"/>
                <w:szCs w:val="20"/>
              </w:rPr>
            </w:pPr>
          </w:p>
        </w:tc>
      </w:tr>
      <w:tr w:rsidR="0002685B" w:rsidRPr="00997765" w:rsidTr="0002685B">
        <w:trPr>
          <w:cantSplit/>
        </w:trPr>
        <w:tc>
          <w:tcPr>
            <w:tcW w:w="3294" w:type="dxa"/>
            <w:gridSpan w:val="2"/>
          </w:tcPr>
          <w:p w:rsidR="0002685B" w:rsidRPr="00997765" w:rsidRDefault="0002685B" w:rsidP="0002685B">
            <w:pPr>
              <w:keepNext/>
              <w:spacing w:after="60"/>
              <w:ind w:left="-108"/>
              <w:jc w:val="both"/>
              <w:rPr>
                <w:rFonts w:ascii="Arial Narrow" w:hAnsi="Arial Narrow" w:cs="Arial"/>
                <w:smallCaps/>
                <w:sz w:val="20"/>
                <w:szCs w:val="20"/>
              </w:rPr>
            </w:pPr>
            <w:r w:rsidRPr="00997765">
              <w:rPr>
                <w:rFonts w:ascii="Arial Narrow" w:hAnsi="Arial Narrow" w:cs="Arial"/>
                <w:sz w:val="20"/>
                <w:szCs w:val="20"/>
              </w:rPr>
              <w:t>1</w:t>
            </w:r>
            <w:r w:rsidR="004D6A66" w:rsidRPr="00997765">
              <w:rPr>
                <w:rFonts w:ascii="Arial Narrow" w:hAnsi="Arial Narrow" w:cs="Arial"/>
                <w:sz w:val="20"/>
                <w:szCs w:val="20"/>
              </w:rPr>
              <w:t>5 mg</w:t>
            </w:r>
            <w:r w:rsidRPr="00997765">
              <w:rPr>
                <w:rFonts w:ascii="Arial Narrow" w:hAnsi="Arial Narrow" w:cs="Arial"/>
                <w:sz w:val="20"/>
                <w:szCs w:val="20"/>
              </w:rPr>
              <w:t>/0.3</w:t>
            </w:r>
            <w:r w:rsidR="005B2D76" w:rsidRPr="00997765">
              <w:rPr>
                <w:rFonts w:ascii="Arial Narrow" w:hAnsi="Arial Narrow" w:cs="Arial"/>
                <w:sz w:val="20"/>
                <w:szCs w:val="20"/>
              </w:rPr>
              <w:t> </w:t>
            </w:r>
            <w:r w:rsidRPr="00997765">
              <w:rPr>
                <w:rFonts w:ascii="Arial Narrow" w:hAnsi="Arial Narrow" w:cs="Arial"/>
                <w:sz w:val="20"/>
                <w:szCs w:val="20"/>
              </w:rPr>
              <w:t>mL injection, 1 x 0.3</w:t>
            </w:r>
            <w:r w:rsidR="005B2D76" w:rsidRPr="00997765">
              <w:rPr>
                <w:rFonts w:ascii="Arial Narrow" w:hAnsi="Arial Narrow" w:cs="Arial"/>
                <w:sz w:val="20"/>
                <w:szCs w:val="20"/>
              </w:rPr>
              <w:t> </w:t>
            </w:r>
            <w:r w:rsidRPr="00997765">
              <w:rPr>
                <w:rFonts w:ascii="Arial Narrow" w:hAnsi="Arial Narrow" w:cs="Arial"/>
                <w:sz w:val="20"/>
                <w:szCs w:val="20"/>
              </w:rPr>
              <w:t xml:space="preserve">mL syringe </w:t>
            </w:r>
          </w:p>
        </w:tc>
        <w:tc>
          <w:tcPr>
            <w:tcW w:w="567" w:type="dxa"/>
          </w:tcPr>
          <w:p w:rsidR="0002685B" w:rsidRPr="00997765" w:rsidRDefault="0002685B" w:rsidP="0002685B">
            <w:pPr>
              <w:keepNext/>
              <w:spacing w:after="60"/>
              <w:jc w:val="both"/>
              <w:rPr>
                <w:rFonts w:ascii="Arial Narrow" w:hAnsi="Arial Narrow" w:cs="Arial"/>
                <w:sz w:val="20"/>
                <w:szCs w:val="20"/>
              </w:rPr>
            </w:pPr>
            <w:r w:rsidRPr="00997765">
              <w:rPr>
                <w:rFonts w:ascii="Arial Narrow" w:hAnsi="Arial Narrow" w:cs="Arial"/>
                <w:sz w:val="20"/>
                <w:szCs w:val="20"/>
              </w:rPr>
              <w:t>4</w:t>
            </w:r>
          </w:p>
        </w:tc>
        <w:tc>
          <w:tcPr>
            <w:tcW w:w="567" w:type="dxa"/>
          </w:tcPr>
          <w:p w:rsidR="0002685B" w:rsidRPr="00997765" w:rsidRDefault="0002685B" w:rsidP="0002685B">
            <w:pPr>
              <w:keepNext/>
              <w:spacing w:after="60"/>
              <w:jc w:val="both"/>
              <w:rPr>
                <w:rFonts w:ascii="Arial Narrow" w:hAnsi="Arial Narrow" w:cs="Arial"/>
                <w:sz w:val="20"/>
                <w:szCs w:val="20"/>
              </w:rPr>
            </w:pPr>
            <w:r w:rsidRPr="00997765">
              <w:rPr>
                <w:rFonts w:ascii="Arial Narrow" w:hAnsi="Arial Narrow" w:cs="Arial"/>
                <w:sz w:val="20"/>
                <w:szCs w:val="20"/>
              </w:rPr>
              <w:t>5</w:t>
            </w:r>
          </w:p>
        </w:tc>
        <w:tc>
          <w:tcPr>
            <w:tcW w:w="1134" w:type="dxa"/>
          </w:tcPr>
          <w:p w:rsidR="0002685B" w:rsidRPr="00997765" w:rsidRDefault="0002685B" w:rsidP="0002685B">
            <w:pPr>
              <w:keepNext/>
              <w:spacing w:after="60"/>
              <w:ind w:left="-108"/>
              <w:jc w:val="center"/>
              <w:rPr>
                <w:rFonts w:ascii="Arial Narrow" w:hAnsi="Arial Narrow" w:cs="Arial"/>
                <w:sz w:val="20"/>
                <w:szCs w:val="20"/>
              </w:rPr>
            </w:pPr>
            <w:r w:rsidRPr="00997765">
              <w:rPr>
                <w:rFonts w:ascii="Arial Narrow" w:hAnsi="Arial Narrow" w:cs="Arial"/>
                <w:sz w:val="20"/>
                <w:szCs w:val="20"/>
              </w:rPr>
              <w:t>$</w:t>
            </w:r>
            <w:r w:rsidR="00360D24">
              <w:rPr>
                <w:rFonts w:ascii="Arial Narrow" w:hAnsi="Arial Narrow" w:cs="Arial"/>
                <w:noProof/>
                <w:color w:val="000000"/>
                <w:sz w:val="20"/>
                <w:szCs w:val="20"/>
                <w:highlight w:val="black"/>
              </w:rPr>
              <w:t>'''''''''''''''</w:t>
            </w:r>
          </w:p>
        </w:tc>
        <w:tc>
          <w:tcPr>
            <w:tcW w:w="959" w:type="dxa"/>
          </w:tcPr>
          <w:p w:rsidR="0002685B" w:rsidRPr="00997765" w:rsidRDefault="0002685B" w:rsidP="0002685B">
            <w:pPr>
              <w:keepNext/>
              <w:spacing w:after="60"/>
              <w:jc w:val="both"/>
              <w:rPr>
                <w:rFonts w:ascii="Arial Narrow" w:hAnsi="Arial Narrow" w:cs="Arial"/>
                <w:sz w:val="20"/>
                <w:szCs w:val="20"/>
                <w:vertAlign w:val="superscript"/>
              </w:rPr>
            </w:pPr>
          </w:p>
        </w:tc>
        <w:tc>
          <w:tcPr>
            <w:tcW w:w="1842" w:type="dxa"/>
          </w:tcPr>
          <w:p w:rsidR="0002685B" w:rsidRPr="00997765" w:rsidRDefault="0002685B" w:rsidP="0002685B">
            <w:pPr>
              <w:keepNext/>
              <w:spacing w:after="60"/>
              <w:rPr>
                <w:rFonts w:ascii="Arial Narrow" w:hAnsi="Arial Narrow" w:cs="Arial"/>
                <w:sz w:val="20"/>
                <w:szCs w:val="20"/>
              </w:rPr>
            </w:pPr>
          </w:p>
        </w:tc>
      </w:tr>
      <w:tr w:rsidR="0002685B" w:rsidRPr="00997765" w:rsidTr="0002685B">
        <w:trPr>
          <w:cantSplit/>
        </w:trPr>
        <w:tc>
          <w:tcPr>
            <w:tcW w:w="3294" w:type="dxa"/>
            <w:gridSpan w:val="2"/>
          </w:tcPr>
          <w:p w:rsidR="0002685B" w:rsidRPr="00997765" w:rsidRDefault="0002685B" w:rsidP="0002685B">
            <w:pPr>
              <w:keepNext/>
              <w:spacing w:after="60"/>
              <w:ind w:left="-108"/>
              <w:jc w:val="both"/>
              <w:rPr>
                <w:rFonts w:ascii="Arial Narrow" w:hAnsi="Arial Narrow" w:cs="Arial"/>
                <w:smallCaps/>
                <w:sz w:val="20"/>
                <w:szCs w:val="20"/>
              </w:rPr>
            </w:pPr>
            <w:r w:rsidRPr="00997765">
              <w:rPr>
                <w:rFonts w:ascii="Arial Narrow" w:hAnsi="Arial Narrow" w:cs="Arial"/>
                <w:sz w:val="20"/>
                <w:szCs w:val="20"/>
              </w:rPr>
              <w:t>2</w:t>
            </w:r>
            <w:r w:rsidR="004D6A66" w:rsidRPr="00997765">
              <w:rPr>
                <w:rFonts w:ascii="Arial Narrow" w:hAnsi="Arial Narrow" w:cs="Arial"/>
                <w:sz w:val="20"/>
                <w:szCs w:val="20"/>
              </w:rPr>
              <w:t>0 mg</w:t>
            </w:r>
            <w:r w:rsidRPr="00997765">
              <w:rPr>
                <w:rFonts w:ascii="Arial Narrow" w:hAnsi="Arial Narrow" w:cs="Arial"/>
                <w:sz w:val="20"/>
                <w:szCs w:val="20"/>
              </w:rPr>
              <w:t>/0.4</w:t>
            </w:r>
            <w:r w:rsidR="005B2D76" w:rsidRPr="00997765">
              <w:rPr>
                <w:rFonts w:ascii="Arial Narrow" w:hAnsi="Arial Narrow" w:cs="Arial"/>
                <w:sz w:val="20"/>
                <w:szCs w:val="20"/>
              </w:rPr>
              <w:t> </w:t>
            </w:r>
            <w:r w:rsidRPr="00997765">
              <w:rPr>
                <w:rFonts w:ascii="Arial Narrow" w:hAnsi="Arial Narrow" w:cs="Arial"/>
                <w:sz w:val="20"/>
                <w:szCs w:val="20"/>
              </w:rPr>
              <w:t>mL injection, 1 x 0.4</w:t>
            </w:r>
            <w:r w:rsidR="005B2D76" w:rsidRPr="00997765">
              <w:rPr>
                <w:rFonts w:ascii="Arial Narrow" w:hAnsi="Arial Narrow" w:cs="Arial"/>
                <w:sz w:val="20"/>
                <w:szCs w:val="20"/>
              </w:rPr>
              <w:t> </w:t>
            </w:r>
            <w:r w:rsidRPr="00997765">
              <w:rPr>
                <w:rFonts w:ascii="Arial Narrow" w:hAnsi="Arial Narrow" w:cs="Arial"/>
                <w:sz w:val="20"/>
                <w:szCs w:val="20"/>
              </w:rPr>
              <w:t xml:space="preserve">mL syringe </w:t>
            </w:r>
          </w:p>
        </w:tc>
        <w:tc>
          <w:tcPr>
            <w:tcW w:w="567" w:type="dxa"/>
          </w:tcPr>
          <w:p w:rsidR="0002685B" w:rsidRPr="00997765" w:rsidRDefault="0002685B" w:rsidP="0002685B">
            <w:pPr>
              <w:keepNext/>
              <w:spacing w:after="60"/>
              <w:jc w:val="both"/>
              <w:rPr>
                <w:rFonts w:ascii="Arial Narrow" w:hAnsi="Arial Narrow" w:cs="Arial"/>
                <w:sz w:val="20"/>
                <w:szCs w:val="20"/>
              </w:rPr>
            </w:pPr>
            <w:r w:rsidRPr="00997765">
              <w:rPr>
                <w:rFonts w:ascii="Arial Narrow" w:hAnsi="Arial Narrow" w:cs="Arial"/>
                <w:sz w:val="20"/>
                <w:szCs w:val="20"/>
              </w:rPr>
              <w:t>4</w:t>
            </w:r>
          </w:p>
        </w:tc>
        <w:tc>
          <w:tcPr>
            <w:tcW w:w="567" w:type="dxa"/>
          </w:tcPr>
          <w:p w:rsidR="0002685B" w:rsidRPr="00997765" w:rsidRDefault="0002685B" w:rsidP="0002685B">
            <w:pPr>
              <w:keepNext/>
              <w:spacing w:after="60"/>
              <w:jc w:val="both"/>
              <w:rPr>
                <w:rFonts w:ascii="Arial Narrow" w:hAnsi="Arial Narrow" w:cs="Arial"/>
                <w:sz w:val="20"/>
                <w:szCs w:val="20"/>
              </w:rPr>
            </w:pPr>
            <w:r w:rsidRPr="00997765">
              <w:rPr>
                <w:rFonts w:ascii="Arial Narrow" w:hAnsi="Arial Narrow" w:cs="Arial"/>
                <w:sz w:val="20"/>
                <w:szCs w:val="20"/>
              </w:rPr>
              <w:t>5</w:t>
            </w:r>
          </w:p>
        </w:tc>
        <w:tc>
          <w:tcPr>
            <w:tcW w:w="1134" w:type="dxa"/>
          </w:tcPr>
          <w:p w:rsidR="0002685B" w:rsidRPr="00997765" w:rsidRDefault="0002685B" w:rsidP="0002685B">
            <w:pPr>
              <w:keepNext/>
              <w:spacing w:after="60"/>
              <w:ind w:left="-108"/>
              <w:jc w:val="center"/>
              <w:rPr>
                <w:rFonts w:ascii="Arial Narrow" w:hAnsi="Arial Narrow" w:cs="Arial"/>
                <w:sz w:val="20"/>
                <w:szCs w:val="20"/>
              </w:rPr>
            </w:pPr>
            <w:r w:rsidRPr="00997765">
              <w:rPr>
                <w:rFonts w:ascii="Arial Narrow" w:hAnsi="Arial Narrow" w:cs="Arial"/>
                <w:sz w:val="20"/>
                <w:szCs w:val="20"/>
              </w:rPr>
              <w:t>$</w:t>
            </w:r>
            <w:r w:rsidR="00360D24">
              <w:rPr>
                <w:rFonts w:ascii="Arial Narrow" w:hAnsi="Arial Narrow" w:cs="Arial"/>
                <w:noProof/>
                <w:color w:val="000000"/>
                <w:sz w:val="20"/>
                <w:szCs w:val="20"/>
                <w:highlight w:val="black"/>
              </w:rPr>
              <w:t>'''''''''''''''''</w:t>
            </w:r>
          </w:p>
        </w:tc>
        <w:tc>
          <w:tcPr>
            <w:tcW w:w="959" w:type="dxa"/>
          </w:tcPr>
          <w:p w:rsidR="0002685B" w:rsidRPr="00997765" w:rsidRDefault="0002685B" w:rsidP="0002685B">
            <w:pPr>
              <w:keepNext/>
              <w:spacing w:after="60"/>
              <w:jc w:val="both"/>
              <w:rPr>
                <w:rFonts w:ascii="Arial Narrow" w:hAnsi="Arial Narrow" w:cs="Arial"/>
                <w:sz w:val="20"/>
                <w:szCs w:val="20"/>
                <w:vertAlign w:val="superscript"/>
              </w:rPr>
            </w:pPr>
          </w:p>
        </w:tc>
        <w:tc>
          <w:tcPr>
            <w:tcW w:w="1842" w:type="dxa"/>
          </w:tcPr>
          <w:p w:rsidR="0002685B" w:rsidRPr="00997765" w:rsidRDefault="0002685B" w:rsidP="0002685B">
            <w:pPr>
              <w:keepNext/>
              <w:spacing w:after="60"/>
              <w:rPr>
                <w:rFonts w:ascii="Arial Narrow" w:hAnsi="Arial Narrow" w:cs="Arial"/>
                <w:sz w:val="20"/>
                <w:szCs w:val="20"/>
              </w:rPr>
            </w:pPr>
          </w:p>
        </w:tc>
      </w:tr>
      <w:tr w:rsidR="0002685B" w:rsidRPr="00997765" w:rsidTr="0002685B">
        <w:trPr>
          <w:cantSplit/>
        </w:trPr>
        <w:tc>
          <w:tcPr>
            <w:tcW w:w="3294" w:type="dxa"/>
            <w:gridSpan w:val="2"/>
          </w:tcPr>
          <w:p w:rsidR="0002685B" w:rsidRPr="00997765" w:rsidRDefault="0002685B" w:rsidP="0002685B">
            <w:pPr>
              <w:keepNext/>
              <w:ind w:left="-108"/>
              <w:jc w:val="both"/>
              <w:rPr>
                <w:rFonts w:ascii="Arial Narrow" w:hAnsi="Arial Narrow" w:cs="Arial"/>
                <w:smallCaps/>
                <w:sz w:val="20"/>
                <w:szCs w:val="20"/>
              </w:rPr>
            </w:pPr>
            <w:r w:rsidRPr="00997765">
              <w:rPr>
                <w:rFonts w:ascii="Arial Narrow" w:hAnsi="Arial Narrow" w:cs="Arial"/>
                <w:sz w:val="20"/>
                <w:szCs w:val="20"/>
              </w:rPr>
              <w:t>2</w:t>
            </w:r>
            <w:r w:rsidR="004D6A66" w:rsidRPr="00997765">
              <w:rPr>
                <w:rFonts w:ascii="Arial Narrow" w:hAnsi="Arial Narrow" w:cs="Arial"/>
                <w:sz w:val="20"/>
                <w:szCs w:val="20"/>
              </w:rPr>
              <w:t>5 mg</w:t>
            </w:r>
            <w:r w:rsidRPr="00997765">
              <w:rPr>
                <w:rFonts w:ascii="Arial Narrow" w:hAnsi="Arial Narrow" w:cs="Arial"/>
                <w:sz w:val="20"/>
                <w:szCs w:val="20"/>
              </w:rPr>
              <w:t>/0.5</w:t>
            </w:r>
            <w:r w:rsidR="005B2D76" w:rsidRPr="00997765">
              <w:rPr>
                <w:rFonts w:ascii="Arial Narrow" w:hAnsi="Arial Narrow" w:cs="Arial"/>
                <w:sz w:val="20"/>
                <w:szCs w:val="20"/>
              </w:rPr>
              <w:t> </w:t>
            </w:r>
            <w:r w:rsidRPr="00997765">
              <w:rPr>
                <w:rFonts w:ascii="Arial Narrow" w:hAnsi="Arial Narrow" w:cs="Arial"/>
                <w:sz w:val="20"/>
                <w:szCs w:val="20"/>
              </w:rPr>
              <w:t>mL injection, 1 x 0.5</w:t>
            </w:r>
            <w:r w:rsidR="005B2D76" w:rsidRPr="00997765">
              <w:rPr>
                <w:rFonts w:ascii="Arial Narrow" w:hAnsi="Arial Narrow" w:cs="Arial"/>
                <w:sz w:val="20"/>
                <w:szCs w:val="20"/>
              </w:rPr>
              <w:t> </w:t>
            </w:r>
            <w:r w:rsidRPr="00997765">
              <w:rPr>
                <w:rFonts w:ascii="Arial Narrow" w:hAnsi="Arial Narrow" w:cs="Arial"/>
                <w:sz w:val="20"/>
                <w:szCs w:val="20"/>
              </w:rPr>
              <w:t xml:space="preserve">mL syringe </w:t>
            </w:r>
          </w:p>
        </w:tc>
        <w:tc>
          <w:tcPr>
            <w:tcW w:w="567" w:type="dxa"/>
          </w:tcPr>
          <w:p w:rsidR="0002685B" w:rsidRPr="00997765" w:rsidRDefault="0002685B" w:rsidP="0002685B">
            <w:pPr>
              <w:keepNext/>
              <w:jc w:val="both"/>
              <w:rPr>
                <w:rFonts w:ascii="Arial Narrow" w:hAnsi="Arial Narrow" w:cs="Arial"/>
                <w:sz w:val="20"/>
                <w:szCs w:val="20"/>
              </w:rPr>
            </w:pPr>
            <w:r w:rsidRPr="00997765">
              <w:rPr>
                <w:rFonts w:ascii="Arial Narrow" w:hAnsi="Arial Narrow" w:cs="Arial"/>
                <w:sz w:val="20"/>
                <w:szCs w:val="20"/>
              </w:rPr>
              <w:t>4</w:t>
            </w:r>
          </w:p>
        </w:tc>
        <w:tc>
          <w:tcPr>
            <w:tcW w:w="567" w:type="dxa"/>
          </w:tcPr>
          <w:p w:rsidR="0002685B" w:rsidRPr="00997765" w:rsidRDefault="0002685B" w:rsidP="0002685B">
            <w:pPr>
              <w:keepNext/>
              <w:jc w:val="both"/>
              <w:rPr>
                <w:rFonts w:ascii="Arial Narrow" w:hAnsi="Arial Narrow" w:cs="Arial"/>
                <w:sz w:val="20"/>
                <w:szCs w:val="20"/>
              </w:rPr>
            </w:pPr>
            <w:r w:rsidRPr="00997765">
              <w:rPr>
                <w:rFonts w:ascii="Arial Narrow" w:hAnsi="Arial Narrow" w:cs="Arial"/>
                <w:sz w:val="20"/>
                <w:szCs w:val="20"/>
              </w:rPr>
              <w:t>5</w:t>
            </w:r>
          </w:p>
        </w:tc>
        <w:tc>
          <w:tcPr>
            <w:tcW w:w="1134" w:type="dxa"/>
          </w:tcPr>
          <w:p w:rsidR="0002685B" w:rsidRPr="00997765" w:rsidRDefault="0002685B" w:rsidP="0002685B">
            <w:pPr>
              <w:keepNext/>
              <w:ind w:left="-108"/>
              <w:jc w:val="center"/>
              <w:rPr>
                <w:rFonts w:ascii="Arial Narrow" w:hAnsi="Arial Narrow" w:cs="Arial"/>
                <w:sz w:val="20"/>
                <w:szCs w:val="20"/>
              </w:rPr>
            </w:pPr>
            <w:r w:rsidRPr="00997765">
              <w:rPr>
                <w:rFonts w:ascii="Arial Narrow" w:hAnsi="Arial Narrow" w:cs="Arial"/>
                <w:sz w:val="20"/>
                <w:szCs w:val="20"/>
              </w:rPr>
              <w:t>$</w:t>
            </w:r>
            <w:r w:rsidR="00360D24">
              <w:rPr>
                <w:rFonts w:ascii="Arial Narrow" w:hAnsi="Arial Narrow" w:cs="Arial"/>
                <w:noProof/>
                <w:color w:val="000000"/>
                <w:sz w:val="20"/>
                <w:szCs w:val="20"/>
                <w:highlight w:val="black"/>
              </w:rPr>
              <w:t>''''''''''''''''''</w:t>
            </w:r>
          </w:p>
        </w:tc>
        <w:tc>
          <w:tcPr>
            <w:tcW w:w="959" w:type="dxa"/>
          </w:tcPr>
          <w:p w:rsidR="0002685B" w:rsidRPr="00997765" w:rsidRDefault="0002685B" w:rsidP="0002685B">
            <w:pPr>
              <w:keepNext/>
              <w:jc w:val="both"/>
              <w:rPr>
                <w:rFonts w:ascii="Arial Narrow" w:hAnsi="Arial Narrow" w:cs="Arial"/>
                <w:sz w:val="20"/>
                <w:szCs w:val="20"/>
                <w:vertAlign w:val="superscript"/>
              </w:rPr>
            </w:pPr>
          </w:p>
        </w:tc>
        <w:tc>
          <w:tcPr>
            <w:tcW w:w="1842" w:type="dxa"/>
          </w:tcPr>
          <w:p w:rsidR="0002685B" w:rsidRPr="00997765" w:rsidRDefault="0002685B" w:rsidP="0002685B">
            <w:pPr>
              <w:keepNext/>
              <w:rPr>
                <w:rFonts w:ascii="Arial Narrow" w:hAnsi="Arial Narrow" w:cs="Arial"/>
                <w:sz w:val="20"/>
                <w:szCs w:val="20"/>
              </w:rPr>
            </w:pPr>
          </w:p>
        </w:tc>
      </w:tr>
      <w:tr w:rsidR="0002685B" w:rsidRPr="00997765" w:rsidTr="00086B75">
        <w:trPr>
          <w:cantSplit/>
          <w:trHeight w:val="360"/>
        </w:trPr>
        <w:tc>
          <w:tcPr>
            <w:tcW w:w="8363" w:type="dxa"/>
            <w:gridSpan w:val="7"/>
            <w:tcBorders>
              <w:bottom w:val="single" w:sz="4" w:space="0" w:color="auto"/>
            </w:tcBorders>
          </w:tcPr>
          <w:p w:rsidR="0002685B" w:rsidRPr="00997765" w:rsidRDefault="0002685B" w:rsidP="0002685B">
            <w:pPr>
              <w:jc w:val="both"/>
              <w:rPr>
                <w:rFonts w:ascii="Arial Narrow" w:hAnsi="Arial Narrow" w:cs="Arial"/>
                <w:sz w:val="20"/>
                <w:szCs w:val="20"/>
              </w:rPr>
            </w:pP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 xml:space="preserve">Category / </w:t>
            </w:r>
          </w:p>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GENERAL – General Schedule (Code GE)</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fldChar w:fldCharType="begin">
                <w:ffData>
                  <w:name w:val="Check1"/>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 xml:space="preserve">Dental  </w:t>
            </w:r>
            <w:r w:rsidRPr="00997765">
              <w:rPr>
                <w:rFonts w:ascii="Arial Narrow" w:hAnsi="Arial Narrow" w:cs="Arial"/>
                <w:sz w:val="20"/>
                <w:szCs w:val="20"/>
              </w:rPr>
              <w:fldChar w:fldCharType="begin">
                <w:ffData>
                  <w:name w:val=""/>
                  <w:enabled/>
                  <w:calcOnExit w:val="0"/>
                  <w:checkBox>
                    <w:sizeAuto/>
                    <w:default w:val="1"/>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 xml:space="preserve">Medical Practitioners  </w:t>
            </w:r>
            <w:r w:rsidRPr="00997765">
              <w:rPr>
                <w:rFonts w:ascii="Arial Narrow" w:hAnsi="Arial Narrow" w:cs="Arial"/>
                <w:sz w:val="20"/>
                <w:szCs w:val="20"/>
              </w:rPr>
              <w:fldChar w:fldCharType="begin">
                <w:ffData>
                  <w:name w:val="Check3"/>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 xml:space="preserve">Nurse practitioners  </w:t>
            </w:r>
            <w:r w:rsidRPr="00997765">
              <w:rPr>
                <w:rFonts w:ascii="Arial Narrow" w:hAnsi="Arial Narrow" w:cs="Arial"/>
                <w:sz w:val="20"/>
                <w:szCs w:val="20"/>
              </w:rPr>
              <w:fldChar w:fldCharType="begin">
                <w:ffData>
                  <w:name w:val=""/>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Optometrists</w:t>
            </w:r>
          </w:p>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fldChar w:fldCharType="begin">
                <w:ffData>
                  <w:name w:val="Check5"/>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Midwives</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proofErr w:type="spellStart"/>
            <w:r w:rsidRPr="00997765">
              <w:rPr>
                <w:rFonts w:ascii="Arial Narrow" w:hAnsi="Arial Narrow" w:cs="Arial"/>
                <w:b/>
                <w:sz w:val="20"/>
                <w:szCs w:val="20"/>
              </w:rPr>
              <w:t>Episodicity</w:t>
            </w:r>
            <w:proofErr w:type="spellEnd"/>
            <w:r w:rsidRPr="00997765">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Chronic treatment</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Severe, recalcitrant, active</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 xml:space="preserve">Rheumatoid arthritis </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For the treatment of rheumatoid arthritis when the oral tablet form of methotrexate is unsuitable</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 xml:space="preserve">Initial and continuing </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Restriction Level / Method:</w:t>
            </w:r>
          </w:p>
          <w:p w:rsidR="0002685B" w:rsidRPr="00997765" w:rsidRDefault="0002685B" w:rsidP="0002685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fldChar w:fldCharType="begin">
                <w:ffData>
                  <w:name w:val="Check1"/>
                  <w:enabled/>
                  <w:calcOnExit w:val="0"/>
                  <w:checkBox>
                    <w:sizeAuto/>
                    <w:default w:val="1"/>
                  </w:checkBox>
                </w:ffData>
              </w:fldChar>
            </w:r>
            <w:bookmarkStart w:id="0" w:name="Check1"/>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bookmarkEnd w:id="0"/>
            <w:r w:rsidRPr="00997765">
              <w:rPr>
                <w:rFonts w:ascii="Arial Narrow" w:hAnsi="Arial Narrow" w:cs="Arial"/>
                <w:sz w:val="20"/>
                <w:szCs w:val="20"/>
              </w:rPr>
              <w:t>Restricted benefit</w:t>
            </w:r>
          </w:p>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fldChar w:fldCharType="begin">
                <w:ffData>
                  <w:name w:val=""/>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Authority Required - In Writing</w:t>
            </w:r>
          </w:p>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fldChar w:fldCharType="begin">
                <w:ffData>
                  <w:name w:val="Check3"/>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Authority Required - Telephone</w:t>
            </w:r>
          </w:p>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fldChar w:fldCharType="begin">
                <w:ffData>
                  <w:name w:val=""/>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Authority Required – Emergency</w:t>
            </w:r>
          </w:p>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fldChar w:fldCharType="begin">
                <w:ffData>
                  <w:name w:val="Check5"/>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Authority Required - Electronic</w:t>
            </w:r>
          </w:p>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fldChar w:fldCharType="begin">
                <w:ffData>
                  <w:name w:val="Check5"/>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Streamlined</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 xml:space="preserve">The condition must not be responding to, or intolerant of, an adequate trial of NSAIDs and one or more disease modifying drugs </w:t>
            </w:r>
          </w:p>
        </w:tc>
      </w:tr>
      <w:tr w:rsidR="0002685B"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02685B" w:rsidRPr="00997765" w:rsidRDefault="0002685B" w:rsidP="0002685B">
            <w:pPr>
              <w:jc w:val="both"/>
              <w:rPr>
                <w:rFonts w:ascii="Arial Narrow" w:hAnsi="Arial Narrow" w:cs="Arial"/>
                <w:b/>
                <w:sz w:val="20"/>
                <w:szCs w:val="20"/>
              </w:rPr>
            </w:pPr>
            <w:r w:rsidRPr="00997765">
              <w:rPr>
                <w:rFonts w:ascii="Arial Narrow" w:hAnsi="Arial Narrow" w:cs="Arial"/>
                <w:b/>
                <w:sz w:val="20"/>
                <w:szCs w:val="20"/>
              </w:rPr>
              <w:t>Population criteria:</w:t>
            </w:r>
          </w:p>
          <w:p w:rsidR="0002685B" w:rsidRPr="00997765" w:rsidRDefault="0002685B" w:rsidP="0002685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The patient must be adult.</w:t>
            </w:r>
          </w:p>
          <w:p w:rsidR="0002685B" w:rsidRPr="00997765" w:rsidRDefault="0002685B" w:rsidP="0002685B">
            <w:pPr>
              <w:rPr>
                <w:rFonts w:ascii="Arial Narrow" w:hAnsi="Arial Narrow" w:cs="Arial"/>
                <w:sz w:val="20"/>
                <w:szCs w:val="20"/>
              </w:rPr>
            </w:pPr>
            <w:r w:rsidRPr="00997765">
              <w:rPr>
                <w:rFonts w:ascii="Arial Narrow" w:hAnsi="Arial Narrow" w:cs="Arial"/>
                <w:sz w:val="20"/>
                <w:szCs w:val="20"/>
              </w:rPr>
              <w:t>The solid dose form of methotrexate must be unsuitable for the patient.</w:t>
            </w:r>
          </w:p>
        </w:tc>
      </w:tr>
    </w:tbl>
    <w:p w:rsidR="002666A5" w:rsidRPr="00997765" w:rsidRDefault="002666A5" w:rsidP="002666A5">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6378"/>
      </w:tblGrid>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 xml:space="preserve">Category / </w:t>
            </w:r>
          </w:p>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GENERAL – General Schedule (Code GE)</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fldChar w:fldCharType="begin">
                <w:ffData>
                  <w:name w:val="Check1"/>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 xml:space="preserve">Dental  </w:t>
            </w:r>
            <w:r w:rsidRPr="00997765">
              <w:rPr>
                <w:rFonts w:ascii="Arial Narrow" w:hAnsi="Arial Narrow" w:cs="Arial"/>
                <w:sz w:val="20"/>
                <w:szCs w:val="20"/>
              </w:rPr>
              <w:fldChar w:fldCharType="begin">
                <w:ffData>
                  <w:name w:val=""/>
                  <w:enabled/>
                  <w:calcOnExit w:val="0"/>
                  <w:checkBox>
                    <w:sizeAuto/>
                    <w:default w:val="1"/>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 xml:space="preserve">Medical Practitioners  </w:t>
            </w:r>
            <w:r w:rsidRPr="00997765">
              <w:rPr>
                <w:rFonts w:ascii="Arial Narrow" w:hAnsi="Arial Narrow" w:cs="Arial"/>
                <w:sz w:val="20"/>
                <w:szCs w:val="20"/>
              </w:rPr>
              <w:fldChar w:fldCharType="begin">
                <w:ffData>
                  <w:name w:val="Check3"/>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 xml:space="preserve">Nurse practitioners  </w:t>
            </w:r>
            <w:r w:rsidRPr="00997765">
              <w:rPr>
                <w:rFonts w:ascii="Arial Narrow" w:hAnsi="Arial Narrow" w:cs="Arial"/>
                <w:sz w:val="20"/>
                <w:szCs w:val="20"/>
              </w:rPr>
              <w:fldChar w:fldCharType="begin">
                <w:ffData>
                  <w:name w:val=""/>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Optometrists</w:t>
            </w:r>
          </w:p>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fldChar w:fldCharType="begin">
                <w:ffData>
                  <w:name w:val="Check5"/>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Midwives</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proofErr w:type="spellStart"/>
            <w:r w:rsidRPr="00997765">
              <w:rPr>
                <w:rFonts w:ascii="Arial Narrow" w:hAnsi="Arial Narrow" w:cs="Arial"/>
                <w:b/>
                <w:sz w:val="20"/>
                <w:szCs w:val="20"/>
              </w:rPr>
              <w:t>Episodicity</w:t>
            </w:r>
            <w:proofErr w:type="spellEnd"/>
            <w:r w:rsidRPr="00997765">
              <w:rPr>
                <w:rFonts w:ascii="Arial Narrow" w:hAnsi="Arial Narrow" w:cs="Arial"/>
                <w:b/>
                <w:sz w:val="20"/>
                <w:szCs w:val="20"/>
              </w:rPr>
              <w:t>:</w:t>
            </w: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Chronic treatment</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Severity:</w:t>
            </w: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Severe, recalcitrant, disabling</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 xml:space="preserve">Psoriasis </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For the treatment of psoriasis when the oral tablet form of methotrexate is unsuitable</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 xml:space="preserve">Initial and continuing </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Restriction Level / Method:</w:t>
            </w:r>
          </w:p>
          <w:p w:rsidR="002666A5" w:rsidRPr="00997765" w:rsidRDefault="002666A5" w:rsidP="00086B75">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fldChar w:fldCharType="begin">
                <w:ffData>
                  <w:name w:val="Check1"/>
                  <w:enabled/>
                  <w:calcOnExit w:val="0"/>
                  <w:checkBox>
                    <w:sizeAuto/>
                    <w:default w:val="1"/>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Restricted benefit</w:t>
            </w:r>
          </w:p>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fldChar w:fldCharType="begin">
                <w:ffData>
                  <w:name w:val=""/>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Authority Required - In Writing</w:t>
            </w:r>
          </w:p>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fldChar w:fldCharType="begin">
                <w:ffData>
                  <w:name w:val="Check3"/>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Authority Required - Telephone</w:t>
            </w:r>
          </w:p>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fldChar w:fldCharType="begin">
                <w:ffData>
                  <w:name w:val=""/>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Authority Required – Emergency</w:t>
            </w:r>
          </w:p>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fldChar w:fldCharType="begin">
                <w:ffData>
                  <w:name w:val="Check5"/>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Authority Required - Electronic</w:t>
            </w:r>
          </w:p>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fldChar w:fldCharType="begin">
                <w:ffData>
                  <w:name w:val="Check5"/>
                  <w:enabled/>
                  <w:calcOnExit w:val="0"/>
                  <w:checkBox>
                    <w:sizeAuto/>
                    <w:default w:val="0"/>
                  </w:checkBox>
                </w:ffData>
              </w:fldChar>
            </w:r>
            <w:r w:rsidRPr="00997765">
              <w:rPr>
                <w:rFonts w:ascii="Arial Narrow" w:hAnsi="Arial Narrow" w:cs="Arial"/>
                <w:sz w:val="20"/>
                <w:szCs w:val="20"/>
              </w:rPr>
              <w:instrText xml:space="preserve"> FORMCHECKBOX </w:instrText>
            </w:r>
            <w:r w:rsidR="00805FAD">
              <w:rPr>
                <w:rFonts w:ascii="Arial Narrow" w:hAnsi="Arial Narrow" w:cs="Arial"/>
                <w:sz w:val="20"/>
                <w:szCs w:val="20"/>
              </w:rPr>
            </w:r>
            <w:r w:rsidR="00805FAD">
              <w:rPr>
                <w:rFonts w:ascii="Arial Narrow" w:hAnsi="Arial Narrow" w:cs="Arial"/>
                <w:sz w:val="20"/>
                <w:szCs w:val="20"/>
              </w:rPr>
              <w:fldChar w:fldCharType="separate"/>
            </w:r>
            <w:r w:rsidRPr="00997765">
              <w:rPr>
                <w:rFonts w:ascii="Arial Narrow" w:hAnsi="Arial Narrow" w:cs="Arial"/>
                <w:sz w:val="20"/>
                <w:szCs w:val="20"/>
              </w:rPr>
              <w:fldChar w:fldCharType="end"/>
            </w:r>
            <w:r w:rsidRPr="00997765">
              <w:rPr>
                <w:rFonts w:ascii="Arial Narrow" w:hAnsi="Arial Narrow" w:cs="Arial"/>
                <w:sz w:val="20"/>
                <w:szCs w:val="20"/>
              </w:rPr>
              <w:t>Streamlined</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 xml:space="preserve">Patient must have severe, recalcitrant, disabling psoriasis which is not adequately responsive to other forms of treatment </w:t>
            </w:r>
          </w:p>
        </w:tc>
      </w:tr>
      <w:tr w:rsidR="002666A5" w:rsidRPr="00997765" w:rsidTr="00086B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jc w:val="both"/>
              <w:rPr>
                <w:rFonts w:ascii="Arial Narrow" w:hAnsi="Arial Narrow" w:cs="Arial"/>
                <w:b/>
                <w:sz w:val="20"/>
                <w:szCs w:val="20"/>
              </w:rPr>
            </w:pPr>
            <w:r w:rsidRPr="00997765">
              <w:rPr>
                <w:rFonts w:ascii="Arial Narrow" w:hAnsi="Arial Narrow" w:cs="Arial"/>
                <w:b/>
                <w:sz w:val="20"/>
                <w:szCs w:val="20"/>
              </w:rPr>
              <w:t>Population criteria:</w:t>
            </w:r>
          </w:p>
          <w:p w:rsidR="002666A5" w:rsidRPr="00997765" w:rsidRDefault="002666A5" w:rsidP="00086B75">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The patient must be adult.</w:t>
            </w:r>
          </w:p>
          <w:p w:rsidR="002666A5" w:rsidRPr="00997765" w:rsidRDefault="002666A5" w:rsidP="00086B75">
            <w:pPr>
              <w:rPr>
                <w:rFonts w:ascii="Arial Narrow" w:hAnsi="Arial Narrow" w:cs="Arial"/>
                <w:sz w:val="20"/>
                <w:szCs w:val="20"/>
              </w:rPr>
            </w:pPr>
            <w:r w:rsidRPr="00997765">
              <w:rPr>
                <w:rFonts w:ascii="Arial Narrow" w:hAnsi="Arial Narrow" w:cs="Arial"/>
                <w:sz w:val="20"/>
                <w:szCs w:val="20"/>
              </w:rPr>
              <w:t>The solid dose form of methotrexate must be unsuitable for the patient.</w:t>
            </w:r>
          </w:p>
        </w:tc>
      </w:tr>
    </w:tbl>
    <w:p w:rsidR="00BB7EC3" w:rsidRPr="00997765" w:rsidRDefault="00BB7EC3" w:rsidP="00882085">
      <w:pPr>
        <w:jc w:val="both"/>
        <w:rPr>
          <w:rFonts w:ascii="Arial" w:hAnsi="Arial"/>
          <w:b/>
          <w:sz w:val="22"/>
          <w:szCs w:val="22"/>
        </w:rPr>
      </w:pPr>
    </w:p>
    <w:p w:rsidR="0005557F" w:rsidRPr="00997765" w:rsidRDefault="0005557F" w:rsidP="00882085">
      <w:pPr>
        <w:jc w:val="both"/>
        <w:rPr>
          <w:rFonts w:ascii="Arial" w:hAnsi="Arial"/>
          <w:b/>
          <w:sz w:val="22"/>
          <w:szCs w:val="22"/>
        </w:rPr>
      </w:pPr>
    </w:p>
    <w:p w:rsidR="00F27BC8" w:rsidRPr="00997765" w:rsidRDefault="00AB249E" w:rsidP="00AB249E">
      <w:pPr>
        <w:pStyle w:val="ListParagraph"/>
        <w:numPr>
          <w:ilvl w:val="1"/>
          <w:numId w:val="1"/>
        </w:numPr>
        <w:jc w:val="both"/>
        <w:rPr>
          <w:rFonts w:ascii="Arial" w:hAnsi="Arial"/>
          <w:b/>
          <w:sz w:val="22"/>
          <w:szCs w:val="22"/>
        </w:rPr>
      </w:pPr>
      <w:r w:rsidRPr="00997765">
        <w:rPr>
          <w:rFonts w:ascii="Arial" w:hAnsi="Arial"/>
          <w:sz w:val="22"/>
          <w:szCs w:val="22"/>
        </w:rPr>
        <w:t>The Pre-PBAC response acknowledged that parent</w:t>
      </w:r>
      <w:r w:rsidR="00DA51DA" w:rsidRPr="00997765">
        <w:rPr>
          <w:rFonts w:ascii="Arial" w:hAnsi="Arial"/>
          <w:sz w:val="22"/>
          <w:szCs w:val="22"/>
        </w:rPr>
        <w:t>er</w:t>
      </w:r>
      <w:r w:rsidRPr="00997765">
        <w:rPr>
          <w:rFonts w:ascii="Arial" w:hAnsi="Arial"/>
          <w:sz w:val="22"/>
          <w:szCs w:val="22"/>
        </w:rPr>
        <w:t xml:space="preserve">al methotrexate has broad application in medicine and expressed a willingness to discuss the most appropriate restriction level. </w:t>
      </w:r>
    </w:p>
    <w:p w:rsidR="00AB249E" w:rsidRPr="00997765" w:rsidRDefault="00AB249E" w:rsidP="00AB249E">
      <w:pPr>
        <w:pStyle w:val="ListParagraph"/>
        <w:jc w:val="both"/>
        <w:rPr>
          <w:rFonts w:ascii="Arial" w:hAnsi="Arial"/>
          <w:b/>
          <w:sz w:val="22"/>
          <w:szCs w:val="22"/>
        </w:rPr>
      </w:pPr>
    </w:p>
    <w:p w:rsidR="00CE10C4" w:rsidRPr="005E5CFA" w:rsidRDefault="00CE10C4" w:rsidP="005E5CFA">
      <w:pPr>
        <w:pStyle w:val="Heading1"/>
      </w:pPr>
      <w:r w:rsidRPr="005E5CFA">
        <w:t>Background</w:t>
      </w:r>
    </w:p>
    <w:p w:rsidR="006A12A5" w:rsidRPr="00997765" w:rsidRDefault="006A12A5" w:rsidP="00882085">
      <w:pPr>
        <w:jc w:val="both"/>
        <w:rPr>
          <w:rFonts w:ascii="Arial" w:hAnsi="Arial"/>
          <w:sz w:val="22"/>
          <w:szCs w:val="22"/>
        </w:rPr>
      </w:pPr>
    </w:p>
    <w:p w:rsidR="00B06064" w:rsidRPr="00997765" w:rsidRDefault="00B06064" w:rsidP="00FC330F">
      <w:pPr>
        <w:pStyle w:val="ListParagraph"/>
        <w:numPr>
          <w:ilvl w:val="1"/>
          <w:numId w:val="1"/>
        </w:numPr>
        <w:jc w:val="both"/>
        <w:rPr>
          <w:rFonts w:ascii="Arial" w:hAnsi="Arial"/>
          <w:i/>
          <w:sz w:val="22"/>
          <w:szCs w:val="22"/>
        </w:rPr>
      </w:pPr>
      <w:r w:rsidRPr="00997765">
        <w:rPr>
          <w:rFonts w:ascii="Arial" w:hAnsi="Arial"/>
          <w:sz w:val="22"/>
          <w:szCs w:val="22"/>
        </w:rPr>
        <w:t>Methotrexate pre-filled syringe is TGA registered for the following indications:</w:t>
      </w:r>
    </w:p>
    <w:p w:rsidR="00B06064" w:rsidRPr="00997765" w:rsidRDefault="00B06064" w:rsidP="00B06064">
      <w:pPr>
        <w:pStyle w:val="ListParagraph"/>
        <w:jc w:val="both"/>
        <w:rPr>
          <w:rFonts w:ascii="Arial" w:hAnsi="Arial"/>
          <w:i/>
          <w:sz w:val="22"/>
          <w:szCs w:val="22"/>
        </w:rPr>
      </w:pPr>
    </w:p>
    <w:p w:rsidR="00B06064" w:rsidRPr="00997765" w:rsidRDefault="00B06064" w:rsidP="00FC330F">
      <w:pPr>
        <w:pStyle w:val="ListParagraph"/>
        <w:numPr>
          <w:ilvl w:val="0"/>
          <w:numId w:val="4"/>
        </w:numPr>
        <w:jc w:val="both"/>
        <w:rPr>
          <w:rFonts w:ascii="Arial" w:hAnsi="Arial"/>
          <w:sz w:val="22"/>
          <w:szCs w:val="22"/>
        </w:rPr>
      </w:pPr>
      <w:r w:rsidRPr="00997765">
        <w:rPr>
          <w:rFonts w:ascii="Arial" w:hAnsi="Arial"/>
          <w:sz w:val="22"/>
          <w:szCs w:val="22"/>
        </w:rPr>
        <w:t xml:space="preserve">Rheumatoid arthritis therapy: Management of severe, recalcitrant, active rheumatoid arthritis in adults not responding to, or intolerant of, an adequate trial of NSAIDs and one or more disease modifying drugs. </w:t>
      </w:r>
    </w:p>
    <w:p w:rsidR="00B06064" w:rsidRPr="00997765" w:rsidRDefault="00B06064" w:rsidP="00FC330F">
      <w:pPr>
        <w:pStyle w:val="ListParagraph"/>
        <w:numPr>
          <w:ilvl w:val="0"/>
          <w:numId w:val="4"/>
        </w:numPr>
        <w:jc w:val="both"/>
        <w:rPr>
          <w:rFonts w:ascii="Arial" w:hAnsi="Arial"/>
          <w:sz w:val="22"/>
          <w:szCs w:val="22"/>
        </w:rPr>
      </w:pPr>
      <w:r w:rsidRPr="00997765">
        <w:rPr>
          <w:rFonts w:ascii="Arial" w:hAnsi="Arial"/>
          <w:sz w:val="22"/>
          <w:szCs w:val="22"/>
        </w:rPr>
        <w:t xml:space="preserve">Psoriasis therapy: May be of value in the symptomatic control of severe, recalcitrant, disabling psoriasis in adults which is not adequately responsive to other forms of treatment. </w:t>
      </w:r>
    </w:p>
    <w:p w:rsidR="00B06064" w:rsidRPr="00997765" w:rsidRDefault="00B06064" w:rsidP="00B06064">
      <w:pPr>
        <w:jc w:val="both"/>
        <w:rPr>
          <w:rFonts w:ascii="Arial" w:hAnsi="Arial"/>
          <w:sz w:val="22"/>
          <w:szCs w:val="22"/>
        </w:rPr>
      </w:pPr>
    </w:p>
    <w:p w:rsidR="00B06064" w:rsidRPr="00997765" w:rsidRDefault="00B06064" w:rsidP="00FC330F">
      <w:pPr>
        <w:pStyle w:val="ListParagraph"/>
        <w:numPr>
          <w:ilvl w:val="1"/>
          <w:numId w:val="1"/>
        </w:numPr>
        <w:jc w:val="both"/>
        <w:rPr>
          <w:rFonts w:ascii="Arial" w:hAnsi="Arial"/>
          <w:sz w:val="22"/>
          <w:szCs w:val="22"/>
        </w:rPr>
      </w:pPr>
      <w:r w:rsidRPr="00997765">
        <w:rPr>
          <w:rFonts w:ascii="Arial" w:hAnsi="Arial"/>
          <w:sz w:val="22"/>
          <w:szCs w:val="22"/>
        </w:rPr>
        <w:t>Methotrexate pre-filled syringe has not previously been considered by PBAC.</w:t>
      </w:r>
    </w:p>
    <w:p w:rsidR="00B06064" w:rsidRPr="00997765" w:rsidRDefault="00B06064" w:rsidP="000C2EC8">
      <w:pPr>
        <w:ind w:left="720"/>
        <w:jc w:val="both"/>
        <w:rPr>
          <w:rFonts w:ascii="Arial" w:hAnsi="Arial"/>
          <w:i/>
          <w:sz w:val="22"/>
          <w:szCs w:val="22"/>
        </w:rPr>
      </w:pPr>
    </w:p>
    <w:p w:rsidR="00AB249E" w:rsidRPr="00997765" w:rsidRDefault="00594D20" w:rsidP="00AB249E">
      <w:pPr>
        <w:pStyle w:val="ListParagraph"/>
        <w:numPr>
          <w:ilvl w:val="1"/>
          <w:numId w:val="1"/>
        </w:numPr>
        <w:jc w:val="both"/>
        <w:rPr>
          <w:rFonts w:ascii="Arial" w:hAnsi="Arial"/>
          <w:sz w:val="22"/>
          <w:szCs w:val="22"/>
        </w:rPr>
      </w:pPr>
      <w:r w:rsidRPr="00997765">
        <w:rPr>
          <w:rFonts w:ascii="Arial" w:hAnsi="Arial"/>
          <w:sz w:val="22"/>
          <w:szCs w:val="22"/>
        </w:rPr>
        <w:t>M</w:t>
      </w:r>
      <w:r w:rsidR="00F116F8" w:rsidRPr="00997765">
        <w:rPr>
          <w:rFonts w:ascii="Arial" w:hAnsi="Arial"/>
          <w:sz w:val="22"/>
          <w:szCs w:val="22"/>
        </w:rPr>
        <w:t>ethotrexate vials for injection</w:t>
      </w:r>
      <w:r w:rsidRPr="00997765">
        <w:rPr>
          <w:rFonts w:ascii="Arial" w:hAnsi="Arial"/>
          <w:sz w:val="22"/>
          <w:szCs w:val="22"/>
        </w:rPr>
        <w:t>,</w:t>
      </w:r>
      <w:r w:rsidR="00F116F8" w:rsidRPr="00997765">
        <w:rPr>
          <w:rFonts w:ascii="Arial" w:hAnsi="Arial"/>
          <w:sz w:val="22"/>
          <w:szCs w:val="22"/>
        </w:rPr>
        <w:t xml:space="preserve"> </w:t>
      </w:r>
      <w:r w:rsidRPr="00997765">
        <w:rPr>
          <w:rFonts w:ascii="Arial" w:hAnsi="Arial"/>
          <w:sz w:val="22"/>
          <w:szCs w:val="22"/>
        </w:rPr>
        <w:t xml:space="preserve">the nominated comparator, </w:t>
      </w:r>
      <w:r w:rsidR="00F116F8" w:rsidRPr="00997765">
        <w:rPr>
          <w:rFonts w:ascii="Arial" w:hAnsi="Arial"/>
          <w:sz w:val="22"/>
          <w:szCs w:val="22"/>
        </w:rPr>
        <w:t xml:space="preserve">were granted a substantial price increase under the PBS in December 2015 based </w:t>
      </w:r>
      <w:r w:rsidRPr="00997765">
        <w:rPr>
          <w:rFonts w:ascii="Arial" w:hAnsi="Arial"/>
          <w:sz w:val="22"/>
          <w:szCs w:val="22"/>
        </w:rPr>
        <w:t>on an annual PBS price review (ex-manufacturer price</w:t>
      </w:r>
      <w:r w:rsidR="00F116F8" w:rsidRPr="00997765">
        <w:rPr>
          <w:rFonts w:ascii="Arial" w:hAnsi="Arial"/>
          <w:sz w:val="22"/>
          <w:szCs w:val="22"/>
        </w:rPr>
        <w:t xml:space="preserve"> increased from $</w:t>
      </w:r>
      <w:r w:rsidR="00360D24">
        <w:rPr>
          <w:rFonts w:ascii="Arial" w:hAnsi="Arial"/>
          <w:noProof/>
          <w:color w:val="000000"/>
          <w:sz w:val="22"/>
          <w:szCs w:val="22"/>
          <w:highlight w:val="black"/>
        </w:rPr>
        <w:t>'''''''''''''''</w:t>
      </w:r>
      <w:r w:rsidR="00F116F8" w:rsidRPr="00997765">
        <w:rPr>
          <w:rFonts w:ascii="Arial" w:hAnsi="Arial"/>
          <w:sz w:val="22"/>
          <w:szCs w:val="22"/>
        </w:rPr>
        <w:t xml:space="preserve"> to $</w:t>
      </w:r>
      <w:r w:rsidR="00360D24">
        <w:rPr>
          <w:rFonts w:ascii="Arial" w:hAnsi="Arial"/>
          <w:noProof/>
          <w:color w:val="000000"/>
          <w:sz w:val="22"/>
          <w:szCs w:val="22"/>
          <w:highlight w:val="black"/>
        </w:rPr>
        <w:t>'''''''''''''''</w:t>
      </w:r>
      <w:r w:rsidR="00F116F8" w:rsidRPr="00997765">
        <w:rPr>
          <w:rFonts w:ascii="Arial" w:hAnsi="Arial"/>
          <w:sz w:val="22"/>
          <w:szCs w:val="22"/>
        </w:rPr>
        <w:t>).</w:t>
      </w:r>
    </w:p>
    <w:p w:rsidR="00AB249E" w:rsidRPr="00997765" w:rsidRDefault="00AB249E" w:rsidP="00AB249E">
      <w:pPr>
        <w:pStyle w:val="ListParagraph"/>
        <w:rPr>
          <w:rFonts w:ascii="Arial" w:hAnsi="Arial"/>
          <w:sz w:val="22"/>
          <w:szCs w:val="22"/>
        </w:rPr>
      </w:pPr>
    </w:p>
    <w:p w:rsidR="00AB249E" w:rsidRPr="00997765" w:rsidRDefault="00AB249E" w:rsidP="00AB249E">
      <w:pPr>
        <w:pStyle w:val="ListParagraph"/>
        <w:numPr>
          <w:ilvl w:val="1"/>
          <w:numId w:val="1"/>
        </w:numPr>
        <w:jc w:val="both"/>
        <w:rPr>
          <w:rFonts w:ascii="Arial" w:hAnsi="Arial"/>
          <w:sz w:val="22"/>
          <w:szCs w:val="22"/>
        </w:rPr>
      </w:pPr>
      <w:r w:rsidRPr="00997765">
        <w:rPr>
          <w:rFonts w:ascii="Arial" w:hAnsi="Arial"/>
          <w:sz w:val="22"/>
          <w:szCs w:val="22"/>
        </w:rPr>
        <w:t xml:space="preserve">The Pre-PBAC response </w:t>
      </w:r>
      <w:r w:rsidR="006D05DC" w:rsidRPr="00997765">
        <w:rPr>
          <w:rFonts w:ascii="Arial" w:hAnsi="Arial"/>
          <w:sz w:val="22"/>
          <w:szCs w:val="22"/>
        </w:rPr>
        <w:t>noted the price increase of the nominated comparator and presented updated economic analysis</w:t>
      </w:r>
      <w:r w:rsidR="00805FAD">
        <w:rPr>
          <w:rFonts w:ascii="Arial" w:hAnsi="Arial"/>
          <w:sz w:val="22"/>
          <w:szCs w:val="22"/>
        </w:rPr>
        <w:t xml:space="preserve"> and financial estimates.</w:t>
      </w:r>
    </w:p>
    <w:p w:rsidR="00AB249E" w:rsidRPr="00997765" w:rsidRDefault="00AB249E" w:rsidP="00AB249E">
      <w:pPr>
        <w:pStyle w:val="ListParagraph"/>
        <w:rPr>
          <w:rFonts w:ascii="Arial" w:hAnsi="Arial" w:cs="Arial"/>
          <w:i/>
          <w:snapToGrid w:val="0"/>
          <w:sz w:val="22"/>
          <w:szCs w:val="22"/>
          <w:highlight w:val="yellow"/>
          <w:lang w:eastAsia="en-US"/>
        </w:rPr>
      </w:pPr>
    </w:p>
    <w:p w:rsidR="00F27BC8" w:rsidRPr="00997765" w:rsidRDefault="00F27BC8" w:rsidP="00AB249E">
      <w:pPr>
        <w:pStyle w:val="ListParagraph"/>
        <w:jc w:val="both"/>
        <w:rPr>
          <w:rFonts w:ascii="Arial" w:hAnsi="Arial"/>
          <w:sz w:val="22"/>
          <w:szCs w:val="22"/>
        </w:rPr>
      </w:pPr>
      <w:r w:rsidRPr="00997765">
        <w:rPr>
          <w:rFonts w:ascii="Arial" w:hAnsi="Arial" w:cs="Arial"/>
          <w:i/>
          <w:snapToGrid w:val="0"/>
          <w:sz w:val="22"/>
          <w:szCs w:val="22"/>
          <w:lang w:eastAsia="en-US"/>
        </w:rPr>
        <w:t>For more detail on PBAC’s view, see section 7 “PBAC outcome”</w:t>
      </w:r>
    </w:p>
    <w:p w:rsidR="0005557F" w:rsidRPr="00997765" w:rsidRDefault="0005557F" w:rsidP="00F116F8">
      <w:pPr>
        <w:jc w:val="both"/>
        <w:rPr>
          <w:rFonts w:ascii="Arial" w:hAnsi="Arial"/>
          <w:b/>
          <w:sz w:val="22"/>
          <w:szCs w:val="22"/>
        </w:rPr>
      </w:pPr>
    </w:p>
    <w:p w:rsidR="00F27BC8" w:rsidRPr="00997765" w:rsidRDefault="00F27BC8" w:rsidP="00F116F8">
      <w:pPr>
        <w:jc w:val="both"/>
        <w:rPr>
          <w:rFonts w:ascii="Arial" w:hAnsi="Arial"/>
          <w:b/>
          <w:sz w:val="22"/>
          <w:szCs w:val="22"/>
        </w:rPr>
      </w:pPr>
    </w:p>
    <w:p w:rsidR="00CE10C4" w:rsidRPr="005E5CFA" w:rsidRDefault="00CE10C4" w:rsidP="005E5CFA">
      <w:pPr>
        <w:pStyle w:val="Heading1"/>
      </w:pPr>
      <w:r w:rsidRPr="005E5CFA">
        <w:lastRenderedPageBreak/>
        <w:t>Clinical place for the proposed ther</w:t>
      </w:r>
      <w:r w:rsidR="006A12A5" w:rsidRPr="005E5CFA">
        <w:t>apy</w:t>
      </w:r>
    </w:p>
    <w:p w:rsidR="00CE10C4" w:rsidRPr="00997765" w:rsidRDefault="00CE10C4" w:rsidP="00882085">
      <w:pPr>
        <w:jc w:val="both"/>
        <w:rPr>
          <w:rFonts w:ascii="Arial" w:hAnsi="Arial"/>
          <w:sz w:val="22"/>
          <w:szCs w:val="22"/>
        </w:rPr>
      </w:pPr>
    </w:p>
    <w:p w:rsidR="006F2D79" w:rsidRPr="00997765" w:rsidRDefault="00C73D83" w:rsidP="00FC330F">
      <w:pPr>
        <w:pStyle w:val="ListParagraph"/>
        <w:numPr>
          <w:ilvl w:val="1"/>
          <w:numId w:val="1"/>
        </w:numPr>
        <w:jc w:val="both"/>
        <w:rPr>
          <w:rFonts w:ascii="Arial" w:hAnsi="Arial"/>
          <w:sz w:val="22"/>
          <w:szCs w:val="22"/>
        </w:rPr>
      </w:pPr>
      <w:r w:rsidRPr="00997765">
        <w:rPr>
          <w:rFonts w:ascii="Arial" w:hAnsi="Arial"/>
          <w:sz w:val="22"/>
          <w:szCs w:val="22"/>
        </w:rPr>
        <w:t xml:space="preserve">Rheumatoid arthritis is a chronic, inflammatory condition that primarily affects </w:t>
      </w:r>
      <w:r w:rsidR="00494A3A">
        <w:rPr>
          <w:rFonts w:ascii="Arial" w:hAnsi="Arial"/>
          <w:sz w:val="22"/>
          <w:szCs w:val="22"/>
        </w:rPr>
        <w:t xml:space="preserve">synovial </w:t>
      </w:r>
      <w:r w:rsidR="00494A3A" w:rsidRPr="00997765">
        <w:rPr>
          <w:rFonts w:ascii="Arial" w:hAnsi="Arial"/>
          <w:sz w:val="22"/>
          <w:szCs w:val="22"/>
        </w:rPr>
        <w:t>joints</w:t>
      </w:r>
      <w:r w:rsidRPr="00997765">
        <w:rPr>
          <w:rFonts w:ascii="Arial" w:hAnsi="Arial"/>
          <w:sz w:val="22"/>
          <w:szCs w:val="22"/>
        </w:rPr>
        <w:t>. Symptoms develop gradually and may include joint pain, stiffness and swelling. Severe rheumatoid arthritis may cause progressive joint destruction with different grades of deformity and functional disability.</w:t>
      </w:r>
    </w:p>
    <w:p w:rsidR="006F2D79" w:rsidRPr="00997765" w:rsidRDefault="006F2D79" w:rsidP="006F2D79">
      <w:pPr>
        <w:pStyle w:val="ListParagraph"/>
        <w:jc w:val="both"/>
        <w:rPr>
          <w:rFonts w:ascii="Arial" w:hAnsi="Arial"/>
          <w:sz w:val="22"/>
          <w:szCs w:val="22"/>
        </w:rPr>
      </w:pPr>
    </w:p>
    <w:p w:rsidR="006A12A5" w:rsidRPr="00997765" w:rsidRDefault="00E63506" w:rsidP="00FC330F">
      <w:pPr>
        <w:pStyle w:val="ListParagraph"/>
        <w:numPr>
          <w:ilvl w:val="1"/>
          <w:numId w:val="1"/>
        </w:numPr>
        <w:jc w:val="both"/>
        <w:rPr>
          <w:rFonts w:ascii="Arial" w:hAnsi="Arial"/>
          <w:sz w:val="22"/>
          <w:szCs w:val="22"/>
        </w:rPr>
      </w:pPr>
      <w:r w:rsidRPr="00997765">
        <w:rPr>
          <w:rFonts w:ascii="Arial" w:hAnsi="Arial"/>
          <w:sz w:val="22"/>
          <w:szCs w:val="22"/>
        </w:rPr>
        <w:t xml:space="preserve">Psoriasis is a chronic, inflammatory skin disorder typically characterised by patches of red, itchy and scaly skin. Severity can range from a few isolated plaques to widespread inflammation with pustules and systemic symptoms. </w:t>
      </w:r>
    </w:p>
    <w:p w:rsidR="00C35996" w:rsidRPr="00997765" w:rsidRDefault="00C35996" w:rsidP="00882085">
      <w:pPr>
        <w:pStyle w:val="ListParagraph"/>
        <w:jc w:val="both"/>
        <w:rPr>
          <w:rFonts w:ascii="Arial" w:hAnsi="Arial"/>
          <w:sz w:val="22"/>
          <w:szCs w:val="22"/>
        </w:rPr>
      </w:pPr>
    </w:p>
    <w:p w:rsidR="006F2D79" w:rsidRPr="00997765" w:rsidRDefault="006F2D79" w:rsidP="00FC330F">
      <w:pPr>
        <w:pStyle w:val="ListParagraph"/>
        <w:numPr>
          <w:ilvl w:val="1"/>
          <w:numId w:val="1"/>
        </w:numPr>
        <w:jc w:val="both"/>
        <w:rPr>
          <w:rFonts w:ascii="Arial" w:hAnsi="Arial"/>
          <w:sz w:val="22"/>
          <w:szCs w:val="22"/>
        </w:rPr>
      </w:pPr>
      <w:r w:rsidRPr="00997765">
        <w:rPr>
          <w:rFonts w:ascii="Arial" w:hAnsi="Arial"/>
          <w:sz w:val="22"/>
          <w:szCs w:val="22"/>
        </w:rPr>
        <w:t>The submission positioned methotrexate pre-filled syringe</w:t>
      </w:r>
      <w:r w:rsidR="00DA51DA" w:rsidRPr="00997765">
        <w:rPr>
          <w:rFonts w:ascii="Arial" w:hAnsi="Arial"/>
          <w:sz w:val="22"/>
          <w:szCs w:val="22"/>
        </w:rPr>
        <w:t>s</w:t>
      </w:r>
      <w:r w:rsidRPr="00997765">
        <w:rPr>
          <w:rFonts w:ascii="Arial" w:hAnsi="Arial"/>
          <w:sz w:val="22"/>
          <w:szCs w:val="22"/>
        </w:rPr>
        <w:t xml:space="preserve"> as an alternative to other parenteral methotrexate formulations for patients in whom the oral tablet formulation </w:t>
      </w:r>
      <w:r w:rsidR="00DA51DA" w:rsidRPr="00997765">
        <w:rPr>
          <w:rFonts w:ascii="Arial" w:hAnsi="Arial"/>
          <w:sz w:val="22"/>
          <w:szCs w:val="22"/>
        </w:rPr>
        <w:t>wa</w:t>
      </w:r>
      <w:r w:rsidRPr="00997765">
        <w:rPr>
          <w:rFonts w:ascii="Arial" w:hAnsi="Arial"/>
          <w:sz w:val="22"/>
          <w:szCs w:val="22"/>
        </w:rPr>
        <w:t>s unsuitable</w:t>
      </w:r>
      <w:r w:rsidR="0042346A" w:rsidRPr="00997765">
        <w:rPr>
          <w:rFonts w:ascii="Arial" w:hAnsi="Arial"/>
          <w:sz w:val="22"/>
          <w:szCs w:val="22"/>
        </w:rPr>
        <w:t xml:space="preserve"> (p 19-20 of the submission)</w:t>
      </w:r>
      <w:r w:rsidRPr="00997765">
        <w:rPr>
          <w:rFonts w:ascii="Arial" w:hAnsi="Arial"/>
          <w:sz w:val="22"/>
          <w:szCs w:val="22"/>
        </w:rPr>
        <w:t>.</w:t>
      </w:r>
    </w:p>
    <w:p w:rsidR="00A4074E" w:rsidRPr="00997765" w:rsidRDefault="00A4074E" w:rsidP="00A4074E">
      <w:pPr>
        <w:pStyle w:val="ListParagraph"/>
        <w:rPr>
          <w:rFonts w:ascii="Arial" w:hAnsi="Arial"/>
          <w:sz w:val="22"/>
          <w:szCs w:val="22"/>
        </w:rPr>
      </w:pPr>
    </w:p>
    <w:p w:rsidR="00A4074E" w:rsidRPr="00997765" w:rsidRDefault="00A4074E" w:rsidP="00FC330F">
      <w:pPr>
        <w:pStyle w:val="ListParagraph"/>
        <w:numPr>
          <w:ilvl w:val="1"/>
          <w:numId w:val="1"/>
        </w:numPr>
        <w:jc w:val="both"/>
        <w:rPr>
          <w:rFonts w:ascii="Arial" w:hAnsi="Arial"/>
          <w:sz w:val="22"/>
          <w:szCs w:val="22"/>
        </w:rPr>
      </w:pPr>
      <w:r w:rsidRPr="00997765">
        <w:rPr>
          <w:rFonts w:ascii="Arial" w:hAnsi="Arial"/>
          <w:sz w:val="22"/>
          <w:szCs w:val="22"/>
        </w:rPr>
        <w:t xml:space="preserve">The </w:t>
      </w:r>
      <w:r w:rsidR="005D7C69" w:rsidRPr="00997765">
        <w:rPr>
          <w:rFonts w:ascii="Arial" w:hAnsi="Arial"/>
          <w:sz w:val="22"/>
          <w:szCs w:val="22"/>
        </w:rPr>
        <w:t>submission stated</w:t>
      </w:r>
      <w:r w:rsidRPr="00997765">
        <w:rPr>
          <w:rFonts w:ascii="Arial" w:hAnsi="Arial"/>
          <w:sz w:val="22"/>
          <w:szCs w:val="22"/>
        </w:rPr>
        <w:t xml:space="preserve"> that </w:t>
      </w:r>
      <w:r w:rsidR="00D75304" w:rsidRPr="00997765">
        <w:rPr>
          <w:rFonts w:ascii="Arial" w:hAnsi="Arial"/>
          <w:sz w:val="22"/>
          <w:szCs w:val="22"/>
        </w:rPr>
        <w:t xml:space="preserve">patients may </w:t>
      </w:r>
      <w:r w:rsidRPr="00997765">
        <w:rPr>
          <w:rFonts w:ascii="Arial" w:hAnsi="Arial"/>
          <w:sz w:val="22"/>
          <w:szCs w:val="22"/>
        </w:rPr>
        <w:t xml:space="preserve">switch from oral to parenteral formulations </w:t>
      </w:r>
      <w:r w:rsidR="00D75304" w:rsidRPr="00997765">
        <w:rPr>
          <w:rFonts w:ascii="Arial" w:hAnsi="Arial"/>
          <w:sz w:val="22"/>
          <w:szCs w:val="22"/>
        </w:rPr>
        <w:t>for a variety of reasons including</w:t>
      </w:r>
      <w:r w:rsidRPr="00997765">
        <w:rPr>
          <w:rFonts w:ascii="Arial" w:hAnsi="Arial"/>
          <w:sz w:val="22"/>
          <w:szCs w:val="22"/>
        </w:rPr>
        <w:t>:</w:t>
      </w:r>
    </w:p>
    <w:p w:rsidR="00A4074E" w:rsidRPr="00997765" w:rsidRDefault="00A4074E" w:rsidP="00A4074E">
      <w:pPr>
        <w:pStyle w:val="ListParagraph"/>
        <w:jc w:val="both"/>
        <w:rPr>
          <w:rFonts w:ascii="Arial" w:hAnsi="Arial"/>
          <w:sz w:val="22"/>
          <w:szCs w:val="22"/>
        </w:rPr>
      </w:pPr>
    </w:p>
    <w:p w:rsidR="00A4074E" w:rsidRPr="00997765" w:rsidRDefault="00D75304" w:rsidP="00FC330F">
      <w:pPr>
        <w:pStyle w:val="ListParagraph"/>
        <w:numPr>
          <w:ilvl w:val="0"/>
          <w:numId w:val="2"/>
        </w:numPr>
        <w:jc w:val="both"/>
        <w:rPr>
          <w:rFonts w:ascii="Arial" w:hAnsi="Arial"/>
          <w:sz w:val="22"/>
          <w:szCs w:val="22"/>
        </w:rPr>
      </w:pPr>
      <w:r w:rsidRPr="00997765">
        <w:rPr>
          <w:rFonts w:ascii="Arial" w:hAnsi="Arial"/>
          <w:sz w:val="22"/>
          <w:szCs w:val="22"/>
        </w:rPr>
        <w:t xml:space="preserve">Gastric </w:t>
      </w:r>
      <w:r w:rsidR="00A52550">
        <w:rPr>
          <w:rFonts w:ascii="Arial" w:hAnsi="Arial"/>
          <w:sz w:val="22"/>
          <w:szCs w:val="22"/>
        </w:rPr>
        <w:t>intolerance</w:t>
      </w:r>
      <w:r w:rsidR="00594D20" w:rsidRPr="00997765">
        <w:rPr>
          <w:rFonts w:ascii="Arial" w:hAnsi="Arial"/>
          <w:sz w:val="22"/>
          <w:szCs w:val="22"/>
        </w:rPr>
        <w:t>;</w:t>
      </w:r>
    </w:p>
    <w:p w:rsidR="00D75304" w:rsidRPr="00997765" w:rsidRDefault="00D75304" w:rsidP="00FC330F">
      <w:pPr>
        <w:pStyle w:val="ListParagraph"/>
        <w:numPr>
          <w:ilvl w:val="0"/>
          <w:numId w:val="2"/>
        </w:numPr>
        <w:jc w:val="both"/>
        <w:rPr>
          <w:rFonts w:ascii="Arial" w:hAnsi="Arial"/>
          <w:sz w:val="22"/>
          <w:szCs w:val="22"/>
        </w:rPr>
      </w:pPr>
      <w:r w:rsidRPr="00997765">
        <w:rPr>
          <w:rFonts w:ascii="Arial" w:hAnsi="Arial"/>
          <w:sz w:val="22"/>
          <w:szCs w:val="22"/>
        </w:rPr>
        <w:t>Bioavailability issues with oral tablets resulting in re</w:t>
      </w:r>
      <w:r w:rsidR="00594D20" w:rsidRPr="00997765">
        <w:rPr>
          <w:rFonts w:ascii="Arial" w:hAnsi="Arial"/>
          <w:sz w:val="22"/>
          <w:szCs w:val="22"/>
        </w:rPr>
        <w:t>duced efficacy;</w:t>
      </w:r>
    </w:p>
    <w:p w:rsidR="00D75304" w:rsidRPr="00997765" w:rsidRDefault="00D75304" w:rsidP="00FC330F">
      <w:pPr>
        <w:pStyle w:val="ListParagraph"/>
        <w:numPr>
          <w:ilvl w:val="0"/>
          <w:numId w:val="2"/>
        </w:numPr>
        <w:jc w:val="both"/>
        <w:rPr>
          <w:rFonts w:ascii="Arial" w:hAnsi="Arial"/>
          <w:sz w:val="22"/>
          <w:szCs w:val="22"/>
        </w:rPr>
      </w:pPr>
      <w:r w:rsidRPr="00997765">
        <w:rPr>
          <w:rFonts w:ascii="Arial" w:hAnsi="Arial"/>
          <w:sz w:val="22"/>
          <w:szCs w:val="22"/>
        </w:rPr>
        <w:t>Inability to swallow oral tablets</w:t>
      </w:r>
      <w:r w:rsidR="00594D20" w:rsidRPr="00997765">
        <w:rPr>
          <w:rFonts w:ascii="Arial" w:hAnsi="Arial"/>
          <w:sz w:val="22"/>
          <w:szCs w:val="22"/>
        </w:rPr>
        <w:t>.</w:t>
      </w:r>
    </w:p>
    <w:p w:rsidR="004A04DE" w:rsidRPr="00997765" w:rsidRDefault="004A04DE" w:rsidP="00384B5B">
      <w:pPr>
        <w:jc w:val="both"/>
        <w:rPr>
          <w:rFonts w:ascii="Arial" w:hAnsi="Arial"/>
          <w:sz w:val="22"/>
          <w:szCs w:val="22"/>
        </w:rPr>
      </w:pPr>
    </w:p>
    <w:p w:rsidR="004A04DE" w:rsidRPr="00997765" w:rsidRDefault="004A04DE" w:rsidP="00FC330F">
      <w:pPr>
        <w:pStyle w:val="ListParagraph"/>
        <w:numPr>
          <w:ilvl w:val="1"/>
          <w:numId w:val="1"/>
        </w:numPr>
        <w:jc w:val="both"/>
        <w:rPr>
          <w:rFonts w:ascii="Arial" w:hAnsi="Arial"/>
          <w:sz w:val="22"/>
          <w:szCs w:val="22"/>
        </w:rPr>
      </w:pPr>
      <w:r w:rsidRPr="00997765">
        <w:rPr>
          <w:rFonts w:ascii="Arial" w:hAnsi="Arial"/>
          <w:sz w:val="22"/>
          <w:szCs w:val="22"/>
        </w:rPr>
        <w:t>The submission claimed that methotrexate pre-filled syringe</w:t>
      </w:r>
      <w:r w:rsidR="00DA51DA" w:rsidRPr="00997765">
        <w:rPr>
          <w:rFonts w:ascii="Arial" w:hAnsi="Arial"/>
          <w:sz w:val="22"/>
          <w:szCs w:val="22"/>
        </w:rPr>
        <w:t>s</w:t>
      </w:r>
      <w:r w:rsidRPr="00997765">
        <w:rPr>
          <w:rFonts w:ascii="Arial" w:hAnsi="Arial"/>
          <w:sz w:val="22"/>
          <w:szCs w:val="22"/>
        </w:rPr>
        <w:t xml:space="preserve"> offer</w:t>
      </w:r>
      <w:r w:rsidR="00DA51DA" w:rsidRPr="00997765">
        <w:rPr>
          <w:rFonts w:ascii="Arial" w:hAnsi="Arial"/>
          <w:sz w:val="22"/>
          <w:szCs w:val="22"/>
        </w:rPr>
        <w:t>ed</w:t>
      </w:r>
      <w:r w:rsidRPr="00997765">
        <w:rPr>
          <w:rFonts w:ascii="Arial" w:hAnsi="Arial"/>
          <w:sz w:val="22"/>
          <w:szCs w:val="22"/>
        </w:rPr>
        <w:t xml:space="preserve"> advantages compared to other parent</w:t>
      </w:r>
      <w:r w:rsidR="00760625" w:rsidRPr="00997765">
        <w:rPr>
          <w:rFonts w:ascii="Arial" w:hAnsi="Arial"/>
          <w:sz w:val="22"/>
          <w:szCs w:val="22"/>
        </w:rPr>
        <w:t>er</w:t>
      </w:r>
      <w:r w:rsidR="00DD5C94" w:rsidRPr="00997765">
        <w:rPr>
          <w:rFonts w:ascii="Arial" w:hAnsi="Arial"/>
          <w:sz w:val="22"/>
          <w:szCs w:val="22"/>
        </w:rPr>
        <w:t>al formulations</w:t>
      </w:r>
      <w:r w:rsidRPr="00997765">
        <w:rPr>
          <w:rFonts w:ascii="Arial" w:hAnsi="Arial"/>
          <w:sz w:val="22"/>
          <w:szCs w:val="22"/>
        </w:rPr>
        <w:t xml:space="preserve"> due to its ease of use and ability to be self-administered by patients/carers.</w:t>
      </w:r>
    </w:p>
    <w:p w:rsidR="004A04DE" w:rsidRPr="00997765" w:rsidRDefault="004A04DE" w:rsidP="004A04DE">
      <w:pPr>
        <w:pStyle w:val="ListParagraph"/>
        <w:jc w:val="both"/>
        <w:rPr>
          <w:rFonts w:ascii="Arial" w:hAnsi="Arial"/>
          <w:sz w:val="22"/>
          <w:szCs w:val="22"/>
        </w:rPr>
      </w:pPr>
    </w:p>
    <w:p w:rsidR="00027DCC" w:rsidRPr="00997765" w:rsidRDefault="00027DCC" w:rsidP="00027DCC">
      <w:pPr>
        <w:pStyle w:val="ListParagraph"/>
        <w:numPr>
          <w:ilvl w:val="1"/>
          <w:numId w:val="1"/>
        </w:numPr>
        <w:jc w:val="both"/>
        <w:rPr>
          <w:rFonts w:ascii="Arial" w:hAnsi="Arial" w:cs="Arial"/>
          <w:sz w:val="22"/>
          <w:szCs w:val="22"/>
        </w:rPr>
      </w:pPr>
      <w:r w:rsidRPr="00997765">
        <w:rPr>
          <w:rFonts w:ascii="Arial" w:hAnsi="Arial" w:cs="Arial"/>
          <w:sz w:val="22"/>
          <w:szCs w:val="22"/>
        </w:rPr>
        <w:t>The submission also claimed that the fixed dose formulation of the pre-filled syringe</w:t>
      </w:r>
      <w:r w:rsidR="00DA51DA" w:rsidRPr="00997765">
        <w:rPr>
          <w:rFonts w:ascii="Arial" w:hAnsi="Arial" w:cs="Arial"/>
          <w:sz w:val="22"/>
          <w:szCs w:val="22"/>
        </w:rPr>
        <w:t>s</w:t>
      </w:r>
      <w:r w:rsidRPr="00997765">
        <w:rPr>
          <w:rFonts w:ascii="Arial" w:hAnsi="Arial" w:cs="Arial"/>
          <w:sz w:val="22"/>
          <w:szCs w:val="22"/>
        </w:rPr>
        <w:t xml:space="preserve"> reduce</w:t>
      </w:r>
      <w:r w:rsidR="00DA51DA" w:rsidRPr="00997765">
        <w:rPr>
          <w:rFonts w:ascii="Arial" w:hAnsi="Arial" w:cs="Arial"/>
          <w:sz w:val="22"/>
          <w:szCs w:val="22"/>
        </w:rPr>
        <w:t>d</w:t>
      </w:r>
      <w:r w:rsidRPr="00997765">
        <w:rPr>
          <w:rFonts w:ascii="Arial" w:hAnsi="Arial" w:cs="Arial"/>
          <w:sz w:val="22"/>
          <w:szCs w:val="22"/>
        </w:rPr>
        <w:t xml:space="preserve"> th</w:t>
      </w:r>
      <w:r w:rsidR="00156CC1">
        <w:rPr>
          <w:rFonts w:ascii="Arial" w:hAnsi="Arial" w:cs="Arial"/>
          <w:sz w:val="22"/>
          <w:szCs w:val="22"/>
        </w:rPr>
        <w:t xml:space="preserve">e potential for overdose or </w:t>
      </w:r>
      <w:proofErr w:type="spellStart"/>
      <w:r w:rsidR="00156CC1">
        <w:rPr>
          <w:rFonts w:ascii="Arial" w:hAnsi="Arial" w:cs="Arial"/>
          <w:sz w:val="22"/>
          <w:szCs w:val="22"/>
        </w:rPr>
        <w:t>mis</w:t>
      </w:r>
      <w:proofErr w:type="spellEnd"/>
      <w:r w:rsidR="00156CC1">
        <w:rPr>
          <w:rFonts w:ascii="Arial" w:hAnsi="Arial" w:cs="Arial"/>
          <w:sz w:val="22"/>
          <w:szCs w:val="22"/>
        </w:rPr>
        <w:t>-</w:t>
      </w:r>
      <w:r w:rsidRPr="00997765">
        <w:rPr>
          <w:rFonts w:ascii="Arial" w:hAnsi="Arial" w:cs="Arial"/>
          <w:sz w:val="22"/>
          <w:szCs w:val="22"/>
        </w:rPr>
        <w:t>dose due to measurement error (a potential risk with drawing up a dose from the methotrexate vials). The submission also argued that the ready-prepared nature of the pre-filled syringe reduces unnecessary cytotoxic exposure.</w:t>
      </w:r>
    </w:p>
    <w:p w:rsidR="00027DCC" w:rsidRPr="00997765" w:rsidRDefault="00027DCC" w:rsidP="00027DCC">
      <w:pPr>
        <w:pStyle w:val="ListParagraph"/>
        <w:rPr>
          <w:rFonts w:ascii="Arial" w:hAnsi="Arial"/>
          <w:sz w:val="22"/>
          <w:szCs w:val="22"/>
        </w:rPr>
      </w:pPr>
    </w:p>
    <w:p w:rsidR="00A4074E" w:rsidRPr="00997765" w:rsidRDefault="006F2D79" w:rsidP="00FF5E9E">
      <w:pPr>
        <w:pStyle w:val="ListParagraph"/>
        <w:numPr>
          <w:ilvl w:val="1"/>
          <w:numId w:val="1"/>
        </w:numPr>
        <w:jc w:val="both"/>
        <w:rPr>
          <w:rFonts w:ascii="Arial" w:hAnsi="Arial"/>
          <w:sz w:val="22"/>
          <w:szCs w:val="22"/>
        </w:rPr>
      </w:pPr>
      <w:r w:rsidRPr="00997765">
        <w:rPr>
          <w:rFonts w:ascii="Arial" w:hAnsi="Arial"/>
          <w:sz w:val="22"/>
          <w:szCs w:val="22"/>
        </w:rPr>
        <w:t xml:space="preserve">The most commonly co-administered drug is folic acid for </w:t>
      </w:r>
      <w:r w:rsidR="007D4BF1" w:rsidRPr="00997765">
        <w:rPr>
          <w:rFonts w:ascii="Arial" w:hAnsi="Arial"/>
          <w:sz w:val="22"/>
          <w:szCs w:val="22"/>
        </w:rPr>
        <w:t xml:space="preserve">the </w:t>
      </w:r>
      <w:r w:rsidRPr="00997765">
        <w:rPr>
          <w:rFonts w:ascii="Arial" w:hAnsi="Arial"/>
          <w:sz w:val="22"/>
          <w:szCs w:val="22"/>
        </w:rPr>
        <w:t xml:space="preserve">reduction of toxicities associated with methotrexate treatment. Other concomitant therapies include </w:t>
      </w:r>
      <w:r w:rsidR="00713C17" w:rsidRPr="00997765">
        <w:rPr>
          <w:rFonts w:ascii="Arial" w:hAnsi="Arial"/>
          <w:sz w:val="22"/>
          <w:szCs w:val="22"/>
        </w:rPr>
        <w:t xml:space="preserve">various </w:t>
      </w:r>
      <w:r w:rsidR="00FF5E9E" w:rsidRPr="00997765">
        <w:rPr>
          <w:rFonts w:ascii="Arial" w:hAnsi="Arial"/>
          <w:sz w:val="22"/>
          <w:szCs w:val="22"/>
        </w:rPr>
        <w:t xml:space="preserve">disease-modifying </w:t>
      </w:r>
      <w:proofErr w:type="spellStart"/>
      <w:r w:rsidR="00FF5E9E" w:rsidRPr="00997765">
        <w:rPr>
          <w:rFonts w:ascii="Arial" w:hAnsi="Arial"/>
          <w:sz w:val="22"/>
          <w:szCs w:val="22"/>
        </w:rPr>
        <w:t>antirheumatic</w:t>
      </w:r>
      <w:proofErr w:type="spellEnd"/>
      <w:r w:rsidR="00FF5E9E" w:rsidRPr="00997765">
        <w:rPr>
          <w:rFonts w:ascii="Arial" w:hAnsi="Arial"/>
          <w:sz w:val="22"/>
          <w:szCs w:val="22"/>
        </w:rPr>
        <w:t xml:space="preserve"> drugs (</w:t>
      </w:r>
      <w:r w:rsidR="00713C17" w:rsidRPr="00997765">
        <w:rPr>
          <w:rFonts w:ascii="Arial" w:hAnsi="Arial"/>
          <w:sz w:val="22"/>
          <w:szCs w:val="22"/>
        </w:rPr>
        <w:t>DMARDs</w:t>
      </w:r>
      <w:r w:rsidR="00FF5E9E" w:rsidRPr="00997765">
        <w:rPr>
          <w:rFonts w:ascii="Arial" w:hAnsi="Arial"/>
          <w:sz w:val="22"/>
          <w:szCs w:val="22"/>
        </w:rPr>
        <w:t xml:space="preserve">) and biological disease-modifying </w:t>
      </w:r>
      <w:proofErr w:type="spellStart"/>
      <w:r w:rsidR="00FF5E9E" w:rsidRPr="00997765">
        <w:rPr>
          <w:rFonts w:ascii="Arial" w:hAnsi="Arial"/>
          <w:sz w:val="22"/>
          <w:szCs w:val="22"/>
        </w:rPr>
        <w:t>antirheumatic</w:t>
      </w:r>
      <w:proofErr w:type="spellEnd"/>
      <w:r w:rsidR="00FF5E9E" w:rsidRPr="00997765">
        <w:rPr>
          <w:rFonts w:ascii="Arial" w:hAnsi="Arial"/>
          <w:sz w:val="22"/>
          <w:szCs w:val="22"/>
        </w:rPr>
        <w:t xml:space="preserve"> drugs (</w:t>
      </w:r>
      <w:proofErr w:type="spellStart"/>
      <w:r w:rsidR="00713C17" w:rsidRPr="00997765">
        <w:rPr>
          <w:rFonts w:ascii="Arial" w:hAnsi="Arial"/>
          <w:sz w:val="22"/>
          <w:szCs w:val="22"/>
        </w:rPr>
        <w:t>bDMARDS</w:t>
      </w:r>
      <w:proofErr w:type="spellEnd"/>
      <w:r w:rsidR="00FF5E9E" w:rsidRPr="00997765">
        <w:rPr>
          <w:rFonts w:ascii="Arial" w:hAnsi="Arial"/>
          <w:sz w:val="22"/>
          <w:szCs w:val="22"/>
        </w:rPr>
        <w:t>)</w:t>
      </w:r>
      <w:r w:rsidR="00713C17" w:rsidRPr="00997765">
        <w:rPr>
          <w:rFonts w:ascii="Arial" w:hAnsi="Arial"/>
          <w:sz w:val="22"/>
          <w:szCs w:val="22"/>
        </w:rPr>
        <w:t xml:space="preserve"> such as </w:t>
      </w:r>
      <w:proofErr w:type="spellStart"/>
      <w:r w:rsidR="00763E4D" w:rsidRPr="00997765">
        <w:rPr>
          <w:rFonts w:ascii="Arial" w:hAnsi="Arial"/>
          <w:sz w:val="22"/>
          <w:szCs w:val="22"/>
        </w:rPr>
        <w:t>leflunomide</w:t>
      </w:r>
      <w:proofErr w:type="spellEnd"/>
      <w:r w:rsidR="00763E4D" w:rsidRPr="00997765">
        <w:rPr>
          <w:rFonts w:ascii="Arial" w:hAnsi="Arial"/>
          <w:sz w:val="22"/>
          <w:szCs w:val="22"/>
        </w:rPr>
        <w:t xml:space="preserve">, </w:t>
      </w:r>
      <w:proofErr w:type="spellStart"/>
      <w:r w:rsidR="00713C17" w:rsidRPr="00997765">
        <w:rPr>
          <w:rFonts w:ascii="Arial" w:hAnsi="Arial"/>
          <w:sz w:val="22"/>
          <w:szCs w:val="22"/>
        </w:rPr>
        <w:t>adalim</w:t>
      </w:r>
      <w:r w:rsidR="00760625" w:rsidRPr="00997765">
        <w:rPr>
          <w:rFonts w:ascii="Arial" w:hAnsi="Arial"/>
          <w:sz w:val="22"/>
          <w:szCs w:val="22"/>
        </w:rPr>
        <w:t>umab</w:t>
      </w:r>
      <w:proofErr w:type="spellEnd"/>
      <w:r w:rsidR="00760625" w:rsidRPr="00997765">
        <w:rPr>
          <w:rFonts w:ascii="Arial" w:hAnsi="Arial"/>
          <w:sz w:val="22"/>
          <w:szCs w:val="22"/>
        </w:rPr>
        <w:t xml:space="preserve">, </w:t>
      </w:r>
      <w:proofErr w:type="spellStart"/>
      <w:r w:rsidR="00760625" w:rsidRPr="00997765">
        <w:rPr>
          <w:rFonts w:ascii="Arial" w:hAnsi="Arial"/>
          <w:sz w:val="22"/>
          <w:szCs w:val="22"/>
        </w:rPr>
        <w:t>etanercept</w:t>
      </w:r>
      <w:proofErr w:type="spellEnd"/>
      <w:r w:rsidR="007C21FF" w:rsidRPr="00997765">
        <w:rPr>
          <w:rFonts w:ascii="Arial" w:hAnsi="Arial"/>
          <w:sz w:val="22"/>
          <w:szCs w:val="22"/>
        </w:rPr>
        <w:t xml:space="preserve"> and</w:t>
      </w:r>
      <w:r w:rsidR="00760625" w:rsidRPr="00997765">
        <w:rPr>
          <w:rFonts w:ascii="Arial" w:hAnsi="Arial"/>
          <w:sz w:val="22"/>
          <w:szCs w:val="22"/>
        </w:rPr>
        <w:t xml:space="preserve"> infliximab</w:t>
      </w:r>
      <w:r w:rsidR="00A62BF0" w:rsidRPr="00997765">
        <w:rPr>
          <w:rFonts w:ascii="Arial" w:hAnsi="Arial"/>
          <w:sz w:val="22"/>
          <w:szCs w:val="22"/>
        </w:rPr>
        <w:t>.</w:t>
      </w:r>
    </w:p>
    <w:p w:rsidR="00F27BC8" w:rsidRPr="00997765" w:rsidRDefault="00F27BC8" w:rsidP="00F27BC8">
      <w:pPr>
        <w:jc w:val="both"/>
        <w:rPr>
          <w:rFonts w:ascii="Arial" w:hAnsi="Arial"/>
          <w:sz w:val="22"/>
          <w:szCs w:val="22"/>
        </w:rPr>
      </w:pPr>
    </w:p>
    <w:p w:rsidR="00F27BC8" w:rsidRPr="00997765" w:rsidRDefault="00F27BC8" w:rsidP="00F27BC8">
      <w:pPr>
        <w:widowControl w:val="0"/>
        <w:ind w:left="709"/>
        <w:contextualSpacing/>
        <w:jc w:val="both"/>
        <w:rPr>
          <w:rFonts w:ascii="Arial" w:hAnsi="Arial" w:cs="Arial"/>
          <w:i/>
          <w:snapToGrid w:val="0"/>
          <w:sz w:val="22"/>
          <w:szCs w:val="22"/>
          <w:lang w:eastAsia="en-US"/>
        </w:rPr>
      </w:pPr>
      <w:r w:rsidRPr="00997765">
        <w:rPr>
          <w:rFonts w:ascii="Arial" w:hAnsi="Arial" w:cs="Arial"/>
          <w:i/>
          <w:snapToGrid w:val="0"/>
          <w:sz w:val="22"/>
          <w:szCs w:val="22"/>
          <w:lang w:eastAsia="en-US"/>
        </w:rPr>
        <w:t>For more detail on PBAC’s view, see section 7 “PBAC outcome”</w:t>
      </w:r>
    </w:p>
    <w:p w:rsidR="008A1956" w:rsidRPr="00997765" w:rsidRDefault="008A1956" w:rsidP="00882085">
      <w:pPr>
        <w:pStyle w:val="Header"/>
        <w:tabs>
          <w:tab w:val="clear" w:pos="4153"/>
          <w:tab w:val="clear" w:pos="8306"/>
        </w:tabs>
        <w:jc w:val="both"/>
        <w:rPr>
          <w:rFonts w:ascii="Arial" w:hAnsi="Arial"/>
          <w:sz w:val="22"/>
          <w:szCs w:val="22"/>
        </w:rPr>
      </w:pPr>
    </w:p>
    <w:p w:rsidR="0005557F" w:rsidRPr="00997765" w:rsidRDefault="0005557F" w:rsidP="00882085">
      <w:pPr>
        <w:pStyle w:val="Header"/>
        <w:tabs>
          <w:tab w:val="clear" w:pos="4153"/>
          <w:tab w:val="clear" w:pos="8306"/>
        </w:tabs>
        <w:jc w:val="both"/>
        <w:rPr>
          <w:rFonts w:ascii="Arial" w:hAnsi="Arial"/>
          <w:sz w:val="22"/>
          <w:szCs w:val="22"/>
        </w:rPr>
      </w:pPr>
    </w:p>
    <w:p w:rsidR="005A3173" w:rsidRPr="005E5CFA" w:rsidRDefault="005A3173" w:rsidP="005E5CFA">
      <w:pPr>
        <w:pStyle w:val="Heading1"/>
      </w:pPr>
      <w:r w:rsidRPr="005E5CFA">
        <w:t>Comparator</w:t>
      </w:r>
    </w:p>
    <w:p w:rsidR="005A3173" w:rsidRPr="00997765" w:rsidRDefault="005A3173" w:rsidP="00882085">
      <w:pPr>
        <w:pStyle w:val="Header"/>
        <w:tabs>
          <w:tab w:val="clear" w:pos="4153"/>
          <w:tab w:val="clear" w:pos="8306"/>
        </w:tabs>
        <w:jc w:val="both"/>
        <w:rPr>
          <w:rFonts w:ascii="Arial" w:hAnsi="Arial"/>
          <w:b/>
          <w:sz w:val="22"/>
          <w:szCs w:val="22"/>
        </w:rPr>
      </w:pPr>
    </w:p>
    <w:p w:rsidR="00206EC1" w:rsidRPr="00997765" w:rsidRDefault="00D17BD9" w:rsidP="00FC330F">
      <w:pPr>
        <w:pStyle w:val="ListParagraph"/>
        <w:numPr>
          <w:ilvl w:val="1"/>
          <w:numId w:val="1"/>
        </w:numPr>
        <w:jc w:val="both"/>
        <w:rPr>
          <w:rFonts w:ascii="Arial" w:hAnsi="Arial"/>
          <w:sz w:val="22"/>
          <w:szCs w:val="22"/>
        </w:rPr>
      </w:pPr>
      <w:r w:rsidRPr="00997765">
        <w:rPr>
          <w:rFonts w:ascii="Arial" w:hAnsi="Arial"/>
          <w:sz w:val="22"/>
          <w:szCs w:val="22"/>
        </w:rPr>
        <w:t>The</w:t>
      </w:r>
      <w:r w:rsidR="00206EC1" w:rsidRPr="00997765">
        <w:rPr>
          <w:rFonts w:ascii="Arial" w:hAnsi="Arial"/>
          <w:sz w:val="22"/>
          <w:szCs w:val="22"/>
        </w:rPr>
        <w:t xml:space="preserve"> submission nominated other parenteral methotrexate formulations as the main comparator on the basis that methotrexate pre-filled syringe</w:t>
      </w:r>
      <w:r w:rsidR="00DA51DA" w:rsidRPr="00997765">
        <w:rPr>
          <w:rFonts w:ascii="Arial" w:hAnsi="Arial"/>
          <w:sz w:val="22"/>
          <w:szCs w:val="22"/>
        </w:rPr>
        <w:t>s</w:t>
      </w:r>
      <w:r w:rsidR="00206EC1" w:rsidRPr="00997765">
        <w:rPr>
          <w:rFonts w:ascii="Arial" w:hAnsi="Arial"/>
          <w:sz w:val="22"/>
          <w:szCs w:val="22"/>
        </w:rPr>
        <w:t xml:space="preserve"> will most likely substitute for these therapies</w:t>
      </w:r>
      <w:r w:rsidR="0042346A" w:rsidRPr="00997765">
        <w:rPr>
          <w:rFonts w:ascii="Arial" w:hAnsi="Arial"/>
          <w:sz w:val="22"/>
          <w:szCs w:val="22"/>
        </w:rPr>
        <w:t xml:space="preserve"> (p 17-18 of the submission)</w:t>
      </w:r>
      <w:r w:rsidR="00206EC1" w:rsidRPr="00997765">
        <w:rPr>
          <w:rFonts w:ascii="Arial" w:hAnsi="Arial"/>
          <w:sz w:val="22"/>
          <w:szCs w:val="22"/>
        </w:rPr>
        <w:t>.</w:t>
      </w:r>
      <w:r w:rsidR="001F3F37" w:rsidRPr="00997765">
        <w:rPr>
          <w:rFonts w:ascii="Arial" w:hAnsi="Arial"/>
          <w:sz w:val="22"/>
          <w:szCs w:val="22"/>
        </w:rPr>
        <w:t xml:space="preserve"> The comparator was</w:t>
      </w:r>
      <w:r w:rsidR="006024AE" w:rsidRPr="00997765">
        <w:rPr>
          <w:rFonts w:ascii="Arial" w:hAnsi="Arial"/>
          <w:sz w:val="22"/>
          <w:szCs w:val="22"/>
        </w:rPr>
        <w:t xml:space="preserve"> considered</w:t>
      </w:r>
      <w:r w:rsidR="001F3F37" w:rsidRPr="00997765">
        <w:rPr>
          <w:rFonts w:ascii="Arial" w:hAnsi="Arial"/>
          <w:sz w:val="22"/>
          <w:szCs w:val="22"/>
        </w:rPr>
        <w:t xml:space="preserve"> appropriate.</w:t>
      </w:r>
    </w:p>
    <w:p w:rsidR="00206EC1" w:rsidRPr="00997765" w:rsidRDefault="00206EC1" w:rsidP="00206EC1">
      <w:pPr>
        <w:pStyle w:val="ListParagraph"/>
        <w:jc w:val="both"/>
        <w:rPr>
          <w:rFonts w:ascii="Arial" w:hAnsi="Arial"/>
          <w:sz w:val="22"/>
          <w:szCs w:val="22"/>
        </w:rPr>
      </w:pPr>
    </w:p>
    <w:p w:rsidR="00206EC1" w:rsidRPr="00997765" w:rsidRDefault="00206EC1" w:rsidP="00FC330F">
      <w:pPr>
        <w:pStyle w:val="ListParagraph"/>
        <w:numPr>
          <w:ilvl w:val="1"/>
          <w:numId w:val="1"/>
        </w:numPr>
        <w:jc w:val="both"/>
        <w:rPr>
          <w:rFonts w:ascii="Arial" w:hAnsi="Arial"/>
          <w:sz w:val="22"/>
          <w:szCs w:val="22"/>
        </w:rPr>
      </w:pPr>
      <w:r w:rsidRPr="00997765">
        <w:rPr>
          <w:rFonts w:ascii="Arial" w:hAnsi="Arial"/>
          <w:sz w:val="22"/>
          <w:szCs w:val="22"/>
        </w:rPr>
        <w:t>The submission claimed that methotrexate 5</w:t>
      </w:r>
      <w:r w:rsidR="004D6A66" w:rsidRPr="00997765">
        <w:rPr>
          <w:rFonts w:ascii="Arial" w:hAnsi="Arial"/>
          <w:sz w:val="22"/>
          <w:szCs w:val="22"/>
        </w:rPr>
        <w:t>0 mg</w:t>
      </w:r>
      <w:r w:rsidRPr="00997765">
        <w:rPr>
          <w:rFonts w:ascii="Arial" w:hAnsi="Arial"/>
          <w:sz w:val="22"/>
          <w:szCs w:val="22"/>
        </w:rPr>
        <w:t>/2</w:t>
      </w:r>
      <w:r w:rsidR="00DA51DA" w:rsidRPr="00997765">
        <w:rPr>
          <w:rFonts w:ascii="Arial" w:hAnsi="Arial"/>
          <w:sz w:val="22"/>
          <w:szCs w:val="22"/>
        </w:rPr>
        <w:t> </w:t>
      </w:r>
      <w:r w:rsidRPr="00997765">
        <w:rPr>
          <w:rFonts w:ascii="Arial" w:hAnsi="Arial"/>
          <w:sz w:val="22"/>
          <w:szCs w:val="22"/>
        </w:rPr>
        <w:t xml:space="preserve">mL vials for injection are the most comparable presentation as the injection volume is small enough to allow for </w:t>
      </w:r>
      <w:r w:rsidRPr="00997765">
        <w:rPr>
          <w:rFonts w:ascii="Arial" w:hAnsi="Arial"/>
          <w:sz w:val="22"/>
          <w:szCs w:val="22"/>
        </w:rPr>
        <w:lastRenderedPageBreak/>
        <w:t>subcutaneous</w:t>
      </w:r>
      <w:r w:rsidR="00586911" w:rsidRPr="00997765">
        <w:rPr>
          <w:rFonts w:ascii="Arial" w:hAnsi="Arial"/>
          <w:sz w:val="22"/>
          <w:szCs w:val="22"/>
        </w:rPr>
        <w:t xml:space="preserve"> or intramuscular</w:t>
      </w:r>
      <w:r w:rsidRPr="00997765">
        <w:rPr>
          <w:rFonts w:ascii="Arial" w:hAnsi="Arial"/>
          <w:sz w:val="22"/>
          <w:szCs w:val="22"/>
        </w:rPr>
        <w:t xml:space="preserve"> injection</w:t>
      </w:r>
      <w:r w:rsidR="00586911" w:rsidRPr="00997765">
        <w:rPr>
          <w:rFonts w:ascii="Arial" w:hAnsi="Arial"/>
          <w:sz w:val="22"/>
          <w:szCs w:val="22"/>
        </w:rPr>
        <w:t xml:space="preserve"> at standard dose ranges for rheumatoid arthritis and psoriasis</w:t>
      </w:r>
      <w:r w:rsidRPr="00997765">
        <w:rPr>
          <w:rFonts w:ascii="Arial" w:hAnsi="Arial"/>
          <w:sz w:val="22"/>
          <w:szCs w:val="22"/>
        </w:rPr>
        <w:t>.</w:t>
      </w:r>
      <w:r w:rsidR="001F3F37" w:rsidRPr="00997765">
        <w:rPr>
          <w:rFonts w:ascii="Arial" w:hAnsi="Arial"/>
          <w:sz w:val="22"/>
          <w:szCs w:val="22"/>
        </w:rPr>
        <w:t xml:space="preserve"> This argument appeared reasonable.</w:t>
      </w:r>
    </w:p>
    <w:p w:rsidR="00586911" w:rsidRPr="00997765" w:rsidRDefault="00586911" w:rsidP="00586911">
      <w:pPr>
        <w:pStyle w:val="ListParagraph"/>
        <w:rPr>
          <w:rFonts w:ascii="Arial" w:hAnsi="Arial"/>
          <w:sz w:val="22"/>
          <w:szCs w:val="22"/>
        </w:rPr>
      </w:pPr>
    </w:p>
    <w:p w:rsidR="00586911" w:rsidRPr="00997765" w:rsidRDefault="001C3A84" w:rsidP="00FC330F">
      <w:pPr>
        <w:pStyle w:val="ListParagraph"/>
        <w:numPr>
          <w:ilvl w:val="1"/>
          <w:numId w:val="1"/>
        </w:numPr>
        <w:jc w:val="both"/>
        <w:rPr>
          <w:rFonts w:ascii="Arial" w:hAnsi="Arial"/>
          <w:sz w:val="22"/>
          <w:szCs w:val="22"/>
        </w:rPr>
      </w:pPr>
      <w:r w:rsidRPr="00997765">
        <w:rPr>
          <w:rFonts w:ascii="Arial" w:hAnsi="Arial"/>
          <w:sz w:val="22"/>
          <w:szCs w:val="22"/>
        </w:rPr>
        <w:t>Table 1</w:t>
      </w:r>
      <w:r w:rsidR="00586911" w:rsidRPr="00997765">
        <w:rPr>
          <w:rFonts w:ascii="Arial" w:hAnsi="Arial"/>
          <w:sz w:val="22"/>
          <w:szCs w:val="22"/>
        </w:rPr>
        <w:t xml:space="preserve"> summarises the key differences between methotrexate pre-filled syringe and methotrexate 5</w:t>
      </w:r>
      <w:r w:rsidR="004D6A66" w:rsidRPr="00997765">
        <w:rPr>
          <w:rFonts w:ascii="Arial" w:hAnsi="Arial"/>
          <w:sz w:val="22"/>
          <w:szCs w:val="22"/>
        </w:rPr>
        <w:t>0 mg</w:t>
      </w:r>
      <w:r w:rsidR="00586911" w:rsidRPr="00997765">
        <w:rPr>
          <w:rFonts w:ascii="Arial" w:hAnsi="Arial"/>
          <w:sz w:val="22"/>
          <w:szCs w:val="22"/>
        </w:rPr>
        <w:t>/2</w:t>
      </w:r>
      <w:r w:rsidR="002E4E48" w:rsidRPr="00997765">
        <w:rPr>
          <w:rFonts w:ascii="Arial" w:hAnsi="Arial"/>
          <w:sz w:val="22"/>
          <w:szCs w:val="22"/>
        </w:rPr>
        <w:t> </w:t>
      </w:r>
      <w:r w:rsidR="00586911" w:rsidRPr="00997765">
        <w:rPr>
          <w:rFonts w:ascii="Arial" w:hAnsi="Arial"/>
          <w:sz w:val="22"/>
          <w:szCs w:val="22"/>
        </w:rPr>
        <w:t>mL vials.</w:t>
      </w:r>
    </w:p>
    <w:p w:rsidR="007968EE" w:rsidRPr="00997765" w:rsidRDefault="007968EE" w:rsidP="007968EE">
      <w:pPr>
        <w:pStyle w:val="ListParagraph"/>
        <w:rPr>
          <w:rFonts w:ascii="Arial" w:hAnsi="Arial"/>
          <w:sz w:val="22"/>
          <w:szCs w:val="22"/>
        </w:rPr>
      </w:pPr>
    </w:p>
    <w:p w:rsidR="007968EE" w:rsidRPr="00997765" w:rsidRDefault="001C3A84" w:rsidP="007D776A">
      <w:pPr>
        <w:pStyle w:val="ListParagraph"/>
        <w:jc w:val="both"/>
        <w:rPr>
          <w:rFonts w:ascii="Arial" w:hAnsi="Arial"/>
          <w:sz w:val="22"/>
          <w:szCs w:val="22"/>
        </w:rPr>
      </w:pPr>
      <w:r w:rsidRPr="00997765">
        <w:rPr>
          <w:rFonts w:ascii="Arial Narrow" w:hAnsi="Arial Narrow"/>
          <w:b/>
          <w:sz w:val="20"/>
          <w:szCs w:val="22"/>
        </w:rPr>
        <w:t>Table 1</w:t>
      </w:r>
      <w:r w:rsidR="007968EE" w:rsidRPr="00997765">
        <w:rPr>
          <w:rFonts w:ascii="Arial Narrow" w:hAnsi="Arial Narrow"/>
          <w:b/>
          <w:sz w:val="20"/>
          <w:szCs w:val="22"/>
        </w:rPr>
        <w:t>: Summary of the main differences between methotrexate pre-filled syringe and methotrexate vial</w:t>
      </w:r>
    </w:p>
    <w:tbl>
      <w:tblPr>
        <w:tblStyle w:val="TableGrid"/>
        <w:tblW w:w="0" w:type="auto"/>
        <w:tblInd w:w="817" w:type="dxa"/>
        <w:tblLook w:val="04A0" w:firstRow="1" w:lastRow="0" w:firstColumn="1" w:lastColumn="0" w:noHBand="0" w:noVBand="1"/>
        <w:tblCaption w:val="Table 1: Summary of the main differences between methotrexate pre-filled syringe and methotrexate vial"/>
      </w:tblPr>
      <w:tblGrid>
        <w:gridCol w:w="1446"/>
        <w:gridCol w:w="3458"/>
        <w:gridCol w:w="3459"/>
      </w:tblGrid>
      <w:tr w:rsidR="007968EE" w:rsidRPr="00997765" w:rsidTr="00AB249E">
        <w:trPr>
          <w:tblHeader/>
        </w:trPr>
        <w:tc>
          <w:tcPr>
            <w:tcW w:w="1446" w:type="dxa"/>
          </w:tcPr>
          <w:p w:rsidR="007968EE" w:rsidRPr="00997765" w:rsidRDefault="007968EE" w:rsidP="0037018B">
            <w:pPr>
              <w:rPr>
                <w:rFonts w:ascii="Arial Narrow" w:hAnsi="Arial Narrow"/>
                <w:sz w:val="20"/>
                <w:szCs w:val="22"/>
              </w:rPr>
            </w:pPr>
          </w:p>
        </w:tc>
        <w:tc>
          <w:tcPr>
            <w:tcW w:w="3458" w:type="dxa"/>
          </w:tcPr>
          <w:p w:rsidR="007968EE" w:rsidRPr="00997765" w:rsidRDefault="007968EE" w:rsidP="0037018B">
            <w:pPr>
              <w:jc w:val="center"/>
              <w:rPr>
                <w:rFonts w:ascii="Arial Narrow" w:hAnsi="Arial Narrow"/>
                <w:b/>
                <w:sz w:val="20"/>
                <w:szCs w:val="22"/>
              </w:rPr>
            </w:pPr>
            <w:r w:rsidRPr="00997765">
              <w:rPr>
                <w:rFonts w:ascii="Arial Narrow" w:hAnsi="Arial Narrow"/>
                <w:b/>
                <w:sz w:val="20"/>
                <w:szCs w:val="22"/>
              </w:rPr>
              <w:t>Methotrexate pre-filled syringe</w:t>
            </w:r>
          </w:p>
        </w:tc>
        <w:tc>
          <w:tcPr>
            <w:tcW w:w="3459" w:type="dxa"/>
          </w:tcPr>
          <w:p w:rsidR="007968EE" w:rsidRPr="00997765" w:rsidRDefault="007968EE" w:rsidP="0037018B">
            <w:pPr>
              <w:jc w:val="center"/>
              <w:rPr>
                <w:rFonts w:ascii="Arial Narrow" w:hAnsi="Arial Narrow"/>
                <w:b/>
                <w:sz w:val="20"/>
                <w:szCs w:val="22"/>
              </w:rPr>
            </w:pPr>
            <w:r w:rsidRPr="00997765">
              <w:rPr>
                <w:rFonts w:ascii="Arial Narrow" w:hAnsi="Arial Narrow"/>
                <w:b/>
                <w:sz w:val="20"/>
                <w:szCs w:val="22"/>
              </w:rPr>
              <w:t>Methotrexate vial</w:t>
            </w:r>
          </w:p>
        </w:tc>
      </w:tr>
      <w:tr w:rsidR="007968EE" w:rsidRPr="00997765" w:rsidTr="007D776A">
        <w:tc>
          <w:tcPr>
            <w:tcW w:w="1446" w:type="dxa"/>
          </w:tcPr>
          <w:p w:rsidR="007968EE" w:rsidRPr="00997765" w:rsidRDefault="007968EE" w:rsidP="0037018B">
            <w:pPr>
              <w:rPr>
                <w:rFonts w:ascii="Arial Narrow" w:hAnsi="Arial Narrow"/>
                <w:sz w:val="20"/>
                <w:szCs w:val="22"/>
              </w:rPr>
            </w:pPr>
            <w:r w:rsidRPr="00997765">
              <w:rPr>
                <w:rFonts w:ascii="Arial Narrow" w:hAnsi="Arial Narrow"/>
                <w:sz w:val="20"/>
                <w:szCs w:val="22"/>
              </w:rPr>
              <w:t>Presentation</w:t>
            </w:r>
          </w:p>
        </w:tc>
        <w:tc>
          <w:tcPr>
            <w:tcW w:w="3458" w:type="dxa"/>
          </w:tcPr>
          <w:p w:rsidR="007968EE" w:rsidRPr="00997765" w:rsidRDefault="007968EE" w:rsidP="0037018B">
            <w:pPr>
              <w:rPr>
                <w:rFonts w:ascii="Arial Narrow" w:hAnsi="Arial Narrow"/>
                <w:sz w:val="20"/>
                <w:szCs w:val="22"/>
              </w:rPr>
            </w:pPr>
            <w:r w:rsidRPr="00997765">
              <w:rPr>
                <w:rFonts w:ascii="Arial Narrow" w:hAnsi="Arial Narrow"/>
                <w:sz w:val="20"/>
                <w:szCs w:val="22"/>
              </w:rPr>
              <w:t>Pre-filled syringe</w:t>
            </w:r>
            <w:r w:rsidR="009A67A3" w:rsidRPr="00997765">
              <w:rPr>
                <w:rFonts w:ascii="Arial Narrow" w:hAnsi="Arial Narrow"/>
                <w:sz w:val="20"/>
                <w:szCs w:val="22"/>
              </w:rPr>
              <w:t xml:space="preserve"> (7.</w:t>
            </w:r>
            <w:r w:rsidR="004D6A66" w:rsidRPr="00997765">
              <w:rPr>
                <w:rFonts w:ascii="Arial Narrow" w:hAnsi="Arial Narrow"/>
                <w:sz w:val="20"/>
                <w:szCs w:val="22"/>
              </w:rPr>
              <w:t>5 mg</w:t>
            </w:r>
            <w:r w:rsidR="009A67A3" w:rsidRPr="00997765">
              <w:rPr>
                <w:rFonts w:ascii="Arial Narrow" w:hAnsi="Arial Narrow"/>
                <w:sz w:val="20"/>
                <w:szCs w:val="22"/>
              </w:rPr>
              <w:t>, 1</w:t>
            </w:r>
            <w:r w:rsidR="004D6A66" w:rsidRPr="00997765">
              <w:rPr>
                <w:rFonts w:ascii="Arial Narrow" w:hAnsi="Arial Narrow"/>
                <w:sz w:val="20"/>
                <w:szCs w:val="22"/>
              </w:rPr>
              <w:t>0 mg</w:t>
            </w:r>
            <w:r w:rsidR="009A67A3" w:rsidRPr="00997765">
              <w:rPr>
                <w:rFonts w:ascii="Arial Narrow" w:hAnsi="Arial Narrow"/>
                <w:sz w:val="20"/>
                <w:szCs w:val="22"/>
              </w:rPr>
              <w:t>, 1</w:t>
            </w:r>
            <w:r w:rsidR="004D6A66" w:rsidRPr="00997765">
              <w:rPr>
                <w:rFonts w:ascii="Arial Narrow" w:hAnsi="Arial Narrow"/>
                <w:sz w:val="20"/>
                <w:szCs w:val="22"/>
              </w:rPr>
              <w:t>5 mg</w:t>
            </w:r>
            <w:r w:rsidR="009A67A3" w:rsidRPr="00997765">
              <w:rPr>
                <w:rFonts w:ascii="Arial Narrow" w:hAnsi="Arial Narrow"/>
                <w:sz w:val="20"/>
                <w:szCs w:val="22"/>
              </w:rPr>
              <w:t>, 2</w:t>
            </w:r>
            <w:r w:rsidR="004D6A66" w:rsidRPr="00997765">
              <w:rPr>
                <w:rFonts w:ascii="Arial Narrow" w:hAnsi="Arial Narrow"/>
                <w:sz w:val="20"/>
                <w:szCs w:val="22"/>
              </w:rPr>
              <w:t>0 mg</w:t>
            </w:r>
            <w:r w:rsidR="009A67A3" w:rsidRPr="00997765">
              <w:rPr>
                <w:rFonts w:ascii="Arial Narrow" w:hAnsi="Arial Narrow"/>
                <w:sz w:val="20"/>
                <w:szCs w:val="22"/>
              </w:rPr>
              <w:t>, 2</w:t>
            </w:r>
            <w:r w:rsidR="004D6A66" w:rsidRPr="00997765">
              <w:rPr>
                <w:rFonts w:ascii="Arial Narrow" w:hAnsi="Arial Narrow"/>
                <w:sz w:val="20"/>
                <w:szCs w:val="22"/>
              </w:rPr>
              <w:t>5 mg</w:t>
            </w:r>
            <w:r w:rsidR="009A67A3" w:rsidRPr="00997765">
              <w:rPr>
                <w:rFonts w:ascii="Arial Narrow" w:hAnsi="Arial Narrow"/>
                <w:sz w:val="20"/>
                <w:szCs w:val="22"/>
              </w:rPr>
              <w:t>)</w:t>
            </w:r>
            <w:r w:rsidRPr="00997765">
              <w:rPr>
                <w:rFonts w:ascii="Arial Narrow" w:hAnsi="Arial Narrow"/>
                <w:sz w:val="20"/>
                <w:szCs w:val="22"/>
              </w:rPr>
              <w:t xml:space="preserve"> with an embedded needle</w:t>
            </w:r>
          </w:p>
        </w:tc>
        <w:tc>
          <w:tcPr>
            <w:tcW w:w="3459" w:type="dxa"/>
          </w:tcPr>
          <w:p w:rsidR="007968EE" w:rsidRPr="00997765" w:rsidRDefault="001F3F37" w:rsidP="0037018B">
            <w:pPr>
              <w:rPr>
                <w:rFonts w:ascii="Arial Narrow" w:hAnsi="Arial Narrow"/>
                <w:sz w:val="20"/>
                <w:szCs w:val="22"/>
              </w:rPr>
            </w:pPr>
            <w:r w:rsidRPr="00997765">
              <w:rPr>
                <w:rFonts w:ascii="Arial Narrow" w:hAnsi="Arial Narrow"/>
                <w:sz w:val="20"/>
                <w:szCs w:val="22"/>
              </w:rPr>
              <w:t>V</w:t>
            </w:r>
            <w:r w:rsidR="007968EE" w:rsidRPr="00997765">
              <w:rPr>
                <w:rFonts w:ascii="Arial Narrow" w:hAnsi="Arial Narrow"/>
                <w:sz w:val="20"/>
                <w:szCs w:val="22"/>
              </w:rPr>
              <w:t>ial</w:t>
            </w:r>
            <w:r w:rsidR="009A67A3" w:rsidRPr="00997765">
              <w:rPr>
                <w:rFonts w:ascii="Arial Narrow" w:hAnsi="Arial Narrow"/>
                <w:sz w:val="20"/>
                <w:szCs w:val="22"/>
              </w:rPr>
              <w:t xml:space="preserve"> (5</w:t>
            </w:r>
            <w:r w:rsidR="004D6A66" w:rsidRPr="00997765">
              <w:rPr>
                <w:rFonts w:ascii="Arial Narrow" w:hAnsi="Arial Narrow"/>
                <w:sz w:val="20"/>
                <w:szCs w:val="22"/>
              </w:rPr>
              <w:t>0 mg</w:t>
            </w:r>
            <w:r w:rsidR="009A67A3" w:rsidRPr="00997765">
              <w:rPr>
                <w:rFonts w:ascii="Arial Narrow" w:hAnsi="Arial Narrow"/>
                <w:sz w:val="20"/>
                <w:szCs w:val="22"/>
              </w:rPr>
              <w:t xml:space="preserve">), </w:t>
            </w:r>
            <w:r w:rsidR="007D776A" w:rsidRPr="00997765">
              <w:rPr>
                <w:rFonts w:ascii="Arial Narrow" w:hAnsi="Arial Narrow"/>
                <w:sz w:val="20"/>
                <w:szCs w:val="22"/>
              </w:rPr>
              <w:t xml:space="preserve">requires separate </w:t>
            </w:r>
            <w:r w:rsidRPr="00997765">
              <w:rPr>
                <w:rFonts w:ascii="Arial Narrow" w:hAnsi="Arial Narrow"/>
                <w:sz w:val="20"/>
                <w:szCs w:val="22"/>
              </w:rPr>
              <w:t>syringe</w:t>
            </w:r>
          </w:p>
        </w:tc>
      </w:tr>
      <w:tr w:rsidR="007968EE" w:rsidRPr="00997765" w:rsidTr="007D776A">
        <w:tc>
          <w:tcPr>
            <w:tcW w:w="1446" w:type="dxa"/>
          </w:tcPr>
          <w:p w:rsidR="007968EE" w:rsidRPr="00997765" w:rsidRDefault="007968EE" w:rsidP="0037018B">
            <w:pPr>
              <w:rPr>
                <w:rFonts w:ascii="Arial Narrow" w:hAnsi="Arial Narrow"/>
                <w:sz w:val="20"/>
                <w:szCs w:val="22"/>
              </w:rPr>
            </w:pPr>
            <w:r w:rsidRPr="00997765">
              <w:rPr>
                <w:rFonts w:ascii="Arial Narrow" w:hAnsi="Arial Narrow"/>
                <w:sz w:val="20"/>
                <w:szCs w:val="22"/>
              </w:rPr>
              <w:t>Indication</w:t>
            </w:r>
            <w:r w:rsidR="00D14F84" w:rsidRPr="00997765">
              <w:rPr>
                <w:rFonts w:ascii="Arial Narrow" w:hAnsi="Arial Narrow"/>
                <w:sz w:val="20"/>
                <w:szCs w:val="22"/>
              </w:rPr>
              <w:t>s</w:t>
            </w:r>
          </w:p>
        </w:tc>
        <w:tc>
          <w:tcPr>
            <w:tcW w:w="3458" w:type="dxa"/>
          </w:tcPr>
          <w:p w:rsidR="007968EE" w:rsidRPr="00997765" w:rsidRDefault="00746FD4" w:rsidP="0037018B">
            <w:pPr>
              <w:jc w:val="both"/>
              <w:rPr>
                <w:rFonts w:ascii="Arial Narrow" w:hAnsi="Arial Narrow"/>
                <w:sz w:val="20"/>
                <w:szCs w:val="22"/>
              </w:rPr>
            </w:pPr>
            <w:r w:rsidRPr="00997765">
              <w:rPr>
                <w:rFonts w:ascii="Arial Narrow" w:hAnsi="Arial Narrow"/>
                <w:sz w:val="20"/>
                <w:szCs w:val="22"/>
              </w:rPr>
              <w:t>Rheumatoid arthritis</w:t>
            </w:r>
            <w:r w:rsidR="007968EE" w:rsidRPr="00997765">
              <w:rPr>
                <w:rFonts w:ascii="Arial Narrow" w:hAnsi="Arial Narrow"/>
                <w:sz w:val="20"/>
                <w:szCs w:val="22"/>
              </w:rPr>
              <w:t xml:space="preserve">: Management of severe, recalcitrant, active rheumatoid arthritis </w:t>
            </w:r>
          </w:p>
          <w:p w:rsidR="00565133" w:rsidRPr="00997765" w:rsidRDefault="00565133" w:rsidP="0037018B">
            <w:pPr>
              <w:jc w:val="both"/>
              <w:rPr>
                <w:rFonts w:ascii="Arial Narrow" w:hAnsi="Arial Narrow"/>
                <w:sz w:val="20"/>
                <w:szCs w:val="22"/>
              </w:rPr>
            </w:pPr>
          </w:p>
          <w:p w:rsidR="007968EE" w:rsidRPr="00997765" w:rsidRDefault="00746FD4" w:rsidP="00565133">
            <w:pPr>
              <w:jc w:val="both"/>
              <w:rPr>
                <w:rFonts w:ascii="Arial Narrow" w:hAnsi="Arial Narrow"/>
                <w:sz w:val="20"/>
                <w:szCs w:val="22"/>
              </w:rPr>
            </w:pPr>
            <w:r w:rsidRPr="00997765">
              <w:rPr>
                <w:rFonts w:ascii="Arial Narrow" w:hAnsi="Arial Narrow"/>
                <w:sz w:val="20"/>
                <w:szCs w:val="22"/>
              </w:rPr>
              <w:t>Psoriasis</w:t>
            </w:r>
            <w:r w:rsidR="007968EE" w:rsidRPr="00997765">
              <w:rPr>
                <w:rFonts w:ascii="Arial Narrow" w:hAnsi="Arial Narrow"/>
                <w:sz w:val="20"/>
                <w:szCs w:val="22"/>
              </w:rPr>
              <w:t>:</w:t>
            </w:r>
            <w:r w:rsidR="007D776A" w:rsidRPr="00997765">
              <w:rPr>
                <w:rFonts w:ascii="Arial Narrow" w:hAnsi="Arial Narrow"/>
                <w:sz w:val="20"/>
                <w:szCs w:val="22"/>
              </w:rPr>
              <w:t xml:space="preserve"> </w:t>
            </w:r>
            <w:r w:rsidR="00565133" w:rsidRPr="00997765">
              <w:rPr>
                <w:rFonts w:ascii="Arial Narrow" w:hAnsi="Arial Narrow"/>
                <w:sz w:val="20"/>
                <w:szCs w:val="22"/>
              </w:rPr>
              <w:t>S</w:t>
            </w:r>
            <w:r w:rsidR="007968EE" w:rsidRPr="00997765">
              <w:rPr>
                <w:rFonts w:ascii="Arial Narrow" w:hAnsi="Arial Narrow"/>
                <w:sz w:val="20"/>
                <w:szCs w:val="22"/>
              </w:rPr>
              <w:t>ymptomatic control of severe, recalcitrant, disabling psoriasis in adults which is not adequately responsive to other forms of treatment</w:t>
            </w:r>
          </w:p>
        </w:tc>
        <w:tc>
          <w:tcPr>
            <w:tcW w:w="3459" w:type="dxa"/>
          </w:tcPr>
          <w:p w:rsidR="007968EE" w:rsidRPr="00997765" w:rsidRDefault="00746FD4" w:rsidP="0037018B">
            <w:pPr>
              <w:jc w:val="both"/>
              <w:rPr>
                <w:rFonts w:ascii="Arial Narrow" w:hAnsi="Arial Narrow"/>
                <w:sz w:val="20"/>
                <w:szCs w:val="22"/>
              </w:rPr>
            </w:pPr>
            <w:r w:rsidRPr="00997765">
              <w:rPr>
                <w:rFonts w:ascii="Arial Narrow" w:hAnsi="Arial Narrow"/>
                <w:sz w:val="20"/>
                <w:szCs w:val="22"/>
              </w:rPr>
              <w:t>Rheumatoid arthritis</w:t>
            </w:r>
            <w:r w:rsidR="001F5474" w:rsidRPr="00997765">
              <w:rPr>
                <w:rFonts w:ascii="Arial Narrow" w:hAnsi="Arial Narrow"/>
                <w:sz w:val="20"/>
                <w:szCs w:val="22"/>
              </w:rPr>
              <w:t>: Not TGA registered but  c</w:t>
            </w:r>
            <w:r w:rsidR="009578FC" w:rsidRPr="00997765">
              <w:rPr>
                <w:rFonts w:ascii="Arial Narrow" w:hAnsi="Arial Narrow"/>
                <w:sz w:val="20"/>
                <w:szCs w:val="22"/>
              </w:rPr>
              <w:t>urrently recommended for moderate-to-severe rheumatoid arthritis (AMH, 2016</w:t>
            </w:r>
            <w:r w:rsidR="00F55D8D" w:rsidRPr="00997765">
              <w:rPr>
                <w:rFonts w:ascii="Arial Narrow" w:hAnsi="Arial Narrow"/>
                <w:sz w:val="20"/>
                <w:szCs w:val="22"/>
              </w:rPr>
              <w:t xml:space="preserve">; </w:t>
            </w:r>
            <w:proofErr w:type="spellStart"/>
            <w:r w:rsidR="00F55D8D" w:rsidRPr="00997765">
              <w:rPr>
                <w:rFonts w:ascii="Arial Narrow" w:hAnsi="Arial Narrow"/>
                <w:sz w:val="20"/>
                <w:szCs w:val="22"/>
              </w:rPr>
              <w:t>eTG</w:t>
            </w:r>
            <w:proofErr w:type="spellEnd"/>
            <w:r w:rsidR="00F55D8D" w:rsidRPr="00997765">
              <w:rPr>
                <w:rFonts w:ascii="Arial Narrow" w:hAnsi="Arial Narrow"/>
                <w:sz w:val="20"/>
                <w:szCs w:val="22"/>
              </w:rPr>
              <w:t xml:space="preserve"> 2015</w:t>
            </w:r>
            <w:r w:rsidR="009578FC" w:rsidRPr="00997765">
              <w:rPr>
                <w:rFonts w:ascii="Arial Narrow" w:hAnsi="Arial Narrow"/>
                <w:sz w:val="20"/>
                <w:szCs w:val="22"/>
              </w:rPr>
              <w:t>)</w:t>
            </w:r>
            <w:r w:rsidR="007D776A" w:rsidRPr="00997765">
              <w:rPr>
                <w:rFonts w:ascii="Arial Narrow" w:hAnsi="Arial Narrow"/>
                <w:sz w:val="20"/>
                <w:szCs w:val="22"/>
              </w:rPr>
              <w:t xml:space="preserve"> </w:t>
            </w:r>
          </w:p>
          <w:p w:rsidR="00746FD4" w:rsidRPr="00997765" w:rsidRDefault="00746FD4" w:rsidP="0037018B">
            <w:pPr>
              <w:jc w:val="both"/>
              <w:rPr>
                <w:rFonts w:ascii="Arial Narrow" w:hAnsi="Arial Narrow"/>
                <w:sz w:val="20"/>
                <w:szCs w:val="22"/>
              </w:rPr>
            </w:pPr>
          </w:p>
          <w:p w:rsidR="007D776A" w:rsidRPr="00997765" w:rsidRDefault="007968EE" w:rsidP="0037018B">
            <w:pPr>
              <w:jc w:val="both"/>
              <w:rPr>
                <w:rFonts w:ascii="Arial Narrow" w:hAnsi="Arial Narrow"/>
                <w:sz w:val="20"/>
                <w:szCs w:val="22"/>
              </w:rPr>
            </w:pPr>
            <w:r w:rsidRPr="00997765">
              <w:rPr>
                <w:rFonts w:ascii="Arial Narrow" w:hAnsi="Arial Narrow"/>
                <w:sz w:val="20"/>
                <w:szCs w:val="22"/>
              </w:rPr>
              <w:t>Psoriasis:</w:t>
            </w:r>
            <w:r w:rsidR="007D776A" w:rsidRPr="00997765">
              <w:rPr>
                <w:rFonts w:ascii="Arial Narrow" w:hAnsi="Arial Narrow"/>
                <w:sz w:val="20"/>
                <w:szCs w:val="22"/>
              </w:rPr>
              <w:t xml:space="preserve"> </w:t>
            </w:r>
            <w:r w:rsidR="00565133" w:rsidRPr="00997765">
              <w:rPr>
                <w:rFonts w:ascii="Arial Narrow" w:hAnsi="Arial Narrow"/>
                <w:sz w:val="20"/>
                <w:szCs w:val="22"/>
              </w:rPr>
              <w:t>S</w:t>
            </w:r>
            <w:r w:rsidRPr="00997765">
              <w:rPr>
                <w:rFonts w:ascii="Arial Narrow" w:hAnsi="Arial Narrow"/>
                <w:sz w:val="20"/>
                <w:szCs w:val="22"/>
              </w:rPr>
              <w:t>ymptomatic control of severe, recalcitrant, disabling psoriasis in adults which is not adequately responsi</w:t>
            </w:r>
            <w:r w:rsidR="00E976CA" w:rsidRPr="00997765">
              <w:rPr>
                <w:rFonts w:ascii="Arial Narrow" w:hAnsi="Arial Narrow"/>
                <w:sz w:val="20"/>
                <w:szCs w:val="22"/>
              </w:rPr>
              <w:t>ve to other forms of treatment</w:t>
            </w:r>
          </w:p>
          <w:p w:rsidR="00565133" w:rsidRPr="00997765" w:rsidRDefault="00565133" w:rsidP="0037018B">
            <w:pPr>
              <w:jc w:val="both"/>
              <w:rPr>
                <w:rFonts w:ascii="Arial Narrow" w:hAnsi="Arial Narrow"/>
                <w:sz w:val="20"/>
                <w:szCs w:val="22"/>
              </w:rPr>
            </w:pPr>
          </w:p>
          <w:p w:rsidR="007D776A" w:rsidRPr="00997765" w:rsidRDefault="00F440F2" w:rsidP="00F55D8D">
            <w:pPr>
              <w:jc w:val="both"/>
              <w:rPr>
                <w:rFonts w:ascii="Arial Narrow" w:hAnsi="Arial Narrow"/>
                <w:sz w:val="20"/>
                <w:szCs w:val="22"/>
              </w:rPr>
            </w:pPr>
            <w:r w:rsidRPr="00997765">
              <w:rPr>
                <w:rFonts w:ascii="Arial Narrow" w:hAnsi="Arial Narrow"/>
                <w:sz w:val="20"/>
                <w:szCs w:val="22"/>
              </w:rPr>
              <w:t xml:space="preserve">TGA registered for antineoplastic chemotherapy </w:t>
            </w:r>
            <w:r w:rsidR="007D776A" w:rsidRPr="00997765">
              <w:rPr>
                <w:rFonts w:ascii="Arial Narrow" w:hAnsi="Arial Narrow"/>
                <w:sz w:val="20"/>
                <w:szCs w:val="22"/>
              </w:rPr>
              <w:t>a</w:t>
            </w:r>
            <w:r w:rsidRPr="00997765">
              <w:rPr>
                <w:rFonts w:ascii="Arial Narrow" w:hAnsi="Arial Narrow"/>
                <w:sz w:val="20"/>
                <w:szCs w:val="22"/>
              </w:rPr>
              <w:t>nd various oncology indications</w:t>
            </w:r>
            <w:r w:rsidR="00DA027F" w:rsidRPr="00997765">
              <w:rPr>
                <w:rFonts w:ascii="Arial Narrow" w:hAnsi="Arial Narrow"/>
                <w:sz w:val="20"/>
                <w:szCs w:val="22"/>
              </w:rPr>
              <w:t xml:space="preserve">. </w:t>
            </w:r>
            <w:r w:rsidRPr="00997765">
              <w:rPr>
                <w:rFonts w:ascii="Arial Narrow" w:hAnsi="Arial Narrow"/>
                <w:sz w:val="20"/>
                <w:szCs w:val="22"/>
              </w:rPr>
              <w:t>Also c</w:t>
            </w:r>
            <w:r w:rsidR="00DA027F" w:rsidRPr="00997765">
              <w:rPr>
                <w:rFonts w:ascii="Arial Narrow" w:hAnsi="Arial Narrow"/>
                <w:sz w:val="20"/>
                <w:szCs w:val="22"/>
              </w:rPr>
              <w:t>urrently recommended for use in variou</w:t>
            </w:r>
            <w:r w:rsidR="00F55D8D" w:rsidRPr="00997765">
              <w:rPr>
                <w:rFonts w:ascii="Arial Narrow" w:hAnsi="Arial Narrow"/>
                <w:sz w:val="20"/>
                <w:szCs w:val="22"/>
              </w:rPr>
              <w:t xml:space="preserve">s autoimmune diseases (AMH, 2016; </w:t>
            </w:r>
            <w:proofErr w:type="spellStart"/>
            <w:r w:rsidR="00F55D8D" w:rsidRPr="00997765">
              <w:rPr>
                <w:rFonts w:ascii="Arial Narrow" w:hAnsi="Arial Narrow"/>
                <w:sz w:val="20"/>
                <w:szCs w:val="22"/>
              </w:rPr>
              <w:t>eTG</w:t>
            </w:r>
            <w:proofErr w:type="spellEnd"/>
            <w:r w:rsidR="00F55D8D" w:rsidRPr="00997765">
              <w:rPr>
                <w:rFonts w:ascii="Arial Narrow" w:hAnsi="Arial Narrow"/>
                <w:sz w:val="20"/>
                <w:szCs w:val="22"/>
              </w:rPr>
              <w:t xml:space="preserve"> 2015) </w:t>
            </w:r>
          </w:p>
        </w:tc>
      </w:tr>
      <w:tr w:rsidR="006E0976" w:rsidRPr="00997765" w:rsidTr="007D776A">
        <w:tc>
          <w:tcPr>
            <w:tcW w:w="1446" w:type="dxa"/>
          </w:tcPr>
          <w:p w:rsidR="006E0976" w:rsidRPr="00997765" w:rsidRDefault="006E0976" w:rsidP="0037018B">
            <w:pPr>
              <w:rPr>
                <w:rFonts w:ascii="Arial Narrow" w:hAnsi="Arial Narrow"/>
                <w:sz w:val="20"/>
                <w:szCs w:val="22"/>
              </w:rPr>
            </w:pPr>
            <w:r w:rsidRPr="00997765">
              <w:rPr>
                <w:rFonts w:ascii="Arial Narrow" w:hAnsi="Arial Narrow"/>
                <w:sz w:val="20"/>
                <w:szCs w:val="22"/>
              </w:rPr>
              <w:t>PBS restriction</w:t>
            </w:r>
          </w:p>
        </w:tc>
        <w:tc>
          <w:tcPr>
            <w:tcW w:w="3458" w:type="dxa"/>
          </w:tcPr>
          <w:p w:rsidR="006E0976" w:rsidRPr="00997765" w:rsidRDefault="006E0976" w:rsidP="0037018B">
            <w:pPr>
              <w:jc w:val="both"/>
              <w:rPr>
                <w:rFonts w:ascii="Arial Narrow" w:hAnsi="Arial Narrow"/>
                <w:sz w:val="20"/>
                <w:szCs w:val="22"/>
              </w:rPr>
            </w:pPr>
            <w:r w:rsidRPr="00997765">
              <w:rPr>
                <w:rFonts w:ascii="Arial Narrow" w:hAnsi="Arial Narrow"/>
                <w:sz w:val="20"/>
                <w:szCs w:val="22"/>
              </w:rPr>
              <w:t>Restricted benefit: Severe, recalcitrant, active rheumatoid arthritis or psoriasis</w:t>
            </w:r>
            <w:r w:rsidR="007C21FF" w:rsidRPr="00997765">
              <w:rPr>
                <w:rFonts w:ascii="Arial Narrow" w:hAnsi="Arial Narrow"/>
                <w:sz w:val="20"/>
                <w:szCs w:val="22"/>
              </w:rPr>
              <w:t xml:space="preserve"> [Requested listing] </w:t>
            </w:r>
          </w:p>
        </w:tc>
        <w:tc>
          <w:tcPr>
            <w:tcW w:w="3459" w:type="dxa"/>
          </w:tcPr>
          <w:p w:rsidR="006E0976" w:rsidRPr="00997765" w:rsidRDefault="006E0976" w:rsidP="0037018B">
            <w:pPr>
              <w:jc w:val="both"/>
              <w:rPr>
                <w:rFonts w:ascii="Arial Narrow" w:hAnsi="Arial Narrow"/>
                <w:sz w:val="20"/>
                <w:szCs w:val="22"/>
              </w:rPr>
            </w:pPr>
            <w:r w:rsidRPr="00997765">
              <w:rPr>
                <w:rFonts w:ascii="Arial Narrow" w:hAnsi="Arial Narrow"/>
                <w:sz w:val="20"/>
                <w:szCs w:val="22"/>
              </w:rPr>
              <w:t>Unrestricted</w:t>
            </w:r>
          </w:p>
        </w:tc>
      </w:tr>
      <w:tr w:rsidR="007968EE" w:rsidRPr="00997765" w:rsidTr="007D776A">
        <w:tc>
          <w:tcPr>
            <w:tcW w:w="1446" w:type="dxa"/>
          </w:tcPr>
          <w:p w:rsidR="007968EE" w:rsidRPr="00997765" w:rsidRDefault="007968EE" w:rsidP="0037018B">
            <w:pPr>
              <w:rPr>
                <w:rFonts w:ascii="Arial Narrow" w:hAnsi="Arial Narrow"/>
                <w:sz w:val="20"/>
                <w:szCs w:val="22"/>
              </w:rPr>
            </w:pPr>
            <w:r w:rsidRPr="00997765">
              <w:rPr>
                <w:rFonts w:ascii="Arial Narrow" w:hAnsi="Arial Narrow"/>
                <w:sz w:val="20"/>
                <w:szCs w:val="22"/>
              </w:rPr>
              <w:t>Route of administration</w:t>
            </w:r>
          </w:p>
        </w:tc>
        <w:tc>
          <w:tcPr>
            <w:tcW w:w="3458" w:type="dxa"/>
          </w:tcPr>
          <w:p w:rsidR="00E976CA" w:rsidRPr="00997765" w:rsidRDefault="00E976CA" w:rsidP="00805FAD">
            <w:pPr>
              <w:spacing w:after="1000"/>
              <w:jc w:val="both"/>
              <w:rPr>
                <w:rFonts w:ascii="Arial Narrow" w:hAnsi="Arial Narrow"/>
                <w:sz w:val="20"/>
                <w:szCs w:val="22"/>
              </w:rPr>
            </w:pPr>
            <w:r w:rsidRPr="00997765">
              <w:rPr>
                <w:rFonts w:ascii="Arial Narrow" w:hAnsi="Arial Narrow"/>
                <w:sz w:val="20"/>
                <w:szCs w:val="22"/>
              </w:rPr>
              <w:t>Subcutaneous</w:t>
            </w:r>
            <w:r w:rsidR="007968EE" w:rsidRPr="00997765">
              <w:rPr>
                <w:rFonts w:ascii="Arial Narrow" w:hAnsi="Arial Narrow"/>
                <w:sz w:val="20"/>
                <w:szCs w:val="22"/>
              </w:rPr>
              <w:t xml:space="preserve"> </w:t>
            </w:r>
            <w:r w:rsidR="00D14F84" w:rsidRPr="00997765">
              <w:rPr>
                <w:rFonts w:ascii="Arial Narrow" w:hAnsi="Arial Narrow"/>
                <w:sz w:val="20"/>
                <w:szCs w:val="22"/>
              </w:rPr>
              <w:t>injection</w:t>
            </w:r>
          </w:p>
          <w:p w:rsidR="007968EE" w:rsidRPr="00997765" w:rsidRDefault="007968EE" w:rsidP="0037018B">
            <w:pPr>
              <w:jc w:val="both"/>
              <w:rPr>
                <w:rFonts w:ascii="Arial Narrow" w:hAnsi="Arial Narrow"/>
                <w:sz w:val="20"/>
                <w:szCs w:val="22"/>
              </w:rPr>
            </w:pPr>
            <w:r w:rsidRPr="00997765">
              <w:rPr>
                <w:rFonts w:ascii="Arial Narrow" w:hAnsi="Arial Narrow"/>
                <w:sz w:val="20"/>
                <w:szCs w:val="22"/>
              </w:rPr>
              <w:t>If the clinical situation permits</w:t>
            </w:r>
            <w:r w:rsidR="007C21FF" w:rsidRPr="00997765">
              <w:rPr>
                <w:rFonts w:ascii="Arial Narrow" w:hAnsi="Arial Narrow"/>
                <w:sz w:val="20"/>
                <w:szCs w:val="22"/>
              </w:rPr>
              <w:t>,</w:t>
            </w:r>
            <w:r w:rsidRPr="00997765">
              <w:rPr>
                <w:rFonts w:ascii="Arial Narrow" w:hAnsi="Arial Narrow"/>
                <w:sz w:val="20"/>
                <w:szCs w:val="22"/>
              </w:rPr>
              <w:t xml:space="preserve"> the treating physician can delegate administration to the patient or caregiver</w:t>
            </w:r>
          </w:p>
        </w:tc>
        <w:tc>
          <w:tcPr>
            <w:tcW w:w="3459" w:type="dxa"/>
          </w:tcPr>
          <w:p w:rsidR="00F55D8D" w:rsidRPr="00997765" w:rsidRDefault="007968EE" w:rsidP="00F55D8D">
            <w:pPr>
              <w:jc w:val="both"/>
              <w:rPr>
                <w:rFonts w:ascii="Arial Narrow" w:hAnsi="Arial Narrow"/>
                <w:sz w:val="20"/>
                <w:szCs w:val="22"/>
              </w:rPr>
            </w:pPr>
            <w:r w:rsidRPr="00997765">
              <w:rPr>
                <w:rFonts w:ascii="Arial Narrow" w:hAnsi="Arial Narrow"/>
                <w:sz w:val="20"/>
                <w:szCs w:val="22"/>
              </w:rPr>
              <w:t xml:space="preserve">Intramuscular, intravenous, </w:t>
            </w:r>
            <w:r w:rsidR="00156CC1" w:rsidRPr="00997765">
              <w:rPr>
                <w:rFonts w:ascii="Arial Narrow" w:hAnsi="Arial Narrow"/>
                <w:sz w:val="20"/>
                <w:szCs w:val="22"/>
              </w:rPr>
              <w:t>intra-arterial</w:t>
            </w:r>
            <w:r w:rsidRPr="00997765">
              <w:rPr>
                <w:rFonts w:ascii="Arial Narrow" w:hAnsi="Arial Narrow"/>
                <w:sz w:val="20"/>
                <w:szCs w:val="22"/>
              </w:rPr>
              <w:t>, intrathecal</w:t>
            </w:r>
            <w:r w:rsidR="00D14F84" w:rsidRPr="00997765">
              <w:rPr>
                <w:rFonts w:ascii="Arial Narrow" w:hAnsi="Arial Narrow"/>
                <w:sz w:val="20"/>
                <w:szCs w:val="22"/>
              </w:rPr>
              <w:t xml:space="preserve"> injection</w:t>
            </w:r>
            <w:r w:rsidR="00746FD4" w:rsidRPr="00997765">
              <w:rPr>
                <w:rFonts w:ascii="Arial Narrow" w:hAnsi="Arial Narrow"/>
                <w:sz w:val="20"/>
                <w:szCs w:val="22"/>
              </w:rPr>
              <w:t xml:space="preserve">. </w:t>
            </w:r>
            <w:r w:rsidR="001F5474" w:rsidRPr="00997765">
              <w:rPr>
                <w:rFonts w:ascii="Arial Narrow" w:hAnsi="Arial Narrow"/>
                <w:sz w:val="20"/>
                <w:szCs w:val="22"/>
              </w:rPr>
              <w:t>Subcutaneous dosing is not</w:t>
            </w:r>
            <w:r w:rsidR="00E976CA" w:rsidRPr="00997765">
              <w:rPr>
                <w:rFonts w:ascii="Arial Narrow" w:hAnsi="Arial Narrow"/>
                <w:sz w:val="20"/>
                <w:szCs w:val="22"/>
              </w:rPr>
              <w:t xml:space="preserve"> included in the product information</w:t>
            </w:r>
            <w:r w:rsidR="001F5474" w:rsidRPr="00997765">
              <w:rPr>
                <w:rFonts w:ascii="Arial Narrow" w:hAnsi="Arial Narrow"/>
                <w:sz w:val="20"/>
                <w:szCs w:val="22"/>
              </w:rPr>
              <w:t xml:space="preserve"> but is an accepted rout</w:t>
            </w:r>
            <w:r w:rsidR="00E976CA" w:rsidRPr="00997765">
              <w:rPr>
                <w:rFonts w:ascii="Arial Narrow" w:hAnsi="Arial Narrow"/>
                <w:sz w:val="20"/>
                <w:szCs w:val="22"/>
              </w:rPr>
              <w:t xml:space="preserve">e of administration </w:t>
            </w:r>
            <w:r w:rsidR="00F55D8D" w:rsidRPr="00997765">
              <w:rPr>
                <w:rFonts w:ascii="Arial Narrow" w:hAnsi="Arial Narrow"/>
                <w:sz w:val="20"/>
                <w:szCs w:val="22"/>
              </w:rPr>
              <w:t xml:space="preserve">(AMH, 2016; </w:t>
            </w:r>
            <w:proofErr w:type="spellStart"/>
            <w:r w:rsidR="00F55D8D" w:rsidRPr="00997765">
              <w:rPr>
                <w:rFonts w:ascii="Arial Narrow" w:hAnsi="Arial Narrow"/>
                <w:sz w:val="20"/>
                <w:szCs w:val="22"/>
              </w:rPr>
              <w:t>eTG</w:t>
            </w:r>
            <w:proofErr w:type="spellEnd"/>
            <w:r w:rsidR="00F55D8D" w:rsidRPr="00997765">
              <w:rPr>
                <w:rFonts w:ascii="Arial Narrow" w:hAnsi="Arial Narrow"/>
                <w:sz w:val="20"/>
                <w:szCs w:val="22"/>
              </w:rPr>
              <w:t xml:space="preserve"> 2015) </w:t>
            </w:r>
          </w:p>
          <w:p w:rsidR="001F5474" w:rsidRPr="00997765" w:rsidRDefault="001F5474" w:rsidP="0037018B">
            <w:pPr>
              <w:jc w:val="both"/>
              <w:rPr>
                <w:rFonts w:ascii="Arial Narrow" w:hAnsi="Arial Narrow"/>
                <w:sz w:val="20"/>
                <w:szCs w:val="22"/>
              </w:rPr>
            </w:pPr>
          </w:p>
          <w:p w:rsidR="001F5474" w:rsidRPr="00997765" w:rsidRDefault="001F5474" w:rsidP="0037018B">
            <w:pPr>
              <w:jc w:val="both"/>
              <w:rPr>
                <w:rFonts w:ascii="Arial Narrow" w:hAnsi="Arial Narrow"/>
                <w:sz w:val="20"/>
                <w:szCs w:val="22"/>
              </w:rPr>
            </w:pPr>
            <w:r w:rsidRPr="00997765">
              <w:rPr>
                <w:rFonts w:ascii="Arial Narrow" w:hAnsi="Arial Narrow"/>
                <w:sz w:val="20"/>
                <w:szCs w:val="22"/>
              </w:rPr>
              <w:t>Should only be administered by a healthcare professional</w:t>
            </w:r>
          </w:p>
        </w:tc>
      </w:tr>
      <w:tr w:rsidR="007968EE" w:rsidRPr="00997765" w:rsidTr="007D776A">
        <w:tc>
          <w:tcPr>
            <w:tcW w:w="1446" w:type="dxa"/>
          </w:tcPr>
          <w:p w:rsidR="007968EE" w:rsidRPr="00997765" w:rsidRDefault="007968EE" w:rsidP="0037018B">
            <w:pPr>
              <w:rPr>
                <w:rFonts w:ascii="Arial Narrow" w:hAnsi="Arial Narrow"/>
                <w:sz w:val="20"/>
                <w:szCs w:val="22"/>
              </w:rPr>
            </w:pPr>
            <w:r w:rsidRPr="00997765">
              <w:rPr>
                <w:rFonts w:ascii="Arial Narrow" w:hAnsi="Arial Narrow"/>
                <w:sz w:val="20"/>
                <w:szCs w:val="22"/>
              </w:rPr>
              <w:t>Dose</w:t>
            </w:r>
          </w:p>
        </w:tc>
        <w:tc>
          <w:tcPr>
            <w:tcW w:w="3458" w:type="dxa"/>
          </w:tcPr>
          <w:p w:rsidR="00ED7701" w:rsidRPr="00997765" w:rsidRDefault="00ED7701" w:rsidP="0037018B">
            <w:pPr>
              <w:jc w:val="both"/>
              <w:rPr>
                <w:rFonts w:ascii="Arial Narrow" w:hAnsi="Arial Narrow"/>
                <w:sz w:val="20"/>
                <w:szCs w:val="22"/>
              </w:rPr>
            </w:pPr>
            <w:r w:rsidRPr="00997765">
              <w:rPr>
                <w:rFonts w:ascii="Arial Narrow" w:hAnsi="Arial Narrow"/>
                <w:sz w:val="20"/>
                <w:szCs w:val="22"/>
              </w:rPr>
              <w:t>Product information</w:t>
            </w:r>
          </w:p>
          <w:p w:rsidR="00ED7701" w:rsidRPr="00997765" w:rsidRDefault="00ED7701" w:rsidP="0037018B">
            <w:pPr>
              <w:jc w:val="both"/>
              <w:rPr>
                <w:rFonts w:ascii="Arial Narrow" w:hAnsi="Arial Narrow"/>
                <w:sz w:val="20"/>
                <w:szCs w:val="22"/>
              </w:rPr>
            </w:pPr>
            <w:r w:rsidRPr="00997765">
              <w:rPr>
                <w:rFonts w:ascii="Arial Narrow" w:hAnsi="Arial Narrow"/>
                <w:sz w:val="20"/>
                <w:szCs w:val="22"/>
              </w:rPr>
              <w:t>Rheumatoid arthritis:</w:t>
            </w:r>
            <w:r w:rsidR="00E450CA" w:rsidRPr="00997765">
              <w:rPr>
                <w:rFonts w:ascii="Arial Narrow" w:hAnsi="Arial Narrow"/>
                <w:sz w:val="20"/>
                <w:szCs w:val="22"/>
              </w:rPr>
              <w:t xml:space="preserve"> 7.5-2</w:t>
            </w:r>
            <w:r w:rsidR="004D6A66" w:rsidRPr="00997765">
              <w:rPr>
                <w:rFonts w:ascii="Arial Narrow" w:hAnsi="Arial Narrow"/>
                <w:sz w:val="20"/>
                <w:szCs w:val="22"/>
              </w:rPr>
              <w:t>5 mg</w:t>
            </w:r>
            <w:r w:rsidR="00E450CA" w:rsidRPr="00997765">
              <w:rPr>
                <w:rFonts w:ascii="Arial Narrow" w:hAnsi="Arial Narrow"/>
                <w:sz w:val="20"/>
                <w:szCs w:val="22"/>
              </w:rPr>
              <w:t xml:space="preserve"> per week (should not typically exceed 2</w:t>
            </w:r>
            <w:r w:rsidR="004D6A66" w:rsidRPr="00997765">
              <w:rPr>
                <w:rFonts w:ascii="Arial Narrow" w:hAnsi="Arial Narrow"/>
                <w:sz w:val="20"/>
                <w:szCs w:val="22"/>
              </w:rPr>
              <w:t>0 mg</w:t>
            </w:r>
            <w:r w:rsidR="00E450CA" w:rsidRPr="00997765">
              <w:rPr>
                <w:rFonts w:ascii="Arial Narrow" w:hAnsi="Arial Narrow"/>
                <w:sz w:val="20"/>
                <w:szCs w:val="22"/>
              </w:rPr>
              <w:t>)</w:t>
            </w:r>
          </w:p>
          <w:p w:rsidR="007968EE" w:rsidRPr="00997765" w:rsidRDefault="00ED7701" w:rsidP="0037018B">
            <w:pPr>
              <w:jc w:val="both"/>
              <w:rPr>
                <w:rFonts w:ascii="Arial Narrow" w:hAnsi="Arial Narrow"/>
                <w:sz w:val="20"/>
                <w:szCs w:val="22"/>
              </w:rPr>
            </w:pPr>
            <w:r w:rsidRPr="00997765">
              <w:rPr>
                <w:rFonts w:ascii="Arial Narrow" w:hAnsi="Arial Narrow"/>
                <w:sz w:val="20"/>
                <w:szCs w:val="22"/>
              </w:rPr>
              <w:t xml:space="preserve">Psoriasis: </w:t>
            </w:r>
            <w:r w:rsidR="00E450CA" w:rsidRPr="00997765">
              <w:rPr>
                <w:rFonts w:ascii="Arial Narrow" w:hAnsi="Arial Narrow"/>
                <w:sz w:val="20"/>
                <w:szCs w:val="22"/>
              </w:rPr>
              <w:t>7.5-2</w:t>
            </w:r>
            <w:r w:rsidR="004D6A66" w:rsidRPr="00997765">
              <w:rPr>
                <w:rFonts w:ascii="Arial Narrow" w:hAnsi="Arial Narrow"/>
                <w:sz w:val="20"/>
                <w:szCs w:val="22"/>
              </w:rPr>
              <w:t>5 mg</w:t>
            </w:r>
            <w:r w:rsidR="00E450CA" w:rsidRPr="00997765">
              <w:rPr>
                <w:rFonts w:ascii="Arial Narrow" w:hAnsi="Arial Narrow"/>
                <w:sz w:val="20"/>
                <w:szCs w:val="22"/>
              </w:rPr>
              <w:t xml:space="preserve"> per week (should not typically exceed 2</w:t>
            </w:r>
            <w:r w:rsidR="004D6A66" w:rsidRPr="00997765">
              <w:rPr>
                <w:rFonts w:ascii="Arial Narrow" w:hAnsi="Arial Narrow"/>
                <w:sz w:val="20"/>
                <w:szCs w:val="22"/>
              </w:rPr>
              <w:t>0 mg</w:t>
            </w:r>
            <w:r w:rsidR="00E450CA" w:rsidRPr="00997765">
              <w:rPr>
                <w:rFonts w:ascii="Arial Narrow" w:hAnsi="Arial Narrow"/>
                <w:sz w:val="20"/>
                <w:szCs w:val="22"/>
              </w:rPr>
              <w:t>)</w:t>
            </w:r>
          </w:p>
          <w:p w:rsidR="00E450CA" w:rsidRPr="00997765" w:rsidRDefault="00E450CA" w:rsidP="0037018B">
            <w:pPr>
              <w:jc w:val="both"/>
              <w:rPr>
                <w:rFonts w:ascii="Arial Narrow" w:hAnsi="Arial Narrow"/>
                <w:sz w:val="20"/>
                <w:szCs w:val="22"/>
              </w:rPr>
            </w:pPr>
          </w:p>
          <w:p w:rsidR="007968EE" w:rsidRPr="00997765" w:rsidRDefault="007968EE" w:rsidP="0037018B">
            <w:pPr>
              <w:jc w:val="both"/>
              <w:rPr>
                <w:rFonts w:ascii="Arial Narrow" w:hAnsi="Arial Narrow"/>
                <w:sz w:val="20"/>
                <w:szCs w:val="22"/>
              </w:rPr>
            </w:pPr>
          </w:p>
        </w:tc>
        <w:tc>
          <w:tcPr>
            <w:tcW w:w="3459" w:type="dxa"/>
          </w:tcPr>
          <w:p w:rsidR="00ED7701" w:rsidRPr="00997765" w:rsidRDefault="00ED7701" w:rsidP="0037018B">
            <w:pPr>
              <w:jc w:val="both"/>
              <w:rPr>
                <w:rFonts w:ascii="Arial Narrow" w:hAnsi="Arial Narrow"/>
                <w:sz w:val="20"/>
                <w:szCs w:val="22"/>
              </w:rPr>
            </w:pPr>
            <w:r w:rsidRPr="00997765">
              <w:rPr>
                <w:rFonts w:ascii="Arial Narrow" w:hAnsi="Arial Narrow"/>
                <w:sz w:val="20"/>
                <w:szCs w:val="22"/>
              </w:rPr>
              <w:t>Product information</w:t>
            </w:r>
          </w:p>
          <w:p w:rsidR="00ED7701" w:rsidRPr="00997765" w:rsidRDefault="00ED7701" w:rsidP="00ED7701">
            <w:pPr>
              <w:jc w:val="both"/>
              <w:rPr>
                <w:rFonts w:ascii="Arial Narrow" w:hAnsi="Arial Narrow"/>
                <w:sz w:val="20"/>
                <w:szCs w:val="22"/>
              </w:rPr>
            </w:pPr>
            <w:r w:rsidRPr="00997765">
              <w:rPr>
                <w:rFonts w:ascii="Arial Narrow" w:hAnsi="Arial Narrow"/>
                <w:sz w:val="20"/>
                <w:szCs w:val="22"/>
              </w:rPr>
              <w:t>Rheumatoid arthritis:</w:t>
            </w:r>
            <w:r w:rsidR="00E450CA" w:rsidRPr="00997765">
              <w:rPr>
                <w:rFonts w:ascii="Arial Narrow" w:hAnsi="Arial Narrow"/>
                <w:sz w:val="20"/>
                <w:szCs w:val="22"/>
              </w:rPr>
              <w:t xml:space="preserve"> NA</w:t>
            </w:r>
          </w:p>
          <w:p w:rsidR="00ED7701" w:rsidRPr="00997765" w:rsidRDefault="00ED7701" w:rsidP="00ED7701">
            <w:pPr>
              <w:jc w:val="both"/>
              <w:rPr>
                <w:rFonts w:ascii="Arial Narrow" w:hAnsi="Arial Narrow"/>
                <w:sz w:val="20"/>
                <w:szCs w:val="22"/>
              </w:rPr>
            </w:pPr>
            <w:r w:rsidRPr="00997765">
              <w:rPr>
                <w:rFonts w:ascii="Arial Narrow" w:hAnsi="Arial Narrow"/>
                <w:sz w:val="20"/>
                <w:szCs w:val="22"/>
              </w:rPr>
              <w:t xml:space="preserve">Psoriasis: </w:t>
            </w:r>
            <w:r w:rsidR="00E450CA" w:rsidRPr="00997765">
              <w:rPr>
                <w:rFonts w:ascii="Arial Narrow" w:hAnsi="Arial Narrow"/>
                <w:sz w:val="20"/>
                <w:szCs w:val="22"/>
              </w:rPr>
              <w:t>10-5</w:t>
            </w:r>
            <w:r w:rsidR="004D6A66" w:rsidRPr="00997765">
              <w:rPr>
                <w:rFonts w:ascii="Arial Narrow" w:hAnsi="Arial Narrow"/>
                <w:sz w:val="20"/>
                <w:szCs w:val="22"/>
              </w:rPr>
              <w:t>0 mg</w:t>
            </w:r>
            <w:r w:rsidR="00E450CA" w:rsidRPr="00997765">
              <w:rPr>
                <w:rFonts w:ascii="Arial Narrow" w:hAnsi="Arial Narrow"/>
                <w:sz w:val="20"/>
                <w:szCs w:val="22"/>
              </w:rPr>
              <w:t xml:space="preserve"> per week (should not typically exceed 2</w:t>
            </w:r>
            <w:r w:rsidR="004D6A66" w:rsidRPr="00997765">
              <w:rPr>
                <w:rFonts w:ascii="Arial Narrow" w:hAnsi="Arial Narrow"/>
                <w:sz w:val="20"/>
                <w:szCs w:val="22"/>
              </w:rPr>
              <w:t>5 mg</w:t>
            </w:r>
            <w:r w:rsidR="00E450CA" w:rsidRPr="00997765">
              <w:rPr>
                <w:rFonts w:ascii="Arial Narrow" w:hAnsi="Arial Narrow"/>
                <w:sz w:val="20"/>
                <w:szCs w:val="22"/>
              </w:rPr>
              <w:t>)</w:t>
            </w:r>
          </w:p>
          <w:p w:rsidR="00ED7701" w:rsidRPr="00997765" w:rsidRDefault="00ED7701" w:rsidP="0037018B">
            <w:pPr>
              <w:jc w:val="both"/>
              <w:rPr>
                <w:rFonts w:ascii="Arial Narrow" w:hAnsi="Arial Narrow"/>
                <w:sz w:val="20"/>
                <w:szCs w:val="22"/>
              </w:rPr>
            </w:pPr>
          </w:p>
          <w:p w:rsidR="00ED7701" w:rsidRPr="00997765" w:rsidRDefault="00DA027F" w:rsidP="0037018B">
            <w:pPr>
              <w:jc w:val="both"/>
              <w:rPr>
                <w:rFonts w:ascii="Arial Narrow" w:hAnsi="Arial Narrow"/>
                <w:sz w:val="20"/>
                <w:szCs w:val="22"/>
              </w:rPr>
            </w:pPr>
            <w:r w:rsidRPr="00997765">
              <w:rPr>
                <w:rFonts w:ascii="Arial Narrow" w:hAnsi="Arial Narrow"/>
                <w:sz w:val="20"/>
                <w:szCs w:val="22"/>
              </w:rPr>
              <w:t>Australian Medicines Handbook</w:t>
            </w:r>
            <w:r w:rsidR="00E450CA" w:rsidRPr="00997765">
              <w:rPr>
                <w:rFonts w:ascii="Arial Narrow" w:hAnsi="Arial Narrow"/>
                <w:sz w:val="20"/>
                <w:szCs w:val="22"/>
              </w:rPr>
              <w:t xml:space="preserve"> 2016</w:t>
            </w:r>
          </w:p>
          <w:p w:rsidR="00E450CA" w:rsidRPr="00997765" w:rsidRDefault="00E450CA" w:rsidP="00E450CA">
            <w:pPr>
              <w:jc w:val="both"/>
              <w:rPr>
                <w:rFonts w:ascii="Arial Narrow" w:hAnsi="Arial Narrow"/>
                <w:sz w:val="20"/>
                <w:szCs w:val="22"/>
              </w:rPr>
            </w:pPr>
            <w:r w:rsidRPr="00997765">
              <w:rPr>
                <w:rFonts w:ascii="Arial Narrow" w:hAnsi="Arial Narrow"/>
                <w:sz w:val="20"/>
                <w:szCs w:val="22"/>
              </w:rPr>
              <w:t>Rheumatoid arthritis:</w:t>
            </w:r>
            <w:r w:rsidR="005C4DF2" w:rsidRPr="00997765">
              <w:rPr>
                <w:rFonts w:ascii="Arial Narrow" w:hAnsi="Arial Narrow"/>
                <w:sz w:val="20"/>
                <w:szCs w:val="22"/>
              </w:rPr>
              <w:t xml:space="preserve"> 5-2</w:t>
            </w:r>
            <w:r w:rsidR="004D6A66" w:rsidRPr="00997765">
              <w:rPr>
                <w:rFonts w:ascii="Arial Narrow" w:hAnsi="Arial Narrow"/>
                <w:sz w:val="20"/>
                <w:szCs w:val="22"/>
              </w:rPr>
              <w:t>5 mg</w:t>
            </w:r>
            <w:r w:rsidR="005C4DF2" w:rsidRPr="00997765">
              <w:rPr>
                <w:rFonts w:ascii="Arial Narrow" w:hAnsi="Arial Narrow"/>
                <w:sz w:val="20"/>
                <w:szCs w:val="22"/>
              </w:rPr>
              <w:t xml:space="preserve"> per week</w:t>
            </w:r>
          </w:p>
          <w:p w:rsidR="00E450CA" w:rsidRPr="00997765" w:rsidRDefault="00E450CA" w:rsidP="00E450CA">
            <w:pPr>
              <w:jc w:val="both"/>
              <w:rPr>
                <w:rFonts w:ascii="Arial Narrow" w:hAnsi="Arial Narrow"/>
                <w:sz w:val="20"/>
                <w:szCs w:val="22"/>
              </w:rPr>
            </w:pPr>
            <w:r w:rsidRPr="00997765">
              <w:rPr>
                <w:rFonts w:ascii="Arial Narrow" w:hAnsi="Arial Narrow"/>
                <w:sz w:val="20"/>
                <w:szCs w:val="22"/>
              </w:rPr>
              <w:t xml:space="preserve">Psoriasis: </w:t>
            </w:r>
            <w:r w:rsidR="005C4DF2" w:rsidRPr="00997765">
              <w:rPr>
                <w:rFonts w:ascii="Arial Narrow" w:hAnsi="Arial Narrow"/>
                <w:sz w:val="20"/>
                <w:szCs w:val="22"/>
              </w:rPr>
              <w:t>7.5-3</w:t>
            </w:r>
            <w:r w:rsidR="004D6A66" w:rsidRPr="00997765">
              <w:rPr>
                <w:rFonts w:ascii="Arial Narrow" w:hAnsi="Arial Narrow"/>
                <w:sz w:val="20"/>
                <w:szCs w:val="22"/>
              </w:rPr>
              <w:t>0 mg</w:t>
            </w:r>
            <w:r w:rsidR="005C4DF2" w:rsidRPr="00997765">
              <w:rPr>
                <w:rFonts w:ascii="Arial Narrow" w:hAnsi="Arial Narrow"/>
                <w:sz w:val="20"/>
                <w:szCs w:val="22"/>
              </w:rPr>
              <w:t xml:space="preserve"> per week (should not typically exceed 1</w:t>
            </w:r>
            <w:r w:rsidR="004D6A66" w:rsidRPr="00997765">
              <w:rPr>
                <w:rFonts w:ascii="Arial Narrow" w:hAnsi="Arial Narrow"/>
                <w:sz w:val="20"/>
                <w:szCs w:val="22"/>
              </w:rPr>
              <w:t>5 mg</w:t>
            </w:r>
            <w:r w:rsidR="005C4DF2" w:rsidRPr="00997765">
              <w:rPr>
                <w:rFonts w:ascii="Arial Narrow" w:hAnsi="Arial Narrow"/>
                <w:sz w:val="20"/>
                <w:szCs w:val="22"/>
              </w:rPr>
              <w:t>)</w:t>
            </w:r>
          </w:p>
          <w:p w:rsidR="00E450CA" w:rsidRPr="00997765" w:rsidRDefault="00E450CA" w:rsidP="0037018B">
            <w:pPr>
              <w:jc w:val="both"/>
              <w:rPr>
                <w:rFonts w:ascii="Arial Narrow" w:hAnsi="Arial Narrow"/>
                <w:sz w:val="20"/>
                <w:szCs w:val="22"/>
              </w:rPr>
            </w:pPr>
          </w:p>
          <w:p w:rsidR="00ED7701" w:rsidRPr="00997765" w:rsidRDefault="00E450CA" w:rsidP="0037018B">
            <w:pPr>
              <w:jc w:val="both"/>
              <w:rPr>
                <w:rFonts w:ascii="Arial Narrow" w:hAnsi="Arial Narrow"/>
                <w:sz w:val="20"/>
                <w:szCs w:val="22"/>
              </w:rPr>
            </w:pPr>
            <w:r w:rsidRPr="00997765">
              <w:rPr>
                <w:rFonts w:ascii="Arial Narrow" w:hAnsi="Arial Narrow"/>
                <w:sz w:val="20"/>
                <w:szCs w:val="22"/>
              </w:rPr>
              <w:t>Therapeutic guidelines</w:t>
            </w:r>
            <w:r w:rsidR="005C4DF2" w:rsidRPr="00997765">
              <w:rPr>
                <w:rFonts w:ascii="Arial Narrow" w:hAnsi="Arial Narrow"/>
                <w:sz w:val="20"/>
                <w:szCs w:val="22"/>
              </w:rPr>
              <w:t xml:space="preserve"> 2015</w:t>
            </w:r>
            <w:r w:rsidRPr="00997765">
              <w:rPr>
                <w:rFonts w:ascii="Arial Narrow" w:hAnsi="Arial Narrow"/>
                <w:sz w:val="20"/>
                <w:szCs w:val="22"/>
              </w:rPr>
              <w:t>:</w:t>
            </w:r>
          </w:p>
          <w:p w:rsidR="00E450CA" w:rsidRPr="00997765" w:rsidRDefault="00E450CA" w:rsidP="00E450CA">
            <w:pPr>
              <w:jc w:val="both"/>
              <w:rPr>
                <w:rFonts w:ascii="Arial Narrow" w:hAnsi="Arial Narrow"/>
                <w:sz w:val="20"/>
                <w:szCs w:val="22"/>
              </w:rPr>
            </w:pPr>
            <w:r w:rsidRPr="00997765">
              <w:rPr>
                <w:rFonts w:ascii="Arial Narrow" w:hAnsi="Arial Narrow"/>
                <w:sz w:val="20"/>
                <w:szCs w:val="22"/>
              </w:rPr>
              <w:t>Rheumatoid arthritis:</w:t>
            </w:r>
            <w:r w:rsidR="005C4DF2" w:rsidRPr="00997765">
              <w:rPr>
                <w:rFonts w:ascii="Arial Narrow" w:hAnsi="Arial Narrow"/>
                <w:sz w:val="20"/>
                <w:szCs w:val="22"/>
              </w:rPr>
              <w:t xml:space="preserve"> 5-2</w:t>
            </w:r>
            <w:r w:rsidR="004D6A66" w:rsidRPr="00997765">
              <w:rPr>
                <w:rFonts w:ascii="Arial Narrow" w:hAnsi="Arial Narrow"/>
                <w:sz w:val="20"/>
                <w:szCs w:val="22"/>
              </w:rPr>
              <w:t>5 mg</w:t>
            </w:r>
            <w:r w:rsidR="005C4DF2" w:rsidRPr="00997765">
              <w:rPr>
                <w:rFonts w:ascii="Arial Narrow" w:hAnsi="Arial Narrow"/>
                <w:sz w:val="20"/>
                <w:szCs w:val="22"/>
              </w:rPr>
              <w:t xml:space="preserve"> per week</w:t>
            </w:r>
          </w:p>
          <w:p w:rsidR="007968EE" w:rsidRPr="00997765" w:rsidRDefault="00E450CA" w:rsidP="0037018B">
            <w:pPr>
              <w:jc w:val="both"/>
              <w:rPr>
                <w:rFonts w:ascii="Arial Narrow" w:hAnsi="Arial Narrow"/>
                <w:sz w:val="20"/>
                <w:szCs w:val="22"/>
              </w:rPr>
            </w:pPr>
            <w:r w:rsidRPr="00997765">
              <w:rPr>
                <w:rFonts w:ascii="Arial Narrow" w:hAnsi="Arial Narrow"/>
                <w:sz w:val="20"/>
                <w:szCs w:val="22"/>
              </w:rPr>
              <w:t xml:space="preserve">Psoriasis: </w:t>
            </w:r>
            <w:r w:rsidR="005C4DF2" w:rsidRPr="00997765">
              <w:rPr>
                <w:rFonts w:ascii="Arial Narrow" w:hAnsi="Arial Narrow"/>
                <w:sz w:val="20"/>
                <w:szCs w:val="22"/>
              </w:rPr>
              <w:t>5-2</w:t>
            </w:r>
            <w:r w:rsidR="004D6A66" w:rsidRPr="00997765">
              <w:rPr>
                <w:rFonts w:ascii="Arial Narrow" w:hAnsi="Arial Narrow"/>
                <w:sz w:val="20"/>
                <w:szCs w:val="22"/>
              </w:rPr>
              <w:t>0 mg</w:t>
            </w:r>
            <w:r w:rsidR="005C4DF2" w:rsidRPr="00997765">
              <w:rPr>
                <w:rFonts w:ascii="Arial Narrow" w:hAnsi="Arial Narrow"/>
                <w:sz w:val="20"/>
                <w:szCs w:val="22"/>
              </w:rPr>
              <w:t xml:space="preserve"> per week</w:t>
            </w:r>
          </w:p>
        </w:tc>
      </w:tr>
    </w:tbl>
    <w:p w:rsidR="00D777AF" w:rsidRPr="00997765" w:rsidRDefault="00D777AF" w:rsidP="007968EE">
      <w:pPr>
        <w:ind w:left="720"/>
        <w:jc w:val="both"/>
        <w:rPr>
          <w:rFonts w:ascii="Arial Narrow" w:hAnsi="Arial Narrow"/>
          <w:sz w:val="18"/>
          <w:szCs w:val="22"/>
        </w:rPr>
      </w:pPr>
      <w:r w:rsidRPr="00997765">
        <w:rPr>
          <w:rFonts w:ascii="Arial Narrow" w:hAnsi="Arial Narrow"/>
          <w:sz w:val="18"/>
          <w:szCs w:val="22"/>
        </w:rPr>
        <w:t>Abbreviations: AMH, Australian Medicines Handbook; NA, not applicable; PBS, Pharmaceutical Benefits Scheme; TGA, Therapeutic Goods Administration</w:t>
      </w:r>
    </w:p>
    <w:p w:rsidR="007968EE" w:rsidRPr="00997765" w:rsidRDefault="00D777AF" w:rsidP="00D777AF">
      <w:pPr>
        <w:ind w:left="720"/>
        <w:jc w:val="both"/>
        <w:rPr>
          <w:rFonts w:ascii="Arial Narrow" w:hAnsi="Arial Narrow"/>
          <w:sz w:val="18"/>
          <w:szCs w:val="22"/>
        </w:rPr>
      </w:pPr>
      <w:r w:rsidRPr="00997765">
        <w:rPr>
          <w:rFonts w:ascii="Arial Narrow" w:hAnsi="Arial Narrow"/>
          <w:sz w:val="18"/>
          <w:szCs w:val="22"/>
        </w:rPr>
        <w:t xml:space="preserve">Source: Table 4 (p </w:t>
      </w:r>
      <w:r w:rsidR="007968EE" w:rsidRPr="00997765">
        <w:rPr>
          <w:rFonts w:ascii="Arial Narrow" w:hAnsi="Arial Narrow"/>
          <w:sz w:val="18"/>
          <w:szCs w:val="22"/>
        </w:rPr>
        <w:t>21-22</w:t>
      </w:r>
      <w:r w:rsidRPr="00997765">
        <w:rPr>
          <w:rFonts w:ascii="Arial Narrow" w:hAnsi="Arial Narrow"/>
          <w:sz w:val="18"/>
          <w:szCs w:val="22"/>
        </w:rPr>
        <w:t>) of the submission; Australian Medicines Handbook (</w:t>
      </w:r>
      <w:r w:rsidRPr="00360D24">
        <w:rPr>
          <w:rFonts w:ascii="Arial Narrow" w:hAnsi="Arial Narrow"/>
          <w:sz w:val="18"/>
          <w:szCs w:val="22"/>
        </w:rPr>
        <w:t>www.amh.net.au</w:t>
      </w:r>
      <w:r w:rsidRPr="00997765">
        <w:rPr>
          <w:rFonts w:ascii="Arial Narrow" w:hAnsi="Arial Narrow"/>
          <w:sz w:val="18"/>
          <w:szCs w:val="22"/>
        </w:rPr>
        <w:t>, accessed 1 February 2016), Electronic Therapeutic Guidelines (</w:t>
      </w:r>
      <w:r w:rsidRPr="00360D24">
        <w:rPr>
          <w:rFonts w:ascii="Arial Narrow" w:hAnsi="Arial Narrow"/>
          <w:sz w:val="18"/>
          <w:szCs w:val="22"/>
        </w:rPr>
        <w:t>www.etg.hcn.com.au</w:t>
      </w:r>
      <w:r w:rsidRPr="00997765">
        <w:rPr>
          <w:rFonts w:ascii="Arial Narrow" w:hAnsi="Arial Narrow"/>
          <w:sz w:val="18"/>
          <w:szCs w:val="22"/>
        </w:rPr>
        <w:t xml:space="preserve">, accessed 1 </w:t>
      </w:r>
      <w:r w:rsidR="00997765" w:rsidRPr="00997765">
        <w:rPr>
          <w:rFonts w:ascii="Arial Narrow" w:hAnsi="Arial Narrow"/>
          <w:sz w:val="18"/>
          <w:szCs w:val="22"/>
        </w:rPr>
        <w:t>February</w:t>
      </w:r>
      <w:r w:rsidRPr="00997765">
        <w:rPr>
          <w:rFonts w:ascii="Arial Narrow" w:hAnsi="Arial Narrow"/>
          <w:sz w:val="18"/>
          <w:szCs w:val="22"/>
        </w:rPr>
        <w:t xml:space="preserve"> 2016; </w:t>
      </w:r>
      <w:proofErr w:type="spellStart"/>
      <w:r w:rsidR="007968EE" w:rsidRPr="00997765">
        <w:rPr>
          <w:rFonts w:ascii="Arial Narrow" w:hAnsi="Arial Narrow"/>
          <w:sz w:val="18"/>
          <w:szCs w:val="22"/>
        </w:rPr>
        <w:t>Trexject</w:t>
      </w:r>
      <w:proofErr w:type="spellEnd"/>
      <w:r w:rsidR="007968EE" w:rsidRPr="00997765">
        <w:rPr>
          <w:rFonts w:ascii="Arial Narrow" w:hAnsi="Arial Narrow"/>
          <w:sz w:val="18"/>
          <w:szCs w:val="22"/>
          <w:vertAlign w:val="superscript"/>
        </w:rPr>
        <w:t>®</w:t>
      </w:r>
      <w:r w:rsidR="007968EE" w:rsidRPr="00997765">
        <w:rPr>
          <w:rFonts w:ascii="Arial Narrow" w:hAnsi="Arial Narrow"/>
          <w:sz w:val="18"/>
          <w:szCs w:val="22"/>
        </w:rPr>
        <w:t xml:space="preserve"> </w:t>
      </w:r>
      <w:r w:rsidRPr="00997765">
        <w:rPr>
          <w:rFonts w:ascii="Arial Narrow" w:hAnsi="Arial Narrow"/>
          <w:sz w:val="18"/>
          <w:szCs w:val="22"/>
        </w:rPr>
        <w:t xml:space="preserve">product information </w:t>
      </w:r>
      <w:r w:rsidR="007968EE" w:rsidRPr="00997765">
        <w:rPr>
          <w:rFonts w:ascii="Arial Narrow" w:hAnsi="Arial Narrow"/>
          <w:sz w:val="18"/>
          <w:szCs w:val="22"/>
        </w:rPr>
        <w:t xml:space="preserve">and </w:t>
      </w:r>
      <w:proofErr w:type="spellStart"/>
      <w:r w:rsidR="007968EE" w:rsidRPr="00997765">
        <w:rPr>
          <w:rFonts w:ascii="Arial Narrow" w:hAnsi="Arial Narrow"/>
          <w:sz w:val="18"/>
          <w:szCs w:val="22"/>
        </w:rPr>
        <w:t>Methaccord</w:t>
      </w:r>
      <w:proofErr w:type="spellEnd"/>
      <w:r w:rsidR="007968EE" w:rsidRPr="00997765">
        <w:rPr>
          <w:rFonts w:ascii="Arial Narrow" w:hAnsi="Arial Narrow"/>
          <w:sz w:val="18"/>
          <w:szCs w:val="22"/>
          <w:vertAlign w:val="superscript"/>
        </w:rPr>
        <w:t>®</w:t>
      </w:r>
      <w:r w:rsidRPr="00997765">
        <w:rPr>
          <w:rFonts w:ascii="Arial Narrow" w:hAnsi="Arial Narrow"/>
          <w:sz w:val="18"/>
          <w:szCs w:val="22"/>
        </w:rPr>
        <w:t xml:space="preserve"> product information</w:t>
      </w:r>
    </w:p>
    <w:p w:rsidR="008A1956" w:rsidRPr="00997765" w:rsidRDefault="008A1956" w:rsidP="00476245">
      <w:pPr>
        <w:jc w:val="both"/>
        <w:rPr>
          <w:rFonts w:ascii="Arial" w:hAnsi="Arial"/>
          <w:sz w:val="22"/>
          <w:szCs w:val="22"/>
        </w:rPr>
      </w:pPr>
    </w:p>
    <w:p w:rsidR="00D75304" w:rsidRPr="00997765" w:rsidRDefault="00D75304" w:rsidP="00FC330F">
      <w:pPr>
        <w:pStyle w:val="ListParagraph"/>
        <w:numPr>
          <w:ilvl w:val="1"/>
          <w:numId w:val="1"/>
        </w:numPr>
        <w:jc w:val="both"/>
        <w:rPr>
          <w:rFonts w:ascii="Arial" w:hAnsi="Arial"/>
          <w:sz w:val="22"/>
          <w:szCs w:val="22"/>
        </w:rPr>
      </w:pPr>
      <w:r w:rsidRPr="00997765">
        <w:rPr>
          <w:rFonts w:ascii="Arial" w:hAnsi="Arial"/>
          <w:sz w:val="22"/>
          <w:szCs w:val="22"/>
        </w:rPr>
        <w:lastRenderedPageBreak/>
        <w:t>Overall, methotrexate pre-filled syringe</w:t>
      </w:r>
      <w:r w:rsidR="002E4E48" w:rsidRPr="00997765">
        <w:rPr>
          <w:rFonts w:ascii="Arial" w:hAnsi="Arial"/>
          <w:sz w:val="22"/>
          <w:szCs w:val="22"/>
        </w:rPr>
        <w:t>s</w:t>
      </w:r>
      <w:r w:rsidRPr="00997765">
        <w:rPr>
          <w:rFonts w:ascii="Arial" w:hAnsi="Arial"/>
          <w:sz w:val="22"/>
          <w:szCs w:val="22"/>
        </w:rPr>
        <w:t xml:space="preserve"> appear</w:t>
      </w:r>
      <w:r w:rsidR="002E4E48" w:rsidRPr="00997765">
        <w:rPr>
          <w:rFonts w:ascii="Arial" w:hAnsi="Arial"/>
          <w:sz w:val="22"/>
          <w:szCs w:val="22"/>
        </w:rPr>
        <w:t>ed</w:t>
      </w:r>
      <w:r w:rsidRPr="00997765">
        <w:rPr>
          <w:rFonts w:ascii="Arial" w:hAnsi="Arial"/>
          <w:sz w:val="22"/>
          <w:szCs w:val="22"/>
        </w:rPr>
        <w:t xml:space="preserve"> to offer improved convenience</w:t>
      </w:r>
      <w:r w:rsidR="005D7C69" w:rsidRPr="00997765">
        <w:rPr>
          <w:rFonts w:ascii="Arial" w:hAnsi="Arial"/>
          <w:sz w:val="22"/>
          <w:szCs w:val="22"/>
        </w:rPr>
        <w:t xml:space="preserve"> to </w:t>
      </w:r>
      <w:r w:rsidR="004A04DE" w:rsidRPr="00997765">
        <w:rPr>
          <w:rFonts w:ascii="Arial" w:hAnsi="Arial"/>
          <w:sz w:val="22"/>
          <w:szCs w:val="22"/>
        </w:rPr>
        <w:t xml:space="preserve">both </w:t>
      </w:r>
      <w:r w:rsidR="005D7C69" w:rsidRPr="00997765">
        <w:rPr>
          <w:rFonts w:ascii="Arial" w:hAnsi="Arial"/>
          <w:sz w:val="22"/>
          <w:szCs w:val="22"/>
        </w:rPr>
        <w:t>patients and physicians</w:t>
      </w:r>
      <w:r w:rsidRPr="00997765">
        <w:rPr>
          <w:rFonts w:ascii="Arial" w:hAnsi="Arial"/>
          <w:sz w:val="22"/>
          <w:szCs w:val="22"/>
        </w:rPr>
        <w:t xml:space="preserve"> at the cost of reduced</w:t>
      </w:r>
      <w:r w:rsidR="005D7C69" w:rsidRPr="00997765">
        <w:rPr>
          <w:rFonts w:ascii="Arial" w:hAnsi="Arial"/>
          <w:sz w:val="22"/>
          <w:szCs w:val="22"/>
        </w:rPr>
        <w:t xml:space="preserve"> dosing</w:t>
      </w:r>
      <w:r w:rsidRPr="00997765">
        <w:rPr>
          <w:rFonts w:ascii="Arial" w:hAnsi="Arial"/>
          <w:sz w:val="22"/>
          <w:szCs w:val="22"/>
        </w:rPr>
        <w:t xml:space="preserve"> flexibility compared to methotrexate vials.</w:t>
      </w:r>
    </w:p>
    <w:p w:rsidR="00D75304" w:rsidRPr="00997765" w:rsidRDefault="00D75304" w:rsidP="00476245">
      <w:pPr>
        <w:jc w:val="both"/>
        <w:rPr>
          <w:rFonts w:ascii="Arial" w:hAnsi="Arial"/>
          <w:sz w:val="22"/>
          <w:szCs w:val="22"/>
        </w:rPr>
      </w:pPr>
    </w:p>
    <w:p w:rsidR="00F27BC8" w:rsidRPr="00997765" w:rsidRDefault="00F27BC8" w:rsidP="00F27BC8">
      <w:pPr>
        <w:widowControl w:val="0"/>
        <w:ind w:left="709"/>
        <w:contextualSpacing/>
        <w:jc w:val="both"/>
        <w:rPr>
          <w:rFonts w:ascii="Arial" w:hAnsi="Arial" w:cs="Arial"/>
          <w:i/>
          <w:snapToGrid w:val="0"/>
          <w:sz w:val="22"/>
          <w:szCs w:val="22"/>
          <w:lang w:eastAsia="en-US"/>
        </w:rPr>
      </w:pPr>
      <w:r w:rsidRPr="00997765">
        <w:rPr>
          <w:rFonts w:ascii="Arial" w:hAnsi="Arial" w:cs="Arial"/>
          <w:i/>
          <w:snapToGrid w:val="0"/>
          <w:sz w:val="22"/>
          <w:szCs w:val="22"/>
          <w:lang w:eastAsia="en-US"/>
        </w:rPr>
        <w:t>For more detail on PBAC’s view, see section 7 “PBAC outcome”</w:t>
      </w:r>
    </w:p>
    <w:p w:rsidR="0005557F" w:rsidRPr="00997765" w:rsidRDefault="0005557F" w:rsidP="00476245">
      <w:pPr>
        <w:jc w:val="both"/>
        <w:rPr>
          <w:rFonts w:ascii="Arial" w:hAnsi="Arial"/>
          <w:sz w:val="22"/>
          <w:szCs w:val="22"/>
        </w:rPr>
      </w:pPr>
    </w:p>
    <w:p w:rsidR="00F27BC8" w:rsidRPr="00997765" w:rsidRDefault="00F27BC8" w:rsidP="00476245">
      <w:pPr>
        <w:jc w:val="both"/>
        <w:rPr>
          <w:rFonts w:ascii="Arial" w:hAnsi="Arial"/>
          <w:sz w:val="22"/>
          <w:szCs w:val="22"/>
        </w:rPr>
      </w:pPr>
    </w:p>
    <w:p w:rsidR="000B558D" w:rsidRPr="005E5CFA" w:rsidRDefault="008D7A41" w:rsidP="005E5CFA">
      <w:pPr>
        <w:pStyle w:val="Heading1"/>
      </w:pPr>
      <w:r w:rsidRPr="005E5CFA">
        <w:t>C</w:t>
      </w:r>
      <w:r w:rsidR="00D84934" w:rsidRPr="005E5CFA">
        <w:t>onsideration of the evidence</w:t>
      </w:r>
    </w:p>
    <w:p w:rsidR="00BB7EC3" w:rsidRPr="00997765" w:rsidRDefault="00BB7EC3" w:rsidP="00F9629A">
      <w:pPr>
        <w:jc w:val="both"/>
        <w:rPr>
          <w:rFonts w:ascii="Arial" w:hAnsi="Arial" w:cs="Arial"/>
          <w:b/>
          <w:bCs/>
          <w:snapToGrid w:val="0"/>
          <w:sz w:val="22"/>
          <w:szCs w:val="22"/>
          <w:lang w:eastAsia="en-US"/>
        </w:rPr>
      </w:pPr>
    </w:p>
    <w:p w:rsidR="00483153" w:rsidRPr="005E5CFA" w:rsidRDefault="00483153" w:rsidP="005E5CFA">
      <w:pPr>
        <w:pStyle w:val="Heading2"/>
      </w:pPr>
      <w:r w:rsidRPr="005E5CFA">
        <w:t>Sponsor hearing</w:t>
      </w:r>
    </w:p>
    <w:p w:rsidR="00483153" w:rsidRPr="00997765" w:rsidRDefault="00483153" w:rsidP="00483153">
      <w:pPr>
        <w:jc w:val="both"/>
        <w:rPr>
          <w:rFonts w:ascii="Arial" w:hAnsi="Arial"/>
          <w:sz w:val="22"/>
          <w:szCs w:val="22"/>
        </w:rPr>
      </w:pPr>
    </w:p>
    <w:p w:rsidR="00483153" w:rsidRPr="00997765" w:rsidRDefault="00483153" w:rsidP="00B15A6B">
      <w:pPr>
        <w:pStyle w:val="ListParagraph"/>
        <w:numPr>
          <w:ilvl w:val="1"/>
          <w:numId w:val="1"/>
        </w:numPr>
        <w:jc w:val="both"/>
        <w:rPr>
          <w:rFonts w:ascii="Arial" w:hAnsi="Arial"/>
          <w:sz w:val="22"/>
          <w:szCs w:val="22"/>
        </w:rPr>
      </w:pPr>
      <w:r w:rsidRPr="00997765">
        <w:rPr>
          <w:rFonts w:ascii="Arial" w:hAnsi="Arial"/>
          <w:sz w:val="22"/>
          <w:szCs w:val="22"/>
        </w:rPr>
        <w:t>There was no hearing for this item as it was a minor submission.</w:t>
      </w:r>
    </w:p>
    <w:p w:rsidR="00483153" w:rsidRPr="00997765" w:rsidRDefault="00483153" w:rsidP="00483153">
      <w:pPr>
        <w:jc w:val="both"/>
        <w:rPr>
          <w:rFonts w:ascii="Arial" w:hAnsi="Arial"/>
          <w:sz w:val="22"/>
          <w:szCs w:val="22"/>
        </w:rPr>
      </w:pPr>
    </w:p>
    <w:p w:rsidR="00483153" w:rsidRPr="00997765" w:rsidRDefault="00483153" w:rsidP="005E5CFA">
      <w:pPr>
        <w:pStyle w:val="Heading2"/>
      </w:pPr>
      <w:r w:rsidRPr="00997765">
        <w:t>Consumer comments</w:t>
      </w:r>
    </w:p>
    <w:p w:rsidR="00483153" w:rsidRPr="00997765" w:rsidRDefault="00483153" w:rsidP="00483153">
      <w:pPr>
        <w:jc w:val="both"/>
        <w:rPr>
          <w:rFonts w:ascii="Arial" w:hAnsi="Arial"/>
          <w:sz w:val="22"/>
          <w:szCs w:val="22"/>
        </w:rPr>
      </w:pPr>
    </w:p>
    <w:p w:rsidR="00483153" w:rsidRPr="00997765" w:rsidRDefault="00483153" w:rsidP="00B15A6B">
      <w:pPr>
        <w:pStyle w:val="ListParagraph"/>
        <w:numPr>
          <w:ilvl w:val="1"/>
          <w:numId w:val="1"/>
        </w:numPr>
        <w:jc w:val="both"/>
        <w:rPr>
          <w:rFonts w:ascii="Arial" w:hAnsi="Arial"/>
          <w:sz w:val="22"/>
          <w:szCs w:val="22"/>
        </w:rPr>
      </w:pPr>
      <w:r w:rsidRPr="00997765">
        <w:rPr>
          <w:rFonts w:ascii="Arial" w:hAnsi="Arial"/>
          <w:sz w:val="22"/>
          <w:szCs w:val="22"/>
        </w:rPr>
        <w:t xml:space="preserve">The PBAC noted and welcomed the input from health care professionals (4) via the Consumer Comments facility on the PBS website.  The comments described a range of benefits of treatment with </w:t>
      </w:r>
      <w:r w:rsidR="002E4E48" w:rsidRPr="00997765">
        <w:rPr>
          <w:rFonts w:ascii="Arial" w:hAnsi="Arial"/>
          <w:sz w:val="22"/>
          <w:szCs w:val="22"/>
        </w:rPr>
        <w:t xml:space="preserve">parenteral </w:t>
      </w:r>
      <w:r w:rsidRPr="00997765">
        <w:rPr>
          <w:rFonts w:ascii="Arial" w:hAnsi="Arial"/>
          <w:sz w:val="22"/>
          <w:szCs w:val="22"/>
        </w:rPr>
        <w:t xml:space="preserve">methotrexate including decreasing nausea and gastrointestinal upsets for those patients who cannot tolerate </w:t>
      </w:r>
      <w:r w:rsidR="00316CFE" w:rsidRPr="00997765">
        <w:rPr>
          <w:rFonts w:ascii="Arial" w:hAnsi="Arial"/>
          <w:sz w:val="22"/>
          <w:szCs w:val="22"/>
        </w:rPr>
        <w:t>the oral form and making the treatment process easier in the context of self-administration. The comments also noted that consideration would need to be given to the appropriate method of disposal for the pre-filled syringes.</w:t>
      </w:r>
    </w:p>
    <w:p w:rsidR="00483153" w:rsidRPr="00997765" w:rsidRDefault="00483153" w:rsidP="00483153">
      <w:pPr>
        <w:jc w:val="both"/>
        <w:rPr>
          <w:rFonts w:ascii="Arial" w:hAnsi="Arial"/>
          <w:sz w:val="22"/>
          <w:szCs w:val="22"/>
        </w:rPr>
      </w:pPr>
    </w:p>
    <w:p w:rsidR="00D84934" w:rsidRPr="00997765" w:rsidRDefault="00D84934" w:rsidP="005E5CFA">
      <w:pPr>
        <w:pStyle w:val="Heading2"/>
      </w:pPr>
      <w:r w:rsidRPr="00997765">
        <w:t>Clinical trials</w:t>
      </w:r>
    </w:p>
    <w:p w:rsidR="00D84934" w:rsidRPr="00997765" w:rsidRDefault="00D84934" w:rsidP="00F9629A">
      <w:pPr>
        <w:jc w:val="both"/>
        <w:rPr>
          <w:rFonts w:ascii="Arial" w:hAnsi="Arial"/>
          <w:sz w:val="22"/>
          <w:szCs w:val="22"/>
        </w:rPr>
      </w:pPr>
    </w:p>
    <w:p w:rsidR="0005557F" w:rsidRPr="00997765" w:rsidRDefault="00340AC1" w:rsidP="0005557F">
      <w:pPr>
        <w:pStyle w:val="ListParagraph"/>
        <w:numPr>
          <w:ilvl w:val="1"/>
          <w:numId w:val="1"/>
        </w:numPr>
        <w:jc w:val="both"/>
        <w:rPr>
          <w:rFonts w:ascii="Arial" w:hAnsi="Arial"/>
          <w:sz w:val="22"/>
          <w:szCs w:val="22"/>
        </w:rPr>
      </w:pPr>
      <w:r w:rsidRPr="00997765">
        <w:rPr>
          <w:rFonts w:ascii="Arial" w:hAnsi="Arial"/>
          <w:sz w:val="22"/>
          <w:szCs w:val="22"/>
        </w:rPr>
        <w:t>The submission was based on a bioequivalence study comparing subcutaneous (1</w:t>
      </w:r>
      <w:r w:rsidR="004D6A66" w:rsidRPr="00997765">
        <w:rPr>
          <w:rFonts w:ascii="Arial" w:hAnsi="Arial"/>
          <w:sz w:val="22"/>
          <w:szCs w:val="22"/>
        </w:rPr>
        <w:t>0 mg</w:t>
      </w:r>
      <w:r w:rsidRPr="00997765">
        <w:rPr>
          <w:rFonts w:ascii="Arial" w:hAnsi="Arial"/>
          <w:sz w:val="22"/>
          <w:szCs w:val="22"/>
        </w:rPr>
        <w:t>/mL) and intramuscular (1</w:t>
      </w:r>
      <w:r w:rsidR="004D6A66" w:rsidRPr="00997765">
        <w:rPr>
          <w:rFonts w:ascii="Arial" w:hAnsi="Arial"/>
          <w:sz w:val="22"/>
          <w:szCs w:val="22"/>
        </w:rPr>
        <w:t>0 mg</w:t>
      </w:r>
      <w:r w:rsidRPr="00997765">
        <w:rPr>
          <w:rFonts w:ascii="Arial" w:hAnsi="Arial"/>
          <w:sz w:val="22"/>
          <w:szCs w:val="22"/>
        </w:rPr>
        <w:t xml:space="preserve">/mL) methotrexate injections (Study MC-MTX.7/PH) as well as an observational study that assessed patient preference, satisfaction and usability of </w:t>
      </w:r>
      <w:r w:rsidR="009F47FD" w:rsidRPr="00997765">
        <w:rPr>
          <w:rFonts w:ascii="Arial" w:hAnsi="Arial"/>
          <w:sz w:val="22"/>
          <w:szCs w:val="22"/>
        </w:rPr>
        <w:t>methotrexate pre-filled syringe</w:t>
      </w:r>
      <w:r w:rsidR="009E4425" w:rsidRPr="00997765">
        <w:rPr>
          <w:rFonts w:ascii="Arial" w:hAnsi="Arial"/>
          <w:sz w:val="22"/>
          <w:szCs w:val="22"/>
        </w:rPr>
        <w:t>s</w:t>
      </w:r>
      <w:r w:rsidRPr="00997765">
        <w:rPr>
          <w:rFonts w:ascii="Arial" w:hAnsi="Arial"/>
          <w:sz w:val="22"/>
          <w:szCs w:val="22"/>
        </w:rPr>
        <w:t xml:space="preserve"> in patients, physicians and nurses (</w:t>
      </w:r>
      <w:proofErr w:type="spellStart"/>
      <w:r w:rsidRPr="00997765">
        <w:rPr>
          <w:rFonts w:ascii="Arial" w:hAnsi="Arial"/>
          <w:sz w:val="22"/>
          <w:szCs w:val="22"/>
        </w:rPr>
        <w:t>Striesow</w:t>
      </w:r>
      <w:proofErr w:type="spellEnd"/>
      <w:r w:rsidRPr="00997765">
        <w:rPr>
          <w:rFonts w:ascii="Arial" w:hAnsi="Arial"/>
          <w:sz w:val="22"/>
          <w:szCs w:val="22"/>
        </w:rPr>
        <w:t xml:space="preserve"> &amp; Brandt, 2012). The submission also provided a brief summary of the other clinical studies included in the registration dossier</w:t>
      </w:r>
      <w:r w:rsidR="00531884" w:rsidRPr="00997765">
        <w:rPr>
          <w:rFonts w:ascii="Arial" w:hAnsi="Arial"/>
          <w:sz w:val="22"/>
          <w:szCs w:val="22"/>
        </w:rPr>
        <w:t xml:space="preserve"> as well as specific studies from the published literature</w:t>
      </w:r>
      <w:r w:rsidRPr="00997765">
        <w:rPr>
          <w:rFonts w:ascii="Arial" w:hAnsi="Arial"/>
          <w:sz w:val="22"/>
          <w:szCs w:val="22"/>
        </w:rPr>
        <w:t xml:space="preserve">. </w:t>
      </w:r>
      <w:r w:rsidR="00810CE0" w:rsidRPr="00997765">
        <w:rPr>
          <w:rFonts w:ascii="Arial" w:hAnsi="Arial"/>
          <w:sz w:val="22"/>
          <w:szCs w:val="22"/>
        </w:rPr>
        <w:t>Study MC-MTX.9/PH</w:t>
      </w:r>
      <w:r w:rsidR="00703C18" w:rsidRPr="00997765">
        <w:rPr>
          <w:rFonts w:ascii="Arial" w:hAnsi="Arial"/>
          <w:sz w:val="22"/>
          <w:szCs w:val="22"/>
        </w:rPr>
        <w:t xml:space="preserve"> was considered in further detail in the </w:t>
      </w:r>
      <w:r w:rsidR="009E4425" w:rsidRPr="00997765">
        <w:rPr>
          <w:rFonts w:ascii="Arial" w:hAnsi="Arial"/>
          <w:sz w:val="22"/>
          <w:szCs w:val="22"/>
        </w:rPr>
        <w:t xml:space="preserve">evaluation </w:t>
      </w:r>
      <w:r w:rsidR="003A2AE6" w:rsidRPr="00997765">
        <w:rPr>
          <w:rFonts w:ascii="Arial" w:hAnsi="Arial"/>
          <w:sz w:val="22"/>
          <w:szCs w:val="22"/>
        </w:rPr>
        <w:t>as it</w:t>
      </w:r>
      <w:r w:rsidR="00810CE0" w:rsidRPr="00997765">
        <w:rPr>
          <w:rFonts w:ascii="Arial" w:hAnsi="Arial"/>
          <w:sz w:val="22"/>
          <w:szCs w:val="22"/>
        </w:rPr>
        <w:t xml:space="preserve"> compared</w:t>
      </w:r>
      <w:r w:rsidR="00406FB0" w:rsidRPr="00997765">
        <w:rPr>
          <w:rFonts w:ascii="Arial" w:hAnsi="Arial"/>
          <w:sz w:val="22"/>
          <w:szCs w:val="22"/>
        </w:rPr>
        <w:t xml:space="preserve"> the bioequivalence of</w:t>
      </w:r>
      <w:r w:rsidR="00810CE0" w:rsidRPr="00997765">
        <w:rPr>
          <w:rFonts w:ascii="Arial" w:hAnsi="Arial"/>
          <w:sz w:val="22"/>
          <w:szCs w:val="22"/>
        </w:rPr>
        <w:t xml:space="preserve"> high concentration</w:t>
      </w:r>
      <w:r w:rsidR="00AE687F" w:rsidRPr="00997765">
        <w:rPr>
          <w:rFonts w:ascii="Arial" w:hAnsi="Arial"/>
          <w:sz w:val="22"/>
          <w:szCs w:val="22"/>
        </w:rPr>
        <w:t xml:space="preserve"> methotrexate injections</w:t>
      </w:r>
      <w:r w:rsidR="00F963D0" w:rsidRPr="00997765">
        <w:rPr>
          <w:rFonts w:ascii="Arial" w:hAnsi="Arial"/>
          <w:sz w:val="22"/>
          <w:szCs w:val="22"/>
        </w:rPr>
        <w:t xml:space="preserve"> (5</w:t>
      </w:r>
      <w:r w:rsidR="004D6A66" w:rsidRPr="00997765">
        <w:rPr>
          <w:rFonts w:ascii="Arial" w:hAnsi="Arial"/>
          <w:sz w:val="22"/>
          <w:szCs w:val="22"/>
        </w:rPr>
        <w:t>0 mg</w:t>
      </w:r>
      <w:r w:rsidR="00F963D0" w:rsidRPr="00997765">
        <w:rPr>
          <w:rFonts w:ascii="Arial" w:hAnsi="Arial"/>
          <w:sz w:val="22"/>
          <w:szCs w:val="22"/>
        </w:rPr>
        <w:t>/mL</w:t>
      </w:r>
      <w:r w:rsidRPr="00997765">
        <w:rPr>
          <w:rFonts w:ascii="Arial" w:hAnsi="Arial"/>
          <w:sz w:val="22"/>
          <w:szCs w:val="22"/>
        </w:rPr>
        <w:t>, same as marketed presentation</w:t>
      </w:r>
      <w:r w:rsidR="00F963D0" w:rsidRPr="00997765">
        <w:rPr>
          <w:rFonts w:ascii="Arial" w:hAnsi="Arial"/>
          <w:sz w:val="22"/>
          <w:szCs w:val="22"/>
        </w:rPr>
        <w:t>)</w:t>
      </w:r>
      <w:r w:rsidR="00AE687F" w:rsidRPr="00997765">
        <w:rPr>
          <w:rFonts w:ascii="Arial" w:hAnsi="Arial"/>
          <w:sz w:val="22"/>
          <w:szCs w:val="22"/>
        </w:rPr>
        <w:t xml:space="preserve"> with</w:t>
      </w:r>
      <w:r w:rsidR="00810CE0" w:rsidRPr="00997765">
        <w:rPr>
          <w:rFonts w:ascii="Arial" w:hAnsi="Arial"/>
          <w:sz w:val="22"/>
          <w:szCs w:val="22"/>
        </w:rPr>
        <w:t xml:space="preserve"> low concentration</w:t>
      </w:r>
      <w:r w:rsidR="00F963D0" w:rsidRPr="00997765">
        <w:rPr>
          <w:rFonts w:ascii="Arial" w:hAnsi="Arial"/>
          <w:sz w:val="22"/>
          <w:szCs w:val="22"/>
        </w:rPr>
        <w:t xml:space="preserve"> </w:t>
      </w:r>
      <w:r w:rsidR="00810CE0" w:rsidRPr="00997765">
        <w:rPr>
          <w:rFonts w:ascii="Arial" w:hAnsi="Arial"/>
          <w:sz w:val="22"/>
          <w:szCs w:val="22"/>
        </w:rPr>
        <w:t>injections</w:t>
      </w:r>
      <w:r w:rsidR="00AE687F" w:rsidRPr="00997765">
        <w:rPr>
          <w:rFonts w:ascii="Arial" w:hAnsi="Arial"/>
          <w:sz w:val="22"/>
          <w:szCs w:val="22"/>
        </w:rPr>
        <w:t xml:space="preserve"> (1</w:t>
      </w:r>
      <w:r w:rsidR="004D6A66" w:rsidRPr="00997765">
        <w:rPr>
          <w:rFonts w:ascii="Arial" w:hAnsi="Arial"/>
          <w:sz w:val="22"/>
          <w:szCs w:val="22"/>
        </w:rPr>
        <w:t>0 mg</w:t>
      </w:r>
      <w:r w:rsidR="00AE687F" w:rsidRPr="00997765">
        <w:rPr>
          <w:rFonts w:ascii="Arial" w:hAnsi="Arial"/>
          <w:sz w:val="22"/>
          <w:szCs w:val="22"/>
        </w:rPr>
        <w:t>/mL)</w:t>
      </w:r>
      <w:r w:rsidR="00810CE0" w:rsidRPr="00997765">
        <w:rPr>
          <w:rFonts w:ascii="Arial" w:hAnsi="Arial"/>
          <w:sz w:val="22"/>
          <w:szCs w:val="22"/>
        </w:rPr>
        <w:t>.</w:t>
      </w:r>
    </w:p>
    <w:p w:rsidR="0005557F" w:rsidRPr="00997765" w:rsidRDefault="0005557F" w:rsidP="0005557F">
      <w:pPr>
        <w:pStyle w:val="ListParagraph"/>
        <w:jc w:val="both"/>
        <w:rPr>
          <w:rFonts w:ascii="Arial" w:hAnsi="Arial"/>
          <w:sz w:val="22"/>
          <w:szCs w:val="22"/>
        </w:rPr>
      </w:pPr>
    </w:p>
    <w:p w:rsidR="00606CE9" w:rsidRPr="00997765" w:rsidRDefault="002A238E" w:rsidP="0005557F">
      <w:pPr>
        <w:pStyle w:val="ListParagraph"/>
        <w:numPr>
          <w:ilvl w:val="1"/>
          <w:numId w:val="1"/>
        </w:numPr>
        <w:jc w:val="both"/>
        <w:rPr>
          <w:rFonts w:ascii="Arial" w:hAnsi="Arial"/>
          <w:sz w:val="22"/>
          <w:szCs w:val="22"/>
        </w:rPr>
      </w:pPr>
      <w:r w:rsidRPr="00997765">
        <w:rPr>
          <w:rFonts w:ascii="Arial" w:hAnsi="Arial"/>
          <w:sz w:val="22"/>
          <w:szCs w:val="22"/>
        </w:rPr>
        <w:t>Publication details of the included studies are provided in the table below.</w:t>
      </w:r>
    </w:p>
    <w:p w:rsidR="002A238E" w:rsidRPr="00997765" w:rsidRDefault="002A238E" w:rsidP="009D25B0">
      <w:pPr>
        <w:rPr>
          <w:rFonts w:ascii="Arial" w:hAnsi="Arial"/>
          <w:sz w:val="22"/>
          <w:szCs w:val="22"/>
        </w:rPr>
      </w:pPr>
    </w:p>
    <w:p w:rsidR="002A238E" w:rsidRPr="00997765" w:rsidRDefault="001C3A84" w:rsidP="002A238E">
      <w:pPr>
        <w:pStyle w:val="NoSpacing"/>
        <w:ind w:left="709"/>
        <w:rPr>
          <w:rFonts w:ascii="Arial Narrow" w:hAnsi="Arial Narrow"/>
          <w:b/>
          <w:sz w:val="20"/>
        </w:rPr>
      </w:pPr>
      <w:r w:rsidRPr="00997765">
        <w:rPr>
          <w:rFonts w:ascii="Arial Narrow" w:hAnsi="Arial Narrow"/>
          <w:b/>
          <w:sz w:val="20"/>
        </w:rPr>
        <w:t>Table 2</w:t>
      </w:r>
      <w:r w:rsidR="002A238E" w:rsidRPr="00997765">
        <w:rPr>
          <w:rFonts w:ascii="Arial Narrow" w:hAnsi="Arial Narrow"/>
          <w:b/>
          <w:sz w:val="20"/>
        </w:rPr>
        <w:t>: Clinical studies presented in the 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4962"/>
        <w:gridCol w:w="1956"/>
      </w:tblGrid>
      <w:tr w:rsidR="002A238E" w:rsidRPr="00997765" w:rsidTr="0037018B">
        <w:trPr>
          <w:cantSplit/>
          <w:tblHeader/>
        </w:trPr>
        <w:tc>
          <w:tcPr>
            <w:tcW w:w="1446" w:type="dxa"/>
          </w:tcPr>
          <w:p w:rsidR="002A238E" w:rsidRPr="00997765" w:rsidRDefault="002A238E" w:rsidP="0037018B">
            <w:pPr>
              <w:pStyle w:val="NoSpacing"/>
              <w:rPr>
                <w:rFonts w:ascii="Arial Narrow" w:hAnsi="Arial Narrow"/>
                <w:b/>
                <w:sz w:val="20"/>
              </w:rPr>
            </w:pPr>
            <w:r w:rsidRPr="00997765">
              <w:rPr>
                <w:rFonts w:ascii="Arial Narrow" w:hAnsi="Arial Narrow"/>
                <w:b/>
                <w:sz w:val="20"/>
              </w:rPr>
              <w:t>Trial ID</w:t>
            </w:r>
          </w:p>
        </w:tc>
        <w:tc>
          <w:tcPr>
            <w:tcW w:w="4962" w:type="dxa"/>
          </w:tcPr>
          <w:p w:rsidR="002A238E" w:rsidRPr="00997765" w:rsidRDefault="002A238E" w:rsidP="0037018B">
            <w:pPr>
              <w:keepNext/>
              <w:jc w:val="center"/>
              <w:rPr>
                <w:rFonts w:ascii="Arial Narrow" w:hAnsi="Arial Narrow"/>
                <w:b/>
                <w:sz w:val="20"/>
              </w:rPr>
            </w:pPr>
            <w:r w:rsidRPr="00997765">
              <w:rPr>
                <w:rFonts w:ascii="Arial Narrow" w:hAnsi="Arial Narrow"/>
                <w:b/>
                <w:sz w:val="20"/>
              </w:rPr>
              <w:t>Protocol title/ Publication title</w:t>
            </w:r>
          </w:p>
        </w:tc>
        <w:tc>
          <w:tcPr>
            <w:tcW w:w="1956" w:type="dxa"/>
          </w:tcPr>
          <w:p w:rsidR="002A238E" w:rsidRPr="00997765" w:rsidRDefault="002A238E" w:rsidP="0037018B">
            <w:pPr>
              <w:keepNext/>
              <w:rPr>
                <w:rFonts w:ascii="Arial Narrow" w:hAnsi="Arial Narrow"/>
                <w:b/>
                <w:sz w:val="20"/>
              </w:rPr>
            </w:pPr>
            <w:r w:rsidRPr="00997765">
              <w:rPr>
                <w:rFonts w:ascii="Arial Narrow" w:hAnsi="Arial Narrow"/>
                <w:b/>
                <w:sz w:val="20"/>
              </w:rPr>
              <w:t>Publication citation</w:t>
            </w:r>
          </w:p>
        </w:tc>
      </w:tr>
      <w:tr w:rsidR="002A238E" w:rsidRPr="00997765" w:rsidTr="00533AAB">
        <w:trPr>
          <w:cantSplit/>
        </w:trPr>
        <w:tc>
          <w:tcPr>
            <w:tcW w:w="1446" w:type="dxa"/>
            <w:vAlign w:val="center"/>
          </w:tcPr>
          <w:p w:rsidR="002A238E" w:rsidRPr="00997765" w:rsidRDefault="002A238E" w:rsidP="002A238E">
            <w:pPr>
              <w:pStyle w:val="NoSpacing"/>
              <w:jc w:val="left"/>
              <w:rPr>
                <w:rFonts w:ascii="Arial Narrow" w:hAnsi="Arial Narrow"/>
                <w:sz w:val="20"/>
              </w:rPr>
            </w:pPr>
            <w:r w:rsidRPr="00997765">
              <w:rPr>
                <w:rFonts w:ascii="Arial Narrow" w:hAnsi="Arial Narrow"/>
                <w:sz w:val="20"/>
              </w:rPr>
              <w:t>MC-MTX.5/RH</w:t>
            </w:r>
          </w:p>
        </w:tc>
        <w:tc>
          <w:tcPr>
            <w:tcW w:w="4962" w:type="dxa"/>
            <w:vAlign w:val="center"/>
          </w:tcPr>
          <w:p w:rsidR="002A238E" w:rsidRPr="00997765" w:rsidRDefault="001E44B7" w:rsidP="001E44B7">
            <w:pPr>
              <w:keepNext/>
              <w:rPr>
                <w:rFonts w:ascii="Arial Narrow" w:hAnsi="Arial Narrow"/>
                <w:sz w:val="20"/>
              </w:rPr>
            </w:pPr>
            <w:r w:rsidRPr="00997765">
              <w:rPr>
                <w:rFonts w:ascii="Arial Narrow" w:hAnsi="Arial Narrow"/>
                <w:sz w:val="20"/>
              </w:rPr>
              <w:t>Not reported</w:t>
            </w:r>
          </w:p>
        </w:tc>
        <w:tc>
          <w:tcPr>
            <w:tcW w:w="1956" w:type="dxa"/>
            <w:vAlign w:val="center"/>
          </w:tcPr>
          <w:p w:rsidR="002A238E" w:rsidRPr="00997765" w:rsidRDefault="001E44B7" w:rsidP="00533AAB">
            <w:pPr>
              <w:keepNext/>
              <w:rPr>
                <w:rFonts w:ascii="Arial Narrow" w:hAnsi="Arial Narrow"/>
                <w:sz w:val="20"/>
              </w:rPr>
            </w:pPr>
            <w:r w:rsidRPr="00997765">
              <w:rPr>
                <w:rFonts w:ascii="Arial Narrow" w:hAnsi="Arial Narrow"/>
                <w:sz w:val="20"/>
              </w:rPr>
              <w:t>Internal study report (not provided)</w:t>
            </w:r>
          </w:p>
        </w:tc>
      </w:tr>
      <w:tr w:rsidR="001E44B7" w:rsidRPr="00997765" w:rsidTr="00533AAB">
        <w:trPr>
          <w:cantSplit/>
        </w:trPr>
        <w:tc>
          <w:tcPr>
            <w:tcW w:w="1446" w:type="dxa"/>
            <w:vMerge w:val="restart"/>
            <w:vAlign w:val="center"/>
          </w:tcPr>
          <w:p w:rsidR="001E44B7" w:rsidRPr="00997765" w:rsidRDefault="001E44B7" w:rsidP="002A238E">
            <w:pPr>
              <w:pStyle w:val="NoSpacing"/>
              <w:jc w:val="left"/>
              <w:rPr>
                <w:rFonts w:ascii="Arial Narrow" w:hAnsi="Arial Narrow"/>
                <w:sz w:val="20"/>
              </w:rPr>
            </w:pPr>
            <w:r w:rsidRPr="00997765">
              <w:rPr>
                <w:rFonts w:ascii="Arial Narrow" w:hAnsi="Arial Narrow"/>
                <w:sz w:val="20"/>
              </w:rPr>
              <w:t>MC-MTX.6/RH</w:t>
            </w:r>
          </w:p>
          <w:p w:rsidR="001E44B7" w:rsidRPr="00997765" w:rsidRDefault="001E44B7" w:rsidP="002A238E">
            <w:pPr>
              <w:pStyle w:val="NoSpacing"/>
              <w:jc w:val="left"/>
              <w:rPr>
                <w:rFonts w:ascii="Arial Narrow" w:hAnsi="Arial Narrow"/>
                <w:sz w:val="20"/>
              </w:rPr>
            </w:pPr>
            <w:r w:rsidRPr="00997765">
              <w:rPr>
                <w:rFonts w:ascii="Arial Narrow" w:hAnsi="Arial Narrow"/>
                <w:sz w:val="20"/>
              </w:rPr>
              <w:t>(Braun 2008)</w:t>
            </w:r>
          </w:p>
        </w:tc>
        <w:tc>
          <w:tcPr>
            <w:tcW w:w="4962" w:type="dxa"/>
            <w:vAlign w:val="center"/>
          </w:tcPr>
          <w:p w:rsidR="001E44B7" w:rsidRPr="00997765" w:rsidRDefault="001E44B7" w:rsidP="0037018B">
            <w:pPr>
              <w:keepNext/>
              <w:rPr>
                <w:rFonts w:ascii="Arial Narrow" w:hAnsi="Arial Narrow"/>
                <w:sz w:val="20"/>
              </w:rPr>
            </w:pPr>
            <w:r w:rsidRPr="00997765">
              <w:rPr>
                <w:rFonts w:ascii="Arial Narrow" w:hAnsi="Arial Narrow"/>
                <w:sz w:val="20"/>
              </w:rPr>
              <w:t>Not reported</w:t>
            </w:r>
          </w:p>
        </w:tc>
        <w:tc>
          <w:tcPr>
            <w:tcW w:w="1956" w:type="dxa"/>
            <w:vAlign w:val="center"/>
          </w:tcPr>
          <w:p w:rsidR="001E44B7" w:rsidRPr="00997765" w:rsidRDefault="001E44B7" w:rsidP="00533AAB">
            <w:pPr>
              <w:keepNext/>
              <w:rPr>
                <w:rFonts w:ascii="Arial Narrow" w:hAnsi="Arial Narrow"/>
                <w:sz w:val="20"/>
              </w:rPr>
            </w:pPr>
            <w:r w:rsidRPr="00997765">
              <w:rPr>
                <w:rFonts w:ascii="Arial Narrow" w:hAnsi="Arial Narrow"/>
                <w:sz w:val="20"/>
              </w:rPr>
              <w:t>Internal study report (not provided)</w:t>
            </w:r>
          </w:p>
        </w:tc>
      </w:tr>
      <w:tr w:rsidR="001E44B7" w:rsidRPr="00997765" w:rsidTr="00533AAB">
        <w:trPr>
          <w:cantSplit/>
        </w:trPr>
        <w:tc>
          <w:tcPr>
            <w:tcW w:w="1446" w:type="dxa"/>
            <w:vMerge/>
            <w:vAlign w:val="center"/>
          </w:tcPr>
          <w:p w:rsidR="001E44B7" w:rsidRPr="00997765" w:rsidRDefault="001E44B7" w:rsidP="002A238E">
            <w:pPr>
              <w:pStyle w:val="NoSpacing"/>
              <w:jc w:val="left"/>
              <w:rPr>
                <w:rFonts w:ascii="Arial Narrow" w:hAnsi="Arial Narrow"/>
                <w:sz w:val="20"/>
              </w:rPr>
            </w:pPr>
          </w:p>
        </w:tc>
        <w:tc>
          <w:tcPr>
            <w:tcW w:w="4962" w:type="dxa"/>
          </w:tcPr>
          <w:p w:rsidR="001E44B7" w:rsidRPr="00997765" w:rsidRDefault="001E44B7" w:rsidP="0037018B">
            <w:pPr>
              <w:keepNext/>
              <w:rPr>
                <w:rFonts w:ascii="Arial Narrow" w:hAnsi="Arial Narrow"/>
                <w:sz w:val="20"/>
              </w:rPr>
            </w:pPr>
            <w:r w:rsidRPr="00997765">
              <w:rPr>
                <w:rFonts w:ascii="Arial Narrow" w:hAnsi="Arial Narrow"/>
                <w:sz w:val="20"/>
              </w:rPr>
              <w:t>Braun et al (2008). Comparison of the clinical efficacy and safety of subcutaneous versus oral administration of methotrexate in patients with active rheumatoid arthritis</w:t>
            </w:r>
          </w:p>
        </w:tc>
        <w:tc>
          <w:tcPr>
            <w:tcW w:w="1956" w:type="dxa"/>
            <w:vAlign w:val="center"/>
          </w:tcPr>
          <w:p w:rsidR="001E44B7" w:rsidRPr="00997765" w:rsidRDefault="001E44B7" w:rsidP="00533AAB">
            <w:pPr>
              <w:keepNext/>
              <w:rPr>
                <w:rFonts w:ascii="Arial Narrow" w:hAnsi="Arial Narrow"/>
                <w:sz w:val="20"/>
              </w:rPr>
            </w:pPr>
            <w:r w:rsidRPr="00997765">
              <w:rPr>
                <w:rFonts w:ascii="Arial Narrow" w:hAnsi="Arial Narrow"/>
                <w:sz w:val="20"/>
              </w:rPr>
              <w:t>Arthritis &amp; Rheumatism, 58(1):73-81</w:t>
            </w:r>
          </w:p>
        </w:tc>
      </w:tr>
      <w:tr w:rsidR="001E44B7" w:rsidRPr="00997765" w:rsidTr="00533AAB">
        <w:trPr>
          <w:cantSplit/>
        </w:trPr>
        <w:tc>
          <w:tcPr>
            <w:tcW w:w="1446" w:type="dxa"/>
            <w:vAlign w:val="center"/>
          </w:tcPr>
          <w:p w:rsidR="001E44B7" w:rsidRPr="00997765" w:rsidRDefault="001E44B7" w:rsidP="002A238E">
            <w:pPr>
              <w:pStyle w:val="NoSpacing"/>
              <w:jc w:val="left"/>
              <w:rPr>
                <w:rFonts w:ascii="Arial Narrow" w:hAnsi="Arial Narrow"/>
                <w:sz w:val="20"/>
              </w:rPr>
            </w:pPr>
            <w:r w:rsidRPr="00997765">
              <w:rPr>
                <w:rFonts w:ascii="Arial Narrow" w:hAnsi="Arial Narrow"/>
                <w:sz w:val="20"/>
              </w:rPr>
              <w:t>MC-MTX.7/PH</w:t>
            </w:r>
          </w:p>
        </w:tc>
        <w:tc>
          <w:tcPr>
            <w:tcW w:w="4962" w:type="dxa"/>
            <w:vAlign w:val="center"/>
          </w:tcPr>
          <w:p w:rsidR="001E44B7" w:rsidRPr="00997765" w:rsidRDefault="001E44B7" w:rsidP="0037018B">
            <w:pPr>
              <w:keepNext/>
              <w:rPr>
                <w:rFonts w:ascii="Arial Narrow" w:hAnsi="Arial Narrow"/>
                <w:sz w:val="20"/>
              </w:rPr>
            </w:pPr>
            <w:r w:rsidRPr="00997765">
              <w:rPr>
                <w:rFonts w:ascii="Arial Narrow" w:hAnsi="Arial Narrow"/>
                <w:sz w:val="20"/>
              </w:rPr>
              <w:t>Not reported</w:t>
            </w:r>
          </w:p>
        </w:tc>
        <w:tc>
          <w:tcPr>
            <w:tcW w:w="1956" w:type="dxa"/>
            <w:vAlign w:val="center"/>
          </w:tcPr>
          <w:p w:rsidR="001E44B7" w:rsidRPr="00997765" w:rsidRDefault="001E44B7" w:rsidP="00533AAB">
            <w:pPr>
              <w:keepNext/>
              <w:rPr>
                <w:rFonts w:ascii="Arial Narrow" w:hAnsi="Arial Narrow"/>
                <w:sz w:val="20"/>
              </w:rPr>
            </w:pPr>
            <w:r w:rsidRPr="00997765">
              <w:rPr>
                <w:rFonts w:ascii="Arial Narrow" w:hAnsi="Arial Narrow"/>
                <w:sz w:val="20"/>
              </w:rPr>
              <w:t>Internal study report (not provided)</w:t>
            </w:r>
          </w:p>
        </w:tc>
      </w:tr>
      <w:tr w:rsidR="001E44B7" w:rsidRPr="00997765" w:rsidTr="00533AAB">
        <w:trPr>
          <w:cantSplit/>
        </w:trPr>
        <w:tc>
          <w:tcPr>
            <w:tcW w:w="1446" w:type="dxa"/>
            <w:vAlign w:val="center"/>
          </w:tcPr>
          <w:p w:rsidR="001E44B7" w:rsidRPr="00997765" w:rsidRDefault="001E44B7" w:rsidP="002A238E">
            <w:pPr>
              <w:pStyle w:val="NoSpacing"/>
              <w:jc w:val="left"/>
              <w:rPr>
                <w:rFonts w:ascii="Arial Narrow" w:hAnsi="Arial Narrow"/>
                <w:sz w:val="20"/>
              </w:rPr>
            </w:pPr>
            <w:r w:rsidRPr="00997765">
              <w:rPr>
                <w:rFonts w:ascii="Arial Narrow" w:hAnsi="Arial Narrow"/>
                <w:sz w:val="20"/>
              </w:rPr>
              <w:t>MC-MTX.9/PH</w:t>
            </w:r>
          </w:p>
        </w:tc>
        <w:tc>
          <w:tcPr>
            <w:tcW w:w="4962" w:type="dxa"/>
            <w:vAlign w:val="center"/>
          </w:tcPr>
          <w:p w:rsidR="001E44B7" w:rsidRPr="00997765" w:rsidRDefault="001E44B7" w:rsidP="0037018B">
            <w:pPr>
              <w:keepNext/>
              <w:rPr>
                <w:rFonts w:ascii="Arial Narrow" w:hAnsi="Arial Narrow"/>
                <w:sz w:val="20"/>
              </w:rPr>
            </w:pPr>
            <w:r w:rsidRPr="00997765">
              <w:rPr>
                <w:rFonts w:ascii="Arial Narrow" w:hAnsi="Arial Narrow"/>
                <w:sz w:val="20"/>
              </w:rPr>
              <w:t>Not reported</w:t>
            </w:r>
          </w:p>
        </w:tc>
        <w:tc>
          <w:tcPr>
            <w:tcW w:w="1956" w:type="dxa"/>
            <w:vAlign w:val="center"/>
          </w:tcPr>
          <w:p w:rsidR="001E44B7" w:rsidRPr="00997765" w:rsidRDefault="001E44B7" w:rsidP="00533AAB">
            <w:pPr>
              <w:keepNext/>
              <w:rPr>
                <w:rFonts w:ascii="Arial Narrow" w:hAnsi="Arial Narrow"/>
                <w:sz w:val="20"/>
              </w:rPr>
            </w:pPr>
            <w:r w:rsidRPr="00997765">
              <w:rPr>
                <w:rFonts w:ascii="Arial Narrow" w:hAnsi="Arial Narrow"/>
                <w:sz w:val="20"/>
              </w:rPr>
              <w:t>Internal study report (not provided)</w:t>
            </w:r>
          </w:p>
        </w:tc>
      </w:tr>
      <w:tr w:rsidR="001E44B7" w:rsidRPr="00997765" w:rsidTr="00533AAB">
        <w:trPr>
          <w:cantSplit/>
        </w:trPr>
        <w:tc>
          <w:tcPr>
            <w:tcW w:w="1446" w:type="dxa"/>
            <w:vAlign w:val="center"/>
          </w:tcPr>
          <w:p w:rsidR="001E44B7" w:rsidRPr="00997765" w:rsidRDefault="001E44B7" w:rsidP="002A238E">
            <w:pPr>
              <w:pStyle w:val="NoSpacing"/>
              <w:jc w:val="left"/>
              <w:rPr>
                <w:rFonts w:ascii="Arial Narrow" w:hAnsi="Arial Narrow"/>
                <w:sz w:val="20"/>
              </w:rPr>
            </w:pPr>
            <w:r w:rsidRPr="00997765">
              <w:rPr>
                <w:rFonts w:ascii="Arial Narrow" w:hAnsi="Arial Narrow"/>
                <w:sz w:val="20"/>
              </w:rPr>
              <w:lastRenderedPageBreak/>
              <w:t>MC-MTX.10/RH</w:t>
            </w:r>
          </w:p>
        </w:tc>
        <w:tc>
          <w:tcPr>
            <w:tcW w:w="4962" w:type="dxa"/>
            <w:vAlign w:val="center"/>
          </w:tcPr>
          <w:p w:rsidR="001E44B7" w:rsidRPr="00997765" w:rsidRDefault="001E44B7" w:rsidP="0037018B">
            <w:pPr>
              <w:keepNext/>
              <w:rPr>
                <w:rFonts w:ascii="Arial Narrow" w:hAnsi="Arial Narrow"/>
                <w:sz w:val="20"/>
              </w:rPr>
            </w:pPr>
            <w:r w:rsidRPr="00997765">
              <w:rPr>
                <w:rFonts w:ascii="Arial Narrow" w:hAnsi="Arial Narrow"/>
                <w:sz w:val="20"/>
              </w:rPr>
              <w:t>Not reported</w:t>
            </w:r>
          </w:p>
        </w:tc>
        <w:tc>
          <w:tcPr>
            <w:tcW w:w="1956" w:type="dxa"/>
            <w:vAlign w:val="center"/>
          </w:tcPr>
          <w:p w:rsidR="001E44B7" w:rsidRPr="00997765" w:rsidRDefault="001E44B7" w:rsidP="00533AAB">
            <w:pPr>
              <w:keepNext/>
              <w:rPr>
                <w:rFonts w:ascii="Arial Narrow" w:hAnsi="Arial Narrow"/>
                <w:sz w:val="20"/>
              </w:rPr>
            </w:pPr>
            <w:r w:rsidRPr="00997765">
              <w:rPr>
                <w:rFonts w:ascii="Arial Narrow" w:hAnsi="Arial Narrow"/>
                <w:sz w:val="20"/>
              </w:rPr>
              <w:t>Internal study report (not provided)</w:t>
            </w:r>
          </w:p>
        </w:tc>
      </w:tr>
      <w:tr w:rsidR="00C333AA" w:rsidRPr="00997765" w:rsidTr="00533AAB">
        <w:trPr>
          <w:cantSplit/>
        </w:trPr>
        <w:tc>
          <w:tcPr>
            <w:tcW w:w="1446" w:type="dxa"/>
            <w:vAlign w:val="center"/>
          </w:tcPr>
          <w:p w:rsidR="00C333AA" w:rsidRPr="00997765" w:rsidRDefault="00C333AA" w:rsidP="00C333AA">
            <w:pPr>
              <w:pStyle w:val="NoSpacing"/>
              <w:jc w:val="left"/>
              <w:rPr>
                <w:rFonts w:ascii="Arial Narrow" w:hAnsi="Arial Narrow"/>
                <w:sz w:val="20"/>
              </w:rPr>
            </w:pPr>
            <w:proofErr w:type="spellStart"/>
            <w:r w:rsidRPr="00997765">
              <w:rPr>
                <w:rFonts w:ascii="Arial Narrow" w:hAnsi="Arial Narrow"/>
                <w:sz w:val="20"/>
              </w:rPr>
              <w:t>Casalan</w:t>
            </w:r>
            <w:proofErr w:type="spellEnd"/>
            <w:r w:rsidRPr="00997765">
              <w:rPr>
                <w:rFonts w:ascii="Arial Narrow" w:hAnsi="Arial Narrow"/>
                <w:sz w:val="20"/>
              </w:rPr>
              <w:t xml:space="preserve"> 2013</w:t>
            </w:r>
          </w:p>
        </w:tc>
        <w:tc>
          <w:tcPr>
            <w:tcW w:w="4962" w:type="dxa"/>
          </w:tcPr>
          <w:p w:rsidR="00C333AA" w:rsidRPr="00997765" w:rsidRDefault="00C333AA" w:rsidP="0037018B">
            <w:pPr>
              <w:keepNext/>
              <w:rPr>
                <w:rFonts w:ascii="Arial Narrow" w:hAnsi="Arial Narrow"/>
                <w:sz w:val="20"/>
              </w:rPr>
            </w:pPr>
            <w:proofErr w:type="spellStart"/>
            <w:r w:rsidRPr="00997765">
              <w:rPr>
                <w:rFonts w:ascii="Arial Narrow" w:hAnsi="Arial Narrow"/>
                <w:sz w:val="20"/>
              </w:rPr>
              <w:t>Casalan</w:t>
            </w:r>
            <w:proofErr w:type="spellEnd"/>
            <w:r w:rsidRPr="00997765">
              <w:rPr>
                <w:rFonts w:ascii="Arial Narrow" w:hAnsi="Arial Narrow"/>
                <w:sz w:val="20"/>
              </w:rPr>
              <w:t xml:space="preserve"> et al (2013). Prevalence of methotrexate intolerance in rheumatoid arthritis and psoriatic arthritis</w:t>
            </w:r>
          </w:p>
        </w:tc>
        <w:tc>
          <w:tcPr>
            <w:tcW w:w="1956" w:type="dxa"/>
            <w:vAlign w:val="center"/>
          </w:tcPr>
          <w:p w:rsidR="00C333AA" w:rsidRPr="00997765" w:rsidRDefault="00C333AA" w:rsidP="00533AAB">
            <w:pPr>
              <w:keepNext/>
              <w:rPr>
                <w:rFonts w:ascii="Arial Narrow" w:hAnsi="Arial Narrow"/>
                <w:sz w:val="20"/>
              </w:rPr>
            </w:pPr>
            <w:r w:rsidRPr="00997765">
              <w:rPr>
                <w:rFonts w:ascii="Arial Narrow" w:hAnsi="Arial Narrow"/>
                <w:sz w:val="20"/>
              </w:rPr>
              <w:t>Arthritis Research &amp; Therapy, 15(6):R217</w:t>
            </w:r>
          </w:p>
        </w:tc>
      </w:tr>
      <w:tr w:rsidR="00C333AA" w:rsidRPr="00997765" w:rsidTr="00533AAB">
        <w:trPr>
          <w:cantSplit/>
        </w:trPr>
        <w:tc>
          <w:tcPr>
            <w:tcW w:w="1446" w:type="dxa"/>
            <w:vAlign w:val="center"/>
          </w:tcPr>
          <w:p w:rsidR="00C333AA" w:rsidRPr="00997765" w:rsidRDefault="00C333AA" w:rsidP="002A238E">
            <w:pPr>
              <w:pStyle w:val="NoSpacing"/>
              <w:jc w:val="left"/>
              <w:rPr>
                <w:rFonts w:ascii="Arial Narrow" w:hAnsi="Arial Narrow"/>
                <w:sz w:val="20"/>
              </w:rPr>
            </w:pPr>
            <w:r w:rsidRPr="00997765">
              <w:rPr>
                <w:rFonts w:ascii="Arial Narrow" w:hAnsi="Arial Narrow"/>
                <w:sz w:val="20"/>
              </w:rPr>
              <w:t>Schiff 2014</w:t>
            </w:r>
          </w:p>
        </w:tc>
        <w:tc>
          <w:tcPr>
            <w:tcW w:w="4962" w:type="dxa"/>
          </w:tcPr>
          <w:p w:rsidR="00C333AA" w:rsidRPr="00997765" w:rsidRDefault="00C333AA" w:rsidP="0037018B">
            <w:pPr>
              <w:keepNext/>
              <w:rPr>
                <w:rFonts w:ascii="Arial Narrow" w:hAnsi="Arial Narrow"/>
                <w:sz w:val="20"/>
              </w:rPr>
            </w:pPr>
            <w:r w:rsidRPr="00997765">
              <w:rPr>
                <w:rFonts w:ascii="Arial Narrow" w:hAnsi="Arial Narrow"/>
                <w:sz w:val="20"/>
              </w:rPr>
              <w:t>Schiff et al (2014). Head-to-head, randomised, crossover study of oral versus subcutaneous methotrexate in patients with rheumatoid arthritis: drug-exposure limitations of oral methotrexate at doses ≥1</w:t>
            </w:r>
            <w:r w:rsidR="004D6A66" w:rsidRPr="00997765">
              <w:rPr>
                <w:rFonts w:ascii="Arial Narrow" w:hAnsi="Arial Narrow"/>
                <w:sz w:val="20"/>
              </w:rPr>
              <w:t>5 mg</w:t>
            </w:r>
            <w:r w:rsidRPr="00997765">
              <w:rPr>
                <w:rFonts w:ascii="Arial Narrow" w:hAnsi="Arial Narrow"/>
                <w:sz w:val="20"/>
              </w:rPr>
              <w:t xml:space="preserve"> may be overcome with subcutaneous administration </w:t>
            </w:r>
          </w:p>
        </w:tc>
        <w:tc>
          <w:tcPr>
            <w:tcW w:w="1956" w:type="dxa"/>
            <w:vAlign w:val="center"/>
          </w:tcPr>
          <w:p w:rsidR="00C333AA" w:rsidRPr="00997765" w:rsidRDefault="00C333AA" w:rsidP="00533AAB">
            <w:pPr>
              <w:keepNext/>
              <w:rPr>
                <w:rFonts w:ascii="Arial Narrow" w:hAnsi="Arial Narrow"/>
                <w:sz w:val="20"/>
              </w:rPr>
            </w:pPr>
            <w:r w:rsidRPr="00997765">
              <w:rPr>
                <w:rFonts w:ascii="Arial Narrow" w:hAnsi="Arial Narrow"/>
                <w:sz w:val="20"/>
              </w:rPr>
              <w:t>Annals of the Rheumatic Diseases, 73(8):1549-51</w:t>
            </w:r>
          </w:p>
        </w:tc>
      </w:tr>
      <w:tr w:rsidR="00C333AA" w:rsidRPr="00997765" w:rsidTr="00533AAB">
        <w:trPr>
          <w:cantSplit/>
        </w:trPr>
        <w:tc>
          <w:tcPr>
            <w:tcW w:w="1446" w:type="dxa"/>
            <w:vAlign w:val="center"/>
          </w:tcPr>
          <w:p w:rsidR="00C333AA" w:rsidRPr="00997765" w:rsidRDefault="00C333AA" w:rsidP="002A238E">
            <w:pPr>
              <w:pStyle w:val="NoSpacing"/>
              <w:jc w:val="left"/>
              <w:rPr>
                <w:rFonts w:ascii="Arial Narrow" w:hAnsi="Arial Narrow"/>
                <w:sz w:val="20"/>
              </w:rPr>
            </w:pPr>
            <w:r w:rsidRPr="00997765">
              <w:rPr>
                <w:rFonts w:ascii="Arial Narrow" w:hAnsi="Arial Narrow"/>
                <w:sz w:val="20"/>
              </w:rPr>
              <w:t>Scott 2014</w:t>
            </w:r>
          </w:p>
        </w:tc>
        <w:tc>
          <w:tcPr>
            <w:tcW w:w="4962" w:type="dxa"/>
          </w:tcPr>
          <w:p w:rsidR="00C333AA" w:rsidRPr="00997765" w:rsidRDefault="00C333AA" w:rsidP="0037018B">
            <w:pPr>
              <w:keepNext/>
              <w:rPr>
                <w:rFonts w:ascii="Arial Narrow" w:hAnsi="Arial Narrow"/>
                <w:sz w:val="20"/>
              </w:rPr>
            </w:pPr>
            <w:r w:rsidRPr="00997765">
              <w:rPr>
                <w:rFonts w:ascii="Arial Narrow" w:hAnsi="Arial Narrow"/>
                <w:sz w:val="20"/>
              </w:rPr>
              <w:t>Scott et al (2014). Retrospective evaluation of continuation rates following a switch to subcutaneous methotrexate in rheumatoid arthritis patients failing to respond to or tolerate oral methotrexate: the MENTOR study</w:t>
            </w:r>
          </w:p>
        </w:tc>
        <w:tc>
          <w:tcPr>
            <w:tcW w:w="1956" w:type="dxa"/>
            <w:vAlign w:val="center"/>
          </w:tcPr>
          <w:p w:rsidR="00C333AA" w:rsidRPr="00997765" w:rsidRDefault="00C333AA" w:rsidP="00533AAB">
            <w:pPr>
              <w:keepNext/>
              <w:rPr>
                <w:rFonts w:ascii="Arial Narrow" w:hAnsi="Arial Narrow"/>
                <w:sz w:val="20"/>
              </w:rPr>
            </w:pPr>
            <w:r w:rsidRPr="00997765">
              <w:rPr>
                <w:rFonts w:ascii="Arial Narrow" w:hAnsi="Arial Narrow"/>
                <w:sz w:val="20"/>
              </w:rPr>
              <w:t>Scandinavian Journal of Rheumatology, 43(6):470-6</w:t>
            </w:r>
          </w:p>
        </w:tc>
      </w:tr>
      <w:tr w:rsidR="00C333AA" w:rsidRPr="00997765" w:rsidTr="00533AAB">
        <w:trPr>
          <w:cantSplit/>
        </w:trPr>
        <w:tc>
          <w:tcPr>
            <w:tcW w:w="1446" w:type="dxa"/>
            <w:vAlign w:val="center"/>
          </w:tcPr>
          <w:p w:rsidR="00C333AA" w:rsidRPr="00997765" w:rsidRDefault="00C333AA" w:rsidP="002A238E">
            <w:pPr>
              <w:pStyle w:val="NoSpacing"/>
              <w:jc w:val="left"/>
              <w:rPr>
                <w:rFonts w:ascii="Arial Narrow" w:hAnsi="Arial Narrow"/>
                <w:sz w:val="20"/>
              </w:rPr>
            </w:pPr>
            <w:proofErr w:type="spellStart"/>
            <w:r w:rsidRPr="00997765">
              <w:rPr>
                <w:rFonts w:ascii="Arial Narrow" w:hAnsi="Arial Narrow"/>
                <w:sz w:val="20"/>
              </w:rPr>
              <w:t>Tymms</w:t>
            </w:r>
            <w:proofErr w:type="spellEnd"/>
            <w:r w:rsidRPr="00997765">
              <w:rPr>
                <w:rFonts w:ascii="Arial Narrow" w:hAnsi="Arial Narrow"/>
                <w:sz w:val="20"/>
              </w:rPr>
              <w:t xml:space="preserve"> 2014</w:t>
            </w:r>
          </w:p>
        </w:tc>
        <w:tc>
          <w:tcPr>
            <w:tcW w:w="4962" w:type="dxa"/>
          </w:tcPr>
          <w:p w:rsidR="00C333AA" w:rsidRPr="00997765" w:rsidRDefault="00C333AA" w:rsidP="00C333AA">
            <w:pPr>
              <w:keepNext/>
              <w:rPr>
                <w:rFonts w:ascii="Arial Narrow" w:hAnsi="Arial Narrow"/>
                <w:sz w:val="20"/>
              </w:rPr>
            </w:pPr>
            <w:proofErr w:type="spellStart"/>
            <w:r w:rsidRPr="00997765">
              <w:rPr>
                <w:rFonts w:ascii="Arial Narrow" w:hAnsi="Arial Narrow"/>
                <w:sz w:val="20"/>
              </w:rPr>
              <w:t>Tymms</w:t>
            </w:r>
            <w:proofErr w:type="spellEnd"/>
            <w:r w:rsidRPr="00997765">
              <w:rPr>
                <w:rFonts w:ascii="Arial Narrow" w:hAnsi="Arial Narrow"/>
                <w:sz w:val="20"/>
              </w:rPr>
              <w:t xml:space="preserve"> et al (2014). Barriers to optimal disease control for rheumatoid arthritis patients with moderate and high disease activity</w:t>
            </w:r>
            <w:r w:rsidRPr="00997765">
              <w:rPr>
                <w:rFonts w:ascii="Arial Narrow" w:hAnsi="Arial Narrow"/>
                <w:sz w:val="20"/>
              </w:rPr>
              <w:tab/>
            </w:r>
          </w:p>
        </w:tc>
        <w:tc>
          <w:tcPr>
            <w:tcW w:w="1956" w:type="dxa"/>
            <w:vAlign w:val="center"/>
          </w:tcPr>
          <w:p w:rsidR="00C333AA" w:rsidRPr="00997765" w:rsidRDefault="00C333AA" w:rsidP="00533AAB">
            <w:pPr>
              <w:keepNext/>
              <w:rPr>
                <w:rFonts w:ascii="Arial Narrow" w:hAnsi="Arial Narrow"/>
                <w:sz w:val="20"/>
              </w:rPr>
            </w:pPr>
            <w:r w:rsidRPr="00997765">
              <w:rPr>
                <w:rFonts w:ascii="Arial Narrow" w:hAnsi="Arial Narrow"/>
                <w:sz w:val="20"/>
              </w:rPr>
              <w:t>Arthritis Care &amp; Research, 66(2):190-6</w:t>
            </w:r>
          </w:p>
        </w:tc>
      </w:tr>
      <w:tr w:rsidR="00C333AA" w:rsidRPr="00997765" w:rsidTr="00533AAB">
        <w:trPr>
          <w:cantSplit/>
        </w:trPr>
        <w:tc>
          <w:tcPr>
            <w:tcW w:w="1446" w:type="dxa"/>
            <w:vAlign w:val="center"/>
          </w:tcPr>
          <w:p w:rsidR="00C333AA" w:rsidRPr="00997765" w:rsidRDefault="00C333AA" w:rsidP="002A238E">
            <w:pPr>
              <w:pStyle w:val="NoSpacing"/>
              <w:jc w:val="left"/>
              <w:rPr>
                <w:rFonts w:ascii="Arial Narrow" w:hAnsi="Arial Narrow"/>
                <w:sz w:val="20"/>
              </w:rPr>
            </w:pPr>
            <w:r w:rsidRPr="00997765">
              <w:rPr>
                <w:rFonts w:ascii="Arial Narrow" w:hAnsi="Arial Narrow"/>
                <w:sz w:val="20"/>
              </w:rPr>
              <w:t>Littlejohn 2013</w:t>
            </w:r>
          </w:p>
        </w:tc>
        <w:tc>
          <w:tcPr>
            <w:tcW w:w="4962" w:type="dxa"/>
          </w:tcPr>
          <w:p w:rsidR="00C333AA" w:rsidRPr="00997765" w:rsidRDefault="00C333AA" w:rsidP="0037018B">
            <w:pPr>
              <w:keepNext/>
              <w:rPr>
                <w:rFonts w:ascii="Arial Narrow" w:hAnsi="Arial Narrow"/>
                <w:sz w:val="20"/>
              </w:rPr>
            </w:pPr>
            <w:r w:rsidRPr="00997765">
              <w:rPr>
                <w:rFonts w:ascii="Arial Narrow" w:hAnsi="Arial Narrow"/>
                <w:sz w:val="20"/>
              </w:rPr>
              <w:t>Littlejohn et al (2013). A multi-</w:t>
            </w:r>
            <w:proofErr w:type="spellStart"/>
            <w:r w:rsidRPr="00997765">
              <w:rPr>
                <w:rFonts w:ascii="Arial Narrow" w:hAnsi="Arial Narrow"/>
                <w:sz w:val="20"/>
              </w:rPr>
              <w:t>center</w:t>
            </w:r>
            <w:proofErr w:type="spellEnd"/>
            <w:r w:rsidRPr="00997765">
              <w:rPr>
                <w:rFonts w:ascii="Arial Narrow" w:hAnsi="Arial Narrow"/>
                <w:sz w:val="20"/>
              </w:rPr>
              <w:t>, observational study shows high proportion of Australian rheumatoid arthritis patients have inadequate disease control</w:t>
            </w:r>
          </w:p>
        </w:tc>
        <w:tc>
          <w:tcPr>
            <w:tcW w:w="1956" w:type="dxa"/>
            <w:vAlign w:val="center"/>
          </w:tcPr>
          <w:p w:rsidR="00C333AA" w:rsidRPr="00997765" w:rsidRDefault="00C333AA" w:rsidP="00533AAB">
            <w:pPr>
              <w:keepNext/>
              <w:rPr>
                <w:rFonts w:ascii="Arial Narrow" w:hAnsi="Arial Narrow"/>
                <w:sz w:val="20"/>
              </w:rPr>
            </w:pPr>
            <w:r w:rsidRPr="00997765">
              <w:rPr>
                <w:rFonts w:ascii="Arial Narrow" w:hAnsi="Arial Narrow"/>
                <w:sz w:val="20"/>
              </w:rPr>
              <w:t>International Journal of Rheumatic Diseases, 16:532-538</w:t>
            </w:r>
          </w:p>
        </w:tc>
      </w:tr>
      <w:tr w:rsidR="00C333AA" w:rsidRPr="00997765" w:rsidTr="00533AAB">
        <w:trPr>
          <w:cantSplit/>
        </w:trPr>
        <w:tc>
          <w:tcPr>
            <w:tcW w:w="1446" w:type="dxa"/>
            <w:vAlign w:val="center"/>
          </w:tcPr>
          <w:p w:rsidR="00C333AA" w:rsidRPr="00997765" w:rsidRDefault="00C333AA" w:rsidP="00C333AA">
            <w:pPr>
              <w:pStyle w:val="NoSpacing"/>
              <w:jc w:val="left"/>
              <w:rPr>
                <w:rFonts w:ascii="Arial Narrow" w:hAnsi="Arial Narrow"/>
                <w:sz w:val="20"/>
              </w:rPr>
            </w:pPr>
            <w:r w:rsidRPr="00997765">
              <w:rPr>
                <w:rFonts w:ascii="Arial Narrow" w:hAnsi="Arial Narrow"/>
                <w:sz w:val="20"/>
              </w:rPr>
              <w:t>Littlejohn 2015</w:t>
            </w:r>
          </w:p>
        </w:tc>
        <w:tc>
          <w:tcPr>
            <w:tcW w:w="4962" w:type="dxa"/>
          </w:tcPr>
          <w:p w:rsidR="00C333AA" w:rsidRPr="00997765" w:rsidRDefault="00C333AA" w:rsidP="0037018B">
            <w:pPr>
              <w:keepNext/>
              <w:rPr>
                <w:rFonts w:ascii="Arial Narrow" w:hAnsi="Arial Narrow"/>
                <w:sz w:val="20"/>
              </w:rPr>
            </w:pPr>
            <w:r w:rsidRPr="00997765">
              <w:rPr>
                <w:rFonts w:ascii="Arial Narrow" w:hAnsi="Arial Narrow"/>
                <w:sz w:val="20"/>
              </w:rPr>
              <w:t xml:space="preserve">Littlejohn et al (2015). Patients with rheumatoid arthritis in the Australian OPAL cohort show significant improvement in disease activity over 5 years: a </w:t>
            </w:r>
            <w:proofErr w:type="spellStart"/>
            <w:r w:rsidRPr="00997765">
              <w:rPr>
                <w:rFonts w:ascii="Arial Narrow" w:hAnsi="Arial Narrow"/>
                <w:sz w:val="20"/>
              </w:rPr>
              <w:t>multicenter</w:t>
            </w:r>
            <w:proofErr w:type="spellEnd"/>
            <w:r w:rsidRPr="00997765">
              <w:rPr>
                <w:rFonts w:ascii="Arial Narrow" w:hAnsi="Arial Narrow"/>
                <w:sz w:val="20"/>
              </w:rPr>
              <w:t xml:space="preserve"> observational study</w:t>
            </w:r>
          </w:p>
        </w:tc>
        <w:tc>
          <w:tcPr>
            <w:tcW w:w="1956" w:type="dxa"/>
            <w:vAlign w:val="center"/>
          </w:tcPr>
          <w:p w:rsidR="00C333AA" w:rsidRPr="00997765" w:rsidRDefault="00C333AA" w:rsidP="00533AAB">
            <w:pPr>
              <w:keepNext/>
              <w:rPr>
                <w:rFonts w:ascii="Arial Narrow" w:hAnsi="Arial Narrow"/>
                <w:sz w:val="20"/>
              </w:rPr>
            </w:pPr>
            <w:r w:rsidRPr="00997765">
              <w:rPr>
                <w:rFonts w:ascii="Arial Narrow" w:hAnsi="Arial Narrow"/>
                <w:sz w:val="20"/>
              </w:rPr>
              <w:t>The Journal of Rheumatology, 42(9):1603-9</w:t>
            </w:r>
          </w:p>
        </w:tc>
      </w:tr>
      <w:tr w:rsidR="00C333AA" w:rsidRPr="00997765" w:rsidTr="00533AAB">
        <w:trPr>
          <w:cantSplit/>
        </w:trPr>
        <w:tc>
          <w:tcPr>
            <w:tcW w:w="1446" w:type="dxa"/>
            <w:vAlign w:val="center"/>
          </w:tcPr>
          <w:p w:rsidR="00C333AA" w:rsidRPr="00997765" w:rsidRDefault="00C333AA" w:rsidP="002A238E">
            <w:pPr>
              <w:pStyle w:val="NoSpacing"/>
              <w:jc w:val="left"/>
              <w:rPr>
                <w:rFonts w:ascii="Arial Narrow" w:hAnsi="Arial Narrow"/>
                <w:sz w:val="20"/>
              </w:rPr>
            </w:pPr>
            <w:proofErr w:type="spellStart"/>
            <w:r w:rsidRPr="00997765">
              <w:rPr>
                <w:rFonts w:ascii="Arial Narrow" w:hAnsi="Arial Narrow"/>
                <w:sz w:val="20"/>
              </w:rPr>
              <w:t>Striesow</w:t>
            </w:r>
            <w:proofErr w:type="spellEnd"/>
            <w:r w:rsidR="00C173FD" w:rsidRPr="00997765">
              <w:rPr>
                <w:rFonts w:ascii="Arial Narrow" w:hAnsi="Arial Narrow"/>
                <w:sz w:val="20"/>
              </w:rPr>
              <w:t xml:space="preserve"> &amp; Brandt</w:t>
            </w:r>
            <w:r w:rsidRPr="00997765">
              <w:rPr>
                <w:rFonts w:ascii="Arial Narrow" w:hAnsi="Arial Narrow"/>
                <w:sz w:val="20"/>
              </w:rPr>
              <w:t xml:space="preserve"> 2012</w:t>
            </w:r>
          </w:p>
        </w:tc>
        <w:tc>
          <w:tcPr>
            <w:tcW w:w="4962" w:type="dxa"/>
          </w:tcPr>
          <w:p w:rsidR="00C333AA" w:rsidRPr="00997765" w:rsidRDefault="00C333AA" w:rsidP="0037018B">
            <w:pPr>
              <w:keepNext/>
              <w:rPr>
                <w:rFonts w:ascii="Arial Narrow" w:hAnsi="Arial Narrow"/>
                <w:sz w:val="20"/>
              </w:rPr>
            </w:pPr>
            <w:proofErr w:type="spellStart"/>
            <w:r w:rsidRPr="00997765">
              <w:rPr>
                <w:rFonts w:ascii="Arial Narrow" w:hAnsi="Arial Narrow"/>
                <w:sz w:val="20"/>
              </w:rPr>
              <w:t>Striesow</w:t>
            </w:r>
            <w:proofErr w:type="spellEnd"/>
            <w:r w:rsidRPr="00997765">
              <w:rPr>
                <w:rFonts w:ascii="Arial Narrow" w:hAnsi="Arial Narrow"/>
                <w:sz w:val="20"/>
              </w:rPr>
              <w:t xml:space="preserve"> &amp; Brandt (2012). Preference, satisfaction and usability of subcutaneously administered methotrexate for rheumatoid arthritis or psoriatic arthritis: results of a </w:t>
            </w:r>
            <w:proofErr w:type="spellStart"/>
            <w:r w:rsidRPr="00997765">
              <w:rPr>
                <w:rFonts w:ascii="Arial Narrow" w:hAnsi="Arial Narrow"/>
                <w:sz w:val="20"/>
              </w:rPr>
              <w:t>postmarketing</w:t>
            </w:r>
            <w:proofErr w:type="spellEnd"/>
            <w:r w:rsidRPr="00997765">
              <w:rPr>
                <w:rFonts w:ascii="Arial Narrow" w:hAnsi="Arial Narrow"/>
                <w:sz w:val="20"/>
              </w:rPr>
              <w:t xml:space="preserve"> surveillance study </w:t>
            </w:r>
          </w:p>
        </w:tc>
        <w:tc>
          <w:tcPr>
            <w:tcW w:w="1956" w:type="dxa"/>
            <w:vAlign w:val="center"/>
          </w:tcPr>
          <w:p w:rsidR="00C333AA" w:rsidRPr="00997765" w:rsidRDefault="00C333AA" w:rsidP="00533AAB">
            <w:pPr>
              <w:keepNext/>
              <w:rPr>
                <w:rFonts w:ascii="Arial Narrow" w:hAnsi="Arial Narrow"/>
                <w:sz w:val="20"/>
              </w:rPr>
            </w:pPr>
            <w:r w:rsidRPr="00997765">
              <w:rPr>
                <w:rFonts w:ascii="Arial Narrow" w:hAnsi="Arial Narrow"/>
                <w:sz w:val="20"/>
              </w:rPr>
              <w:t>Therapeutic Advances in Musculoskeletal Disease, 4(1):3-9</w:t>
            </w:r>
          </w:p>
        </w:tc>
      </w:tr>
    </w:tbl>
    <w:p w:rsidR="00D84934" w:rsidRPr="00997765" w:rsidRDefault="002A238E" w:rsidP="002A238E">
      <w:pPr>
        <w:ind w:firstLine="720"/>
        <w:jc w:val="both"/>
        <w:rPr>
          <w:rFonts w:ascii="Arial" w:hAnsi="Arial"/>
          <w:sz w:val="22"/>
          <w:szCs w:val="22"/>
        </w:rPr>
      </w:pPr>
      <w:r w:rsidRPr="00997765">
        <w:rPr>
          <w:rFonts w:ascii="Arial Narrow" w:hAnsi="Arial Narrow"/>
          <w:sz w:val="18"/>
          <w:szCs w:val="18"/>
        </w:rPr>
        <w:t>Source: Table 5 (p 24) and Table 6 (p 25) of the submission</w:t>
      </w:r>
    </w:p>
    <w:p w:rsidR="00BB7EC3" w:rsidRPr="00997765" w:rsidRDefault="00BB7EC3" w:rsidP="009B0F67">
      <w:pPr>
        <w:jc w:val="both"/>
        <w:rPr>
          <w:rFonts w:ascii="Arial" w:hAnsi="Arial"/>
          <w:sz w:val="22"/>
          <w:szCs w:val="22"/>
        </w:rPr>
      </w:pPr>
    </w:p>
    <w:p w:rsidR="005A3173" w:rsidRPr="00997765" w:rsidRDefault="005A3173" w:rsidP="005E5CFA">
      <w:pPr>
        <w:pStyle w:val="Heading2"/>
      </w:pPr>
      <w:r w:rsidRPr="00997765">
        <w:t>Comparative effectiveness</w:t>
      </w:r>
    </w:p>
    <w:p w:rsidR="00974F82" w:rsidRPr="00997765" w:rsidRDefault="00974F82" w:rsidP="009F79E7">
      <w:pPr>
        <w:jc w:val="both"/>
        <w:rPr>
          <w:rFonts w:ascii="Arial" w:hAnsi="Arial"/>
          <w:i/>
          <w:sz w:val="22"/>
          <w:szCs w:val="22"/>
        </w:rPr>
      </w:pPr>
    </w:p>
    <w:p w:rsidR="00F440F2" w:rsidRPr="00997765" w:rsidRDefault="00F440F2" w:rsidP="00FC330F">
      <w:pPr>
        <w:pStyle w:val="ListParagraph"/>
        <w:numPr>
          <w:ilvl w:val="1"/>
          <w:numId w:val="1"/>
        </w:numPr>
        <w:jc w:val="both"/>
        <w:rPr>
          <w:rFonts w:ascii="Arial" w:hAnsi="Arial"/>
          <w:i/>
          <w:sz w:val="22"/>
          <w:szCs w:val="22"/>
        </w:rPr>
      </w:pPr>
      <w:r w:rsidRPr="00997765">
        <w:rPr>
          <w:rFonts w:ascii="Arial" w:hAnsi="Arial"/>
          <w:sz w:val="22"/>
          <w:szCs w:val="22"/>
        </w:rPr>
        <w:t>Study MC-MTX.7/PH was a phase 1, open-label, single</w:t>
      </w:r>
      <w:r w:rsidR="00DA64A7" w:rsidRPr="00997765">
        <w:rPr>
          <w:rFonts w:ascii="Arial" w:hAnsi="Arial"/>
          <w:sz w:val="22"/>
          <w:szCs w:val="22"/>
        </w:rPr>
        <w:t>-phase</w:t>
      </w:r>
      <w:r w:rsidRPr="00997765">
        <w:rPr>
          <w:rFonts w:ascii="Arial" w:hAnsi="Arial"/>
          <w:sz w:val="22"/>
          <w:szCs w:val="22"/>
        </w:rPr>
        <w:t xml:space="preserve"> crossover study comparing single dose (1</w:t>
      </w:r>
      <w:r w:rsidR="004D6A66" w:rsidRPr="00997765">
        <w:rPr>
          <w:rFonts w:ascii="Arial" w:hAnsi="Arial"/>
          <w:sz w:val="22"/>
          <w:szCs w:val="22"/>
        </w:rPr>
        <w:t>5 mg</w:t>
      </w:r>
      <w:r w:rsidRPr="00997765">
        <w:rPr>
          <w:rFonts w:ascii="Arial" w:hAnsi="Arial"/>
          <w:sz w:val="22"/>
          <w:szCs w:val="22"/>
        </w:rPr>
        <w:t>) intramuscular and subcutaneous methotrexate using the 1</w:t>
      </w:r>
      <w:r w:rsidR="004D6A66" w:rsidRPr="00997765">
        <w:rPr>
          <w:rFonts w:ascii="Arial" w:hAnsi="Arial"/>
          <w:sz w:val="22"/>
          <w:szCs w:val="22"/>
        </w:rPr>
        <w:t>0 mg</w:t>
      </w:r>
      <w:r w:rsidRPr="00997765">
        <w:rPr>
          <w:rFonts w:ascii="Arial" w:hAnsi="Arial"/>
          <w:sz w:val="22"/>
          <w:szCs w:val="22"/>
        </w:rPr>
        <w:t>/mL injection solution</w:t>
      </w:r>
      <w:r w:rsidR="00387EB5" w:rsidRPr="00997765">
        <w:rPr>
          <w:rFonts w:ascii="Arial" w:hAnsi="Arial"/>
          <w:sz w:val="22"/>
          <w:szCs w:val="22"/>
        </w:rPr>
        <w:t xml:space="preserve"> in healthy adults</w:t>
      </w:r>
      <w:r w:rsidR="00226E9F" w:rsidRPr="00997765">
        <w:rPr>
          <w:rFonts w:ascii="Arial" w:hAnsi="Arial"/>
          <w:sz w:val="22"/>
          <w:szCs w:val="22"/>
        </w:rPr>
        <w:t xml:space="preserve"> (N=16)</w:t>
      </w:r>
      <w:r w:rsidRPr="00997765">
        <w:rPr>
          <w:rFonts w:ascii="Arial" w:hAnsi="Arial"/>
          <w:sz w:val="22"/>
          <w:szCs w:val="22"/>
        </w:rPr>
        <w:t>. A summary of pharmacokinetic parame</w:t>
      </w:r>
      <w:r w:rsidR="00A34050" w:rsidRPr="00997765">
        <w:rPr>
          <w:rFonts w:ascii="Arial" w:hAnsi="Arial"/>
          <w:sz w:val="22"/>
          <w:szCs w:val="22"/>
        </w:rPr>
        <w:t>ter re</w:t>
      </w:r>
      <w:r w:rsidR="001C3A84" w:rsidRPr="00997765">
        <w:rPr>
          <w:rFonts w:ascii="Arial" w:hAnsi="Arial"/>
          <w:sz w:val="22"/>
          <w:szCs w:val="22"/>
        </w:rPr>
        <w:t>sults are presented in Table 3</w:t>
      </w:r>
      <w:r w:rsidRPr="00997765">
        <w:rPr>
          <w:rFonts w:ascii="Arial" w:hAnsi="Arial"/>
          <w:sz w:val="22"/>
          <w:szCs w:val="22"/>
        </w:rPr>
        <w:t>.</w:t>
      </w:r>
    </w:p>
    <w:p w:rsidR="00F27BC8" w:rsidRPr="00997765" w:rsidRDefault="00F27BC8">
      <w:pPr>
        <w:rPr>
          <w:rFonts w:ascii="Arial" w:hAnsi="Arial"/>
          <w:i/>
          <w:sz w:val="22"/>
          <w:szCs w:val="22"/>
        </w:rPr>
      </w:pPr>
    </w:p>
    <w:p w:rsidR="00F440F2" w:rsidRPr="00997765" w:rsidRDefault="00F440F2" w:rsidP="00F440F2">
      <w:pPr>
        <w:pStyle w:val="ListParagraph"/>
        <w:jc w:val="both"/>
        <w:rPr>
          <w:rFonts w:ascii="Arial" w:hAnsi="Arial"/>
          <w:i/>
          <w:sz w:val="22"/>
          <w:szCs w:val="22"/>
        </w:rPr>
      </w:pPr>
    </w:p>
    <w:p w:rsidR="00A34050" w:rsidRPr="00997765" w:rsidRDefault="001C3A84" w:rsidP="00A34050">
      <w:pPr>
        <w:pStyle w:val="ListParagraph"/>
        <w:jc w:val="both"/>
        <w:rPr>
          <w:rFonts w:ascii="Arial Narrow" w:hAnsi="Arial Narrow"/>
          <w:b/>
          <w:sz w:val="20"/>
          <w:szCs w:val="22"/>
        </w:rPr>
      </w:pPr>
      <w:r w:rsidRPr="00997765">
        <w:rPr>
          <w:rFonts w:ascii="Arial Narrow" w:hAnsi="Arial Narrow"/>
          <w:b/>
          <w:sz w:val="20"/>
          <w:szCs w:val="22"/>
        </w:rPr>
        <w:t>Table 3</w:t>
      </w:r>
      <w:r w:rsidR="00A34050" w:rsidRPr="00997765">
        <w:rPr>
          <w:rFonts w:ascii="Arial Narrow" w:hAnsi="Arial Narrow"/>
          <w:b/>
          <w:sz w:val="20"/>
          <w:szCs w:val="22"/>
        </w:rPr>
        <w:t>: Primary pharmacokinetic parameter results for Study MC-MTX.7/PH</w:t>
      </w:r>
    </w:p>
    <w:tbl>
      <w:tblPr>
        <w:tblStyle w:val="TableGrid"/>
        <w:tblW w:w="0" w:type="auto"/>
        <w:tblInd w:w="817" w:type="dxa"/>
        <w:tblLook w:val="04A0" w:firstRow="1" w:lastRow="0" w:firstColumn="1" w:lastColumn="0" w:noHBand="0" w:noVBand="1"/>
        <w:tblCaption w:val="Table 3: Primary pharmacokinetic parameter results for Study MC-MTX.7/PH"/>
      </w:tblPr>
      <w:tblGrid>
        <w:gridCol w:w="1617"/>
        <w:gridCol w:w="1686"/>
        <w:gridCol w:w="1687"/>
        <w:gridCol w:w="1956"/>
        <w:gridCol w:w="1417"/>
      </w:tblGrid>
      <w:tr w:rsidR="00A34050" w:rsidRPr="00997765" w:rsidTr="00805FAD">
        <w:trPr>
          <w:tblHeader/>
        </w:trPr>
        <w:tc>
          <w:tcPr>
            <w:tcW w:w="1617" w:type="dxa"/>
            <w:vAlign w:val="center"/>
          </w:tcPr>
          <w:p w:rsidR="00A34050" w:rsidRPr="00997765" w:rsidRDefault="00A34050" w:rsidP="003B054A">
            <w:pPr>
              <w:pStyle w:val="ListParagraph"/>
              <w:ind w:left="0"/>
              <w:rPr>
                <w:rFonts w:ascii="Arial Narrow" w:hAnsi="Arial Narrow"/>
                <w:b/>
                <w:sz w:val="20"/>
                <w:szCs w:val="22"/>
              </w:rPr>
            </w:pPr>
            <w:r w:rsidRPr="00997765">
              <w:rPr>
                <w:rFonts w:ascii="Arial Narrow" w:hAnsi="Arial Narrow"/>
                <w:b/>
                <w:sz w:val="20"/>
                <w:szCs w:val="22"/>
              </w:rPr>
              <w:t>Parameter</w:t>
            </w:r>
          </w:p>
        </w:tc>
        <w:tc>
          <w:tcPr>
            <w:tcW w:w="1686" w:type="dxa"/>
          </w:tcPr>
          <w:p w:rsidR="00A34050" w:rsidRPr="00997765" w:rsidRDefault="003B054A" w:rsidP="00A34050">
            <w:pPr>
              <w:pStyle w:val="ListParagraph"/>
              <w:ind w:left="0"/>
              <w:jc w:val="center"/>
              <w:rPr>
                <w:rFonts w:ascii="Arial Narrow" w:hAnsi="Arial Narrow"/>
                <w:b/>
                <w:sz w:val="20"/>
                <w:szCs w:val="22"/>
              </w:rPr>
            </w:pPr>
            <w:r w:rsidRPr="00997765">
              <w:rPr>
                <w:rFonts w:ascii="Arial Narrow" w:hAnsi="Arial Narrow"/>
                <w:b/>
                <w:sz w:val="20"/>
                <w:szCs w:val="22"/>
              </w:rPr>
              <w:t>Subcutaneous methotrexate</w:t>
            </w:r>
          </w:p>
        </w:tc>
        <w:tc>
          <w:tcPr>
            <w:tcW w:w="1687" w:type="dxa"/>
          </w:tcPr>
          <w:p w:rsidR="00A34050" w:rsidRPr="00997765" w:rsidRDefault="003B054A" w:rsidP="0037018B">
            <w:pPr>
              <w:pStyle w:val="ListParagraph"/>
              <w:ind w:left="0"/>
              <w:jc w:val="center"/>
              <w:rPr>
                <w:rFonts w:ascii="Arial Narrow" w:hAnsi="Arial Narrow"/>
                <w:b/>
                <w:sz w:val="20"/>
                <w:szCs w:val="22"/>
              </w:rPr>
            </w:pPr>
            <w:r w:rsidRPr="00997765">
              <w:rPr>
                <w:rFonts w:ascii="Arial Narrow" w:hAnsi="Arial Narrow"/>
                <w:b/>
                <w:sz w:val="20"/>
                <w:szCs w:val="22"/>
              </w:rPr>
              <w:t>Intramuscular methotrexate</w:t>
            </w:r>
          </w:p>
        </w:tc>
        <w:tc>
          <w:tcPr>
            <w:tcW w:w="1956" w:type="dxa"/>
          </w:tcPr>
          <w:p w:rsidR="00CD0E89" w:rsidRPr="00997765" w:rsidRDefault="00A34050" w:rsidP="00CD0E89">
            <w:pPr>
              <w:pStyle w:val="ListParagraph"/>
              <w:ind w:left="0"/>
              <w:jc w:val="center"/>
              <w:rPr>
                <w:rFonts w:ascii="Arial Narrow" w:hAnsi="Arial Narrow"/>
                <w:b/>
                <w:sz w:val="20"/>
                <w:szCs w:val="22"/>
              </w:rPr>
            </w:pPr>
            <w:r w:rsidRPr="00997765">
              <w:rPr>
                <w:rFonts w:ascii="Arial Narrow" w:hAnsi="Arial Narrow"/>
                <w:b/>
                <w:sz w:val="20"/>
                <w:szCs w:val="22"/>
              </w:rPr>
              <w:t xml:space="preserve">Geometric </w:t>
            </w:r>
          </w:p>
          <w:p w:rsidR="00A34050" w:rsidRPr="00997765" w:rsidRDefault="00A34050" w:rsidP="00CD0E89">
            <w:pPr>
              <w:pStyle w:val="ListParagraph"/>
              <w:ind w:left="0"/>
              <w:jc w:val="center"/>
              <w:rPr>
                <w:rFonts w:ascii="Arial Narrow" w:hAnsi="Arial Narrow"/>
                <w:b/>
                <w:sz w:val="20"/>
                <w:szCs w:val="22"/>
              </w:rPr>
            </w:pPr>
            <w:proofErr w:type="gramStart"/>
            <w:r w:rsidRPr="00997765">
              <w:rPr>
                <w:rFonts w:ascii="Arial Narrow" w:hAnsi="Arial Narrow"/>
                <w:b/>
                <w:sz w:val="20"/>
                <w:szCs w:val="22"/>
              </w:rPr>
              <w:t>mean</w:t>
            </w:r>
            <w:proofErr w:type="gramEnd"/>
            <w:r w:rsidRPr="00997765">
              <w:rPr>
                <w:rFonts w:ascii="Arial Narrow" w:hAnsi="Arial Narrow"/>
                <w:b/>
                <w:sz w:val="20"/>
                <w:szCs w:val="22"/>
              </w:rPr>
              <w:t xml:space="preserve"> ratio</w:t>
            </w:r>
            <w:r w:rsidR="00CD0E89" w:rsidRPr="00997765">
              <w:rPr>
                <w:rFonts w:ascii="Arial Narrow" w:hAnsi="Arial Narrow"/>
                <w:b/>
                <w:sz w:val="20"/>
                <w:szCs w:val="22"/>
              </w:rPr>
              <w:t xml:space="preserve"> (%)</w:t>
            </w:r>
            <w:r w:rsidRPr="00997765">
              <w:rPr>
                <w:rFonts w:ascii="Arial Narrow" w:hAnsi="Arial Narrow"/>
                <w:b/>
                <w:sz w:val="20"/>
                <w:szCs w:val="22"/>
              </w:rPr>
              <w:t xml:space="preserve"> </w:t>
            </w:r>
          </w:p>
        </w:tc>
        <w:tc>
          <w:tcPr>
            <w:tcW w:w="1417" w:type="dxa"/>
            <w:vAlign w:val="center"/>
          </w:tcPr>
          <w:p w:rsidR="00A34050" w:rsidRPr="00997765" w:rsidRDefault="00A34050" w:rsidP="003B054A">
            <w:pPr>
              <w:pStyle w:val="ListParagraph"/>
              <w:ind w:left="0"/>
              <w:jc w:val="center"/>
              <w:rPr>
                <w:rFonts w:ascii="Arial Narrow" w:hAnsi="Arial Narrow"/>
                <w:b/>
                <w:sz w:val="20"/>
                <w:szCs w:val="22"/>
              </w:rPr>
            </w:pPr>
            <w:r w:rsidRPr="00997765">
              <w:rPr>
                <w:rFonts w:ascii="Arial Narrow" w:hAnsi="Arial Narrow"/>
                <w:b/>
                <w:sz w:val="20"/>
                <w:szCs w:val="22"/>
              </w:rPr>
              <w:t>90% CI</w:t>
            </w:r>
          </w:p>
        </w:tc>
      </w:tr>
      <w:tr w:rsidR="00A34050" w:rsidRPr="00997765" w:rsidTr="003B054A">
        <w:tc>
          <w:tcPr>
            <w:tcW w:w="1617" w:type="dxa"/>
          </w:tcPr>
          <w:p w:rsidR="00A34050" w:rsidRPr="00997765" w:rsidRDefault="00A34050" w:rsidP="0037018B">
            <w:pPr>
              <w:pStyle w:val="ListParagraph"/>
              <w:ind w:left="0"/>
              <w:jc w:val="both"/>
              <w:rPr>
                <w:rFonts w:ascii="Arial Narrow" w:hAnsi="Arial Narrow"/>
                <w:sz w:val="20"/>
                <w:szCs w:val="22"/>
              </w:rPr>
            </w:pPr>
            <w:r w:rsidRPr="00997765">
              <w:rPr>
                <w:rFonts w:ascii="Arial Narrow" w:hAnsi="Arial Narrow"/>
                <w:sz w:val="20"/>
                <w:szCs w:val="22"/>
              </w:rPr>
              <w:t>t max, h</w:t>
            </w:r>
          </w:p>
        </w:tc>
        <w:tc>
          <w:tcPr>
            <w:tcW w:w="1686"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1</w:t>
            </w:r>
            <w:r w:rsidR="003B054A" w:rsidRPr="00997765">
              <w:rPr>
                <w:rFonts w:ascii="Arial Narrow" w:hAnsi="Arial Narrow"/>
                <w:sz w:val="20"/>
                <w:szCs w:val="22"/>
              </w:rPr>
              <w:t>.03</w:t>
            </w:r>
            <w:r w:rsidRPr="00997765">
              <w:rPr>
                <w:rFonts w:ascii="Arial Narrow" w:hAnsi="Arial Narrow"/>
                <w:sz w:val="20"/>
                <w:szCs w:val="22"/>
              </w:rPr>
              <w:t xml:space="preserve"> (1.7)</w:t>
            </w:r>
          </w:p>
        </w:tc>
        <w:tc>
          <w:tcPr>
            <w:tcW w:w="1687"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0.5</w:t>
            </w:r>
            <w:r w:rsidR="003B054A" w:rsidRPr="00997765">
              <w:rPr>
                <w:rFonts w:ascii="Arial Narrow" w:hAnsi="Arial Narrow"/>
                <w:sz w:val="20"/>
                <w:szCs w:val="22"/>
              </w:rPr>
              <w:t>4</w:t>
            </w:r>
            <w:r w:rsidRPr="00997765">
              <w:rPr>
                <w:rFonts w:ascii="Arial Narrow" w:hAnsi="Arial Narrow"/>
                <w:sz w:val="20"/>
                <w:szCs w:val="22"/>
              </w:rPr>
              <w:t xml:space="preserve"> (1.7)</w:t>
            </w:r>
          </w:p>
        </w:tc>
        <w:tc>
          <w:tcPr>
            <w:tcW w:w="1956"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w:t>
            </w:r>
          </w:p>
        </w:tc>
        <w:tc>
          <w:tcPr>
            <w:tcW w:w="1417"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w:t>
            </w:r>
          </w:p>
        </w:tc>
      </w:tr>
      <w:tr w:rsidR="00A34050" w:rsidRPr="00997765" w:rsidTr="003B054A">
        <w:tc>
          <w:tcPr>
            <w:tcW w:w="1617" w:type="dxa"/>
          </w:tcPr>
          <w:p w:rsidR="00A34050" w:rsidRPr="00997765" w:rsidRDefault="00A34050" w:rsidP="0037018B">
            <w:pPr>
              <w:pStyle w:val="ListParagraph"/>
              <w:ind w:left="0"/>
              <w:jc w:val="both"/>
              <w:rPr>
                <w:rFonts w:ascii="Arial Narrow" w:hAnsi="Arial Narrow"/>
                <w:sz w:val="20"/>
                <w:szCs w:val="22"/>
              </w:rPr>
            </w:pPr>
            <w:r w:rsidRPr="00997765">
              <w:rPr>
                <w:rFonts w:ascii="Arial Narrow" w:hAnsi="Arial Narrow"/>
                <w:sz w:val="20"/>
                <w:szCs w:val="22"/>
              </w:rPr>
              <w:t>AUC</w:t>
            </w:r>
            <w:r w:rsidRPr="00997765">
              <w:rPr>
                <w:rFonts w:ascii="Arial Narrow" w:hAnsi="Arial Narrow"/>
                <w:sz w:val="20"/>
                <w:szCs w:val="22"/>
                <w:vertAlign w:val="subscript"/>
              </w:rPr>
              <w:t>0-t</w:t>
            </w:r>
            <w:r w:rsidRPr="00997765">
              <w:rPr>
                <w:rFonts w:ascii="Arial Narrow" w:hAnsi="Arial Narrow"/>
                <w:sz w:val="20"/>
                <w:szCs w:val="22"/>
              </w:rPr>
              <w:t xml:space="preserve"> (µg*h/L)</w:t>
            </w:r>
          </w:p>
        </w:tc>
        <w:tc>
          <w:tcPr>
            <w:tcW w:w="1686"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1020.79 (1.23)</w:t>
            </w:r>
          </w:p>
        </w:tc>
        <w:tc>
          <w:tcPr>
            <w:tcW w:w="1687"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1043.33 (1.18)</w:t>
            </w:r>
          </w:p>
        </w:tc>
        <w:tc>
          <w:tcPr>
            <w:tcW w:w="1956"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97.84</w:t>
            </w:r>
          </w:p>
        </w:tc>
        <w:tc>
          <w:tcPr>
            <w:tcW w:w="1417"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91.07-105.11</w:t>
            </w:r>
          </w:p>
        </w:tc>
      </w:tr>
      <w:tr w:rsidR="00A34050" w:rsidRPr="00997765" w:rsidTr="003B054A">
        <w:tc>
          <w:tcPr>
            <w:tcW w:w="1617" w:type="dxa"/>
          </w:tcPr>
          <w:p w:rsidR="00A34050" w:rsidRPr="00997765" w:rsidRDefault="00A34050" w:rsidP="0037018B">
            <w:pPr>
              <w:pStyle w:val="ListParagraph"/>
              <w:ind w:left="0"/>
              <w:jc w:val="both"/>
              <w:rPr>
                <w:rFonts w:ascii="Arial Narrow" w:hAnsi="Arial Narrow"/>
                <w:sz w:val="20"/>
                <w:szCs w:val="22"/>
              </w:rPr>
            </w:pPr>
            <w:r w:rsidRPr="00997765">
              <w:rPr>
                <w:rFonts w:ascii="Arial Narrow" w:hAnsi="Arial Narrow"/>
                <w:sz w:val="20"/>
                <w:szCs w:val="22"/>
              </w:rPr>
              <w:t>AUC</w:t>
            </w:r>
            <w:r w:rsidRPr="00997765">
              <w:rPr>
                <w:rFonts w:ascii="Arial Narrow" w:hAnsi="Arial Narrow"/>
                <w:sz w:val="20"/>
                <w:szCs w:val="22"/>
                <w:vertAlign w:val="subscript"/>
              </w:rPr>
              <w:t xml:space="preserve">0-∞ </w:t>
            </w:r>
            <w:r w:rsidRPr="00997765">
              <w:rPr>
                <w:rFonts w:ascii="Arial Narrow" w:hAnsi="Arial Narrow"/>
                <w:sz w:val="20"/>
                <w:szCs w:val="22"/>
              </w:rPr>
              <w:t>(µg*h/L)</w:t>
            </w:r>
          </w:p>
        </w:tc>
        <w:tc>
          <w:tcPr>
            <w:tcW w:w="1686"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1058.89 (1.22)</w:t>
            </w:r>
          </w:p>
        </w:tc>
        <w:tc>
          <w:tcPr>
            <w:tcW w:w="1687"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1088.86 (1.18)</w:t>
            </w:r>
          </w:p>
        </w:tc>
        <w:tc>
          <w:tcPr>
            <w:tcW w:w="1956"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97.25</w:t>
            </w:r>
          </w:p>
        </w:tc>
        <w:tc>
          <w:tcPr>
            <w:tcW w:w="1417"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91.00-103.92</w:t>
            </w:r>
          </w:p>
        </w:tc>
      </w:tr>
      <w:tr w:rsidR="00A34050" w:rsidRPr="00997765" w:rsidTr="003B054A">
        <w:tc>
          <w:tcPr>
            <w:tcW w:w="1617" w:type="dxa"/>
          </w:tcPr>
          <w:p w:rsidR="00A34050" w:rsidRPr="00997765" w:rsidRDefault="00A34050" w:rsidP="0037018B">
            <w:pPr>
              <w:pStyle w:val="ListParagraph"/>
              <w:ind w:left="0"/>
              <w:jc w:val="both"/>
              <w:rPr>
                <w:rFonts w:ascii="Arial Narrow" w:hAnsi="Arial Narrow"/>
                <w:sz w:val="20"/>
                <w:szCs w:val="22"/>
              </w:rPr>
            </w:pPr>
            <w:proofErr w:type="spellStart"/>
            <w:r w:rsidRPr="00997765">
              <w:rPr>
                <w:rFonts w:ascii="Arial Narrow" w:hAnsi="Arial Narrow"/>
                <w:sz w:val="20"/>
                <w:szCs w:val="22"/>
              </w:rPr>
              <w:t>C</w:t>
            </w:r>
            <w:r w:rsidRPr="00997765">
              <w:rPr>
                <w:rFonts w:ascii="Arial Narrow" w:hAnsi="Arial Narrow"/>
                <w:sz w:val="20"/>
                <w:szCs w:val="22"/>
                <w:vertAlign w:val="subscript"/>
              </w:rPr>
              <w:t>max</w:t>
            </w:r>
            <w:proofErr w:type="spellEnd"/>
            <w:r w:rsidRPr="00997765">
              <w:rPr>
                <w:rFonts w:ascii="Arial Narrow" w:hAnsi="Arial Narrow"/>
                <w:sz w:val="20"/>
                <w:szCs w:val="22"/>
              </w:rPr>
              <w:t xml:space="preserve"> (µg/L)</w:t>
            </w:r>
          </w:p>
        </w:tc>
        <w:tc>
          <w:tcPr>
            <w:tcW w:w="1686"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221.76 (1.39)</w:t>
            </w:r>
          </w:p>
        </w:tc>
        <w:tc>
          <w:tcPr>
            <w:tcW w:w="1687"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381.28 (1.37)</w:t>
            </w:r>
          </w:p>
        </w:tc>
        <w:tc>
          <w:tcPr>
            <w:tcW w:w="1956"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58.16</w:t>
            </w:r>
          </w:p>
        </w:tc>
        <w:tc>
          <w:tcPr>
            <w:tcW w:w="1417" w:type="dxa"/>
          </w:tcPr>
          <w:p w:rsidR="00A34050" w:rsidRPr="00997765" w:rsidRDefault="00A34050" w:rsidP="0037018B">
            <w:pPr>
              <w:pStyle w:val="ListParagraph"/>
              <w:ind w:left="0"/>
              <w:jc w:val="center"/>
              <w:rPr>
                <w:rFonts w:ascii="Arial Narrow" w:hAnsi="Arial Narrow"/>
                <w:sz w:val="20"/>
                <w:szCs w:val="22"/>
              </w:rPr>
            </w:pPr>
            <w:r w:rsidRPr="00997765">
              <w:rPr>
                <w:rFonts w:ascii="Arial Narrow" w:hAnsi="Arial Narrow"/>
                <w:sz w:val="20"/>
                <w:szCs w:val="22"/>
              </w:rPr>
              <w:t>47.61-71.06</w:t>
            </w:r>
          </w:p>
        </w:tc>
      </w:tr>
    </w:tbl>
    <w:p w:rsidR="00A34050" w:rsidRPr="00997765" w:rsidRDefault="00554427" w:rsidP="00A34050">
      <w:pPr>
        <w:pStyle w:val="ListParagraph"/>
        <w:jc w:val="both"/>
        <w:rPr>
          <w:rFonts w:ascii="Arial Narrow" w:hAnsi="Arial Narrow"/>
          <w:sz w:val="18"/>
          <w:szCs w:val="22"/>
        </w:rPr>
      </w:pPr>
      <w:r w:rsidRPr="00997765">
        <w:rPr>
          <w:rFonts w:ascii="Arial Narrow" w:hAnsi="Arial Narrow"/>
          <w:sz w:val="18"/>
          <w:szCs w:val="22"/>
        </w:rPr>
        <w:t>Source: Table 8 (</w:t>
      </w:r>
      <w:r w:rsidR="00A34050" w:rsidRPr="00997765">
        <w:rPr>
          <w:rFonts w:ascii="Arial Narrow" w:hAnsi="Arial Narrow"/>
          <w:sz w:val="18"/>
          <w:szCs w:val="22"/>
        </w:rPr>
        <w:t>p</w:t>
      </w:r>
      <w:r w:rsidRPr="00997765">
        <w:rPr>
          <w:rFonts w:ascii="Arial Narrow" w:hAnsi="Arial Narrow"/>
          <w:sz w:val="18"/>
          <w:szCs w:val="22"/>
        </w:rPr>
        <w:t xml:space="preserve"> </w:t>
      </w:r>
      <w:r w:rsidR="00A34050" w:rsidRPr="00997765">
        <w:rPr>
          <w:rFonts w:ascii="Arial Narrow" w:hAnsi="Arial Narrow"/>
          <w:sz w:val="18"/>
          <w:szCs w:val="22"/>
        </w:rPr>
        <w:t>28</w:t>
      </w:r>
      <w:r w:rsidRPr="00997765">
        <w:rPr>
          <w:rFonts w:ascii="Arial Narrow" w:hAnsi="Arial Narrow"/>
          <w:sz w:val="18"/>
          <w:szCs w:val="22"/>
        </w:rPr>
        <w:t>)</w:t>
      </w:r>
      <w:r w:rsidR="00A34050" w:rsidRPr="00997765">
        <w:rPr>
          <w:rFonts w:ascii="Arial Narrow" w:hAnsi="Arial Narrow"/>
          <w:sz w:val="18"/>
          <w:szCs w:val="22"/>
        </w:rPr>
        <w:t xml:space="preserve"> of the submission</w:t>
      </w:r>
      <w:r w:rsidRPr="00997765">
        <w:rPr>
          <w:rFonts w:ascii="Arial Narrow" w:hAnsi="Arial Narrow"/>
          <w:sz w:val="18"/>
          <w:szCs w:val="22"/>
        </w:rPr>
        <w:t>; p 5 of the MC-MTX.7/PH trial report</w:t>
      </w:r>
    </w:p>
    <w:p w:rsidR="00A34050" w:rsidRPr="00997765" w:rsidRDefault="00A34050" w:rsidP="00A34050">
      <w:pPr>
        <w:pStyle w:val="ListParagraph"/>
        <w:jc w:val="both"/>
        <w:rPr>
          <w:rFonts w:ascii="Arial Narrow" w:hAnsi="Arial Narrow"/>
          <w:sz w:val="18"/>
          <w:szCs w:val="22"/>
        </w:rPr>
      </w:pPr>
      <w:r w:rsidRPr="00997765">
        <w:rPr>
          <w:rFonts w:ascii="Arial Narrow" w:hAnsi="Arial Narrow"/>
          <w:sz w:val="18"/>
          <w:szCs w:val="22"/>
        </w:rPr>
        <w:t xml:space="preserve">Abbreviations: AUC, area under the plasma concentration time curve; </w:t>
      </w:r>
      <w:proofErr w:type="spellStart"/>
      <w:r w:rsidRPr="00997765">
        <w:rPr>
          <w:rFonts w:ascii="Arial Narrow" w:hAnsi="Arial Narrow"/>
          <w:sz w:val="18"/>
          <w:szCs w:val="22"/>
        </w:rPr>
        <w:t>C</w:t>
      </w:r>
      <w:r w:rsidRPr="00997765">
        <w:rPr>
          <w:rFonts w:ascii="Arial Narrow" w:hAnsi="Arial Narrow"/>
          <w:sz w:val="18"/>
          <w:szCs w:val="22"/>
          <w:vertAlign w:val="subscript"/>
        </w:rPr>
        <w:t>max</w:t>
      </w:r>
      <w:proofErr w:type="spellEnd"/>
      <w:r w:rsidRPr="00997765">
        <w:rPr>
          <w:rFonts w:ascii="Arial Narrow" w:hAnsi="Arial Narrow"/>
          <w:sz w:val="18"/>
          <w:szCs w:val="22"/>
        </w:rPr>
        <w:t>, maximum plasma concentratio</w:t>
      </w:r>
      <w:r w:rsidR="00CF2A67" w:rsidRPr="00997765">
        <w:rPr>
          <w:rFonts w:ascii="Arial Narrow" w:hAnsi="Arial Narrow"/>
          <w:sz w:val="18"/>
          <w:szCs w:val="22"/>
        </w:rPr>
        <w:t>n; CI, confidence interval</w:t>
      </w:r>
      <w:r w:rsidRPr="00997765">
        <w:rPr>
          <w:rFonts w:ascii="Arial Narrow" w:hAnsi="Arial Narrow"/>
          <w:sz w:val="18"/>
          <w:szCs w:val="22"/>
        </w:rPr>
        <w:t>; t max, time of maximum concentration</w:t>
      </w:r>
    </w:p>
    <w:p w:rsidR="00F440F2" w:rsidRPr="00997765" w:rsidRDefault="00F440F2" w:rsidP="00F440F2">
      <w:pPr>
        <w:pStyle w:val="ListParagraph"/>
        <w:jc w:val="both"/>
        <w:rPr>
          <w:rFonts w:ascii="Arial" w:hAnsi="Arial"/>
          <w:sz w:val="22"/>
          <w:szCs w:val="22"/>
        </w:rPr>
      </w:pPr>
    </w:p>
    <w:p w:rsidR="0037018B" w:rsidRPr="00997765" w:rsidRDefault="00387EB5" w:rsidP="0037018B">
      <w:pPr>
        <w:pStyle w:val="ListParagraph"/>
        <w:jc w:val="both"/>
        <w:rPr>
          <w:rFonts w:ascii="Arial" w:hAnsi="Arial"/>
          <w:i/>
          <w:sz w:val="22"/>
          <w:szCs w:val="22"/>
        </w:rPr>
      </w:pPr>
      <w:r w:rsidRPr="00997765">
        <w:rPr>
          <w:rFonts w:ascii="Arial" w:hAnsi="Arial"/>
          <w:sz w:val="22"/>
          <w:szCs w:val="22"/>
        </w:rPr>
        <w:t>Intramuscular injections were associated with a higher maximum concentration</w:t>
      </w:r>
      <w:r w:rsidR="0037018B" w:rsidRPr="00997765">
        <w:rPr>
          <w:rFonts w:ascii="Arial" w:hAnsi="Arial"/>
          <w:sz w:val="22"/>
          <w:szCs w:val="22"/>
        </w:rPr>
        <w:t xml:space="preserve"> (</w:t>
      </w:r>
      <w:proofErr w:type="spellStart"/>
      <w:r w:rsidR="0037018B" w:rsidRPr="00997765">
        <w:rPr>
          <w:rFonts w:ascii="Arial" w:hAnsi="Arial"/>
          <w:sz w:val="22"/>
          <w:szCs w:val="22"/>
        </w:rPr>
        <w:t>C</w:t>
      </w:r>
      <w:r w:rsidR="0037018B" w:rsidRPr="00997765">
        <w:rPr>
          <w:rFonts w:ascii="Arial" w:hAnsi="Arial"/>
          <w:sz w:val="22"/>
          <w:szCs w:val="22"/>
          <w:vertAlign w:val="subscript"/>
        </w:rPr>
        <w:t>max</w:t>
      </w:r>
      <w:proofErr w:type="spellEnd"/>
      <w:r w:rsidR="0037018B" w:rsidRPr="00997765">
        <w:rPr>
          <w:rFonts w:ascii="Arial" w:hAnsi="Arial"/>
          <w:sz w:val="22"/>
          <w:szCs w:val="22"/>
        </w:rPr>
        <w:t>)</w:t>
      </w:r>
      <w:r w:rsidRPr="00997765">
        <w:rPr>
          <w:rFonts w:ascii="Arial" w:hAnsi="Arial"/>
          <w:sz w:val="22"/>
          <w:szCs w:val="22"/>
        </w:rPr>
        <w:t xml:space="preserve"> at an earlier time point</w:t>
      </w:r>
      <w:r w:rsidR="0037018B" w:rsidRPr="00997765">
        <w:rPr>
          <w:rFonts w:ascii="Arial" w:hAnsi="Arial"/>
          <w:sz w:val="22"/>
          <w:szCs w:val="22"/>
        </w:rPr>
        <w:t xml:space="preserve"> (</w:t>
      </w:r>
      <w:proofErr w:type="spellStart"/>
      <w:r w:rsidR="0037018B" w:rsidRPr="00997765">
        <w:rPr>
          <w:rFonts w:ascii="Arial" w:hAnsi="Arial"/>
          <w:sz w:val="22"/>
          <w:szCs w:val="22"/>
        </w:rPr>
        <w:t>T</w:t>
      </w:r>
      <w:r w:rsidR="0037018B" w:rsidRPr="00997765">
        <w:rPr>
          <w:rFonts w:ascii="Arial" w:hAnsi="Arial"/>
          <w:sz w:val="22"/>
          <w:szCs w:val="22"/>
          <w:vertAlign w:val="subscript"/>
        </w:rPr>
        <w:t>max</w:t>
      </w:r>
      <w:proofErr w:type="spellEnd"/>
      <w:r w:rsidR="0037018B" w:rsidRPr="00997765">
        <w:rPr>
          <w:rFonts w:ascii="Arial" w:hAnsi="Arial"/>
          <w:sz w:val="22"/>
          <w:szCs w:val="22"/>
        </w:rPr>
        <w:t>)</w:t>
      </w:r>
      <w:r w:rsidRPr="00997765">
        <w:rPr>
          <w:rFonts w:ascii="Arial" w:hAnsi="Arial"/>
          <w:sz w:val="22"/>
          <w:szCs w:val="22"/>
        </w:rPr>
        <w:t xml:space="preserve"> compared to subcutaneous injections. </w:t>
      </w:r>
      <w:r w:rsidR="0037018B" w:rsidRPr="00997765">
        <w:rPr>
          <w:rFonts w:ascii="Arial" w:hAnsi="Arial"/>
          <w:sz w:val="22"/>
          <w:szCs w:val="22"/>
        </w:rPr>
        <w:t xml:space="preserve"> Both routes of administration were bioequivalent in terms of extent of drug exposure (AUC). </w:t>
      </w:r>
    </w:p>
    <w:p w:rsidR="00A34050" w:rsidRPr="00997765" w:rsidRDefault="00A34050" w:rsidP="00A34050">
      <w:pPr>
        <w:jc w:val="both"/>
        <w:rPr>
          <w:rFonts w:ascii="Arial" w:hAnsi="Arial"/>
          <w:i/>
          <w:sz w:val="22"/>
          <w:szCs w:val="22"/>
        </w:rPr>
      </w:pPr>
    </w:p>
    <w:p w:rsidR="006830BC" w:rsidRPr="00997765" w:rsidRDefault="006830BC" w:rsidP="00FC330F">
      <w:pPr>
        <w:pStyle w:val="ListParagraph"/>
        <w:numPr>
          <w:ilvl w:val="1"/>
          <w:numId w:val="1"/>
        </w:numPr>
        <w:jc w:val="both"/>
        <w:rPr>
          <w:rFonts w:ascii="Arial" w:hAnsi="Arial"/>
          <w:i/>
          <w:sz w:val="22"/>
          <w:szCs w:val="22"/>
        </w:rPr>
      </w:pPr>
      <w:r w:rsidRPr="00997765">
        <w:rPr>
          <w:rFonts w:ascii="Arial" w:hAnsi="Arial"/>
          <w:sz w:val="22"/>
          <w:szCs w:val="22"/>
        </w:rPr>
        <w:t>Study MC-MTX.9/PH was a phase</w:t>
      </w:r>
      <w:r w:rsidR="00DA64A7" w:rsidRPr="00997765">
        <w:rPr>
          <w:rFonts w:ascii="Arial" w:hAnsi="Arial"/>
          <w:sz w:val="22"/>
          <w:szCs w:val="22"/>
        </w:rPr>
        <w:t xml:space="preserve"> 1, open-label, two-phase</w:t>
      </w:r>
      <w:r w:rsidRPr="00997765">
        <w:rPr>
          <w:rFonts w:ascii="Arial" w:hAnsi="Arial"/>
          <w:sz w:val="22"/>
          <w:szCs w:val="22"/>
        </w:rPr>
        <w:t xml:space="preserve"> crossover study comparing single dose (1</w:t>
      </w:r>
      <w:r w:rsidR="004D6A66" w:rsidRPr="00997765">
        <w:rPr>
          <w:rFonts w:ascii="Arial" w:hAnsi="Arial"/>
          <w:sz w:val="22"/>
          <w:szCs w:val="22"/>
        </w:rPr>
        <w:t>5 mg</w:t>
      </w:r>
      <w:r w:rsidRPr="00997765">
        <w:rPr>
          <w:rFonts w:ascii="Arial" w:hAnsi="Arial"/>
          <w:sz w:val="22"/>
          <w:szCs w:val="22"/>
        </w:rPr>
        <w:t xml:space="preserve">) </w:t>
      </w:r>
      <w:r w:rsidR="005E41E9" w:rsidRPr="00997765">
        <w:rPr>
          <w:rFonts w:ascii="Arial" w:hAnsi="Arial"/>
          <w:sz w:val="22"/>
          <w:szCs w:val="22"/>
        </w:rPr>
        <w:t xml:space="preserve">methotrexate injections using high concentration </w:t>
      </w:r>
      <w:r w:rsidR="005E41E9" w:rsidRPr="00997765">
        <w:rPr>
          <w:rFonts w:ascii="Arial" w:hAnsi="Arial"/>
          <w:sz w:val="22"/>
          <w:szCs w:val="22"/>
        </w:rPr>
        <w:lastRenderedPageBreak/>
        <w:t>(5</w:t>
      </w:r>
      <w:r w:rsidR="004D6A66" w:rsidRPr="00997765">
        <w:rPr>
          <w:rFonts w:ascii="Arial" w:hAnsi="Arial"/>
          <w:sz w:val="22"/>
          <w:szCs w:val="22"/>
        </w:rPr>
        <w:t>0 mg</w:t>
      </w:r>
      <w:r w:rsidR="005E41E9" w:rsidRPr="00997765">
        <w:rPr>
          <w:rFonts w:ascii="Arial" w:hAnsi="Arial"/>
          <w:sz w:val="22"/>
          <w:szCs w:val="22"/>
        </w:rPr>
        <w:t>/mL) or low concentration (1</w:t>
      </w:r>
      <w:r w:rsidR="004D6A66" w:rsidRPr="00997765">
        <w:rPr>
          <w:rFonts w:ascii="Arial" w:hAnsi="Arial"/>
          <w:sz w:val="22"/>
          <w:szCs w:val="22"/>
        </w:rPr>
        <w:t>0 mg</w:t>
      </w:r>
      <w:r w:rsidR="005E41E9" w:rsidRPr="00997765">
        <w:rPr>
          <w:rFonts w:ascii="Arial" w:hAnsi="Arial"/>
          <w:sz w:val="22"/>
          <w:szCs w:val="22"/>
        </w:rPr>
        <w:t>/mL) solution in healthy adults (N=24). Half the subject</w:t>
      </w:r>
      <w:r w:rsidR="00664B6C" w:rsidRPr="00997765">
        <w:rPr>
          <w:rFonts w:ascii="Arial" w:hAnsi="Arial"/>
          <w:sz w:val="22"/>
          <w:szCs w:val="22"/>
        </w:rPr>
        <w:t>s</w:t>
      </w:r>
      <w:r w:rsidR="005E41E9" w:rsidRPr="00997765">
        <w:rPr>
          <w:rFonts w:ascii="Arial" w:hAnsi="Arial"/>
          <w:sz w:val="22"/>
          <w:szCs w:val="22"/>
        </w:rPr>
        <w:t xml:space="preserve"> received </w:t>
      </w:r>
      <w:r w:rsidR="00664B6C" w:rsidRPr="00997765">
        <w:rPr>
          <w:rFonts w:ascii="Arial" w:hAnsi="Arial"/>
          <w:sz w:val="22"/>
          <w:szCs w:val="22"/>
        </w:rPr>
        <w:t>subcutaneous injections</w:t>
      </w:r>
      <w:r w:rsidR="005E41E9" w:rsidRPr="00997765">
        <w:rPr>
          <w:rFonts w:ascii="Arial" w:hAnsi="Arial"/>
          <w:sz w:val="22"/>
          <w:szCs w:val="22"/>
        </w:rPr>
        <w:t xml:space="preserve"> while the other half received </w:t>
      </w:r>
      <w:r w:rsidR="00664B6C" w:rsidRPr="00997765">
        <w:rPr>
          <w:rFonts w:ascii="Arial" w:hAnsi="Arial"/>
          <w:sz w:val="22"/>
          <w:szCs w:val="22"/>
        </w:rPr>
        <w:t>intramuscular injections</w:t>
      </w:r>
      <w:r w:rsidR="005E41E9" w:rsidRPr="00997765">
        <w:rPr>
          <w:rFonts w:ascii="Arial" w:hAnsi="Arial"/>
          <w:sz w:val="22"/>
          <w:szCs w:val="22"/>
        </w:rPr>
        <w:t xml:space="preserve"> (</w:t>
      </w:r>
      <w:r w:rsidR="00A258AE" w:rsidRPr="00997765">
        <w:rPr>
          <w:rFonts w:ascii="Arial" w:hAnsi="Arial"/>
          <w:sz w:val="22"/>
          <w:szCs w:val="22"/>
        </w:rPr>
        <w:t>crossover</w:t>
      </w:r>
      <w:r w:rsidR="005E41E9" w:rsidRPr="00997765">
        <w:rPr>
          <w:rFonts w:ascii="Arial" w:hAnsi="Arial"/>
          <w:sz w:val="22"/>
          <w:szCs w:val="22"/>
        </w:rPr>
        <w:t xml:space="preserve"> by solution concentration not route of administration). </w:t>
      </w:r>
      <w:r w:rsidRPr="00997765">
        <w:rPr>
          <w:rFonts w:ascii="Arial" w:hAnsi="Arial"/>
          <w:sz w:val="22"/>
          <w:szCs w:val="22"/>
        </w:rPr>
        <w:t>A summary of pharmacokinetic parameter re</w:t>
      </w:r>
      <w:r w:rsidR="001C3A84" w:rsidRPr="00997765">
        <w:rPr>
          <w:rFonts w:ascii="Arial" w:hAnsi="Arial"/>
          <w:sz w:val="22"/>
          <w:szCs w:val="22"/>
        </w:rPr>
        <w:t>sults are presented in Table 4</w:t>
      </w:r>
      <w:r w:rsidRPr="00997765">
        <w:rPr>
          <w:rFonts w:ascii="Arial" w:hAnsi="Arial"/>
          <w:sz w:val="22"/>
          <w:szCs w:val="22"/>
        </w:rPr>
        <w:t xml:space="preserve">. </w:t>
      </w:r>
    </w:p>
    <w:p w:rsidR="00DA64A7" w:rsidRPr="00997765" w:rsidRDefault="00DA64A7" w:rsidP="00DA64A7">
      <w:pPr>
        <w:pStyle w:val="ListParagraph"/>
        <w:jc w:val="both"/>
        <w:rPr>
          <w:rFonts w:ascii="Arial" w:hAnsi="Arial"/>
          <w:sz w:val="22"/>
          <w:szCs w:val="22"/>
        </w:rPr>
      </w:pPr>
    </w:p>
    <w:p w:rsidR="00CD0E89" w:rsidRPr="00997765" w:rsidRDefault="001C3A84" w:rsidP="00CD0E89">
      <w:pPr>
        <w:pStyle w:val="ListParagraph"/>
        <w:jc w:val="both"/>
        <w:rPr>
          <w:rFonts w:ascii="Arial Narrow" w:hAnsi="Arial Narrow"/>
          <w:b/>
          <w:sz w:val="20"/>
          <w:szCs w:val="22"/>
        </w:rPr>
      </w:pPr>
      <w:r w:rsidRPr="00997765">
        <w:rPr>
          <w:rFonts w:ascii="Arial Narrow" w:hAnsi="Arial Narrow"/>
          <w:b/>
          <w:sz w:val="20"/>
          <w:szCs w:val="22"/>
        </w:rPr>
        <w:t>Table 4</w:t>
      </w:r>
      <w:r w:rsidR="00CD0E89" w:rsidRPr="00997765">
        <w:rPr>
          <w:rFonts w:ascii="Arial Narrow" w:hAnsi="Arial Narrow"/>
          <w:b/>
          <w:sz w:val="20"/>
          <w:szCs w:val="22"/>
        </w:rPr>
        <w:t>: Primary pharmacokinetic parameter results for Study MC-MTX.9/PH</w:t>
      </w:r>
    </w:p>
    <w:tbl>
      <w:tblPr>
        <w:tblStyle w:val="TableGrid"/>
        <w:tblW w:w="0" w:type="auto"/>
        <w:tblInd w:w="817" w:type="dxa"/>
        <w:tblLook w:val="04A0" w:firstRow="1" w:lastRow="0" w:firstColumn="1" w:lastColumn="0" w:noHBand="0" w:noVBand="1"/>
        <w:tblCaption w:val="Primary pharmacokinetic parameter results for Study MC-MTX.9/PH"/>
      </w:tblPr>
      <w:tblGrid>
        <w:gridCol w:w="4990"/>
        <w:gridCol w:w="1956"/>
        <w:gridCol w:w="1417"/>
      </w:tblGrid>
      <w:tr w:rsidR="00CD0E89" w:rsidRPr="00997765" w:rsidTr="00805FAD">
        <w:trPr>
          <w:tblHeader/>
        </w:trPr>
        <w:tc>
          <w:tcPr>
            <w:tcW w:w="4990" w:type="dxa"/>
            <w:vAlign w:val="center"/>
          </w:tcPr>
          <w:p w:rsidR="00CD0E89" w:rsidRPr="00997765" w:rsidRDefault="00CD0E89" w:rsidP="00CD0E89">
            <w:pPr>
              <w:pStyle w:val="ListParagraph"/>
              <w:ind w:left="0"/>
              <w:rPr>
                <w:rFonts w:ascii="Arial Narrow" w:hAnsi="Arial Narrow"/>
                <w:b/>
                <w:sz w:val="20"/>
                <w:szCs w:val="22"/>
              </w:rPr>
            </w:pPr>
            <w:r w:rsidRPr="00997765">
              <w:rPr>
                <w:rFonts w:ascii="Arial Narrow" w:hAnsi="Arial Narrow"/>
                <w:b/>
                <w:sz w:val="20"/>
                <w:szCs w:val="22"/>
              </w:rPr>
              <w:t>Comparison</w:t>
            </w:r>
          </w:p>
        </w:tc>
        <w:tc>
          <w:tcPr>
            <w:tcW w:w="1956" w:type="dxa"/>
          </w:tcPr>
          <w:p w:rsidR="00CD0E89" w:rsidRPr="00997765" w:rsidRDefault="00CD0E89" w:rsidP="003E471A">
            <w:pPr>
              <w:pStyle w:val="ListParagraph"/>
              <w:ind w:left="0"/>
              <w:jc w:val="center"/>
              <w:rPr>
                <w:rFonts w:ascii="Arial Narrow" w:hAnsi="Arial Narrow"/>
                <w:b/>
                <w:sz w:val="20"/>
                <w:szCs w:val="22"/>
              </w:rPr>
            </w:pPr>
            <w:r w:rsidRPr="00997765">
              <w:rPr>
                <w:rFonts w:ascii="Arial Narrow" w:hAnsi="Arial Narrow"/>
                <w:b/>
                <w:sz w:val="20"/>
                <w:szCs w:val="22"/>
              </w:rPr>
              <w:t xml:space="preserve">Geometric </w:t>
            </w:r>
          </w:p>
          <w:p w:rsidR="00CD0E89" w:rsidRPr="00997765" w:rsidRDefault="00CD0E89" w:rsidP="003E471A">
            <w:pPr>
              <w:pStyle w:val="ListParagraph"/>
              <w:ind w:left="0"/>
              <w:jc w:val="center"/>
              <w:rPr>
                <w:rFonts w:ascii="Arial Narrow" w:hAnsi="Arial Narrow"/>
                <w:b/>
                <w:sz w:val="20"/>
                <w:szCs w:val="22"/>
              </w:rPr>
            </w:pPr>
            <w:proofErr w:type="gramStart"/>
            <w:r w:rsidRPr="00997765">
              <w:rPr>
                <w:rFonts w:ascii="Arial Narrow" w:hAnsi="Arial Narrow"/>
                <w:b/>
                <w:sz w:val="20"/>
                <w:szCs w:val="22"/>
              </w:rPr>
              <w:t>mean</w:t>
            </w:r>
            <w:proofErr w:type="gramEnd"/>
            <w:r w:rsidRPr="00997765">
              <w:rPr>
                <w:rFonts w:ascii="Arial Narrow" w:hAnsi="Arial Narrow"/>
                <w:b/>
                <w:sz w:val="20"/>
                <w:szCs w:val="22"/>
              </w:rPr>
              <w:t xml:space="preserve"> ratio (%)</w:t>
            </w:r>
          </w:p>
        </w:tc>
        <w:tc>
          <w:tcPr>
            <w:tcW w:w="1417" w:type="dxa"/>
            <w:vAlign w:val="center"/>
          </w:tcPr>
          <w:p w:rsidR="00CD0E89" w:rsidRPr="00997765" w:rsidRDefault="00CD0E89" w:rsidP="003E471A">
            <w:pPr>
              <w:pStyle w:val="ListParagraph"/>
              <w:ind w:left="0"/>
              <w:jc w:val="center"/>
              <w:rPr>
                <w:rFonts w:ascii="Arial Narrow" w:hAnsi="Arial Narrow"/>
                <w:b/>
                <w:sz w:val="20"/>
                <w:szCs w:val="22"/>
              </w:rPr>
            </w:pPr>
            <w:r w:rsidRPr="00997765">
              <w:rPr>
                <w:rFonts w:ascii="Arial Narrow" w:hAnsi="Arial Narrow"/>
                <w:b/>
                <w:sz w:val="20"/>
                <w:szCs w:val="22"/>
              </w:rPr>
              <w:t>90% CI</w:t>
            </w:r>
          </w:p>
        </w:tc>
      </w:tr>
      <w:tr w:rsidR="00CD0E89" w:rsidRPr="00997765" w:rsidTr="003E471A">
        <w:tc>
          <w:tcPr>
            <w:tcW w:w="8363" w:type="dxa"/>
            <w:gridSpan w:val="3"/>
          </w:tcPr>
          <w:p w:rsidR="00CD0E89" w:rsidRPr="00997765" w:rsidRDefault="00CD0E89" w:rsidP="00CD0E89">
            <w:pPr>
              <w:pStyle w:val="ListParagraph"/>
              <w:ind w:left="0"/>
              <w:rPr>
                <w:rFonts w:ascii="Arial Narrow" w:hAnsi="Arial Narrow"/>
                <w:b/>
                <w:sz w:val="20"/>
                <w:szCs w:val="22"/>
              </w:rPr>
            </w:pPr>
            <w:r w:rsidRPr="00997765">
              <w:rPr>
                <w:rFonts w:ascii="Arial Narrow" w:hAnsi="Arial Narrow"/>
                <w:b/>
                <w:sz w:val="20"/>
                <w:szCs w:val="22"/>
              </w:rPr>
              <w:t>AUC</w:t>
            </w:r>
            <w:r w:rsidRPr="00997765">
              <w:rPr>
                <w:rFonts w:ascii="Arial Narrow" w:hAnsi="Arial Narrow"/>
                <w:b/>
                <w:sz w:val="20"/>
                <w:szCs w:val="22"/>
                <w:vertAlign w:val="subscript"/>
              </w:rPr>
              <w:t xml:space="preserve">0-∞ </w:t>
            </w:r>
            <w:r w:rsidRPr="00997765">
              <w:rPr>
                <w:rFonts w:ascii="Arial Narrow" w:hAnsi="Arial Narrow"/>
                <w:b/>
                <w:sz w:val="20"/>
                <w:szCs w:val="22"/>
              </w:rPr>
              <w:t>(µg*h/L)</w:t>
            </w:r>
          </w:p>
        </w:tc>
      </w:tr>
      <w:tr w:rsidR="00CD0E89" w:rsidRPr="00997765" w:rsidTr="003E471A">
        <w:tc>
          <w:tcPr>
            <w:tcW w:w="4990" w:type="dxa"/>
          </w:tcPr>
          <w:p w:rsidR="00CD0E89" w:rsidRPr="00997765" w:rsidRDefault="00CD0E89" w:rsidP="00CD0E89">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SC injection vs. 1</w:t>
            </w:r>
            <w:r w:rsidR="004D6A66" w:rsidRPr="00997765">
              <w:rPr>
                <w:rFonts w:ascii="Arial Narrow" w:hAnsi="Arial Narrow"/>
                <w:sz w:val="20"/>
                <w:szCs w:val="22"/>
              </w:rPr>
              <w:t>0 mg</w:t>
            </w:r>
            <w:r w:rsidRPr="00997765">
              <w:rPr>
                <w:rFonts w:ascii="Arial Narrow" w:hAnsi="Arial Narrow"/>
                <w:sz w:val="20"/>
                <w:szCs w:val="22"/>
              </w:rPr>
              <w:t>/mL SC injection</w:t>
            </w:r>
          </w:p>
        </w:tc>
        <w:tc>
          <w:tcPr>
            <w:tcW w:w="1956" w:type="dxa"/>
          </w:tcPr>
          <w:p w:rsidR="00CD0E89" w:rsidRPr="00997765" w:rsidRDefault="00CD0E89" w:rsidP="003E471A">
            <w:pPr>
              <w:pStyle w:val="ListParagraph"/>
              <w:ind w:left="0"/>
              <w:jc w:val="center"/>
              <w:rPr>
                <w:rFonts w:ascii="Arial Narrow" w:hAnsi="Arial Narrow"/>
                <w:sz w:val="20"/>
                <w:szCs w:val="22"/>
              </w:rPr>
            </w:pPr>
            <w:r w:rsidRPr="00997765">
              <w:rPr>
                <w:rFonts w:ascii="Arial Narrow" w:hAnsi="Arial Narrow"/>
                <w:sz w:val="20"/>
                <w:szCs w:val="22"/>
              </w:rPr>
              <w:t>97.56</w:t>
            </w:r>
          </w:p>
        </w:tc>
        <w:tc>
          <w:tcPr>
            <w:tcW w:w="1417" w:type="dxa"/>
          </w:tcPr>
          <w:p w:rsidR="00CD0E89" w:rsidRPr="00997765" w:rsidRDefault="00CD0E89" w:rsidP="003E471A">
            <w:pPr>
              <w:pStyle w:val="ListParagraph"/>
              <w:ind w:left="0"/>
              <w:jc w:val="center"/>
              <w:rPr>
                <w:rFonts w:ascii="Arial Narrow" w:hAnsi="Arial Narrow"/>
                <w:sz w:val="20"/>
                <w:szCs w:val="22"/>
              </w:rPr>
            </w:pPr>
            <w:r w:rsidRPr="00997765">
              <w:rPr>
                <w:rFonts w:ascii="Arial Narrow" w:hAnsi="Arial Narrow"/>
                <w:sz w:val="20"/>
                <w:szCs w:val="22"/>
              </w:rPr>
              <w:t>89.90-105.88</w:t>
            </w:r>
          </w:p>
        </w:tc>
      </w:tr>
      <w:tr w:rsidR="00CD0E89" w:rsidRPr="00997765" w:rsidTr="003E471A">
        <w:tc>
          <w:tcPr>
            <w:tcW w:w="4990" w:type="dxa"/>
          </w:tcPr>
          <w:p w:rsidR="00CD0E89" w:rsidRPr="00997765" w:rsidRDefault="002E1B4D" w:rsidP="002E1B4D">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IM injection vs. 1</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CD0E89" w:rsidRPr="00997765" w:rsidRDefault="002E1B4D" w:rsidP="003E471A">
            <w:pPr>
              <w:pStyle w:val="ListParagraph"/>
              <w:ind w:left="0"/>
              <w:jc w:val="center"/>
              <w:rPr>
                <w:rFonts w:ascii="Arial Narrow" w:hAnsi="Arial Narrow"/>
                <w:sz w:val="20"/>
                <w:szCs w:val="22"/>
              </w:rPr>
            </w:pPr>
            <w:r w:rsidRPr="00997765">
              <w:rPr>
                <w:rFonts w:ascii="Arial Narrow" w:hAnsi="Arial Narrow"/>
                <w:sz w:val="20"/>
                <w:szCs w:val="22"/>
              </w:rPr>
              <w:t>91.85</w:t>
            </w:r>
          </w:p>
        </w:tc>
        <w:tc>
          <w:tcPr>
            <w:tcW w:w="1417" w:type="dxa"/>
          </w:tcPr>
          <w:p w:rsidR="00CD0E89" w:rsidRPr="00997765" w:rsidRDefault="002E1B4D" w:rsidP="003E471A">
            <w:pPr>
              <w:pStyle w:val="ListParagraph"/>
              <w:ind w:left="0"/>
              <w:jc w:val="center"/>
              <w:rPr>
                <w:rFonts w:ascii="Arial Narrow" w:hAnsi="Arial Narrow"/>
                <w:sz w:val="20"/>
                <w:szCs w:val="22"/>
              </w:rPr>
            </w:pPr>
            <w:r w:rsidRPr="00997765">
              <w:rPr>
                <w:rFonts w:ascii="Arial Narrow" w:hAnsi="Arial Narrow"/>
                <w:sz w:val="20"/>
                <w:szCs w:val="22"/>
              </w:rPr>
              <w:t>84.63-99.68</w:t>
            </w:r>
          </w:p>
        </w:tc>
      </w:tr>
      <w:tr w:rsidR="00CD0E89" w:rsidRPr="00997765" w:rsidTr="003E471A">
        <w:tc>
          <w:tcPr>
            <w:tcW w:w="4990" w:type="dxa"/>
          </w:tcPr>
          <w:p w:rsidR="00CD0E89" w:rsidRPr="00997765" w:rsidRDefault="002E1B4D" w:rsidP="002E1B4D">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SC injection vs. 5</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CD0E89" w:rsidRPr="00997765" w:rsidRDefault="0075194A" w:rsidP="003E471A">
            <w:pPr>
              <w:pStyle w:val="ListParagraph"/>
              <w:ind w:left="0"/>
              <w:jc w:val="center"/>
              <w:rPr>
                <w:rFonts w:ascii="Arial Narrow" w:hAnsi="Arial Narrow"/>
                <w:sz w:val="20"/>
                <w:szCs w:val="22"/>
              </w:rPr>
            </w:pPr>
            <w:r w:rsidRPr="00997765">
              <w:rPr>
                <w:rFonts w:ascii="Arial Narrow" w:hAnsi="Arial Narrow"/>
                <w:sz w:val="20"/>
                <w:szCs w:val="22"/>
              </w:rPr>
              <w:t>124.1</w:t>
            </w:r>
          </w:p>
        </w:tc>
        <w:tc>
          <w:tcPr>
            <w:tcW w:w="1417" w:type="dxa"/>
          </w:tcPr>
          <w:p w:rsidR="00CD0E89" w:rsidRPr="00997765" w:rsidRDefault="0075194A" w:rsidP="003E471A">
            <w:pPr>
              <w:pStyle w:val="ListParagraph"/>
              <w:ind w:left="0"/>
              <w:jc w:val="center"/>
              <w:rPr>
                <w:rFonts w:ascii="Arial Narrow" w:hAnsi="Arial Narrow"/>
                <w:sz w:val="20"/>
                <w:szCs w:val="22"/>
              </w:rPr>
            </w:pPr>
            <w:r w:rsidRPr="00997765">
              <w:rPr>
                <w:rFonts w:ascii="Arial Narrow" w:hAnsi="Arial Narrow"/>
                <w:sz w:val="20"/>
                <w:szCs w:val="22"/>
              </w:rPr>
              <w:t>112-137</w:t>
            </w:r>
          </w:p>
        </w:tc>
      </w:tr>
      <w:tr w:rsidR="002E1B4D" w:rsidRPr="00997765" w:rsidTr="003E471A">
        <w:tc>
          <w:tcPr>
            <w:tcW w:w="4990" w:type="dxa"/>
          </w:tcPr>
          <w:p w:rsidR="002E1B4D" w:rsidRPr="00997765" w:rsidRDefault="002E1B4D" w:rsidP="002E1B4D">
            <w:pPr>
              <w:pStyle w:val="ListParagraph"/>
              <w:ind w:left="0"/>
              <w:rPr>
                <w:rFonts w:ascii="Arial Narrow" w:hAnsi="Arial Narrow"/>
                <w:sz w:val="20"/>
                <w:szCs w:val="22"/>
              </w:rPr>
            </w:pPr>
            <w:r w:rsidRPr="00997765">
              <w:rPr>
                <w:rFonts w:ascii="Arial Narrow" w:hAnsi="Arial Narrow"/>
                <w:sz w:val="20"/>
                <w:szCs w:val="22"/>
              </w:rPr>
              <w:t>1</w:t>
            </w:r>
            <w:r w:rsidR="004D6A66" w:rsidRPr="00997765">
              <w:rPr>
                <w:rFonts w:ascii="Arial Narrow" w:hAnsi="Arial Narrow"/>
                <w:sz w:val="20"/>
                <w:szCs w:val="22"/>
              </w:rPr>
              <w:t>0 mg</w:t>
            </w:r>
            <w:r w:rsidRPr="00997765">
              <w:rPr>
                <w:rFonts w:ascii="Arial Narrow" w:hAnsi="Arial Narrow"/>
                <w:sz w:val="20"/>
                <w:szCs w:val="22"/>
              </w:rPr>
              <w:t>/mL SC injection vs. 1</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2E1B4D" w:rsidRPr="00997765" w:rsidRDefault="0075194A" w:rsidP="003E471A">
            <w:pPr>
              <w:pStyle w:val="ListParagraph"/>
              <w:ind w:left="0"/>
              <w:jc w:val="center"/>
              <w:rPr>
                <w:rFonts w:ascii="Arial Narrow" w:hAnsi="Arial Narrow"/>
                <w:sz w:val="20"/>
                <w:szCs w:val="22"/>
              </w:rPr>
            </w:pPr>
            <w:r w:rsidRPr="00997765">
              <w:rPr>
                <w:rFonts w:ascii="Arial Narrow" w:hAnsi="Arial Narrow"/>
                <w:sz w:val="20"/>
                <w:szCs w:val="22"/>
              </w:rPr>
              <w:t>117.0</w:t>
            </w:r>
          </w:p>
        </w:tc>
        <w:tc>
          <w:tcPr>
            <w:tcW w:w="1417" w:type="dxa"/>
          </w:tcPr>
          <w:p w:rsidR="002E1B4D" w:rsidRPr="00997765" w:rsidRDefault="0075194A" w:rsidP="003E471A">
            <w:pPr>
              <w:pStyle w:val="ListParagraph"/>
              <w:ind w:left="0"/>
              <w:jc w:val="center"/>
              <w:rPr>
                <w:rFonts w:ascii="Arial Narrow" w:hAnsi="Arial Narrow"/>
                <w:sz w:val="20"/>
                <w:szCs w:val="22"/>
              </w:rPr>
            </w:pPr>
            <w:r w:rsidRPr="00997765">
              <w:rPr>
                <w:rFonts w:ascii="Arial Narrow" w:hAnsi="Arial Narrow"/>
                <w:sz w:val="20"/>
                <w:szCs w:val="22"/>
              </w:rPr>
              <w:t>104-131</w:t>
            </w:r>
          </w:p>
        </w:tc>
      </w:tr>
      <w:tr w:rsidR="0075194A" w:rsidRPr="00997765" w:rsidTr="003E471A">
        <w:tc>
          <w:tcPr>
            <w:tcW w:w="8363" w:type="dxa"/>
            <w:gridSpan w:val="3"/>
          </w:tcPr>
          <w:p w:rsidR="0075194A" w:rsidRPr="00997765" w:rsidRDefault="003F08A0" w:rsidP="003F08A0">
            <w:pPr>
              <w:pStyle w:val="ListParagraph"/>
              <w:ind w:left="0"/>
              <w:rPr>
                <w:rFonts w:ascii="Arial Narrow" w:hAnsi="Arial Narrow"/>
                <w:b/>
                <w:sz w:val="20"/>
                <w:szCs w:val="22"/>
              </w:rPr>
            </w:pPr>
            <w:r w:rsidRPr="00997765">
              <w:rPr>
                <w:rFonts w:ascii="Arial Narrow" w:hAnsi="Arial Narrow"/>
                <w:b/>
                <w:sz w:val="20"/>
                <w:szCs w:val="22"/>
              </w:rPr>
              <w:t>AUC</w:t>
            </w:r>
            <w:r w:rsidRPr="00997765">
              <w:rPr>
                <w:rFonts w:ascii="Arial Narrow" w:hAnsi="Arial Narrow"/>
                <w:b/>
                <w:sz w:val="20"/>
                <w:szCs w:val="22"/>
                <w:vertAlign w:val="subscript"/>
              </w:rPr>
              <w:t>0-t</w:t>
            </w:r>
            <w:r w:rsidRPr="00997765">
              <w:rPr>
                <w:rFonts w:ascii="Arial Narrow" w:hAnsi="Arial Narrow"/>
                <w:b/>
                <w:sz w:val="20"/>
                <w:szCs w:val="22"/>
              </w:rPr>
              <w:t xml:space="preserve"> (µg*h/L)</w:t>
            </w:r>
          </w:p>
        </w:tc>
      </w:tr>
      <w:tr w:rsidR="003F08A0" w:rsidRPr="00997765" w:rsidTr="003E471A">
        <w:tc>
          <w:tcPr>
            <w:tcW w:w="4990" w:type="dxa"/>
          </w:tcPr>
          <w:p w:rsidR="003F08A0" w:rsidRPr="00997765" w:rsidRDefault="003F08A0" w:rsidP="003E471A">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SC injection vs. 1</w:t>
            </w:r>
            <w:r w:rsidR="004D6A66" w:rsidRPr="00997765">
              <w:rPr>
                <w:rFonts w:ascii="Arial Narrow" w:hAnsi="Arial Narrow"/>
                <w:sz w:val="20"/>
                <w:szCs w:val="22"/>
              </w:rPr>
              <w:t>0 mg</w:t>
            </w:r>
            <w:r w:rsidRPr="00997765">
              <w:rPr>
                <w:rFonts w:ascii="Arial Narrow" w:hAnsi="Arial Narrow"/>
                <w:sz w:val="20"/>
                <w:szCs w:val="22"/>
              </w:rPr>
              <w:t>/mL SC injection</w:t>
            </w:r>
          </w:p>
        </w:tc>
        <w:tc>
          <w:tcPr>
            <w:tcW w:w="1956" w:type="dxa"/>
          </w:tcPr>
          <w:p w:rsidR="003F08A0" w:rsidRPr="00997765" w:rsidRDefault="00A17EDE" w:rsidP="003E471A">
            <w:pPr>
              <w:pStyle w:val="ListParagraph"/>
              <w:ind w:left="0"/>
              <w:jc w:val="center"/>
              <w:rPr>
                <w:rFonts w:ascii="Arial Narrow" w:hAnsi="Arial Narrow"/>
                <w:sz w:val="20"/>
                <w:szCs w:val="22"/>
              </w:rPr>
            </w:pPr>
            <w:r w:rsidRPr="00997765">
              <w:rPr>
                <w:rFonts w:ascii="Arial Narrow" w:hAnsi="Arial Narrow"/>
                <w:sz w:val="20"/>
                <w:szCs w:val="22"/>
              </w:rPr>
              <w:t>98.07</w:t>
            </w:r>
          </w:p>
        </w:tc>
        <w:tc>
          <w:tcPr>
            <w:tcW w:w="1417" w:type="dxa"/>
          </w:tcPr>
          <w:p w:rsidR="003F08A0" w:rsidRPr="00997765" w:rsidRDefault="00A17EDE" w:rsidP="003E471A">
            <w:pPr>
              <w:pStyle w:val="ListParagraph"/>
              <w:ind w:left="0"/>
              <w:jc w:val="center"/>
              <w:rPr>
                <w:rFonts w:ascii="Arial Narrow" w:hAnsi="Arial Narrow"/>
                <w:sz w:val="20"/>
                <w:szCs w:val="22"/>
              </w:rPr>
            </w:pPr>
            <w:r w:rsidRPr="00997765">
              <w:rPr>
                <w:rFonts w:ascii="Arial Narrow" w:hAnsi="Arial Narrow"/>
                <w:sz w:val="20"/>
                <w:szCs w:val="22"/>
              </w:rPr>
              <w:t>90.42-106.37</w:t>
            </w:r>
          </w:p>
        </w:tc>
      </w:tr>
      <w:tr w:rsidR="003F08A0" w:rsidRPr="00997765" w:rsidTr="003E471A">
        <w:tc>
          <w:tcPr>
            <w:tcW w:w="4990" w:type="dxa"/>
          </w:tcPr>
          <w:p w:rsidR="003F08A0" w:rsidRPr="00997765" w:rsidRDefault="003F08A0" w:rsidP="003E471A">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IM injection vs. 1</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3F08A0" w:rsidRPr="00997765" w:rsidRDefault="00A17EDE" w:rsidP="003E471A">
            <w:pPr>
              <w:pStyle w:val="ListParagraph"/>
              <w:ind w:left="0"/>
              <w:jc w:val="center"/>
              <w:rPr>
                <w:rFonts w:ascii="Arial Narrow" w:hAnsi="Arial Narrow"/>
                <w:sz w:val="20"/>
                <w:szCs w:val="22"/>
              </w:rPr>
            </w:pPr>
            <w:r w:rsidRPr="00997765">
              <w:rPr>
                <w:rFonts w:ascii="Arial Narrow" w:hAnsi="Arial Narrow"/>
                <w:sz w:val="20"/>
                <w:szCs w:val="22"/>
              </w:rPr>
              <w:t>91.90</w:t>
            </w:r>
          </w:p>
        </w:tc>
        <w:tc>
          <w:tcPr>
            <w:tcW w:w="1417" w:type="dxa"/>
          </w:tcPr>
          <w:p w:rsidR="003F08A0" w:rsidRPr="00997765" w:rsidRDefault="00A17EDE" w:rsidP="003E471A">
            <w:pPr>
              <w:pStyle w:val="ListParagraph"/>
              <w:ind w:left="0"/>
              <w:jc w:val="center"/>
              <w:rPr>
                <w:rFonts w:ascii="Arial Narrow" w:hAnsi="Arial Narrow"/>
                <w:sz w:val="20"/>
                <w:szCs w:val="22"/>
              </w:rPr>
            </w:pPr>
            <w:r w:rsidRPr="00997765">
              <w:rPr>
                <w:rFonts w:ascii="Arial Narrow" w:hAnsi="Arial Narrow"/>
                <w:sz w:val="20"/>
                <w:szCs w:val="22"/>
              </w:rPr>
              <w:t>84.73-99.68</w:t>
            </w:r>
          </w:p>
        </w:tc>
      </w:tr>
      <w:tr w:rsidR="003F08A0" w:rsidRPr="00997765" w:rsidTr="003E471A">
        <w:tc>
          <w:tcPr>
            <w:tcW w:w="4990" w:type="dxa"/>
          </w:tcPr>
          <w:p w:rsidR="003F08A0" w:rsidRPr="00997765" w:rsidRDefault="003F08A0" w:rsidP="003E471A">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SC injection vs. 5</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3F08A0" w:rsidRPr="00997765" w:rsidRDefault="00A17EDE" w:rsidP="003E471A">
            <w:pPr>
              <w:pStyle w:val="ListParagraph"/>
              <w:ind w:left="0"/>
              <w:jc w:val="center"/>
              <w:rPr>
                <w:rFonts w:ascii="Arial Narrow" w:hAnsi="Arial Narrow"/>
                <w:sz w:val="20"/>
                <w:szCs w:val="22"/>
              </w:rPr>
            </w:pPr>
            <w:r w:rsidRPr="00997765">
              <w:rPr>
                <w:rFonts w:ascii="Arial Narrow" w:hAnsi="Arial Narrow"/>
                <w:sz w:val="20"/>
                <w:szCs w:val="22"/>
              </w:rPr>
              <w:t>123.9</w:t>
            </w:r>
          </w:p>
        </w:tc>
        <w:tc>
          <w:tcPr>
            <w:tcW w:w="1417" w:type="dxa"/>
          </w:tcPr>
          <w:p w:rsidR="003F08A0" w:rsidRPr="00997765" w:rsidRDefault="00A17EDE" w:rsidP="003E471A">
            <w:pPr>
              <w:pStyle w:val="ListParagraph"/>
              <w:ind w:left="0"/>
              <w:jc w:val="center"/>
              <w:rPr>
                <w:rFonts w:ascii="Arial Narrow" w:hAnsi="Arial Narrow"/>
                <w:sz w:val="20"/>
                <w:szCs w:val="22"/>
              </w:rPr>
            </w:pPr>
            <w:r w:rsidRPr="00997765">
              <w:rPr>
                <w:rFonts w:ascii="Arial Narrow" w:hAnsi="Arial Narrow"/>
                <w:sz w:val="20"/>
                <w:szCs w:val="22"/>
              </w:rPr>
              <w:t>112-137</w:t>
            </w:r>
          </w:p>
        </w:tc>
      </w:tr>
      <w:tr w:rsidR="003F08A0" w:rsidRPr="00997765" w:rsidTr="003E471A">
        <w:tc>
          <w:tcPr>
            <w:tcW w:w="4990" w:type="dxa"/>
          </w:tcPr>
          <w:p w:rsidR="003F08A0" w:rsidRPr="00997765" w:rsidRDefault="003F08A0" w:rsidP="003E471A">
            <w:pPr>
              <w:pStyle w:val="ListParagraph"/>
              <w:ind w:left="0"/>
              <w:rPr>
                <w:rFonts w:ascii="Arial Narrow" w:hAnsi="Arial Narrow"/>
                <w:sz w:val="20"/>
                <w:szCs w:val="22"/>
              </w:rPr>
            </w:pPr>
            <w:r w:rsidRPr="00997765">
              <w:rPr>
                <w:rFonts w:ascii="Arial Narrow" w:hAnsi="Arial Narrow"/>
                <w:sz w:val="20"/>
                <w:szCs w:val="22"/>
              </w:rPr>
              <w:t>1</w:t>
            </w:r>
            <w:r w:rsidR="004D6A66" w:rsidRPr="00997765">
              <w:rPr>
                <w:rFonts w:ascii="Arial Narrow" w:hAnsi="Arial Narrow"/>
                <w:sz w:val="20"/>
                <w:szCs w:val="22"/>
              </w:rPr>
              <w:t>0 mg</w:t>
            </w:r>
            <w:r w:rsidRPr="00997765">
              <w:rPr>
                <w:rFonts w:ascii="Arial Narrow" w:hAnsi="Arial Narrow"/>
                <w:sz w:val="20"/>
                <w:szCs w:val="22"/>
              </w:rPr>
              <w:t>/mL SC injection vs. 1</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3F08A0" w:rsidRPr="00997765" w:rsidRDefault="00A17EDE" w:rsidP="003E471A">
            <w:pPr>
              <w:pStyle w:val="ListParagraph"/>
              <w:ind w:left="0"/>
              <w:jc w:val="center"/>
              <w:rPr>
                <w:rFonts w:ascii="Arial Narrow" w:hAnsi="Arial Narrow"/>
                <w:sz w:val="20"/>
                <w:szCs w:val="22"/>
              </w:rPr>
            </w:pPr>
            <w:r w:rsidRPr="00997765">
              <w:rPr>
                <w:rFonts w:ascii="Arial Narrow" w:hAnsi="Arial Narrow"/>
                <w:sz w:val="20"/>
                <w:szCs w:val="22"/>
              </w:rPr>
              <w:t>116.1</w:t>
            </w:r>
          </w:p>
        </w:tc>
        <w:tc>
          <w:tcPr>
            <w:tcW w:w="1417" w:type="dxa"/>
          </w:tcPr>
          <w:p w:rsidR="003F08A0" w:rsidRPr="00997765" w:rsidRDefault="00A17EDE" w:rsidP="003E471A">
            <w:pPr>
              <w:pStyle w:val="ListParagraph"/>
              <w:ind w:left="0"/>
              <w:jc w:val="center"/>
              <w:rPr>
                <w:rFonts w:ascii="Arial Narrow" w:hAnsi="Arial Narrow"/>
                <w:sz w:val="20"/>
                <w:szCs w:val="22"/>
              </w:rPr>
            </w:pPr>
            <w:r w:rsidRPr="00997765">
              <w:rPr>
                <w:rFonts w:ascii="Arial Narrow" w:hAnsi="Arial Narrow"/>
                <w:sz w:val="20"/>
                <w:szCs w:val="22"/>
              </w:rPr>
              <w:t>104-130</w:t>
            </w:r>
          </w:p>
        </w:tc>
      </w:tr>
      <w:tr w:rsidR="003C6FD1" w:rsidRPr="00997765" w:rsidTr="003E471A">
        <w:tc>
          <w:tcPr>
            <w:tcW w:w="8363" w:type="dxa"/>
            <w:gridSpan w:val="3"/>
          </w:tcPr>
          <w:p w:rsidR="003C6FD1" w:rsidRPr="00997765" w:rsidRDefault="003C6FD1" w:rsidP="003C6FD1">
            <w:pPr>
              <w:pStyle w:val="ListParagraph"/>
              <w:ind w:left="0"/>
              <w:rPr>
                <w:rFonts w:ascii="Arial Narrow" w:hAnsi="Arial Narrow"/>
                <w:b/>
                <w:sz w:val="20"/>
                <w:szCs w:val="22"/>
              </w:rPr>
            </w:pPr>
            <w:proofErr w:type="spellStart"/>
            <w:r w:rsidRPr="00997765">
              <w:rPr>
                <w:rFonts w:ascii="Arial Narrow" w:hAnsi="Arial Narrow"/>
                <w:b/>
                <w:sz w:val="20"/>
                <w:szCs w:val="22"/>
              </w:rPr>
              <w:t>C</w:t>
            </w:r>
            <w:r w:rsidRPr="00997765">
              <w:rPr>
                <w:rFonts w:ascii="Arial Narrow" w:hAnsi="Arial Narrow"/>
                <w:b/>
                <w:sz w:val="20"/>
                <w:szCs w:val="22"/>
                <w:vertAlign w:val="subscript"/>
              </w:rPr>
              <w:t>max</w:t>
            </w:r>
            <w:proofErr w:type="spellEnd"/>
            <w:r w:rsidRPr="00997765">
              <w:rPr>
                <w:rFonts w:ascii="Arial Narrow" w:hAnsi="Arial Narrow"/>
                <w:b/>
                <w:sz w:val="20"/>
                <w:szCs w:val="22"/>
              </w:rPr>
              <w:t xml:space="preserve"> (µg/L)</w:t>
            </w:r>
          </w:p>
        </w:tc>
      </w:tr>
      <w:tr w:rsidR="003C6FD1" w:rsidRPr="00997765" w:rsidTr="003E471A">
        <w:tc>
          <w:tcPr>
            <w:tcW w:w="4990" w:type="dxa"/>
          </w:tcPr>
          <w:p w:rsidR="003C6FD1" w:rsidRPr="00997765" w:rsidRDefault="003C6FD1" w:rsidP="003E471A">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SC injection vs. 1</w:t>
            </w:r>
            <w:r w:rsidR="004D6A66" w:rsidRPr="00997765">
              <w:rPr>
                <w:rFonts w:ascii="Arial Narrow" w:hAnsi="Arial Narrow"/>
                <w:sz w:val="20"/>
                <w:szCs w:val="22"/>
              </w:rPr>
              <w:t>0 mg</w:t>
            </w:r>
            <w:r w:rsidRPr="00997765">
              <w:rPr>
                <w:rFonts w:ascii="Arial Narrow" w:hAnsi="Arial Narrow"/>
                <w:sz w:val="20"/>
                <w:szCs w:val="22"/>
              </w:rPr>
              <w:t>/mL SC injection</w:t>
            </w:r>
          </w:p>
        </w:tc>
        <w:tc>
          <w:tcPr>
            <w:tcW w:w="1956" w:type="dxa"/>
          </w:tcPr>
          <w:p w:rsidR="003C6FD1" w:rsidRPr="00997765" w:rsidRDefault="00CF2A67" w:rsidP="003E471A">
            <w:pPr>
              <w:pStyle w:val="ListParagraph"/>
              <w:ind w:left="0"/>
              <w:jc w:val="center"/>
              <w:rPr>
                <w:rFonts w:ascii="Arial Narrow" w:hAnsi="Arial Narrow"/>
                <w:sz w:val="20"/>
                <w:szCs w:val="22"/>
              </w:rPr>
            </w:pPr>
            <w:r w:rsidRPr="00997765">
              <w:rPr>
                <w:rFonts w:ascii="Arial Narrow" w:hAnsi="Arial Narrow"/>
                <w:sz w:val="20"/>
                <w:szCs w:val="22"/>
              </w:rPr>
              <w:t>114.93</w:t>
            </w:r>
          </w:p>
        </w:tc>
        <w:tc>
          <w:tcPr>
            <w:tcW w:w="1417" w:type="dxa"/>
          </w:tcPr>
          <w:p w:rsidR="003C6FD1" w:rsidRPr="00997765" w:rsidRDefault="00CF2A67" w:rsidP="003E471A">
            <w:pPr>
              <w:pStyle w:val="ListParagraph"/>
              <w:ind w:left="0"/>
              <w:jc w:val="center"/>
              <w:rPr>
                <w:rFonts w:ascii="Arial Narrow" w:hAnsi="Arial Narrow"/>
                <w:sz w:val="20"/>
                <w:szCs w:val="22"/>
              </w:rPr>
            </w:pPr>
            <w:r w:rsidRPr="00997765">
              <w:rPr>
                <w:rFonts w:ascii="Arial Narrow" w:hAnsi="Arial Narrow"/>
                <w:sz w:val="20"/>
                <w:szCs w:val="22"/>
              </w:rPr>
              <w:t>90.96-145.22</w:t>
            </w:r>
          </w:p>
        </w:tc>
      </w:tr>
      <w:tr w:rsidR="003C6FD1" w:rsidRPr="00997765" w:rsidTr="003E471A">
        <w:tc>
          <w:tcPr>
            <w:tcW w:w="4990" w:type="dxa"/>
          </w:tcPr>
          <w:p w:rsidR="003C6FD1" w:rsidRPr="00997765" w:rsidRDefault="003C6FD1" w:rsidP="003E471A">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IM injection vs. 1</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3C6FD1" w:rsidRPr="00997765" w:rsidRDefault="00CF2A67" w:rsidP="003E471A">
            <w:pPr>
              <w:pStyle w:val="ListParagraph"/>
              <w:ind w:left="0"/>
              <w:jc w:val="center"/>
              <w:rPr>
                <w:rFonts w:ascii="Arial Narrow" w:hAnsi="Arial Narrow"/>
                <w:sz w:val="20"/>
                <w:szCs w:val="22"/>
              </w:rPr>
            </w:pPr>
            <w:r w:rsidRPr="00997765">
              <w:rPr>
                <w:rFonts w:ascii="Arial Narrow" w:hAnsi="Arial Narrow"/>
                <w:sz w:val="20"/>
                <w:szCs w:val="22"/>
              </w:rPr>
              <w:t>120.67</w:t>
            </w:r>
          </w:p>
        </w:tc>
        <w:tc>
          <w:tcPr>
            <w:tcW w:w="1417" w:type="dxa"/>
          </w:tcPr>
          <w:p w:rsidR="003C6FD1" w:rsidRPr="00997765" w:rsidRDefault="00CF2A67" w:rsidP="003E471A">
            <w:pPr>
              <w:pStyle w:val="ListParagraph"/>
              <w:ind w:left="0"/>
              <w:jc w:val="center"/>
              <w:rPr>
                <w:rFonts w:ascii="Arial Narrow" w:hAnsi="Arial Narrow"/>
                <w:sz w:val="20"/>
                <w:szCs w:val="22"/>
              </w:rPr>
            </w:pPr>
            <w:r w:rsidRPr="00997765">
              <w:rPr>
                <w:rFonts w:ascii="Arial Narrow" w:hAnsi="Arial Narrow"/>
                <w:sz w:val="20"/>
                <w:szCs w:val="22"/>
              </w:rPr>
              <w:t>95.51-152.48</w:t>
            </w:r>
          </w:p>
        </w:tc>
      </w:tr>
      <w:tr w:rsidR="003C6FD1" w:rsidRPr="00997765" w:rsidTr="003E471A">
        <w:tc>
          <w:tcPr>
            <w:tcW w:w="4990" w:type="dxa"/>
          </w:tcPr>
          <w:p w:rsidR="003C6FD1" w:rsidRPr="00997765" w:rsidRDefault="003C6FD1" w:rsidP="003E471A">
            <w:pPr>
              <w:pStyle w:val="ListParagraph"/>
              <w:ind w:left="0"/>
              <w:rPr>
                <w:rFonts w:ascii="Arial Narrow" w:hAnsi="Arial Narrow"/>
                <w:sz w:val="20"/>
                <w:szCs w:val="22"/>
              </w:rPr>
            </w:pPr>
            <w:r w:rsidRPr="00997765">
              <w:rPr>
                <w:rFonts w:ascii="Arial Narrow" w:hAnsi="Arial Narrow"/>
                <w:sz w:val="20"/>
                <w:szCs w:val="22"/>
              </w:rPr>
              <w:t>5</w:t>
            </w:r>
            <w:r w:rsidR="004D6A66" w:rsidRPr="00997765">
              <w:rPr>
                <w:rFonts w:ascii="Arial Narrow" w:hAnsi="Arial Narrow"/>
                <w:sz w:val="20"/>
                <w:szCs w:val="22"/>
              </w:rPr>
              <w:t>0 mg</w:t>
            </w:r>
            <w:r w:rsidRPr="00997765">
              <w:rPr>
                <w:rFonts w:ascii="Arial Narrow" w:hAnsi="Arial Narrow"/>
                <w:sz w:val="20"/>
                <w:szCs w:val="22"/>
              </w:rPr>
              <w:t>/mL SC injection vs. 5</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3C6FD1" w:rsidRPr="00997765" w:rsidRDefault="00CF2A67" w:rsidP="003E471A">
            <w:pPr>
              <w:pStyle w:val="ListParagraph"/>
              <w:ind w:left="0"/>
              <w:jc w:val="center"/>
              <w:rPr>
                <w:rFonts w:ascii="Arial Narrow" w:hAnsi="Arial Narrow"/>
                <w:sz w:val="20"/>
                <w:szCs w:val="22"/>
              </w:rPr>
            </w:pPr>
            <w:r w:rsidRPr="00997765">
              <w:rPr>
                <w:rFonts w:ascii="Arial Narrow" w:hAnsi="Arial Narrow"/>
                <w:sz w:val="20"/>
                <w:szCs w:val="22"/>
              </w:rPr>
              <w:t>69.2</w:t>
            </w:r>
          </w:p>
        </w:tc>
        <w:tc>
          <w:tcPr>
            <w:tcW w:w="1417" w:type="dxa"/>
          </w:tcPr>
          <w:p w:rsidR="003C6FD1" w:rsidRPr="00997765" w:rsidRDefault="00CF2A67" w:rsidP="003E471A">
            <w:pPr>
              <w:pStyle w:val="ListParagraph"/>
              <w:ind w:left="0"/>
              <w:jc w:val="center"/>
              <w:rPr>
                <w:rFonts w:ascii="Arial Narrow" w:hAnsi="Arial Narrow"/>
                <w:sz w:val="20"/>
                <w:szCs w:val="22"/>
              </w:rPr>
            </w:pPr>
            <w:r w:rsidRPr="00997765">
              <w:rPr>
                <w:rFonts w:ascii="Arial Narrow" w:hAnsi="Arial Narrow"/>
                <w:sz w:val="20"/>
                <w:szCs w:val="22"/>
              </w:rPr>
              <w:t>53-90</w:t>
            </w:r>
          </w:p>
        </w:tc>
      </w:tr>
      <w:tr w:rsidR="003C6FD1" w:rsidRPr="00997765" w:rsidTr="003E471A">
        <w:tc>
          <w:tcPr>
            <w:tcW w:w="4990" w:type="dxa"/>
          </w:tcPr>
          <w:p w:rsidR="003C6FD1" w:rsidRPr="00997765" w:rsidRDefault="003C6FD1" w:rsidP="003E471A">
            <w:pPr>
              <w:pStyle w:val="ListParagraph"/>
              <w:ind w:left="0"/>
              <w:rPr>
                <w:rFonts w:ascii="Arial Narrow" w:hAnsi="Arial Narrow"/>
                <w:sz w:val="20"/>
                <w:szCs w:val="22"/>
              </w:rPr>
            </w:pPr>
            <w:r w:rsidRPr="00997765">
              <w:rPr>
                <w:rFonts w:ascii="Arial Narrow" w:hAnsi="Arial Narrow"/>
                <w:sz w:val="20"/>
                <w:szCs w:val="22"/>
              </w:rPr>
              <w:t>1</w:t>
            </w:r>
            <w:r w:rsidR="004D6A66" w:rsidRPr="00997765">
              <w:rPr>
                <w:rFonts w:ascii="Arial Narrow" w:hAnsi="Arial Narrow"/>
                <w:sz w:val="20"/>
                <w:szCs w:val="22"/>
              </w:rPr>
              <w:t>0 mg</w:t>
            </w:r>
            <w:r w:rsidRPr="00997765">
              <w:rPr>
                <w:rFonts w:ascii="Arial Narrow" w:hAnsi="Arial Narrow"/>
                <w:sz w:val="20"/>
                <w:szCs w:val="22"/>
              </w:rPr>
              <w:t>/mL SC injection vs. 1</w:t>
            </w:r>
            <w:r w:rsidR="004D6A66" w:rsidRPr="00997765">
              <w:rPr>
                <w:rFonts w:ascii="Arial Narrow" w:hAnsi="Arial Narrow"/>
                <w:sz w:val="20"/>
                <w:szCs w:val="22"/>
              </w:rPr>
              <w:t>0 mg</w:t>
            </w:r>
            <w:r w:rsidRPr="00997765">
              <w:rPr>
                <w:rFonts w:ascii="Arial Narrow" w:hAnsi="Arial Narrow"/>
                <w:sz w:val="20"/>
                <w:szCs w:val="22"/>
              </w:rPr>
              <w:t>/mL IM injection</w:t>
            </w:r>
          </w:p>
        </w:tc>
        <w:tc>
          <w:tcPr>
            <w:tcW w:w="1956" w:type="dxa"/>
          </w:tcPr>
          <w:p w:rsidR="003C6FD1" w:rsidRPr="00997765" w:rsidRDefault="00CF2A67" w:rsidP="003E471A">
            <w:pPr>
              <w:pStyle w:val="ListParagraph"/>
              <w:ind w:left="0"/>
              <w:jc w:val="center"/>
              <w:rPr>
                <w:rFonts w:ascii="Arial Narrow" w:hAnsi="Arial Narrow"/>
                <w:sz w:val="20"/>
                <w:szCs w:val="22"/>
              </w:rPr>
            </w:pPr>
            <w:r w:rsidRPr="00997765">
              <w:rPr>
                <w:rFonts w:ascii="Arial Narrow" w:hAnsi="Arial Narrow"/>
                <w:sz w:val="20"/>
                <w:szCs w:val="22"/>
              </w:rPr>
              <w:t>72.6</w:t>
            </w:r>
          </w:p>
        </w:tc>
        <w:tc>
          <w:tcPr>
            <w:tcW w:w="1417" w:type="dxa"/>
          </w:tcPr>
          <w:p w:rsidR="003C6FD1" w:rsidRPr="00997765" w:rsidRDefault="00CF2A67" w:rsidP="003E471A">
            <w:pPr>
              <w:pStyle w:val="ListParagraph"/>
              <w:ind w:left="0"/>
              <w:jc w:val="center"/>
              <w:rPr>
                <w:rFonts w:ascii="Arial Narrow" w:hAnsi="Arial Narrow"/>
                <w:sz w:val="20"/>
                <w:szCs w:val="22"/>
              </w:rPr>
            </w:pPr>
            <w:r w:rsidRPr="00997765">
              <w:rPr>
                <w:rFonts w:ascii="Arial Narrow" w:hAnsi="Arial Narrow"/>
                <w:sz w:val="20"/>
                <w:szCs w:val="22"/>
              </w:rPr>
              <w:t>58-90</w:t>
            </w:r>
          </w:p>
        </w:tc>
      </w:tr>
    </w:tbl>
    <w:p w:rsidR="00CD0E89" w:rsidRPr="00997765" w:rsidRDefault="00AA48D2" w:rsidP="00CD0E89">
      <w:pPr>
        <w:pStyle w:val="ListParagraph"/>
        <w:jc w:val="both"/>
        <w:rPr>
          <w:rFonts w:ascii="Arial Narrow" w:hAnsi="Arial Narrow"/>
          <w:sz w:val="18"/>
          <w:szCs w:val="22"/>
        </w:rPr>
      </w:pPr>
      <w:r w:rsidRPr="00997765">
        <w:rPr>
          <w:rFonts w:ascii="Arial Narrow" w:hAnsi="Arial Narrow"/>
          <w:sz w:val="18"/>
          <w:szCs w:val="22"/>
        </w:rPr>
        <w:t>Source: Table 2 (p 14) and Table 4 (p 15) of the TGA clinical evaluators report</w:t>
      </w:r>
    </w:p>
    <w:p w:rsidR="00CD0E89" w:rsidRPr="00997765" w:rsidRDefault="00CD0E89" w:rsidP="00CD0E89">
      <w:pPr>
        <w:pStyle w:val="ListParagraph"/>
        <w:jc w:val="both"/>
        <w:rPr>
          <w:rFonts w:ascii="Arial Narrow" w:hAnsi="Arial Narrow"/>
          <w:sz w:val="18"/>
          <w:szCs w:val="22"/>
        </w:rPr>
      </w:pPr>
      <w:r w:rsidRPr="00997765">
        <w:rPr>
          <w:rFonts w:ascii="Arial Narrow" w:hAnsi="Arial Narrow"/>
          <w:sz w:val="18"/>
          <w:szCs w:val="22"/>
        </w:rPr>
        <w:t xml:space="preserve">Abbreviations: AUC, area under the plasma concentration time curve; </w:t>
      </w:r>
      <w:proofErr w:type="spellStart"/>
      <w:r w:rsidRPr="00997765">
        <w:rPr>
          <w:rFonts w:ascii="Arial Narrow" w:hAnsi="Arial Narrow"/>
          <w:sz w:val="18"/>
          <w:szCs w:val="22"/>
        </w:rPr>
        <w:t>C</w:t>
      </w:r>
      <w:r w:rsidRPr="00997765">
        <w:rPr>
          <w:rFonts w:ascii="Arial Narrow" w:hAnsi="Arial Narrow"/>
          <w:sz w:val="18"/>
          <w:szCs w:val="22"/>
          <w:vertAlign w:val="subscript"/>
        </w:rPr>
        <w:t>max</w:t>
      </w:r>
      <w:proofErr w:type="spellEnd"/>
      <w:r w:rsidRPr="00997765">
        <w:rPr>
          <w:rFonts w:ascii="Arial Narrow" w:hAnsi="Arial Narrow"/>
          <w:sz w:val="18"/>
          <w:szCs w:val="22"/>
        </w:rPr>
        <w:t>, maximum plasma concentration; CI, confidence inte</w:t>
      </w:r>
      <w:r w:rsidR="00CF2A67" w:rsidRPr="00997765">
        <w:rPr>
          <w:rFonts w:ascii="Arial Narrow" w:hAnsi="Arial Narrow"/>
          <w:sz w:val="18"/>
          <w:szCs w:val="22"/>
        </w:rPr>
        <w:t>rval; IM, intramuscular; SC, subcutaneous;</w:t>
      </w:r>
    </w:p>
    <w:p w:rsidR="00DA64A7" w:rsidRPr="00997765" w:rsidRDefault="00DA64A7" w:rsidP="00DA64A7">
      <w:pPr>
        <w:pStyle w:val="ListParagraph"/>
        <w:jc w:val="both"/>
        <w:rPr>
          <w:rFonts w:ascii="Arial" w:hAnsi="Arial"/>
          <w:i/>
          <w:sz w:val="22"/>
          <w:szCs w:val="22"/>
        </w:rPr>
      </w:pPr>
    </w:p>
    <w:p w:rsidR="00D41E3F" w:rsidRPr="00997765" w:rsidRDefault="00D41E3F" w:rsidP="009D25B0">
      <w:pPr>
        <w:pStyle w:val="ListParagraph"/>
        <w:numPr>
          <w:ilvl w:val="1"/>
          <w:numId w:val="1"/>
        </w:numPr>
        <w:jc w:val="both"/>
        <w:rPr>
          <w:rFonts w:ascii="Arial" w:hAnsi="Arial"/>
          <w:sz w:val="22"/>
          <w:szCs w:val="22"/>
        </w:rPr>
      </w:pPr>
      <w:r w:rsidRPr="00997765">
        <w:rPr>
          <w:rFonts w:ascii="Arial" w:hAnsi="Arial"/>
          <w:sz w:val="22"/>
          <w:szCs w:val="22"/>
        </w:rPr>
        <w:t>High concentration injection solution was associated with a numerically higher maximum concentration (</w:t>
      </w:r>
      <w:proofErr w:type="spellStart"/>
      <w:r w:rsidRPr="00997765">
        <w:rPr>
          <w:rFonts w:ascii="Arial" w:hAnsi="Arial"/>
          <w:sz w:val="22"/>
          <w:szCs w:val="22"/>
        </w:rPr>
        <w:t>C</w:t>
      </w:r>
      <w:r w:rsidRPr="00997765">
        <w:rPr>
          <w:rFonts w:ascii="Arial" w:hAnsi="Arial"/>
          <w:sz w:val="22"/>
          <w:szCs w:val="22"/>
          <w:vertAlign w:val="subscript"/>
        </w:rPr>
        <w:t>max</w:t>
      </w:r>
      <w:proofErr w:type="spellEnd"/>
      <w:r w:rsidRPr="00997765">
        <w:rPr>
          <w:rFonts w:ascii="Arial" w:hAnsi="Arial"/>
          <w:sz w:val="22"/>
          <w:szCs w:val="22"/>
        </w:rPr>
        <w:t>) compared to low concentration solution but these differences were not significant. Both solution concentrations were bioequivalent in terms of extent of drug exposure (AUC).</w:t>
      </w:r>
    </w:p>
    <w:p w:rsidR="00D41E3F" w:rsidRPr="00997765" w:rsidRDefault="00D41E3F" w:rsidP="00D41E3F">
      <w:pPr>
        <w:jc w:val="both"/>
        <w:rPr>
          <w:rFonts w:ascii="Arial" w:hAnsi="Arial"/>
          <w:sz w:val="22"/>
          <w:szCs w:val="22"/>
        </w:rPr>
      </w:pPr>
    </w:p>
    <w:p w:rsidR="006830BC" w:rsidRPr="00997765" w:rsidRDefault="00CF2A67" w:rsidP="009D25B0">
      <w:pPr>
        <w:pStyle w:val="ListParagraph"/>
        <w:numPr>
          <w:ilvl w:val="1"/>
          <w:numId w:val="1"/>
        </w:numPr>
        <w:jc w:val="both"/>
        <w:rPr>
          <w:rFonts w:ascii="Arial" w:hAnsi="Arial"/>
          <w:sz w:val="22"/>
          <w:szCs w:val="22"/>
        </w:rPr>
      </w:pPr>
      <w:r w:rsidRPr="00997765">
        <w:rPr>
          <w:rFonts w:ascii="Arial" w:hAnsi="Arial"/>
          <w:sz w:val="22"/>
          <w:szCs w:val="22"/>
        </w:rPr>
        <w:t>Between group comparisons suggest that intramuscular injections were associated with a higher max</w:t>
      </w:r>
      <w:r w:rsidR="00D41E3F" w:rsidRPr="00997765">
        <w:rPr>
          <w:rFonts w:ascii="Arial" w:hAnsi="Arial"/>
          <w:sz w:val="22"/>
          <w:szCs w:val="22"/>
        </w:rPr>
        <w:t>imum concentr</w:t>
      </w:r>
      <w:r w:rsidRPr="00997765">
        <w:rPr>
          <w:rFonts w:ascii="Arial" w:hAnsi="Arial"/>
          <w:sz w:val="22"/>
          <w:szCs w:val="22"/>
        </w:rPr>
        <w:t>ation</w:t>
      </w:r>
      <w:r w:rsidR="00364043" w:rsidRPr="00997765">
        <w:rPr>
          <w:rFonts w:ascii="Arial" w:hAnsi="Arial"/>
          <w:sz w:val="22"/>
          <w:szCs w:val="22"/>
        </w:rPr>
        <w:t xml:space="preserve"> (</w:t>
      </w:r>
      <w:proofErr w:type="spellStart"/>
      <w:r w:rsidR="00364043" w:rsidRPr="00997765">
        <w:rPr>
          <w:rFonts w:ascii="Arial" w:hAnsi="Arial"/>
          <w:sz w:val="22"/>
          <w:szCs w:val="22"/>
        </w:rPr>
        <w:t>C</w:t>
      </w:r>
      <w:r w:rsidR="00364043" w:rsidRPr="00997765">
        <w:rPr>
          <w:rFonts w:ascii="Arial" w:hAnsi="Arial"/>
          <w:sz w:val="22"/>
          <w:szCs w:val="22"/>
          <w:vertAlign w:val="subscript"/>
        </w:rPr>
        <w:t>max</w:t>
      </w:r>
      <w:proofErr w:type="spellEnd"/>
      <w:r w:rsidR="00364043" w:rsidRPr="00997765">
        <w:rPr>
          <w:rFonts w:ascii="Arial" w:hAnsi="Arial"/>
          <w:sz w:val="22"/>
          <w:szCs w:val="22"/>
        </w:rPr>
        <w:t>)</w:t>
      </w:r>
      <w:r w:rsidR="00C96D11" w:rsidRPr="00997765">
        <w:rPr>
          <w:rFonts w:ascii="Arial" w:hAnsi="Arial"/>
          <w:sz w:val="22"/>
          <w:szCs w:val="22"/>
        </w:rPr>
        <w:t xml:space="preserve"> but a lower extent of exposure</w:t>
      </w:r>
      <w:r w:rsidR="00364043" w:rsidRPr="00997765">
        <w:rPr>
          <w:rFonts w:ascii="Arial" w:hAnsi="Arial"/>
          <w:sz w:val="22"/>
          <w:szCs w:val="22"/>
        </w:rPr>
        <w:t xml:space="preserve"> (AUC)</w:t>
      </w:r>
      <w:r w:rsidRPr="00997765">
        <w:rPr>
          <w:rFonts w:ascii="Arial" w:hAnsi="Arial"/>
          <w:sz w:val="22"/>
          <w:szCs w:val="22"/>
        </w:rPr>
        <w:t xml:space="preserve"> compared to subcutaneous injections (although these </w:t>
      </w:r>
      <w:r w:rsidR="00D41E3F" w:rsidRPr="00997765">
        <w:rPr>
          <w:rFonts w:ascii="Arial" w:hAnsi="Arial"/>
          <w:sz w:val="22"/>
          <w:szCs w:val="22"/>
        </w:rPr>
        <w:t xml:space="preserve">estimates </w:t>
      </w:r>
      <w:r w:rsidRPr="00997765">
        <w:rPr>
          <w:rFonts w:ascii="Arial" w:hAnsi="Arial"/>
          <w:sz w:val="22"/>
          <w:szCs w:val="22"/>
        </w:rPr>
        <w:t>may be confoun</w:t>
      </w:r>
      <w:r w:rsidR="00D41E3F" w:rsidRPr="00997765">
        <w:rPr>
          <w:rFonts w:ascii="Arial" w:hAnsi="Arial"/>
          <w:sz w:val="22"/>
          <w:szCs w:val="22"/>
        </w:rPr>
        <w:t>ded by subject differences and period effects).</w:t>
      </w:r>
    </w:p>
    <w:p w:rsidR="005E41E9" w:rsidRPr="00997765" w:rsidRDefault="005E41E9" w:rsidP="006830BC">
      <w:pPr>
        <w:pStyle w:val="ListParagraph"/>
        <w:jc w:val="both"/>
        <w:rPr>
          <w:rFonts w:ascii="Arial" w:hAnsi="Arial"/>
          <w:sz w:val="22"/>
          <w:szCs w:val="22"/>
        </w:rPr>
      </w:pPr>
    </w:p>
    <w:p w:rsidR="00974F82" w:rsidRPr="00997765" w:rsidRDefault="00974F82" w:rsidP="00FC330F">
      <w:pPr>
        <w:pStyle w:val="ListParagraph"/>
        <w:numPr>
          <w:ilvl w:val="1"/>
          <w:numId w:val="1"/>
        </w:numPr>
        <w:jc w:val="both"/>
        <w:rPr>
          <w:rFonts w:ascii="Arial" w:hAnsi="Arial"/>
          <w:sz w:val="22"/>
          <w:szCs w:val="22"/>
        </w:rPr>
      </w:pPr>
      <w:r w:rsidRPr="00997765">
        <w:rPr>
          <w:rFonts w:ascii="Arial" w:hAnsi="Arial"/>
          <w:sz w:val="22"/>
          <w:szCs w:val="22"/>
        </w:rPr>
        <w:t xml:space="preserve">The ACPM considered that small differences between pharmacokinetic parameters between routes of administration and solution concentrations were not likely to be of clinical significance (ACPM minutes, June 2015). </w:t>
      </w:r>
    </w:p>
    <w:p w:rsidR="00974F82" w:rsidRPr="00997765" w:rsidRDefault="00974F82" w:rsidP="00974F82">
      <w:pPr>
        <w:pStyle w:val="ListParagraph"/>
        <w:jc w:val="both"/>
        <w:rPr>
          <w:rFonts w:ascii="Arial" w:hAnsi="Arial"/>
          <w:sz w:val="22"/>
          <w:szCs w:val="22"/>
        </w:rPr>
      </w:pPr>
    </w:p>
    <w:p w:rsidR="00A276D8" w:rsidRPr="00997765" w:rsidRDefault="00A276D8" w:rsidP="00FC330F">
      <w:pPr>
        <w:pStyle w:val="ListParagraph"/>
        <w:numPr>
          <w:ilvl w:val="1"/>
          <w:numId w:val="1"/>
        </w:numPr>
        <w:jc w:val="both"/>
        <w:rPr>
          <w:rFonts w:ascii="Arial" w:hAnsi="Arial"/>
          <w:sz w:val="22"/>
          <w:szCs w:val="22"/>
        </w:rPr>
      </w:pPr>
      <w:proofErr w:type="spellStart"/>
      <w:r w:rsidRPr="00997765">
        <w:rPr>
          <w:rFonts w:ascii="Arial" w:hAnsi="Arial"/>
          <w:sz w:val="22"/>
          <w:szCs w:val="22"/>
        </w:rPr>
        <w:t>Striesow</w:t>
      </w:r>
      <w:proofErr w:type="spellEnd"/>
      <w:r w:rsidRPr="00997765">
        <w:rPr>
          <w:rFonts w:ascii="Arial" w:hAnsi="Arial"/>
          <w:sz w:val="22"/>
          <w:szCs w:val="22"/>
        </w:rPr>
        <w:t xml:space="preserve"> &amp; Brandt (2012) reported on an observational post-marketing surveillance study of patients with rheumatoid arthritis and psoriatic arthritis who were selected by physicians to trial self-administration with </w:t>
      </w:r>
      <w:r w:rsidR="0048505E" w:rsidRPr="00997765">
        <w:rPr>
          <w:rFonts w:ascii="Arial" w:hAnsi="Arial"/>
          <w:sz w:val="22"/>
          <w:szCs w:val="22"/>
        </w:rPr>
        <w:t>methotrexate 5</w:t>
      </w:r>
      <w:r w:rsidR="004D6A66" w:rsidRPr="00997765">
        <w:rPr>
          <w:rFonts w:ascii="Arial" w:hAnsi="Arial"/>
          <w:sz w:val="22"/>
          <w:szCs w:val="22"/>
        </w:rPr>
        <w:t>0 mg</w:t>
      </w:r>
      <w:r w:rsidR="0048505E" w:rsidRPr="00997765">
        <w:rPr>
          <w:rFonts w:ascii="Arial" w:hAnsi="Arial"/>
          <w:sz w:val="22"/>
          <w:szCs w:val="22"/>
        </w:rPr>
        <w:t xml:space="preserve">/mL </w:t>
      </w:r>
      <w:r w:rsidRPr="00997765">
        <w:rPr>
          <w:rFonts w:ascii="Arial" w:hAnsi="Arial"/>
          <w:sz w:val="22"/>
          <w:szCs w:val="22"/>
        </w:rPr>
        <w:t>pre-filled syringes (N=</w:t>
      </w:r>
      <w:r w:rsidR="0048505E" w:rsidRPr="00997765">
        <w:rPr>
          <w:rFonts w:ascii="Arial" w:hAnsi="Arial"/>
          <w:sz w:val="22"/>
          <w:szCs w:val="22"/>
        </w:rPr>
        <w:t>403</w:t>
      </w:r>
      <w:r w:rsidRPr="00997765">
        <w:rPr>
          <w:rFonts w:ascii="Arial" w:hAnsi="Arial"/>
          <w:sz w:val="22"/>
          <w:szCs w:val="22"/>
        </w:rPr>
        <w:t xml:space="preserve">). Patients, physicians and study nurses were assessed for preference, satisfaction and usability. A summary of study results are presented in </w:t>
      </w:r>
      <w:r w:rsidR="001C3A84" w:rsidRPr="00997765">
        <w:rPr>
          <w:rFonts w:ascii="Arial" w:hAnsi="Arial"/>
          <w:sz w:val="22"/>
          <w:szCs w:val="22"/>
        </w:rPr>
        <w:t>Table 5</w:t>
      </w:r>
      <w:r w:rsidR="00126CC6" w:rsidRPr="00997765">
        <w:rPr>
          <w:rFonts w:ascii="Arial" w:hAnsi="Arial"/>
          <w:sz w:val="22"/>
          <w:szCs w:val="22"/>
        </w:rPr>
        <w:t>.</w:t>
      </w:r>
    </w:p>
    <w:p w:rsidR="00A276D8" w:rsidRPr="00997765" w:rsidRDefault="00A276D8" w:rsidP="00A276D8">
      <w:pPr>
        <w:pStyle w:val="ListParagraph"/>
        <w:jc w:val="both"/>
        <w:rPr>
          <w:rFonts w:ascii="Arial" w:hAnsi="Arial"/>
          <w:i/>
          <w:sz w:val="22"/>
          <w:szCs w:val="22"/>
        </w:rPr>
      </w:pPr>
    </w:p>
    <w:p w:rsidR="00A276D8" w:rsidRPr="00997765" w:rsidRDefault="001C3A84" w:rsidP="00A276D8">
      <w:pPr>
        <w:pStyle w:val="ListParagraph"/>
        <w:jc w:val="both"/>
        <w:rPr>
          <w:rFonts w:ascii="Arial Narrow" w:hAnsi="Arial Narrow"/>
          <w:b/>
          <w:sz w:val="20"/>
          <w:szCs w:val="20"/>
        </w:rPr>
      </w:pPr>
      <w:r w:rsidRPr="00997765">
        <w:rPr>
          <w:rFonts w:ascii="Arial Narrow" w:hAnsi="Arial Narrow"/>
          <w:b/>
          <w:sz w:val="20"/>
          <w:szCs w:val="20"/>
        </w:rPr>
        <w:t>Table 5</w:t>
      </w:r>
      <w:r w:rsidR="00A276D8" w:rsidRPr="00997765">
        <w:rPr>
          <w:rFonts w:ascii="Arial Narrow" w:hAnsi="Arial Narrow"/>
          <w:b/>
          <w:sz w:val="20"/>
          <w:szCs w:val="20"/>
        </w:rPr>
        <w:t>: Preference, satisfaction and usability results for</w:t>
      </w:r>
      <w:r w:rsidR="0048505E" w:rsidRPr="00997765">
        <w:rPr>
          <w:rFonts w:ascii="Arial Narrow" w:hAnsi="Arial Narrow"/>
          <w:b/>
          <w:sz w:val="20"/>
          <w:szCs w:val="20"/>
        </w:rPr>
        <w:t xml:space="preserve"> pre-filled syringes (</w:t>
      </w:r>
      <w:proofErr w:type="spellStart"/>
      <w:r w:rsidR="00A276D8" w:rsidRPr="00997765">
        <w:rPr>
          <w:rFonts w:ascii="Arial Narrow" w:hAnsi="Arial Narrow"/>
          <w:b/>
          <w:sz w:val="20"/>
          <w:szCs w:val="20"/>
        </w:rPr>
        <w:t>Striesow</w:t>
      </w:r>
      <w:proofErr w:type="spellEnd"/>
      <w:r w:rsidR="0048505E" w:rsidRPr="00997765">
        <w:rPr>
          <w:rFonts w:ascii="Arial Narrow" w:hAnsi="Arial Narrow"/>
          <w:b/>
          <w:sz w:val="20"/>
          <w:szCs w:val="20"/>
        </w:rPr>
        <w:t xml:space="preserve"> &amp; Brandt 2012)</w:t>
      </w:r>
    </w:p>
    <w:tbl>
      <w:tblPr>
        <w:tblStyle w:val="TableGrid"/>
        <w:tblW w:w="0" w:type="auto"/>
        <w:tblInd w:w="817" w:type="dxa"/>
        <w:tblLook w:val="04A0" w:firstRow="1" w:lastRow="0" w:firstColumn="1" w:lastColumn="0" w:noHBand="0" w:noVBand="1"/>
        <w:tblCaption w:val="Table 5: Preference, satisfaction and usability results for pre-filled syringes (Striesow &amp; Brandt 2012)"/>
      </w:tblPr>
      <w:tblGrid>
        <w:gridCol w:w="5557"/>
        <w:gridCol w:w="1276"/>
        <w:gridCol w:w="1530"/>
      </w:tblGrid>
      <w:tr w:rsidR="00A276D8" w:rsidRPr="00997765" w:rsidTr="00805FAD">
        <w:trPr>
          <w:tblHeader/>
        </w:trPr>
        <w:tc>
          <w:tcPr>
            <w:tcW w:w="5557" w:type="dxa"/>
            <w:vAlign w:val="center"/>
          </w:tcPr>
          <w:p w:rsidR="00A276D8" w:rsidRPr="00997765" w:rsidRDefault="00A276D8" w:rsidP="0048505E">
            <w:pPr>
              <w:pStyle w:val="ListParagraph"/>
              <w:ind w:left="0"/>
              <w:rPr>
                <w:rFonts w:ascii="Arial Narrow" w:hAnsi="Arial Narrow"/>
                <w:b/>
                <w:sz w:val="20"/>
                <w:szCs w:val="22"/>
              </w:rPr>
            </w:pPr>
            <w:r w:rsidRPr="00997765">
              <w:rPr>
                <w:rFonts w:ascii="Arial Narrow" w:hAnsi="Arial Narrow"/>
                <w:b/>
                <w:sz w:val="20"/>
                <w:szCs w:val="22"/>
              </w:rPr>
              <w:t>Subjective assessment</w:t>
            </w:r>
          </w:p>
        </w:tc>
        <w:tc>
          <w:tcPr>
            <w:tcW w:w="1276" w:type="dxa"/>
            <w:vAlign w:val="center"/>
          </w:tcPr>
          <w:p w:rsidR="00A276D8" w:rsidRPr="00997765" w:rsidRDefault="00A276D8" w:rsidP="0048505E">
            <w:pPr>
              <w:pStyle w:val="ListParagraph"/>
              <w:ind w:left="0"/>
              <w:jc w:val="center"/>
              <w:rPr>
                <w:rFonts w:ascii="Arial Narrow" w:hAnsi="Arial Narrow"/>
                <w:b/>
                <w:sz w:val="20"/>
                <w:szCs w:val="22"/>
              </w:rPr>
            </w:pPr>
            <w:r w:rsidRPr="00997765">
              <w:rPr>
                <w:rFonts w:ascii="Arial Narrow" w:hAnsi="Arial Narrow"/>
                <w:b/>
                <w:sz w:val="20"/>
                <w:szCs w:val="22"/>
              </w:rPr>
              <w:t>Patients</w:t>
            </w:r>
          </w:p>
        </w:tc>
        <w:tc>
          <w:tcPr>
            <w:tcW w:w="1530" w:type="dxa"/>
          </w:tcPr>
          <w:p w:rsidR="00A276D8" w:rsidRPr="00997765" w:rsidRDefault="00A276D8" w:rsidP="003E471A">
            <w:pPr>
              <w:pStyle w:val="ListParagraph"/>
              <w:ind w:left="0"/>
              <w:jc w:val="center"/>
              <w:rPr>
                <w:rFonts w:ascii="Arial Narrow" w:hAnsi="Arial Narrow"/>
                <w:b/>
                <w:sz w:val="20"/>
                <w:szCs w:val="22"/>
              </w:rPr>
            </w:pPr>
            <w:r w:rsidRPr="00997765">
              <w:rPr>
                <w:rFonts w:ascii="Arial Narrow" w:hAnsi="Arial Narrow"/>
                <w:b/>
                <w:sz w:val="20"/>
                <w:szCs w:val="22"/>
              </w:rPr>
              <w:t>Physicians/</w:t>
            </w:r>
          </w:p>
          <w:p w:rsidR="00A276D8" w:rsidRPr="00997765" w:rsidRDefault="00A276D8" w:rsidP="003E471A">
            <w:pPr>
              <w:pStyle w:val="ListParagraph"/>
              <w:ind w:left="0"/>
              <w:jc w:val="center"/>
              <w:rPr>
                <w:rFonts w:ascii="Arial Narrow" w:hAnsi="Arial Narrow"/>
                <w:b/>
                <w:sz w:val="20"/>
                <w:szCs w:val="22"/>
              </w:rPr>
            </w:pPr>
            <w:r w:rsidRPr="00997765">
              <w:rPr>
                <w:rFonts w:ascii="Arial Narrow" w:hAnsi="Arial Narrow"/>
                <w:b/>
                <w:sz w:val="20"/>
                <w:szCs w:val="22"/>
              </w:rPr>
              <w:t>Study nurses</w:t>
            </w:r>
          </w:p>
        </w:tc>
      </w:tr>
      <w:tr w:rsidR="00A276D8" w:rsidRPr="00997765" w:rsidTr="0048505E">
        <w:tc>
          <w:tcPr>
            <w:tcW w:w="5557" w:type="dxa"/>
          </w:tcPr>
          <w:p w:rsidR="00A276D8" w:rsidRPr="00997765" w:rsidRDefault="00126CC6" w:rsidP="003E471A">
            <w:pPr>
              <w:pStyle w:val="ListParagraph"/>
              <w:ind w:left="0"/>
              <w:jc w:val="both"/>
              <w:rPr>
                <w:rFonts w:ascii="Arial Narrow" w:hAnsi="Arial Narrow"/>
                <w:sz w:val="20"/>
                <w:szCs w:val="22"/>
              </w:rPr>
            </w:pPr>
            <w:r w:rsidRPr="00997765">
              <w:rPr>
                <w:rFonts w:ascii="Arial Narrow" w:hAnsi="Arial Narrow"/>
                <w:sz w:val="20"/>
                <w:szCs w:val="22"/>
              </w:rPr>
              <w:t>Overall assessment ‘v</w:t>
            </w:r>
            <w:r w:rsidR="00A276D8" w:rsidRPr="00997765">
              <w:rPr>
                <w:rFonts w:ascii="Arial Narrow" w:hAnsi="Arial Narrow"/>
                <w:sz w:val="20"/>
                <w:szCs w:val="22"/>
              </w:rPr>
              <w:t>ery good’ and ‘good’, %</w:t>
            </w:r>
          </w:p>
        </w:tc>
        <w:tc>
          <w:tcPr>
            <w:tcW w:w="1276"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87.6</w:t>
            </w:r>
          </w:p>
        </w:tc>
        <w:tc>
          <w:tcPr>
            <w:tcW w:w="1530"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92.8</w:t>
            </w:r>
          </w:p>
        </w:tc>
      </w:tr>
      <w:tr w:rsidR="00A276D8" w:rsidRPr="00997765" w:rsidTr="0048505E">
        <w:tc>
          <w:tcPr>
            <w:tcW w:w="5557" w:type="dxa"/>
          </w:tcPr>
          <w:p w:rsidR="00A276D8" w:rsidRPr="00997765" w:rsidRDefault="00A276D8" w:rsidP="003E471A">
            <w:pPr>
              <w:pStyle w:val="ListParagraph"/>
              <w:ind w:left="0"/>
              <w:jc w:val="both"/>
              <w:rPr>
                <w:rFonts w:ascii="Arial Narrow" w:hAnsi="Arial Narrow"/>
                <w:sz w:val="20"/>
                <w:szCs w:val="22"/>
              </w:rPr>
            </w:pPr>
            <w:r w:rsidRPr="00997765">
              <w:rPr>
                <w:rFonts w:ascii="Arial Narrow" w:hAnsi="Arial Narrow"/>
                <w:sz w:val="20"/>
                <w:szCs w:val="22"/>
              </w:rPr>
              <w:t>Availability and usability</w:t>
            </w:r>
            <w:r w:rsidR="00126CC6" w:rsidRPr="00997765">
              <w:rPr>
                <w:rFonts w:ascii="Arial Narrow" w:hAnsi="Arial Narrow"/>
                <w:sz w:val="20"/>
                <w:szCs w:val="22"/>
              </w:rPr>
              <w:t xml:space="preserve"> of pre-attached needle ‘a</w:t>
            </w:r>
            <w:r w:rsidRPr="00997765">
              <w:rPr>
                <w:rFonts w:ascii="Arial Narrow" w:hAnsi="Arial Narrow"/>
                <w:sz w:val="20"/>
                <w:szCs w:val="22"/>
              </w:rPr>
              <w:t xml:space="preserve">dvantageous’ and ‘very </w:t>
            </w:r>
            <w:r w:rsidRPr="00997765">
              <w:rPr>
                <w:rFonts w:ascii="Arial Narrow" w:hAnsi="Arial Narrow"/>
                <w:sz w:val="20"/>
                <w:szCs w:val="22"/>
              </w:rPr>
              <w:lastRenderedPageBreak/>
              <w:t>advantageous’, % (Subgroup with previous experience of MTX 1</w:t>
            </w:r>
            <w:r w:rsidR="004D6A66" w:rsidRPr="00997765">
              <w:rPr>
                <w:rFonts w:ascii="Arial Narrow" w:hAnsi="Arial Narrow"/>
                <w:sz w:val="20"/>
                <w:szCs w:val="22"/>
              </w:rPr>
              <w:t>0 mg</w:t>
            </w:r>
            <w:r w:rsidRPr="00997765">
              <w:rPr>
                <w:rFonts w:ascii="Arial Narrow" w:hAnsi="Arial Narrow"/>
                <w:sz w:val="20"/>
                <w:szCs w:val="22"/>
              </w:rPr>
              <w:t>/mL; N=109)</w:t>
            </w:r>
          </w:p>
        </w:tc>
        <w:tc>
          <w:tcPr>
            <w:tcW w:w="1276"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lastRenderedPageBreak/>
              <w:t>91.8</w:t>
            </w:r>
          </w:p>
        </w:tc>
        <w:tc>
          <w:tcPr>
            <w:tcW w:w="1530"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88.8</w:t>
            </w:r>
          </w:p>
        </w:tc>
      </w:tr>
      <w:tr w:rsidR="00A276D8" w:rsidRPr="00997765" w:rsidTr="0048505E">
        <w:tc>
          <w:tcPr>
            <w:tcW w:w="5557" w:type="dxa"/>
          </w:tcPr>
          <w:p w:rsidR="00A276D8" w:rsidRPr="00997765" w:rsidRDefault="00A276D8" w:rsidP="003E471A">
            <w:pPr>
              <w:pStyle w:val="ListParagraph"/>
              <w:ind w:left="0"/>
              <w:jc w:val="both"/>
              <w:rPr>
                <w:rFonts w:ascii="Arial Narrow" w:hAnsi="Arial Narrow"/>
                <w:sz w:val="20"/>
                <w:szCs w:val="22"/>
              </w:rPr>
            </w:pPr>
            <w:r w:rsidRPr="00997765">
              <w:rPr>
                <w:rFonts w:ascii="Arial Narrow" w:hAnsi="Arial Narrow"/>
                <w:sz w:val="20"/>
                <w:szCs w:val="22"/>
              </w:rPr>
              <w:lastRenderedPageBreak/>
              <w:t>Preference for MTX 5</w:t>
            </w:r>
            <w:r w:rsidR="004D6A66" w:rsidRPr="00997765">
              <w:rPr>
                <w:rFonts w:ascii="Arial Narrow" w:hAnsi="Arial Narrow"/>
                <w:sz w:val="20"/>
                <w:szCs w:val="22"/>
              </w:rPr>
              <w:t>0 mg</w:t>
            </w:r>
            <w:r w:rsidRPr="00997765">
              <w:rPr>
                <w:rFonts w:ascii="Arial Narrow" w:hAnsi="Arial Narrow"/>
                <w:sz w:val="20"/>
                <w:szCs w:val="22"/>
              </w:rPr>
              <w:t>/mL formulation in future, %</w:t>
            </w:r>
          </w:p>
          <w:p w:rsidR="00A276D8" w:rsidRPr="00997765" w:rsidRDefault="00A276D8" w:rsidP="003E471A">
            <w:pPr>
              <w:pStyle w:val="ListParagraph"/>
              <w:ind w:left="0"/>
              <w:jc w:val="both"/>
              <w:rPr>
                <w:rFonts w:ascii="Arial Narrow" w:hAnsi="Arial Narrow"/>
                <w:sz w:val="20"/>
                <w:szCs w:val="22"/>
              </w:rPr>
            </w:pPr>
            <w:r w:rsidRPr="00997765">
              <w:rPr>
                <w:rFonts w:ascii="Arial Narrow" w:hAnsi="Arial Narrow"/>
                <w:sz w:val="20"/>
                <w:szCs w:val="22"/>
              </w:rPr>
              <w:t>(Subgroup with previous experience of MTX 1</w:t>
            </w:r>
            <w:r w:rsidR="004D6A66" w:rsidRPr="00997765">
              <w:rPr>
                <w:rFonts w:ascii="Arial Narrow" w:hAnsi="Arial Narrow"/>
                <w:sz w:val="20"/>
                <w:szCs w:val="22"/>
              </w:rPr>
              <w:t>0 mg</w:t>
            </w:r>
            <w:r w:rsidRPr="00997765">
              <w:rPr>
                <w:rFonts w:ascii="Arial Narrow" w:hAnsi="Arial Narrow"/>
                <w:sz w:val="20"/>
                <w:szCs w:val="22"/>
              </w:rPr>
              <w:t>/mL; N=109)</w:t>
            </w:r>
          </w:p>
        </w:tc>
        <w:tc>
          <w:tcPr>
            <w:tcW w:w="1276"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94.5</w:t>
            </w:r>
          </w:p>
        </w:tc>
        <w:tc>
          <w:tcPr>
            <w:tcW w:w="1530" w:type="dxa"/>
            <w:vAlign w:val="center"/>
          </w:tcPr>
          <w:p w:rsidR="00A276D8" w:rsidRPr="00997765" w:rsidRDefault="0048505E" w:rsidP="0048505E">
            <w:pPr>
              <w:pStyle w:val="ListParagraph"/>
              <w:ind w:left="0"/>
              <w:jc w:val="center"/>
              <w:rPr>
                <w:rFonts w:ascii="Arial Narrow" w:hAnsi="Arial Narrow"/>
                <w:sz w:val="20"/>
                <w:szCs w:val="22"/>
              </w:rPr>
            </w:pPr>
            <w:r w:rsidRPr="00997765">
              <w:rPr>
                <w:rFonts w:ascii="Arial Narrow" w:hAnsi="Arial Narrow"/>
                <w:sz w:val="20"/>
                <w:szCs w:val="22"/>
              </w:rPr>
              <w:t>-</w:t>
            </w:r>
          </w:p>
        </w:tc>
      </w:tr>
      <w:tr w:rsidR="00A276D8" w:rsidRPr="00997765" w:rsidTr="0048505E">
        <w:tc>
          <w:tcPr>
            <w:tcW w:w="5557" w:type="dxa"/>
          </w:tcPr>
          <w:p w:rsidR="00A276D8" w:rsidRPr="00997765" w:rsidRDefault="00A276D8" w:rsidP="00FF0C06">
            <w:pPr>
              <w:pStyle w:val="ListParagraph"/>
              <w:ind w:left="0"/>
              <w:jc w:val="both"/>
              <w:rPr>
                <w:rFonts w:ascii="Arial Narrow" w:hAnsi="Arial Narrow"/>
                <w:sz w:val="20"/>
                <w:szCs w:val="22"/>
              </w:rPr>
            </w:pPr>
            <w:r w:rsidRPr="00997765">
              <w:rPr>
                <w:rFonts w:ascii="Arial Narrow" w:hAnsi="Arial Narrow"/>
                <w:sz w:val="20"/>
                <w:szCs w:val="22"/>
              </w:rPr>
              <w:t>Tolerable/comfortable injection, %</w:t>
            </w:r>
          </w:p>
        </w:tc>
        <w:tc>
          <w:tcPr>
            <w:tcW w:w="1276"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96.0</w:t>
            </w:r>
          </w:p>
        </w:tc>
        <w:tc>
          <w:tcPr>
            <w:tcW w:w="1530" w:type="dxa"/>
            <w:vAlign w:val="center"/>
          </w:tcPr>
          <w:p w:rsidR="00A276D8" w:rsidRPr="00997765" w:rsidRDefault="0048505E" w:rsidP="0048505E">
            <w:pPr>
              <w:pStyle w:val="ListParagraph"/>
              <w:ind w:left="0"/>
              <w:jc w:val="center"/>
              <w:rPr>
                <w:rFonts w:ascii="Arial Narrow" w:hAnsi="Arial Narrow"/>
                <w:sz w:val="20"/>
                <w:szCs w:val="22"/>
              </w:rPr>
            </w:pPr>
            <w:r w:rsidRPr="00997765">
              <w:rPr>
                <w:rFonts w:ascii="Arial Narrow" w:hAnsi="Arial Narrow"/>
                <w:sz w:val="20"/>
                <w:szCs w:val="22"/>
              </w:rPr>
              <w:t>-</w:t>
            </w:r>
          </w:p>
        </w:tc>
      </w:tr>
      <w:tr w:rsidR="00A276D8" w:rsidRPr="00997765" w:rsidTr="0048505E">
        <w:tc>
          <w:tcPr>
            <w:tcW w:w="5557" w:type="dxa"/>
          </w:tcPr>
          <w:p w:rsidR="00A276D8" w:rsidRPr="00997765" w:rsidRDefault="00A276D8" w:rsidP="003E471A">
            <w:pPr>
              <w:pStyle w:val="ListParagraph"/>
              <w:ind w:left="0"/>
              <w:jc w:val="both"/>
              <w:rPr>
                <w:rFonts w:ascii="Arial Narrow" w:hAnsi="Arial Narrow"/>
                <w:sz w:val="20"/>
                <w:szCs w:val="22"/>
              </w:rPr>
            </w:pPr>
            <w:r w:rsidRPr="00997765">
              <w:rPr>
                <w:rFonts w:ascii="Arial Narrow" w:hAnsi="Arial Narrow"/>
                <w:sz w:val="20"/>
                <w:szCs w:val="22"/>
              </w:rPr>
              <w:t>Self-administration led to feeling more independent, %</w:t>
            </w:r>
          </w:p>
        </w:tc>
        <w:tc>
          <w:tcPr>
            <w:tcW w:w="1276"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89.1</w:t>
            </w:r>
          </w:p>
        </w:tc>
        <w:tc>
          <w:tcPr>
            <w:tcW w:w="1530" w:type="dxa"/>
            <w:vAlign w:val="center"/>
          </w:tcPr>
          <w:p w:rsidR="00A276D8" w:rsidRPr="00997765" w:rsidRDefault="0048505E" w:rsidP="0048505E">
            <w:pPr>
              <w:pStyle w:val="ListParagraph"/>
              <w:ind w:left="0"/>
              <w:jc w:val="center"/>
              <w:rPr>
                <w:rFonts w:ascii="Arial Narrow" w:hAnsi="Arial Narrow"/>
                <w:sz w:val="20"/>
                <w:szCs w:val="22"/>
              </w:rPr>
            </w:pPr>
            <w:r w:rsidRPr="00997765">
              <w:rPr>
                <w:rFonts w:ascii="Arial Narrow" w:hAnsi="Arial Narrow"/>
                <w:sz w:val="20"/>
                <w:szCs w:val="22"/>
              </w:rPr>
              <w:t>-</w:t>
            </w:r>
          </w:p>
        </w:tc>
      </w:tr>
      <w:tr w:rsidR="00A276D8" w:rsidRPr="00997765" w:rsidTr="0048505E">
        <w:tc>
          <w:tcPr>
            <w:tcW w:w="5557" w:type="dxa"/>
          </w:tcPr>
          <w:p w:rsidR="00A276D8" w:rsidRPr="00997765" w:rsidRDefault="00A276D8" w:rsidP="003E471A">
            <w:pPr>
              <w:pStyle w:val="ListParagraph"/>
              <w:ind w:left="0"/>
              <w:jc w:val="both"/>
              <w:rPr>
                <w:rFonts w:ascii="Arial Narrow" w:hAnsi="Arial Narrow"/>
                <w:sz w:val="20"/>
                <w:szCs w:val="22"/>
              </w:rPr>
            </w:pPr>
            <w:r w:rsidRPr="00997765">
              <w:rPr>
                <w:rFonts w:ascii="Arial Narrow" w:hAnsi="Arial Narrow"/>
                <w:sz w:val="20"/>
                <w:szCs w:val="22"/>
              </w:rPr>
              <w:t>Self-administration improved quality of life, %</w:t>
            </w:r>
          </w:p>
        </w:tc>
        <w:tc>
          <w:tcPr>
            <w:tcW w:w="1276"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83.6</w:t>
            </w:r>
          </w:p>
        </w:tc>
        <w:tc>
          <w:tcPr>
            <w:tcW w:w="1530" w:type="dxa"/>
            <w:vAlign w:val="center"/>
          </w:tcPr>
          <w:p w:rsidR="00A276D8" w:rsidRPr="00997765" w:rsidRDefault="0048505E" w:rsidP="0048505E">
            <w:pPr>
              <w:pStyle w:val="ListParagraph"/>
              <w:ind w:left="0"/>
              <w:jc w:val="center"/>
              <w:rPr>
                <w:rFonts w:ascii="Arial Narrow" w:hAnsi="Arial Narrow"/>
                <w:sz w:val="20"/>
                <w:szCs w:val="22"/>
              </w:rPr>
            </w:pPr>
            <w:r w:rsidRPr="00997765">
              <w:rPr>
                <w:rFonts w:ascii="Arial Narrow" w:hAnsi="Arial Narrow"/>
                <w:sz w:val="20"/>
                <w:szCs w:val="22"/>
              </w:rPr>
              <w:t>-</w:t>
            </w:r>
          </w:p>
        </w:tc>
      </w:tr>
      <w:tr w:rsidR="00A276D8" w:rsidRPr="00997765" w:rsidTr="0048505E">
        <w:tc>
          <w:tcPr>
            <w:tcW w:w="5557" w:type="dxa"/>
          </w:tcPr>
          <w:p w:rsidR="00A276D8" w:rsidRPr="00997765" w:rsidRDefault="00A276D8" w:rsidP="003E471A">
            <w:pPr>
              <w:pStyle w:val="ListParagraph"/>
              <w:ind w:left="0"/>
              <w:jc w:val="both"/>
              <w:rPr>
                <w:rFonts w:ascii="Arial Narrow" w:hAnsi="Arial Narrow"/>
                <w:sz w:val="20"/>
                <w:szCs w:val="22"/>
              </w:rPr>
            </w:pPr>
            <w:r w:rsidRPr="00997765">
              <w:rPr>
                <w:rFonts w:ascii="Arial Narrow" w:hAnsi="Arial Narrow"/>
                <w:sz w:val="20"/>
                <w:szCs w:val="22"/>
              </w:rPr>
              <w:t>Proportion of patients who met physicians’ expectations of benefit of switching to self-administration</w:t>
            </w:r>
          </w:p>
        </w:tc>
        <w:tc>
          <w:tcPr>
            <w:tcW w:w="1276" w:type="dxa"/>
            <w:vAlign w:val="center"/>
          </w:tcPr>
          <w:p w:rsidR="00A276D8" w:rsidRPr="00997765" w:rsidRDefault="0048505E" w:rsidP="0048505E">
            <w:pPr>
              <w:pStyle w:val="ListParagraph"/>
              <w:ind w:left="0"/>
              <w:jc w:val="center"/>
              <w:rPr>
                <w:rFonts w:ascii="Arial Narrow" w:hAnsi="Arial Narrow"/>
                <w:sz w:val="20"/>
                <w:szCs w:val="22"/>
              </w:rPr>
            </w:pPr>
            <w:r w:rsidRPr="00997765">
              <w:rPr>
                <w:rFonts w:ascii="Arial Narrow" w:hAnsi="Arial Narrow"/>
                <w:sz w:val="20"/>
                <w:szCs w:val="22"/>
              </w:rPr>
              <w:t>-</w:t>
            </w:r>
          </w:p>
        </w:tc>
        <w:tc>
          <w:tcPr>
            <w:tcW w:w="1530"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92.8</w:t>
            </w:r>
          </w:p>
        </w:tc>
      </w:tr>
      <w:tr w:rsidR="00A276D8" w:rsidRPr="00997765" w:rsidTr="0048505E">
        <w:tc>
          <w:tcPr>
            <w:tcW w:w="5557" w:type="dxa"/>
          </w:tcPr>
          <w:p w:rsidR="00A276D8" w:rsidRPr="00997765" w:rsidRDefault="00A276D8" w:rsidP="003E471A">
            <w:pPr>
              <w:pStyle w:val="ListParagraph"/>
              <w:ind w:left="0"/>
              <w:jc w:val="both"/>
              <w:rPr>
                <w:rFonts w:ascii="Arial Narrow" w:hAnsi="Arial Narrow"/>
                <w:sz w:val="20"/>
                <w:szCs w:val="22"/>
              </w:rPr>
            </w:pPr>
            <w:r w:rsidRPr="00997765">
              <w:rPr>
                <w:rFonts w:ascii="Arial Narrow" w:hAnsi="Arial Narrow"/>
                <w:sz w:val="20"/>
                <w:szCs w:val="22"/>
              </w:rPr>
              <w:t xml:space="preserve">Proportion of patients considered suitable for SC self-administration </w:t>
            </w:r>
          </w:p>
        </w:tc>
        <w:tc>
          <w:tcPr>
            <w:tcW w:w="1276" w:type="dxa"/>
            <w:vAlign w:val="center"/>
          </w:tcPr>
          <w:p w:rsidR="00A276D8" w:rsidRPr="00997765" w:rsidRDefault="0048505E" w:rsidP="0048505E">
            <w:pPr>
              <w:pStyle w:val="ListParagraph"/>
              <w:ind w:left="0"/>
              <w:jc w:val="center"/>
              <w:rPr>
                <w:rFonts w:ascii="Arial Narrow" w:hAnsi="Arial Narrow"/>
                <w:sz w:val="20"/>
                <w:szCs w:val="22"/>
              </w:rPr>
            </w:pPr>
            <w:r w:rsidRPr="00997765">
              <w:rPr>
                <w:rFonts w:ascii="Arial Narrow" w:hAnsi="Arial Narrow"/>
                <w:sz w:val="20"/>
                <w:szCs w:val="22"/>
              </w:rPr>
              <w:t>-</w:t>
            </w:r>
          </w:p>
        </w:tc>
        <w:tc>
          <w:tcPr>
            <w:tcW w:w="1530" w:type="dxa"/>
            <w:vAlign w:val="center"/>
          </w:tcPr>
          <w:p w:rsidR="00A276D8" w:rsidRPr="00997765" w:rsidRDefault="00A276D8" w:rsidP="0048505E">
            <w:pPr>
              <w:pStyle w:val="ListParagraph"/>
              <w:ind w:left="0"/>
              <w:jc w:val="center"/>
              <w:rPr>
                <w:rFonts w:ascii="Arial Narrow" w:hAnsi="Arial Narrow"/>
                <w:sz w:val="20"/>
                <w:szCs w:val="22"/>
              </w:rPr>
            </w:pPr>
            <w:r w:rsidRPr="00997765">
              <w:rPr>
                <w:rFonts w:ascii="Arial Narrow" w:hAnsi="Arial Narrow"/>
                <w:sz w:val="20"/>
                <w:szCs w:val="22"/>
              </w:rPr>
              <w:t>96.3</w:t>
            </w:r>
          </w:p>
        </w:tc>
      </w:tr>
    </w:tbl>
    <w:p w:rsidR="00A276D8" w:rsidRPr="00997765" w:rsidRDefault="00A276D8" w:rsidP="00A276D8">
      <w:pPr>
        <w:pStyle w:val="ListParagraph"/>
        <w:jc w:val="both"/>
        <w:rPr>
          <w:rFonts w:ascii="Arial Narrow" w:hAnsi="Arial Narrow"/>
          <w:sz w:val="18"/>
          <w:szCs w:val="22"/>
        </w:rPr>
      </w:pPr>
      <w:r w:rsidRPr="00997765">
        <w:rPr>
          <w:rFonts w:ascii="Arial Narrow" w:hAnsi="Arial Narrow"/>
          <w:sz w:val="18"/>
          <w:szCs w:val="22"/>
        </w:rPr>
        <w:t>Source: p</w:t>
      </w:r>
      <w:r w:rsidR="005E2C3A" w:rsidRPr="00997765">
        <w:rPr>
          <w:rFonts w:ascii="Arial Narrow" w:hAnsi="Arial Narrow"/>
          <w:sz w:val="18"/>
          <w:szCs w:val="22"/>
        </w:rPr>
        <w:t xml:space="preserve"> </w:t>
      </w:r>
      <w:r w:rsidRPr="00997765">
        <w:rPr>
          <w:rFonts w:ascii="Arial Narrow" w:hAnsi="Arial Narrow"/>
          <w:sz w:val="18"/>
          <w:szCs w:val="22"/>
        </w:rPr>
        <w:t xml:space="preserve">32 of the submission, </w:t>
      </w:r>
      <w:proofErr w:type="spellStart"/>
      <w:r w:rsidRPr="00997765">
        <w:rPr>
          <w:rFonts w:ascii="Arial Narrow" w:hAnsi="Arial Narrow"/>
          <w:sz w:val="18"/>
          <w:szCs w:val="22"/>
        </w:rPr>
        <w:t>Striesow</w:t>
      </w:r>
      <w:proofErr w:type="spellEnd"/>
      <w:r w:rsidR="005E2C3A" w:rsidRPr="00997765">
        <w:rPr>
          <w:rFonts w:ascii="Arial Narrow" w:hAnsi="Arial Narrow"/>
          <w:sz w:val="18"/>
          <w:szCs w:val="22"/>
        </w:rPr>
        <w:t xml:space="preserve"> &amp; Brandt</w:t>
      </w:r>
      <w:r w:rsidRPr="00997765">
        <w:rPr>
          <w:rFonts w:ascii="Arial Narrow" w:hAnsi="Arial Narrow"/>
          <w:sz w:val="18"/>
          <w:szCs w:val="22"/>
        </w:rPr>
        <w:t xml:space="preserve"> 2012 publication</w:t>
      </w:r>
    </w:p>
    <w:p w:rsidR="00A276D8" w:rsidRPr="00997765" w:rsidRDefault="00A276D8" w:rsidP="00A276D8">
      <w:pPr>
        <w:pStyle w:val="ListParagraph"/>
        <w:jc w:val="both"/>
        <w:rPr>
          <w:rFonts w:ascii="Arial Narrow" w:hAnsi="Arial Narrow"/>
          <w:sz w:val="18"/>
          <w:szCs w:val="22"/>
        </w:rPr>
      </w:pPr>
      <w:r w:rsidRPr="00997765">
        <w:rPr>
          <w:rFonts w:ascii="Arial Narrow" w:hAnsi="Arial Narrow"/>
          <w:sz w:val="18"/>
          <w:szCs w:val="22"/>
        </w:rPr>
        <w:t>Abbreviations: MTX, methotrexate; SC, subcutaneous</w:t>
      </w:r>
    </w:p>
    <w:p w:rsidR="00A276D8" w:rsidRPr="00997765" w:rsidRDefault="00A276D8" w:rsidP="00A276D8">
      <w:pPr>
        <w:pStyle w:val="ListParagraph"/>
        <w:jc w:val="both"/>
        <w:rPr>
          <w:rFonts w:ascii="Arial" w:hAnsi="Arial"/>
          <w:i/>
          <w:sz w:val="22"/>
          <w:szCs w:val="22"/>
        </w:rPr>
      </w:pPr>
    </w:p>
    <w:p w:rsidR="00EC0B8E" w:rsidRPr="00997765" w:rsidRDefault="005E2C3A" w:rsidP="00B15A6B">
      <w:pPr>
        <w:pStyle w:val="ListParagraph"/>
        <w:numPr>
          <w:ilvl w:val="1"/>
          <w:numId w:val="1"/>
        </w:numPr>
        <w:jc w:val="both"/>
        <w:rPr>
          <w:rFonts w:ascii="Arial" w:hAnsi="Arial"/>
          <w:sz w:val="22"/>
          <w:szCs w:val="22"/>
        </w:rPr>
      </w:pPr>
      <w:r w:rsidRPr="00997765">
        <w:rPr>
          <w:rFonts w:ascii="Arial" w:hAnsi="Arial"/>
          <w:sz w:val="22"/>
          <w:szCs w:val="22"/>
        </w:rPr>
        <w:t>The majority of respondents (both patients and healthcare professionals) reported a favourable perception of methotrexate 5</w:t>
      </w:r>
      <w:r w:rsidR="004D6A66" w:rsidRPr="00997765">
        <w:rPr>
          <w:rFonts w:ascii="Arial" w:hAnsi="Arial"/>
          <w:sz w:val="22"/>
          <w:szCs w:val="22"/>
        </w:rPr>
        <w:t>0 mg</w:t>
      </w:r>
      <w:r w:rsidRPr="00997765">
        <w:rPr>
          <w:rFonts w:ascii="Arial" w:hAnsi="Arial"/>
          <w:sz w:val="22"/>
          <w:szCs w:val="22"/>
        </w:rPr>
        <w:t>/mL pre-filled syringes for self-administration.</w:t>
      </w:r>
      <w:r w:rsidR="00EC0B8E" w:rsidRPr="00997765">
        <w:rPr>
          <w:rFonts w:ascii="Arial" w:hAnsi="Arial"/>
          <w:sz w:val="22"/>
          <w:szCs w:val="22"/>
        </w:rPr>
        <w:t xml:space="preserve"> Based on the study, the submission claimed that 96.3% of patients were considered suitable for subcutaneous self-administration of methotrexate.</w:t>
      </w:r>
    </w:p>
    <w:p w:rsidR="00EC0B8E" w:rsidRPr="00997765" w:rsidRDefault="00EC0B8E" w:rsidP="00A276D8">
      <w:pPr>
        <w:pStyle w:val="ListParagraph"/>
        <w:jc w:val="both"/>
        <w:rPr>
          <w:rFonts w:ascii="Arial" w:hAnsi="Arial"/>
          <w:sz w:val="22"/>
          <w:szCs w:val="22"/>
        </w:rPr>
      </w:pPr>
    </w:p>
    <w:p w:rsidR="0048505E" w:rsidRPr="00997765" w:rsidRDefault="0048505E" w:rsidP="00B15A6B">
      <w:pPr>
        <w:pStyle w:val="ListParagraph"/>
        <w:numPr>
          <w:ilvl w:val="1"/>
          <w:numId w:val="1"/>
        </w:numPr>
        <w:jc w:val="both"/>
        <w:rPr>
          <w:rFonts w:ascii="Arial" w:hAnsi="Arial"/>
          <w:sz w:val="22"/>
          <w:szCs w:val="22"/>
        </w:rPr>
      </w:pPr>
      <w:r w:rsidRPr="00997765">
        <w:rPr>
          <w:rFonts w:ascii="Arial" w:hAnsi="Arial"/>
          <w:sz w:val="22"/>
          <w:szCs w:val="22"/>
        </w:rPr>
        <w:t>The study was conduc</w:t>
      </w:r>
      <w:r w:rsidR="009F1FE7" w:rsidRPr="00997765">
        <w:rPr>
          <w:rFonts w:ascii="Arial" w:hAnsi="Arial"/>
          <w:sz w:val="22"/>
          <w:szCs w:val="22"/>
        </w:rPr>
        <w:t>ted in the German healthcare set</w:t>
      </w:r>
      <w:r w:rsidRPr="00997765">
        <w:rPr>
          <w:rFonts w:ascii="Arial" w:hAnsi="Arial"/>
          <w:sz w:val="22"/>
          <w:szCs w:val="22"/>
        </w:rPr>
        <w:t>ting which may not be applicable to the Aust</w:t>
      </w:r>
      <w:r w:rsidR="009F1FE7" w:rsidRPr="00997765">
        <w:rPr>
          <w:rFonts w:ascii="Arial" w:hAnsi="Arial"/>
          <w:sz w:val="22"/>
          <w:szCs w:val="22"/>
        </w:rPr>
        <w:t>ralian PBS population</w:t>
      </w:r>
      <w:r w:rsidRPr="00997765">
        <w:rPr>
          <w:rFonts w:ascii="Arial" w:hAnsi="Arial"/>
          <w:sz w:val="22"/>
          <w:szCs w:val="22"/>
        </w:rPr>
        <w:t>. In particular, many patients had prior experience with</w:t>
      </w:r>
      <w:r w:rsidR="009F1FE7" w:rsidRPr="00997765">
        <w:rPr>
          <w:rFonts w:ascii="Arial" w:hAnsi="Arial"/>
          <w:sz w:val="22"/>
          <w:szCs w:val="22"/>
        </w:rPr>
        <w:t xml:space="preserve"> using pre-filled</w:t>
      </w:r>
      <w:r w:rsidR="005E2C3A" w:rsidRPr="00997765">
        <w:rPr>
          <w:rFonts w:ascii="Arial" w:hAnsi="Arial"/>
          <w:sz w:val="22"/>
          <w:szCs w:val="22"/>
        </w:rPr>
        <w:t xml:space="preserve"> methotrexate</w:t>
      </w:r>
      <w:r w:rsidR="009F1FE7" w:rsidRPr="00997765">
        <w:rPr>
          <w:rFonts w:ascii="Arial" w:hAnsi="Arial"/>
          <w:sz w:val="22"/>
          <w:szCs w:val="22"/>
        </w:rPr>
        <w:t xml:space="preserve"> injection syringes (1</w:t>
      </w:r>
      <w:r w:rsidR="004D6A66" w:rsidRPr="00997765">
        <w:rPr>
          <w:rFonts w:ascii="Arial" w:hAnsi="Arial"/>
          <w:sz w:val="22"/>
          <w:szCs w:val="22"/>
        </w:rPr>
        <w:t>0 mg</w:t>
      </w:r>
      <w:r w:rsidR="009F1FE7" w:rsidRPr="00997765">
        <w:rPr>
          <w:rFonts w:ascii="Arial" w:hAnsi="Arial"/>
          <w:sz w:val="22"/>
          <w:szCs w:val="22"/>
        </w:rPr>
        <w:t>/m</w:t>
      </w:r>
      <w:r w:rsidR="00805FAD">
        <w:rPr>
          <w:rFonts w:ascii="Arial" w:hAnsi="Arial"/>
          <w:sz w:val="22"/>
          <w:szCs w:val="22"/>
        </w:rPr>
        <w:t>L, not available in Australia).</w:t>
      </w:r>
    </w:p>
    <w:p w:rsidR="0048505E" w:rsidRPr="00997765" w:rsidRDefault="0048505E" w:rsidP="00A276D8">
      <w:pPr>
        <w:pStyle w:val="ListParagraph"/>
        <w:jc w:val="both"/>
        <w:rPr>
          <w:rFonts w:ascii="Arial" w:hAnsi="Arial"/>
          <w:sz w:val="22"/>
          <w:szCs w:val="22"/>
        </w:rPr>
      </w:pPr>
    </w:p>
    <w:p w:rsidR="00D715E3" w:rsidRPr="00997765" w:rsidRDefault="00013D16" w:rsidP="00B15A6B">
      <w:pPr>
        <w:pStyle w:val="ListParagraph"/>
        <w:numPr>
          <w:ilvl w:val="1"/>
          <w:numId w:val="1"/>
        </w:numPr>
        <w:jc w:val="both"/>
        <w:rPr>
          <w:rFonts w:ascii="Arial" w:hAnsi="Arial"/>
          <w:sz w:val="22"/>
          <w:szCs w:val="22"/>
        </w:rPr>
      </w:pPr>
      <w:r w:rsidRPr="00997765">
        <w:rPr>
          <w:rFonts w:ascii="Arial" w:hAnsi="Arial"/>
          <w:sz w:val="22"/>
          <w:szCs w:val="22"/>
        </w:rPr>
        <w:t>Patients enrolled in the study were selected to trial self-administration. The results indicate</w:t>
      </w:r>
      <w:r w:rsidR="006F2236" w:rsidRPr="00997765">
        <w:rPr>
          <w:rFonts w:ascii="Arial" w:hAnsi="Arial"/>
          <w:sz w:val="22"/>
          <w:szCs w:val="22"/>
        </w:rPr>
        <w:t>d</w:t>
      </w:r>
      <w:r w:rsidRPr="00997765">
        <w:rPr>
          <w:rFonts w:ascii="Arial" w:hAnsi="Arial"/>
          <w:sz w:val="22"/>
          <w:szCs w:val="22"/>
        </w:rPr>
        <w:t xml:space="preserve"> that 96.3% of </w:t>
      </w:r>
      <w:r w:rsidR="001775B4" w:rsidRPr="00997765">
        <w:rPr>
          <w:rFonts w:ascii="Arial" w:hAnsi="Arial"/>
          <w:sz w:val="22"/>
          <w:szCs w:val="22"/>
        </w:rPr>
        <w:t xml:space="preserve">these </w:t>
      </w:r>
      <w:r w:rsidRPr="00997765">
        <w:rPr>
          <w:rFonts w:ascii="Arial" w:hAnsi="Arial"/>
          <w:sz w:val="22"/>
          <w:szCs w:val="22"/>
        </w:rPr>
        <w:t>patient</w:t>
      </w:r>
      <w:r w:rsidR="00D715E3" w:rsidRPr="00997765">
        <w:rPr>
          <w:rFonts w:ascii="Arial" w:hAnsi="Arial"/>
          <w:sz w:val="22"/>
          <w:szCs w:val="22"/>
        </w:rPr>
        <w:t>s</w:t>
      </w:r>
      <w:r w:rsidRPr="00997765">
        <w:rPr>
          <w:rFonts w:ascii="Arial" w:hAnsi="Arial"/>
          <w:sz w:val="22"/>
          <w:szCs w:val="22"/>
        </w:rPr>
        <w:t xml:space="preserve"> were capable of self-administration. The study results </w:t>
      </w:r>
      <w:r w:rsidR="006F2236" w:rsidRPr="00EB00F6">
        <w:rPr>
          <w:rFonts w:ascii="Arial" w:hAnsi="Arial"/>
          <w:b/>
          <w:sz w:val="22"/>
          <w:szCs w:val="22"/>
        </w:rPr>
        <w:t>did</w:t>
      </w:r>
      <w:r w:rsidRPr="00EB00F6">
        <w:rPr>
          <w:rFonts w:ascii="Arial" w:hAnsi="Arial"/>
          <w:b/>
          <w:sz w:val="22"/>
          <w:szCs w:val="22"/>
        </w:rPr>
        <w:t xml:space="preserve"> not</w:t>
      </w:r>
      <w:r w:rsidR="001775B4" w:rsidRPr="00997765">
        <w:rPr>
          <w:rFonts w:ascii="Arial" w:hAnsi="Arial"/>
          <w:sz w:val="22"/>
          <w:szCs w:val="22"/>
        </w:rPr>
        <w:t xml:space="preserve"> indicate the</w:t>
      </w:r>
      <w:r w:rsidRPr="00997765">
        <w:rPr>
          <w:rFonts w:ascii="Arial" w:hAnsi="Arial"/>
          <w:sz w:val="22"/>
          <w:szCs w:val="22"/>
        </w:rPr>
        <w:t xml:space="preserve"> proportion of patients using methotrexate </w:t>
      </w:r>
      <w:r w:rsidR="00D715E3" w:rsidRPr="00997765">
        <w:rPr>
          <w:rFonts w:ascii="Arial" w:hAnsi="Arial"/>
          <w:sz w:val="22"/>
          <w:szCs w:val="22"/>
        </w:rPr>
        <w:t>pre-fi</w:t>
      </w:r>
      <w:r w:rsidRPr="00997765">
        <w:rPr>
          <w:rFonts w:ascii="Arial" w:hAnsi="Arial"/>
          <w:sz w:val="22"/>
          <w:szCs w:val="22"/>
        </w:rPr>
        <w:t>l</w:t>
      </w:r>
      <w:r w:rsidR="00D715E3" w:rsidRPr="00997765">
        <w:rPr>
          <w:rFonts w:ascii="Arial" w:hAnsi="Arial"/>
          <w:sz w:val="22"/>
          <w:szCs w:val="22"/>
        </w:rPr>
        <w:t>l</w:t>
      </w:r>
      <w:r w:rsidRPr="00997765">
        <w:rPr>
          <w:rFonts w:ascii="Arial" w:hAnsi="Arial"/>
          <w:sz w:val="22"/>
          <w:szCs w:val="22"/>
        </w:rPr>
        <w:t xml:space="preserve">ed syringes who are likely to </w:t>
      </w:r>
      <w:r w:rsidR="0096287D" w:rsidRPr="00997765">
        <w:rPr>
          <w:rFonts w:ascii="Arial" w:hAnsi="Arial"/>
          <w:sz w:val="22"/>
          <w:szCs w:val="22"/>
        </w:rPr>
        <w:t>self-administer therapy</w:t>
      </w:r>
      <w:r w:rsidRPr="00997765">
        <w:rPr>
          <w:rFonts w:ascii="Arial" w:hAnsi="Arial"/>
          <w:sz w:val="22"/>
          <w:szCs w:val="22"/>
        </w:rPr>
        <w:t>.</w:t>
      </w:r>
      <w:r w:rsidR="00D715E3" w:rsidRPr="00997765">
        <w:rPr>
          <w:rFonts w:ascii="Arial" w:hAnsi="Arial"/>
          <w:sz w:val="22"/>
          <w:szCs w:val="22"/>
        </w:rPr>
        <w:t xml:space="preserve"> In clinical practice, patients may </w:t>
      </w:r>
      <w:r w:rsidR="001775B4" w:rsidRPr="00997765">
        <w:rPr>
          <w:rFonts w:ascii="Arial" w:hAnsi="Arial"/>
          <w:sz w:val="22"/>
          <w:szCs w:val="22"/>
        </w:rPr>
        <w:t xml:space="preserve">be </w:t>
      </w:r>
      <w:r w:rsidR="00D715E3" w:rsidRPr="00997765">
        <w:rPr>
          <w:rFonts w:ascii="Arial" w:hAnsi="Arial"/>
          <w:sz w:val="22"/>
          <w:szCs w:val="22"/>
        </w:rPr>
        <w:t>switch</w:t>
      </w:r>
      <w:r w:rsidR="001775B4" w:rsidRPr="00997765">
        <w:rPr>
          <w:rFonts w:ascii="Arial" w:hAnsi="Arial"/>
          <w:sz w:val="22"/>
          <w:szCs w:val="22"/>
        </w:rPr>
        <w:t>ed to</w:t>
      </w:r>
      <w:r w:rsidR="00D715E3" w:rsidRPr="00997765">
        <w:rPr>
          <w:rFonts w:ascii="Arial" w:hAnsi="Arial"/>
          <w:sz w:val="22"/>
          <w:szCs w:val="22"/>
        </w:rPr>
        <w:t xml:space="preserve"> methotrexate</w:t>
      </w:r>
      <w:r w:rsidR="001775B4" w:rsidRPr="00997765">
        <w:rPr>
          <w:rFonts w:ascii="Arial" w:hAnsi="Arial"/>
          <w:sz w:val="22"/>
          <w:szCs w:val="22"/>
        </w:rPr>
        <w:t xml:space="preserve"> pre-filled syringes</w:t>
      </w:r>
      <w:r w:rsidR="00D715E3" w:rsidRPr="00997765">
        <w:rPr>
          <w:rFonts w:ascii="Arial" w:hAnsi="Arial"/>
          <w:sz w:val="22"/>
          <w:szCs w:val="22"/>
        </w:rPr>
        <w:t xml:space="preserve"> for </w:t>
      </w:r>
      <w:r w:rsidR="001775B4" w:rsidRPr="00997765">
        <w:rPr>
          <w:rFonts w:ascii="Arial" w:hAnsi="Arial"/>
          <w:sz w:val="22"/>
          <w:szCs w:val="22"/>
        </w:rPr>
        <w:t xml:space="preserve">other </w:t>
      </w:r>
      <w:r w:rsidR="00D715E3" w:rsidRPr="00997765">
        <w:rPr>
          <w:rFonts w:ascii="Arial" w:hAnsi="Arial"/>
          <w:sz w:val="22"/>
          <w:szCs w:val="22"/>
        </w:rPr>
        <w:t>reasons</w:t>
      </w:r>
      <w:r w:rsidR="001775B4" w:rsidRPr="00997765">
        <w:rPr>
          <w:rFonts w:ascii="Arial" w:hAnsi="Arial"/>
          <w:sz w:val="22"/>
          <w:szCs w:val="22"/>
        </w:rPr>
        <w:t xml:space="preserve"> (e.g. physician preferen</w:t>
      </w:r>
      <w:r w:rsidR="009F6E37" w:rsidRPr="00997765">
        <w:rPr>
          <w:rFonts w:ascii="Arial" w:hAnsi="Arial"/>
          <w:sz w:val="22"/>
          <w:szCs w:val="22"/>
        </w:rPr>
        <w:t>ce due</w:t>
      </w:r>
      <w:r w:rsidR="001775B4" w:rsidRPr="00997765">
        <w:rPr>
          <w:rFonts w:ascii="Arial" w:hAnsi="Arial"/>
          <w:sz w:val="22"/>
          <w:szCs w:val="22"/>
        </w:rPr>
        <w:t xml:space="preserve"> to ease of use compared to other parenteral formulations)</w:t>
      </w:r>
      <w:r w:rsidR="00D715E3" w:rsidRPr="00997765">
        <w:rPr>
          <w:rFonts w:ascii="Arial" w:hAnsi="Arial"/>
          <w:sz w:val="22"/>
          <w:szCs w:val="22"/>
        </w:rPr>
        <w:t xml:space="preserve">. It is </w:t>
      </w:r>
      <w:r w:rsidR="009F6E37" w:rsidRPr="00997765">
        <w:rPr>
          <w:rFonts w:ascii="Arial" w:hAnsi="Arial"/>
          <w:sz w:val="22"/>
          <w:szCs w:val="22"/>
        </w:rPr>
        <w:t>unclear what proportion of</w:t>
      </w:r>
      <w:r w:rsidR="00D715E3" w:rsidRPr="00997765">
        <w:rPr>
          <w:rFonts w:ascii="Arial" w:hAnsi="Arial"/>
          <w:sz w:val="22"/>
          <w:szCs w:val="22"/>
        </w:rPr>
        <w:t xml:space="preserve"> pati</w:t>
      </w:r>
      <w:r w:rsidR="0083698F" w:rsidRPr="00997765">
        <w:rPr>
          <w:rFonts w:ascii="Arial" w:hAnsi="Arial"/>
          <w:sz w:val="22"/>
          <w:szCs w:val="22"/>
        </w:rPr>
        <w:t>ents would self-administer</w:t>
      </w:r>
      <w:r w:rsidR="00D715E3" w:rsidRPr="00997765">
        <w:rPr>
          <w:rFonts w:ascii="Arial" w:hAnsi="Arial"/>
          <w:sz w:val="22"/>
          <w:szCs w:val="22"/>
        </w:rPr>
        <w:t xml:space="preserve"> methotrexate</w:t>
      </w:r>
      <w:r w:rsidR="009F6E37" w:rsidRPr="00997765">
        <w:rPr>
          <w:rFonts w:ascii="Arial" w:hAnsi="Arial"/>
          <w:sz w:val="22"/>
          <w:szCs w:val="22"/>
        </w:rPr>
        <w:t xml:space="preserve"> in practice</w:t>
      </w:r>
      <w:r w:rsidR="00D715E3" w:rsidRPr="00997765">
        <w:rPr>
          <w:rFonts w:ascii="Arial" w:hAnsi="Arial"/>
          <w:sz w:val="22"/>
          <w:szCs w:val="22"/>
        </w:rPr>
        <w:t xml:space="preserve">. </w:t>
      </w:r>
    </w:p>
    <w:p w:rsidR="00A276D8" w:rsidRPr="00997765" w:rsidRDefault="00A276D8" w:rsidP="00A276D8">
      <w:pPr>
        <w:jc w:val="both"/>
        <w:rPr>
          <w:rFonts w:ascii="Arial" w:hAnsi="Arial"/>
          <w:sz w:val="22"/>
          <w:szCs w:val="22"/>
        </w:rPr>
      </w:pPr>
    </w:p>
    <w:p w:rsidR="00DF26A7" w:rsidRPr="00997765" w:rsidRDefault="001C3A84" w:rsidP="00FC330F">
      <w:pPr>
        <w:pStyle w:val="ListParagraph"/>
        <w:numPr>
          <w:ilvl w:val="1"/>
          <w:numId w:val="1"/>
        </w:numPr>
        <w:jc w:val="both"/>
        <w:rPr>
          <w:rFonts w:ascii="Arial" w:hAnsi="Arial"/>
          <w:sz w:val="22"/>
          <w:szCs w:val="22"/>
        </w:rPr>
      </w:pPr>
      <w:r w:rsidRPr="00997765">
        <w:rPr>
          <w:rFonts w:ascii="Arial" w:hAnsi="Arial"/>
          <w:sz w:val="22"/>
          <w:szCs w:val="22"/>
        </w:rPr>
        <w:t>Table 6</w:t>
      </w:r>
      <w:r w:rsidR="003949A2" w:rsidRPr="00997765">
        <w:rPr>
          <w:rFonts w:ascii="Arial" w:hAnsi="Arial"/>
          <w:sz w:val="22"/>
          <w:szCs w:val="22"/>
        </w:rPr>
        <w:t xml:space="preserve"> provides a brief overview of the other clinical studies identified in the submission</w:t>
      </w:r>
      <w:r w:rsidR="0076625E" w:rsidRPr="00997765">
        <w:rPr>
          <w:rFonts w:ascii="Arial" w:hAnsi="Arial"/>
          <w:sz w:val="22"/>
          <w:szCs w:val="22"/>
        </w:rPr>
        <w:t>.</w:t>
      </w:r>
    </w:p>
    <w:p w:rsidR="003949A2" w:rsidRPr="00997765" w:rsidRDefault="003949A2" w:rsidP="003949A2">
      <w:pPr>
        <w:pStyle w:val="ListParagraph"/>
        <w:jc w:val="both"/>
        <w:rPr>
          <w:rFonts w:ascii="Arial" w:hAnsi="Arial"/>
          <w:sz w:val="22"/>
          <w:szCs w:val="22"/>
        </w:rPr>
      </w:pPr>
    </w:p>
    <w:p w:rsidR="001C4BF2" w:rsidRPr="00997765" w:rsidRDefault="001C3A84" w:rsidP="001C4BF2">
      <w:pPr>
        <w:pStyle w:val="ListParagraph"/>
        <w:ind w:left="709"/>
        <w:jc w:val="both"/>
        <w:rPr>
          <w:rStyle w:val="CommentReference"/>
          <w:rFonts w:ascii="Arial Narrow" w:hAnsi="Arial Narrow"/>
          <w:b/>
          <w:sz w:val="20"/>
        </w:rPr>
      </w:pPr>
      <w:r w:rsidRPr="00997765">
        <w:rPr>
          <w:rStyle w:val="CommentReference"/>
          <w:rFonts w:ascii="Arial Narrow" w:hAnsi="Arial Narrow"/>
          <w:b/>
          <w:sz w:val="20"/>
        </w:rPr>
        <w:t>Table 6</w:t>
      </w:r>
      <w:r w:rsidR="001C4BF2" w:rsidRPr="00997765">
        <w:rPr>
          <w:rStyle w:val="CommentReference"/>
          <w:rFonts w:ascii="Arial Narrow" w:hAnsi="Arial Narrow"/>
          <w:b/>
          <w:sz w:val="20"/>
        </w:rPr>
        <w:t>: Other clinical studies</w:t>
      </w:r>
    </w:p>
    <w:tbl>
      <w:tblPr>
        <w:tblW w:w="83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946"/>
      </w:tblGrid>
      <w:tr w:rsidR="001C4BF2" w:rsidRPr="00997765" w:rsidTr="002419E9">
        <w:trPr>
          <w:cantSplit/>
        </w:trPr>
        <w:tc>
          <w:tcPr>
            <w:tcW w:w="1446" w:type="dxa"/>
          </w:tcPr>
          <w:p w:rsidR="001C4BF2" w:rsidRPr="00997765" w:rsidRDefault="001C4BF2" w:rsidP="002419E9">
            <w:pPr>
              <w:pStyle w:val="NoSpacing"/>
              <w:rPr>
                <w:rFonts w:ascii="Arial Narrow" w:hAnsi="Arial Narrow"/>
                <w:b/>
                <w:sz w:val="20"/>
              </w:rPr>
            </w:pPr>
            <w:r w:rsidRPr="00997765">
              <w:rPr>
                <w:rFonts w:ascii="Arial Narrow" w:hAnsi="Arial Narrow"/>
                <w:b/>
                <w:sz w:val="20"/>
              </w:rPr>
              <w:t>Trial ID</w:t>
            </w:r>
          </w:p>
        </w:tc>
        <w:tc>
          <w:tcPr>
            <w:tcW w:w="6946" w:type="dxa"/>
          </w:tcPr>
          <w:p w:rsidR="001C4BF2" w:rsidRPr="00997765" w:rsidRDefault="001C4BF2" w:rsidP="002419E9">
            <w:pPr>
              <w:keepNext/>
              <w:jc w:val="center"/>
              <w:rPr>
                <w:rFonts w:ascii="Arial Narrow" w:hAnsi="Arial Narrow"/>
                <w:b/>
                <w:sz w:val="20"/>
              </w:rPr>
            </w:pPr>
            <w:r w:rsidRPr="00997765">
              <w:rPr>
                <w:rFonts w:ascii="Arial Narrow" w:hAnsi="Arial Narrow"/>
                <w:b/>
                <w:sz w:val="20"/>
              </w:rPr>
              <w:t>Description</w:t>
            </w:r>
          </w:p>
        </w:tc>
      </w:tr>
      <w:tr w:rsidR="001C4BF2" w:rsidRPr="00997765" w:rsidTr="00B632F1">
        <w:trPr>
          <w:cantSplit/>
        </w:trPr>
        <w:tc>
          <w:tcPr>
            <w:tcW w:w="1446" w:type="dxa"/>
            <w:vAlign w:val="center"/>
          </w:tcPr>
          <w:p w:rsidR="001C4BF2" w:rsidRPr="00997765" w:rsidRDefault="001C4BF2" w:rsidP="00B632F1">
            <w:pPr>
              <w:pStyle w:val="NoSpacing"/>
              <w:jc w:val="left"/>
              <w:rPr>
                <w:rFonts w:ascii="Arial Narrow" w:hAnsi="Arial Narrow"/>
                <w:sz w:val="20"/>
              </w:rPr>
            </w:pPr>
            <w:proofErr w:type="spellStart"/>
            <w:r w:rsidRPr="00997765">
              <w:rPr>
                <w:rFonts w:ascii="Arial Narrow" w:hAnsi="Arial Narrow"/>
                <w:sz w:val="20"/>
              </w:rPr>
              <w:t>Casalan</w:t>
            </w:r>
            <w:proofErr w:type="spellEnd"/>
            <w:r w:rsidRPr="00997765">
              <w:rPr>
                <w:rFonts w:ascii="Arial Narrow" w:hAnsi="Arial Narrow"/>
                <w:sz w:val="20"/>
              </w:rPr>
              <w:t xml:space="preserve"> 2013</w:t>
            </w:r>
          </w:p>
        </w:tc>
        <w:tc>
          <w:tcPr>
            <w:tcW w:w="6946" w:type="dxa"/>
          </w:tcPr>
          <w:p w:rsidR="001C4BF2" w:rsidRPr="00997765" w:rsidRDefault="001C4BF2"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xml:space="preserve">: Multi-centre, cross-sectional, observational study </w:t>
            </w:r>
          </w:p>
          <w:p w:rsidR="001C4BF2" w:rsidRPr="00997765" w:rsidRDefault="001C4BF2"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Patients with rheumatoid arthritis and psoriatic arthritis who attended outpatient wards in hospitals (N=291)</w:t>
            </w:r>
          </w:p>
          <w:p w:rsidR="001C4BF2" w:rsidRPr="00997765" w:rsidRDefault="001C4BF2"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xml:space="preserve">: Single arm observation with patients receiving oral and parenteral methotrexate </w:t>
            </w:r>
          </w:p>
          <w:p w:rsidR="001C4BF2" w:rsidRPr="00997765" w:rsidRDefault="001C4BF2" w:rsidP="002419E9">
            <w:pPr>
              <w:keepNext/>
              <w:rPr>
                <w:rFonts w:ascii="Arial Narrow" w:hAnsi="Arial Narrow"/>
                <w:sz w:val="20"/>
              </w:rPr>
            </w:pPr>
            <w:r w:rsidRPr="00997765">
              <w:rPr>
                <w:rFonts w:ascii="Arial Narrow" w:hAnsi="Arial Narrow"/>
                <w:b/>
                <w:sz w:val="20"/>
              </w:rPr>
              <w:t>Primary outcome</w:t>
            </w:r>
            <w:r w:rsidRPr="00997765">
              <w:rPr>
                <w:rFonts w:ascii="Arial Narrow" w:hAnsi="Arial Narrow"/>
                <w:sz w:val="20"/>
              </w:rPr>
              <w:t xml:space="preserve">: Prevalence of methotrexate intolerance due to gastrointestinal adverse effects </w:t>
            </w:r>
          </w:p>
          <w:p w:rsidR="00B632F1" w:rsidRPr="00997765" w:rsidRDefault="00B632F1" w:rsidP="00A4759D">
            <w:pPr>
              <w:keepNext/>
              <w:rPr>
                <w:rFonts w:ascii="Arial Narrow" w:hAnsi="Arial Narrow"/>
                <w:b/>
                <w:sz w:val="20"/>
              </w:rPr>
            </w:pPr>
            <w:r w:rsidRPr="00997765">
              <w:rPr>
                <w:rFonts w:ascii="Arial Narrow" w:hAnsi="Arial Narrow"/>
                <w:b/>
                <w:sz w:val="20"/>
              </w:rPr>
              <w:t>Key finding</w:t>
            </w:r>
            <w:r w:rsidRPr="00997765">
              <w:rPr>
                <w:rFonts w:ascii="Arial Narrow" w:hAnsi="Arial Narrow"/>
                <w:sz w:val="20"/>
              </w:rPr>
              <w:t xml:space="preserve">: </w:t>
            </w:r>
            <w:r w:rsidR="00A4759D" w:rsidRPr="00997765">
              <w:rPr>
                <w:rFonts w:ascii="Arial Narrow" w:hAnsi="Arial Narrow"/>
                <w:sz w:val="20"/>
              </w:rPr>
              <w:t>Methotrexate intolerance was reported in 11% of patients. Intolerance was higher in patients treated with parenteral methotrexate (20.6%) compared to oral methotrexate (6.2%).</w:t>
            </w:r>
          </w:p>
        </w:tc>
      </w:tr>
      <w:tr w:rsidR="001C4BF2" w:rsidRPr="00997765" w:rsidTr="00B632F1">
        <w:trPr>
          <w:cantSplit/>
        </w:trPr>
        <w:tc>
          <w:tcPr>
            <w:tcW w:w="1446" w:type="dxa"/>
            <w:vAlign w:val="center"/>
          </w:tcPr>
          <w:p w:rsidR="001C4BF2" w:rsidRPr="00997765" w:rsidRDefault="001C4BF2" w:rsidP="00B632F1">
            <w:pPr>
              <w:pStyle w:val="NoSpacing"/>
              <w:jc w:val="left"/>
              <w:rPr>
                <w:rFonts w:ascii="Arial Narrow" w:hAnsi="Arial Narrow"/>
                <w:sz w:val="20"/>
              </w:rPr>
            </w:pPr>
            <w:r w:rsidRPr="00997765">
              <w:rPr>
                <w:rFonts w:ascii="Arial Narrow" w:hAnsi="Arial Narrow"/>
                <w:sz w:val="20"/>
              </w:rPr>
              <w:lastRenderedPageBreak/>
              <w:t>Schiff 2014</w:t>
            </w:r>
          </w:p>
          <w:p w:rsidR="001C4BF2" w:rsidRPr="00997765" w:rsidRDefault="001C4BF2" w:rsidP="00B632F1">
            <w:pPr>
              <w:pStyle w:val="NoSpacing"/>
              <w:jc w:val="left"/>
              <w:rPr>
                <w:rFonts w:ascii="Arial Narrow" w:hAnsi="Arial Narrow"/>
                <w:sz w:val="20"/>
              </w:rPr>
            </w:pPr>
          </w:p>
        </w:tc>
        <w:tc>
          <w:tcPr>
            <w:tcW w:w="6946" w:type="dxa"/>
          </w:tcPr>
          <w:p w:rsidR="001C4BF2" w:rsidRPr="00997765" w:rsidRDefault="001C4BF2"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Phase 2, randomised, multi-centre, open-label, three-way crossover study</w:t>
            </w:r>
          </w:p>
          <w:p w:rsidR="001C4BF2" w:rsidRPr="00997765" w:rsidRDefault="001C4BF2"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Patients with rheumatoid arthritis who have received methotrexate treatment ≥3 months (N=50)</w:t>
            </w:r>
          </w:p>
          <w:p w:rsidR="001C4BF2" w:rsidRPr="00997765" w:rsidRDefault="001C4BF2"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Methotrexate 1</w:t>
            </w:r>
            <w:r w:rsidR="004D6A66" w:rsidRPr="00997765">
              <w:rPr>
                <w:rFonts w:ascii="Arial Narrow" w:hAnsi="Arial Narrow"/>
                <w:sz w:val="20"/>
              </w:rPr>
              <w:t>0 mg</w:t>
            </w:r>
            <w:r w:rsidRPr="00997765">
              <w:rPr>
                <w:rFonts w:ascii="Arial Narrow" w:hAnsi="Arial Narrow"/>
                <w:sz w:val="20"/>
              </w:rPr>
              <w:t>, 1</w:t>
            </w:r>
            <w:r w:rsidR="004D6A66" w:rsidRPr="00997765">
              <w:rPr>
                <w:rFonts w:ascii="Arial Narrow" w:hAnsi="Arial Narrow"/>
                <w:sz w:val="20"/>
              </w:rPr>
              <w:t>5 mg</w:t>
            </w:r>
            <w:r w:rsidRPr="00997765">
              <w:rPr>
                <w:rFonts w:ascii="Arial Narrow" w:hAnsi="Arial Narrow"/>
                <w:sz w:val="20"/>
              </w:rPr>
              <w:t>, 2</w:t>
            </w:r>
            <w:r w:rsidR="004D6A66" w:rsidRPr="00997765">
              <w:rPr>
                <w:rFonts w:ascii="Arial Narrow" w:hAnsi="Arial Narrow"/>
                <w:sz w:val="20"/>
              </w:rPr>
              <w:t>0 mg</w:t>
            </w:r>
            <w:r w:rsidRPr="00997765">
              <w:rPr>
                <w:rFonts w:ascii="Arial Narrow" w:hAnsi="Arial Narrow"/>
                <w:sz w:val="20"/>
              </w:rPr>
              <w:t xml:space="preserve"> and 2</w:t>
            </w:r>
            <w:r w:rsidR="004D6A66" w:rsidRPr="00997765">
              <w:rPr>
                <w:rFonts w:ascii="Arial Narrow" w:hAnsi="Arial Narrow"/>
                <w:sz w:val="20"/>
              </w:rPr>
              <w:t>5 mg</w:t>
            </w:r>
            <w:r w:rsidRPr="00997765">
              <w:rPr>
                <w:rFonts w:ascii="Arial Narrow" w:hAnsi="Arial Narrow"/>
                <w:sz w:val="20"/>
              </w:rPr>
              <w:t xml:space="preserve"> weekly in a random sequence of oral, SC into the abdomen and SC into the thigh</w:t>
            </w:r>
          </w:p>
          <w:p w:rsidR="001C4BF2" w:rsidRPr="00997765" w:rsidRDefault="001C4BF2" w:rsidP="002419E9">
            <w:pPr>
              <w:keepNext/>
              <w:rPr>
                <w:rFonts w:ascii="Arial Narrow" w:hAnsi="Arial Narrow"/>
                <w:sz w:val="20"/>
              </w:rPr>
            </w:pPr>
            <w:r w:rsidRPr="00997765">
              <w:rPr>
                <w:rFonts w:ascii="Arial Narrow" w:hAnsi="Arial Narrow"/>
                <w:b/>
                <w:sz w:val="20"/>
              </w:rPr>
              <w:t>Primary outcome</w:t>
            </w:r>
            <w:r w:rsidRPr="00997765">
              <w:rPr>
                <w:rFonts w:ascii="Arial Narrow" w:hAnsi="Arial Narrow"/>
                <w:sz w:val="20"/>
              </w:rPr>
              <w:t>: Pharmacokinetic parameters for methotrexate via oral, SC into the abdomen and SC into the thigh routes of administration</w:t>
            </w:r>
          </w:p>
          <w:p w:rsidR="00554B53" w:rsidRPr="00997765" w:rsidRDefault="00554B53" w:rsidP="0015556D">
            <w:pPr>
              <w:keepNext/>
              <w:rPr>
                <w:rFonts w:ascii="Arial Narrow" w:hAnsi="Arial Narrow"/>
                <w:sz w:val="20"/>
              </w:rPr>
            </w:pPr>
            <w:r w:rsidRPr="00997765">
              <w:rPr>
                <w:rFonts w:ascii="Arial Narrow" w:hAnsi="Arial Narrow"/>
                <w:b/>
                <w:sz w:val="20"/>
              </w:rPr>
              <w:t>Key finding</w:t>
            </w:r>
            <w:r w:rsidRPr="00997765">
              <w:rPr>
                <w:rFonts w:ascii="Arial Narrow" w:hAnsi="Arial Narrow"/>
                <w:sz w:val="20"/>
              </w:rPr>
              <w:t xml:space="preserve">: </w:t>
            </w:r>
            <w:r w:rsidR="0015556D" w:rsidRPr="00997765">
              <w:rPr>
                <w:rFonts w:ascii="Arial Narrow" w:hAnsi="Arial Narrow"/>
                <w:sz w:val="20"/>
              </w:rPr>
              <w:t xml:space="preserve">Systemic exposure of oral methotrexate plateaued at doses ≥15 mg/week. In contrast, </w:t>
            </w:r>
            <w:r w:rsidR="00126CC6" w:rsidRPr="00997765">
              <w:rPr>
                <w:rFonts w:ascii="Arial Narrow" w:hAnsi="Arial Narrow"/>
                <w:sz w:val="20"/>
              </w:rPr>
              <w:t>SC</w:t>
            </w:r>
            <w:r w:rsidR="0015556D" w:rsidRPr="00997765">
              <w:rPr>
                <w:rFonts w:ascii="Arial Narrow" w:hAnsi="Arial Narrow"/>
                <w:sz w:val="20"/>
              </w:rPr>
              <w:t xml:space="preserve"> methotrexate demonstrated a linear increase in systemic exposure that was greater than oral methotrexate at each dose. No unexpected adverse events were noted for either formulation.</w:t>
            </w:r>
          </w:p>
        </w:tc>
      </w:tr>
      <w:tr w:rsidR="001C4BF2" w:rsidRPr="00997765" w:rsidTr="00B632F1">
        <w:trPr>
          <w:cantSplit/>
        </w:trPr>
        <w:tc>
          <w:tcPr>
            <w:tcW w:w="1446" w:type="dxa"/>
            <w:vAlign w:val="center"/>
          </w:tcPr>
          <w:p w:rsidR="001C4BF2" w:rsidRPr="00997765" w:rsidRDefault="001C4BF2" w:rsidP="00B632F1">
            <w:pPr>
              <w:pStyle w:val="NoSpacing"/>
              <w:jc w:val="left"/>
              <w:rPr>
                <w:rFonts w:ascii="Arial Narrow" w:hAnsi="Arial Narrow"/>
                <w:sz w:val="20"/>
              </w:rPr>
            </w:pPr>
            <w:r w:rsidRPr="00997765">
              <w:rPr>
                <w:rFonts w:ascii="Arial Narrow" w:hAnsi="Arial Narrow"/>
                <w:sz w:val="20"/>
              </w:rPr>
              <w:t>Scott 2014</w:t>
            </w:r>
          </w:p>
          <w:p w:rsidR="001C4BF2" w:rsidRPr="00997765" w:rsidRDefault="001C4BF2" w:rsidP="00B632F1">
            <w:pPr>
              <w:pStyle w:val="NoSpacing"/>
              <w:jc w:val="left"/>
              <w:rPr>
                <w:rFonts w:ascii="Arial Narrow" w:hAnsi="Arial Narrow"/>
                <w:sz w:val="20"/>
              </w:rPr>
            </w:pPr>
          </w:p>
        </w:tc>
        <w:tc>
          <w:tcPr>
            <w:tcW w:w="6946" w:type="dxa"/>
          </w:tcPr>
          <w:p w:rsidR="001C4BF2" w:rsidRPr="00997765" w:rsidRDefault="001C4BF2"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xml:space="preserve">: Retrospective observational study </w:t>
            </w:r>
          </w:p>
          <w:p w:rsidR="001C4BF2" w:rsidRPr="00997765" w:rsidRDefault="001C4BF2"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Patients with rheumatoid arthritis who were prescribed SC methotrexate following oral methotrexate (N=196)</w:t>
            </w:r>
          </w:p>
          <w:p w:rsidR="001C4BF2" w:rsidRPr="00997765" w:rsidRDefault="001C4BF2"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xml:space="preserve">: Single arm observation of patients receiving SC methotrexate after treatment failure (due to efficacy or adverse events) with oral methotrexate </w:t>
            </w:r>
          </w:p>
          <w:p w:rsidR="001C4BF2" w:rsidRPr="00997765" w:rsidRDefault="001C4BF2" w:rsidP="002419E9">
            <w:pPr>
              <w:keepNext/>
              <w:rPr>
                <w:rFonts w:ascii="Arial Narrow" w:hAnsi="Arial Narrow"/>
                <w:sz w:val="20"/>
              </w:rPr>
            </w:pPr>
            <w:r w:rsidRPr="00997765">
              <w:rPr>
                <w:rFonts w:ascii="Arial Narrow" w:hAnsi="Arial Narrow"/>
                <w:b/>
                <w:sz w:val="20"/>
              </w:rPr>
              <w:t>Primary outcome</w:t>
            </w:r>
            <w:r w:rsidRPr="00997765">
              <w:rPr>
                <w:rFonts w:ascii="Arial Narrow" w:hAnsi="Arial Narrow"/>
                <w:sz w:val="20"/>
              </w:rPr>
              <w:t>: Continuation rates after 1 year of SC methotrexate therapy, tolerance and reasons for treatment failure, the number of patients on biologics at initiation of SC methotrexate and the number prescribed biologics at initiation of SC methotrexate</w:t>
            </w:r>
          </w:p>
          <w:p w:rsidR="00305608" w:rsidRPr="00997765" w:rsidRDefault="00305608" w:rsidP="0080769F">
            <w:pPr>
              <w:keepNext/>
              <w:rPr>
                <w:rFonts w:ascii="Arial Narrow" w:hAnsi="Arial Narrow"/>
                <w:sz w:val="20"/>
              </w:rPr>
            </w:pPr>
            <w:r w:rsidRPr="00997765">
              <w:rPr>
                <w:rFonts w:ascii="Arial Narrow" w:hAnsi="Arial Narrow"/>
                <w:b/>
                <w:sz w:val="20"/>
              </w:rPr>
              <w:t>Key finding</w:t>
            </w:r>
            <w:r w:rsidRPr="00997765">
              <w:rPr>
                <w:rFonts w:ascii="Arial Narrow" w:hAnsi="Arial Narrow"/>
                <w:sz w:val="20"/>
              </w:rPr>
              <w:t xml:space="preserve">: Patients were changed from oral to </w:t>
            </w:r>
            <w:r w:rsidR="00126CC6" w:rsidRPr="00997765">
              <w:rPr>
                <w:rFonts w:ascii="Arial Narrow" w:hAnsi="Arial Narrow"/>
                <w:sz w:val="20"/>
              </w:rPr>
              <w:t>SC</w:t>
            </w:r>
            <w:r w:rsidRPr="00997765">
              <w:rPr>
                <w:rFonts w:ascii="Arial Narrow" w:hAnsi="Arial Narrow"/>
                <w:sz w:val="20"/>
              </w:rPr>
              <w:t xml:space="preserve"> methotrexate because of lack of efficacy (50.5%), adverse events (43.9%), or other/unknown reasons (5.6%). High continuation rates were reported</w:t>
            </w:r>
            <w:r w:rsidR="0080769F" w:rsidRPr="00997765">
              <w:rPr>
                <w:rFonts w:ascii="Arial Narrow" w:hAnsi="Arial Narrow"/>
                <w:sz w:val="20"/>
              </w:rPr>
              <w:t xml:space="preserve"> at 1 year (83.0%), 2 years (75.2%) and 5 years (47.0%)</w:t>
            </w:r>
            <w:r w:rsidRPr="00997765">
              <w:rPr>
                <w:rFonts w:ascii="Arial Narrow" w:hAnsi="Arial Narrow"/>
                <w:sz w:val="20"/>
              </w:rPr>
              <w:t xml:space="preserve">. Less than 10% </w:t>
            </w:r>
            <w:r w:rsidR="00126CC6" w:rsidRPr="00997765">
              <w:rPr>
                <w:rFonts w:ascii="Arial Narrow" w:hAnsi="Arial Narrow"/>
                <w:sz w:val="20"/>
              </w:rPr>
              <w:t xml:space="preserve">of patients </w:t>
            </w:r>
            <w:r w:rsidRPr="00997765">
              <w:rPr>
                <w:rFonts w:ascii="Arial Narrow" w:hAnsi="Arial Narrow"/>
                <w:sz w:val="20"/>
              </w:rPr>
              <w:t xml:space="preserve">using </w:t>
            </w:r>
            <w:r w:rsidR="00126CC6" w:rsidRPr="00997765">
              <w:rPr>
                <w:rFonts w:ascii="Arial Narrow" w:hAnsi="Arial Narrow"/>
                <w:sz w:val="20"/>
              </w:rPr>
              <w:t>SC</w:t>
            </w:r>
            <w:r w:rsidRPr="00997765">
              <w:rPr>
                <w:rFonts w:ascii="Arial Narrow" w:hAnsi="Arial Narrow"/>
                <w:sz w:val="20"/>
              </w:rPr>
              <w:t xml:space="preserve"> methotrexate required the use of an additional biologic due to lack of efficacy</w:t>
            </w:r>
          </w:p>
        </w:tc>
      </w:tr>
      <w:tr w:rsidR="001C4BF2" w:rsidRPr="00997765" w:rsidTr="00B632F1">
        <w:trPr>
          <w:cantSplit/>
        </w:trPr>
        <w:tc>
          <w:tcPr>
            <w:tcW w:w="1446" w:type="dxa"/>
            <w:vAlign w:val="center"/>
          </w:tcPr>
          <w:p w:rsidR="001C4BF2" w:rsidRPr="00997765" w:rsidRDefault="001C4BF2" w:rsidP="00B632F1">
            <w:pPr>
              <w:pStyle w:val="NoSpacing"/>
              <w:jc w:val="left"/>
              <w:rPr>
                <w:rFonts w:ascii="Arial Narrow" w:hAnsi="Arial Narrow"/>
                <w:sz w:val="20"/>
              </w:rPr>
            </w:pPr>
            <w:proofErr w:type="spellStart"/>
            <w:r w:rsidRPr="00997765">
              <w:rPr>
                <w:rFonts w:ascii="Arial Narrow" w:hAnsi="Arial Narrow"/>
                <w:sz w:val="20"/>
              </w:rPr>
              <w:t>Tymms</w:t>
            </w:r>
            <w:proofErr w:type="spellEnd"/>
            <w:r w:rsidRPr="00997765">
              <w:rPr>
                <w:rFonts w:ascii="Arial Narrow" w:hAnsi="Arial Narrow"/>
                <w:sz w:val="20"/>
              </w:rPr>
              <w:t xml:space="preserve"> 2014</w:t>
            </w:r>
          </w:p>
        </w:tc>
        <w:tc>
          <w:tcPr>
            <w:tcW w:w="6946" w:type="dxa"/>
          </w:tcPr>
          <w:p w:rsidR="001C4BF2" w:rsidRPr="00997765" w:rsidRDefault="001C4BF2"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Multi-centre, cross-sectional observational study</w:t>
            </w:r>
          </w:p>
          <w:p w:rsidR="001C4BF2" w:rsidRPr="00997765" w:rsidRDefault="001C4BF2"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Patients with rheumatoid arthritis with moderate to high disease activity with a recorded barrier to disease control (N=714)</w:t>
            </w:r>
            <w:r w:rsidR="007B49E3" w:rsidRPr="00997765">
              <w:rPr>
                <w:rFonts w:ascii="Arial Narrow" w:hAnsi="Arial Narrow"/>
                <w:sz w:val="20"/>
              </w:rPr>
              <w:t xml:space="preserve"> [subset of the OPAL, Optimising Patient outcomes in Australian Rheumatology study]</w:t>
            </w:r>
          </w:p>
          <w:p w:rsidR="001C4BF2" w:rsidRPr="00997765" w:rsidRDefault="001C4BF2"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xml:space="preserve">: Patients with unmodified DMARD therapy vs patients with </w:t>
            </w:r>
            <w:r w:rsidR="00BE0A68" w:rsidRPr="00997765">
              <w:rPr>
                <w:rFonts w:ascii="Arial Narrow" w:hAnsi="Arial Narrow"/>
                <w:sz w:val="20"/>
              </w:rPr>
              <w:t xml:space="preserve">modified DMARD therapy </w:t>
            </w:r>
          </w:p>
          <w:p w:rsidR="001C4BF2" w:rsidRPr="00997765" w:rsidRDefault="001C4BF2" w:rsidP="002419E9">
            <w:pPr>
              <w:keepNext/>
              <w:rPr>
                <w:rFonts w:ascii="Arial Narrow" w:hAnsi="Arial Narrow"/>
                <w:sz w:val="20"/>
              </w:rPr>
            </w:pPr>
            <w:r w:rsidRPr="00997765">
              <w:rPr>
                <w:rFonts w:ascii="Arial Narrow" w:hAnsi="Arial Narrow"/>
                <w:b/>
                <w:sz w:val="20"/>
              </w:rPr>
              <w:t>Primary outcome</w:t>
            </w:r>
            <w:r w:rsidR="00D329D8" w:rsidRPr="00997765">
              <w:rPr>
                <w:rFonts w:ascii="Arial Narrow" w:hAnsi="Arial Narrow"/>
                <w:sz w:val="20"/>
              </w:rPr>
              <w:t>: Identification of</w:t>
            </w:r>
            <w:r w:rsidRPr="00997765">
              <w:rPr>
                <w:rFonts w:ascii="Arial Narrow" w:hAnsi="Arial Narrow"/>
                <w:sz w:val="20"/>
              </w:rPr>
              <w:t xml:space="preserve"> barriers to disease control in patients with rheumatoid arthritis with suboptimal control</w:t>
            </w:r>
          </w:p>
          <w:p w:rsidR="00096EC5" w:rsidRPr="00997765" w:rsidRDefault="00096EC5" w:rsidP="00096EC5">
            <w:pPr>
              <w:keepNext/>
              <w:rPr>
                <w:rFonts w:ascii="Arial Narrow" w:hAnsi="Arial Narrow"/>
                <w:b/>
                <w:sz w:val="20"/>
              </w:rPr>
            </w:pPr>
            <w:r w:rsidRPr="00997765">
              <w:rPr>
                <w:rFonts w:ascii="Arial Narrow" w:hAnsi="Arial Narrow"/>
                <w:b/>
                <w:sz w:val="20"/>
              </w:rPr>
              <w:t>Key finding</w:t>
            </w:r>
            <w:r w:rsidR="00D329D8" w:rsidRPr="00997765">
              <w:rPr>
                <w:rFonts w:ascii="Arial Narrow" w:hAnsi="Arial Narrow"/>
                <w:sz w:val="20"/>
              </w:rPr>
              <w:t>: Barriers to disease control include</w:t>
            </w:r>
            <w:r w:rsidRPr="00997765">
              <w:rPr>
                <w:rFonts w:ascii="Arial Narrow" w:hAnsi="Arial Narrow"/>
                <w:sz w:val="20"/>
              </w:rPr>
              <w:t xml:space="preserve"> irreversible joint damage (19.7%), patient-driven preference (14.7%), non</w:t>
            </w:r>
            <w:r w:rsidR="007D49F5" w:rsidRPr="00997765">
              <w:rPr>
                <w:rFonts w:ascii="Arial Narrow" w:hAnsi="Arial Narrow"/>
                <w:sz w:val="20"/>
              </w:rPr>
              <w:t>-</w:t>
            </w:r>
            <w:r w:rsidRPr="00997765">
              <w:rPr>
                <w:rFonts w:ascii="Arial Narrow" w:hAnsi="Arial Narrow"/>
                <w:sz w:val="20"/>
              </w:rPr>
              <w:t>inflammatory musculoskeletal pain (9.2%)</w:t>
            </w:r>
            <w:proofErr w:type="gramStart"/>
            <w:r w:rsidRPr="00997765">
              <w:rPr>
                <w:rFonts w:ascii="Arial Narrow" w:hAnsi="Arial Narrow"/>
                <w:sz w:val="20"/>
              </w:rPr>
              <w:t>,</w:t>
            </w:r>
            <w:proofErr w:type="gramEnd"/>
            <w:r w:rsidRPr="00997765">
              <w:rPr>
                <w:rFonts w:ascii="Arial Narrow" w:hAnsi="Arial Narrow"/>
                <w:sz w:val="20"/>
              </w:rPr>
              <w:t xml:space="preserve"> insufficient time to assess the effect of recently initiated DMARDs (9.2%), safety concerns (7.5%), comorbidities (6.5%), resistant disease (6.3%), and other less common reasons. </w:t>
            </w:r>
          </w:p>
        </w:tc>
      </w:tr>
      <w:tr w:rsidR="001C4BF2" w:rsidRPr="00997765" w:rsidTr="00B632F1">
        <w:trPr>
          <w:cantSplit/>
          <w:tblHeader/>
        </w:trPr>
        <w:tc>
          <w:tcPr>
            <w:tcW w:w="1446" w:type="dxa"/>
            <w:vAlign w:val="center"/>
          </w:tcPr>
          <w:p w:rsidR="001C4BF2" w:rsidRPr="00997765" w:rsidRDefault="001C4BF2" w:rsidP="00B632F1">
            <w:pPr>
              <w:pStyle w:val="NoSpacing"/>
              <w:jc w:val="left"/>
              <w:rPr>
                <w:rFonts w:ascii="Arial Narrow" w:hAnsi="Arial Narrow"/>
                <w:sz w:val="20"/>
              </w:rPr>
            </w:pPr>
            <w:r w:rsidRPr="00997765">
              <w:rPr>
                <w:rFonts w:ascii="Arial Narrow" w:hAnsi="Arial Narrow"/>
                <w:sz w:val="20"/>
              </w:rPr>
              <w:t>Littlejohn 2013</w:t>
            </w:r>
          </w:p>
        </w:tc>
        <w:tc>
          <w:tcPr>
            <w:tcW w:w="6946" w:type="dxa"/>
          </w:tcPr>
          <w:p w:rsidR="001C4BF2" w:rsidRPr="00997765" w:rsidRDefault="001C4BF2"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Multi-centre, cross-sectional observational study</w:t>
            </w:r>
          </w:p>
          <w:p w:rsidR="001C4BF2" w:rsidRPr="00997765" w:rsidRDefault="001C4BF2"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Patients with rheumatoid arthritis with a recorded visit to a rheumatolo</w:t>
            </w:r>
            <w:r w:rsidR="00D329D8" w:rsidRPr="00997765">
              <w:rPr>
                <w:rFonts w:ascii="Arial Narrow" w:hAnsi="Arial Narrow"/>
                <w:sz w:val="20"/>
              </w:rPr>
              <w:t>gy clinic within 12 months</w:t>
            </w:r>
            <w:r w:rsidRPr="00997765">
              <w:rPr>
                <w:rFonts w:ascii="Arial Narrow" w:hAnsi="Arial Narrow"/>
                <w:sz w:val="20"/>
              </w:rPr>
              <w:t xml:space="preserve"> (N=5685)</w:t>
            </w:r>
            <w:r w:rsidR="00D22820" w:rsidRPr="00997765">
              <w:rPr>
                <w:rFonts w:ascii="Arial Narrow" w:hAnsi="Arial Narrow"/>
                <w:sz w:val="20"/>
              </w:rPr>
              <w:t xml:space="preserve"> [subset of the OPAL, Optimising Patient outcomes in Australian Rheumatology study]</w:t>
            </w:r>
          </w:p>
          <w:p w:rsidR="001C4BF2" w:rsidRPr="00997765" w:rsidRDefault="001C4BF2"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Single arm observation of patients classified as low, moderate and high disease activity</w:t>
            </w:r>
          </w:p>
          <w:p w:rsidR="001C4BF2" w:rsidRPr="00997765" w:rsidRDefault="001C4BF2" w:rsidP="002419E9">
            <w:pPr>
              <w:keepNext/>
              <w:rPr>
                <w:rFonts w:ascii="Arial Narrow" w:hAnsi="Arial Narrow"/>
                <w:sz w:val="20"/>
              </w:rPr>
            </w:pPr>
            <w:r w:rsidRPr="00997765">
              <w:rPr>
                <w:rFonts w:ascii="Arial Narrow" w:hAnsi="Arial Narrow"/>
                <w:b/>
                <w:sz w:val="20"/>
              </w:rPr>
              <w:t>Primary outcome</w:t>
            </w:r>
            <w:r w:rsidRPr="00997765">
              <w:rPr>
                <w:rFonts w:ascii="Arial Narrow" w:hAnsi="Arial Narrow"/>
                <w:sz w:val="20"/>
              </w:rPr>
              <w:t xml:space="preserve">: Proportion of patients with rheumatoid arthritis who have achieved disease remission and </w:t>
            </w:r>
            <w:r w:rsidR="00D329D8" w:rsidRPr="00997765">
              <w:rPr>
                <w:rFonts w:ascii="Arial Narrow" w:hAnsi="Arial Narrow"/>
                <w:sz w:val="20"/>
              </w:rPr>
              <w:t>identification of</w:t>
            </w:r>
            <w:r w:rsidRPr="00997765">
              <w:rPr>
                <w:rFonts w:ascii="Arial Narrow" w:hAnsi="Arial Narrow"/>
                <w:sz w:val="20"/>
              </w:rPr>
              <w:t xml:space="preserve"> the pharmacological interventions used to achieve remission</w:t>
            </w:r>
          </w:p>
          <w:p w:rsidR="00D22820" w:rsidRPr="00997765" w:rsidRDefault="00D22820" w:rsidP="00D22820">
            <w:pPr>
              <w:keepNext/>
              <w:rPr>
                <w:rFonts w:ascii="Arial Narrow" w:hAnsi="Arial Narrow"/>
                <w:sz w:val="20"/>
              </w:rPr>
            </w:pPr>
            <w:r w:rsidRPr="00997765">
              <w:rPr>
                <w:rFonts w:ascii="Arial Narrow" w:hAnsi="Arial Narrow"/>
                <w:b/>
                <w:sz w:val="20"/>
              </w:rPr>
              <w:t>Key finding</w:t>
            </w:r>
            <w:r w:rsidRPr="00997765">
              <w:rPr>
                <w:rFonts w:ascii="Arial Narrow" w:hAnsi="Arial Narrow"/>
                <w:sz w:val="20"/>
              </w:rPr>
              <w:t xml:space="preserve">: The study reported 41.6% of patients in remission, 18.6% with low disease activity, </w:t>
            </w:r>
            <w:proofErr w:type="gramStart"/>
            <w:r w:rsidRPr="00997765">
              <w:rPr>
                <w:rFonts w:ascii="Arial Narrow" w:hAnsi="Arial Narrow"/>
                <w:sz w:val="20"/>
              </w:rPr>
              <w:t>31.6</w:t>
            </w:r>
            <w:proofErr w:type="gramEnd"/>
            <w:r w:rsidRPr="00997765">
              <w:rPr>
                <w:rFonts w:ascii="Arial Narrow" w:hAnsi="Arial Narrow"/>
                <w:sz w:val="20"/>
              </w:rPr>
              <w:t xml:space="preserve">% moderate disease activity and 8.2% high disease activity. </w:t>
            </w:r>
          </w:p>
          <w:p w:rsidR="00D22820" w:rsidRPr="00997765" w:rsidRDefault="00D22820" w:rsidP="00FC330F">
            <w:pPr>
              <w:pStyle w:val="ListParagraph"/>
              <w:keepNext/>
              <w:numPr>
                <w:ilvl w:val="0"/>
                <w:numId w:val="7"/>
              </w:numPr>
              <w:rPr>
                <w:rFonts w:ascii="Arial Narrow" w:hAnsi="Arial Narrow"/>
                <w:sz w:val="20"/>
              </w:rPr>
            </w:pPr>
            <w:r w:rsidRPr="00997765">
              <w:rPr>
                <w:rFonts w:ascii="Arial Narrow" w:hAnsi="Arial Narrow"/>
                <w:sz w:val="20"/>
              </w:rPr>
              <w:t xml:space="preserve">Of those in remission, 17% received a </w:t>
            </w:r>
            <w:proofErr w:type="spellStart"/>
            <w:r w:rsidRPr="00997765">
              <w:rPr>
                <w:rFonts w:ascii="Arial Narrow" w:hAnsi="Arial Narrow"/>
                <w:sz w:val="20"/>
              </w:rPr>
              <w:t>bDMARD</w:t>
            </w:r>
            <w:proofErr w:type="spellEnd"/>
            <w:r w:rsidRPr="00997765">
              <w:rPr>
                <w:rFonts w:ascii="Arial Narrow" w:hAnsi="Arial Narrow"/>
                <w:sz w:val="20"/>
              </w:rPr>
              <w:t xml:space="preserve">, 73% methotrexate, 19% </w:t>
            </w:r>
            <w:proofErr w:type="spellStart"/>
            <w:r w:rsidRPr="00997765">
              <w:rPr>
                <w:rFonts w:ascii="Arial Narrow" w:hAnsi="Arial Narrow"/>
                <w:sz w:val="20"/>
              </w:rPr>
              <w:t>leflunomide</w:t>
            </w:r>
            <w:proofErr w:type="spellEnd"/>
            <w:r w:rsidRPr="00997765">
              <w:rPr>
                <w:rFonts w:ascii="Arial Narrow" w:hAnsi="Arial Narrow"/>
                <w:sz w:val="20"/>
              </w:rPr>
              <w:t xml:space="preserve"> and 28% prednisolone.</w:t>
            </w:r>
          </w:p>
          <w:p w:rsidR="00D22820" w:rsidRPr="00997765" w:rsidRDefault="00D22820" w:rsidP="00FC330F">
            <w:pPr>
              <w:pStyle w:val="ListParagraph"/>
              <w:keepNext/>
              <w:numPr>
                <w:ilvl w:val="0"/>
                <w:numId w:val="7"/>
              </w:numPr>
              <w:rPr>
                <w:rFonts w:ascii="Arial Narrow" w:hAnsi="Arial Narrow"/>
                <w:sz w:val="20"/>
              </w:rPr>
            </w:pPr>
            <w:r w:rsidRPr="00997765">
              <w:rPr>
                <w:rFonts w:ascii="Arial Narrow" w:hAnsi="Arial Narrow"/>
                <w:sz w:val="20"/>
              </w:rPr>
              <w:t xml:space="preserve">Of those with moderate disease activity, 20% received a </w:t>
            </w:r>
            <w:proofErr w:type="spellStart"/>
            <w:r w:rsidRPr="00997765">
              <w:rPr>
                <w:rFonts w:ascii="Arial Narrow" w:hAnsi="Arial Narrow"/>
                <w:sz w:val="20"/>
              </w:rPr>
              <w:t>bDMARD</w:t>
            </w:r>
            <w:proofErr w:type="spellEnd"/>
            <w:r w:rsidRPr="00997765">
              <w:rPr>
                <w:rFonts w:ascii="Arial Narrow" w:hAnsi="Arial Narrow"/>
                <w:sz w:val="20"/>
              </w:rPr>
              <w:t xml:space="preserve">, 76% methotrexate, 24% </w:t>
            </w:r>
            <w:proofErr w:type="spellStart"/>
            <w:r w:rsidRPr="00997765">
              <w:rPr>
                <w:rFonts w:ascii="Arial Narrow" w:hAnsi="Arial Narrow"/>
                <w:sz w:val="20"/>
              </w:rPr>
              <w:t>leflunomide</w:t>
            </w:r>
            <w:proofErr w:type="spellEnd"/>
            <w:r w:rsidRPr="00997765">
              <w:rPr>
                <w:rFonts w:ascii="Arial Narrow" w:hAnsi="Arial Narrow"/>
                <w:sz w:val="20"/>
              </w:rPr>
              <w:t xml:space="preserve"> and 39% prednisolone</w:t>
            </w:r>
          </w:p>
          <w:p w:rsidR="00236DCC" w:rsidRPr="00997765" w:rsidRDefault="00236DCC" w:rsidP="00FC330F">
            <w:pPr>
              <w:pStyle w:val="ListParagraph"/>
              <w:keepNext/>
              <w:numPr>
                <w:ilvl w:val="0"/>
                <w:numId w:val="7"/>
              </w:numPr>
              <w:rPr>
                <w:rFonts w:ascii="Arial Narrow" w:hAnsi="Arial Narrow"/>
                <w:sz w:val="20"/>
              </w:rPr>
            </w:pPr>
            <w:r w:rsidRPr="00997765">
              <w:rPr>
                <w:rFonts w:ascii="Arial Narrow" w:hAnsi="Arial Narrow"/>
                <w:sz w:val="20"/>
              </w:rPr>
              <w:t xml:space="preserve">Of those with high disease activity, 27% received a </w:t>
            </w:r>
            <w:proofErr w:type="spellStart"/>
            <w:r w:rsidRPr="00997765">
              <w:rPr>
                <w:rFonts w:ascii="Arial Narrow" w:hAnsi="Arial Narrow"/>
                <w:sz w:val="20"/>
              </w:rPr>
              <w:t>bDMARD</w:t>
            </w:r>
            <w:proofErr w:type="spellEnd"/>
            <w:r w:rsidRPr="00997765">
              <w:rPr>
                <w:rFonts w:ascii="Arial Narrow" w:hAnsi="Arial Narrow"/>
                <w:sz w:val="20"/>
              </w:rPr>
              <w:t xml:space="preserve">, 78% methotrexate 31% </w:t>
            </w:r>
            <w:proofErr w:type="spellStart"/>
            <w:r w:rsidRPr="00997765">
              <w:rPr>
                <w:rFonts w:ascii="Arial Narrow" w:hAnsi="Arial Narrow"/>
                <w:sz w:val="20"/>
              </w:rPr>
              <w:t>leflunomide</w:t>
            </w:r>
            <w:proofErr w:type="spellEnd"/>
            <w:r w:rsidRPr="00997765">
              <w:rPr>
                <w:rFonts w:ascii="Arial Narrow" w:hAnsi="Arial Narrow"/>
                <w:sz w:val="20"/>
              </w:rPr>
              <w:t xml:space="preserve"> and 60% prednisolone.</w:t>
            </w:r>
          </w:p>
        </w:tc>
      </w:tr>
      <w:tr w:rsidR="001C4BF2" w:rsidRPr="00997765" w:rsidTr="00B632F1">
        <w:trPr>
          <w:cantSplit/>
          <w:tblHeader/>
        </w:trPr>
        <w:tc>
          <w:tcPr>
            <w:tcW w:w="1446" w:type="dxa"/>
            <w:vAlign w:val="center"/>
          </w:tcPr>
          <w:p w:rsidR="001C4BF2" w:rsidRPr="00997765" w:rsidRDefault="001C4BF2" w:rsidP="00B632F1">
            <w:pPr>
              <w:pStyle w:val="NoSpacing"/>
              <w:jc w:val="left"/>
              <w:rPr>
                <w:rFonts w:ascii="Arial Narrow" w:hAnsi="Arial Narrow"/>
                <w:sz w:val="20"/>
              </w:rPr>
            </w:pPr>
            <w:r w:rsidRPr="00997765">
              <w:rPr>
                <w:rFonts w:ascii="Arial Narrow" w:hAnsi="Arial Narrow"/>
                <w:sz w:val="20"/>
              </w:rPr>
              <w:lastRenderedPageBreak/>
              <w:t>Littlejohn 2015</w:t>
            </w:r>
          </w:p>
        </w:tc>
        <w:tc>
          <w:tcPr>
            <w:tcW w:w="6946" w:type="dxa"/>
          </w:tcPr>
          <w:p w:rsidR="001C4BF2" w:rsidRPr="00997765" w:rsidRDefault="001C4BF2"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Multi-centre, cross-sectional, observational study</w:t>
            </w:r>
          </w:p>
          <w:p w:rsidR="001C4BF2" w:rsidRPr="00997765" w:rsidRDefault="001C4BF2"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Patients with rheumatoid arthritis who were receiving treatment at a rheumatology clinic</w:t>
            </w:r>
            <w:r w:rsidR="00725855" w:rsidRPr="00997765">
              <w:rPr>
                <w:rFonts w:ascii="Arial Narrow" w:hAnsi="Arial Narrow"/>
                <w:sz w:val="20"/>
              </w:rPr>
              <w:t xml:space="preserve"> (N=8,998) [subset of the OPAL, Optimising Patient outcomes in Australian Rheumatology study]</w:t>
            </w:r>
          </w:p>
          <w:p w:rsidR="001C4BF2" w:rsidRPr="00997765" w:rsidRDefault="001C4BF2"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Single arm observation of patients in 5-year follow-up</w:t>
            </w:r>
          </w:p>
          <w:p w:rsidR="001C4BF2" w:rsidRPr="00997765" w:rsidRDefault="001C4BF2" w:rsidP="002419E9">
            <w:pPr>
              <w:keepNext/>
              <w:rPr>
                <w:rFonts w:ascii="Arial Narrow" w:hAnsi="Arial Narrow"/>
                <w:sz w:val="20"/>
              </w:rPr>
            </w:pPr>
            <w:r w:rsidRPr="00997765">
              <w:rPr>
                <w:rFonts w:ascii="Arial Narrow" w:hAnsi="Arial Narrow"/>
                <w:b/>
                <w:sz w:val="20"/>
              </w:rPr>
              <w:t>Primary outcome</w:t>
            </w:r>
            <w:r w:rsidRPr="00997765">
              <w:rPr>
                <w:rFonts w:ascii="Arial Narrow" w:hAnsi="Arial Narrow"/>
                <w:sz w:val="20"/>
              </w:rPr>
              <w:t xml:space="preserve">: </w:t>
            </w:r>
            <w:r w:rsidR="00D329D8" w:rsidRPr="00997765">
              <w:rPr>
                <w:rFonts w:ascii="Arial Narrow" w:hAnsi="Arial Narrow"/>
                <w:sz w:val="20"/>
              </w:rPr>
              <w:t>Assessment of</w:t>
            </w:r>
            <w:r w:rsidR="002D4180" w:rsidRPr="00997765">
              <w:rPr>
                <w:rFonts w:ascii="Arial Narrow" w:hAnsi="Arial Narrow"/>
                <w:sz w:val="20"/>
              </w:rPr>
              <w:t xml:space="preserve"> disease activity trends over time</w:t>
            </w:r>
          </w:p>
          <w:p w:rsidR="0063591B" w:rsidRPr="00997765" w:rsidRDefault="00725855" w:rsidP="0063591B">
            <w:pPr>
              <w:keepNext/>
              <w:rPr>
                <w:rFonts w:ascii="Arial Narrow" w:hAnsi="Arial Narrow"/>
                <w:sz w:val="20"/>
              </w:rPr>
            </w:pPr>
            <w:r w:rsidRPr="00997765">
              <w:rPr>
                <w:rFonts w:ascii="Arial Narrow" w:hAnsi="Arial Narrow"/>
                <w:b/>
                <w:sz w:val="20"/>
              </w:rPr>
              <w:t>Key finding</w:t>
            </w:r>
            <w:r w:rsidRPr="00997765">
              <w:rPr>
                <w:rFonts w:ascii="Arial Narrow" w:hAnsi="Arial Narrow"/>
                <w:sz w:val="20"/>
              </w:rPr>
              <w:t xml:space="preserve">: </w:t>
            </w:r>
            <w:r w:rsidR="0063591B" w:rsidRPr="00997765">
              <w:rPr>
                <w:rFonts w:ascii="Arial Narrow" w:hAnsi="Arial Narrow"/>
                <w:sz w:val="20"/>
              </w:rPr>
              <w:t>The frequency of remission increased significantly from 36.7% in 2009 to 53.5% in 2014, and that of moderate disease activity decreased from 33% in 2009 to</w:t>
            </w:r>
          </w:p>
          <w:p w:rsidR="00725855" w:rsidRPr="00997765" w:rsidRDefault="0063591B" w:rsidP="0063591B">
            <w:pPr>
              <w:keepNext/>
              <w:rPr>
                <w:rFonts w:ascii="Arial Narrow" w:hAnsi="Arial Narrow"/>
                <w:sz w:val="20"/>
              </w:rPr>
            </w:pPr>
            <w:r w:rsidRPr="00997765">
              <w:rPr>
                <w:rFonts w:ascii="Arial Narrow" w:hAnsi="Arial Narrow"/>
                <w:sz w:val="20"/>
              </w:rPr>
              <w:t xml:space="preserve">22.2% in 2014. The use of </w:t>
            </w:r>
            <w:proofErr w:type="spellStart"/>
            <w:r w:rsidRPr="00997765">
              <w:rPr>
                <w:rFonts w:ascii="Arial Narrow" w:hAnsi="Arial Narrow"/>
                <w:sz w:val="20"/>
              </w:rPr>
              <w:t>bDMARDS</w:t>
            </w:r>
            <w:proofErr w:type="spellEnd"/>
            <w:r w:rsidRPr="00997765">
              <w:rPr>
                <w:rFonts w:ascii="Arial Narrow" w:hAnsi="Arial Narrow"/>
                <w:sz w:val="20"/>
              </w:rPr>
              <w:t xml:space="preserve"> </w:t>
            </w:r>
            <w:r w:rsidR="00D329D8" w:rsidRPr="00997765">
              <w:rPr>
                <w:rFonts w:ascii="Arial Narrow" w:hAnsi="Arial Narrow"/>
                <w:sz w:val="20"/>
              </w:rPr>
              <w:t>for</w:t>
            </w:r>
            <w:r w:rsidRPr="00997765">
              <w:rPr>
                <w:rFonts w:ascii="Arial Narrow" w:hAnsi="Arial Narrow"/>
                <w:sz w:val="20"/>
              </w:rPr>
              <w:t xml:space="preserve"> patients in remission increased from 17% in 2009 to 36.9% in 2014</w:t>
            </w:r>
          </w:p>
        </w:tc>
      </w:tr>
      <w:tr w:rsidR="001C4BF2" w:rsidRPr="00997765" w:rsidTr="00B632F1">
        <w:trPr>
          <w:cantSplit/>
        </w:trPr>
        <w:tc>
          <w:tcPr>
            <w:tcW w:w="1446" w:type="dxa"/>
            <w:vAlign w:val="center"/>
          </w:tcPr>
          <w:p w:rsidR="001C4BF2" w:rsidRPr="00997765" w:rsidRDefault="001C4BF2" w:rsidP="00B632F1">
            <w:pPr>
              <w:pStyle w:val="NoSpacing"/>
              <w:jc w:val="left"/>
              <w:rPr>
                <w:rFonts w:ascii="Arial Narrow" w:hAnsi="Arial Narrow"/>
                <w:sz w:val="20"/>
              </w:rPr>
            </w:pPr>
            <w:r w:rsidRPr="00997765">
              <w:rPr>
                <w:rFonts w:ascii="Arial Narrow" w:hAnsi="Arial Narrow"/>
                <w:sz w:val="20"/>
              </w:rPr>
              <w:t>MC-MTX.5/RH</w:t>
            </w:r>
          </w:p>
        </w:tc>
        <w:tc>
          <w:tcPr>
            <w:tcW w:w="6946" w:type="dxa"/>
          </w:tcPr>
          <w:p w:rsidR="001C4BF2" w:rsidRPr="00997765" w:rsidRDefault="001C4BF2"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Phase 2, open-label, single-arm trial</w:t>
            </w:r>
          </w:p>
          <w:p w:rsidR="001C4BF2" w:rsidRPr="00997765" w:rsidRDefault="001C4BF2"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Patients with rheumatoid arthritis who were receiving a stable weekly dose of 15-2</w:t>
            </w:r>
            <w:r w:rsidR="004D6A66" w:rsidRPr="00997765">
              <w:rPr>
                <w:rFonts w:ascii="Arial Narrow" w:hAnsi="Arial Narrow"/>
                <w:sz w:val="20"/>
              </w:rPr>
              <w:t>5 mg</w:t>
            </w:r>
            <w:r w:rsidRPr="00997765">
              <w:rPr>
                <w:rFonts w:ascii="Arial Narrow" w:hAnsi="Arial Narrow"/>
                <w:sz w:val="20"/>
              </w:rPr>
              <w:t xml:space="preserve"> of methotrexate (oral or parenteral) (N=69)</w:t>
            </w:r>
          </w:p>
          <w:p w:rsidR="001C4BF2" w:rsidRPr="00997765" w:rsidRDefault="001C4BF2"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Single arm receiving 15-2</w:t>
            </w:r>
            <w:r w:rsidR="004D6A66" w:rsidRPr="00997765">
              <w:rPr>
                <w:rFonts w:ascii="Arial Narrow" w:hAnsi="Arial Narrow"/>
                <w:sz w:val="20"/>
              </w:rPr>
              <w:t>5 mg</w:t>
            </w:r>
            <w:r w:rsidRPr="00997765">
              <w:rPr>
                <w:rFonts w:ascii="Arial Narrow" w:hAnsi="Arial Narrow"/>
                <w:sz w:val="20"/>
              </w:rPr>
              <w:t xml:space="preserve"> methotrexate weekly using 1</w:t>
            </w:r>
            <w:r w:rsidR="004D6A66" w:rsidRPr="00997765">
              <w:rPr>
                <w:rFonts w:ascii="Arial Narrow" w:hAnsi="Arial Narrow"/>
                <w:sz w:val="20"/>
              </w:rPr>
              <w:t>0 mg</w:t>
            </w:r>
            <w:r w:rsidRPr="00997765">
              <w:rPr>
                <w:rFonts w:ascii="Arial Narrow" w:hAnsi="Arial Narrow"/>
                <w:sz w:val="20"/>
              </w:rPr>
              <w:t>/mL pre-filled syringe</w:t>
            </w:r>
            <w:r w:rsidR="00742E01" w:rsidRPr="00997765">
              <w:rPr>
                <w:rFonts w:ascii="Arial Narrow" w:hAnsi="Arial Narrow"/>
                <w:sz w:val="20"/>
              </w:rPr>
              <w:t xml:space="preserve"> (mix of self-administration and health professional administration)</w:t>
            </w:r>
          </w:p>
          <w:p w:rsidR="001C4BF2" w:rsidRPr="00997765" w:rsidRDefault="001C4BF2" w:rsidP="002419E9">
            <w:pPr>
              <w:keepNext/>
              <w:rPr>
                <w:rFonts w:ascii="Arial Narrow" w:hAnsi="Arial Narrow"/>
                <w:sz w:val="20"/>
              </w:rPr>
            </w:pPr>
            <w:r w:rsidRPr="00997765">
              <w:rPr>
                <w:rFonts w:ascii="Arial Narrow" w:hAnsi="Arial Narrow"/>
                <w:b/>
                <w:sz w:val="20"/>
              </w:rPr>
              <w:t>Primary outcome</w:t>
            </w:r>
            <w:r w:rsidRPr="00997765">
              <w:rPr>
                <w:rFonts w:ascii="Arial Narrow" w:hAnsi="Arial Narrow"/>
                <w:sz w:val="20"/>
              </w:rPr>
              <w:t xml:space="preserve">: Local tolerability of repeat SC methotrexate injections </w:t>
            </w:r>
          </w:p>
          <w:p w:rsidR="00EE769F" w:rsidRPr="00997765" w:rsidRDefault="00EE769F" w:rsidP="004C4F2E">
            <w:pPr>
              <w:keepNext/>
              <w:rPr>
                <w:rFonts w:ascii="Arial Narrow" w:hAnsi="Arial Narrow"/>
                <w:sz w:val="20"/>
              </w:rPr>
            </w:pPr>
            <w:r w:rsidRPr="00997765">
              <w:rPr>
                <w:rFonts w:ascii="Arial Narrow" w:hAnsi="Arial Narrow"/>
                <w:b/>
                <w:sz w:val="20"/>
              </w:rPr>
              <w:t>Key finding</w:t>
            </w:r>
            <w:r w:rsidRPr="00997765">
              <w:rPr>
                <w:rFonts w:ascii="Arial Narrow" w:hAnsi="Arial Narrow"/>
                <w:sz w:val="20"/>
              </w:rPr>
              <w:t xml:space="preserve">: </w:t>
            </w:r>
            <w:r w:rsidR="004C4F2E" w:rsidRPr="00997765">
              <w:rPr>
                <w:rFonts w:ascii="Arial Narrow" w:hAnsi="Arial Narrow"/>
                <w:sz w:val="20"/>
              </w:rPr>
              <w:t>The majority of patients reported mild or no loca</w:t>
            </w:r>
            <w:r w:rsidR="00E63752" w:rsidRPr="00997765">
              <w:rPr>
                <w:rFonts w:ascii="Arial Narrow" w:hAnsi="Arial Narrow"/>
                <w:sz w:val="20"/>
              </w:rPr>
              <w:t>l tolerability issues (89.9%). One</w:t>
            </w:r>
            <w:r w:rsidR="004C4F2E" w:rsidRPr="00997765">
              <w:rPr>
                <w:rFonts w:ascii="Arial Narrow" w:hAnsi="Arial Narrow"/>
                <w:sz w:val="20"/>
              </w:rPr>
              <w:t xml:space="preserve"> pa</w:t>
            </w:r>
            <w:r w:rsidR="00E63752" w:rsidRPr="00997765">
              <w:rPr>
                <w:rFonts w:ascii="Arial Narrow" w:hAnsi="Arial Narrow"/>
                <w:sz w:val="20"/>
              </w:rPr>
              <w:t>tient reported severe redness, six</w:t>
            </w:r>
            <w:r w:rsidR="004C4F2E" w:rsidRPr="00997765">
              <w:rPr>
                <w:rFonts w:ascii="Arial Narrow" w:hAnsi="Arial Narrow"/>
                <w:sz w:val="20"/>
              </w:rPr>
              <w:t xml:space="preserve"> patients reported moderate redness, itching or pain. The majority of patients were satisfied with self-administration (94.2%). Most patients were willing to continue therapy without weekly physician visits (87.0%). Physicians considered that patients were suitable for continued self-administration in 97.1% of cases.</w:t>
            </w:r>
          </w:p>
        </w:tc>
      </w:tr>
      <w:tr w:rsidR="00B632F1" w:rsidRPr="00997765" w:rsidTr="00B632F1">
        <w:trPr>
          <w:cantSplit/>
        </w:trPr>
        <w:tc>
          <w:tcPr>
            <w:tcW w:w="1446" w:type="dxa"/>
            <w:vAlign w:val="center"/>
          </w:tcPr>
          <w:p w:rsidR="00B632F1" w:rsidRPr="00997765" w:rsidRDefault="00B632F1" w:rsidP="002419E9">
            <w:pPr>
              <w:pStyle w:val="NoSpacing"/>
              <w:jc w:val="left"/>
              <w:rPr>
                <w:rFonts w:ascii="Arial Narrow" w:hAnsi="Arial Narrow"/>
                <w:sz w:val="20"/>
              </w:rPr>
            </w:pPr>
            <w:r w:rsidRPr="00997765">
              <w:rPr>
                <w:rFonts w:ascii="Arial Narrow" w:hAnsi="Arial Narrow"/>
                <w:sz w:val="20"/>
              </w:rPr>
              <w:t>MC-MTX.6/RH</w:t>
            </w:r>
          </w:p>
          <w:p w:rsidR="00B632F1" w:rsidRPr="00997765" w:rsidRDefault="00B632F1" w:rsidP="002419E9">
            <w:pPr>
              <w:pStyle w:val="NoSpacing"/>
              <w:jc w:val="left"/>
              <w:rPr>
                <w:rFonts w:ascii="Arial Narrow" w:hAnsi="Arial Narrow"/>
                <w:sz w:val="20"/>
              </w:rPr>
            </w:pPr>
            <w:r w:rsidRPr="00997765">
              <w:rPr>
                <w:rFonts w:ascii="Arial Narrow" w:hAnsi="Arial Narrow"/>
                <w:sz w:val="20"/>
              </w:rPr>
              <w:t>(Braun 2008)</w:t>
            </w:r>
          </w:p>
        </w:tc>
        <w:tc>
          <w:tcPr>
            <w:tcW w:w="6946" w:type="dxa"/>
          </w:tcPr>
          <w:p w:rsidR="00B632F1" w:rsidRPr="00997765" w:rsidRDefault="00B632F1"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Phase 4, double-blind, multi-centre RCT</w:t>
            </w:r>
          </w:p>
          <w:p w:rsidR="00B632F1" w:rsidRPr="00997765" w:rsidRDefault="00B632F1"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Methotrexate-naïve patients with active rheumatoid arthritis (N=384)</w:t>
            </w:r>
          </w:p>
          <w:p w:rsidR="00B632F1" w:rsidRPr="00997765" w:rsidRDefault="00B632F1"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1</w:t>
            </w:r>
            <w:r w:rsidR="004D6A66" w:rsidRPr="00997765">
              <w:rPr>
                <w:rFonts w:ascii="Arial Narrow" w:hAnsi="Arial Narrow"/>
                <w:sz w:val="20"/>
              </w:rPr>
              <w:t>5 mg</w:t>
            </w:r>
            <w:r w:rsidRPr="00997765">
              <w:rPr>
                <w:rFonts w:ascii="Arial Narrow" w:hAnsi="Arial Narrow"/>
                <w:sz w:val="20"/>
              </w:rPr>
              <w:t xml:space="preserve"> (1</w:t>
            </w:r>
            <w:r w:rsidR="004D6A66" w:rsidRPr="00997765">
              <w:rPr>
                <w:rFonts w:ascii="Arial Narrow" w:hAnsi="Arial Narrow"/>
                <w:sz w:val="20"/>
              </w:rPr>
              <w:t>0 mg</w:t>
            </w:r>
            <w:r w:rsidRPr="00997765">
              <w:rPr>
                <w:rFonts w:ascii="Arial Narrow" w:hAnsi="Arial Narrow"/>
                <w:sz w:val="20"/>
              </w:rPr>
              <w:t>/mL) SC injection methotrexate once weekly vs 1</w:t>
            </w:r>
            <w:r w:rsidR="004D6A66" w:rsidRPr="00997765">
              <w:rPr>
                <w:rFonts w:ascii="Arial Narrow" w:hAnsi="Arial Narrow"/>
                <w:sz w:val="20"/>
              </w:rPr>
              <w:t>5 mg</w:t>
            </w:r>
            <w:r w:rsidRPr="00997765">
              <w:rPr>
                <w:rFonts w:ascii="Arial Narrow" w:hAnsi="Arial Narrow"/>
                <w:sz w:val="20"/>
              </w:rPr>
              <w:t xml:space="preserve"> oral methotrexate once weekly</w:t>
            </w:r>
          </w:p>
          <w:p w:rsidR="00B632F1" w:rsidRPr="00997765" w:rsidRDefault="00B632F1" w:rsidP="002419E9">
            <w:pPr>
              <w:keepNext/>
              <w:rPr>
                <w:rFonts w:ascii="Arial Narrow" w:hAnsi="Arial Narrow"/>
                <w:sz w:val="20"/>
              </w:rPr>
            </w:pPr>
            <w:r w:rsidRPr="00997765">
              <w:rPr>
                <w:rFonts w:ascii="Arial Narrow" w:hAnsi="Arial Narrow"/>
                <w:b/>
                <w:sz w:val="20"/>
              </w:rPr>
              <w:t>Primary outcome</w:t>
            </w:r>
            <w:r w:rsidRPr="00997765">
              <w:rPr>
                <w:rFonts w:ascii="Arial Narrow" w:hAnsi="Arial Narrow"/>
                <w:sz w:val="20"/>
              </w:rPr>
              <w:t>: Percentage of patients with an ACR20 response at week 24</w:t>
            </w:r>
          </w:p>
          <w:p w:rsidR="00A67469" w:rsidRPr="00997765" w:rsidRDefault="00A67469" w:rsidP="00A67469">
            <w:pPr>
              <w:keepNext/>
              <w:rPr>
                <w:rFonts w:ascii="Arial Narrow" w:hAnsi="Arial Narrow"/>
                <w:sz w:val="20"/>
              </w:rPr>
            </w:pPr>
            <w:r w:rsidRPr="00997765">
              <w:rPr>
                <w:rFonts w:ascii="Arial Narrow" w:hAnsi="Arial Narrow"/>
                <w:b/>
                <w:sz w:val="20"/>
              </w:rPr>
              <w:t>Key finding</w:t>
            </w:r>
            <w:r w:rsidRPr="00997765">
              <w:rPr>
                <w:rFonts w:ascii="Arial Narrow" w:hAnsi="Arial Narrow"/>
                <w:sz w:val="20"/>
              </w:rPr>
              <w:t xml:space="preserve">: At week 24, significantly more patients treated with </w:t>
            </w:r>
            <w:r w:rsidR="00126CC6" w:rsidRPr="00997765">
              <w:rPr>
                <w:rFonts w:ascii="Arial Narrow" w:hAnsi="Arial Narrow"/>
                <w:sz w:val="20"/>
              </w:rPr>
              <w:t>SC</w:t>
            </w:r>
            <w:r w:rsidRPr="00997765">
              <w:rPr>
                <w:rFonts w:ascii="Arial Narrow" w:hAnsi="Arial Narrow"/>
                <w:sz w:val="20"/>
              </w:rPr>
              <w:t xml:space="preserve"> methotrexate than with oral methotrexate showed ACR20 (78% versus 70%) and ACR70 (41% versus 33%) responses. </w:t>
            </w:r>
            <w:r w:rsidR="00FC525F" w:rsidRPr="00997765">
              <w:rPr>
                <w:rFonts w:ascii="Arial Narrow" w:hAnsi="Arial Narrow"/>
                <w:sz w:val="20"/>
              </w:rPr>
              <w:t>At week 16, 14% of patients  were classified as ACR20 non-responders and were switched treatment</w:t>
            </w:r>
            <w:r w:rsidR="00BC386F" w:rsidRPr="00997765">
              <w:rPr>
                <w:rFonts w:ascii="Arial Narrow" w:hAnsi="Arial Narrow"/>
                <w:sz w:val="20"/>
              </w:rPr>
              <w:t xml:space="preserve"> from oral to </w:t>
            </w:r>
            <w:r w:rsidR="00126CC6" w:rsidRPr="00997765">
              <w:rPr>
                <w:rFonts w:ascii="Arial Narrow" w:hAnsi="Arial Narrow"/>
                <w:sz w:val="20"/>
              </w:rPr>
              <w:t>SC</w:t>
            </w:r>
            <w:r w:rsidR="00BC386F" w:rsidRPr="00997765">
              <w:rPr>
                <w:rFonts w:ascii="Arial Narrow" w:hAnsi="Arial Narrow"/>
                <w:sz w:val="20"/>
              </w:rPr>
              <w:t xml:space="preserve"> treatment (with a 30% response rate) or were switch</w:t>
            </w:r>
            <w:r w:rsidR="00E63752" w:rsidRPr="00997765">
              <w:rPr>
                <w:rFonts w:ascii="Arial Narrow" w:hAnsi="Arial Narrow"/>
                <w:sz w:val="20"/>
              </w:rPr>
              <w:t>ed</w:t>
            </w:r>
            <w:r w:rsidR="00BC386F" w:rsidRPr="00997765">
              <w:rPr>
                <w:rFonts w:ascii="Arial Narrow" w:hAnsi="Arial Narrow"/>
                <w:sz w:val="20"/>
              </w:rPr>
              <w:t xml:space="preserve"> from standard </w:t>
            </w:r>
            <w:r w:rsidR="00126CC6" w:rsidRPr="00997765">
              <w:rPr>
                <w:rFonts w:ascii="Arial Narrow" w:hAnsi="Arial Narrow"/>
                <w:sz w:val="20"/>
              </w:rPr>
              <w:t>SC</w:t>
            </w:r>
            <w:r w:rsidR="00BC386F" w:rsidRPr="00997765">
              <w:rPr>
                <w:rFonts w:ascii="Arial Narrow" w:hAnsi="Arial Narrow"/>
                <w:sz w:val="20"/>
              </w:rPr>
              <w:t xml:space="preserve"> dose to high </w:t>
            </w:r>
            <w:r w:rsidR="00126CC6" w:rsidRPr="00997765">
              <w:rPr>
                <w:rFonts w:ascii="Arial Narrow" w:hAnsi="Arial Narrow"/>
                <w:sz w:val="20"/>
              </w:rPr>
              <w:t>SC</w:t>
            </w:r>
            <w:r w:rsidR="00BC386F" w:rsidRPr="00997765">
              <w:rPr>
                <w:rFonts w:ascii="Arial Narrow" w:hAnsi="Arial Narrow"/>
                <w:sz w:val="20"/>
              </w:rPr>
              <w:t xml:space="preserve"> dose (with a 23% response rate). </w:t>
            </w:r>
            <w:r w:rsidRPr="00997765">
              <w:rPr>
                <w:rFonts w:ascii="Arial Narrow" w:hAnsi="Arial Narrow"/>
                <w:sz w:val="20"/>
              </w:rPr>
              <w:t>The rate of adverse events was similar in</w:t>
            </w:r>
            <w:r w:rsidR="00BC386F" w:rsidRPr="00997765">
              <w:rPr>
                <w:rFonts w:ascii="Arial Narrow" w:hAnsi="Arial Narrow"/>
                <w:sz w:val="20"/>
              </w:rPr>
              <w:t xml:space="preserve"> </w:t>
            </w:r>
            <w:r w:rsidRPr="00997765">
              <w:rPr>
                <w:rFonts w:ascii="Arial Narrow" w:hAnsi="Arial Narrow"/>
                <w:sz w:val="20"/>
              </w:rPr>
              <w:t>all groups.</w:t>
            </w:r>
          </w:p>
        </w:tc>
      </w:tr>
      <w:tr w:rsidR="00B632F1" w:rsidRPr="00997765" w:rsidTr="00B632F1">
        <w:trPr>
          <w:cantSplit/>
        </w:trPr>
        <w:tc>
          <w:tcPr>
            <w:tcW w:w="1446" w:type="dxa"/>
            <w:vAlign w:val="center"/>
          </w:tcPr>
          <w:p w:rsidR="00B632F1" w:rsidRPr="00997765" w:rsidRDefault="00B632F1" w:rsidP="00B632F1">
            <w:pPr>
              <w:pStyle w:val="NoSpacing"/>
              <w:jc w:val="left"/>
              <w:rPr>
                <w:rFonts w:ascii="Arial Narrow" w:hAnsi="Arial Narrow"/>
                <w:sz w:val="20"/>
              </w:rPr>
            </w:pPr>
            <w:r w:rsidRPr="00997765">
              <w:rPr>
                <w:rFonts w:ascii="Arial Narrow" w:hAnsi="Arial Narrow"/>
                <w:sz w:val="20"/>
              </w:rPr>
              <w:t>MC-MTX.10/RH</w:t>
            </w:r>
          </w:p>
        </w:tc>
        <w:tc>
          <w:tcPr>
            <w:tcW w:w="6946" w:type="dxa"/>
          </w:tcPr>
          <w:p w:rsidR="00B632F1" w:rsidRPr="00997765" w:rsidRDefault="00B632F1" w:rsidP="002419E9">
            <w:pPr>
              <w:keepNext/>
              <w:rPr>
                <w:rFonts w:ascii="Arial Narrow" w:hAnsi="Arial Narrow"/>
                <w:sz w:val="20"/>
              </w:rPr>
            </w:pPr>
            <w:r w:rsidRPr="00997765">
              <w:rPr>
                <w:rFonts w:ascii="Arial Narrow" w:hAnsi="Arial Narrow"/>
                <w:b/>
                <w:sz w:val="20"/>
              </w:rPr>
              <w:t>Design</w:t>
            </w:r>
            <w:r w:rsidRPr="00997765">
              <w:rPr>
                <w:rFonts w:ascii="Arial Narrow" w:hAnsi="Arial Narrow"/>
                <w:sz w:val="20"/>
              </w:rPr>
              <w:t>: Phase 3, open-label, controlled trial</w:t>
            </w:r>
          </w:p>
          <w:p w:rsidR="00B632F1" w:rsidRPr="00997765" w:rsidRDefault="00B632F1" w:rsidP="002419E9">
            <w:pPr>
              <w:keepNext/>
              <w:rPr>
                <w:rFonts w:ascii="Arial Narrow" w:hAnsi="Arial Narrow"/>
                <w:sz w:val="20"/>
              </w:rPr>
            </w:pPr>
            <w:r w:rsidRPr="00997765">
              <w:rPr>
                <w:rFonts w:ascii="Arial Narrow" w:hAnsi="Arial Narrow"/>
                <w:b/>
                <w:sz w:val="20"/>
              </w:rPr>
              <w:t>Population</w:t>
            </w:r>
            <w:r w:rsidRPr="00997765">
              <w:rPr>
                <w:rFonts w:ascii="Arial Narrow" w:hAnsi="Arial Narrow"/>
                <w:sz w:val="20"/>
              </w:rPr>
              <w:t>: Patients with active rheumatoid arthritis (N=128)</w:t>
            </w:r>
          </w:p>
          <w:p w:rsidR="00B632F1" w:rsidRPr="00997765" w:rsidRDefault="00B632F1" w:rsidP="002419E9">
            <w:pPr>
              <w:keepNext/>
              <w:rPr>
                <w:rFonts w:ascii="Arial Narrow" w:hAnsi="Arial Narrow"/>
                <w:sz w:val="20"/>
              </w:rPr>
            </w:pPr>
            <w:r w:rsidRPr="00997765">
              <w:rPr>
                <w:rFonts w:ascii="Arial Narrow" w:hAnsi="Arial Narrow"/>
                <w:b/>
                <w:sz w:val="20"/>
              </w:rPr>
              <w:t>Comparison</w:t>
            </w:r>
            <w:r w:rsidRPr="00997765">
              <w:rPr>
                <w:rFonts w:ascii="Arial Narrow" w:hAnsi="Arial Narrow"/>
                <w:sz w:val="20"/>
              </w:rPr>
              <w:t>: Weekly SC methotrexate 2</w:t>
            </w:r>
            <w:r w:rsidR="004D6A66" w:rsidRPr="00997765">
              <w:rPr>
                <w:rFonts w:ascii="Arial Narrow" w:hAnsi="Arial Narrow"/>
                <w:sz w:val="20"/>
              </w:rPr>
              <w:t>0 mg</w:t>
            </w:r>
            <w:r w:rsidRPr="00997765">
              <w:rPr>
                <w:rFonts w:ascii="Arial Narrow" w:hAnsi="Arial Narrow"/>
                <w:sz w:val="20"/>
              </w:rPr>
              <w:t xml:space="preserve"> given as 2mL of 1</w:t>
            </w:r>
            <w:r w:rsidR="004D6A66" w:rsidRPr="00997765">
              <w:rPr>
                <w:rFonts w:ascii="Arial Narrow" w:hAnsi="Arial Narrow"/>
                <w:sz w:val="20"/>
              </w:rPr>
              <w:t>0 mg</w:t>
            </w:r>
            <w:r w:rsidRPr="00997765">
              <w:rPr>
                <w:rFonts w:ascii="Arial Narrow" w:hAnsi="Arial Narrow"/>
                <w:sz w:val="20"/>
              </w:rPr>
              <w:t>/mL vs 0.4mL of 5</w:t>
            </w:r>
            <w:r w:rsidR="004D6A66" w:rsidRPr="00997765">
              <w:rPr>
                <w:rFonts w:ascii="Arial Narrow" w:hAnsi="Arial Narrow"/>
                <w:sz w:val="20"/>
              </w:rPr>
              <w:t>0 mg</w:t>
            </w:r>
            <w:r w:rsidRPr="00997765">
              <w:rPr>
                <w:rFonts w:ascii="Arial Narrow" w:hAnsi="Arial Narrow"/>
                <w:sz w:val="20"/>
              </w:rPr>
              <w:t xml:space="preserve">/mL </w:t>
            </w:r>
            <w:r w:rsidR="00742E01" w:rsidRPr="00997765">
              <w:rPr>
                <w:rFonts w:ascii="Arial Narrow" w:hAnsi="Arial Narrow"/>
                <w:sz w:val="20"/>
              </w:rPr>
              <w:t>(mix of self-administration and health professional administration)</w:t>
            </w:r>
          </w:p>
          <w:p w:rsidR="00B632F1" w:rsidRPr="00997765" w:rsidRDefault="00B632F1" w:rsidP="002419E9">
            <w:pPr>
              <w:keepNext/>
              <w:rPr>
                <w:rFonts w:ascii="Arial Narrow" w:hAnsi="Arial Narrow"/>
                <w:sz w:val="20"/>
              </w:rPr>
            </w:pPr>
            <w:r w:rsidRPr="00997765">
              <w:rPr>
                <w:rFonts w:ascii="Arial Narrow" w:hAnsi="Arial Narrow"/>
                <w:b/>
                <w:sz w:val="20"/>
              </w:rPr>
              <w:t>Primary outcome</w:t>
            </w:r>
            <w:r w:rsidRPr="00997765">
              <w:rPr>
                <w:rFonts w:ascii="Arial Narrow" w:hAnsi="Arial Narrow"/>
                <w:sz w:val="20"/>
              </w:rPr>
              <w:t>: Patient’s preference between 1</w:t>
            </w:r>
            <w:r w:rsidR="004D6A66" w:rsidRPr="00997765">
              <w:rPr>
                <w:rFonts w:ascii="Arial Narrow" w:hAnsi="Arial Narrow"/>
                <w:sz w:val="20"/>
              </w:rPr>
              <w:t>0 mg</w:t>
            </w:r>
            <w:r w:rsidRPr="00997765">
              <w:rPr>
                <w:rFonts w:ascii="Arial Narrow" w:hAnsi="Arial Narrow"/>
                <w:sz w:val="20"/>
              </w:rPr>
              <w:t>/mL vs 5</w:t>
            </w:r>
            <w:r w:rsidR="004D6A66" w:rsidRPr="00997765">
              <w:rPr>
                <w:rFonts w:ascii="Arial Narrow" w:hAnsi="Arial Narrow"/>
                <w:sz w:val="20"/>
              </w:rPr>
              <w:t>0 mg</w:t>
            </w:r>
            <w:r w:rsidRPr="00997765">
              <w:rPr>
                <w:rFonts w:ascii="Arial Narrow" w:hAnsi="Arial Narrow"/>
                <w:sz w:val="20"/>
              </w:rPr>
              <w:t>/mL strengths of pre-filled syringe</w:t>
            </w:r>
          </w:p>
          <w:p w:rsidR="008C7DAD" w:rsidRPr="00997765" w:rsidRDefault="008C7DAD" w:rsidP="002419E9">
            <w:pPr>
              <w:keepNext/>
              <w:rPr>
                <w:rFonts w:ascii="Arial Narrow" w:hAnsi="Arial Narrow"/>
                <w:sz w:val="20"/>
              </w:rPr>
            </w:pPr>
            <w:r w:rsidRPr="00997765">
              <w:rPr>
                <w:rFonts w:ascii="Arial Narrow" w:hAnsi="Arial Narrow"/>
                <w:b/>
                <w:sz w:val="20"/>
              </w:rPr>
              <w:t>Key finding</w:t>
            </w:r>
            <w:r w:rsidRPr="00997765">
              <w:rPr>
                <w:rFonts w:ascii="Arial Narrow" w:hAnsi="Arial Narrow"/>
                <w:sz w:val="20"/>
              </w:rPr>
              <w:t xml:space="preserve">: </w:t>
            </w:r>
            <w:r w:rsidR="00742E01" w:rsidRPr="00997765">
              <w:rPr>
                <w:rFonts w:ascii="Arial Narrow" w:hAnsi="Arial Narrow"/>
                <w:sz w:val="20"/>
              </w:rPr>
              <w:t>Patients and physicians indicated a strong preference for the smaller 5</w:t>
            </w:r>
            <w:r w:rsidR="004D6A66" w:rsidRPr="00997765">
              <w:rPr>
                <w:rFonts w:ascii="Arial Narrow" w:hAnsi="Arial Narrow"/>
                <w:sz w:val="20"/>
              </w:rPr>
              <w:t>0 mg</w:t>
            </w:r>
            <w:r w:rsidR="00742E01" w:rsidRPr="00997765">
              <w:rPr>
                <w:rFonts w:ascii="Arial Narrow" w:hAnsi="Arial Narrow"/>
                <w:sz w:val="20"/>
              </w:rPr>
              <w:t>/mL syringe with emb</w:t>
            </w:r>
            <w:r w:rsidR="00E63752" w:rsidRPr="00997765">
              <w:rPr>
                <w:rFonts w:ascii="Arial Narrow" w:hAnsi="Arial Narrow"/>
                <w:sz w:val="20"/>
              </w:rPr>
              <w:t>edded needle compared to 1</w:t>
            </w:r>
            <w:r w:rsidR="004D6A66" w:rsidRPr="00997765">
              <w:rPr>
                <w:rFonts w:ascii="Arial Narrow" w:hAnsi="Arial Narrow"/>
                <w:sz w:val="20"/>
              </w:rPr>
              <w:t>0 mg</w:t>
            </w:r>
            <w:r w:rsidR="00E63752" w:rsidRPr="00997765">
              <w:rPr>
                <w:rFonts w:ascii="Arial Narrow" w:hAnsi="Arial Narrow"/>
                <w:sz w:val="20"/>
              </w:rPr>
              <w:t>/mL</w:t>
            </w:r>
            <w:r w:rsidR="00742E01" w:rsidRPr="00997765">
              <w:rPr>
                <w:rFonts w:ascii="Arial Narrow" w:hAnsi="Arial Narrow"/>
                <w:sz w:val="20"/>
              </w:rPr>
              <w:t xml:space="preserve"> syringe (&gt; 87.5% of respondents). </w:t>
            </w:r>
          </w:p>
        </w:tc>
      </w:tr>
    </w:tbl>
    <w:p w:rsidR="001C4BF2" w:rsidRPr="00997765" w:rsidRDefault="001C4BF2" w:rsidP="001C4BF2">
      <w:pPr>
        <w:pStyle w:val="ListParagraph"/>
        <w:ind w:left="709"/>
        <w:jc w:val="both"/>
        <w:rPr>
          <w:rFonts w:ascii="Arial Narrow" w:hAnsi="Arial Narrow"/>
          <w:sz w:val="18"/>
          <w:szCs w:val="22"/>
        </w:rPr>
      </w:pPr>
      <w:r w:rsidRPr="00997765">
        <w:rPr>
          <w:rFonts w:ascii="Arial Narrow" w:hAnsi="Arial Narrow"/>
          <w:sz w:val="18"/>
          <w:szCs w:val="22"/>
        </w:rPr>
        <w:t>Source: TGA clinical evaluation report, Table 5, p24 of the submission</w:t>
      </w:r>
    </w:p>
    <w:p w:rsidR="001C4BF2" w:rsidRPr="00997765" w:rsidRDefault="001C4BF2" w:rsidP="001C4BF2">
      <w:pPr>
        <w:pStyle w:val="ListParagraph"/>
        <w:ind w:left="709"/>
        <w:jc w:val="both"/>
        <w:rPr>
          <w:rFonts w:ascii="Arial Narrow" w:hAnsi="Arial Narrow"/>
          <w:sz w:val="18"/>
          <w:szCs w:val="22"/>
        </w:rPr>
      </w:pPr>
      <w:r w:rsidRPr="00997765">
        <w:rPr>
          <w:rFonts w:ascii="Arial Narrow" w:hAnsi="Arial Narrow"/>
          <w:sz w:val="18"/>
          <w:szCs w:val="22"/>
        </w:rPr>
        <w:t>Abbreviations: ACR20, American College of Rheumatology criteria for 20% improvement,</w:t>
      </w:r>
      <w:r w:rsidR="00E63752" w:rsidRPr="00997765">
        <w:rPr>
          <w:rFonts w:ascii="Arial Narrow" w:hAnsi="Arial Narrow"/>
          <w:sz w:val="18"/>
          <w:szCs w:val="22"/>
        </w:rPr>
        <w:t xml:space="preserve"> ACR70, American College of Rheumatology criteria for 70% improvement;</w:t>
      </w:r>
      <w:r w:rsidRPr="00997765">
        <w:rPr>
          <w:rFonts w:ascii="Arial Narrow" w:hAnsi="Arial Narrow"/>
          <w:sz w:val="18"/>
          <w:szCs w:val="22"/>
        </w:rPr>
        <w:t xml:space="preserve"> AUC, area under the curve; BMI, body mass index;</w:t>
      </w:r>
      <w:r w:rsidR="00E63752" w:rsidRPr="00997765">
        <w:rPr>
          <w:rFonts w:ascii="Arial Narrow" w:hAnsi="Arial Narrow"/>
          <w:sz w:val="18"/>
          <w:szCs w:val="22"/>
        </w:rPr>
        <w:t xml:space="preserve"> </w:t>
      </w:r>
      <w:proofErr w:type="spellStart"/>
      <w:r w:rsidR="00E63752" w:rsidRPr="00997765">
        <w:rPr>
          <w:rFonts w:ascii="Arial Narrow" w:hAnsi="Arial Narrow"/>
          <w:sz w:val="18"/>
          <w:szCs w:val="22"/>
        </w:rPr>
        <w:t>bDMARD</w:t>
      </w:r>
      <w:proofErr w:type="spellEnd"/>
      <w:r w:rsidR="00E63752" w:rsidRPr="00997765">
        <w:rPr>
          <w:rFonts w:ascii="Arial Narrow" w:hAnsi="Arial Narrow"/>
          <w:sz w:val="18"/>
          <w:szCs w:val="22"/>
        </w:rPr>
        <w:t>, bi</w:t>
      </w:r>
      <w:r w:rsidR="00DC50E7" w:rsidRPr="00997765">
        <w:rPr>
          <w:rFonts w:ascii="Arial Narrow" w:hAnsi="Arial Narrow"/>
          <w:sz w:val="18"/>
          <w:szCs w:val="22"/>
        </w:rPr>
        <w:t xml:space="preserve">ological disease-modifying </w:t>
      </w:r>
      <w:proofErr w:type="spellStart"/>
      <w:r w:rsidR="00DC50E7" w:rsidRPr="00997765">
        <w:rPr>
          <w:rFonts w:ascii="Arial Narrow" w:hAnsi="Arial Narrow"/>
          <w:sz w:val="18"/>
          <w:szCs w:val="22"/>
        </w:rPr>
        <w:t>anti</w:t>
      </w:r>
      <w:r w:rsidR="00E63752" w:rsidRPr="00997765">
        <w:rPr>
          <w:rFonts w:ascii="Arial Narrow" w:hAnsi="Arial Narrow"/>
          <w:sz w:val="18"/>
          <w:szCs w:val="22"/>
        </w:rPr>
        <w:t>rheumatic</w:t>
      </w:r>
      <w:proofErr w:type="spellEnd"/>
      <w:r w:rsidR="00E63752" w:rsidRPr="00997765">
        <w:rPr>
          <w:rFonts w:ascii="Arial Narrow" w:hAnsi="Arial Narrow"/>
          <w:sz w:val="18"/>
          <w:szCs w:val="22"/>
        </w:rPr>
        <w:t xml:space="preserve"> drugs; DMARD, </w:t>
      </w:r>
      <w:r w:rsidR="00DC50E7" w:rsidRPr="00997765">
        <w:rPr>
          <w:rFonts w:ascii="Arial Narrow" w:hAnsi="Arial Narrow"/>
          <w:sz w:val="18"/>
          <w:szCs w:val="22"/>
        </w:rPr>
        <w:t xml:space="preserve">disease-modifying </w:t>
      </w:r>
      <w:proofErr w:type="spellStart"/>
      <w:r w:rsidR="00DC50E7" w:rsidRPr="00997765">
        <w:rPr>
          <w:rFonts w:ascii="Arial Narrow" w:hAnsi="Arial Narrow"/>
          <w:sz w:val="18"/>
          <w:szCs w:val="22"/>
        </w:rPr>
        <w:t>anti</w:t>
      </w:r>
      <w:r w:rsidR="00E63752" w:rsidRPr="00997765">
        <w:rPr>
          <w:rFonts w:ascii="Arial Narrow" w:hAnsi="Arial Narrow"/>
          <w:sz w:val="18"/>
          <w:szCs w:val="22"/>
        </w:rPr>
        <w:t>rheumatic</w:t>
      </w:r>
      <w:proofErr w:type="spellEnd"/>
      <w:r w:rsidR="00E63752" w:rsidRPr="00997765">
        <w:rPr>
          <w:rFonts w:ascii="Arial Narrow" w:hAnsi="Arial Narrow"/>
          <w:sz w:val="18"/>
          <w:szCs w:val="22"/>
        </w:rPr>
        <w:t xml:space="preserve"> drugs;</w:t>
      </w:r>
      <w:r w:rsidRPr="00997765">
        <w:rPr>
          <w:rFonts w:ascii="Arial Narrow" w:hAnsi="Arial Narrow"/>
          <w:sz w:val="18"/>
          <w:szCs w:val="22"/>
        </w:rPr>
        <w:t xml:space="preserve"> IM, intramuscular; RCT, randomised controlled trial; SC, subcutaneous</w:t>
      </w:r>
    </w:p>
    <w:p w:rsidR="003949A2" w:rsidRPr="00997765" w:rsidRDefault="003949A2" w:rsidP="003949A2">
      <w:pPr>
        <w:jc w:val="both"/>
        <w:rPr>
          <w:rFonts w:ascii="Arial" w:hAnsi="Arial"/>
          <w:sz w:val="22"/>
          <w:szCs w:val="22"/>
        </w:rPr>
      </w:pPr>
    </w:p>
    <w:p w:rsidR="005A3173" w:rsidRPr="00997765" w:rsidRDefault="005A3173" w:rsidP="005E5CFA">
      <w:pPr>
        <w:pStyle w:val="Heading2"/>
      </w:pPr>
      <w:r w:rsidRPr="00997765">
        <w:t>Comparative harms</w:t>
      </w:r>
    </w:p>
    <w:p w:rsidR="005A3173" w:rsidRPr="00997765" w:rsidRDefault="005A3173" w:rsidP="00882085">
      <w:pPr>
        <w:ind w:left="720" w:hanging="720"/>
        <w:jc w:val="both"/>
        <w:rPr>
          <w:rFonts w:ascii="Arial" w:hAnsi="Arial"/>
          <w:sz w:val="22"/>
          <w:szCs w:val="22"/>
        </w:rPr>
      </w:pPr>
    </w:p>
    <w:p w:rsidR="00027A0B" w:rsidRPr="00997765" w:rsidRDefault="00FB3E5A" w:rsidP="00027A0B">
      <w:pPr>
        <w:pStyle w:val="ListParagraph"/>
        <w:numPr>
          <w:ilvl w:val="1"/>
          <w:numId w:val="1"/>
        </w:numPr>
        <w:jc w:val="both"/>
        <w:rPr>
          <w:rFonts w:ascii="Arial" w:hAnsi="Arial"/>
          <w:sz w:val="22"/>
          <w:szCs w:val="22"/>
        </w:rPr>
      </w:pPr>
      <w:r w:rsidRPr="00997765">
        <w:rPr>
          <w:rFonts w:ascii="Arial" w:hAnsi="Arial"/>
          <w:sz w:val="22"/>
          <w:szCs w:val="22"/>
        </w:rPr>
        <w:t>Insufficient data were presented to support a comparison of safety between 5</w:t>
      </w:r>
      <w:r w:rsidR="004D6A66" w:rsidRPr="00997765">
        <w:rPr>
          <w:rFonts w:ascii="Arial" w:hAnsi="Arial"/>
          <w:sz w:val="22"/>
          <w:szCs w:val="22"/>
        </w:rPr>
        <w:t>0 mg</w:t>
      </w:r>
      <w:r w:rsidR="00E63752" w:rsidRPr="00997765">
        <w:rPr>
          <w:rFonts w:ascii="Arial" w:hAnsi="Arial"/>
          <w:sz w:val="22"/>
          <w:szCs w:val="22"/>
        </w:rPr>
        <w:t>/mL pre-filled syringes and</w:t>
      </w:r>
      <w:r w:rsidRPr="00997765">
        <w:rPr>
          <w:rFonts w:ascii="Arial" w:hAnsi="Arial"/>
          <w:sz w:val="22"/>
          <w:szCs w:val="22"/>
        </w:rPr>
        <w:t xml:space="preserve"> other parenteral </w:t>
      </w:r>
      <w:r w:rsidR="00AB1483" w:rsidRPr="00997765">
        <w:rPr>
          <w:rFonts w:ascii="Arial" w:hAnsi="Arial"/>
          <w:sz w:val="22"/>
          <w:szCs w:val="22"/>
        </w:rPr>
        <w:t xml:space="preserve">methotrexate </w:t>
      </w:r>
      <w:r w:rsidRPr="00997765">
        <w:rPr>
          <w:rFonts w:ascii="Arial" w:hAnsi="Arial"/>
          <w:sz w:val="22"/>
          <w:szCs w:val="22"/>
        </w:rPr>
        <w:t xml:space="preserve">formulations. </w:t>
      </w:r>
    </w:p>
    <w:p w:rsidR="00027A0B" w:rsidRPr="00997765" w:rsidRDefault="00027A0B" w:rsidP="00027A0B">
      <w:pPr>
        <w:pStyle w:val="ListParagraph"/>
        <w:jc w:val="both"/>
        <w:rPr>
          <w:rFonts w:ascii="Arial" w:hAnsi="Arial"/>
          <w:sz w:val="22"/>
          <w:szCs w:val="22"/>
        </w:rPr>
      </w:pPr>
    </w:p>
    <w:p w:rsidR="00027A0B" w:rsidRPr="00997765" w:rsidRDefault="00B63721" w:rsidP="00027A0B">
      <w:pPr>
        <w:pStyle w:val="ListParagraph"/>
        <w:numPr>
          <w:ilvl w:val="1"/>
          <w:numId w:val="1"/>
        </w:numPr>
        <w:jc w:val="both"/>
        <w:rPr>
          <w:rFonts w:ascii="Arial" w:hAnsi="Arial"/>
          <w:sz w:val="22"/>
          <w:szCs w:val="22"/>
        </w:rPr>
      </w:pPr>
      <w:r w:rsidRPr="00997765">
        <w:rPr>
          <w:rFonts w:ascii="Arial" w:hAnsi="Arial"/>
          <w:sz w:val="22"/>
          <w:szCs w:val="22"/>
        </w:rPr>
        <w:t>T</w:t>
      </w:r>
      <w:r w:rsidR="00FB3E5A" w:rsidRPr="00997765">
        <w:rPr>
          <w:rFonts w:ascii="Arial" w:hAnsi="Arial"/>
          <w:sz w:val="22"/>
          <w:szCs w:val="22"/>
        </w:rPr>
        <w:t>he TGA did not identify any major safety concerns with the new presentation of methotrexate.</w:t>
      </w:r>
    </w:p>
    <w:p w:rsidR="00027A0B" w:rsidRPr="00997765" w:rsidRDefault="00027A0B" w:rsidP="00027A0B">
      <w:pPr>
        <w:pStyle w:val="ListParagraph"/>
        <w:rPr>
          <w:rFonts w:ascii="Arial" w:hAnsi="Arial"/>
          <w:sz w:val="22"/>
          <w:szCs w:val="22"/>
        </w:rPr>
      </w:pPr>
    </w:p>
    <w:p w:rsidR="000F4941" w:rsidRPr="00997765" w:rsidRDefault="000F4941" w:rsidP="00027A0B">
      <w:pPr>
        <w:pStyle w:val="ListParagraph"/>
        <w:numPr>
          <w:ilvl w:val="1"/>
          <w:numId w:val="1"/>
        </w:numPr>
        <w:jc w:val="both"/>
        <w:rPr>
          <w:rFonts w:ascii="Arial" w:hAnsi="Arial"/>
          <w:sz w:val="22"/>
          <w:szCs w:val="22"/>
        </w:rPr>
      </w:pPr>
      <w:r w:rsidRPr="00997765">
        <w:rPr>
          <w:rFonts w:ascii="Arial" w:hAnsi="Arial"/>
          <w:sz w:val="22"/>
          <w:szCs w:val="22"/>
        </w:rPr>
        <w:lastRenderedPageBreak/>
        <w:t>There may be potential safety concerns with self-administration of injectable methotrexate outside the clinic setting.</w:t>
      </w:r>
    </w:p>
    <w:p w:rsidR="00FA6055" w:rsidRPr="00997765" w:rsidRDefault="00FA6055" w:rsidP="00B6773F">
      <w:pPr>
        <w:jc w:val="both"/>
        <w:rPr>
          <w:rFonts w:ascii="Arial" w:hAnsi="Arial"/>
          <w:sz w:val="22"/>
          <w:szCs w:val="22"/>
        </w:rPr>
      </w:pPr>
    </w:p>
    <w:p w:rsidR="005A3173" w:rsidRPr="00997765" w:rsidRDefault="005A3173" w:rsidP="005E5CFA">
      <w:pPr>
        <w:pStyle w:val="Heading2"/>
      </w:pPr>
      <w:r w:rsidRPr="00997765">
        <w:t>Clinical claim</w:t>
      </w:r>
    </w:p>
    <w:p w:rsidR="005A3173" w:rsidRPr="00997765" w:rsidRDefault="005A3173" w:rsidP="00882085">
      <w:pPr>
        <w:ind w:left="720" w:hanging="720"/>
        <w:jc w:val="both"/>
        <w:rPr>
          <w:rFonts w:ascii="Arial" w:hAnsi="Arial"/>
          <w:sz w:val="22"/>
          <w:szCs w:val="22"/>
        </w:rPr>
      </w:pPr>
    </w:p>
    <w:p w:rsidR="00BB7EC3" w:rsidRPr="00997765" w:rsidRDefault="00FF2801" w:rsidP="00FC330F">
      <w:pPr>
        <w:pStyle w:val="ListParagraph"/>
        <w:numPr>
          <w:ilvl w:val="1"/>
          <w:numId w:val="1"/>
        </w:numPr>
        <w:jc w:val="both"/>
        <w:rPr>
          <w:rFonts w:ascii="Arial" w:hAnsi="Arial"/>
          <w:sz w:val="22"/>
          <w:szCs w:val="22"/>
        </w:rPr>
      </w:pPr>
      <w:r w:rsidRPr="00997765">
        <w:rPr>
          <w:rFonts w:ascii="Arial" w:hAnsi="Arial"/>
          <w:sz w:val="22"/>
          <w:szCs w:val="22"/>
        </w:rPr>
        <w:t>The submission claimed</w:t>
      </w:r>
      <w:r w:rsidR="00453AEA" w:rsidRPr="00997765">
        <w:rPr>
          <w:rFonts w:ascii="Arial" w:hAnsi="Arial"/>
          <w:sz w:val="22"/>
          <w:szCs w:val="22"/>
        </w:rPr>
        <w:t xml:space="preserve"> bioequivalence between methotrexate pre-filled syringe and other parenteral formulations of methotrexate</w:t>
      </w:r>
      <w:r w:rsidR="009A6B87" w:rsidRPr="00997765">
        <w:rPr>
          <w:rFonts w:ascii="Arial" w:hAnsi="Arial"/>
          <w:sz w:val="22"/>
          <w:szCs w:val="22"/>
        </w:rPr>
        <w:t xml:space="preserve"> (p 34 of the submission)</w:t>
      </w:r>
      <w:r w:rsidR="00C00DA7" w:rsidRPr="00997765">
        <w:rPr>
          <w:rFonts w:ascii="Arial" w:hAnsi="Arial"/>
          <w:sz w:val="22"/>
          <w:szCs w:val="22"/>
        </w:rPr>
        <w:t xml:space="preserve">.  </w:t>
      </w:r>
      <w:r w:rsidR="005D7C69" w:rsidRPr="00997765">
        <w:rPr>
          <w:rFonts w:ascii="Arial" w:hAnsi="Arial"/>
          <w:sz w:val="22"/>
          <w:szCs w:val="22"/>
        </w:rPr>
        <w:t>This claim appeared reasonable.</w:t>
      </w:r>
    </w:p>
    <w:p w:rsidR="00F27BC8" w:rsidRPr="00997765" w:rsidRDefault="00F27BC8" w:rsidP="00F27BC8">
      <w:pPr>
        <w:pStyle w:val="ListParagraph"/>
        <w:jc w:val="both"/>
        <w:rPr>
          <w:rFonts w:ascii="Arial" w:hAnsi="Arial"/>
          <w:sz w:val="22"/>
          <w:szCs w:val="22"/>
        </w:rPr>
      </w:pPr>
    </w:p>
    <w:p w:rsidR="00F27BC8" w:rsidRPr="00997765" w:rsidRDefault="00F27BC8" w:rsidP="00F27BC8">
      <w:pPr>
        <w:pStyle w:val="ListParagraph"/>
        <w:numPr>
          <w:ilvl w:val="1"/>
          <w:numId w:val="1"/>
        </w:numPr>
        <w:rPr>
          <w:rFonts w:ascii="Arial" w:hAnsi="Arial" w:cs="Arial"/>
          <w:bCs/>
          <w:sz w:val="22"/>
        </w:rPr>
      </w:pPr>
      <w:r w:rsidRPr="00997765">
        <w:rPr>
          <w:rFonts w:ascii="Arial" w:hAnsi="Arial" w:cs="Arial"/>
          <w:bCs/>
          <w:sz w:val="22"/>
          <w:szCs w:val="22"/>
        </w:rPr>
        <w:t>The PBAC considered that the claim of non-inferior comparative effectiveness was reasonable.</w:t>
      </w:r>
    </w:p>
    <w:p w:rsidR="00F27BC8" w:rsidRPr="00997765" w:rsidRDefault="00F27BC8" w:rsidP="00F27BC8">
      <w:pPr>
        <w:pStyle w:val="ListParagraph"/>
        <w:rPr>
          <w:rFonts w:ascii="Arial" w:hAnsi="Arial" w:cs="Arial"/>
          <w:bCs/>
          <w:sz w:val="22"/>
          <w:szCs w:val="22"/>
        </w:rPr>
      </w:pPr>
    </w:p>
    <w:p w:rsidR="00F27BC8" w:rsidRPr="00997765" w:rsidRDefault="00F27BC8" w:rsidP="00F27BC8">
      <w:pPr>
        <w:pStyle w:val="ListParagraph"/>
        <w:numPr>
          <w:ilvl w:val="1"/>
          <w:numId w:val="1"/>
        </w:numPr>
        <w:jc w:val="both"/>
        <w:rPr>
          <w:rFonts w:ascii="Arial" w:hAnsi="Arial" w:cs="Arial"/>
          <w:sz w:val="22"/>
          <w:szCs w:val="22"/>
        </w:rPr>
      </w:pPr>
      <w:r w:rsidRPr="00997765">
        <w:rPr>
          <w:rFonts w:ascii="Arial" w:hAnsi="Arial" w:cs="Arial"/>
          <w:sz w:val="22"/>
          <w:szCs w:val="22"/>
        </w:rPr>
        <w:t>The PBAC considered that the claim of non-inferior comparative safety was not adequately supported by the data.</w:t>
      </w:r>
    </w:p>
    <w:p w:rsidR="00F57A6D" w:rsidRPr="00997765" w:rsidRDefault="00F57A6D" w:rsidP="00882085">
      <w:pPr>
        <w:ind w:left="720" w:hanging="720"/>
        <w:jc w:val="both"/>
        <w:rPr>
          <w:rFonts w:ascii="Arial" w:hAnsi="Arial"/>
          <w:sz w:val="22"/>
          <w:szCs w:val="22"/>
        </w:rPr>
      </w:pPr>
    </w:p>
    <w:p w:rsidR="001F37BA" w:rsidRDefault="001F37BA">
      <w:pPr>
        <w:rPr>
          <w:rFonts w:ascii="Arial" w:hAnsi="Arial"/>
          <w:b/>
          <w:i/>
          <w:sz w:val="22"/>
          <w:szCs w:val="22"/>
        </w:rPr>
      </w:pPr>
      <w:r>
        <w:rPr>
          <w:rFonts w:ascii="Arial" w:hAnsi="Arial"/>
          <w:b/>
          <w:i/>
          <w:sz w:val="22"/>
          <w:szCs w:val="22"/>
        </w:rPr>
        <w:br w:type="page"/>
      </w:r>
    </w:p>
    <w:p w:rsidR="005A3173" w:rsidRPr="00997765" w:rsidRDefault="005A3173" w:rsidP="005E5CFA">
      <w:pPr>
        <w:pStyle w:val="Heading2"/>
      </w:pPr>
      <w:r w:rsidRPr="00997765">
        <w:lastRenderedPageBreak/>
        <w:t>Economic analysis</w:t>
      </w:r>
    </w:p>
    <w:p w:rsidR="005A3173" w:rsidRPr="00997765" w:rsidRDefault="005A3173" w:rsidP="00D84934">
      <w:pPr>
        <w:pStyle w:val="NoSpacing"/>
      </w:pPr>
    </w:p>
    <w:p w:rsidR="002C367A" w:rsidRPr="00997765" w:rsidRDefault="002C367A" w:rsidP="00FC330F">
      <w:pPr>
        <w:pStyle w:val="ListParagraph"/>
        <w:numPr>
          <w:ilvl w:val="1"/>
          <w:numId w:val="1"/>
        </w:numPr>
        <w:jc w:val="both"/>
        <w:rPr>
          <w:rFonts w:ascii="Arial" w:hAnsi="Arial"/>
          <w:sz w:val="22"/>
          <w:szCs w:val="22"/>
        </w:rPr>
      </w:pPr>
      <w:r w:rsidRPr="00997765">
        <w:rPr>
          <w:rFonts w:ascii="Arial" w:hAnsi="Arial"/>
          <w:sz w:val="22"/>
          <w:szCs w:val="22"/>
        </w:rPr>
        <w:t>The submission presented a cost-minimisation analysis</w:t>
      </w:r>
      <w:r w:rsidR="00EA130B" w:rsidRPr="00997765">
        <w:rPr>
          <w:rFonts w:ascii="Arial" w:hAnsi="Arial"/>
          <w:sz w:val="22"/>
          <w:szCs w:val="22"/>
        </w:rPr>
        <w:t xml:space="preserve"> (drug</w:t>
      </w:r>
      <w:r w:rsidR="00E022AB" w:rsidRPr="00997765">
        <w:rPr>
          <w:rFonts w:ascii="Arial" w:hAnsi="Arial"/>
          <w:sz w:val="22"/>
          <w:szCs w:val="22"/>
        </w:rPr>
        <w:t>, injection</w:t>
      </w:r>
      <w:r w:rsidR="00EA130B" w:rsidRPr="00997765">
        <w:rPr>
          <w:rFonts w:ascii="Arial" w:hAnsi="Arial"/>
          <w:sz w:val="22"/>
          <w:szCs w:val="22"/>
        </w:rPr>
        <w:t xml:space="preserve"> and administration costs)</w:t>
      </w:r>
      <w:r w:rsidRPr="00997765">
        <w:rPr>
          <w:rFonts w:ascii="Arial" w:hAnsi="Arial"/>
          <w:sz w:val="22"/>
          <w:szCs w:val="22"/>
        </w:rPr>
        <w:t xml:space="preserve"> based on the claim of bioequivalence.</w:t>
      </w:r>
    </w:p>
    <w:p w:rsidR="002C367A" w:rsidRPr="00997765" w:rsidRDefault="002C367A" w:rsidP="002C367A">
      <w:pPr>
        <w:jc w:val="both"/>
        <w:rPr>
          <w:rFonts w:ascii="Arial" w:hAnsi="Arial"/>
          <w:sz w:val="22"/>
          <w:szCs w:val="22"/>
        </w:rPr>
      </w:pPr>
    </w:p>
    <w:p w:rsidR="00780883" w:rsidRPr="00997765" w:rsidRDefault="00FB6FA6" w:rsidP="00FC330F">
      <w:pPr>
        <w:pStyle w:val="ListParagraph"/>
        <w:numPr>
          <w:ilvl w:val="1"/>
          <w:numId w:val="1"/>
        </w:numPr>
        <w:jc w:val="both"/>
        <w:rPr>
          <w:rFonts w:ascii="Arial" w:hAnsi="Arial"/>
          <w:sz w:val="22"/>
          <w:szCs w:val="22"/>
        </w:rPr>
      </w:pPr>
      <w:r w:rsidRPr="00997765">
        <w:rPr>
          <w:rFonts w:ascii="Arial" w:hAnsi="Arial"/>
          <w:sz w:val="22"/>
          <w:szCs w:val="22"/>
        </w:rPr>
        <w:t xml:space="preserve">The </w:t>
      </w:r>
      <w:r w:rsidR="00780883" w:rsidRPr="00997765">
        <w:rPr>
          <w:rFonts w:ascii="Arial" w:hAnsi="Arial"/>
          <w:sz w:val="22"/>
          <w:szCs w:val="22"/>
        </w:rPr>
        <w:t xml:space="preserve">submission assumed that methotrexate pre-filled syringe and other </w:t>
      </w:r>
      <w:r w:rsidR="00957ED9" w:rsidRPr="00997765">
        <w:rPr>
          <w:rFonts w:ascii="Arial" w:hAnsi="Arial"/>
          <w:sz w:val="22"/>
          <w:szCs w:val="22"/>
        </w:rPr>
        <w:t>parenteral</w:t>
      </w:r>
      <w:r w:rsidR="00780883" w:rsidRPr="00997765">
        <w:rPr>
          <w:rFonts w:ascii="Arial" w:hAnsi="Arial"/>
          <w:sz w:val="22"/>
          <w:szCs w:val="22"/>
        </w:rPr>
        <w:t xml:space="preserve"> formulations of methotrexate have the same </w:t>
      </w:r>
      <w:proofErr w:type="spellStart"/>
      <w:r w:rsidR="00780883" w:rsidRPr="00997765">
        <w:rPr>
          <w:rFonts w:ascii="Arial" w:hAnsi="Arial"/>
          <w:sz w:val="22"/>
          <w:szCs w:val="22"/>
        </w:rPr>
        <w:t>equi</w:t>
      </w:r>
      <w:proofErr w:type="spellEnd"/>
      <w:r w:rsidR="00780883" w:rsidRPr="00997765">
        <w:rPr>
          <w:rFonts w:ascii="Arial" w:hAnsi="Arial"/>
          <w:sz w:val="22"/>
          <w:szCs w:val="22"/>
        </w:rPr>
        <w:t>-effective doses.</w:t>
      </w:r>
      <w:r w:rsidR="00791BFB" w:rsidRPr="00997765">
        <w:rPr>
          <w:rFonts w:ascii="Arial" w:hAnsi="Arial"/>
          <w:sz w:val="22"/>
          <w:szCs w:val="22"/>
        </w:rPr>
        <w:t xml:space="preserve"> In pragmatic terms, the submission assumed that one methotrexate pre-filled syringe (7.</w:t>
      </w:r>
      <w:r w:rsidR="004D6A66" w:rsidRPr="00997765">
        <w:rPr>
          <w:rFonts w:ascii="Arial" w:hAnsi="Arial"/>
          <w:sz w:val="22"/>
          <w:szCs w:val="22"/>
        </w:rPr>
        <w:t>5 mg</w:t>
      </w:r>
      <w:r w:rsidR="00791BFB" w:rsidRPr="00997765">
        <w:rPr>
          <w:rFonts w:ascii="Arial" w:hAnsi="Arial"/>
          <w:sz w:val="22"/>
          <w:szCs w:val="22"/>
        </w:rPr>
        <w:t>, 1</w:t>
      </w:r>
      <w:r w:rsidR="004D6A66" w:rsidRPr="00997765">
        <w:rPr>
          <w:rFonts w:ascii="Arial" w:hAnsi="Arial"/>
          <w:sz w:val="22"/>
          <w:szCs w:val="22"/>
        </w:rPr>
        <w:t>0 mg</w:t>
      </w:r>
      <w:r w:rsidR="00791BFB" w:rsidRPr="00997765">
        <w:rPr>
          <w:rFonts w:ascii="Arial" w:hAnsi="Arial"/>
          <w:sz w:val="22"/>
          <w:szCs w:val="22"/>
        </w:rPr>
        <w:t>, 1</w:t>
      </w:r>
      <w:r w:rsidR="004D6A66" w:rsidRPr="00997765">
        <w:rPr>
          <w:rFonts w:ascii="Arial" w:hAnsi="Arial"/>
          <w:sz w:val="22"/>
          <w:szCs w:val="22"/>
        </w:rPr>
        <w:t>5 mg</w:t>
      </w:r>
      <w:r w:rsidR="00791BFB" w:rsidRPr="00997765">
        <w:rPr>
          <w:rFonts w:ascii="Arial" w:hAnsi="Arial"/>
          <w:sz w:val="22"/>
          <w:szCs w:val="22"/>
        </w:rPr>
        <w:t>, 2</w:t>
      </w:r>
      <w:r w:rsidR="004D6A66" w:rsidRPr="00997765">
        <w:rPr>
          <w:rFonts w:ascii="Arial" w:hAnsi="Arial"/>
          <w:sz w:val="22"/>
          <w:szCs w:val="22"/>
        </w:rPr>
        <w:t>0 mg</w:t>
      </w:r>
      <w:r w:rsidR="00791BFB" w:rsidRPr="00997765">
        <w:rPr>
          <w:rFonts w:ascii="Arial" w:hAnsi="Arial"/>
          <w:sz w:val="22"/>
          <w:szCs w:val="22"/>
        </w:rPr>
        <w:t>, 2</w:t>
      </w:r>
      <w:r w:rsidR="004D6A66" w:rsidRPr="00997765">
        <w:rPr>
          <w:rFonts w:ascii="Arial" w:hAnsi="Arial"/>
          <w:sz w:val="22"/>
          <w:szCs w:val="22"/>
        </w:rPr>
        <w:t>5 mg</w:t>
      </w:r>
      <w:r w:rsidR="00791BFB" w:rsidRPr="00997765">
        <w:rPr>
          <w:rFonts w:ascii="Arial" w:hAnsi="Arial"/>
          <w:sz w:val="22"/>
          <w:szCs w:val="22"/>
        </w:rPr>
        <w:t xml:space="preserve"> dose strengths available)</w:t>
      </w:r>
      <w:r w:rsidR="00E022AB" w:rsidRPr="00997765">
        <w:rPr>
          <w:rFonts w:ascii="Arial" w:hAnsi="Arial"/>
          <w:sz w:val="22"/>
          <w:szCs w:val="22"/>
        </w:rPr>
        <w:t xml:space="preserve"> was</w:t>
      </w:r>
      <w:r w:rsidR="00791BFB" w:rsidRPr="00997765">
        <w:rPr>
          <w:rFonts w:ascii="Arial" w:hAnsi="Arial"/>
          <w:sz w:val="22"/>
          <w:szCs w:val="22"/>
        </w:rPr>
        <w:t xml:space="preserve"> equivalent to one methotrexate 5</w:t>
      </w:r>
      <w:r w:rsidR="004D6A66" w:rsidRPr="00997765">
        <w:rPr>
          <w:rFonts w:ascii="Arial" w:hAnsi="Arial"/>
          <w:sz w:val="22"/>
          <w:szCs w:val="22"/>
        </w:rPr>
        <w:t>0 mg</w:t>
      </w:r>
      <w:r w:rsidR="00791BFB" w:rsidRPr="00997765">
        <w:rPr>
          <w:rFonts w:ascii="Arial" w:hAnsi="Arial"/>
          <w:sz w:val="22"/>
          <w:szCs w:val="22"/>
        </w:rPr>
        <w:t xml:space="preserve"> vial for injection (which </w:t>
      </w:r>
      <w:r w:rsidR="00F0130C" w:rsidRPr="00997765">
        <w:rPr>
          <w:rFonts w:ascii="Arial" w:hAnsi="Arial"/>
          <w:sz w:val="22"/>
          <w:szCs w:val="22"/>
        </w:rPr>
        <w:t xml:space="preserve">could </w:t>
      </w:r>
      <w:r w:rsidR="00791BFB" w:rsidRPr="00997765">
        <w:rPr>
          <w:rFonts w:ascii="Arial" w:hAnsi="Arial"/>
          <w:sz w:val="22"/>
          <w:szCs w:val="22"/>
        </w:rPr>
        <w:t xml:space="preserve">be used to prepare an equivalent dose, with the remainder lost as wastage). </w:t>
      </w:r>
      <w:r w:rsidR="00780883" w:rsidRPr="00997765">
        <w:rPr>
          <w:rFonts w:ascii="Arial" w:hAnsi="Arial"/>
          <w:sz w:val="22"/>
          <w:szCs w:val="22"/>
        </w:rPr>
        <w:t>This assumption appeared reasonable</w:t>
      </w:r>
      <w:r w:rsidR="00900F1A" w:rsidRPr="00997765">
        <w:rPr>
          <w:rFonts w:ascii="Arial" w:hAnsi="Arial"/>
          <w:sz w:val="22"/>
          <w:szCs w:val="22"/>
        </w:rPr>
        <w:t>.</w:t>
      </w:r>
    </w:p>
    <w:p w:rsidR="00780883" w:rsidRPr="00997765" w:rsidRDefault="00780883" w:rsidP="00780883">
      <w:pPr>
        <w:pStyle w:val="ListParagraph"/>
        <w:rPr>
          <w:rFonts w:ascii="Arial" w:hAnsi="Arial"/>
          <w:sz w:val="22"/>
          <w:szCs w:val="22"/>
        </w:rPr>
      </w:pPr>
    </w:p>
    <w:p w:rsidR="00196307" w:rsidRPr="00997765" w:rsidRDefault="007100FA" w:rsidP="00FC330F">
      <w:pPr>
        <w:pStyle w:val="ListParagraph"/>
        <w:numPr>
          <w:ilvl w:val="1"/>
          <w:numId w:val="1"/>
        </w:numPr>
        <w:jc w:val="both"/>
        <w:rPr>
          <w:rFonts w:ascii="Arial" w:hAnsi="Arial"/>
          <w:sz w:val="22"/>
          <w:szCs w:val="22"/>
        </w:rPr>
      </w:pPr>
      <w:r w:rsidRPr="00997765">
        <w:rPr>
          <w:rFonts w:ascii="Arial" w:hAnsi="Arial"/>
          <w:sz w:val="22"/>
          <w:szCs w:val="22"/>
        </w:rPr>
        <w:t>Estimated</w:t>
      </w:r>
      <w:r w:rsidR="00EF5833" w:rsidRPr="00997765">
        <w:rPr>
          <w:rFonts w:ascii="Arial" w:hAnsi="Arial"/>
          <w:sz w:val="22"/>
          <w:szCs w:val="22"/>
        </w:rPr>
        <w:t xml:space="preserve"> drug c</w:t>
      </w:r>
      <w:r w:rsidR="001C3A84" w:rsidRPr="00997765">
        <w:rPr>
          <w:rFonts w:ascii="Arial" w:hAnsi="Arial"/>
          <w:sz w:val="22"/>
          <w:szCs w:val="22"/>
        </w:rPr>
        <w:t>osts are summarised in Table 7</w:t>
      </w:r>
      <w:r w:rsidR="003A5A40" w:rsidRPr="00997765">
        <w:rPr>
          <w:rFonts w:ascii="Arial" w:hAnsi="Arial"/>
          <w:sz w:val="22"/>
          <w:szCs w:val="22"/>
        </w:rPr>
        <w:t>.</w:t>
      </w:r>
      <w:r w:rsidR="00E022AB" w:rsidRPr="00997765">
        <w:rPr>
          <w:rFonts w:ascii="Arial" w:hAnsi="Arial"/>
          <w:sz w:val="22"/>
          <w:szCs w:val="22"/>
        </w:rPr>
        <w:t xml:space="preserve"> </w:t>
      </w:r>
    </w:p>
    <w:p w:rsidR="00152871" w:rsidRPr="00997765" w:rsidRDefault="00152871" w:rsidP="00152871">
      <w:pPr>
        <w:pStyle w:val="ListParagraph"/>
        <w:rPr>
          <w:rFonts w:ascii="Arial" w:hAnsi="Arial"/>
          <w:sz w:val="22"/>
          <w:szCs w:val="22"/>
        </w:rPr>
      </w:pPr>
    </w:p>
    <w:p w:rsidR="00737EAB" w:rsidRPr="00997765" w:rsidRDefault="001C3A84" w:rsidP="00737EAB">
      <w:pPr>
        <w:ind w:left="709"/>
        <w:rPr>
          <w:rFonts w:ascii="Arial Narrow" w:hAnsi="Arial Narrow"/>
          <w:b/>
          <w:sz w:val="20"/>
        </w:rPr>
      </w:pPr>
      <w:r w:rsidRPr="00997765">
        <w:rPr>
          <w:rFonts w:ascii="Arial Narrow" w:hAnsi="Arial Narrow"/>
          <w:b/>
          <w:sz w:val="20"/>
        </w:rPr>
        <w:t>Table 7</w:t>
      </w:r>
      <w:r w:rsidR="007100FA" w:rsidRPr="00997765">
        <w:rPr>
          <w:rFonts w:ascii="Arial Narrow" w:hAnsi="Arial Narrow"/>
          <w:b/>
          <w:sz w:val="20"/>
        </w:rPr>
        <w:t>: D</w:t>
      </w:r>
      <w:r w:rsidR="00737EAB" w:rsidRPr="00997765">
        <w:rPr>
          <w:rFonts w:ascii="Arial Narrow" w:hAnsi="Arial Narrow"/>
          <w:b/>
          <w:sz w:val="20"/>
        </w:rPr>
        <w:t>rug costs – submission estimates</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301"/>
        <w:gridCol w:w="1300"/>
        <w:gridCol w:w="1300"/>
        <w:gridCol w:w="1300"/>
        <w:gridCol w:w="1304"/>
      </w:tblGrid>
      <w:tr w:rsidR="00737EAB" w:rsidRPr="00997765" w:rsidTr="00DC50E7">
        <w:trPr>
          <w:tblHeader/>
        </w:trPr>
        <w:tc>
          <w:tcPr>
            <w:tcW w:w="1103" w:type="pct"/>
            <w:tcBorders>
              <w:left w:val="single" w:sz="4" w:space="0" w:color="auto"/>
              <w:bottom w:val="single" w:sz="4" w:space="0" w:color="auto"/>
            </w:tcBorders>
            <w:shd w:val="clear" w:color="auto" w:fill="auto"/>
            <w:vAlign w:val="center"/>
            <w:hideMark/>
          </w:tcPr>
          <w:p w:rsidR="00737EAB" w:rsidRPr="00997765" w:rsidRDefault="00737EAB" w:rsidP="00737EAB">
            <w:pPr>
              <w:rPr>
                <w:rFonts w:ascii="Arial Narrow" w:hAnsi="Arial Narrow"/>
                <w:b/>
                <w:sz w:val="20"/>
              </w:rPr>
            </w:pPr>
            <w:r w:rsidRPr="00997765">
              <w:rPr>
                <w:rFonts w:ascii="Arial Narrow" w:hAnsi="Arial Narrow"/>
                <w:b/>
                <w:sz w:val="20"/>
              </w:rPr>
              <w:t>PBS Item</w:t>
            </w:r>
          </w:p>
        </w:tc>
        <w:tc>
          <w:tcPr>
            <w:tcW w:w="779" w:type="pct"/>
            <w:tcBorders>
              <w:bottom w:val="single" w:sz="4" w:space="0" w:color="auto"/>
            </w:tcBorders>
            <w:shd w:val="clear" w:color="auto" w:fill="auto"/>
            <w:vAlign w:val="center"/>
          </w:tcPr>
          <w:p w:rsidR="00737EAB" w:rsidRPr="00997765" w:rsidRDefault="00737EAB" w:rsidP="00737EAB">
            <w:pPr>
              <w:jc w:val="center"/>
              <w:rPr>
                <w:rFonts w:ascii="Arial Narrow" w:hAnsi="Arial Narrow"/>
                <w:b/>
                <w:bCs/>
                <w:sz w:val="20"/>
              </w:rPr>
            </w:pPr>
            <w:r w:rsidRPr="00997765">
              <w:rPr>
                <w:rFonts w:ascii="Arial Narrow" w:hAnsi="Arial Narrow"/>
                <w:b/>
                <w:bCs/>
                <w:sz w:val="20"/>
              </w:rPr>
              <w:t xml:space="preserve">DPMQ/DPMA </w:t>
            </w:r>
          </w:p>
          <w:p w:rsidR="00737EAB" w:rsidRPr="00997765" w:rsidRDefault="00737EAB" w:rsidP="00737EAB">
            <w:pPr>
              <w:jc w:val="center"/>
              <w:rPr>
                <w:rFonts w:ascii="Arial Narrow" w:hAnsi="Arial Narrow"/>
                <w:b/>
                <w:bCs/>
                <w:sz w:val="20"/>
              </w:rPr>
            </w:pPr>
            <w:r w:rsidRPr="00997765">
              <w:rPr>
                <w:rFonts w:ascii="Arial Narrow" w:hAnsi="Arial Narrow"/>
                <w:b/>
                <w:bCs/>
                <w:sz w:val="20"/>
              </w:rPr>
              <w:t>(5 vials)</w:t>
            </w:r>
          </w:p>
        </w:tc>
        <w:tc>
          <w:tcPr>
            <w:tcW w:w="779" w:type="pct"/>
            <w:tcBorders>
              <w:bottom w:val="single" w:sz="4" w:space="0" w:color="auto"/>
            </w:tcBorders>
            <w:shd w:val="clear" w:color="auto" w:fill="auto"/>
            <w:vAlign w:val="center"/>
          </w:tcPr>
          <w:p w:rsidR="00737EAB" w:rsidRPr="00997765" w:rsidRDefault="00737EAB" w:rsidP="00737EAB">
            <w:pPr>
              <w:jc w:val="center"/>
              <w:rPr>
                <w:rFonts w:ascii="Arial Narrow" w:hAnsi="Arial Narrow"/>
                <w:b/>
                <w:bCs/>
                <w:sz w:val="20"/>
              </w:rPr>
            </w:pPr>
            <w:r w:rsidRPr="00997765">
              <w:rPr>
                <w:rFonts w:ascii="Arial Narrow" w:hAnsi="Arial Narrow"/>
                <w:b/>
                <w:bCs/>
                <w:sz w:val="20"/>
              </w:rPr>
              <w:t>Licensed compounder</w:t>
            </w:r>
          </w:p>
        </w:tc>
        <w:tc>
          <w:tcPr>
            <w:tcW w:w="779" w:type="pct"/>
            <w:tcBorders>
              <w:bottom w:val="single" w:sz="4" w:space="0" w:color="auto"/>
            </w:tcBorders>
            <w:shd w:val="clear" w:color="auto" w:fill="auto"/>
            <w:vAlign w:val="center"/>
          </w:tcPr>
          <w:p w:rsidR="00737EAB" w:rsidRPr="00997765" w:rsidRDefault="00737EAB" w:rsidP="00737EAB">
            <w:pPr>
              <w:jc w:val="center"/>
              <w:rPr>
                <w:rFonts w:ascii="Arial Narrow" w:hAnsi="Arial Narrow"/>
                <w:b/>
                <w:bCs/>
                <w:sz w:val="20"/>
              </w:rPr>
            </w:pPr>
            <w:r w:rsidRPr="00997765">
              <w:rPr>
                <w:rFonts w:ascii="Arial Narrow" w:hAnsi="Arial Narrow"/>
                <w:b/>
                <w:bCs/>
                <w:sz w:val="20"/>
              </w:rPr>
              <w:t xml:space="preserve">Total for 5 </w:t>
            </w:r>
            <w:r w:rsidR="009F693F" w:rsidRPr="00997765">
              <w:rPr>
                <w:rFonts w:ascii="Arial Narrow" w:hAnsi="Arial Narrow"/>
                <w:b/>
                <w:bCs/>
                <w:sz w:val="20"/>
              </w:rPr>
              <w:t>injections</w:t>
            </w:r>
          </w:p>
        </w:tc>
        <w:tc>
          <w:tcPr>
            <w:tcW w:w="779" w:type="pct"/>
            <w:tcBorders>
              <w:bottom w:val="single" w:sz="4" w:space="0" w:color="auto"/>
            </w:tcBorders>
            <w:shd w:val="clear" w:color="auto" w:fill="auto"/>
            <w:vAlign w:val="center"/>
          </w:tcPr>
          <w:p w:rsidR="00737EAB" w:rsidRPr="00997765" w:rsidRDefault="00737EAB" w:rsidP="00737EAB">
            <w:pPr>
              <w:jc w:val="center"/>
              <w:rPr>
                <w:rFonts w:ascii="Arial Narrow" w:hAnsi="Arial Narrow"/>
                <w:b/>
                <w:bCs/>
                <w:sz w:val="20"/>
              </w:rPr>
            </w:pPr>
            <w:r w:rsidRPr="00997765">
              <w:rPr>
                <w:rFonts w:ascii="Arial Narrow" w:hAnsi="Arial Narrow"/>
                <w:b/>
                <w:bCs/>
                <w:sz w:val="20"/>
              </w:rPr>
              <w:t>Cost per dose</w:t>
            </w:r>
          </w:p>
        </w:tc>
        <w:tc>
          <w:tcPr>
            <w:tcW w:w="781" w:type="pct"/>
            <w:tcBorders>
              <w:bottom w:val="single" w:sz="4" w:space="0" w:color="auto"/>
              <w:right w:val="single" w:sz="4" w:space="0" w:color="auto"/>
            </w:tcBorders>
            <w:shd w:val="clear" w:color="auto" w:fill="auto"/>
            <w:vAlign w:val="center"/>
          </w:tcPr>
          <w:p w:rsidR="00737EAB" w:rsidRPr="00997765" w:rsidRDefault="00737EAB" w:rsidP="00737EAB">
            <w:pPr>
              <w:jc w:val="center"/>
              <w:rPr>
                <w:rFonts w:ascii="Arial Narrow" w:hAnsi="Arial Narrow"/>
                <w:b/>
                <w:bCs/>
                <w:sz w:val="20"/>
              </w:rPr>
            </w:pPr>
            <w:r w:rsidRPr="00997765">
              <w:rPr>
                <w:rFonts w:ascii="Arial Narrow" w:hAnsi="Arial Narrow"/>
                <w:b/>
                <w:bCs/>
                <w:sz w:val="20"/>
              </w:rPr>
              <w:t>Weighting</w:t>
            </w:r>
          </w:p>
        </w:tc>
      </w:tr>
      <w:tr w:rsidR="00737EAB" w:rsidRPr="00997765" w:rsidTr="0073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737EAB" w:rsidRPr="00997765" w:rsidRDefault="00737EAB" w:rsidP="00737EAB">
            <w:pPr>
              <w:rPr>
                <w:rFonts w:ascii="Arial Narrow" w:hAnsi="Arial Narrow"/>
                <w:b/>
                <w:sz w:val="20"/>
              </w:rPr>
            </w:pPr>
            <w:r w:rsidRPr="00997765">
              <w:rPr>
                <w:rFonts w:ascii="Arial Narrow" w:hAnsi="Arial Narrow"/>
                <w:b/>
                <w:sz w:val="20"/>
              </w:rPr>
              <w:t xml:space="preserve">Methotrexate </w:t>
            </w:r>
            <w:r w:rsidR="00B95053" w:rsidRPr="00997765">
              <w:rPr>
                <w:rFonts w:ascii="Arial Narrow" w:hAnsi="Arial Narrow"/>
                <w:b/>
                <w:sz w:val="20"/>
              </w:rPr>
              <w:t>5</w:t>
            </w:r>
            <w:r w:rsidR="004D6A66" w:rsidRPr="00997765">
              <w:rPr>
                <w:rFonts w:ascii="Arial Narrow" w:hAnsi="Arial Narrow"/>
                <w:b/>
                <w:sz w:val="20"/>
              </w:rPr>
              <w:t>0 mg</w:t>
            </w:r>
            <w:r w:rsidR="00B95053" w:rsidRPr="00997765">
              <w:rPr>
                <w:rFonts w:ascii="Arial Narrow" w:hAnsi="Arial Narrow"/>
                <w:b/>
                <w:sz w:val="20"/>
              </w:rPr>
              <w:t xml:space="preserve"> vial for injection</w:t>
            </w:r>
          </w:p>
        </w:tc>
      </w:tr>
      <w:tr w:rsidR="00737EAB" w:rsidRPr="00997765" w:rsidTr="0073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auto"/>
            <w:vAlign w:val="bottom"/>
          </w:tcPr>
          <w:p w:rsidR="00737EAB" w:rsidRPr="00997765" w:rsidRDefault="00737EAB" w:rsidP="00737EAB">
            <w:pPr>
              <w:rPr>
                <w:rFonts w:ascii="Arial Narrow" w:hAnsi="Arial Narrow"/>
                <w:sz w:val="20"/>
                <w:vertAlign w:val="superscript"/>
              </w:rPr>
            </w:pPr>
            <w:r w:rsidRPr="00997765">
              <w:rPr>
                <w:rFonts w:ascii="Arial Narrow" w:hAnsi="Arial Narrow"/>
                <w:sz w:val="20"/>
              </w:rPr>
              <w:t>1818Q (GS, RA)</w:t>
            </w:r>
            <w:r w:rsidR="005D507B" w:rsidRPr="00997765">
              <w:rPr>
                <w:rFonts w:ascii="Arial Narrow" w:hAnsi="Arial Narrow"/>
                <w:sz w:val="20"/>
                <w:vertAlign w:val="superscript"/>
              </w:rPr>
              <w:t>a</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9F693F"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1%</w:t>
            </w:r>
          </w:p>
        </w:tc>
      </w:tr>
      <w:tr w:rsidR="00737EAB" w:rsidRPr="00997765" w:rsidTr="0073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auto"/>
            <w:vAlign w:val="bottom"/>
          </w:tcPr>
          <w:p w:rsidR="00737EAB" w:rsidRPr="00997765" w:rsidRDefault="00737EAB" w:rsidP="00737EAB">
            <w:pPr>
              <w:tabs>
                <w:tab w:val="right" w:pos="3045"/>
              </w:tabs>
              <w:rPr>
                <w:rFonts w:ascii="Arial Narrow" w:hAnsi="Arial Narrow"/>
                <w:sz w:val="20"/>
                <w:vertAlign w:val="superscript"/>
              </w:rPr>
            </w:pPr>
            <w:r w:rsidRPr="00997765">
              <w:rPr>
                <w:rFonts w:ascii="Arial Narrow" w:hAnsi="Arial Narrow"/>
                <w:sz w:val="20"/>
              </w:rPr>
              <w:t>2395C (GS, RA)</w:t>
            </w:r>
            <w:r w:rsidR="005D507B" w:rsidRPr="00997765">
              <w:rPr>
                <w:rFonts w:ascii="Arial Narrow" w:hAnsi="Arial Narrow"/>
                <w:sz w:val="20"/>
                <w:vertAlign w:val="superscript"/>
              </w:rPr>
              <w:t>a</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9F693F"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65%</w:t>
            </w:r>
          </w:p>
        </w:tc>
      </w:tr>
      <w:tr w:rsidR="00737EAB" w:rsidRPr="00997765" w:rsidTr="0073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auto"/>
            <w:vAlign w:val="bottom"/>
          </w:tcPr>
          <w:p w:rsidR="00737EAB" w:rsidRPr="00997765" w:rsidRDefault="00737EAB" w:rsidP="00737EAB">
            <w:pPr>
              <w:tabs>
                <w:tab w:val="right" w:pos="3045"/>
              </w:tabs>
              <w:rPr>
                <w:rFonts w:ascii="Arial Narrow" w:hAnsi="Arial Narrow"/>
                <w:sz w:val="20"/>
                <w:vertAlign w:val="superscript"/>
              </w:rPr>
            </w:pPr>
            <w:r w:rsidRPr="00997765">
              <w:rPr>
                <w:rFonts w:ascii="Arial Narrow" w:hAnsi="Arial Narrow"/>
                <w:sz w:val="20"/>
              </w:rPr>
              <w:t>7250N (EFC, RA)</w:t>
            </w:r>
            <w:r w:rsidR="005D507B" w:rsidRPr="00997765">
              <w:rPr>
                <w:rFonts w:ascii="Arial Narrow" w:hAnsi="Arial Narrow"/>
                <w:sz w:val="20"/>
                <w:vertAlign w:val="superscript"/>
              </w:rPr>
              <w:t>b</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9F693F"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20%</w:t>
            </w:r>
          </w:p>
        </w:tc>
      </w:tr>
      <w:tr w:rsidR="00737EAB" w:rsidRPr="00997765" w:rsidTr="0073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auto"/>
            <w:vAlign w:val="bottom"/>
          </w:tcPr>
          <w:p w:rsidR="00737EAB" w:rsidRPr="00997765" w:rsidRDefault="00737EAB" w:rsidP="00737EAB">
            <w:pPr>
              <w:tabs>
                <w:tab w:val="right" w:pos="3045"/>
              </w:tabs>
              <w:rPr>
                <w:rFonts w:ascii="Arial Narrow" w:hAnsi="Arial Narrow"/>
                <w:sz w:val="20"/>
                <w:vertAlign w:val="superscript"/>
              </w:rPr>
            </w:pPr>
            <w:r w:rsidRPr="00997765">
              <w:rPr>
                <w:rFonts w:ascii="Arial Narrow" w:hAnsi="Arial Narrow"/>
                <w:sz w:val="20"/>
              </w:rPr>
              <w:t>2395C (GS, PSO)</w:t>
            </w:r>
            <w:r w:rsidR="005D507B" w:rsidRPr="00997765">
              <w:rPr>
                <w:rFonts w:ascii="Arial Narrow" w:hAnsi="Arial Narrow"/>
                <w:sz w:val="20"/>
                <w:vertAlign w:val="superscript"/>
              </w:rPr>
              <w:t>a</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9F693F"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3F6051" w:rsidRPr="00997765" w:rsidRDefault="003F6051" w:rsidP="003F6051">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737EAB" w:rsidRPr="00997765" w:rsidRDefault="003F6051" w:rsidP="00737EAB">
            <w:pPr>
              <w:jc w:val="center"/>
              <w:rPr>
                <w:rFonts w:ascii="Arial Narrow" w:hAnsi="Arial Narrow"/>
                <w:sz w:val="20"/>
              </w:rPr>
            </w:pPr>
            <w:r w:rsidRPr="00997765">
              <w:rPr>
                <w:rFonts w:ascii="Arial Narrow" w:hAnsi="Arial Narrow"/>
                <w:sz w:val="20"/>
              </w:rPr>
              <w:t>9%</w:t>
            </w:r>
          </w:p>
        </w:tc>
      </w:tr>
      <w:tr w:rsidR="00737EAB" w:rsidRPr="00997765" w:rsidTr="0073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37EAB" w:rsidRPr="00997765" w:rsidRDefault="00737EAB" w:rsidP="00737EAB">
            <w:pPr>
              <w:tabs>
                <w:tab w:val="right" w:pos="3045"/>
              </w:tabs>
              <w:rPr>
                <w:rFonts w:ascii="Arial Narrow" w:hAnsi="Arial Narrow"/>
                <w:sz w:val="20"/>
                <w:vertAlign w:val="superscript"/>
              </w:rPr>
            </w:pPr>
            <w:r w:rsidRPr="00997765">
              <w:rPr>
                <w:rFonts w:ascii="Arial Narrow" w:hAnsi="Arial Narrow"/>
                <w:sz w:val="20"/>
              </w:rPr>
              <w:t>7250N (EFC, PSO)</w:t>
            </w:r>
            <w:r w:rsidR="005D507B" w:rsidRPr="00997765">
              <w:rPr>
                <w:rFonts w:ascii="Arial Narrow" w:hAnsi="Arial Narrow"/>
                <w:sz w:val="20"/>
                <w:vertAlign w:val="superscript"/>
              </w:rPr>
              <w:t>b</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9F693F"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5%</w:t>
            </w:r>
          </w:p>
        </w:tc>
      </w:tr>
      <w:tr w:rsidR="00737EAB" w:rsidRPr="00997765" w:rsidTr="0073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37EAB" w:rsidRPr="00997765" w:rsidRDefault="00737EAB" w:rsidP="00737EAB">
            <w:pPr>
              <w:rPr>
                <w:rFonts w:ascii="Arial Narrow" w:hAnsi="Arial Narrow"/>
                <w:b/>
                <w:sz w:val="20"/>
              </w:rPr>
            </w:pPr>
            <w:r w:rsidRPr="00997765">
              <w:rPr>
                <w:rFonts w:ascii="Arial Narrow" w:hAnsi="Arial Narrow"/>
                <w:b/>
                <w:sz w:val="20"/>
              </w:rPr>
              <w:t>Weighted cost of drug acquisition</w:t>
            </w:r>
          </w:p>
        </w:tc>
      </w:tr>
      <w:tr w:rsidR="00737EAB" w:rsidRPr="00997765" w:rsidTr="0073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37EAB" w:rsidRPr="00997765" w:rsidRDefault="006F42D3" w:rsidP="00737EAB">
            <w:pPr>
              <w:tabs>
                <w:tab w:val="right" w:pos="3045"/>
              </w:tabs>
              <w:rPr>
                <w:rFonts w:ascii="Arial Narrow" w:hAnsi="Arial Narrow"/>
                <w:sz w:val="20"/>
              </w:rPr>
            </w:pPr>
            <w:r w:rsidRPr="00997765">
              <w:rPr>
                <w:rFonts w:ascii="Arial Narrow" w:hAnsi="Arial Narrow"/>
                <w:sz w:val="20"/>
              </w:rPr>
              <w:t>Total</w:t>
            </w:r>
            <w:r w:rsidR="002F3CD9" w:rsidRPr="00997765">
              <w:rPr>
                <w:rFonts w:ascii="Arial Narrow" w:hAnsi="Arial Narrow"/>
                <w:sz w:val="20"/>
              </w:rPr>
              <w:t xml:space="preserve"> (DPMQ)</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$10.84</w:t>
            </w: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EAB" w:rsidRPr="00997765" w:rsidRDefault="003F6051" w:rsidP="00737EAB">
            <w:pPr>
              <w:jc w:val="center"/>
              <w:rPr>
                <w:rFonts w:ascii="Arial Narrow" w:hAnsi="Arial Narrow"/>
                <w:sz w:val="20"/>
              </w:rPr>
            </w:pPr>
            <w:r w:rsidRPr="00997765">
              <w:rPr>
                <w:rFonts w:ascii="Arial Narrow" w:hAnsi="Arial Narrow"/>
                <w:sz w:val="20"/>
              </w:rPr>
              <w:t>-</w:t>
            </w:r>
          </w:p>
        </w:tc>
      </w:tr>
    </w:tbl>
    <w:p w:rsidR="00152871" w:rsidRPr="00997765" w:rsidRDefault="00737EAB" w:rsidP="00DF2874">
      <w:pPr>
        <w:pStyle w:val="ListParagraph"/>
        <w:jc w:val="both"/>
        <w:rPr>
          <w:rFonts w:ascii="Arial Narrow" w:hAnsi="Arial Narrow"/>
          <w:sz w:val="18"/>
          <w:szCs w:val="18"/>
        </w:rPr>
      </w:pPr>
      <w:r w:rsidRPr="00997765">
        <w:rPr>
          <w:rFonts w:ascii="Arial Narrow" w:hAnsi="Arial Narrow"/>
          <w:sz w:val="18"/>
          <w:szCs w:val="18"/>
        </w:rPr>
        <w:t>Abbreviations:</w:t>
      </w:r>
      <w:r w:rsidR="004C6E7F" w:rsidRPr="00997765">
        <w:rPr>
          <w:rFonts w:ascii="Arial Narrow" w:hAnsi="Arial Narrow"/>
          <w:sz w:val="18"/>
          <w:szCs w:val="18"/>
        </w:rPr>
        <w:t xml:space="preserve"> DPMQ, dispensed price per maximum quantity; DPMA, dispensed price per maximum amount; EFC, efficient funding of chemotherapy program; GS, general schedule; PSO, psoriasis; RA, rheumatoid arthritis</w:t>
      </w:r>
    </w:p>
    <w:p w:rsidR="00737EAB" w:rsidRPr="00997765" w:rsidRDefault="00737EAB" w:rsidP="002C367A">
      <w:pPr>
        <w:pStyle w:val="ListParagraph"/>
        <w:rPr>
          <w:rFonts w:ascii="Arial Narrow" w:hAnsi="Arial Narrow"/>
          <w:sz w:val="18"/>
          <w:szCs w:val="18"/>
        </w:rPr>
      </w:pPr>
      <w:r w:rsidRPr="00997765">
        <w:rPr>
          <w:rFonts w:ascii="Arial Narrow" w:hAnsi="Arial Narrow"/>
          <w:sz w:val="18"/>
          <w:szCs w:val="18"/>
        </w:rPr>
        <w:t xml:space="preserve">Source: </w:t>
      </w:r>
      <w:r w:rsidR="004C6E7F" w:rsidRPr="00997765">
        <w:rPr>
          <w:rFonts w:ascii="Arial Narrow" w:hAnsi="Arial Narrow"/>
          <w:sz w:val="18"/>
          <w:szCs w:val="18"/>
        </w:rPr>
        <w:t>Table 12 (p 37) of the submission</w:t>
      </w:r>
    </w:p>
    <w:p w:rsidR="00AD2DC1" w:rsidRPr="00997765" w:rsidRDefault="00AD2DC1" w:rsidP="00AD2DC1">
      <w:pPr>
        <w:pStyle w:val="ListParagraph"/>
        <w:jc w:val="both"/>
        <w:rPr>
          <w:rFonts w:ascii="Arial Narrow" w:hAnsi="Arial Narrow"/>
          <w:sz w:val="18"/>
          <w:szCs w:val="18"/>
        </w:rPr>
      </w:pPr>
      <w:proofErr w:type="spellStart"/>
      <w:r w:rsidRPr="00997765">
        <w:rPr>
          <w:rFonts w:ascii="Arial Narrow" w:hAnsi="Arial Narrow"/>
          <w:sz w:val="18"/>
          <w:szCs w:val="18"/>
          <w:vertAlign w:val="superscript"/>
        </w:rPr>
        <w:t>a</w:t>
      </w:r>
      <w:proofErr w:type="spellEnd"/>
      <w:r w:rsidRPr="00997765">
        <w:rPr>
          <w:rFonts w:ascii="Arial Narrow" w:hAnsi="Arial Narrow"/>
          <w:sz w:val="18"/>
          <w:szCs w:val="18"/>
        </w:rPr>
        <w:t xml:space="preserve"> There is a difference in the DPMQ for item 1818Q and 2395C due to differences in the handling of mark-ups which are applied at the individual vial level for 1818Q but applied to a pack of 5 vials for item 2395C</w:t>
      </w:r>
    </w:p>
    <w:p w:rsidR="00B95053" w:rsidRPr="00997765" w:rsidRDefault="00AD2DC1" w:rsidP="00DF2874">
      <w:pPr>
        <w:pStyle w:val="ListParagraph"/>
        <w:jc w:val="both"/>
        <w:rPr>
          <w:rFonts w:ascii="Arial Narrow" w:hAnsi="Arial Narrow"/>
          <w:sz w:val="18"/>
          <w:szCs w:val="18"/>
        </w:rPr>
      </w:pPr>
      <w:proofErr w:type="gramStart"/>
      <w:r w:rsidRPr="00997765">
        <w:rPr>
          <w:rFonts w:ascii="Arial Narrow" w:hAnsi="Arial Narrow"/>
          <w:sz w:val="18"/>
          <w:szCs w:val="18"/>
          <w:vertAlign w:val="superscript"/>
        </w:rPr>
        <w:t>b</w:t>
      </w:r>
      <w:proofErr w:type="gramEnd"/>
      <w:r w:rsidR="00B95053" w:rsidRPr="00997765">
        <w:rPr>
          <w:rFonts w:ascii="Arial Narrow" w:hAnsi="Arial Narrow"/>
          <w:sz w:val="18"/>
          <w:szCs w:val="18"/>
        </w:rPr>
        <w:t xml:space="preserve"> The submission </w:t>
      </w:r>
      <w:r w:rsidR="00FA0EF1" w:rsidRPr="00997765">
        <w:rPr>
          <w:rFonts w:ascii="Arial Narrow" w:hAnsi="Arial Narrow"/>
          <w:sz w:val="18"/>
          <w:szCs w:val="18"/>
        </w:rPr>
        <w:t>inappropriately</w:t>
      </w:r>
      <w:r w:rsidR="00B95053" w:rsidRPr="00997765">
        <w:rPr>
          <w:rFonts w:ascii="Arial Narrow" w:hAnsi="Arial Narrow"/>
          <w:sz w:val="18"/>
          <w:szCs w:val="18"/>
        </w:rPr>
        <w:t xml:space="preserve"> </w:t>
      </w:r>
      <w:r w:rsidR="00FA0EF1" w:rsidRPr="00997765">
        <w:rPr>
          <w:rFonts w:ascii="Arial Narrow" w:hAnsi="Arial Narrow"/>
          <w:sz w:val="18"/>
          <w:szCs w:val="18"/>
        </w:rPr>
        <w:t xml:space="preserve">calculated the cost of methotrexate vials under the </w:t>
      </w:r>
      <w:r w:rsidR="00A258AE">
        <w:rPr>
          <w:rFonts w:ascii="Arial Narrow" w:hAnsi="Arial Narrow"/>
          <w:sz w:val="18"/>
          <w:szCs w:val="18"/>
        </w:rPr>
        <w:t>E</w:t>
      </w:r>
      <w:r w:rsidR="00A258AE" w:rsidRPr="00997765">
        <w:rPr>
          <w:rFonts w:ascii="Arial Narrow" w:hAnsi="Arial Narrow"/>
          <w:sz w:val="18"/>
          <w:szCs w:val="18"/>
        </w:rPr>
        <w:t xml:space="preserve">fficient </w:t>
      </w:r>
      <w:r w:rsidR="00A258AE">
        <w:rPr>
          <w:rFonts w:ascii="Arial Narrow" w:hAnsi="Arial Narrow"/>
          <w:sz w:val="18"/>
          <w:szCs w:val="18"/>
        </w:rPr>
        <w:t>F</w:t>
      </w:r>
      <w:r w:rsidR="00A258AE" w:rsidRPr="00997765">
        <w:rPr>
          <w:rFonts w:ascii="Arial Narrow" w:hAnsi="Arial Narrow"/>
          <w:sz w:val="18"/>
          <w:szCs w:val="18"/>
        </w:rPr>
        <w:t xml:space="preserve">unding </w:t>
      </w:r>
      <w:r w:rsidR="00FA0EF1" w:rsidRPr="00997765">
        <w:rPr>
          <w:rFonts w:ascii="Arial Narrow" w:hAnsi="Arial Narrow"/>
          <w:sz w:val="18"/>
          <w:szCs w:val="18"/>
        </w:rPr>
        <w:t xml:space="preserve">of </w:t>
      </w:r>
      <w:r w:rsidR="00A258AE">
        <w:rPr>
          <w:rFonts w:ascii="Arial Narrow" w:hAnsi="Arial Narrow"/>
          <w:sz w:val="18"/>
          <w:szCs w:val="18"/>
        </w:rPr>
        <w:t>C</w:t>
      </w:r>
      <w:r w:rsidR="00A258AE" w:rsidRPr="00997765">
        <w:rPr>
          <w:rFonts w:ascii="Arial Narrow" w:hAnsi="Arial Narrow"/>
          <w:sz w:val="18"/>
          <w:szCs w:val="18"/>
        </w:rPr>
        <w:t xml:space="preserve">hemotherapy </w:t>
      </w:r>
      <w:r w:rsidR="00DF2874" w:rsidRPr="00997765">
        <w:rPr>
          <w:rFonts w:ascii="Arial Narrow" w:hAnsi="Arial Narrow"/>
          <w:sz w:val="18"/>
          <w:szCs w:val="18"/>
        </w:rPr>
        <w:t>program. The PBS</w:t>
      </w:r>
      <w:r w:rsidR="00FA0EF1" w:rsidRPr="00997765">
        <w:rPr>
          <w:rFonts w:ascii="Arial Narrow" w:hAnsi="Arial Narrow"/>
          <w:sz w:val="18"/>
          <w:szCs w:val="18"/>
        </w:rPr>
        <w:t xml:space="preserve"> only subsidises the actual mg dispensed and the use of compounding pharmacies will reduce the impact of wastage (i.e. multiple injections can be made from one vial).</w:t>
      </w:r>
      <w:r w:rsidR="00B95053" w:rsidRPr="00997765">
        <w:rPr>
          <w:rFonts w:ascii="Arial Narrow" w:hAnsi="Arial Narrow"/>
          <w:sz w:val="18"/>
          <w:szCs w:val="18"/>
        </w:rPr>
        <w:t xml:space="preserve"> </w:t>
      </w:r>
      <w:r w:rsidR="00A258AE" w:rsidRPr="00997765">
        <w:rPr>
          <w:rFonts w:ascii="Arial Narrow" w:hAnsi="Arial Narrow"/>
          <w:sz w:val="18"/>
          <w:szCs w:val="18"/>
        </w:rPr>
        <w:t>Therefore,</w:t>
      </w:r>
      <w:r w:rsidR="00DF2874" w:rsidRPr="00997765">
        <w:rPr>
          <w:rFonts w:ascii="Arial Narrow" w:hAnsi="Arial Narrow"/>
          <w:sz w:val="18"/>
          <w:szCs w:val="18"/>
        </w:rPr>
        <w:t xml:space="preserve"> the submission has overestimated the cost of methotrexate vials under the chemotherapy program</w:t>
      </w:r>
    </w:p>
    <w:p w:rsidR="00152871" w:rsidRPr="00997765" w:rsidRDefault="00152871" w:rsidP="002C367A">
      <w:pPr>
        <w:pStyle w:val="ListParagraph"/>
        <w:rPr>
          <w:rFonts w:ascii="Arial" w:hAnsi="Arial"/>
          <w:sz w:val="22"/>
          <w:szCs w:val="22"/>
        </w:rPr>
      </w:pPr>
    </w:p>
    <w:p w:rsidR="00027A0B" w:rsidRPr="00997765" w:rsidRDefault="00266F2A" w:rsidP="00027A0B">
      <w:pPr>
        <w:pStyle w:val="ListParagraph"/>
        <w:numPr>
          <w:ilvl w:val="1"/>
          <w:numId w:val="1"/>
        </w:numPr>
        <w:jc w:val="both"/>
        <w:rPr>
          <w:rFonts w:ascii="Arial" w:hAnsi="Arial"/>
          <w:sz w:val="22"/>
          <w:szCs w:val="22"/>
        </w:rPr>
      </w:pPr>
      <w:r w:rsidRPr="00997765">
        <w:rPr>
          <w:rFonts w:ascii="Arial" w:hAnsi="Arial"/>
          <w:sz w:val="22"/>
          <w:szCs w:val="22"/>
        </w:rPr>
        <w:t xml:space="preserve">The inclusion of chemotherapy items in the calculation of drug prices </w:t>
      </w:r>
      <w:r w:rsidR="00DC50E7" w:rsidRPr="00997765">
        <w:rPr>
          <w:rFonts w:ascii="Arial" w:hAnsi="Arial"/>
          <w:sz w:val="22"/>
          <w:szCs w:val="22"/>
        </w:rPr>
        <w:t>wa</w:t>
      </w:r>
      <w:r w:rsidRPr="00997765">
        <w:rPr>
          <w:rFonts w:ascii="Arial" w:hAnsi="Arial"/>
          <w:sz w:val="22"/>
          <w:szCs w:val="22"/>
        </w:rPr>
        <w:t>s inadequately justified.</w:t>
      </w:r>
      <w:r w:rsidR="00EF5833" w:rsidRPr="00997765">
        <w:rPr>
          <w:rFonts w:ascii="Arial" w:hAnsi="Arial"/>
          <w:sz w:val="22"/>
          <w:szCs w:val="22"/>
        </w:rPr>
        <w:t xml:space="preserve"> The efficient funding of chemotherapy program is used by oncologists to prescribe chemotherapy and other supportive treatments for the management of cancer in hospital settings. </w:t>
      </w:r>
      <w:r w:rsidR="003A5A40" w:rsidRPr="00997765">
        <w:rPr>
          <w:rFonts w:ascii="Arial" w:hAnsi="Arial"/>
          <w:sz w:val="22"/>
          <w:szCs w:val="22"/>
        </w:rPr>
        <w:t>Use of methotrexate in these populations most likel</w:t>
      </w:r>
      <w:r w:rsidR="00900F1A" w:rsidRPr="00997765">
        <w:rPr>
          <w:rFonts w:ascii="Arial" w:hAnsi="Arial"/>
          <w:sz w:val="22"/>
          <w:szCs w:val="22"/>
        </w:rPr>
        <w:t>y represents its use as an anti</w:t>
      </w:r>
      <w:r w:rsidR="003A5A40" w:rsidRPr="00997765">
        <w:rPr>
          <w:rFonts w:ascii="Arial" w:hAnsi="Arial"/>
          <w:sz w:val="22"/>
          <w:szCs w:val="22"/>
        </w:rPr>
        <w:t>neoplastic treatment rather than as a treatment for rheumatoid arthritis or psoriasis.</w:t>
      </w:r>
      <w:r w:rsidR="00900F1A" w:rsidRPr="00997765">
        <w:rPr>
          <w:rFonts w:ascii="Arial" w:hAnsi="Arial"/>
          <w:sz w:val="22"/>
          <w:szCs w:val="22"/>
        </w:rPr>
        <w:t xml:space="preserve"> Chemotherapy items were excluded from alternative drug price estimate</w:t>
      </w:r>
      <w:r w:rsidR="00DC50E7" w:rsidRPr="00997765">
        <w:rPr>
          <w:rFonts w:ascii="Arial" w:hAnsi="Arial"/>
          <w:sz w:val="22"/>
          <w:szCs w:val="22"/>
        </w:rPr>
        <w:t>s</w:t>
      </w:r>
      <w:r w:rsidR="00900F1A" w:rsidRPr="00997765">
        <w:rPr>
          <w:rFonts w:ascii="Arial" w:hAnsi="Arial"/>
          <w:sz w:val="22"/>
          <w:szCs w:val="22"/>
        </w:rPr>
        <w:t xml:space="preserve"> calculated for the </w:t>
      </w:r>
      <w:r w:rsidR="00F0130C" w:rsidRPr="00997765">
        <w:rPr>
          <w:rFonts w:ascii="Arial" w:hAnsi="Arial"/>
          <w:sz w:val="22"/>
          <w:szCs w:val="22"/>
        </w:rPr>
        <w:t>evaluation</w:t>
      </w:r>
      <w:r w:rsidR="00900F1A" w:rsidRPr="00997765">
        <w:rPr>
          <w:rFonts w:ascii="Arial" w:hAnsi="Arial"/>
          <w:sz w:val="22"/>
          <w:szCs w:val="22"/>
        </w:rPr>
        <w:t>.</w:t>
      </w:r>
    </w:p>
    <w:p w:rsidR="00027A0B" w:rsidRPr="00997765" w:rsidRDefault="00027A0B" w:rsidP="00027A0B">
      <w:pPr>
        <w:pStyle w:val="ListParagraph"/>
        <w:jc w:val="both"/>
        <w:rPr>
          <w:rFonts w:ascii="Arial" w:hAnsi="Arial"/>
          <w:sz w:val="22"/>
          <w:szCs w:val="22"/>
        </w:rPr>
      </w:pPr>
    </w:p>
    <w:p w:rsidR="00027A0B" w:rsidRPr="00997765" w:rsidRDefault="00C70842" w:rsidP="00027A0B">
      <w:pPr>
        <w:pStyle w:val="ListParagraph"/>
        <w:numPr>
          <w:ilvl w:val="1"/>
          <w:numId w:val="1"/>
        </w:numPr>
        <w:jc w:val="both"/>
        <w:rPr>
          <w:rFonts w:ascii="Arial" w:hAnsi="Arial"/>
          <w:sz w:val="22"/>
          <w:szCs w:val="22"/>
        </w:rPr>
      </w:pPr>
      <w:r w:rsidRPr="00997765">
        <w:rPr>
          <w:rFonts w:ascii="Arial" w:hAnsi="Arial"/>
          <w:sz w:val="22"/>
          <w:szCs w:val="22"/>
        </w:rPr>
        <w:t>The submission did not use the current PBS price of methotrexate 5</w:t>
      </w:r>
      <w:r w:rsidR="004D6A66" w:rsidRPr="00997765">
        <w:rPr>
          <w:rFonts w:ascii="Arial" w:hAnsi="Arial"/>
          <w:sz w:val="22"/>
          <w:szCs w:val="22"/>
        </w:rPr>
        <w:t>0 mg</w:t>
      </w:r>
      <w:r w:rsidRPr="00997765">
        <w:rPr>
          <w:rFonts w:ascii="Arial" w:hAnsi="Arial"/>
          <w:sz w:val="22"/>
          <w:szCs w:val="22"/>
        </w:rPr>
        <w:t xml:space="preserve"> vial for injection. The PBS price </w:t>
      </w:r>
      <w:r w:rsidR="00470DAD" w:rsidRPr="00997765">
        <w:rPr>
          <w:rFonts w:ascii="Arial" w:hAnsi="Arial"/>
          <w:sz w:val="22"/>
          <w:szCs w:val="22"/>
        </w:rPr>
        <w:t xml:space="preserve">for the </w:t>
      </w:r>
      <w:r w:rsidRPr="00997765">
        <w:rPr>
          <w:rFonts w:ascii="Arial" w:hAnsi="Arial"/>
          <w:sz w:val="22"/>
          <w:szCs w:val="22"/>
        </w:rPr>
        <w:t>5</w:t>
      </w:r>
      <w:r w:rsidR="004D6A66" w:rsidRPr="00997765">
        <w:rPr>
          <w:rFonts w:ascii="Arial" w:hAnsi="Arial"/>
          <w:sz w:val="22"/>
          <w:szCs w:val="22"/>
        </w:rPr>
        <w:t>0 mg</w:t>
      </w:r>
      <w:r w:rsidRPr="00997765">
        <w:rPr>
          <w:rFonts w:ascii="Arial" w:hAnsi="Arial"/>
          <w:sz w:val="22"/>
          <w:szCs w:val="22"/>
        </w:rPr>
        <w:t xml:space="preserve"> vial increased </w:t>
      </w:r>
      <w:r w:rsidR="00BE10A1" w:rsidRPr="00997765">
        <w:rPr>
          <w:rFonts w:ascii="Arial" w:hAnsi="Arial"/>
          <w:sz w:val="22"/>
          <w:szCs w:val="22"/>
        </w:rPr>
        <w:t xml:space="preserve">from </w:t>
      </w:r>
      <w:r w:rsidR="00AE6C22" w:rsidRPr="00997765">
        <w:rPr>
          <w:rFonts w:ascii="Arial" w:hAnsi="Arial"/>
          <w:sz w:val="22"/>
          <w:szCs w:val="22"/>
        </w:rPr>
        <w:t xml:space="preserve">DPMQ </w:t>
      </w:r>
      <w:r w:rsidR="00BE10A1" w:rsidRPr="00997765">
        <w:rPr>
          <w:rFonts w:ascii="Arial" w:hAnsi="Arial"/>
          <w:sz w:val="22"/>
          <w:szCs w:val="22"/>
        </w:rPr>
        <w:t>$</w:t>
      </w:r>
      <w:r w:rsidR="00360D24">
        <w:rPr>
          <w:rFonts w:ascii="Arial" w:hAnsi="Arial"/>
          <w:noProof/>
          <w:color w:val="000000"/>
          <w:sz w:val="22"/>
          <w:szCs w:val="22"/>
          <w:highlight w:val="black"/>
        </w:rPr>
        <w:t>'''''''''''''</w:t>
      </w:r>
      <w:r w:rsidR="00AE6C22" w:rsidRPr="00997765">
        <w:rPr>
          <w:rFonts w:ascii="Arial" w:hAnsi="Arial"/>
          <w:sz w:val="22"/>
          <w:szCs w:val="22"/>
        </w:rPr>
        <w:t xml:space="preserve"> (</w:t>
      </w:r>
      <w:r w:rsidR="005D27A1">
        <w:rPr>
          <w:rFonts w:ascii="Arial" w:hAnsi="Arial"/>
          <w:sz w:val="22"/>
          <w:szCs w:val="22"/>
        </w:rPr>
        <w:t>Proportional Ex-manufacturer Price (</w:t>
      </w:r>
      <w:r w:rsidR="00AE6C22" w:rsidRPr="00997765">
        <w:rPr>
          <w:rFonts w:ascii="Arial" w:hAnsi="Arial"/>
          <w:sz w:val="22"/>
          <w:szCs w:val="22"/>
        </w:rPr>
        <w:t>PEMP</w:t>
      </w:r>
      <w:r w:rsidR="005D27A1">
        <w:rPr>
          <w:rFonts w:ascii="Arial" w:hAnsi="Arial"/>
          <w:sz w:val="22"/>
          <w:szCs w:val="22"/>
        </w:rPr>
        <w:t>)</w:t>
      </w:r>
      <w:r w:rsidR="00AE6C22" w:rsidRPr="00997765">
        <w:rPr>
          <w:rFonts w:ascii="Arial" w:hAnsi="Arial"/>
          <w:sz w:val="22"/>
          <w:szCs w:val="22"/>
        </w:rPr>
        <w:t xml:space="preserve"> $</w:t>
      </w:r>
      <w:r w:rsidR="00360D24">
        <w:rPr>
          <w:rFonts w:ascii="Arial" w:hAnsi="Arial"/>
          <w:noProof/>
          <w:color w:val="000000"/>
          <w:sz w:val="22"/>
          <w:szCs w:val="22"/>
          <w:highlight w:val="black"/>
        </w:rPr>
        <w:t>'''''''''''''''</w:t>
      </w:r>
      <w:r w:rsidR="00AE6C22" w:rsidRPr="00997765">
        <w:rPr>
          <w:rFonts w:ascii="Arial" w:hAnsi="Arial"/>
          <w:sz w:val="22"/>
          <w:szCs w:val="22"/>
        </w:rPr>
        <w:t xml:space="preserve">) </w:t>
      </w:r>
      <w:r w:rsidR="00BE10A1" w:rsidRPr="00997765">
        <w:rPr>
          <w:rFonts w:ascii="Arial" w:hAnsi="Arial"/>
          <w:sz w:val="22"/>
          <w:szCs w:val="22"/>
        </w:rPr>
        <w:t xml:space="preserve">in November 2015 to </w:t>
      </w:r>
      <w:r w:rsidR="00AE6C22" w:rsidRPr="00997765">
        <w:rPr>
          <w:rFonts w:ascii="Arial" w:hAnsi="Arial"/>
          <w:sz w:val="22"/>
          <w:szCs w:val="22"/>
        </w:rPr>
        <w:t xml:space="preserve">DPMQ </w:t>
      </w:r>
      <w:r w:rsidR="00BE10A1" w:rsidRPr="00997765">
        <w:rPr>
          <w:rFonts w:ascii="Arial" w:hAnsi="Arial"/>
          <w:sz w:val="22"/>
          <w:szCs w:val="22"/>
        </w:rPr>
        <w:t>$</w:t>
      </w:r>
      <w:r w:rsidR="00360D24">
        <w:rPr>
          <w:rFonts w:ascii="Arial" w:hAnsi="Arial"/>
          <w:noProof/>
          <w:color w:val="000000"/>
          <w:sz w:val="22"/>
          <w:szCs w:val="22"/>
          <w:highlight w:val="black"/>
        </w:rPr>
        <w:t>'''''''''''''</w:t>
      </w:r>
      <w:r w:rsidR="00AE6C22" w:rsidRPr="00997765">
        <w:rPr>
          <w:rFonts w:ascii="Arial" w:hAnsi="Arial"/>
          <w:sz w:val="22"/>
          <w:szCs w:val="22"/>
        </w:rPr>
        <w:t xml:space="preserve"> (PEMP </w:t>
      </w:r>
      <w:r w:rsidR="00BE10A1" w:rsidRPr="00997765">
        <w:rPr>
          <w:rFonts w:ascii="Arial" w:hAnsi="Arial"/>
          <w:sz w:val="22"/>
          <w:szCs w:val="22"/>
        </w:rPr>
        <w:t>$</w:t>
      </w:r>
      <w:r w:rsidR="00360D24">
        <w:rPr>
          <w:rFonts w:ascii="Arial" w:hAnsi="Arial"/>
          <w:noProof/>
          <w:color w:val="000000"/>
          <w:sz w:val="22"/>
          <w:szCs w:val="22"/>
          <w:highlight w:val="black"/>
        </w:rPr>
        <w:t>'''''''''''''''</w:t>
      </w:r>
      <w:r w:rsidR="00BE10A1" w:rsidRPr="00997765">
        <w:rPr>
          <w:rFonts w:ascii="Arial" w:hAnsi="Arial"/>
          <w:sz w:val="22"/>
          <w:szCs w:val="22"/>
        </w:rPr>
        <w:t>)</w:t>
      </w:r>
      <w:r w:rsidRPr="00997765">
        <w:rPr>
          <w:rFonts w:ascii="Arial" w:hAnsi="Arial"/>
          <w:sz w:val="22"/>
          <w:szCs w:val="22"/>
        </w:rPr>
        <w:t xml:space="preserve"> in December 2015 based on an annual PBS price review. The updated methotrexate price </w:t>
      </w:r>
      <w:r w:rsidR="00DC50E7" w:rsidRPr="00997765">
        <w:rPr>
          <w:rFonts w:ascii="Arial" w:hAnsi="Arial"/>
          <w:sz w:val="22"/>
          <w:szCs w:val="22"/>
        </w:rPr>
        <w:t>wa</w:t>
      </w:r>
      <w:r w:rsidRPr="00997765">
        <w:rPr>
          <w:rFonts w:ascii="Arial" w:hAnsi="Arial"/>
          <w:sz w:val="22"/>
          <w:szCs w:val="22"/>
        </w:rPr>
        <w:t xml:space="preserve">s used in the alternative estimates presented in the </w:t>
      </w:r>
      <w:r w:rsidR="00F0130C" w:rsidRPr="00997765">
        <w:rPr>
          <w:rFonts w:ascii="Arial" w:hAnsi="Arial"/>
          <w:sz w:val="22"/>
          <w:szCs w:val="22"/>
        </w:rPr>
        <w:t>evaluation</w:t>
      </w:r>
      <w:r w:rsidRPr="00997765">
        <w:rPr>
          <w:rFonts w:ascii="Arial" w:hAnsi="Arial"/>
          <w:sz w:val="22"/>
          <w:szCs w:val="22"/>
        </w:rPr>
        <w:t xml:space="preserve">. </w:t>
      </w:r>
      <w:r w:rsidR="00F0130C" w:rsidRPr="00997765">
        <w:rPr>
          <w:rFonts w:ascii="Arial" w:hAnsi="Arial"/>
          <w:sz w:val="22"/>
          <w:szCs w:val="22"/>
        </w:rPr>
        <w:t>The pre-PBAC response acknowledged the price increase in 50 mg vial and supplied updated estimates.</w:t>
      </w:r>
    </w:p>
    <w:p w:rsidR="00027A0B" w:rsidRPr="00997765" w:rsidRDefault="00027A0B" w:rsidP="00027A0B">
      <w:pPr>
        <w:pStyle w:val="ListParagraph"/>
        <w:rPr>
          <w:rFonts w:ascii="Arial" w:hAnsi="Arial"/>
          <w:sz w:val="22"/>
          <w:szCs w:val="22"/>
        </w:rPr>
      </w:pPr>
    </w:p>
    <w:p w:rsidR="001640C1" w:rsidRPr="00997765" w:rsidRDefault="00B103E4" w:rsidP="00027A0B">
      <w:pPr>
        <w:pStyle w:val="ListParagraph"/>
        <w:numPr>
          <w:ilvl w:val="1"/>
          <w:numId w:val="1"/>
        </w:numPr>
        <w:jc w:val="both"/>
        <w:rPr>
          <w:rFonts w:ascii="Arial" w:hAnsi="Arial"/>
          <w:sz w:val="22"/>
          <w:szCs w:val="22"/>
        </w:rPr>
      </w:pPr>
      <w:r w:rsidRPr="00997765">
        <w:rPr>
          <w:rFonts w:ascii="Arial" w:hAnsi="Arial"/>
          <w:sz w:val="22"/>
          <w:szCs w:val="22"/>
        </w:rPr>
        <w:t>Comparisons of drug costs between treatment</w:t>
      </w:r>
      <w:r w:rsidR="00BE10A1" w:rsidRPr="00997765">
        <w:rPr>
          <w:rFonts w:ascii="Arial" w:hAnsi="Arial"/>
          <w:sz w:val="22"/>
          <w:szCs w:val="22"/>
        </w:rPr>
        <w:t>s should be based on P</w:t>
      </w:r>
      <w:r w:rsidR="00C776CD" w:rsidRPr="00997765">
        <w:rPr>
          <w:rFonts w:ascii="Arial" w:hAnsi="Arial"/>
          <w:sz w:val="22"/>
          <w:szCs w:val="22"/>
        </w:rPr>
        <w:t xml:space="preserve">EMP values rather than DPMQ values as any offset due to other non-drug costs will be applied to </w:t>
      </w:r>
      <w:r w:rsidR="00C776CD" w:rsidRPr="00997765">
        <w:rPr>
          <w:rFonts w:ascii="Arial" w:hAnsi="Arial"/>
          <w:sz w:val="22"/>
          <w:szCs w:val="22"/>
        </w:rPr>
        <w:lastRenderedPageBreak/>
        <w:t>the ex-manufacturer price</w:t>
      </w:r>
      <w:r w:rsidR="00034561" w:rsidRPr="00997765">
        <w:rPr>
          <w:rFonts w:ascii="Arial" w:hAnsi="Arial"/>
          <w:sz w:val="22"/>
          <w:szCs w:val="22"/>
        </w:rPr>
        <w:t>.</w:t>
      </w:r>
      <w:r w:rsidR="00900F1A" w:rsidRPr="00997765">
        <w:rPr>
          <w:rFonts w:ascii="Arial" w:hAnsi="Arial"/>
          <w:sz w:val="22"/>
          <w:szCs w:val="22"/>
        </w:rPr>
        <w:t xml:space="preserve"> Alternative drug price calculations presented in the </w:t>
      </w:r>
      <w:r w:rsidR="00F0130C" w:rsidRPr="00997765">
        <w:rPr>
          <w:rFonts w:ascii="Arial" w:hAnsi="Arial"/>
          <w:sz w:val="22"/>
          <w:szCs w:val="22"/>
        </w:rPr>
        <w:t xml:space="preserve">evaluation </w:t>
      </w:r>
      <w:r w:rsidR="00DC50E7" w:rsidRPr="00997765">
        <w:rPr>
          <w:rFonts w:ascii="Arial" w:hAnsi="Arial"/>
          <w:sz w:val="22"/>
          <w:szCs w:val="22"/>
        </w:rPr>
        <w:t>we</w:t>
      </w:r>
      <w:r w:rsidR="00900F1A" w:rsidRPr="00997765">
        <w:rPr>
          <w:rFonts w:ascii="Arial" w:hAnsi="Arial"/>
          <w:sz w:val="22"/>
          <w:szCs w:val="22"/>
        </w:rPr>
        <w:t>re based on ex-manufacturer prices.</w:t>
      </w:r>
      <w:r w:rsidR="00027A0B" w:rsidRPr="00997765">
        <w:rPr>
          <w:rFonts w:ascii="Arial" w:hAnsi="Arial"/>
          <w:sz w:val="22"/>
          <w:szCs w:val="22"/>
        </w:rPr>
        <w:t xml:space="preserve"> </w:t>
      </w:r>
      <w:r w:rsidR="00900F1A" w:rsidRPr="00997765">
        <w:rPr>
          <w:rFonts w:ascii="Arial" w:hAnsi="Arial"/>
          <w:sz w:val="22"/>
          <w:szCs w:val="22"/>
        </w:rPr>
        <w:t>Alternative</w:t>
      </w:r>
      <w:r w:rsidR="001640C1" w:rsidRPr="00997765">
        <w:rPr>
          <w:rFonts w:ascii="Arial" w:hAnsi="Arial"/>
          <w:sz w:val="22"/>
          <w:szCs w:val="22"/>
        </w:rPr>
        <w:t xml:space="preserve"> drug cost estimates calculated for the </w:t>
      </w:r>
      <w:r w:rsidR="00F0130C" w:rsidRPr="00997765">
        <w:rPr>
          <w:rFonts w:ascii="Arial" w:hAnsi="Arial"/>
          <w:sz w:val="22"/>
          <w:szCs w:val="22"/>
        </w:rPr>
        <w:t>evaluation we</w:t>
      </w:r>
      <w:r w:rsidR="001C3A84" w:rsidRPr="00997765">
        <w:rPr>
          <w:rFonts w:ascii="Arial" w:hAnsi="Arial"/>
          <w:sz w:val="22"/>
          <w:szCs w:val="22"/>
        </w:rPr>
        <w:t>re summarised in Table 8</w:t>
      </w:r>
      <w:r w:rsidR="001640C1" w:rsidRPr="00997765">
        <w:rPr>
          <w:rFonts w:ascii="Arial" w:hAnsi="Arial"/>
          <w:sz w:val="22"/>
          <w:szCs w:val="22"/>
        </w:rPr>
        <w:t>.</w:t>
      </w:r>
    </w:p>
    <w:p w:rsidR="00F27BC8" w:rsidRPr="00997765" w:rsidRDefault="00F27BC8">
      <w:pPr>
        <w:rPr>
          <w:rFonts w:ascii="Arial Narrow" w:hAnsi="Arial Narrow"/>
          <w:b/>
          <w:sz w:val="20"/>
        </w:rPr>
      </w:pPr>
    </w:p>
    <w:p w:rsidR="00686BF3" w:rsidRPr="00997765" w:rsidRDefault="001C3A84" w:rsidP="00686BF3">
      <w:pPr>
        <w:ind w:left="709"/>
        <w:rPr>
          <w:rFonts w:ascii="Arial Narrow" w:hAnsi="Arial Narrow"/>
          <w:b/>
          <w:sz w:val="20"/>
        </w:rPr>
      </w:pPr>
      <w:r w:rsidRPr="00997765">
        <w:rPr>
          <w:rFonts w:ascii="Arial Narrow" w:hAnsi="Arial Narrow"/>
          <w:b/>
          <w:sz w:val="20"/>
        </w:rPr>
        <w:t>Table 8</w:t>
      </w:r>
      <w:r w:rsidR="007100FA" w:rsidRPr="00997765">
        <w:rPr>
          <w:rFonts w:ascii="Arial Narrow" w:hAnsi="Arial Narrow"/>
          <w:b/>
          <w:sz w:val="20"/>
        </w:rPr>
        <w:t>: D</w:t>
      </w:r>
      <w:r w:rsidR="00686BF3" w:rsidRPr="00997765">
        <w:rPr>
          <w:rFonts w:ascii="Arial Narrow" w:hAnsi="Arial Narrow"/>
          <w:b/>
          <w:sz w:val="20"/>
        </w:rPr>
        <w:t>rug costs – alternat</w:t>
      </w:r>
      <w:r w:rsidR="00DC50E7" w:rsidRPr="00997765">
        <w:rPr>
          <w:rFonts w:ascii="Arial Narrow" w:hAnsi="Arial Narrow"/>
          <w:b/>
          <w:sz w:val="20"/>
        </w:rPr>
        <w:t>ive</w:t>
      </w:r>
      <w:r w:rsidR="00686BF3" w:rsidRPr="00997765">
        <w:rPr>
          <w:rFonts w:ascii="Arial Narrow" w:hAnsi="Arial Narrow"/>
          <w:b/>
          <w:sz w:val="20"/>
        </w:rPr>
        <w:t xml:space="preserve"> estimates</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301"/>
        <w:gridCol w:w="1300"/>
        <w:gridCol w:w="1300"/>
        <w:gridCol w:w="1300"/>
        <w:gridCol w:w="1304"/>
      </w:tblGrid>
      <w:tr w:rsidR="00686BF3" w:rsidRPr="00997765" w:rsidTr="0037018B">
        <w:trPr>
          <w:tblHeader/>
        </w:trPr>
        <w:tc>
          <w:tcPr>
            <w:tcW w:w="1103" w:type="pct"/>
            <w:tcBorders>
              <w:left w:val="single" w:sz="4" w:space="0" w:color="auto"/>
              <w:bottom w:val="single" w:sz="4" w:space="0" w:color="auto"/>
            </w:tcBorders>
            <w:shd w:val="clear" w:color="auto" w:fill="auto"/>
            <w:vAlign w:val="bottom"/>
            <w:hideMark/>
          </w:tcPr>
          <w:p w:rsidR="00686BF3" w:rsidRPr="00997765" w:rsidRDefault="00686BF3" w:rsidP="0037018B">
            <w:pPr>
              <w:rPr>
                <w:rFonts w:ascii="Arial Narrow" w:hAnsi="Arial Narrow"/>
                <w:b/>
                <w:sz w:val="20"/>
              </w:rPr>
            </w:pPr>
            <w:r w:rsidRPr="00997765">
              <w:rPr>
                <w:rFonts w:ascii="Arial Narrow" w:hAnsi="Arial Narrow"/>
                <w:b/>
                <w:sz w:val="20"/>
              </w:rPr>
              <w:t>PBS Item</w:t>
            </w:r>
          </w:p>
        </w:tc>
        <w:tc>
          <w:tcPr>
            <w:tcW w:w="779" w:type="pct"/>
            <w:tcBorders>
              <w:bottom w:val="single" w:sz="4" w:space="0" w:color="auto"/>
            </w:tcBorders>
            <w:shd w:val="clear" w:color="auto" w:fill="auto"/>
            <w:vAlign w:val="bottom"/>
          </w:tcPr>
          <w:p w:rsidR="00686BF3" w:rsidRPr="00997765" w:rsidRDefault="00686BF3" w:rsidP="0037018B">
            <w:pPr>
              <w:jc w:val="center"/>
              <w:rPr>
                <w:rFonts w:ascii="Arial Narrow" w:hAnsi="Arial Narrow"/>
                <w:b/>
                <w:bCs/>
                <w:sz w:val="20"/>
              </w:rPr>
            </w:pPr>
            <w:proofErr w:type="spellStart"/>
            <w:r w:rsidRPr="00997765">
              <w:rPr>
                <w:rFonts w:ascii="Arial Narrow" w:hAnsi="Arial Narrow"/>
                <w:b/>
                <w:bCs/>
                <w:sz w:val="20"/>
              </w:rPr>
              <w:t>PEMP</w:t>
            </w:r>
            <w:r w:rsidRPr="00997765">
              <w:rPr>
                <w:rFonts w:ascii="Arial Narrow" w:hAnsi="Arial Narrow"/>
                <w:b/>
                <w:bCs/>
                <w:sz w:val="20"/>
                <w:vertAlign w:val="superscript"/>
              </w:rPr>
              <w:t>a</w:t>
            </w:r>
            <w:proofErr w:type="spellEnd"/>
            <w:r w:rsidRPr="00997765">
              <w:rPr>
                <w:rFonts w:ascii="Arial Narrow" w:hAnsi="Arial Narrow"/>
                <w:b/>
                <w:bCs/>
                <w:sz w:val="20"/>
              </w:rPr>
              <w:t xml:space="preserve"> </w:t>
            </w:r>
          </w:p>
          <w:p w:rsidR="00686BF3" w:rsidRPr="00997765" w:rsidRDefault="00686BF3" w:rsidP="0037018B">
            <w:pPr>
              <w:jc w:val="center"/>
              <w:rPr>
                <w:rFonts w:ascii="Arial Narrow" w:hAnsi="Arial Narrow"/>
                <w:b/>
                <w:bCs/>
                <w:sz w:val="20"/>
              </w:rPr>
            </w:pPr>
            <w:r w:rsidRPr="00997765">
              <w:rPr>
                <w:rFonts w:ascii="Arial Narrow" w:hAnsi="Arial Narrow"/>
                <w:b/>
                <w:bCs/>
                <w:sz w:val="20"/>
              </w:rPr>
              <w:t>(5 vials)</w:t>
            </w:r>
          </w:p>
        </w:tc>
        <w:tc>
          <w:tcPr>
            <w:tcW w:w="779" w:type="pct"/>
            <w:tcBorders>
              <w:bottom w:val="single" w:sz="4" w:space="0" w:color="auto"/>
            </w:tcBorders>
            <w:shd w:val="clear" w:color="auto" w:fill="auto"/>
            <w:vAlign w:val="bottom"/>
          </w:tcPr>
          <w:p w:rsidR="00686BF3" w:rsidRPr="00997765" w:rsidRDefault="00686BF3" w:rsidP="0037018B">
            <w:pPr>
              <w:jc w:val="center"/>
              <w:rPr>
                <w:rFonts w:ascii="Arial Narrow" w:hAnsi="Arial Narrow"/>
                <w:b/>
                <w:bCs/>
                <w:sz w:val="20"/>
              </w:rPr>
            </w:pPr>
            <w:r w:rsidRPr="00997765">
              <w:rPr>
                <w:rFonts w:ascii="Arial Narrow" w:hAnsi="Arial Narrow"/>
                <w:b/>
                <w:bCs/>
                <w:sz w:val="20"/>
              </w:rPr>
              <w:t>Licensed compounder</w:t>
            </w:r>
          </w:p>
        </w:tc>
        <w:tc>
          <w:tcPr>
            <w:tcW w:w="779" w:type="pct"/>
            <w:tcBorders>
              <w:bottom w:val="single" w:sz="4" w:space="0" w:color="auto"/>
            </w:tcBorders>
            <w:shd w:val="clear" w:color="auto" w:fill="auto"/>
            <w:vAlign w:val="bottom"/>
          </w:tcPr>
          <w:p w:rsidR="00686BF3" w:rsidRPr="00997765" w:rsidRDefault="00686BF3" w:rsidP="0037018B">
            <w:pPr>
              <w:jc w:val="center"/>
              <w:rPr>
                <w:rFonts w:ascii="Arial Narrow" w:hAnsi="Arial Narrow"/>
                <w:b/>
                <w:bCs/>
                <w:sz w:val="20"/>
              </w:rPr>
            </w:pPr>
            <w:r w:rsidRPr="00997765">
              <w:rPr>
                <w:rFonts w:ascii="Arial Narrow" w:hAnsi="Arial Narrow"/>
                <w:b/>
                <w:bCs/>
                <w:sz w:val="20"/>
              </w:rPr>
              <w:t>Total for 5 injections</w:t>
            </w:r>
          </w:p>
        </w:tc>
        <w:tc>
          <w:tcPr>
            <w:tcW w:w="779" w:type="pct"/>
            <w:tcBorders>
              <w:bottom w:val="single" w:sz="4" w:space="0" w:color="auto"/>
            </w:tcBorders>
            <w:shd w:val="clear" w:color="auto" w:fill="auto"/>
            <w:vAlign w:val="bottom"/>
          </w:tcPr>
          <w:p w:rsidR="00686BF3" w:rsidRPr="00997765" w:rsidRDefault="00686BF3" w:rsidP="0037018B">
            <w:pPr>
              <w:jc w:val="center"/>
              <w:rPr>
                <w:rFonts w:ascii="Arial Narrow" w:hAnsi="Arial Narrow"/>
                <w:b/>
                <w:bCs/>
                <w:sz w:val="20"/>
              </w:rPr>
            </w:pPr>
            <w:r w:rsidRPr="00997765">
              <w:rPr>
                <w:rFonts w:ascii="Arial Narrow" w:hAnsi="Arial Narrow"/>
                <w:b/>
                <w:bCs/>
                <w:sz w:val="20"/>
              </w:rPr>
              <w:t>Cost per dose</w:t>
            </w:r>
          </w:p>
        </w:tc>
        <w:tc>
          <w:tcPr>
            <w:tcW w:w="781" w:type="pct"/>
            <w:tcBorders>
              <w:bottom w:val="single" w:sz="4" w:space="0" w:color="auto"/>
              <w:right w:val="single" w:sz="4" w:space="0" w:color="auto"/>
            </w:tcBorders>
            <w:shd w:val="clear" w:color="auto" w:fill="auto"/>
            <w:vAlign w:val="bottom"/>
          </w:tcPr>
          <w:p w:rsidR="00686BF3" w:rsidRPr="00997765" w:rsidRDefault="00686BF3" w:rsidP="0037018B">
            <w:pPr>
              <w:jc w:val="center"/>
              <w:rPr>
                <w:rFonts w:ascii="Arial Narrow" w:hAnsi="Arial Narrow"/>
                <w:b/>
                <w:bCs/>
                <w:sz w:val="20"/>
              </w:rPr>
            </w:pPr>
            <w:r w:rsidRPr="00997765">
              <w:rPr>
                <w:rFonts w:ascii="Arial Narrow" w:hAnsi="Arial Narrow"/>
                <w:b/>
                <w:bCs/>
                <w:sz w:val="20"/>
              </w:rPr>
              <w:t>Weighting</w:t>
            </w:r>
          </w:p>
        </w:tc>
      </w:tr>
      <w:tr w:rsidR="00686BF3" w:rsidRPr="00997765" w:rsidTr="00370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686BF3" w:rsidRPr="00997765" w:rsidRDefault="00686BF3" w:rsidP="0037018B">
            <w:pPr>
              <w:rPr>
                <w:rFonts w:ascii="Arial Narrow" w:hAnsi="Arial Narrow"/>
                <w:b/>
                <w:sz w:val="20"/>
              </w:rPr>
            </w:pPr>
            <w:r w:rsidRPr="00997765">
              <w:rPr>
                <w:rFonts w:ascii="Arial Narrow" w:hAnsi="Arial Narrow"/>
                <w:b/>
                <w:sz w:val="20"/>
              </w:rPr>
              <w:t>Methotrexate 5</w:t>
            </w:r>
            <w:r w:rsidR="004D6A66" w:rsidRPr="00997765">
              <w:rPr>
                <w:rFonts w:ascii="Arial Narrow" w:hAnsi="Arial Narrow"/>
                <w:b/>
                <w:sz w:val="20"/>
              </w:rPr>
              <w:t>0 mg</w:t>
            </w:r>
            <w:r w:rsidRPr="00997765">
              <w:rPr>
                <w:rFonts w:ascii="Arial Narrow" w:hAnsi="Arial Narrow"/>
                <w:b/>
                <w:sz w:val="20"/>
              </w:rPr>
              <w:t xml:space="preserve"> vial for injection</w:t>
            </w:r>
          </w:p>
        </w:tc>
      </w:tr>
      <w:tr w:rsidR="00686BF3" w:rsidRPr="00997765" w:rsidTr="00370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auto"/>
            <w:vAlign w:val="bottom"/>
          </w:tcPr>
          <w:p w:rsidR="00686BF3" w:rsidRPr="00997765" w:rsidRDefault="00686BF3" w:rsidP="0037018B">
            <w:pPr>
              <w:rPr>
                <w:rFonts w:ascii="Arial Narrow" w:hAnsi="Arial Narrow"/>
                <w:sz w:val="20"/>
              </w:rPr>
            </w:pPr>
            <w:r w:rsidRPr="00997765">
              <w:rPr>
                <w:rFonts w:ascii="Arial Narrow" w:hAnsi="Arial Narrow"/>
                <w:sz w:val="20"/>
              </w:rPr>
              <w:t>1818Q (GS, RA)</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5D507B"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1%</w:t>
            </w:r>
          </w:p>
        </w:tc>
      </w:tr>
      <w:tr w:rsidR="00686BF3" w:rsidRPr="00997765" w:rsidTr="00370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auto"/>
            <w:vAlign w:val="bottom"/>
          </w:tcPr>
          <w:p w:rsidR="00686BF3" w:rsidRPr="00997765" w:rsidRDefault="00686BF3" w:rsidP="0037018B">
            <w:pPr>
              <w:tabs>
                <w:tab w:val="right" w:pos="3045"/>
              </w:tabs>
              <w:rPr>
                <w:rFonts w:ascii="Arial Narrow" w:hAnsi="Arial Narrow"/>
                <w:sz w:val="20"/>
              </w:rPr>
            </w:pPr>
            <w:r w:rsidRPr="00997765">
              <w:rPr>
                <w:rFonts w:ascii="Arial Narrow" w:hAnsi="Arial Narrow"/>
                <w:sz w:val="20"/>
              </w:rPr>
              <w:t>2395C (GS, RA)</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5D507B"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87%</w:t>
            </w:r>
          </w:p>
        </w:tc>
      </w:tr>
      <w:tr w:rsidR="00686BF3" w:rsidRPr="00997765" w:rsidTr="00370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auto"/>
            <w:vAlign w:val="bottom"/>
          </w:tcPr>
          <w:p w:rsidR="00686BF3" w:rsidRPr="00997765" w:rsidRDefault="00686BF3" w:rsidP="0037018B">
            <w:pPr>
              <w:tabs>
                <w:tab w:val="right" w:pos="3045"/>
              </w:tabs>
              <w:rPr>
                <w:rFonts w:ascii="Arial Narrow" w:hAnsi="Arial Narrow"/>
                <w:sz w:val="20"/>
              </w:rPr>
            </w:pPr>
            <w:r w:rsidRPr="00997765">
              <w:rPr>
                <w:rFonts w:ascii="Arial Narrow" w:hAnsi="Arial Narrow"/>
                <w:sz w:val="20"/>
              </w:rPr>
              <w:t>2395C (GS, PSO)</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5D507B"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686BF3" w:rsidRPr="00997765" w:rsidRDefault="00AD2DC1" w:rsidP="0037018B">
            <w:pPr>
              <w:jc w:val="center"/>
              <w:rPr>
                <w:rFonts w:ascii="Arial Narrow" w:hAnsi="Arial Narrow"/>
                <w:sz w:val="20"/>
              </w:rPr>
            </w:pPr>
            <w:r w:rsidRPr="00997765">
              <w:rPr>
                <w:rFonts w:ascii="Arial Narrow" w:hAnsi="Arial Narrow"/>
                <w:sz w:val="20"/>
              </w:rPr>
              <w:t>12%</w:t>
            </w:r>
          </w:p>
        </w:tc>
      </w:tr>
      <w:tr w:rsidR="00686BF3" w:rsidRPr="00997765" w:rsidTr="00370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86BF3" w:rsidRPr="00997765" w:rsidRDefault="00686BF3" w:rsidP="0037018B">
            <w:pPr>
              <w:rPr>
                <w:rFonts w:ascii="Arial Narrow" w:hAnsi="Arial Narrow"/>
                <w:b/>
                <w:sz w:val="20"/>
              </w:rPr>
            </w:pPr>
            <w:r w:rsidRPr="00997765">
              <w:rPr>
                <w:rFonts w:ascii="Arial Narrow" w:hAnsi="Arial Narrow"/>
                <w:b/>
                <w:sz w:val="20"/>
              </w:rPr>
              <w:t>Weighted cost of drug acquisition</w:t>
            </w:r>
          </w:p>
        </w:tc>
      </w:tr>
      <w:tr w:rsidR="00686BF3" w:rsidRPr="00997765" w:rsidTr="006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86BF3" w:rsidRPr="00997765" w:rsidRDefault="00686BF3" w:rsidP="0037018B">
            <w:pPr>
              <w:tabs>
                <w:tab w:val="right" w:pos="3045"/>
              </w:tabs>
              <w:rPr>
                <w:rFonts w:ascii="Arial Narrow" w:hAnsi="Arial Narrow"/>
                <w:sz w:val="20"/>
              </w:rPr>
            </w:pPr>
            <w:r w:rsidRPr="00997765">
              <w:rPr>
                <w:rFonts w:ascii="Arial Narrow" w:hAnsi="Arial Narrow"/>
                <w:sz w:val="20"/>
              </w:rPr>
              <w:t>Total</w:t>
            </w:r>
            <w:r w:rsidR="005C1062" w:rsidRPr="00997765">
              <w:rPr>
                <w:rFonts w:ascii="Arial Narrow" w:hAnsi="Arial Narrow"/>
                <w:sz w:val="20"/>
              </w:rPr>
              <w:t xml:space="preserve"> (A</w:t>
            </w:r>
            <w:r w:rsidR="002F3CD9" w:rsidRPr="00997765">
              <w:rPr>
                <w:rFonts w:ascii="Arial Narrow" w:hAnsi="Arial Narrow"/>
                <w:sz w:val="20"/>
              </w:rPr>
              <w:t>EMP)</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BF3" w:rsidRPr="00997765" w:rsidRDefault="00686BF3" w:rsidP="0037018B">
            <w:pPr>
              <w:jc w:val="center"/>
              <w:rPr>
                <w:rFonts w:ascii="Arial Narrow" w:hAnsi="Arial Narrow"/>
                <w:sz w:val="20"/>
              </w:rPr>
            </w:pPr>
            <w:r w:rsidRPr="00997765">
              <w:rPr>
                <w:rFonts w:ascii="Arial Narrow" w:hAnsi="Arial Narrow"/>
                <w:sz w:val="20"/>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BF3" w:rsidRPr="00997765" w:rsidRDefault="00686BF3" w:rsidP="0037018B">
            <w:pPr>
              <w:jc w:val="center"/>
              <w:rPr>
                <w:rFonts w:ascii="Arial Narrow" w:hAnsi="Arial Narrow"/>
                <w:sz w:val="20"/>
              </w:rPr>
            </w:pPr>
            <w:r w:rsidRPr="00997765">
              <w:rPr>
                <w:rFonts w:ascii="Arial Narrow" w:hAnsi="Arial Narrow"/>
                <w:sz w:val="20"/>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BF3" w:rsidRPr="00997765" w:rsidRDefault="00686BF3" w:rsidP="0037018B">
            <w:pPr>
              <w:jc w:val="center"/>
              <w:rPr>
                <w:rFonts w:ascii="Arial Narrow" w:hAnsi="Arial Narrow"/>
                <w:sz w:val="20"/>
              </w:rPr>
            </w:pPr>
            <w:r w:rsidRPr="00997765">
              <w:rPr>
                <w:rFonts w:ascii="Arial Narrow" w:hAnsi="Arial Narrow"/>
                <w:sz w:val="20"/>
              </w:rPr>
              <w:t>-</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BF3" w:rsidRPr="00997765" w:rsidRDefault="00AD2DC1"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BF3" w:rsidRPr="00997765" w:rsidRDefault="00686BF3" w:rsidP="0037018B">
            <w:pPr>
              <w:jc w:val="center"/>
              <w:rPr>
                <w:rFonts w:ascii="Arial Narrow" w:hAnsi="Arial Narrow"/>
                <w:sz w:val="20"/>
              </w:rPr>
            </w:pPr>
            <w:r w:rsidRPr="00997765">
              <w:rPr>
                <w:rFonts w:ascii="Arial Narrow" w:hAnsi="Arial Narrow"/>
                <w:sz w:val="20"/>
              </w:rPr>
              <w:t>-</w:t>
            </w:r>
          </w:p>
        </w:tc>
      </w:tr>
    </w:tbl>
    <w:p w:rsidR="00686BF3" w:rsidRPr="00997765" w:rsidRDefault="00686BF3" w:rsidP="00686BF3">
      <w:pPr>
        <w:pStyle w:val="ListParagraph"/>
        <w:jc w:val="both"/>
        <w:rPr>
          <w:rFonts w:ascii="Arial Narrow" w:hAnsi="Arial Narrow"/>
          <w:sz w:val="18"/>
          <w:szCs w:val="18"/>
        </w:rPr>
      </w:pPr>
      <w:r w:rsidRPr="00997765">
        <w:rPr>
          <w:rFonts w:ascii="Arial Narrow" w:hAnsi="Arial Narrow"/>
          <w:sz w:val="18"/>
          <w:szCs w:val="18"/>
        </w:rPr>
        <w:t xml:space="preserve">Abbreviations: </w:t>
      </w:r>
      <w:r w:rsidR="001B1CA8" w:rsidRPr="00997765">
        <w:rPr>
          <w:rFonts w:ascii="Arial Narrow" w:hAnsi="Arial Narrow"/>
          <w:sz w:val="18"/>
          <w:szCs w:val="18"/>
        </w:rPr>
        <w:t xml:space="preserve">AEMP, approved ex-manufacturer price; </w:t>
      </w:r>
      <w:r w:rsidRPr="00997765">
        <w:rPr>
          <w:rFonts w:ascii="Arial Narrow" w:hAnsi="Arial Narrow"/>
          <w:sz w:val="18"/>
          <w:szCs w:val="18"/>
        </w:rPr>
        <w:t>PEMP, proportional ex-manufacturer price; GS, general schedule; PSO, psoriasis; RA, rheumatoid arthritis</w:t>
      </w:r>
    </w:p>
    <w:p w:rsidR="00152871" w:rsidRPr="00997765" w:rsidRDefault="00686BF3" w:rsidP="00686BF3">
      <w:pPr>
        <w:pStyle w:val="ListParagraph"/>
        <w:rPr>
          <w:rFonts w:ascii="Arial Narrow" w:hAnsi="Arial Narrow"/>
          <w:sz w:val="18"/>
          <w:szCs w:val="18"/>
        </w:rPr>
      </w:pPr>
      <w:r w:rsidRPr="00997765">
        <w:rPr>
          <w:rFonts w:ascii="Arial Narrow" w:hAnsi="Arial Narrow"/>
          <w:sz w:val="18"/>
          <w:szCs w:val="18"/>
        </w:rPr>
        <w:t xml:space="preserve">Source: </w:t>
      </w:r>
      <w:r w:rsidR="00F0130C" w:rsidRPr="00997765">
        <w:rPr>
          <w:rFonts w:ascii="Arial Narrow" w:hAnsi="Arial Narrow"/>
          <w:sz w:val="18"/>
          <w:szCs w:val="18"/>
        </w:rPr>
        <w:t>calculated during evaluation using</w:t>
      </w:r>
      <w:r w:rsidRPr="00997765">
        <w:rPr>
          <w:rFonts w:ascii="Arial Narrow" w:hAnsi="Arial Narrow"/>
          <w:sz w:val="18"/>
          <w:szCs w:val="18"/>
        </w:rPr>
        <w:t xml:space="preserve"> the cost analysis spreadsheet provided with the submission</w:t>
      </w:r>
    </w:p>
    <w:p w:rsidR="00686BF3" w:rsidRPr="00997765" w:rsidRDefault="00686BF3" w:rsidP="00686BF3">
      <w:pPr>
        <w:pStyle w:val="ListParagraph"/>
        <w:rPr>
          <w:rFonts w:ascii="Arial Narrow" w:hAnsi="Arial Narrow"/>
          <w:sz w:val="18"/>
          <w:szCs w:val="18"/>
        </w:rPr>
      </w:pPr>
      <w:proofErr w:type="spellStart"/>
      <w:proofErr w:type="gramStart"/>
      <w:r w:rsidRPr="00997765">
        <w:rPr>
          <w:rFonts w:ascii="Arial Narrow" w:hAnsi="Arial Narrow"/>
          <w:sz w:val="18"/>
          <w:szCs w:val="18"/>
          <w:vertAlign w:val="superscript"/>
        </w:rPr>
        <w:t>a</w:t>
      </w:r>
      <w:proofErr w:type="spellEnd"/>
      <w:proofErr w:type="gramEnd"/>
      <w:r w:rsidRPr="00997765">
        <w:rPr>
          <w:rFonts w:ascii="Arial Narrow" w:hAnsi="Arial Narrow"/>
          <w:sz w:val="18"/>
          <w:szCs w:val="18"/>
        </w:rPr>
        <w:t xml:space="preserve"> Using updated methotrexate price from December 2015 PBS schedule</w:t>
      </w:r>
    </w:p>
    <w:p w:rsidR="00152871" w:rsidRPr="00997765" w:rsidRDefault="00152871" w:rsidP="002C367A">
      <w:pPr>
        <w:pStyle w:val="ListParagraph"/>
        <w:rPr>
          <w:rFonts w:ascii="Arial" w:hAnsi="Arial"/>
          <w:sz w:val="22"/>
          <w:szCs w:val="22"/>
        </w:rPr>
      </w:pPr>
    </w:p>
    <w:p w:rsidR="005E6941" w:rsidRPr="00997765" w:rsidRDefault="00A85AB7" w:rsidP="00FC330F">
      <w:pPr>
        <w:pStyle w:val="ListParagraph"/>
        <w:numPr>
          <w:ilvl w:val="1"/>
          <w:numId w:val="1"/>
        </w:numPr>
        <w:jc w:val="both"/>
        <w:rPr>
          <w:rFonts w:ascii="Arial" w:hAnsi="Arial"/>
          <w:sz w:val="22"/>
          <w:szCs w:val="22"/>
        </w:rPr>
      </w:pPr>
      <w:r w:rsidRPr="00997765">
        <w:rPr>
          <w:rFonts w:ascii="Arial" w:hAnsi="Arial"/>
          <w:sz w:val="22"/>
          <w:szCs w:val="22"/>
        </w:rPr>
        <w:t>The submission claimed a reduction in injection costs with</w:t>
      </w:r>
      <w:r w:rsidR="00953C7C" w:rsidRPr="00997765">
        <w:rPr>
          <w:rFonts w:ascii="Arial" w:hAnsi="Arial"/>
          <w:sz w:val="22"/>
          <w:szCs w:val="22"/>
        </w:rPr>
        <w:t xml:space="preserve"> the new methotrexate </w:t>
      </w:r>
      <w:r w:rsidR="00B60604" w:rsidRPr="00997765">
        <w:rPr>
          <w:rFonts w:ascii="Arial" w:hAnsi="Arial"/>
          <w:sz w:val="22"/>
          <w:szCs w:val="22"/>
        </w:rPr>
        <w:t>presentation</w:t>
      </w:r>
      <w:r w:rsidR="00A258AE">
        <w:rPr>
          <w:rFonts w:ascii="Arial" w:hAnsi="Arial"/>
          <w:sz w:val="22"/>
          <w:szCs w:val="22"/>
        </w:rPr>
        <w:t>,</w:t>
      </w:r>
      <w:r w:rsidR="00953C7C" w:rsidRPr="00997765">
        <w:rPr>
          <w:rFonts w:ascii="Arial" w:hAnsi="Arial"/>
          <w:sz w:val="22"/>
          <w:szCs w:val="22"/>
        </w:rPr>
        <w:t xml:space="preserve"> which is supplied as a</w:t>
      </w:r>
      <w:r w:rsidRPr="00997765">
        <w:rPr>
          <w:rFonts w:ascii="Arial" w:hAnsi="Arial"/>
          <w:sz w:val="22"/>
          <w:szCs w:val="22"/>
        </w:rPr>
        <w:t xml:space="preserve"> pre-filled syringe with embedded needle</w:t>
      </w:r>
      <w:r w:rsidR="00A258AE">
        <w:rPr>
          <w:rFonts w:ascii="Arial" w:hAnsi="Arial"/>
          <w:sz w:val="22"/>
          <w:szCs w:val="22"/>
        </w:rPr>
        <w:t>,</w:t>
      </w:r>
      <w:r w:rsidRPr="00997765">
        <w:rPr>
          <w:rFonts w:ascii="Arial" w:hAnsi="Arial"/>
          <w:sz w:val="22"/>
          <w:szCs w:val="22"/>
        </w:rPr>
        <w:t xml:space="preserve"> compared to the current </w:t>
      </w:r>
      <w:r w:rsidR="00A258AE" w:rsidRPr="00997765">
        <w:rPr>
          <w:rFonts w:ascii="Arial" w:hAnsi="Arial"/>
          <w:sz w:val="22"/>
          <w:szCs w:val="22"/>
        </w:rPr>
        <w:t>vials that</w:t>
      </w:r>
      <w:r w:rsidRPr="00997765">
        <w:rPr>
          <w:rFonts w:ascii="Arial" w:hAnsi="Arial"/>
          <w:sz w:val="22"/>
          <w:szCs w:val="22"/>
        </w:rPr>
        <w:t xml:space="preserve"> require the separate purchase of additional needle</w:t>
      </w:r>
      <w:r w:rsidR="00953C7C" w:rsidRPr="00997765">
        <w:rPr>
          <w:rFonts w:ascii="Arial" w:hAnsi="Arial"/>
          <w:sz w:val="22"/>
          <w:szCs w:val="22"/>
        </w:rPr>
        <w:t>s</w:t>
      </w:r>
      <w:r w:rsidRPr="00997765">
        <w:rPr>
          <w:rFonts w:ascii="Arial" w:hAnsi="Arial"/>
          <w:sz w:val="22"/>
          <w:szCs w:val="22"/>
        </w:rPr>
        <w:t>/syringes.</w:t>
      </w:r>
      <w:r w:rsidR="00953C7C" w:rsidRPr="00997765">
        <w:rPr>
          <w:rFonts w:ascii="Arial" w:hAnsi="Arial"/>
          <w:sz w:val="22"/>
          <w:szCs w:val="22"/>
        </w:rPr>
        <w:t xml:space="preserve"> The submission </w:t>
      </w:r>
      <w:proofErr w:type="spellStart"/>
      <w:r w:rsidR="00953C7C" w:rsidRPr="00997765">
        <w:rPr>
          <w:rFonts w:ascii="Arial" w:hAnsi="Arial"/>
          <w:sz w:val="22"/>
          <w:szCs w:val="22"/>
        </w:rPr>
        <w:t>proxied</w:t>
      </w:r>
      <w:proofErr w:type="spellEnd"/>
      <w:r w:rsidR="00953C7C" w:rsidRPr="00997765">
        <w:rPr>
          <w:rFonts w:ascii="Arial" w:hAnsi="Arial"/>
          <w:sz w:val="22"/>
          <w:szCs w:val="22"/>
        </w:rPr>
        <w:t xml:space="preserve"> the cost of additional needles/sy</w:t>
      </w:r>
      <w:r w:rsidR="00A760D2" w:rsidRPr="00997765">
        <w:rPr>
          <w:rFonts w:ascii="Arial" w:hAnsi="Arial"/>
          <w:sz w:val="22"/>
          <w:szCs w:val="22"/>
        </w:rPr>
        <w:t>ringes based on the advertised price of insulin needle</w:t>
      </w:r>
      <w:r w:rsidR="004A473F" w:rsidRPr="00997765">
        <w:rPr>
          <w:rFonts w:ascii="Arial" w:hAnsi="Arial"/>
          <w:sz w:val="22"/>
          <w:szCs w:val="22"/>
        </w:rPr>
        <w:t>s</w:t>
      </w:r>
      <w:r w:rsidR="00A760D2" w:rsidRPr="00997765">
        <w:rPr>
          <w:rFonts w:ascii="Arial" w:hAnsi="Arial"/>
          <w:sz w:val="22"/>
          <w:szCs w:val="22"/>
        </w:rPr>
        <w:t>/syringes (which are a similar size) from an Australian online supplier (</w:t>
      </w:r>
      <w:proofErr w:type="spellStart"/>
      <w:r w:rsidR="00A760D2" w:rsidRPr="00997765">
        <w:rPr>
          <w:rFonts w:ascii="Arial" w:hAnsi="Arial"/>
          <w:sz w:val="22"/>
          <w:szCs w:val="22"/>
        </w:rPr>
        <w:t>Medshop</w:t>
      </w:r>
      <w:proofErr w:type="spellEnd"/>
      <w:r w:rsidR="00A760D2" w:rsidRPr="00997765">
        <w:rPr>
          <w:rFonts w:ascii="Arial" w:hAnsi="Arial"/>
          <w:sz w:val="22"/>
          <w:szCs w:val="22"/>
        </w:rPr>
        <w:t xml:space="preserve"> Australia)</w:t>
      </w:r>
      <w:r w:rsidR="00953C7C" w:rsidRPr="00997765">
        <w:rPr>
          <w:rFonts w:ascii="Arial" w:hAnsi="Arial"/>
          <w:sz w:val="22"/>
          <w:szCs w:val="22"/>
        </w:rPr>
        <w:t xml:space="preserve">. </w:t>
      </w:r>
    </w:p>
    <w:p w:rsidR="005E6941" w:rsidRPr="00997765" w:rsidRDefault="005E6941" w:rsidP="005E6941">
      <w:pPr>
        <w:pStyle w:val="ListParagraph"/>
        <w:jc w:val="both"/>
        <w:rPr>
          <w:rFonts w:ascii="Arial" w:hAnsi="Arial"/>
          <w:sz w:val="22"/>
          <w:szCs w:val="22"/>
        </w:rPr>
      </w:pPr>
    </w:p>
    <w:p w:rsidR="00A85AB7" w:rsidRPr="00997765" w:rsidRDefault="005E6941" w:rsidP="00FC330F">
      <w:pPr>
        <w:pStyle w:val="ListParagraph"/>
        <w:numPr>
          <w:ilvl w:val="1"/>
          <w:numId w:val="1"/>
        </w:numPr>
        <w:jc w:val="both"/>
        <w:rPr>
          <w:rFonts w:ascii="Arial" w:hAnsi="Arial"/>
          <w:sz w:val="22"/>
          <w:szCs w:val="22"/>
        </w:rPr>
      </w:pPr>
      <w:r w:rsidRPr="00997765">
        <w:rPr>
          <w:rFonts w:ascii="Arial" w:hAnsi="Arial"/>
          <w:sz w:val="22"/>
          <w:szCs w:val="22"/>
        </w:rPr>
        <w:t xml:space="preserve">Syringe costs appeared reasonable. Needle costs only apply to compounded methotrexate injections dispensed under the </w:t>
      </w:r>
      <w:r w:rsidR="00A258AE">
        <w:rPr>
          <w:rFonts w:ascii="Arial" w:hAnsi="Arial"/>
          <w:sz w:val="22"/>
          <w:szCs w:val="22"/>
        </w:rPr>
        <w:t>E</w:t>
      </w:r>
      <w:r w:rsidR="00A258AE" w:rsidRPr="00997765">
        <w:rPr>
          <w:rFonts w:ascii="Arial" w:hAnsi="Arial"/>
          <w:sz w:val="22"/>
          <w:szCs w:val="22"/>
        </w:rPr>
        <w:t xml:space="preserve">fficient </w:t>
      </w:r>
      <w:r w:rsidR="00A258AE">
        <w:rPr>
          <w:rFonts w:ascii="Arial" w:hAnsi="Arial"/>
          <w:sz w:val="22"/>
          <w:szCs w:val="22"/>
        </w:rPr>
        <w:t>F</w:t>
      </w:r>
      <w:r w:rsidR="00A258AE" w:rsidRPr="00997765">
        <w:rPr>
          <w:rFonts w:ascii="Arial" w:hAnsi="Arial"/>
          <w:sz w:val="22"/>
          <w:szCs w:val="22"/>
        </w:rPr>
        <w:t xml:space="preserve">unding </w:t>
      </w:r>
      <w:r w:rsidRPr="00997765">
        <w:rPr>
          <w:rFonts w:ascii="Arial" w:hAnsi="Arial"/>
          <w:sz w:val="22"/>
          <w:szCs w:val="22"/>
        </w:rPr>
        <w:t xml:space="preserve">of </w:t>
      </w:r>
      <w:r w:rsidR="00A258AE">
        <w:rPr>
          <w:rFonts w:ascii="Arial" w:hAnsi="Arial"/>
          <w:sz w:val="22"/>
          <w:szCs w:val="22"/>
        </w:rPr>
        <w:t>C</w:t>
      </w:r>
      <w:r w:rsidR="00A258AE" w:rsidRPr="00997765">
        <w:rPr>
          <w:rFonts w:ascii="Arial" w:hAnsi="Arial"/>
          <w:sz w:val="22"/>
          <w:szCs w:val="22"/>
        </w:rPr>
        <w:t xml:space="preserve">hemotherapy </w:t>
      </w:r>
      <w:r w:rsidR="00A258AE">
        <w:rPr>
          <w:rFonts w:ascii="Arial" w:hAnsi="Arial"/>
          <w:sz w:val="22"/>
          <w:szCs w:val="22"/>
        </w:rPr>
        <w:t xml:space="preserve">(EFC) </w:t>
      </w:r>
      <w:r w:rsidRPr="00997765">
        <w:rPr>
          <w:rFonts w:ascii="Arial" w:hAnsi="Arial"/>
          <w:sz w:val="22"/>
          <w:szCs w:val="22"/>
        </w:rPr>
        <w:t xml:space="preserve">program and </w:t>
      </w:r>
      <w:r w:rsidR="00F0130C" w:rsidRPr="00997765">
        <w:rPr>
          <w:rFonts w:ascii="Arial" w:hAnsi="Arial"/>
          <w:sz w:val="22"/>
          <w:szCs w:val="22"/>
        </w:rPr>
        <w:t>we</w:t>
      </w:r>
      <w:r w:rsidRPr="00997765">
        <w:rPr>
          <w:rFonts w:ascii="Arial" w:hAnsi="Arial"/>
          <w:sz w:val="22"/>
          <w:szCs w:val="22"/>
        </w:rPr>
        <w:t>re therefore not directly relevant to the cost-minimisation analysis.</w:t>
      </w:r>
    </w:p>
    <w:p w:rsidR="00953C7C" w:rsidRPr="00997765" w:rsidRDefault="00953C7C" w:rsidP="00953C7C">
      <w:pPr>
        <w:pStyle w:val="ListParagraph"/>
        <w:jc w:val="both"/>
        <w:rPr>
          <w:rFonts w:ascii="Arial" w:hAnsi="Arial"/>
          <w:sz w:val="22"/>
          <w:szCs w:val="22"/>
        </w:rPr>
      </w:pPr>
    </w:p>
    <w:p w:rsidR="00953C7C" w:rsidRPr="00997765" w:rsidRDefault="00953C7C" w:rsidP="00FC330F">
      <w:pPr>
        <w:pStyle w:val="ListParagraph"/>
        <w:numPr>
          <w:ilvl w:val="1"/>
          <w:numId w:val="1"/>
        </w:numPr>
        <w:rPr>
          <w:rFonts w:ascii="Arial" w:hAnsi="Arial"/>
          <w:sz w:val="22"/>
          <w:szCs w:val="22"/>
        </w:rPr>
      </w:pPr>
      <w:r w:rsidRPr="00997765">
        <w:rPr>
          <w:rFonts w:ascii="Arial" w:hAnsi="Arial"/>
          <w:sz w:val="22"/>
          <w:szCs w:val="22"/>
        </w:rPr>
        <w:t>Estimated injection c</w:t>
      </w:r>
      <w:r w:rsidR="001C3A84" w:rsidRPr="00997765">
        <w:rPr>
          <w:rFonts w:ascii="Arial" w:hAnsi="Arial"/>
          <w:sz w:val="22"/>
          <w:szCs w:val="22"/>
        </w:rPr>
        <w:t>osts are summarised in Table 9</w:t>
      </w:r>
      <w:r w:rsidRPr="00997765">
        <w:rPr>
          <w:rFonts w:ascii="Arial" w:hAnsi="Arial"/>
          <w:sz w:val="22"/>
          <w:szCs w:val="22"/>
        </w:rPr>
        <w:t xml:space="preserve">. </w:t>
      </w:r>
    </w:p>
    <w:p w:rsidR="00D56C63" w:rsidRPr="00997765" w:rsidRDefault="00D56C63" w:rsidP="00D56C63">
      <w:pPr>
        <w:pStyle w:val="ListParagraph"/>
        <w:rPr>
          <w:rFonts w:ascii="Arial" w:hAnsi="Arial"/>
          <w:sz w:val="22"/>
          <w:szCs w:val="22"/>
        </w:rPr>
      </w:pPr>
    </w:p>
    <w:p w:rsidR="007100FA" w:rsidRPr="00997765" w:rsidRDefault="001C3A84" w:rsidP="007100FA">
      <w:pPr>
        <w:ind w:left="709"/>
        <w:rPr>
          <w:rFonts w:ascii="Arial Narrow" w:hAnsi="Arial Narrow"/>
          <w:b/>
          <w:sz w:val="20"/>
        </w:rPr>
      </w:pPr>
      <w:r w:rsidRPr="00997765">
        <w:rPr>
          <w:rFonts w:ascii="Arial Narrow" w:hAnsi="Arial Narrow"/>
          <w:b/>
          <w:sz w:val="20"/>
        </w:rPr>
        <w:t>Table 9</w:t>
      </w:r>
      <w:r w:rsidR="007100FA" w:rsidRPr="00997765">
        <w:rPr>
          <w:rFonts w:ascii="Arial Narrow" w:hAnsi="Arial Narrow"/>
          <w:b/>
          <w:sz w:val="20"/>
        </w:rPr>
        <w:t>: Injection costs</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1469"/>
        <w:gridCol w:w="1469"/>
        <w:gridCol w:w="1469"/>
        <w:gridCol w:w="1469"/>
      </w:tblGrid>
      <w:tr w:rsidR="005C1062" w:rsidRPr="00997765" w:rsidTr="00EB5200">
        <w:trPr>
          <w:tblHeader/>
        </w:trPr>
        <w:tc>
          <w:tcPr>
            <w:tcW w:w="1480" w:type="pct"/>
            <w:tcBorders>
              <w:left w:val="single" w:sz="4" w:space="0" w:color="auto"/>
              <w:bottom w:val="single" w:sz="4" w:space="0" w:color="auto"/>
            </w:tcBorders>
            <w:shd w:val="clear" w:color="auto" w:fill="auto"/>
            <w:vAlign w:val="bottom"/>
            <w:hideMark/>
          </w:tcPr>
          <w:p w:rsidR="005C1062" w:rsidRPr="00997765" w:rsidRDefault="005C1062" w:rsidP="0037018B">
            <w:pPr>
              <w:rPr>
                <w:rFonts w:ascii="Arial Narrow" w:hAnsi="Arial Narrow"/>
                <w:b/>
                <w:sz w:val="20"/>
              </w:rPr>
            </w:pPr>
            <w:r w:rsidRPr="00997765">
              <w:rPr>
                <w:rFonts w:ascii="Arial Narrow" w:hAnsi="Arial Narrow"/>
                <w:b/>
                <w:sz w:val="20"/>
              </w:rPr>
              <w:t>Item</w:t>
            </w:r>
          </w:p>
        </w:tc>
        <w:tc>
          <w:tcPr>
            <w:tcW w:w="880" w:type="pct"/>
            <w:tcBorders>
              <w:bottom w:val="single" w:sz="4" w:space="0" w:color="auto"/>
            </w:tcBorders>
            <w:shd w:val="clear" w:color="auto" w:fill="auto"/>
            <w:vAlign w:val="bottom"/>
          </w:tcPr>
          <w:p w:rsidR="005C1062" w:rsidRPr="00997765" w:rsidRDefault="005C1062" w:rsidP="0037018B">
            <w:pPr>
              <w:jc w:val="center"/>
              <w:rPr>
                <w:rFonts w:ascii="Arial Narrow" w:hAnsi="Arial Narrow"/>
                <w:b/>
                <w:bCs/>
                <w:sz w:val="20"/>
              </w:rPr>
            </w:pPr>
            <w:r w:rsidRPr="00997765">
              <w:rPr>
                <w:rFonts w:ascii="Arial Narrow" w:hAnsi="Arial Narrow"/>
                <w:b/>
                <w:bCs/>
                <w:sz w:val="20"/>
              </w:rPr>
              <w:t>Cost</w:t>
            </w:r>
          </w:p>
        </w:tc>
        <w:tc>
          <w:tcPr>
            <w:tcW w:w="880" w:type="pct"/>
            <w:tcBorders>
              <w:bottom w:val="single" w:sz="4" w:space="0" w:color="auto"/>
            </w:tcBorders>
            <w:shd w:val="clear" w:color="auto" w:fill="auto"/>
            <w:vAlign w:val="bottom"/>
          </w:tcPr>
          <w:p w:rsidR="005C1062" w:rsidRPr="00997765" w:rsidRDefault="005C1062" w:rsidP="007100FA">
            <w:pPr>
              <w:jc w:val="center"/>
              <w:rPr>
                <w:rFonts w:ascii="Arial Narrow" w:hAnsi="Arial Narrow"/>
                <w:b/>
                <w:bCs/>
                <w:sz w:val="20"/>
              </w:rPr>
            </w:pPr>
            <w:r w:rsidRPr="00997765">
              <w:rPr>
                <w:rFonts w:ascii="Arial Narrow" w:hAnsi="Arial Narrow"/>
                <w:b/>
                <w:bCs/>
                <w:sz w:val="20"/>
              </w:rPr>
              <w:t>Units</w:t>
            </w:r>
          </w:p>
        </w:tc>
        <w:tc>
          <w:tcPr>
            <w:tcW w:w="880" w:type="pct"/>
            <w:tcBorders>
              <w:bottom w:val="single" w:sz="4" w:space="0" w:color="auto"/>
              <w:right w:val="single" w:sz="4" w:space="0" w:color="auto"/>
            </w:tcBorders>
            <w:shd w:val="clear" w:color="auto" w:fill="auto"/>
            <w:vAlign w:val="bottom"/>
          </w:tcPr>
          <w:p w:rsidR="005C1062" w:rsidRPr="00997765" w:rsidRDefault="005C1062" w:rsidP="007100FA">
            <w:pPr>
              <w:jc w:val="center"/>
              <w:rPr>
                <w:rFonts w:ascii="Arial Narrow" w:hAnsi="Arial Narrow"/>
                <w:b/>
                <w:bCs/>
                <w:sz w:val="20"/>
              </w:rPr>
            </w:pPr>
            <w:r w:rsidRPr="00997765">
              <w:rPr>
                <w:rFonts w:ascii="Arial Narrow" w:hAnsi="Arial Narrow"/>
                <w:b/>
                <w:bCs/>
                <w:sz w:val="20"/>
              </w:rPr>
              <w:t>Cost per dose</w:t>
            </w:r>
          </w:p>
        </w:tc>
        <w:tc>
          <w:tcPr>
            <w:tcW w:w="880" w:type="pct"/>
            <w:tcBorders>
              <w:bottom w:val="single" w:sz="4" w:space="0" w:color="auto"/>
              <w:right w:val="single" w:sz="4" w:space="0" w:color="auto"/>
            </w:tcBorders>
            <w:shd w:val="clear" w:color="auto" w:fill="auto"/>
            <w:vAlign w:val="bottom"/>
          </w:tcPr>
          <w:p w:rsidR="005C1062" w:rsidRPr="00997765" w:rsidRDefault="005C1062" w:rsidP="007100FA">
            <w:pPr>
              <w:jc w:val="center"/>
              <w:rPr>
                <w:rFonts w:ascii="Arial Narrow" w:hAnsi="Arial Narrow"/>
                <w:b/>
                <w:bCs/>
                <w:sz w:val="20"/>
              </w:rPr>
            </w:pPr>
            <w:r w:rsidRPr="00997765">
              <w:rPr>
                <w:rFonts w:ascii="Arial Narrow" w:hAnsi="Arial Narrow"/>
                <w:b/>
                <w:bCs/>
                <w:sz w:val="20"/>
              </w:rPr>
              <w:t>Weighting</w:t>
            </w:r>
          </w:p>
        </w:tc>
      </w:tr>
      <w:tr w:rsidR="007100FA" w:rsidRPr="00997765" w:rsidTr="00370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7100FA" w:rsidRPr="00997765" w:rsidRDefault="007100FA" w:rsidP="0037018B">
            <w:pPr>
              <w:rPr>
                <w:rFonts w:ascii="Arial Narrow" w:hAnsi="Arial Narrow"/>
                <w:b/>
                <w:sz w:val="20"/>
              </w:rPr>
            </w:pPr>
            <w:r w:rsidRPr="00997765">
              <w:rPr>
                <w:rFonts w:ascii="Arial Narrow" w:hAnsi="Arial Narrow"/>
                <w:b/>
                <w:sz w:val="20"/>
              </w:rPr>
              <w:t>Methotrexate 5</w:t>
            </w:r>
            <w:r w:rsidR="004D6A66" w:rsidRPr="00997765">
              <w:rPr>
                <w:rFonts w:ascii="Arial Narrow" w:hAnsi="Arial Narrow"/>
                <w:b/>
                <w:sz w:val="20"/>
              </w:rPr>
              <w:t>0 mg</w:t>
            </w:r>
            <w:r w:rsidRPr="00997765">
              <w:rPr>
                <w:rFonts w:ascii="Arial Narrow" w:hAnsi="Arial Narrow"/>
                <w:b/>
                <w:sz w:val="20"/>
              </w:rPr>
              <w:t xml:space="preserve"> vial for injection</w:t>
            </w:r>
          </w:p>
        </w:tc>
      </w:tr>
      <w:tr w:rsidR="005C1062" w:rsidRPr="00997765" w:rsidTr="00EB5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rsidR="005C1062" w:rsidRPr="00997765" w:rsidRDefault="002C2377" w:rsidP="0037018B">
            <w:pPr>
              <w:rPr>
                <w:rFonts w:ascii="Arial Narrow" w:hAnsi="Arial Narrow"/>
                <w:sz w:val="20"/>
              </w:rPr>
            </w:pPr>
            <w:r w:rsidRPr="00997765">
              <w:rPr>
                <w:rFonts w:ascii="Arial Narrow" w:hAnsi="Arial Narrow"/>
                <w:sz w:val="20"/>
              </w:rPr>
              <w:t>BD Micro-fine pen needles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100</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25%</w:t>
            </w:r>
          </w:p>
        </w:tc>
      </w:tr>
      <w:tr w:rsidR="005C1062" w:rsidRPr="00997765" w:rsidTr="00EB5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rsidR="005C1062" w:rsidRPr="00997765" w:rsidRDefault="002C2377" w:rsidP="0037018B">
            <w:pPr>
              <w:tabs>
                <w:tab w:val="right" w:pos="3045"/>
              </w:tabs>
              <w:rPr>
                <w:rFonts w:ascii="Arial Narrow" w:hAnsi="Arial Narrow"/>
                <w:sz w:val="20"/>
              </w:rPr>
            </w:pPr>
            <w:r w:rsidRPr="00997765">
              <w:rPr>
                <w:rFonts w:ascii="Arial Narrow" w:hAnsi="Arial Narrow"/>
                <w:sz w:val="20"/>
              </w:rPr>
              <w:t>BD Ultra-fine insulin syringes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100</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75%</w:t>
            </w:r>
          </w:p>
        </w:tc>
      </w:tr>
      <w:tr w:rsidR="005C1062" w:rsidRPr="00997765" w:rsidTr="002C23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5C1062" w:rsidRPr="00997765" w:rsidRDefault="005C1062" w:rsidP="005C1062">
            <w:pPr>
              <w:rPr>
                <w:rFonts w:ascii="Arial Narrow" w:hAnsi="Arial Narrow"/>
                <w:b/>
                <w:sz w:val="20"/>
              </w:rPr>
            </w:pPr>
            <w:r w:rsidRPr="00997765">
              <w:rPr>
                <w:rFonts w:ascii="Arial Narrow" w:hAnsi="Arial Narrow"/>
                <w:b/>
                <w:sz w:val="20"/>
              </w:rPr>
              <w:t>Weighted cost of injections</w:t>
            </w:r>
          </w:p>
        </w:tc>
      </w:tr>
      <w:tr w:rsidR="005C1062" w:rsidRPr="00997765" w:rsidTr="00EB5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rsidR="005C1062" w:rsidRPr="00997765" w:rsidRDefault="005C1062" w:rsidP="0037018B">
            <w:pPr>
              <w:tabs>
                <w:tab w:val="right" w:pos="3045"/>
              </w:tabs>
              <w:rPr>
                <w:rFonts w:ascii="Arial Narrow" w:hAnsi="Arial Narrow"/>
                <w:sz w:val="20"/>
              </w:rPr>
            </w:pPr>
            <w:r w:rsidRPr="00997765">
              <w:rPr>
                <w:rFonts w:ascii="Arial Narrow" w:hAnsi="Arial Narrow"/>
                <w:sz w:val="20"/>
              </w:rPr>
              <w:t>Total</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5C1062" w:rsidP="0037018B">
            <w:pPr>
              <w:jc w:val="center"/>
              <w:rPr>
                <w:rFonts w:ascii="Arial Narrow" w:hAnsi="Arial Narrow"/>
                <w:sz w:val="20"/>
              </w:rPr>
            </w:pPr>
            <w:r w:rsidRPr="00997765">
              <w:rPr>
                <w:rFonts w:ascii="Arial Narrow" w:hAnsi="Arial Narrow"/>
                <w:sz w:val="20"/>
              </w:rPr>
              <w: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5C1062" w:rsidP="0037018B">
            <w:pPr>
              <w:jc w:val="center"/>
              <w:rPr>
                <w:rFonts w:ascii="Arial Narrow" w:hAnsi="Arial Narrow"/>
                <w:sz w:val="20"/>
              </w:rPr>
            </w:pPr>
            <w:r w:rsidRPr="00997765">
              <w:rPr>
                <w:rFonts w:ascii="Arial Narrow" w:hAnsi="Arial Narrow"/>
                <w:sz w:val="20"/>
              </w:rPr>
              <w: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2C2377" w:rsidP="0037018B">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C1062" w:rsidRPr="00997765" w:rsidRDefault="005C1062" w:rsidP="0037018B">
            <w:pPr>
              <w:jc w:val="center"/>
              <w:rPr>
                <w:rFonts w:ascii="Arial Narrow" w:hAnsi="Arial Narrow"/>
                <w:sz w:val="20"/>
              </w:rPr>
            </w:pPr>
            <w:r w:rsidRPr="00997765">
              <w:rPr>
                <w:rFonts w:ascii="Arial Narrow" w:hAnsi="Arial Narrow"/>
                <w:sz w:val="20"/>
              </w:rPr>
              <w:t>-</w:t>
            </w:r>
          </w:p>
        </w:tc>
      </w:tr>
    </w:tbl>
    <w:p w:rsidR="00E022AB" w:rsidRPr="00997765" w:rsidRDefault="007100FA" w:rsidP="007100FA">
      <w:pPr>
        <w:pStyle w:val="ListParagraph"/>
        <w:rPr>
          <w:rFonts w:ascii="Arial Narrow" w:hAnsi="Arial Narrow"/>
          <w:sz w:val="18"/>
          <w:szCs w:val="18"/>
        </w:rPr>
      </w:pPr>
      <w:r w:rsidRPr="00997765">
        <w:rPr>
          <w:rFonts w:ascii="Arial Narrow" w:hAnsi="Arial Narrow"/>
          <w:sz w:val="18"/>
          <w:szCs w:val="18"/>
        </w:rPr>
        <w:t>Source: Table 12 (p 37) of the submission</w:t>
      </w:r>
    </w:p>
    <w:p w:rsidR="007100FA" w:rsidRPr="00997765" w:rsidRDefault="007100FA" w:rsidP="007100FA">
      <w:pPr>
        <w:pStyle w:val="ListParagraph"/>
        <w:rPr>
          <w:rFonts w:ascii="Arial Narrow" w:hAnsi="Arial Narrow"/>
          <w:sz w:val="18"/>
          <w:szCs w:val="18"/>
        </w:rPr>
      </w:pPr>
    </w:p>
    <w:p w:rsidR="00EF5833" w:rsidRPr="00997765" w:rsidRDefault="00B60604" w:rsidP="00FC330F">
      <w:pPr>
        <w:pStyle w:val="ListParagraph"/>
        <w:numPr>
          <w:ilvl w:val="1"/>
          <w:numId w:val="1"/>
        </w:numPr>
        <w:jc w:val="both"/>
        <w:rPr>
          <w:rFonts w:ascii="Arial" w:hAnsi="Arial"/>
          <w:sz w:val="22"/>
          <w:szCs w:val="22"/>
        </w:rPr>
      </w:pPr>
      <w:r w:rsidRPr="00997765">
        <w:rPr>
          <w:rFonts w:ascii="Arial" w:hAnsi="Arial"/>
          <w:sz w:val="22"/>
          <w:szCs w:val="22"/>
        </w:rPr>
        <w:t xml:space="preserve">The submission also claimed a reduction in administration costs with the new methotrexate </w:t>
      </w:r>
      <w:r w:rsidR="00A258AE" w:rsidRPr="00997765">
        <w:rPr>
          <w:rFonts w:ascii="Arial" w:hAnsi="Arial"/>
          <w:sz w:val="22"/>
          <w:szCs w:val="22"/>
        </w:rPr>
        <w:t>presentation that</w:t>
      </w:r>
      <w:r w:rsidRPr="00997765">
        <w:rPr>
          <w:rFonts w:ascii="Arial" w:hAnsi="Arial"/>
          <w:sz w:val="22"/>
          <w:szCs w:val="22"/>
        </w:rPr>
        <w:t xml:space="preserve"> can be self-administered by a patient/carer compared to the current </w:t>
      </w:r>
      <w:r w:rsidR="00A258AE" w:rsidRPr="00997765">
        <w:rPr>
          <w:rFonts w:ascii="Arial" w:hAnsi="Arial"/>
          <w:sz w:val="22"/>
          <w:szCs w:val="22"/>
        </w:rPr>
        <w:t>vials that</w:t>
      </w:r>
      <w:r w:rsidRPr="00997765">
        <w:rPr>
          <w:rFonts w:ascii="Arial" w:hAnsi="Arial"/>
          <w:sz w:val="22"/>
          <w:szCs w:val="22"/>
        </w:rPr>
        <w:t xml:space="preserve"> are administered by a healthcare professional</w:t>
      </w:r>
      <w:r w:rsidR="00A3050C" w:rsidRPr="00997765">
        <w:rPr>
          <w:rFonts w:ascii="Arial" w:hAnsi="Arial"/>
          <w:sz w:val="22"/>
          <w:szCs w:val="22"/>
        </w:rPr>
        <w:t xml:space="preserve"> (requiring weekly visits)</w:t>
      </w:r>
      <w:r w:rsidRPr="00997765">
        <w:rPr>
          <w:rFonts w:ascii="Arial" w:hAnsi="Arial"/>
          <w:sz w:val="22"/>
          <w:szCs w:val="22"/>
        </w:rPr>
        <w:t xml:space="preserve">. </w:t>
      </w:r>
    </w:p>
    <w:p w:rsidR="00A3050C" w:rsidRPr="00997765" w:rsidRDefault="00A3050C" w:rsidP="00A3050C">
      <w:pPr>
        <w:pStyle w:val="ListParagraph"/>
        <w:rPr>
          <w:rFonts w:ascii="Arial" w:hAnsi="Arial"/>
          <w:sz w:val="22"/>
          <w:szCs w:val="22"/>
        </w:rPr>
      </w:pPr>
    </w:p>
    <w:p w:rsidR="00B60604" w:rsidRPr="00997765" w:rsidRDefault="00A3050C" w:rsidP="00FC330F">
      <w:pPr>
        <w:pStyle w:val="ListParagraph"/>
        <w:numPr>
          <w:ilvl w:val="1"/>
          <w:numId w:val="1"/>
        </w:numPr>
        <w:jc w:val="both"/>
        <w:rPr>
          <w:rFonts w:ascii="Arial" w:hAnsi="Arial"/>
          <w:sz w:val="22"/>
          <w:szCs w:val="22"/>
        </w:rPr>
      </w:pPr>
      <w:r w:rsidRPr="00997765">
        <w:rPr>
          <w:rFonts w:ascii="Arial" w:hAnsi="Arial"/>
          <w:sz w:val="22"/>
          <w:szCs w:val="22"/>
        </w:rPr>
        <w:t>The su</w:t>
      </w:r>
      <w:r w:rsidR="00624BB6" w:rsidRPr="00997765">
        <w:rPr>
          <w:rFonts w:ascii="Arial" w:hAnsi="Arial"/>
          <w:sz w:val="22"/>
          <w:szCs w:val="22"/>
        </w:rPr>
        <w:t>bmission estimated</w:t>
      </w:r>
      <w:r w:rsidRPr="00997765">
        <w:rPr>
          <w:rFonts w:ascii="Arial" w:hAnsi="Arial"/>
          <w:sz w:val="22"/>
          <w:szCs w:val="22"/>
        </w:rPr>
        <w:t xml:space="preserve"> that 96.3% of patients using the methotrexate pre-filled syringe </w:t>
      </w:r>
      <w:r w:rsidR="00A258AE" w:rsidRPr="00997765">
        <w:rPr>
          <w:rFonts w:ascii="Arial" w:hAnsi="Arial"/>
          <w:sz w:val="22"/>
          <w:szCs w:val="22"/>
        </w:rPr>
        <w:t>would</w:t>
      </w:r>
      <w:r w:rsidRPr="00997765">
        <w:rPr>
          <w:rFonts w:ascii="Arial" w:hAnsi="Arial"/>
          <w:sz w:val="22"/>
          <w:szCs w:val="22"/>
        </w:rPr>
        <w:t xml:space="preserve"> self-administer treatment and th</w:t>
      </w:r>
      <w:r w:rsidR="00534673" w:rsidRPr="00997765">
        <w:rPr>
          <w:rFonts w:ascii="Arial" w:hAnsi="Arial"/>
          <w:sz w:val="22"/>
          <w:szCs w:val="22"/>
        </w:rPr>
        <w:t>erefore require no additional</w:t>
      </w:r>
      <w:r w:rsidRPr="00997765">
        <w:rPr>
          <w:rFonts w:ascii="Arial" w:hAnsi="Arial"/>
          <w:sz w:val="22"/>
          <w:szCs w:val="22"/>
        </w:rPr>
        <w:t xml:space="preserve"> visits for administration. The remaining 3.7% of patients using methotrexate pre-filled syringe were assumed to require weekly visits for administration. The</w:t>
      </w:r>
      <w:r w:rsidR="006D33ED" w:rsidRPr="00997765">
        <w:rPr>
          <w:rFonts w:ascii="Arial" w:hAnsi="Arial"/>
          <w:sz w:val="22"/>
          <w:szCs w:val="22"/>
        </w:rPr>
        <w:t>se estimates were based on the proportion of patients considered suitable for self-administration by physicians in a post-marketing study of methotrexate pre-filled syringe in clinical practice (</w:t>
      </w:r>
      <w:proofErr w:type="spellStart"/>
      <w:r w:rsidR="006D33ED" w:rsidRPr="00997765">
        <w:rPr>
          <w:rFonts w:ascii="Arial" w:hAnsi="Arial"/>
          <w:sz w:val="22"/>
          <w:szCs w:val="22"/>
        </w:rPr>
        <w:t>Striesow</w:t>
      </w:r>
      <w:proofErr w:type="spellEnd"/>
      <w:r w:rsidR="006D33ED" w:rsidRPr="00997765">
        <w:rPr>
          <w:rFonts w:ascii="Arial" w:hAnsi="Arial"/>
          <w:sz w:val="22"/>
          <w:szCs w:val="22"/>
        </w:rPr>
        <w:t xml:space="preserve"> &amp; Brandt, 2012).</w:t>
      </w:r>
      <w:r w:rsidR="00DB3B1B" w:rsidRPr="00997765">
        <w:rPr>
          <w:rFonts w:ascii="Arial" w:hAnsi="Arial"/>
          <w:sz w:val="22"/>
          <w:szCs w:val="22"/>
        </w:rPr>
        <w:t xml:space="preserve"> </w:t>
      </w:r>
    </w:p>
    <w:p w:rsidR="0097548A" w:rsidRPr="00997765" w:rsidRDefault="0097548A" w:rsidP="0097548A">
      <w:pPr>
        <w:pStyle w:val="ListParagraph"/>
        <w:rPr>
          <w:rFonts w:ascii="Arial" w:hAnsi="Arial"/>
          <w:sz w:val="22"/>
          <w:szCs w:val="22"/>
        </w:rPr>
      </w:pPr>
    </w:p>
    <w:p w:rsidR="00027A0B" w:rsidRPr="00997765" w:rsidRDefault="00086B75" w:rsidP="00027A0B">
      <w:pPr>
        <w:pStyle w:val="ListParagraph"/>
        <w:numPr>
          <w:ilvl w:val="1"/>
          <w:numId w:val="1"/>
        </w:numPr>
        <w:jc w:val="both"/>
        <w:rPr>
          <w:rFonts w:ascii="Arial" w:hAnsi="Arial"/>
          <w:sz w:val="22"/>
          <w:szCs w:val="22"/>
        </w:rPr>
      </w:pPr>
      <w:r w:rsidRPr="00997765">
        <w:rPr>
          <w:rFonts w:ascii="Arial" w:hAnsi="Arial"/>
          <w:sz w:val="22"/>
          <w:szCs w:val="22"/>
        </w:rPr>
        <w:t>While the claim of reduced healthcare visits appeared plausible the submission has inadequately quantified the potential reduction. The 96.3% estimate used in the submission relates to the proportion</w:t>
      </w:r>
      <w:r w:rsidR="00075F99" w:rsidRPr="00997765">
        <w:rPr>
          <w:rFonts w:ascii="Arial" w:hAnsi="Arial"/>
          <w:sz w:val="22"/>
          <w:szCs w:val="22"/>
        </w:rPr>
        <w:t xml:space="preserve"> of patient</w:t>
      </w:r>
      <w:r w:rsidR="00201C8D" w:rsidRPr="00997765">
        <w:rPr>
          <w:rFonts w:ascii="Arial" w:hAnsi="Arial"/>
          <w:sz w:val="22"/>
          <w:szCs w:val="22"/>
        </w:rPr>
        <w:t>s</w:t>
      </w:r>
      <w:r w:rsidR="00075F99" w:rsidRPr="00997765">
        <w:rPr>
          <w:rFonts w:ascii="Arial" w:hAnsi="Arial"/>
          <w:sz w:val="22"/>
          <w:szCs w:val="22"/>
        </w:rPr>
        <w:t xml:space="preserve"> </w:t>
      </w:r>
      <w:r w:rsidR="00A22461" w:rsidRPr="00997765">
        <w:rPr>
          <w:rFonts w:ascii="Arial" w:hAnsi="Arial"/>
          <w:sz w:val="22"/>
          <w:szCs w:val="22"/>
        </w:rPr>
        <w:t>selected to trial</w:t>
      </w:r>
      <w:r w:rsidR="00075F99" w:rsidRPr="00997765">
        <w:rPr>
          <w:rFonts w:ascii="Arial" w:hAnsi="Arial"/>
          <w:sz w:val="22"/>
          <w:szCs w:val="22"/>
        </w:rPr>
        <w:t xml:space="preserve"> self-administration who were </w:t>
      </w:r>
      <w:r w:rsidR="00A22461" w:rsidRPr="00997765">
        <w:rPr>
          <w:rFonts w:ascii="Arial" w:hAnsi="Arial"/>
          <w:sz w:val="22"/>
          <w:szCs w:val="22"/>
        </w:rPr>
        <w:t xml:space="preserve">considered </w:t>
      </w:r>
      <w:r w:rsidR="00075F99" w:rsidRPr="00997765">
        <w:rPr>
          <w:rFonts w:ascii="Arial" w:hAnsi="Arial"/>
          <w:sz w:val="22"/>
          <w:szCs w:val="22"/>
        </w:rPr>
        <w:t>capable of self-administration</w:t>
      </w:r>
      <w:r w:rsidR="00A22461" w:rsidRPr="00997765">
        <w:rPr>
          <w:rFonts w:ascii="Arial" w:hAnsi="Arial"/>
          <w:sz w:val="22"/>
          <w:szCs w:val="22"/>
        </w:rPr>
        <w:t>. There was no estimate of</w:t>
      </w:r>
      <w:r w:rsidRPr="00997765">
        <w:rPr>
          <w:rFonts w:ascii="Arial" w:hAnsi="Arial"/>
          <w:sz w:val="22"/>
          <w:szCs w:val="22"/>
        </w:rPr>
        <w:t xml:space="preserve"> the proportion of patients using methotrexate pre-filled </w:t>
      </w:r>
      <w:r w:rsidR="00201C8D" w:rsidRPr="00997765">
        <w:rPr>
          <w:rFonts w:ascii="Arial" w:hAnsi="Arial"/>
          <w:sz w:val="22"/>
          <w:szCs w:val="22"/>
        </w:rPr>
        <w:t>syringes who are likely to self-administer</w:t>
      </w:r>
      <w:r w:rsidRPr="00997765">
        <w:rPr>
          <w:rFonts w:ascii="Arial" w:hAnsi="Arial"/>
          <w:sz w:val="22"/>
          <w:szCs w:val="22"/>
        </w:rPr>
        <w:t>.</w:t>
      </w:r>
    </w:p>
    <w:p w:rsidR="00027A0B" w:rsidRPr="00997765" w:rsidRDefault="00027A0B" w:rsidP="00027A0B">
      <w:pPr>
        <w:pStyle w:val="ListParagraph"/>
        <w:rPr>
          <w:rFonts w:ascii="Arial" w:hAnsi="Arial"/>
          <w:sz w:val="22"/>
          <w:szCs w:val="22"/>
        </w:rPr>
      </w:pPr>
    </w:p>
    <w:p w:rsidR="00027A0B" w:rsidRPr="00997765" w:rsidRDefault="0015161E" w:rsidP="00027A0B">
      <w:pPr>
        <w:pStyle w:val="ListParagraph"/>
        <w:numPr>
          <w:ilvl w:val="1"/>
          <w:numId w:val="1"/>
        </w:numPr>
        <w:jc w:val="both"/>
        <w:rPr>
          <w:rFonts w:ascii="Arial" w:hAnsi="Arial"/>
          <w:sz w:val="22"/>
          <w:szCs w:val="22"/>
        </w:rPr>
      </w:pPr>
      <w:r w:rsidRPr="00997765">
        <w:rPr>
          <w:rFonts w:ascii="Arial" w:hAnsi="Arial"/>
          <w:sz w:val="22"/>
          <w:szCs w:val="22"/>
        </w:rPr>
        <w:t>The approach used in the submission assumed that patients visit healthcare professionals for the sole purpose of methotrexate injections. In practice, patients may have multiple morbidities/co-administered medications addressed at a single visit.</w:t>
      </w:r>
    </w:p>
    <w:p w:rsidR="00027A0B" w:rsidRPr="00997765" w:rsidRDefault="00027A0B" w:rsidP="00027A0B">
      <w:pPr>
        <w:pStyle w:val="ListParagraph"/>
        <w:rPr>
          <w:rFonts w:ascii="Arial" w:hAnsi="Arial"/>
          <w:sz w:val="22"/>
          <w:szCs w:val="22"/>
        </w:rPr>
      </w:pPr>
    </w:p>
    <w:p w:rsidR="00027A0B" w:rsidRPr="00997765" w:rsidRDefault="001B5AC8" w:rsidP="00027A0B">
      <w:pPr>
        <w:pStyle w:val="ListParagraph"/>
        <w:numPr>
          <w:ilvl w:val="1"/>
          <w:numId w:val="1"/>
        </w:numPr>
        <w:jc w:val="both"/>
        <w:rPr>
          <w:rFonts w:ascii="Arial" w:hAnsi="Arial"/>
          <w:sz w:val="22"/>
          <w:szCs w:val="22"/>
        </w:rPr>
      </w:pPr>
      <w:r w:rsidRPr="00997765">
        <w:rPr>
          <w:rFonts w:ascii="Arial" w:hAnsi="Arial"/>
          <w:sz w:val="22"/>
          <w:szCs w:val="22"/>
        </w:rPr>
        <w:t xml:space="preserve">Other formulations of methotrexate have a wide number of indications (primarily autoimmune disease and oncology) and have unrestricted listings on the PBS. </w:t>
      </w:r>
      <w:r w:rsidR="00086B75" w:rsidRPr="00997765">
        <w:rPr>
          <w:rFonts w:ascii="Arial" w:hAnsi="Arial"/>
          <w:sz w:val="22"/>
          <w:szCs w:val="22"/>
        </w:rPr>
        <w:t>Use</w:t>
      </w:r>
      <w:r w:rsidR="00346325" w:rsidRPr="00997765">
        <w:rPr>
          <w:rFonts w:ascii="Arial" w:hAnsi="Arial"/>
          <w:sz w:val="22"/>
          <w:szCs w:val="22"/>
        </w:rPr>
        <w:t xml:space="preserve"> of methotrexate pre-filled syringes for indications</w:t>
      </w:r>
      <w:r w:rsidR="00086B75" w:rsidRPr="00997765">
        <w:rPr>
          <w:rFonts w:ascii="Arial" w:hAnsi="Arial"/>
          <w:sz w:val="22"/>
          <w:szCs w:val="22"/>
        </w:rPr>
        <w:t xml:space="preserve"> outside</w:t>
      </w:r>
      <w:r w:rsidR="00346325" w:rsidRPr="00997765">
        <w:rPr>
          <w:rFonts w:ascii="Arial" w:hAnsi="Arial"/>
          <w:sz w:val="22"/>
          <w:szCs w:val="22"/>
        </w:rPr>
        <w:t xml:space="preserve"> the</w:t>
      </w:r>
      <w:r w:rsidR="00086B75" w:rsidRPr="00997765">
        <w:rPr>
          <w:rFonts w:ascii="Arial" w:hAnsi="Arial"/>
          <w:sz w:val="22"/>
          <w:szCs w:val="22"/>
        </w:rPr>
        <w:t xml:space="preserve"> requested restriction</w:t>
      </w:r>
      <w:r w:rsidR="00346325" w:rsidRPr="00997765">
        <w:rPr>
          <w:rFonts w:ascii="Arial" w:hAnsi="Arial"/>
          <w:sz w:val="22"/>
          <w:szCs w:val="22"/>
        </w:rPr>
        <w:t xml:space="preserve"> may not be associated with the same savings in administration costs claimed for rheumatoid arthritis and psoriasis.</w:t>
      </w:r>
    </w:p>
    <w:p w:rsidR="00027A0B" w:rsidRPr="00997765" w:rsidRDefault="00027A0B" w:rsidP="00027A0B">
      <w:pPr>
        <w:pStyle w:val="ListParagraph"/>
        <w:rPr>
          <w:rFonts w:ascii="Arial" w:hAnsi="Arial"/>
          <w:sz w:val="22"/>
          <w:szCs w:val="22"/>
        </w:rPr>
      </w:pPr>
    </w:p>
    <w:p w:rsidR="00027A0B" w:rsidRPr="00997765" w:rsidRDefault="00DB3B1B" w:rsidP="00DB3B1B">
      <w:pPr>
        <w:pStyle w:val="ListParagraph"/>
        <w:numPr>
          <w:ilvl w:val="1"/>
          <w:numId w:val="1"/>
        </w:numPr>
        <w:jc w:val="both"/>
        <w:rPr>
          <w:rFonts w:ascii="Arial" w:hAnsi="Arial"/>
          <w:sz w:val="22"/>
          <w:szCs w:val="22"/>
        </w:rPr>
      </w:pPr>
      <w:r w:rsidRPr="00997765">
        <w:rPr>
          <w:rFonts w:ascii="Arial" w:hAnsi="Arial"/>
          <w:sz w:val="22"/>
          <w:szCs w:val="22"/>
        </w:rPr>
        <w:t xml:space="preserve">The PBAC did not consider that the use of the estimate of people willing to self-inject to apportion a reduction in physician visits was reasonable. </w:t>
      </w:r>
      <w:r w:rsidR="005E6941" w:rsidRPr="00997765">
        <w:rPr>
          <w:rFonts w:ascii="Arial" w:hAnsi="Arial"/>
          <w:sz w:val="22"/>
          <w:szCs w:val="22"/>
        </w:rPr>
        <w:t>It is highly likely that the submission has overestimated the proportion of healthcare visits avoided with methotrexate pre-filled syringes versus methotrexate vials.</w:t>
      </w:r>
    </w:p>
    <w:p w:rsidR="00027A0B" w:rsidRPr="00997765" w:rsidRDefault="00027A0B" w:rsidP="00027A0B">
      <w:pPr>
        <w:pStyle w:val="ListParagraph"/>
        <w:rPr>
          <w:rFonts w:ascii="Arial" w:hAnsi="Arial"/>
          <w:sz w:val="22"/>
          <w:szCs w:val="22"/>
        </w:rPr>
      </w:pPr>
    </w:p>
    <w:p w:rsidR="00BB3AA0" w:rsidRPr="00997765" w:rsidRDefault="00F6415E" w:rsidP="00027A0B">
      <w:pPr>
        <w:pStyle w:val="ListParagraph"/>
        <w:numPr>
          <w:ilvl w:val="1"/>
          <w:numId w:val="1"/>
        </w:numPr>
        <w:jc w:val="both"/>
        <w:rPr>
          <w:rFonts w:ascii="Arial" w:hAnsi="Arial"/>
          <w:sz w:val="22"/>
          <w:szCs w:val="22"/>
        </w:rPr>
      </w:pPr>
      <w:r w:rsidRPr="00997765">
        <w:rPr>
          <w:rFonts w:ascii="Arial" w:hAnsi="Arial"/>
          <w:sz w:val="22"/>
          <w:szCs w:val="22"/>
        </w:rPr>
        <w:t>The submission acknowledged that methotrexate</w:t>
      </w:r>
      <w:r w:rsidR="003B3D64" w:rsidRPr="00997765">
        <w:rPr>
          <w:rFonts w:ascii="Arial" w:hAnsi="Arial"/>
          <w:sz w:val="22"/>
          <w:szCs w:val="22"/>
        </w:rPr>
        <w:t xml:space="preserve"> administration</w:t>
      </w:r>
      <w:r w:rsidRPr="00997765">
        <w:rPr>
          <w:rFonts w:ascii="Arial" w:hAnsi="Arial"/>
          <w:sz w:val="22"/>
          <w:szCs w:val="22"/>
        </w:rPr>
        <w:t xml:space="preserve"> may</w:t>
      </w:r>
      <w:r w:rsidR="003B3D64" w:rsidRPr="00997765">
        <w:rPr>
          <w:rFonts w:ascii="Arial" w:hAnsi="Arial"/>
          <w:sz w:val="22"/>
          <w:szCs w:val="22"/>
        </w:rPr>
        <w:t xml:space="preserve"> occur</w:t>
      </w:r>
      <w:r w:rsidRPr="00997765">
        <w:rPr>
          <w:rFonts w:ascii="Arial" w:hAnsi="Arial"/>
          <w:sz w:val="22"/>
          <w:szCs w:val="22"/>
        </w:rPr>
        <w:t xml:space="preserve"> in a variety of healthcare settings</w:t>
      </w:r>
      <w:r w:rsidR="00BB3AA0" w:rsidRPr="00997765">
        <w:rPr>
          <w:rFonts w:ascii="Arial" w:hAnsi="Arial"/>
          <w:sz w:val="22"/>
          <w:szCs w:val="22"/>
        </w:rPr>
        <w:t xml:space="preserve"> </w:t>
      </w:r>
      <w:r w:rsidR="00DD60AB" w:rsidRPr="00997765">
        <w:rPr>
          <w:rFonts w:ascii="Arial" w:hAnsi="Arial"/>
          <w:sz w:val="22"/>
          <w:szCs w:val="22"/>
        </w:rPr>
        <w:t>but for simplicity</w:t>
      </w:r>
      <w:r w:rsidRPr="00997765">
        <w:rPr>
          <w:rFonts w:ascii="Arial" w:hAnsi="Arial"/>
          <w:sz w:val="22"/>
          <w:szCs w:val="22"/>
        </w:rPr>
        <w:t xml:space="preserve"> assumed that the cost of methotrexate administratio</w:t>
      </w:r>
      <w:r w:rsidR="00BB3AA0" w:rsidRPr="00997765">
        <w:rPr>
          <w:rFonts w:ascii="Arial" w:hAnsi="Arial"/>
          <w:sz w:val="22"/>
          <w:szCs w:val="22"/>
        </w:rPr>
        <w:t>n by a healthcare professional could be represented by</w:t>
      </w:r>
      <w:r w:rsidRPr="00997765">
        <w:rPr>
          <w:rFonts w:ascii="Arial" w:hAnsi="Arial"/>
          <w:sz w:val="22"/>
          <w:szCs w:val="22"/>
        </w:rPr>
        <w:t xml:space="preserve"> MBS item 23 (Level B GP visit, less than 20 minutes).</w:t>
      </w:r>
      <w:r w:rsidR="00970AB0" w:rsidRPr="00997765">
        <w:rPr>
          <w:rFonts w:ascii="Arial" w:hAnsi="Arial"/>
          <w:sz w:val="22"/>
          <w:szCs w:val="22"/>
        </w:rPr>
        <w:t xml:space="preserve"> It is unclear which MBS items are being used for the administration of methotrexate</w:t>
      </w:r>
      <w:r w:rsidR="00152FD5" w:rsidRPr="00997765">
        <w:rPr>
          <w:rFonts w:ascii="Arial" w:hAnsi="Arial"/>
          <w:sz w:val="22"/>
          <w:szCs w:val="22"/>
        </w:rPr>
        <w:t xml:space="preserve"> in clinical practice</w:t>
      </w:r>
      <w:r w:rsidR="00970AB0" w:rsidRPr="00997765">
        <w:rPr>
          <w:rFonts w:ascii="Arial" w:hAnsi="Arial"/>
          <w:sz w:val="22"/>
          <w:szCs w:val="22"/>
        </w:rPr>
        <w:t xml:space="preserve">. </w:t>
      </w:r>
    </w:p>
    <w:p w:rsidR="00D56C63" w:rsidRPr="00997765" w:rsidRDefault="00D56C63" w:rsidP="00D56C63">
      <w:pPr>
        <w:pStyle w:val="ListParagraph"/>
        <w:jc w:val="both"/>
        <w:rPr>
          <w:rFonts w:ascii="Arial" w:hAnsi="Arial"/>
          <w:sz w:val="22"/>
          <w:szCs w:val="22"/>
        </w:rPr>
      </w:pPr>
    </w:p>
    <w:p w:rsidR="00BB3AA0" w:rsidRPr="00997765" w:rsidRDefault="00BB3AA0" w:rsidP="00FC330F">
      <w:pPr>
        <w:pStyle w:val="ListParagraph"/>
        <w:numPr>
          <w:ilvl w:val="1"/>
          <w:numId w:val="1"/>
        </w:numPr>
        <w:rPr>
          <w:rFonts w:ascii="Arial" w:hAnsi="Arial"/>
          <w:sz w:val="22"/>
          <w:szCs w:val="22"/>
        </w:rPr>
      </w:pPr>
      <w:r w:rsidRPr="00997765">
        <w:rPr>
          <w:rFonts w:ascii="Arial" w:hAnsi="Arial"/>
          <w:sz w:val="22"/>
          <w:szCs w:val="22"/>
        </w:rPr>
        <w:t>Estimated administration c</w:t>
      </w:r>
      <w:r w:rsidR="001C3A84" w:rsidRPr="00997765">
        <w:rPr>
          <w:rFonts w:ascii="Arial" w:hAnsi="Arial"/>
          <w:sz w:val="22"/>
          <w:szCs w:val="22"/>
        </w:rPr>
        <w:t>osts are summarised in Table 10</w:t>
      </w:r>
      <w:r w:rsidRPr="00997765">
        <w:rPr>
          <w:rFonts w:ascii="Arial" w:hAnsi="Arial"/>
          <w:sz w:val="22"/>
          <w:szCs w:val="22"/>
        </w:rPr>
        <w:t xml:space="preserve">. </w:t>
      </w:r>
    </w:p>
    <w:p w:rsidR="00D56C63" w:rsidRPr="00997765" w:rsidRDefault="00D56C63" w:rsidP="00D56C63">
      <w:pPr>
        <w:pStyle w:val="ListParagraph"/>
        <w:rPr>
          <w:rFonts w:ascii="Arial" w:hAnsi="Arial"/>
          <w:sz w:val="22"/>
          <w:szCs w:val="22"/>
        </w:rPr>
      </w:pPr>
    </w:p>
    <w:p w:rsidR="004974BC" w:rsidRPr="00997765" w:rsidRDefault="001C3A84" w:rsidP="004974BC">
      <w:pPr>
        <w:ind w:left="709"/>
        <w:rPr>
          <w:rFonts w:ascii="Arial Narrow" w:hAnsi="Arial Narrow"/>
          <w:b/>
          <w:sz w:val="20"/>
        </w:rPr>
      </w:pPr>
      <w:r w:rsidRPr="00997765">
        <w:rPr>
          <w:rFonts w:ascii="Arial Narrow" w:hAnsi="Arial Narrow"/>
          <w:b/>
          <w:sz w:val="20"/>
        </w:rPr>
        <w:t>Table 10</w:t>
      </w:r>
      <w:r w:rsidR="004974BC" w:rsidRPr="00997765">
        <w:rPr>
          <w:rFonts w:ascii="Arial Narrow" w:hAnsi="Arial Narrow"/>
          <w:b/>
          <w:sz w:val="20"/>
        </w:rPr>
        <w:t>: Administration costs</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0"/>
        <w:gridCol w:w="1062"/>
        <w:gridCol w:w="3486"/>
        <w:gridCol w:w="1329"/>
      </w:tblGrid>
      <w:tr w:rsidR="004974BC" w:rsidRPr="00997765" w:rsidTr="00963E64">
        <w:trPr>
          <w:tblHeader/>
        </w:trPr>
        <w:tc>
          <w:tcPr>
            <w:tcW w:w="1480" w:type="pct"/>
            <w:tcBorders>
              <w:left w:val="single" w:sz="4" w:space="0" w:color="auto"/>
              <w:bottom w:val="single" w:sz="4" w:space="0" w:color="auto"/>
            </w:tcBorders>
            <w:shd w:val="clear" w:color="auto" w:fill="auto"/>
            <w:vAlign w:val="bottom"/>
            <w:hideMark/>
          </w:tcPr>
          <w:p w:rsidR="004974BC" w:rsidRPr="00997765" w:rsidRDefault="004974BC" w:rsidP="003E471A">
            <w:pPr>
              <w:rPr>
                <w:rFonts w:ascii="Arial Narrow" w:hAnsi="Arial Narrow"/>
                <w:b/>
                <w:sz w:val="20"/>
              </w:rPr>
            </w:pPr>
            <w:r w:rsidRPr="00997765">
              <w:rPr>
                <w:rFonts w:ascii="Arial Narrow" w:hAnsi="Arial Narrow"/>
                <w:b/>
                <w:sz w:val="20"/>
              </w:rPr>
              <w:t>Item</w:t>
            </w:r>
          </w:p>
        </w:tc>
        <w:tc>
          <w:tcPr>
            <w:tcW w:w="636" w:type="pct"/>
            <w:tcBorders>
              <w:bottom w:val="single" w:sz="4" w:space="0" w:color="auto"/>
            </w:tcBorders>
            <w:shd w:val="clear" w:color="auto" w:fill="auto"/>
            <w:vAlign w:val="bottom"/>
          </w:tcPr>
          <w:p w:rsidR="004974BC" w:rsidRPr="00997765" w:rsidRDefault="004974BC" w:rsidP="003E471A">
            <w:pPr>
              <w:jc w:val="center"/>
              <w:rPr>
                <w:rFonts w:ascii="Arial Narrow" w:hAnsi="Arial Narrow"/>
                <w:b/>
                <w:bCs/>
                <w:sz w:val="20"/>
              </w:rPr>
            </w:pPr>
            <w:r w:rsidRPr="00997765">
              <w:rPr>
                <w:rFonts w:ascii="Arial Narrow" w:hAnsi="Arial Narrow"/>
                <w:b/>
                <w:bCs/>
                <w:sz w:val="20"/>
              </w:rPr>
              <w:t>Cost</w:t>
            </w:r>
          </w:p>
        </w:tc>
        <w:tc>
          <w:tcPr>
            <w:tcW w:w="2088" w:type="pct"/>
            <w:tcBorders>
              <w:bottom w:val="single" w:sz="4" w:space="0" w:color="auto"/>
            </w:tcBorders>
            <w:shd w:val="clear" w:color="auto" w:fill="auto"/>
            <w:vAlign w:val="bottom"/>
          </w:tcPr>
          <w:p w:rsidR="004974BC" w:rsidRPr="00997765" w:rsidRDefault="00963E64" w:rsidP="003E471A">
            <w:pPr>
              <w:jc w:val="center"/>
              <w:rPr>
                <w:rFonts w:ascii="Arial Narrow" w:hAnsi="Arial Narrow"/>
                <w:b/>
                <w:bCs/>
                <w:sz w:val="20"/>
              </w:rPr>
            </w:pPr>
            <w:r w:rsidRPr="00997765">
              <w:rPr>
                <w:rFonts w:ascii="Arial Narrow" w:hAnsi="Arial Narrow"/>
                <w:b/>
                <w:bCs/>
                <w:sz w:val="20"/>
              </w:rPr>
              <w:t>P</w:t>
            </w:r>
            <w:r w:rsidR="004974BC" w:rsidRPr="00997765">
              <w:rPr>
                <w:rFonts w:ascii="Arial Narrow" w:hAnsi="Arial Narrow"/>
                <w:b/>
                <w:bCs/>
                <w:sz w:val="20"/>
              </w:rPr>
              <w:t xml:space="preserve">atients </w:t>
            </w:r>
            <w:r w:rsidRPr="00997765">
              <w:rPr>
                <w:rFonts w:ascii="Arial Narrow" w:hAnsi="Arial Narrow"/>
                <w:b/>
                <w:bCs/>
                <w:sz w:val="20"/>
              </w:rPr>
              <w:t>with methotrexate administered by healthcare professional (%)</w:t>
            </w:r>
          </w:p>
        </w:tc>
        <w:tc>
          <w:tcPr>
            <w:tcW w:w="796" w:type="pct"/>
            <w:tcBorders>
              <w:bottom w:val="single" w:sz="4" w:space="0" w:color="auto"/>
              <w:right w:val="single" w:sz="4" w:space="0" w:color="auto"/>
            </w:tcBorders>
            <w:shd w:val="clear" w:color="auto" w:fill="auto"/>
            <w:vAlign w:val="bottom"/>
          </w:tcPr>
          <w:p w:rsidR="004974BC" w:rsidRPr="00997765" w:rsidRDefault="004974BC" w:rsidP="004974BC">
            <w:pPr>
              <w:jc w:val="center"/>
              <w:rPr>
                <w:rFonts w:ascii="Arial Narrow" w:hAnsi="Arial Narrow"/>
                <w:b/>
                <w:bCs/>
                <w:sz w:val="20"/>
              </w:rPr>
            </w:pPr>
            <w:r w:rsidRPr="00997765">
              <w:rPr>
                <w:rFonts w:ascii="Arial Narrow" w:hAnsi="Arial Narrow"/>
                <w:b/>
                <w:bCs/>
                <w:sz w:val="20"/>
              </w:rPr>
              <w:t>Cost per dose</w:t>
            </w:r>
          </w:p>
        </w:tc>
      </w:tr>
      <w:tr w:rsidR="004974BC" w:rsidRPr="00997765" w:rsidTr="003E4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4974BC" w:rsidRPr="00997765" w:rsidRDefault="004974BC" w:rsidP="003E471A">
            <w:pPr>
              <w:rPr>
                <w:rFonts w:ascii="Arial Narrow" w:hAnsi="Arial Narrow"/>
                <w:b/>
                <w:sz w:val="20"/>
              </w:rPr>
            </w:pPr>
            <w:r w:rsidRPr="00997765">
              <w:rPr>
                <w:rFonts w:ascii="Arial Narrow" w:hAnsi="Arial Narrow"/>
                <w:b/>
                <w:sz w:val="20"/>
              </w:rPr>
              <w:t>Methotrexate 5</w:t>
            </w:r>
            <w:r w:rsidR="004D6A66" w:rsidRPr="00997765">
              <w:rPr>
                <w:rFonts w:ascii="Arial Narrow" w:hAnsi="Arial Narrow"/>
                <w:b/>
                <w:sz w:val="20"/>
              </w:rPr>
              <w:t>0 mg</w:t>
            </w:r>
            <w:r w:rsidRPr="00997765">
              <w:rPr>
                <w:rFonts w:ascii="Arial Narrow" w:hAnsi="Arial Narrow"/>
                <w:b/>
                <w:sz w:val="20"/>
              </w:rPr>
              <w:t xml:space="preserve"> vial for injection</w:t>
            </w:r>
          </w:p>
        </w:tc>
      </w:tr>
      <w:tr w:rsidR="004974BC" w:rsidRPr="00997765" w:rsidTr="00963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rsidR="004974BC" w:rsidRPr="00997765" w:rsidRDefault="00963E64" w:rsidP="003E471A">
            <w:pPr>
              <w:rPr>
                <w:rFonts w:ascii="Arial Narrow" w:hAnsi="Arial Narrow"/>
                <w:sz w:val="20"/>
              </w:rPr>
            </w:pPr>
            <w:r w:rsidRPr="00997765">
              <w:rPr>
                <w:rFonts w:ascii="Arial Narrow" w:hAnsi="Arial Narrow"/>
                <w:sz w:val="20"/>
              </w:rPr>
              <w:t>MBS 23 (Level B GP visit)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4974BC" w:rsidRPr="00997765" w:rsidRDefault="00963E64" w:rsidP="003E471A">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2088" w:type="pct"/>
            <w:tcBorders>
              <w:top w:val="single" w:sz="4" w:space="0" w:color="auto"/>
              <w:left w:val="single" w:sz="4" w:space="0" w:color="auto"/>
              <w:bottom w:val="single" w:sz="4" w:space="0" w:color="auto"/>
              <w:right w:val="single" w:sz="4" w:space="0" w:color="auto"/>
            </w:tcBorders>
            <w:shd w:val="clear" w:color="auto" w:fill="auto"/>
            <w:vAlign w:val="center"/>
          </w:tcPr>
          <w:p w:rsidR="004974BC" w:rsidRPr="00997765" w:rsidRDefault="00963E64" w:rsidP="003E471A">
            <w:pPr>
              <w:jc w:val="center"/>
              <w:rPr>
                <w:rFonts w:ascii="Arial Narrow" w:hAnsi="Arial Narrow"/>
                <w:sz w:val="20"/>
              </w:rPr>
            </w:pPr>
            <w:r w:rsidRPr="00997765">
              <w:rPr>
                <w:rFonts w:ascii="Arial Narrow" w:hAnsi="Arial Narrow"/>
                <w:sz w:val="20"/>
              </w:rPr>
              <w:t>100%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4974BC" w:rsidRPr="00997765" w:rsidRDefault="00963E64" w:rsidP="003E471A">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4974BC" w:rsidRPr="00997765" w:rsidTr="003E4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4974BC" w:rsidRPr="00997765" w:rsidRDefault="00963E64" w:rsidP="003E471A">
            <w:pPr>
              <w:rPr>
                <w:rFonts w:ascii="Arial Narrow" w:hAnsi="Arial Narrow"/>
                <w:b/>
                <w:sz w:val="20"/>
              </w:rPr>
            </w:pPr>
            <w:r w:rsidRPr="00997765">
              <w:rPr>
                <w:rFonts w:ascii="Arial Narrow" w:hAnsi="Arial Narrow"/>
                <w:b/>
                <w:sz w:val="20"/>
              </w:rPr>
              <w:t>Methotrexate pre-filled syringe</w:t>
            </w:r>
          </w:p>
        </w:tc>
      </w:tr>
      <w:tr w:rsidR="004974BC" w:rsidRPr="00997765" w:rsidTr="00963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rsidR="004974BC" w:rsidRPr="00997765" w:rsidRDefault="00963E64" w:rsidP="003E471A">
            <w:pPr>
              <w:tabs>
                <w:tab w:val="right" w:pos="3045"/>
              </w:tabs>
              <w:rPr>
                <w:rFonts w:ascii="Arial Narrow" w:hAnsi="Arial Narrow"/>
                <w:sz w:val="20"/>
              </w:rPr>
            </w:pPr>
            <w:r w:rsidRPr="00997765">
              <w:rPr>
                <w:rFonts w:ascii="Arial Narrow" w:hAnsi="Arial Narrow"/>
                <w:sz w:val="20"/>
              </w:rPr>
              <w:t>MBS 23 (Level B GP visit)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4974BC" w:rsidRPr="00997765" w:rsidRDefault="00963E64" w:rsidP="003E471A">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2088" w:type="pct"/>
            <w:tcBorders>
              <w:top w:val="single" w:sz="4" w:space="0" w:color="auto"/>
              <w:left w:val="single" w:sz="4" w:space="0" w:color="auto"/>
              <w:bottom w:val="single" w:sz="4" w:space="0" w:color="auto"/>
              <w:right w:val="single" w:sz="4" w:space="0" w:color="auto"/>
            </w:tcBorders>
            <w:shd w:val="clear" w:color="auto" w:fill="auto"/>
            <w:vAlign w:val="center"/>
          </w:tcPr>
          <w:p w:rsidR="004974BC" w:rsidRPr="00997765" w:rsidRDefault="00963E64" w:rsidP="003E471A">
            <w:pPr>
              <w:jc w:val="center"/>
              <w:rPr>
                <w:rFonts w:ascii="Arial Narrow" w:hAnsi="Arial Narrow"/>
                <w:sz w:val="20"/>
              </w:rPr>
            </w:pPr>
            <w:r w:rsidRPr="00997765">
              <w:rPr>
                <w:rFonts w:ascii="Arial Narrow" w:hAnsi="Arial Narrow"/>
                <w:sz w:val="20"/>
              </w:rPr>
              <w:t>3.7%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4974BC" w:rsidRPr="00997765" w:rsidRDefault="00963E64" w:rsidP="003E471A">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bl>
    <w:p w:rsidR="00D56C63" w:rsidRPr="00997765" w:rsidRDefault="004974BC" w:rsidP="004974BC">
      <w:pPr>
        <w:pStyle w:val="ListParagraph"/>
        <w:rPr>
          <w:rFonts w:ascii="Arial Narrow" w:hAnsi="Arial Narrow"/>
          <w:sz w:val="18"/>
          <w:szCs w:val="18"/>
        </w:rPr>
      </w:pPr>
      <w:r w:rsidRPr="00997765">
        <w:rPr>
          <w:rFonts w:ascii="Arial Narrow" w:hAnsi="Arial Narrow"/>
          <w:sz w:val="18"/>
          <w:szCs w:val="18"/>
        </w:rPr>
        <w:t xml:space="preserve">Source: </w:t>
      </w:r>
      <w:r w:rsidR="00DB5721" w:rsidRPr="00997765">
        <w:rPr>
          <w:rFonts w:ascii="Arial Narrow" w:hAnsi="Arial Narrow"/>
          <w:sz w:val="18"/>
          <w:szCs w:val="18"/>
        </w:rPr>
        <w:t>p 38</w:t>
      </w:r>
      <w:r w:rsidRPr="00997765">
        <w:rPr>
          <w:rFonts w:ascii="Arial Narrow" w:hAnsi="Arial Narrow"/>
          <w:sz w:val="18"/>
          <w:szCs w:val="18"/>
        </w:rPr>
        <w:t xml:space="preserve"> of the submission</w:t>
      </w:r>
    </w:p>
    <w:p w:rsidR="00B60604" w:rsidRPr="00997765" w:rsidRDefault="00B60604" w:rsidP="00534673">
      <w:pPr>
        <w:jc w:val="both"/>
        <w:rPr>
          <w:rFonts w:ascii="Arial" w:hAnsi="Arial"/>
          <w:sz w:val="22"/>
          <w:szCs w:val="22"/>
        </w:rPr>
      </w:pPr>
    </w:p>
    <w:p w:rsidR="0016698F" w:rsidRPr="00997765" w:rsidRDefault="00970AB0" w:rsidP="00FC330F">
      <w:pPr>
        <w:pStyle w:val="ListParagraph"/>
        <w:numPr>
          <w:ilvl w:val="1"/>
          <w:numId w:val="1"/>
        </w:numPr>
        <w:jc w:val="both"/>
        <w:rPr>
          <w:rFonts w:ascii="Arial" w:hAnsi="Arial"/>
          <w:sz w:val="22"/>
          <w:szCs w:val="22"/>
        </w:rPr>
      </w:pPr>
      <w:r w:rsidRPr="00997765">
        <w:rPr>
          <w:rFonts w:ascii="Arial" w:hAnsi="Arial"/>
          <w:sz w:val="22"/>
          <w:szCs w:val="22"/>
        </w:rPr>
        <w:t>The cost minimisation analysis</w:t>
      </w:r>
      <w:r w:rsidR="00DD1F41" w:rsidRPr="00997765">
        <w:rPr>
          <w:rFonts w:ascii="Arial" w:hAnsi="Arial"/>
          <w:sz w:val="22"/>
          <w:szCs w:val="22"/>
        </w:rPr>
        <w:t xml:space="preserve"> presented in the submission</w:t>
      </w:r>
      <w:r w:rsidRPr="00997765">
        <w:rPr>
          <w:rFonts w:ascii="Arial" w:hAnsi="Arial"/>
          <w:sz w:val="22"/>
          <w:szCs w:val="22"/>
        </w:rPr>
        <w:t xml:space="preserve"> </w:t>
      </w:r>
      <w:r w:rsidR="00BD3FBD" w:rsidRPr="00997765">
        <w:rPr>
          <w:rFonts w:ascii="Arial" w:hAnsi="Arial"/>
          <w:sz w:val="22"/>
          <w:szCs w:val="22"/>
        </w:rPr>
        <w:t>is</w:t>
      </w:r>
      <w:r w:rsidR="001C3A84" w:rsidRPr="00997765">
        <w:rPr>
          <w:rFonts w:ascii="Arial" w:hAnsi="Arial"/>
          <w:sz w:val="22"/>
          <w:szCs w:val="22"/>
        </w:rPr>
        <w:t xml:space="preserve"> summarised in Table 11</w:t>
      </w:r>
      <w:r w:rsidRPr="00997765">
        <w:rPr>
          <w:rFonts w:ascii="Arial" w:hAnsi="Arial"/>
          <w:sz w:val="22"/>
          <w:szCs w:val="22"/>
        </w:rPr>
        <w:t>.</w:t>
      </w:r>
      <w:r w:rsidR="00BD3FBD" w:rsidRPr="00997765">
        <w:rPr>
          <w:rFonts w:ascii="Arial" w:hAnsi="Arial"/>
          <w:sz w:val="22"/>
          <w:szCs w:val="22"/>
        </w:rPr>
        <w:t xml:space="preserve"> </w:t>
      </w:r>
      <w:r w:rsidR="00DD1F41" w:rsidRPr="00997765">
        <w:rPr>
          <w:rFonts w:ascii="Arial" w:hAnsi="Arial"/>
          <w:sz w:val="22"/>
          <w:szCs w:val="22"/>
        </w:rPr>
        <w:t xml:space="preserve">The Pre-PBAC response (page 4) presented an updated cost minimisation </w:t>
      </w:r>
      <w:r w:rsidR="00A258AE" w:rsidRPr="00997765">
        <w:rPr>
          <w:rFonts w:ascii="Arial" w:hAnsi="Arial"/>
          <w:sz w:val="22"/>
          <w:szCs w:val="22"/>
        </w:rPr>
        <w:t>analysis that</w:t>
      </w:r>
      <w:r w:rsidR="00DD1F41" w:rsidRPr="00997765">
        <w:rPr>
          <w:rFonts w:ascii="Arial" w:hAnsi="Arial"/>
          <w:sz w:val="22"/>
          <w:szCs w:val="22"/>
        </w:rPr>
        <w:t xml:space="preserve"> accounts for the price increase of the comparator presents the AEMP drug cost and separates out the cost of compounding EFC items. </w:t>
      </w:r>
    </w:p>
    <w:p w:rsidR="007F54B1" w:rsidRPr="00997765" w:rsidRDefault="00F27BC8" w:rsidP="001F37BA">
      <w:pPr>
        <w:ind w:firstLine="720"/>
        <w:rPr>
          <w:rFonts w:ascii="Arial Narrow" w:hAnsi="Arial Narrow"/>
          <w:b/>
          <w:sz w:val="20"/>
        </w:rPr>
      </w:pPr>
      <w:r w:rsidRPr="00997765">
        <w:rPr>
          <w:rFonts w:ascii="Arial" w:hAnsi="Arial"/>
          <w:i/>
          <w:sz w:val="22"/>
          <w:szCs w:val="22"/>
        </w:rPr>
        <w:br w:type="page"/>
      </w:r>
      <w:r w:rsidR="001C3A84" w:rsidRPr="00997765">
        <w:rPr>
          <w:rFonts w:ascii="Arial Narrow" w:hAnsi="Arial Narrow"/>
          <w:b/>
          <w:sz w:val="20"/>
        </w:rPr>
        <w:lastRenderedPageBreak/>
        <w:t>Table 11</w:t>
      </w:r>
      <w:r w:rsidR="007F54B1" w:rsidRPr="00997765">
        <w:rPr>
          <w:rFonts w:ascii="Arial Narrow" w:hAnsi="Arial Narrow"/>
          <w:b/>
          <w:sz w:val="20"/>
        </w:rPr>
        <w:t>: Cost minimisation analysis</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2199"/>
        <w:gridCol w:w="1327"/>
      </w:tblGrid>
      <w:tr w:rsidR="007F54B1" w:rsidRPr="00997765" w:rsidTr="007F54B1">
        <w:trPr>
          <w:tblHeader/>
        </w:trPr>
        <w:tc>
          <w:tcPr>
            <w:tcW w:w="2888" w:type="pct"/>
            <w:tcBorders>
              <w:left w:val="single" w:sz="4" w:space="0" w:color="auto"/>
              <w:bottom w:val="single" w:sz="4" w:space="0" w:color="auto"/>
            </w:tcBorders>
            <w:shd w:val="clear" w:color="auto" w:fill="auto"/>
            <w:vAlign w:val="bottom"/>
          </w:tcPr>
          <w:p w:rsidR="007F54B1" w:rsidRPr="00997765" w:rsidRDefault="007F54B1" w:rsidP="00086B75">
            <w:pPr>
              <w:jc w:val="center"/>
              <w:rPr>
                <w:rFonts w:ascii="Arial Narrow" w:hAnsi="Arial Narrow"/>
                <w:b/>
                <w:bCs/>
                <w:sz w:val="20"/>
              </w:rPr>
            </w:pPr>
          </w:p>
        </w:tc>
        <w:tc>
          <w:tcPr>
            <w:tcW w:w="1317" w:type="pct"/>
            <w:tcBorders>
              <w:bottom w:val="single" w:sz="4" w:space="0" w:color="auto"/>
            </w:tcBorders>
            <w:shd w:val="clear" w:color="auto" w:fill="auto"/>
            <w:vAlign w:val="bottom"/>
          </w:tcPr>
          <w:p w:rsidR="007F54B1" w:rsidRPr="00997765" w:rsidRDefault="007F54B1" w:rsidP="00086B75">
            <w:pPr>
              <w:jc w:val="center"/>
              <w:rPr>
                <w:rFonts w:ascii="Arial Narrow" w:hAnsi="Arial Narrow"/>
                <w:b/>
                <w:bCs/>
                <w:sz w:val="20"/>
              </w:rPr>
            </w:pPr>
            <w:r w:rsidRPr="00997765">
              <w:rPr>
                <w:rFonts w:ascii="Arial Narrow" w:hAnsi="Arial Narrow"/>
                <w:b/>
                <w:bCs/>
                <w:sz w:val="20"/>
              </w:rPr>
              <w:t>1 dose</w:t>
            </w:r>
          </w:p>
        </w:tc>
        <w:tc>
          <w:tcPr>
            <w:tcW w:w="795" w:type="pct"/>
            <w:tcBorders>
              <w:bottom w:val="single" w:sz="4" w:space="0" w:color="auto"/>
              <w:right w:val="single" w:sz="4" w:space="0" w:color="auto"/>
            </w:tcBorders>
            <w:shd w:val="clear" w:color="auto" w:fill="auto"/>
            <w:vAlign w:val="bottom"/>
          </w:tcPr>
          <w:p w:rsidR="007F54B1" w:rsidRPr="00997765" w:rsidRDefault="007F54B1" w:rsidP="00086B75">
            <w:pPr>
              <w:jc w:val="center"/>
              <w:rPr>
                <w:rFonts w:ascii="Arial Narrow" w:hAnsi="Arial Narrow"/>
                <w:b/>
                <w:bCs/>
                <w:sz w:val="20"/>
              </w:rPr>
            </w:pPr>
            <w:r w:rsidRPr="00997765">
              <w:rPr>
                <w:rFonts w:ascii="Arial Narrow" w:hAnsi="Arial Narrow"/>
                <w:b/>
                <w:bCs/>
                <w:sz w:val="20"/>
              </w:rPr>
              <w:t>4 doses</w:t>
            </w:r>
          </w:p>
        </w:tc>
      </w:tr>
      <w:tr w:rsidR="007F54B1"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086B75">
            <w:pPr>
              <w:rPr>
                <w:rFonts w:ascii="Arial Narrow" w:hAnsi="Arial Narrow"/>
                <w:b/>
                <w:sz w:val="20"/>
              </w:rPr>
            </w:pPr>
            <w:r w:rsidRPr="00997765">
              <w:rPr>
                <w:rFonts w:ascii="Arial Narrow" w:hAnsi="Arial Narrow"/>
                <w:b/>
                <w:sz w:val="20"/>
              </w:rPr>
              <w:t>Methotrexate 5</w:t>
            </w:r>
            <w:r w:rsidR="004D6A66" w:rsidRPr="00997765">
              <w:rPr>
                <w:rFonts w:ascii="Arial Narrow" w:hAnsi="Arial Narrow"/>
                <w:b/>
                <w:sz w:val="20"/>
              </w:rPr>
              <w:t>0 mg</w:t>
            </w:r>
            <w:r w:rsidRPr="00997765">
              <w:rPr>
                <w:rFonts w:ascii="Arial Narrow" w:hAnsi="Arial Narrow"/>
                <w:b/>
                <w:sz w:val="20"/>
              </w:rPr>
              <w:t xml:space="preserve"> vial for injection</w:t>
            </w:r>
          </w:p>
        </w:tc>
      </w:tr>
      <w:tr w:rsidR="007F54B1" w:rsidRPr="00997765" w:rsidTr="007F5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7F54B1">
            <w:pPr>
              <w:rPr>
                <w:rFonts w:ascii="Arial Narrow" w:hAnsi="Arial Narrow"/>
                <w:sz w:val="20"/>
              </w:rPr>
            </w:pPr>
            <w:r w:rsidRPr="00997765">
              <w:rPr>
                <w:rFonts w:ascii="Arial Narrow" w:hAnsi="Arial Narrow"/>
                <w:sz w:val="20"/>
              </w:rPr>
              <w:t>Drug acquisition costs (DPMQ)</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p>
        </w:tc>
      </w:tr>
      <w:tr w:rsidR="007F54B1" w:rsidRPr="00997765" w:rsidTr="007F5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7F54B1">
            <w:pPr>
              <w:rPr>
                <w:rFonts w:ascii="Arial Narrow" w:hAnsi="Arial Narrow"/>
                <w:sz w:val="20"/>
              </w:rPr>
            </w:pPr>
            <w:r w:rsidRPr="00997765">
              <w:rPr>
                <w:rFonts w:ascii="Arial Narrow" w:hAnsi="Arial Narrow"/>
                <w:sz w:val="20"/>
              </w:rPr>
              <w:t>Injection costs</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p>
        </w:tc>
      </w:tr>
      <w:tr w:rsidR="007F54B1" w:rsidRPr="00997765" w:rsidTr="007F5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7F54B1">
            <w:pPr>
              <w:rPr>
                <w:rFonts w:ascii="Arial Narrow" w:hAnsi="Arial Narrow"/>
                <w:sz w:val="20"/>
              </w:rPr>
            </w:pPr>
            <w:r w:rsidRPr="00997765">
              <w:rPr>
                <w:rFonts w:ascii="Arial Narrow" w:hAnsi="Arial Narrow"/>
                <w:sz w:val="20"/>
              </w:rPr>
              <w:t>Administration costs</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p>
        </w:tc>
      </w:tr>
      <w:tr w:rsidR="007F54B1" w:rsidRPr="00997765" w:rsidTr="007F5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7F54B1">
            <w:pPr>
              <w:rPr>
                <w:rFonts w:ascii="Arial Narrow" w:hAnsi="Arial Narrow"/>
                <w:sz w:val="20"/>
              </w:rPr>
            </w:pPr>
            <w:r w:rsidRPr="00997765">
              <w:rPr>
                <w:rFonts w:ascii="Arial Narrow" w:hAnsi="Arial Narrow"/>
                <w:sz w:val="20"/>
              </w:rPr>
              <w:t>Total cost</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p>
        </w:tc>
      </w:tr>
      <w:tr w:rsidR="007F54B1"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086B75">
            <w:pPr>
              <w:rPr>
                <w:rFonts w:ascii="Arial Narrow" w:hAnsi="Arial Narrow"/>
                <w:b/>
                <w:sz w:val="20"/>
              </w:rPr>
            </w:pPr>
            <w:r w:rsidRPr="00997765">
              <w:rPr>
                <w:rFonts w:ascii="Arial Narrow" w:hAnsi="Arial Narrow"/>
                <w:b/>
                <w:sz w:val="20"/>
              </w:rPr>
              <w:t>Methotrexate pre-filled syringe</w:t>
            </w:r>
          </w:p>
        </w:tc>
      </w:tr>
      <w:tr w:rsidR="007F54B1"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7F54B1">
            <w:pPr>
              <w:rPr>
                <w:rFonts w:ascii="Arial Narrow" w:hAnsi="Arial Narrow"/>
                <w:sz w:val="20"/>
              </w:rPr>
            </w:pPr>
            <w:r w:rsidRPr="00997765">
              <w:rPr>
                <w:rFonts w:ascii="Arial Narrow" w:hAnsi="Arial Narrow"/>
                <w:sz w:val="20"/>
              </w:rPr>
              <w:t>Total cost</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F54B1"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7F54B1">
            <w:pPr>
              <w:rPr>
                <w:rFonts w:ascii="Arial Narrow" w:hAnsi="Arial Narrow"/>
                <w:sz w:val="20"/>
              </w:rPr>
            </w:pPr>
            <w:r w:rsidRPr="00997765">
              <w:rPr>
                <w:rFonts w:ascii="Arial Narrow" w:hAnsi="Arial Narrow"/>
                <w:sz w:val="20"/>
              </w:rPr>
              <w:t>Administration costs</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F54B1"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7F54B1">
            <w:pPr>
              <w:rPr>
                <w:rFonts w:ascii="Arial Narrow" w:hAnsi="Arial Narrow"/>
                <w:sz w:val="20"/>
              </w:rPr>
            </w:pPr>
            <w:r w:rsidRPr="00997765">
              <w:rPr>
                <w:rFonts w:ascii="Arial Narrow" w:hAnsi="Arial Narrow"/>
                <w:sz w:val="20"/>
              </w:rPr>
              <w:t>Injection costs</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F54B1"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7F54B1" w:rsidRPr="00997765" w:rsidRDefault="007F54B1" w:rsidP="007F54B1">
            <w:pPr>
              <w:rPr>
                <w:rFonts w:ascii="Arial Narrow" w:hAnsi="Arial Narrow"/>
                <w:sz w:val="20"/>
              </w:rPr>
            </w:pPr>
            <w:r w:rsidRPr="00997765">
              <w:rPr>
                <w:rFonts w:ascii="Arial Narrow" w:hAnsi="Arial Narrow"/>
                <w:sz w:val="20"/>
              </w:rPr>
              <w:t>Drug acquisition costs (DPMQ)</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F54B1" w:rsidRPr="00997765" w:rsidRDefault="007F54B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FA1B35"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FA1B35" w:rsidRPr="00997765" w:rsidRDefault="00FA1B35" w:rsidP="007F54B1">
            <w:pPr>
              <w:rPr>
                <w:rFonts w:ascii="Arial Narrow" w:hAnsi="Arial Narrow"/>
                <w:sz w:val="20"/>
                <w:vertAlign w:val="superscript"/>
              </w:rPr>
            </w:pPr>
            <w:r w:rsidRPr="00997765">
              <w:rPr>
                <w:rFonts w:ascii="Arial Narrow" w:hAnsi="Arial Narrow"/>
                <w:sz w:val="20"/>
              </w:rPr>
              <w:t>Drug acquisition costs (AEMP)</w:t>
            </w:r>
            <w:r w:rsidRPr="00997765">
              <w:rPr>
                <w:rFonts w:ascii="Arial Narrow" w:hAnsi="Arial Narrow"/>
                <w:sz w:val="20"/>
                <w:vertAlign w:val="superscript"/>
              </w:rPr>
              <w:t>a</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FA1B35" w:rsidRPr="00997765" w:rsidRDefault="00FA1B35"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A1B35" w:rsidRPr="00997765" w:rsidRDefault="00FA1B35"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bl>
    <w:p w:rsidR="00FA1B35" w:rsidRPr="00997765" w:rsidRDefault="00FA1B35" w:rsidP="00FA1B35">
      <w:pPr>
        <w:pStyle w:val="ListParagraph"/>
        <w:jc w:val="both"/>
        <w:rPr>
          <w:rFonts w:ascii="Arial Narrow" w:hAnsi="Arial Narrow"/>
          <w:sz w:val="18"/>
          <w:szCs w:val="18"/>
        </w:rPr>
      </w:pPr>
      <w:r w:rsidRPr="00997765">
        <w:rPr>
          <w:rFonts w:ascii="Arial Narrow" w:hAnsi="Arial Narrow"/>
          <w:sz w:val="18"/>
          <w:szCs w:val="18"/>
        </w:rPr>
        <w:t>Abbreviations: AEMP, approved ex-manufacturer price; DPMQ, dispensed price per maximum quantity</w:t>
      </w:r>
    </w:p>
    <w:p w:rsidR="007F54B1" w:rsidRPr="00997765" w:rsidRDefault="007F54B1" w:rsidP="007F54B1">
      <w:pPr>
        <w:pStyle w:val="ListParagraph"/>
        <w:rPr>
          <w:rFonts w:ascii="Arial Narrow" w:hAnsi="Arial Narrow"/>
          <w:sz w:val="18"/>
          <w:szCs w:val="18"/>
        </w:rPr>
      </w:pPr>
      <w:r w:rsidRPr="00997765">
        <w:rPr>
          <w:rFonts w:ascii="Arial Narrow" w:hAnsi="Arial Narrow"/>
          <w:sz w:val="18"/>
          <w:szCs w:val="18"/>
        </w:rPr>
        <w:t xml:space="preserve">Source: </w:t>
      </w:r>
      <w:r w:rsidR="00FA1B35" w:rsidRPr="00997765">
        <w:rPr>
          <w:rFonts w:ascii="Arial Narrow" w:hAnsi="Arial Narrow"/>
          <w:sz w:val="18"/>
          <w:szCs w:val="18"/>
        </w:rPr>
        <w:t>Table 13 (p 39)</w:t>
      </w:r>
      <w:r w:rsidRPr="00997765">
        <w:rPr>
          <w:rFonts w:ascii="Arial Narrow" w:hAnsi="Arial Narrow"/>
          <w:sz w:val="18"/>
          <w:szCs w:val="18"/>
        </w:rPr>
        <w:t xml:space="preserve"> of the submission</w:t>
      </w:r>
    </w:p>
    <w:p w:rsidR="00EC6A0E" w:rsidRPr="00997765" w:rsidRDefault="00FA1B35" w:rsidP="00EC6A0E">
      <w:pPr>
        <w:pStyle w:val="ListParagraph"/>
        <w:rPr>
          <w:rFonts w:ascii="Arial Narrow" w:hAnsi="Arial Narrow"/>
          <w:sz w:val="18"/>
          <w:szCs w:val="18"/>
        </w:rPr>
      </w:pPr>
      <w:proofErr w:type="gramStart"/>
      <w:r w:rsidRPr="00997765">
        <w:rPr>
          <w:rFonts w:ascii="Arial Narrow" w:hAnsi="Arial Narrow"/>
          <w:sz w:val="18"/>
          <w:szCs w:val="18"/>
          <w:vertAlign w:val="superscript"/>
        </w:rPr>
        <w:t>a</w:t>
      </w:r>
      <w:proofErr w:type="gramEnd"/>
      <w:r w:rsidRPr="00997765">
        <w:rPr>
          <w:rFonts w:ascii="Arial Narrow" w:hAnsi="Arial Narrow"/>
          <w:sz w:val="18"/>
          <w:szCs w:val="18"/>
        </w:rPr>
        <w:t xml:space="preserve"> Back-calculated based on</w:t>
      </w:r>
      <w:r w:rsidR="00EE7E94" w:rsidRPr="00997765">
        <w:rPr>
          <w:rFonts w:ascii="Arial Narrow" w:hAnsi="Arial Narrow"/>
          <w:sz w:val="18"/>
          <w:szCs w:val="18"/>
        </w:rPr>
        <w:t xml:space="preserve"> dispensing fee $6.93,</w:t>
      </w:r>
      <w:r w:rsidRPr="00997765">
        <w:rPr>
          <w:rFonts w:ascii="Arial Narrow" w:hAnsi="Arial Narrow"/>
          <w:sz w:val="18"/>
          <w:szCs w:val="18"/>
        </w:rPr>
        <w:t xml:space="preserve"> AHI fee $3.49</w:t>
      </w:r>
      <w:r w:rsidR="00EE7E94" w:rsidRPr="00997765">
        <w:rPr>
          <w:rFonts w:ascii="Arial Narrow" w:hAnsi="Arial Narrow"/>
          <w:sz w:val="18"/>
          <w:szCs w:val="18"/>
        </w:rPr>
        <w:t xml:space="preserve"> and</w:t>
      </w:r>
      <w:r w:rsidRPr="00997765">
        <w:rPr>
          <w:rFonts w:ascii="Arial Narrow" w:hAnsi="Arial Narrow"/>
          <w:sz w:val="18"/>
          <w:szCs w:val="18"/>
        </w:rPr>
        <w:t xml:space="preserve"> wholesaler mark-up 1.0752 </w:t>
      </w:r>
    </w:p>
    <w:p w:rsidR="00EC6A0E" w:rsidRPr="00997765" w:rsidRDefault="00EC6A0E" w:rsidP="00FA1B35">
      <w:pPr>
        <w:rPr>
          <w:rFonts w:ascii="Arial" w:hAnsi="Arial"/>
          <w:sz w:val="22"/>
          <w:szCs w:val="22"/>
        </w:rPr>
      </w:pPr>
    </w:p>
    <w:p w:rsidR="006D05DC" w:rsidRPr="00997765" w:rsidRDefault="006D05DC" w:rsidP="006D05DC">
      <w:pPr>
        <w:ind w:left="709"/>
        <w:rPr>
          <w:rFonts w:ascii="Arial Narrow" w:hAnsi="Arial Narrow"/>
          <w:b/>
          <w:sz w:val="20"/>
        </w:rPr>
      </w:pPr>
      <w:r w:rsidRPr="00997765">
        <w:rPr>
          <w:rFonts w:ascii="Arial Narrow" w:hAnsi="Arial Narrow"/>
          <w:b/>
          <w:sz w:val="20"/>
        </w:rPr>
        <w:t>Table 12: Revised Cost minimisation analysis</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2020"/>
        <w:gridCol w:w="1417"/>
      </w:tblGrid>
      <w:tr w:rsidR="00DD1F41" w:rsidRPr="00997765" w:rsidTr="00DD1F41">
        <w:trPr>
          <w:tblHeader/>
        </w:trPr>
        <w:tc>
          <w:tcPr>
            <w:tcW w:w="2945" w:type="pct"/>
            <w:tcBorders>
              <w:left w:val="single" w:sz="4" w:space="0" w:color="auto"/>
              <w:bottom w:val="single" w:sz="4" w:space="0" w:color="auto"/>
            </w:tcBorders>
            <w:shd w:val="clear" w:color="auto" w:fill="auto"/>
            <w:vAlign w:val="bottom"/>
          </w:tcPr>
          <w:p w:rsidR="00DD1F41" w:rsidRPr="00997765" w:rsidRDefault="00DD1F41" w:rsidP="005B2D76">
            <w:pPr>
              <w:pStyle w:val="Table"/>
              <w:rPr>
                <w:rStyle w:val="SmallBold"/>
                <w:rFonts w:ascii="Arial Narrow" w:hAnsi="Arial Narrow"/>
              </w:rPr>
            </w:pPr>
          </w:p>
        </w:tc>
        <w:tc>
          <w:tcPr>
            <w:tcW w:w="1208" w:type="pct"/>
            <w:tcBorders>
              <w:bottom w:val="single" w:sz="4" w:space="0" w:color="auto"/>
            </w:tcBorders>
            <w:shd w:val="clear" w:color="auto" w:fill="auto"/>
            <w:vAlign w:val="bottom"/>
          </w:tcPr>
          <w:p w:rsidR="00DD1F41" w:rsidRPr="00997765" w:rsidRDefault="00DD1F41" w:rsidP="005B2D76">
            <w:pPr>
              <w:pStyle w:val="TableCentre"/>
              <w:rPr>
                <w:rStyle w:val="SmallBold"/>
                <w:rFonts w:ascii="Arial Narrow" w:hAnsi="Arial Narrow"/>
              </w:rPr>
            </w:pPr>
            <w:r w:rsidRPr="00997765">
              <w:rPr>
                <w:rStyle w:val="SmallBold"/>
                <w:rFonts w:ascii="Arial Narrow" w:hAnsi="Arial Narrow"/>
              </w:rPr>
              <w:t>1 dose</w:t>
            </w:r>
          </w:p>
        </w:tc>
        <w:tc>
          <w:tcPr>
            <w:tcW w:w="847" w:type="pct"/>
            <w:tcBorders>
              <w:bottom w:val="single" w:sz="4" w:space="0" w:color="auto"/>
              <w:right w:val="single" w:sz="4" w:space="0" w:color="auto"/>
            </w:tcBorders>
            <w:shd w:val="clear" w:color="auto" w:fill="auto"/>
            <w:vAlign w:val="bottom"/>
          </w:tcPr>
          <w:p w:rsidR="00DD1F41" w:rsidRPr="00997765" w:rsidRDefault="00DD1F41" w:rsidP="005B2D76">
            <w:pPr>
              <w:pStyle w:val="TableCentre"/>
              <w:rPr>
                <w:rStyle w:val="SmallBold"/>
                <w:rFonts w:ascii="Arial Narrow" w:hAnsi="Arial Narrow"/>
              </w:rPr>
            </w:pPr>
            <w:r w:rsidRPr="00997765">
              <w:rPr>
                <w:rStyle w:val="SmallBold"/>
                <w:rFonts w:ascii="Arial Narrow" w:hAnsi="Arial Narrow"/>
              </w:rPr>
              <w:t>4 doses</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Style w:val="SmallBold"/>
                <w:rFonts w:ascii="Arial Narrow" w:hAnsi="Arial Narrow"/>
              </w:rPr>
            </w:pPr>
            <w:r w:rsidRPr="00997765">
              <w:rPr>
                <w:rStyle w:val="SmallBold"/>
                <w:rFonts w:ascii="Arial Narrow" w:hAnsi="Arial Narrow"/>
              </w:rPr>
              <w:t>Methotrexate 50 mg vial for injection</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Drug acquisition costs (AEMP)</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Compounding costs</w:t>
            </w:r>
            <w:r w:rsidRPr="00997765">
              <w:rPr>
                <w:rStyle w:val="SmallSuperscript"/>
                <w:rFonts w:ascii="Arial Narrow" w:hAnsi="Arial Narrow"/>
              </w:rPr>
              <w:t>1</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Injection costs</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Administration costs</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Total cost</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C855D3">
            <w:pPr>
              <w:pStyle w:val="Table"/>
              <w:rPr>
                <w:rStyle w:val="SmallBold"/>
                <w:rFonts w:ascii="Arial Narrow" w:hAnsi="Arial Narrow"/>
              </w:rPr>
            </w:pPr>
            <w:r w:rsidRPr="00997765">
              <w:rPr>
                <w:rStyle w:val="SmallBold"/>
                <w:rFonts w:ascii="Arial Narrow" w:hAnsi="Arial Narrow"/>
              </w:rPr>
              <w:t>Methotrexate pre-filled syringe</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Total cost</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Administration costs</w:t>
            </w:r>
            <w:r w:rsidRPr="00997765">
              <w:rPr>
                <w:rStyle w:val="SmallSuperscript"/>
                <w:rFonts w:ascii="Arial Narrow" w:hAnsi="Arial Narrow"/>
              </w:rPr>
              <w:t>2</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Injection costs</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rPr>
            </w:pPr>
            <w:r w:rsidRPr="00997765">
              <w:rPr>
                <w:rFonts w:ascii="Arial Narrow" w:hAnsi="Arial Narrow"/>
              </w:rPr>
              <w:t>Drug acquisition costs (AEMP)</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DD1F41" w:rsidRPr="00997765" w:rsidTr="00DD1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5" w:type="pct"/>
            <w:tcBorders>
              <w:top w:val="single" w:sz="4" w:space="0" w:color="auto"/>
              <w:left w:val="single" w:sz="4" w:space="0" w:color="auto"/>
              <w:bottom w:val="single" w:sz="4" w:space="0" w:color="auto"/>
              <w:right w:val="single" w:sz="4" w:space="0" w:color="auto"/>
            </w:tcBorders>
            <w:shd w:val="clear" w:color="auto" w:fill="auto"/>
            <w:vAlign w:val="bottom"/>
          </w:tcPr>
          <w:p w:rsidR="00DD1F41" w:rsidRPr="00997765" w:rsidRDefault="00DD1F41" w:rsidP="005B2D76">
            <w:pPr>
              <w:pStyle w:val="Table"/>
              <w:rPr>
                <w:rFonts w:ascii="Arial Narrow" w:hAnsi="Arial Narrow"/>
                <w:vertAlign w:val="superscript"/>
              </w:rPr>
            </w:pPr>
            <w:r w:rsidRPr="00997765">
              <w:rPr>
                <w:rFonts w:ascii="Arial Narrow" w:hAnsi="Arial Narrow"/>
              </w:rPr>
              <w:t>Drug acquisition costs (DPMQ)</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DD1F41" w:rsidRPr="00997765" w:rsidRDefault="00DD1F41"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bl>
    <w:p w:rsidR="006D05DC" w:rsidRPr="00997765" w:rsidRDefault="00DD1F41" w:rsidP="00DD1F41">
      <w:pPr>
        <w:ind w:firstLine="720"/>
        <w:rPr>
          <w:rFonts w:ascii="Arial Narrow" w:hAnsi="Arial Narrow"/>
          <w:sz w:val="18"/>
          <w:szCs w:val="18"/>
        </w:rPr>
      </w:pPr>
      <w:r w:rsidRPr="00997765">
        <w:rPr>
          <w:rFonts w:ascii="Arial Narrow" w:hAnsi="Arial Narrow"/>
          <w:sz w:val="18"/>
          <w:szCs w:val="18"/>
        </w:rPr>
        <w:t xml:space="preserve">Source: Table 1 (p4) of the Pre-PBAC response </w:t>
      </w:r>
    </w:p>
    <w:p w:rsidR="00DD1F41" w:rsidRPr="00997765" w:rsidRDefault="00DD1F41" w:rsidP="00DD1F41">
      <w:pPr>
        <w:ind w:firstLine="720"/>
        <w:rPr>
          <w:rFonts w:ascii="Arial" w:hAnsi="Arial"/>
          <w:sz w:val="22"/>
          <w:szCs w:val="22"/>
        </w:rPr>
      </w:pPr>
    </w:p>
    <w:p w:rsidR="00EC6A0E" w:rsidRPr="00997765" w:rsidRDefault="00EC6A0E" w:rsidP="0005557F">
      <w:pPr>
        <w:pStyle w:val="ListParagraph"/>
        <w:numPr>
          <w:ilvl w:val="1"/>
          <w:numId w:val="1"/>
        </w:numPr>
        <w:jc w:val="both"/>
        <w:rPr>
          <w:rFonts w:ascii="Arial" w:hAnsi="Arial"/>
          <w:sz w:val="22"/>
          <w:szCs w:val="22"/>
        </w:rPr>
      </w:pPr>
      <w:r w:rsidRPr="00997765">
        <w:rPr>
          <w:rFonts w:ascii="Arial" w:hAnsi="Arial"/>
          <w:sz w:val="22"/>
          <w:szCs w:val="22"/>
        </w:rPr>
        <w:t>The submission proposed a flat price of $</w:t>
      </w:r>
      <w:r w:rsidR="00360D24">
        <w:rPr>
          <w:rFonts w:ascii="Arial" w:hAnsi="Arial"/>
          <w:noProof/>
          <w:color w:val="000000"/>
          <w:sz w:val="22"/>
          <w:szCs w:val="22"/>
          <w:highlight w:val="black"/>
        </w:rPr>
        <w:t>''''''''''''''''''</w:t>
      </w:r>
      <w:r w:rsidRPr="00997765">
        <w:rPr>
          <w:rFonts w:ascii="Arial" w:hAnsi="Arial"/>
          <w:sz w:val="22"/>
          <w:szCs w:val="22"/>
        </w:rPr>
        <w:t xml:space="preserve"> (DPMQ) for all strengths of methotrexate pre-filled syringe based on the presented cost minimisation analysis.</w:t>
      </w:r>
    </w:p>
    <w:p w:rsidR="00EC6A0E" w:rsidRPr="00997765" w:rsidRDefault="00EC6A0E" w:rsidP="00EC6A0E">
      <w:pPr>
        <w:pStyle w:val="ListParagraph"/>
        <w:jc w:val="both"/>
        <w:rPr>
          <w:rFonts w:ascii="Arial" w:hAnsi="Arial"/>
          <w:sz w:val="22"/>
          <w:szCs w:val="22"/>
        </w:rPr>
      </w:pPr>
    </w:p>
    <w:p w:rsidR="00027A0B" w:rsidRPr="00997765" w:rsidRDefault="00EC6A0E" w:rsidP="00027A0B">
      <w:pPr>
        <w:pStyle w:val="ListParagraph"/>
        <w:numPr>
          <w:ilvl w:val="1"/>
          <w:numId w:val="1"/>
        </w:numPr>
        <w:jc w:val="both"/>
        <w:rPr>
          <w:rFonts w:ascii="Arial" w:hAnsi="Arial"/>
          <w:sz w:val="22"/>
          <w:szCs w:val="22"/>
        </w:rPr>
      </w:pPr>
      <w:r w:rsidRPr="00997765">
        <w:rPr>
          <w:rFonts w:ascii="Arial" w:hAnsi="Arial"/>
          <w:sz w:val="22"/>
          <w:szCs w:val="22"/>
        </w:rPr>
        <w:t xml:space="preserve">The analysis presented in the submission was also re-calculated </w:t>
      </w:r>
      <w:r w:rsidR="0069491E" w:rsidRPr="00997765">
        <w:rPr>
          <w:rFonts w:ascii="Arial" w:hAnsi="Arial"/>
          <w:sz w:val="22"/>
          <w:szCs w:val="22"/>
        </w:rPr>
        <w:t xml:space="preserve">during </w:t>
      </w:r>
      <w:r w:rsidRPr="00997765">
        <w:rPr>
          <w:rFonts w:ascii="Arial" w:hAnsi="Arial"/>
          <w:sz w:val="22"/>
          <w:szCs w:val="22"/>
        </w:rPr>
        <w:t xml:space="preserve">the </w:t>
      </w:r>
      <w:r w:rsidR="0069491E" w:rsidRPr="00997765">
        <w:rPr>
          <w:rFonts w:ascii="Arial" w:hAnsi="Arial"/>
          <w:sz w:val="22"/>
          <w:szCs w:val="22"/>
        </w:rPr>
        <w:t xml:space="preserve">evaluation </w:t>
      </w:r>
      <w:r w:rsidRPr="00997765">
        <w:rPr>
          <w:rFonts w:ascii="Arial" w:hAnsi="Arial"/>
          <w:sz w:val="22"/>
          <w:szCs w:val="22"/>
        </w:rPr>
        <w:t xml:space="preserve">using </w:t>
      </w:r>
      <w:r w:rsidR="008634A3" w:rsidRPr="00997765">
        <w:rPr>
          <w:rFonts w:ascii="Arial" w:hAnsi="Arial"/>
          <w:sz w:val="22"/>
          <w:szCs w:val="22"/>
        </w:rPr>
        <w:t xml:space="preserve">the </w:t>
      </w:r>
      <w:r w:rsidRPr="00997765">
        <w:rPr>
          <w:rFonts w:ascii="Arial" w:hAnsi="Arial"/>
          <w:sz w:val="22"/>
          <w:szCs w:val="22"/>
        </w:rPr>
        <w:t xml:space="preserve">revised drug cost </w:t>
      </w:r>
      <w:r w:rsidR="001C3A84" w:rsidRPr="00997765">
        <w:rPr>
          <w:rFonts w:ascii="Arial" w:hAnsi="Arial"/>
          <w:sz w:val="22"/>
          <w:szCs w:val="22"/>
        </w:rPr>
        <w:t>estimates (shown in Table 12</w:t>
      </w:r>
      <w:r w:rsidR="008634A3" w:rsidRPr="00997765">
        <w:rPr>
          <w:rFonts w:ascii="Arial" w:hAnsi="Arial"/>
          <w:sz w:val="22"/>
          <w:szCs w:val="22"/>
        </w:rPr>
        <w:t>)</w:t>
      </w:r>
      <w:r w:rsidRPr="00997765">
        <w:rPr>
          <w:rFonts w:ascii="Arial" w:hAnsi="Arial"/>
          <w:sz w:val="22"/>
          <w:szCs w:val="22"/>
        </w:rPr>
        <w:t>.</w:t>
      </w:r>
    </w:p>
    <w:p w:rsidR="00027A0B" w:rsidRPr="00997765" w:rsidRDefault="00027A0B" w:rsidP="00027A0B">
      <w:pPr>
        <w:pStyle w:val="ListParagraph"/>
        <w:jc w:val="both"/>
        <w:rPr>
          <w:rFonts w:ascii="Arial" w:hAnsi="Arial"/>
          <w:sz w:val="22"/>
          <w:szCs w:val="22"/>
        </w:rPr>
      </w:pPr>
    </w:p>
    <w:p w:rsidR="00027A0B" w:rsidRPr="00997765" w:rsidRDefault="00EC6A0E" w:rsidP="00027A0B">
      <w:pPr>
        <w:pStyle w:val="ListParagraph"/>
        <w:numPr>
          <w:ilvl w:val="1"/>
          <w:numId w:val="1"/>
        </w:numPr>
        <w:jc w:val="both"/>
        <w:rPr>
          <w:rFonts w:ascii="Arial" w:hAnsi="Arial"/>
          <w:sz w:val="22"/>
          <w:szCs w:val="22"/>
        </w:rPr>
      </w:pPr>
      <w:r w:rsidRPr="00997765">
        <w:rPr>
          <w:rFonts w:ascii="Arial" w:hAnsi="Arial"/>
          <w:sz w:val="22"/>
          <w:szCs w:val="22"/>
        </w:rPr>
        <w:t xml:space="preserve">The impact of varying the number of healthcare visits avoided was assessed in sensitivity </w:t>
      </w:r>
      <w:r w:rsidR="006D30C1" w:rsidRPr="00997765">
        <w:rPr>
          <w:rFonts w:ascii="Arial" w:hAnsi="Arial"/>
          <w:sz w:val="22"/>
          <w:szCs w:val="22"/>
        </w:rPr>
        <w:t>analyses ranging from</w:t>
      </w:r>
      <w:r w:rsidRPr="00997765">
        <w:rPr>
          <w:rFonts w:ascii="Arial" w:hAnsi="Arial"/>
          <w:sz w:val="22"/>
          <w:szCs w:val="22"/>
        </w:rPr>
        <w:t xml:space="preserve"> 0 (no difference) to 4 (all patients switch to self-administration) visits avoided per 28 days.</w:t>
      </w:r>
    </w:p>
    <w:p w:rsidR="00027A0B" w:rsidRPr="00997765" w:rsidRDefault="00027A0B" w:rsidP="00027A0B">
      <w:pPr>
        <w:pStyle w:val="ListParagraph"/>
        <w:rPr>
          <w:rFonts w:ascii="Arial" w:hAnsi="Arial"/>
          <w:sz w:val="22"/>
          <w:szCs w:val="22"/>
        </w:rPr>
      </w:pPr>
    </w:p>
    <w:p w:rsidR="00EC6A0E" w:rsidRPr="00997765" w:rsidRDefault="00EC6A0E" w:rsidP="00027A0B">
      <w:pPr>
        <w:pStyle w:val="ListParagraph"/>
        <w:numPr>
          <w:ilvl w:val="1"/>
          <w:numId w:val="1"/>
        </w:numPr>
        <w:jc w:val="both"/>
        <w:rPr>
          <w:rFonts w:ascii="Arial" w:hAnsi="Arial"/>
          <w:sz w:val="22"/>
          <w:szCs w:val="22"/>
        </w:rPr>
      </w:pPr>
      <w:r w:rsidRPr="00997765">
        <w:rPr>
          <w:rFonts w:ascii="Arial" w:hAnsi="Arial"/>
          <w:sz w:val="22"/>
          <w:szCs w:val="22"/>
        </w:rPr>
        <w:t>The impact of using different healthcare visit costs was assessed in sensitivity analyses using MBS item 3 (Level A GP visit, straightforward issue) and MBS item 105 (subsequent specialist visit).</w:t>
      </w:r>
    </w:p>
    <w:p w:rsidR="00F27BC8" w:rsidRPr="00997765" w:rsidRDefault="00F27BC8">
      <w:pPr>
        <w:rPr>
          <w:rFonts w:ascii="Arial" w:hAnsi="Arial"/>
          <w:i/>
          <w:sz w:val="22"/>
          <w:szCs w:val="22"/>
        </w:rPr>
      </w:pPr>
      <w:r w:rsidRPr="00997765">
        <w:rPr>
          <w:rFonts w:ascii="Arial" w:hAnsi="Arial"/>
          <w:i/>
          <w:sz w:val="22"/>
          <w:szCs w:val="22"/>
        </w:rPr>
        <w:br w:type="page"/>
      </w:r>
    </w:p>
    <w:p w:rsidR="00EC6A0E" w:rsidRPr="00997765" w:rsidRDefault="00EC6A0E" w:rsidP="00EC6A0E">
      <w:pPr>
        <w:pStyle w:val="ListParagraph"/>
        <w:jc w:val="both"/>
        <w:rPr>
          <w:rFonts w:ascii="Arial" w:hAnsi="Arial"/>
          <w:i/>
          <w:sz w:val="22"/>
          <w:szCs w:val="22"/>
        </w:rPr>
      </w:pPr>
    </w:p>
    <w:p w:rsidR="00EC6A0E" w:rsidRPr="00997765" w:rsidRDefault="001C3A84" w:rsidP="00EC6A0E">
      <w:pPr>
        <w:ind w:left="709"/>
        <w:rPr>
          <w:rFonts w:ascii="Arial Narrow" w:hAnsi="Arial Narrow"/>
          <w:b/>
          <w:sz w:val="20"/>
        </w:rPr>
      </w:pPr>
      <w:r w:rsidRPr="00997765">
        <w:rPr>
          <w:rFonts w:ascii="Arial Narrow" w:hAnsi="Arial Narrow"/>
          <w:b/>
          <w:sz w:val="20"/>
        </w:rPr>
        <w:t>Table 1</w:t>
      </w:r>
      <w:r w:rsidR="00FB59D7" w:rsidRPr="00997765">
        <w:rPr>
          <w:rFonts w:ascii="Arial Narrow" w:hAnsi="Arial Narrow"/>
          <w:b/>
          <w:sz w:val="20"/>
        </w:rPr>
        <w:t>3</w:t>
      </w:r>
      <w:r w:rsidR="00EC6A0E" w:rsidRPr="00997765">
        <w:rPr>
          <w:rFonts w:ascii="Arial Narrow" w:hAnsi="Arial Narrow"/>
          <w:b/>
          <w:sz w:val="20"/>
        </w:rPr>
        <w:t xml:space="preserve">: </w:t>
      </w:r>
      <w:r w:rsidR="000E32F1" w:rsidRPr="00997765">
        <w:rPr>
          <w:rFonts w:ascii="Arial Narrow" w:hAnsi="Arial Narrow"/>
          <w:b/>
          <w:sz w:val="20"/>
        </w:rPr>
        <w:t>Alternative c</w:t>
      </w:r>
      <w:r w:rsidR="00EC6A0E" w:rsidRPr="00997765">
        <w:rPr>
          <w:rFonts w:ascii="Arial Narrow" w:hAnsi="Arial Narrow"/>
          <w:b/>
          <w:sz w:val="20"/>
        </w:rPr>
        <w:t>ost minimisation analysis</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2199"/>
        <w:gridCol w:w="1327"/>
      </w:tblGrid>
      <w:tr w:rsidR="00EC6A0E" w:rsidRPr="00997765" w:rsidTr="00086B75">
        <w:trPr>
          <w:tblHeader/>
        </w:trPr>
        <w:tc>
          <w:tcPr>
            <w:tcW w:w="2888" w:type="pct"/>
            <w:tcBorders>
              <w:left w:val="single" w:sz="4" w:space="0" w:color="auto"/>
              <w:bottom w:val="single" w:sz="4" w:space="0" w:color="auto"/>
            </w:tcBorders>
            <w:shd w:val="clear" w:color="auto" w:fill="auto"/>
            <w:vAlign w:val="bottom"/>
          </w:tcPr>
          <w:p w:rsidR="00EC6A0E" w:rsidRPr="00997765" w:rsidRDefault="00EC6A0E" w:rsidP="00086B75">
            <w:pPr>
              <w:jc w:val="center"/>
              <w:rPr>
                <w:rFonts w:ascii="Arial Narrow" w:hAnsi="Arial Narrow"/>
                <w:b/>
                <w:bCs/>
                <w:sz w:val="20"/>
              </w:rPr>
            </w:pPr>
          </w:p>
        </w:tc>
        <w:tc>
          <w:tcPr>
            <w:tcW w:w="1317" w:type="pct"/>
            <w:tcBorders>
              <w:bottom w:val="single" w:sz="4" w:space="0" w:color="auto"/>
            </w:tcBorders>
            <w:shd w:val="clear" w:color="auto" w:fill="auto"/>
            <w:vAlign w:val="bottom"/>
          </w:tcPr>
          <w:p w:rsidR="00EC6A0E" w:rsidRPr="00997765" w:rsidRDefault="00EC6A0E" w:rsidP="00086B75">
            <w:pPr>
              <w:jc w:val="center"/>
              <w:rPr>
                <w:rFonts w:ascii="Arial Narrow" w:hAnsi="Arial Narrow"/>
                <w:b/>
                <w:bCs/>
                <w:sz w:val="20"/>
              </w:rPr>
            </w:pPr>
            <w:r w:rsidRPr="00997765">
              <w:rPr>
                <w:rFonts w:ascii="Arial Narrow" w:hAnsi="Arial Narrow"/>
                <w:b/>
                <w:bCs/>
                <w:sz w:val="20"/>
              </w:rPr>
              <w:t>1 dose</w:t>
            </w:r>
          </w:p>
        </w:tc>
        <w:tc>
          <w:tcPr>
            <w:tcW w:w="795" w:type="pct"/>
            <w:tcBorders>
              <w:bottom w:val="single" w:sz="4" w:space="0" w:color="auto"/>
              <w:right w:val="single" w:sz="4" w:space="0" w:color="auto"/>
            </w:tcBorders>
            <w:shd w:val="clear" w:color="auto" w:fill="auto"/>
            <w:vAlign w:val="bottom"/>
          </w:tcPr>
          <w:p w:rsidR="00EC6A0E" w:rsidRPr="00997765" w:rsidRDefault="00EC6A0E" w:rsidP="00086B75">
            <w:pPr>
              <w:jc w:val="center"/>
              <w:rPr>
                <w:rFonts w:ascii="Arial Narrow" w:hAnsi="Arial Narrow"/>
                <w:b/>
                <w:bCs/>
                <w:sz w:val="20"/>
              </w:rPr>
            </w:pPr>
            <w:r w:rsidRPr="00997765">
              <w:rPr>
                <w:rFonts w:ascii="Arial Narrow" w:hAnsi="Arial Narrow"/>
                <w:b/>
                <w:bCs/>
                <w:sz w:val="20"/>
              </w:rPr>
              <w:t>4 doses</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b/>
                <w:sz w:val="20"/>
              </w:rPr>
            </w:pPr>
            <w:r w:rsidRPr="00997765">
              <w:rPr>
                <w:rFonts w:ascii="Arial Narrow" w:hAnsi="Arial Narrow"/>
                <w:b/>
                <w:sz w:val="20"/>
              </w:rPr>
              <w:t>Methotrexate 5</w:t>
            </w:r>
            <w:r w:rsidR="004D6A66" w:rsidRPr="00997765">
              <w:rPr>
                <w:rFonts w:ascii="Arial Narrow" w:hAnsi="Arial Narrow"/>
                <w:b/>
                <w:sz w:val="20"/>
              </w:rPr>
              <w:t>0 mg</w:t>
            </w:r>
            <w:r w:rsidRPr="00997765">
              <w:rPr>
                <w:rFonts w:ascii="Arial Narrow" w:hAnsi="Arial Narrow"/>
                <w:b/>
                <w:sz w:val="20"/>
              </w:rPr>
              <w:t xml:space="preserve"> vial for injection</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sz w:val="20"/>
              </w:rPr>
            </w:pPr>
            <w:r w:rsidRPr="00997765">
              <w:rPr>
                <w:rFonts w:ascii="Arial Narrow" w:hAnsi="Arial Narrow"/>
                <w:sz w:val="20"/>
              </w:rPr>
              <w:t>Drug acquisition costs</w:t>
            </w:r>
            <w:r w:rsidR="008634A3" w:rsidRPr="00997765">
              <w:rPr>
                <w:rFonts w:ascii="Arial Narrow" w:hAnsi="Arial Narrow"/>
                <w:sz w:val="20"/>
              </w:rPr>
              <w:t xml:space="preserve"> (AEMP</w:t>
            </w:r>
            <w:r w:rsidRPr="00997765">
              <w:rPr>
                <w:rFonts w:ascii="Arial Narrow" w:hAnsi="Arial Narrow"/>
                <w:sz w:val="20"/>
              </w:rPr>
              <w:t>)</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sz w:val="20"/>
              </w:rPr>
            </w:pPr>
            <w:r w:rsidRPr="00997765">
              <w:rPr>
                <w:rFonts w:ascii="Arial Narrow" w:hAnsi="Arial Narrow"/>
                <w:sz w:val="20"/>
              </w:rPr>
              <w:t>Injection costs</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sz w:val="20"/>
              </w:rPr>
            </w:pPr>
            <w:r w:rsidRPr="00997765">
              <w:rPr>
                <w:rFonts w:ascii="Arial Narrow" w:hAnsi="Arial Narrow"/>
                <w:sz w:val="20"/>
              </w:rPr>
              <w:t>Administration costs</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sz w:val="20"/>
              </w:rPr>
            </w:pPr>
            <w:r w:rsidRPr="00997765">
              <w:rPr>
                <w:rFonts w:ascii="Arial Narrow" w:hAnsi="Arial Narrow"/>
                <w:sz w:val="20"/>
              </w:rPr>
              <w:t>Total cost</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b/>
                <w:sz w:val="20"/>
              </w:rPr>
            </w:pPr>
            <w:r w:rsidRPr="00997765">
              <w:rPr>
                <w:rFonts w:ascii="Arial Narrow" w:hAnsi="Arial Narrow"/>
                <w:b/>
                <w:sz w:val="20"/>
              </w:rPr>
              <w:t>Methotrexate pre-filled syringe</w:t>
            </w:r>
          </w:p>
        </w:tc>
      </w:tr>
      <w:tr w:rsidR="00EC6A0E" w:rsidRPr="00997765" w:rsidTr="00A27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sz w:val="20"/>
              </w:rPr>
            </w:pPr>
            <w:r w:rsidRPr="00997765">
              <w:rPr>
                <w:rFonts w:ascii="Arial Narrow" w:hAnsi="Arial Narrow"/>
                <w:sz w:val="20"/>
              </w:rPr>
              <w:t>Total cost</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sz w:val="20"/>
              </w:rPr>
            </w:pPr>
            <w:r w:rsidRPr="00997765">
              <w:rPr>
                <w:rFonts w:ascii="Arial Narrow" w:hAnsi="Arial Narrow"/>
                <w:sz w:val="20"/>
              </w:rPr>
              <w:t>Administration costs</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sz w:val="20"/>
              </w:rPr>
            </w:pPr>
            <w:r w:rsidRPr="00997765">
              <w:rPr>
                <w:rFonts w:ascii="Arial Narrow" w:hAnsi="Arial Narrow"/>
                <w:sz w:val="20"/>
              </w:rPr>
              <w:t>Injection costs</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EC6A0E" w:rsidP="00086B75">
            <w:pPr>
              <w:rPr>
                <w:rFonts w:ascii="Arial Narrow" w:hAnsi="Arial Narrow"/>
                <w:sz w:val="20"/>
              </w:rPr>
            </w:pPr>
            <w:r w:rsidRPr="00997765">
              <w:rPr>
                <w:rFonts w:ascii="Arial Narrow" w:hAnsi="Arial Narrow"/>
                <w:sz w:val="20"/>
              </w:rPr>
              <w:t>Drug acquisition costs</w:t>
            </w:r>
            <w:r w:rsidR="008634A3" w:rsidRPr="00997765">
              <w:rPr>
                <w:rFonts w:ascii="Arial Narrow" w:hAnsi="Arial Narrow"/>
                <w:sz w:val="20"/>
              </w:rPr>
              <w:t xml:space="preserve"> (AEMP</w:t>
            </w:r>
            <w:r w:rsidRPr="00997765">
              <w:rPr>
                <w:rFonts w:ascii="Arial Narrow" w:hAnsi="Arial Narrow"/>
                <w:sz w:val="20"/>
              </w:rPr>
              <w:t>)</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EC6A0E"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tcBorders>
              <w:top w:val="single" w:sz="4" w:space="0" w:color="auto"/>
              <w:left w:val="single" w:sz="4" w:space="0" w:color="auto"/>
              <w:bottom w:val="single" w:sz="4" w:space="0" w:color="auto"/>
              <w:right w:val="single" w:sz="4" w:space="0" w:color="auto"/>
            </w:tcBorders>
            <w:shd w:val="clear" w:color="auto" w:fill="auto"/>
            <w:vAlign w:val="bottom"/>
          </w:tcPr>
          <w:p w:rsidR="00EC6A0E" w:rsidRPr="00997765" w:rsidRDefault="008634A3" w:rsidP="00086B75">
            <w:pPr>
              <w:rPr>
                <w:rFonts w:ascii="Arial Narrow" w:hAnsi="Arial Narrow"/>
                <w:sz w:val="20"/>
                <w:vertAlign w:val="superscript"/>
              </w:rPr>
            </w:pPr>
            <w:r w:rsidRPr="00997765">
              <w:rPr>
                <w:rFonts w:ascii="Arial Narrow" w:hAnsi="Arial Narrow"/>
                <w:sz w:val="20"/>
              </w:rPr>
              <w:t>Drug acquisition costs (DPMQ</w:t>
            </w:r>
            <w:r w:rsidR="00EC6A0E" w:rsidRPr="00997765">
              <w:rPr>
                <w:rFonts w:ascii="Arial Narrow" w:hAnsi="Arial Narrow"/>
                <w:sz w:val="20"/>
              </w:rPr>
              <w:t>)</w:t>
            </w:r>
            <w:r w:rsidR="00EC6A0E" w:rsidRPr="00997765">
              <w:rPr>
                <w:rFonts w:ascii="Arial Narrow" w:hAnsi="Arial Narrow"/>
                <w:sz w:val="20"/>
                <w:vertAlign w:val="superscript"/>
              </w:rPr>
              <w:t>a</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C6A0E" w:rsidRPr="00997765" w:rsidRDefault="00EC6A0E"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A279C7" w:rsidRPr="00997765" w:rsidTr="00086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279C7" w:rsidRPr="00997765" w:rsidRDefault="00A279C7" w:rsidP="00A279C7">
            <w:pPr>
              <w:rPr>
                <w:rFonts w:ascii="Arial Narrow" w:hAnsi="Arial Narrow"/>
                <w:b/>
                <w:sz w:val="20"/>
              </w:rPr>
            </w:pPr>
            <w:r w:rsidRPr="00997765">
              <w:rPr>
                <w:rFonts w:ascii="Arial Narrow" w:hAnsi="Arial Narrow"/>
                <w:b/>
                <w:sz w:val="20"/>
              </w:rPr>
              <w:t>Sensitivity analyses</w:t>
            </w:r>
            <w:r w:rsidR="007A3EA5" w:rsidRPr="00997765">
              <w:rPr>
                <w:rFonts w:ascii="Arial Narrow" w:hAnsi="Arial Narrow"/>
                <w:b/>
                <w:sz w:val="20"/>
              </w:rPr>
              <w:t xml:space="preserve"> (AEMP)</w:t>
            </w:r>
          </w:p>
        </w:tc>
      </w:tr>
      <w:tr w:rsidR="00A279C7" w:rsidRPr="00997765" w:rsidTr="00A27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A279C7" w:rsidRPr="00997765" w:rsidRDefault="007A3EA5" w:rsidP="00086B75">
            <w:pPr>
              <w:rPr>
                <w:rFonts w:ascii="Arial Narrow" w:hAnsi="Arial Narrow"/>
                <w:sz w:val="20"/>
              </w:rPr>
            </w:pPr>
            <w:r w:rsidRPr="00997765">
              <w:rPr>
                <w:rFonts w:ascii="Arial Narrow" w:hAnsi="Arial Narrow"/>
                <w:sz w:val="20"/>
              </w:rPr>
              <w:t>0 healthcare visits avoid</w:t>
            </w:r>
            <w:r w:rsidR="006D30C1" w:rsidRPr="00997765">
              <w:rPr>
                <w:rFonts w:ascii="Arial Narrow" w:hAnsi="Arial Narrow"/>
                <w:sz w:val="20"/>
              </w:rPr>
              <w:t>ed</w:t>
            </w:r>
            <w:r w:rsidRPr="00997765">
              <w:rPr>
                <w:rFonts w:ascii="Arial Narrow" w:hAnsi="Arial Narrow"/>
                <w:sz w:val="20"/>
              </w:rPr>
              <w:t xml:space="preserve"> with methotrexate pre-filled syringe</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A279C7" w:rsidRPr="00997765" w:rsidRDefault="000E32F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279C7" w:rsidRPr="00997765" w:rsidRDefault="000E32F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A3EA5" w:rsidRPr="00997765" w:rsidTr="00A27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A3EA5" w:rsidRPr="00997765" w:rsidRDefault="007A3EA5" w:rsidP="00086B75">
            <w:pPr>
              <w:rPr>
                <w:rFonts w:ascii="Arial Narrow" w:hAnsi="Arial Narrow"/>
                <w:sz w:val="20"/>
              </w:rPr>
            </w:pPr>
            <w:r w:rsidRPr="00997765">
              <w:rPr>
                <w:rFonts w:ascii="Arial Narrow" w:hAnsi="Arial Narrow"/>
                <w:sz w:val="20"/>
              </w:rPr>
              <w:t>1 healthcare visits avoid</w:t>
            </w:r>
            <w:r w:rsidR="006D30C1" w:rsidRPr="00997765">
              <w:rPr>
                <w:rFonts w:ascii="Arial Narrow" w:hAnsi="Arial Narrow"/>
                <w:sz w:val="20"/>
              </w:rPr>
              <w:t>ed</w:t>
            </w:r>
            <w:r w:rsidRPr="00997765">
              <w:rPr>
                <w:rFonts w:ascii="Arial Narrow" w:hAnsi="Arial Narrow"/>
                <w:sz w:val="20"/>
              </w:rPr>
              <w:t xml:space="preserve"> with methotrexate pre-filled syringe</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0E32F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0E32F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A3EA5" w:rsidRPr="00997765" w:rsidTr="00A27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A3EA5" w:rsidRPr="00997765" w:rsidRDefault="007A3EA5" w:rsidP="00086B75">
            <w:pPr>
              <w:rPr>
                <w:rFonts w:ascii="Arial Narrow" w:hAnsi="Arial Narrow"/>
                <w:sz w:val="20"/>
              </w:rPr>
            </w:pPr>
            <w:r w:rsidRPr="00997765">
              <w:rPr>
                <w:rFonts w:ascii="Arial Narrow" w:hAnsi="Arial Narrow"/>
                <w:sz w:val="20"/>
              </w:rPr>
              <w:t>2 healthcare visits avoid</w:t>
            </w:r>
            <w:r w:rsidR="006D30C1" w:rsidRPr="00997765">
              <w:rPr>
                <w:rFonts w:ascii="Arial Narrow" w:hAnsi="Arial Narrow"/>
                <w:sz w:val="20"/>
              </w:rPr>
              <w:t>ed</w:t>
            </w:r>
            <w:r w:rsidRPr="00997765">
              <w:rPr>
                <w:rFonts w:ascii="Arial Narrow" w:hAnsi="Arial Narrow"/>
                <w:sz w:val="20"/>
              </w:rPr>
              <w:t xml:space="preserve"> with methotrexate pre-filled syringe</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0E32F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0E32F1"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A3EA5" w:rsidRPr="00997765" w:rsidTr="00A27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A3EA5" w:rsidRPr="00997765" w:rsidRDefault="007A3EA5" w:rsidP="00086B75">
            <w:pPr>
              <w:rPr>
                <w:rFonts w:ascii="Arial Narrow" w:hAnsi="Arial Narrow"/>
                <w:sz w:val="20"/>
              </w:rPr>
            </w:pPr>
            <w:r w:rsidRPr="00997765">
              <w:rPr>
                <w:rFonts w:ascii="Arial Narrow" w:hAnsi="Arial Narrow"/>
                <w:sz w:val="20"/>
              </w:rPr>
              <w:t>3 healthcare visits avoid</w:t>
            </w:r>
            <w:r w:rsidR="006D30C1" w:rsidRPr="00997765">
              <w:rPr>
                <w:rFonts w:ascii="Arial Narrow" w:hAnsi="Arial Narrow"/>
                <w:sz w:val="20"/>
              </w:rPr>
              <w:t>ed</w:t>
            </w:r>
            <w:r w:rsidRPr="00997765">
              <w:rPr>
                <w:rFonts w:ascii="Arial Narrow" w:hAnsi="Arial Narrow"/>
                <w:sz w:val="20"/>
              </w:rPr>
              <w:t xml:space="preserve"> with methotrexate pre-filled syringe</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2F23E6"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2F23E6"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A3EA5" w:rsidRPr="00997765" w:rsidTr="00A27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A3EA5" w:rsidRPr="00997765" w:rsidRDefault="007A3EA5" w:rsidP="00086B75">
            <w:pPr>
              <w:rPr>
                <w:rFonts w:ascii="Arial Narrow" w:hAnsi="Arial Narrow"/>
                <w:sz w:val="20"/>
              </w:rPr>
            </w:pPr>
            <w:r w:rsidRPr="00997765">
              <w:rPr>
                <w:rFonts w:ascii="Arial Narrow" w:hAnsi="Arial Narrow"/>
                <w:sz w:val="20"/>
              </w:rPr>
              <w:t>4 healthcare visits avoid</w:t>
            </w:r>
            <w:r w:rsidR="006D30C1" w:rsidRPr="00997765">
              <w:rPr>
                <w:rFonts w:ascii="Arial Narrow" w:hAnsi="Arial Narrow"/>
                <w:sz w:val="20"/>
              </w:rPr>
              <w:t>ed</w:t>
            </w:r>
            <w:r w:rsidRPr="00997765">
              <w:rPr>
                <w:rFonts w:ascii="Arial Narrow" w:hAnsi="Arial Narrow"/>
                <w:sz w:val="20"/>
              </w:rPr>
              <w:t xml:space="preserve"> with methotrexate pre-filled syringe</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2F23E6"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2F23E6"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A3EA5" w:rsidRPr="00997765" w:rsidTr="00A27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A3EA5" w:rsidRPr="00997765" w:rsidRDefault="007A3EA5" w:rsidP="00086B75">
            <w:pPr>
              <w:rPr>
                <w:rFonts w:ascii="Arial Narrow" w:hAnsi="Arial Narrow"/>
                <w:sz w:val="20"/>
              </w:rPr>
            </w:pPr>
            <w:r w:rsidRPr="00997765">
              <w:rPr>
                <w:rFonts w:ascii="Arial Narrow" w:hAnsi="Arial Narrow"/>
                <w:sz w:val="20"/>
              </w:rPr>
              <w:t>Healthcare visit costs based on MBS item 3 ($16.95)</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F2699B"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F2699B"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A3EA5" w:rsidRPr="00997765" w:rsidTr="00A27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pct"/>
            <w:tcBorders>
              <w:top w:val="single" w:sz="4" w:space="0" w:color="auto"/>
              <w:left w:val="single" w:sz="4" w:space="0" w:color="auto"/>
              <w:bottom w:val="single" w:sz="4" w:space="0" w:color="auto"/>
              <w:right w:val="single" w:sz="4" w:space="0" w:color="auto"/>
            </w:tcBorders>
            <w:shd w:val="clear" w:color="auto" w:fill="auto"/>
            <w:vAlign w:val="bottom"/>
          </w:tcPr>
          <w:p w:rsidR="007A3EA5" w:rsidRPr="00997765" w:rsidRDefault="007A3EA5" w:rsidP="00086B75">
            <w:pPr>
              <w:rPr>
                <w:rFonts w:ascii="Arial Narrow" w:hAnsi="Arial Narrow"/>
                <w:sz w:val="20"/>
              </w:rPr>
            </w:pPr>
            <w:r w:rsidRPr="00997765">
              <w:rPr>
                <w:rFonts w:ascii="Arial Narrow" w:hAnsi="Arial Narrow"/>
                <w:sz w:val="20"/>
              </w:rPr>
              <w:t>Healthcare visit costs based on MBS item 105 ($43.00)</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F104B4"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A3EA5" w:rsidRPr="00997765" w:rsidRDefault="00F104B4" w:rsidP="00086B75">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bl>
    <w:p w:rsidR="00EC6A0E" w:rsidRPr="00997765" w:rsidRDefault="00EC6A0E" w:rsidP="00EC6A0E">
      <w:pPr>
        <w:pStyle w:val="ListParagraph"/>
        <w:jc w:val="both"/>
        <w:rPr>
          <w:rFonts w:ascii="Arial Narrow" w:hAnsi="Arial Narrow"/>
          <w:sz w:val="18"/>
          <w:szCs w:val="18"/>
        </w:rPr>
      </w:pPr>
      <w:r w:rsidRPr="00997765">
        <w:rPr>
          <w:rFonts w:ascii="Arial Narrow" w:hAnsi="Arial Narrow"/>
          <w:sz w:val="18"/>
          <w:szCs w:val="18"/>
        </w:rPr>
        <w:t>Abbreviations: AEMP, approved ex-manufacturer price; DPMQ, dispensed price per maximum quantity</w:t>
      </w:r>
    </w:p>
    <w:p w:rsidR="00EC6A0E" w:rsidRPr="00997765" w:rsidRDefault="00EC6A0E" w:rsidP="00EC6A0E">
      <w:pPr>
        <w:pStyle w:val="ListParagraph"/>
        <w:rPr>
          <w:rFonts w:ascii="Arial Narrow" w:hAnsi="Arial Narrow"/>
          <w:sz w:val="18"/>
          <w:szCs w:val="18"/>
        </w:rPr>
      </w:pPr>
      <w:r w:rsidRPr="00997765">
        <w:rPr>
          <w:rFonts w:ascii="Arial Narrow" w:hAnsi="Arial Narrow"/>
          <w:sz w:val="18"/>
          <w:szCs w:val="18"/>
        </w:rPr>
        <w:t xml:space="preserve">Source: </w:t>
      </w:r>
      <w:r w:rsidR="007E7DA2" w:rsidRPr="00997765">
        <w:rPr>
          <w:rFonts w:ascii="Arial Narrow" w:hAnsi="Arial Narrow"/>
          <w:sz w:val="18"/>
          <w:szCs w:val="18"/>
        </w:rPr>
        <w:t xml:space="preserve">Constructed </w:t>
      </w:r>
      <w:r w:rsidR="0069491E" w:rsidRPr="00997765">
        <w:rPr>
          <w:rFonts w:ascii="Arial Narrow" w:hAnsi="Arial Narrow"/>
          <w:sz w:val="18"/>
          <w:szCs w:val="18"/>
        </w:rPr>
        <w:t>during evaluation</w:t>
      </w:r>
    </w:p>
    <w:p w:rsidR="00EC6A0E" w:rsidRPr="00997765" w:rsidRDefault="00EC6A0E" w:rsidP="00EC6A0E">
      <w:pPr>
        <w:pStyle w:val="ListParagraph"/>
        <w:rPr>
          <w:rFonts w:ascii="Arial Narrow" w:hAnsi="Arial Narrow"/>
          <w:sz w:val="18"/>
          <w:szCs w:val="18"/>
        </w:rPr>
      </w:pPr>
      <w:r w:rsidRPr="00997765">
        <w:rPr>
          <w:rFonts w:ascii="Arial Narrow" w:hAnsi="Arial Narrow"/>
          <w:sz w:val="18"/>
          <w:szCs w:val="18"/>
          <w:vertAlign w:val="superscript"/>
        </w:rPr>
        <w:t>a</w:t>
      </w:r>
      <w:r w:rsidRPr="00997765">
        <w:rPr>
          <w:rFonts w:ascii="Arial Narrow" w:hAnsi="Arial Narrow"/>
          <w:sz w:val="18"/>
          <w:szCs w:val="18"/>
        </w:rPr>
        <w:t xml:space="preserve"> </w:t>
      </w:r>
      <w:r w:rsidR="00EE7E94" w:rsidRPr="00997765">
        <w:rPr>
          <w:rFonts w:ascii="Arial Narrow" w:hAnsi="Arial Narrow"/>
          <w:sz w:val="18"/>
          <w:szCs w:val="18"/>
        </w:rPr>
        <w:t>Wholesaler mark</w:t>
      </w:r>
      <w:r w:rsidR="006D30C1" w:rsidRPr="00997765">
        <w:rPr>
          <w:rFonts w:ascii="Arial Narrow" w:hAnsi="Arial Narrow"/>
          <w:sz w:val="18"/>
          <w:szCs w:val="18"/>
        </w:rPr>
        <w:t>-up 1.0752</w:t>
      </w:r>
      <w:r w:rsidR="00EE7E94" w:rsidRPr="00997765">
        <w:rPr>
          <w:rFonts w:ascii="Arial Narrow" w:hAnsi="Arial Narrow"/>
          <w:sz w:val="18"/>
          <w:szCs w:val="18"/>
        </w:rPr>
        <w:t>,</w:t>
      </w:r>
      <w:r w:rsidRPr="00997765">
        <w:rPr>
          <w:rFonts w:ascii="Arial Narrow" w:hAnsi="Arial Narrow"/>
          <w:sz w:val="18"/>
          <w:szCs w:val="18"/>
        </w:rPr>
        <w:t xml:space="preserve"> AHI fee $</w:t>
      </w:r>
      <w:r w:rsidR="00360D24">
        <w:rPr>
          <w:rFonts w:ascii="Arial Narrow" w:hAnsi="Arial Narrow"/>
          <w:noProof/>
          <w:color w:val="000000"/>
          <w:sz w:val="18"/>
          <w:szCs w:val="18"/>
          <w:highlight w:val="black"/>
        </w:rPr>
        <w:t>'''''''''''</w:t>
      </w:r>
      <w:r w:rsidR="00EE7E94" w:rsidRPr="00997765">
        <w:rPr>
          <w:rFonts w:ascii="Arial Narrow" w:hAnsi="Arial Narrow"/>
          <w:sz w:val="18"/>
          <w:szCs w:val="18"/>
        </w:rPr>
        <w:t xml:space="preserve"> + 1.035 for </w:t>
      </w:r>
      <w:proofErr w:type="spellStart"/>
      <w:r w:rsidR="00EE7E94" w:rsidRPr="00997765">
        <w:rPr>
          <w:rFonts w:ascii="Arial Narrow" w:hAnsi="Arial Narrow"/>
          <w:sz w:val="18"/>
          <w:szCs w:val="18"/>
        </w:rPr>
        <w:t>PtP</w:t>
      </w:r>
      <w:proofErr w:type="spellEnd"/>
      <w:r w:rsidR="00EE7E94" w:rsidRPr="00997765">
        <w:rPr>
          <w:rFonts w:ascii="Arial Narrow" w:hAnsi="Arial Narrow"/>
          <w:sz w:val="18"/>
          <w:szCs w:val="18"/>
        </w:rPr>
        <w:t xml:space="preserve"> cost over $</w:t>
      </w:r>
      <w:r w:rsidR="00360D24">
        <w:rPr>
          <w:rFonts w:ascii="Arial Narrow" w:hAnsi="Arial Narrow"/>
          <w:noProof/>
          <w:color w:val="000000"/>
          <w:sz w:val="18"/>
          <w:szCs w:val="18"/>
          <w:highlight w:val="black"/>
        </w:rPr>
        <w:t>''''''''''''''''</w:t>
      </w:r>
      <w:r w:rsidRPr="00997765">
        <w:rPr>
          <w:rFonts w:ascii="Arial Narrow" w:hAnsi="Arial Narrow"/>
          <w:sz w:val="18"/>
          <w:szCs w:val="18"/>
        </w:rPr>
        <w:t xml:space="preserve"> and dispensing fee $</w:t>
      </w:r>
      <w:r w:rsidR="00360D24">
        <w:rPr>
          <w:rFonts w:ascii="Arial Narrow" w:hAnsi="Arial Narrow"/>
          <w:noProof/>
          <w:color w:val="000000"/>
          <w:sz w:val="18"/>
          <w:szCs w:val="18"/>
          <w:highlight w:val="black"/>
        </w:rPr>
        <w:t>'''''''''''</w:t>
      </w:r>
    </w:p>
    <w:p w:rsidR="00EC6A0E" w:rsidRPr="00997765" w:rsidRDefault="00EC6A0E" w:rsidP="00EC6A0E">
      <w:pPr>
        <w:jc w:val="both"/>
        <w:rPr>
          <w:rFonts w:ascii="Arial" w:hAnsi="Arial"/>
          <w:sz w:val="22"/>
          <w:szCs w:val="22"/>
        </w:rPr>
      </w:pPr>
    </w:p>
    <w:p w:rsidR="00027A0B" w:rsidRPr="00997765" w:rsidRDefault="00BD3FBD" w:rsidP="0005557F">
      <w:pPr>
        <w:pStyle w:val="ListParagraph"/>
        <w:numPr>
          <w:ilvl w:val="1"/>
          <w:numId w:val="1"/>
        </w:numPr>
        <w:jc w:val="both"/>
        <w:rPr>
          <w:rFonts w:ascii="Arial" w:hAnsi="Arial"/>
          <w:sz w:val="22"/>
          <w:szCs w:val="22"/>
        </w:rPr>
      </w:pPr>
      <w:r w:rsidRPr="00997765">
        <w:rPr>
          <w:rFonts w:ascii="Arial" w:hAnsi="Arial"/>
          <w:sz w:val="22"/>
          <w:szCs w:val="22"/>
        </w:rPr>
        <w:t>Using the revised drug cost estimates</w:t>
      </w:r>
      <w:r w:rsidR="001C3A84" w:rsidRPr="00997765">
        <w:rPr>
          <w:rFonts w:ascii="Arial" w:hAnsi="Arial"/>
          <w:sz w:val="22"/>
          <w:szCs w:val="22"/>
        </w:rPr>
        <w:t xml:space="preserve"> outlined in Table 8</w:t>
      </w:r>
      <w:r w:rsidRPr="00997765">
        <w:rPr>
          <w:rFonts w:ascii="Arial" w:hAnsi="Arial"/>
          <w:sz w:val="22"/>
          <w:szCs w:val="22"/>
        </w:rPr>
        <w:t xml:space="preserve"> results in a s</w:t>
      </w:r>
      <w:r w:rsidR="007A3EA5" w:rsidRPr="00997765">
        <w:rPr>
          <w:rFonts w:ascii="Arial" w:hAnsi="Arial"/>
          <w:sz w:val="22"/>
          <w:szCs w:val="22"/>
        </w:rPr>
        <w:t>lightly higher price of $</w:t>
      </w:r>
      <w:r w:rsidR="00360D24">
        <w:rPr>
          <w:rFonts w:ascii="Arial" w:hAnsi="Arial"/>
          <w:noProof/>
          <w:color w:val="000000"/>
          <w:sz w:val="22"/>
          <w:szCs w:val="22"/>
          <w:highlight w:val="black"/>
        </w:rPr>
        <w:t>''''''''''''''''</w:t>
      </w:r>
      <w:r w:rsidRPr="00997765">
        <w:rPr>
          <w:rFonts w:ascii="Arial" w:hAnsi="Arial"/>
          <w:sz w:val="22"/>
          <w:szCs w:val="22"/>
        </w:rPr>
        <w:t xml:space="preserve"> (DPMQ)</w:t>
      </w:r>
      <w:r w:rsidR="006D30C1" w:rsidRPr="00997765">
        <w:rPr>
          <w:rFonts w:ascii="Arial" w:hAnsi="Arial"/>
          <w:sz w:val="22"/>
          <w:szCs w:val="22"/>
        </w:rPr>
        <w:t>.</w:t>
      </w:r>
    </w:p>
    <w:p w:rsidR="00027A0B" w:rsidRPr="00997765" w:rsidRDefault="00027A0B" w:rsidP="00027A0B">
      <w:pPr>
        <w:pStyle w:val="ListParagraph"/>
        <w:jc w:val="both"/>
        <w:rPr>
          <w:rFonts w:ascii="Arial" w:hAnsi="Arial"/>
          <w:sz w:val="22"/>
          <w:szCs w:val="22"/>
        </w:rPr>
      </w:pPr>
    </w:p>
    <w:p w:rsidR="0016698F" w:rsidRPr="00997765" w:rsidRDefault="0016698F" w:rsidP="00027A0B">
      <w:pPr>
        <w:pStyle w:val="ListParagraph"/>
        <w:numPr>
          <w:ilvl w:val="1"/>
          <w:numId w:val="1"/>
        </w:numPr>
        <w:jc w:val="both"/>
        <w:rPr>
          <w:rFonts w:ascii="Arial" w:hAnsi="Arial"/>
          <w:sz w:val="22"/>
          <w:szCs w:val="22"/>
        </w:rPr>
      </w:pPr>
      <w:r w:rsidRPr="00997765">
        <w:rPr>
          <w:rFonts w:ascii="Arial" w:hAnsi="Arial"/>
          <w:sz w:val="22"/>
          <w:szCs w:val="22"/>
        </w:rPr>
        <w:t xml:space="preserve">The estimated </w:t>
      </w:r>
      <w:r w:rsidR="00D56C63" w:rsidRPr="00997765">
        <w:rPr>
          <w:rFonts w:ascii="Arial" w:hAnsi="Arial"/>
          <w:sz w:val="22"/>
          <w:szCs w:val="22"/>
        </w:rPr>
        <w:t xml:space="preserve">cost-minimised </w:t>
      </w:r>
      <w:r w:rsidRPr="00997765">
        <w:rPr>
          <w:rFonts w:ascii="Arial" w:hAnsi="Arial"/>
          <w:sz w:val="22"/>
          <w:szCs w:val="22"/>
        </w:rPr>
        <w:t xml:space="preserve">price for methotrexate pre-filled syringe </w:t>
      </w:r>
      <w:r w:rsidR="0069491E" w:rsidRPr="00997765">
        <w:rPr>
          <w:rFonts w:ascii="Arial" w:hAnsi="Arial"/>
          <w:sz w:val="22"/>
          <w:szCs w:val="22"/>
        </w:rPr>
        <w:t>wa</w:t>
      </w:r>
      <w:r w:rsidR="007E7DA2" w:rsidRPr="00997765">
        <w:rPr>
          <w:rFonts w:ascii="Arial" w:hAnsi="Arial"/>
          <w:sz w:val="22"/>
          <w:szCs w:val="22"/>
        </w:rPr>
        <w:t>s</w:t>
      </w:r>
      <w:r w:rsidRPr="00997765">
        <w:rPr>
          <w:rFonts w:ascii="Arial" w:hAnsi="Arial"/>
          <w:sz w:val="22"/>
          <w:szCs w:val="22"/>
        </w:rPr>
        <w:t xml:space="preserve"> highly sensitive to the estimated number of healthcare visits avoided as well as the cost of each healthcare visit.</w:t>
      </w:r>
    </w:p>
    <w:p w:rsidR="005963BB" w:rsidRPr="00997765" w:rsidRDefault="005963BB" w:rsidP="00C00DA7">
      <w:pPr>
        <w:jc w:val="both"/>
        <w:rPr>
          <w:rFonts w:ascii="Arial" w:hAnsi="Arial"/>
          <w:sz w:val="22"/>
          <w:szCs w:val="22"/>
        </w:rPr>
      </w:pPr>
    </w:p>
    <w:p w:rsidR="00A55FEE" w:rsidRPr="00997765" w:rsidRDefault="00A35B58" w:rsidP="005E5CFA">
      <w:pPr>
        <w:pStyle w:val="Heading2"/>
      </w:pPr>
      <w:r w:rsidRPr="00997765">
        <w:t>Drug cost/patient/year</w:t>
      </w:r>
      <w:r w:rsidR="00A55FEE" w:rsidRPr="00997765">
        <w:t>:</w:t>
      </w:r>
      <w:r w:rsidR="0069491E" w:rsidRPr="00997765">
        <w:t xml:space="preserve"> $2,432</w:t>
      </w:r>
    </w:p>
    <w:p w:rsidR="00A55FEE" w:rsidRPr="00997765" w:rsidRDefault="00A55FEE" w:rsidP="00A55FEE">
      <w:pPr>
        <w:ind w:left="720" w:hanging="720"/>
        <w:jc w:val="both"/>
        <w:rPr>
          <w:rFonts w:ascii="Arial" w:hAnsi="Arial"/>
          <w:b/>
          <w:i/>
          <w:sz w:val="22"/>
          <w:szCs w:val="22"/>
        </w:rPr>
      </w:pPr>
    </w:p>
    <w:p w:rsidR="00A35B58" w:rsidRPr="00997765" w:rsidRDefault="00A35B58" w:rsidP="00FC330F">
      <w:pPr>
        <w:pStyle w:val="ListParagraph"/>
        <w:numPr>
          <w:ilvl w:val="1"/>
          <w:numId w:val="1"/>
        </w:numPr>
        <w:jc w:val="both"/>
        <w:rPr>
          <w:rFonts w:ascii="Arial" w:hAnsi="Arial"/>
          <w:sz w:val="22"/>
          <w:szCs w:val="22"/>
        </w:rPr>
      </w:pPr>
      <w:r w:rsidRPr="00997765">
        <w:rPr>
          <w:rFonts w:ascii="Arial" w:hAnsi="Arial"/>
          <w:sz w:val="22"/>
          <w:szCs w:val="22"/>
        </w:rPr>
        <w:t>The estimated annual cost of methotrexate pre-filled syringe</w:t>
      </w:r>
      <w:r w:rsidR="007E7DA2" w:rsidRPr="00997765">
        <w:rPr>
          <w:rFonts w:ascii="Arial" w:hAnsi="Arial"/>
          <w:sz w:val="22"/>
          <w:szCs w:val="22"/>
        </w:rPr>
        <w:t>s</w:t>
      </w:r>
      <w:r w:rsidRPr="00997765">
        <w:rPr>
          <w:rFonts w:ascii="Arial" w:hAnsi="Arial"/>
          <w:sz w:val="22"/>
          <w:szCs w:val="22"/>
        </w:rPr>
        <w:t xml:space="preserve"> was $</w:t>
      </w:r>
      <w:r w:rsidR="00360D24">
        <w:rPr>
          <w:rFonts w:ascii="Arial" w:hAnsi="Arial"/>
          <w:noProof/>
          <w:color w:val="000000"/>
          <w:sz w:val="22"/>
          <w:szCs w:val="22"/>
          <w:highlight w:val="black"/>
        </w:rPr>
        <w:t>'''''''''''''</w:t>
      </w:r>
      <w:r w:rsidRPr="00997765">
        <w:rPr>
          <w:rFonts w:ascii="Arial" w:hAnsi="Arial"/>
          <w:sz w:val="22"/>
          <w:szCs w:val="22"/>
        </w:rPr>
        <w:t xml:space="preserve"> (proposed DPMQ / 4 syringes x 52 weeks). In comparison, the estimated annual cost of methotrexate vials was $</w:t>
      </w:r>
      <w:r w:rsidR="00360D24">
        <w:rPr>
          <w:rFonts w:ascii="Arial" w:hAnsi="Arial"/>
          <w:noProof/>
          <w:color w:val="000000"/>
          <w:sz w:val="22"/>
          <w:szCs w:val="22"/>
          <w:highlight w:val="black"/>
        </w:rPr>
        <w:t>''''''''''</w:t>
      </w:r>
      <w:r w:rsidRPr="00997765">
        <w:rPr>
          <w:rFonts w:ascii="Arial" w:hAnsi="Arial"/>
          <w:sz w:val="22"/>
          <w:szCs w:val="22"/>
        </w:rPr>
        <w:t xml:space="preserve"> (current DPMQ / 5 vials x 52 weeks).</w:t>
      </w:r>
    </w:p>
    <w:p w:rsidR="00A55FEE" w:rsidRPr="00997765" w:rsidRDefault="00A55FEE" w:rsidP="00A55FEE">
      <w:pPr>
        <w:ind w:left="720" w:hanging="720"/>
        <w:jc w:val="both"/>
        <w:rPr>
          <w:rFonts w:ascii="Arial" w:hAnsi="Arial"/>
          <w:b/>
          <w:i/>
          <w:sz w:val="22"/>
          <w:szCs w:val="22"/>
        </w:rPr>
      </w:pPr>
    </w:p>
    <w:p w:rsidR="005A3173" w:rsidRPr="00997765" w:rsidRDefault="005A3173" w:rsidP="005E5CFA">
      <w:pPr>
        <w:pStyle w:val="Heading2"/>
      </w:pPr>
      <w:r w:rsidRPr="00997765">
        <w:t>Estimated PBS usage &amp; financial implications</w:t>
      </w:r>
    </w:p>
    <w:p w:rsidR="005A3173" w:rsidRPr="00997765" w:rsidRDefault="005A3173" w:rsidP="00882085">
      <w:pPr>
        <w:ind w:left="720" w:hanging="720"/>
        <w:jc w:val="both"/>
        <w:rPr>
          <w:rFonts w:ascii="Arial" w:hAnsi="Arial"/>
          <w:b/>
          <w:i/>
          <w:sz w:val="22"/>
          <w:szCs w:val="22"/>
        </w:rPr>
      </w:pPr>
    </w:p>
    <w:p w:rsidR="00C51C9A" w:rsidRPr="00997765" w:rsidRDefault="00C51C9A" w:rsidP="00FC330F">
      <w:pPr>
        <w:pStyle w:val="ListParagraph"/>
        <w:numPr>
          <w:ilvl w:val="1"/>
          <w:numId w:val="1"/>
        </w:numPr>
        <w:jc w:val="both"/>
        <w:rPr>
          <w:rFonts w:ascii="Arial" w:hAnsi="Arial"/>
          <w:sz w:val="22"/>
          <w:szCs w:val="22"/>
        </w:rPr>
      </w:pPr>
      <w:r w:rsidRPr="00997765">
        <w:rPr>
          <w:rFonts w:ascii="Arial" w:hAnsi="Arial"/>
          <w:sz w:val="22"/>
          <w:szCs w:val="22"/>
        </w:rPr>
        <w:t>The submission used a mixed market share/epidemiology approach to estimate the utilisation/financial implications associated with the PBS listing of methotrexate pre-fille</w:t>
      </w:r>
      <w:r w:rsidR="006D30C1" w:rsidRPr="00997765">
        <w:rPr>
          <w:rFonts w:ascii="Arial" w:hAnsi="Arial"/>
          <w:sz w:val="22"/>
          <w:szCs w:val="22"/>
        </w:rPr>
        <w:t>d syringe. Market share data were</w:t>
      </w:r>
      <w:r w:rsidRPr="00997765">
        <w:rPr>
          <w:rFonts w:ascii="Arial" w:hAnsi="Arial"/>
          <w:sz w:val="22"/>
          <w:szCs w:val="22"/>
        </w:rPr>
        <w:t xml:space="preserve"> primarily derived from the 10% Medicare</w:t>
      </w:r>
      <w:r w:rsidR="006D30C1" w:rsidRPr="00997765">
        <w:rPr>
          <w:rFonts w:ascii="Arial" w:hAnsi="Arial"/>
          <w:sz w:val="22"/>
          <w:szCs w:val="22"/>
        </w:rPr>
        <w:t xml:space="preserve"> analysis. Epidemiology data were</w:t>
      </w:r>
      <w:r w:rsidRPr="00997765">
        <w:rPr>
          <w:rFonts w:ascii="Arial" w:hAnsi="Arial"/>
          <w:sz w:val="22"/>
          <w:szCs w:val="22"/>
        </w:rPr>
        <w:t xml:space="preserve"> derived from a number of published sources (see Table 19 of the submission)</w:t>
      </w:r>
      <w:r w:rsidR="003C7F5A" w:rsidRPr="00997765">
        <w:rPr>
          <w:rFonts w:ascii="Arial" w:hAnsi="Arial"/>
          <w:sz w:val="22"/>
          <w:szCs w:val="22"/>
        </w:rPr>
        <w:t>.</w:t>
      </w:r>
    </w:p>
    <w:p w:rsidR="00C51C9A" w:rsidRPr="00997765" w:rsidRDefault="00C51C9A" w:rsidP="00C51C9A">
      <w:pPr>
        <w:pStyle w:val="ListParagraph"/>
        <w:jc w:val="both"/>
        <w:rPr>
          <w:rFonts w:ascii="Arial" w:hAnsi="Arial"/>
          <w:sz w:val="22"/>
          <w:szCs w:val="22"/>
        </w:rPr>
      </w:pPr>
    </w:p>
    <w:p w:rsidR="00F27BC8" w:rsidRPr="00997765" w:rsidRDefault="00F27BC8">
      <w:pPr>
        <w:rPr>
          <w:rFonts w:ascii="Arial Narrow" w:hAnsi="Arial Narrow"/>
          <w:b/>
          <w:sz w:val="20"/>
        </w:rPr>
      </w:pPr>
      <w:r w:rsidRPr="00997765">
        <w:rPr>
          <w:rFonts w:ascii="Arial Narrow" w:hAnsi="Arial Narrow"/>
          <w:b/>
          <w:sz w:val="20"/>
        </w:rPr>
        <w:br w:type="page"/>
      </w:r>
    </w:p>
    <w:p w:rsidR="00AF0F52" w:rsidRPr="00997765" w:rsidRDefault="001C3A84" w:rsidP="00AF0F52">
      <w:pPr>
        <w:ind w:left="709"/>
        <w:rPr>
          <w:rFonts w:ascii="Arial Narrow" w:hAnsi="Arial Narrow"/>
          <w:b/>
          <w:sz w:val="20"/>
        </w:rPr>
      </w:pPr>
      <w:r w:rsidRPr="00997765">
        <w:rPr>
          <w:rFonts w:ascii="Arial Narrow" w:hAnsi="Arial Narrow"/>
          <w:b/>
          <w:sz w:val="20"/>
        </w:rPr>
        <w:lastRenderedPageBreak/>
        <w:t>Table 1</w:t>
      </w:r>
      <w:r w:rsidR="00FB59D7" w:rsidRPr="00997765">
        <w:rPr>
          <w:rFonts w:ascii="Arial Narrow" w:hAnsi="Arial Narrow"/>
          <w:b/>
          <w:sz w:val="20"/>
        </w:rPr>
        <w:t>4</w:t>
      </w:r>
      <w:r w:rsidR="00805FAD">
        <w:rPr>
          <w:rFonts w:ascii="Arial Narrow" w:hAnsi="Arial Narrow"/>
          <w:b/>
          <w:sz w:val="20"/>
        </w:rPr>
        <w:t xml:space="preserve">: </w:t>
      </w:r>
      <w:r w:rsidR="00AF0F52" w:rsidRPr="00997765">
        <w:rPr>
          <w:rFonts w:ascii="Arial Narrow" w:hAnsi="Arial Narrow"/>
          <w:b/>
          <w:sz w:val="20"/>
        </w:rPr>
        <w:t xml:space="preserve">Estimated utilisation </w:t>
      </w:r>
      <w:r w:rsidR="00594D20" w:rsidRPr="00997765">
        <w:rPr>
          <w:rFonts w:ascii="Arial Narrow" w:hAnsi="Arial Narrow"/>
          <w:b/>
          <w:sz w:val="20"/>
        </w:rPr>
        <w:t>and financial implications of listing methotrexate</w:t>
      </w:r>
      <w:r w:rsidR="00AF0F52" w:rsidRPr="00997765">
        <w:rPr>
          <w:rFonts w:ascii="Arial Narrow" w:hAnsi="Arial Narrow"/>
          <w:b/>
          <w:sz w:val="20"/>
        </w:rPr>
        <w:t xml:space="preserve"> pre-filled syringes</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58"/>
        <w:gridCol w:w="1159"/>
        <w:gridCol w:w="1159"/>
        <w:gridCol w:w="1159"/>
        <w:gridCol w:w="1160"/>
      </w:tblGrid>
      <w:tr w:rsidR="00AF0F52" w:rsidRPr="00997765" w:rsidTr="00AF0F52">
        <w:trPr>
          <w:tblHeader/>
        </w:trPr>
        <w:tc>
          <w:tcPr>
            <w:tcW w:w="1529" w:type="pct"/>
            <w:tcBorders>
              <w:left w:val="single" w:sz="4" w:space="0" w:color="auto"/>
              <w:bottom w:val="single" w:sz="4" w:space="0" w:color="auto"/>
            </w:tcBorders>
            <w:shd w:val="clear" w:color="auto" w:fill="auto"/>
            <w:vAlign w:val="bottom"/>
            <w:hideMark/>
          </w:tcPr>
          <w:p w:rsidR="00AF0F52" w:rsidRPr="00997765" w:rsidRDefault="00AF0F52" w:rsidP="002419E9">
            <w:pPr>
              <w:rPr>
                <w:rFonts w:ascii="Arial Narrow" w:hAnsi="Arial Narrow"/>
                <w:sz w:val="20"/>
              </w:rPr>
            </w:pPr>
          </w:p>
        </w:tc>
        <w:tc>
          <w:tcPr>
            <w:tcW w:w="694" w:type="pct"/>
            <w:tcBorders>
              <w:bottom w:val="single" w:sz="4" w:space="0" w:color="auto"/>
            </w:tcBorders>
            <w:shd w:val="clear" w:color="auto" w:fill="auto"/>
            <w:vAlign w:val="bottom"/>
            <w:hideMark/>
          </w:tcPr>
          <w:p w:rsidR="00AF0F52" w:rsidRPr="00997765" w:rsidRDefault="00AF0F52" w:rsidP="002419E9">
            <w:pPr>
              <w:jc w:val="center"/>
              <w:rPr>
                <w:rFonts w:ascii="Arial Narrow" w:hAnsi="Arial Narrow"/>
                <w:b/>
                <w:bCs/>
                <w:sz w:val="20"/>
              </w:rPr>
            </w:pPr>
            <w:r w:rsidRPr="00997765">
              <w:rPr>
                <w:rFonts w:ascii="Arial Narrow" w:hAnsi="Arial Narrow"/>
                <w:b/>
                <w:bCs/>
                <w:sz w:val="20"/>
              </w:rPr>
              <w:t>Year 2</w:t>
            </w:r>
          </w:p>
          <w:p w:rsidR="00AF0F52" w:rsidRPr="00997765" w:rsidRDefault="00AF0F52" w:rsidP="002419E9">
            <w:pPr>
              <w:jc w:val="center"/>
              <w:rPr>
                <w:rFonts w:ascii="Arial Narrow" w:hAnsi="Arial Narrow"/>
                <w:b/>
                <w:bCs/>
                <w:sz w:val="20"/>
              </w:rPr>
            </w:pPr>
            <w:r w:rsidRPr="00997765">
              <w:rPr>
                <w:rFonts w:ascii="Arial Narrow" w:hAnsi="Arial Narrow"/>
                <w:b/>
                <w:bCs/>
                <w:sz w:val="20"/>
              </w:rPr>
              <w:t>(Apr 2016-Mar 2017)</w:t>
            </w:r>
          </w:p>
        </w:tc>
        <w:tc>
          <w:tcPr>
            <w:tcW w:w="694" w:type="pct"/>
            <w:tcBorders>
              <w:bottom w:val="single" w:sz="4" w:space="0" w:color="auto"/>
            </w:tcBorders>
            <w:shd w:val="clear" w:color="auto" w:fill="auto"/>
            <w:vAlign w:val="bottom"/>
            <w:hideMark/>
          </w:tcPr>
          <w:p w:rsidR="00AF0F52" w:rsidRPr="00997765" w:rsidRDefault="00AF0F52" w:rsidP="002419E9">
            <w:pPr>
              <w:jc w:val="center"/>
              <w:rPr>
                <w:rFonts w:ascii="Arial Narrow" w:hAnsi="Arial Narrow"/>
                <w:b/>
                <w:bCs/>
                <w:sz w:val="20"/>
              </w:rPr>
            </w:pPr>
            <w:r w:rsidRPr="00997765">
              <w:rPr>
                <w:rFonts w:ascii="Arial Narrow" w:hAnsi="Arial Narrow"/>
                <w:b/>
                <w:bCs/>
                <w:sz w:val="20"/>
              </w:rPr>
              <w:t>Year 3</w:t>
            </w:r>
          </w:p>
          <w:p w:rsidR="00AF0F52" w:rsidRPr="00997765" w:rsidRDefault="00AF0F52" w:rsidP="002419E9">
            <w:pPr>
              <w:jc w:val="center"/>
              <w:rPr>
                <w:rFonts w:ascii="Arial Narrow" w:hAnsi="Arial Narrow"/>
                <w:b/>
                <w:bCs/>
                <w:sz w:val="20"/>
              </w:rPr>
            </w:pPr>
            <w:r w:rsidRPr="00997765">
              <w:rPr>
                <w:rFonts w:ascii="Arial Narrow" w:hAnsi="Arial Narrow"/>
                <w:b/>
                <w:bCs/>
                <w:sz w:val="20"/>
              </w:rPr>
              <w:t>(Apr 2017-Mar 2018)</w:t>
            </w:r>
          </w:p>
        </w:tc>
        <w:tc>
          <w:tcPr>
            <w:tcW w:w="694" w:type="pct"/>
            <w:tcBorders>
              <w:bottom w:val="single" w:sz="4" w:space="0" w:color="auto"/>
            </w:tcBorders>
            <w:shd w:val="clear" w:color="auto" w:fill="auto"/>
            <w:vAlign w:val="bottom"/>
            <w:hideMark/>
          </w:tcPr>
          <w:p w:rsidR="00AF0F52" w:rsidRPr="00997765" w:rsidRDefault="00AF0F52" w:rsidP="002419E9">
            <w:pPr>
              <w:jc w:val="center"/>
              <w:rPr>
                <w:rFonts w:ascii="Arial Narrow" w:hAnsi="Arial Narrow"/>
                <w:b/>
                <w:bCs/>
                <w:sz w:val="20"/>
              </w:rPr>
            </w:pPr>
            <w:r w:rsidRPr="00997765">
              <w:rPr>
                <w:rFonts w:ascii="Arial Narrow" w:hAnsi="Arial Narrow"/>
                <w:b/>
                <w:bCs/>
                <w:sz w:val="20"/>
              </w:rPr>
              <w:t>Year 4</w:t>
            </w:r>
          </w:p>
          <w:p w:rsidR="00AF0F52" w:rsidRPr="00997765" w:rsidRDefault="00AF0F52" w:rsidP="002419E9">
            <w:pPr>
              <w:jc w:val="center"/>
              <w:rPr>
                <w:rFonts w:ascii="Arial Narrow" w:hAnsi="Arial Narrow"/>
                <w:b/>
                <w:bCs/>
                <w:sz w:val="20"/>
              </w:rPr>
            </w:pPr>
            <w:r w:rsidRPr="00997765">
              <w:rPr>
                <w:rFonts w:ascii="Arial Narrow" w:hAnsi="Arial Narrow"/>
                <w:b/>
                <w:bCs/>
                <w:sz w:val="20"/>
              </w:rPr>
              <w:t>(Apr 2018-Mar 2019)</w:t>
            </w:r>
          </w:p>
        </w:tc>
        <w:tc>
          <w:tcPr>
            <w:tcW w:w="694" w:type="pct"/>
            <w:tcBorders>
              <w:bottom w:val="single" w:sz="4" w:space="0" w:color="auto"/>
            </w:tcBorders>
            <w:shd w:val="clear" w:color="auto" w:fill="auto"/>
            <w:vAlign w:val="bottom"/>
            <w:hideMark/>
          </w:tcPr>
          <w:p w:rsidR="00AF0F52" w:rsidRPr="00997765" w:rsidRDefault="00AF0F52" w:rsidP="002419E9">
            <w:pPr>
              <w:jc w:val="center"/>
              <w:rPr>
                <w:rFonts w:ascii="Arial Narrow" w:hAnsi="Arial Narrow"/>
                <w:b/>
                <w:bCs/>
                <w:sz w:val="20"/>
              </w:rPr>
            </w:pPr>
            <w:r w:rsidRPr="00997765">
              <w:rPr>
                <w:rFonts w:ascii="Arial Narrow" w:hAnsi="Arial Narrow"/>
                <w:b/>
                <w:bCs/>
                <w:sz w:val="20"/>
              </w:rPr>
              <w:t>Year 5</w:t>
            </w:r>
          </w:p>
          <w:p w:rsidR="00AF0F52" w:rsidRPr="00997765" w:rsidRDefault="00AF0F52" w:rsidP="002419E9">
            <w:pPr>
              <w:jc w:val="center"/>
              <w:rPr>
                <w:rFonts w:ascii="Arial Narrow" w:hAnsi="Arial Narrow"/>
                <w:b/>
                <w:bCs/>
                <w:sz w:val="20"/>
              </w:rPr>
            </w:pPr>
            <w:r w:rsidRPr="00997765">
              <w:rPr>
                <w:rFonts w:ascii="Arial Narrow" w:hAnsi="Arial Narrow"/>
                <w:b/>
                <w:bCs/>
                <w:sz w:val="20"/>
              </w:rPr>
              <w:t>(Apr 2019-Mar 2020)</w:t>
            </w:r>
          </w:p>
        </w:tc>
        <w:tc>
          <w:tcPr>
            <w:tcW w:w="695" w:type="pct"/>
            <w:tcBorders>
              <w:bottom w:val="single" w:sz="4" w:space="0" w:color="auto"/>
              <w:right w:val="single" w:sz="4" w:space="0" w:color="auto"/>
            </w:tcBorders>
            <w:shd w:val="clear" w:color="auto" w:fill="auto"/>
            <w:vAlign w:val="bottom"/>
            <w:hideMark/>
          </w:tcPr>
          <w:p w:rsidR="00AF0F52" w:rsidRPr="00997765" w:rsidRDefault="00AF0F52" w:rsidP="002419E9">
            <w:pPr>
              <w:jc w:val="center"/>
              <w:rPr>
                <w:rFonts w:ascii="Arial Narrow" w:hAnsi="Arial Narrow"/>
                <w:b/>
                <w:bCs/>
                <w:sz w:val="20"/>
              </w:rPr>
            </w:pPr>
            <w:r w:rsidRPr="00997765">
              <w:rPr>
                <w:rFonts w:ascii="Arial Narrow" w:hAnsi="Arial Narrow"/>
                <w:b/>
                <w:bCs/>
                <w:sz w:val="20"/>
              </w:rPr>
              <w:t>Year 6</w:t>
            </w:r>
          </w:p>
          <w:p w:rsidR="00AF0F52" w:rsidRPr="00997765" w:rsidRDefault="00AF0F52" w:rsidP="002419E9">
            <w:pPr>
              <w:jc w:val="center"/>
              <w:rPr>
                <w:rFonts w:ascii="Arial Narrow" w:hAnsi="Arial Narrow"/>
                <w:b/>
                <w:bCs/>
                <w:sz w:val="20"/>
              </w:rPr>
            </w:pPr>
            <w:r w:rsidRPr="00997765">
              <w:rPr>
                <w:rFonts w:ascii="Arial Narrow" w:hAnsi="Arial Narrow"/>
                <w:b/>
                <w:bCs/>
                <w:sz w:val="20"/>
              </w:rPr>
              <w:t>(Apr 2020-Mar 2021)</w:t>
            </w:r>
          </w:p>
        </w:tc>
      </w:tr>
      <w:tr w:rsidR="00AF0F52"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AF0F52" w:rsidRPr="00997765" w:rsidRDefault="00AF0F52" w:rsidP="00AF0F52">
            <w:pPr>
              <w:rPr>
                <w:rFonts w:ascii="Arial Narrow" w:hAnsi="Arial Narrow"/>
                <w:b/>
                <w:sz w:val="20"/>
              </w:rPr>
            </w:pPr>
            <w:r w:rsidRPr="00997765">
              <w:rPr>
                <w:rFonts w:ascii="Arial Narrow" w:hAnsi="Arial Narrow"/>
                <w:b/>
                <w:sz w:val="20"/>
              </w:rPr>
              <w:t>Substitution from methotrexate vials</w:t>
            </w:r>
          </w:p>
        </w:tc>
      </w:tr>
      <w:tr w:rsidR="00AF0F52" w:rsidRPr="00997765" w:rsidTr="00A0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double" w:sz="4" w:space="0" w:color="auto"/>
              <w:right w:val="single" w:sz="4" w:space="0" w:color="auto"/>
            </w:tcBorders>
            <w:shd w:val="clear" w:color="auto" w:fill="auto"/>
            <w:vAlign w:val="bottom"/>
          </w:tcPr>
          <w:p w:rsidR="00AF0F52" w:rsidRPr="00997765" w:rsidRDefault="00AF0F52" w:rsidP="002419E9">
            <w:pPr>
              <w:tabs>
                <w:tab w:val="right" w:pos="3045"/>
              </w:tabs>
              <w:rPr>
                <w:rFonts w:ascii="Arial Narrow" w:hAnsi="Arial Narrow"/>
                <w:i/>
                <w:sz w:val="20"/>
                <w:vertAlign w:val="superscript"/>
              </w:rPr>
            </w:pPr>
            <w:r w:rsidRPr="00997765">
              <w:rPr>
                <w:rFonts w:ascii="Arial Narrow" w:hAnsi="Arial Narrow"/>
                <w:i/>
                <w:sz w:val="20"/>
              </w:rPr>
              <w:t>Methotrexate vi</w:t>
            </w:r>
            <w:r w:rsidR="00572F93" w:rsidRPr="00997765">
              <w:rPr>
                <w:rFonts w:ascii="Arial Narrow" w:hAnsi="Arial Narrow"/>
                <w:i/>
                <w:sz w:val="20"/>
              </w:rPr>
              <w:t>al scripts (1818Q, 2395C, 7250N</w:t>
            </w:r>
            <w:r w:rsidRPr="00997765">
              <w:rPr>
                <w:rFonts w:ascii="Arial Narrow" w:hAnsi="Arial Narrow"/>
                <w:i/>
                <w:sz w:val="20"/>
              </w:rPr>
              <w:t>)</w:t>
            </w:r>
            <w:r w:rsidR="00FF7B0E" w:rsidRPr="00997765">
              <w:rPr>
                <w:rFonts w:ascii="Arial Narrow" w:hAnsi="Arial Narrow"/>
                <w:i/>
                <w:sz w:val="20"/>
                <w:vertAlign w:val="superscript"/>
              </w:rPr>
              <w:t>a</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i/>
                <w:sz w:val="20"/>
                <w:highlight w:val="black"/>
              </w:rPr>
            </w:pPr>
            <w:r>
              <w:rPr>
                <w:rFonts w:ascii="Arial Narrow" w:hAnsi="Arial Narrow"/>
                <w:i/>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i/>
                <w:sz w:val="20"/>
                <w:highlight w:val="black"/>
              </w:rPr>
            </w:pPr>
            <w:r>
              <w:rPr>
                <w:rFonts w:ascii="Arial Narrow" w:hAnsi="Arial Narrow"/>
                <w:i/>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i/>
                <w:sz w:val="20"/>
                <w:highlight w:val="black"/>
              </w:rPr>
            </w:pPr>
            <w:r>
              <w:rPr>
                <w:rFonts w:ascii="Arial Narrow" w:hAnsi="Arial Narrow"/>
                <w:i/>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i/>
                <w:sz w:val="20"/>
                <w:highlight w:val="black"/>
              </w:rPr>
            </w:pPr>
            <w:r>
              <w:rPr>
                <w:rFonts w:ascii="Arial Narrow" w:hAnsi="Arial Narrow"/>
                <w:i/>
                <w:noProof/>
                <w:color w:val="000000"/>
                <w:sz w:val="20"/>
                <w:highlight w:val="black"/>
              </w:rPr>
              <w:t>''''''''''''''''''</w:t>
            </w:r>
          </w:p>
        </w:tc>
        <w:tc>
          <w:tcPr>
            <w:tcW w:w="695" w:type="pct"/>
            <w:tcBorders>
              <w:top w:val="single" w:sz="4" w:space="0" w:color="auto"/>
              <w:left w:val="single" w:sz="4" w:space="0" w:color="auto"/>
              <w:bottom w:val="doub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i/>
                <w:sz w:val="20"/>
                <w:highlight w:val="black"/>
              </w:rPr>
            </w:pPr>
            <w:r>
              <w:rPr>
                <w:rFonts w:ascii="Arial Narrow" w:hAnsi="Arial Narrow"/>
                <w:i/>
                <w:noProof/>
                <w:color w:val="000000"/>
                <w:sz w:val="20"/>
                <w:highlight w:val="black"/>
              </w:rPr>
              <w:t>'''''''''''''''</w:t>
            </w:r>
          </w:p>
        </w:tc>
      </w:tr>
      <w:tr w:rsidR="00AF0F52" w:rsidRPr="00997765" w:rsidTr="00A0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double" w:sz="4" w:space="0" w:color="auto"/>
              <w:left w:val="single" w:sz="4" w:space="0" w:color="auto"/>
              <w:bottom w:val="single" w:sz="4" w:space="0" w:color="auto"/>
              <w:right w:val="single" w:sz="4" w:space="0" w:color="auto"/>
            </w:tcBorders>
            <w:shd w:val="clear" w:color="auto" w:fill="auto"/>
            <w:vAlign w:val="bottom"/>
          </w:tcPr>
          <w:p w:rsidR="00AF0F52" w:rsidRPr="00997765" w:rsidRDefault="00AF0F52" w:rsidP="002419E9">
            <w:pPr>
              <w:tabs>
                <w:tab w:val="right" w:pos="3045"/>
              </w:tabs>
              <w:rPr>
                <w:rFonts w:ascii="Arial Narrow" w:hAnsi="Arial Narrow"/>
                <w:sz w:val="20"/>
              </w:rPr>
            </w:pPr>
            <w:r w:rsidRPr="00997765">
              <w:rPr>
                <w:rFonts w:ascii="Arial Narrow" w:hAnsi="Arial Narrow"/>
                <w:sz w:val="20"/>
              </w:rPr>
              <w:t>General schedule RA scripts</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AF0F52"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auto"/>
            <w:vAlign w:val="bottom"/>
          </w:tcPr>
          <w:p w:rsidR="00AF0F52" w:rsidRPr="00997765" w:rsidRDefault="00D773D6" w:rsidP="00A93B48">
            <w:pPr>
              <w:tabs>
                <w:tab w:val="right" w:pos="3045"/>
              </w:tabs>
              <w:rPr>
                <w:rFonts w:ascii="Arial Narrow" w:hAnsi="Arial Narrow"/>
                <w:sz w:val="20"/>
              </w:rPr>
            </w:pPr>
            <w:r w:rsidRPr="00997765">
              <w:rPr>
                <w:rFonts w:ascii="Arial Narrow" w:hAnsi="Arial Narrow"/>
                <w:sz w:val="20"/>
              </w:rPr>
              <w:t>Uptake</w:t>
            </w:r>
            <w:r w:rsidR="00A93B48" w:rsidRPr="00997765">
              <w:rPr>
                <w:rFonts w:ascii="Arial Narrow" w:hAnsi="Arial Narrow"/>
                <w:sz w:val="20"/>
              </w:rPr>
              <w:t xml:space="preserve"> rate</w:t>
            </w:r>
            <w:r w:rsidRPr="00997765">
              <w:rPr>
                <w:rFonts w:ascii="Arial Narrow" w:hAnsi="Arial Narrow"/>
                <w:sz w:val="20"/>
              </w:rPr>
              <w:t xml:space="preserve"> of pre-filled MTX syringe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A03523" w:rsidP="002419E9">
            <w:pPr>
              <w:jc w:val="center"/>
              <w:rPr>
                <w:rFonts w:ascii="Arial Narrow" w:hAnsi="Arial Narrow"/>
                <w:sz w:val="20"/>
              </w:rPr>
            </w:pPr>
            <w:r w:rsidRPr="00997765">
              <w:rPr>
                <w:rFonts w:ascii="Arial Narrow" w:hAnsi="Arial Narrow"/>
                <w:sz w:val="20"/>
              </w:rPr>
              <w:t>25%</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A03523" w:rsidP="002419E9">
            <w:pPr>
              <w:jc w:val="center"/>
              <w:rPr>
                <w:rFonts w:ascii="Arial Narrow" w:hAnsi="Arial Narrow"/>
                <w:sz w:val="20"/>
              </w:rPr>
            </w:pPr>
            <w:r w:rsidRPr="00997765">
              <w:rPr>
                <w:rFonts w:ascii="Arial Narrow" w:hAnsi="Arial Narrow"/>
                <w:sz w:val="20"/>
              </w:rPr>
              <w:t>30%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A03523" w:rsidP="002419E9">
            <w:pPr>
              <w:jc w:val="center"/>
              <w:rPr>
                <w:rFonts w:ascii="Arial Narrow" w:hAnsi="Arial Narrow"/>
                <w:sz w:val="20"/>
              </w:rPr>
            </w:pPr>
            <w:r w:rsidRPr="00997765">
              <w:rPr>
                <w:rFonts w:ascii="Arial Narrow" w:hAnsi="Arial Narrow"/>
                <w:sz w:val="20"/>
              </w:rPr>
              <w:t>35%</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A03523" w:rsidP="002419E9">
            <w:pPr>
              <w:jc w:val="center"/>
              <w:rPr>
                <w:rFonts w:ascii="Arial Narrow" w:hAnsi="Arial Narrow"/>
                <w:sz w:val="20"/>
              </w:rPr>
            </w:pPr>
            <w:r w:rsidRPr="00997765">
              <w:rPr>
                <w:rFonts w:ascii="Arial Narrow" w:hAnsi="Arial Narrow"/>
                <w:sz w:val="20"/>
              </w:rPr>
              <w:t>40%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A03523" w:rsidP="002419E9">
            <w:pPr>
              <w:jc w:val="center"/>
              <w:rPr>
                <w:rFonts w:ascii="Arial Narrow" w:hAnsi="Arial Narrow"/>
                <w:sz w:val="20"/>
              </w:rPr>
            </w:pPr>
            <w:r w:rsidRPr="00997765">
              <w:rPr>
                <w:rFonts w:ascii="Arial Narrow" w:hAnsi="Arial Narrow"/>
                <w:sz w:val="20"/>
              </w:rPr>
              <w:t>45%</w:t>
            </w:r>
          </w:p>
        </w:tc>
      </w:tr>
      <w:tr w:rsidR="00A03523" w:rsidRPr="00997765" w:rsidTr="00A0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double" w:sz="4" w:space="0" w:color="auto"/>
              <w:right w:val="single" w:sz="4" w:space="0" w:color="auto"/>
            </w:tcBorders>
            <w:shd w:val="clear" w:color="auto" w:fill="auto"/>
            <w:vAlign w:val="bottom"/>
          </w:tcPr>
          <w:p w:rsidR="00A03523" w:rsidRPr="00997765" w:rsidRDefault="00A03523" w:rsidP="00D773D6">
            <w:pPr>
              <w:tabs>
                <w:tab w:val="right" w:pos="3045"/>
              </w:tabs>
              <w:rPr>
                <w:rFonts w:ascii="Arial Narrow" w:hAnsi="Arial Narrow"/>
                <w:sz w:val="20"/>
              </w:rPr>
            </w:pPr>
            <w:r w:rsidRPr="00997765">
              <w:rPr>
                <w:rFonts w:ascii="Arial Narrow" w:hAnsi="Arial Narrow"/>
                <w:sz w:val="20"/>
              </w:rPr>
              <w:t>Equivalent pre-filled MTX scripts (</w:t>
            </w:r>
            <w:r w:rsidR="00687CA2" w:rsidRPr="00997765">
              <w:rPr>
                <w:rFonts w:ascii="Arial Narrow" w:hAnsi="Arial Narrow"/>
                <w:sz w:val="20"/>
              </w:rPr>
              <w:t>1.25</w:t>
            </w:r>
            <w:r w:rsidRPr="00997765">
              <w:rPr>
                <w:rFonts w:ascii="Arial Narrow" w:hAnsi="Arial Narrow"/>
                <w:sz w:val="20"/>
              </w:rPr>
              <w:t xml:space="preserve"> </w:t>
            </w:r>
            <w:r w:rsidR="00687CA2" w:rsidRPr="00997765">
              <w:rPr>
                <w:rFonts w:ascii="Arial Narrow" w:hAnsi="Arial Narrow"/>
                <w:sz w:val="20"/>
              </w:rPr>
              <w:t xml:space="preserve">pack </w:t>
            </w:r>
            <w:r w:rsidR="002A2612" w:rsidRPr="00997765">
              <w:rPr>
                <w:rFonts w:ascii="Arial Narrow" w:hAnsi="Arial Narrow"/>
                <w:sz w:val="20"/>
              </w:rPr>
              <w:t>adjustment</w:t>
            </w:r>
            <w:r w:rsidRPr="00997765">
              <w:rPr>
                <w:rFonts w:ascii="Arial Narrow" w:hAnsi="Arial Narrow"/>
                <w:sz w:val="20"/>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AF0F52" w:rsidRPr="00997765" w:rsidTr="00A0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double" w:sz="4" w:space="0" w:color="auto"/>
              <w:left w:val="single" w:sz="4" w:space="0" w:color="auto"/>
              <w:bottom w:val="single" w:sz="4" w:space="0" w:color="auto"/>
              <w:right w:val="single" w:sz="4" w:space="0" w:color="auto"/>
            </w:tcBorders>
            <w:shd w:val="clear" w:color="auto" w:fill="auto"/>
            <w:vAlign w:val="bottom"/>
          </w:tcPr>
          <w:p w:rsidR="00AF0F52" w:rsidRPr="00997765" w:rsidRDefault="00D773D6" w:rsidP="002419E9">
            <w:pPr>
              <w:tabs>
                <w:tab w:val="right" w:pos="3045"/>
              </w:tabs>
              <w:rPr>
                <w:rFonts w:ascii="Arial Narrow" w:hAnsi="Arial Narrow"/>
                <w:sz w:val="20"/>
              </w:rPr>
            </w:pPr>
            <w:r w:rsidRPr="00997765">
              <w:rPr>
                <w:rFonts w:ascii="Arial Narrow" w:hAnsi="Arial Narrow"/>
                <w:sz w:val="20"/>
              </w:rPr>
              <w:t xml:space="preserve">EFC RA scripts </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double" w:sz="4" w:space="0" w:color="auto"/>
              <w:left w:val="single" w:sz="4" w:space="0" w:color="auto"/>
              <w:bottom w:val="single" w:sz="4" w:space="0" w:color="auto"/>
              <w:right w:val="single" w:sz="4" w:space="0" w:color="auto"/>
            </w:tcBorders>
            <w:shd w:val="clear" w:color="auto" w:fill="auto"/>
            <w:vAlign w:val="center"/>
          </w:tcPr>
          <w:p w:rsidR="00AF0F52"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AF0F52"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auto"/>
            <w:vAlign w:val="bottom"/>
          </w:tcPr>
          <w:p w:rsidR="00AF0F52" w:rsidRPr="00997765" w:rsidRDefault="00D773D6" w:rsidP="002419E9">
            <w:pPr>
              <w:tabs>
                <w:tab w:val="right" w:pos="3045"/>
              </w:tabs>
              <w:rPr>
                <w:rFonts w:ascii="Arial Narrow" w:hAnsi="Arial Narrow"/>
                <w:sz w:val="20"/>
              </w:rPr>
            </w:pPr>
            <w:r w:rsidRPr="00997765">
              <w:rPr>
                <w:rFonts w:ascii="Arial Narrow" w:hAnsi="Arial Narrow"/>
                <w:sz w:val="20"/>
              </w:rPr>
              <w:t xml:space="preserve">Uptake </w:t>
            </w:r>
            <w:r w:rsidR="00A93B48" w:rsidRPr="00997765">
              <w:rPr>
                <w:rFonts w:ascii="Arial Narrow" w:hAnsi="Arial Narrow"/>
                <w:sz w:val="20"/>
              </w:rPr>
              <w:t xml:space="preserve">rate </w:t>
            </w:r>
            <w:r w:rsidRPr="00997765">
              <w:rPr>
                <w:rFonts w:ascii="Arial Narrow" w:hAnsi="Arial Narrow"/>
                <w:sz w:val="20"/>
              </w:rPr>
              <w:t>of p</w:t>
            </w:r>
            <w:r w:rsidR="00A93B48" w:rsidRPr="00997765">
              <w:rPr>
                <w:rFonts w:ascii="Arial Narrow" w:hAnsi="Arial Narrow"/>
                <w:sz w:val="20"/>
              </w:rPr>
              <w:t>re-filled MTX syringe</w:t>
            </w:r>
            <w:r w:rsidRPr="00997765">
              <w:rPr>
                <w:rFonts w:ascii="Arial Narrow" w:hAnsi="Arial Narrow"/>
                <w:sz w:val="20"/>
              </w:rPr>
              <w:t xml:space="preserve">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2E713A" w:rsidP="002419E9">
            <w:pPr>
              <w:jc w:val="center"/>
              <w:rPr>
                <w:rFonts w:ascii="Arial Narrow" w:hAnsi="Arial Narrow"/>
                <w:sz w:val="20"/>
              </w:rPr>
            </w:pPr>
            <w:r w:rsidRPr="00997765">
              <w:rPr>
                <w:rFonts w:ascii="Arial Narrow" w:hAnsi="Arial Narrow"/>
                <w:sz w:val="20"/>
              </w:rPr>
              <w:t>90%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2E713A" w:rsidP="002419E9">
            <w:pPr>
              <w:jc w:val="center"/>
              <w:rPr>
                <w:rFonts w:ascii="Arial Narrow" w:hAnsi="Arial Narrow"/>
                <w:sz w:val="20"/>
              </w:rPr>
            </w:pPr>
            <w:r w:rsidRPr="00997765">
              <w:rPr>
                <w:rFonts w:ascii="Arial Narrow" w:hAnsi="Arial Narrow"/>
                <w:sz w:val="20"/>
              </w:rPr>
              <w:t>95%</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2E713A" w:rsidP="002419E9">
            <w:pPr>
              <w:jc w:val="center"/>
              <w:rPr>
                <w:rFonts w:ascii="Arial Narrow" w:hAnsi="Arial Narrow"/>
                <w:sz w:val="20"/>
              </w:rPr>
            </w:pPr>
            <w:r w:rsidRPr="00997765">
              <w:rPr>
                <w:rFonts w:ascii="Arial Narrow" w:hAnsi="Arial Narrow"/>
                <w:sz w:val="20"/>
              </w:rPr>
              <w:t>95%</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2E713A" w:rsidP="002419E9">
            <w:pPr>
              <w:jc w:val="center"/>
              <w:rPr>
                <w:rFonts w:ascii="Arial Narrow" w:hAnsi="Arial Narrow"/>
                <w:sz w:val="20"/>
              </w:rPr>
            </w:pPr>
            <w:r w:rsidRPr="00997765">
              <w:rPr>
                <w:rFonts w:ascii="Arial Narrow" w:hAnsi="Arial Narrow"/>
                <w:sz w:val="20"/>
              </w:rPr>
              <w:t>95%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AF0F52" w:rsidRPr="00997765" w:rsidRDefault="002E713A" w:rsidP="002419E9">
            <w:pPr>
              <w:jc w:val="center"/>
              <w:rPr>
                <w:rFonts w:ascii="Arial Narrow" w:hAnsi="Arial Narrow"/>
                <w:sz w:val="20"/>
              </w:rPr>
            </w:pPr>
            <w:r w:rsidRPr="00997765">
              <w:rPr>
                <w:rFonts w:ascii="Arial Narrow" w:hAnsi="Arial Narrow"/>
                <w:sz w:val="20"/>
              </w:rPr>
              <w:t>95%</w:t>
            </w:r>
          </w:p>
        </w:tc>
      </w:tr>
      <w:tr w:rsidR="00A03523" w:rsidRPr="00997765" w:rsidTr="00A0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double" w:sz="4" w:space="0" w:color="auto"/>
              <w:right w:val="single" w:sz="4" w:space="0" w:color="auto"/>
            </w:tcBorders>
            <w:shd w:val="clear" w:color="auto" w:fill="auto"/>
            <w:vAlign w:val="bottom"/>
          </w:tcPr>
          <w:p w:rsidR="00A03523" w:rsidRPr="00997765" w:rsidRDefault="00A03523" w:rsidP="002419E9">
            <w:pPr>
              <w:tabs>
                <w:tab w:val="right" w:pos="3045"/>
              </w:tabs>
              <w:rPr>
                <w:rFonts w:ascii="Arial Narrow" w:hAnsi="Arial Narrow"/>
                <w:sz w:val="20"/>
              </w:rPr>
            </w:pPr>
            <w:r w:rsidRPr="00997765">
              <w:rPr>
                <w:rFonts w:ascii="Arial Narrow" w:hAnsi="Arial Narrow"/>
                <w:sz w:val="20"/>
              </w:rPr>
              <w:t>Equivalent pre-filled MTX scripts (</w:t>
            </w:r>
            <w:r w:rsidR="00687CA2" w:rsidRPr="00997765">
              <w:rPr>
                <w:rFonts w:ascii="Arial Narrow" w:hAnsi="Arial Narrow"/>
                <w:sz w:val="20"/>
              </w:rPr>
              <w:t>1.25</w:t>
            </w:r>
            <w:r w:rsidRPr="00997765">
              <w:rPr>
                <w:rFonts w:ascii="Arial Narrow" w:hAnsi="Arial Narrow"/>
                <w:sz w:val="20"/>
              </w:rPr>
              <w:t xml:space="preserve"> </w:t>
            </w:r>
            <w:r w:rsidR="002A2612" w:rsidRPr="00997765">
              <w:rPr>
                <w:rFonts w:ascii="Arial Narrow" w:hAnsi="Arial Narrow"/>
                <w:sz w:val="20"/>
              </w:rPr>
              <w:t>pack adjustment</w:t>
            </w:r>
            <w:r w:rsidRPr="00997765">
              <w:rPr>
                <w:rFonts w:ascii="Arial Narrow" w:hAnsi="Arial Narrow"/>
                <w:sz w:val="20"/>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D773D6" w:rsidRPr="00997765" w:rsidTr="00A0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double" w:sz="4" w:space="0" w:color="auto"/>
              <w:left w:val="single" w:sz="4" w:space="0" w:color="auto"/>
              <w:bottom w:val="single" w:sz="4" w:space="0" w:color="auto"/>
              <w:right w:val="single" w:sz="4" w:space="0" w:color="auto"/>
            </w:tcBorders>
            <w:shd w:val="clear" w:color="auto" w:fill="auto"/>
            <w:vAlign w:val="bottom"/>
          </w:tcPr>
          <w:p w:rsidR="00D773D6" w:rsidRPr="00997765" w:rsidRDefault="00D773D6" w:rsidP="002419E9">
            <w:pPr>
              <w:tabs>
                <w:tab w:val="right" w:pos="3045"/>
              </w:tabs>
              <w:rPr>
                <w:rFonts w:ascii="Arial Narrow" w:hAnsi="Arial Narrow"/>
                <w:sz w:val="20"/>
              </w:rPr>
            </w:pPr>
            <w:r w:rsidRPr="00997765">
              <w:rPr>
                <w:rFonts w:ascii="Arial Narrow" w:hAnsi="Arial Narrow"/>
                <w:sz w:val="20"/>
              </w:rPr>
              <w:t>General schedule PSO scripts</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D773D6"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D773D6"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D773D6"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D773D6"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double" w:sz="4" w:space="0" w:color="auto"/>
              <w:left w:val="single" w:sz="4" w:space="0" w:color="auto"/>
              <w:bottom w:val="single" w:sz="4" w:space="0" w:color="auto"/>
              <w:right w:val="single" w:sz="4" w:space="0" w:color="auto"/>
            </w:tcBorders>
            <w:shd w:val="clear" w:color="auto" w:fill="auto"/>
            <w:vAlign w:val="center"/>
          </w:tcPr>
          <w:p w:rsidR="00D773D6"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A03523"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auto"/>
            <w:vAlign w:val="bottom"/>
          </w:tcPr>
          <w:p w:rsidR="00A03523" w:rsidRPr="00997765" w:rsidRDefault="00A03523" w:rsidP="002419E9">
            <w:pPr>
              <w:tabs>
                <w:tab w:val="right" w:pos="3045"/>
              </w:tabs>
              <w:rPr>
                <w:rFonts w:ascii="Arial Narrow" w:hAnsi="Arial Narrow"/>
                <w:sz w:val="20"/>
              </w:rPr>
            </w:pPr>
            <w:r w:rsidRPr="00997765">
              <w:rPr>
                <w:rFonts w:ascii="Arial Narrow" w:hAnsi="Arial Narrow"/>
                <w:sz w:val="20"/>
              </w:rPr>
              <w:t>Uptake</w:t>
            </w:r>
            <w:r w:rsidR="00A93B48" w:rsidRPr="00997765">
              <w:rPr>
                <w:rFonts w:ascii="Arial Narrow" w:hAnsi="Arial Narrow"/>
                <w:sz w:val="20"/>
              </w:rPr>
              <w:t xml:space="preserve"> rate</w:t>
            </w:r>
            <w:r w:rsidRPr="00997765">
              <w:rPr>
                <w:rFonts w:ascii="Arial Narrow" w:hAnsi="Arial Narrow"/>
                <w:sz w:val="20"/>
              </w:rPr>
              <w:t xml:space="preserve"> of pre-filled MTX syringe</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03523" w:rsidRPr="00997765" w:rsidRDefault="00A03523" w:rsidP="002419E9">
            <w:pPr>
              <w:jc w:val="center"/>
              <w:rPr>
                <w:rFonts w:ascii="Arial Narrow" w:hAnsi="Arial Narrow"/>
                <w:sz w:val="20"/>
              </w:rPr>
            </w:pPr>
            <w:r w:rsidRPr="00997765">
              <w:rPr>
                <w:rFonts w:ascii="Arial Narrow" w:hAnsi="Arial Narrow"/>
                <w:sz w:val="20"/>
              </w:rPr>
              <w:t>25%</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03523" w:rsidRPr="00997765" w:rsidRDefault="00A03523" w:rsidP="002419E9">
            <w:pPr>
              <w:jc w:val="center"/>
              <w:rPr>
                <w:rFonts w:ascii="Arial Narrow" w:hAnsi="Arial Narrow"/>
                <w:sz w:val="20"/>
              </w:rPr>
            </w:pPr>
            <w:r w:rsidRPr="00997765">
              <w:rPr>
                <w:rFonts w:ascii="Arial Narrow" w:hAnsi="Arial Narrow"/>
                <w:sz w:val="20"/>
              </w:rPr>
              <w:t>30%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03523" w:rsidRPr="00997765" w:rsidRDefault="00A03523" w:rsidP="002419E9">
            <w:pPr>
              <w:jc w:val="center"/>
              <w:rPr>
                <w:rFonts w:ascii="Arial Narrow" w:hAnsi="Arial Narrow"/>
                <w:sz w:val="20"/>
              </w:rPr>
            </w:pPr>
            <w:r w:rsidRPr="00997765">
              <w:rPr>
                <w:rFonts w:ascii="Arial Narrow" w:hAnsi="Arial Narrow"/>
                <w:sz w:val="20"/>
              </w:rPr>
              <w:t>35%</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A03523" w:rsidRPr="00997765" w:rsidRDefault="00A03523" w:rsidP="002419E9">
            <w:pPr>
              <w:jc w:val="center"/>
              <w:rPr>
                <w:rFonts w:ascii="Arial Narrow" w:hAnsi="Arial Narrow"/>
                <w:sz w:val="20"/>
              </w:rPr>
            </w:pPr>
            <w:r w:rsidRPr="00997765">
              <w:rPr>
                <w:rFonts w:ascii="Arial Narrow" w:hAnsi="Arial Narrow"/>
                <w:sz w:val="20"/>
              </w:rPr>
              <w:t>40%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A03523" w:rsidRPr="00997765" w:rsidRDefault="00A03523" w:rsidP="002419E9">
            <w:pPr>
              <w:jc w:val="center"/>
              <w:rPr>
                <w:rFonts w:ascii="Arial Narrow" w:hAnsi="Arial Narrow"/>
                <w:sz w:val="20"/>
              </w:rPr>
            </w:pPr>
            <w:r w:rsidRPr="00997765">
              <w:rPr>
                <w:rFonts w:ascii="Arial Narrow" w:hAnsi="Arial Narrow"/>
                <w:sz w:val="20"/>
              </w:rPr>
              <w:t>45%</w:t>
            </w:r>
          </w:p>
        </w:tc>
      </w:tr>
      <w:tr w:rsidR="00A03523" w:rsidRPr="00997765" w:rsidTr="00A0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double" w:sz="4" w:space="0" w:color="auto"/>
              <w:right w:val="single" w:sz="4" w:space="0" w:color="auto"/>
            </w:tcBorders>
            <w:shd w:val="clear" w:color="auto" w:fill="auto"/>
            <w:vAlign w:val="bottom"/>
          </w:tcPr>
          <w:p w:rsidR="00A03523" w:rsidRPr="00997765" w:rsidRDefault="00A03523" w:rsidP="002419E9">
            <w:pPr>
              <w:tabs>
                <w:tab w:val="right" w:pos="3045"/>
              </w:tabs>
              <w:rPr>
                <w:rFonts w:ascii="Arial Narrow" w:hAnsi="Arial Narrow"/>
                <w:sz w:val="20"/>
              </w:rPr>
            </w:pPr>
            <w:r w:rsidRPr="00997765">
              <w:rPr>
                <w:rFonts w:ascii="Arial Narrow" w:hAnsi="Arial Narrow"/>
                <w:sz w:val="20"/>
              </w:rPr>
              <w:t>Equivalent pre-filled MTX scripts (</w:t>
            </w:r>
            <w:r w:rsidR="00687CA2" w:rsidRPr="00997765">
              <w:rPr>
                <w:rFonts w:ascii="Arial Narrow" w:hAnsi="Arial Narrow"/>
                <w:sz w:val="20"/>
              </w:rPr>
              <w:t>1.25</w:t>
            </w:r>
            <w:r w:rsidRPr="00997765">
              <w:rPr>
                <w:rFonts w:ascii="Arial Narrow" w:hAnsi="Arial Narrow"/>
                <w:sz w:val="20"/>
              </w:rPr>
              <w:t xml:space="preserve"> </w:t>
            </w:r>
            <w:r w:rsidR="002A2612" w:rsidRPr="00997765">
              <w:rPr>
                <w:rFonts w:ascii="Arial Narrow" w:hAnsi="Arial Narrow"/>
                <w:sz w:val="20"/>
              </w:rPr>
              <w:t>pack adjustment</w:t>
            </w:r>
            <w:r w:rsidRPr="00997765">
              <w:rPr>
                <w:rFonts w:ascii="Arial Narrow" w:hAnsi="Arial Narrow"/>
                <w:sz w:val="20"/>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doub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A03523" w:rsidRPr="00997765" w:rsidTr="00A0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double" w:sz="4" w:space="0" w:color="auto"/>
              <w:left w:val="single" w:sz="4" w:space="0" w:color="auto"/>
              <w:bottom w:val="single" w:sz="4" w:space="0" w:color="auto"/>
              <w:right w:val="single" w:sz="4" w:space="0" w:color="auto"/>
            </w:tcBorders>
            <w:shd w:val="clear" w:color="auto" w:fill="auto"/>
            <w:vAlign w:val="bottom"/>
          </w:tcPr>
          <w:p w:rsidR="00A03523" w:rsidRPr="00997765" w:rsidRDefault="00A03523" w:rsidP="002419E9">
            <w:pPr>
              <w:tabs>
                <w:tab w:val="right" w:pos="3045"/>
              </w:tabs>
              <w:rPr>
                <w:rFonts w:ascii="Arial Narrow" w:hAnsi="Arial Narrow"/>
                <w:sz w:val="20"/>
              </w:rPr>
            </w:pPr>
            <w:r w:rsidRPr="00997765">
              <w:rPr>
                <w:rFonts w:ascii="Arial Narrow" w:hAnsi="Arial Narrow"/>
                <w:sz w:val="20"/>
              </w:rPr>
              <w:t xml:space="preserve">EFC PSO scripts </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double" w:sz="4" w:space="0" w:color="auto"/>
              <w:left w:val="single" w:sz="4" w:space="0" w:color="auto"/>
              <w:bottom w:val="sing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double" w:sz="4" w:space="0" w:color="auto"/>
              <w:left w:val="single" w:sz="4" w:space="0" w:color="auto"/>
              <w:bottom w:val="single" w:sz="4" w:space="0" w:color="auto"/>
              <w:right w:val="single" w:sz="4" w:space="0" w:color="auto"/>
            </w:tcBorders>
            <w:shd w:val="clear" w:color="auto" w:fill="auto"/>
            <w:vAlign w:val="center"/>
          </w:tcPr>
          <w:p w:rsidR="00A03523"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2E713A"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auto"/>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Uptake rate of pre-filled MTX syringe</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997765" w:rsidRDefault="002E713A" w:rsidP="002419E9">
            <w:pPr>
              <w:jc w:val="center"/>
              <w:rPr>
                <w:rFonts w:ascii="Arial Narrow" w:hAnsi="Arial Narrow"/>
                <w:sz w:val="20"/>
              </w:rPr>
            </w:pPr>
            <w:r w:rsidRPr="00997765">
              <w:rPr>
                <w:rFonts w:ascii="Arial Narrow" w:hAnsi="Arial Narrow"/>
                <w:sz w:val="20"/>
              </w:rPr>
              <w:t>90%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997765" w:rsidRDefault="002E713A" w:rsidP="002419E9">
            <w:pPr>
              <w:jc w:val="center"/>
              <w:rPr>
                <w:rFonts w:ascii="Arial Narrow" w:hAnsi="Arial Narrow"/>
                <w:sz w:val="20"/>
              </w:rPr>
            </w:pPr>
            <w:r w:rsidRPr="00997765">
              <w:rPr>
                <w:rFonts w:ascii="Arial Narrow" w:hAnsi="Arial Narrow"/>
                <w:sz w:val="20"/>
              </w:rPr>
              <w:t>95%</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997765" w:rsidRDefault="002E713A" w:rsidP="002419E9">
            <w:pPr>
              <w:jc w:val="center"/>
              <w:rPr>
                <w:rFonts w:ascii="Arial Narrow" w:hAnsi="Arial Narrow"/>
                <w:sz w:val="20"/>
              </w:rPr>
            </w:pPr>
            <w:r w:rsidRPr="00997765">
              <w:rPr>
                <w:rFonts w:ascii="Arial Narrow" w:hAnsi="Arial Narrow"/>
                <w:sz w:val="20"/>
              </w:rPr>
              <w:t>95%</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997765" w:rsidRDefault="002E713A" w:rsidP="002419E9">
            <w:pPr>
              <w:jc w:val="center"/>
              <w:rPr>
                <w:rFonts w:ascii="Arial Narrow" w:hAnsi="Arial Narrow"/>
                <w:sz w:val="20"/>
              </w:rPr>
            </w:pPr>
            <w:r w:rsidRPr="00997765">
              <w:rPr>
                <w:rFonts w:ascii="Arial Narrow" w:hAnsi="Arial Narrow"/>
                <w:sz w:val="20"/>
              </w:rPr>
              <w:t>95%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997765" w:rsidRDefault="002E713A" w:rsidP="002419E9">
            <w:pPr>
              <w:jc w:val="center"/>
              <w:rPr>
                <w:rFonts w:ascii="Arial Narrow" w:hAnsi="Arial Narrow"/>
                <w:sz w:val="20"/>
              </w:rPr>
            </w:pPr>
            <w:r w:rsidRPr="00997765">
              <w:rPr>
                <w:rFonts w:ascii="Arial Narrow" w:hAnsi="Arial Narrow"/>
                <w:sz w:val="20"/>
              </w:rPr>
              <w:t>95%</w:t>
            </w:r>
          </w:p>
        </w:tc>
      </w:tr>
      <w:tr w:rsidR="002E713A"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auto"/>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Equivalent pre-filled MTX scripts (1.25 pack adjustment)</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2E713A" w:rsidRPr="00997765" w:rsidTr="00241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2E713A" w:rsidRPr="00997765" w:rsidRDefault="002E713A" w:rsidP="002419E9">
            <w:pPr>
              <w:rPr>
                <w:rFonts w:ascii="Arial Narrow" w:hAnsi="Arial Narrow"/>
                <w:b/>
                <w:sz w:val="20"/>
              </w:rPr>
            </w:pPr>
            <w:r w:rsidRPr="00997765">
              <w:rPr>
                <w:rFonts w:ascii="Arial Narrow" w:hAnsi="Arial Narrow"/>
                <w:b/>
                <w:sz w:val="20"/>
              </w:rPr>
              <w:t>Substitution from oral methotrexate</w:t>
            </w:r>
          </w:p>
        </w:tc>
      </w:tr>
      <w:tr w:rsidR="002E713A"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E713A" w:rsidRPr="00997765" w:rsidRDefault="002E713A" w:rsidP="002419E9">
            <w:pPr>
              <w:rPr>
                <w:rFonts w:ascii="Arial Narrow" w:hAnsi="Arial Narrow"/>
                <w:sz w:val="20"/>
              </w:rPr>
            </w:pPr>
            <w:r w:rsidRPr="00997765">
              <w:rPr>
                <w:rFonts w:ascii="Arial Narrow" w:hAnsi="Arial Narrow"/>
                <w:sz w:val="20"/>
              </w:rPr>
              <w:t>RA patients</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2E713A"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RA patients taking MTX (78%)</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2E713A"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 xml:space="preserve">RA MTX patients intolerant to oral form (5%) </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3,686</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3,737</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3,790</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3,843</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3,896</w:t>
            </w:r>
          </w:p>
        </w:tc>
      </w:tr>
      <w:tr w:rsidR="002E713A" w:rsidRPr="00997765" w:rsidTr="00AF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RA intolerant patients already using parenteral formulations</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-503</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-508</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-513</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-518</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713A" w:rsidRPr="00997765" w:rsidRDefault="002E713A" w:rsidP="002419E9">
            <w:pPr>
              <w:jc w:val="center"/>
              <w:rPr>
                <w:rFonts w:ascii="Arial Narrow" w:hAnsi="Arial Narrow"/>
                <w:sz w:val="20"/>
              </w:rPr>
            </w:pPr>
            <w:r w:rsidRPr="00997765">
              <w:rPr>
                <w:rFonts w:ascii="Arial Narrow" w:hAnsi="Arial Narrow"/>
                <w:sz w:val="20"/>
              </w:rPr>
              <w:t>-523</w:t>
            </w:r>
          </w:p>
        </w:tc>
      </w:tr>
      <w:tr w:rsidR="002E713A" w:rsidRPr="00997765" w:rsidTr="00AF0F52">
        <w:tc>
          <w:tcPr>
            <w:tcW w:w="1529" w:type="pct"/>
            <w:shd w:val="clear" w:color="auto" w:fill="auto"/>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RA intolerant patients not using parenteral formulations</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3,183</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3,229</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3,277</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3,325</w:t>
            </w:r>
          </w:p>
        </w:tc>
        <w:tc>
          <w:tcPr>
            <w:tcW w:w="695"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3,373</w:t>
            </w:r>
          </w:p>
        </w:tc>
      </w:tr>
      <w:tr w:rsidR="002E713A" w:rsidRPr="00997765" w:rsidTr="00AF0F52">
        <w:tc>
          <w:tcPr>
            <w:tcW w:w="1529" w:type="pct"/>
            <w:shd w:val="clear" w:color="auto" w:fill="auto"/>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Potential number of weekly doses</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165,505</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167,927</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170,384</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172,876</w:t>
            </w:r>
          </w:p>
        </w:tc>
        <w:tc>
          <w:tcPr>
            <w:tcW w:w="695"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175,404</w:t>
            </w:r>
          </w:p>
        </w:tc>
      </w:tr>
      <w:tr w:rsidR="002E713A" w:rsidRPr="00997765" w:rsidTr="00AF0F52">
        <w:tc>
          <w:tcPr>
            <w:tcW w:w="1529" w:type="pct"/>
            <w:shd w:val="clear" w:color="auto" w:fill="auto"/>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Uptake of pre-filled MTX syringe in doses (5%)</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8,275</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8,396</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8,519</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8,644</w:t>
            </w:r>
          </w:p>
        </w:tc>
        <w:tc>
          <w:tcPr>
            <w:tcW w:w="695"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8,770</w:t>
            </w:r>
          </w:p>
        </w:tc>
      </w:tr>
      <w:tr w:rsidR="002E713A" w:rsidRPr="00997765" w:rsidTr="00AF0F52">
        <w:tc>
          <w:tcPr>
            <w:tcW w:w="1529" w:type="pct"/>
            <w:shd w:val="clear" w:color="auto" w:fill="auto"/>
            <w:vAlign w:val="bottom"/>
          </w:tcPr>
          <w:p w:rsidR="002E713A" w:rsidRPr="00997765" w:rsidRDefault="002E713A" w:rsidP="002419E9">
            <w:pPr>
              <w:rPr>
                <w:rFonts w:ascii="Arial Narrow" w:hAnsi="Arial Narrow"/>
                <w:sz w:val="20"/>
              </w:rPr>
            </w:pPr>
            <w:r w:rsidRPr="00997765">
              <w:rPr>
                <w:rFonts w:ascii="Arial Narrow" w:hAnsi="Arial Narrow"/>
                <w:sz w:val="20"/>
              </w:rPr>
              <w:t xml:space="preserve">Pre-filled MTX syringe scripts </w:t>
            </w:r>
          </w:p>
          <w:p w:rsidR="002E713A" w:rsidRPr="00997765" w:rsidRDefault="002E713A" w:rsidP="002419E9">
            <w:pPr>
              <w:rPr>
                <w:rFonts w:ascii="Arial Narrow" w:hAnsi="Arial Narrow"/>
                <w:sz w:val="20"/>
              </w:rPr>
            </w:pPr>
            <w:r w:rsidRPr="00997765">
              <w:rPr>
                <w:rFonts w:ascii="Arial Narrow" w:hAnsi="Arial Narrow"/>
                <w:sz w:val="20"/>
              </w:rPr>
              <w:t>(4 doses per script)</w:t>
            </w:r>
          </w:p>
        </w:tc>
        <w:tc>
          <w:tcPr>
            <w:tcW w:w="694"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2E713A" w:rsidRPr="00997765" w:rsidTr="002419E9">
        <w:tc>
          <w:tcPr>
            <w:tcW w:w="5000" w:type="pct"/>
            <w:gridSpan w:val="6"/>
            <w:shd w:val="clear" w:color="auto" w:fill="auto"/>
            <w:vAlign w:val="bottom"/>
          </w:tcPr>
          <w:p w:rsidR="002E713A" w:rsidRPr="00997765" w:rsidRDefault="002E713A" w:rsidP="002419E9">
            <w:pPr>
              <w:rPr>
                <w:rFonts w:ascii="Arial Narrow" w:hAnsi="Arial Narrow"/>
                <w:b/>
                <w:sz w:val="20"/>
              </w:rPr>
            </w:pPr>
            <w:r w:rsidRPr="00997765">
              <w:rPr>
                <w:rFonts w:ascii="Arial Narrow" w:hAnsi="Arial Narrow"/>
                <w:b/>
                <w:sz w:val="20"/>
              </w:rPr>
              <w:t xml:space="preserve">Total </w:t>
            </w:r>
          </w:p>
        </w:tc>
      </w:tr>
      <w:tr w:rsidR="002E713A" w:rsidRPr="00997765" w:rsidTr="00D773D6">
        <w:tc>
          <w:tcPr>
            <w:tcW w:w="1529" w:type="pct"/>
            <w:shd w:val="clear" w:color="auto" w:fill="auto"/>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 xml:space="preserve">Total pre-filled MTX scripts </w:t>
            </w:r>
          </w:p>
        </w:tc>
        <w:tc>
          <w:tcPr>
            <w:tcW w:w="694"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c>
          <w:tcPr>
            <w:tcW w:w="695" w:type="pct"/>
            <w:shd w:val="clear" w:color="auto" w:fill="auto"/>
            <w:noWrap/>
            <w:vAlign w:val="center"/>
          </w:tcPr>
          <w:p w:rsidR="002E713A" w:rsidRPr="00360D24" w:rsidRDefault="00360D24" w:rsidP="002419E9">
            <w:pPr>
              <w:jc w:val="center"/>
              <w:rPr>
                <w:rFonts w:ascii="Arial Narrow" w:hAnsi="Arial Narrow"/>
                <w:sz w:val="20"/>
                <w:highlight w:val="black"/>
              </w:rPr>
            </w:pPr>
            <w:r>
              <w:rPr>
                <w:rFonts w:ascii="Arial Narrow" w:hAnsi="Arial Narrow"/>
                <w:noProof/>
                <w:color w:val="000000"/>
                <w:sz w:val="20"/>
                <w:highlight w:val="black"/>
              </w:rPr>
              <w:t>''''''''''''''</w:t>
            </w:r>
          </w:p>
        </w:tc>
      </w:tr>
      <w:tr w:rsidR="002E713A" w:rsidRPr="00997765" w:rsidTr="00D773D6">
        <w:tc>
          <w:tcPr>
            <w:tcW w:w="1529" w:type="pct"/>
            <w:shd w:val="clear" w:color="auto" w:fill="auto"/>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Cost of pre-filled MTX scripts at proposed DPMQ</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5"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2E713A" w:rsidRPr="00997765" w:rsidTr="00D773D6">
        <w:tc>
          <w:tcPr>
            <w:tcW w:w="1529" w:type="pct"/>
            <w:shd w:val="clear" w:color="auto" w:fill="auto"/>
            <w:vAlign w:val="bottom"/>
          </w:tcPr>
          <w:p w:rsidR="002E713A" w:rsidRPr="00997765" w:rsidRDefault="002E713A" w:rsidP="002419E9">
            <w:pPr>
              <w:tabs>
                <w:tab w:val="right" w:pos="3045"/>
              </w:tabs>
              <w:rPr>
                <w:rFonts w:ascii="Arial Narrow" w:hAnsi="Arial Narrow"/>
                <w:sz w:val="20"/>
                <w:vertAlign w:val="superscript"/>
              </w:rPr>
            </w:pPr>
            <w:r w:rsidRPr="00997765">
              <w:rPr>
                <w:rFonts w:ascii="Arial Narrow" w:hAnsi="Arial Narrow"/>
                <w:sz w:val="20"/>
              </w:rPr>
              <w:t>Patient co-</w:t>
            </w:r>
            <w:proofErr w:type="spellStart"/>
            <w:r w:rsidRPr="00997765">
              <w:rPr>
                <w:rFonts w:ascii="Arial Narrow" w:hAnsi="Arial Narrow"/>
                <w:sz w:val="20"/>
              </w:rPr>
              <w:t>payments</w:t>
            </w:r>
            <w:r w:rsidR="00FF7B0E" w:rsidRPr="00997765">
              <w:rPr>
                <w:rFonts w:ascii="Arial Narrow" w:hAnsi="Arial Narrow"/>
                <w:sz w:val="20"/>
                <w:vertAlign w:val="superscript"/>
              </w:rPr>
              <w:t>b</w:t>
            </w:r>
            <w:proofErr w:type="spellEnd"/>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5"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2E713A" w:rsidRPr="00997765" w:rsidTr="00D773D6">
        <w:tc>
          <w:tcPr>
            <w:tcW w:w="1529" w:type="pct"/>
            <w:shd w:val="clear" w:color="auto" w:fill="auto"/>
            <w:vAlign w:val="bottom"/>
          </w:tcPr>
          <w:p w:rsidR="002E713A" w:rsidRPr="00997765" w:rsidRDefault="002E713A" w:rsidP="002419E9">
            <w:pPr>
              <w:tabs>
                <w:tab w:val="right" w:pos="3045"/>
              </w:tabs>
              <w:rPr>
                <w:rFonts w:ascii="Arial Narrow" w:hAnsi="Arial Narrow"/>
                <w:sz w:val="20"/>
              </w:rPr>
            </w:pPr>
            <w:r w:rsidRPr="00997765">
              <w:rPr>
                <w:rFonts w:ascii="Arial Narrow" w:hAnsi="Arial Narrow"/>
                <w:sz w:val="20"/>
              </w:rPr>
              <w:t>Total cost less co-payments</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5"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2E713A" w:rsidRPr="00997765" w:rsidTr="00D773D6">
        <w:tc>
          <w:tcPr>
            <w:tcW w:w="1529" w:type="pct"/>
            <w:shd w:val="clear" w:color="auto" w:fill="auto"/>
            <w:vAlign w:val="bottom"/>
          </w:tcPr>
          <w:p w:rsidR="002E713A" w:rsidRPr="00997765" w:rsidRDefault="002E713A" w:rsidP="002419E9">
            <w:pPr>
              <w:rPr>
                <w:rFonts w:ascii="Arial Narrow" w:hAnsi="Arial Narrow"/>
                <w:sz w:val="20"/>
              </w:rPr>
            </w:pPr>
            <w:r w:rsidRPr="00997765">
              <w:rPr>
                <w:rFonts w:ascii="Arial Narrow" w:hAnsi="Arial Narrow"/>
                <w:sz w:val="20"/>
              </w:rPr>
              <w:t xml:space="preserve">Savings due to </w:t>
            </w:r>
            <w:proofErr w:type="spellStart"/>
            <w:r w:rsidRPr="00997765">
              <w:rPr>
                <w:rFonts w:ascii="Arial Narrow" w:hAnsi="Arial Narrow"/>
                <w:sz w:val="20"/>
              </w:rPr>
              <w:t>substitution</w:t>
            </w:r>
            <w:r w:rsidR="00FF7B0E" w:rsidRPr="00997765">
              <w:rPr>
                <w:rFonts w:ascii="Arial Narrow" w:hAnsi="Arial Narrow"/>
                <w:sz w:val="20"/>
                <w:vertAlign w:val="superscript"/>
              </w:rPr>
              <w:t>c</w:t>
            </w:r>
            <w:proofErr w:type="spellEnd"/>
            <w:r w:rsidRPr="00997765">
              <w:rPr>
                <w:rFonts w:ascii="Arial Narrow" w:hAnsi="Arial Narrow"/>
                <w:sz w:val="20"/>
              </w:rPr>
              <w:t xml:space="preserve"> </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5"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2E713A" w:rsidRPr="00997765" w:rsidTr="00D773D6">
        <w:tc>
          <w:tcPr>
            <w:tcW w:w="1529" w:type="pct"/>
            <w:shd w:val="clear" w:color="auto" w:fill="auto"/>
            <w:vAlign w:val="bottom"/>
          </w:tcPr>
          <w:p w:rsidR="002E713A" w:rsidRPr="00997765" w:rsidRDefault="002E713A" w:rsidP="002419E9">
            <w:pPr>
              <w:rPr>
                <w:rFonts w:ascii="Arial Narrow" w:hAnsi="Arial Narrow"/>
                <w:b/>
                <w:sz w:val="20"/>
              </w:rPr>
            </w:pPr>
            <w:r w:rsidRPr="00997765">
              <w:rPr>
                <w:rFonts w:ascii="Arial Narrow" w:hAnsi="Arial Narrow"/>
                <w:b/>
                <w:sz w:val="20"/>
              </w:rPr>
              <w:t>Net cost to PBS/RPBS</w:t>
            </w:r>
          </w:p>
        </w:tc>
        <w:tc>
          <w:tcPr>
            <w:tcW w:w="694"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c>
          <w:tcPr>
            <w:tcW w:w="695"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r>
      <w:tr w:rsidR="002E713A" w:rsidRPr="00997765" w:rsidTr="00D773D6">
        <w:tc>
          <w:tcPr>
            <w:tcW w:w="1529" w:type="pct"/>
            <w:shd w:val="clear" w:color="auto" w:fill="auto"/>
            <w:vAlign w:val="bottom"/>
          </w:tcPr>
          <w:p w:rsidR="002E713A" w:rsidRPr="00997765" w:rsidRDefault="002E713A" w:rsidP="002419E9">
            <w:pPr>
              <w:rPr>
                <w:rFonts w:ascii="Arial Narrow" w:hAnsi="Arial Narrow"/>
                <w:sz w:val="20"/>
              </w:rPr>
            </w:pPr>
            <w:r w:rsidRPr="00997765">
              <w:rPr>
                <w:rFonts w:ascii="Arial Narrow" w:hAnsi="Arial Narrow"/>
                <w:sz w:val="20"/>
              </w:rPr>
              <w:t>MBS savings due to reduced administration costs</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c>
          <w:tcPr>
            <w:tcW w:w="695" w:type="pct"/>
            <w:shd w:val="clear" w:color="auto" w:fill="auto"/>
            <w:noWrap/>
            <w:vAlign w:val="center"/>
          </w:tcPr>
          <w:p w:rsidR="002E713A" w:rsidRPr="00997765" w:rsidRDefault="002E713A" w:rsidP="002419E9">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2E713A" w:rsidRPr="00997765" w:rsidTr="00D773D6">
        <w:tc>
          <w:tcPr>
            <w:tcW w:w="1529" w:type="pct"/>
            <w:shd w:val="clear" w:color="auto" w:fill="auto"/>
            <w:vAlign w:val="bottom"/>
          </w:tcPr>
          <w:p w:rsidR="002E713A" w:rsidRPr="00997765" w:rsidRDefault="002E713A" w:rsidP="002419E9">
            <w:pPr>
              <w:rPr>
                <w:rFonts w:ascii="Arial Narrow" w:hAnsi="Arial Narrow"/>
                <w:b/>
                <w:sz w:val="20"/>
              </w:rPr>
            </w:pPr>
            <w:r w:rsidRPr="00997765">
              <w:rPr>
                <w:rFonts w:ascii="Arial Narrow" w:hAnsi="Arial Narrow"/>
                <w:b/>
                <w:sz w:val="20"/>
              </w:rPr>
              <w:t>Net cost to government</w:t>
            </w:r>
          </w:p>
        </w:tc>
        <w:tc>
          <w:tcPr>
            <w:tcW w:w="694"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c>
          <w:tcPr>
            <w:tcW w:w="694"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c>
          <w:tcPr>
            <w:tcW w:w="695" w:type="pct"/>
            <w:shd w:val="clear" w:color="auto" w:fill="auto"/>
            <w:noWrap/>
            <w:vAlign w:val="center"/>
          </w:tcPr>
          <w:p w:rsidR="002E713A" w:rsidRPr="00997765" w:rsidRDefault="002E713A" w:rsidP="002419E9">
            <w:pPr>
              <w:jc w:val="center"/>
              <w:rPr>
                <w:rFonts w:ascii="Arial Narrow" w:hAnsi="Arial Narrow"/>
                <w:b/>
                <w:sz w:val="20"/>
              </w:rPr>
            </w:pPr>
            <w:r w:rsidRPr="00997765">
              <w:rPr>
                <w:rFonts w:ascii="Arial Narrow" w:hAnsi="Arial Narrow"/>
                <w:b/>
                <w:sz w:val="20"/>
              </w:rPr>
              <w:t>$</w:t>
            </w:r>
            <w:r w:rsidR="00360D24">
              <w:rPr>
                <w:rFonts w:ascii="Arial Narrow" w:hAnsi="Arial Narrow"/>
                <w:b/>
                <w:noProof/>
                <w:color w:val="000000"/>
                <w:sz w:val="20"/>
                <w:highlight w:val="black"/>
              </w:rPr>
              <w:t>'''''''''''''''</w:t>
            </w:r>
          </w:p>
        </w:tc>
      </w:tr>
    </w:tbl>
    <w:p w:rsidR="00AF0F52" w:rsidRPr="00997765" w:rsidRDefault="00AF0F52" w:rsidP="000A6CD1">
      <w:pPr>
        <w:pStyle w:val="ListParagraph"/>
        <w:jc w:val="both"/>
        <w:rPr>
          <w:rFonts w:ascii="Arial Narrow" w:hAnsi="Arial Narrow"/>
          <w:sz w:val="18"/>
          <w:szCs w:val="18"/>
        </w:rPr>
      </w:pPr>
      <w:r w:rsidRPr="00997765">
        <w:rPr>
          <w:rFonts w:ascii="Arial Narrow" w:hAnsi="Arial Narrow"/>
          <w:sz w:val="18"/>
          <w:szCs w:val="18"/>
        </w:rPr>
        <w:lastRenderedPageBreak/>
        <w:t xml:space="preserve">Abbreviations: </w:t>
      </w:r>
      <w:r w:rsidR="000A6CD1" w:rsidRPr="00997765">
        <w:rPr>
          <w:rFonts w:ascii="Arial Narrow" w:hAnsi="Arial Narrow"/>
          <w:sz w:val="18"/>
          <w:szCs w:val="18"/>
        </w:rPr>
        <w:t>DPMQ, dispensed price per maximum quantity; EFC, efficient funding of chemotherapy program; MBS, Medicare Benefits Schedule; MTX, methotrexate; PBS, Pharmaceutical Benefits Scheme; PSO, psoriasis; RA, rheumatoid arthritis; RPBS, Repatriation Pharmaceutical Benefits Scheme</w:t>
      </w:r>
    </w:p>
    <w:p w:rsidR="00FF7B0E" w:rsidRPr="00997765" w:rsidRDefault="00AF0F52" w:rsidP="00AF0F52">
      <w:pPr>
        <w:pStyle w:val="COMBody"/>
        <w:ind w:left="709"/>
        <w:rPr>
          <w:rFonts w:ascii="Arial Narrow" w:hAnsi="Arial Narrow"/>
          <w:sz w:val="18"/>
        </w:rPr>
      </w:pPr>
      <w:r w:rsidRPr="00997765">
        <w:rPr>
          <w:rFonts w:ascii="Arial Narrow" w:hAnsi="Arial Narrow"/>
          <w:sz w:val="18"/>
        </w:rPr>
        <w:t>Source:</w:t>
      </w:r>
      <w:r w:rsidR="007C1A1A" w:rsidRPr="00997765">
        <w:rPr>
          <w:rFonts w:ascii="Arial Narrow" w:hAnsi="Arial Narrow"/>
          <w:sz w:val="18"/>
        </w:rPr>
        <w:t xml:space="preserve"> Table 18 (p 43), Table 20 (p 44), Table 21 (p 45), Table 22 (p 45), Table 24 (p 46), Table 25 (p 46), Table 26 (p 47), Table 27 (p 47), Table 30 (p 49), Table 31 (p 49), Table 32 (p 50), Table 33 (p 50), Table 34 (p 50), Table 38 (p 52), Table 39 (p 53) of the submission</w:t>
      </w:r>
    </w:p>
    <w:p w:rsidR="00AF0F52" w:rsidRPr="00997765" w:rsidRDefault="00FF7B0E" w:rsidP="00AF0F52">
      <w:pPr>
        <w:pStyle w:val="COMBody"/>
        <w:ind w:left="709"/>
        <w:rPr>
          <w:rFonts w:ascii="Arial Narrow" w:hAnsi="Arial Narrow"/>
          <w:sz w:val="18"/>
        </w:rPr>
      </w:pPr>
      <w:proofErr w:type="gramStart"/>
      <w:r w:rsidRPr="00997765">
        <w:rPr>
          <w:rFonts w:ascii="Arial Narrow" w:hAnsi="Arial Narrow"/>
          <w:sz w:val="18"/>
          <w:vertAlign w:val="superscript"/>
        </w:rPr>
        <w:t>a</w:t>
      </w:r>
      <w:proofErr w:type="gramEnd"/>
      <w:r w:rsidRPr="00997765">
        <w:rPr>
          <w:rFonts w:ascii="Arial Narrow" w:hAnsi="Arial Narrow"/>
          <w:sz w:val="18"/>
        </w:rPr>
        <w:t xml:space="preserve"> Not estimated in submission. Approximated for the overview based on date-of-processing data for 1818Q (675 scripts) and 2395C (19,960 scripts) as well as PBS item statistic data for 7250N (15,648 scripts) from April 2014-March 2015. Extrapolated to later years using a 1% growth rate</w:t>
      </w:r>
      <w:r w:rsidR="00AF0F52" w:rsidRPr="00997765">
        <w:rPr>
          <w:rFonts w:ascii="Arial Narrow" w:hAnsi="Arial Narrow"/>
          <w:sz w:val="18"/>
        </w:rPr>
        <w:t xml:space="preserve"> </w:t>
      </w:r>
    </w:p>
    <w:p w:rsidR="006C4967" w:rsidRPr="00997765" w:rsidRDefault="00632E5A" w:rsidP="00417E7E">
      <w:pPr>
        <w:jc w:val="both"/>
        <w:rPr>
          <w:rFonts w:ascii="Arial Narrow" w:hAnsi="Arial Narrow"/>
          <w:sz w:val="18"/>
          <w:szCs w:val="18"/>
        </w:rPr>
      </w:pPr>
      <w:r w:rsidRPr="00997765">
        <w:rPr>
          <w:rFonts w:ascii="Arial" w:hAnsi="Arial"/>
          <w:color w:val="FF00FF"/>
          <w:sz w:val="22"/>
          <w:szCs w:val="22"/>
        </w:rPr>
        <w:tab/>
      </w:r>
      <w:proofErr w:type="gramStart"/>
      <w:r w:rsidR="00FF7B0E" w:rsidRPr="00997765">
        <w:rPr>
          <w:rFonts w:ascii="Arial Narrow" w:hAnsi="Arial Narrow"/>
          <w:sz w:val="18"/>
          <w:szCs w:val="18"/>
          <w:vertAlign w:val="superscript"/>
        </w:rPr>
        <w:t>b</w:t>
      </w:r>
      <w:proofErr w:type="gramEnd"/>
      <w:r w:rsidRPr="00997765">
        <w:rPr>
          <w:rFonts w:ascii="Arial Narrow" w:hAnsi="Arial Narrow"/>
          <w:sz w:val="18"/>
          <w:szCs w:val="18"/>
        </w:rPr>
        <w:t xml:space="preserve"> Error in the application of RPBS co-payments to PBS scripts</w:t>
      </w:r>
    </w:p>
    <w:p w:rsidR="003640B0" w:rsidRDefault="003640B0" w:rsidP="00417E7E">
      <w:pPr>
        <w:jc w:val="both"/>
        <w:rPr>
          <w:rFonts w:ascii="Arial Narrow" w:hAnsi="Arial Narrow"/>
          <w:sz w:val="18"/>
          <w:szCs w:val="18"/>
        </w:rPr>
      </w:pPr>
      <w:r w:rsidRPr="00997765">
        <w:rPr>
          <w:rFonts w:ascii="Arial Narrow" w:hAnsi="Arial Narrow"/>
          <w:sz w:val="18"/>
          <w:szCs w:val="18"/>
        </w:rPr>
        <w:tab/>
      </w:r>
      <w:proofErr w:type="gramStart"/>
      <w:r w:rsidR="00FF7B0E" w:rsidRPr="00997765">
        <w:rPr>
          <w:rFonts w:ascii="Arial Narrow" w:hAnsi="Arial Narrow"/>
          <w:sz w:val="18"/>
          <w:szCs w:val="18"/>
          <w:vertAlign w:val="superscript"/>
        </w:rPr>
        <w:t>c</w:t>
      </w:r>
      <w:proofErr w:type="gramEnd"/>
      <w:r w:rsidRPr="00997765">
        <w:rPr>
          <w:rFonts w:ascii="Arial Narrow" w:hAnsi="Arial Narrow"/>
          <w:sz w:val="18"/>
          <w:szCs w:val="18"/>
        </w:rPr>
        <w:t xml:space="preserve"> Based on November 2015 methotrexate pricing </w:t>
      </w:r>
    </w:p>
    <w:p w:rsidR="00010104" w:rsidRDefault="00010104" w:rsidP="00417E7E">
      <w:pPr>
        <w:jc w:val="both"/>
        <w:rPr>
          <w:rFonts w:ascii="Arial Narrow" w:hAnsi="Arial Narrow"/>
          <w:sz w:val="18"/>
          <w:szCs w:val="18"/>
        </w:rPr>
      </w:pPr>
    </w:p>
    <w:p w:rsidR="00010104" w:rsidRPr="00227897" w:rsidRDefault="00010104" w:rsidP="00227897">
      <w:pPr>
        <w:pStyle w:val="ListParagraph"/>
        <w:jc w:val="both"/>
        <w:rPr>
          <w:rFonts w:ascii="Arial" w:hAnsi="Arial"/>
          <w:sz w:val="22"/>
          <w:szCs w:val="22"/>
        </w:rPr>
      </w:pPr>
      <w:r w:rsidRPr="00227897">
        <w:rPr>
          <w:rFonts w:ascii="Arial" w:hAnsi="Arial"/>
          <w:sz w:val="22"/>
          <w:szCs w:val="22"/>
        </w:rPr>
        <w:t xml:space="preserve">The redacted table above shows that by year </w:t>
      </w:r>
      <w:r w:rsidR="00C2345E">
        <w:rPr>
          <w:rFonts w:ascii="Arial" w:hAnsi="Arial"/>
          <w:sz w:val="22"/>
          <w:szCs w:val="22"/>
        </w:rPr>
        <w:t>6</w:t>
      </w:r>
      <w:r w:rsidRPr="00227897">
        <w:rPr>
          <w:rFonts w:ascii="Arial" w:hAnsi="Arial"/>
          <w:sz w:val="22"/>
          <w:szCs w:val="22"/>
        </w:rPr>
        <w:t xml:space="preserve">, the estimated number of </w:t>
      </w:r>
      <w:r w:rsidR="00227897">
        <w:rPr>
          <w:rFonts w:ascii="Arial" w:hAnsi="Arial"/>
          <w:sz w:val="22"/>
          <w:szCs w:val="22"/>
        </w:rPr>
        <w:t>scripts</w:t>
      </w:r>
      <w:r w:rsidRPr="00227897">
        <w:rPr>
          <w:rFonts w:ascii="Arial" w:hAnsi="Arial"/>
          <w:sz w:val="22"/>
          <w:szCs w:val="22"/>
        </w:rPr>
        <w:t xml:space="preserve"> would be </w:t>
      </w:r>
      <w:r w:rsidR="00227897">
        <w:rPr>
          <w:rFonts w:ascii="Arial" w:hAnsi="Arial"/>
          <w:sz w:val="22"/>
          <w:szCs w:val="22"/>
        </w:rPr>
        <w:t>less than 10,000 and the net cost to PBS less than $10 million.</w:t>
      </w:r>
    </w:p>
    <w:p w:rsidR="003640B0" w:rsidRPr="00997765" w:rsidRDefault="003640B0" w:rsidP="00417E7E">
      <w:pPr>
        <w:jc w:val="both"/>
        <w:rPr>
          <w:rFonts w:ascii="Arial Narrow" w:hAnsi="Arial Narrow"/>
          <w:sz w:val="18"/>
          <w:szCs w:val="18"/>
        </w:rPr>
      </w:pPr>
    </w:p>
    <w:p w:rsidR="001C2E40" w:rsidRPr="00DB1449" w:rsidRDefault="00037FE3" w:rsidP="001C2E40">
      <w:pPr>
        <w:pStyle w:val="ListParagraph"/>
        <w:numPr>
          <w:ilvl w:val="1"/>
          <w:numId w:val="1"/>
        </w:numPr>
        <w:jc w:val="both"/>
        <w:rPr>
          <w:rFonts w:ascii="Arial" w:hAnsi="Arial"/>
          <w:sz w:val="22"/>
          <w:szCs w:val="22"/>
        </w:rPr>
      </w:pPr>
      <w:r w:rsidRPr="00997765">
        <w:rPr>
          <w:rFonts w:ascii="Arial" w:hAnsi="Arial"/>
          <w:sz w:val="22"/>
          <w:szCs w:val="22"/>
        </w:rPr>
        <w:t>The Pre-PBAC response presented revised financial estimates that corrected an error in application of RPBS co-payments to PBS scripts and include</w:t>
      </w:r>
      <w:r w:rsidR="0069491E" w:rsidRPr="00997765">
        <w:rPr>
          <w:rFonts w:ascii="Arial" w:hAnsi="Arial"/>
          <w:sz w:val="22"/>
          <w:szCs w:val="22"/>
        </w:rPr>
        <w:t>d</w:t>
      </w:r>
      <w:r w:rsidRPr="00997765">
        <w:rPr>
          <w:rFonts w:ascii="Arial" w:hAnsi="Arial"/>
          <w:sz w:val="22"/>
          <w:szCs w:val="22"/>
        </w:rPr>
        <w:t xml:space="preserve"> the additional compounding fee for EFC items.</w:t>
      </w:r>
      <w:r w:rsidR="00663F54" w:rsidRPr="00997765">
        <w:rPr>
          <w:rFonts w:ascii="Arial" w:hAnsi="Arial"/>
          <w:sz w:val="22"/>
          <w:szCs w:val="22"/>
        </w:rPr>
        <w:t xml:space="preserve"> </w:t>
      </w:r>
      <w:r w:rsidRPr="00997765">
        <w:rPr>
          <w:rFonts w:ascii="Arial" w:hAnsi="Arial"/>
          <w:sz w:val="22"/>
          <w:szCs w:val="22"/>
        </w:rPr>
        <w:t>This is summarised in table 1</w:t>
      </w:r>
      <w:r w:rsidR="009D25B0" w:rsidRPr="00997765">
        <w:rPr>
          <w:rFonts w:ascii="Arial" w:hAnsi="Arial"/>
          <w:sz w:val="22"/>
          <w:szCs w:val="22"/>
        </w:rPr>
        <w:t>5</w:t>
      </w:r>
      <w:r w:rsidRPr="00997765">
        <w:rPr>
          <w:rFonts w:ascii="Arial" w:hAnsi="Arial"/>
          <w:sz w:val="22"/>
          <w:szCs w:val="22"/>
        </w:rPr>
        <w:t>.</w:t>
      </w:r>
      <w:r w:rsidR="00663F54" w:rsidRPr="00997765">
        <w:rPr>
          <w:rFonts w:ascii="Arial" w:hAnsi="Arial"/>
          <w:sz w:val="22"/>
          <w:szCs w:val="22"/>
        </w:rPr>
        <w:t xml:space="preserve"> The response noted that the revised financial analysis project</w:t>
      </w:r>
      <w:r w:rsidR="0069491E" w:rsidRPr="00997765">
        <w:rPr>
          <w:rFonts w:ascii="Arial" w:hAnsi="Arial"/>
          <w:sz w:val="22"/>
          <w:szCs w:val="22"/>
        </w:rPr>
        <w:t>ed</w:t>
      </w:r>
      <w:r w:rsidR="00663F54" w:rsidRPr="00997765">
        <w:rPr>
          <w:rFonts w:ascii="Arial" w:hAnsi="Arial"/>
          <w:sz w:val="22"/>
          <w:szCs w:val="22"/>
        </w:rPr>
        <w:t xml:space="preserve"> a lower overall net cost to Government than presented in the submission and asserted that this net cost should be considered in the context of a significant improvement in quality use of medicines by reducing the risk of dose error, reducing cytotoxic exposure, and a considerable improvement to patient convenience.</w:t>
      </w:r>
    </w:p>
    <w:p w:rsidR="00FB59D7" w:rsidRPr="00997765" w:rsidRDefault="00FB59D7" w:rsidP="009D25B0">
      <w:pPr>
        <w:ind w:left="720"/>
        <w:jc w:val="both"/>
        <w:rPr>
          <w:rFonts w:ascii="Arial Narrow" w:hAnsi="Arial Narrow"/>
          <w:b/>
          <w:sz w:val="20"/>
        </w:rPr>
      </w:pPr>
    </w:p>
    <w:p w:rsidR="00037FE3" w:rsidRPr="00997765" w:rsidRDefault="00805FAD" w:rsidP="003B2998">
      <w:pPr>
        <w:ind w:firstLine="720"/>
        <w:jc w:val="both"/>
        <w:rPr>
          <w:rFonts w:ascii="Arial" w:hAnsi="Arial"/>
          <w:sz w:val="22"/>
          <w:szCs w:val="22"/>
        </w:rPr>
      </w:pPr>
      <w:r>
        <w:rPr>
          <w:rFonts w:ascii="Arial Narrow" w:hAnsi="Arial Narrow"/>
          <w:b/>
          <w:sz w:val="20"/>
        </w:rPr>
        <w:t xml:space="preserve">Table 15: </w:t>
      </w:r>
      <w:r w:rsidR="00FB59D7" w:rsidRPr="00997765">
        <w:rPr>
          <w:rFonts w:ascii="Arial Narrow" w:hAnsi="Arial Narrow"/>
          <w:b/>
          <w:sz w:val="20"/>
        </w:rPr>
        <w:t>Updated financial estimates</w:t>
      </w:r>
    </w:p>
    <w:tbl>
      <w:tblPr>
        <w:tblStyle w:val="TableGrid"/>
        <w:tblW w:w="8363" w:type="dxa"/>
        <w:tblInd w:w="817" w:type="dxa"/>
        <w:tblLayout w:type="fixed"/>
        <w:tblLook w:val="04A0" w:firstRow="1" w:lastRow="0" w:firstColumn="1" w:lastColumn="0" w:noHBand="0" w:noVBand="1"/>
        <w:tblCaption w:val="Table 15: Updated financial estimates"/>
      </w:tblPr>
      <w:tblGrid>
        <w:gridCol w:w="2552"/>
        <w:gridCol w:w="1134"/>
        <w:gridCol w:w="1134"/>
        <w:gridCol w:w="1275"/>
        <w:gridCol w:w="1134"/>
        <w:gridCol w:w="1134"/>
      </w:tblGrid>
      <w:tr w:rsidR="00037FE3" w:rsidRPr="00997765" w:rsidTr="00805FAD">
        <w:trPr>
          <w:trHeight w:val="285"/>
          <w:tblHeader/>
        </w:trPr>
        <w:tc>
          <w:tcPr>
            <w:tcW w:w="2552" w:type="dxa"/>
            <w:noWrap/>
            <w:hideMark/>
          </w:tcPr>
          <w:p w:rsidR="00037FE3" w:rsidRPr="00997765" w:rsidRDefault="00037FE3" w:rsidP="005B2D76">
            <w:pPr>
              <w:pStyle w:val="Table"/>
              <w:rPr>
                <w:rStyle w:val="SmallBold"/>
              </w:rPr>
            </w:pPr>
            <w:r w:rsidRPr="00997765">
              <w:rPr>
                <w:rStyle w:val="SmallBold"/>
              </w:rPr>
              <w:t> </w:t>
            </w:r>
          </w:p>
        </w:tc>
        <w:tc>
          <w:tcPr>
            <w:tcW w:w="1134" w:type="dxa"/>
            <w:vAlign w:val="bottom"/>
            <w:hideMark/>
          </w:tcPr>
          <w:p w:rsidR="00037FE3" w:rsidRPr="00997765" w:rsidRDefault="00037FE3" w:rsidP="005B2D76">
            <w:pPr>
              <w:jc w:val="center"/>
              <w:rPr>
                <w:rFonts w:ascii="Arial Narrow" w:hAnsi="Arial Narrow"/>
                <w:b/>
                <w:bCs/>
                <w:sz w:val="20"/>
              </w:rPr>
            </w:pPr>
            <w:r w:rsidRPr="00997765">
              <w:rPr>
                <w:rFonts w:ascii="Arial Narrow" w:hAnsi="Arial Narrow"/>
                <w:b/>
                <w:bCs/>
                <w:sz w:val="20"/>
              </w:rPr>
              <w:t>Year 2</w:t>
            </w:r>
          </w:p>
          <w:p w:rsidR="00037FE3" w:rsidRPr="00997765" w:rsidRDefault="00037FE3" w:rsidP="005B2D76">
            <w:pPr>
              <w:pStyle w:val="Table"/>
              <w:rPr>
                <w:rStyle w:val="SmallBold"/>
              </w:rPr>
            </w:pPr>
            <w:r w:rsidRPr="00997765">
              <w:rPr>
                <w:rFonts w:ascii="Arial Narrow" w:hAnsi="Arial Narrow"/>
                <w:b/>
                <w:bCs/>
              </w:rPr>
              <w:t>(Apr 2016-Mar 2017)</w:t>
            </w:r>
          </w:p>
        </w:tc>
        <w:tc>
          <w:tcPr>
            <w:tcW w:w="1134" w:type="dxa"/>
            <w:vAlign w:val="bottom"/>
            <w:hideMark/>
          </w:tcPr>
          <w:p w:rsidR="00037FE3" w:rsidRPr="00997765" w:rsidRDefault="00037FE3" w:rsidP="005B2D76">
            <w:pPr>
              <w:jc w:val="center"/>
              <w:rPr>
                <w:rFonts w:ascii="Arial Narrow" w:hAnsi="Arial Narrow"/>
                <w:b/>
                <w:bCs/>
                <w:sz w:val="20"/>
              </w:rPr>
            </w:pPr>
            <w:r w:rsidRPr="00997765">
              <w:rPr>
                <w:rFonts w:ascii="Arial Narrow" w:hAnsi="Arial Narrow"/>
                <w:b/>
                <w:bCs/>
                <w:sz w:val="20"/>
              </w:rPr>
              <w:t>Year 3</w:t>
            </w:r>
          </w:p>
          <w:p w:rsidR="00037FE3" w:rsidRPr="00997765" w:rsidRDefault="00037FE3" w:rsidP="005B2D76">
            <w:pPr>
              <w:pStyle w:val="Table"/>
              <w:rPr>
                <w:rStyle w:val="SmallBold"/>
              </w:rPr>
            </w:pPr>
            <w:r w:rsidRPr="00997765">
              <w:rPr>
                <w:rFonts w:ascii="Arial Narrow" w:hAnsi="Arial Narrow"/>
                <w:b/>
                <w:bCs/>
              </w:rPr>
              <w:t>(Apr 2017-Mar 2018)</w:t>
            </w:r>
          </w:p>
        </w:tc>
        <w:tc>
          <w:tcPr>
            <w:tcW w:w="1275" w:type="dxa"/>
            <w:vAlign w:val="bottom"/>
            <w:hideMark/>
          </w:tcPr>
          <w:p w:rsidR="00037FE3" w:rsidRPr="00997765" w:rsidRDefault="00037FE3" w:rsidP="005B2D76">
            <w:pPr>
              <w:jc w:val="center"/>
              <w:rPr>
                <w:rFonts w:ascii="Arial Narrow" w:hAnsi="Arial Narrow"/>
                <w:b/>
                <w:bCs/>
                <w:sz w:val="20"/>
              </w:rPr>
            </w:pPr>
            <w:r w:rsidRPr="00997765">
              <w:rPr>
                <w:rFonts w:ascii="Arial Narrow" w:hAnsi="Arial Narrow"/>
                <w:b/>
                <w:bCs/>
                <w:sz w:val="20"/>
              </w:rPr>
              <w:t>Year 4</w:t>
            </w:r>
          </w:p>
          <w:p w:rsidR="00037FE3" w:rsidRPr="00997765" w:rsidRDefault="00037FE3" w:rsidP="005B2D76">
            <w:pPr>
              <w:pStyle w:val="Table"/>
              <w:rPr>
                <w:rStyle w:val="SmallBold"/>
              </w:rPr>
            </w:pPr>
            <w:r w:rsidRPr="00997765">
              <w:rPr>
                <w:rFonts w:ascii="Arial Narrow" w:hAnsi="Arial Narrow"/>
                <w:b/>
                <w:bCs/>
              </w:rPr>
              <w:t>(Apr 2018-Mar 2019)</w:t>
            </w:r>
          </w:p>
        </w:tc>
        <w:tc>
          <w:tcPr>
            <w:tcW w:w="1134" w:type="dxa"/>
            <w:vAlign w:val="bottom"/>
            <w:hideMark/>
          </w:tcPr>
          <w:p w:rsidR="00037FE3" w:rsidRPr="00997765" w:rsidRDefault="00037FE3" w:rsidP="005B2D76">
            <w:pPr>
              <w:jc w:val="center"/>
              <w:rPr>
                <w:rFonts w:ascii="Arial Narrow" w:hAnsi="Arial Narrow"/>
                <w:b/>
                <w:bCs/>
                <w:sz w:val="20"/>
              </w:rPr>
            </w:pPr>
            <w:r w:rsidRPr="00997765">
              <w:rPr>
                <w:rFonts w:ascii="Arial Narrow" w:hAnsi="Arial Narrow"/>
                <w:b/>
                <w:bCs/>
                <w:sz w:val="20"/>
              </w:rPr>
              <w:t>Year 5</w:t>
            </w:r>
          </w:p>
          <w:p w:rsidR="00037FE3" w:rsidRPr="00997765" w:rsidRDefault="00037FE3" w:rsidP="005B2D76">
            <w:pPr>
              <w:pStyle w:val="Table"/>
              <w:rPr>
                <w:rStyle w:val="SmallBold"/>
              </w:rPr>
            </w:pPr>
            <w:r w:rsidRPr="00997765">
              <w:rPr>
                <w:rFonts w:ascii="Arial Narrow" w:hAnsi="Arial Narrow"/>
                <w:b/>
                <w:bCs/>
              </w:rPr>
              <w:t>(Apr 2019-Mar 2020)</w:t>
            </w:r>
          </w:p>
        </w:tc>
        <w:tc>
          <w:tcPr>
            <w:tcW w:w="1134" w:type="dxa"/>
            <w:vAlign w:val="bottom"/>
            <w:hideMark/>
          </w:tcPr>
          <w:p w:rsidR="00037FE3" w:rsidRPr="00997765" w:rsidRDefault="00037FE3" w:rsidP="005B2D76">
            <w:pPr>
              <w:jc w:val="center"/>
              <w:rPr>
                <w:rFonts w:ascii="Arial Narrow" w:hAnsi="Arial Narrow"/>
                <w:b/>
                <w:bCs/>
                <w:sz w:val="20"/>
              </w:rPr>
            </w:pPr>
            <w:r w:rsidRPr="00997765">
              <w:rPr>
                <w:rFonts w:ascii="Arial Narrow" w:hAnsi="Arial Narrow"/>
                <w:b/>
                <w:bCs/>
                <w:sz w:val="20"/>
              </w:rPr>
              <w:t>Year 6</w:t>
            </w:r>
          </w:p>
          <w:p w:rsidR="00037FE3" w:rsidRPr="00997765" w:rsidRDefault="00037FE3" w:rsidP="005B2D76">
            <w:pPr>
              <w:pStyle w:val="Table"/>
              <w:rPr>
                <w:rStyle w:val="SmallBold"/>
              </w:rPr>
            </w:pPr>
            <w:r w:rsidRPr="00997765">
              <w:rPr>
                <w:rFonts w:ascii="Arial Narrow" w:hAnsi="Arial Narrow"/>
                <w:b/>
                <w:bCs/>
              </w:rPr>
              <w:t>(Apr 2020-Mar 2021)</w:t>
            </w:r>
          </w:p>
        </w:tc>
      </w:tr>
      <w:tr w:rsidR="00037FE3" w:rsidRPr="00997765" w:rsidTr="009D25B0">
        <w:trPr>
          <w:trHeight w:val="450"/>
        </w:trPr>
        <w:tc>
          <w:tcPr>
            <w:tcW w:w="2552" w:type="dxa"/>
            <w:hideMark/>
          </w:tcPr>
          <w:p w:rsidR="00037FE3" w:rsidRPr="00997765" w:rsidRDefault="00037FE3" w:rsidP="00C855D3">
            <w:pPr>
              <w:pStyle w:val="Table"/>
              <w:rPr>
                <w:rFonts w:ascii="Arial Narrow" w:hAnsi="Arial Narrow"/>
                <w:b/>
              </w:rPr>
            </w:pPr>
            <w:r w:rsidRPr="00997765">
              <w:rPr>
                <w:rFonts w:ascii="Arial Narrow" w:hAnsi="Arial Narrow"/>
                <w:b/>
              </w:rPr>
              <w:t>Overall net cost to the PBS</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275"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037FE3" w:rsidRPr="00997765" w:rsidTr="009D25B0">
        <w:trPr>
          <w:trHeight w:val="285"/>
        </w:trPr>
        <w:tc>
          <w:tcPr>
            <w:tcW w:w="2552" w:type="dxa"/>
            <w:hideMark/>
          </w:tcPr>
          <w:p w:rsidR="00037FE3" w:rsidRPr="00997765" w:rsidRDefault="00037FE3" w:rsidP="00C855D3">
            <w:pPr>
              <w:pStyle w:val="Table"/>
              <w:rPr>
                <w:rFonts w:ascii="Arial Narrow" w:hAnsi="Arial Narrow"/>
                <w:b/>
              </w:rPr>
            </w:pPr>
            <w:r w:rsidRPr="00997765">
              <w:rPr>
                <w:rFonts w:ascii="Arial Narrow" w:hAnsi="Arial Narrow"/>
                <w:b/>
              </w:rPr>
              <w:t>Overall net cost to the RPBS</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275"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037FE3" w:rsidRPr="00997765" w:rsidTr="009D25B0">
        <w:trPr>
          <w:trHeight w:val="285"/>
        </w:trPr>
        <w:tc>
          <w:tcPr>
            <w:tcW w:w="2552" w:type="dxa"/>
            <w:hideMark/>
          </w:tcPr>
          <w:p w:rsidR="00037FE3" w:rsidRPr="00997765" w:rsidRDefault="00037FE3" w:rsidP="00C855D3">
            <w:pPr>
              <w:pStyle w:val="Table"/>
              <w:rPr>
                <w:rFonts w:ascii="Arial Narrow" w:hAnsi="Arial Narrow"/>
                <w:b/>
              </w:rPr>
            </w:pPr>
            <w:r w:rsidRPr="00997765">
              <w:rPr>
                <w:rFonts w:ascii="Arial Narrow" w:hAnsi="Arial Narrow"/>
                <w:b/>
              </w:rPr>
              <w:t>Overall net cost for MBS</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275"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037FE3" w:rsidRPr="00997765" w:rsidTr="009D25B0">
        <w:trPr>
          <w:trHeight w:val="285"/>
        </w:trPr>
        <w:tc>
          <w:tcPr>
            <w:tcW w:w="2552" w:type="dxa"/>
            <w:hideMark/>
          </w:tcPr>
          <w:p w:rsidR="00037FE3" w:rsidRPr="00997765" w:rsidRDefault="00037FE3" w:rsidP="00C855D3">
            <w:pPr>
              <w:pStyle w:val="Table"/>
              <w:rPr>
                <w:rFonts w:ascii="Arial Narrow" w:hAnsi="Arial Narrow"/>
                <w:b/>
              </w:rPr>
            </w:pPr>
            <w:r w:rsidRPr="00997765">
              <w:rPr>
                <w:rFonts w:ascii="Arial Narrow" w:hAnsi="Arial Narrow"/>
                <w:b/>
              </w:rPr>
              <w:t>Net cost to government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275"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037FE3" w:rsidRPr="00997765" w:rsidRDefault="00037FE3" w:rsidP="009D25B0">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bl>
    <w:p w:rsidR="00037FE3" w:rsidRDefault="00663F54" w:rsidP="003B2998">
      <w:pPr>
        <w:ind w:firstLine="720"/>
        <w:jc w:val="both"/>
        <w:rPr>
          <w:rFonts w:ascii="Arial Narrow" w:hAnsi="Arial Narrow"/>
          <w:sz w:val="18"/>
        </w:rPr>
      </w:pPr>
      <w:r w:rsidRPr="00997765">
        <w:rPr>
          <w:rFonts w:ascii="Arial Narrow" w:hAnsi="Arial Narrow"/>
          <w:sz w:val="18"/>
        </w:rPr>
        <w:t xml:space="preserve">Source: Table 2 (page 4) of the Pre-PBAC response </w:t>
      </w:r>
    </w:p>
    <w:p w:rsidR="00C2345E" w:rsidRDefault="00C2345E" w:rsidP="003B2998">
      <w:pPr>
        <w:ind w:firstLine="720"/>
        <w:jc w:val="both"/>
        <w:rPr>
          <w:rFonts w:ascii="Arial Narrow" w:hAnsi="Arial Narrow"/>
          <w:sz w:val="18"/>
        </w:rPr>
      </w:pPr>
    </w:p>
    <w:p w:rsidR="00C2345E" w:rsidRDefault="00C2345E" w:rsidP="00C2345E">
      <w:pPr>
        <w:pStyle w:val="ListParagraph"/>
        <w:jc w:val="both"/>
        <w:rPr>
          <w:rFonts w:ascii="Arial" w:hAnsi="Arial"/>
          <w:sz w:val="22"/>
          <w:szCs w:val="22"/>
        </w:rPr>
      </w:pPr>
      <w:r w:rsidRPr="00227897">
        <w:rPr>
          <w:rFonts w:ascii="Arial" w:hAnsi="Arial"/>
          <w:sz w:val="22"/>
          <w:szCs w:val="22"/>
        </w:rPr>
        <w:t xml:space="preserve">The redacted table above shows that by year </w:t>
      </w:r>
      <w:r>
        <w:rPr>
          <w:rFonts w:ascii="Arial" w:hAnsi="Arial"/>
          <w:sz w:val="22"/>
          <w:szCs w:val="22"/>
        </w:rPr>
        <w:t>6</w:t>
      </w:r>
      <w:r w:rsidRPr="00227897">
        <w:rPr>
          <w:rFonts w:ascii="Arial" w:hAnsi="Arial"/>
          <w:sz w:val="22"/>
          <w:szCs w:val="22"/>
        </w:rPr>
        <w:t xml:space="preserve">, </w:t>
      </w:r>
      <w:r>
        <w:rPr>
          <w:rFonts w:ascii="Arial" w:hAnsi="Arial"/>
          <w:sz w:val="22"/>
          <w:szCs w:val="22"/>
        </w:rPr>
        <w:t>net cost to PBS less than $10 million.</w:t>
      </w:r>
    </w:p>
    <w:p w:rsidR="00C2345E" w:rsidRPr="00227897" w:rsidRDefault="00C2345E" w:rsidP="00C2345E">
      <w:pPr>
        <w:pStyle w:val="ListParagraph"/>
        <w:jc w:val="both"/>
        <w:rPr>
          <w:rFonts w:ascii="Arial" w:hAnsi="Arial"/>
          <w:sz w:val="22"/>
          <w:szCs w:val="22"/>
        </w:rPr>
      </w:pPr>
    </w:p>
    <w:p w:rsidR="00037FE3" w:rsidRDefault="009C2EC7" w:rsidP="009C2EC7">
      <w:pPr>
        <w:pStyle w:val="ListParagraph"/>
        <w:numPr>
          <w:ilvl w:val="1"/>
          <w:numId w:val="1"/>
        </w:numPr>
        <w:jc w:val="both"/>
        <w:rPr>
          <w:rFonts w:ascii="Arial" w:hAnsi="Arial"/>
          <w:sz w:val="22"/>
          <w:szCs w:val="22"/>
        </w:rPr>
      </w:pPr>
      <w:r w:rsidRPr="009C2EC7">
        <w:rPr>
          <w:rFonts w:ascii="Arial" w:hAnsi="Arial"/>
          <w:sz w:val="22"/>
          <w:szCs w:val="22"/>
        </w:rPr>
        <w:t xml:space="preserve">The save to the MBS was driven entirely by reduction in GP visits. </w:t>
      </w:r>
      <w:r w:rsidR="0058749A">
        <w:rPr>
          <w:rFonts w:ascii="Arial" w:hAnsi="Arial"/>
          <w:sz w:val="22"/>
          <w:szCs w:val="22"/>
        </w:rPr>
        <w:t>While a reduction in GP visits can be included in the calculation in the economic impact of listing a new medicine, it is not a valid offset in the financial modelling.</w:t>
      </w:r>
      <w:r w:rsidR="00F17707">
        <w:rPr>
          <w:rFonts w:ascii="Arial" w:hAnsi="Arial"/>
          <w:sz w:val="22"/>
          <w:szCs w:val="22"/>
        </w:rPr>
        <w:t xml:space="preserve"> The GP system operates at capacity at all times</w:t>
      </w:r>
      <w:r w:rsidR="008A0F8C">
        <w:rPr>
          <w:rFonts w:ascii="Arial" w:hAnsi="Arial"/>
          <w:sz w:val="22"/>
          <w:szCs w:val="22"/>
        </w:rPr>
        <w:t>;</w:t>
      </w:r>
      <w:r w:rsidR="00F17707">
        <w:rPr>
          <w:rFonts w:ascii="Arial" w:hAnsi="Arial"/>
          <w:sz w:val="22"/>
          <w:szCs w:val="22"/>
        </w:rPr>
        <w:t xml:space="preserve"> if visit</w:t>
      </w:r>
      <w:r w:rsidR="008A0F8C">
        <w:rPr>
          <w:rFonts w:ascii="Arial" w:hAnsi="Arial"/>
          <w:sz w:val="22"/>
          <w:szCs w:val="22"/>
        </w:rPr>
        <w:t>s are reduced for one group, their</w:t>
      </w:r>
      <w:r w:rsidR="00F17707">
        <w:rPr>
          <w:rFonts w:ascii="Arial" w:hAnsi="Arial"/>
          <w:sz w:val="22"/>
          <w:szCs w:val="22"/>
        </w:rPr>
        <w:t xml:space="preserve"> consultations will be utilised by other demand within the community.</w:t>
      </w:r>
      <w:r>
        <w:t xml:space="preserve"> </w:t>
      </w:r>
      <w:r w:rsidRPr="009C2EC7">
        <w:rPr>
          <w:rFonts w:ascii="Arial" w:hAnsi="Arial"/>
          <w:sz w:val="22"/>
          <w:szCs w:val="22"/>
        </w:rPr>
        <w:t xml:space="preserve">Table 16 presents the revised financial estimates excluding the MBS savings </w:t>
      </w:r>
      <w:r w:rsidR="00344D9B">
        <w:rPr>
          <w:rFonts w:ascii="Arial" w:hAnsi="Arial"/>
          <w:sz w:val="22"/>
          <w:szCs w:val="22"/>
        </w:rPr>
        <w:t>associated with</w:t>
      </w:r>
      <w:r w:rsidRPr="009C2EC7">
        <w:rPr>
          <w:rFonts w:ascii="Arial" w:hAnsi="Arial"/>
          <w:sz w:val="22"/>
          <w:szCs w:val="22"/>
        </w:rPr>
        <w:t xml:space="preserve"> reduced GP visits. </w:t>
      </w:r>
    </w:p>
    <w:p w:rsidR="009C2EC7" w:rsidRDefault="009C2EC7" w:rsidP="009C2EC7">
      <w:pPr>
        <w:ind w:left="720"/>
        <w:jc w:val="both"/>
        <w:rPr>
          <w:rFonts w:ascii="Arial" w:hAnsi="Arial"/>
          <w:sz w:val="22"/>
          <w:szCs w:val="22"/>
        </w:rPr>
      </w:pPr>
    </w:p>
    <w:p w:rsidR="009C2EC7" w:rsidRPr="00997765" w:rsidRDefault="009C2EC7" w:rsidP="009C2EC7">
      <w:pPr>
        <w:ind w:firstLine="720"/>
        <w:jc w:val="both"/>
        <w:rPr>
          <w:rFonts w:ascii="Arial" w:hAnsi="Arial"/>
          <w:sz w:val="22"/>
          <w:szCs w:val="22"/>
        </w:rPr>
      </w:pPr>
      <w:r>
        <w:rPr>
          <w:rFonts w:ascii="Arial Narrow" w:hAnsi="Arial Narrow"/>
          <w:b/>
          <w:sz w:val="20"/>
        </w:rPr>
        <w:t>Table 16</w:t>
      </w:r>
      <w:r w:rsidR="00805FAD">
        <w:rPr>
          <w:rFonts w:ascii="Arial Narrow" w:hAnsi="Arial Narrow"/>
          <w:b/>
          <w:sz w:val="20"/>
        </w:rPr>
        <w:t xml:space="preserve">: </w:t>
      </w:r>
      <w:r w:rsidRPr="00997765">
        <w:rPr>
          <w:rFonts w:ascii="Arial Narrow" w:hAnsi="Arial Narrow"/>
          <w:b/>
          <w:sz w:val="20"/>
        </w:rPr>
        <w:t>Updated financial estimates</w:t>
      </w:r>
      <w:r>
        <w:rPr>
          <w:rFonts w:ascii="Arial Narrow" w:hAnsi="Arial Narrow"/>
          <w:b/>
          <w:sz w:val="20"/>
        </w:rPr>
        <w:t xml:space="preserve"> excluding MBS savings</w:t>
      </w:r>
    </w:p>
    <w:tbl>
      <w:tblPr>
        <w:tblStyle w:val="TableGrid"/>
        <w:tblW w:w="8363" w:type="dxa"/>
        <w:tblInd w:w="817" w:type="dxa"/>
        <w:tblLayout w:type="fixed"/>
        <w:tblLook w:val="04A0" w:firstRow="1" w:lastRow="0" w:firstColumn="1" w:lastColumn="0" w:noHBand="0" w:noVBand="1"/>
        <w:tblCaption w:val="Table 16: Updated financial estimates excluding MBS savings"/>
      </w:tblPr>
      <w:tblGrid>
        <w:gridCol w:w="2552"/>
        <w:gridCol w:w="1134"/>
        <w:gridCol w:w="1134"/>
        <w:gridCol w:w="1275"/>
        <w:gridCol w:w="1134"/>
        <w:gridCol w:w="1134"/>
      </w:tblGrid>
      <w:tr w:rsidR="009C2EC7" w:rsidRPr="00997765" w:rsidTr="00805FAD">
        <w:trPr>
          <w:trHeight w:val="285"/>
          <w:tblHeader/>
        </w:trPr>
        <w:tc>
          <w:tcPr>
            <w:tcW w:w="2552" w:type="dxa"/>
            <w:noWrap/>
            <w:hideMark/>
          </w:tcPr>
          <w:p w:rsidR="009C2EC7" w:rsidRPr="00997765" w:rsidRDefault="009C2EC7" w:rsidP="00494A3A">
            <w:pPr>
              <w:pStyle w:val="Table"/>
              <w:rPr>
                <w:rStyle w:val="SmallBold"/>
              </w:rPr>
            </w:pPr>
            <w:r w:rsidRPr="00997765">
              <w:rPr>
                <w:rStyle w:val="SmallBold"/>
              </w:rPr>
              <w:t> </w:t>
            </w:r>
          </w:p>
        </w:tc>
        <w:tc>
          <w:tcPr>
            <w:tcW w:w="1134" w:type="dxa"/>
            <w:vAlign w:val="bottom"/>
            <w:hideMark/>
          </w:tcPr>
          <w:p w:rsidR="009C2EC7" w:rsidRPr="00997765" w:rsidRDefault="009C2EC7" w:rsidP="00494A3A">
            <w:pPr>
              <w:jc w:val="center"/>
              <w:rPr>
                <w:rFonts w:ascii="Arial Narrow" w:hAnsi="Arial Narrow"/>
                <w:b/>
                <w:bCs/>
                <w:sz w:val="20"/>
              </w:rPr>
            </w:pPr>
            <w:r w:rsidRPr="00997765">
              <w:rPr>
                <w:rFonts w:ascii="Arial Narrow" w:hAnsi="Arial Narrow"/>
                <w:b/>
                <w:bCs/>
                <w:sz w:val="20"/>
              </w:rPr>
              <w:t>Year 2</w:t>
            </w:r>
          </w:p>
          <w:p w:rsidR="009C2EC7" w:rsidRPr="00997765" w:rsidRDefault="009C2EC7" w:rsidP="00494A3A">
            <w:pPr>
              <w:pStyle w:val="Table"/>
              <w:rPr>
                <w:rStyle w:val="SmallBold"/>
              </w:rPr>
            </w:pPr>
            <w:r w:rsidRPr="00997765">
              <w:rPr>
                <w:rFonts w:ascii="Arial Narrow" w:hAnsi="Arial Narrow"/>
                <w:b/>
                <w:bCs/>
              </w:rPr>
              <w:t>(Apr 2016-Mar 2017)</w:t>
            </w:r>
          </w:p>
        </w:tc>
        <w:tc>
          <w:tcPr>
            <w:tcW w:w="1134" w:type="dxa"/>
            <w:vAlign w:val="bottom"/>
            <w:hideMark/>
          </w:tcPr>
          <w:p w:rsidR="009C2EC7" w:rsidRPr="00997765" w:rsidRDefault="009C2EC7" w:rsidP="00494A3A">
            <w:pPr>
              <w:jc w:val="center"/>
              <w:rPr>
                <w:rFonts w:ascii="Arial Narrow" w:hAnsi="Arial Narrow"/>
                <w:b/>
                <w:bCs/>
                <w:sz w:val="20"/>
              </w:rPr>
            </w:pPr>
            <w:r w:rsidRPr="00997765">
              <w:rPr>
                <w:rFonts w:ascii="Arial Narrow" w:hAnsi="Arial Narrow"/>
                <w:b/>
                <w:bCs/>
                <w:sz w:val="20"/>
              </w:rPr>
              <w:t>Year 3</w:t>
            </w:r>
          </w:p>
          <w:p w:rsidR="009C2EC7" w:rsidRPr="00997765" w:rsidRDefault="009C2EC7" w:rsidP="00494A3A">
            <w:pPr>
              <w:pStyle w:val="Table"/>
              <w:rPr>
                <w:rStyle w:val="SmallBold"/>
              </w:rPr>
            </w:pPr>
            <w:r w:rsidRPr="00997765">
              <w:rPr>
                <w:rFonts w:ascii="Arial Narrow" w:hAnsi="Arial Narrow"/>
                <w:b/>
                <w:bCs/>
              </w:rPr>
              <w:t>(Apr 2017-Mar 2018)</w:t>
            </w:r>
          </w:p>
        </w:tc>
        <w:tc>
          <w:tcPr>
            <w:tcW w:w="1275" w:type="dxa"/>
            <w:vAlign w:val="bottom"/>
            <w:hideMark/>
          </w:tcPr>
          <w:p w:rsidR="009C2EC7" w:rsidRPr="00997765" w:rsidRDefault="009C2EC7" w:rsidP="00494A3A">
            <w:pPr>
              <w:jc w:val="center"/>
              <w:rPr>
                <w:rFonts w:ascii="Arial Narrow" w:hAnsi="Arial Narrow"/>
                <w:b/>
                <w:bCs/>
                <w:sz w:val="20"/>
              </w:rPr>
            </w:pPr>
            <w:r w:rsidRPr="00997765">
              <w:rPr>
                <w:rFonts w:ascii="Arial Narrow" w:hAnsi="Arial Narrow"/>
                <w:b/>
                <w:bCs/>
                <w:sz w:val="20"/>
              </w:rPr>
              <w:t>Year 4</w:t>
            </w:r>
          </w:p>
          <w:p w:rsidR="009C2EC7" w:rsidRPr="00997765" w:rsidRDefault="009C2EC7" w:rsidP="00494A3A">
            <w:pPr>
              <w:pStyle w:val="Table"/>
              <w:rPr>
                <w:rStyle w:val="SmallBold"/>
              </w:rPr>
            </w:pPr>
            <w:r w:rsidRPr="00997765">
              <w:rPr>
                <w:rFonts w:ascii="Arial Narrow" w:hAnsi="Arial Narrow"/>
                <w:b/>
                <w:bCs/>
              </w:rPr>
              <w:t>(Apr 2018-Mar 2019)</w:t>
            </w:r>
          </w:p>
        </w:tc>
        <w:tc>
          <w:tcPr>
            <w:tcW w:w="1134" w:type="dxa"/>
            <w:vAlign w:val="bottom"/>
            <w:hideMark/>
          </w:tcPr>
          <w:p w:rsidR="009C2EC7" w:rsidRPr="00997765" w:rsidRDefault="009C2EC7" w:rsidP="00494A3A">
            <w:pPr>
              <w:jc w:val="center"/>
              <w:rPr>
                <w:rFonts w:ascii="Arial Narrow" w:hAnsi="Arial Narrow"/>
                <w:b/>
                <w:bCs/>
                <w:sz w:val="20"/>
              </w:rPr>
            </w:pPr>
            <w:r w:rsidRPr="00997765">
              <w:rPr>
                <w:rFonts w:ascii="Arial Narrow" w:hAnsi="Arial Narrow"/>
                <w:b/>
                <w:bCs/>
                <w:sz w:val="20"/>
              </w:rPr>
              <w:t>Year 5</w:t>
            </w:r>
          </w:p>
          <w:p w:rsidR="009C2EC7" w:rsidRPr="00997765" w:rsidRDefault="009C2EC7" w:rsidP="00494A3A">
            <w:pPr>
              <w:pStyle w:val="Table"/>
              <w:rPr>
                <w:rStyle w:val="SmallBold"/>
              </w:rPr>
            </w:pPr>
            <w:r w:rsidRPr="00997765">
              <w:rPr>
                <w:rFonts w:ascii="Arial Narrow" w:hAnsi="Arial Narrow"/>
                <w:b/>
                <w:bCs/>
              </w:rPr>
              <w:t>(Apr 2019-Mar 2020)</w:t>
            </w:r>
          </w:p>
        </w:tc>
        <w:tc>
          <w:tcPr>
            <w:tcW w:w="1134" w:type="dxa"/>
            <w:vAlign w:val="bottom"/>
            <w:hideMark/>
          </w:tcPr>
          <w:p w:rsidR="009C2EC7" w:rsidRPr="00997765" w:rsidRDefault="009C2EC7" w:rsidP="00494A3A">
            <w:pPr>
              <w:jc w:val="center"/>
              <w:rPr>
                <w:rFonts w:ascii="Arial Narrow" w:hAnsi="Arial Narrow"/>
                <w:b/>
                <w:bCs/>
                <w:sz w:val="20"/>
              </w:rPr>
            </w:pPr>
            <w:r w:rsidRPr="00997765">
              <w:rPr>
                <w:rFonts w:ascii="Arial Narrow" w:hAnsi="Arial Narrow"/>
                <w:b/>
                <w:bCs/>
                <w:sz w:val="20"/>
              </w:rPr>
              <w:t>Year 6</w:t>
            </w:r>
          </w:p>
          <w:p w:rsidR="009C2EC7" w:rsidRPr="00997765" w:rsidRDefault="009C2EC7" w:rsidP="00494A3A">
            <w:pPr>
              <w:pStyle w:val="Table"/>
              <w:rPr>
                <w:rStyle w:val="SmallBold"/>
              </w:rPr>
            </w:pPr>
            <w:r w:rsidRPr="00997765">
              <w:rPr>
                <w:rFonts w:ascii="Arial Narrow" w:hAnsi="Arial Narrow"/>
                <w:b/>
                <w:bCs/>
              </w:rPr>
              <w:t>(Apr 2020-Mar 2021)</w:t>
            </w:r>
          </w:p>
        </w:tc>
      </w:tr>
      <w:tr w:rsidR="009C2EC7" w:rsidRPr="00997765" w:rsidTr="00494A3A">
        <w:trPr>
          <w:trHeight w:val="450"/>
        </w:trPr>
        <w:tc>
          <w:tcPr>
            <w:tcW w:w="2552" w:type="dxa"/>
            <w:hideMark/>
          </w:tcPr>
          <w:p w:rsidR="009C2EC7" w:rsidRPr="00997765" w:rsidRDefault="009C2EC7" w:rsidP="00494A3A">
            <w:pPr>
              <w:pStyle w:val="Table"/>
              <w:rPr>
                <w:rFonts w:ascii="Arial Narrow" w:hAnsi="Arial Narrow"/>
                <w:b/>
              </w:rPr>
            </w:pPr>
            <w:r w:rsidRPr="00997765">
              <w:rPr>
                <w:rFonts w:ascii="Arial Narrow" w:hAnsi="Arial Narrow"/>
                <w:b/>
              </w:rPr>
              <w:t>Overall net cost to the PBS</w:t>
            </w:r>
          </w:p>
        </w:tc>
        <w:tc>
          <w:tcPr>
            <w:tcW w:w="1134"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275"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9C2EC7" w:rsidRPr="00997765" w:rsidTr="00494A3A">
        <w:trPr>
          <w:trHeight w:val="285"/>
        </w:trPr>
        <w:tc>
          <w:tcPr>
            <w:tcW w:w="2552" w:type="dxa"/>
            <w:hideMark/>
          </w:tcPr>
          <w:p w:rsidR="009C2EC7" w:rsidRPr="00997765" w:rsidRDefault="009C2EC7" w:rsidP="00494A3A">
            <w:pPr>
              <w:pStyle w:val="Table"/>
              <w:rPr>
                <w:rFonts w:ascii="Arial Narrow" w:hAnsi="Arial Narrow"/>
                <w:b/>
              </w:rPr>
            </w:pPr>
            <w:r w:rsidRPr="00997765">
              <w:rPr>
                <w:rFonts w:ascii="Arial Narrow" w:hAnsi="Arial Narrow"/>
                <w:b/>
              </w:rPr>
              <w:t>Overall net cost to the RPBS</w:t>
            </w:r>
          </w:p>
        </w:tc>
        <w:tc>
          <w:tcPr>
            <w:tcW w:w="1134"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275"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494A3A">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9C2EC7" w:rsidRPr="00997765" w:rsidTr="00494A3A">
        <w:trPr>
          <w:trHeight w:val="285"/>
        </w:trPr>
        <w:tc>
          <w:tcPr>
            <w:tcW w:w="2552" w:type="dxa"/>
            <w:hideMark/>
          </w:tcPr>
          <w:p w:rsidR="009C2EC7" w:rsidRPr="00997765" w:rsidRDefault="009C2EC7" w:rsidP="00494A3A">
            <w:pPr>
              <w:pStyle w:val="Table"/>
              <w:rPr>
                <w:rFonts w:ascii="Arial Narrow" w:hAnsi="Arial Narrow"/>
                <w:b/>
              </w:rPr>
            </w:pPr>
            <w:r w:rsidRPr="00997765">
              <w:rPr>
                <w:rFonts w:ascii="Arial Narrow" w:hAnsi="Arial Narrow"/>
                <w:b/>
              </w:rPr>
              <w:t>Net cost to government</w:t>
            </w:r>
          </w:p>
        </w:tc>
        <w:tc>
          <w:tcPr>
            <w:tcW w:w="1134" w:type="dxa"/>
            <w:noWrap/>
            <w:hideMark/>
          </w:tcPr>
          <w:p w:rsidR="009C2EC7" w:rsidRPr="00997765" w:rsidRDefault="009C2EC7" w:rsidP="00344D9B">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344D9B">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275" w:type="dxa"/>
            <w:noWrap/>
            <w:hideMark/>
          </w:tcPr>
          <w:p w:rsidR="009C2EC7" w:rsidRPr="00997765" w:rsidRDefault="009C2EC7" w:rsidP="00344D9B">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344D9B">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1134" w:type="dxa"/>
            <w:noWrap/>
            <w:hideMark/>
          </w:tcPr>
          <w:p w:rsidR="009C2EC7" w:rsidRPr="00997765" w:rsidRDefault="009C2EC7" w:rsidP="00344D9B">
            <w:pPr>
              <w:pStyle w:val="TableRight"/>
              <w:jc w:val="center"/>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bl>
    <w:p w:rsidR="009C2EC7" w:rsidRPr="009C2EC7" w:rsidRDefault="009C2EC7" w:rsidP="009C2EC7">
      <w:pPr>
        <w:jc w:val="both"/>
        <w:rPr>
          <w:rFonts w:ascii="Arial" w:hAnsi="Arial"/>
          <w:sz w:val="22"/>
          <w:szCs w:val="22"/>
        </w:rPr>
      </w:pPr>
    </w:p>
    <w:p w:rsidR="00703C35" w:rsidRDefault="00703C35" w:rsidP="00703C35">
      <w:pPr>
        <w:pStyle w:val="ListParagraph"/>
        <w:jc w:val="both"/>
        <w:rPr>
          <w:rFonts w:ascii="Arial" w:hAnsi="Arial"/>
          <w:sz w:val="22"/>
          <w:szCs w:val="22"/>
        </w:rPr>
      </w:pPr>
      <w:r w:rsidRPr="00227897">
        <w:rPr>
          <w:rFonts w:ascii="Arial" w:hAnsi="Arial"/>
          <w:sz w:val="22"/>
          <w:szCs w:val="22"/>
        </w:rPr>
        <w:lastRenderedPageBreak/>
        <w:t xml:space="preserve">The redacted table above shows that by year </w:t>
      </w:r>
      <w:r>
        <w:rPr>
          <w:rFonts w:ascii="Arial" w:hAnsi="Arial"/>
          <w:sz w:val="22"/>
          <w:szCs w:val="22"/>
        </w:rPr>
        <w:t>6</w:t>
      </w:r>
      <w:r w:rsidRPr="00227897">
        <w:rPr>
          <w:rFonts w:ascii="Arial" w:hAnsi="Arial"/>
          <w:sz w:val="22"/>
          <w:szCs w:val="22"/>
        </w:rPr>
        <w:t xml:space="preserve">, </w:t>
      </w:r>
      <w:r>
        <w:rPr>
          <w:rFonts w:ascii="Arial" w:hAnsi="Arial"/>
          <w:sz w:val="22"/>
          <w:szCs w:val="22"/>
        </w:rPr>
        <w:t>net cost to PBS less than $10 million.</w:t>
      </w:r>
    </w:p>
    <w:p w:rsidR="00037FE3" w:rsidRPr="00997765" w:rsidRDefault="00037FE3" w:rsidP="009D25B0">
      <w:pPr>
        <w:pStyle w:val="ListParagraph"/>
        <w:jc w:val="both"/>
        <w:rPr>
          <w:rFonts w:ascii="Arial" w:hAnsi="Arial"/>
          <w:sz w:val="22"/>
          <w:szCs w:val="22"/>
        </w:rPr>
      </w:pPr>
    </w:p>
    <w:p w:rsidR="00A71C1A" w:rsidRPr="00DB1449" w:rsidRDefault="009C2EC7" w:rsidP="006C4967">
      <w:pPr>
        <w:pStyle w:val="ListParagraph"/>
        <w:numPr>
          <w:ilvl w:val="1"/>
          <w:numId w:val="1"/>
        </w:numPr>
        <w:jc w:val="both"/>
        <w:rPr>
          <w:rFonts w:ascii="Arial" w:hAnsi="Arial"/>
          <w:sz w:val="22"/>
          <w:szCs w:val="22"/>
        </w:rPr>
      </w:pPr>
      <w:r>
        <w:rPr>
          <w:rFonts w:ascii="Arial" w:hAnsi="Arial"/>
          <w:sz w:val="22"/>
          <w:szCs w:val="22"/>
        </w:rPr>
        <w:t>According to the revised financial estimates</w:t>
      </w:r>
      <w:r w:rsidR="00DB1449">
        <w:rPr>
          <w:rFonts w:ascii="Arial" w:hAnsi="Arial"/>
          <w:sz w:val="22"/>
          <w:szCs w:val="22"/>
        </w:rPr>
        <w:t xml:space="preserve"> (excluding reduction in GP visits)</w:t>
      </w:r>
      <w:r>
        <w:rPr>
          <w:rFonts w:ascii="Arial" w:hAnsi="Arial"/>
          <w:sz w:val="22"/>
          <w:szCs w:val="22"/>
        </w:rPr>
        <w:t>, t</w:t>
      </w:r>
      <w:r w:rsidR="006C4967" w:rsidRPr="00997765">
        <w:rPr>
          <w:rFonts w:ascii="Arial" w:hAnsi="Arial"/>
          <w:sz w:val="22"/>
          <w:szCs w:val="22"/>
        </w:rPr>
        <w:t>he net cost of listing pre-filled methotrexate syringes on the PBS/RPBS for rheumatoid arthritis and psoriasi</w:t>
      </w:r>
      <w:r w:rsidR="006F7F32" w:rsidRPr="00997765">
        <w:rPr>
          <w:rFonts w:ascii="Arial" w:hAnsi="Arial"/>
          <w:sz w:val="22"/>
          <w:szCs w:val="22"/>
        </w:rPr>
        <w:t>s</w:t>
      </w:r>
      <w:r w:rsidR="00A71C1A" w:rsidRPr="00997765">
        <w:rPr>
          <w:rFonts w:ascii="Arial" w:hAnsi="Arial"/>
          <w:sz w:val="22"/>
          <w:szCs w:val="22"/>
        </w:rPr>
        <w:t xml:space="preserve"> was estimated to be up to $</w:t>
      </w:r>
      <w:r w:rsidR="00360D24">
        <w:rPr>
          <w:rFonts w:ascii="Arial" w:hAnsi="Arial"/>
          <w:noProof/>
          <w:color w:val="000000"/>
          <w:sz w:val="22"/>
          <w:szCs w:val="22"/>
          <w:highlight w:val="black"/>
        </w:rPr>
        <w:t>'''''''''''</w:t>
      </w:r>
      <w:r w:rsidR="00663F54" w:rsidRPr="00997765">
        <w:rPr>
          <w:rFonts w:ascii="Arial" w:hAnsi="Arial"/>
          <w:sz w:val="22"/>
          <w:szCs w:val="22"/>
        </w:rPr>
        <w:t xml:space="preserve"> </w:t>
      </w:r>
      <w:r w:rsidR="006C4967" w:rsidRPr="00997765">
        <w:rPr>
          <w:rFonts w:ascii="Arial" w:hAnsi="Arial"/>
          <w:sz w:val="22"/>
          <w:szCs w:val="22"/>
        </w:rPr>
        <w:t>million in the fifth year of listing</w:t>
      </w:r>
      <w:r w:rsidR="00DB1449">
        <w:rPr>
          <w:rFonts w:ascii="Arial" w:hAnsi="Arial"/>
          <w:sz w:val="22"/>
          <w:szCs w:val="22"/>
        </w:rPr>
        <w:t>, and t</w:t>
      </w:r>
      <w:r w:rsidR="006C4967" w:rsidRPr="00997765">
        <w:rPr>
          <w:rFonts w:ascii="Arial" w:hAnsi="Arial"/>
          <w:sz w:val="22"/>
          <w:szCs w:val="22"/>
        </w:rPr>
        <w:t xml:space="preserve">he estimated cumulative net cost </w:t>
      </w:r>
      <w:r w:rsidR="00A71C1A" w:rsidRPr="00997765">
        <w:rPr>
          <w:rFonts w:ascii="Arial" w:hAnsi="Arial"/>
          <w:sz w:val="22"/>
          <w:szCs w:val="22"/>
        </w:rPr>
        <w:t>to the PBS/RPBS</w:t>
      </w:r>
      <w:r w:rsidR="006F7F32" w:rsidRPr="00997765">
        <w:rPr>
          <w:rFonts w:ascii="Arial" w:hAnsi="Arial"/>
          <w:sz w:val="22"/>
          <w:szCs w:val="22"/>
        </w:rPr>
        <w:t xml:space="preserve"> </w:t>
      </w:r>
      <w:r w:rsidR="006C4967" w:rsidRPr="00997765">
        <w:rPr>
          <w:rFonts w:ascii="Arial" w:hAnsi="Arial"/>
          <w:sz w:val="22"/>
          <w:szCs w:val="22"/>
        </w:rPr>
        <w:t xml:space="preserve">over </w:t>
      </w:r>
      <w:r w:rsidR="006F7F32" w:rsidRPr="00997765">
        <w:rPr>
          <w:rFonts w:ascii="Arial" w:hAnsi="Arial"/>
          <w:sz w:val="22"/>
          <w:szCs w:val="22"/>
        </w:rPr>
        <w:t>five ye</w:t>
      </w:r>
      <w:r w:rsidR="006D30C1" w:rsidRPr="00997765">
        <w:rPr>
          <w:rFonts w:ascii="Arial" w:hAnsi="Arial"/>
          <w:sz w:val="22"/>
          <w:szCs w:val="22"/>
        </w:rPr>
        <w:t>ars was</w:t>
      </w:r>
      <w:r w:rsidR="00A71C1A" w:rsidRPr="00997765">
        <w:rPr>
          <w:rFonts w:ascii="Arial" w:hAnsi="Arial"/>
          <w:sz w:val="22"/>
          <w:szCs w:val="22"/>
        </w:rPr>
        <w:t xml:space="preserve"> $</w:t>
      </w:r>
      <w:r w:rsidR="00360D24">
        <w:rPr>
          <w:rFonts w:ascii="Arial" w:hAnsi="Arial"/>
          <w:noProof/>
          <w:color w:val="000000"/>
          <w:sz w:val="22"/>
          <w:szCs w:val="22"/>
          <w:highlight w:val="black"/>
        </w:rPr>
        <w:t>'''''''</w:t>
      </w:r>
      <w:r w:rsidR="006C4967" w:rsidRPr="00997765">
        <w:rPr>
          <w:rFonts w:ascii="Arial" w:hAnsi="Arial"/>
          <w:sz w:val="22"/>
          <w:szCs w:val="22"/>
        </w:rPr>
        <w:t xml:space="preserve"> million.</w:t>
      </w:r>
    </w:p>
    <w:p w:rsidR="006F0AEE" w:rsidRPr="00997765" w:rsidRDefault="006F0AEE" w:rsidP="00AB1862">
      <w:pPr>
        <w:rPr>
          <w:rFonts w:ascii="Arial" w:hAnsi="Arial"/>
          <w:sz w:val="22"/>
          <w:szCs w:val="22"/>
        </w:rPr>
      </w:pPr>
    </w:p>
    <w:p w:rsidR="00572F93" w:rsidRPr="00997765" w:rsidRDefault="00572F93" w:rsidP="00FC330F">
      <w:pPr>
        <w:pStyle w:val="ListParagraph"/>
        <w:numPr>
          <w:ilvl w:val="1"/>
          <w:numId w:val="1"/>
        </w:numPr>
        <w:jc w:val="both"/>
        <w:rPr>
          <w:rFonts w:ascii="Arial" w:hAnsi="Arial"/>
          <w:sz w:val="22"/>
          <w:szCs w:val="22"/>
        </w:rPr>
      </w:pPr>
      <w:r w:rsidRPr="00997765">
        <w:rPr>
          <w:rFonts w:ascii="Arial" w:hAnsi="Arial"/>
          <w:sz w:val="22"/>
          <w:szCs w:val="22"/>
        </w:rPr>
        <w:t xml:space="preserve">The main issues of uncertainty associated with the utilisation estimates </w:t>
      </w:r>
      <w:r w:rsidR="0079189A" w:rsidRPr="00997765">
        <w:rPr>
          <w:rFonts w:ascii="Arial" w:hAnsi="Arial"/>
          <w:sz w:val="22"/>
          <w:szCs w:val="22"/>
        </w:rPr>
        <w:t>were</w:t>
      </w:r>
      <w:r w:rsidRPr="00997765">
        <w:rPr>
          <w:rFonts w:ascii="Arial" w:hAnsi="Arial"/>
          <w:sz w:val="22"/>
          <w:szCs w:val="22"/>
        </w:rPr>
        <w:t>:</w:t>
      </w:r>
    </w:p>
    <w:p w:rsidR="00572F93" w:rsidRPr="00997765" w:rsidRDefault="00572F93" w:rsidP="00572F93">
      <w:pPr>
        <w:jc w:val="both"/>
        <w:rPr>
          <w:rFonts w:ascii="Arial" w:hAnsi="Arial"/>
          <w:sz w:val="22"/>
          <w:szCs w:val="22"/>
        </w:rPr>
      </w:pPr>
    </w:p>
    <w:p w:rsidR="00572F93" w:rsidRPr="00997765" w:rsidRDefault="00572F93" w:rsidP="00FC330F">
      <w:pPr>
        <w:pStyle w:val="ListParagraph"/>
        <w:numPr>
          <w:ilvl w:val="0"/>
          <w:numId w:val="3"/>
        </w:numPr>
        <w:jc w:val="both"/>
        <w:rPr>
          <w:rFonts w:ascii="Arial" w:hAnsi="Arial"/>
          <w:sz w:val="22"/>
          <w:szCs w:val="22"/>
        </w:rPr>
      </w:pPr>
      <w:r w:rsidRPr="00997765">
        <w:rPr>
          <w:rFonts w:ascii="Arial" w:hAnsi="Arial"/>
          <w:sz w:val="22"/>
          <w:szCs w:val="22"/>
        </w:rPr>
        <w:t xml:space="preserve">Whether use of methotrexate pre-filled syringe under the PBS </w:t>
      </w:r>
      <w:r w:rsidR="0079189A" w:rsidRPr="00997765">
        <w:rPr>
          <w:rFonts w:ascii="Arial" w:hAnsi="Arial"/>
          <w:sz w:val="22"/>
          <w:szCs w:val="22"/>
        </w:rPr>
        <w:t xml:space="preserve">would </w:t>
      </w:r>
      <w:r w:rsidRPr="00997765">
        <w:rPr>
          <w:rFonts w:ascii="Arial" w:hAnsi="Arial"/>
          <w:sz w:val="22"/>
          <w:szCs w:val="22"/>
        </w:rPr>
        <w:t xml:space="preserve">be restricted to patients with rheumatoid arthritis and psoriasis in clinical practice. </w:t>
      </w:r>
    </w:p>
    <w:p w:rsidR="00572F93" w:rsidRPr="00997765" w:rsidRDefault="00572F93" w:rsidP="00FC330F">
      <w:pPr>
        <w:pStyle w:val="ListParagraph"/>
        <w:numPr>
          <w:ilvl w:val="0"/>
          <w:numId w:val="3"/>
        </w:numPr>
        <w:jc w:val="both"/>
        <w:rPr>
          <w:rFonts w:ascii="Arial" w:hAnsi="Arial"/>
          <w:sz w:val="22"/>
          <w:szCs w:val="22"/>
        </w:rPr>
      </w:pPr>
      <w:r w:rsidRPr="00997765">
        <w:rPr>
          <w:rFonts w:ascii="Arial" w:hAnsi="Arial"/>
          <w:sz w:val="22"/>
          <w:szCs w:val="22"/>
        </w:rPr>
        <w:t>Whether differences between methotrexate pre-filled syringe and other parent</w:t>
      </w:r>
      <w:r w:rsidR="00B17D22" w:rsidRPr="00997765">
        <w:rPr>
          <w:rFonts w:ascii="Arial" w:hAnsi="Arial"/>
          <w:sz w:val="22"/>
          <w:szCs w:val="22"/>
        </w:rPr>
        <w:t>er</w:t>
      </w:r>
      <w:r w:rsidRPr="00997765">
        <w:rPr>
          <w:rFonts w:ascii="Arial" w:hAnsi="Arial"/>
          <w:sz w:val="22"/>
          <w:szCs w:val="22"/>
        </w:rPr>
        <w:t xml:space="preserve">al methotrexate formulations (ease of use, potential for self-administration) </w:t>
      </w:r>
      <w:r w:rsidR="0079189A" w:rsidRPr="00997765">
        <w:rPr>
          <w:rFonts w:ascii="Arial" w:hAnsi="Arial"/>
          <w:sz w:val="22"/>
          <w:szCs w:val="22"/>
        </w:rPr>
        <w:t>we</w:t>
      </w:r>
      <w:r w:rsidRPr="00997765">
        <w:rPr>
          <w:rFonts w:ascii="Arial" w:hAnsi="Arial"/>
          <w:sz w:val="22"/>
          <w:szCs w:val="22"/>
        </w:rPr>
        <w:t xml:space="preserve">re likely to grow the market particularly utilisation captured from oral methotrexate and private scripts for methotrexate vials. </w:t>
      </w:r>
    </w:p>
    <w:p w:rsidR="00493A54" w:rsidRPr="00997765" w:rsidRDefault="005674F7" w:rsidP="00FC330F">
      <w:pPr>
        <w:pStyle w:val="ListParagraph"/>
        <w:numPr>
          <w:ilvl w:val="0"/>
          <w:numId w:val="3"/>
        </w:numPr>
        <w:jc w:val="both"/>
        <w:rPr>
          <w:rFonts w:ascii="Arial" w:hAnsi="Arial"/>
          <w:sz w:val="22"/>
          <w:szCs w:val="22"/>
        </w:rPr>
      </w:pPr>
      <w:r w:rsidRPr="00997765">
        <w:rPr>
          <w:rFonts w:ascii="Arial" w:hAnsi="Arial"/>
          <w:sz w:val="22"/>
          <w:szCs w:val="22"/>
        </w:rPr>
        <w:t>T</w:t>
      </w:r>
      <w:r w:rsidR="00493A54" w:rsidRPr="00997765">
        <w:rPr>
          <w:rFonts w:ascii="Arial" w:hAnsi="Arial"/>
          <w:sz w:val="22"/>
          <w:szCs w:val="22"/>
        </w:rPr>
        <w:t>he likely uptake rate of methotrexate pre-filled syringe in clinical practice given its perceived advantages against other parenteral formulations</w:t>
      </w:r>
      <w:r w:rsidR="006D30C1" w:rsidRPr="00997765">
        <w:rPr>
          <w:rFonts w:ascii="Arial" w:hAnsi="Arial"/>
          <w:sz w:val="22"/>
          <w:szCs w:val="22"/>
        </w:rPr>
        <w:t>.</w:t>
      </w:r>
      <w:r w:rsidR="00493A54" w:rsidRPr="00997765">
        <w:rPr>
          <w:rFonts w:ascii="Arial" w:hAnsi="Arial"/>
          <w:sz w:val="22"/>
          <w:szCs w:val="22"/>
        </w:rPr>
        <w:t xml:space="preserve"> </w:t>
      </w:r>
    </w:p>
    <w:p w:rsidR="00572F93" w:rsidRPr="00997765" w:rsidRDefault="005674F7" w:rsidP="00FC330F">
      <w:pPr>
        <w:pStyle w:val="ListParagraph"/>
        <w:numPr>
          <w:ilvl w:val="0"/>
          <w:numId w:val="3"/>
        </w:numPr>
        <w:jc w:val="both"/>
        <w:rPr>
          <w:rFonts w:ascii="Arial" w:hAnsi="Arial"/>
          <w:sz w:val="22"/>
          <w:szCs w:val="22"/>
        </w:rPr>
      </w:pPr>
      <w:r w:rsidRPr="00997765">
        <w:rPr>
          <w:rFonts w:ascii="Arial" w:hAnsi="Arial"/>
          <w:sz w:val="22"/>
          <w:szCs w:val="22"/>
        </w:rPr>
        <w:t xml:space="preserve">Whether administration costs </w:t>
      </w:r>
      <w:r w:rsidR="0079189A" w:rsidRPr="00997765">
        <w:rPr>
          <w:rFonts w:ascii="Arial" w:hAnsi="Arial"/>
          <w:sz w:val="22"/>
          <w:szCs w:val="22"/>
        </w:rPr>
        <w:t xml:space="preserve">could </w:t>
      </w:r>
      <w:r w:rsidRPr="00997765">
        <w:rPr>
          <w:rFonts w:ascii="Arial" w:hAnsi="Arial"/>
          <w:sz w:val="22"/>
          <w:szCs w:val="22"/>
        </w:rPr>
        <w:t>be reliably estimated given that b</w:t>
      </w:r>
      <w:r w:rsidR="00572F93" w:rsidRPr="00997765">
        <w:rPr>
          <w:rFonts w:ascii="Arial" w:hAnsi="Arial"/>
          <w:sz w:val="22"/>
          <w:szCs w:val="22"/>
        </w:rPr>
        <w:t xml:space="preserve">oth the number of GP visits for methotrexate administration and the costs of each visit </w:t>
      </w:r>
      <w:r w:rsidR="0079189A" w:rsidRPr="00997765">
        <w:rPr>
          <w:rFonts w:ascii="Arial" w:hAnsi="Arial"/>
          <w:sz w:val="22"/>
          <w:szCs w:val="22"/>
        </w:rPr>
        <w:t>we</w:t>
      </w:r>
      <w:r w:rsidR="00572F93" w:rsidRPr="00997765">
        <w:rPr>
          <w:rFonts w:ascii="Arial" w:hAnsi="Arial"/>
          <w:sz w:val="22"/>
          <w:szCs w:val="22"/>
        </w:rPr>
        <w:t>re highly uncertain</w:t>
      </w:r>
      <w:r w:rsidRPr="00997765">
        <w:rPr>
          <w:rFonts w:ascii="Arial" w:hAnsi="Arial"/>
          <w:sz w:val="22"/>
          <w:szCs w:val="22"/>
        </w:rPr>
        <w:t xml:space="preserve"> due to</w:t>
      </w:r>
      <w:r w:rsidR="00572F93" w:rsidRPr="00997765">
        <w:rPr>
          <w:rFonts w:ascii="Arial" w:hAnsi="Arial"/>
          <w:sz w:val="22"/>
          <w:szCs w:val="22"/>
        </w:rPr>
        <w:t xml:space="preserve"> limited data on current practice and likely changes with the introduction of methotrexate pre-filled syringes in the Australian clinical setting.</w:t>
      </w:r>
    </w:p>
    <w:p w:rsidR="00572F93" w:rsidRPr="00997765" w:rsidRDefault="00572F93" w:rsidP="00AB1862">
      <w:pPr>
        <w:rPr>
          <w:rFonts w:ascii="Arial" w:hAnsi="Arial"/>
          <w:sz w:val="22"/>
          <w:szCs w:val="22"/>
        </w:rPr>
      </w:pPr>
    </w:p>
    <w:p w:rsidR="005F709E" w:rsidRPr="00997765" w:rsidRDefault="00493A54" w:rsidP="00FC330F">
      <w:pPr>
        <w:pStyle w:val="ListParagraph"/>
        <w:numPr>
          <w:ilvl w:val="1"/>
          <w:numId w:val="1"/>
        </w:numPr>
        <w:jc w:val="both"/>
        <w:rPr>
          <w:rFonts w:ascii="Arial" w:hAnsi="Arial"/>
          <w:sz w:val="22"/>
          <w:szCs w:val="22"/>
        </w:rPr>
      </w:pPr>
      <w:r w:rsidRPr="00997765">
        <w:rPr>
          <w:rFonts w:ascii="Arial" w:hAnsi="Arial"/>
          <w:sz w:val="22"/>
          <w:szCs w:val="22"/>
        </w:rPr>
        <w:t>Additional i</w:t>
      </w:r>
      <w:r w:rsidR="0023021D" w:rsidRPr="00997765">
        <w:rPr>
          <w:rFonts w:ascii="Arial" w:hAnsi="Arial"/>
          <w:sz w:val="22"/>
          <w:szCs w:val="22"/>
        </w:rPr>
        <w:t>ssues identified in</w:t>
      </w:r>
      <w:r w:rsidR="005F709E" w:rsidRPr="00997765">
        <w:rPr>
          <w:rFonts w:ascii="Arial" w:hAnsi="Arial"/>
          <w:sz w:val="22"/>
          <w:szCs w:val="22"/>
        </w:rPr>
        <w:t xml:space="preserve"> the </w:t>
      </w:r>
      <w:r w:rsidR="00EF2AA7" w:rsidRPr="00997765">
        <w:rPr>
          <w:rFonts w:ascii="Arial" w:hAnsi="Arial"/>
          <w:sz w:val="22"/>
          <w:szCs w:val="22"/>
        </w:rPr>
        <w:t xml:space="preserve">evaluation </w:t>
      </w:r>
      <w:r w:rsidR="005F709E" w:rsidRPr="00997765">
        <w:rPr>
          <w:rFonts w:ascii="Arial" w:hAnsi="Arial"/>
          <w:sz w:val="22"/>
          <w:szCs w:val="22"/>
        </w:rPr>
        <w:t>include</w:t>
      </w:r>
      <w:r w:rsidR="0079189A" w:rsidRPr="00997765">
        <w:rPr>
          <w:rFonts w:ascii="Arial" w:hAnsi="Arial"/>
          <w:sz w:val="22"/>
          <w:szCs w:val="22"/>
        </w:rPr>
        <w:t>d</w:t>
      </w:r>
      <w:r w:rsidR="005F709E" w:rsidRPr="00997765">
        <w:rPr>
          <w:rFonts w:ascii="Arial" w:hAnsi="Arial"/>
          <w:sz w:val="22"/>
          <w:szCs w:val="22"/>
        </w:rPr>
        <w:t>:</w:t>
      </w:r>
    </w:p>
    <w:p w:rsidR="00493A54" w:rsidRPr="00997765" w:rsidRDefault="00493A54" w:rsidP="00493A54">
      <w:pPr>
        <w:pStyle w:val="ListParagraph"/>
        <w:jc w:val="both"/>
        <w:rPr>
          <w:rFonts w:ascii="Arial" w:hAnsi="Arial"/>
          <w:sz w:val="22"/>
          <w:szCs w:val="22"/>
        </w:rPr>
      </w:pPr>
    </w:p>
    <w:p w:rsidR="006521CE" w:rsidRPr="00997765" w:rsidRDefault="005F709E" w:rsidP="007E2783">
      <w:pPr>
        <w:pStyle w:val="ListParagraph"/>
        <w:numPr>
          <w:ilvl w:val="0"/>
          <w:numId w:val="6"/>
        </w:numPr>
        <w:jc w:val="both"/>
        <w:rPr>
          <w:rFonts w:ascii="Arial" w:hAnsi="Arial"/>
          <w:sz w:val="22"/>
          <w:szCs w:val="22"/>
        </w:rPr>
      </w:pPr>
      <w:r w:rsidRPr="00997765">
        <w:rPr>
          <w:rFonts w:ascii="Arial" w:hAnsi="Arial"/>
          <w:sz w:val="22"/>
          <w:szCs w:val="22"/>
        </w:rPr>
        <w:t>Poor documentation of the assignment of script</w:t>
      </w:r>
      <w:r w:rsidR="00376A51" w:rsidRPr="00997765">
        <w:rPr>
          <w:rFonts w:ascii="Arial" w:hAnsi="Arial"/>
          <w:sz w:val="22"/>
          <w:szCs w:val="22"/>
        </w:rPr>
        <w:t>s</w:t>
      </w:r>
      <w:r w:rsidRPr="00997765">
        <w:rPr>
          <w:rFonts w:ascii="Arial" w:hAnsi="Arial"/>
          <w:sz w:val="22"/>
          <w:szCs w:val="22"/>
        </w:rPr>
        <w:t xml:space="preserve"> to indications</w:t>
      </w:r>
      <w:r w:rsidR="003C0BF9" w:rsidRPr="00997765">
        <w:rPr>
          <w:rFonts w:ascii="Arial" w:hAnsi="Arial"/>
          <w:sz w:val="22"/>
          <w:szCs w:val="22"/>
        </w:rPr>
        <w:t xml:space="preserve"> with particular concern regarding the assignment of dominant indication</w:t>
      </w:r>
      <w:r w:rsidR="002202FF" w:rsidRPr="00997765">
        <w:rPr>
          <w:rFonts w:ascii="Arial" w:hAnsi="Arial"/>
          <w:sz w:val="22"/>
          <w:szCs w:val="22"/>
        </w:rPr>
        <w:t>.</w:t>
      </w:r>
      <w:r w:rsidR="000802AC" w:rsidRPr="00997765">
        <w:rPr>
          <w:rFonts w:ascii="Arial" w:hAnsi="Arial"/>
          <w:sz w:val="22"/>
          <w:szCs w:val="22"/>
        </w:rPr>
        <w:t xml:space="preserve"> </w:t>
      </w:r>
      <w:r w:rsidR="006521CE" w:rsidRPr="00997765">
        <w:rPr>
          <w:rFonts w:ascii="Arial" w:hAnsi="Arial"/>
          <w:sz w:val="22"/>
          <w:szCs w:val="22"/>
        </w:rPr>
        <w:t xml:space="preserve">Without further validation the assignment of rheumatoid arthritis and </w:t>
      </w:r>
      <w:r w:rsidR="00BB2BED" w:rsidRPr="00997765">
        <w:rPr>
          <w:rFonts w:ascii="Arial" w:hAnsi="Arial"/>
          <w:sz w:val="22"/>
          <w:szCs w:val="22"/>
        </w:rPr>
        <w:t>psoriasis</w:t>
      </w:r>
      <w:r w:rsidR="006521CE" w:rsidRPr="00997765">
        <w:rPr>
          <w:rFonts w:ascii="Arial" w:hAnsi="Arial"/>
          <w:sz w:val="22"/>
          <w:szCs w:val="22"/>
        </w:rPr>
        <w:t xml:space="preserve"> as the dominant indication in patients receiving treatment under the efficient funding of chemotherapy program </w:t>
      </w:r>
      <w:r w:rsidR="00EF2AA7" w:rsidRPr="00997765">
        <w:rPr>
          <w:rFonts w:ascii="Arial" w:hAnsi="Arial"/>
          <w:sz w:val="22"/>
          <w:szCs w:val="22"/>
        </w:rPr>
        <w:t>wa</w:t>
      </w:r>
      <w:r w:rsidR="006521CE" w:rsidRPr="00997765">
        <w:rPr>
          <w:rFonts w:ascii="Arial" w:hAnsi="Arial"/>
          <w:sz w:val="22"/>
          <w:szCs w:val="22"/>
        </w:rPr>
        <w:t>s questionable.</w:t>
      </w:r>
      <w:r w:rsidR="00EF535B" w:rsidRPr="00997765">
        <w:rPr>
          <w:rFonts w:ascii="Arial" w:hAnsi="Arial"/>
          <w:sz w:val="22"/>
          <w:szCs w:val="22"/>
        </w:rPr>
        <w:t xml:space="preserve"> Additionally, the assumption that patients </w:t>
      </w:r>
      <w:r w:rsidR="00EF2AA7" w:rsidRPr="00997765">
        <w:rPr>
          <w:rFonts w:ascii="Arial" w:hAnsi="Arial"/>
          <w:sz w:val="22"/>
          <w:szCs w:val="22"/>
        </w:rPr>
        <w:t>we</w:t>
      </w:r>
      <w:r w:rsidR="00EF535B" w:rsidRPr="00997765">
        <w:rPr>
          <w:rFonts w:ascii="Arial" w:hAnsi="Arial"/>
          <w:sz w:val="22"/>
          <w:szCs w:val="22"/>
        </w:rPr>
        <w:t xml:space="preserve">re receiving treatment with methotrexate for their dominant indication </w:t>
      </w:r>
      <w:r w:rsidR="00EF2AA7" w:rsidRPr="00997765">
        <w:rPr>
          <w:rFonts w:ascii="Arial" w:hAnsi="Arial"/>
          <w:sz w:val="22"/>
          <w:szCs w:val="22"/>
        </w:rPr>
        <w:t>wa</w:t>
      </w:r>
      <w:r w:rsidR="00EF535B" w:rsidRPr="00997765">
        <w:rPr>
          <w:rFonts w:ascii="Arial" w:hAnsi="Arial"/>
          <w:sz w:val="22"/>
          <w:szCs w:val="22"/>
        </w:rPr>
        <w:t xml:space="preserve">s not adequately supported (e.g. </w:t>
      </w:r>
      <w:r w:rsidR="00744D8F" w:rsidRPr="00997765">
        <w:rPr>
          <w:rFonts w:ascii="Arial" w:hAnsi="Arial"/>
          <w:sz w:val="22"/>
          <w:szCs w:val="22"/>
        </w:rPr>
        <w:t>methotrexate use for osteoarthritis)</w:t>
      </w:r>
      <w:r w:rsidR="007E7DA2" w:rsidRPr="00997765">
        <w:rPr>
          <w:rFonts w:ascii="Arial" w:hAnsi="Arial"/>
          <w:sz w:val="22"/>
          <w:szCs w:val="22"/>
        </w:rPr>
        <w:t>.</w:t>
      </w:r>
    </w:p>
    <w:p w:rsidR="002202FF" w:rsidRPr="00997765" w:rsidRDefault="00376A51" w:rsidP="00FC330F">
      <w:pPr>
        <w:pStyle w:val="ListParagraph"/>
        <w:numPr>
          <w:ilvl w:val="0"/>
          <w:numId w:val="6"/>
        </w:numPr>
        <w:jc w:val="both"/>
        <w:rPr>
          <w:rFonts w:ascii="Arial" w:hAnsi="Arial"/>
          <w:sz w:val="22"/>
          <w:szCs w:val="22"/>
        </w:rPr>
      </w:pPr>
      <w:r w:rsidRPr="00997765">
        <w:rPr>
          <w:rFonts w:ascii="Arial" w:hAnsi="Arial"/>
          <w:sz w:val="22"/>
          <w:szCs w:val="22"/>
        </w:rPr>
        <w:t>Script and patient estimates from different sources</w:t>
      </w:r>
      <w:r w:rsidR="005F709E" w:rsidRPr="00997765">
        <w:rPr>
          <w:rFonts w:ascii="Arial" w:hAnsi="Arial"/>
          <w:sz w:val="22"/>
          <w:szCs w:val="22"/>
        </w:rPr>
        <w:t xml:space="preserve"> d</w:t>
      </w:r>
      <w:r w:rsidR="00EF2AA7" w:rsidRPr="00997765">
        <w:rPr>
          <w:rFonts w:ascii="Arial" w:hAnsi="Arial"/>
          <w:sz w:val="22"/>
          <w:szCs w:val="22"/>
        </w:rPr>
        <w:t>id</w:t>
      </w:r>
      <w:r w:rsidR="005F709E" w:rsidRPr="00997765">
        <w:rPr>
          <w:rFonts w:ascii="Arial" w:hAnsi="Arial"/>
          <w:sz w:val="22"/>
          <w:szCs w:val="22"/>
        </w:rPr>
        <w:t xml:space="preserve"> not align</w:t>
      </w:r>
      <w:r w:rsidR="007E7DA2" w:rsidRPr="00997765">
        <w:rPr>
          <w:rFonts w:ascii="Arial" w:hAnsi="Arial"/>
          <w:sz w:val="22"/>
          <w:szCs w:val="22"/>
        </w:rPr>
        <w:t>.</w:t>
      </w:r>
    </w:p>
    <w:p w:rsidR="005F709E" w:rsidRPr="00997765" w:rsidRDefault="007E7DA2" w:rsidP="00FC330F">
      <w:pPr>
        <w:pStyle w:val="ListParagraph"/>
        <w:numPr>
          <w:ilvl w:val="0"/>
          <w:numId w:val="6"/>
        </w:numPr>
        <w:jc w:val="both"/>
        <w:rPr>
          <w:rFonts w:ascii="Arial" w:hAnsi="Arial"/>
          <w:sz w:val="22"/>
          <w:szCs w:val="22"/>
        </w:rPr>
      </w:pPr>
      <w:r w:rsidRPr="00997765">
        <w:rPr>
          <w:rFonts w:ascii="Arial" w:hAnsi="Arial"/>
          <w:sz w:val="22"/>
          <w:szCs w:val="22"/>
        </w:rPr>
        <w:t>The p</w:t>
      </w:r>
      <w:r w:rsidR="005F709E" w:rsidRPr="00997765">
        <w:rPr>
          <w:rFonts w:ascii="Arial" w:hAnsi="Arial"/>
          <w:sz w:val="22"/>
          <w:szCs w:val="22"/>
        </w:rPr>
        <w:t xml:space="preserve">rojected market </w:t>
      </w:r>
      <w:r w:rsidRPr="00997765">
        <w:rPr>
          <w:rFonts w:ascii="Arial" w:hAnsi="Arial"/>
          <w:sz w:val="22"/>
          <w:szCs w:val="22"/>
        </w:rPr>
        <w:t xml:space="preserve">being </w:t>
      </w:r>
      <w:r w:rsidR="005F709E" w:rsidRPr="00997765">
        <w:rPr>
          <w:rFonts w:ascii="Arial" w:hAnsi="Arial"/>
          <w:sz w:val="22"/>
          <w:szCs w:val="22"/>
        </w:rPr>
        <w:t xml:space="preserve">smaller than </w:t>
      </w:r>
      <w:r w:rsidRPr="00997765">
        <w:rPr>
          <w:rFonts w:ascii="Arial" w:hAnsi="Arial"/>
          <w:sz w:val="22"/>
          <w:szCs w:val="22"/>
        </w:rPr>
        <w:t xml:space="preserve">the </w:t>
      </w:r>
      <w:r w:rsidR="005F709E" w:rsidRPr="00997765">
        <w:rPr>
          <w:rFonts w:ascii="Arial" w:hAnsi="Arial"/>
          <w:sz w:val="22"/>
          <w:szCs w:val="22"/>
        </w:rPr>
        <w:t>actual market due to use of an inappropriate upscaling factor to adjust concessional script</w:t>
      </w:r>
      <w:r w:rsidR="00376A51" w:rsidRPr="00997765">
        <w:rPr>
          <w:rFonts w:ascii="Arial" w:hAnsi="Arial"/>
          <w:sz w:val="22"/>
          <w:szCs w:val="22"/>
        </w:rPr>
        <w:t>s</w:t>
      </w:r>
      <w:r w:rsidR="005F709E" w:rsidRPr="00997765">
        <w:rPr>
          <w:rFonts w:ascii="Arial" w:hAnsi="Arial"/>
          <w:sz w:val="22"/>
          <w:szCs w:val="22"/>
        </w:rPr>
        <w:t xml:space="preserve"> to a total PBS script estimate</w:t>
      </w:r>
      <w:r w:rsidRPr="00997765">
        <w:rPr>
          <w:rFonts w:ascii="Arial" w:hAnsi="Arial"/>
          <w:sz w:val="22"/>
          <w:szCs w:val="22"/>
        </w:rPr>
        <w:t>.</w:t>
      </w:r>
    </w:p>
    <w:p w:rsidR="005F709E" w:rsidRPr="00997765" w:rsidRDefault="00E952A8" w:rsidP="00FC330F">
      <w:pPr>
        <w:pStyle w:val="ListParagraph"/>
        <w:numPr>
          <w:ilvl w:val="0"/>
          <w:numId w:val="6"/>
        </w:numPr>
        <w:jc w:val="both"/>
        <w:rPr>
          <w:rFonts w:ascii="Arial" w:hAnsi="Arial"/>
          <w:sz w:val="22"/>
          <w:szCs w:val="22"/>
        </w:rPr>
      </w:pPr>
      <w:r w:rsidRPr="00997765">
        <w:rPr>
          <w:rFonts w:ascii="Arial" w:hAnsi="Arial"/>
          <w:sz w:val="22"/>
          <w:szCs w:val="22"/>
        </w:rPr>
        <w:t>Inadequate</w:t>
      </w:r>
      <w:r w:rsidR="005F709E" w:rsidRPr="00997765">
        <w:rPr>
          <w:rFonts w:ascii="Arial" w:hAnsi="Arial"/>
          <w:sz w:val="22"/>
          <w:szCs w:val="22"/>
        </w:rPr>
        <w:t xml:space="preserve"> justification for methotrexate pre-filled syringe capturing market share from oral tablets in rheumatoid arthritis but not psoriasis</w:t>
      </w:r>
      <w:r w:rsidR="007E7DA2" w:rsidRPr="00997765">
        <w:rPr>
          <w:rFonts w:ascii="Arial" w:hAnsi="Arial"/>
          <w:sz w:val="22"/>
          <w:szCs w:val="22"/>
        </w:rPr>
        <w:t>.</w:t>
      </w:r>
    </w:p>
    <w:p w:rsidR="005F709E" w:rsidRPr="00997765" w:rsidRDefault="005F709E" w:rsidP="00FC330F">
      <w:pPr>
        <w:pStyle w:val="ListParagraph"/>
        <w:numPr>
          <w:ilvl w:val="0"/>
          <w:numId w:val="6"/>
        </w:numPr>
        <w:jc w:val="both"/>
        <w:rPr>
          <w:rFonts w:ascii="Arial" w:hAnsi="Arial"/>
          <w:sz w:val="22"/>
          <w:szCs w:val="22"/>
        </w:rPr>
      </w:pPr>
      <w:r w:rsidRPr="00997765">
        <w:rPr>
          <w:rFonts w:ascii="Arial" w:hAnsi="Arial"/>
          <w:sz w:val="22"/>
          <w:szCs w:val="22"/>
        </w:rPr>
        <w:t>Cost of EFC methotrexate vials not consistently estimated between the cost minimisation analysis and budget impact analysis</w:t>
      </w:r>
      <w:r w:rsidR="007E7DA2" w:rsidRPr="00997765">
        <w:rPr>
          <w:rFonts w:ascii="Arial" w:hAnsi="Arial"/>
          <w:sz w:val="22"/>
          <w:szCs w:val="22"/>
        </w:rPr>
        <w:t>.</w:t>
      </w:r>
    </w:p>
    <w:p w:rsidR="00FF15B9" w:rsidRPr="00997765" w:rsidRDefault="005B6FB9" w:rsidP="00FC330F">
      <w:pPr>
        <w:pStyle w:val="ListParagraph"/>
        <w:numPr>
          <w:ilvl w:val="0"/>
          <w:numId w:val="6"/>
        </w:numPr>
        <w:jc w:val="both"/>
        <w:rPr>
          <w:rFonts w:ascii="Arial" w:hAnsi="Arial"/>
          <w:sz w:val="22"/>
          <w:szCs w:val="22"/>
        </w:rPr>
      </w:pPr>
      <w:r w:rsidRPr="00997765">
        <w:rPr>
          <w:rFonts w:ascii="Arial" w:hAnsi="Arial"/>
          <w:sz w:val="22"/>
          <w:szCs w:val="22"/>
        </w:rPr>
        <w:t>Inadequate</w:t>
      </w:r>
      <w:r w:rsidR="00FF15B9" w:rsidRPr="00997765">
        <w:rPr>
          <w:rFonts w:ascii="Arial" w:hAnsi="Arial"/>
          <w:sz w:val="22"/>
          <w:szCs w:val="22"/>
        </w:rPr>
        <w:t xml:space="preserve"> accounting for variable dosing with oral methotrexate and methotrexate vials dispensed under the efficient funding of chemotherapy program</w:t>
      </w:r>
      <w:r w:rsidR="007E7DA2" w:rsidRPr="00997765">
        <w:rPr>
          <w:rFonts w:ascii="Arial" w:hAnsi="Arial"/>
          <w:sz w:val="22"/>
          <w:szCs w:val="22"/>
        </w:rPr>
        <w:t>.</w:t>
      </w:r>
    </w:p>
    <w:p w:rsidR="00376A51" w:rsidRPr="00997765" w:rsidRDefault="00376A51" w:rsidP="00FC330F">
      <w:pPr>
        <w:pStyle w:val="ListParagraph"/>
        <w:numPr>
          <w:ilvl w:val="0"/>
          <w:numId w:val="6"/>
        </w:numPr>
        <w:jc w:val="both"/>
        <w:rPr>
          <w:rFonts w:ascii="Arial" w:hAnsi="Arial"/>
          <w:sz w:val="22"/>
          <w:szCs w:val="22"/>
        </w:rPr>
      </w:pPr>
      <w:r w:rsidRPr="00997765">
        <w:rPr>
          <w:rFonts w:ascii="Arial" w:hAnsi="Arial"/>
          <w:sz w:val="22"/>
          <w:szCs w:val="22"/>
        </w:rPr>
        <w:t>Growth rates that do not align with historical growth of the methotrexate market (growth rate varies for different formulations and subsidy programs)</w:t>
      </w:r>
      <w:r w:rsidR="007E7DA2" w:rsidRPr="00997765">
        <w:rPr>
          <w:rFonts w:ascii="Arial" w:hAnsi="Arial"/>
          <w:sz w:val="22"/>
          <w:szCs w:val="22"/>
        </w:rPr>
        <w:t>.</w:t>
      </w:r>
    </w:p>
    <w:p w:rsidR="00E952A8" w:rsidRPr="00997765" w:rsidRDefault="009722E0" w:rsidP="00FC330F">
      <w:pPr>
        <w:pStyle w:val="ListParagraph"/>
        <w:numPr>
          <w:ilvl w:val="0"/>
          <w:numId w:val="6"/>
        </w:numPr>
        <w:jc w:val="both"/>
        <w:rPr>
          <w:rFonts w:ascii="Arial" w:hAnsi="Arial"/>
          <w:sz w:val="22"/>
          <w:szCs w:val="22"/>
        </w:rPr>
      </w:pPr>
      <w:r w:rsidRPr="00997765">
        <w:rPr>
          <w:rFonts w:ascii="Arial" w:hAnsi="Arial"/>
          <w:sz w:val="22"/>
          <w:szCs w:val="22"/>
        </w:rPr>
        <w:lastRenderedPageBreak/>
        <w:t>Inappropriate assumption of 100% adherence</w:t>
      </w:r>
      <w:r w:rsidR="00E952A8" w:rsidRPr="00997765">
        <w:rPr>
          <w:rFonts w:ascii="Arial" w:hAnsi="Arial"/>
          <w:sz w:val="22"/>
          <w:szCs w:val="22"/>
        </w:rPr>
        <w:t xml:space="preserve"> used to calculate utilisation estimates and used to switch between patient, script and weekly dose estimates</w:t>
      </w:r>
      <w:r w:rsidR="007E7DA2" w:rsidRPr="00997765">
        <w:rPr>
          <w:rFonts w:ascii="Arial" w:hAnsi="Arial"/>
          <w:sz w:val="22"/>
          <w:szCs w:val="22"/>
        </w:rPr>
        <w:t>.</w:t>
      </w:r>
    </w:p>
    <w:p w:rsidR="005F709E" w:rsidRPr="00DB1449" w:rsidRDefault="005F709E" w:rsidP="00DB1449">
      <w:pPr>
        <w:jc w:val="both"/>
        <w:rPr>
          <w:rFonts w:ascii="Arial" w:hAnsi="Arial"/>
          <w:sz w:val="22"/>
          <w:szCs w:val="22"/>
        </w:rPr>
      </w:pPr>
    </w:p>
    <w:p w:rsidR="004808C9" w:rsidRPr="00997765" w:rsidRDefault="00734761" w:rsidP="00FC330F">
      <w:pPr>
        <w:pStyle w:val="ListParagraph"/>
        <w:numPr>
          <w:ilvl w:val="1"/>
          <w:numId w:val="1"/>
        </w:numPr>
        <w:jc w:val="both"/>
        <w:rPr>
          <w:rFonts w:ascii="Arial" w:hAnsi="Arial"/>
          <w:sz w:val="22"/>
          <w:szCs w:val="22"/>
        </w:rPr>
      </w:pPr>
      <w:r w:rsidRPr="00997765">
        <w:rPr>
          <w:rFonts w:ascii="Arial" w:hAnsi="Arial"/>
          <w:sz w:val="22"/>
          <w:szCs w:val="22"/>
        </w:rPr>
        <w:t>Given the uncertainty with the budget impact model presented in the submission</w:t>
      </w:r>
      <w:r w:rsidR="008D0A3B">
        <w:rPr>
          <w:rFonts w:ascii="Arial" w:hAnsi="Arial"/>
          <w:sz w:val="22"/>
          <w:szCs w:val="22"/>
        </w:rPr>
        <w:t>,</w:t>
      </w:r>
      <w:r w:rsidRPr="00997765">
        <w:rPr>
          <w:rFonts w:ascii="Arial" w:hAnsi="Arial"/>
          <w:sz w:val="22"/>
          <w:szCs w:val="22"/>
        </w:rPr>
        <w:t xml:space="preserve"> a simple sensitivity analys</w:t>
      </w:r>
      <w:r w:rsidR="007E7DA2" w:rsidRPr="00997765">
        <w:rPr>
          <w:rFonts w:ascii="Arial" w:hAnsi="Arial"/>
          <w:sz w:val="22"/>
          <w:szCs w:val="22"/>
        </w:rPr>
        <w:t>i</w:t>
      </w:r>
      <w:r w:rsidRPr="00997765">
        <w:rPr>
          <w:rFonts w:ascii="Arial" w:hAnsi="Arial"/>
          <w:sz w:val="22"/>
          <w:szCs w:val="22"/>
        </w:rPr>
        <w:t xml:space="preserve">s was conducted for the </w:t>
      </w:r>
      <w:r w:rsidR="00CC27AE" w:rsidRPr="00997765">
        <w:rPr>
          <w:rFonts w:ascii="Arial" w:hAnsi="Arial"/>
          <w:sz w:val="22"/>
          <w:szCs w:val="22"/>
        </w:rPr>
        <w:t xml:space="preserve">evaluation </w:t>
      </w:r>
      <w:r w:rsidRPr="00997765">
        <w:rPr>
          <w:rFonts w:ascii="Arial" w:hAnsi="Arial"/>
          <w:sz w:val="22"/>
          <w:szCs w:val="22"/>
        </w:rPr>
        <w:t>assuming that methotrexate pre-filled syringe would capture 50% or 100% of the general schedule utilisation of methotrexate vials (based on actual utilisation in April 2014-March 2015)</w:t>
      </w:r>
      <w:r w:rsidR="004808C9" w:rsidRPr="00997765">
        <w:rPr>
          <w:rFonts w:ascii="Arial" w:hAnsi="Arial"/>
          <w:sz w:val="22"/>
          <w:szCs w:val="22"/>
        </w:rPr>
        <w:t>,</w:t>
      </w:r>
      <w:r w:rsidRPr="00997765">
        <w:rPr>
          <w:rFonts w:ascii="Arial" w:hAnsi="Arial"/>
          <w:sz w:val="22"/>
          <w:szCs w:val="22"/>
        </w:rPr>
        <w:t xml:space="preserve"> using current prices</w:t>
      </w:r>
      <w:r w:rsidR="004808C9" w:rsidRPr="00997765">
        <w:rPr>
          <w:rFonts w:ascii="Arial" w:hAnsi="Arial"/>
          <w:sz w:val="22"/>
          <w:szCs w:val="22"/>
        </w:rPr>
        <w:t xml:space="preserve"> (December 2015)</w:t>
      </w:r>
      <w:r w:rsidRPr="00997765">
        <w:rPr>
          <w:rFonts w:ascii="Arial" w:hAnsi="Arial"/>
          <w:sz w:val="22"/>
          <w:szCs w:val="22"/>
        </w:rPr>
        <w:t xml:space="preserve"> and assuming all treatments have the same distribution across beneficiary categories.</w:t>
      </w:r>
    </w:p>
    <w:p w:rsidR="004808C9" w:rsidRPr="00997765" w:rsidRDefault="004808C9" w:rsidP="004808C9">
      <w:pPr>
        <w:pStyle w:val="ListParagraph"/>
        <w:jc w:val="both"/>
        <w:rPr>
          <w:rFonts w:ascii="Arial" w:hAnsi="Arial"/>
          <w:sz w:val="22"/>
          <w:szCs w:val="22"/>
        </w:rPr>
      </w:pPr>
    </w:p>
    <w:p w:rsidR="004808C9" w:rsidRPr="001F37BA" w:rsidRDefault="004808C9" w:rsidP="004808C9">
      <w:pPr>
        <w:pStyle w:val="ListParagraph"/>
        <w:numPr>
          <w:ilvl w:val="1"/>
          <w:numId w:val="1"/>
        </w:numPr>
        <w:jc w:val="both"/>
        <w:rPr>
          <w:rFonts w:ascii="Arial" w:hAnsi="Arial"/>
          <w:i/>
          <w:sz w:val="22"/>
          <w:szCs w:val="22"/>
        </w:rPr>
      </w:pPr>
      <w:r w:rsidRPr="00DB1449">
        <w:rPr>
          <w:rFonts w:ascii="Arial" w:hAnsi="Arial"/>
          <w:sz w:val="22"/>
          <w:szCs w:val="22"/>
        </w:rPr>
        <w:t xml:space="preserve">The sensitivity analysis </w:t>
      </w:r>
      <w:r w:rsidR="00CD09EF" w:rsidRPr="00DB1449">
        <w:rPr>
          <w:rFonts w:ascii="Arial" w:hAnsi="Arial"/>
          <w:sz w:val="22"/>
          <w:szCs w:val="22"/>
        </w:rPr>
        <w:t>wa</w:t>
      </w:r>
      <w:r w:rsidRPr="00DB1449">
        <w:rPr>
          <w:rFonts w:ascii="Arial" w:hAnsi="Arial"/>
          <w:sz w:val="22"/>
          <w:szCs w:val="22"/>
        </w:rPr>
        <w:t>s summarised in Table 1</w:t>
      </w:r>
      <w:r w:rsidR="00DB1449">
        <w:rPr>
          <w:rFonts w:ascii="Arial" w:hAnsi="Arial"/>
          <w:sz w:val="22"/>
          <w:szCs w:val="22"/>
        </w:rPr>
        <w:t xml:space="preserve">7. </w:t>
      </w:r>
    </w:p>
    <w:p w:rsidR="001F37BA" w:rsidRPr="001F37BA" w:rsidRDefault="001F37BA" w:rsidP="001F37BA">
      <w:pPr>
        <w:jc w:val="both"/>
        <w:rPr>
          <w:rFonts w:ascii="Arial" w:hAnsi="Arial"/>
          <w:i/>
          <w:sz w:val="22"/>
          <w:szCs w:val="22"/>
        </w:rPr>
      </w:pPr>
    </w:p>
    <w:p w:rsidR="004808C9" w:rsidRPr="00997765" w:rsidRDefault="00770E87" w:rsidP="00DB1449">
      <w:pPr>
        <w:ind w:firstLine="720"/>
        <w:rPr>
          <w:rFonts w:ascii="Arial Narrow" w:hAnsi="Arial Narrow"/>
          <w:b/>
          <w:sz w:val="20"/>
        </w:rPr>
      </w:pPr>
      <w:r w:rsidRPr="00997765">
        <w:rPr>
          <w:rFonts w:ascii="Arial Narrow" w:hAnsi="Arial Narrow"/>
          <w:b/>
          <w:sz w:val="20"/>
        </w:rPr>
        <w:t>Table 1</w:t>
      </w:r>
      <w:r w:rsidR="00DB1449">
        <w:rPr>
          <w:rFonts w:ascii="Arial Narrow" w:hAnsi="Arial Narrow"/>
          <w:b/>
          <w:sz w:val="20"/>
        </w:rPr>
        <w:t>7</w:t>
      </w:r>
      <w:r w:rsidRPr="00997765">
        <w:rPr>
          <w:rFonts w:ascii="Arial Narrow" w:hAnsi="Arial Narrow"/>
          <w:b/>
          <w:sz w:val="20"/>
        </w:rPr>
        <w:t>: Budget impact sensitivity analyses</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0"/>
        <w:gridCol w:w="1327"/>
      </w:tblGrid>
      <w:tr w:rsidR="004808C9" w:rsidRPr="00997765" w:rsidTr="004808C9">
        <w:trPr>
          <w:tblHeader/>
        </w:trPr>
        <w:tc>
          <w:tcPr>
            <w:tcW w:w="4205" w:type="pct"/>
            <w:tcBorders>
              <w:left w:val="single" w:sz="4" w:space="0" w:color="auto"/>
              <w:bottom w:val="single" w:sz="4" w:space="0" w:color="auto"/>
            </w:tcBorders>
            <w:shd w:val="clear" w:color="auto" w:fill="auto"/>
            <w:vAlign w:val="bottom"/>
          </w:tcPr>
          <w:p w:rsidR="004808C9" w:rsidRPr="00997765" w:rsidRDefault="004808C9" w:rsidP="002202FF">
            <w:pPr>
              <w:jc w:val="center"/>
              <w:rPr>
                <w:rFonts w:ascii="Arial Narrow" w:hAnsi="Arial Narrow"/>
                <w:b/>
                <w:bCs/>
                <w:sz w:val="20"/>
              </w:rPr>
            </w:pPr>
            <w:r w:rsidRPr="00997765">
              <w:rPr>
                <w:rFonts w:ascii="Arial Narrow" w:hAnsi="Arial Narrow"/>
                <w:b/>
                <w:bCs/>
                <w:sz w:val="20"/>
              </w:rPr>
              <w:t>Descriptor</w:t>
            </w:r>
          </w:p>
        </w:tc>
        <w:tc>
          <w:tcPr>
            <w:tcW w:w="795" w:type="pct"/>
            <w:tcBorders>
              <w:bottom w:val="single" w:sz="4" w:space="0" w:color="auto"/>
              <w:right w:val="single" w:sz="4" w:space="0" w:color="auto"/>
            </w:tcBorders>
            <w:shd w:val="clear" w:color="auto" w:fill="auto"/>
            <w:vAlign w:val="bottom"/>
          </w:tcPr>
          <w:p w:rsidR="004808C9" w:rsidRPr="00997765" w:rsidRDefault="004808C9" w:rsidP="002202FF">
            <w:pPr>
              <w:jc w:val="center"/>
              <w:rPr>
                <w:rFonts w:ascii="Arial Narrow" w:hAnsi="Arial Narrow"/>
                <w:b/>
                <w:bCs/>
                <w:sz w:val="20"/>
              </w:rPr>
            </w:pPr>
            <w:r w:rsidRPr="00997765">
              <w:rPr>
                <w:rFonts w:ascii="Arial Narrow" w:hAnsi="Arial Narrow"/>
                <w:b/>
                <w:bCs/>
                <w:sz w:val="20"/>
              </w:rPr>
              <w:t>Value</w:t>
            </w:r>
          </w:p>
        </w:tc>
      </w:tr>
      <w:tr w:rsidR="004808C9"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4808C9" w:rsidRPr="00997765" w:rsidRDefault="004808C9" w:rsidP="004808C9">
            <w:pPr>
              <w:rPr>
                <w:rFonts w:ascii="Arial Narrow" w:hAnsi="Arial Narrow"/>
                <w:sz w:val="20"/>
              </w:rPr>
            </w:pPr>
            <w:r w:rsidRPr="00997765">
              <w:rPr>
                <w:rFonts w:ascii="Arial Narrow" w:hAnsi="Arial Narrow"/>
                <w:sz w:val="20"/>
              </w:rPr>
              <w:t>Scripts for methotrexate vials (1818Q, 2395C); April 2014-March 2015</w:t>
            </w:r>
            <w:r w:rsidR="006D30C1" w:rsidRPr="00997765">
              <w:rPr>
                <w:rFonts w:ascii="Arial Narrow" w:hAnsi="Arial Narrow"/>
                <w:sz w:val="20"/>
              </w:rPr>
              <w:t>; date-of-processing</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4808C9" w:rsidRPr="00360D24" w:rsidRDefault="00360D24" w:rsidP="002202FF">
            <w:pPr>
              <w:jc w:val="center"/>
              <w:rPr>
                <w:rFonts w:ascii="Arial Narrow" w:hAnsi="Arial Narrow"/>
                <w:sz w:val="20"/>
                <w:highlight w:val="black"/>
              </w:rPr>
            </w:pPr>
            <w:r>
              <w:rPr>
                <w:rFonts w:ascii="Arial Narrow" w:hAnsi="Arial Narrow"/>
                <w:noProof/>
                <w:color w:val="000000"/>
                <w:sz w:val="20"/>
                <w:highlight w:val="black"/>
              </w:rPr>
              <w:t>''''''''''''''''</w:t>
            </w:r>
          </w:p>
        </w:tc>
      </w:tr>
      <w:tr w:rsidR="004808C9"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8C9" w:rsidRPr="00997765" w:rsidRDefault="00043DAE" w:rsidP="004808C9">
            <w:pPr>
              <w:rPr>
                <w:rFonts w:ascii="Arial Narrow" w:hAnsi="Arial Narrow"/>
                <w:b/>
                <w:sz w:val="20"/>
              </w:rPr>
            </w:pPr>
            <w:r w:rsidRPr="00997765">
              <w:rPr>
                <w:rFonts w:ascii="Arial Narrow" w:hAnsi="Arial Narrow"/>
                <w:b/>
                <w:sz w:val="20"/>
              </w:rPr>
              <w:t>Pre-filled m</w:t>
            </w:r>
            <w:r w:rsidR="004808C9" w:rsidRPr="00997765">
              <w:rPr>
                <w:rFonts w:ascii="Arial Narrow" w:hAnsi="Arial Narrow"/>
                <w:b/>
                <w:sz w:val="20"/>
              </w:rPr>
              <w:t>ethotrexate</w:t>
            </w:r>
            <w:r w:rsidRPr="00997765">
              <w:rPr>
                <w:rFonts w:ascii="Arial Narrow" w:hAnsi="Arial Narrow"/>
                <w:b/>
                <w:sz w:val="20"/>
              </w:rPr>
              <w:t xml:space="preserve"> syringe</w:t>
            </w:r>
            <w:r w:rsidR="004808C9" w:rsidRPr="00997765">
              <w:rPr>
                <w:rFonts w:ascii="Arial Narrow" w:hAnsi="Arial Narrow"/>
                <w:b/>
                <w:sz w:val="20"/>
              </w:rPr>
              <w:t xml:space="preserve"> capture 50% of methotrexate vial market</w:t>
            </w:r>
          </w:p>
        </w:tc>
      </w:tr>
      <w:tr w:rsidR="004808C9"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4808C9" w:rsidRPr="00997765" w:rsidRDefault="004808C9" w:rsidP="004808C9">
            <w:pPr>
              <w:rPr>
                <w:rFonts w:ascii="Arial Narrow" w:hAnsi="Arial Narrow"/>
                <w:sz w:val="20"/>
              </w:rPr>
            </w:pPr>
            <w:r w:rsidRPr="00997765">
              <w:rPr>
                <w:rFonts w:ascii="Arial Narrow" w:hAnsi="Arial Narrow"/>
                <w:sz w:val="20"/>
              </w:rPr>
              <w:t>Uptake rate (50%)</w:t>
            </w:r>
            <w:r w:rsidR="00B372C8" w:rsidRPr="00997765">
              <w:rPr>
                <w:rFonts w:ascii="Arial Narrow" w:hAnsi="Arial Narrow"/>
                <w:sz w:val="20"/>
              </w:rPr>
              <w:t>, scripts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4808C9" w:rsidRPr="00360D24" w:rsidRDefault="00360D24" w:rsidP="002202FF">
            <w:pPr>
              <w:jc w:val="center"/>
              <w:rPr>
                <w:rFonts w:ascii="Arial Narrow" w:hAnsi="Arial Narrow"/>
                <w:sz w:val="20"/>
                <w:highlight w:val="black"/>
              </w:rPr>
            </w:pPr>
            <w:r>
              <w:rPr>
                <w:rFonts w:ascii="Arial Narrow" w:hAnsi="Arial Narrow"/>
                <w:noProof/>
                <w:color w:val="000000"/>
                <w:sz w:val="20"/>
                <w:highlight w:val="black"/>
              </w:rPr>
              <w:t>'''''''''''''''''</w:t>
            </w:r>
          </w:p>
        </w:tc>
      </w:tr>
      <w:tr w:rsidR="004808C9"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4808C9" w:rsidRPr="00997765" w:rsidRDefault="004808C9" w:rsidP="004808C9">
            <w:pPr>
              <w:rPr>
                <w:rFonts w:ascii="Arial Narrow" w:hAnsi="Arial Narrow"/>
                <w:sz w:val="20"/>
              </w:rPr>
            </w:pPr>
            <w:r w:rsidRPr="00997765">
              <w:rPr>
                <w:rFonts w:ascii="Arial Narrow" w:hAnsi="Arial Narrow"/>
                <w:sz w:val="20"/>
              </w:rPr>
              <w:t>Adjustment factor for difference in pack size (1.25)</w:t>
            </w:r>
            <w:r w:rsidR="00B372C8" w:rsidRPr="00997765">
              <w:rPr>
                <w:rFonts w:ascii="Arial Narrow" w:hAnsi="Arial Narrow"/>
                <w:sz w:val="20"/>
              </w:rPr>
              <w:t>, scripts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4808C9" w:rsidRPr="00360D24" w:rsidRDefault="00360D24" w:rsidP="002202FF">
            <w:pPr>
              <w:jc w:val="center"/>
              <w:rPr>
                <w:rFonts w:ascii="Arial Narrow" w:hAnsi="Arial Narrow"/>
                <w:sz w:val="20"/>
                <w:highlight w:val="black"/>
              </w:rPr>
            </w:pPr>
            <w:r>
              <w:rPr>
                <w:rFonts w:ascii="Arial Narrow" w:hAnsi="Arial Narrow"/>
                <w:noProof/>
                <w:color w:val="000000"/>
                <w:sz w:val="20"/>
                <w:highlight w:val="black"/>
              </w:rPr>
              <w:t>''''''''''''''''</w:t>
            </w:r>
          </w:p>
        </w:tc>
      </w:tr>
      <w:tr w:rsidR="004808C9"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4808C9" w:rsidRPr="00997765" w:rsidRDefault="004808C9" w:rsidP="004808C9">
            <w:pPr>
              <w:rPr>
                <w:rFonts w:ascii="Arial Narrow" w:hAnsi="Arial Narrow"/>
                <w:sz w:val="20"/>
              </w:rPr>
            </w:pPr>
            <w:r w:rsidRPr="00997765">
              <w:rPr>
                <w:rFonts w:ascii="Arial Narrow" w:hAnsi="Arial Narrow"/>
                <w:sz w:val="20"/>
              </w:rPr>
              <w:t>Cost at DPMQ ($187.06)</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4808C9"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4808C9"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4808C9" w:rsidRPr="00997765" w:rsidRDefault="006D30C1" w:rsidP="00770E87">
            <w:pPr>
              <w:rPr>
                <w:rFonts w:ascii="Arial Narrow" w:hAnsi="Arial Narrow"/>
                <w:sz w:val="20"/>
              </w:rPr>
            </w:pPr>
            <w:r w:rsidRPr="00997765">
              <w:rPr>
                <w:rFonts w:ascii="Arial Narrow" w:hAnsi="Arial Narrow"/>
                <w:sz w:val="20"/>
              </w:rPr>
              <w:t>Patient co-payments (avg. $20.44</w:t>
            </w:r>
            <w:r w:rsidR="00770E87" w:rsidRPr="00997765">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4808C9"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4808C9"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4808C9" w:rsidRPr="00997765" w:rsidRDefault="00770E87" w:rsidP="00770E87">
            <w:pPr>
              <w:rPr>
                <w:rFonts w:ascii="Arial Narrow" w:hAnsi="Arial Narrow"/>
                <w:sz w:val="20"/>
              </w:rPr>
            </w:pPr>
            <w:r w:rsidRPr="00997765">
              <w:rPr>
                <w:rFonts w:ascii="Arial Narrow" w:hAnsi="Arial Narrow"/>
                <w:sz w:val="20"/>
              </w:rPr>
              <w:t>Total cost less co-payments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4808C9"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4808C9"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4808C9" w:rsidRPr="00997765" w:rsidRDefault="00770E87" w:rsidP="00770E87">
            <w:pPr>
              <w:rPr>
                <w:rFonts w:ascii="Arial Narrow" w:hAnsi="Arial Narrow"/>
                <w:sz w:val="20"/>
              </w:rPr>
            </w:pPr>
            <w:r w:rsidRPr="00997765">
              <w:rPr>
                <w:rFonts w:ascii="Arial Narrow" w:hAnsi="Arial Narrow"/>
                <w:sz w:val="20"/>
              </w:rPr>
              <w:t xml:space="preserve">Cost of substituted vials </w:t>
            </w:r>
            <w:r w:rsidR="006D30C1" w:rsidRPr="00997765">
              <w:rPr>
                <w:rFonts w:ascii="Arial Narrow" w:hAnsi="Arial Narrow"/>
                <w:sz w:val="20"/>
              </w:rPr>
              <w:t xml:space="preserve">(DPMQ $50.31 – </w:t>
            </w:r>
            <w:proofErr w:type="spellStart"/>
            <w:r w:rsidR="006D30C1" w:rsidRPr="00997765">
              <w:rPr>
                <w:rFonts w:ascii="Arial Narrow" w:hAnsi="Arial Narrow"/>
                <w:sz w:val="20"/>
              </w:rPr>
              <w:t>avg</w:t>
            </w:r>
            <w:proofErr w:type="spellEnd"/>
            <w:r w:rsidR="006D30C1" w:rsidRPr="00997765">
              <w:rPr>
                <w:rFonts w:ascii="Arial Narrow" w:hAnsi="Arial Narrow"/>
                <w:sz w:val="20"/>
              </w:rPr>
              <w:t xml:space="preserve"> co-pay $20.44</w:t>
            </w:r>
            <w:r w:rsidRPr="00997765">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4808C9"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70E87" w:rsidRPr="00997765" w:rsidTr="00480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770E87" w:rsidP="00770E87">
            <w:pPr>
              <w:rPr>
                <w:rFonts w:ascii="Arial Narrow" w:hAnsi="Arial Narrow"/>
                <w:sz w:val="20"/>
              </w:rPr>
            </w:pPr>
            <w:r w:rsidRPr="00997765">
              <w:rPr>
                <w:rFonts w:ascii="Arial Narrow" w:hAnsi="Arial Narrow"/>
                <w:sz w:val="20"/>
              </w:rPr>
              <w:t>Net cost to PBS/RPBS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70E87"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70E87" w:rsidRPr="00997765" w:rsidTr="002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043DAE" w:rsidP="002202FF">
            <w:pPr>
              <w:rPr>
                <w:rFonts w:ascii="Arial Narrow" w:hAnsi="Arial Narrow"/>
                <w:b/>
                <w:sz w:val="20"/>
              </w:rPr>
            </w:pPr>
            <w:r w:rsidRPr="00997765">
              <w:rPr>
                <w:rFonts w:ascii="Arial Narrow" w:hAnsi="Arial Narrow"/>
                <w:b/>
                <w:sz w:val="20"/>
              </w:rPr>
              <w:t>Pre-filled m</w:t>
            </w:r>
            <w:r w:rsidR="00770E87" w:rsidRPr="00997765">
              <w:rPr>
                <w:rFonts w:ascii="Arial Narrow" w:hAnsi="Arial Narrow"/>
                <w:b/>
                <w:sz w:val="20"/>
              </w:rPr>
              <w:t>ethotrexate</w:t>
            </w:r>
            <w:r w:rsidRPr="00997765">
              <w:rPr>
                <w:rFonts w:ascii="Arial Narrow" w:hAnsi="Arial Narrow"/>
                <w:b/>
                <w:sz w:val="20"/>
              </w:rPr>
              <w:t xml:space="preserve"> syringe</w:t>
            </w:r>
            <w:r w:rsidR="00770E87" w:rsidRPr="00997765">
              <w:rPr>
                <w:rFonts w:ascii="Arial Narrow" w:hAnsi="Arial Narrow"/>
                <w:b/>
                <w:sz w:val="20"/>
              </w:rPr>
              <w:t xml:space="preserve"> capture 100% of methotrexate vial market</w:t>
            </w:r>
          </w:p>
        </w:tc>
      </w:tr>
      <w:tr w:rsidR="00770E87" w:rsidRPr="00997765" w:rsidTr="002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770E87" w:rsidP="002202FF">
            <w:pPr>
              <w:rPr>
                <w:rFonts w:ascii="Arial Narrow" w:hAnsi="Arial Narrow"/>
                <w:sz w:val="20"/>
              </w:rPr>
            </w:pPr>
            <w:r w:rsidRPr="00997765">
              <w:rPr>
                <w:rFonts w:ascii="Arial Narrow" w:hAnsi="Arial Narrow"/>
                <w:sz w:val="20"/>
              </w:rPr>
              <w:t>Uptake rate (100%)</w:t>
            </w:r>
            <w:r w:rsidR="00B372C8" w:rsidRPr="00997765">
              <w:rPr>
                <w:rFonts w:ascii="Arial Narrow" w:hAnsi="Arial Narrow"/>
                <w:sz w:val="20"/>
              </w:rPr>
              <w:t>, scripts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70E87" w:rsidRPr="00360D24" w:rsidRDefault="00360D24" w:rsidP="002202FF">
            <w:pPr>
              <w:jc w:val="center"/>
              <w:rPr>
                <w:rFonts w:ascii="Arial Narrow" w:hAnsi="Arial Narrow"/>
                <w:sz w:val="20"/>
                <w:highlight w:val="black"/>
              </w:rPr>
            </w:pPr>
            <w:r>
              <w:rPr>
                <w:rFonts w:ascii="Arial Narrow" w:hAnsi="Arial Narrow"/>
                <w:noProof/>
                <w:color w:val="000000"/>
                <w:sz w:val="20"/>
                <w:highlight w:val="black"/>
              </w:rPr>
              <w:t>''''''''''''''''</w:t>
            </w:r>
          </w:p>
        </w:tc>
      </w:tr>
      <w:tr w:rsidR="00770E87" w:rsidRPr="00997765" w:rsidTr="002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770E87" w:rsidP="002202FF">
            <w:pPr>
              <w:rPr>
                <w:rFonts w:ascii="Arial Narrow" w:hAnsi="Arial Narrow"/>
                <w:sz w:val="20"/>
              </w:rPr>
            </w:pPr>
            <w:r w:rsidRPr="00997765">
              <w:rPr>
                <w:rFonts w:ascii="Arial Narrow" w:hAnsi="Arial Narrow"/>
                <w:sz w:val="20"/>
              </w:rPr>
              <w:t>Adjustment factor for difference in pack size (1.25)</w:t>
            </w:r>
            <w:r w:rsidR="00B372C8" w:rsidRPr="00997765">
              <w:rPr>
                <w:rFonts w:ascii="Arial Narrow" w:hAnsi="Arial Narrow"/>
                <w:sz w:val="20"/>
              </w:rPr>
              <w:t>, scripts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70E87" w:rsidRPr="00360D24" w:rsidRDefault="00360D24" w:rsidP="002202FF">
            <w:pPr>
              <w:jc w:val="center"/>
              <w:rPr>
                <w:rFonts w:ascii="Arial Narrow" w:hAnsi="Arial Narrow"/>
                <w:sz w:val="20"/>
                <w:highlight w:val="black"/>
              </w:rPr>
            </w:pPr>
            <w:r>
              <w:rPr>
                <w:rFonts w:ascii="Arial Narrow" w:hAnsi="Arial Narrow"/>
                <w:noProof/>
                <w:color w:val="000000"/>
                <w:sz w:val="20"/>
                <w:highlight w:val="black"/>
              </w:rPr>
              <w:t>''''''''''''''''</w:t>
            </w:r>
          </w:p>
        </w:tc>
      </w:tr>
      <w:tr w:rsidR="00770E87" w:rsidRPr="00997765" w:rsidTr="002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770E87" w:rsidP="002202FF">
            <w:pPr>
              <w:rPr>
                <w:rFonts w:ascii="Arial Narrow" w:hAnsi="Arial Narrow"/>
                <w:sz w:val="20"/>
              </w:rPr>
            </w:pPr>
            <w:r w:rsidRPr="00997765">
              <w:rPr>
                <w:rFonts w:ascii="Arial Narrow" w:hAnsi="Arial Narrow"/>
                <w:sz w:val="20"/>
              </w:rPr>
              <w:t>Cost at DPMQ ($187.06)</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70E87"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70E87" w:rsidRPr="00997765" w:rsidTr="002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6D30C1" w:rsidP="002202FF">
            <w:pPr>
              <w:rPr>
                <w:rFonts w:ascii="Arial Narrow" w:hAnsi="Arial Narrow"/>
                <w:sz w:val="20"/>
              </w:rPr>
            </w:pPr>
            <w:r w:rsidRPr="00997765">
              <w:rPr>
                <w:rFonts w:ascii="Arial Narrow" w:hAnsi="Arial Narrow"/>
                <w:sz w:val="20"/>
              </w:rPr>
              <w:t>Patient co-payments (avg. $20.44</w:t>
            </w:r>
            <w:r w:rsidR="00770E87" w:rsidRPr="00997765">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70E87"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70E87" w:rsidRPr="00997765" w:rsidTr="002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770E87" w:rsidP="002202FF">
            <w:pPr>
              <w:rPr>
                <w:rFonts w:ascii="Arial Narrow" w:hAnsi="Arial Narrow"/>
                <w:sz w:val="20"/>
              </w:rPr>
            </w:pPr>
            <w:r w:rsidRPr="00997765">
              <w:rPr>
                <w:rFonts w:ascii="Arial Narrow" w:hAnsi="Arial Narrow"/>
                <w:sz w:val="20"/>
              </w:rPr>
              <w:t>Total cost less co-payments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70E87"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70E87" w:rsidRPr="00997765" w:rsidTr="002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770E87" w:rsidP="002202FF">
            <w:pPr>
              <w:rPr>
                <w:rFonts w:ascii="Arial Narrow" w:hAnsi="Arial Narrow"/>
                <w:sz w:val="20"/>
              </w:rPr>
            </w:pPr>
            <w:r w:rsidRPr="00997765">
              <w:rPr>
                <w:rFonts w:ascii="Arial Narrow" w:hAnsi="Arial Narrow"/>
                <w:sz w:val="20"/>
              </w:rPr>
              <w:t>Cost of substituted vials (DPMQ $50.31 – avg</w:t>
            </w:r>
            <w:r w:rsidR="000F3113" w:rsidRPr="00997765">
              <w:rPr>
                <w:rFonts w:ascii="Arial Narrow" w:hAnsi="Arial Narrow"/>
                <w:sz w:val="20"/>
              </w:rPr>
              <w:t>.</w:t>
            </w:r>
            <w:r w:rsidR="006D30C1" w:rsidRPr="00997765">
              <w:rPr>
                <w:rFonts w:ascii="Arial Narrow" w:hAnsi="Arial Narrow"/>
                <w:sz w:val="20"/>
              </w:rPr>
              <w:t xml:space="preserve"> co-pay $20.44</w:t>
            </w:r>
            <w:r w:rsidRPr="00997765">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70E87"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r w:rsidR="00770E87" w:rsidRPr="00997765" w:rsidTr="002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770E87" w:rsidRPr="00997765" w:rsidRDefault="00770E87" w:rsidP="002202FF">
            <w:pPr>
              <w:rPr>
                <w:rFonts w:ascii="Arial Narrow" w:hAnsi="Arial Narrow"/>
                <w:sz w:val="20"/>
              </w:rPr>
            </w:pPr>
            <w:r w:rsidRPr="00997765">
              <w:rPr>
                <w:rFonts w:ascii="Arial Narrow" w:hAnsi="Arial Narrow"/>
                <w:sz w:val="20"/>
              </w:rPr>
              <w:t>Net cost to PBS/RPBS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770E87" w:rsidRPr="00997765" w:rsidRDefault="00770E87" w:rsidP="002202FF">
            <w:pPr>
              <w:jc w:val="center"/>
              <w:rPr>
                <w:rFonts w:ascii="Arial Narrow" w:hAnsi="Arial Narrow"/>
                <w:sz w:val="20"/>
              </w:rPr>
            </w:pPr>
            <w:r w:rsidRPr="00997765">
              <w:rPr>
                <w:rFonts w:ascii="Arial Narrow" w:hAnsi="Arial Narrow"/>
                <w:sz w:val="20"/>
              </w:rPr>
              <w:t>$</w:t>
            </w:r>
            <w:r w:rsidR="00360D24">
              <w:rPr>
                <w:rFonts w:ascii="Arial Narrow" w:hAnsi="Arial Narrow"/>
                <w:noProof/>
                <w:color w:val="000000"/>
                <w:sz w:val="20"/>
                <w:highlight w:val="black"/>
              </w:rPr>
              <w:t>''''''''''''''''''''''''</w:t>
            </w:r>
          </w:p>
        </w:tc>
      </w:tr>
    </w:tbl>
    <w:p w:rsidR="004808C9" w:rsidRPr="00997765" w:rsidRDefault="004808C9" w:rsidP="000F3113">
      <w:pPr>
        <w:pStyle w:val="ListParagraph"/>
        <w:jc w:val="both"/>
        <w:rPr>
          <w:rFonts w:ascii="Arial Narrow" w:hAnsi="Arial Narrow"/>
          <w:sz w:val="18"/>
          <w:szCs w:val="18"/>
        </w:rPr>
      </w:pPr>
      <w:r w:rsidRPr="00997765">
        <w:rPr>
          <w:rFonts w:ascii="Arial Narrow" w:hAnsi="Arial Narrow"/>
          <w:sz w:val="18"/>
          <w:szCs w:val="18"/>
        </w:rPr>
        <w:t xml:space="preserve">Abbreviations: </w:t>
      </w:r>
      <w:r w:rsidR="000F3113" w:rsidRPr="00997765">
        <w:rPr>
          <w:rFonts w:ascii="Arial Narrow" w:hAnsi="Arial Narrow"/>
          <w:sz w:val="18"/>
          <w:szCs w:val="18"/>
        </w:rPr>
        <w:t>DPMQ, dispensed price per maximum quantity; PBS, Pharmaceutical Benefits Scheme; PSO, psoriasis; RA, rheumatoid arthritis; RPBS, Repatriation Pharmaceutical Benefits Scheme</w:t>
      </w:r>
    </w:p>
    <w:p w:rsidR="004808C9" w:rsidRPr="00997765" w:rsidRDefault="004808C9" w:rsidP="004808C9">
      <w:pPr>
        <w:pStyle w:val="ListParagraph"/>
        <w:rPr>
          <w:rFonts w:ascii="Arial Narrow" w:hAnsi="Arial Narrow"/>
          <w:sz w:val="18"/>
          <w:szCs w:val="18"/>
        </w:rPr>
      </w:pPr>
      <w:r w:rsidRPr="00997765">
        <w:rPr>
          <w:rFonts w:ascii="Arial Narrow" w:hAnsi="Arial Narrow"/>
          <w:sz w:val="18"/>
          <w:szCs w:val="18"/>
        </w:rPr>
        <w:t xml:space="preserve">Source: </w:t>
      </w:r>
      <w:r w:rsidR="007E7DA2" w:rsidRPr="00997765">
        <w:rPr>
          <w:rFonts w:ascii="Arial Narrow" w:hAnsi="Arial Narrow"/>
          <w:sz w:val="18"/>
          <w:szCs w:val="18"/>
        </w:rPr>
        <w:t xml:space="preserve">Constructed </w:t>
      </w:r>
      <w:r w:rsidR="00CD09EF" w:rsidRPr="00997765">
        <w:rPr>
          <w:rFonts w:ascii="Arial Narrow" w:hAnsi="Arial Narrow"/>
          <w:sz w:val="18"/>
          <w:szCs w:val="18"/>
        </w:rPr>
        <w:t>during evaluation</w:t>
      </w:r>
      <w:r w:rsidRPr="00997765">
        <w:rPr>
          <w:rFonts w:ascii="Arial Narrow" w:hAnsi="Arial Narrow"/>
          <w:sz w:val="18"/>
          <w:szCs w:val="18"/>
        </w:rPr>
        <w:t xml:space="preserve"> </w:t>
      </w:r>
    </w:p>
    <w:p w:rsidR="00734761" w:rsidRPr="00997765" w:rsidRDefault="00734761" w:rsidP="004808C9">
      <w:pPr>
        <w:jc w:val="both"/>
        <w:rPr>
          <w:rFonts w:ascii="Arial" w:hAnsi="Arial"/>
          <w:i/>
          <w:sz w:val="22"/>
          <w:szCs w:val="22"/>
        </w:rPr>
      </w:pPr>
    </w:p>
    <w:p w:rsidR="003872CF" w:rsidRDefault="00770E87" w:rsidP="009D25B0">
      <w:pPr>
        <w:pStyle w:val="ListParagraph"/>
        <w:numPr>
          <w:ilvl w:val="1"/>
          <w:numId w:val="1"/>
        </w:numPr>
        <w:jc w:val="both"/>
        <w:rPr>
          <w:rFonts w:ascii="Arial" w:hAnsi="Arial"/>
          <w:sz w:val="22"/>
          <w:szCs w:val="22"/>
        </w:rPr>
      </w:pPr>
      <w:r w:rsidRPr="00997765">
        <w:rPr>
          <w:rFonts w:ascii="Arial" w:hAnsi="Arial"/>
          <w:sz w:val="22"/>
          <w:szCs w:val="22"/>
        </w:rPr>
        <w:t>The results of the sensitivity analyses indicate</w:t>
      </w:r>
      <w:r w:rsidR="0079189A" w:rsidRPr="00997765">
        <w:rPr>
          <w:rFonts w:ascii="Arial" w:hAnsi="Arial"/>
          <w:sz w:val="22"/>
          <w:szCs w:val="22"/>
        </w:rPr>
        <w:t>d</w:t>
      </w:r>
      <w:r w:rsidRPr="00997765">
        <w:rPr>
          <w:rFonts w:ascii="Arial" w:hAnsi="Arial"/>
          <w:sz w:val="22"/>
          <w:szCs w:val="22"/>
        </w:rPr>
        <w:t xml:space="preserve"> that the budget impact associated with listing methotrexate pre-filled syringes on the PBS/RPBS may be substantially higher than estimated in the submission.</w:t>
      </w:r>
    </w:p>
    <w:p w:rsidR="00DB1449" w:rsidRDefault="00DB1449" w:rsidP="00DB1449">
      <w:pPr>
        <w:pStyle w:val="ListParagraph"/>
        <w:jc w:val="both"/>
        <w:rPr>
          <w:rFonts w:ascii="Arial" w:hAnsi="Arial"/>
          <w:sz w:val="22"/>
          <w:szCs w:val="22"/>
        </w:rPr>
      </w:pPr>
    </w:p>
    <w:p w:rsidR="00DB1449" w:rsidRPr="00DB1449" w:rsidRDefault="00DB1449" w:rsidP="00DB1449">
      <w:pPr>
        <w:pStyle w:val="ListParagraph"/>
        <w:numPr>
          <w:ilvl w:val="1"/>
          <w:numId w:val="1"/>
        </w:numPr>
        <w:jc w:val="both"/>
        <w:rPr>
          <w:rFonts w:ascii="Arial" w:hAnsi="Arial"/>
          <w:sz w:val="22"/>
          <w:szCs w:val="22"/>
        </w:rPr>
      </w:pPr>
      <w:r w:rsidRPr="00997765">
        <w:rPr>
          <w:rFonts w:ascii="Arial" w:hAnsi="Arial"/>
          <w:sz w:val="22"/>
          <w:szCs w:val="22"/>
        </w:rPr>
        <w:t>The Pre-PBAC response stated</w:t>
      </w:r>
      <w:r>
        <w:rPr>
          <w:rFonts w:ascii="Arial" w:hAnsi="Arial"/>
          <w:sz w:val="22"/>
          <w:szCs w:val="22"/>
        </w:rPr>
        <w:t xml:space="preserve"> (page </w:t>
      </w:r>
      <w:r w:rsidRPr="00997765">
        <w:rPr>
          <w:rFonts w:ascii="Arial" w:hAnsi="Arial"/>
          <w:sz w:val="22"/>
          <w:szCs w:val="22"/>
        </w:rPr>
        <w:t>2) that patients who had received methotrexate vial scripts under the EFC program, and were coded to RA or psoriasis, were unlikely to have been receiving methotrexate as an antineoplastic treatment.  The response estimated that 25% of methotrexate vials (50 mg/2 mL) used in RA or psoriasis had been claimed under the EFC program. The response presented an additional sensitivity analysis around this estimate.</w:t>
      </w:r>
    </w:p>
    <w:p w:rsidR="00037FE3" w:rsidRPr="00997765" w:rsidRDefault="00037FE3" w:rsidP="00C855D3">
      <w:pPr>
        <w:pStyle w:val="ListParagraph"/>
        <w:jc w:val="both"/>
        <w:rPr>
          <w:rFonts w:ascii="Arial" w:hAnsi="Arial"/>
          <w:sz w:val="22"/>
          <w:szCs w:val="22"/>
        </w:rPr>
      </w:pPr>
    </w:p>
    <w:p w:rsidR="001F37BA" w:rsidRDefault="001F37BA" w:rsidP="009D25B0">
      <w:pPr>
        <w:ind w:left="709"/>
        <w:rPr>
          <w:rFonts w:ascii="Arial" w:hAnsi="Arial"/>
          <w:sz w:val="22"/>
          <w:szCs w:val="22"/>
        </w:rPr>
      </w:pPr>
    </w:p>
    <w:p w:rsidR="001F37BA" w:rsidRDefault="001F37BA">
      <w:pPr>
        <w:rPr>
          <w:rFonts w:ascii="Arial" w:hAnsi="Arial"/>
          <w:sz w:val="22"/>
          <w:szCs w:val="22"/>
        </w:rPr>
      </w:pPr>
      <w:r>
        <w:rPr>
          <w:rFonts w:ascii="Arial" w:hAnsi="Arial"/>
          <w:sz w:val="22"/>
          <w:szCs w:val="22"/>
        </w:rPr>
        <w:br w:type="page"/>
      </w:r>
    </w:p>
    <w:p w:rsidR="00037FE3" w:rsidRPr="00997765" w:rsidRDefault="00037FE3" w:rsidP="009D25B0">
      <w:pPr>
        <w:ind w:left="709"/>
        <w:rPr>
          <w:rFonts w:ascii="Arial Narrow" w:hAnsi="Arial Narrow"/>
          <w:b/>
          <w:sz w:val="20"/>
        </w:rPr>
      </w:pPr>
      <w:r w:rsidRPr="00997765">
        <w:rPr>
          <w:rFonts w:ascii="Arial Narrow" w:hAnsi="Arial Narrow"/>
          <w:b/>
          <w:sz w:val="20"/>
        </w:rPr>
        <w:lastRenderedPageBreak/>
        <w:t>Table 1</w:t>
      </w:r>
      <w:r w:rsidR="00DB1449">
        <w:rPr>
          <w:rFonts w:ascii="Arial Narrow" w:hAnsi="Arial Narrow"/>
          <w:b/>
          <w:sz w:val="20"/>
        </w:rPr>
        <w:t>8</w:t>
      </w:r>
      <w:r w:rsidRPr="00997765">
        <w:rPr>
          <w:rFonts w:ascii="Arial Narrow" w:hAnsi="Arial Narrow"/>
          <w:b/>
          <w:sz w:val="20"/>
        </w:rPr>
        <w:t>: Further sensitivity analyses (EFC)</w:t>
      </w:r>
    </w:p>
    <w:tbl>
      <w:tblPr>
        <w:tblW w:w="4524" w:type="pct"/>
        <w:tblInd w:w="817" w:type="dxa"/>
        <w:tblLayout w:type="fixed"/>
        <w:tblLook w:val="04A0" w:firstRow="1" w:lastRow="0" w:firstColumn="1" w:lastColumn="0" w:noHBand="0" w:noVBand="1"/>
      </w:tblPr>
      <w:tblGrid>
        <w:gridCol w:w="5953"/>
        <w:gridCol w:w="1136"/>
        <w:gridCol w:w="1273"/>
      </w:tblGrid>
      <w:tr w:rsidR="00037FE3" w:rsidRPr="00997765" w:rsidTr="009D25B0">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037FE3" w:rsidRPr="00997765" w:rsidRDefault="00037FE3" w:rsidP="005B2D76">
            <w:pPr>
              <w:pStyle w:val="Table"/>
              <w:rPr>
                <w:rStyle w:val="SmallBold"/>
                <w:rFonts w:ascii="Arial Narrow" w:hAnsi="Arial Narrow"/>
              </w:rPr>
            </w:pPr>
            <w:r w:rsidRPr="00997765">
              <w:rPr>
                <w:rStyle w:val="SmallBold"/>
                <w:rFonts w:ascii="Arial Narrow" w:hAnsi="Arial Narrow"/>
              </w:rPr>
              <w:t>Sensitivity analyses (AEMP)</w:t>
            </w:r>
          </w:p>
        </w:tc>
      </w:tr>
      <w:tr w:rsidR="00037FE3" w:rsidRPr="00997765" w:rsidTr="00037FE3">
        <w:tc>
          <w:tcPr>
            <w:tcW w:w="3560" w:type="pct"/>
            <w:tcBorders>
              <w:top w:val="single" w:sz="4" w:space="0" w:color="auto"/>
              <w:left w:val="single" w:sz="4" w:space="0" w:color="auto"/>
              <w:bottom w:val="single" w:sz="4" w:space="0" w:color="auto"/>
              <w:right w:val="single" w:sz="4" w:space="0" w:color="auto"/>
            </w:tcBorders>
            <w:shd w:val="clear" w:color="auto" w:fill="auto"/>
            <w:vAlign w:val="bottom"/>
          </w:tcPr>
          <w:p w:rsidR="00037FE3" w:rsidRPr="00997765" w:rsidRDefault="00037FE3" w:rsidP="005B2D76">
            <w:pPr>
              <w:pStyle w:val="Table"/>
              <w:rPr>
                <w:rFonts w:ascii="Arial Narrow" w:hAnsi="Arial Narrow"/>
              </w:rPr>
            </w:pPr>
            <w:r w:rsidRPr="00997765">
              <w:rPr>
                <w:rFonts w:ascii="Arial Narrow" w:hAnsi="Arial Narrow"/>
              </w:rPr>
              <w:t>EFC items comprise 25% of use; 75% self-inject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037FE3" w:rsidRPr="00997765" w:rsidRDefault="00037FE3" w:rsidP="005B2D76">
            <w:pPr>
              <w:pStyle w:val="TableRight"/>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037FE3" w:rsidRPr="00997765" w:rsidRDefault="00037FE3" w:rsidP="005B2D76">
            <w:pPr>
              <w:pStyle w:val="TableRight"/>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037FE3" w:rsidRPr="00997765" w:rsidTr="00037FE3">
        <w:tc>
          <w:tcPr>
            <w:tcW w:w="3560" w:type="pct"/>
            <w:tcBorders>
              <w:top w:val="single" w:sz="4" w:space="0" w:color="auto"/>
              <w:left w:val="single" w:sz="4" w:space="0" w:color="auto"/>
              <w:bottom w:val="single" w:sz="4" w:space="0" w:color="auto"/>
              <w:right w:val="single" w:sz="4" w:space="0" w:color="auto"/>
            </w:tcBorders>
            <w:shd w:val="clear" w:color="auto" w:fill="auto"/>
            <w:vAlign w:val="bottom"/>
          </w:tcPr>
          <w:p w:rsidR="00037FE3" w:rsidRPr="00997765" w:rsidRDefault="00037FE3" w:rsidP="005B2D76">
            <w:pPr>
              <w:pStyle w:val="Table"/>
              <w:rPr>
                <w:rFonts w:ascii="Arial Narrow" w:hAnsi="Arial Narrow"/>
              </w:rPr>
            </w:pPr>
            <w:r w:rsidRPr="00997765">
              <w:rPr>
                <w:rFonts w:ascii="Arial Narrow" w:hAnsi="Arial Narrow"/>
              </w:rPr>
              <w:t>EFC items comprise 10% of use; 96.3% self-inject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037FE3" w:rsidRPr="00997765" w:rsidRDefault="00037FE3" w:rsidP="005B2D76">
            <w:pPr>
              <w:pStyle w:val="TableRight"/>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037FE3" w:rsidRPr="00997765" w:rsidRDefault="00037FE3" w:rsidP="005B2D76">
            <w:pPr>
              <w:pStyle w:val="TableRight"/>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r w:rsidR="00037FE3" w:rsidRPr="00997765" w:rsidTr="00037FE3">
        <w:tc>
          <w:tcPr>
            <w:tcW w:w="3560" w:type="pct"/>
            <w:tcBorders>
              <w:top w:val="single" w:sz="4" w:space="0" w:color="auto"/>
              <w:left w:val="single" w:sz="4" w:space="0" w:color="auto"/>
              <w:bottom w:val="single" w:sz="4" w:space="0" w:color="auto"/>
              <w:right w:val="single" w:sz="4" w:space="0" w:color="auto"/>
            </w:tcBorders>
            <w:shd w:val="clear" w:color="auto" w:fill="auto"/>
            <w:vAlign w:val="bottom"/>
          </w:tcPr>
          <w:p w:rsidR="00037FE3" w:rsidRPr="00997765" w:rsidRDefault="00037FE3" w:rsidP="005B2D76">
            <w:pPr>
              <w:pStyle w:val="Table"/>
              <w:rPr>
                <w:rFonts w:ascii="Arial Narrow" w:hAnsi="Arial Narrow"/>
              </w:rPr>
            </w:pPr>
            <w:r w:rsidRPr="00997765">
              <w:rPr>
                <w:rFonts w:ascii="Arial Narrow" w:hAnsi="Arial Narrow"/>
              </w:rPr>
              <w:t>EFC items comprise 10% of use; 75% self-inject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037FE3" w:rsidRPr="00997765" w:rsidRDefault="00037FE3" w:rsidP="005B2D76">
            <w:pPr>
              <w:pStyle w:val="TableRight"/>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037FE3" w:rsidRPr="00997765" w:rsidRDefault="00037FE3" w:rsidP="005B2D76">
            <w:pPr>
              <w:pStyle w:val="TableRight"/>
              <w:rPr>
                <w:rFonts w:ascii="Arial Narrow" w:hAnsi="Arial Narrow"/>
              </w:rPr>
            </w:pPr>
            <w:r w:rsidRPr="00997765">
              <w:rPr>
                <w:rFonts w:ascii="Arial Narrow" w:hAnsi="Arial Narrow"/>
              </w:rPr>
              <w:t>$</w:t>
            </w:r>
            <w:r w:rsidR="00360D24">
              <w:rPr>
                <w:rFonts w:ascii="Arial Narrow" w:hAnsi="Arial Narrow"/>
                <w:noProof/>
                <w:color w:val="000000"/>
                <w:highlight w:val="black"/>
              </w:rPr>
              <w:t>''''''''''''''''</w:t>
            </w:r>
          </w:p>
        </w:tc>
      </w:tr>
    </w:tbl>
    <w:p w:rsidR="00037FE3" w:rsidRPr="00997765" w:rsidRDefault="00037FE3" w:rsidP="00C855D3">
      <w:pPr>
        <w:pStyle w:val="ListParagraph"/>
        <w:jc w:val="both"/>
        <w:rPr>
          <w:rFonts w:ascii="Arial" w:hAnsi="Arial"/>
          <w:sz w:val="22"/>
          <w:szCs w:val="22"/>
        </w:rPr>
      </w:pPr>
      <w:r w:rsidRPr="00997765">
        <w:rPr>
          <w:rFonts w:ascii="Arial Narrow" w:hAnsi="Arial Narrow"/>
          <w:sz w:val="18"/>
          <w:szCs w:val="18"/>
        </w:rPr>
        <w:t xml:space="preserve">Source: Table 1 (page 4) of the Pre-PBAC response </w:t>
      </w:r>
    </w:p>
    <w:p w:rsidR="00F27BC8" w:rsidRPr="00997765" w:rsidRDefault="00F27BC8" w:rsidP="00F27BC8">
      <w:pPr>
        <w:pStyle w:val="ListParagraph"/>
        <w:jc w:val="both"/>
        <w:rPr>
          <w:rFonts w:ascii="Arial" w:hAnsi="Arial"/>
          <w:sz w:val="22"/>
          <w:szCs w:val="22"/>
        </w:rPr>
      </w:pPr>
    </w:p>
    <w:p w:rsidR="00F27BC8" w:rsidRPr="00997765" w:rsidRDefault="00F27BC8" w:rsidP="00F27BC8">
      <w:pPr>
        <w:widowControl w:val="0"/>
        <w:ind w:left="709"/>
        <w:contextualSpacing/>
        <w:jc w:val="both"/>
        <w:rPr>
          <w:rFonts w:ascii="Arial" w:hAnsi="Arial" w:cs="Arial"/>
          <w:i/>
          <w:snapToGrid w:val="0"/>
          <w:sz w:val="22"/>
          <w:szCs w:val="22"/>
          <w:lang w:eastAsia="en-US"/>
        </w:rPr>
      </w:pPr>
      <w:r w:rsidRPr="00997765">
        <w:rPr>
          <w:rFonts w:ascii="Arial" w:hAnsi="Arial" w:cs="Arial"/>
          <w:i/>
          <w:snapToGrid w:val="0"/>
          <w:sz w:val="22"/>
          <w:szCs w:val="22"/>
          <w:lang w:eastAsia="en-US"/>
        </w:rPr>
        <w:t>For more detail on PBAC’s view, see section 7 “PBAC outcome”</w:t>
      </w:r>
    </w:p>
    <w:p w:rsidR="00F27BC8" w:rsidRPr="00997765" w:rsidRDefault="00F27BC8" w:rsidP="00F27BC8">
      <w:pPr>
        <w:pStyle w:val="ListParagraph"/>
        <w:jc w:val="both"/>
        <w:rPr>
          <w:rFonts w:ascii="Arial" w:hAnsi="Arial"/>
          <w:sz w:val="22"/>
          <w:szCs w:val="22"/>
        </w:rPr>
      </w:pPr>
    </w:p>
    <w:p w:rsidR="00F27BC8" w:rsidRPr="00997765" w:rsidRDefault="00F27BC8" w:rsidP="00F27BC8">
      <w:pPr>
        <w:ind w:firstLine="709"/>
        <w:rPr>
          <w:rFonts w:ascii="Arial Narrow" w:hAnsi="Arial Narrow"/>
          <w:sz w:val="22"/>
          <w:szCs w:val="22"/>
        </w:rPr>
      </w:pPr>
    </w:p>
    <w:p w:rsidR="00F27BC8" w:rsidRPr="00997765" w:rsidRDefault="00F27BC8" w:rsidP="005E5CFA">
      <w:pPr>
        <w:pStyle w:val="Heading1"/>
      </w:pPr>
      <w:r w:rsidRPr="00997765">
        <w:t>PBAC Outcome</w:t>
      </w:r>
    </w:p>
    <w:p w:rsidR="00F27BC8" w:rsidRPr="00997765" w:rsidRDefault="00F27BC8" w:rsidP="00F27BC8">
      <w:pPr>
        <w:contextualSpacing/>
        <w:rPr>
          <w:rFonts w:ascii="Arial" w:hAnsi="Arial" w:cs="Arial"/>
          <w:b/>
          <w:bCs/>
          <w:sz w:val="22"/>
          <w:szCs w:val="22"/>
        </w:rPr>
      </w:pPr>
    </w:p>
    <w:p w:rsidR="00F27BC8" w:rsidRPr="00997765" w:rsidRDefault="00F27BC8" w:rsidP="00F27BC8">
      <w:pPr>
        <w:ind w:left="720"/>
        <w:contextualSpacing/>
        <w:rPr>
          <w:rFonts w:ascii="Arial" w:hAnsi="Arial" w:cs="Arial"/>
          <w:bCs/>
          <w:sz w:val="22"/>
          <w:szCs w:val="22"/>
        </w:rPr>
      </w:pPr>
    </w:p>
    <w:p w:rsidR="00223725" w:rsidRPr="00997765" w:rsidRDefault="00223725" w:rsidP="00223725">
      <w:pPr>
        <w:pStyle w:val="ListParagraph"/>
        <w:numPr>
          <w:ilvl w:val="1"/>
          <w:numId w:val="1"/>
        </w:numPr>
        <w:jc w:val="both"/>
        <w:rPr>
          <w:rFonts w:ascii="Arial" w:hAnsi="Arial" w:cs="Arial"/>
          <w:sz w:val="22"/>
          <w:szCs w:val="22"/>
        </w:rPr>
      </w:pPr>
      <w:r w:rsidRPr="00997765">
        <w:rPr>
          <w:rFonts w:ascii="Arial" w:hAnsi="Arial" w:cs="Arial"/>
          <w:bCs/>
          <w:sz w:val="22"/>
          <w:szCs w:val="22"/>
        </w:rPr>
        <w:t xml:space="preserve">The PBAC did not recommend the PBS listing of </w:t>
      </w:r>
      <w:r w:rsidRPr="00997765">
        <w:rPr>
          <w:rFonts w:ascii="Arial" w:hAnsi="Arial" w:cs="Arial"/>
          <w:sz w:val="22"/>
          <w:szCs w:val="22"/>
        </w:rPr>
        <w:t>methotrexate pre-filled syringe for the treatment of rheumatoid arthritis or psoriasis when methotrexate oral tablet</w:t>
      </w:r>
      <w:r w:rsidR="0079189A" w:rsidRPr="00997765">
        <w:rPr>
          <w:rFonts w:ascii="Arial" w:hAnsi="Arial" w:cs="Arial"/>
          <w:sz w:val="22"/>
          <w:szCs w:val="22"/>
        </w:rPr>
        <w:t>s</w:t>
      </w:r>
      <w:r w:rsidRPr="00997765">
        <w:rPr>
          <w:rFonts w:ascii="Arial" w:hAnsi="Arial" w:cs="Arial"/>
          <w:sz w:val="22"/>
          <w:szCs w:val="22"/>
        </w:rPr>
        <w:t xml:space="preserve"> </w:t>
      </w:r>
      <w:r w:rsidR="0079189A" w:rsidRPr="00997765">
        <w:rPr>
          <w:rFonts w:ascii="Arial" w:hAnsi="Arial" w:cs="Arial"/>
          <w:sz w:val="22"/>
          <w:szCs w:val="22"/>
        </w:rPr>
        <w:t>are</w:t>
      </w:r>
      <w:r w:rsidRPr="00997765">
        <w:rPr>
          <w:rFonts w:ascii="Arial" w:hAnsi="Arial" w:cs="Arial"/>
          <w:sz w:val="22"/>
          <w:szCs w:val="22"/>
        </w:rPr>
        <w:t xml:space="preserve"> unsuitable</w:t>
      </w:r>
      <w:r w:rsidR="004E6B0C" w:rsidRPr="00997765">
        <w:rPr>
          <w:rFonts w:ascii="Arial" w:hAnsi="Arial" w:cs="Arial"/>
          <w:sz w:val="22"/>
          <w:szCs w:val="22"/>
        </w:rPr>
        <w:t>.</w:t>
      </w:r>
      <w:r w:rsidRPr="00997765">
        <w:rPr>
          <w:rFonts w:ascii="Arial" w:hAnsi="Arial" w:cs="Arial"/>
          <w:sz w:val="22"/>
          <w:szCs w:val="22"/>
        </w:rPr>
        <w:t xml:space="preserve"> </w:t>
      </w:r>
      <w:r w:rsidR="004E6B0C" w:rsidRPr="00997765">
        <w:rPr>
          <w:rFonts w:ascii="Arial" w:hAnsi="Arial" w:cs="Arial"/>
          <w:sz w:val="22"/>
          <w:szCs w:val="22"/>
        </w:rPr>
        <w:t xml:space="preserve">The PBAC considered that while a clinical need existed for pre-filled syringes, </w:t>
      </w:r>
      <w:r w:rsidR="00E03D8B" w:rsidRPr="00997765">
        <w:rPr>
          <w:rFonts w:ascii="Arial" w:hAnsi="Arial" w:cs="Arial"/>
          <w:sz w:val="22"/>
          <w:szCs w:val="22"/>
        </w:rPr>
        <w:t>uncertainty remained around key inputs into the cost-minimisation analysis.</w:t>
      </w:r>
    </w:p>
    <w:p w:rsidR="00211659" w:rsidRPr="00997765" w:rsidRDefault="00211659" w:rsidP="009D25B0">
      <w:pPr>
        <w:pStyle w:val="ListParagraph"/>
        <w:jc w:val="both"/>
        <w:rPr>
          <w:rFonts w:ascii="Arial" w:hAnsi="Arial" w:cs="Arial"/>
          <w:sz w:val="22"/>
          <w:szCs w:val="22"/>
        </w:rPr>
      </w:pPr>
    </w:p>
    <w:p w:rsidR="00211659" w:rsidRPr="00997765" w:rsidRDefault="0024277E" w:rsidP="00211659">
      <w:pPr>
        <w:widowControl w:val="0"/>
        <w:numPr>
          <w:ilvl w:val="1"/>
          <w:numId w:val="1"/>
        </w:numPr>
        <w:contextualSpacing/>
        <w:jc w:val="both"/>
        <w:rPr>
          <w:rFonts w:ascii="Arial" w:hAnsi="Arial" w:cs="Arial"/>
          <w:bCs/>
          <w:sz w:val="22"/>
          <w:szCs w:val="22"/>
        </w:rPr>
      </w:pPr>
      <w:r w:rsidRPr="00997765">
        <w:rPr>
          <w:rFonts w:ascii="Arial" w:hAnsi="Arial" w:cs="Arial"/>
          <w:bCs/>
          <w:sz w:val="22"/>
          <w:szCs w:val="22"/>
        </w:rPr>
        <w:t xml:space="preserve">The PBAC agreed that </w:t>
      </w:r>
      <w:r w:rsidRPr="00997765">
        <w:rPr>
          <w:rFonts w:ascii="Arial" w:hAnsi="Arial"/>
          <w:sz w:val="22"/>
          <w:szCs w:val="22"/>
        </w:rPr>
        <w:t>parenteral methotrexate formulations w</w:t>
      </w:r>
      <w:r w:rsidR="00805FAD">
        <w:rPr>
          <w:rFonts w:ascii="Arial" w:hAnsi="Arial"/>
          <w:sz w:val="22"/>
          <w:szCs w:val="22"/>
        </w:rPr>
        <w:t>ere the appropriate comparator.</w:t>
      </w:r>
      <w:bookmarkStart w:id="1" w:name="_GoBack"/>
      <w:bookmarkEnd w:id="1"/>
    </w:p>
    <w:p w:rsidR="00E03D8B" w:rsidRPr="00997765" w:rsidRDefault="00E03D8B" w:rsidP="009D25B0">
      <w:pPr>
        <w:pStyle w:val="ListParagraph"/>
        <w:rPr>
          <w:rFonts w:ascii="Arial" w:hAnsi="Arial" w:cs="Arial"/>
          <w:bCs/>
          <w:sz w:val="22"/>
          <w:szCs w:val="22"/>
        </w:rPr>
      </w:pPr>
    </w:p>
    <w:p w:rsidR="00E03D8B" w:rsidRPr="00997765" w:rsidRDefault="00E03D8B" w:rsidP="00211659">
      <w:pPr>
        <w:widowControl w:val="0"/>
        <w:numPr>
          <w:ilvl w:val="1"/>
          <w:numId w:val="1"/>
        </w:numPr>
        <w:contextualSpacing/>
        <w:jc w:val="both"/>
        <w:rPr>
          <w:rFonts w:ascii="Arial" w:hAnsi="Arial" w:cs="Arial"/>
          <w:bCs/>
          <w:sz w:val="22"/>
          <w:szCs w:val="22"/>
        </w:rPr>
      </w:pPr>
      <w:r w:rsidRPr="00997765">
        <w:rPr>
          <w:rFonts w:ascii="Arial" w:hAnsi="Arial"/>
          <w:sz w:val="22"/>
          <w:szCs w:val="22"/>
        </w:rPr>
        <w:t xml:space="preserve">The PBAC noted that </w:t>
      </w:r>
      <w:r w:rsidR="002A247A" w:rsidRPr="00997765">
        <w:rPr>
          <w:rFonts w:ascii="Arial" w:hAnsi="Arial"/>
          <w:sz w:val="22"/>
          <w:szCs w:val="22"/>
        </w:rPr>
        <w:t>t</w:t>
      </w:r>
      <w:r w:rsidRPr="00997765">
        <w:rPr>
          <w:rFonts w:ascii="Arial" w:hAnsi="Arial"/>
          <w:sz w:val="22"/>
          <w:szCs w:val="22"/>
        </w:rPr>
        <w:t>he submission</w:t>
      </w:r>
      <w:r w:rsidR="00D3470F" w:rsidRPr="00997765">
        <w:rPr>
          <w:rFonts w:ascii="Arial" w:hAnsi="Arial"/>
          <w:sz w:val="22"/>
          <w:szCs w:val="22"/>
        </w:rPr>
        <w:t>’s claim of bioequivalence</w:t>
      </w:r>
      <w:r w:rsidRPr="00997765">
        <w:rPr>
          <w:rFonts w:ascii="Arial" w:hAnsi="Arial"/>
          <w:sz w:val="22"/>
          <w:szCs w:val="22"/>
        </w:rPr>
        <w:t xml:space="preserve"> was based on a bioequivalence study comparing subcutaneous (10 mg/mL) and intramuscular (10 mg/mL) methotrexate injections as well as an observational study that assessed patient preference, satisfaction and usability of methotrexate pre-filled syringe in patients, physicians and nurses. </w:t>
      </w:r>
      <w:r w:rsidR="002A247A" w:rsidRPr="00997765">
        <w:rPr>
          <w:rFonts w:ascii="Arial" w:hAnsi="Arial"/>
          <w:sz w:val="22"/>
          <w:szCs w:val="22"/>
        </w:rPr>
        <w:t xml:space="preserve">Based on this evidence, </w:t>
      </w:r>
      <w:r w:rsidR="00D3470F" w:rsidRPr="00997765">
        <w:rPr>
          <w:rFonts w:ascii="Arial" w:hAnsi="Arial"/>
          <w:sz w:val="22"/>
          <w:szCs w:val="22"/>
        </w:rPr>
        <w:t>t</w:t>
      </w:r>
      <w:r w:rsidRPr="00997765">
        <w:rPr>
          <w:rFonts w:ascii="Arial" w:hAnsi="Arial"/>
          <w:sz w:val="22"/>
          <w:szCs w:val="22"/>
        </w:rPr>
        <w:t xml:space="preserve">he PBAC accepted that </w:t>
      </w:r>
      <w:r w:rsidR="002A247A" w:rsidRPr="00997765">
        <w:rPr>
          <w:rFonts w:ascii="Arial" w:hAnsi="Arial"/>
          <w:sz w:val="22"/>
          <w:szCs w:val="22"/>
        </w:rPr>
        <w:t>the pre-filled syringe subcutaneous injection was bioequivalent to the intramuscular injection.</w:t>
      </w:r>
    </w:p>
    <w:p w:rsidR="00211659" w:rsidRPr="00997765" w:rsidRDefault="00211659" w:rsidP="009D25B0">
      <w:pPr>
        <w:widowControl w:val="0"/>
        <w:ind w:left="720"/>
        <w:contextualSpacing/>
        <w:jc w:val="both"/>
        <w:rPr>
          <w:rFonts w:ascii="Arial" w:hAnsi="Arial" w:cs="Arial"/>
          <w:bCs/>
          <w:sz w:val="22"/>
          <w:szCs w:val="22"/>
        </w:rPr>
      </w:pPr>
    </w:p>
    <w:p w:rsidR="0024277E" w:rsidRPr="00997765" w:rsidRDefault="0024277E" w:rsidP="0024277E">
      <w:pPr>
        <w:widowControl w:val="0"/>
        <w:numPr>
          <w:ilvl w:val="1"/>
          <w:numId w:val="1"/>
        </w:numPr>
        <w:contextualSpacing/>
        <w:jc w:val="both"/>
        <w:rPr>
          <w:rFonts w:ascii="Arial" w:hAnsi="Arial" w:cs="Arial"/>
          <w:bCs/>
          <w:sz w:val="22"/>
          <w:szCs w:val="22"/>
        </w:rPr>
      </w:pPr>
      <w:r w:rsidRPr="00997765">
        <w:rPr>
          <w:rFonts w:ascii="Arial" w:hAnsi="Arial" w:cs="Arial"/>
          <w:bCs/>
          <w:sz w:val="22"/>
          <w:szCs w:val="22"/>
        </w:rPr>
        <w:t>The PBAC noted that there may be potential safety concerns with self-administration of injectable methotrexate outside the clinic setting. In this context, the PBAC considered that the health and safety risk of self-injection, including disposal of the used syringe, had not been adequate</w:t>
      </w:r>
      <w:r w:rsidR="00805FAD">
        <w:rPr>
          <w:rFonts w:ascii="Arial" w:hAnsi="Arial" w:cs="Arial"/>
          <w:bCs/>
          <w:sz w:val="22"/>
          <w:szCs w:val="22"/>
        </w:rPr>
        <w:t>ly addressed by the submission.</w:t>
      </w:r>
    </w:p>
    <w:p w:rsidR="004E6B0C" w:rsidRPr="00997765" w:rsidRDefault="004E6B0C" w:rsidP="009D25B0">
      <w:pPr>
        <w:widowControl w:val="0"/>
        <w:contextualSpacing/>
        <w:jc w:val="both"/>
        <w:rPr>
          <w:rFonts w:ascii="Arial" w:hAnsi="Arial" w:cs="Arial"/>
          <w:bCs/>
          <w:sz w:val="22"/>
          <w:szCs w:val="22"/>
        </w:rPr>
      </w:pPr>
    </w:p>
    <w:p w:rsidR="00C855D3" w:rsidRPr="00997765" w:rsidRDefault="004E6B0C" w:rsidP="00C855D3">
      <w:pPr>
        <w:pStyle w:val="ListParagraph"/>
        <w:numPr>
          <w:ilvl w:val="1"/>
          <w:numId w:val="1"/>
        </w:numPr>
        <w:jc w:val="both"/>
        <w:rPr>
          <w:rFonts w:ascii="Arial" w:hAnsi="Arial"/>
          <w:sz w:val="22"/>
          <w:szCs w:val="22"/>
        </w:rPr>
      </w:pPr>
      <w:r w:rsidRPr="00997765">
        <w:rPr>
          <w:rFonts w:ascii="Arial" w:hAnsi="Arial" w:cs="Arial"/>
          <w:bCs/>
          <w:sz w:val="22"/>
          <w:szCs w:val="22"/>
        </w:rPr>
        <w:t xml:space="preserve">The PBAC </w:t>
      </w:r>
      <w:r w:rsidR="00C855D3" w:rsidRPr="00997765">
        <w:rPr>
          <w:rFonts w:ascii="Arial" w:hAnsi="Arial" w:cs="Arial"/>
          <w:bCs/>
          <w:sz w:val="22"/>
          <w:szCs w:val="22"/>
        </w:rPr>
        <w:t xml:space="preserve">noted the updated </w:t>
      </w:r>
      <w:r w:rsidR="00E03D8B" w:rsidRPr="00997765">
        <w:rPr>
          <w:rFonts w:ascii="Arial" w:hAnsi="Arial" w:cs="Arial"/>
          <w:bCs/>
          <w:sz w:val="22"/>
          <w:szCs w:val="22"/>
        </w:rPr>
        <w:t>cost-minimisation analysis</w:t>
      </w:r>
      <w:r w:rsidR="00C855D3" w:rsidRPr="00997765">
        <w:rPr>
          <w:rFonts w:ascii="Arial" w:hAnsi="Arial" w:cs="Arial"/>
          <w:bCs/>
          <w:sz w:val="22"/>
          <w:szCs w:val="22"/>
        </w:rPr>
        <w:t xml:space="preserve"> presented in the Pre-PBAC response, however considered that substantial is</w:t>
      </w:r>
      <w:r w:rsidR="00211659" w:rsidRPr="00997765">
        <w:rPr>
          <w:rFonts w:ascii="Arial" w:hAnsi="Arial" w:cs="Arial"/>
          <w:bCs/>
          <w:sz w:val="22"/>
          <w:szCs w:val="22"/>
        </w:rPr>
        <w:t>sues remained</w:t>
      </w:r>
      <w:r w:rsidR="00C855D3" w:rsidRPr="00997765">
        <w:rPr>
          <w:rFonts w:ascii="Arial" w:hAnsi="Arial" w:cs="Arial"/>
          <w:bCs/>
          <w:sz w:val="22"/>
          <w:szCs w:val="22"/>
        </w:rPr>
        <w:t xml:space="preserve">, namely the inclusion of EFC items and the estimation of the proportion of patients who would self-inject. </w:t>
      </w:r>
    </w:p>
    <w:p w:rsidR="004E6B0C" w:rsidRPr="00997765" w:rsidRDefault="004E6B0C" w:rsidP="009D25B0">
      <w:pPr>
        <w:widowControl w:val="0"/>
        <w:ind w:left="720"/>
        <w:contextualSpacing/>
        <w:jc w:val="both"/>
        <w:rPr>
          <w:rFonts w:ascii="Arial" w:hAnsi="Arial" w:cs="Arial"/>
          <w:bCs/>
          <w:sz w:val="22"/>
          <w:szCs w:val="22"/>
        </w:rPr>
      </w:pPr>
    </w:p>
    <w:p w:rsidR="00C855D3" w:rsidRPr="00997765" w:rsidRDefault="004E6B0C" w:rsidP="009D25B0">
      <w:pPr>
        <w:pStyle w:val="ListParagraph"/>
        <w:numPr>
          <w:ilvl w:val="1"/>
          <w:numId w:val="1"/>
        </w:numPr>
        <w:jc w:val="both"/>
        <w:rPr>
          <w:rFonts w:ascii="Arial" w:hAnsi="Arial"/>
          <w:sz w:val="22"/>
          <w:szCs w:val="22"/>
        </w:rPr>
      </w:pPr>
      <w:r w:rsidRPr="00997765">
        <w:rPr>
          <w:rFonts w:ascii="Arial" w:hAnsi="Arial" w:cs="Arial"/>
          <w:bCs/>
          <w:sz w:val="22"/>
          <w:szCs w:val="22"/>
        </w:rPr>
        <w:t>The PBAC</w:t>
      </w:r>
      <w:r w:rsidR="0024277E" w:rsidRPr="00997765">
        <w:rPr>
          <w:rFonts w:ascii="Arial" w:hAnsi="Arial" w:cs="Arial"/>
          <w:bCs/>
          <w:sz w:val="22"/>
          <w:szCs w:val="22"/>
        </w:rPr>
        <w:t xml:space="preserve"> noted that </w:t>
      </w:r>
      <w:r w:rsidR="0024277E" w:rsidRPr="00997765">
        <w:rPr>
          <w:rFonts w:ascii="Arial" w:hAnsi="Arial"/>
          <w:sz w:val="22"/>
          <w:szCs w:val="22"/>
        </w:rPr>
        <w:t xml:space="preserve">the inclusion of chemotherapy items in the calculation of drug prices was inadequately justified and agreed that the use of methotrexate in these populations most likely represents its use as an antineoplastic treatment rather than as a treatment for rheumatoid arthritis or psoriasis. </w:t>
      </w:r>
      <w:r w:rsidR="00E03D8B" w:rsidRPr="00997765">
        <w:rPr>
          <w:rFonts w:ascii="Arial" w:hAnsi="Arial"/>
          <w:sz w:val="22"/>
          <w:szCs w:val="22"/>
        </w:rPr>
        <w:t xml:space="preserve">The PBAC did not accept the Pre-PBAC response’s argument that patients who had received methotrexate vial scripts under the EFC program, and were coded to RA or psoriasis, were unlikely to have been receiving methotrexate as an antineoplastic treatment </w:t>
      </w:r>
      <w:r w:rsidR="0024277E" w:rsidRPr="00997765">
        <w:rPr>
          <w:rFonts w:ascii="Arial" w:hAnsi="Arial"/>
          <w:sz w:val="22"/>
          <w:szCs w:val="22"/>
        </w:rPr>
        <w:t>The PBAC considered the inclusion of the EFC items was not appropriate.</w:t>
      </w:r>
    </w:p>
    <w:p w:rsidR="00FB59D7" w:rsidRPr="00997765" w:rsidRDefault="00FB59D7" w:rsidP="009D25B0">
      <w:pPr>
        <w:jc w:val="both"/>
        <w:rPr>
          <w:rFonts w:ascii="Arial" w:hAnsi="Arial"/>
          <w:sz w:val="22"/>
          <w:szCs w:val="22"/>
        </w:rPr>
      </w:pPr>
    </w:p>
    <w:p w:rsidR="00211659" w:rsidRPr="00997765" w:rsidRDefault="00C855D3" w:rsidP="009D25B0">
      <w:pPr>
        <w:widowControl w:val="0"/>
        <w:numPr>
          <w:ilvl w:val="1"/>
          <w:numId w:val="1"/>
        </w:numPr>
        <w:contextualSpacing/>
        <w:jc w:val="both"/>
        <w:rPr>
          <w:rFonts w:ascii="Arial" w:hAnsi="Arial" w:cs="Arial"/>
          <w:bCs/>
          <w:sz w:val="22"/>
          <w:szCs w:val="22"/>
        </w:rPr>
      </w:pPr>
      <w:r w:rsidRPr="00997765">
        <w:rPr>
          <w:rFonts w:ascii="Arial" w:hAnsi="Arial" w:cs="Arial"/>
          <w:bCs/>
          <w:sz w:val="22"/>
          <w:szCs w:val="22"/>
        </w:rPr>
        <w:t>The PBAC consid</w:t>
      </w:r>
      <w:r w:rsidR="00211659" w:rsidRPr="00997765">
        <w:rPr>
          <w:rFonts w:ascii="Arial" w:hAnsi="Arial" w:cs="Arial"/>
          <w:bCs/>
          <w:sz w:val="22"/>
          <w:szCs w:val="22"/>
        </w:rPr>
        <w:t>e</w:t>
      </w:r>
      <w:r w:rsidRPr="00997765">
        <w:rPr>
          <w:rFonts w:ascii="Arial" w:hAnsi="Arial" w:cs="Arial"/>
          <w:bCs/>
          <w:sz w:val="22"/>
          <w:szCs w:val="22"/>
        </w:rPr>
        <w:t xml:space="preserve">red that </w:t>
      </w:r>
      <w:r w:rsidR="00211659" w:rsidRPr="00997765">
        <w:rPr>
          <w:rFonts w:ascii="Arial" w:hAnsi="Arial" w:cs="Arial"/>
          <w:bCs/>
          <w:sz w:val="22"/>
          <w:szCs w:val="22"/>
        </w:rPr>
        <w:t>the estimated proportion of patients who would self-inject may be overestimated</w:t>
      </w:r>
      <w:r w:rsidR="0024277E" w:rsidRPr="00997765">
        <w:rPr>
          <w:rFonts w:ascii="Arial" w:hAnsi="Arial" w:cs="Arial"/>
          <w:bCs/>
          <w:sz w:val="22"/>
          <w:szCs w:val="22"/>
        </w:rPr>
        <w:t xml:space="preserve">, noting that the </w:t>
      </w:r>
      <w:r w:rsidR="0024277E" w:rsidRPr="00997765">
        <w:rPr>
          <w:rFonts w:ascii="Arial" w:hAnsi="Arial"/>
          <w:sz w:val="22"/>
          <w:szCs w:val="22"/>
        </w:rPr>
        <w:t xml:space="preserve">96.3% estimate was based on patients who were considered suitable for subcutaneous self-administration of methotrexate, not </w:t>
      </w:r>
      <w:r w:rsidR="0024277E" w:rsidRPr="00997765">
        <w:rPr>
          <w:rFonts w:ascii="Arial" w:hAnsi="Arial"/>
          <w:sz w:val="22"/>
          <w:szCs w:val="22"/>
        </w:rPr>
        <w:lastRenderedPageBreak/>
        <w:t xml:space="preserve">patients who were likely to self-administer. </w:t>
      </w:r>
      <w:r w:rsidR="00211659" w:rsidRPr="00997765">
        <w:rPr>
          <w:rFonts w:ascii="Arial" w:hAnsi="Arial" w:cs="Arial"/>
          <w:bCs/>
          <w:sz w:val="22"/>
          <w:szCs w:val="22"/>
        </w:rPr>
        <w:t xml:space="preserve">The PBAC considered that sensitivity analyses around this estimate would be helpful. </w:t>
      </w:r>
    </w:p>
    <w:p w:rsidR="00E03D8B" w:rsidRPr="00997765" w:rsidRDefault="00E03D8B" w:rsidP="009D25B0">
      <w:pPr>
        <w:pStyle w:val="ListParagraph"/>
        <w:rPr>
          <w:rFonts w:ascii="Arial" w:hAnsi="Arial" w:cs="Arial"/>
          <w:bCs/>
          <w:sz w:val="22"/>
          <w:szCs w:val="22"/>
        </w:rPr>
      </w:pPr>
    </w:p>
    <w:p w:rsidR="00E03D8B" w:rsidRPr="00997765" w:rsidRDefault="00E03D8B" w:rsidP="009D25B0">
      <w:pPr>
        <w:widowControl w:val="0"/>
        <w:numPr>
          <w:ilvl w:val="1"/>
          <w:numId w:val="1"/>
        </w:numPr>
        <w:contextualSpacing/>
        <w:jc w:val="both"/>
        <w:rPr>
          <w:rFonts w:ascii="Arial" w:hAnsi="Arial" w:cs="Arial"/>
          <w:bCs/>
          <w:sz w:val="22"/>
          <w:szCs w:val="22"/>
        </w:rPr>
      </w:pPr>
      <w:r w:rsidRPr="00997765">
        <w:rPr>
          <w:rFonts w:ascii="Arial" w:hAnsi="Arial" w:cs="Arial"/>
          <w:bCs/>
          <w:sz w:val="22"/>
          <w:szCs w:val="22"/>
        </w:rPr>
        <w:t xml:space="preserve">The PBAC noted that substantial leakage outside the requested indications was likely, and considered that a </w:t>
      </w:r>
      <w:r w:rsidR="0079169C">
        <w:rPr>
          <w:rFonts w:ascii="Arial" w:hAnsi="Arial" w:cs="Arial"/>
          <w:bCs/>
          <w:sz w:val="22"/>
          <w:szCs w:val="22"/>
        </w:rPr>
        <w:t>R</w:t>
      </w:r>
      <w:r w:rsidR="0079169C" w:rsidRPr="00997765">
        <w:rPr>
          <w:rFonts w:ascii="Arial" w:hAnsi="Arial" w:cs="Arial"/>
          <w:bCs/>
          <w:sz w:val="22"/>
          <w:szCs w:val="22"/>
        </w:rPr>
        <w:t xml:space="preserve">isk </w:t>
      </w:r>
      <w:r w:rsidR="0079169C">
        <w:rPr>
          <w:rFonts w:ascii="Arial" w:hAnsi="Arial" w:cs="Arial"/>
          <w:bCs/>
          <w:sz w:val="22"/>
          <w:szCs w:val="22"/>
        </w:rPr>
        <w:t>S</w:t>
      </w:r>
      <w:r w:rsidR="0079169C" w:rsidRPr="00997765">
        <w:rPr>
          <w:rFonts w:ascii="Arial" w:hAnsi="Arial" w:cs="Arial"/>
          <w:bCs/>
          <w:sz w:val="22"/>
          <w:szCs w:val="22"/>
        </w:rPr>
        <w:t xml:space="preserve">hare </w:t>
      </w:r>
      <w:r w:rsidR="0079169C">
        <w:rPr>
          <w:rFonts w:ascii="Arial" w:hAnsi="Arial" w:cs="Arial"/>
          <w:bCs/>
          <w:sz w:val="22"/>
          <w:szCs w:val="22"/>
        </w:rPr>
        <w:t>A</w:t>
      </w:r>
      <w:r w:rsidR="0079169C" w:rsidRPr="00997765">
        <w:rPr>
          <w:rFonts w:ascii="Arial" w:hAnsi="Arial" w:cs="Arial"/>
          <w:bCs/>
          <w:sz w:val="22"/>
          <w:szCs w:val="22"/>
        </w:rPr>
        <w:t xml:space="preserve">rrangement </w:t>
      </w:r>
      <w:r w:rsidR="00BB04E6" w:rsidRPr="00997765">
        <w:rPr>
          <w:rFonts w:ascii="Arial" w:hAnsi="Arial" w:cs="Arial"/>
          <w:bCs/>
          <w:sz w:val="22"/>
          <w:szCs w:val="22"/>
        </w:rPr>
        <w:t xml:space="preserve">based on projected usage in </w:t>
      </w:r>
      <w:r w:rsidR="00BB04E6" w:rsidRPr="00997765">
        <w:rPr>
          <w:rFonts w:ascii="Arial" w:hAnsi="Arial" w:cs="Arial"/>
          <w:sz w:val="22"/>
          <w:szCs w:val="22"/>
        </w:rPr>
        <w:t xml:space="preserve">rheumatoid arthritis and psoriasis, </w:t>
      </w:r>
      <w:r w:rsidRPr="00997765">
        <w:rPr>
          <w:rFonts w:ascii="Arial" w:hAnsi="Arial" w:cs="Arial"/>
          <w:bCs/>
          <w:sz w:val="22"/>
          <w:szCs w:val="22"/>
        </w:rPr>
        <w:t xml:space="preserve">would be needed to mitigate the costs to government. </w:t>
      </w:r>
    </w:p>
    <w:p w:rsidR="002A247A" w:rsidRPr="00997765" w:rsidRDefault="002A247A" w:rsidP="009D25B0">
      <w:pPr>
        <w:pStyle w:val="ListParagraph"/>
        <w:rPr>
          <w:rFonts w:ascii="Arial" w:hAnsi="Arial" w:cs="Arial"/>
          <w:bCs/>
          <w:sz w:val="22"/>
          <w:szCs w:val="22"/>
        </w:rPr>
      </w:pPr>
    </w:p>
    <w:p w:rsidR="002A247A" w:rsidRPr="00997765" w:rsidRDefault="002A247A" w:rsidP="009D25B0">
      <w:pPr>
        <w:widowControl w:val="0"/>
        <w:numPr>
          <w:ilvl w:val="1"/>
          <w:numId w:val="1"/>
        </w:numPr>
        <w:contextualSpacing/>
        <w:jc w:val="both"/>
        <w:rPr>
          <w:rFonts w:ascii="Arial" w:hAnsi="Arial" w:cs="Arial"/>
          <w:bCs/>
          <w:sz w:val="22"/>
          <w:szCs w:val="22"/>
        </w:rPr>
      </w:pPr>
      <w:r w:rsidRPr="00997765">
        <w:rPr>
          <w:rFonts w:ascii="Arial" w:hAnsi="Arial" w:cs="Arial"/>
          <w:bCs/>
          <w:sz w:val="22"/>
          <w:szCs w:val="22"/>
        </w:rPr>
        <w:t>The PBAC considered that a future submission would need to provide clarity around the proportion of patients likely to self-administer</w:t>
      </w:r>
      <w:r w:rsidR="00817495" w:rsidRPr="00997765">
        <w:rPr>
          <w:rFonts w:ascii="Arial" w:hAnsi="Arial" w:cs="Arial"/>
          <w:bCs/>
          <w:sz w:val="22"/>
          <w:szCs w:val="22"/>
        </w:rPr>
        <w:t xml:space="preserve"> with the associated decrease in GP visits</w:t>
      </w:r>
      <w:r w:rsidRPr="00997765">
        <w:rPr>
          <w:rFonts w:ascii="Arial" w:hAnsi="Arial" w:cs="Arial"/>
          <w:bCs/>
          <w:sz w:val="22"/>
          <w:szCs w:val="22"/>
        </w:rPr>
        <w:t xml:space="preserve">, and should also address the health and safety concerns associated with self-administration. </w:t>
      </w:r>
      <w:r w:rsidR="00817495" w:rsidRPr="00997765">
        <w:rPr>
          <w:rFonts w:ascii="Arial" w:hAnsi="Arial" w:cs="Arial"/>
          <w:bCs/>
          <w:sz w:val="22"/>
          <w:szCs w:val="22"/>
        </w:rPr>
        <w:t>The PBAC considered that the outstanding data requests could only be met in the form of a Major submission to the PBAC.</w:t>
      </w:r>
    </w:p>
    <w:p w:rsidR="00F27BC8" w:rsidRPr="00997765" w:rsidRDefault="00F27BC8" w:rsidP="009D25B0">
      <w:pPr>
        <w:contextualSpacing/>
        <w:rPr>
          <w:rFonts w:ascii="Arial" w:hAnsi="Arial" w:cs="Arial"/>
          <w:bCs/>
          <w:sz w:val="22"/>
          <w:szCs w:val="22"/>
          <w:highlight w:val="yellow"/>
        </w:rPr>
      </w:pPr>
    </w:p>
    <w:p w:rsidR="00F27BC8" w:rsidRPr="00997765" w:rsidRDefault="00F27BC8" w:rsidP="00F27BC8">
      <w:pPr>
        <w:widowControl w:val="0"/>
        <w:numPr>
          <w:ilvl w:val="1"/>
          <w:numId w:val="1"/>
        </w:numPr>
        <w:contextualSpacing/>
        <w:jc w:val="both"/>
        <w:rPr>
          <w:rFonts w:ascii="Arial" w:hAnsi="Arial" w:cs="Arial"/>
          <w:bCs/>
          <w:sz w:val="22"/>
          <w:szCs w:val="22"/>
        </w:rPr>
      </w:pPr>
      <w:r w:rsidRPr="00997765">
        <w:rPr>
          <w:rFonts w:ascii="Arial" w:hAnsi="Arial" w:cs="Arial"/>
          <w:bCs/>
          <w:sz w:val="22"/>
          <w:szCs w:val="22"/>
        </w:rPr>
        <w:t>The PBAC noted that this submission is eligible for an Independent Review</w:t>
      </w:r>
      <w:r w:rsidR="00223725" w:rsidRPr="00997765">
        <w:rPr>
          <w:rFonts w:ascii="Arial" w:hAnsi="Arial" w:cs="Arial"/>
          <w:bCs/>
          <w:sz w:val="22"/>
          <w:szCs w:val="22"/>
        </w:rPr>
        <w:t>.</w:t>
      </w:r>
    </w:p>
    <w:p w:rsidR="00F27BC8" w:rsidRPr="00805FAD" w:rsidRDefault="00F27BC8" w:rsidP="00F27BC8">
      <w:pPr>
        <w:rPr>
          <w:rFonts w:ascii="Arial" w:hAnsi="Arial" w:cs="Arial"/>
          <w:bCs/>
          <w:sz w:val="22"/>
          <w:szCs w:val="22"/>
          <w:highlight w:val="yellow"/>
        </w:rPr>
      </w:pPr>
    </w:p>
    <w:p w:rsidR="00F27BC8" w:rsidRPr="00997765" w:rsidRDefault="00F27BC8" w:rsidP="00F27BC8">
      <w:pPr>
        <w:rPr>
          <w:rFonts w:ascii="Arial" w:hAnsi="Arial" w:cs="Arial"/>
          <w:b/>
          <w:sz w:val="22"/>
          <w:szCs w:val="22"/>
          <w:highlight w:val="yellow"/>
        </w:rPr>
      </w:pPr>
    </w:p>
    <w:p w:rsidR="009D25B0" w:rsidRPr="00997765" w:rsidRDefault="009D25B0" w:rsidP="009D25B0">
      <w:pPr>
        <w:rPr>
          <w:rFonts w:ascii="Arial" w:hAnsi="Arial" w:cs="Arial"/>
          <w:b/>
          <w:bCs/>
          <w:sz w:val="22"/>
          <w:szCs w:val="22"/>
        </w:rPr>
      </w:pPr>
      <w:r w:rsidRPr="00997765">
        <w:rPr>
          <w:rFonts w:ascii="Arial" w:hAnsi="Arial" w:cs="Arial"/>
          <w:b/>
          <w:bCs/>
          <w:sz w:val="22"/>
          <w:szCs w:val="22"/>
        </w:rPr>
        <w:t>Outcome:</w:t>
      </w:r>
    </w:p>
    <w:p w:rsidR="009D25B0" w:rsidRPr="00997765" w:rsidRDefault="009D25B0" w:rsidP="009D25B0">
      <w:pPr>
        <w:rPr>
          <w:rFonts w:ascii="Arial" w:hAnsi="Arial" w:cs="Arial"/>
          <w:bCs/>
          <w:sz w:val="22"/>
          <w:szCs w:val="22"/>
        </w:rPr>
      </w:pPr>
      <w:r w:rsidRPr="00997765">
        <w:rPr>
          <w:rFonts w:ascii="Arial" w:hAnsi="Arial" w:cs="Arial"/>
          <w:bCs/>
          <w:sz w:val="22"/>
          <w:szCs w:val="22"/>
        </w:rPr>
        <w:t>Rejected</w:t>
      </w:r>
    </w:p>
    <w:p w:rsidR="009D25B0" w:rsidRPr="00997765" w:rsidRDefault="009D25B0" w:rsidP="009D25B0">
      <w:pPr>
        <w:rPr>
          <w:rFonts w:ascii="Arial" w:hAnsi="Arial" w:cs="Arial"/>
          <w:b/>
          <w:bCs/>
          <w:sz w:val="22"/>
          <w:szCs w:val="22"/>
        </w:rPr>
      </w:pPr>
    </w:p>
    <w:p w:rsidR="009D25B0" w:rsidRPr="00997765" w:rsidRDefault="009D25B0" w:rsidP="009D25B0">
      <w:pPr>
        <w:rPr>
          <w:rFonts w:ascii="Arial" w:hAnsi="Arial" w:cs="Arial"/>
          <w:b/>
          <w:bCs/>
          <w:sz w:val="22"/>
          <w:szCs w:val="22"/>
        </w:rPr>
      </w:pPr>
    </w:p>
    <w:p w:rsidR="00BF39AD" w:rsidRDefault="00BF39AD" w:rsidP="00BF39AD">
      <w:pPr>
        <w:pStyle w:val="Heading1"/>
      </w:pPr>
      <w:r w:rsidRPr="00632206">
        <w:t>Context for Decision</w:t>
      </w:r>
    </w:p>
    <w:p w:rsidR="00BF39AD" w:rsidRDefault="00BF39AD" w:rsidP="00BF39AD">
      <w:pPr>
        <w:ind w:left="720"/>
        <w:jc w:val="both"/>
        <w:rPr>
          <w:rFonts w:ascii="Arial" w:hAnsi="Arial" w:cs="Arial"/>
          <w:sz w:val="22"/>
        </w:rPr>
      </w:pPr>
    </w:p>
    <w:p w:rsidR="00BF39AD" w:rsidRDefault="00BF39AD" w:rsidP="00BF39AD">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F39AD" w:rsidRDefault="00BF39AD" w:rsidP="00BF39AD">
      <w:pPr>
        <w:ind w:left="720"/>
        <w:jc w:val="both"/>
        <w:rPr>
          <w:rFonts w:ascii="Arial" w:hAnsi="Arial" w:cs="Arial"/>
          <w:sz w:val="22"/>
        </w:rPr>
      </w:pPr>
    </w:p>
    <w:p w:rsidR="00BF39AD" w:rsidRDefault="00BF39AD" w:rsidP="00BF39AD">
      <w:pPr>
        <w:pStyle w:val="Heading1"/>
      </w:pPr>
      <w:r w:rsidRPr="00451386">
        <w:t>Sponsor’s Comment</w:t>
      </w:r>
    </w:p>
    <w:p w:rsidR="00BF39AD" w:rsidRDefault="00BF39AD" w:rsidP="00BF39AD">
      <w:pPr>
        <w:ind w:left="720"/>
        <w:jc w:val="both"/>
        <w:rPr>
          <w:rFonts w:ascii="Arial" w:hAnsi="Arial" w:cs="Arial"/>
          <w:bCs/>
          <w:sz w:val="22"/>
          <w:highlight w:val="yellow"/>
          <w:lang w:val="en-GB"/>
        </w:rPr>
      </w:pPr>
    </w:p>
    <w:p w:rsidR="00BF39AD" w:rsidRDefault="00BF39AD" w:rsidP="00BF39AD">
      <w:pPr>
        <w:spacing w:after="120"/>
        <w:ind w:left="720"/>
        <w:jc w:val="both"/>
        <w:rPr>
          <w:rFonts w:ascii="Arial" w:hAnsi="Arial" w:cs="Arial"/>
          <w:bCs/>
          <w:sz w:val="22"/>
        </w:rPr>
      </w:pPr>
      <w:r w:rsidRPr="003035CC">
        <w:rPr>
          <w:rFonts w:ascii="Arial" w:hAnsi="Arial" w:cs="Arial"/>
          <w:bCs/>
          <w:sz w:val="22"/>
        </w:rPr>
        <w:t>The sponsor had no comment.</w:t>
      </w:r>
    </w:p>
    <w:p w:rsidR="002A247A" w:rsidRPr="00997765" w:rsidRDefault="002A247A" w:rsidP="00F27BC8">
      <w:pPr>
        <w:rPr>
          <w:rFonts w:ascii="Arial" w:hAnsi="Arial" w:cs="Arial"/>
          <w:b/>
          <w:bCs/>
          <w:sz w:val="22"/>
          <w:szCs w:val="22"/>
          <w:highlight w:val="yellow"/>
        </w:rPr>
      </w:pPr>
    </w:p>
    <w:p w:rsidR="00F27BC8" w:rsidRPr="00805FAD" w:rsidRDefault="00F27BC8" w:rsidP="00805FAD">
      <w:pPr>
        <w:jc w:val="both"/>
        <w:rPr>
          <w:rFonts w:ascii="Arial" w:hAnsi="Arial"/>
          <w:sz w:val="22"/>
          <w:szCs w:val="22"/>
        </w:rPr>
      </w:pPr>
    </w:p>
    <w:sectPr w:rsidR="00F27BC8" w:rsidRPr="00805FAD"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24" w:rsidRDefault="00360D24">
      <w:r>
        <w:separator/>
      </w:r>
    </w:p>
    <w:p w:rsidR="00360D24" w:rsidRDefault="00360D24"/>
  </w:endnote>
  <w:endnote w:type="continuationSeparator" w:id="0">
    <w:p w:rsidR="00360D24" w:rsidRDefault="00360D24">
      <w:r>
        <w:continuationSeparator/>
      </w:r>
    </w:p>
    <w:p w:rsidR="00360D24" w:rsidRDefault="00360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C2EC8" w:rsidTr="005A3173">
      <w:trPr>
        <w:trHeight w:val="151"/>
      </w:trPr>
      <w:tc>
        <w:tcPr>
          <w:tcW w:w="2250" w:type="pct"/>
          <w:tcBorders>
            <w:top w:val="nil"/>
            <w:left w:val="nil"/>
            <w:bottom w:val="single" w:sz="4" w:space="0" w:color="4F81BD"/>
            <w:right w:val="nil"/>
          </w:tcBorders>
        </w:tcPr>
        <w:p w:rsidR="000C2EC8" w:rsidRPr="005A3173" w:rsidRDefault="000C2EC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C2EC8" w:rsidRPr="005A3173" w:rsidRDefault="000C2EC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C2EC8" w:rsidRPr="005A3173" w:rsidRDefault="000C2EC8" w:rsidP="005A3173">
          <w:pPr>
            <w:pStyle w:val="Header"/>
            <w:spacing w:line="276" w:lineRule="auto"/>
            <w:rPr>
              <w:rFonts w:ascii="Calibri" w:eastAsia="MS Gothic" w:hAnsi="Calibri"/>
              <w:b/>
              <w:bCs/>
              <w:color w:val="4F81BD"/>
            </w:rPr>
          </w:pPr>
        </w:p>
      </w:tc>
    </w:tr>
    <w:tr w:rsidR="000C2EC8" w:rsidTr="005A3173">
      <w:trPr>
        <w:trHeight w:val="150"/>
      </w:trPr>
      <w:tc>
        <w:tcPr>
          <w:tcW w:w="2250" w:type="pct"/>
          <w:tcBorders>
            <w:top w:val="single" w:sz="4" w:space="0" w:color="4F81BD"/>
            <w:left w:val="nil"/>
            <w:bottom w:val="nil"/>
            <w:right w:val="nil"/>
          </w:tcBorders>
        </w:tcPr>
        <w:p w:rsidR="000C2EC8" w:rsidRPr="005A3173" w:rsidRDefault="000C2EC8" w:rsidP="005A3173">
          <w:pPr>
            <w:pStyle w:val="Header"/>
            <w:spacing w:line="276" w:lineRule="auto"/>
            <w:rPr>
              <w:rFonts w:ascii="Calibri" w:eastAsia="MS Gothic" w:hAnsi="Calibri"/>
              <w:b/>
              <w:bCs/>
              <w:color w:val="4F81BD"/>
            </w:rPr>
          </w:pPr>
        </w:p>
      </w:tc>
      <w:tc>
        <w:tcPr>
          <w:tcW w:w="0" w:type="auto"/>
          <w:vMerge/>
          <w:vAlign w:val="center"/>
          <w:hideMark/>
        </w:tcPr>
        <w:p w:rsidR="000C2EC8" w:rsidRPr="005A3173" w:rsidRDefault="000C2EC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C2EC8" w:rsidRPr="005A3173" w:rsidRDefault="000C2EC8" w:rsidP="005A3173">
          <w:pPr>
            <w:pStyle w:val="Header"/>
            <w:spacing w:line="276" w:lineRule="auto"/>
            <w:rPr>
              <w:rFonts w:ascii="Calibri" w:eastAsia="MS Gothic" w:hAnsi="Calibri"/>
              <w:b/>
              <w:bCs/>
              <w:color w:val="4F81BD"/>
            </w:rPr>
          </w:pPr>
        </w:p>
      </w:tc>
    </w:tr>
  </w:tbl>
  <w:p w:rsidR="000C2EC8" w:rsidRDefault="000C2EC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2EC8" w:rsidRDefault="000C2EC8">
    <w:pPr>
      <w:pStyle w:val="Footer"/>
    </w:pPr>
  </w:p>
  <w:p w:rsidR="000C2EC8" w:rsidRDefault="000C2E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576564"/>
      <w:docPartObj>
        <w:docPartGallery w:val="Page Numbers (Bottom of Page)"/>
        <w:docPartUnique/>
      </w:docPartObj>
    </w:sdtPr>
    <w:sdtEndPr>
      <w:rPr>
        <w:noProof/>
      </w:rPr>
    </w:sdtEndPr>
    <w:sdtContent>
      <w:p w:rsidR="000C2EC8" w:rsidRDefault="000C2EC8">
        <w:pPr>
          <w:pStyle w:val="Footer"/>
          <w:jc w:val="center"/>
        </w:pPr>
        <w:r w:rsidRPr="00F27BC8">
          <w:rPr>
            <w:rFonts w:ascii="Arial" w:hAnsi="Arial" w:cs="Arial"/>
            <w:sz w:val="22"/>
          </w:rPr>
          <w:fldChar w:fldCharType="begin"/>
        </w:r>
        <w:r w:rsidRPr="00F27BC8">
          <w:rPr>
            <w:rFonts w:ascii="Arial" w:hAnsi="Arial" w:cs="Arial"/>
            <w:sz w:val="22"/>
          </w:rPr>
          <w:instrText xml:space="preserve"> PAGE   \* MERGEFORMAT </w:instrText>
        </w:r>
        <w:r w:rsidRPr="00F27BC8">
          <w:rPr>
            <w:rFonts w:ascii="Arial" w:hAnsi="Arial" w:cs="Arial"/>
            <w:sz w:val="22"/>
          </w:rPr>
          <w:fldChar w:fldCharType="separate"/>
        </w:r>
        <w:r w:rsidR="00805FAD">
          <w:rPr>
            <w:rFonts w:ascii="Arial" w:hAnsi="Arial" w:cs="Arial"/>
            <w:noProof/>
            <w:sz w:val="22"/>
          </w:rPr>
          <w:t>18</w:t>
        </w:r>
        <w:r w:rsidRPr="00F27BC8">
          <w:rPr>
            <w:rFonts w:ascii="Arial" w:hAnsi="Arial" w:cs="Arial"/>
            <w:noProof/>
            <w:sz w:val="22"/>
          </w:rPr>
          <w:fldChar w:fldCharType="end"/>
        </w:r>
      </w:p>
    </w:sdtContent>
  </w:sdt>
  <w:p w:rsidR="000C2EC8" w:rsidRDefault="000C2EC8"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C2EC8" w:rsidTr="005A3173">
      <w:trPr>
        <w:trHeight w:val="151"/>
      </w:trPr>
      <w:tc>
        <w:tcPr>
          <w:tcW w:w="2250" w:type="pct"/>
          <w:tcBorders>
            <w:top w:val="nil"/>
            <w:left w:val="nil"/>
            <w:bottom w:val="single" w:sz="4" w:space="0" w:color="4F81BD"/>
            <w:right w:val="nil"/>
          </w:tcBorders>
        </w:tcPr>
        <w:p w:rsidR="000C2EC8" w:rsidRPr="005A3173" w:rsidRDefault="000C2EC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C2EC8" w:rsidRPr="005A3173" w:rsidRDefault="000C2EC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C2EC8" w:rsidRPr="005A3173" w:rsidRDefault="000C2EC8" w:rsidP="005A3173">
          <w:pPr>
            <w:pStyle w:val="Header"/>
            <w:spacing w:line="276" w:lineRule="auto"/>
            <w:rPr>
              <w:rFonts w:ascii="Calibri" w:eastAsia="MS Gothic" w:hAnsi="Calibri"/>
              <w:b/>
              <w:bCs/>
              <w:color w:val="4F81BD"/>
            </w:rPr>
          </w:pPr>
        </w:p>
      </w:tc>
    </w:tr>
    <w:tr w:rsidR="000C2EC8" w:rsidTr="005A3173">
      <w:trPr>
        <w:trHeight w:val="150"/>
      </w:trPr>
      <w:tc>
        <w:tcPr>
          <w:tcW w:w="2250" w:type="pct"/>
          <w:tcBorders>
            <w:top w:val="single" w:sz="4" w:space="0" w:color="4F81BD"/>
            <w:left w:val="nil"/>
            <w:bottom w:val="nil"/>
            <w:right w:val="nil"/>
          </w:tcBorders>
        </w:tcPr>
        <w:p w:rsidR="000C2EC8" w:rsidRPr="005A3173" w:rsidRDefault="000C2EC8" w:rsidP="005A3173">
          <w:pPr>
            <w:pStyle w:val="Header"/>
            <w:spacing w:line="276" w:lineRule="auto"/>
            <w:rPr>
              <w:rFonts w:ascii="Calibri" w:eastAsia="MS Gothic" w:hAnsi="Calibri"/>
              <w:b/>
              <w:bCs/>
              <w:color w:val="4F81BD"/>
            </w:rPr>
          </w:pPr>
        </w:p>
      </w:tc>
      <w:tc>
        <w:tcPr>
          <w:tcW w:w="0" w:type="auto"/>
          <w:vMerge/>
          <w:vAlign w:val="center"/>
          <w:hideMark/>
        </w:tcPr>
        <w:p w:rsidR="000C2EC8" w:rsidRPr="005A3173" w:rsidRDefault="000C2EC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C2EC8" w:rsidRPr="005A3173" w:rsidRDefault="000C2EC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C2EC8" w:rsidTr="005A3173">
      <w:trPr>
        <w:trHeight w:val="151"/>
      </w:trPr>
      <w:tc>
        <w:tcPr>
          <w:tcW w:w="2250" w:type="pct"/>
          <w:tcBorders>
            <w:top w:val="nil"/>
            <w:left w:val="nil"/>
            <w:bottom w:val="single" w:sz="4" w:space="0" w:color="4F81BD"/>
            <w:right w:val="nil"/>
          </w:tcBorders>
        </w:tcPr>
        <w:p w:rsidR="000C2EC8" w:rsidRPr="005A3173" w:rsidRDefault="000C2EC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C2EC8" w:rsidRPr="005A3173" w:rsidRDefault="000C2EC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C2EC8" w:rsidRPr="005A3173" w:rsidRDefault="000C2EC8" w:rsidP="005A3173">
          <w:pPr>
            <w:pStyle w:val="Header"/>
            <w:spacing w:line="276" w:lineRule="auto"/>
            <w:rPr>
              <w:rFonts w:ascii="Calibri" w:eastAsia="MS Gothic" w:hAnsi="Calibri"/>
              <w:b/>
              <w:bCs/>
              <w:color w:val="4F81BD"/>
            </w:rPr>
          </w:pPr>
        </w:p>
      </w:tc>
    </w:tr>
    <w:tr w:rsidR="000C2EC8" w:rsidTr="005A3173">
      <w:trPr>
        <w:trHeight w:val="150"/>
      </w:trPr>
      <w:tc>
        <w:tcPr>
          <w:tcW w:w="2250" w:type="pct"/>
          <w:tcBorders>
            <w:top w:val="single" w:sz="4" w:space="0" w:color="4F81BD"/>
            <w:left w:val="nil"/>
            <w:bottom w:val="nil"/>
            <w:right w:val="nil"/>
          </w:tcBorders>
        </w:tcPr>
        <w:p w:rsidR="000C2EC8" w:rsidRPr="005A3173" w:rsidRDefault="000C2EC8" w:rsidP="005A3173">
          <w:pPr>
            <w:pStyle w:val="Header"/>
            <w:spacing w:line="276" w:lineRule="auto"/>
            <w:rPr>
              <w:rFonts w:ascii="Calibri" w:eastAsia="MS Gothic" w:hAnsi="Calibri"/>
              <w:b/>
              <w:bCs/>
              <w:color w:val="4F81BD"/>
            </w:rPr>
          </w:pPr>
        </w:p>
      </w:tc>
      <w:tc>
        <w:tcPr>
          <w:tcW w:w="0" w:type="auto"/>
          <w:vMerge/>
          <w:vAlign w:val="center"/>
          <w:hideMark/>
        </w:tcPr>
        <w:p w:rsidR="000C2EC8" w:rsidRPr="005A3173" w:rsidRDefault="000C2EC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C2EC8" w:rsidRPr="005A3173" w:rsidRDefault="000C2EC8" w:rsidP="005A3173">
          <w:pPr>
            <w:pStyle w:val="Header"/>
            <w:spacing w:line="276" w:lineRule="auto"/>
            <w:rPr>
              <w:rFonts w:ascii="Calibri" w:eastAsia="MS Gothic" w:hAnsi="Calibri"/>
              <w:b/>
              <w:bCs/>
              <w:color w:val="4F81BD"/>
            </w:rPr>
          </w:pPr>
        </w:p>
      </w:tc>
    </w:tr>
  </w:tbl>
  <w:p w:rsidR="000C2EC8" w:rsidRPr="007C0F57" w:rsidRDefault="000C2EC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C2EC8" w:rsidRPr="007C0F57" w:rsidRDefault="000C2EC8" w:rsidP="007C0F57">
    <w:pPr>
      <w:pStyle w:val="Footer"/>
      <w:jc w:val="center"/>
      <w:rPr>
        <w:b/>
        <w:i/>
        <w:sz w:val="20"/>
        <w:szCs w:val="20"/>
      </w:rPr>
    </w:pPr>
    <w:r w:rsidRPr="007C0F57">
      <w:rPr>
        <w:b/>
        <w:i/>
        <w:sz w:val="20"/>
        <w:szCs w:val="20"/>
      </w:rPr>
      <w:t>Commercial-in-Confidence</w:t>
    </w:r>
  </w:p>
  <w:p w:rsidR="000C2EC8" w:rsidRDefault="000C2E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24" w:rsidRDefault="00360D24">
      <w:r>
        <w:separator/>
      </w:r>
    </w:p>
    <w:p w:rsidR="00360D24" w:rsidRDefault="00360D24"/>
  </w:footnote>
  <w:footnote w:type="continuationSeparator" w:id="0">
    <w:p w:rsidR="00360D24" w:rsidRDefault="00360D24">
      <w:r>
        <w:continuationSeparator/>
      </w:r>
    </w:p>
    <w:p w:rsidR="00360D24" w:rsidRDefault="00360D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C2EC8" w:rsidRPr="008E0D90" w:rsidTr="00A06225">
      <w:trPr>
        <w:trHeight w:val="151"/>
      </w:trPr>
      <w:tc>
        <w:tcPr>
          <w:tcW w:w="2389" w:type="pct"/>
          <w:tcBorders>
            <w:top w:val="nil"/>
            <w:left w:val="nil"/>
            <w:bottom w:val="single" w:sz="4" w:space="0" w:color="4F81BD"/>
            <w:right w:val="nil"/>
          </w:tcBorders>
        </w:tcPr>
        <w:p w:rsidR="000C2EC8" w:rsidRPr="00A06225" w:rsidRDefault="000C2EC8">
          <w:pPr>
            <w:pStyle w:val="Header"/>
            <w:spacing w:line="276" w:lineRule="auto"/>
            <w:rPr>
              <w:rFonts w:ascii="Cambria" w:eastAsia="MS Gothic" w:hAnsi="Cambria"/>
              <w:b/>
              <w:bCs/>
              <w:color w:val="4F81BD"/>
            </w:rPr>
          </w:pPr>
        </w:p>
      </w:tc>
      <w:tc>
        <w:tcPr>
          <w:tcW w:w="333" w:type="pct"/>
          <w:vMerge w:val="restart"/>
          <w:noWrap/>
          <w:vAlign w:val="center"/>
          <w:hideMark/>
        </w:tcPr>
        <w:p w:rsidR="000C2EC8" w:rsidRPr="00A06225" w:rsidRDefault="000C2EC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C2EC8" w:rsidRPr="00A06225" w:rsidRDefault="000C2EC8">
          <w:pPr>
            <w:pStyle w:val="Header"/>
            <w:spacing w:line="276" w:lineRule="auto"/>
            <w:rPr>
              <w:rFonts w:ascii="Cambria" w:eastAsia="MS Gothic" w:hAnsi="Cambria"/>
              <w:b/>
              <w:bCs/>
              <w:color w:val="4F81BD"/>
            </w:rPr>
          </w:pPr>
        </w:p>
      </w:tc>
    </w:tr>
    <w:tr w:rsidR="000C2EC8" w:rsidRPr="008E0D90" w:rsidTr="00A06225">
      <w:trPr>
        <w:trHeight w:val="150"/>
      </w:trPr>
      <w:tc>
        <w:tcPr>
          <w:tcW w:w="2389" w:type="pct"/>
          <w:tcBorders>
            <w:top w:val="single" w:sz="4" w:space="0" w:color="4F81BD"/>
            <w:left w:val="nil"/>
            <w:bottom w:val="nil"/>
            <w:right w:val="nil"/>
          </w:tcBorders>
        </w:tcPr>
        <w:p w:rsidR="000C2EC8" w:rsidRPr="00A06225" w:rsidRDefault="000C2EC8">
          <w:pPr>
            <w:pStyle w:val="Header"/>
            <w:spacing w:line="276" w:lineRule="auto"/>
            <w:rPr>
              <w:rFonts w:ascii="Cambria" w:eastAsia="MS Gothic" w:hAnsi="Cambria"/>
              <w:b/>
              <w:bCs/>
              <w:color w:val="4F81BD"/>
            </w:rPr>
          </w:pPr>
        </w:p>
      </w:tc>
      <w:tc>
        <w:tcPr>
          <w:tcW w:w="0" w:type="auto"/>
          <w:vMerge/>
          <w:vAlign w:val="center"/>
          <w:hideMark/>
        </w:tcPr>
        <w:p w:rsidR="000C2EC8" w:rsidRPr="00A06225" w:rsidRDefault="000C2EC8">
          <w:pPr>
            <w:rPr>
              <w:rFonts w:ascii="Cambria" w:hAnsi="Cambria"/>
              <w:color w:val="4F81BD"/>
              <w:sz w:val="22"/>
              <w:szCs w:val="22"/>
            </w:rPr>
          </w:pPr>
        </w:p>
      </w:tc>
      <w:tc>
        <w:tcPr>
          <w:tcW w:w="2278" w:type="pct"/>
          <w:tcBorders>
            <w:top w:val="single" w:sz="4" w:space="0" w:color="4F81BD"/>
            <w:left w:val="nil"/>
            <w:bottom w:val="nil"/>
            <w:right w:val="nil"/>
          </w:tcBorders>
        </w:tcPr>
        <w:p w:rsidR="000C2EC8" w:rsidRPr="00A06225" w:rsidRDefault="000C2EC8">
          <w:pPr>
            <w:pStyle w:val="Header"/>
            <w:spacing w:line="276" w:lineRule="auto"/>
            <w:rPr>
              <w:rFonts w:ascii="Cambria" w:eastAsia="MS Gothic" w:hAnsi="Cambria"/>
              <w:b/>
              <w:bCs/>
              <w:color w:val="4F81BD"/>
            </w:rPr>
          </w:pPr>
        </w:p>
      </w:tc>
    </w:tr>
  </w:tbl>
  <w:p w:rsidR="000C2EC8" w:rsidRDefault="000C2EC8">
    <w:pPr>
      <w:pStyle w:val="Header"/>
    </w:pPr>
  </w:p>
  <w:p w:rsidR="000C2EC8" w:rsidRDefault="000C2E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C8" w:rsidRDefault="000C2EC8" w:rsidP="005E5CFA">
    <w:pPr>
      <w:pStyle w:val="NoSpacing"/>
      <w:jc w:val="center"/>
      <w:rPr>
        <w:rFonts w:cs="Arial"/>
        <w:i/>
        <w:color w:val="808080"/>
      </w:rPr>
    </w:pPr>
    <w:r>
      <w:rPr>
        <w:rFonts w:cs="Arial"/>
        <w:i/>
        <w:color w:val="808080"/>
      </w:rPr>
      <w:t>Public Summary Document – March 2016</w:t>
    </w:r>
    <w:r w:rsidRPr="00B541CA">
      <w:rPr>
        <w:rFonts w:cs="Arial"/>
        <w:i/>
        <w:color w:val="808080"/>
      </w:rPr>
      <w:t xml:space="preserve"> PBAC Meeting</w:t>
    </w:r>
  </w:p>
  <w:p w:rsidR="000C2EC8" w:rsidRDefault="000C2EC8"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D65E4A"/>
    <w:multiLevelType w:val="hybridMultilevel"/>
    <w:tmpl w:val="0B2A88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917B7A"/>
    <w:multiLevelType w:val="hybridMultilevel"/>
    <w:tmpl w:val="4832F20C"/>
    <w:lvl w:ilvl="0" w:tplc="369A0A5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8B78EA"/>
    <w:multiLevelType w:val="hybridMultilevel"/>
    <w:tmpl w:val="17BA8450"/>
    <w:lvl w:ilvl="0" w:tplc="369A0A56">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1DA2992"/>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7F864AA"/>
    <w:multiLevelType w:val="hybridMultilevel"/>
    <w:tmpl w:val="2C40EF3A"/>
    <w:lvl w:ilvl="0" w:tplc="369A0A56">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4556350C"/>
    <w:multiLevelType w:val="hybridMultilevel"/>
    <w:tmpl w:val="98C6538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90434F4"/>
    <w:multiLevelType w:val="hybridMultilevel"/>
    <w:tmpl w:val="4260AA0A"/>
    <w:lvl w:ilvl="0" w:tplc="BA501364">
      <w:start w:val="1100"/>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6421BCE"/>
    <w:multiLevelType w:val="hybridMultilevel"/>
    <w:tmpl w:val="E5ACA10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784D033C"/>
    <w:multiLevelType w:val="multilevel"/>
    <w:tmpl w:val="21229354"/>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9080C53"/>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8"/>
  </w:num>
  <w:num w:numId="4">
    <w:abstractNumId w:val="2"/>
  </w:num>
  <w:num w:numId="5">
    <w:abstractNumId w:val="4"/>
  </w:num>
  <w:num w:numId="6">
    <w:abstractNumId w:val="12"/>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7"/>
  </w:num>
  <w:num w:numId="12">
    <w:abstractNumId w:val="10"/>
  </w:num>
  <w:num w:numId="13">
    <w:abstractNumId w:val="1"/>
  </w:num>
  <w:num w:numId="14">
    <w:abstractNumId w:val="0"/>
  </w:num>
  <w:num w:numId="15">
    <w:abstractNumId w:val="6"/>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0104"/>
    <w:rsid w:val="00013D16"/>
    <w:rsid w:val="0001764F"/>
    <w:rsid w:val="0002312C"/>
    <w:rsid w:val="0002464A"/>
    <w:rsid w:val="000256E8"/>
    <w:rsid w:val="00025D7A"/>
    <w:rsid w:val="0002685B"/>
    <w:rsid w:val="00027A0B"/>
    <w:rsid w:val="00027DCC"/>
    <w:rsid w:val="0003106B"/>
    <w:rsid w:val="00031EB4"/>
    <w:rsid w:val="00034561"/>
    <w:rsid w:val="00037FE3"/>
    <w:rsid w:val="000421A1"/>
    <w:rsid w:val="0004240E"/>
    <w:rsid w:val="000434C8"/>
    <w:rsid w:val="00043DAE"/>
    <w:rsid w:val="00045E26"/>
    <w:rsid w:val="000514B5"/>
    <w:rsid w:val="0005557F"/>
    <w:rsid w:val="00060E64"/>
    <w:rsid w:val="00064550"/>
    <w:rsid w:val="00066755"/>
    <w:rsid w:val="00075F99"/>
    <w:rsid w:val="000802AC"/>
    <w:rsid w:val="00084DDA"/>
    <w:rsid w:val="00086B75"/>
    <w:rsid w:val="000969AD"/>
    <w:rsid w:val="00096EC5"/>
    <w:rsid w:val="000A1F86"/>
    <w:rsid w:val="000A64A4"/>
    <w:rsid w:val="000A6CD1"/>
    <w:rsid w:val="000B3161"/>
    <w:rsid w:val="000B558D"/>
    <w:rsid w:val="000C2EC8"/>
    <w:rsid w:val="000C48B7"/>
    <w:rsid w:val="000C60C0"/>
    <w:rsid w:val="000C6996"/>
    <w:rsid w:val="000C6A4D"/>
    <w:rsid w:val="000D23BA"/>
    <w:rsid w:val="000D2B2D"/>
    <w:rsid w:val="000E26C1"/>
    <w:rsid w:val="000E32F1"/>
    <w:rsid w:val="000E681E"/>
    <w:rsid w:val="000F3113"/>
    <w:rsid w:val="000F4941"/>
    <w:rsid w:val="000F4B93"/>
    <w:rsid w:val="000F4DC5"/>
    <w:rsid w:val="000F4E6A"/>
    <w:rsid w:val="000F7C4D"/>
    <w:rsid w:val="00102D9D"/>
    <w:rsid w:val="00103C6C"/>
    <w:rsid w:val="00104E62"/>
    <w:rsid w:val="00106761"/>
    <w:rsid w:val="001107BF"/>
    <w:rsid w:val="0012417C"/>
    <w:rsid w:val="001247E3"/>
    <w:rsid w:val="00126BB8"/>
    <w:rsid w:val="00126CC6"/>
    <w:rsid w:val="001329C5"/>
    <w:rsid w:val="00135E6D"/>
    <w:rsid w:val="00142395"/>
    <w:rsid w:val="00142714"/>
    <w:rsid w:val="001452ED"/>
    <w:rsid w:val="00151425"/>
    <w:rsid w:val="0015161E"/>
    <w:rsid w:val="00152871"/>
    <w:rsid w:val="00152FD5"/>
    <w:rsid w:val="0015556D"/>
    <w:rsid w:val="00156CC1"/>
    <w:rsid w:val="001626C5"/>
    <w:rsid w:val="001640C1"/>
    <w:rsid w:val="0016698F"/>
    <w:rsid w:val="001775B4"/>
    <w:rsid w:val="001830CE"/>
    <w:rsid w:val="00184DFF"/>
    <w:rsid w:val="00186EB6"/>
    <w:rsid w:val="00194CC1"/>
    <w:rsid w:val="00196307"/>
    <w:rsid w:val="001A59DC"/>
    <w:rsid w:val="001A6346"/>
    <w:rsid w:val="001A7037"/>
    <w:rsid w:val="001B017F"/>
    <w:rsid w:val="001B1CA8"/>
    <w:rsid w:val="001B3BA8"/>
    <w:rsid w:val="001B5129"/>
    <w:rsid w:val="001B5AC8"/>
    <w:rsid w:val="001C1195"/>
    <w:rsid w:val="001C2E40"/>
    <w:rsid w:val="001C3A84"/>
    <w:rsid w:val="001C4BF2"/>
    <w:rsid w:val="001C7114"/>
    <w:rsid w:val="001D4E24"/>
    <w:rsid w:val="001E44B7"/>
    <w:rsid w:val="001F087A"/>
    <w:rsid w:val="001F1C31"/>
    <w:rsid w:val="001F3021"/>
    <w:rsid w:val="001F37BA"/>
    <w:rsid w:val="001F3F37"/>
    <w:rsid w:val="001F5474"/>
    <w:rsid w:val="001F7676"/>
    <w:rsid w:val="00201C8D"/>
    <w:rsid w:val="00206EC1"/>
    <w:rsid w:val="00211659"/>
    <w:rsid w:val="00213CFB"/>
    <w:rsid w:val="002202FF"/>
    <w:rsid w:val="00221B35"/>
    <w:rsid w:val="00223725"/>
    <w:rsid w:val="00226E9F"/>
    <w:rsid w:val="00227897"/>
    <w:rsid w:val="0023021D"/>
    <w:rsid w:val="00236DCC"/>
    <w:rsid w:val="002419E9"/>
    <w:rsid w:val="0024277E"/>
    <w:rsid w:val="00262F25"/>
    <w:rsid w:val="002666A5"/>
    <w:rsid w:val="00266F2A"/>
    <w:rsid w:val="00271BA1"/>
    <w:rsid w:val="00277505"/>
    <w:rsid w:val="0028106C"/>
    <w:rsid w:val="00286E12"/>
    <w:rsid w:val="002908D0"/>
    <w:rsid w:val="0029369E"/>
    <w:rsid w:val="0029458F"/>
    <w:rsid w:val="002969C1"/>
    <w:rsid w:val="002A01BE"/>
    <w:rsid w:val="002A0432"/>
    <w:rsid w:val="002A104C"/>
    <w:rsid w:val="002A238E"/>
    <w:rsid w:val="002A247A"/>
    <w:rsid w:val="002A2612"/>
    <w:rsid w:val="002A4960"/>
    <w:rsid w:val="002B0DF9"/>
    <w:rsid w:val="002B1AE6"/>
    <w:rsid w:val="002B1C45"/>
    <w:rsid w:val="002B30F8"/>
    <w:rsid w:val="002C212F"/>
    <w:rsid w:val="002C2377"/>
    <w:rsid w:val="002C275B"/>
    <w:rsid w:val="002C35D5"/>
    <w:rsid w:val="002C367A"/>
    <w:rsid w:val="002D4180"/>
    <w:rsid w:val="002E1B4D"/>
    <w:rsid w:val="002E1B73"/>
    <w:rsid w:val="002E3153"/>
    <w:rsid w:val="002E4E48"/>
    <w:rsid w:val="002E713A"/>
    <w:rsid w:val="002E72CA"/>
    <w:rsid w:val="002F23E6"/>
    <w:rsid w:val="002F3CD9"/>
    <w:rsid w:val="00305608"/>
    <w:rsid w:val="00305632"/>
    <w:rsid w:val="003152E2"/>
    <w:rsid w:val="00316CFE"/>
    <w:rsid w:val="00317CE0"/>
    <w:rsid w:val="0032172D"/>
    <w:rsid w:val="00326E79"/>
    <w:rsid w:val="00335817"/>
    <w:rsid w:val="003367EF"/>
    <w:rsid w:val="00340AC1"/>
    <w:rsid w:val="00341AE4"/>
    <w:rsid w:val="0034340F"/>
    <w:rsid w:val="00344D9B"/>
    <w:rsid w:val="003451E9"/>
    <w:rsid w:val="00346325"/>
    <w:rsid w:val="003564A5"/>
    <w:rsid w:val="00360D24"/>
    <w:rsid w:val="00363683"/>
    <w:rsid w:val="00364043"/>
    <w:rsid w:val="003640B0"/>
    <w:rsid w:val="0037018B"/>
    <w:rsid w:val="00374516"/>
    <w:rsid w:val="00376A51"/>
    <w:rsid w:val="003833FF"/>
    <w:rsid w:val="00384B5B"/>
    <w:rsid w:val="003872CF"/>
    <w:rsid w:val="00387EB5"/>
    <w:rsid w:val="00391098"/>
    <w:rsid w:val="00392FD2"/>
    <w:rsid w:val="003949A2"/>
    <w:rsid w:val="0039782C"/>
    <w:rsid w:val="003A2AE6"/>
    <w:rsid w:val="003A5A40"/>
    <w:rsid w:val="003A5B4A"/>
    <w:rsid w:val="003B054A"/>
    <w:rsid w:val="003B23C5"/>
    <w:rsid w:val="003B2998"/>
    <w:rsid w:val="003B2A75"/>
    <w:rsid w:val="003B3445"/>
    <w:rsid w:val="003B3D64"/>
    <w:rsid w:val="003B4E23"/>
    <w:rsid w:val="003C0BF9"/>
    <w:rsid w:val="003C6FD1"/>
    <w:rsid w:val="003C7F5A"/>
    <w:rsid w:val="003D4AC4"/>
    <w:rsid w:val="003D5DC2"/>
    <w:rsid w:val="003D63B7"/>
    <w:rsid w:val="003D7E0D"/>
    <w:rsid w:val="003E1A5D"/>
    <w:rsid w:val="003E2313"/>
    <w:rsid w:val="003E29A0"/>
    <w:rsid w:val="003E2FFC"/>
    <w:rsid w:val="003E468B"/>
    <w:rsid w:val="003E471A"/>
    <w:rsid w:val="003E51AF"/>
    <w:rsid w:val="003F08A0"/>
    <w:rsid w:val="003F5C8C"/>
    <w:rsid w:val="003F6051"/>
    <w:rsid w:val="003F71AF"/>
    <w:rsid w:val="00401FCD"/>
    <w:rsid w:val="00406FB0"/>
    <w:rsid w:val="00411299"/>
    <w:rsid w:val="00417E7E"/>
    <w:rsid w:val="004221ED"/>
    <w:rsid w:val="0042346A"/>
    <w:rsid w:val="00424298"/>
    <w:rsid w:val="00437548"/>
    <w:rsid w:val="004465BD"/>
    <w:rsid w:val="00453AEA"/>
    <w:rsid w:val="00453BE2"/>
    <w:rsid w:val="00466ADA"/>
    <w:rsid w:val="00467008"/>
    <w:rsid w:val="004676FE"/>
    <w:rsid w:val="00470DAD"/>
    <w:rsid w:val="00476245"/>
    <w:rsid w:val="004808C9"/>
    <w:rsid w:val="00482546"/>
    <w:rsid w:val="00483153"/>
    <w:rsid w:val="0048505E"/>
    <w:rsid w:val="00485940"/>
    <w:rsid w:val="00487590"/>
    <w:rsid w:val="00493A54"/>
    <w:rsid w:val="00494A3A"/>
    <w:rsid w:val="004955E3"/>
    <w:rsid w:val="004974BC"/>
    <w:rsid w:val="004A030F"/>
    <w:rsid w:val="004A04DE"/>
    <w:rsid w:val="004A473F"/>
    <w:rsid w:val="004A5A85"/>
    <w:rsid w:val="004B2FA2"/>
    <w:rsid w:val="004B5170"/>
    <w:rsid w:val="004B5640"/>
    <w:rsid w:val="004C1BD7"/>
    <w:rsid w:val="004C4F2E"/>
    <w:rsid w:val="004C691D"/>
    <w:rsid w:val="004C6E7F"/>
    <w:rsid w:val="004D0F25"/>
    <w:rsid w:val="004D1192"/>
    <w:rsid w:val="004D6A66"/>
    <w:rsid w:val="004E61BD"/>
    <w:rsid w:val="004E692D"/>
    <w:rsid w:val="004E6B0C"/>
    <w:rsid w:val="004F65A8"/>
    <w:rsid w:val="00501554"/>
    <w:rsid w:val="0050630B"/>
    <w:rsid w:val="005147DD"/>
    <w:rsid w:val="00514CD7"/>
    <w:rsid w:val="005219D7"/>
    <w:rsid w:val="0052384A"/>
    <w:rsid w:val="00531884"/>
    <w:rsid w:val="005319B2"/>
    <w:rsid w:val="005325E7"/>
    <w:rsid w:val="00532C74"/>
    <w:rsid w:val="00533AAB"/>
    <w:rsid w:val="00534673"/>
    <w:rsid w:val="00534E2E"/>
    <w:rsid w:val="00537A8A"/>
    <w:rsid w:val="00540CC8"/>
    <w:rsid w:val="00544552"/>
    <w:rsid w:val="00545E71"/>
    <w:rsid w:val="0054639C"/>
    <w:rsid w:val="00553D6C"/>
    <w:rsid w:val="00554427"/>
    <w:rsid w:val="00554B53"/>
    <w:rsid w:val="00565133"/>
    <w:rsid w:val="005674F7"/>
    <w:rsid w:val="00572F93"/>
    <w:rsid w:val="0057491D"/>
    <w:rsid w:val="00574E92"/>
    <w:rsid w:val="00581932"/>
    <w:rsid w:val="00586911"/>
    <w:rsid w:val="0058714D"/>
    <w:rsid w:val="0058749A"/>
    <w:rsid w:val="00594D20"/>
    <w:rsid w:val="005963BB"/>
    <w:rsid w:val="005968FB"/>
    <w:rsid w:val="005A3173"/>
    <w:rsid w:val="005A3223"/>
    <w:rsid w:val="005A3DA3"/>
    <w:rsid w:val="005A427B"/>
    <w:rsid w:val="005A52C4"/>
    <w:rsid w:val="005A61AE"/>
    <w:rsid w:val="005B2D76"/>
    <w:rsid w:val="005B6FB9"/>
    <w:rsid w:val="005C1062"/>
    <w:rsid w:val="005C3E5E"/>
    <w:rsid w:val="005C4DF2"/>
    <w:rsid w:val="005C5E8C"/>
    <w:rsid w:val="005C71D4"/>
    <w:rsid w:val="005D03AB"/>
    <w:rsid w:val="005D27A1"/>
    <w:rsid w:val="005D3A09"/>
    <w:rsid w:val="005D5017"/>
    <w:rsid w:val="005D507B"/>
    <w:rsid w:val="005D7C69"/>
    <w:rsid w:val="005E2C3A"/>
    <w:rsid w:val="005E41E9"/>
    <w:rsid w:val="005E5CFA"/>
    <w:rsid w:val="005E6941"/>
    <w:rsid w:val="005E6A66"/>
    <w:rsid w:val="005F709E"/>
    <w:rsid w:val="00601A91"/>
    <w:rsid w:val="006024AE"/>
    <w:rsid w:val="00602BA3"/>
    <w:rsid w:val="00606CE9"/>
    <w:rsid w:val="00610F42"/>
    <w:rsid w:val="00614159"/>
    <w:rsid w:val="00617C00"/>
    <w:rsid w:val="00624BB6"/>
    <w:rsid w:val="00625A0D"/>
    <w:rsid w:val="006263BF"/>
    <w:rsid w:val="0062748A"/>
    <w:rsid w:val="00630A2C"/>
    <w:rsid w:val="00632E5A"/>
    <w:rsid w:val="0063591B"/>
    <w:rsid w:val="00636F82"/>
    <w:rsid w:val="0064722C"/>
    <w:rsid w:val="00651169"/>
    <w:rsid w:val="006521CE"/>
    <w:rsid w:val="006533DF"/>
    <w:rsid w:val="006535DB"/>
    <w:rsid w:val="00653D69"/>
    <w:rsid w:val="00657A6E"/>
    <w:rsid w:val="00663F54"/>
    <w:rsid w:val="00664B6C"/>
    <w:rsid w:val="00667DF6"/>
    <w:rsid w:val="00670A76"/>
    <w:rsid w:val="00670AEB"/>
    <w:rsid w:val="00670C6E"/>
    <w:rsid w:val="006711AA"/>
    <w:rsid w:val="00672B57"/>
    <w:rsid w:val="00673D32"/>
    <w:rsid w:val="00675622"/>
    <w:rsid w:val="006824B2"/>
    <w:rsid w:val="006830BC"/>
    <w:rsid w:val="006858CC"/>
    <w:rsid w:val="00685EEF"/>
    <w:rsid w:val="00686BF3"/>
    <w:rsid w:val="00687CA2"/>
    <w:rsid w:val="006906DB"/>
    <w:rsid w:val="00690BCC"/>
    <w:rsid w:val="00691C68"/>
    <w:rsid w:val="0069394D"/>
    <w:rsid w:val="0069491E"/>
    <w:rsid w:val="00695777"/>
    <w:rsid w:val="006A12A5"/>
    <w:rsid w:val="006A1EE0"/>
    <w:rsid w:val="006A2050"/>
    <w:rsid w:val="006B0D94"/>
    <w:rsid w:val="006B1F54"/>
    <w:rsid w:val="006B3592"/>
    <w:rsid w:val="006B485D"/>
    <w:rsid w:val="006C10EF"/>
    <w:rsid w:val="006C4967"/>
    <w:rsid w:val="006C65B8"/>
    <w:rsid w:val="006C708E"/>
    <w:rsid w:val="006D05DC"/>
    <w:rsid w:val="006D2209"/>
    <w:rsid w:val="006D30C1"/>
    <w:rsid w:val="006D33ED"/>
    <w:rsid w:val="006D6EC7"/>
    <w:rsid w:val="006E0976"/>
    <w:rsid w:val="006E63CD"/>
    <w:rsid w:val="006E7B9D"/>
    <w:rsid w:val="006F0AEE"/>
    <w:rsid w:val="006F2236"/>
    <w:rsid w:val="006F2D79"/>
    <w:rsid w:val="006F42D3"/>
    <w:rsid w:val="006F5125"/>
    <w:rsid w:val="006F73CC"/>
    <w:rsid w:val="006F7F32"/>
    <w:rsid w:val="00703C18"/>
    <w:rsid w:val="00703C35"/>
    <w:rsid w:val="007100FA"/>
    <w:rsid w:val="00713C17"/>
    <w:rsid w:val="00714124"/>
    <w:rsid w:val="007174BB"/>
    <w:rsid w:val="00724D23"/>
    <w:rsid w:val="00725855"/>
    <w:rsid w:val="00731C89"/>
    <w:rsid w:val="00734761"/>
    <w:rsid w:val="00737EAB"/>
    <w:rsid w:val="00742E01"/>
    <w:rsid w:val="00744D8F"/>
    <w:rsid w:val="00746FD4"/>
    <w:rsid w:val="0075194A"/>
    <w:rsid w:val="00753959"/>
    <w:rsid w:val="00760625"/>
    <w:rsid w:val="00763E4D"/>
    <w:rsid w:val="0076420C"/>
    <w:rsid w:val="0076625E"/>
    <w:rsid w:val="00770E87"/>
    <w:rsid w:val="00772B38"/>
    <w:rsid w:val="007753C2"/>
    <w:rsid w:val="00780883"/>
    <w:rsid w:val="007838B8"/>
    <w:rsid w:val="00784765"/>
    <w:rsid w:val="00784A97"/>
    <w:rsid w:val="0079169C"/>
    <w:rsid w:val="0079189A"/>
    <w:rsid w:val="00791BFB"/>
    <w:rsid w:val="00793A60"/>
    <w:rsid w:val="00795EF2"/>
    <w:rsid w:val="007968EE"/>
    <w:rsid w:val="007A3EA5"/>
    <w:rsid w:val="007B07E6"/>
    <w:rsid w:val="007B0B20"/>
    <w:rsid w:val="007B105B"/>
    <w:rsid w:val="007B39F5"/>
    <w:rsid w:val="007B49E3"/>
    <w:rsid w:val="007C047B"/>
    <w:rsid w:val="007C0F57"/>
    <w:rsid w:val="007C18B3"/>
    <w:rsid w:val="007C1A1A"/>
    <w:rsid w:val="007C21FF"/>
    <w:rsid w:val="007C40B6"/>
    <w:rsid w:val="007C729F"/>
    <w:rsid w:val="007D0E71"/>
    <w:rsid w:val="007D430E"/>
    <w:rsid w:val="007D49F5"/>
    <w:rsid w:val="007D4BF1"/>
    <w:rsid w:val="007D5E24"/>
    <w:rsid w:val="007D6898"/>
    <w:rsid w:val="007D776A"/>
    <w:rsid w:val="007E1D28"/>
    <w:rsid w:val="007E2783"/>
    <w:rsid w:val="007E31ED"/>
    <w:rsid w:val="007E7DA2"/>
    <w:rsid w:val="007F2641"/>
    <w:rsid w:val="007F3A6C"/>
    <w:rsid w:val="007F3C80"/>
    <w:rsid w:val="007F54B1"/>
    <w:rsid w:val="007F7C36"/>
    <w:rsid w:val="00805FAD"/>
    <w:rsid w:val="00806796"/>
    <w:rsid w:val="0080769F"/>
    <w:rsid w:val="00810CE0"/>
    <w:rsid w:val="00815C52"/>
    <w:rsid w:val="00817495"/>
    <w:rsid w:val="0082008C"/>
    <w:rsid w:val="00820E97"/>
    <w:rsid w:val="00825447"/>
    <w:rsid w:val="00826EA8"/>
    <w:rsid w:val="00826F6D"/>
    <w:rsid w:val="0083698F"/>
    <w:rsid w:val="00842DF7"/>
    <w:rsid w:val="00843565"/>
    <w:rsid w:val="00850577"/>
    <w:rsid w:val="00853420"/>
    <w:rsid w:val="00854A6B"/>
    <w:rsid w:val="00856DDD"/>
    <w:rsid w:val="008573A7"/>
    <w:rsid w:val="00861A4A"/>
    <w:rsid w:val="008634A3"/>
    <w:rsid w:val="00863E68"/>
    <w:rsid w:val="00867F28"/>
    <w:rsid w:val="00877D95"/>
    <w:rsid w:val="00882085"/>
    <w:rsid w:val="00883188"/>
    <w:rsid w:val="00885DDD"/>
    <w:rsid w:val="00892569"/>
    <w:rsid w:val="00897D58"/>
    <w:rsid w:val="008A0F8C"/>
    <w:rsid w:val="008A1956"/>
    <w:rsid w:val="008A4937"/>
    <w:rsid w:val="008B3D05"/>
    <w:rsid w:val="008C3B3F"/>
    <w:rsid w:val="008C7DAD"/>
    <w:rsid w:val="008D0A3B"/>
    <w:rsid w:val="008D0DC2"/>
    <w:rsid w:val="008D3C82"/>
    <w:rsid w:val="008D4247"/>
    <w:rsid w:val="008D447E"/>
    <w:rsid w:val="008D473C"/>
    <w:rsid w:val="008D690A"/>
    <w:rsid w:val="008D7A41"/>
    <w:rsid w:val="008E0D08"/>
    <w:rsid w:val="008E222A"/>
    <w:rsid w:val="008E3680"/>
    <w:rsid w:val="008E44DA"/>
    <w:rsid w:val="008E5870"/>
    <w:rsid w:val="008F1434"/>
    <w:rsid w:val="008F30A2"/>
    <w:rsid w:val="008F7355"/>
    <w:rsid w:val="00900F1A"/>
    <w:rsid w:val="009067B7"/>
    <w:rsid w:val="00910EBE"/>
    <w:rsid w:val="00912912"/>
    <w:rsid w:val="00912C78"/>
    <w:rsid w:val="00923D47"/>
    <w:rsid w:val="00927691"/>
    <w:rsid w:val="00930937"/>
    <w:rsid w:val="00933649"/>
    <w:rsid w:val="009338AC"/>
    <w:rsid w:val="00933E6C"/>
    <w:rsid w:val="00942160"/>
    <w:rsid w:val="00943D56"/>
    <w:rsid w:val="0095103F"/>
    <w:rsid w:val="00953C7C"/>
    <w:rsid w:val="00956136"/>
    <w:rsid w:val="009578FC"/>
    <w:rsid w:val="00957ED9"/>
    <w:rsid w:val="009602C5"/>
    <w:rsid w:val="0096287D"/>
    <w:rsid w:val="00963E64"/>
    <w:rsid w:val="00970AB0"/>
    <w:rsid w:val="009722E0"/>
    <w:rsid w:val="00974C21"/>
    <w:rsid w:val="00974F82"/>
    <w:rsid w:val="009753B8"/>
    <w:rsid w:val="0097548A"/>
    <w:rsid w:val="009770FE"/>
    <w:rsid w:val="00997765"/>
    <w:rsid w:val="009A2C04"/>
    <w:rsid w:val="009A32A7"/>
    <w:rsid w:val="009A3423"/>
    <w:rsid w:val="009A67A3"/>
    <w:rsid w:val="009A6B87"/>
    <w:rsid w:val="009B0F67"/>
    <w:rsid w:val="009C2113"/>
    <w:rsid w:val="009C2EC7"/>
    <w:rsid w:val="009C703C"/>
    <w:rsid w:val="009D25B0"/>
    <w:rsid w:val="009D2A83"/>
    <w:rsid w:val="009D3CAA"/>
    <w:rsid w:val="009E15AA"/>
    <w:rsid w:val="009E4425"/>
    <w:rsid w:val="009F1FE7"/>
    <w:rsid w:val="009F35C4"/>
    <w:rsid w:val="009F47FD"/>
    <w:rsid w:val="009F4E46"/>
    <w:rsid w:val="009F5B65"/>
    <w:rsid w:val="009F5F2E"/>
    <w:rsid w:val="009F693F"/>
    <w:rsid w:val="009F6E37"/>
    <w:rsid w:val="009F79E7"/>
    <w:rsid w:val="00A000FD"/>
    <w:rsid w:val="00A03523"/>
    <w:rsid w:val="00A06225"/>
    <w:rsid w:val="00A128E6"/>
    <w:rsid w:val="00A17EDE"/>
    <w:rsid w:val="00A22076"/>
    <w:rsid w:val="00A22461"/>
    <w:rsid w:val="00A258AE"/>
    <w:rsid w:val="00A276D8"/>
    <w:rsid w:val="00A279C7"/>
    <w:rsid w:val="00A3050C"/>
    <w:rsid w:val="00A34050"/>
    <w:rsid w:val="00A35B58"/>
    <w:rsid w:val="00A37C8D"/>
    <w:rsid w:val="00A4074E"/>
    <w:rsid w:val="00A43325"/>
    <w:rsid w:val="00A45260"/>
    <w:rsid w:val="00A4759D"/>
    <w:rsid w:val="00A52550"/>
    <w:rsid w:val="00A5273B"/>
    <w:rsid w:val="00A53A9D"/>
    <w:rsid w:val="00A55FEE"/>
    <w:rsid w:val="00A62BF0"/>
    <w:rsid w:val="00A62C1A"/>
    <w:rsid w:val="00A63D00"/>
    <w:rsid w:val="00A6426D"/>
    <w:rsid w:val="00A6453B"/>
    <w:rsid w:val="00A67469"/>
    <w:rsid w:val="00A70622"/>
    <w:rsid w:val="00A70977"/>
    <w:rsid w:val="00A71C1A"/>
    <w:rsid w:val="00A760D2"/>
    <w:rsid w:val="00A76C44"/>
    <w:rsid w:val="00A8390C"/>
    <w:rsid w:val="00A85AB7"/>
    <w:rsid w:val="00A87520"/>
    <w:rsid w:val="00A905EF"/>
    <w:rsid w:val="00A928BD"/>
    <w:rsid w:val="00A93B48"/>
    <w:rsid w:val="00AA410E"/>
    <w:rsid w:val="00AA48D2"/>
    <w:rsid w:val="00AA4D1C"/>
    <w:rsid w:val="00AA62B7"/>
    <w:rsid w:val="00AB1483"/>
    <w:rsid w:val="00AB1862"/>
    <w:rsid w:val="00AB249E"/>
    <w:rsid w:val="00AB3618"/>
    <w:rsid w:val="00AC0100"/>
    <w:rsid w:val="00AC0836"/>
    <w:rsid w:val="00AC085A"/>
    <w:rsid w:val="00AC193C"/>
    <w:rsid w:val="00AC5206"/>
    <w:rsid w:val="00AD21FF"/>
    <w:rsid w:val="00AD2DC1"/>
    <w:rsid w:val="00AD37C7"/>
    <w:rsid w:val="00AE11A5"/>
    <w:rsid w:val="00AE13E2"/>
    <w:rsid w:val="00AE687F"/>
    <w:rsid w:val="00AE6C22"/>
    <w:rsid w:val="00AF0F52"/>
    <w:rsid w:val="00AF4D8F"/>
    <w:rsid w:val="00AF58E6"/>
    <w:rsid w:val="00AF68CC"/>
    <w:rsid w:val="00B02449"/>
    <w:rsid w:val="00B052F4"/>
    <w:rsid w:val="00B06064"/>
    <w:rsid w:val="00B06754"/>
    <w:rsid w:val="00B103E4"/>
    <w:rsid w:val="00B10A61"/>
    <w:rsid w:val="00B15A6B"/>
    <w:rsid w:val="00B17959"/>
    <w:rsid w:val="00B179F9"/>
    <w:rsid w:val="00B17D22"/>
    <w:rsid w:val="00B205AA"/>
    <w:rsid w:val="00B22E84"/>
    <w:rsid w:val="00B24C6A"/>
    <w:rsid w:val="00B25F75"/>
    <w:rsid w:val="00B372C8"/>
    <w:rsid w:val="00B43E90"/>
    <w:rsid w:val="00B4547A"/>
    <w:rsid w:val="00B467DC"/>
    <w:rsid w:val="00B50F3E"/>
    <w:rsid w:val="00B56118"/>
    <w:rsid w:val="00B60604"/>
    <w:rsid w:val="00B632F1"/>
    <w:rsid w:val="00B63721"/>
    <w:rsid w:val="00B6773F"/>
    <w:rsid w:val="00B776DE"/>
    <w:rsid w:val="00B801BA"/>
    <w:rsid w:val="00B83241"/>
    <w:rsid w:val="00B849D2"/>
    <w:rsid w:val="00B86D54"/>
    <w:rsid w:val="00B918D5"/>
    <w:rsid w:val="00B95053"/>
    <w:rsid w:val="00BA18D9"/>
    <w:rsid w:val="00BB04E6"/>
    <w:rsid w:val="00BB2BED"/>
    <w:rsid w:val="00BB3AA0"/>
    <w:rsid w:val="00BB5C48"/>
    <w:rsid w:val="00BB69F5"/>
    <w:rsid w:val="00BB7EC3"/>
    <w:rsid w:val="00BC386F"/>
    <w:rsid w:val="00BC4B9A"/>
    <w:rsid w:val="00BD0D44"/>
    <w:rsid w:val="00BD3FBD"/>
    <w:rsid w:val="00BD784C"/>
    <w:rsid w:val="00BD7F0F"/>
    <w:rsid w:val="00BE0A68"/>
    <w:rsid w:val="00BE10A1"/>
    <w:rsid w:val="00BE2236"/>
    <w:rsid w:val="00BE24D0"/>
    <w:rsid w:val="00BE541C"/>
    <w:rsid w:val="00BE5B1D"/>
    <w:rsid w:val="00BF330E"/>
    <w:rsid w:val="00BF39AD"/>
    <w:rsid w:val="00BF4CB6"/>
    <w:rsid w:val="00BF7424"/>
    <w:rsid w:val="00C00641"/>
    <w:rsid w:val="00C00DA7"/>
    <w:rsid w:val="00C06B0A"/>
    <w:rsid w:val="00C12768"/>
    <w:rsid w:val="00C173FD"/>
    <w:rsid w:val="00C2345E"/>
    <w:rsid w:val="00C24B19"/>
    <w:rsid w:val="00C279B2"/>
    <w:rsid w:val="00C27B58"/>
    <w:rsid w:val="00C30078"/>
    <w:rsid w:val="00C309C8"/>
    <w:rsid w:val="00C333AA"/>
    <w:rsid w:val="00C35996"/>
    <w:rsid w:val="00C51255"/>
    <w:rsid w:val="00C51C9A"/>
    <w:rsid w:val="00C5342C"/>
    <w:rsid w:val="00C6256A"/>
    <w:rsid w:val="00C704DB"/>
    <w:rsid w:val="00C70842"/>
    <w:rsid w:val="00C7212E"/>
    <w:rsid w:val="00C73D83"/>
    <w:rsid w:val="00C77238"/>
    <w:rsid w:val="00C776CD"/>
    <w:rsid w:val="00C855D3"/>
    <w:rsid w:val="00C86508"/>
    <w:rsid w:val="00C91449"/>
    <w:rsid w:val="00C92D10"/>
    <w:rsid w:val="00C96D11"/>
    <w:rsid w:val="00CB2791"/>
    <w:rsid w:val="00CB4611"/>
    <w:rsid w:val="00CB707F"/>
    <w:rsid w:val="00CC27AE"/>
    <w:rsid w:val="00CC54D5"/>
    <w:rsid w:val="00CC5989"/>
    <w:rsid w:val="00CC7535"/>
    <w:rsid w:val="00CD09EF"/>
    <w:rsid w:val="00CD0E89"/>
    <w:rsid w:val="00CE0144"/>
    <w:rsid w:val="00CE10C4"/>
    <w:rsid w:val="00CE1A8D"/>
    <w:rsid w:val="00CE27B5"/>
    <w:rsid w:val="00CE328D"/>
    <w:rsid w:val="00CF0BE1"/>
    <w:rsid w:val="00CF2A67"/>
    <w:rsid w:val="00CF785B"/>
    <w:rsid w:val="00D0321E"/>
    <w:rsid w:val="00D12899"/>
    <w:rsid w:val="00D1455A"/>
    <w:rsid w:val="00D14E5F"/>
    <w:rsid w:val="00D14F84"/>
    <w:rsid w:val="00D17BD9"/>
    <w:rsid w:val="00D22820"/>
    <w:rsid w:val="00D259D2"/>
    <w:rsid w:val="00D324AA"/>
    <w:rsid w:val="00D3280C"/>
    <w:rsid w:val="00D329D8"/>
    <w:rsid w:val="00D3406A"/>
    <w:rsid w:val="00D3470F"/>
    <w:rsid w:val="00D41E3F"/>
    <w:rsid w:val="00D43A71"/>
    <w:rsid w:val="00D469B2"/>
    <w:rsid w:val="00D56C63"/>
    <w:rsid w:val="00D5708C"/>
    <w:rsid w:val="00D6133F"/>
    <w:rsid w:val="00D715E3"/>
    <w:rsid w:val="00D73231"/>
    <w:rsid w:val="00D734C4"/>
    <w:rsid w:val="00D741EB"/>
    <w:rsid w:val="00D75304"/>
    <w:rsid w:val="00D75320"/>
    <w:rsid w:val="00D773D6"/>
    <w:rsid w:val="00D777AF"/>
    <w:rsid w:val="00D82096"/>
    <w:rsid w:val="00D83408"/>
    <w:rsid w:val="00D84934"/>
    <w:rsid w:val="00D9084D"/>
    <w:rsid w:val="00D91271"/>
    <w:rsid w:val="00D9436D"/>
    <w:rsid w:val="00DA027F"/>
    <w:rsid w:val="00DA2CB5"/>
    <w:rsid w:val="00DA4211"/>
    <w:rsid w:val="00DA4BAC"/>
    <w:rsid w:val="00DA51DA"/>
    <w:rsid w:val="00DA64A7"/>
    <w:rsid w:val="00DB1449"/>
    <w:rsid w:val="00DB3B1B"/>
    <w:rsid w:val="00DB5721"/>
    <w:rsid w:val="00DC31C2"/>
    <w:rsid w:val="00DC50E7"/>
    <w:rsid w:val="00DD1F41"/>
    <w:rsid w:val="00DD5C94"/>
    <w:rsid w:val="00DD60AB"/>
    <w:rsid w:val="00DE2A2C"/>
    <w:rsid w:val="00DE469A"/>
    <w:rsid w:val="00DE6D27"/>
    <w:rsid w:val="00DF217D"/>
    <w:rsid w:val="00DF26A7"/>
    <w:rsid w:val="00DF2874"/>
    <w:rsid w:val="00E022AB"/>
    <w:rsid w:val="00E03D8B"/>
    <w:rsid w:val="00E055C4"/>
    <w:rsid w:val="00E07E00"/>
    <w:rsid w:val="00E126BD"/>
    <w:rsid w:val="00E13C7B"/>
    <w:rsid w:val="00E164B3"/>
    <w:rsid w:val="00E16910"/>
    <w:rsid w:val="00E210D1"/>
    <w:rsid w:val="00E218A3"/>
    <w:rsid w:val="00E35031"/>
    <w:rsid w:val="00E35B96"/>
    <w:rsid w:val="00E43A7E"/>
    <w:rsid w:val="00E450CA"/>
    <w:rsid w:val="00E50802"/>
    <w:rsid w:val="00E5195C"/>
    <w:rsid w:val="00E57683"/>
    <w:rsid w:val="00E61BD9"/>
    <w:rsid w:val="00E63506"/>
    <w:rsid w:val="00E63752"/>
    <w:rsid w:val="00E65E54"/>
    <w:rsid w:val="00E80155"/>
    <w:rsid w:val="00E80BFC"/>
    <w:rsid w:val="00E848C0"/>
    <w:rsid w:val="00E86ED3"/>
    <w:rsid w:val="00E91B96"/>
    <w:rsid w:val="00E921F5"/>
    <w:rsid w:val="00E924EA"/>
    <w:rsid w:val="00E941A1"/>
    <w:rsid w:val="00E952A8"/>
    <w:rsid w:val="00E95CE3"/>
    <w:rsid w:val="00E976CA"/>
    <w:rsid w:val="00EA042F"/>
    <w:rsid w:val="00EA130B"/>
    <w:rsid w:val="00EA157A"/>
    <w:rsid w:val="00EA2825"/>
    <w:rsid w:val="00EB00F6"/>
    <w:rsid w:val="00EB26D8"/>
    <w:rsid w:val="00EB5088"/>
    <w:rsid w:val="00EB5200"/>
    <w:rsid w:val="00EC0537"/>
    <w:rsid w:val="00EC0B8E"/>
    <w:rsid w:val="00EC28B5"/>
    <w:rsid w:val="00EC3571"/>
    <w:rsid w:val="00EC6A0E"/>
    <w:rsid w:val="00ED1644"/>
    <w:rsid w:val="00ED7701"/>
    <w:rsid w:val="00EE1570"/>
    <w:rsid w:val="00EE2F83"/>
    <w:rsid w:val="00EE6F4C"/>
    <w:rsid w:val="00EE769F"/>
    <w:rsid w:val="00EE7E94"/>
    <w:rsid w:val="00EF0537"/>
    <w:rsid w:val="00EF2AA7"/>
    <w:rsid w:val="00EF44A0"/>
    <w:rsid w:val="00EF4FED"/>
    <w:rsid w:val="00EF535B"/>
    <w:rsid w:val="00EF5833"/>
    <w:rsid w:val="00F0130C"/>
    <w:rsid w:val="00F02AD3"/>
    <w:rsid w:val="00F050BD"/>
    <w:rsid w:val="00F05657"/>
    <w:rsid w:val="00F104B4"/>
    <w:rsid w:val="00F116F8"/>
    <w:rsid w:val="00F15533"/>
    <w:rsid w:val="00F17707"/>
    <w:rsid w:val="00F23AB1"/>
    <w:rsid w:val="00F25578"/>
    <w:rsid w:val="00F258E5"/>
    <w:rsid w:val="00F2699B"/>
    <w:rsid w:val="00F27BC8"/>
    <w:rsid w:val="00F300BC"/>
    <w:rsid w:val="00F317D3"/>
    <w:rsid w:val="00F3334E"/>
    <w:rsid w:val="00F374D8"/>
    <w:rsid w:val="00F37882"/>
    <w:rsid w:val="00F425DE"/>
    <w:rsid w:val="00F440F2"/>
    <w:rsid w:val="00F50EC4"/>
    <w:rsid w:val="00F526BE"/>
    <w:rsid w:val="00F547F4"/>
    <w:rsid w:val="00F54BB6"/>
    <w:rsid w:val="00F55D8D"/>
    <w:rsid w:val="00F55EF3"/>
    <w:rsid w:val="00F57A6D"/>
    <w:rsid w:val="00F638CC"/>
    <w:rsid w:val="00F6415E"/>
    <w:rsid w:val="00F64CC1"/>
    <w:rsid w:val="00F76DEC"/>
    <w:rsid w:val="00F76EB2"/>
    <w:rsid w:val="00F8247A"/>
    <w:rsid w:val="00F826B4"/>
    <w:rsid w:val="00F94460"/>
    <w:rsid w:val="00F9629A"/>
    <w:rsid w:val="00F963D0"/>
    <w:rsid w:val="00F97BBB"/>
    <w:rsid w:val="00FA0EF1"/>
    <w:rsid w:val="00FA1B35"/>
    <w:rsid w:val="00FA5883"/>
    <w:rsid w:val="00FA6055"/>
    <w:rsid w:val="00FB15C3"/>
    <w:rsid w:val="00FB19D8"/>
    <w:rsid w:val="00FB1CD7"/>
    <w:rsid w:val="00FB322F"/>
    <w:rsid w:val="00FB37FE"/>
    <w:rsid w:val="00FB3E5A"/>
    <w:rsid w:val="00FB442F"/>
    <w:rsid w:val="00FB44A8"/>
    <w:rsid w:val="00FB59D7"/>
    <w:rsid w:val="00FB6FA6"/>
    <w:rsid w:val="00FC1929"/>
    <w:rsid w:val="00FC2171"/>
    <w:rsid w:val="00FC330F"/>
    <w:rsid w:val="00FC525F"/>
    <w:rsid w:val="00FC5B46"/>
    <w:rsid w:val="00FD3C75"/>
    <w:rsid w:val="00FE316C"/>
    <w:rsid w:val="00FF00BD"/>
    <w:rsid w:val="00FF0C06"/>
    <w:rsid w:val="00FF15B9"/>
    <w:rsid w:val="00FF1ED4"/>
    <w:rsid w:val="00FF2801"/>
    <w:rsid w:val="00FF4EDB"/>
    <w:rsid w:val="00FF5E9E"/>
    <w:rsid w:val="00FF7B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Header"/>
    <w:next w:val="Normal"/>
    <w:qFormat/>
    <w:rsid w:val="005E5CFA"/>
    <w:pPr>
      <w:numPr>
        <w:numId w:val="1"/>
      </w:numPr>
      <w:tabs>
        <w:tab w:val="clear" w:pos="4153"/>
        <w:tab w:val="clear" w:pos="8306"/>
      </w:tabs>
      <w:jc w:val="both"/>
      <w:outlineLvl w:val="0"/>
    </w:pPr>
    <w:rPr>
      <w:rFonts w:ascii="Arial" w:hAnsi="Arial"/>
      <w:b/>
      <w:sz w:val="22"/>
      <w:szCs w:val="22"/>
    </w:rPr>
  </w:style>
  <w:style w:type="paragraph" w:styleId="Heading2">
    <w:name w:val="heading 2"/>
    <w:basedOn w:val="Normal"/>
    <w:next w:val="Normal"/>
    <w:qFormat/>
    <w:rsid w:val="005E5CFA"/>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COMBody">
    <w:name w:val="COMBody"/>
    <w:basedOn w:val="Normal"/>
    <w:link w:val="COMBodyChar"/>
    <w:qFormat/>
    <w:rsid w:val="00194CC1"/>
    <w:pPr>
      <w:widowControl w:val="0"/>
      <w:jc w:val="both"/>
    </w:pPr>
    <w:rPr>
      <w:rFonts w:ascii="Arial" w:hAnsi="Arial" w:cs="Arial"/>
      <w:snapToGrid w:val="0"/>
      <w:sz w:val="22"/>
      <w:szCs w:val="20"/>
      <w:lang w:eastAsia="en-US"/>
    </w:rPr>
  </w:style>
  <w:style w:type="character" w:customStyle="1" w:styleId="COMBodyChar">
    <w:name w:val="COMBody Char"/>
    <w:basedOn w:val="DefaultParagraphFont"/>
    <w:link w:val="COMBody"/>
    <w:rsid w:val="00194CC1"/>
    <w:rPr>
      <w:rFonts w:ascii="Arial" w:hAnsi="Arial" w:cs="Arial"/>
      <w:snapToGrid w:val="0"/>
      <w:sz w:val="22"/>
      <w:lang w:eastAsia="en-US"/>
    </w:rPr>
  </w:style>
  <w:style w:type="character" w:customStyle="1" w:styleId="ListParagraphChar">
    <w:name w:val="List Paragraph Char"/>
    <w:aliases w:val="BulletPoints Char"/>
    <w:basedOn w:val="DefaultParagraphFont"/>
    <w:link w:val="ListParagraph"/>
    <w:uiPriority w:val="72"/>
    <w:rsid w:val="009770FE"/>
    <w:rPr>
      <w:sz w:val="24"/>
      <w:szCs w:val="24"/>
    </w:rPr>
  </w:style>
  <w:style w:type="character" w:styleId="IntenseReference">
    <w:name w:val="Intense Reference"/>
    <w:basedOn w:val="DefaultParagraphFont"/>
    <w:uiPriority w:val="32"/>
    <w:qFormat/>
    <w:rsid w:val="00F27BC8"/>
    <w:rPr>
      <w:b/>
      <w:bCs/>
      <w:i/>
      <w:smallCaps/>
      <w:color w:val="C0504D" w:themeColor="accent2"/>
      <w:spacing w:val="5"/>
      <w:u w:val="none"/>
    </w:rPr>
  </w:style>
  <w:style w:type="paragraph" w:customStyle="1" w:styleId="PBACHeading1">
    <w:name w:val="PBAC Heading 1"/>
    <w:qFormat/>
    <w:rsid w:val="00F27BC8"/>
    <w:pPr>
      <w:ind w:left="720" w:hanging="720"/>
    </w:pPr>
    <w:rPr>
      <w:rFonts w:ascii="Arial" w:hAnsi="Arial" w:cs="Arial"/>
      <w:b/>
      <w:snapToGrid w:val="0"/>
      <w:sz w:val="22"/>
      <w:szCs w:val="22"/>
      <w:lang w:eastAsia="en-US"/>
    </w:rPr>
  </w:style>
  <w:style w:type="paragraph" w:customStyle="1" w:styleId="Table">
    <w:name w:val="Table"/>
    <w:basedOn w:val="Normal"/>
    <w:link w:val="TableChar"/>
    <w:qFormat/>
    <w:rsid w:val="00DD1F41"/>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DD1F41"/>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DD1F41"/>
    <w:rPr>
      <w:rFonts w:ascii="Candara" w:hAnsi="Candara"/>
      <w:b/>
      <w:sz w:val="20"/>
      <w:lang w:val="en-AU"/>
    </w:rPr>
  </w:style>
  <w:style w:type="paragraph" w:customStyle="1" w:styleId="TableCentre">
    <w:name w:val="Table Centre"/>
    <w:basedOn w:val="Table"/>
    <w:qFormat/>
    <w:rsid w:val="00DD1F41"/>
    <w:pPr>
      <w:jc w:val="center"/>
    </w:pPr>
  </w:style>
  <w:style w:type="paragraph" w:customStyle="1" w:styleId="TableRight">
    <w:name w:val="Table Right"/>
    <w:basedOn w:val="Table"/>
    <w:next w:val="Table"/>
    <w:qFormat/>
    <w:rsid w:val="00DD1F41"/>
    <w:pPr>
      <w:jc w:val="right"/>
    </w:pPr>
  </w:style>
  <w:style w:type="character" w:customStyle="1" w:styleId="SmallSuperscript">
    <w:name w:val="Small Superscript"/>
    <w:basedOn w:val="DefaultParagraphFont"/>
    <w:uiPriority w:val="1"/>
    <w:qFormat/>
    <w:rsid w:val="00DD1F41"/>
    <w:rPr>
      <w:rFonts w:ascii="Candara" w:hAnsi="Candara"/>
      <w:sz w:val="20"/>
      <w:vertAlign w:val="superscript"/>
    </w:rPr>
  </w:style>
  <w:style w:type="paragraph" w:styleId="Revision">
    <w:name w:val="Revision"/>
    <w:hidden/>
    <w:uiPriority w:val="71"/>
    <w:semiHidden/>
    <w:rsid w:val="00C855D3"/>
    <w:rPr>
      <w:sz w:val="24"/>
      <w:szCs w:val="24"/>
    </w:rPr>
  </w:style>
  <w:style w:type="paragraph" w:styleId="Title">
    <w:name w:val="Title"/>
    <w:basedOn w:val="Normal"/>
    <w:next w:val="Normal"/>
    <w:link w:val="TitleChar"/>
    <w:qFormat/>
    <w:rsid w:val="005E5CFA"/>
    <w:pPr>
      <w:ind w:left="720" w:hanging="720"/>
      <w:outlineLvl w:val="0"/>
    </w:pPr>
    <w:rPr>
      <w:rFonts w:ascii="Arial" w:hAnsi="Arial"/>
      <w:b/>
      <w:sz w:val="28"/>
      <w:szCs w:val="28"/>
    </w:rPr>
  </w:style>
  <w:style w:type="character" w:customStyle="1" w:styleId="TitleChar">
    <w:name w:val="Title Char"/>
    <w:basedOn w:val="DefaultParagraphFont"/>
    <w:link w:val="Title"/>
    <w:rsid w:val="005E5CFA"/>
    <w:rPr>
      <w:rFonts w:ascii="Arial" w:hAnsi="Arial"/>
      <w:b/>
      <w:sz w:val="28"/>
      <w:szCs w:val="28"/>
    </w:rPr>
  </w:style>
  <w:style w:type="paragraph" w:customStyle="1" w:styleId="Numberbullet2">
    <w:name w:val="Number bullet 2"/>
    <w:basedOn w:val="ListBullet2"/>
    <w:qFormat/>
    <w:rsid w:val="00BF39AD"/>
    <w:pPr>
      <w:numPr>
        <w:ilvl w:val="1"/>
      </w:numPr>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rsid w:val="00BF39AD"/>
    <w:pPr>
      <w:numPr>
        <w:ilvl w:val="2"/>
        <w:numId w:val="16"/>
      </w:numPr>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rsid w:val="00BF39AD"/>
    <w:pPr>
      <w:numPr>
        <w:numId w:val="16"/>
      </w:numPr>
    </w:pPr>
  </w:style>
  <w:style w:type="paragraph" w:styleId="ListBullet2">
    <w:name w:val="List Bullet 2"/>
    <w:basedOn w:val="Normal"/>
    <w:semiHidden/>
    <w:unhideWhenUsed/>
    <w:rsid w:val="00BF39AD"/>
    <w:pPr>
      <w:numPr>
        <w:numId w:val="16"/>
      </w:numPr>
      <w:contextualSpacing/>
    </w:pPr>
  </w:style>
  <w:style w:type="paragraph" w:styleId="ListBullet3">
    <w:name w:val="List Bullet 3"/>
    <w:basedOn w:val="Normal"/>
    <w:semiHidden/>
    <w:unhideWhenUsed/>
    <w:rsid w:val="00BF39AD"/>
    <w:pPr>
      <w:tabs>
        <w:tab w:val="num" w:pos="360"/>
      </w:tabs>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Header"/>
    <w:next w:val="Normal"/>
    <w:qFormat/>
    <w:rsid w:val="005E5CFA"/>
    <w:pPr>
      <w:numPr>
        <w:numId w:val="1"/>
      </w:numPr>
      <w:tabs>
        <w:tab w:val="clear" w:pos="4153"/>
        <w:tab w:val="clear" w:pos="8306"/>
      </w:tabs>
      <w:jc w:val="both"/>
      <w:outlineLvl w:val="0"/>
    </w:pPr>
    <w:rPr>
      <w:rFonts w:ascii="Arial" w:hAnsi="Arial"/>
      <w:b/>
      <w:sz w:val="22"/>
      <w:szCs w:val="22"/>
    </w:rPr>
  </w:style>
  <w:style w:type="paragraph" w:styleId="Heading2">
    <w:name w:val="heading 2"/>
    <w:basedOn w:val="Normal"/>
    <w:next w:val="Normal"/>
    <w:qFormat/>
    <w:rsid w:val="005E5CFA"/>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COMBody">
    <w:name w:val="COMBody"/>
    <w:basedOn w:val="Normal"/>
    <w:link w:val="COMBodyChar"/>
    <w:qFormat/>
    <w:rsid w:val="00194CC1"/>
    <w:pPr>
      <w:widowControl w:val="0"/>
      <w:jc w:val="both"/>
    </w:pPr>
    <w:rPr>
      <w:rFonts w:ascii="Arial" w:hAnsi="Arial" w:cs="Arial"/>
      <w:snapToGrid w:val="0"/>
      <w:sz w:val="22"/>
      <w:szCs w:val="20"/>
      <w:lang w:eastAsia="en-US"/>
    </w:rPr>
  </w:style>
  <w:style w:type="character" w:customStyle="1" w:styleId="COMBodyChar">
    <w:name w:val="COMBody Char"/>
    <w:basedOn w:val="DefaultParagraphFont"/>
    <w:link w:val="COMBody"/>
    <w:rsid w:val="00194CC1"/>
    <w:rPr>
      <w:rFonts w:ascii="Arial" w:hAnsi="Arial" w:cs="Arial"/>
      <w:snapToGrid w:val="0"/>
      <w:sz w:val="22"/>
      <w:lang w:eastAsia="en-US"/>
    </w:rPr>
  </w:style>
  <w:style w:type="character" w:customStyle="1" w:styleId="ListParagraphChar">
    <w:name w:val="List Paragraph Char"/>
    <w:aliases w:val="BulletPoints Char"/>
    <w:basedOn w:val="DefaultParagraphFont"/>
    <w:link w:val="ListParagraph"/>
    <w:uiPriority w:val="72"/>
    <w:rsid w:val="009770FE"/>
    <w:rPr>
      <w:sz w:val="24"/>
      <w:szCs w:val="24"/>
    </w:rPr>
  </w:style>
  <w:style w:type="character" w:styleId="IntenseReference">
    <w:name w:val="Intense Reference"/>
    <w:basedOn w:val="DefaultParagraphFont"/>
    <w:uiPriority w:val="32"/>
    <w:qFormat/>
    <w:rsid w:val="00F27BC8"/>
    <w:rPr>
      <w:b/>
      <w:bCs/>
      <w:i/>
      <w:smallCaps/>
      <w:color w:val="C0504D" w:themeColor="accent2"/>
      <w:spacing w:val="5"/>
      <w:u w:val="none"/>
    </w:rPr>
  </w:style>
  <w:style w:type="paragraph" w:customStyle="1" w:styleId="PBACHeading1">
    <w:name w:val="PBAC Heading 1"/>
    <w:qFormat/>
    <w:rsid w:val="00F27BC8"/>
    <w:pPr>
      <w:ind w:left="720" w:hanging="720"/>
    </w:pPr>
    <w:rPr>
      <w:rFonts w:ascii="Arial" w:hAnsi="Arial" w:cs="Arial"/>
      <w:b/>
      <w:snapToGrid w:val="0"/>
      <w:sz w:val="22"/>
      <w:szCs w:val="22"/>
      <w:lang w:eastAsia="en-US"/>
    </w:rPr>
  </w:style>
  <w:style w:type="paragraph" w:customStyle="1" w:styleId="Table">
    <w:name w:val="Table"/>
    <w:basedOn w:val="Normal"/>
    <w:link w:val="TableChar"/>
    <w:qFormat/>
    <w:rsid w:val="00DD1F41"/>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DD1F41"/>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DD1F41"/>
    <w:rPr>
      <w:rFonts w:ascii="Candara" w:hAnsi="Candara"/>
      <w:b/>
      <w:sz w:val="20"/>
      <w:lang w:val="en-AU"/>
    </w:rPr>
  </w:style>
  <w:style w:type="paragraph" w:customStyle="1" w:styleId="TableCentre">
    <w:name w:val="Table Centre"/>
    <w:basedOn w:val="Table"/>
    <w:qFormat/>
    <w:rsid w:val="00DD1F41"/>
    <w:pPr>
      <w:jc w:val="center"/>
    </w:pPr>
  </w:style>
  <w:style w:type="paragraph" w:customStyle="1" w:styleId="TableRight">
    <w:name w:val="Table Right"/>
    <w:basedOn w:val="Table"/>
    <w:next w:val="Table"/>
    <w:qFormat/>
    <w:rsid w:val="00DD1F41"/>
    <w:pPr>
      <w:jc w:val="right"/>
    </w:pPr>
  </w:style>
  <w:style w:type="character" w:customStyle="1" w:styleId="SmallSuperscript">
    <w:name w:val="Small Superscript"/>
    <w:basedOn w:val="DefaultParagraphFont"/>
    <w:uiPriority w:val="1"/>
    <w:qFormat/>
    <w:rsid w:val="00DD1F41"/>
    <w:rPr>
      <w:rFonts w:ascii="Candara" w:hAnsi="Candara"/>
      <w:sz w:val="20"/>
      <w:vertAlign w:val="superscript"/>
    </w:rPr>
  </w:style>
  <w:style w:type="paragraph" w:styleId="Revision">
    <w:name w:val="Revision"/>
    <w:hidden/>
    <w:uiPriority w:val="71"/>
    <w:semiHidden/>
    <w:rsid w:val="00C855D3"/>
    <w:rPr>
      <w:sz w:val="24"/>
      <w:szCs w:val="24"/>
    </w:rPr>
  </w:style>
  <w:style w:type="paragraph" w:styleId="Title">
    <w:name w:val="Title"/>
    <w:basedOn w:val="Normal"/>
    <w:next w:val="Normal"/>
    <w:link w:val="TitleChar"/>
    <w:qFormat/>
    <w:rsid w:val="005E5CFA"/>
    <w:pPr>
      <w:ind w:left="720" w:hanging="720"/>
      <w:outlineLvl w:val="0"/>
    </w:pPr>
    <w:rPr>
      <w:rFonts w:ascii="Arial" w:hAnsi="Arial"/>
      <w:b/>
      <w:sz w:val="28"/>
      <w:szCs w:val="28"/>
    </w:rPr>
  </w:style>
  <w:style w:type="character" w:customStyle="1" w:styleId="TitleChar">
    <w:name w:val="Title Char"/>
    <w:basedOn w:val="DefaultParagraphFont"/>
    <w:link w:val="Title"/>
    <w:rsid w:val="005E5CFA"/>
    <w:rPr>
      <w:rFonts w:ascii="Arial" w:hAnsi="Arial"/>
      <w:b/>
      <w:sz w:val="28"/>
      <w:szCs w:val="28"/>
    </w:rPr>
  </w:style>
  <w:style w:type="paragraph" w:customStyle="1" w:styleId="Numberbullet2">
    <w:name w:val="Number bullet 2"/>
    <w:basedOn w:val="ListBullet2"/>
    <w:qFormat/>
    <w:rsid w:val="00BF39AD"/>
    <w:pPr>
      <w:numPr>
        <w:ilvl w:val="1"/>
      </w:numPr>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rsid w:val="00BF39AD"/>
    <w:pPr>
      <w:numPr>
        <w:ilvl w:val="2"/>
        <w:numId w:val="16"/>
      </w:numPr>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rsid w:val="00BF39AD"/>
    <w:pPr>
      <w:numPr>
        <w:numId w:val="16"/>
      </w:numPr>
    </w:pPr>
  </w:style>
  <w:style w:type="paragraph" w:styleId="ListBullet2">
    <w:name w:val="List Bullet 2"/>
    <w:basedOn w:val="Normal"/>
    <w:semiHidden/>
    <w:unhideWhenUsed/>
    <w:rsid w:val="00BF39AD"/>
    <w:pPr>
      <w:numPr>
        <w:numId w:val="16"/>
      </w:numPr>
      <w:contextualSpacing/>
    </w:pPr>
  </w:style>
  <w:style w:type="paragraph" w:styleId="ListBullet3">
    <w:name w:val="List Bullet 3"/>
    <w:basedOn w:val="Normal"/>
    <w:semiHidden/>
    <w:unhideWhenUsed/>
    <w:rsid w:val="00BF39AD"/>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6630082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8748841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F9C33-2C0E-4B7B-B81D-677D512E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7996</Words>
  <Characters>50607</Characters>
  <Application>Microsoft Office Word</Application>
  <DocSecurity>0</DocSecurity>
  <Lines>2024</Lines>
  <Paragraphs>1126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2016-06-07T03:25:00Z</dcterms:created>
  <dcterms:modified xsi:type="dcterms:W3CDTF">2016-06-22T04:42:00Z</dcterms:modified>
</cp:coreProperties>
</file>