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175A20" w:rsidRDefault="007B569E" w:rsidP="00493A12">
      <w:pPr>
        <w:pStyle w:val="Title"/>
        <w:ind w:left="720" w:hanging="720"/>
      </w:pPr>
      <w:bookmarkStart w:id="0" w:name="_Toc440890542"/>
      <w:proofErr w:type="gramStart"/>
      <w:r w:rsidRPr="00175A20">
        <w:t>5</w:t>
      </w:r>
      <w:r w:rsidR="00433044" w:rsidRPr="00175A20">
        <w:t>.</w:t>
      </w:r>
      <w:r w:rsidRPr="00175A20">
        <w:t>03</w:t>
      </w:r>
      <w:r w:rsidR="00B60939" w:rsidRPr="00175A20">
        <w:tab/>
      </w:r>
      <w:r w:rsidR="009C2873" w:rsidRPr="00175A20">
        <w:t>LIPEGFILGRASTIM</w:t>
      </w:r>
      <w:r w:rsidR="00493A12">
        <w:t xml:space="preserve"> </w:t>
      </w:r>
      <w:r w:rsidR="00493A12">
        <w:br/>
      </w:r>
      <w:r w:rsidR="009C2873" w:rsidRPr="00175A20">
        <w:t>injection</w:t>
      </w:r>
      <w:r w:rsidR="00B60939" w:rsidRPr="00175A20">
        <w:t xml:space="preserve">, </w:t>
      </w:r>
      <w:r w:rsidR="009C2873" w:rsidRPr="00175A20">
        <w:t>0.6mg/0.6mL</w:t>
      </w:r>
      <w:r w:rsidR="000E70A9" w:rsidRPr="00175A20">
        <w:t>,</w:t>
      </w:r>
      <w:r w:rsidR="00493A12">
        <w:t xml:space="preserve"> </w:t>
      </w:r>
      <w:r w:rsidR="00493A12">
        <w:br/>
      </w:r>
      <w:r w:rsidR="009C2873" w:rsidRPr="00175A20">
        <w:t>Lonquex</w:t>
      </w:r>
      <w:r w:rsidR="00B60939" w:rsidRPr="00175A20">
        <w:t xml:space="preserve">®, </w:t>
      </w:r>
      <w:r w:rsidR="009C2873" w:rsidRPr="00175A20">
        <w:t>TEVA Pharma Australia Pty Ltd</w:t>
      </w:r>
      <w:r w:rsidR="00B60939" w:rsidRPr="00175A20">
        <w:t>.</w:t>
      </w:r>
      <w:bookmarkEnd w:id="0"/>
      <w:proofErr w:type="gramEnd"/>
    </w:p>
    <w:p w:rsidR="00433044" w:rsidRDefault="00433044" w:rsidP="00081213">
      <w:pPr>
        <w:widowControl/>
      </w:pPr>
    </w:p>
    <w:p w:rsidR="00FF4103" w:rsidRDefault="00FF4103" w:rsidP="00081213">
      <w:pPr>
        <w:widowControl/>
        <w:jc w:val="left"/>
      </w:pPr>
    </w:p>
    <w:p w:rsidR="00B50DB8" w:rsidRPr="00175A20" w:rsidRDefault="00B50DB8" w:rsidP="00175A20">
      <w:pPr>
        <w:pStyle w:val="Heading1"/>
      </w:pPr>
      <w:bookmarkStart w:id="1" w:name="_Toc440890544"/>
      <w:r w:rsidRPr="00175A20">
        <w:t>Purpose of Application</w:t>
      </w:r>
      <w:bookmarkEnd w:id="1"/>
    </w:p>
    <w:p w:rsidR="00B60939" w:rsidRPr="00882085" w:rsidRDefault="00B60939" w:rsidP="00081213">
      <w:pPr>
        <w:widowControl/>
        <w:rPr>
          <w:szCs w:val="22"/>
        </w:rPr>
      </w:pPr>
    </w:p>
    <w:p w:rsidR="002C2775" w:rsidRPr="00B50DB8" w:rsidRDefault="0087593D" w:rsidP="00081213">
      <w:pPr>
        <w:pStyle w:val="ListParagraph"/>
        <w:widowControl/>
        <w:numPr>
          <w:ilvl w:val="1"/>
          <w:numId w:val="6"/>
        </w:numPr>
        <w:rPr>
          <w:szCs w:val="22"/>
        </w:rPr>
      </w:pPr>
      <w:r>
        <w:t xml:space="preserve">The submission requested a </w:t>
      </w:r>
      <w:r w:rsidR="001E238E" w:rsidRPr="004B3DDB">
        <w:t>Section 100</w:t>
      </w:r>
      <w:r>
        <w:t xml:space="preserve"> (Highly Specialised Drugs Program)</w:t>
      </w:r>
      <w:r w:rsidR="001E238E" w:rsidRPr="004B3DDB">
        <w:t xml:space="preserve">, Authority </w:t>
      </w:r>
      <w:proofErr w:type="gramStart"/>
      <w:r w:rsidR="001E238E" w:rsidRPr="004B3DDB">
        <w:t>Required</w:t>
      </w:r>
      <w:proofErr w:type="gramEnd"/>
      <w:r w:rsidR="001E238E" w:rsidRPr="004B3DDB">
        <w:t xml:space="preserve">, listing for </w:t>
      </w:r>
      <w:proofErr w:type="spellStart"/>
      <w:r w:rsidR="00855D1A">
        <w:t>lipegfilgrastim</w:t>
      </w:r>
      <w:proofErr w:type="spellEnd"/>
      <w:r w:rsidR="001E238E" w:rsidRPr="004B3DDB">
        <w:t xml:space="preserve"> for </w:t>
      </w:r>
      <w:r w:rsidR="00855D1A" w:rsidRPr="00855D1A">
        <w:t>reduction in the duration of neutropenia and the incidence of febrile neutropenia in adult patients treated with cytotoxic chemotherapy for malignancy</w:t>
      </w:r>
      <w:r w:rsidR="001E238E" w:rsidRPr="004B3DDB">
        <w:t>.</w:t>
      </w:r>
    </w:p>
    <w:p w:rsidR="00B60939" w:rsidRDefault="00B60939" w:rsidP="00081213">
      <w:pPr>
        <w:widowControl/>
      </w:pPr>
    </w:p>
    <w:p w:rsidR="004E43B2" w:rsidRPr="00882085" w:rsidRDefault="004E43B2" w:rsidP="00081213">
      <w:pPr>
        <w:widowControl/>
      </w:pPr>
    </w:p>
    <w:p w:rsidR="00B50DB8" w:rsidRPr="00407F2D" w:rsidRDefault="00B50DB8" w:rsidP="00175A20">
      <w:pPr>
        <w:pStyle w:val="Heading1"/>
      </w:pPr>
      <w:bookmarkStart w:id="2" w:name="_Toc440890545"/>
      <w:r w:rsidRPr="00407F2D">
        <w:t>Requested listing</w:t>
      </w:r>
      <w:bookmarkEnd w:id="2"/>
    </w:p>
    <w:p w:rsidR="00B60939" w:rsidRDefault="00B60939" w:rsidP="00081213">
      <w:pPr>
        <w:widowControl/>
      </w:pPr>
    </w:p>
    <w:p w:rsidR="00DF3E8C" w:rsidRPr="00882085" w:rsidRDefault="00DF3E8C" w:rsidP="00081213">
      <w:pPr>
        <w:pStyle w:val="ListParagraph"/>
        <w:widowControl/>
        <w:numPr>
          <w:ilvl w:val="1"/>
          <w:numId w:val="6"/>
        </w:numPr>
      </w:pPr>
      <w:r>
        <w:t xml:space="preserve">The </w:t>
      </w:r>
      <w:r w:rsidR="00426EFF">
        <w:t xml:space="preserve">abridged </w:t>
      </w:r>
      <w:r>
        <w:t>requested listing is shown below:</w:t>
      </w:r>
    </w:p>
    <w:p w:rsidR="00617E12" w:rsidRPr="007C609A" w:rsidRDefault="00617E12" w:rsidP="00081213">
      <w:pPr>
        <w:widowControl/>
      </w:pPr>
    </w:p>
    <w:tbl>
      <w:tblPr>
        <w:tblW w:w="4604" w:type="pct"/>
        <w:tblInd w:w="737" w:type="dxa"/>
        <w:tblCellMar>
          <w:left w:w="28" w:type="dxa"/>
          <w:right w:w="28" w:type="dxa"/>
        </w:tblCellMar>
        <w:tblLook w:val="0000" w:firstRow="0" w:lastRow="0" w:firstColumn="0" w:lastColumn="0" w:noHBand="0" w:noVBand="0"/>
      </w:tblPr>
      <w:tblGrid>
        <w:gridCol w:w="3089"/>
        <w:gridCol w:w="677"/>
        <w:gridCol w:w="821"/>
        <w:gridCol w:w="1499"/>
        <w:gridCol w:w="807"/>
        <w:gridCol w:w="1470"/>
      </w:tblGrid>
      <w:tr w:rsidR="00B50DB8" w:rsidRPr="00855D1A" w:rsidTr="00047348">
        <w:trPr>
          <w:cantSplit/>
          <w:trHeight w:val="463"/>
        </w:trPr>
        <w:tc>
          <w:tcPr>
            <w:tcW w:w="1847" w:type="pct"/>
            <w:tcBorders>
              <w:bottom w:val="single" w:sz="4" w:space="0" w:color="auto"/>
            </w:tcBorders>
            <w:vAlign w:val="center"/>
          </w:tcPr>
          <w:p w:rsidR="00617E12" w:rsidRPr="00855D1A" w:rsidRDefault="00617E12" w:rsidP="00081213">
            <w:pPr>
              <w:keepNext/>
              <w:widowControl/>
              <w:jc w:val="left"/>
              <w:rPr>
                <w:rFonts w:ascii="Arial Narrow" w:hAnsi="Arial Narrow"/>
                <w:sz w:val="20"/>
              </w:rPr>
            </w:pPr>
            <w:r w:rsidRPr="00855D1A">
              <w:rPr>
                <w:rFonts w:ascii="Arial Narrow" w:hAnsi="Arial Narrow"/>
                <w:sz w:val="20"/>
              </w:rPr>
              <w:t>Name, Restriction,</w:t>
            </w:r>
          </w:p>
          <w:p w:rsidR="00617E12" w:rsidRPr="00855D1A" w:rsidRDefault="00617E12" w:rsidP="00081213">
            <w:pPr>
              <w:keepNext/>
              <w:widowControl/>
              <w:jc w:val="left"/>
              <w:rPr>
                <w:rFonts w:ascii="Arial Narrow" w:hAnsi="Arial Narrow"/>
                <w:sz w:val="20"/>
              </w:rPr>
            </w:pPr>
            <w:r w:rsidRPr="00855D1A">
              <w:rPr>
                <w:rFonts w:ascii="Arial Narrow" w:hAnsi="Arial Narrow"/>
                <w:sz w:val="20"/>
              </w:rPr>
              <w:t>Manner of administration and form</w:t>
            </w:r>
          </w:p>
        </w:tc>
        <w:tc>
          <w:tcPr>
            <w:tcW w:w="405" w:type="pct"/>
            <w:tcBorders>
              <w:bottom w:val="single" w:sz="4" w:space="0" w:color="auto"/>
            </w:tcBorders>
            <w:vAlign w:val="center"/>
          </w:tcPr>
          <w:p w:rsidR="00617E12" w:rsidRPr="00855D1A" w:rsidRDefault="00617E12" w:rsidP="00081213">
            <w:pPr>
              <w:keepNext/>
              <w:widowControl/>
              <w:jc w:val="center"/>
              <w:rPr>
                <w:rFonts w:ascii="Arial Narrow" w:hAnsi="Arial Narrow"/>
                <w:sz w:val="20"/>
              </w:rPr>
            </w:pPr>
            <w:r w:rsidRPr="00855D1A">
              <w:rPr>
                <w:rFonts w:ascii="Arial Narrow" w:hAnsi="Arial Narrow"/>
                <w:sz w:val="20"/>
              </w:rPr>
              <w:t>Max.</w:t>
            </w:r>
          </w:p>
          <w:p w:rsidR="00617E12" w:rsidRPr="00855D1A" w:rsidRDefault="00617E12" w:rsidP="00081213">
            <w:pPr>
              <w:keepNext/>
              <w:widowControl/>
              <w:jc w:val="center"/>
              <w:rPr>
                <w:rFonts w:ascii="Arial Narrow" w:hAnsi="Arial Narrow"/>
                <w:sz w:val="20"/>
              </w:rPr>
            </w:pPr>
            <w:proofErr w:type="spellStart"/>
            <w:r w:rsidRPr="00855D1A">
              <w:rPr>
                <w:rFonts w:ascii="Arial Narrow" w:hAnsi="Arial Narrow"/>
                <w:sz w:val="20"/>
              </w:rPr>
              <w:t>Qty</w:t>
            </w:r>
            <w:proofErr w:type="spellEnd"/>
          </w:p>
        </w:tc>
        <w:tc>
          <w:tcPr>
            <w:tcW w:w="491" w:type="pct"/>
            <w:tcBorders>
              <w:bottom w:val="single" w:sz="4" w:space="0" w:color="auto"/>
            </w:tcBorders>
            <w:vAlign w:val="center"/>
          </w:tcPr>
          <w:p w:rsidR="00617E12" w:rsidRPr="00855D1A" w:rsidRDefault="00617E12" w:rsidP="00081213">
            <w:pPr>
              <w:keepNext/>
              <w:widowControl/>
              <w:jc w:val="center"/>
              <w:rPr>
                <w:rFonts w:ascii="Arial Narrow" w:hAnsi="Arial Narrow"/>
                <w:sz w:val="20"/>
              </w:rPr>
            </w:pPr>
            <w:r w:rsidRPr="00855D1A">
              <w:rPr>
                <w:rFonts w:ascii="Arial Narrow" w:hAnsi="Arial Narrow"/>
                <w:sz w:val="20"/>
              </w:rPr>
              <w:t>№.of</w:t>
            </w:r>
          </w:p>
          <w:p w:rsidR="00617E12" w:rsidRPr="00855D1A" w:rsidRDefault="00617E12" w:rsidP="00081213">
            <w:pPr>
              <w:keepNext/>
              <w:widowControl/>
              <w:jc w:val="center"/>
              <w:rPr>
                <w:rFonts w:ascii="Arial Narrow" w:hAnsi="Arial Narrow"/>
                <w:sz w:val="20"/>
              </w:rPr>
            </w:pPr>
            <w:proofErr w:type="spellStart"/>
            <w:r w:rsidRPr="00855D1A">
              <w:rPr>
                <w:rFonts w:ascii="Arial Narrow" w:hAnsi="Arial Narrow"/>
                <w:sz w:val="20"/>
              </w:rPr>
              <w:t>Rpts</w:t>
            </w:r>
            <w:proofErr w:type="spellEnd"/>
          </w:p>
        </w:tc>
        <w:tc>
          <w:tcPr>
            <w:tcW w:w="896" w:type="pct"/>
            <w:tcBorders>
              <w:bottom w:val="single" w:sz="4" w:space="0" w:color="auto"/>
            </w:tcBorders>
            <w:vAlign w:val="center"/>
          </w:tcPr>
          <w:p w:rsidR="00617E12" w:rsidRPr="00855D1A" w:rsidRDefault="00617E12" w:rsidP="00081213">
            <w:pPr>
              <w:keepNext/>
              <w:widowControl/>
              <w:jc w:val="center"/>
              <w:rPr>
                <w:rFonts w:ascii="Arial Narrow" w:hAnsi="Arial Narrow"/>
                <w:sz w:val="20"/>
              </w:rPr>
            </w:pPr>
            <w:r w:rsidRPr="00855D1A">
              <w:rPr>
                <w:rFonts w:ascii="Arial Narrow" w:hAnsi="Arial Narrow"/>
                <w:sz w:val="20"/>
              </w:rPr>
              <w:t xml:space="preserve">Dispensed Price for Max. </w:t>
            </w:r>
            <w:proofErr w:type="spellStart"/>
            <w:r w:rsidRPr="00855D1A">
              <w:rPr>
                <w:rFonts w:ascii="Arial Narrow" w:hAnsi="Arial Narrow"/>
                <w:sz w:val="20"/>
              </w:rPr>
              <w:t>Qty</w:t>
            </w:r>
            <w:proofErr w:type="spellEnd"/>
          </w:p>
        </w:tc>
        <w:tc>
          <w:tcPr>
            <w:tcW w:w="1361" w:type="pct"/>
            <w:gridSpan w:val="2"/>
            <w:tcBorders>
              <w:bottom w:val="single" w:sz="4" w:space="0" w:color="auto"/>
            </w:tcBorders>
            <w:vAlign w:val="center"/>
          </w:tcPr>
          <w:p w:rsidR="00617E12" w:rsidRPr="00855D1A" w:rsidRDefault="00617E12" w:rsidP="00081213">
            <w:pPr>
              <w:keepNext/>
              <w:widowControl/>
              <w:jc w:val="center"/>
              <w:rPr>
                <w:rFonts w:ascii="Arial Narrow" w:hAnsi="Arial Narrow"/>
                <w:sz w:val="20"/>
                <w:lang w:val="fr-FR"/>
              </w:rPr>
            </w:pPr>
            <w:r w:rsidRPr="00855D1A">
              <w:rPr>
                <w:rFonts w:ascii="Arial Narrow" w:hAnsi="Arial Narrow"/>
                <w:sz w:val="20"/>
              </w:rPr>
              <w:t>Proprietary Name and Manufacturer</w:t>
            </w:r>
          </w:p>
        </w:tc>
      </w:tr>
      <w:tr w:rsidR="00855D1A" w:rsidRPr="00855D1A" w:rsidTr="00047348">
        <w:trPr>
          <w:cantSplit/>
          <w:trHeight w:val="567"/>
        </w:trPr>
        <w:tc>
          <w:tcPr>
            <w:tcW w:w="1847" w:type="pct"/>
          </w:tcPr>
          <w:p w:rsidR="00855D1A" w:rsidRPr="00855D1A" w:rsidRDefault="00855D1A" w:rsidP="00081213">
            <w:pPr>
              <w:keepNext/>
              <w:widowControl/>
              <w:rPr>
                <w:rFonts w:ascii="Arial Narrow" w:hAnsi="Arial Narrow"/>
                <w:sz w:val="20"/>
              </w:rPr>
            </w:pPr>
            <w:proofErr w:type="spellStart"/>
            <w:r w:rsidRPr="00855D1A">
              <w:rPr>
                <w:rFonts w:ascii="Arial Narrow" w:hAnsi="Arial Narrow"/>
                <w:smallCaps/>
                <w:sz w:val="20"/>
              </w:rPr>
              <w:t>Lipegfilgrastim</w:t>
            </w:r>
            <w:proofErr w:type="spellEnd"/>
          </w:p>
          <w:p w:rsidR="00855D1A" w:rsidRPr="00855D1A" w:rsidRDefault="00855D1A" w:rsidP="00081213">
            <w:pPr>
              <w:keepNext/>
              <w:widowControl/>
              <w:jc w:val="left"/>
              <w:rPr>
                <w:rFonts w:ascii="Arial Narrow" w:hAnsi="Arial Narrow"/>
                <w:sz w:val="20"/>
              </w:rPr>
            </w:pPr>
            <w:r w:rsidRPr="00855D1A">
              <w:rPr>
                <w:rFonts w:ascii="Arial Narrow" w:hAnsi="Arial Narrow"/>
                <w:sz w:val="20"/>
              </w:rPr>
              <w:t>6 mg/0.6mL, 1 x 0.6 mL syringe</w:t>
            </w:r>
          </w:p>
        </w:tc>
        <w:tc>
          <w:tcPr>
            <w:tcW w:w="405" w:type="pct"/>
          </w:tcPr>
          <w:p w:rsidR="00855D1A" w:rsidRPr="00855D1A" w:rsidRDefault="00855D1A" w:rsidP="00081213">
            <w:pPr>
              <w:keepNext/>
              <w:widowControl/>
              <w:jc w:val="center"/>
              <w:rPr>
                <w:rFonts w:ascii="Arial Narrow" w:hAnsi="Arial Narrow"/>
                <w:sz w:val="20"/>
              </w:rPr>
            </w:pPr>
          </w:p>
          <w:p w:rsidR="00855D1A" w:rsidRPr="00855D1A" w:rsidRDefault="00855D1A" w:rsidP="00081213">
            <w:pPr>
              <w:keepNext/>
              <w:widowControl/>
              <w:jc w:val="center"/>
              <w:rPr>
                <w:rFonts w:ascii="Arial Narrow" w:hAnsi="Arial Narrow"/>
                <w:sz w:val="20"/>
              </w:rPr>
            </w:pPr>
            <w:r w:rsidRPr="00855D1A">
              <w:rPr>
                <w:rFonts w:ascii="Arial Narrow" w:hAnsi="Arial Narrow"/>
                <w:sz w:val="20"/>
              </w:rPr>
              <w:t>1</w:t>
            </w:r>
          </w:p>
        </w:tc>
        <w:tc>
          <w:tcPr>
            <w:tcW w:w="491" w:type="pct"/>
          </w:tcPr>
          <w:p w:rsidR="00855D1A" w:rsidRPr="00855D1A" w:rsidRDefault="00855D1A" w:rsidP="00081213">
            <w:pPr>
              <w:keepNext/>
              <w:widowControl/>
              <w:jc w:val="center"/>
              <w:rPr>
                <w:rFonts w:ascii="Arial Narrow" w:hAnsi="Arial Narrow"/>
                <w:sz w:val="20"/>
              </w:rPr>
            </w:pPr>
          </w:p>
          <w:p w:rsidR="00855D1A" w:rsidRPr="00855D1A" w:rsidRDefault="00855D1A" w:rsidP="00081213">
            <w:pPr>
              <w:keepNext/>
              <w:widowControl/>
              <w:jc w:val="center"/>
              <w:rPr>
                <w:rFonts w:ascii="Arial Narrow" w:hAnsi="Arial Narrow"/>
                <w:sz w:val="20"/>
              </w:rPr>
            </w:pPr>
            <w:r w:rsidRPr="00855D1A">
              <w:rPr>
                <w:rFonts w:ascii="Arial Narrow" w:hAnsi="Arial Narrow"/>
                <w:sz w:val="20"/>
              </w:rPr>
              <w:t>11</w:t>
            </w:r>
          </w:p>
        </w:tc>
        <w:tc>
          <w:tcPr>
            <w:tcW w:w="896" w:type="pct"/>
          </w:tcPr>
          <w:p w:rsidR="00855D1A" w:rsidRPr="00855D1A" w:rsidRDefault="00855D1A" w:rsidP="00081213">
            <w:pPr>
              <w:keepNext/>
              <w:widowControl/>
              <w:jc w:val="center"/>
              <w:rPr>
                <w:rFonts w:ascii="Arial Narrow" w:hAnsi="Arial Narrow"/>
                <w:sz w:val="20"/>
                <w:vertAlign w:val="superscript"/>
              </w:rPr>
            </w:pPr>
            <w:r w:rsidRPr="00855D1A">
              <w:rPr>
                <w:rFonts w:ascii="Arial Narrow" w:hAnsi="Arial Narrow"/>
                <w:sz w:val="20"/>
              </w:rPr>
              <w:t>$</w:t>
            </w:r>
            <w:r w:rsidR="00F9168A">
              <w:rPr>
                <w:rFonts w:ascii="Arial Narrow" w:hAnsi="Arial Narrow"/>
                <w:noProof/>
                <w:color w:val="000000"/>
                <w:sz w:val="20"/>
                <w:highlight w:val="black"/>
              </w:rPr>
              <w:t>'''''''''''''''''''</w:t>
            </w:r>
            <w:r w:rsidRPr="00995873">
              <w:rPr>
                <w:rFonts w:ascii="Arial Narrow" w:hAnsi="Arial Narrow"/>
                <w:sz w:val="20"/>
                <w:vertAlign w:val="superscript"/>
              </w:rPr>
              <w:t>a</w:t>
            </w:r>
          </w:p>
          <w:p w:rsidR="00855D1A" w:rsidRPr="00855D1A" w:rsidRDefault="00855D1A" w:rsidP="00081213">
            <w:pPr>
              <w:keepNext/>
              <w:widowControl/>
              <w:jc w:val="center"/>
              <w:rPr>
                <w:rFonts w:ascii="Arial Narrow" w:hAnsi="Arial Narrow"/>
                <w:sz w:val="20"/>
              </w:rPr>
            </w:pPr>
            <w:r w:rsidRPr="00855D1A">
              <w:rPr>
                <w:rFonts w:ascii="Arial Narrow" w:hAnsi="Arial Narrow"/>
                <w:sz w:val="20"/>
              </w:rPr>
              <w:t>$</w:t>
            </w:r>
            <w:r w:rsidR="00F9168A">
              <w:rPr>
                <w:rFonts w:ascii="Arial Narrow" w:hAnsi="Arial Narrow"/>
                <w:noProof/>
                <w:color w:val="000000"/>
                <w:sz w:val="20"/>
                <w:highlight w:val="black"/>
              </w:rPr>
              <w:t>'''''''''''''''''''''''</w:t>
            </w:r>
            <w:r w:rsidRPr="00995873">
              <w:rPr>
                <w:rFonts w:ascii="Arial Narrow" w:hAnsi="Arial Narrow"/>
                <w:sz w:val="20"/>
                <w:vertAlign w:val="superscript"/>
              </w:rPr>
              <w:t>b</w:t>
            </w:r>
          </w:p>
        </w:tc>
        <w:tc>
          <w:tcPr>
            <w:tcW w:w="482" w:type="pct"/>
            <w:vAlign w:val="center"/>
          </w:tcPr>
          <w:p w:rsidR="00855D1A" w:rsidRPr="00855D1A" w:rsidRDefault="00855D1A" w:rsidP="00081213">
            <w:pPr>
              <w:keepNext/>
              <w:widowControl/>
              <w:jc w:val="center"/>
              <w:rPr>
                <w:rFonts w:ascii="Arial Narrow" w:hAnsi="Arial Narrow"/>
                <w:sz w:val="20"/>
              </w:rPr>
            </w:pPr>
            <w:proofErr w:type="spellStart"/>
            <w:r w:rsidRPr="00855D1A">
              <w:rPr>
                <w:rFonts w:ascii="Arial Narrow" w:hAnsi="Arial Narrow"/>
                <w:sz w:val="20"/>
              </w:rPr>
              <w:t>Lonquex</w:t>
            </w:r>
            <w:proofErr w:type="spellEnd"/>
            <w:r w:rsidRPr="00855D1A">
              <w:rPr>
                <w:rFonts w:ascii="Arial Narrow" w:hAnsi="Arial Narrow"/>
                <w:sz w:val="20"/>
              </w:rPr>
              <w:t>®</w:t>
            </w:r>
          </w:p>
        </w:tc>
        <w:tc>
          <w:tcPr>
            <w:tcW w:w="878" w:type="pct"/>
          </w:tcPr>
          <w:p w:rsidR="00855D1A" w:rsidRPr="00855D1A" w:rsidRDefault="00855D1A" w:rsidP="00081213">
            <w:pPr>
              <w:keepNext/>
              <w:widowControl/>
              <w:jc w:val="center"/>
              <w:rPr>
                <w:rFonts w:ascii="Arial Narrow" w:hAnsi="Arial Narrow"/>
                <w:sz w:val="20"/>
              </w:rPr>
            </w:pPr>
            <w:r w:rsidRPr="00855D1A">
              <w:rPr>
                <w:rFonts w:ascii="Arial Narrow" w:hAnsi="Arial Narrow"/>
                <w:sz w:val="20"/>
              </w:rPr>
              <w:t>TEVA Pharma Australia Pty Ltd</w:t>
            </w:r>
          </w:p>
        </w:tc>
      </w:tr>
      <w:tr w:rsidR="00617E12" w:rsidRPr="00855D1A" w:rsidTr="00B50DB8">
        <w:trPr>
          <w:cantSplit/>
          <w:trHeight w:val="354"/>
        </w:trPr>
        <w:tc>
          <w:tcPr>
            <w:tcW w:w="5000" w:type="pct"/>
            <w:gridSpan w:val="6"/>
            <w:vAlign w:val="center"/>
          </w:tcPr>
          <w:p w:rsidR="00617E12" w:rsidRPr="00855D1A" w:rsidRDefault="00617E12" w:rsidP="00081213">
            <w:pPr>
              <w:widowControl/>
              <w:jc w:val="left"/>
              <w:rPr>
                <w:rFonts w:ascii="Arial Narrow" w:hAnsi="Arial Narrow"/>
                <w:sz w:val="20"/>
              </w:rPr>
            </w:pPr>
            <w:r w:rsidRPr="00855D1A">
              <w:rPr>
                <w:rFonts w:ascii="Arial Narrow" w:hAnsi="Arial Narrow"/>
                <w:b/>
                <w:sz w:val="20"/>
                <w:u w:val="single"/>
              </w:rPr>
              <w:t xml:space="preserve">Section 100 </w:t>
            </w:r>
            <w:r w:rsidR="00855D1A">
              <w:rPr>
                <w:rFonts w:ascii="Arial Narrow" w:hAnsi="Arial Narrow"/>
                <w:b/>
                <w:sz w:val="20"/>
                <w:u w:val="single"/>
              </w:rPr>
              <w:t>Highly Specialised Drug Program</w:t>
            </w:r>
          </w:p>
        </w:tc>
      </w:tr>
    </w:tbl>
    <w:p w:rsidR="00B60939" w:rsidRDefault="00047348" w:rsidP="00081213">
      <w:pPr>
        <w:widowControl/>
        <w:ind w:firstLine="720"/>
        <w:rPr>
          <w:rFonts w:ascii="Arial Narrow" w:hAnsi="Arial Narrow"/>
          <w:sz w:val="18"/>
          <w:szCs w:val="18"/>
        </w:rPr>
      </w:pPr>
      <w:proofErr w:type="spellStart"/>
      <w:proofErr w:type="gramStart"/>
      <w:r w:rsidRPr="003019D8">
        <w:rPr>
          <w:rFonts w:ascii="Arial Narrow" w:hAnsi="Arial Narrow"/>
          <w:sz w:val="18"/>
          <w:szCs w:val="18"/>
          <w:vertAlign w:val="superscript"/>
        </w:rPr>
        <w:t>a</w:t>
      </w:r>
      <w:r w:rsidRPr="003019D8">
        <w:rPr>
          <w:rFonts w:ascii="Arial Narrow" w:hAnsi="Arial Narrow"/>
          <w:sz w:val="18"/>
          <w:szCs w:val="18"/>
        </w:rPr>
        <w:t>private</w:t>
      </w:r>
      <w:proofErr w:type="spellEnd"/>
      <w:proofErr w:type="gramEnd"/>
      <w:r w:rsidRPr="003019D8">
        <w:rPr>
          <w:rFonts w:ascii="Arial Narrow" w:hAnsi="Arial Narrow"/>
          <w:sz w:val="18"/>
          <w:szCs w:val="18"/>
        </w:rPr>
        <w:t xml:space="preserve"> hospital</w:t>
      </w:r>
      <w:r>
        <w:rPr>
          <w:rFonts w:ascii="Arial Narrow" w:hAnsi="Arial Narrow"/>
          <w:sz w:val="18"/>
          <w:szCs w:val="18"/>
        </w:rPr>
        <w:t xml:space="preserve">; </w:t>
      </w:r>
      <w:proofErr w:type="spellStart"/>
      <w:r w:rsidRPr="003019D8">
        <w:rPr>
          <w:rFonts w:ascii="Arial Narrow" w:hAnsi="Arial Narrow"/>
          <w:sz w:val="18"/>
          <w:szCs w:val="18"/>
          <w:vertAlign w:val="superscript"/>
        </w:rPr>
        <w:t>b</w:t>
      </w:r>
      <w:r w:rsidRPr="003019D8">
        <w:rPr>
          <w:rFonts w:ascii="Arial Narrow" w:hAnsi="Arial Narrow"/>
          <w:sz w:val="18"/>
          <w:szCs w:val="18"/>
        </w:rPr>
        <w:t>public</w:t>
      </w:r>
      <w:proofErr w:type="spellEnd"/>
      <w:r w:rsidRPr="003019D8">
        <w:rPr>
          <w:rFonts w:ascii="Arial Narrow" w:hAnsi="Arial Narrow"/>
          <w:sz w:val="18"/>
          <w:szCs w:val="18"/>
        </w:rPr>
        <w:t xml:space="preserve"> hospital</w:t>
      </w:r>
    </w:p>
    <w:p w:rsidR="00047348" w:rsidRPr="00882085" w:rsidRDefault="00047348" w:rsidP="00081213">
      <w:pPr>
        <w:widowControl/>
        <w:ind w:firstLine="720"/>
      </w:pPr>
    </w:p>
    <w:p w:rsidR="00855D1A" w:rsidRDefault="00855D1A" w:rsidP="00081213">
      <w:pPr>
        <w:pStyle w:val="ListParagraph"/>
        <w:widowControl/>
        <w:numPr>
          <w:ilvl w:val="1"/>
          <w:numId w:val="6"/>
        </w:numPr>
      </w:pPr>
      <w:r>
        <w:t>Indications include</w:t>
      </w:r>
      <w:r w:rsidR="004F32B4">
        <w:t>d</w:t>
      </w:r>
      <w:r>
        <w:t xml:space="preserve"> breast cancer, acute myeloid leukaemia, B cell chronic lymphocytic leukaemia, Hodgkin disease, myeloma, germ cell tumours, squamous cell carcinoma, acute lymphoblastic leukaemia, non-Hodgkin lymphoma and sarcoma, with all requested restrictions being consistent with those for which </w:t>
      </w:r>
      <w:proofErr w:type="spellStart"/>
      <w:r>
        <w:t>pegfilgrastim</w:t>
      </w:r>
      <w:proofErr w:type="spellEnd"/>
      <w:r>
        <w:t xml:space="preserve"> is currently listed.</w:t>
      </w:r>
    </w:p>
    <w:p w:rsidR="00855D1A" w:rsidRPr="00855D1A" w:rsidRDefault="00855D1A" w:rsidP="00081213">
      <w:pPr>
        <w:pStyle w:val="ListParagraph"/>
        <w:widowControl/>
      </w:pPr>
    </w:p>
    <w:p w:rsidR="004E43B2" w:rsidRPr="006D55CF" w:rsidRDefault="00855D1A" w:rsidP="00081213">
      <w:pPr>
        <w:pStyle w:val="ListParagraph"/>
        <w:widowControl/>
        <w:numPr>
          <w:ilvl w:val="1"/>
          <w:numId w:val="6"/>
        </w:numPr>
      </w:pPr>
      <w:r w:rsidRPr="00855D1A">
        <w:rPr>
          <w:szCs w:val="22"/>
        </w:rPr>
        <w:t>T</w:t>
      </w:r>
      <w:r w:rsidR="00B60939" w:rsidRPr="00855D1A">
        <w:rPr>
          <w:szCs w:val="22"/>
        </w:rPr>
        <w:t xml:space="preserve">he requested basis for listing </w:t>
      </w:r>
      <w:r w:rsidR="004F32B4">
        <w:rPr>
          <w:szCs w:val="22"/>
        </w:rPr>
        <w:t>wa</w:t>
      </w:r>
      <w:r w:rsidRPr="00855D1A">
        <w:rPr>
          <w:szCs w:val="22"/>
        </w:rPr>
        <w:t xml:space="preserve">s a cost-minimisation analysis versus </w:t>
      </w:r>
      <w:proofErr w:type="spellStart"/>
      <w:r w:rsidRPr="00855D1A">
        <w:rPr>
          <w:szCs w:val="22"/>
        </w:rPr>
        <w:t>pegfilgrastim</w:t>
      </w:r>
      <w:proofErr w:type="spellEnd"/>
      <w:r w:rsidR="00AC2B2C">
        <w:rPr>
          <w:szCs w:val="22"/>
        </w:rPr>
        <w:t xml:space="preserve">, </w:t>
      </w:r>
      <w:r w:rsidR="00AC2B2C" w:rsidRPr="006D55CF">
        <w:rPr>
          <w:szCs w:val="22"/>
        </w:rPr>
        <w:t xml:space="preserve">with a </w:t>
      </w:r>
      <w:r w:rsidR="00F9168A">
        <w:rPr>
          <w:noProof/>
          <w:color w:val="000000"/>
          <w:szCs w:val="22"/>
          <w:highlight w:val="black"/>
        </w:rPr>
        <w:t>''''''</w:t>
      </w:r>
      <w:r w:rsidR="00AC2B2C" w:rsidRPr="006D55CF">
        <w:rPr>
          <w:szCs w:val="22"/>
        </w:rPr>
        <w:t xml:space="preserve">% price reduction on the current ex-manufacturer price </w:t>
      </w:r>
      <w:r w:rsidR="00F9168A">
        <w:rPr>
          <w:noProof/>
          <w:color w:val="000000"/>
          <w:szCs w:val="22"/>
          <w:highlight w:val="black"/>
        </w:rPr>
        <w:t>'''''' '''''''''''''''''''''''''''''''' '''''''''''''' '''''''''''''''''' '''''' ''''''''''''''''''''''''''''''''''''' '''''''''''''' ''''' '''''''''''''''''''''' ''''' '''''''''''''''''' ''''' ''''''''''''''''''''''''''''''''' '''''''''' ''''''' ''''''''''''''''''''' ''''' ''''''''''''''''''''''''''</w:t>
      </w:r>
      <w:r w:rsidRPr="006D55CF">
        <w:rPr>
          <w:szCs w:val="22"/>
        </w:rPr>
        <w:t>.</w:t>
      </w:r>
    </w:p>
    <w:p w:rsidR="00426EFF" w:rsidRPr="006D55CF" w:rsidRDefault="00426EFF" w:rsidP="00081213">
      <w:pPr>
        <w:pStyle w:val="ListParagraph"/>
        <w:widowControl/>
      </w:pPr>
    </w:p>
    <w:p w:rsidR="00426EFF" w:rsidRPr="006D55CF" w:rsidRDefault="006262D7" w:rsidP="00081213">
      <w:pPr>
        <w:pStyle w:val="ListParagraph"/>
        <w:widowControl/>
        <w:numPr>
          <w:ilvl w:val="1"/>
          <w:numId w:val="6"/>
        </w:numPr>
      </w:pPr>
      <w:r w:rsidRPr="006D55CF">
        <w:t xml:space="preserve">Noting </w:t>
      </w:r>
      <w:r w:rsidR="00426EFF" w:rsidRPr="006D55CF">
        <w:t xml:space="preserve">that the PBS indications for </w:t>
      </w:r>
      <w:proofErr w:type="spellStart"/>
      <w:r w:rsidR="00426EFF" w:rsidRPr="006D55CF">
        <w:t>filgrastim</w:t>
      </w:r>
      <w:proofErr w:type="spellEnd"/>
      <w:r w:rsidR="00426EFF" w:rsidRPr="006D55CF">
        <w:t xml:space="preserve"> and </w:t>
      </w:r>
      <w:proofErr w:type="spellStart"/>
      <w:r w:rsidR="00426EFF" w:rsidRPr="006D55CF">
        <w:t>pegfilgrastim</w:t>
      </w:r>
      <w:proofErr w:type="spellEnd"/>
      <w:r w:rsidR="00426EFF" w:rsidRPr="006D55CF">
        <w:t xml:space="preserve"> </w:t>
      </w:r>
      <w:r w:rsidR="00E12E93" w:rsidRPr="006D55CF">
        <w:t>a</w:t>
      </w:r>
      <w:r w:rsidR="00426EFF" w:rsidRPr="006D55CF">
        <w:t xml:space="preserve">re not </w:t>
      </w:r>
      <w:r w:rsidRPr="006D55CF">
        <w:t xml:space="preserve">completely </w:t>
      </w:r>
      <w:r w:rsidR="00426EFF" w:rsidRPr="006D55CF">
        <w:t>aligned</w:t>
      </w:r>
      <w:r w:rsidRPr="006D55CF">
        <w:t xml:space="preserve">, the ESC suggested that the PBAC clarify </w:t>
      </w:r>
      <w:r w:rsidR="006078E1" w:rsidRPr="006D55CF">
        <w:t xml:space="preserve">the </w:t>
      </w:r>
      <w:r w:rsidR="00B528CA" w:rsidRPr="006D55CF">
        <w:t>specific</w:t>
      </w:r>
      <w:r w:rsidRPr="006D55CF">
        <w:t xml:space="preserve"> indications it would be appropriate to </w:t>
      </w:r>
      <w:r w:rsidR="00B528CA" w:rsidRPr="006D55CF">
        <w:t>recommend</w:t>
      </w:r>
      <w:r w:rsidR="001A33A3" w:rsidRPr="006D55CF">
        <w:t xml:space="preserve"> for PBS listing</w:t>
      </w:r>
      <w:r w:rsidR="00B528CA" w:rsidRPr="006D55CF">
        <w:t>.</w:t>
      </w:r>
    </w:p>
    <w:p w:rsidR="00855D1A" w:rsidRPr="00855D1A" w:rsidRDefault="00855D1A" w:rsidP="00081213">
      <w:pPr>
        <w:pStyle w:val="ListParagraph"/>
        <w:widowControl/>
        <w:rPr>
          <w:szCs w:val="22"/>
        </w:rPr>
      </w:pPr>
    </w:p>
    <w:p w:rsidR="00AC5CA9" w:rsidRDefault="00AC5CA9" w:rsidP="00081213">
      <w:pPr>
        <w:pStyle w:val="ListParagraph"/>
        <w:widowControl/>
        <w:ind w:left="709"/>
        <w:rPr>
          <w:i/>
          <w:szCs w:val="22"/>
        </w:rPr>
      </w:pPr>
      <w:r w:rsidRPr="00950EA7">
        <w:rPr>
          <w:i/>
          <w:szCs w:val="22"/>
        </w:rPr>
        <w:t>For more detail on PBAC’s view, see section 7 “PBAC outcome”</w:t>
      </w:r>
    </w:p>
    <w:p w:rsidR="00CA31CC" w:rsidRDefault="00CA31CC" w:rsidP="00081213">
      <w:pPr>
        <w:widowControl/>
      </w:pPr>
    </w:p>
    <w:p w:rsidR="00FB353D" w:rsidRPr="00882085" w:rsidRDefault="00FB353D" w:rsidP="00081213">
      <w:pPr>
        <w:widowControl/>
      </w:pPr>
    </w:p>
    <w:p w:rsidR="00B50DB8" w:rsidRPr="00407F2D" w:rsidRDefault="00B50DB8" w:rsidP="00175A20">
      <w:pPr>
        <w:pStyle w:val="Heading1"/>
      </w:pPr>
      <w:bookmarkStart w:id="3" w:name="_Toc440890546"/>
      <w:r w:rsidRPr="00407F2D">
        <w:t>Background</w:t>
      </w:r>
      <w:bookmarkEnd w:id="3"/>
    </w:p>
    <w:p w:rsidR="00B60939" w:rsidRPr="00882085" w:rsidRDefault="00B60939" w:rsidP="00081213">
      <w:pPr>
        <w:widowControl/>
        <w:rPr>
          <w:szCs w:val="22"/>
        </w:rPr>
      </w:pPr>
    </w:p>
    <w:p w:rsidR="00B60939" w:rsidRPr="00950EA7" w:rsidRDefault="00855D1A" w:rsidP="00081213">
      <w:pPr>
        <w:pStyle w:val="ListParagraph"/>
        <w:widowControl/>
        <w:numPr>
          <w:ilvl w:val="1"/>
          <w:numId w:val="6"/>
        </w:numPr>
      </w:pPr>
      <w:proofErr w:type="spellStart"/>
      <w:r w:rsidRPr="00950EA7">
        <w:rPr>
          <w:szCs w:val="22"/>
        </w:rPr>
        <w:t>Lipegfilgrastim</w:t>
      </w:r>
      <w:proofErr w:type="spellEnd"/>
      <w:r w:rsidR="00B60939" w:rsidRPr="00950EA7">
        <w:rPr>
          <w:szCs w:val="22"/>
        </w:rPr>
        <w:t xml:space="preserve"> was TGA registered on </w:t>
      </w:r>
      <w:r w:rsidRPr="00950EA7">
        <w:t>29 October 2015 for:</w:t>
      </w:r>
      <w:r w:rsidR="007B569E" w:rsidRPr="00950EA7">
        <w:t xml:space="preserve"> </w:t>
      </w:r>
      <w:r w:rsidRPr="00950EA7">
        <w:rPr>
          <w:szCs w:val="22"/>
        </w:rPr>
        <w:t xml:space="preserve">reduction in the duration of neutropenia and the incidence of febrile neutropenia in adult patients treated with cytotoxic chemotherapy for malignancy (with the exception of chronic myeloid leukaemia and </w:t>
      </w:r>
      <w:proofErr w:type="spellStart"/>
      <w:r w:rsidRPr="00950EA7">
        <w:rPr>
          <w:szCs w:val="22"/>
        </w:rPr>
        <w:t>myelodysplastic</w:t>
      </w:r>
      <w:proofErr w:type="spellEnd"/>
      <w:r w:rsidRPr="00950EA7">
        <w:rPr>
          <w:szCs w:val="22"/>
        </w:rPr>
        <w:t xml:space="preserve"> syndromes).</w:t>
      </w:r>
      <w:r w:rsidR="00B60939" w:rsidRPr="00950EA7">
        <w:rPr>
          <w:szCs w:val="22"/>
        </w:rPr>
        <w:t xml:space="preserve"> </w:t>
      </w:r>
    </w:p>
    <w:p w:rsidR="00B60939" w:rsidRPr="006D55CF" w:rsidRDefault="00B60939" w:rsidP="00081213">
      <w:pPr>
        <w:pStyle w:val="ListParagraph"/>
        <w:widowControl/>
        <w:rPr>
          <w:szCs w:val="22"/>
        </w:rPr>
      </w:pPr>
    </w:p>
    <w:p w:rsidR="002C2775" w:rsidRPr="006D55CF" w:rsidRDefault="00D55396" w:rsidP="00081213">
      <w:pPr>
        <w:pStyle w:val="ListParagraph"/>
        <w:widowControl/>
        <w:numPr>
          <w:ilvl w:val="1"/>
          <w:numId w:val="6"/>
        </w:numPr>
        <w:rPr>
          <w:szCs w:val="22"/>
        </w:rPr>
      </w:pPr>
      <w:r w:rsidRPr="006D55CF">
        <w:rPr>
          <w:szCs w:val="22"/>
        </w:rPr>
        <w:t xml:space="preserve">This </w:t>
      </w:r>
      <w:r w:rsidR="004F32B4" w:rsidRPr="006D55CF">
        <w:rPr>
          <w:szCs w:val="22"/>
        </w:rPr>
        <w:t>wa</w:t>
      </w:r>
      <w:r w:rsidRPr="006D55CF">
        <w:rPr>
          <w:szCs w:val="22"/>
        </w:rPr>
        <w:t xml:space="preserve">s the first submission for </w:t>
      </w:r>
      <w:proofErr w:type="spellStart"/>
      <w:r w:rsidRPr="006D55CF">
        <w:rPr>
          <w:szCs w:val="22"/>
        </w:rPr>
        <w:t>lipegfilgrastim</w:t>
      </w:r>
      <w:proofErr w:type="spellEnd"/>
      <w:r w:rsidRPr="006D55CF">
        <w:rPr>
          <w:szCs w:val="22"/>
        </w:rPr>
        <w:t xml:space="preserve"> considered by the PBAC.</w:t>
      </w:r>
    </w:p>
    <w:p w:rsidR="008F26C3" w:rsidRPr="006D55CF" w:rsidRDefault="008F26C3" w:rsidP="00081213">
      <w:pPr>
        <w:pStyle w:val="ListParagraph"/>
        <w:widowControl/>
        <w:rPr>
          <w:szCs w:val="22"/>
        </w:rPr>
      </w:pPr>
    </w:p>
    <w:p w:rsidR="008F26C3" w:rsidRPr="006D55CF" w:rsidRDefault="008F26C3" w:rsidP="00081213">
      <w:pPr>
        <w:pStyle w:val="ListParagraph"/>
        <w:widowControl/>
        <w:numPr>
          <w:ilvl w:val="1"/>
          <w:numId w:val="6"/>
        </w:numPr>
        <w:rPr>
          <w:szCs w:val="22"/>
        </w:rPr>
      </w:pPr>
      <w:proofErr w:type="spellStart"/>
      <w:r w:rsidRPr="006D55CF">
        <w:rPr>
          <w:szCs w:val="22"/>
        </w:rPr>
        <w:t>Pegfilgrastim</w:t>
      </w:r>
      <w:proofErr w:type="spellEnd"/>
      <w:r w:rsidRPr="006D55CF">
        <w:rPr>
          <w:szCs w:val="22"/>
        </w:rPr>
        <w:t xml:space="preserve"> was listed on the PBS on 1 February 2003 </w:t>
      </w:r>
      <w:bookmarkStart w:id="4" w:name="OLE_LINK1"/>
      <w:r w:rsidRPr="006D55CF">
        <w:rPr>
          <w:color w:val="222222"/>
          <w:szCs w:val="22"/>
        </w:rPr>
        <w:t xml:space="preserve">on a cost minimisation basis compared to </w:t>
      </w:r>
      <w:proofErr w:type="spellStart"/>
      <w:r w:rsidRPr="006D55CF">
        <w:rPr>
          <w:color w:val="222222"/>
          <w:szCs w:val="22"/>
        </w:rPr>
        <w:t>filgrastim</w:t>
      </w:r>
      <w:proofErr w:type="spellEnd"/>
      <w:r w:rsidRPr="006D55CF">
        <w:rPr>
          <w:color w:val="222222"/>
          <w:szCs w:val="22"/>
        </w:rPr>
        <w:t xml:space="preserve"> with 6</w:t>
      </w:r>
      <w:r w:rsidR="008B749A" w:rsidRPr="006D55CF">
        <w:rPr>
          <w:color w:val="222222"/>
          <w:szCs w:val="22"/>
        </w:rPr>
        <w:t xml:space="preserve"> </w:t>
      </w:r>
      <w:r w:rsidRPr="006D55CF">
        <w:rPr>
          <w:color w:val="222222"/>
          <w:szCs w:val="22"/>
        </w:rPr>
        <w:t xml:space="preserve">mg being considered equivalent to </w:t>
      </w:r>
      <w:proofErr w:type="spellStart"/>
      <w:r w:rsidRPr="006D55CF">
        <w:rPr>
          <w:color w:val="222222"/>
          <w:szCs w:val="22"/>
        </w:rPr>
        <w:t>filgrastim</w:t>
      </w:r>
      <w:proofErr w:type="spellEnd"/>
      <w:r w:rsidRPr="006D55CF">
        <w:rPr>
          <w:color w:val="222222"/>
          <w:szCs w:val="22"/>
        </w:rPr>
        <w:t xml:space="preserve"> injection 5ug/kg/day for 11.25 days</w:t>
      </w:r>
      <w:bookmarkEnd w:id="4"/>
      <w:r w:rsidRPr="006D55CF">
        <w:rPr>
          <w:color w:val="222222"/>
          <w:szCs w:val="22"/>
        </w:rPr>
        <w:t>.</w:t>
      </w:r>
      <w:r w:rsidRPr="006D55CF">
        <w:rPr>
          <w:szCs w:val="22"/>
        </w:rPr>
        <w:t xml:space="preserve"> Since then the ex-manufacturer price of </w:t>
      </w:r>
      <w:proofErr w:type="spellStart"/>
      <w:r w:rsidRPr="006D55CF">
        <w:rPr>
          <w:szCs w:val="22"/>
        </w:rPr>
        <w:t>filgrastim</w:t>
      </w:r>
      <w:proofErr w:type="spellEnd"/>
      <w:r w:rsidRPr="006D55CF">
        <w:rPr>
          <w:szCs w:val="22"/>
        </w:rPr>
        <w:t xml:space="preserve"> has been reduced by approximately </w:t>
      </w:r>
      <w:r w:rsidR="00F9168A">
        <w:rPr>
          <w:noProof/>
          <w:color w:val="000000"/>
          <w:szCs w:val="22"/>
          <w:highlight w:val="black"/>
        </w:rPr>
        <w:t>''''''</w:t>
      </w:r>
      <w:r w:rsidRPr="006D55CF">
        <w:rPr>
          <w:szCs w:val="22"/>
        </w:rPr>
        <w:t xml:space="preserve">%. The drug costs to treat a </w:t>
      </w:r>
      <w:r w:rsidR="00647482" w:rsidRPr="006D55CF">
        <w:rPr>
          <w:szCs w:val="22"/>
        </w:rPr>
        <w:t xml:space="preserve">73 </w:t>
      </w:r>
      <w:r w:rsidRPr="006D55CF">
        <w:rPr>
          <w:szCs w:val="22"/>
        </w:rPr>
        <w:t xml:space="preserve">kg patient with </w:t>
      </w:r>
      <w:proofErr w:type="spellStart"/>
      <w:r w:rsidRPr="006D55CF">
        <w:rPr>
          <w:color w:val="222222"/>
          <w:szCs w:val="22"/>
        </w:rPr>
        <w:t>filgrastim</w:t>
      </w:r>
      <w:proofErr w:type="spellEnd"/>
      <w:r w:rsidRPr="006D55CF">
        <w:rPr>
          <w:color w:val="222222"/>
          <w:szCs w:val="22"/>
        </w:rPr>
        <w:t xml:space="preserve"> injection 5</w:t>
      </w:r>
      <w:r w:rsidR="008A43AE" w:rsidRPr="006D55CF">
        <w:rPr>
          <w:color w:val="222222"/>
          <w:szCs w:val="22"/>
        </w:rPr>
        <w:t xml:space="preserve"> micrograms</w:t>
      </w:r>
      <w:r w:rsidRPr="006D55CF">
        <w:rPr>
          <w:color w:val="222222"/>
          <w:szCs w:val="22"/>
        </w:rPr>
        <w:t xml:space="preserve">/kg/day for 11.25 days </w:t>
      </w:r>
      <w:r w:rsidRPr="006D55CF">
        <w:t>would be $</w:t>
      </w:r>
      <w:r w:rsidR="00F9168A">
        <w:rPr>
          <w:noProof/>
          <w:color w:val="000000"/>
          <w:highlight w:val="black"/>
        </w:rPr>
        <w:t>'''''''''''''''''''</w:t>
      </w:r>
      <w:r w:rsidRPr="006D55CF">
        <w:t xml:space="preserve">. </w:t>
      </w:r>
      <w:r w:rsidR="00647482" w:rsidRPr="006D55CF">
        <w:rPr>
          <w:iCs/>
        </w:rPr>
        <w:t>73</w:t>
      </w:r>
      <w:r w:rsidR="00047348" w:rsidRPr="006D55CF">
        <w:rPr>
          <w:iCs/>
        </w:rPr>
        <w:t xml:space="preserve"> </w:t>
      </w:r>
      <w:r w:rsidR="00647482" w:rsidRPr="006D55CF">
        <w:rPr>
          <w:iCs/>
        </w:rPr>
        <w:t xml:space="preserve">kg is the average weight of patients in the </w:t>
      </w:r>
      <w:proofErr w:type="spellStart"/>
      <w:r w:rsidR="00647482" w:rsidRPr="006D55CF">
        <w:rPr>
          <w:iCs/>
        </w:rPr>
        <w:t>lipegfilgrastim</w:t>
      </w:r>
      <w:proofErr w:type="spellEnd"/>
      <w:r w:rsidR="00647482" w:rsidRPr="006D55CF">
        <w:rPr>
          <w:iCs/>
        </w:rPr>
        <w:t xml:space="preserve"> trials, Studies 02 and 03.</w:t>
      </w:r>
    </w:p>
    <w:p w:rsidR="00AC5CA9" w:rsidRPr="00AC5CA9" w:rsidRDefault="00AC5CA9" w:rsidP="00081213">
      <w:pPr>
        <w:pStyle w:val="ListParagraph"/>
        <w:widowControl/>
        <w:rPr>
          <w:i/>
          <w:szCs w:val="22"/>
        </w:rPr>
      </w:pPr>
    </w:p>
    <w:p w:rsidR="00B60939" w:rsidRPr="00FB353D" w:rsidRDefault="00AC5CA9" w:rsidP="00081213">
      <w:pPr>
        <w:pStyle w:val="ListParagraph"/>
        <w:widowControl/>
        <w:ind w:left="709"/>
        <w:rPr>
          <w:i/>
          <w:szCs w:val="22"/>
        </w:rPr>
      </w:pPr>
      <w:r w:rsidRPr="00950EA7">
        <w:rPr>
          <w:i/>
          <w:szCs w:val="22"/>
        </w:rPr>
        <w:t>For more detail on PBAC’s view, see section 7 “PBAC outcome”</w:t>
      </w:r>
    </w:p>
    <w:p w:rsidR="00E55BB5" w:rsidRDefault="00E55BB5" w:rsidP="00081213">
      <w:pPr>
        <w:widowControl/>
      </w:pPr>
    </w:p>
    <w:p w:rsidR="00FB353D" w:rsidRPr="00882085" w:rsidRDefault="00FB353D" w:rsidP="00081213">
      <w:pPr>
        <w:widowControl/>
      </w:pPr>
    </w:p>
    <w:p w:rsidR="00B50DB8" w:rsidRPr="00407F2D" w:rsidRDefault="00B50DB8" w:rsidP="00175A20">
      <w:pPr>
        <w:pStyle w:val="Heading1"/>
      </w:pPr>
      <w:bookmarkStart w:id="5" w:name="_Toc440890547"/>
      <w:r w:rsidRPr="00407F2D">
        <w:t>Clinical place for the proposed therapy</w:t>
      </w:r>
      <w:bookmarkEnd w:id="5"/>
    </w:p>
    <w:p w:rsidR="00B60939" w:rsidRPr="00882085" w:rsidRDefault="00B60939" w:rsidP="00081213">
      <w:pPr>
        <w:widowControl/>
        <w:rPr>
          <w:szCs w:val="22"/>
        </w:rPr>
      </w:pPr>
    </w:p>
    <w:p w:rsidR="00987549" w:rsidRPr="002023E9" w:rsidRDefault="004F32B4" w:rsidP="00081213">
      <w:pPr>
        <w:pStyle w:val="ListParagraph"/>
        <w:widowControl/>
        <w:numPr>
          <w:ilvl w:val="1"/>
          <w:numId w:val="6"/>
        </w:numPr>
        <w:rPr>
          <w:szCs w:val="22"/>
        </w:rPr>
      </w:pPr>
      <w:proofErr w:type="spellStart"/>
      <w:r>
        <w:t>Lipegfilgrastim</w:t>
      </w:r>
      <w:proofErr w:type="spellEnd"/>
      <w:r>
        <w:t xml:space="preserve"> wa</w:t>
      </w:r>
      <w:r w:rsidR="00D55396" w:rsidRPr="00D55396">
        <w:t xml:space="preserve">s proposed to be an alternative to </w:t>
      </w:r>
      <w:proofErr w:type="spellStart"/>
      <w:r w:rsidR="00D55396" w:rsidRPr="00D55396">
        <w:t>pegfilgrastim</w:t>
      </w:r>
      <w:proofErr w:type="spellEnd"/>
      <w:r w:rsidR="00D55396" w:rsidRPr="00D55396">
        <w:t xml:space="preserve">. </w:t>
      </w:r>
      <w:r w:rsidR="00D55396">
        <w:t xml:space="preserve"> </w:t>
      </w:r>
      <w:r w:rsidR="009D7EBD">
        <w:t>The PBAC agreed that i</w:t>
      </w:r>
      <w:r w:rsidR="00D55396" w:rsidRPr="00350E1E">
        <w:t xml:space="preserve">t may also be an alternative to </w:t>
      </w:r>
      <w:proofErr w:type="spellStart"/>
      <w:r w:rsidR="00D55396" w:rsidRPr="00350E1E">
        <w:t>filgrastim</w:t>
      </w:r>
      <w:proofErr w:type="spellEnd"/>
      <w:r w:rsidR="00D55396" w:rsidRPr="00350E1E">
        <w:t xml:space="preserve"> and </w:t>
      </w:r>
      <w:proofErr w:type="spellStart"/>
      <w:r w:rsidR="00D55396" w:rsidRPr="00350E1E">
        <w:t>lenograstim</w:t>
      </w:r>
      <w:proofErr w:type="spellEnd"/>
      <w:r w:rsidR="00D55396" w:rsidRPr="00350E1E">
        <w:t>.</w:t>
      </w:r>
      <w:r w:rsidR="00445639">
        <w:t xml:space="preserve"> </w:t>
      </w:r>
    </w:p>
    <w:p w:rsidR="00E55BB5" w:rsidRDefault="00E55BB5" w:rsidP="00081213">
      <w:pPr>
        <w:pStyle w:val="Header"/>
        <w:widowControl/>
        <w:rPr>
          <w:szCs w:val="22"/>
        </w:rPr>
      </w:pPr>
    </w:p>
    <w:p w:rsidR="00AC5CA9" w:rsidRDefault="00AC5CA9" w:rsidP="00081213">
      <w:pPr>
        <w:pStyle w:val="ListParagraph"/>
        <w:widowControl/>
        <w:ind w:left="709"/>
        <w:rPr>
          <w:i/>
          <w:szCs w:val="22"/>
        </w:rPr>
      </w:pPr>
      <w:r w:rsidRPr="00950EA7">
        <w:rPr>
          <w:i/>
          <w:szCs w:val="22"/>
        </w:rPr>
        <w:t>For more detail on PBAC’s view, see section 7 “PBAC outcome”</w:t>
      </w:r>
    </w:p>
    <w:p w:rsidR="00CA31CC" w:rsidRDefault="00CA31CC" w:rsidP="00081213">
      <w:pPr>
        <w:pStyle w:val="Header"/>
        <w:widowControl/>
        <w:rPr>
          <w:szCs w:val="22"/>
        </w:rPr>
      </w:pPr>
    </w:p>
    <w:p w:rsidR="00FB353D" w:rsidRPr="00882085" w:rsidRDefault="00FB353D" w:rsidP="00081213">
      <w:pPr>
        <w:pStyle w:val="Header"/>
        <w:widowControl/>
        <w:rPr>
          <w:szCs w:val="22"/>
        </w:rPr>
      </w:pPr>
    </w:p>
    <w:p w:rsidR="00B50DB8" w:rsidRPr="00161178" w:rsidRDefault="00B50DB8" w:rsidP="00175A20">
      <w:pPr>
        <w:pStyle w:val="Heading1"/>
      </w:pPr>
      <w:bookmarkStart w:id="6" w:name="_Toc440890548"/>
      <w:r w:rsidRPr="00161178">
        <w:t>Comparator</w:t>
      </w:r>
      <w:bookmarkEnd w:id="6"/>
    </w:p>
    <w:p w:rsidR="00B60939" w:rsidRPr="00882085" w:rsidRDefault="00B60939" w:rsidP="00081213">
      <w:pPr>
        <w:widowControl/>
      </w:pPr>
    </w:p>
    <w:p w:rsidR="00D26A17" w:rsidRDefault="00161178" w:rsidP="00081213">
      <w:pPr>
        <w:pStyle w:val="ListParagraph"/>
        <w:widowControl/>
        <w:numPr>
          <w:ilvl w:val="1"/>
          <w:numId w:val="6"/>
        </w:numPr>
      </w:pPr>
      <w:r w:rsidRPr="006D55CF">
        <w:t xml:space="preserve">The submission nominated </w:t>
      </w:r>
      <w:proofErr w:type="spellStart"/>
      <w:r w:rsidRPr="006D55CF">
        <w:t>p</w:t>
      </w:r>
      <w:r w:rsidR="00D55396" w:rsidRPr="006D55CF">
        <w:t>egfilgrastim</w:t>
      </w:r>
      <w:proofErr w:type="spellEnd"/>
      <w:r w:rsidR="0087593D" w:rsidRPr="006D55CF">
        <w:t xml:space="preserve"> as the main comparator</w:t>
      </w:r>
      <w:r w:rsidR="00D55396" w:rsidRPr="006D55CF">
        <w:t>.</w:t>
      </w:r>
      <w:r w:rsidR="00F067A2" w:rsidRPr="006D55CF">
        <w:t xml:space="preserve"> </w:t>
      </w:r>
      <w:r w:rsidR="00426EFF" w:rsidRPr="006D55CF">
        <w:t xml:space="preserve">The ESC agreed that </w:t>
      </w:r>
      <w:proofErr w:type="spellStart"/>
      <w:r w:rsidR="00426EFF" w:rsidRPr="006D55CF">
        <w:t>pegfilgrastim</w:t>
      </w:r>
      <w:proofErr w:type="spellEnd"/>
      <w:r w:rsidR="00426EFF" w:rsidRPr="006D55CF">
        <w:t xml:space="preserve"> would be the agent most likely to be replaced, however, that there would also be some substitution for </w:t>
      </w:r>
      <w:proofErr w:type="spellStart"/>
      <w:r w:rsidR="00426EFF" w:rsidRPr="006D55CF">
        <w:t>filgrastim</w:t>
      </w:r>
      <w:proofErr w:type="spellEnd"/>
      <w:r w:rsidR="00426EFF" w:rsidRPr="006D55CF">
        <w:t>, and although it may not be the main comparator, it could be considered a comparator.</w:t>
      </w:r>
    </w:p>
    <w:p w:rsidR="00D26A17" w:rsidRDefault="00D26A17" w:rsidP="00081213">
      <w:pPr>
        <w:pStyle w:val="ListParagraph"/>
        <w:widowControl/>
      </w:pPr>
    </w:p>
    <w:p w:rsidR="00D26A17" w:rsidRDefault="00D26A17" w:rsidP="00081213">
      <w:pPr>
        <w:pStyle w:val="ListParagraph"/>
        <w:widowControl/>
        <w:numPr>
          <w:ilvl w:val="1"/>
          <w:numId w:val="6"/>
        </w:numPr>
      </w:pPr>
      <w:r>
        <w:t xml:space="preserve">The PBAC </w:t>
      </w:r>
      <w:r w:rsidR="009D7EBD">
        <w:t>agreed with the ESC</w:t>
      </w:r>
      <w:r>
        <w:t xml:space="preserve"> that </w:t>
      </w:r>
      <w:proofErr w:type="spellStart"/>
      <w:r>
        <w:t>filgrastim</w:t>
      </w:r>
      <w:proofErr w:type="spellEnd"/>
      <w:r>
        <w:t xml:space="preserve"> </w:t>
      </w:r>
      <w:r w:rsidR="009D7EBD">
        <w:t>was</w:t>
      </w:r>
      <w:r>
        <w:t xml:space="preserve"> </w:t>
      </w:r>
      <w:r w:rsidR="009D7EBD">
        <w:t xml:space="preserve">also </w:t>
      </w:r>
      <w:r>
        <w:t>an appropriate comparator</w:t>
      </w:r>
      <w:r w:rsidR="009D7EBD">
        <w:t>.</w:t>
      </w:r>
    </w:p>
    <w:p w:rsidR="002023E9" w:rsidRDefault="002023E9" w:rsidP="00081213">
      <w:pPr>
        <w:widowControl/>
      </w:pPr>
    </w:p>
    <w:p w:rsidR="00AC5CA9" w:rsidRDefault="00AC5CA9" w:rsidP="00081213">
      <w:pPr>
        <w:pStyle w:val="ListParagraph"/>
        <w:widowControl/>
        <w:ind w:left="709"/>
        <w:rPr>
          <w:i/>
          <w:szCs w:val="22"/>
        </w:rPr>
      </w:pPr>
      <w:r w:rsidRPr="00950EA7">
        <w:rPr>
          <w:i/>
          <w:szCs w:val="22"/>
        </w:rPr>
        <w:t>For more detail on PBAC’s view, see section 7 “PBAC outcome”</w:t>
      </w:r>
    </w:p>
    <w:p w:rsidR="00CA31CC" w:rsidRDefault="00CA31CC" w:rsidP="00081213">
      <w:pPr>
        <w:widowControl/>
        <w:rPr>
          <w:szCs w:val="22"/>
        </w:rPr>
      </w:pPr>
    </w:p>
    <w:p w:rsidR="00FB353D" w:rsidRPr="007A01D2" w:rsidRDefault="00FB353D" w:rsidP="00081213">
      <w:pPr>
        <w:widowControl/>
        <w:rPr>
          <w:szCs w:val="22"/>
        </w:rPr>
      </w:pPr>
    </w:p>
    <w:p w:rsidR="00B50DB8" w:rsidRPr="00407F2D" w:rsidRDefault="00BD6CF3" w:rsidP="00175A20">
      <w:pPr>
        <w:pStyle w:val="Heading1"/>
      </w:pPr>
      <w:bookmarkStart w:id="7" w:name="_Toc440890549"/>
      <w:r>
        <w:t>C</w:t>
      </w:r>
      <w:r w:rsidR="00B50DB8" w:rsidRPr="00407F2D">
        <w:t>onsideration of the evidence</w:t>
      </w:r>
      <w:bookmarkEnd w:id="7"/>
    </w:p>
    <w:p w:rsidR="00B60939" w:rsidRDefault="00B60939" w:rsidP="00081213">
      <w:pPr>
        <w:widowControl/>
      </w:pPr>
    </w:p>
    <w:p w:rsidR="00666BF6" w:rsidRPr="00950EA7" w:rsidRDefault="00666BF6" w:rsidP="00EC2AC4">
      <w:pPr>
        <w:pStyle w:val="Heading2"/>
        <w:widowControl/>
        <w:rPr>
          <w:b w:val="0"/>
          <w:bCs/>
          <w:i/>
          <w:szCs w:val="22"/>
        </w:rPr>
      </w:pPr>
      <w:r w:rsidRPr="00950EA7">
        <w:rPr>
          <w:bCs/>
          <w:i/>
          <w:szCs w:val="22"/>
        </w:rPr>
        <w:t>Sponsor hearing</w:t>
      </w:r>
    </w:p>
    <w:p w:rsidR="00097D0E" w:rsidRPr="00950EA7" w:rsidRDefault="00097D0E" w:rsidP="00081213">
      <w:pPr>
        <w:widowControl/>
        <w:rPr>
          <w:bCs/>
          <w:szCs w:val="22"/>
        </w:rPr>
      </w:pPr>
    </w:p>
    <w:p w:rsidR="00666BF6" w:rsidRPr="00950EA7" w:rsidRDefault="00666BF6" w:rsidP="00081213">
      <w:pPr>
        <w:pStyle w:val="ListParagraph"/>
        <w:widowControl/>
        <w:numPr>
          <w:ilvl w:val="1"/>
          <w:numId w:val="6"/>
        </w:numPr>
        <w:rPr>
          <w:bCs/>
          <w:szCs w:val="22"/>
        </w:rPr>
      </w:pPr>
      <w:r w:rsidRPr="00950EA7">
        <w:rPr>
          <w:bCs/>
          <w:szCs w:val="22"/>
        </w:rPr>
        <w:t>The</w:t>
      </w:r>
      <w:r w:rsidR="00171F6F" w:rsidRPr="00950EA7">
        <w:rPr>
          <w:bCs/>
          <w:szCs w:val="22"/>
        </w:rPr>
        <w:t>re was no hearing for this item</w:t>
      </w:r>
      <w:r w:rsidRPr="00950EA7">
        <w:rPr>
          <w:bCs/>
          <w:szCs w:val="22"/>
        </w:rPr>
        <w:t>.</w:t>
      </w:r>
    </w:p>
    <w:p w:rsidR="00097D0E" w:rsidRPr="00950EA7" w:rsidRDefault="00097D0E" w:rsidP="00081213">
      <w:pPr>
        <w:widowControl/>
        <w:rPr>
          <w:bCs/>
          <w:szCs w:val="22"/>
        </w:rPr>
      </w:pPr>
    </w:p>
    <w:p w:rsidR="00666BF6" w:rsidRPr="00950EA7" w:rsidRDefault="00666BF6" w:rsidP="00EC2AC4">
      <w:pPr>
        <w:pStyle w:val="Heading2"/>
        <w:widowControl/>
        <w:rPr>
          <w:b w:val="0"/>
          <w:bCs/>
          <w:i/>
          <w:szCs w:val="22"/>
        </w:rPr>
      </w:pPr>
      <w:r w:rsidRPr="00950EA7">
        <w:rPr>
          <w:bCs/>
          <w:i/>
          <w:szCs w:val="22"/>
        </w:rPr>
        <w:t>Consumer comments</w:t>
      </w:r>
    </w:p>
    <w:p w:rsidR="00097D0E" w:rsidRPr="00950EA7" w:rsidRDefault="00097D0E" w:rsidP="00081213">
      <w:pPr>
        <w:keepNext/>
        <w:widowControl/>
        <w:rPr>
          <w:b/>
          <w:bCs/>
          <w:i/>
          <w:szCs w:val="22"/>
        </w:rPr>
      </w:pPr>
    </w:p>
    <w:p w:rsidR="00950EA7" w:rsidRPr="00950EA7" w:rsidRDefault="00950EA7" w:rsidP="00081213">
      <w:pPr>
        <w:pStyle w:val="ListParagraph"/>
        <w:widowControl/>
        <w:numPr>
          <w:ilvl w:val="1"/>
          <w:numId w:val="6"/>
        </w:numPr>
      </w:pPr>
      <w:bookmarkStart w:id="8" w:name="_Toc440890550"/>
      <w:r w:rsidRPr="00950EA7">
        <w:rPr>
          <w:bCs/>
          <w:szCs w:val="22"/>
        </w:rPr>
        <w:t xml:space="preserve">The PBAC noted and welcomed the input from </w:t>
      </w:r>
      <w:r w:rsidR="006131EE">
        <w:rPr>
          <w:bCs/>
          <w:szCs w:val="22"/>
        </w:rPr>
        <w:t>a</w:t>
      </w:r>
      <w:r w:rsidRPr="00950EA7">
        <w:rPr>
          <w:bCs/>
          <w:szCs w:val="22"/>
        </w:rPr>
        <w:t xml:space="preserve"> health professional (1) via the consumer comments facility on the PBS website. The comment </w:t>
      </w:r>
      <w:r w:rsidR="006131EE">
        <w:rPr>
          <w:bCs/>
          <w:szCs w:val="22"/>
        </w:rPr>
        <w:t xml:space="preserve">described how </w:t>
      </w:r>
      <w:proofErr w:type="spellStart"/>
      <w:r w:rsidR="006131EE">
        <w:rPr>
          <w:bCs/>
          <w:szCs w:val="22"/>
        </w:rPr>
        <w:t>lipegfilgrastim</w:t>
      </w:r>
      <w:proofErr w:type="spellEnd"/>
      <w:r w:rsidR="006131EE">
        <w:rPr>
          <w:bCs/>
          <w:szCs w:val="22"/>
        </w:rPr>
        <w:t xml:space="preserve"> would be used to prevent neutropenia and lessen the risk of septic infection</w:t>
      </w:r>
      <w:r w:rsidR="00396FC9">
        <w:rPr>
          <w:bCs/>
          <w:szCs w:val="22"/>
        </w:rPr>
        <w:t xml:space="preserve"> in patients receiving chemotherapy</w:t>
      </w:r>
      <w:r w:rsidRPr="00950EA7">
        <w:rPr>
          <w:bCs/>
          <w:szCs w:val="22"/>
        </w:rPr>
        <w:t xml:space="preserve">. </w:t>
      </w:r>
    </w:p>
    <w:p w:rsidR="00DA4614" w:rsidRDefault="00DA4614" w:rsidP="00081213">
      <w:pPr>
        <w:widowControl/>
        <w:jc w:val="left"/>
        <w:rPr>
          <w:i/>
        </w:rPr>
      </w:pPr>
    </w:p>
    <w:p w:rsidR="00B60939" w:rsidRPr="00DA4614" w:rsidRDefault="00B60939" w:rsidP="00EC2AC4">
      <w:pPr>
        <w:pStyle w:val="Heading2"/>
        <w:widowControl/>
        <w:rPr>
          <w:b w:val="0"/>
          <w:i/>
        </w:rPr>
      </w:pPr>
      <w:r w:rsidRPr="00DA4614">
        <w:rPr>
          <w:i/>
        </w:rPr>
        <w:t>Clinical trials</w:t>
      </w:r>
      <w:bookmarkEnd w:id="8"/>
    </w:p>
    <w:p w:rsidR="00B60939" w:rsidRPr="00882085" w:rsidRDefault="00B60939" w:rsidP="00081213">
      <w:pPr>
        <w:widowControl/>
        <w:rPr>
          <w:szCs w:val="22"/>
        </w:rPr>
      </w:pPr>
    </w:p>
    <w:p w:rsidR="007F1017" w:rsidRPr="00B50DB8" w:rsidRDefault="004F32B4" w:rsidP="00081213">
      <w:pPr>
        <w:pStyle w:val="ListParagraph"/>
        <w:widowControl/>
        <w:numPr>
          <w:ilvl w:val="1"/>
          <w:numId w:val="6"/>
        </w:numPr>
        <w:rPr>
          <w:szCs w:val="22"/>
        </w:rPr>
      </w:pPr>
      <w:r>
        <w:t>The submission wa</w:t>
      </w:r>
      <w:r w:rsidR="00862502" w:rsidRPr="00862502">
        <w:t xml:space="preserve">s based on </w:t>
      </w:r>
      <w:r w:rsidR="00D55396">
        <w:t>two</w:t>
      </w:r>
      <w:r w:rsidR="00862502" w:rsidRPr="00862502">
        <w:t xml:space="preserve"> head-to-head trial</w:t>
      </w:r>
      <w:r w:rsidR="00791D9D">
        <w:t>s</w:t>
      </w:r>
      <w:r w:rsidR="00862502" w:rsidRPr="00862502">
        <w:t xml:space="preserve"> comparing </w:t>
      </w:r>
      <w:proofErr w:type="spellStart"/>
      <w:r w:rsidR="00D55396">
        <w:t>lipegfilgrastim</w:t>
      </w:r>
      <w:proofErr w:type="spellEnd"/>
      <w:r w:rsidR="00D55396">
        <w:t xml:space="preserve"> </w:t>
      </w:r>
      <w:r w:rsidR="00862502" w:rsidRPr="00862502">
        <w:t xml:space="preserve">to </w:t>
      </w:r>
      <w:proofErr w:type="spellStart"/>
      <w:r w:rsidR="00D55396">
        <w:t>pegfilgrastim</w:t>
      </w:r>
      <w:proofErr w:type="spellEnd"/>
      <w:r w:rsidR="00862502" w:rsidRPr="00862502">
        <w:t xml:space="preserve"> (n=</w:t>
      </w:r>
      <w:r w:rsidR="00D55396">
        <w:t>410</w:t>
      </w:r>
      <w:r w:rsidR="00862502" w:rsidRPr="00862502">
        <w:t>).</w:t>
      </w:r>
    </w:p>
    <w:p w:rsidR="00862502" w:rsidRPr="00862502" w:rsidRDefault="00862502" w:rsidP="00081213">
      <w:pPr>
        <w:widowControl/>
        <w:rPr>
          <w:szCs w:val="22"/>
        </w:rPr>
      </w:pPr>
    </w:p>
    <w:p w:rsidR="00862502" w:rsidRPr="00B50DB8" w:rsidRDefault="00862502" w:rsidP="00081213">
      <w:pPr>
        <w:pStyle w:val="ListParagraph"/>
        <w:widowControl/>
        <w:numPr>
          <w:ilvl w:val="1"/>
          <w:numId w:val="6"/>
        </w:numPr>
        <w:rPr>
          <w:szCs w:val="22"/>
        </w:rPr>
      </w:pPr>
      <w:r w:rsidRPr="00B50DB8">
        <w:rPr>
          <w:szCs w:val="22"/>
        </w:rPr>
        <w:t xml:space="preserve">Details of the trials presented in the submission are provided in </w:t>
      </w:r>
      <w:r w:rsidR="00D55396">
        <w:rPr>
          <w:szCs w:val="22"/>
        </w:rPr>
        <w:t>Table 1</w:t>
      </w:r>
      <w:r w:rsidRPr="00B50DB8">
        <w:rPr>
          <w:szCs w:val="22"/>
        </w:rPr>
        <w:t>.</w:t>
      </w:r>
    </w:p>
    <w:p w:rsidR="00862502" w:rsidRPr="00862502" w:rsidRDefault="00862502" w:rsidP="00081213">
      <w:pPr>
        <w:widowControl/>
        <w:rPr>
          <w:szCs w:val="22"/>
        </w:rPr>
      </w:pPr>
    </w:p>
    <w:p w:rsidR="008F120A" w:rsidRDefault="008F120A" w:rsidP="00081213">
      <w:pPr>
        <w:widowControl/>
        <w:ind w:firstLine="720"/>
        <w:rPr>
          <w:rStyle w:val="CommentReference"/>
        </w:rPr>
      </w:pPr>
      <w:r w:rsidRPr="000812CA">
        <w:rPr>
          <w:rStyle w:val="CommentReference"/>
        </w:rPr>
        <w:lastRenderedPageBreak/>
        <w:t xml:space="preserve">Table </w:t>
      </w:r>
      <w:r w:rsidR="00D55396">
        <w:rPr>
          <w:rStyle w:val="CommentReference"/>
        </w:rPr>
        <w:t>1</w:t>
      </w:r>
      <w:r w:rsidRPr="000812CA">
        <w:rPr>
          <w:rStyle w:val="CommentReference"/>
        </w:rPr>
        <w:t>: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5"/>
        <w:gridCol w:w="5811"/>
        <w:gridCol w:w="1539"/>
      </w:tblGrid>
      <w:tr w:rsidR="00D55396" w:rsidRPr="004E2ADC" w:rsidTr="00490159">
        <w:trPr>
          <w:tblHeader/>
        </w:trPr>
        <w:tc>
          <w:tcPr>
            <w:tcW w:w="596" w:type="pct"/>
            <w:vAlign w:val="center"/>
          </w:tcPr>
          <w:p w:rsidR="00D55396" w:rsidRPr="004E2ADC" w:rsidRDefault="00D55396" w:rsidP="00081213">
            <w:pPr>
              <w:widowControl/>
              <w:jc w:val="left"/>
              <w:rPr>
                <w:rFonts w:ascii="Arial Narrow" w:hAnsi="Arial Narrow"/>
                <w:b/>
                <w:sz w:val="20"/>
              </w:rPr>
            </w:pPr>
            <w:r w:rsidRPr="004E2ADC">
              <w:rPr>
                <w:rFonts w:ascii="Arial Narrow" w:hAnsi="Arial Narrow"/>
                <w:b/>
                <w:sz w:val="20"/>
              </w:rPr>
              <w:t>Trial</w:t>
            </w:r>
          </w:p>
        </w:tc>
        <w:tc>
          <w:tcPr>
            <w:tcW w:w="3482" w:type="pct"/>
            <w:vAlign w:val="center"/>
          </w:tcPr>
          <w:p w:rsidR="00D55396" w:rsidRPr="004E2ADC" w:rsidRDefault="00D55396" w:rsidP="00081213">
            <w:pPr>
              <w:widowControl/>
              <w:jc w:val="center"/>
              <w:rPr>
                <w:rFonts w:ascii="Arial Narrow" w:hAnsi="Arial Narrow"/>
                <w:b/>
                <w:sz w:val="20"/>
              </w:rPr>
            </w:pPr>
            <w:r w:rsidRPr="004E2ADC">
              <w:rPr>
                <w:rFonts w:ascii="Arial Narrow" w:hAnsi="Arial Narrow"/>
                <w:b/>
                <w:sz w:val="20"/>
              </w:rPr>
              <w:t>Protocol title/ Publication title</w:t>
            </w:r>
          </w:p>
        </w:tc>
        <w:tc>
          <w:tcPr>
            <w:tcW w:w="923" w:type="pct"/>
          </w:tcPr>
          <w:p w:rsidR="00D55396" w:rsidRPr="004E2ADC" w:rsidRDefault="00D55396" w:rsidP="00081213">
            <w:pPr>
              <w:widowControl/>
              <w:jc w:val="center"/>
              <w:rPr>
                <w:rFonts w:ascii="Arial Narrow" w:hAnsi="Arial Narrow"/>
                <w:b/>
                <w:sz w:val="20"/>
              </w:rPr>
            </w:pPr>
            <w:r w:rsidRPr="004E2ADC">
              <w:rPr>
                <w:rFonts w:ascii="Arial Narrow" w:hAnsi="Arial Narrow"/>
                <w:b/>
                <w:sz w:val="20"/>
              </w:rPr>
              <w:t>Publication citation</w:t>
            </w:r>
          </w:p>
        </w:tc>
      </w:tr>
      <w:tr w:rsidR="00D55396" w:rsidRPr="004E2ADC" w:rsidTr="00D55396">
        <w:tc>
          <w:tcPr>
            <w:tcW w:w="5000" w:type="pct"/>
            <w:gridSpan w:val="3"/>
          </w:tcPr>
          <w:p w:rsidR="00D55396" w:rsidRPr="004E2ADC" w:rsidRDefault="00D55396" w:rsidP="00081213">
            <w:pPr>
              <w:widowControl/>
              <w:jc w:val="left"/>
              <w:rPr>
                <w:rFonts w:ascii="Arial Narrow" w:hAnsi="Arial Narrow"/>
                <w:b/>
                <w:sz w:val="20"/>
              </w:rPr>
            </w:pPr>
            <w:r>
              <w:rPr>
                <w:rFonts w:ascii="Arial Narrow" w:hAnsi="Arial Narrow"/>
                <w:b/>
                <w:sz w:val="20"/>
              </w:rPr>
              <w:t>Direct randomised trial</w:t>
            </w:r>
            <w:r w:rsidRPr="004E2ADC">
              <w:rPr>
                <w:rFonts w:ascii="Arial Narrow" w:hAnsi="Arial Narrow"/>
                <w:b/>
                <w:sz w:val="20"/>
              </w:rPr>
              <w:t>s</w:t>
            </w:r>
            <w:r>
              <w:rPr>
                <w:rFonts w:ascii="Arial Narrow" w:hAnsi="Arial Narrow"/>
                <w:b/>
                <w:sz w:val="20"/>
              </w:rPr>
              <w:t xml:space="preserve"> of </w:t>
            </w:r>
            <w:proofErr w:type="spellStart"/>
            <w:r>
              <w:rPr>
                <w:rFonts w:ascii="Arial Narrow" w:hAnsi="Arial Narrow"/>
                <w:b/>
                <w:sz w:val="20"/>
              </w:rPr>
              <w:t>lipegfilgrastim</w:t>
            </w:r>
            <w:proofErr w:type="spellEnd"/>
            <w:r>
              <w:rPr>
                <w:rFonts w:ascii="Arial Narrow" w:hAnsi="Arial Narrow"/>
                <w:b/>
                <w:sz w:val="20"/>
              </w:rPr>
              <w:t xml:space="preserve"> versus </w:t>
            </w:r>
            <w:proofErr w:type="spellStart"/>
            <w:r>
              <w:rPr>
                <w:rFonts w:ascii="Arial Narrow" w:hAnsi="Arial Narrow"/>
                <w:b/>
                <w:sz w:val="20"/>
              </w:rPr>
              <w:t>pegfilgrastim</w:t>
            </w:r>
            <w:proofErr w:type="spellEnd"/>
            <w:r>
              <w:rPr>
                <w:rFonts w:ascii="Arial Narrow" w:hAnsi="Arial Narrow"/>
                <w:b/>
                <w:sz w:val="20"/>
              </w:rPr>
              <w:t xml:space="preserve"> – pivotal trials</w:t>
            </w:r>
          </w:p>
        </w:tc>
      </w:tr>
      <w:tr w:rsidR="00D55396" w:rsidRPr="00743013" w:rsidTr="00D55396">
        <w:tc>
          <w:tcPr>
            <w:tcW w:w="596" w:type="pct"/>
            <w:vMerge w:val="restart"/>
          </w:tcPr>
          <w:p w:rsidR="00D55396" w:rsidRDefault="00D55396" w:rsidP="00081213">
            <w:pPr>
              <w:widowControl/>
              <w:jc w:val="left"/>
              <w:rPr>
                <w:rFonts w:ascii="Arial Narrow" w:hAnsi="Arial Narrow"/>
                <w:sz w:val="20"/>
              </w:rPr>
            </w:pPr>
            <w:r>
              <w:rPr>
                <w:rFonts w:ascii="Arial Narrow" w:hAnsi="Arial Narrow"/>
                <w:sz w:val="20"/>
              </w:rPr>
              <w:t>Study 02</w:t>
            </w:r>
          </w:p>
          <w:p w:rsidR="00D55396" w:rsidRPr="004E2ADC" w:rsidRDefault="00D55396" w:rsidP="00081213">
            <w:pPr>
              <w:widowControl/>
              <w:jc w:val="left"/>
              <w:rPr>
                <w:rFonts w:ascii="Arial Narrow" w:hAnsi="Arial Narrow"/>
                <w:sz w:val="20"/>
              </w:rPr>
            </w:pPr>
            <w:r>
              <w:rPr>
                <w:rFonts w:ascii="Arial Narrow" w:hAnsi="Arial Narrow"/>
                <w:sz w:val="20"/>
              </w:rPr>
              <w:t>(XM22-02)</w:t>
            </w:r>
          </w:p>
        </w:tc>
        <w:tc>
          <w:tcPr>
            <w:tcW w:w="3482" w:type="pct"/>
          </w:tcPr>
          <w:p w:rsidR="00D55396" w:rsidRPr="00743013" w:rsidRDefault="00D55396" w:rsidP="00081213">
            <w:pPr>
              <w:widowControl/>
              <w:jc w:val="left"/>
              <w:rPr>
                <w:rFonts w:ascii="Arial Narrow" w:hAnsi="Arial Narrow"/>
                <w:sz w:val="20"/>
              </w:rPr>
            </w:pPr>
            <w:proofErr w:type="spellStart"/>
            <w:r w:rsidRPr="00743013">
              <w:rPr>
                <w:rFonts w:ascii="Arial Narrow" w:hAnsi="Arial Narrow"/>
                <w:sz w:val="20"/>
              </w:rPr>
              <w:t>BioGeneriX</w:t>
            </w:r>
            <w:proofErr w:type="spellEnd"/>
            <w:r w:rsidRPr="00743013">
              <w:rPr>
                <w:rFonts w:ascii="Arial Narrow" w:hAnsi="Arial Narrow"/>
                <w:sz w:val="20"/>
              </w:rPr>
              <w:t xml:space="preserve"> XM22-02: Dose-finding of a fixed dose XM22 in patients with breast cancer receiving 4 cycles of chemotherapy versus 6 mg </w:t>
            </w:r>
            <w:proofErr w:type="spellStart"/>
            <w:r w:rsidRPr="00743013">
              <w:rPr>
                <w:rFonts w:ascii="Arial Narrow" w:hAnsi="Arial Narrow"/>
                <w:sz w:val="20"/>
              </w:rPr>
              <w:t>Neulasta</w:t>
            </w:r>
            <w:proofErr w:type="spellEnd"/>
            <w:r w:rsidRPr="00743013">
              <w:rPr>
                <w:rFonts w:ascii="Arial Narrow" w:hAnsi="Arial Narrow"/>
                <w:sz w:val="20"/>
              </w:rPr>
              <w:t xml:space="preserve">®, TEVA. </w:t>
            </w:r>
          </w:p>
        </w:tc>
        <w:tc>
          <w:tcPr>
            <w:tcW w:w="923" w:type="pct"/>
          </w:tcPr>
          <w:p w:rsidR="00D55396" w:rsidRPr="00743013" w:rsidRDefault="00D55396" w:rsidP="00081213">
            <w:pPr>
              <w:widowControl/>
              <w:jc w:val="left"/>
              <w:rPr>
                <w:rFonts w:ascii="Arial Narrow" w:hAnsi="Arial Narrow"/>
                <w:sz w:val="20"/>
              </w:rPr>
            </w:pPr>
            <w:r w:rsidRPr="00743013">
              <w:rPr>
                <w:rFonts w:ascii="Arial Narrow" w:hAnsi="Arial Narrow"/>
                <w:sz w:val="20"/>
              </w:rPr>
              <w:t>Clinical Study Report</w:t>
            </w:r>
          </w:p>
        </w:tc>
      </w:tr>
      <w:tr w:rsidR="00D55396" w:rsidRPr="00743013" w:rsidTr="00D55396">
        <w:tc>
          <w:tcPr>
            <w:tcW w:w="596" w:type="pct"/>
            <w:vMerge/>
          </w:tcPr>
          <w:p w:rsidR="00D55396" w:rsidRPr="004E2ADC" w:rsidRDefault="00D55396" w:rsidP="00081213">
            <w:pPr>
              <w:widowControl/>
              <w:jc w:val="left"/>
              <w:rPr>
                <w:rFonts w:ascii="Arial Narrow" w:hAnsi="Arial Narrow"/>
                <w:sz w:val="20"/>
              </w:rPr>
            </w:pPr>
          </w:p>
        </w:tc>
        <w:tc>
          <w:tcPr>
            <w:tcW w:w="3482" w:type="pct"/>
          </w:tcPr>
          <w:p w:rsidR="00D55396" w:rsidRPr="00743013" w:rsidRDefault="00D55396" w:rsidP="00081213">
            <w:pPr>
              <w:widowControl/>
              <w:jc w:val="left"/>
              <w:rPr>
                <w:rFonts w:ascii="Arial Narrow" w:hAnsi="Arial Narrow"/>
                <w:sz w:val="20"/>
              </w:rPr>
            </w:pPr>
            <w:r w:rsidRPr="00743013">
              <w:rPr>
                <w:rFonts w:ascii="Arial Narrow" w:hAnsi="Arial Narrow"/>
                <w:sz w:val="20"/>
              </w:rPr>
              <w:t xml:space="preserve">Buchner A, </w:t>
            </w:r>
            <w:proofErr w:type="spellStart"/>
            <w:r w:rsidRPr="00743013">
              <w:rPr>
                <w:rFonts w:ascii="Arial Narrow" w:hAnsi="Arial Narrow"/>
                <w:sz w:val="20"/>
              </w:rPr>
              <w:t>Els</w:t>
            </w:r>
            <w:r w:rsidRPr="00743013">
              <w:rPr>
                <w:sz w:val="20"/>
              </w:rPr>
              <w:t>ӓ</w:t>
            </w:r>
            <w:r>
              <w:rPr>
                <w:rFonts w:ascii="Arial Narrow" w:hAnsi="Arial Narrow"/>
                <w:sz w:val="20"/>
              </w:rPr>
              <w:t>sser</w:t>
            </w:r>
            <w:proofErr w:type="spellEnd"/>
            <w:r>
              <w:rPr>
                <w:rFonts w:ascii="Arial Narrow" w:hAnsi="Arial Narrow"/>
                <w:sz w:val="20"/>
              </w:rPr>
              <w:t xml:space="preserve"> R, and</w:t>
            </w:r>
            <w:r w:rsidRPr="00743013">
              <w:rPr>
                <w:rFonts w:ascii="Arial Narrow" w:hAnsi="Arial Narrow"/>
                <w:sz w:val="20"/>
              </w:rPr>
              <w:t xml:space="preserve"> Bias</w:t>
            </w:r>
            <w:r>
              <w:rPr>
                <w:rFonts w:ascii="Arial Narrow" w:hAnsi="Arial Narrow"/>
                <w:sz w:val="20"/>
              </w:rPr>
              <w:t xml:space="preserve"> </w:t>
            </w:r>
            <w:r w:rsidRPr="00743013">
              <w:rPr>
                <w:rFonts w:ascii="Arial Narrow" w:hAnsi="Arial Narrow"/>
                <w:sz w:val="20"/>
              </w:rPr>
              <w:t xml:space="preserve">P. (2014). A randomized, double-blind, active control, </w:t>
            </w:r>
            <w:proofErr w:type="spellStart"/>
            <w:r w:rsidRPr="00743013">
              <w:rPr>
                <w:rFonts w:ascii="Arial Narrow" w:hAnsi="Arial Narrow"/>
                <w:sz w:val="20"/>
              </w:rPr>
              <w:t>multicenter</w:t>
            </w:r>
            <w:proofErr w:type="spellEnd"/>
            <w:r w:rsidRPr="00743013">
              <w:rPr>
                <w:rFonts w:ascii="Arial Narrow" w:hAnsi="Arial Narrow"/>
                <w:sz w:val="20"/>
              </w:rPr>
              <w:t xml:space="preserve">, dose-finding study of </w:t>
            </w:r>
            <w:proofErr w:type="spellStart"/>
            <w:r w:rsidRPr="00743013">
              <w:rPr>
                <w:rFonts w:ascii="Arial Narrow" w:hAnsi="Arial Narrow"/>
                <w:sz w:val="20"/>
              </w:rPr>
              <w:t>lipegfilgrastim</w:t>
            </w:r>
            <w:proofErr w:type="spellEnd"/>
            <w:r w:rsidRPr="00743013">
              <w:rPr>
                <w:rFonts w:ascii="Arial Narrow" w:hAnsi="Arial Narrow"/>
                <w:sz w:val="20"/>
              </w:rPr>
              <w:t xml:space="preserve"> (XM22) in breast cancer patients receiving </w:t>
            </w:r>
            <w:proofErr w:type="spellStart"/>
            <w:r w:rsidRPr="00743013">
              <w:rPr>
                <w:rFonts w:ascii="Arial Narrow" w:hAnsi="Arial Narrow"/>
                <w:sz w:val="20"/>
              </w:rPr>
              <w:t>myelosuppressive</w:t>
            </w:r>
            <w:proofErr w:type="spellEnd"/>
            <w:r w:rsidRPr="00743013">
              <w:rPr>
                <w:rFonts w:ascii="Arial Narrow" w:hAnsi="Arial Narrow"/>
                <w:sz w:val="20"/>
              </w:rPr>
              <w:t xml:space="preserve"> therapy. </w:t>
            </w:r>
          </w:p>
        </w:tc>
        <w:tc>
          <w:tcPr>
            <w:tcW w:w="923" w:type="pct"/>
          </w:tcPr>
          <w:p w:rsidR="00D55396" w:rsidRPr="00743013" w:rsidRDefault="00D55396" w:rsidP="00081213">
            <w:pPr>
              <w:widowControl/>
              <w:jc w:val="left"/>
              <w:rPr>
                <w:rFonts w:ascii="Arial Narrow" w:hAnsi="Arial Narrow"/>
                <w:sz w:val="20"/>
              </w:rPr>
            </w:pPr>
            <w:r w:rsidRPr="00F833CC">
              <w:rPr>
                <w:rFonts w:ascii="Arial Narrow" w:hAnsi="Arial Narrow"/>
                <w:i/>
                <w:sz w:val="20"/>
              </w:rPr>
              <w:t>Breast Cancer Res Treat</w:t>
            </w:r>
            <w:r w:rsidRPr="00743013">
              <w:rPr>
                <w:rFonts w:ascii="Arial Narrow" w:hAnsi="Arial Narrow"/>
                <w:sz w:val="20"/>
              </w:rPr>
              <w:t>;</w:t>
            </w:r>
            <w:r>
              <w:rPr>
                <w:rFonts w:ascii="Arial Narrow" w:hAnsi="Arial Narrow"/>
                <w:sz w:val="20"/>
              </w:rPr>
              <w:t xml:space="preserve"> </w:t>
            </w:r>
            <w:r w:rsidRPr="00743013">
              <w:rPr>
                <w:rFonts w:ascii="Arial Narrow" w:hAnsi="Arial Narrow"/>
                <w:sz w:val="20"/>
              </w:rPr>
              <w:t>148:107-116</w:t>
            </w:r>
          </w:p>
        </w:tc>
      </w:tr>
      <w:tr w:rsidR="00D55396" w:rsidRPr="00743013" w:rsidTr="00D55396">
        <w:tc>
          <w:tcPr>
            <w:tcW w:w="596" w:type="pct"/>
            <w:vMerge/>
          </w:tcPr>
          <w:p w:rsidR="00D55396" w:rsidRPr="004E2ADC" w:rsidRDefault="00D55396" w:rsidP="00081213">
            <w:pPr>
              <w:widowControl/>
              <w:jc w:val="left"/>
              <w:rPr>
                <w:rFonts w:ascii="Arial Narrow" w:hAnsi="Arial Narrow"/>
                <w:sz w:val="20"/>
              </w:rPr>
            </w:pPr>
          </w:p>
        </w:tc>
        <w:tc>
          <w:tcPr>
            <w:tcW w:w="3482" w:type="pct"/>
          </w:tcPr>
          <w:p w:rsidR="00D55396" w:rsidRPr="00743013" w:rsidRDefault="00D55396" w:rsidP="00081213">
            <w:pPr>
              <w:widowControl/>
              <w:jc w:val="left"/>
              <w:rPr>
                <w:rFonts w:ascii="Arial Narrow" w:hAnsi="Arial Narrow"/>
                <w:sz w:val="20"/>
              </w:rPr>
            </w:pPr>
            <w:r w:rsidRPr="00544CD4">
              <w:rPr>
                <w:rFonts w:ascii="Arial Narrow" w:hAnsi="Arial Narrow"/>
                <w:sz w:val="20"/>
                <w:lang w:val="de-DE"/>
              </w:rPr>
              <w:t xml:space="preserve">Buchner A, Bias P and Kaufmann M. (2011). </w:t>
            </w:r>
            <w:r w:rsidRPr="00743013">
              <w:rPr>
                <w:rFonts w:ascii="Arial Narrow" w:hAnsi="Arial Narrow"/>
                <w:sz w:val="20"/>
              </w:rPr>
              <w:t xml:space="preserve">A randomized, double-blind, active control, </w:t>
            </w:r>
            <w:proofErr w:type="spellStart"/>
            <w:r w:rsidRPr="00743013">
              <w:rPr>
                <w:rFonts w:ascii="Arial Narrow" w:hAnsi="Arial Narrow"/>
                <w:sz w:val="20"/>
              </w:rPr>
              <w:t>multicenter</w:t>
            </w:r>
            <w:proofErr w:type="spellEnd"/>
            <w:r w:rsidRPr="00743013">
              <w:rPr>
                <w:rFonts w:ascii="Arial Narrow" w:hAnsi="Arial Narrow"/>
                <w:sz w:val="20"/>
              </w:rPr>
              <w:t xml:space="preserve">, dose-finding study of XM22, </w:t>
            </w:r>
            <w:proofErr w:type="spellStart"/>
            <w:r w:rsidRPr="00743013">
              <w:rPr>
                <w:rFonts w:ascii="Arial Narrow" w:hAnsi="Arial Narrow"/>
                <w:sz w:val="20"/>
              </w:rPr>
              <w:t>glycopegfilgrastim</w:t>
            </w:r>
            <w:proofErr w:type="spellEnd"/>
            <w:r w:rsidRPr="00743013">
              <w:rPr>
                <w:rFonts w:ascii="Arial Narrow" w:hAnsi="Arial Narrow"/>
                <w:sz w:val="20"/>
              </w:rPr>
              <w:t xml:space="preserve">, in patients with breast cancer receiving </w:t>
            </w:r>
            <w:proofErr w:type="spellStart"/>
            <w:r w:rsidRPr="00743013">
              <w:rPr>
                <w:rFonts w:ascii="Arial Narrow" w:hAnsi="Arial Narrow"/>
                <w:sz w:val="20"/>
              </w:rPr>
              <w:t>myelosuppressive</w:t>
            </w:r>
            <w:proofErr w:type="spellEnd"/>
            <w:r w:rsidRPr="00743013">
              <w:rPr>
                <w:rFonts w:ascii="Arial Narrow" w:hAnsi="Arial Narrow"/>
                <w:sz w:val="20"/>
              </w:rPr>
              <w:t xml:space="preserve"> therapy.</w:t>
            </w:r>
          </w:p>
        </w:tc>
        <w:tc>
          <w:tcPr>
            <w:tcW w:w="923" w:type="pct"/>
          </w:tcPr>
          <w:p w:rsidR="00D55396" w:rsidRPr="00743013" w:rsidRDefault="00D55396" w:rsidP="00081213">
            <w:pPr>
              <w:widowControl/>
              <w:jc w:val="left"/>
              <w:rPr>
                <w:rFonts w:ascii="Arial Narrow" w:hAnsi="Arial Narrow"/>
                <w:sz w:val="20"/>
              </w:rPr>
            </w:pPr>
            <w:r w:rsidRPr="00F833CC">
              <w:rPr>
                <w:rFonts w:ascii="Arial Narrow" w:hAnsi="Arial Narrow"/>
                <w:i/>
                <w:sz w:val="20"/>
              </w:rPr>
              <w:t>Journal of Clinical Oncology</w:t>
            </w:r>
            <w:r>
              <w:rPr>
                <w:rFonts w:ascii="Arial Narrow" w:hAnsi="Arial Narrow"/>
                <w:i/>
                <w:sz w:val="20"/>
              </w:rPr>
              <w:t>,</w:t>
            </w:r>
            <w:r w:rsidRPr="00743013">
              <w:rPr>
                <w:rFonts w:ascii="Arial Narrow" w:hAnsi="Arial Narrow"/>
                <w:sz w:val="20"/>
              </w:rPr>
              <w:t xml:space="preserve"> 29</w:t>
            </w:r>
            <w:r>
              <w:rPr>
                <w:rFonts w:ascii="Arial Narrow" w:hAnsi="Arial Narrow"/>
                <w:sz w:val="20"/>
              </w:rPr>
              <w:t xml:space="preserve"> </w:t>
            </w:r>
            <w:r w:rsidRPr="00743013">
              <w:rPr>
                <w:rFonts w:ascii="Arial Narrow" w:hAnsi="Arial Narrow"/>
                <w:sz w:val="20"/>
              </w:rPr>
              <w:t>(15 SUPPL. 1)</w:t>
            </w:r>
          </w:p>
        </w:tc>
      </w:tr>
      <w:tr w:rsidR="00D55396" w:rsidRPr="00743013" w:rsidTr="00D55396">
        <w:tc>
          <w:tcPr>
            <w:tcW w:w="596" w:type="pct"/>
            <w:vMerge/>
          </w:tcPr>
          <w:p w:rsidR="00D55396" w:rsidRPr="004E2ADC" w:rsidRDefault="00D55396" w:rsidP="00081213">
            <w:pPr>
              <w:widowControl/>
              <w:jc w:val="left"/>
              <w:rPr>
                <w:rFonts w:ascii="Arial Narrow" w:hAnsi="Arial Narrow"/>
                <w:sz w:val="20"/>
              </w:rPr>
            </w:pPr>
          </w:p>
        </w:tc>
        <w:tc>
          <w:tcPr>
            <w:tcW w:w="3482" w:type="pct"/>
          </w:tcPr>
          <w:p w:rsidR="00D55396" w:rsidRPr="00743013" w:rsidRDefault="00D55396" w:rsidP="00081213">
            <w:pPr>
              <w:widowControl/>
              <w:jc w:val="left"/>
              <w:rPr>
                <w:rFonts w:ascii="Arial Narrow" w:hAnsi="Arial Narrow"/>
                <w:sz w:val="20"/>
              </w:rPr>
            </w:pPr>
            <w:r w:rsidRPr="00544CD4">
              <w:rPr>
                <w:rFonts w:ascii="Arial Narrow" w:hAnsi="Arial Narrow"/>
                <w:sz w:val="20"/>
                <w:lang w:val="de-DE"/>
              </w:rPr>
              <w:t xml:space="preserve">Buchner A, Bias P, Kaufmann M and Mueller U. (2012). </w:t>
            </w:r>
            <w:r w:rsidRPr="00743013">
              <w:rPr>
                <w:rFonts w:ascii="Arial Narrow" w:hAnsi="Arial Narrow"/>
                <w:sz w:val="20"/>
              </w:rPr>
              <w:t xml:space="preserve">A randomized, double-blind, active control, </w:t>
            </w:r>
            <w:proofErr w:type="spellStart"/>
            <w:r w:rsidRPr="00743013">
              <w:rPr>
                <w:rFonts w:ascii="Arial Narrow" w:hAnsi="Arial Narrow"/>
                <w:sz w:val="20"/>
              </w:rPr>
              <w:t>multicenter</w:t>
            </w:r>
            <w:proofErr w:type="spellEnd"/>
            <w:r w:rsidRPr="00743013">
              <w:rPr>
                <w:rFonts w:ascii="Arial Narrow" w:hAnsi="Arial Narrow"/>
                <w:sz w:val="20"/>
              </w:rPr>
              <w:t xml:space="preserve">, dose finding study of </w:t>
            </w:r>
            <w:proofErr w:type="spellStart"/>
            <w:r w:rsidRPr="00743013">
              <w:rPr>
                <w:rFonts w:ascii="Arial Narrow" w:hAnsi="Arial Narrow"/>
                <w:sz w:val="20"/>
              </w:rPr>
              <w:t>lipegfilgrastim</w:t>
            </w:r>
            <w:proofErr w:type="spellEnd"/>
            <w:r w:rsidRPr="00743013">
              <w:rPr>
                <w:rFonts w:ascii="Arial Narrow" w:hAnsi="Arial Narrow"/>
                <w:sz w:val="20"/>
              </w:rPr>
              <w:t xml:space="preserve"> in breast cancer patients rece</w:t>
            </w:r>
            <w:r>
              <w:rPr>
                <w:rFonts w:ascii="Arial Narrow" w:hAnsi="Arial Narrow"/>
                <w:sz w:val="20"/>
              </w:rPr>
              <w:t xml:space="preserve">iving </w:t>
            </w:r>
            <w:proofErr w:type="spellStart"/>
            <w:r>
              <w:rPr>
                <w:rFonts w:ascii="Arial Narrow" w:hAnsi="Arial Narrow"/>
                <w:sz w:val="20"/>
              </w:rPr>
              <w:t>myelosuppressive</w:t>
            </w:r>
            <w:proofErr w:type="spellEnd"/>
            <w:r>
              <w:rPr>
                <w:rFonts w:ascii="Arial Narrow" w:hAnsi="Arial Narrow"/>
                <w:sz w:val="20"/>
              </w:rPr>
              <w:t xml:space="preserve"> therapy.</w:t>
            </w:r>
            <w:r w:rsidRPr="00743013">
              <w:rPr>
                <w:rFonts w:ascii="Arial Narrow" w:hAnsi="Arial Narrow"/>
                <w:sz w:val="20"/>
              </w:rPr>
              <w:t xml:space="preserve"> </w:t>
            </w:r>
          </w:p>
        </w:tc>
        <w:tc>
          <w:tcPr>
            <w:tcW w:w="923" w:type="pct"/>
          </w:tcPr>
          <w:p w:rsidR="00D55396" w:rsidRPr="00743013" w:rsidRDefault="00D55396" w:rsidP="00081213">
            <w:pPr>
              <w:widowControl/>
              <w:jc w:val="left"/>
              <w:rPr>
                <w:rFonts w:ascii="Arial Narrow" w:hAnsi="Arial Narrow"/>
                <w:sz w:val="20"/>
              </w:rPr>
            </w:pPr>
            <w:r w:rsidRPr="00F833CC">
              <w:rPr>
                <w:rFonts w:ascii="Arial Narrow" w:hAnsi="Arial Narrow"/>
                <w:i/>
                <w:sz w:val="20"/>
              </w:rPr>
              <w:t>Supportive Care in Cancer</w:t>
            </w:r>
            <w:r>
              <w:rPr>
                <w:rFonts w:ascii="Arial Narrow" w:hAnsi="Arial Narrow"/>
                <w:i/>
                <w:sz w:val="20"/>
              </w:rPr>
              <w:t>,</w:t>
            </w:r>
            <w:r w:rsidRPr="00743013">
              <w:rPr>
                <w:rFonts w:ascii="Arial Narrow" w:hAnsi="Arial Narrow"/>
                <w:sz w:val="20"/>
              </w:rPr>
              <w:t xml:space="preserve"> 20: S240.</w:t>
            </w:r>
          </w:p>
        </w:tc>
      </w:tr>
      <w:tr w:rsidR="00D55396" w:rsidRPr="00320A3B" w:rsidTr="00D55396">
        <w:tc>
          <w:tcPr>
            <w:tcW w:w="596" w:type="pct"/>
            <w:vMerge w:val="restart"/>
          </w:tcPr>
          <w:p w:rsidR="00D55396" w:rsidRPr="00DF66F3" w:rsidRDefault="00D55396" w:rsidP="00081213">
            <w:pPr>
              <w:widowControl/>
              <w:jc w:val="left"/>
              <w:rPr>
                <w:rFonts w:ascii="Arial Narrow" w:hAnsi="Arial Narrow"/>
                <w:sz w:val="20"/>
              </w:rPr>
            </w:pPr>
            <w:r w:rsidRPr="00DF66F3">
              <w:rPr>
                <w:rFonts w:ascii="Arial Narrow" w:hAnsi="Arial Narrow"/>
                <w:sz w:val="20"/>
              </w:rPr>
              <w:t>Study 03</w:t>
            </w:r>
          </w:p>
          <w:p w:rsidR="00D55396" w:rsidRPr="00DF66F3" w:rsidRDefault="00D55396" w:rsidP="00081213">
            <w:pPr>
              <w:widowControl/>
              <w:jc w:val="left"/>
              <w:rPr>
                <w:rFonts w:ascii="Arial Narrow" w:hAnsi="Arial Narrow"/>
                <w:sz w:val="20"/>
              </w:rPr>
            </w:pPr>
            <w:r w:rsidRPr="00DF66F3">
              <w:rPr>
                <w:rFonts w:ascii="Arial Narrow" w:hAnsi="Arial Narrow"/>
                <w:sz w:val="20"/>
              </w:rPr>
              <w:t>(XM22-03)</w:t>
            </w:r>
          </w:p>
        </w:tc>
        <w:tc>
          <w:tcPr>
            <w:tcW w:w="3482" w:type="pct"/>
          </w:tcPr>
          <w:p w:rsidR="00D55396" w:rsidRPr="00320A3B" w:rsidRDefault="00D55396" w:rsidP="00081213">
            <w:pPr>
              <w:widowControl/>
              <w:jc w:val="left"/>
              <w:rPr>
                <w:rFonts w:ascii="Arial Narrow" w:hAnsi="Arial Narrow"/>
                <w:sz w:val="20"/>
              </w:rPr>
            </w:pPr>
            <w:proofErr w:type="spellStart"/>
            <w:r w:rsidRPr="00320A3B">
              <w:rPr>
                <w:rFonts w:ascii="Arial Narrow" w:hAnsi="Arial Narrow"/>
                <w:sz w:val="20"/>
              </w:rPr>
              <w:t>BioGeneriX</w:t>
            </w:r>
            <w:proofErr w:type="spellEnd"/>
            <w:r w:rsidRPr="00320A3B">
              <w:rPr>
                <w:rFonts w:ascii="Arial Narrow" w:hAnsi="Arial Narrow"/>
                <w:sz w:val="20"/>
              </w:rPr>
              <w:t xml:space="preserve"> XM22-03: Efficacy and safety of XM22 compared to </w:t>
            </w:r>
            <w:proofErr w:type="spellStart"/>
            <w:r w:rsidRPr="00320A3B">
              <w:rPr>
                <w:rFonts w:ascii="Arial Narrow" w:hAnsi="Arial Narrow"/>
                <w:sz w:val="20"/>
              </w:rPr>
              <w:t>pegfilgrastim</w:t>
            </w:r>
            <w:proofErr w:type="spellEnd"/>
            <w:r w:rsidRPr="00320A3B">
              <w:rPr>
                <w:rFonts w:ascii="Arial Narrow" w:hAnsi="Arial Narrow"/>
                <w:sz w:val="20"/>
              </w:rPr>
              <w:t xml:space="preserve"> in patients with breast cancer receiving chemotherapy</w:t>
            </w:r>
            <w:r>
              <w:rPr>
                <w:rFonts w:ascii="Arial Narrow" w:hAnsi="Arial Narrow"/>
                <w:sz w:val="20"/>
              </w:rPr>
              <w:t>, TEVA.</w:t>
            </w:r>
          </w:p>
        </w:tc>
        <w:tc>
          <w:tcPr>
            <w:tcW w:w="923" w:type="pct"/>
          </w:tcPr>
          <w:p w:rsidR="00D55396" w:rsidRPr="00320A3B" w:rsidRDefault="00D55396" w:rsidP="00081213">
            <w:pPr>
              <w:widowControl/>
              <w:jc w:val="left"/>
              <w:rPr>
                <w:rFonts w:ascii="Arial Narrow" w:hAnsi="Arial Narrow"/>
                <w:sz w:val="20"/>
              </w:rPr>
            </w:pPr>
            <w:r w:rsidRPr="00320A3B">
              <w:rPr>
                <w:rFonts w:ascii="Arial Narrow" w:hAnsi="Arial Narrow"/>
                <w:sz w:val="20"/>
              </w:rPr>
              <w:t>Clinical Study Report</w:t>
            </w:r>
          </w:p>
        </w:tc>
      </w:tr>
      <w:tr w:rsidR="00D55396" w:rsidRPr="00DF66F3" w:rsidTr="00D55396">
        <w:tc>
          <w:tcPr>
            <w:tcW w:w="596" w:type="pct"/>
            <w:vMerge/>
          </w:tcPr>
          <w:p w:rsidR="00D55396" w:rsidRPr="004E2ADC" w:rsidRDefault="00D55396" w:rsidP="00081213">
            <w:pPr>
              <w:widowControl/>
              <w:jc w:val="left"/>
              <w:rPr>
                <w:rFonts w:ascii="Arial Narrow" w:hAnsi="Arial Narrow"/>
                <w:sz w:val="20"/>
              </w:rPr>
            </w:pPr>
          </w:p>
        </w:tc>
        <w:tc>
          <w:tcPr>
            <w:tcW w:w="3482" w:type="pct"/>
          </w:tcPr>
          <w:p w:rsidR="00D55396" w:rsidRPr="00DF66F3" w:rsidRDefault="00D55396" w:rsidP="00081213">
            <w:pPr>
              <w:widowControl/>
              <w:jc w:val="left"/>
              <w:rPr>
                <w:rFonts w:ascii="Arial Narrow" w:hAnsi="Arial Narrow"/>
                <w:sz w:val="20"/>
              </w:rPr>
            </w:pPr>
            <w:proofErr w:type="spellStart"/>
            <w:r w:rsidRPr="00DF66F3">
              <w:rPr>
                <w:rFonts w:ascii="Arial Narrow" w:hAnsi="Arial Narrow"/>
                <w:sz w:val="20"/>
              </w:rPr>
              <w:t>Bondarenko</w:t>
            </w:r>
            <w:proofErr w:type="spellEnd"/>
            <w:r w:rsidRPr="00DF66F3">
              <w:rPr>
                <w:rFonts w:ascii="Arial Narrow" w:hAnsi="Arial Narrow"/>
                <w:sz w:val="20"/>
              </w:rPr>
              <w:t xml:space="preserve"> I,</w:t>
            </w:r>
            <w:r>
              <w:rPr>
                <w:rFonts w:ascii="Arial Narrow" w:hAnsi="Arial Narrow"/>
                <w:sz w:val="20"/>
              </w:rPr>
              <w:t xml:space="preserve"> </w:t>
            </w:r>
            <w:proofErr w:type="spellStart"/>
            <w:r w:rsidRPr="00DF66F3">
              <w:rPr>
                <w:rFonts w:ascii="Arial Narrow" w:hAnsi="Arial Narrow"/>
                <w:sz w:val="20"/>
              </w:rPr>
              <w:t>Gladkov</w:t>
            </w:r>
            <w:proofErr w:type="spellEnd"/>
            <w:r w:rsidRPr="00DF66F3">
              <w:rPr>
                <w:rFonts w:ascii="Arial Narrow" w:hAnsi="Arial Narrow"/>
                <w:sz w:val="20"/>
              </w:rPr>
              <w:t xml:space="preserve"> OA, </w:t>
            </w:r>
            <w:proofErr w:type="spellStart"/>
            <w:r w:rsidRPr="00DF66F3">
              <w:rPr>
                <w:rFonts w:ascii="Arial Narrow" w:hAnsi="Arial Narrow"/>
                <w:sz w:val="20"/>
              </w:rPr>
              <w:t>Els</w:t>
            </w:r>
            <w:r w:rsidRPr="00DF66F3">
              <w:rPr>
                <w:sz w:val="20"/>
              </w:rPr>
              <w:t>ӓ</w:t>
            </w:r>
            <w:r w:rsidRPr="00DF66F3">
              <w:rPr>
                <w:rFonts w:ascii="Arial Narrow" w:hAnsi="Arial Narrow"/>
                <w:sz w:val="20"/>
              </w:rPr>
              <w:t>sser</w:t>
            </w:r>
            <w:proofErr w:type="spellEnd"/>
            <w:r w:rsidRPr="00DF66F3">
              <w:rPr>
                <w:rFonts w:ascii="Arial Narrow" w:hAnsi="Arial Narrow"/>
                <w:sz w:val="20"/>
              </w:rPr>
              <w:t xml:space="preserve"> R, </w:t>
            </w:r>
            <w:r>
              <w:rPr>
                <w:rFonts w:ascii="Arial Narrow" w:hAnsi="Arial Narrow"/>
                <w:sz w:val="20"/>
              </w:rPr>
              <w:t xml:space="preserve">Buchner A and Bias P. (2013). </w:t>
            </w:r>
            <w:r w:rsidRPr="00DF66F3">
              <w:rPr>
                <w:rFonts w:ascii="Arial Narrow" w:hAnsi="Arial Narrow"/>
                <w:sz w:val="20"/>
              </w:rPr>
              <w:t xml:space="preserve">Efficacy and safety of </w:t>
            </w:r>
            <w:proofErr w:type="spellStart"/>
            <w:r w:rsidRPr="00DF66F3">
              <w:rPr>
                <w:rFonts w:ascii="Arial Narrow" w:hAnsi="Arial Narrow"/>
                <w:sz w:val="20"/>
              </w:rPr>
              <w:t>lipegfilgrastim</w:t>
            </w:r>
            <w:proofErr w:type="spellEnd"/>
            <w:r w:rsidRPr="00DF66F3">
              <w:rPr>
                <w:rFonts w:ascii="Arial Narrow" w:hAnsi="Arial Narrow"/>
                <w:sz w:val="20"/>
              </w:rPr>
              <w:t xml:space="preserve"> versus </w:t>
            </w:r>
            <w:proofErr w:type="spellStart"/>
            <w:r w:rsidRPr="00DF66F3">
              <w:rPr>
                <w:rFonts w:ascii="Arial Narrow" w:hAnsi="Arial Narrow"/>
                <w:sz w:val="20"/>
              </w:rPr>
              <w:t>pegfilgrastim</w:t>
            </w:r>
            <w:proofErr w:type="spellEnd"/>
            <w:r w:rsidRPr="00DF66F3">
              <w:rPr>
                <w:rFonts w:ascii="Arial Narrow" w:hAnsi="Arial Narrow"/>
                <w:sz w:val="20"/>
              </w:rPr>
              <w:t xml:space="preserve">: a randomized, </w:t>
            </w:r>
            <w:proofErr w:type="spellStart"/>
            <w:r w:rsidRPr="00DF66F3">
              <w:rPr>
                <w:rFonts w:ascii="Arial Narrow" w:hAnsi="Arial Narrow"/>
                <w:sz w:val="20"/>
              </w:rPr>
              <w:t>multicenter</w:t>
            </w:r>
            <w:proofErr w:type="spellEnd"/>
            <w:r w:rsidRPr="00DF66F3">
              <w:rPr>
                <w:rFonts w:ascii="Arial Narrow" w:hAnsi="Arial Narrow"/>
                <w:sz w:val="20"/>
              </w:rPr>
              <w:t>, active-control phase 3 trial in patients with breast cancer receiving doxorubicin/</w:t>
            </w:r>
            <w:proofErr w:type="spellStart"/>
            <w:r w:rsidRPr="00DF66F3">
              <w:rPr>
                <w:rFonts w:ascii="Arial Narrow" w:hAnsi="Arial Narrow"/>
                <w:sz w:val="20"/>
              </w:rPr>
              <w:t>docetaxel</w:t>
            </w:r>
            <w:proofErr w:type="spellEnd"/>
            <w:r w:rsidRPr="00DF66F3">
              <w:rPr>
                <w:rFonts w:ascii="Arial Narrow" w:hAnsi="Arial Narrow"/>
                <w:sz w:val="20"/>
              </w:rPr>
              <w:t xml:space="preserve"> chemotherapy.</w:t>
            </w:r>
          </w:p>
        </w:tc>
        <w:tc>
          <w:tcPr>
            <w:tcW w:w="923" w:type="pct"/>
          </w:tcPr>
          <w:p w:rsidR="00D55396" w:rsidRPr="00DF66F3" w:rsidRDefault="00D55396" w:rsidP="00081213">
            <w:pPr>
              <w:widowControl/>
              <w:jc w:val="left"/>
              <w:rPr>
                <w:rFonts w:ascii="Arial Narrow" w:hAnsi="Arial Narrow"/>
                <w:sz w:val="20"/>
              </w:rPr>
            </w:pPr>
            <w:r w:rsidRPr="00F833CC">
              <w:rPr>
                <w:rFonts w:ascii="Arial Narrow" w:hAnsi="Arial Narrow"/>
                <w:i/>
                <w:sz w:val="20"/>
              </w:rPr>
              <w:t>BMC cancer</w:t>
            </w:r>
            <w:r>
              <w:rPr>
                <w:rFonts w:ascii="Arial Narrow" w:hAnsi="Arial Narrow"/>
                <w:i/>
                <w:sz w:val="20"/>
              </w:rPr>
              <w:t>,</w:t>
            </w:r>
            <w:r w:rsidRPr="00F833CC">
              <w:rPr>
                <w:rFonts w:ascii="Arial Narrow" w:hAnsi="Arial Narrow"/>
                <w:i/>
                <w:sz w:val="20"/>
              </w:rPr>
              <w:t xml:space="preserve"> </w:t>
            </w:r>
            <w:r w:rsidRPr="00DF66F3">
              <w:rPr>
                <w:rFonts w:ascii="Arial Narrow" w:hAnsi="Arial Narrow"/>
                <w:sz w:val="20"/>
              </w:rPr>
              <w:t>13: 386.</w:t>
            </w:r>
          </w:p>
        </w:tc>
      </w:tr>
      <w:tr w:rsidR="00D55396" w:rsidRPr="00DF66F3" w:rsidTr="00D55396">
        <w:tc>
          <w:tcPr>
            <w:tcW w:w="596" w:type="pct"/>
            <w:vMerge/>
          </w:tcPr>
          <w:p w:rsidR="00D55396" w:rsidRPr="004E2ADC" w:rsidRDefault="00D55396" w:rsidP="00081213">
            <w:pPr>
              <w:widowControl/>
              <w:jc w:val="left"/>
              <w:rPr>
                <w:rFonts w:ascii="Arial Narrow" w:hAnsi="Arial Narrow"/>
                <w:sz w:val="20"/>
              </w:rPr>
            </w:pPr>
          </w:p>
        </w:tc>
        <w:tc>
          <w:tcPr>
            <w:tcW w:w="3482" w:type="pct"/>
          </w:tcPr>
          <w:p w:rsidR="00D55396" w:rsidRPr="00DF66F3" w:rsidRDefault="00D55396" w:rsidP="00081213">
            <w:pPr>
              <w:widowControl/>
              <w:jc w:val="left"/>
              <w:rPr>
                <w:rFonts w:ascii="Arial Narrow" w:hAnsi="Arial Narrow"/>
                <w:sz w:val="20"/>
              </w:rPr>
            </w:pPr>
            <w:proofErr w:type="spellStart"/>
            <w:r w:rsidRPr="00DF66F3">
              <w:rPr>
                <w:rFonts w:ascii="Arial Narrow" w:hAnsi="Arial Narrow"/>
                <w:sz w:val="20"/>
              </w:rPr>
              <w:t>Bondarenko</w:t>
            </w:r>
            <w:proofErr w:type="spellEnd"/>
            <w:r w:rsidRPr="00DF66F3">
              <w:rPr>
                <w:rFonts w:ascii="Arial Narrow" w:hAnsi="Arial Narrow"/>
                <w:sz w:val="20"/>
              </w:rPr>
              <w:t xml:space="preserve"> I, </w:t>
            </w:r>
            <w:proofErr w:type="spellStart"/>
            <w:r w:rsidRPr="00DF66F3">
              <w:rPr>
                <w:rFonts w:ascii="Arial Narrow" w:hAnsi="Arial Narrow"/>
                <w:sz w:val="20"/>
              </w:rPr>
              <w:t>Gladkov</w:t>
            </w:r>
            <w:proofErr w:type="spellEnd"/>
            <w:r>
              <w:rPr>
                <w:rFonts w:ascii="Arial Narrow" w:hAnsi="Arial Narrow"/>
                <w:sz w:val="20"/>
              </w:rPr>
              <w:t xml:space="preserve"> O</w:t>
            </w:r>
            <w:r w:rsidRPr="00DF66F3">
              <w:rPr>
                <w:rFonts w:ascii="Arial Narrow" w:hAnsi="Arial Narrow"/>
                <w:sz w:val="20"/>
              </w:rPr>
              <w:t xml:space="preserve">, </w:t>
            </w:r>
            <w:proofErr w:type="spellStart"/>
            <w:r w:rsidRPr="00DF66F3">
              <w:rPr>
                <w:rFonts w:ascii="Arial Narrow" w:hAnsi="Arial Narrow"/>
                <w:sz w:val="20"/>
              </w:rPr>
              <w:t>Elaesser</w:t>
            </w:r>
            <w:proofErr w:type="spellEnd"/>
            <w:r>
              <w:rPr>
                <w:rFonts w:ascii="Arial Narrow" w:hAnsi="Arial Narrow"/>
                <w:sz w:val="20"/>
              </w:rPr>
              <w:t xml:space="preserve"> R</w:t>
            </w:r>
            <w:r w:rsidRPr="00DF66F3">
              <w:rPr>
                <w:rFonts w:ascii="Arial Narrow" w:hAnsi="Arial Narrow"/>
                <w:sz w:val="20"/>
              </w:rPr>
              <w:t>, Buchner</w:t>
            </w:r>
            <w:r>
              <w:rPr>
                <w:rFonts w:ascii="Arial Narrow" w:hAnsi="Arial Narrow"/>
                <w:sz w:val="20"/>
              </w:rPr>
              <w:t xml:space="preserve"> A</w:t>
            </w:r>
            <w:r w:rsidRPr="00DF66F3">
              <w:rPr>
                <w:rFonts w:ascii="Arial Narrow" w:hAnsi="Arial Narrow"/>
                <w:sz w:val="20"/>
              </w:rPr>
              <w:t xml:space="preserve"> and Bias P. (2012). Efficacy and safety of </w:t>
            </w:r>
            <w:proofErr w:type="spellStart"/>
            <w:r w:rsidRPr="00DF66F3">
              <w:rPr>
                <w:rFonts w:ascii="Arial Narrow" w:hAnsi="Arial Narrow"/>
                <w:sz w:val="20"/>
              </w:rPr>
              <w:t>lipegfilgrastim</w:t>
            </w:r>
            <w:proofErr w:type="spellEnd"/>
            <w:r w:rsidRPr="00DF66F3">
              <w:rPr>
                <w:rFonts w:ascii="Arial Narrow" w:hAnsi="Arial Narrow"/>
                <w:sz w:val="20"/>
              </w:rPr>
              <w:t xml:space="preserve"> compared with </w:t>
            </w:r>
            <w:proofErr w:type="spellStart"/>
            <w:r w:rsidRPr="00DF66F3">
              <w:rPr>
                <w:rFonts w:ascii="Arial Narrow" w:hAnsi="Arial Narrow"/>
                <w:sz w:val="20"/>
              </w:rPr>
              <w:t>pegfilgrastim</w:t>
            </w:r>
            <w:proofErr w:type="spellEnd"/>
            <w:r w:rsidRPr="00DF66F3">
              <w:rPr>
                <w:rFonts w:ascii="Arial Narrow" w:hAnsi="Arial Narrow"/>
                <w:sz w:val="20"/>
              </w:rPr>
              <w:t xml:space="preserve"> in patients with breast cancer </w:t>
            </w:r>
            <w:r>
              <w:rPr>
                <w:rFonts w:ascii="Arial Narrow" w:hAnsi="Arial Narrow"/>
                <w:sz w:val="20"/>
              </w:rPr>
              <w:t>who are receiving chemotherapy.</w:t>
            </w:r>
            <w:r w:rsidRPr="00DF66F3">
              <w:rPr>
                <w:rFonts w:ascii="Arial Narrow" w:hAnsi="Arial Narrow"/>
                <w:sz w:val="20"/>
              </w:rPr>
              <w:t xml:space="preserve"> </w:t>
            </w:r>
          </w:p>
        </w:tc>
        <w:tc>
          <w:tcPr>
            <w:tcW w:w="923" w:type="pct"/>
          </w:tcPr>
          <w:p w:rsidR="00D55396" w:rsidRPr="00DF66F3" w:rsidRDefault="00D55396" w:rsidP="00081213">
            <w:pPr>
              <w:widowControl/>
              <w:jc w:val="left"/>
              <w:rPr>
                <w:rFonts w:ascii="Arial Narrow" w:hAnsi="Arial Narrow"/>
                <w:sz w:val="20"/>
              </w:rPr>
            </w:pPr>
            <w:r w:rsidRPr="00F833CC">
              <w:rPr>
                <w:rFonts w:ascii="Arial Narrow" w:hAnsi="Arial Narrow"/>
                <w:i/>
                <w:sz w:val="20"/>
              </w:rPr>
              <w:t>Journal of Clinical Oncology</w:t>
            </w:r>
            <w:r>
              <w:rPr>
                <w:rFonts w:ascii="Arial Narrow" w:hAnsi="Arial Narrow"/>
                <w:i/>
                <w:sz w:val="20"/>
              </w:rPr>
              <w:t>,</w:t>
            </w:r>
            <w:r w:rsidRPr="00DF66F3">
              <w:rPr>
                <w:rFonts w:ascii="Arial Narrow" w:hAnsi="Arial Narrow"/>
                <w:sz w:val="20"/>
              </w:rPr>
              <w:t xml:space="preserve"> 30</w:t>
            </w:r>
            <w:r>
              <w:rPr>
                <w:rFonts w:ascii="Arial Narrow" w:hAnsi="Arial Narrow"/>
                <w:sz w:val="20"/>
              </w:rPr>
              <w:t xml:space="preserve"> </w:t>
            </w:r>
            <w:r w:rsidRPr="00DF66F3">
              <w:rPr>
                <w:rFonts w:ascii="Arial Narrow" w:hAnsi="Arial Narrow"/>
                <w:sz w:val="20"/>
              </w:rPr>
              <w:t>(15 SUPPL. 1).</w:t>
            </w:r>
          </w:p>
        </w:tc>
      </w:tr>
      <w:tr w:rsidR="00D55396" w:rsidRPr="00DF66F3" w:rsidTr="00D55396">
        <w:tc>
          <w:tcPr>
            <w:tcW w:w="596" w:type="pct"/>
            <w:vMerge/>
          </w:tcPr>
          <w:p w:rsidR="00D55396" w:rsidRPr="004E2ADC" w:rsidRDefault="00D55396" w:rsidP="00081213">
            <w:pPr>
              <w:widowControl/>
              <w:jc w:val="left"/>
              <w:rPr>
                <w:rFonts w:ascii="Arial Narrow" w:hAnsi="Arial Narrow"/>
                <w:sz w:val="20"/>
              </w:rPr>
            </w:pPr>
          </w:p>
        </w:tc>
        <w:tc>
          <w:tcPr>
            <w:tcW w:w="3482" w:type="pct"/>
          </w:tcPr>
          <w:p w:rsidR="00D55396" w:rsidRPr="00DF66F3" w:rsidRDefault="00D55396" w:rsidP="00081213">
            <w:pPr>
              <w:widowControl/>
              <w:jc w:val="left"/>
              <w:rPr>
                <w:rFonts w:ascii="Arial Narrow" w:hAnsi="Arial Narrow"/>
                <w:sz w:val="20"/>
              </w:rPr>
            </w:pPr>
            <w:proofErr w:type="spellStart"/>
            <w:r w:rsidRPr="00DF66F3">
              <w:rPr>
                <w:rFonts w:ascii="Arial Narrow" w:hAnsi="Arial Narrow"/>
                <w:sz w:val="20"/>
              </w:rPr>
              <w:t>Bondarenko</w:t>
            </w:r>
            <w:proofErr w:type="spellEnd"/>
            <w:r w:rsidRPr="00DF66F3">
              <w:rPr>
                <w:rFonts w:ascii="Arial Narrow" w:hAnsi="Arial Narrow"/>
                <w:sz w:val="20"/>
              </w:rPr>
              <w:t xml:space="preserve"> I </w:t>
            </w:r>
            <w:r>
              <w:rPr>
                <w:rFonts w:ascii="Arial Narrow" w:hAnsi="Arial Narrow"/>
                <w:sz w:val="20"/>
              </w:rPr>
              <w:t>M</w:t>
            </w:r>
            <w:r w:rsidRPr="00DF66F3">
              <w:rPr>
                <w:rFonts w:ascii="Arial Narrow" w:hAnsi="Arial Narrow"/>
                <w:sz w:val="20"/>
              </w:rPr>
              <w:t xml:space="preserve">, </w:t>
            </w:r>
            <w:proofErr w:type="spellStart"/>
            <w:r w:rsidRPr="00DF66F3">
              <w:rPr>
                <w:rFonts w:ascii="Arial Narrow" w:hAnsi="Arial Narrow"/>
                <w:sz w:val="20"/>
              </w:rPr>
              <w:t>Gladkov</w:t>
            </w:r>
            <w:proofErr w:type="spellEnd"/>
            <w:r>
              <w:rPr>
                <w:rFonts w:ascii="Arial Narrow" w:hAnsi="Arial Narrow"/>
                <w:sz w:val="20"/>
              </w:rPr>
              <w:t xml:space="preserve"> OA</w:t>
            </w:r>
            <w:r w:rsidRPr="00DF66F3">
              <w:rPr>
                <w:rFonts w:ascii="Arial Narrow" w:hAnsi="Arial Narrow"/>
                <w:sz w:val="20"/>
              </w:rPr>
              <w:t xml:space="preserve">, </w:t>
            </w:r>
            <w:proofErr w:type="spellStart"/>
            <w:r w:rsidRPr="00DF66F3">
              <w:rPr>
                <w:rFonts w:ascii="Arial Narrow" w:hAnsi="Arial Narrow"/>
                <w:sz w:val="20"/>
              </w:rPr>
              <w:t>El</w:t>
            </w:r>
            <w:r w:rsidRPr="00DF66F3">
              <w:rPr>
                <w:sz w:val="20"/>
              </w:rPr>
              <w:t>ӓ</w:t>
            </w:r>
            <w:r w:rsidRPr="00DF66F3">
              <w:rPr>
                <w:rFonts w:ascii="Arial Narrow" w:hAnsi="Arial Narrow"/>
                <w:sz w:val="20"/>
              </w:rPr>
              <w:t>sser</w:t>
            </w:r>
            <w:proofErr w:type="spellEnd"/>
            <w:r>
              <w:rPr>
                <w:rFonts w:ascii="Arial Narrow" w:hAnsi="Arial Narrow"/>
                <w:sz w:val="20"/>
              </w:rPr>
              <w:t xml:space="preserve"> R</w:t>
            </w:r>
            <w:r w:rsidRPr="00DF66F3">
              <w:rPr>
                <w:rFonts w:ascii="Arial Narrow" w:hAnsi="Arial Narrow"/>
                <w:sz w:val="20"/>
              </w:rPr>
              <w:t>, Buchner</w:t>
            </w:r>
            <w:r>
              <w:rPr>
                <w:rFonts w:ascii="Arial Narrow" w:hAnsi="Arial Narrow"/>
                <w:sz w:val="20"/>
              </w:rPr>
              <w:t xml:space="preserve"> A</w:t>
            </w:r>
            <w:r w:rsidRPr="00DF66F3">
              <w:rPr>
                <w:rFonts w:ascii="Arial Narrow" w:hAnsi="Arial Narrow"/>
                <w:sz w:val="20"/>
              </w:rPr>
              <w:t xml:space="preserve">, </w:t>
            </w:r>
            <w:r>
              <w:rPr>
                <w:rFonts w:ascii="Arial Narrow" w:hAnsi="Arial Narrow"/>
                <w:sz w:val="20"/>
              </w:rPr>
              <w:t xml:space="preserve">Bias P and Mueller U. (2012). </w:t>
            </w:r>
            <w:r w:rsidRPr="00DF66F3">
              <w:rPr>
                <w:rFonts w:ascii="Arial Narrow" w:hAnsi="Arial Narrow"/>
                <w:sz w:val="20"/>
              </w:rPr>
              <w:t xml:space="preserve">Efficacy and safety of </w:t>
            </w:r>
            <w:proofErr w:type="spellStart"/>
            <w:r w:rsidRPr="00DF66F3">
              <w:rPr>
                <w:rFonts w:ascii="Arial Narrow" w:hAnsi="Arial Narrow"/>
                <w:sz w:val="20"/>
              </w:rPr>
              <w:t>lipegfilgrastim</w:t>
            </w:r>
            <w:proofErr w:type="spellEnd"/>
            <w:r w:rsidRPr="00DF66F3">
              <w:rPr>
                <w:rFonts w:ascii="Arial Narrow" w:hAnsi="Arial Narrow"/>
                <w:sz w:val="20"/>
              </w:rPr>
              <w:t xml:space="preserve"> compared with </w:t>
            </w:r>
            <w:proofErr w:type="spellStart"/>
            <w:r w:rsidRPr="00DF66F3">
              <w:rPr>
                <w:rFonts w:ascii="Arial Narrow" w:hAnsi="Arial Narrow"/>
                <w:sz w:val="20"/>
              </w:rPr>
              <w:t>pegfilgrastim</w:t>
            </w:r>
            <w:proofErr w:type="spellEnd"/>
            <w:r w:rsidRPr="00DF66F3">
              <w:rPr>
                <w:rFonts w:ascii="Arial Narrow" w:hAnsi="Arial Narrow"/>
                <w:sz w:val="20"/>
              </w:rPr>
              <w:t xml:space="preserve"> in patients with breast cancer who are receiving chemotherapy.</w:t>
            </w:r>
          </w:p>
        </w:tc>
        <w:tc>
          <w:tcPr>
            <w:tcW w:w="923" w:type="pct"/>
          </w:tcPr>
          <w:p w:rsidR="00D55396" w:rsidRPr="00DF66F3" w:rsidRDefault="00D55396" w:rsidP="00081213">
            <w:pPr>
              <w:widowControl/>
              <w:jc w:val="left"/>
              <w:rPr>
                <w:rFonts w:ascii="Arial Narrow" w:hAnsi="Arial Narrow"/>
                <w:sz w:val="20"/>
              </w:rPr>
            </w:pPr>
            <w:r w:rsidRPr="00CE6616">
              <w:rPr>
                <w:rFonts w:ascii="Arial Narrow" w:hAnsi="Arial Narrow"/>
                <w:i/>
                <w:sz w:val="20"/>
              </w:rPr>
              <w:t>Supportive Care in Cancer</w:t>
            </w:r>
            <w:r>
              <w:rPr>
                <w:rFonts w:ascii="Arial Narrow" w:hAnsi="Arial Narrow"/>
                <w:i/>
                <w:sz w:val="20"/>
              </w:rPr>
              <w:t>,</w:t>
            </w:r>
            <w:r w:rsidRPr="00DF66F3">
              <w:rPr>
                <w:rFonts w:ascii="Arial Narrow" w:hAnsi="Arial Narrow"/>
                <w:sz w:val="20"/>
              </w:rPr>
              <w:t xml:space="preserve"> 20: S241-S242.</w:t>
            </w:r>
          </w:p>
        </w:tc>
      </w:tr>
      <w:tr w:rsidR="00D55396" w:rsidRPr="00DF66F3" w:rsidTr="00D55396">
        <w:tc>
          <w:tcPr>
            <w:tcW w:w="596" w:type="pct"/>
            <w:vMerge/>
          </w:tcPr>
          <w:p w:rsidR="00D55396" w:rsidRPr="004E2ADC" w:rsidRDefault="00D55396" w:rsidP="00081213">
            <w:pPr>
              <w:widowControl/>
              <w:jc w:val="left"/>
              <w:rPr>
                <w:rFonts w:ascii="Arial Narrow" w:hAnsi="Arial Narrow"/>
                <w:sz w:val="20"/>
              </w:rPr>
            </w:pPr>
          </w:p>
        </w:tc>
        <w:tc>
          <w:tcPr>
            <w:tcW w:w="3482" w:type="pct"/>
          </w:tcPr>
          <w:p w:rsidR="00D55396" w:rsidRPr="00DF66F3" w:rsidRDefault="00D55396" w:rsidP="00081213">
            <w:pPr>
              <w:widowControl/>
              <w:jc w:val="left"/>
              <w:rPr>
                <w:rFonts w:ascii="Arial Narrow" w:hAnsi="Arial Narrow"/>
                <w:sz w:val="20"/>
              </w:rPr>
            </w:pPr>
            <w:proofErr w:type="spellStart"/>
            <w:r w:rsidRPr="00DF66F3">
              <w:rPr>
                <w:rFonts w:ascii="Arial Narrow" w:hAnsi="Arial Narrow"/>
                <w:sz w:val="20"/>
              </w:rPr>
              <w:t>Gladkov</w:t>
            </w:r>
            <w:proofErr w:type="spellEnd"/>
            <w:r w:rsidRPr="00DF66F3">
              <w:rPr>
                <w:rFonts w:ascii="Arial Narrow" w:hAnsi="Arial Narrow"/>
                <w:sz w:val="20"/>
              </w:rPr>
              <w:t xml:space="preserve"> O</w:t>
            </w:r>
            <w:r>
              <w:rPr>
                <w:rFonts w:ascii="Arial Narrow" w:hAnsi="Arial Narrow"/>
                <w:sz w:val="20"/>
              </w:rPr>
              <w:t>,</w:t>
            </w:r>
            <w:r w:rsidRPr="00DF66F3">
              <w:rPr>
                <w:rFonts w:ascii="Arial Narrow" w:hAnsi="Arial Narrow"/>
                <w:sz w:val="20"/>
              </w:rPr>
              <w:t xml:space="preserve"> Buchner</w:t>
            </w:r>
            <w:r>
              <w:rPr>
                <w:rFonts w:ascii="Arial Narrow" w:hAnsi="Arial Narrow"/>
                <w:sz w:val="20"/>
              </w:rPr>
              <w:t xml:space="preserve"> A</w:t>
            </w:r>
            <w:r w:rsidRPr="00DF66F3">
              <w:rPr>
                <w:rFonts w:ascii="Arial Narrow" w:hAnsi="Arial Narrow"/>
                <w:sz w:val="20"/>
              </w:rPr>
              <w:t>, Bias</w:t>
            </w:r>
            <w:r>
              <w:rPr>
                <w:rFonts w:ascii="Arial Narrow" w:hAnsi="Arial Narrow"/>
                <w:sz w:val="20"/>
              </w:rPr>
              <w:t xml:space="preserve"> P</w:t>
            </w:r>
            <w:r w:rsidRPr="00DF66F3">
              <w:rPr>
                <w:rFonts w:ascii="Arial Narrow" w:hAnsi="Arial Narrow"/>
                <w:sz w:val="20"/>
              </w:rPr>
              <w:t>, Mueller</w:t>
            </w:r>
            <w:r>
              <w:rPr>
                <w:rFonts w:ascii="Arial Narrow" w:hAnsi="Arial Narrow"/>
                <w:sz w:val="20"/>
              </w:rPr>
              <w:t xml:space="preserve"> U</w:t>
            </w:r>
            <w:r w:rsidRPr="00DF66F3">
              <w:rPr>
                <w:rFonts w:ascii="Arial Narrow" w:hAnsi="Arial Narrow"/>
                <w:sz w:val="20"/>
              </w:rPr>
              <w:t xml:space="preserve"> and </w:t>
            </w:r>
            <w:proofErr w:type="spellStart"/>
            <w:r w:rsidRPr="00DF66F3">
              <w:rPr>
                <w:rFonts w:ascii="Arial Narrow" w:hAnsi="Arial Narrow"/>
                <w:sz w:val="20"/>
              </w:rPr>
              <w:t>Els</w:t>
            </w:r>
            <w:r w:rsidRPr="00DF66F3">
              <w:rPr>
                <w:sz w:val="20"/>
              </w:rPr>
              <w:t>ӓ</w:t>
            </w:r>
            <w:r>
              <w:rPr>
                <w:rFonts w:ascii="Arial Narrow" w:hAnsi="Arial Narrow"/>
                <w:sz w:val="20"/>
              </w:rPr>
              <w:t>sser</w:t>
            </w:r>
            <w:proofErr w:type="spellEnd"/>
            <w:r>
              <w:rPr>
                <w:rFonts w:ascii="Arial Narrow" w:hAnsi="Arial Narrow"/>
                <w:sz w:val="20"/>
              </w:rPr>
              <w:t xml:space="preserve"> </w:t>
            </w:r>
            <w:r w:rsidRPr="00DF66F3">
              <w:rPr>
                <w:rFonts w:ascii="Arial Narrow" w:hAnsi="Arial Narrow"/>
                <w:sz w:val="20"/>
              </w:rPr>
              <w:t>R.</w:t>
            </w:r>
            <w:r>
              <w:rPr>
                <w:rFonts w:ascii="Arial Narrow" w:hAnsi="Arial Narrow"/>
                <w:sz w:val="20"/>
              </w:rPr>
              <w:t xml:space="preserve"> (2013). </w:t>
            </w:r>
            <w:r w:rsidRPr="00DF66F3">
              <w:rPr>
                <w:rFonts w:ascii="Arial Narrow" w:hAnsi="Arial Narrow"/>
                <w:sz w:val="20"/>
              </w:rPr>
              <w:t xml:space="preserve">Chemotherapy-associated treatment burden in breast cancer patients receiving </w:t>
            </w:r>
            <w:proofErr w:type="spellStart"/>
            <w:r w:rsidRPr="00DF66F3">
              <w:rPr>
                <w:rFonts w:ascii="Arial Narrow" w:hAnsi="Arial Narrow"/>
                <w:sz w:val="20"/>
              </w:rPr>
              <w:t>lipegfilgrastim</w:t>
            </w:r>
            <w:proofErr w:type="spellEnd"/>
            <w:r w:rsidRPr="00DF66F3">
              <w:rPr>
                <w:rFonts w:ascii="Arial Narrow" w:hAnsi="Arial Narrow"/>
                <w:sz w:val="20"/>
              </w:rPr>
              <w:t xml:space="preserve"> or </w:t>
            </w:r>
            <w:proofErr w:type="spellStart"/>
            <w:r w:rsidRPr="00DF66F3">
              <w:rPr>
                <w:rFonts w:ascii="Arial Narrow" w:hAnsi="Arial Narrow"/>
                <w:sz w:val="20"/>
              </w:rPr>
              <w:t>pegfilgrastim</w:t>
            </w:r>
            <w:proofErr w:type="spellEnd"/>
            <w:r w:rsidRPr="00DF66F3">
              <w:rPr>
                <w:rFonts w:ascii="Arial Narrow" w:hAnsi="Arial Narrow"/>
                <w:sz w:val="20"/>
              </w:rPr>
              <w:t>: Secondary efficacy data from a phase III study.</w:t>
            </w:r>
          </w:p>
        </w:tc>
        <w:tc>
          <w:tcPr>
            <w:tcW w:w="923" w:type="pct"/>
          </w:tcPr>
          <w:p w:rsidR="00D55396" w:rsidRPr="00DF66F3" w:rsidRDefault="00D55396" w:rsidP="00081213">
            <w:pPr>
              <w:widowControl/>
              <w:jc w:val="left"/>
              <w:rPr>
                <w:rFonts w:ascii="Arial Narrow" w:hAnsi="Arial Narrow"/>
                <w:sz w:val="20"/>
              </w:rPr>
            </w:pPr>
            <w:proofErr w:type="spellStart"/>
            <w:r w:rsidRPr="00CE6616">
              <w:rPr>
                <w:rFonts w:ascii="Arial Narrow" w:hAnsi="Arial Narrow"/>
                <w:i/>
                <w:sz w:val="20"/>
              </w:rPr>
              <w:t>Haematologica</w:t>
            </w:r>
            <w:proofErr w:type="spellEnd"/>
            <w:r>
              <w:rPr>
                <w:rFonts w:ascii="Arial Narrow" w:hAnsi="Arial Narrow"/>
                <w:i/>
                <w:sz w:val="20"/>
              </w:rPr>
              <w:t>,</w:t>
            </w:r>
            <w:r w:rsidRPr="00DF66F3">
              <w:rPr>
                <w:rFonts w:ascii="Arial Narrow" w:hAnsi="Arial Narrow"/>
                <w:sz w:val="20"/>
              </w:rPr>
              <w:t xml:space="preserve"> 98: 426.</w:t>
            </w:r>
          </w:p>
        </w:tc>
      </w:tr>
      <w:tr w:rsidR="00D55396" w:rsidRPr="00DF66F3" w:rsidTr="00D55396">
        <w:tc>
          <w:tcPr>
            <w:tcW w:w="596" w:type="pct"/>
            <w:vMerge/>
          </w:tcPr>
          <w:p w:rsidR="00D55396" w:rsidRPr="004E2ADC" w:rsidRDefault="00D55396" w:rsidP="00081213">
            <w:pPr>
              <w:widowControl/>
              <w:jc w:val="left"/>
              <w:rPr>
                <w:rFonts w:ascii="Arial Narrow" w:hAnsi="Arial Narrow"/>
                <w:sz w:val="20"/>
              </w:rPr>
            </w:pPr>
          </w:p>
        </w:tc>
        <w:tc>
          <w:tcPr>
            <w:tcW w:w="3482" w:type="pct"/>
          </w:tcPr>
          <w:p w:rsidR="00D55396" w:rsidRPr="00DF66F3" w:rsidRDefault="00D55396" w:rsidP="00081213">
            <w:pPr>
              <w:widowControl/>
              <w:jc w:val="left"/>
              <w:rPr>
                <w:rFonts w:ascii="Arial Narrow" w:hAnsi="Arial Narrow"/>
                <w:sz w:val="20"/>
              </w:rPr>
            </w:pPr>
            <w:r w:rsidRPr="00544CD4">
              <w:rPr>
                <w:rFonts w:ascii="Arial Narrow" w:hAnsi="Arial Narrow"/>
                <w:sz w:val="20"/>
                <w:lang w:val="de-DE"/>
              </w:rPr>
              <w:t>Gladkov OA, Bondarenko IM, Els</w:t>
            </w:r>
            <w:r w:rsidRPr="00DF66F3">
              <w:rPr>
                <w:sz w:val="20"/>
              </w:rPr>
              <w:t>ӓ</w:t>
            </w:r>
            <w:r w:rsidRPr="00544CD4">
              <w:rPr>
                <w:rFonts w:ascii="Arial Narrow" w:hAnsi="Arial Narrow"/>
                <w:sz w:val="20"/>
                <w:lang w:val="de-DE"/>
              </w:rPr>
              <w:t xml:space="preserve">sser R, Buchner A and Bias P. (2012). </w:t>
            </w:r>
            <w:r w:rsidRPr="00DF66F3">
              <w:rPr>
                <w:rFonts w:ascii="Arial Narrow" w:hAnsi="Arial Narrow"/>
                <w:sz w:val="20"/>
              </w:rPr>
              <w:t xml:space="preserve">Absolute neutrophil counts in a study of </w:t>
            </w:r>
            <w:proofErr w:type="spellStart"/>
            <w:r w:rsidRPr="00DF66F3">
              <w:rPr>
                <w:rFonts w:ascii="Arial Narrow" w:hAnsi="Arial Narrow"/>
                <w:sz w:val="20"/>
              </w:rPr>
              <w:t>lipegfilgrastim</w:t>
            </w:r>
            <w:proofErr w:type="spellEnd"/>
            <w:r w:rsidRPr="00DF66F3">
              <w:rPr>
                <w:rFonts w:ascii="Arial Narrow" w:hAnsi="Arial Narrow"/>
                <w:sz w:val="20"/>
              </w:rPr>
              <w:t xml:space="preserve"> compared with </w:t>
            </w:r>
            <w:proofErr w:type="spellStart"/>
            <w:r w:rsidRPr="00DF66F3">
              <w:rPr>
                <w:rFonts w:ascii="Arial Narrow" w:hAnsi="Arial Narrow"/>
                <w:sz w:val="20"/>
              </w:rPr>
              <w:t>pegfilgrastim</w:t>
            </w:r>
            <w:proofErr w:type="spellEnd"/>
            <w:r w:rsidRPr="00DF66F3">
              <w:rPr>
                <w:rFonts w:ascii="Arial Narrow" w:hAnsi="Arial Narrow"/>
                <w:sz w:val="20"/>
              </w:rPr>
              <w:t xml:space="preserve"> in patients with breast cancer </w:t>
            </w:r>
            <w:r>
              <w:rPr>
                <w:rFonts w:ascii="Arial Narrow" w:hAnsi="Arial Narrow"/>
                <w:sz w:val="20"/>
              </w:rPr>
              <w:t>who are receiving chemotherapy.</w:t>
            </w:r>
            <w:r w:rsidRPr="00DF66F3">
              <w:rPr>
                <w:rFonts w:ascii="Arial Narrow" w:hAnsi="Arial Narrow"/>
                <w:sz w:val="20"/>
              </w:rPr>
              <w:t xml:space="preserve"> </w:t>
            </w:r>
          </w:p>
        </w:tc>
        <w:tc>
          <w:tcPr>
            <w:tcW w:w="923" w:type="pct"/>
          </w:tcPr>
          <w:p w:rsidR="00D55396" w:rsidRPr="00DF66F3" w:rsidRDefault="00D55396" w:rsidP="00081213">
            <w:pPr>
              <w:widowControl/>
              <w:jc w:val="left"/>
              <w:rPr>
                <w:rFonts w:ascii="Arial Narrow" w:hAnsi="Arial Narrow"/>
                <w:sz w:val="20"/>
              </w:rPr>
            </w:pPr>
            <w:r w:rsidRPr="00CE6616">
              <w:rPr>
                <w:rFonts w:ascii="Arial Narrow" w:hAnsi="Arial Narrow"/>
                <w:i/>
                <w:sz w:val="20"/>
              </w:rPr>
              <w:t>Annals of Oncology</w:t>
            </w:r>
            <w:r>
              <w:rPr>
                <w:rFonts w:ascii="Arial Narrow" w:hAnsi="Arial Narrow"/>
                <w:i/>
                <w:sz w:val="20"/>
              </w:rPr>
              <w:t>,</w:t>
            </w:r>
            <w:r w:rsidRPr="00DF66F3">
              <w:rPr>
                <w:rFonts w:ascii="Arial Narrow" w:hAnsi="Arial Narrow"/>
                <w:sz w:val="20"/>
              </w:rPr>
              <w:t xml:space="preserve"> 23: ix500.</w:t>
            </w:r>
          </w:p>
        </w:tc>
      </w:tr>
      <w:tr w:rsidR="00D55396" w:rsidRPr="00DF66F3" w:rsidTr="00D55396">
        <w:tc>
          <w:tcPr>
            <w:tcW w:w="596" w:type="pct"/>
            <w:vMerge/>
          </w:tcPr>
          <w:p w:rsidR="00D55396" w:rsidRPr="004E2ADC" w:rsidRDefault="00D55396" w:rsidP="00081213">
            <w:pPr>
              <w:widowControl/>
              <w:jc w:val="left"/>
              <w:rPr>
                <w:rFonts w:ascii="Arial Narrow" w:hAnsi="Arial Narrow"/>
                <w:sz w:val="20"/>
              </w:rPr>
            </w:pPr>
          </w:p>
        </w:tc>
        <w:tc>
          <w:tcPr>
            <w:tcW w:w="3482" w:type="pct"/>
          </w:tcPr>
          <w:p w:rsidR="00D55396" w:rsidRPr="00DF66F3" w:rsidRDefault="00D55396" w:rsidP="00081213">
            <w:pPr>
              <w:widowControl/>
              <w:jc w:val="left"/>
              <w:rPr>
                <w:rFonts w:ascii="Arial Narrow" w:hAnsi="Arial Narrow"/>
                <w:sz w:val="20"/>
              </w:rPr>
            </w:pPr>
            <w:r w:rsidRPr="00DF66F3">
              <w:rPr>
                <w:rFonts w:ascii="Arial Narrow" w:hAnsi="Arial Narrow"/>
                <w:sz w:val="20"/>
              </w:rPr>
              <w:t xml:space="preserve">Udo M., </w:t>
            </w:r>
            <w:proofErr w:type="spellStart"/>
            <w:r w:rsidRPr="00DF66F3">
              <w:rPr>
                <w:rFonts w:ascii="Arial Narrow" w:hAnsi="Arial Narrow"/>
                <w:sz w:val="20"/>
              </w:rPr>
              <w:t>Bondarenko</w:t>
            </w:r>
            <w:proofErr w:type="spellEnd"/>
            <w:r>
              <w:rPr>
                <w:rFonts w:ascii="Arial Narrow" w:hAnsi="Arial Narrow"/>
                <w:sz w:val="20"/>
              </w:rPr>
              <w:t xml:space="preserve"> I</w:t>
            </w:r>
            <w:r w:rsidRPr="00DF66F3">
              <w:rPr>
                <w:rFonts w:ascii="Arial Narrow" w:hAnsi="Arial Narrow"/>
                <w:sz w:val="20"/>
              </w:rPr>
              <w:t xml:space="preserve">, </w:t>
            </w:r>
            <w:proofErr w:type="spellStart"/>
            <w:r w:rsidRPr="00DF66F3">
              <w:rPr>
                <w:rFonts w:ascii="Arial Narrow" w:hAnsi="Arial Narrow"/>
                <w:sz w:val="20"/>
              </w:rPr>
              <w:t>Gladkov</w:t>
            </w:r>
            <w:proofErr w:type="spellEnd"/>
            <w:r>
              <w:rPr>
                <w:rFonts w:ascii="Arial Narrow" w:hAnsi="Arial Narrow"/>
                <w:sz w:val="20"/>
              </w:rPr>
              <w:t xml:space="preserve"> O</w:t>
            </w:r>
            <w:r w:rsidRPr="00DF66F3">
              <w:rPr>
                <w:rFonts w:ascii="Arial Narrow" w:hAnsi="Arial Narrow"/>
                <w:sz w:val="20"/>
              </w:rPr>
              <w:t xml:space="preserve">, </w:t>
            </w:r>
            <w:proofErr w:type="spellStart"/>
            <w:r w:rsidRPr="00DF66F3">
              <w:rPr>
                <w:rFonts w:ascii="Arial Narrow" w:hAnsi="Arial Narrow"/>
                <w:sz w:val="20"/>
              </w:rPr>
              <w:t>El</w:t>
            </w:r>
            <w:r w:rsidRPr="00DF66F3">
              <w:rPr>
                <w:sz w:val="20"/>
              </w:rPr>
              <w:t>ӓ</w:t>
            </w:r>
            <w:r w:rsidRPr="00DF66F3">
              <w:rPr>
                <w:rFonts w:ascii="Arial Narrow" w:hAnsi="Arial Narrow"/>
                <w:sz w:val="20"/>
              </w:rPr>
              <w:t>sser</w:t>
            </w:r>
            <w:proofErr w:type="spellEnd"/>
            <w:r>
              <w:rPr>
                <w:rFonts w:ascii="Arial Narrow" w:hAnsi="Arial Narrow"/>
                <w:sz w:val="20"/>
              </w:rPr>
              <w:t xml:space="preserve"> R</w:t>
            </w:r>
            <w:r w:rsidRPr="00DF66F3">
              <w:rPr>
                <w:rFonts w:ascii="Arial Narrow" w:hAnsi="Arial Narrow"/>
                <w:sz w:val="20"/>
              </w:rPr>
              <w:t xml:space="preserve">, </w:t>
            </w:r>
            <w:r>
              <w:rPr>
                <w:rFonts w:ascii="Arial Narrow" w:hAnsi="Arial Narrow"/>
                <w:sz w:val="20"/>
              </w:rPr>
              <w:t xml:space="preserve">Buchner A and Bias P. (2012). </w:t>
            </w:r>
            <w:r w:rsidRPr="00DF66F3">
              <w:rPr>
                <w:rFonts w:ascii="Arial Narrow" w:hAnsi="Arial Narrow"/>
                <w:sz w:val="20"/>
              </w:rPr>
              <w:t xml:space="preserve">Efficacy and safety of </w:t>
            </w:r>
            <w:proofErr w:type="spellStart"/>
            <w:r w:rsidRPr="00DF66F3">
              <w:rPr>
                <w:rFonts w:ascii="Arial Narrow" w:hAnsi="Arial Narrow"/>
                <w:sz w:val="20"/>
              </w:rPr>
              <w:t>lipegfilgrastim</w:t>
            </w:r>
            <w:proofErr w:type="spellEnd"/>
            <w:r w:rsidRPr="00DF66F3">
              <w:rPr>
                <w:rFonts w:ascii="Arial Narrow" w:hAnsi="Arial Narrow"/>
                <w:sz w:val="20"/>
              </w:rPr>
              <w:t xml:space="preserve"> compared with </w:t>
            </w:r>
            <w:proofErr w:type="spellStart"/>
            <w:r w:rsidRPr="00DF66F3">
              <w:rPr>
                <w:rFonts w:ascii="Arial Narrow" w:hAnsi="Arial Narrow"/>
                <w:sz w:val="20"/>
              </w:rPr>
              <w:t>pegfilgrastim</w:t>
            </w:r>
            <w:proofErr w:type="spellEnd"/>
            <w:r w:rsidRPr="00DF66F3">
              <w:rPr>
                <w:rFonts w:ascii="Arial Narrow" w:hAnsi="Arial Narrow"/>
                <w:sz w:val="20"/>
              </w:rPr>
              <w:t xml:space="preserve"> in patients with breast cancer who are receiving chemotherapy.</w:t>
            </w:r>
          </w:p>
        </w:tc>
        <w:tc>
          <w:tcPr>
            <w:tcW w:w="923" w:type="pct"/>
          </w:tcPr>
          <w:p w:rsidR="00D55396" w:rsidRPr="00DF66F3" w:rsidRDefault="00D55396" w:rsidP="00081213">
            <w:pPr>
              <w:widowControl/>
              <w:jc w:val="left"/>
              <w:rPr>
                <w:rFonts w:ascii="Arial Narrow" w:hAnsi="Arial Narrow"/>
                <w:sz w:val="20"/>
              </w:rPr>
            </w:pPr>
            <w:proofErr w:type="spellStart"/>
            <w:r w:rsidRPr="00CE6616">
              <w:rPr>
                <w:rFonts w:ascii="Arial Narrow" w:hAnsi="Arial Narrow"/>
                <w:i/>
                <w:sz w:val="20"/>
              </w:rPr>
              <w:t>Haematologica</w:t>
            </w:r>
            <w:proofErr w:type="spellEnd"/>
            <w:r>
              <w:rPr>
                <w:rFonts w:ascii="Arial Narrow" w:hAnsi="Arial Narrow"/>
                <w:i/>
                <w:sz w:val="20"/>
              </w:rPr>
              <w:t>,</w:t>
            </w:r>
            <w:r w:rsidRPr="00DF66F3">
              <w:rPr>
                <w:rFonts w:ascii="Arial Narrow" w:hAnsi="Arial Narrow"/>
                <w:sz w:val="20"/>
              </w:rPr>
              <w:t xml:space="preserve"> 97: 553.</w:t>
            </w:r>
          </w:p>
        </w:tc>
      </w:tr>
      <w:tr w:rsidR="00D55396" w:rsidRPr="00095483" w:rsidTr="00D55396">
        <w:tc>
          <w:tcPr>
            <w:tcW w:w="596" w:type="pct"/>
            <w:vMerge/>
          </w:tcPr>
          <w:p w:rsidR="00D55396" w:rsidRPr="004E2ADC" w:rsidRDefault="00D55396" w:rsidP="00081213">
            <w:pPr>
              <w:widowControl/>
              <w:jc w:val="left"/>
              <w:rPr>
                <w:rFonts w:ascii="Arial Narrow" w:hAnsi="Arial Narrow"/>
                <w:sz w:val="20"/>
              </w:rPr>
            </w:pPr>
          </w:p>
        </w:tc>
        <w:tc>
          <w:tcPr>
            <w:tcW w:w="3482" w:type="pct"/>
          </w:tcPr>
          <w:p w:rsidR="00D55396" w:rsidRPr="00095483" w:rsidRDefault="00D55396" w:rsidP="00081213">
            <w:pPr>
              <w:widowControl/>
              <w:jc w:val="left"/>
              <w:rPr>
                <w:rFonts w:ascii="Arial Narrow" w:hAnsi="Arial Narrow"/>
                <w:i/>
                <w:sz w:val="20"/>
              </w:rPr>
            </w:pPr>
            <w:proofErr w:type="spellStart"/>
            <w:r>
              <w:rPr>
                <w:rFonts w:ascii="Arial Narrow" w:hAnsi="Arial Narrow"/>
                <w:i/>
                <w:sz w:val="20"/>
              </w:rPr>
              <w:t>Bondarenko</w:t>
            </w:r>
            <w:proofErr w:type="spellEnd"/>
            <w:r w:rsidRPr="00095483">
              <w:rPr>
                <w:rFonts w:ascii="Arial Narrow" w:hAnsi="Arial Narrow"/>
                <w:i/>
                <w:sz w:val="20"/>
              </w:rPr>
              <w:t xml:space="preserve"> I</w:t>
            </w:r>
            <w:r>
              <w:rPr>
                <w:rFonts w:ascii="Arial Narrow" w:hAnsi="Arial Narrow"/>
                <w:i/>
                <w:sz w:val="20"/>
              </w:rPr>
              <w:t xml:space="preserve">, </w:t>
            </w:r>
            <w:r w:rsidRPr="00095483">
              <w:rPr>
                <w:rFonts w:ascii="Arial Narrow" w:hAnsi="Arial Narrow"/>
                <w:i/>
                <w:sz w:val="20"/>
              </w:rPr>
              <w:t>Bias</w:t>
            </w:r>
            <w:r>
              <w:rPr>
                <w:rFonts w:ascii="Arial Narrow" w:hAnsi="Arial Narrow"/>
                <w:i/>
                <w:sz w:val="20"/>
              </w:rPr>
              <w:t xml:space="preserve"> P, </w:t>
            </w:r>
            <w:proofErr w:type="spellStart"/>
            <w:r w:rsidRPr="00095483">
              <w:rPr>
                <w:rFonts w:ascii="Arial Narrow" w:hAnsi="Arial Narrow"/>
                <w:i/>
                <w:sz w:val="20"/>
              </w:rPr>
              <w:t>Elsasser</w:t>
            </w:r>
            <w:proofErr w:type="spellEnd"/>
            <w:r w:rsidRPr="00095483">
              <w:rPr>
                <w:rFonts w:ascii="Arial Narrow" w:hAnsi="Arial Narrow"/>
                <w:i/>
                <w:sz w:val="20"/>
              </w:rPr>
              <w:t xml:space="preserve"> R</w:t>
            </w:r>
            <w:r>
              <w:rPr>
                <w:rFonts w:ascii="Arial Narrow" w:hAnsi="Arial Narrow"/>
                <w:i/>
                <w:sz w:val="20"/>
              </w:rPr>
              <w:t xml:space="preserve">, </w:t>
            </w:r>
            <w:r w:rsidRPr="00095483">
              <w:rPr>
                <w:rFonts w:ascii="Arial Narrow" w:hAnsi="Arial Narrow"/>
                <w:i/>
                <w:sz w:val="20"/>
              </w:rPr>
              <w:t>Buchne</w:t>
            </w:r>
            <w:r w:rsidR="002B6CBF">
              <w:rPr>
                <w:rFonts w:ascii="Arial Narrow" w:hAnsi="Arial Narrow"/>
                <w:i/>
                <w:sz w:val="20"/>
              </w:rPr>
              <w:t>r</w:t>
            </w:r>
            <w:r w:rsidRPr="00095483">
              <w:rPr>
                <w:rFonts w:ascii="Arial Narrow" w:hAnsi="Arial Narrow"/>
                <w:i/>
                <w:sz w:val="20"/>
              </w:rPr>
              <w:t>, A.</w:t>
            </w:r>
            <w:r>
              <w:rPr>
                <w:rFonts w:ascii="Arial Narrow" w:hAnsi="Arial Narrow"/>
                <w:i/>
                <w:sz w:val="20"/>
              </w:rPr>
              <w:t xml:space="preserve"> (2013). </w:t>
            </w:r>
            <w:r w:rsidRPr="00095483">
              <w:rPr>
                <w:rFonts w:ascii="Arial Narrow" w:hAnsi="Arial Narrow"/>
                <w:i/>
                <w:sz w:val="20"/>
              </w:rPr>
              <w:t xml:space="preserve">Analysis of ANC recovery from a Phase III study of </w:t>
            </w:r>
            <w:proofErr w:type="spellStart"/>
            <w:r w:rsidRPr="00095483">
              <w:rPr>
                <w:rFonts w:ascii="Arial Narrow" w:hAnsi="Arial Narrow"/>
                <w:i/>
                <w:sz w:val="20"/>
              </w:rPr>
              <w:t>lipegfilgrastim</w:t>
            </w:r>
            <w:proofErr w:type="spellEnd"/>
            <w:r w:rsidRPr="00095483">
              <w:rPr>
                <w:rFonts w:ascii="Arial Narrow" w:hAnsi="Arial Narrow"/>
                <w:i/>
                <w:sz w:val="20"/>
              </w:rPr>
              <w:t xml:space="preserve"> versus </w:t>
            </w:r>
            <w:proofErr w:type="spellStart"/>
            <w:r w:rsidRPr="00095483">
              <w:rPr>
                <w:rFonts w:ascii="Arial Narrow" w:hAnsi="Arial Narrow"/>
                <w:i/>
                <w:sz w:val="20"/>
              </w:rPr>
              <w:t>pegfilgrastim</w:t>
            </w:r>
            <w:proofErr w:type="spellEnd"/>
            <w:r w:rsidRPr="00095483">
              <w:rPr>
                <w:rFonts w:ascii="Arial Narrow" w:hAnsi="Arial Narrow"/>
                <w:i/>
                <w:sz w:val="20"/>
              </w:rPr>
              <w:t xml:space="preserve"> in patients with breast cancer receiving doxorubicin/</w:t>
            </w:r>
            <w:proofErr w:type="spellStart"/>
            <w:r w:rsidRPr="00095483">
              <w:rPr>
                <w:rFonts w:ascii="Arial Narrow" w:hAnsi="Arial Narrow"/>
                <w:i/>
                <w:sz w:val="20"/>
              </w:rPr>
              <w:t>docetaxel</w:t>
            </w:r>
            <w:proofErr w:type="spellEnd"/>
            <w:r w:rsidRPr="00095483">
              <w:rPr>
                <w:rFonts w:ascii="Arial Narrow" w:hAnsi="Arial Narrow"/>
                <w:i/>
                <w:sz w:val="20"/>
              </w:rPr>
              <w:t xml:space="preserve"> chemotherapy</w:t>
            </w:r>
          </w:p>
        </w:tc>
        <w:tc>
          <w:tcPr>
            <w:tcW w:w="923" w:type="pct"/>
          </w:tcPr>
          <w:p w:rsidR="00D55396" w:rsidRPr="00095483" w:rsidRDefault="00D55396" w:rsidP="00081213">
            <w:pPr>
              <w:widowControl/>
              <w:jc w:val="left"/>
              <w:rPr>
                <w:rFonts w:ascii="Arial Narrow" w:hAnsi="Arial Narrow"/>
                <w:i/>
                <w:sz w:val="20"/>
              </w:rPr>
            </w:pPr>
            <w:r w:rsidRPr="00095483">
              <w:rPr>
                <w:rFonts w:ascii="Arial Narrow" w:hAnsi="Arial Narrow"/>
                <w:sz w:val="20"/>
              </w:rPr>
              <w:t>European Journal of Cancer</w:t>
            </w:r>
            <w:r>
              <w:rPr>
                <w:rFonts w:ascii="Arial Narrow" w:hAnsi="Arial Narrow"/>
                <w:sz w:val="20"/>
              </w:rPr>
              <w:t xml:space="preserve">, </w:t>
            </w:r>
            <w:r>
              <w:rPr>
                <w:rFonts w:ascii="Arial Narrow" w:hAnsi="Arial Narrow"/>
                <w:i/>
                <w:sz w:val="20"/>
              </w:rPr>
              <w:t>49: S434-S435.</w:t>
            </w:r>
          </w:p>
        </w:tc>
      </w:tr>
      <w:tr w:rsidR="00D55396" w:rsidRPr="00095483" w:rsidTr="00D55396">
        <w:tc>
          <w:tcPr>
            <w:tcW w:w="596" w:type="pct"/>
            <w:vMerge/>
          </w:tcPr>
          <w:p w:rsidR="00D55396" w:rsidRPr="004E2ADC" w:rsidRDefault="00D55396" w:rsidP="00081213">
            <w:pPr>
              <w:widowControl/>
              <w:jc w:val="left"/>
              <w:rPr>
                <w:rFonts w:ascii="Arial Narrow" w:hAnsi="Arial Narrow"/>
                <w:sz w:val="20"/>
              </w:rPr>
            </w:pPr>
          </w:p>
        </w:tc>
        <w:tc>
          <w:tcPr>
            <w:tcW w:w="3482" w:type="pct"/>
          </w:tcPr>
          <w:p w:rsidR="00D55396" w:rsidRDefault="00D55396" w:rsidP="00081213">
            <w:pPr>
              <w:widowControl/>
              <w:jc w:val="left"/>
              <w:rPr>
                <w:rFonts w:ascii="Arial Narrow" w:hAnsi="Arial Narrow"/>
                <w:i/>
                <w:sz w:val="20"/>
              </w:rPr>
            </w:pPr>
            <w:proofErr w:type="spellStart"/>
            <w:r w:rsidRPr="00411ED9">
              <w:rPr>
                <w:rFonts w:ascii="Arial Narrow" w:hAnsi="Arial Narrow"/>
                <w:i/>
                <w:sz w:val="20"/>
              </w:rPr>
              <w:t>Gladkov</w:t>
            </w:r>
            <w:proofErr w:type="spellEnd"/>
            <w:r w:rsidRPr="00411ED9">
              <w:rPr>
                <w:rFonts w:ascii="Arial Narrow" w:hAnsi="Arial Narrow"/>
                <w:i/>
                <w:sz w:val="20"/>
              </w:rPr>
              <w:t xml:space="preserve"> OA</w:t>
            </w:r>
            <w:r>
              <w:rPr>
                <w:rFonts w:ascii="Arial Narrow" w:hAnsi="Arial Narrow"/>
                <w:i/>
                <w:sz w:val="20"/>
              </w:rPr>
              <w:t xml:space="preserve">, </w:t>
            </w:r>
            <w:r w:rsidRPr="00411ED9">
              <w:rPr>
                <w:rFonts w:ascii="Arial Narrow" w:hAnsi="Arial Narrow"/>
                <w:i/>
                <w:sz w:val="20"/>
              </w:rPr>
              <w:t>Buchner A</w:t>
            </w:r>
            <w:r>
              <w:rPr>
                <w:rFonts w:ascii="Arial Narrow" w:hAnsi="Arial Narrow"/>
                <w:i/>
                <w:sz w:val="20"/>
              </w:rPr>
              <w:t xml:space="preserve">, </w:t>
            </w:r>
            <w:r w:rsidRPr="00411ED9">
              <w:rPr>
                <w:rFonts w:ascii="Arial Narrow" w:hAnsi="Arial Narrow"/>
                <w:i/>
                <w:sz w:val="20"/>
              </w:rPr>
              <w:t>Bias P</w:t>
            </w:r>
            <w:r>
              <w:rPr>
                <w:rFonts w:ascii="Arial Narrow" w:hAnsi="Arial Narrow"/>
                <w:i/>
                <w:sz w:val="20"/>
              </w:rPr>
              <w:t xml:space="preserve">, </w:t>
            </w:r>
            <w:r w:rsidRPr="00411ED9">
              <w:rPr>
                <w:rFonts w:ascii="Arial Narrow" w:hAnsi="Arial Narrow"/>
                <w:i/>
                <w:sz w:val="20"/>
              </w:rPr>
              <w:t>Muller U</w:t>
            </w:r>
            <w:r>
              <w:rPr>
                <w:rFonts w:ascii="Arial Narrow" w:hAnsi="Arial Narrow"/>
                <w:i/>
                <w:sz w:val="20"/>
              </w:rPr>
              <w:t xml:space="preserve">, </w:t>
            </w:r>
            <w:proofErr w:type="spellStart"/>
            <w:r w:rsidRPr="00411ED9">
              <w:rPr>
                <w:rFonts w:ascii="Arial Narrow" w:hAnsi="Arial Narrow"/>
                <w:i/>
                <w:sz w:val="20"/>
              </w:rPr>
              <w:t>Elsasser</w:t>
            </w:r>
            <w:proofErr w:type="spellEnd"/>
            <w:r w:rsidRPr="00411ED9">
              <w:rPr>
                <w:rFonts w:ascii="Arial Narrow" w:hAnsi="Arial Narrow"/>
                <w:i/>
                <w:sz w:val="20"/>
              </w:rPr>
              <w:t xml:space="preserve"> R.</w:t>
            </w:r>
            <w:r>
              <w:rPr>
                <w:rFonts w:ascii="Arial Narrow" w:hAnsi="Arial Narrow"/>
                <w:i/>
                <w:sz w:val="20"/>
              </w:rPr>
              <w:t xml:space="preserve"> (2016). </w:t>
            </w:r>
            <w:r w:rsidRPr="00411ED9">
              <w:rPr>
                <w:rFonts w:ascii="Arial Narrow" w:hAnsi="Arial Narrow"/>
                <w:i/>
                <w:sz w:val="20"/>
              </w:rPr>
              <w:t xml:space="preserve">Chemotherapy-associated treatment burden in breast cancer patients receiving </w:t>
            </w:r>
            <w:proofErr w:type="spellStart"/>
            <w:r w:rsidRPr="00411ED9">
              <w:rPr>
                <w:rFonts w:ascii="Arial Narrow" w:hAnsi="Arial Narrow"/>
                <w:i/>
                <w:sz w:val="20"/>
              </w:rPr>
              <w:t>lipegfilgrastim</w:t>
            </w:r>
            <w:proofErr w:type="spellEnd"/>
            <w:r w:rsidRPr="00411ED9">
              <w:rPr>
                <w:rFonts w:ascii="Arial Narrow" w:hAnsi="Arial Narrow"/>
                <w:i/>
                <w:sz w:val="20"/>
              </w:rPr>
              <w:t xml:space="preserve"> or </w:t>
            </w:r>
            <w:proofErr w:type="spellStart"/>
            <w:r w:rsidRPr="00411ED9">
              <w:rPr>
                <w:rFonts w:ascii="Arial Narrow" w:hAnsi="Arial Narrow"/>
                <w:i/>
                <w:sz w:val="20"/>
              </w:rPr>
              <w:t>pegfilgrastim</w:t>
            </w:r>
            <w:proofErr w:type="spellEnd"/>
            <w:r w:rsidRPr="00411ED9">
              <w:rPr>
                <w:rFonts w:ascii="Arial Narrow" w:hAnsi="Arial Narrow"/>
                <w:i/>
                <w:sz w:val="20"/>
              </w:rPr>
              <w:t>: secondary efficacy data from a phase III study</w:t>
            </w:r>
            <w:r>
              <w:rPr>
                <w:rFonts w:ascii="Arial Narrow" w:hAnsi="Arial Narrow"/>
                <w:i/>
                <w:sz w:val="20"/>
              </w:rPr>
              <w:t>.</w:t>
            </w:r>
          </w:p>
        </w:tc>
        <w:tc>
          <w:tcPr>
            <w:tcW w:w="923" w:type="pct"/>
          </w:tcPr>
          <w:p w:rsidR="00D55396" w:rsidRPr="00095483" w:rsidRDefault="00D55396" w:rsidP="00081213">
            <w:pPr>
              <w:widowControl/>
              <w:jc w:val="left"/>
              <w:rPr>
                <w:rFonts w:ascii="Arial Narrow" w:hAnsi="Arial Narrow"/>
                <w:sz w:val="20"/>
              </w:rPr>
            </w:pPr>
            <w:r w:rsidRPr="004907A3">
              <w:rPr>
                <w:rFonts w:ascii="Arial Narrow" w:hAnsi="Arial Narrow"/>
                <w:sz w:val="20"/>
              </w:rPr>
              <w:t>Supportive Care in Cancer</w:t>
            </w:r>
            <w:r>
              <w:rPr>
                <w:rFonts w:ascii="Arial Narrow" w:hAnsi="Arial Narrow"/>
                <w:sz w:val="20"/>
              </w:rPr>
              <w:t xml:space="preserve">, </w:t>
            </w:r>
            <w:r>
              <w:rPr>
                <w:rFonts w:ascii="Arial Narrow" w:hAnsi="Arial Narrow"/>
                <w:i/>
                <w:sz w:val="20"/>
              </w:rPr>
              <w:t>24 (1): 395-400.</w:t>
            </w:r>
          </w:p>
        </w:tc>
      </w:tr>
    </w:tbl>
    <w:p w:rsidR="00D55396" w:rsidRPr="007714D7" w:rsidRDefault="004465F4" w:rsidP="00081213">
      <w:pPr>
        <w:pStyle w:val="TableFooter"/>
        <w:widowControl/>
        <w:ind w:firstLine="709"/>
        <w:rPr>
          <w:i/>
        </w:rPr>
      </w:pPr>
      <w:r>
        <w:rPr>
          <w:i/>
        </w:rPr>
        <w:t>Texts in italics are</w:t>
      </w:r>
      <w:r w:rsidR="00D55396">
        <w:rPr>
          <w:i/>
        </w:rPr>
        <w:t xml:space="preserve"> publications identified during the evaluation</w:t>
      </w:r>
    </w:p>
    <w:p w:rsidR="00862502" w:rsidRPr="00862502" w:rsidRDefault="00D55396" w:rsidP="00081213">
      <w:pPr>
        <w:pStyle w:val="TableFooter"/>
        <w:widowControl/>
        <w:ind w:firstLine="720"/>
        <w:rPr>
          <w:szCs w:val="22"/>
        </w:rPr>
      </w:pPr>
      <w:r w:rsidRPr="00D13A3E">
        <w:t xml:space="preserve">Source: </w:t>
      </w:r>
      <w:r>
        <w:t>Table B.2-1, ppB-13-B-14 of the submission</w:t>
      </w:r>
    </w:p>
    <w:p w:rsidR="00862502" w:rsidRPr="008F120A" w:rsidRDefault="00862502" w:rsidP="00081213">
      <w:pPr>
        <w:widowControl/>
        <w:jc w:val="left"/>
        <w:rPr>
          <w:szCs w:val="22"/>
        </w:rPr>
      </w:pPr>
    </w:p>
    <w:p w:rsidR="00862502" w:rsidRPr="00B50DB8" w:rsidRDefault="008F120A" w:rsidP="00081213">
      <w:pPr>
        <w:pStyle w:val="ListParagraph"/>
        <w:widowControl/>
        <w:numPr>
          <w:ilvl w:val="1"/>
          <w:numId w:val="6"/>
        </w:numPr>
        <w:rPr>
          <w:szCs w:val="22"/>
        </w:rPr>
      </w:pPr>
      <w:r w:rsidRPr="00B50DB8">
        <w:rPr>
          <w:szCs w:val="22"/>
        </w:rPr>
        <w:t xml:space="preserve">The key features of the direct randomised trials are summarised in </w:t>
      </w:r>
      <w:r w:rsidR="00D55396">
        <w:rPr>
          <w:szCs w:val="22"/>
        </w:rPr>
        <w:t>Table 2.</w:t>
      </w:r>
    </w:p>
    <w:p w:rsidR="007F1017" w:rsidRDefault="007F1017" w:rsidP="00081213">
      <w:pPr>
        <w:widowControl/>
        <w:rPr>
          <w:szCs w:val="22"/>
        </w:rPr>
      </w:pPr>
    </w:p>
    <w:p w:rsidR="007F1017" w:rsidRPr="00E2771E" w:rsidRDefault="007F1017" w:rsidP="00081213">
      <w:pPr>
        <w:widowControl/>
        <w:ind w:firstLine="720"/>
        <w:rPr>
          <w:rStyle w:val="CommentReference"/>
        </w:rPr>
      </w:pPr>
      <w:r w:rsidRPr="00E2771E">
        <w:rPr>
          <w:rStyle w:val="CommentReference"/>
        </w:rPr>
        <w:t xml:space="preserve">Table </w:t>
      </w:r>
      <w:r w:rsidR="00D55396">
        <w:rPr>
          <w:rStyle w:val="CommentReference"/>
        </w:rPr>
        <w:t>2</w:t>
      </w:r>
      <w:r w:rsidRPr="00E2771E">
        <w:rPr>
          <w:rStyle w:val="CommentReference"/>
        </w:rPr>
        <w:t>: Key features of the included evidence</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1"/>
        <w:gridCol w:w="708"/>
        <w:gridCol w:w="992"/>
        <w:gridCol w:w="851"/>
        <w:gridCol w:w="2552"/>
        <w:gridCol w:w="1280"/>
        <w:gridCol w:w="1112"/>
      </w:tblGrid>
      <w:tr w:rsidR="00D55396" w:rsidRPr="00E2771E" w:rsidTr="00670315">
        <w:tc>
          <w:tcPr>
            <w:tcW w:w="510" w:type="pct"/>
            <w:shd w:val="clear" w:color="auto" w:fill="auto"/>
            <w:vAlign w:val="center"/>
          </w:tcPr>
          <w:p w:rsidR="00D55396" w:rsidRPr="00E2771E" w:rsidRDefault="00D55396" w:rsidP="00081213">
            <w:pPr>
              <w:widowControl/>
              <w:jc w:val="left"/>
              <w:rPr>
                <w:rFonts w:ascii="Arial Narrow" w:hAnsi="Arial Narrow"/>
                <w:b/>
                <w:sz w:val="20"/>
                <w:lang w:val="en-US"/>
              </w:rPr>
            </w:pPr>
            <w:r w:rsidRPr="00E2771E">
              <w:rPr>
                <w:rFonts w:ascii="Arial Narrow" w:hAnsi="Arial Narrow"/>
                <w:b/>
                <w:sz w:val="20"/>
                <w:lang w:val="en-US"/>
              </w:rPr>
              <w:t>Trial</w:t>
            </w:r>
          </w:p>
        </w:tc>
        <w:tc>
          <w:tcPr>
            <w:tcW w:w="424" w:type="pct"/>
            <w:shd w:val="clear" w:color="auto" w:fill="auto"/>
            <w:vAlign w:val="center"/>
          </w:tcPr>
          <w:p w:rsidR="00D55396" w:rsidRPr="00E2771E" w:rsidRDefault="00D55396" w:rsidP="00081213">
            <w:pPr>
              <w:widowControl/>
              <w:jc w:val="center"/>
              <w:rPr>
                <w:rFonts w:ascii="Arial Narrow" w:hAnsi="Arial Narrow"/>
                <w:b/>
                <w:sz w:val="20"/>
                <w:lang w:val="en-US"/>
              </w:rPr>
            </w:pPr>
            <w:r w:rsidRPr="00E2771E">
              <w:rPr>
                <w:rFonts w:ascii="Arial Narrow" w:hAnsi="Arial Narrow"/>
                <w:b/>
                <w:sz w:val="20"/>
                <w:lang w:val="en-US"/>
              </w:rPr>
              <w:t>N</w:t>
            </w:r>
          </w:p>
        </w:tc>
        <w:tc>
          <w:tcPr>
            <w:tcW w:w="594" w:type="pct"/>
            <w:shd w:val="clear" w:color="auto" w:fill="auto"/>
            <w:vAlign w:val="center"/>
          </w:tcPr>
          <w:p w:rsidR="00D55396" w:rsidRPr="00E2771E" w:rsidRDefault="00D55396" w:rsidP="00081213">
            <w:pPr>
              <w:widowControl/>
              <w:jc w:val="center"/>
              <w:rPr>
                <w:rFonts w:ascii="Arial Narrow" w:hAnsi="Arial Narrow"/>
                <w:b/>
                <w:sz w:val="20"/>
                <w:lang w:val="en-US"/>
              </w:rPr>
            </w:pPr>
            <w:r w:rsidRPr="00E2771E">
              <w:rPr>
                <w:rFonts w:ascii="Arial Narrow" w:hAnsi="Arial Narrow"/>
                <w:b/>
                <w:sz w:val="20"/>
                <w:lang w:val="en-US"/>
              </w:rPr>
              <w:t>Design/ duration</w:t>
            </w:r>
          </w:p>
        </w:tc>
        <w:tc>
          <w:tcPr>
            <w:tcW w:w="510" w:type="pct"/>
            <w:shd w:val="clear" w:color="auto" w:fill="auto"/>
            <w:vAlign w:val="center"/>
          </w:tcPr>
          <w:p w:rsidR="00D55396" w:rsidRPr="00E2771E" w:rsidRDefault="00D55396" w:rsidP="00081213">
            <w:pPr>
              <w:widowControl/>
              <w:jc w:val="center"/>
              <w:rPr>
                <w:rFonts w:ascii="Arial Narrow" w:hAnsi="Arial Narrow"/>
                <w:b/>
                <w:sz w:val="20"/>
                <w:lang w:val="en-US"/>
              </w:rPr>
            </w:pPr>
            <w:r w:rsidRPr="00E2771E">
              <w:rPr>
                <w:rFonts w:ascii="Arial Narrow" w:hAnsi="Arial Narrow"/>
                <w:b/>
                <w:sz w:val="20"/>
                <w:lang w:val="en-US"/>
              </w:rPr>
              <w:t>Risk of bias</w:t>
            </w:r>
          </w:p>
        </w:tc>
        <w:tc>
          <w:tcPr>
            <w:tcW w:w="1529" w:type="pct"/>
            <w:shd w:val="clear" w:color="auto" w:fill="auto"/>
            <w:vAlign w:val="center"/>
          </w:tcPr>
          <w:p w:rsidR="00D55396" w:rsidRPr="00E2771E" w:rsidRDefault="00D55396" w:rsidP="00081213">
            <w:pPr>
              <w:widowControl/>
              <w:jc w:val="center"/>
              <w:rPr>
                <w:rFonts w:ascii="Arial Narrow" w:hAnsi="Arial Narrow"/>
                <w:b/>
                <w:sz w:val="20"/>
                <w:lang w:val="en-US"/>
              </w:rPr>
            </w:pPr>
            <w:r w:rsidRPr="00E2771E">
              <w:rPr>
                <w:rFonts w:ascii="Arial Narrow" w:hAnsi="Arial Narrow"/>
                <w:b/>
                <w:sz w:val="20"/>
                <w:lang w:val="en-US"/>
              </w:rPr>
              <w:t>Patient population</w:t>
            </w:r>
          </w:p>
        </w:tc>
        <w:tc>
          <w:tcPr>
            <w:tcW w:w="767" w:type="pct"/>
            <w:shd w:val="clear" w:color="auto" w:fill="auto"/>
            <w:vAlign w:val="center"/>
          </w:tcPr>
          <w:p w:rsidR="00D55396" w:rsidRPr="00E2771E" w:rsidRDefault="00D55396" w:rsidP="00081213">
            <w:pPr>
              <w:widowControl/>
              <w:jc w:val="center"/>
              <w:rPr>
                <w:rFonts w:ascii="Arial Narrow" w:hAnsi="Arial Narrow"/>
                <w:b/>
                <w:sz w:val="20"/>
                <w:lang w:val="en-US"/>
              </w:rPr>
            </w:pPr>
            <w:r>
              <w:rPr>
                <w:rFonts w:ascii="Arial Narrow" w:hAnsi="Arial Narrow"/>
                <w:b/>
                <w:sz w:val="20"/>
                <w:lang w:val="en-US"/>
              </w:rPr>
              <w:t>Primary outcome</w:t>
            </w:r>
          </w:p>
        </w:tc>
        <w:tc>
          <w:tcPr>
            <w:tcW w:w="666" w:type="pct"/>
            <w:shd w:val="clear" w:color="auto" w:fill="auto"/>
            <w:vAlign w:val="center"/>
          </w:tcPr>
          <w:p w:rsidR="00D55396" w:rsidRPr="00E2771E" w:rsidRDefault="00D55396" w:rsidP="00081213">
            <w:pPr>
              <w:widowControl/>
              <w:jc w:val="center"/>
              <w:rPr>
                <w:rFonts w:ascii="Arial Narrow" w:hAnsi="Arial Narrow"/>
                <w:b/>
                <w:sz w:val="20"/>
                <w:lang w:val="en-US"/>
              </w:rPr>
            </w:pPr>
            <w:r w:rsidRPr="00E2771E">
              <w:rPr>
                <w:rFonts w:ascii="Arial Narrow" w:hAnsi="Arial Narrow"/>
                <w:b/>
                <w:sz w:val="20"/>
                <w:lang w:val="en-US"/>
              </w:rPr>
              <w:t xml:space="preserve">Use in </w:t>
            </w:r>
            <w:r>
              <w:rPr>
                <w:rFonts w:ascii="Arial Narrow" w:hAnsi="Arial Narrow"/>
                <w:b/>
                <w:sz w:val="20"/>
                <w:lang w:val="en-US"/>
              </w:rPr>
              <w:t>economic</w:t>
            </w:r>
            <w:r w:rsidRPr="00E2771E">
              <w:rPr>
                <w:rFonts w:ascii="Arial Narrow" w:hAnsi="Arial Narrow"/>
                <w:b/>
                <w:sz w:val="20"/>
                <w:lang w:val="en-US"/>
              </w:rPr>
              <w:t xml:space="preserve"> evaluation</w:t>
            </w:r>
          </w:p>
        </w:tc>
      </w:tr>
      <w:tr w:rsidR="00D55396" w:rsidRPr="00F20080" w:rsidTr="00670315">
        <w:tc>
          <w:tcPr>
            <w:tcW w:w="5000" w:type="pct"/>
            <w:gridSpan w:val="7"/>
            <w:shd w:val="clear" w:color="auto" w:fill="auto"/>
          </w:tcPr>
          <w:p w:rsidR="00D55396" w:rsidRPr="00F20080" w:rsidRDefault="00D55396" w:rsidP="00081213">
            <w:pPr>
              <w:widowControl/>
              <w:jc w:val="left"/>
              <w:rPr>
                <w:rFonts w:ascii="Arial Narrow" w:hAnsi="Arial Narrow"/>
                <w:b/>
                <w:sz w:val="20"/>
                <w:lang w:val="en-US"/>
              </w:rPr>
            </w:pPr>
            <w:proofErr w:type="spellStart"/>
            <w:r>
              <w:rPr>
                <w:rFonts w:ascii="Arial Narrow" w:hAnsi="Arial Narrow"/>
                <w:b/>
                <w:sz w:val="20"/>
                <w:lang w:val="en-US"/>
              </w:rPr>
              <w:t>Randomised</w:t>
            </w:r>
            <w:proofErr w:type="spellEnd"/>
            <w:r>
              <w:rPr>
                <w:rFonts w:ascii="Arial Narrow" w:hAnsi="Arial Narrow"/>
                <w:b/>
                <w:sz w:val="20"/>
                <w:lang w:val="en-US"/>
              </w:rPr>
              <w:t xml:space="preserve"> controlled trials </w:t>
            </w:r>
            <w:r>
              <w:rPr>
                <w:rFonts w:ascii="Arial Narrow" w:hAnsi="Arial Narrow"/>
                <w:b/>
                <w:sz w:val="20"/>
              </w:rPr>
              <w:t xml:space="preserve">of </w:t>
            </w:r>
            <w:proofErr w:type="spellStart"/>
            <w:r>
              <w:rPr>
                <w:rFonts w:ascii="Arial Narrow" w:hAnsi="Arial Narrow"/>
                <w:b/>
                <w:sz w:val="20"/>
              </w:rPr>
              <w:t>lipegfilgrastim</w:t>
            </w:r>
            <w:proofErr w:type="spellEnd"/>
            <w:r>
              <w:rPr>
                <w:rFonts w:ascii="Arial Narrow" w:hAnsi="Arial Narrow"/>
                <w:b/>
                <w:sz w:val="20"/>
              </w:rPr>
              <w:t xml:space="preserve"> versus </w:t>
            </w:r>
            <w:proofErr w:type="spellStart"/>
            <w:r>
              <w:rPr>
                <w:rFonts w:ascii="Arial Narrow" w:hAnsi="Arial Narrow"/>
                <w:b/>
                <w:sz w:val="20"/>
              </w:rPr>
              <w:t>pegfilgrastim</w:t>
            </w:r>
            <w:proofErr w:type="spellEnd"/>
            <w:r>
              <w:rPr>
                <w:rFonts w:ascii="Arial Narrow" w:hAnsi="Arial Narrow"/>
                <w:b/>
                <w:sz w:val="20"/>
              </w:rPr>
              <w:t xml:space="preserve"> – pivotal evidence</w:t>
            </w:r>
          </w:p>
        </w:tc>
      </w:tr>
      <w:tr w:rsidR="00D55396" w:rsidRPr="00E2771E" w:rsidTr="00670315">
        <w:trPr>
          <w:trHeight w:val="568"/>
        </w:trPr>
        <w:tc>
          <w:tcPr>
            <w:tcW w:w="510" w:type="pct"/>
            <w:shd w:val="clear" w:color="auto" w:fill="auto"/>
            <w:vAlign w:val="center"/>
          </w:tcPr>
          <w:p w:rsidR="00D55396" w:rsidRPr="00E2771E" w:rsidRDefault="00D55396" w:rsidP="00081213">
            <w:pPr>
              <w:widowControl/>
              <w:jc w:val="left"/>
              <w:rPr>
                <w:rFonts w:ascii="Arial Narrow" w:hAnsi="Arial Narrow"/>
                <w:sz w:val="20"/>
                <w:lang w:val="en-US"/>
              </w:rPr>
            </w:pPr>
            <w:r>
              <w:rPr>
                <w:rFonts w:ascii="Arial Narrow" w:hAnsi="Arial Narrow"/>
                <w:sz w:val="20"/>
                <w:lang w:val="en-US"/>
              </w:rPr>
              <w:t>Study 02 (XM22-02)</w:t>
            </w:r>
          </w:p>
        </w:tc>
        <w:tc>
          <w:tcPr>
            <w:tcW w:w="424" w:type="pct"/>
            <w:shd w:val="clear" w:color="auto" w:fill="auto"/>
            <w:vAlign w:val="center"/>
          </w:tcPr>
          <w:p w:rsidR="00D55396" w:rsidRPr="00E2771E" w:rsidRDefault="00D55396" w:rsidP="00081213">
            <w:pPr>
              <w:widowControl/>
              <w:jc w:val="center"/>
              <w:rPr>
                <w:rFonts w:ascii="Arial Narrow" w:hAnsi="Arial Narrow"/>
                <w:sz w:val="20"/>
                <w:lang w:val="en-US"/>
              </w:rPr>
            </w:pPr>
            <w:r>
              <w:rPr>
                <w:rFonts w:ascii="Arial Narrow" w:hAnsi="Arial Narrow"/>
                <w:sz w:val="20"/>
                <w:lang w:val="en-US"/>
              </w:rPr>
              <w:t>208</w:t>
            </w:r>
          </w:p>
        </w:tc>
        <w:tc>
          <w:tcPr>
            <w:tcW w:w="594" w:type="pct"/>
            <w:shd w:val="clear" w:color="auto" w:fill="auto"/>
            <w:vAlign w:val="center"/>
          </w:tcPr>
          <w:p w:rsidR="00D55396" w:rsidRDefault="00D55396" w:rsidP="00081213">
            <w:pPr>
              <w:widowControl/>
              <w:jc w:val="center"/>
              <w:rPr>
                <w:rFonts w:ascii="Arial Narrow" w:hAnsi="Arial Narrow"/>
                <w:sz w:val="20"/>
                <w:lang w:val="en-US"/>
              </w:rPr>
            </w:pPr>
            <w:r w:rsidRPr="00E2771E">
              <w:rPr>
                <w:rFonts w:ascii="Arial Narrow" w:hAnsi="Arial Narrow"/>
                <w:sz w:val="20"/>
                <w:lang w:val="en-US"/>
              </w:rPr>
              <w:t xml:space="preserve">R, </w:t>
            </w:r>
            <w:r>
              <w:rPr>
                <w:rFonts w:ascii="Arial Narrow" w:hAnsi="Arial Narrow"/>
                <w:sz w:val="20"/>
                <w:lang w:val="en-US"/>
              </w:rPr>
              <w:t xml:space="preserve">MC, </w:t>
            </w:r>
            <w:r w:rsidRPr="00E2771E">
              <w:rPr>
                <w:rFonts w:ascii="Arial Narrow" w:hAnsi="Arial Narrow"/>
                <w:sz w:val="20"/>
                <w:lang w:val="en-US"/>
              </w:rPr>
              <w:t>DB</w:t>
            </w:r>
          </w:p>
          <w:p w:rsidR="00D55396" w:rsidRPr="00E2771E" w:rsidRDefault="00D55396" w:rsidP="00081213">
            <w:pPr>
              <w:widowControl/>
              <w:jc w:val="center"/>
              <w:rPr>
                <w:rFonts w:ascii="Arial Narrow" w:hAnsi="Arial Narrow"/>
                <w:sz w:val="20"/>
                <w:lang w:val="en-US"/>
              </w:rPr>
            </w:pPr>
            <w:r>
              <w:rPr>
                <w:rFonts w:ascii="Arial Narrow" w:hAnsi="Arial Narrow"/>
                <w:sz w:val="20"/>
                <w:lang w:val="en-US"/>
              </w:rPr>
              <w:t>12 weeks</w:t>
            </w:r>
          </w:p>
        </w:tc>
        <w:tc>
          <w:tcPr>
            <w:tcW w:w="510" w:type="pct"/>
            <w:shd w:val="clear" w:color="auto" w:fill="auto"/>
            <w:vAlign w:val="center"/>
          </w:tcPr>
          <w:p w:rsidR="00D55396" w:rsidRPr="00E2771E" w:rsidRDefault="00D55396" w:rsidP="00081213">
            <w:pPr>
              <w:widowControl/>
              <w:jc w:val="center"/>
              <w:rPr>
                <w:rFonts w:ascii="Arial Narrow" w:hAnsi="Arial Narrow"/>
                <w:sz w:val="20"/>
                <w:lang w:val="en-US"/>
              </w:rPr>
            </w:pPr>
            <w:r w:rsidRPr="00E2771E">
              <w:rPr>
                <w:rFonts w:ascii="Arial Narrow" w:hAnsi="Arial Narrow"/>
                <w:sz w:val="20"/>
                <w:lang w:val="en-US"/>
              </w:rPr>
              <w:t>Low</w:t>
            </w:r>
          </w:p>
        </w:tc>
        <w:tc>
          <w:tcPr>
            <w:tcW w:w="1529" w:type="pct"/>
            <w:vMerge w:val="restart"/>
            <w:shd w:val="clear" w:color="auto" w:fill="auto"/>
            <w:vAlign w:val="center"/>
          </w:tcPr>
          <w:p w:rsidR="00D55396" w:rsidRPr="00834BD5" w:rsidRDefault="00D55396" w:rsidP="00081213">
            <w:pPr>
              <w:widowControl/>
              <w:jc w:val="center"/>
              <w:rPr>
                <w:rFonts w:ascii="Arial Narrow" w:hAnsi="Arial Narrow"/>
                <w:sz w:val="20"/>
                <w:lang w:val="en-US"/>
              </w:rPr>
            </w:pPr>
            <w:r w:rsidRPr="00834BD5">
              <w:rPr>
                <w:rFonts w:ascii="Arial Narrow" w:hAnsi="Arial Narrow"/>
                <w:sz w:val="20"/>
                <w:lang w:val="en-US"/>
              </w:rPr>
              <w:t xml:space="preserve">Patients with breast cancer treated with chemotherapy </w:t>
            </w:r>
            <w:r w:rsidRPr="00834BD5">
              <w:rPr>
                <w:rFonts w:ascii="Arial Narrow" w:hAnsi="Arial Narrow"/>
                <w:sz w:val="20"/>
                <w:lang w:val="en-US"/>
              </w:rPr>
              <w:lastRenderedPageBreak/>
              <w:t>consisting of doxorubicin 60mg/m</w:t>
            </w:r>
            <w:r w:rsidRPr="00834BD5">
              <w:rPr>
                <w:rFonts w:ascii="Arial Narrow" w:hAnsi="Arial Narrow"/>
                <w:sz w:val="20"/>
                <w:vertAlign w:val="superscript"/>
                <w:lang w:val="en-US"/>
              </w:rPr>
              <w:t>2</w:t>
            </w:r>
            <w:r w:rsidRPr="00834BD5">
              <w:rPr>
                <w:rFonts w:ascii="Arial Narrow" w:hAnsi="Arial Narrow"/>
                <w:sz w:val="20"/>
                <w:lang w:val="en-US"/>
              </w:rPr>
              <w:t xml:space="preserve"> and </w:t>
            </w:r>
            <w:proofErr w:type="spellStart"/>
            <w:r w:rsidRPr="00834BD5">
              <w:rPr>
                <w:rFonts w:ascii="Arial Narrow" w:hAnsi="Arial Narrow"/>
                <w:sz w:val="20"/>
                <w:lang w:val="en-US"/>
              </w:rPr>
              <w:t>docetaxel</w:t>
            </w:r>
            <w:proofErr w:type="spellEnd"/>
            <w:r w:rsidRPr="00834BD5">
              <w:rPr>
                <w:rFonts w:ascii="Arial Narrow" w:hAnsi="Arial Narrow"/>
                <w:sz w:val="20"/>
                <w:lang w:val="en-US"/>
              </w:rPr>
              <w:t xml:space="preserve"> 75mg/m</w:t>
            </w:r>
            <w:r w:rsidRPr="00834BD5">
              <w:rPr>
                <w:rFonts w:ascii="Arial Narrow" w:hAnsi="Arial Narrow"/>
                <w:sz w:val="20"/>
                <w:vertAlign w:val="superscript"/>
                <w:lang w:val="en-US"/>
              </w:rPr>
              <w:t>2</w:t>
            </w:r>
            <w:r w:rsidRPr="00834BD5">
              <w:rPr>
                <w:rFonts w:ascii="Arial Narrow" w:hAnsi="Arial Narrow"/>
                <w:sz w:val="20"/>
                <w:lang w:val="en-US"/>
              </w:rPr>
              <w:t xml:space="preserve"> given every 3 weeks.</w:t>
            </w:r>
          </w:p>
        </w:tc>
        <w:tc>
          <w:tcPr>
            <w:tcW w:w="767" w:type="pct"/>
            <w:vMerge w:val="restart"/>
            <w:shd w:val="clear" w:color="auto" w:fill="auto"/>
            <w:vAlign w:val="center"/>
          </w:tcPr>
          <w:p w:rsidR="00D55396" w:rsidRPr="00E2771E" w:rsidRDefault="00D55396" w:rsidP="00081213">
            <w:pPr>
              <w:widowControl/>
              <w:jc w:val="center"/>
              <w:rPr>
                <w:rFonts w:ascii="Arial Narrow" w:hAnsi="Arial Narrow"/>
                <w:sz w:val="20"/>
                <w:lang w:val="en-US"/>
              </w:rPr>
            </w:pPr>
            <w:r>
              <w:rPr>
                <w:rFonts w:ascii="Arial Narrow" w:hAnsi="Arial Narrow"/>
                <w:sz w:val="20"/>
                <w:lang w:val="en-US"/>
              </w:rPr>
              <w:lastRenderedPageBreak/>
              <w:t xml:space="preserve">Duration of severe </w:t>
            </w:r>
            <w:proofErr w:type="spellStart"/>
            <w:r>
              <w:rPr>
                <w:rFonts w:ascii="Arial Narrow" w:hAnsi="Arial Narrow"/>
                <w:sz w:val="20"/>
                <w:lang w:val="en-US"/>
              </w:rPr>
              <w:lastRenderedPageBreak/>
              <w:t>neutropenia</w:t>
            </w:r>
            <w:r>
              <w:rPr>
                <w:rFonts w:ascii="Arial Narrow" w:hAnsi="Arial Narrow"/>
                <w:sz w:val="20"/>
                <w:vertAlign w:val="superscript"/>
                <w:lang w:val="en-US"/>
              </w:rPr>
              <w:t>a</w:t>
            </w:r>
            <w:proofErr w:type="spellEnd"/>
            <w:r>
              <w:rPr>
                <w:rFonts w:ascii="Arial Narrow" w:hAnsi="Arial Narrow"/>
                <w:sz w:val="20"/>
                <w:lang w:val="en-US"/>
              </w:rPr>
              <w:t xml:space="preserve"> (DSN) in days in cycle 1</w:t>
            </w:r>
          </w:p>
        </w:tc>
        <w:tc>
          <w:tcPr>
            <w:tcW w:w="666" w:type="pct"/>
            <w:vMerge w:val="restart"/>
            <w:shd w:val="clear" w:color="auto" w:fill="auto"/>
            <w:vAlign w:val="center"/>
          </w:tcPr>
          <w:p w:rsidR="00D55396" w:rsidRPr="00E2771E" w:rsidRDefault="00D55396" w:rsidP="00081213">
            <w:pPr>
              <w:widowControl/>
              <w:jc w:val="center"/>
              <w:rPr>
                <w:rFonts w:ascii="Arial Narrow" w:hAnsi="Arial Narrow"/>
                <w:sz w:val="20"/>
                <w:lang w:val="en-US"/>
              </w:rPr>
            </w:pPr>
            <w:r>
              <w:rPr>
                <w:rFonts w:ascii="Arial Narrow" w:hAnsi="Arial Narrow"/>
                <w:sz w:val="20"/>
                <w:lang w:val="en-US"/>
              </w:rPr>
              <w:lastRenderedPageBreak/>
              <w:t xml:space="preserve">Yes </w:t>
            </w:r>
          </w:p>
        </w:tc>
      </w:tr>
      <w:tr w:rsidR="00D55396" w:rsidRPr="00E2771E" w:rsidTr="00670315">
        <w:trPr>
          <w:trHeight w:val="569"/>
        </w:trPr>
        <w:tc>
          <w:tcPr>
            <w:tcW w:w="510" w:type="pct"/>
            <w:shd w:val="clear" w:color="auto" w:fill="auto"/>
            <w:vAlign w:val="center"/>
          </w:tcPr>
          <w:p w:rsidR="00D55396" w:rsidRPr="00E2771E" w:rsidRDefault="00D55396" w:rsidP="00081213">
            <w:pPr>
              <w:widowControl/>
              <w:jc w:val="left"/>
              <w:rPr>
                <w:rFonts w:ascii="Arial Narrow" w:hAnsi="Arial Narrow"/>
                <w:sz w:val="20"/>
                <w:lang w:val="en-US"/>
              </w:rPr>
            </w:pPr>
            <w:r>
              <w:rPr>
                <w:rFonts w:ascii="Arial Narrow" w:hAnsi="Arial Narrow"/>
                <w:sz w:val="20"/>
                <w:lang w:val="en-US"/>
              </w:rPr>
              <w:lastRenderedPageBreak/>
              <w:t>Study 03 (XM22-03)</w:t>
            </w:r>
          </w:p>
        </w:tc>
        <w:tc>
          <w:tcPr>
            <w:tcW w:w="424" w:type="pct"/>
            <w:shd w:val="clear" w:color="auto" w:fill="auto"/>
            <w:vAlign w:val="center"/>
          </w:tcPr>
          <w:p w:rsidR="00D55396" w:rsidRPr="00E2771E" w:rsidRDefault="00D55396" w:rsidP="00081213">
            <w:pPr>
              <w:widowControl/>
              <w:jc w:val="center"/>
              <w:rPr>
                <w:rFonts w:ascii="Arial Narrow" w:hAnsi="Arial Narrow"/>
                <w:sz w:val="20"/>
                <w:lang w:val="en-US"/>
              </w:rPr>
            </w:pPr>
            <w:r>
              <w:rPr>
                <w:rFonts w:ascii="Arial Narrow" w:hAnsi="Arial Narrow"/>
                <w:sz w:val="20"/>
                <w:lang w:val="en-US"/>
              </w:rPr>
              <w:t>202</w:t>
            </w:r>
          </w:p>
        </w:tc>
        <w:tc>
          <w:tcPr>
            <w:tcW w:w="594" w:type="pct"/>
            <w:shd w:val="clear" w:color="auto" w:fill="auto"/>
            <w:vAlign w:val="center"/>
          </w:tcPr>
          <w:p w:rsidR="00D55396" w:rsidRPr="00E2771E" w:rsidRDefault="00D55396" w:rsidP="00081213">
            <w:pPr>
              <w:widowControl/>
              <w:jc w:val="center"/>
              <w:rPr>
                <w:rFonts w:ascii="Arial Narrow" w:hAnsi="Arial Narrow"/>
                <w:sz w:val="20"/>
                <w:lang w:val="en-US"/>
              </w:rPr>
            </w:pPr>
            <w:r w:rsidRPr="00E2771E">
              <w:rPr>
                <w:rFonts w:ascii="Arial Narrow" w:hAnsi="Arial Narrow"/>
                <w:sz w:val="20"/>
                <w:lang w:val="en-US"/>
              </w:rPr>
              <w:t xml:space="preserve">R, </w:t>
            </w:r>
            <w:r>
              <w:rPr>
                <w:rFonts w:ascii="Arial Narrow" w:hAnsi="Arial Narrow"/>
                <w:sz w:val="20"/>
                <w:lang w:val="en-US"/>
              </w:rPr>
              <w:t>MC, DB</w:t>
            </w:r>
          </w:p>
          <w:p w:rsidR="00D55396" w:rsidRPr="00E2771E" w:rsidRDefault="00D55396" w:rsidP="00081213">
            <w:pPr>
              <w:widowControl/>
              <w:jc w:val="center"/>
              <w:rPr>
                <w:rFonts w:ascii="Arial Narrow" w:hAnsi="Arial Narrow"/>
                <w:sz w:val="20"/>
                <w:lang w:val="en-US"/>
              </w:rPr>
            </w:pPr>
            <w:r>
              <w:rPr>
                <w:rFonts w:ascii="Arial Narrow" w:hAnsi="Arial Narrow"/>
                <w:sz w:val="20"/>
                <w:lang w:val="en-US"/>
              </w:rPr>
              <w:t>12 weeks</w:t>
            </w:r>
          </w:p>
        </w:tc>
        <w:tc>
          <w:tcPr>
            <w:tcW w:w="510" w:type="pct"/>
            <w:shd w:val="clear" w:color="auto" w:fill="auto"/>
            <w:vAlign w:val="center"/>
          </w:tcPr>
          <w:p w:rsidR="00D55396" w:rsidRPr="00E2771E" w:rsidRDefault="00D55396" w:rsidP="00081213">
            <w:pPr>
              <w:widowControl/>
              <w:jc w:val="center"/>
              <w:rPr>
                <w:rFonts w:ascii="Arial Narrow" w:hAnsi="Arial Narrow"/>
                <w:sz w:val="20"/>
                <w:lang w:val="en-US"/>
              </w:rPr>
            </w:pPr>
            <w:r>
              <w:rPr>
                <w:rFonts w:ascii="Arial Narrow" w:hAnsi="Arial Narrow"/>
                <w:sz w:val="20"/>
                <w:lang w:val="en-US"/>
              </w:rPr>
              <w:t xml:space="preserve">Low </w:t>
            </w:r>
          </w:p>
        </w:tc>
        <w:tc>
          <w:tcPr>
            <w:tcW w:w="1529" w:type="pct"/>
            <w:vMerge/>
            <w:shd w:val="clear" w:color="auto" w:fill="auto"/>
            <w:vAlign w:val="center"/>
          </w:tcPr>
          <w:p w:rsidR="00D55396" w:rsidRPr="00834BD5" w:rsidRDefault="00D55396" w:rsidP="00081213">
            <w:pPr>
              <w:widowControl/>
              <w:jc w:val="center"/>
              <w:rPr>
                <w:rFonts w:ascii="Arial Narrow" w:hAnsi="Arial Narrow"/>
                <w:sz w:val="20"/>
                <w:lang w:val="en-US"/>
              </w:rPr>
            </w:pPr>
          </w:p>
        </w:tc>
        <w:tc>
          <w:tcPr>
            <w:tcW w:w="767" w:type="pct"/>
            <w:vMerge/>
            <w:shd w:val="clear" w:color="auto" w:fill="auto"/>
            <w:vAlign w:val="center"/>
          </w:tcPr>
          <w:p w:rsidR="00D55396" w:rsidRPr="00E2771E" w:rsidRDefault="00D55396" w:rsidP="00081213">
            <w:pPr>
              <w:widowControl/>
              <w:jc w:val="center"/>
              <w:rPr>
                <w:rFonts w:ascii="Arial Narrow" w:hAnsi="Arial Narrow"/>
                <w:sz w:val="20"/>
                <w:lang w:val="en-US"/>
              </w:rPr>
            </w:pPr>
          </w:p>
        </w:tc>
        <w:tc>
          <w:tcPr>
            <w:tcW w:w="666" w:type="pct"/>
            <w:vMerge/>
            <w:shd w:val="clear" w:color="auto" w:fill="auto"/>
            <w:vAlign w:val="center"/>
          </w:tcPr>
          <w:p w:rsidR="00D55396" w:rsidRPr="00E2771E" w:rsidRDefault="00D55396" w:rsidP="00081213">
            <w:pPr>
              <w:widowControl/>
              <w:jc w:val="center"/>
              <w:rPr>
                <w:rFonts w:ascii="Arial Narrow" w:hAnsi="Arial Narrow"/>
                <w:sz w:val="20"/>
                <w:lang w:val="en-US"/>
              </w:rPr>
            </w:pPr>
          </w:p>
        </w:tc>
      </w:tr>
    </w:tbl>
    <w:p w:rsidR="00D55396" w:rsidRDefault="00D55396" w:rsidP="00081213">
      <w:pPr>
        <w:pStyle w:val="TableFooter"/>
        <w:widowControl/>
        <w:ind w:left="993" w:hanging="284"/>
      </w:pPr>
      <w:r w:rsidRPr="0072416F">
        <w:lastRenderedPageBreak/>
        <w:t>DB=double blind; MC=multi-centre; R=randomised.</w:t>
      </w:r>
    </w:p>
    <w:p w:rsidR="00D55396" w:rsidRDefault="00D55396" w:rsidP="00081213">
      <w:pPr>
        <w:pStyle w:val="TableFooter"/>
        <w:widowControl/>
        <w:tabs>
          <w:tab w:val="left" w:pos="284"/>
        </w:tabs>
        <w:ind w:left="993" w:hanging="284"/>
      </w:pPr>
      <w:proofErr w:type="gramStart"/>
      <w:r>
        <w:rPr>
          <w:vertAlign w:val="superscript"/>
        </w:rPr>
        <w:t>a</w:t>
      </w:r>
      <w:proofErr w:type="gramEnd"/>
      <w:r>
        <w:tab/>
        <w:t xml:space="preserve">defined as </w:t>
      </w:r>
      <w:r w:rsidRPr="00F24A35">
        <w:t>grade 4 neutropenia with an</w:t>
      </w:r>
      <w:r>
        <w:t xml:space="preserve"> absolute neutrophil count (</w:t>
      </w:r>
      <w:r w:rsidRPr="00F24A35">
        <w:t>ANC</w:t>
      </w:r>
      <w:r>
        <w:t>)</w:t>
      </w:r>
      <w:r w:rsidRPr="00F24A35">
        <w:t xml:space="preserve"> &lt;0.5x10</w:t>
      </w:r>
      <w:r w:rsidRPr="00F24A35">
        <w:rPr>
          <w:vertAlign w:val="superscript"/>
        </w:rPr>
        <w:t>9</w:t>
      </w:r>
      <w:r>
        <w:t>/L</w:t>
      </w:r>
    </w:p>
    <w:p w:rsidR="00D55396" w:rsidRPr="00F27B1B" w:rsidRDefault="00D55396" w:rsidP="00081213">
      <w:pPr>
        <w:pStyle w:val="TableFooter"/>
        <w:widowControl/>
        <w:tabs>
          <w:tab w:val="left" w:pos="284"/>
        </w:tabs>
        <w:ind w:left="993" w:hanging="284"/>
      </w:pPr>
      <w:proofErr w:type="gramStart"/>
      <w:r>
        <w:rPr>
          <w:vertAlign w:val="superscript"/>
        </w:rPr>
        <w:t>b</w:t>
      </w:r>
      <w:proofErr w:type="gramEnd"/>
      <w:r>
        <w:rPr>
          <w:vertAlign w:val="superscript"/>
        </w:rPr>
        <w:tab/>
      </w:r>
      <w:r w:rsidRPr="00F27B1B">
        <w:t>FN was defined to have occurred if at least one of the following</w:t>
      </w:r>
      <w:r>
        <w:t xml:space="preserve"> </w:t>
      </w:r>
      <w:r w:rsidRPr="00F27B1B">
        <w:t>conditions held true during a CTX cycle:</w:t>
      </w:r>
    </w:p>
    <w:p w:rsidR="00D55396" w:rsidRPr="00F27B1B" w:rsidRDefault="00D55396" w:rsidP="00081213">
      <w:pPr>
        <w:pStyle w:val="TableFooter"/>
        <w:widowControl/>
        <w:numPr>
          <w:ilvl w:val="0"/>
          <w:numId w:val="9"/>
        </w:numPr>
        <w:tabs>
          <w:tab w:val="left" w:pos="284"/>
        </w:tabs>
        <w:ind w:left="1134" w:hanging="141"/>
      </w:pPr>
      <w:r w:rsidRPr="00F27B1B">
        <w:t>Oral body temperature &gt;38.5°C for at least 1 h</w:t>
      </w:r>
      <w:r>
        <w:t>our</w:t>
      </w:r>
      <w:r w:rsidRPr="00F27B1B">
        <w:t xml:space="preserve"> (2 consecutive measurements on the</w:t>
      </w:r>
      <w:r>
        <w:t xml:space="preserve"> </w:t>
      </w:r>
      <w:r w:rsidRPr="00F27B1B">
        <w:t xml:space="preserve">same day, at least 60 minutes apart) and an observed severe neutropenia (i.e. </w:t>
      </w:r>
      <w:r w:rsidR="00473368">
        <w:t>absolute neutrophil count (</w:t>
      </w:r>
      <w:r w:rsidRPr="00F27B1B">
        <w:t>ANC</w:t>
      </w:r>
      <w:r w:rsidR="00473368">
        <w:t>)</w:t>
      </w:r>
      <w:r>
        <w:t xml:space="preserve"> </w:t>
      </w:r>
      <w:r w:rsidRPr="00F27B1B">
        <w:t>value &lt;0.5</w:t>
      </w:r>
      <w:r>
        <w:t>x</w:t>
      </w:r>
      <w:r w:rsidRPr="00F27B1B">
        <w:t>10</w:t>
      </w:r>
      <w:r w:rsidRPr="0009570F">
        <w:rPr>
          <w:vertAlign w:val="superscript"/>
        </w:rPr>
        <w:t>9</w:t>
      </w:r>
      <w:r w:rsidRPr="00F27B1B">
        <w:t>/L) on the day before, on the same day or on the day after the</w:t>
      </w:r>
      <w:r>
        <w:t xml:space="preserve"> </w:t>
      </w:r>
      <w:r w:rsidRPr="00F27B1B">
        <w:t>elevated temperature readings.</w:t>
      </w:r>
    </w:p>
    <w:p w:rsidR="00D55396" w:rsidRPr="00F27B1B" w:rsidRDefault="00D55396" w:rsidP="00081213">
      <w:pPr>
        <w:pStyle w:val="TableFooter"/>
        <w:widowControl/>
        <w:numPr>
          <w:ilvl w:val="0"/>
          <w:numId w:val="9"/>
        </w:numPr>
        <w:tabs>
          <w:tab w:val="left" w:pos="284"/>
        </w:tabs>
        <w:ind w:left="1134" w:hanging="141"/>
      </w:pPr>
      <w:r w:rsidRPr="00F27B1B">
        <w:t xml:space="preserve">Documentation of </w:t>
      </w:r>
      <w:proofErr w:type="spellStart"/>
      <w:r w:rsidRPr="00F27B1B">
        <w:t>neutropenic</w:t>
      </w:r>
      <w:proofErr w:type="spellEnd"/>
      <w:r w:rsidRPr="00F27B1B">
        <w:t xml:space="preserve"> sepsis, i.e. a sepsis in combination with an ANC</w:t>
      </w:r>
      <w:r>
        <w:t xml:space="preserve"> </w:t>
      </w:r>
      <w:r w:rsidRPr="00F27B1B">
        <w:t>value &lt;0.5</w:t>
      </w:r>
      <w:r>
        <w:t>x</w:t>
      </w:r>
      <w:r w:rsidRPr="00F27B1B">
        <w:t>10</w:t>
      </w:r>
      <w:r w:rsidRPr="0009570F">
        <w:rPr>
          <w:vertAlign w:val="superscript"/>
        </w:rPr>
        <w:t>9</w:t>
      </w:r>
      <w:r w:rsidRPr="00F27B1B">
        <w:t>/L.</w:t>
      </w:r>
    </w:p>
    <w:p w:rsidR="00D55396" w:rsidRPr="00F27B1B" w:rsidRDefault="00D55396" w:rsidP="00081213">
      <w:pPr>
        <w:pStyle w:val="TableFooter"/>
        <w:widowControl/>
        <w:numPr>
          <w:ilvl w:val="0"/>
          <w:numId w:val="9"/>
        </w:numPr>
        <w:tabs>
          <w:tab w:val="left" w:pos="284"/>
        </w:tabs>
        <w:ind w:left="1134" w:hanging="141"/>
      </w:pPr>
      <w:r w:rsidRPr="00F27B1B">
        <w:t xml:space="preserve">Documentation of serious or life-threatening </w:t>
      </w:r>
      <w:proofErr w:type="spellStart"/>
      <w:r w:rsidRPr="00F27B1B">
        <w:t>neutropenic</w:t>
      </w:r>
      <w:proofErr w:type="spellEnd"/>
      <w:r w:rsidRPr="00F27B1B">
        <w:t xml:space="preserve"> infection, i.e. a life</w:t>
      </w:r>
      <w:r>
        <w:t>-</w:t>
      </w:r>
      <w:r w:rsidRPr="00F27B1B">
        <w:t>threatening</w:t>
      </w:r>
      <w:r>
        <w:t xml:space="preserve"> </w:t>
      </w:r>
      <w:r w:rsidRPr="00F27B1B">
        <w:t>infection in combination with an ANC value &lt;0.5</w:t>
      </w:r>
      <w:r>
        <w:t>x</w:t>
      </w:r>
      <w:r w:rsidRPr="00F27B1B">
        <w:t>10</w:t>
      </w:r>
      <w:r w:rsidRPr="0009570F">
        <w:rPr>
          <w:vertAlign w:val="superscript"/>
        </w:rPr>
        <w:t>9</w:t>
      </w:r>
      <w:r w:rsidRPr="00F27B1B">
        <w:t>/L.</w:t>
      </w:r>
    </w:p>
    <w:p w:rsidR="00D55396" w:rsidRPr="0072416F" w:rsidRDefault="00D55396" w:rsidP="00081213">
      <w:pPr>
        <w:pStyle w:val="TableFooter"/>
        <w:widowControl/>
        <w:ind w:left="993" w:hanging="284"/>
      </w:pPr>
      <w:r w:rsidRPr="0072416F">
        <w:t>Source: compiled during the evaluation</w:t>
      </w:r>
    </w:p>
    <w:p w:rsidR="007F1017" w:rsidRDefault="007F1017" w:rsidP="00081213">
      <w:pPr>
        <w:pStyle w:val="TableFooter"/>
        <w:widowControl/>
        <w:ind w:firstLine="720"/>
      </w:pPr>
    </w:p>
    <w:p w:rsidR="00D55396" w:rsidRDefault="00D55396" w:rsidP="00081213">
      <w:pPr>
        <w:pStyle w:val="ListParagraph"/>
        <w:widowControl/>
        <w:numPr>
          <w:ilvl w:val="1"/>
          <w:numId w:val="6"/>
        </w:numPr>
      </w:pPr>
      <w:r w:rsidRPr="00D55396">
        <w:t>Study 02 (XM22-02) was a phase II dose-ranging study comparing 3</w:t>
      </w:r>
      <w:r w:rsidR="007B569E">
        <w:t xml:space="preserve"> </w:t>
      </w:r>
      <w:r w:rsidRPr="00D55396">
        <w:t>mg, 4.5</w:t>
      </w:r>
      <w:r w:rsidR="0087593D">
        <w:t xml:space="preserve"> </w:t>
      </w:r>
      <w:r w:rsidRPr="00D55396">
        <w:t>mg and 6</w:t>
      </w:r>
      <w:r w:rsidR="0087593D">
        <w:t xml:space="preserve"> </w:t>
      </w:r>
      <w:r w:rsidRPr="00D55396">
        <w:t xml:space="preserve">mg </w:t>
      </w:r>
      <w:proofErr w:type="spellStart"/>
      <w:r w:rsidRPr="00D55396">
        <w:rPr>
          <w:szCs w:val="22"/>
        </w:rPr>
        <w:t>lipegfilgrastim</w:t>
      </w:r>
      <w:proofErr w:type="spellEnd"/>
      <w:r w:rsidRPr="00D55396">
        <w:t xml:space="preserve"> versus </w:t>
      </w:r>
      <w:r w:rsidRPr="0076600F">
        <w:t>6</w:t>
      </w:r>
      <w:r w:rsidR="007B569E">
        <w:t xml:space="preserve"> </w:t>
      </w:r>
      <w:r w:rsidRPr="0076600F">
        <w:t xml:space="preserve">mg </w:t>
      </w:r>
      <w:proofErr w:type="spellStart"/>
      <w:r w:rsidR="00647482">
        <w:t>peg</w:t>
      </w:r>
      <w:r w:rsidRPr="0076600F">
        <w:t>filgrastim</w:t>
      </w:r>
      <w:proofErr w:type="spellEnd"/>
      <w:r w:rsidRPr="0076600F">
        <w:t>.</w:t>
      </w:r>
      <w:r>
        <w:t xml:space="preserve">  As only the 6</w:t>
      </w:r>
      <w:r w:rsidR="007B569E">
        <w:t xml:space="preserve"> </w:t>
      </w:r>
      <w:r>
        <w:t xml:space="preserve">mg dose is TGA-approved, only details and results relating to this dose are reported.  Study 03 (XM22-03) was a non-inferiority trial comparing </w:t>
      </w:r>
      <w:r w:rsidRPr="00D55396">
        <w:t>6</w:t>
      </w:r>
      <w:r w:rsidR="0087593D">
        <w:t xml:space="preserve"> </w:t>
      </w:r>
      <w:r w:rsidRPr="00D55396">
        <w:t xml:space="preserve">mg </w:t>
      </w:r>
      <w:proofErr w:type="spellStart"/>
      <w:r w:rsidRPr="00D55396">
        <w:rPr>
          <w:szCs w:val="22"/>
        </w:rPr>
        <w:t>lipegfilgrastim</w:t>
      </w:r>
      <w:proofErr w:type="spellEnd"/>
      <w:r w:rsidRPr="00D55396">
        <w:t xml:space="preserve"> versus </w:t>
      </w:r>
      <w:r w:rsidRPr="0076600F">
        <w:t>6</w:t>
      </w:r>
      <w:r w:rsidR="007B569E">
        <w:t xml:space="preserve"> </w:t>
      </w:r>
      <w:r w:rsidRPr="0076600F">
        <w:t xml:space="preserve">mg </w:t>
      </w:r>
      <w:proofErr w:type="spellStart"/>
      <w:r w:rsidR="00647482">
        <w:t>peg</w:t>
      </w:r>
      <w:r w:rsidRPr="0076600F">
        <w:t>filgrastim</w:t>
      </w:r>
      <w:proofErr w:type="spellEnd"/>
      <w:r>
        <w:t>.  All trials were randomised and double-blind and considered to be at a low risk of bias.</w:t>
      </w:r>
    </w:p>
    <w:p w:rsidR="00647482" w:rsidRDefault="00647482" w:rsidP="00081213">
      <w:pPr>
        <w:pStyle w:val="ListParagraph"/>
        <w:widowControl/>
      </w:pPr>
    </w:p>
    <w:p w:rsidR="00647482" w:rsidRPr="006D55CF" w:rsidRDefault="00647482" w:rsidP="00081213">
      <w:pPr>
        <w:pStyle w:val="ListParagraph"/>
        <w:widowControl/>
        <w:numPr>
          <w:ilvl w:val="1"/>
          <w:numId w:val="6"/>
        </w:numPr>
      </w:pPr>
      <w:r w:rsidRPr="006D55CF">
        <w:t xml:space="preserve">No evidence is presented comparing </w:t>
      </w:r>
      <w:proofErr w:type="spellStart"/>
      <w:r w:rsidRPr="006D55CF">
        <w:t>lipegfilgrastim</w:t>
      </w:r>
      <w:proofErr w:type="spellEnd"/>
      <w:r w:rsidRPr="006D55CF">
        <w:t xml:space="preserve"> with </w:t>
      </w:r>
      <w:proofErr w:type="spellStart"/>
      <w:r w:rsidRPr="006D55CF">
        <w:t>filgrastim</w:t>
      </w:r>
      <w:proofErr w:type="spellEnd"/>
      <w:r w:rsidRPr="006D55CF">
        <w:t>.</w:t>
      </w:r>
    </w:p>
    <w:p w:rsidR="007F1017" w:rsidRDefault="007F1017" w:rsidP="00081213">
      <w:pPr>
        <w:widowControl/>
      </w:pPr>
    </w:p>
    <w:p w:rsidR="00B60939" w:rsidRPr="002C2775" w:rsidRDefault="00B60939" w:rsidP="00081213">
      <w:pPr>
        <w:pStyle w:val="Heading2"/>
        <w:widowControl/>
        <w:rPr>
          <w:i/>
        </w:rPr>
      </w:pPr>
      <w:bookmarkStart w:id="9" w:name="_Toc440890551"/>
      <w:r w:rsidRPr="002C2775">
        <w:rPr>
          <w:i/>
        </w:rPr>
        <w:t>Comparative effectiveness</w:t>
      </w:r>
      <w:bookmarkEnd w:id="9"/>
    </w:p>
    <w:p w:rsidR="00B60939" w:rsidRPr="00882085" w:rsidRDefault="00B60939" w:rsidP="00081213">
      <w:pPr>
        <w:widowControl/>
        <w:rPr>
          <w:szCs w:val="22"/>
        </w:rPr>
      </w:pPr>
    </w:p>
    <w:p w:rsidR="002C2775" w:rsidRPr="00B50DB8" w:rsidRDefault="00D55396" w:rsidP="00081213">
      <w:pPr>
        <w:pStyle w:val="ListParagraph"/>
        <w:widowControl/>
        <w:numPr>
          <w:ilvl w:val="1"/>
          <w:numId w:val="6"/>
        </w:numPr>
        <w:rPr>
          <w:szCs w:val="22"/>
        </w:rPr>
      </w:pPr>
      <w:r w:rsidRPr="00D17D6C">
        <w:t xml:space="preserve">Table </w:t>
      </w:r>
      <w:r>
        <w:t>3</w:t>
      </w:r>
      <w:r w:rsidRPr="00D17D6C">
        <w:t xml:space="preserve"> summarise</w:t>
      </w:r>
      <w:r>
        <w:t>s</w:t>
      </w:r>
      <w:r w:rsidRPr="00D17D6C">
        <w:t xml:space="preserve"> the results </w:t>
      </w:r>
      <w:r>
        <w:t>for the primary outcome in t</w:t>
      </w:r>
      <w:r w:rsidRPr="00D17D6C">
        <w:t xml:space="preserve">he direct </w:t>
      </w:r>
      <w:r>
        <w:t xml:space="preserve">head-to-head </w:t>
      </w:r>
      <w:r w:rsidRPr="00D17D6C">
        <w:t>randomised trials</w:t>
      </w:r>
      <w:r>
        <w:t xml:space="preserve"> comparing </w:t>
      </w:r>
      <w:proofErr w:type="spellStart"/>
      <w:r>
        <w:t>lipegfilgrastim</w:t>
      </w:r>
      <w:proofErr w:type="spellEnd"/>
      <w:r>
        <w:t xml:space="preserve"> and </w:t>
      </w:r>
      <w:proofErr w:type="spellStart"/>
      <w:r>
        <w:t>pegfilgrastim</w:t>
      </w:r>
      <w:proofErr w:type="spellEnd"/>
      <w:r w:rsidRPr="00D17D6C">
        <w:t>.</w:t>
      </w:r>
    </w:p>
    <w:p w:rsidR="007F1017" w:rsidRDefault="007F1017" w:rsidP="00081213">
      <w:pPr>
        <w:widowControl/>
        <w:rPr>
          <w:szCs w:val="22"/>
        </w:rPr>
      </w:pPr>
    </w:p>
    <w:p w:rsidR="00D55396" w:rsidRPr="00F851CE" w:rsidRDefault="007F1017" w:rsidP="00081213">
      <w:pPr>
        <w:keepNext/>
        <w:widowControl/>
        <w:ind w:left="709"/>
        <w:rPr>
          <w:rStyle w:val="CommentReference"/>
        </w:rPr>
      </w:pPr>
      <w:r w:rsidRPr="001F7361">
        <w:rPr>
          <w:rStyle w:val="CommentReference"/>
        </w:rPr>
        <w:t xml:space="preserve">Table </w:t>
      </w:r>
      <w:r w:rsidR="00D55396">
        <w:rPr>
          <w:rStyle w:val="CommentReference"/>
        </w:rPr>
        <w:t>3</w:t>
      </w:r>
      <w:r>
        <w:rPr>
          <w:rStyle w:val="CommentReference"/>
        </w:rPr>
        <w:t xml:space="preserve">: </w:t>
      </w:r>
      <w:r w:rsidR="00D55396" w:rsidRPr="00F851CE">
        <w:rPr>
          <w:rStyle w:val="CommentReference"/>
        </w:rPr>
        <w:t xml:space="preserve">Results of </w:t>
      </w:r>
      <w:r w:rsidR="00D55396">
        <w:rPr>
          <w:rStyle w:val="CommentReference"/>
        </w:rPr>
        <w:t>the primary outcome of duration of severe neutropenia</w:t>
      </w:r>
      <w:r w:rsidR="00D55396" w:rsidRPr="00F851CE">
        <w:rPr>
          <w:rStyle w:val="CommentReference"/>
        </w:rPr>
        <w:t xml:space="preserve"> across the </w:t>
      </w:r>
      <w:r w:rsidR="00D55396" w:rsidRPr="00B04CE2">
        <w:rPr>
          <w:rStyle w:val="CommentReference"/>
        </w:rPr>
        <w:t xml:space="preserve">head-to-head randomised trials comparing </w:t>
      </w:r>
      <w:proofErr w:type="spellStart"/>
      <w:r w:rsidR="00D55396" w:rsidRPr="00B04CE2">
        <w:rPr>
          <w:rStyle w:val="CommentReference"/>
        </w:rPr>
        <w:t>lipegfilgrastim</w:t>
      </w:r>
      <w:proofErr w:type="spellEnd"/>
      <w:r w:rsidR="00D55396" w:rsidRPr="00B04CE2">
        <w:rPr>
          <w:rStyle w:val="CommentReference"/>
        </w:rPr>
        <w:t xml:space="preserve"> and </w:t>
      </w:r>
      <w:proofErr w:type="spellStart"/>
      <w:r w:rsidR="00D55396" w:rsidRPr="00B04CE2">
        <w:rPr>
          <w:rStyle w:val="CommentReference"/>
        </w:rPr>
        <w:t>pegfilgrastim</w:t>
      </w:r>
      <w:proofErr w:type="spellEnd"/>
    </w:p>
    <w:tbl>
      <w:tblPr>
        <w:tblW w:w="452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695"/>
        <w:gridCol w:w="1631"/>
        <w:gridCol w:w="1633"/>
        <w:gridCol w:w="1631"/>
        <w:gridCol w:w="1631"/>
      </w:tblGrid>
      <w:tr w:rsidR="00D55396" w:rsidRPr="004E2ADC" w:rsidTr="00D55396">
        <w:tc>
          <w:tcPr>
            <w:tcW w:w="1031" w:type="pct"/>
            <w:vMerge w:val="restart"/>
            <w:vAlign w:val="center"/>
          </w:tcPr>
          <w:p w:rsidR="00D55396" w:rsidRPr="004E2ADC" w:rsidRDefault="00D55396" w:rsidP="00081213">
            <w:pPr>
              <w:keepNext/>
              <w:widowControl/>
              <w:jc w:val="left"/>
              <w:rPr>
                <w:rFonts w:ascii="Arial Narrow" w:hAnsi="Arial Narrow"/>
                <w:sz w:val="20"/>
              </w:rPr>
            </w:pPr>
          </w:p>
        </w:tc>
        <w:tc>
          <w:tcPr>
            <w:tcW w:w="1985" w:type="pct"/>
            <w:gridSpan w:val="2"/>
            <w:vAlign w:val="center"/>
          </w:tcPr>
          <w:p w:rsidR="00D55396" w:rsidRDefault="00D55396" w:rsidP="00081213">
            <w:pPr>
              <w:keepNext/>
              <w:widowControl/>
              <w:jc w:val="center"/>
              <w:rPr>
                <w:rFonts w:ascii="Arial Narrow" w:hAnsi="Arial Narrow"/>
                <w:b/>
                <w:sz w:val="20"/>
              </w:rPr>
            </w:pPr>
            <w:r>
              <w:rPr>
                <w:rFonts w:ascii="Arial Narrow" w:hAnsi="Arial Narrow"/>
                <w:b/>
                <w:sz w:val="20"/>
              </w:rPr>
              <w:t>Study 02 (XM22-02)</w:t>
            </w:r>
          </w:p>
        </w:tc>
        <w:tc>
          <w:tcPr>
            <w:tcW w:w="1985" w:type="pct"/>
            <w:gridSpan w:val="2"/>
            <w:vAlign w:val="center"/>
          </w:tcPr>
          <w:p w:rsidR="00D55396" w:rsidRDefault="00D55396" w:rsidP="00081213">
            <w:pPr>
              <w:keepNext/>
              <w:widowControl/>
              <w:jc w:val="center"/>
              <w:rPr>
                <w:rFonts w:ascii="Arial Narrow" w:hAnsi="Arial Narrow"/>
                <w:b/>
                <w:sz w:val="20"/>
              </w:rPr>
            </w:pPr>
            <w:r>
              <w:rPr>
                <w:rFonts w:ascii="Arial Narrow" w:hAnsi="Arial Narrow"/>
                <w:b/>
                <w:sz w:val="20"/>
              </w:rPr>
              <w:t>Study 03 (XM22-03)</w:t>
            </w:r>
          </w:p>
        </w:tc>
      </w:tr>
      <w:tr w:rsidR="00D55396" w:rsidRPr="004E2ADC" w:rsidTr="00D55396">
        <w:tc>
          <w:tcPr>
            <w:tcW w:w="1031" w:type="pct"/>
            <w:vMerge/>
            <w:vAlign w:val="center"/>
          </w:tcPr>
          <w:p w:rsidR="00D55396" w:rsidRPr="004E2ADC" w:rsidRDefault="00D55396" w:rsidP="00081213">
            <w:pPr>
              <w:keepNext/>
              <w:widowControl/>
              <w:jc w:val="left"/>
              <w:rPr>
                <w:rFonts w:ascii="Arial Narrow" w:hAnsi="Arial Narrow"/>
                <w:sz w:val="20"/>
              </w:rPr>
            </w:pPr>
          </w:p>
        </w:tc>
        <w:tc>
          <w:tcPr>
            <w:tcW w:w="992" w:type="pct"/>
            <w:vAlign w:val="center"/>
          </w:tcPr>
          <w:p w:rsidR="00D55396" w:rsidRPr="004E2ADC" w:rsidRDefault="00D55396" w:rsidP="00081213">
            <w:pPr>
              <w:keepNext/>
              <w:widowControl/>
              <w:ind w:right="-108"/>
              <w:jc w:val="center"/>
              <w:rPr>
                <w:rFonts w:ascii="Arial Narrow" w:hAnsi="Arial Narrow"/>
                <w:sz w:val="20"/>
              </w:rPr>
            </w:pPr>
            <w:proofErr w:type="spellStart"/>
            <w:r>
              <w:rPr>
                <w:rFonts w:ascii="Arial Narrow" w:hAnsi="Arial Narrow"/>
                <w:b/>
                <w:sz w:val="20"/>
              </w:rPr>
              <w:t>Lipegfilgastrim</w:t>
            </w:r>
            <w:proofErr w:type="spellEnd"/>
          </w:p>
        </w:tc>
        <w:tc>
          <w:tcPr>
            <w:tcW w:w="993" w:type="pct"/>
            <w:vAlign w:val="center"/>
          </w:tcPr>
          <w:p w:rsidR="00D55396" w:rsidRPr="004E2ADC" w:rsidRDefault="00D55396" w:rsidP="00081213">
            <w:pPr>
              <w:keepNext/>
              <w:widowControl/>
              <w:jc w:val="center"/>
              <w:rPr>
                <w:rFonts w:ascii="Arial Narrow" w:hAnsi="Arial Narrow"/>
                <w:sz w:val="20"/>
              </w:rPr>
            </w:pPr>
            <w:proofErr w:type="spellStart"/>
            <w:r>
              <w:rPr>
                <w:rFonts w:ascii="Arial Narrow" w:hAnsi="Arial Narrow"/>
                <w:b/>
                <w:sz w:val="20"/>
              </w:rPr>
              <w:t>Pegfilgastrim</w:t>
            </w:r>
            <w:proofErr w:type="spellEnd"/>
            <w:r>
              <w:rPr>
                <w:rFonts w:ascii="Arial Narrow" w:hAnsi="Arial Narrow"/>
                <w:b/>
                <w:sz w:val="20"/>
              </w:rPr>
              <w:t xml:space="preserve"> </w:t>
            </w:r>
          </w:p>
        </w:tc>
        <w:tc>
          <w:tcPr>
            <w:tcW w:w="992" w:type="pct"/>
            <w:vAlign w:val="center"/>
          </w:tcPr>
          <w:p w:rsidR="00D55396" w:rsidRPr="004E2ADC" w:rsidRDefault="00D55396" w:rsidP="00081213">
            <w:pPr>
              <w:keepNext/>
              <w:widowControl/>
              <w:jc w:val="center"/>
              <w:rPr>
                <w:rFonts w:ascii="Arial Narrow" w:hAnsi="Arial Narrow"/>
                <w:b/>
                <w:sz w:val="20"/>
              </w:rPr>
            </w:pPr>
            <w:proofErr w:type="spellStart"/>
            <w:r>
              <w:rPr>
                <w:rFonts w:ascii="Arial Narrow" w:hAnsi="Arial Narrow"/>
                <w:b/>
                <w:sz w:val="20"/>
              </w:rPr>
              <w:t>Lipegfilgastrim</w:t>
            </w:r>
            <w:proofErr w:type="spellEnd"/>
          </w:p>
        </w:tc>
        <w:tc>
          <w:tcPr>
            <w:tcW w:w="993" w:type="pct"/>
            <w:vAlign w:val="center"/>
          </w:tcPr>
          <w:p w:rsidR="00D55396" w:rsidRPr="004E2ADC" w:rsidRDefault="00D55396" w:rsidP="00081213">
            <w:pPr>
              <w:keepNext/>
              <w:widowControl/>
              <w:jc w:val="center"/>
              <w:rPr>
                <w:rFonts w:ascii="Arial Narrow" w:hAnsi="Arial Narrow"/>
                <w:b/>
                <w:sz w:val="20"/>
              </w:rPr>
            </w:pPr>
            <w:proofErr w:type="spellStart"/>
            <w:r>
              <w:rPr>
                <w:rFonts w:ascii="Arial Narrow" w:hAnsi="Arial Narrow"/>
                <w:b/>
                <w:sz w:val="20"/>
              </w:rPr>
              <w:t>Pegfilgastrim</w:t>
            </w:r>
            <w:proofErr w:type="spellEnd"/>
            <w:r>
              <w:rPr>
                <w:rFonts w:ascii="Arial Narrow" w:hAnsi="Arial Narrow"/>
                <w:b/>
                <w:sz w:val="20"/>
              </w:rPr>
              <w:t xml:space="preserve"> </w:t>
            </w:r>
          </w:p>
        </w:tc>
      </w:tr>
      <w:tr w:rsidR="00D55396" w:rsidRPr="004E2ADC" w:rsidTr="00D55396">
        <w:tc>
          <w:tcPr>
            <w:tcW w:w="5000" w:type="pct"/>
            <w:gridSpan w:val="5"/>
            <w:shd w:val="clear" w:color="auto" w:fill="FFFFFF" w:themeFill="background1"/>
          </w:tcPr>
          <w:p w:rsidR="00D55396" w:rsidRPr="00D67FB2" w:rsidRDefault="00D55396" w:rsidP="00081213">
            <w:pPr>
              <w:keepNext/>
              <w:widowControl/>
              <w:jc w:val="left"/>
              <w:rPr>
                <w:rFonts w:ascii="Arial Narrow" w:hAnsi="Arial Narrow"/>
                <w:b/>
                <w:sz w:val="20"/>
              </w:rPr>
            </w:pPr>
            <w:r>
              <w:rPr>
                <w:rFonts w:ascii="Arial Narrow" w:hAnsi="Arial Narrow"/>
                <w:b/>
                <w:sz w:val="20"/>
              </w:rPr>
              <w:t>ITT population</w:t>
            </w:r>
          </w:p>
        </w:tc>
      </w:tr>
      <w:tr w:rsidR="00D55396" w:rsidRPr="004E2ADC" w:rsidTr="00D55396">
        <w:tc>
          <w:tcPr>
            <w:tcW w:w="1031" w:type="pct"/>
            <w:vAlign w:val="center"/>
          </w:tcPr>
          <w:p w:rsidR="00D55396" w:rsidRPr="004E2ADC" w:rsidRDefault="00D55396" w:rsidP="00081213">
            <w:pPr>
              <w:keepNext/>
              <w:widowControl/>
              <w:jc w:val="left"/>
              <w:rPr>
                <w:rFonts w:ascii="Arial Narrow" w:hAnsi="Arial Narrow"/>
                <w:sz w:val="20"/>
              </w:rPr>
            </w:pPr>
            <w:r>
              <w:rPr>
                <w:rFonts w:ascii="Arial Narrow" w:hAnsi="Arial Narrow"/>
                <w:sz w:val="20"/>
              </w:rPr>
              <w:t xml:space="preserve">N </w:t>
            </w:r>
          </w:p>
        </w:tc>
        <w:tc>
          <w:tcPr>
            <w:tcW w:w="992" w:type="pct"/>
            <w:vAlign w:val="center"/>
          </w:tcPr>
          <w:p w:rsidR="00D55396" w:rsidRPr="004E2ADC" w:rsidRDefault="00D55396" w:rsidP="00081213">
            <w:pPr>
              <w:keepNext/>
              <w:widowControl/>
              <w:jc w:val="center"/>
              <w:rPr>
                <w:rFonts w:ascii="Arial Narrow" w:hAnsi="Arial Narrow"/>
                <w:sz w:val="20"/>
              </w:rPr>
            </w:pPr>
            <w:r>
              <w:rPr>
                <w:rFonts w:ascii="Arial Narrow" w:hAnsi="Arial Narrow"/>
                <w:sz w:val="20"/>
              </w:rPr>
              <w:t>50</w:t>
            </w:r>
          </w:p>
        </w:tc>
        <w:tc>
          <w:tcPr>
            <w:tcW w:w="993" w:type="pct"/>
            <w:vAlign w:val="center"/>
          </w:tcPr>
          <w:p w:rsidR="00D55396" w:rsidRPr="004E2ADC" w:rsidRDefault="00D55396" w:rsidP="00081213">
            <w:pPr>
              <w:keepNext/>
              <w:widowControl/>
              <w:jc w:val="center"/>
              <w:rPr>
                <w:rFonts w:ascii="Arial Narrow" w:hAnsi="Arial Narrow"/>
                <w:sz w:val="20"/>
              </w:rPr>
            </w:pPr>
            <w:r>
              <w:rPr>
                <w:rFonts w:ascii="Arial Narrow" w:hAnsi="Arial Narrow"/>
                <w:sz w:val="20"/>
              </w:rPr>
              <w:t>54</w:t>
            </w:r>
          </w:p>
        </w:tc>
        <w:tc>
          <w:tcPr>
            <w:tcW w:w="992" w:type="pct"/>
            <w:vAlign w:val="center"/>
          </w:tcPr>
          <w:p w:rsidR="00D55396" w:rsidRPr="004E2ADC" w:rsidRDefault="00D55396" w:rsidP="00081213">
            <w:pPr>
              <w:keepNext/>
              <w:widowControl/>
              <w:jc w:val="center"/>
              <w:rPr>
                <w:rFonts w:ascii="Arial Narrow" w:hAnsi="Arial Narrow"/>
                <w:sz w:val="20"/>
              </w:rPr>
            </w:pPr>
            <w:r>
              <w:rPr>
                <w:rFonts w:ascii="Arial Narrow" w:hAnsi="Arial Narrow"/>
                <w:sz w:val="20"/>
              </w:rPr>
              <w:t>101</w:t>
            </w:r>
          </w:p>
        </w:tc>
        <w:tc>
          <w:tcPr>
            <w:tcW w:w="993" w:type="pct"/>
            <w:vAlign w:val="center"/>
          </w:tcPr>
          <w:p w:rsidR="00D55396" w:rsidRPr="004E2ADC" w:rsidRDefault="00D55396" w:rsidP="00081213">
            <w:pPr>
              <w:keepNext/>
              <w:widowControl/>
              <w:jc w:val="center"/>
              <w:rPr>
                <w:rFonts w:ascii="Arial Narrow" w:hAnsi="Arial Narrow"/>
                <w:sz w:val="20"/>
              </w:rPr>
            </w:pPr>
            <w:r>
              <w:rPr>
                <w:rFonts w:ascii="Arial Narrow" w:hAnsi="Arial Narrow"/>
                <w:sz w:val="20"/>
              </w:rPr>
              <w:t>101</w:t>
            </w:r>
          </w:p>
        </w:tc>
      </w:tr>
      <w:tr w:rsidR="00D55396" w:rsidRPr="004E2ADC" w:rsidTr="00D55396">
        <w:tc>
          <w:tcPr>
            <w:tcW w:w="1031" w:type="pct"/>
            <w:vAlign w:val="center"/>
          </w:tcPr>
          <w:p w:rsidR="00D55396" w:rsidRPr="004E2ADC" w:rsidRDefault="00D55396" w:rsidP="00081213">
            <w:pPr>
              <w:keepNext/>
              <w:widowControl/>
              <w:jc w:val="left"/>
              <w:rPr>
                <w:rFonts w:ascii="Arial Narrow" w:hAnsi="Arial Narrow"/>
                <w:sz w:val="20"/>
              </w:rPr>
            </w:pPr>
            <w:r>
              <w:rPr>
                <w:rFonts w:ascii="Arial Narrow" w:hAnsi="Arial Narrow"/>
                <w:sz w:val="20"/>
              </w:rPr>
              <w:t>Mean (SD)</w:t>
            </w:r>
          </w:p>
        </w:tc>
        <w:tc>
          <w:tcPr>
            <w:tcW w:w="992" w:type="pct"/>
            <w:vAlign w:val="center"/>
          </w:tcPr>
          <w:p w:rsidR="00D55396" w:rsidRPr="004E2ADC" w:rsidRDefault="00D55396" w:rsidP="00081213">
            <w:pPr>
              <w:keepNext/>
              <w:widowControl/>
              <w:jc w:val="center"/>
              <w:rPr>
                <w:rFonts w:ascii="Arial Narrow" w:hAnsi="Arial Narrow"/>
                <w:sz w:val="20"/>
              </w:rPr>
            </w:pPr>
            <w:r>
              <w:rPr>
                <w:rFonts w:ascii="Arial Narrow" w:hAnsi="Arial Narrow"/>
                <w:sz w:val="20"/>
              </w:rPr>
              <w:t>0.76 (1.10)</w:t>
            </w:r>
          </w:p>
        </w:tc>
        <w:tc>
          <w:tcPr>
            <w:tcW w:w="993" w:type="pct"/>
            <w:vAlign w:val="center"/>
          </w:tcPr>
          <w:p w:rsidR="00D55396" w:rsidRPr="004E2ADC" w:rsidRDefault="00D55396" w:rsidP="00081213">
            <w:pPr>
              <w:keepNext/>
              <w:widowControl/>
              <w:jc w:val="center"/>
              <w:rPr>
                <w:rFonts w:ascii="Arial Narrow" w:hAnsi="Arial Narrow"/>
                <w:sz w:val="20"/>
              </w:rPr>
            </w:pPr>
            <w:r>
              <w:rPr>
                <w:rFonts w:ascii="Arial Narrow" w:hAnsi="Arial Narrow"/>
                <w:sz w:val="20"/>
              </w:rPr>
              <w:t>0.87 (0.99)</w:t>
            </w:r>
          </w:p>
        </w:tc>
        <w:tc>
          <w:tcPr>
            <w:tcW w:w="992" w:type="pct"/>
            <w:vAlign w:val="center"/>
          </w:tcPr>
          <w:p w:rsidR="00D55396" w:rsidRPr="004E2ADC" w:rsidRDefault="00D55396" w:rsidP="00081213">
            <w:pPr>
              <w:keepNext/>
              <w:widowControl/>
              <w:jc w:val="center"/>
              <w:rPr>
                <w:rFonts w:ascii="Arial Narrow" w:hAnsi="Arial Narrow"/>
                <w:sz w:val="20"/>
              </w:rPr>
            </w:pPr>
            <w:r>
              <w:rPr>
                <w:rFonts w:ascii="Arial Narrow" w:hAnsi="Arial Narrow"/>
                <w:sz w:val="20"/>
              </w:rPr>
              <w:t>0.7 (1.0)</w:t>
            </w:r>
          </w:p>
        </w:tc>
        <w:tc>
          <w:tcPr>
            <w:tcW w:w="993" w:type="pct"/>
            <w:vAlign w:val="center"/>
          </w:tcPr>
          <w:p w:rsidR="00D55396" w:rsidRPr="004E2ADC" w:rsidRDefault="00D55396" w:rsidP="00081213">
            <w:pPr>
              <w:keepNext/>
              <w:widowControl/>
              <w:jc w:val="center"/>
              <w:rPr>
                <w:rFonts w:ascii="Arial Narrow" w:hAnsi="Arial Narrow"/>
                <w:sz w:val="20"/>
              </w:rPr>
            </w:pPr>
            <w:r>
              <w:rPr>
                <w:rFonts w:ascii="Arial Narrow" w:hAnsi="Arial Narrow"/>
                <w:sz w:val="20"/>
              </w:rPr>
              <w:t>0.9 (0.9)</w:t>
            </w:r>
          </w:p>
        </w:tc>
      </w:tr>
      <w:tr w:rsidR="00D55396" w:rsidRPr="004E2ADC" w:rsidTr="00D55396">
        <w:tc>
          <w:tcPr>
            <w:tcW w:w="1031" w:type="pct"/>
            <w:vAlign w:val="center"/>
          </w:tcPr>
          <w:p w:rsidR="00D55396" w:rsidRPr="004E2ADC" w:rsidRDefault="00D55396" w:rsidP="00081213">
            <w:pPr>
              <w:keepNext/>
              <w:widowControl/>
              <w:ind w:right="-108"/>
              <w:jc w:val="left"/>
              <w:rPr>
                <w:rFonts w:ascii="Arial Narrow" w:hAnsi="Arial Narrow"/>
                <w:sz w:val="20"/>
              </w:rPr>
            </w:pPr>
            <w:r>
              <w:rPr>
                <w:rFonts w:ascii="Arial Narrow" w:hAnsi="Arial Narrow"/>
                <w:sz w:val="20"/>
              </w:rPr>
              <w:t>LS Mean (95% CI)</w:t>
            </w:r>
          </w:p>
        </w:tc>
        <w:tc>
          <w:tcPr>
            <w:tcW w:w="1985" w:type="pct"/>
            <w:gridSpan w:val="2"/>
            <w:vAlign w:val="center"/>
          </w:tcPr>
          <w:p w:rsidR="00D55396" w:rsidRPr="002856B2" w:rsidRDefault="00D55396" w:rsidP="00081213">
            <w:pPr>
              <w:keepNext/>
              <w:widowControl/>
              <w:jc w:val="center"/>
              <w:rPr>
                <w:rFonts w:ascii="Arial Narrow" w:hAnsi="Arial Narrow"/>
                <w:sz w:val="20"/>
              </w:rPr>
            </w:pPr>
            <w:r w:rsidRPr="002856B2">
              <w:rPr>
                <w:rFonts w:ascii="Arial Narrow" w:hAnsi="Arial Narrow"/>
                <w:sz w:val="20"/>
              </w:rPr>
              <w:t>-</w:t>
            </w:r>
            <w:r w:rsidR="00F9168A">
              <w:rPr>
                <w:rFonts w:ascii="Arial Narrow" w:hAnsi="Arial Narrow"/>
                <w:noProof/>
                <w:color w:val="000000"/>
                <w:sz w:val="20"/>
                <w:highlight w:val="black"/>
              </w:rPr>
              <w:t>'''''''''''''</w:t>
            </w:r>
            <w:r w:rsidRPr="002856B2">
              <w:rPr>
                <w:rFonts w:ascii="Arial Narrow" w:hAnsi="Arial Narrow"/>
                <w:sz w:val="20"/>
              </w:rPr>
              <w:t xml:space="preserve"> (-</w:t>
            </w:r>
            <w:r w:rsidR="00F9168A">
              <w:rPr>
                <w:rFonts w:ascii="Arial Narrow" w:hAnsi="Arial Narrow"/>
                <w:noProof/>
                <w:color w:val="000000"/>
                <w:sz w:val="20"/>
                <w:highlight w:val="black"/>
              </w:rPr>
              <w:t>''''''''''''''</w:t>
            </w:r>
            <w:r w:rsidRPr="002856B2">
              <w:rPr>
                <w:rFonts w:ascii="Arial Narrow" w:hAnsi="Arial Narrow"/>
                <w:sz w:val="20"/>
              </w:rPr>
              <w:t xml:space="preserve">, </w:t>
            </w:r>
            <w:r w:rsidR="00F9168A">
              <w:rPr>
                <w:rFonts w:ascii="Arial Narrow" w:hAnsi="Arial Narrow"/>
                <w:noProof/>
                <w:color w:val="000000"/>
                <w:sz w:val="20"/>
                <w:highlight w:val="black"/>
              </w:rPr>
              <w:t>''''''''''''''</w:t>
            </w:r>
            <w:r w:rsidRPr="002856B2">
              <w:rPr>
                <w:rFonts w:ascii="Arial Narrow" w:hAnsi="Arial Narrow"/>
                <w:sz w:val="20"/>
              </w:rPr>
              <w:t>)</w:t>
            </w:r>
          </w:p>
        </w:tc>
        <w:tc>
          <w:tcPr>
            <w:tcW w:w="1985" w:type="pct"/>
            <w:gridSpan w:val="2"/>
            <w:vAlign w:val="center"/>
          </w:tcPr>
          <w:p w:rsidR="00D55396" w:rsidRPr="002856B2" w:rsidRDefault="00D55396" w:rsidP="00081213">
            <w:pPr>
              <w:keepNext/>
              <w:widowControl/>
              <w:jc w:val="center"/>
              <w:rPr>
                <w:rFonts w:ascii="Arial Narrow" w:hAnsi="Arial Narrow"/>
                <w:sz w:val="20"/>
              </w:rPr>
            </w:pPr>
            <w:r w:rsidRPr="002856B2">
              <w:rPr>
                <w:rFonts w:ascii="Arial Narrow" w:hAnsi="Arial Narrow"/>
                <w:sz w:val="20"/>
              </w:rPr>
              <w:t>-</w:t>
            </w:r>
            <w:r w:rsidR="00F9168A">
              <w:rPr>
                <w:rFonts w:ascii="Arial Narrow" w:hAnsi="Arial Narrow"/>
                <w:noProof/>
                <w:color w:val="000000"/>
                <w:sz w:val="20"/>
                <w:highlight w:val="black"/>
              </w:rPr>
              <w:t>''''''''''''</w:t>
            </w:r>
            <w:r w:rsidRPr="002856B2">
              <w:rPr>
                <w:rFonts w:ascii="Arial Narrow" w:hAnsi="Arial Narrow"/>
                <w:sz w:val="20"/>
              </w:rPr>
              <w:t xml:space="preserve"> (-</w:t>
            </w:r>
            <w:r w:rsidR="00F9168A">
              <w:rPr>
                <w:rFonts w:ascii="Arial Narrow" w:hAnsi="Arial Narrow"/>
                <w:noProof/>
                <w:color w:val="000000"/>
                <w:sz w:val="20"/>
                <w:highlight w:val="black"/>
              </w:rPr>
              <w:t>''''''''''''''</w:t>
            </w:r>
            <w:r w:rsidRPr="002856B2">
              <w:rPr>
                <w:rFonts w:ascii="Arial Narrow" w:hAnsi="Arial Narrow"/>
                <w:sz w:val="20"/>
              </w:rPr>
              <w:t xml:space="preserve">, </w:t>
            </w:r>
            <w:r w:rsidR="00F9168A">
              <w:rPr>
                <w:rFonts w:ascii="Arial Narrow" w:hAnsi="Arial Narrow"/>
                <w:noProof/>
                <w:color w:val="000000"/>
                <w:sz w:val="20"/>
                <w:highlight w:val="black"/>
              </w:rPr>
              <w:t>'''''''''''''</w:t>
            </w:r>
            <w:r w:rsidRPr="002856B2">
              <w:rPr>
                <w:rFonts w:ascii="Arial Narrow" w:hAnsi="Arial Narrow"/>
                <w:sz w:val="20"/>
              </w:rPr>
              <w:t>)</w:t>
            </w:r>
          </w:p>
        </w:tc>
      </w:tr>
      <w:tr w:rsidR="00D55396" w:rsidRPr="004E2ADC" w:rsidTr="00D55396">
        <w:tc>
          <w:tcPr>
            <w:tcW w:w="1031" w:type="pct"/>
            <w:vAlign w:val="center"/>
          </w:tcPr>
          <w:p w:rsidR="00D55396" w:rsidRDefault="00D55396" w:rsidP="00081213">
            <w:pPr>
              <w:keepNext/>
              <w:widowControl/>
              <w:ind w:right="-108"/>
              <w:jc w:val="left"/>
              <w:rPr>
                <w:rFonts w:ascii="Arial Narrow" w:hAnsi="Arial Narrow"/>
                <w:sz w:val="20"/>
              </w:rPr>
            </w:pPr>
            <w:r>
              <w:rPr>
                <w:rFonts w:ascii="Arial Narrow" w:hAnsi="Arial Narrow"/>
                <w:sz w:val="20"/>
              </w:rPr>
              <w:t>Meta-analysis</w:t>
            </w:r>
          </w:p>
        </w:tc>
        <w:tc>
          <w:tcPr>
            <w:tcW w:w="3969" w:type="pct"/>
            <w:gridSpan w:val="4"/>
            <w:vAlign w:val="center"/>
          </w:tcPr>
          <w:p w:rsidR="00D55396" w:rsidRPr="002856B2" w:rsidRDefault="00D55396" w:rsidP="00081213">
            <w:pPr>
              <w:keepNext/>
              <w:widowControl/>
              <w:jc w:val="center"/>
              <w:rPr>
                <w:rFonts w:ascii="Arial Narrow" w:hAnsi="Arial Narrow"/>
                <w:sz w:val="20"/>
              </w:rPr>
            </w:pPr>
            <w:r w:rsidRPr="002856B2">
              <w:rPr>
                <w:rFonts w:ascii="Arial Narrow" w:hAnsi="Arial Narrow"/>
                <w:sz w:val="20"/>
              </w:rPr>
              <w:t>-</w:t>
            </w:r>
            <w:r w:rsidR="00F9168A">
              <w:rPr>
                <w:rFonts w:ascii="Arial Narrow" w:hAnsi="Arial Narrow"/>
                <w:noProof/>
                <w:color w:val="000000"/>
                <w:sz w:val="20"/>
                <w:highlight w:val="black"/>
              </w:rPr>
              <w:t>''''''''''''''</w:t>
            </w:r>
            <w:r w:rsidRPr="002856B2">
              <w:rPr>
                <w:rFonts w:ascii="Arial Narrow" w:hAnsi="Arial Narrow"/>
                <w:sz w:val="20"/>
              </w:rPr>
              <w:t xml:space="preserve"> (-</w:t>
            </w:r>
            <w:r w:rsidR="00F9168A">
              <w:rPr>
                <w:rFonts w:ascii="Arial Narrow" w:hAnsi="Arial Narrow"/>
                <w:noProof/>
                <w:color w:val="000000"/>
                <w:sz w:val="20"/>
                <w:highlight w:val="black"/>
              </w:rPr>
              <w:t>'''''''''''''</w:t>
            </w:r>
            <w:r w:rsidRPr="002856B2">
              <w:rPr>
                <w:rFonts w:ascii="Arial Narrow" w:hAnsi="Arial Narrow"/>
                <w:sz w:val="20"/>
              </w:rPr>
              <w:t xml:space="preserve">, </w:t>
            </w:r>
            <w:r w:rsidR="00F9168A">
              <w:rPr>
                <w:rFonts w:ascii="Arial Narrow" w:hAnsi="Arial Narrow"/>
                <w:noProof/>
                <w:color w:val="000000"/>
                <w:sz w:val="20"/>
                <w:highlight w:val="black"/>
              </w:rPr>
              <w:t>'''''''''''''''</w:t>
            </w:r>
            <w:r w:rsidRPr="002856B2">
              <w:rPr>
                <w:rFonts w:ascii="Arial Narrow" w:hAnsi="Arial Narrow"/>
                <w:sz w:val="20"/>
              </w:rPr>
              <w:t>)</w:t>
            </w:r>
          </w:p>
        </w:tc>
      </w:tr>
      <w:tr w:rsidR="00D55396" w:rsidRPr="004E2ADC" w:rsidTr="00D55396">
        <w:tc>
          <w:tcPr>
            <w:tcW w:w="5000" w:type="pct"/>
            <w:gridSpan w:val="5"/>
            <w:shd w:val="clear" w:color="auto" w:fill="FFFFFF" w:themeFill="background1"/>
          </w:tcPr>
          <w:p w:rsidR="00D55396" w:rsidRPr="00D67FB2" w:rsidRDefault="00D55396" w:rsidP="00081213">
            <w:pPr>
              <w:keepNext/>
              <w:widowControl/>
              <w:jc w:val="left"/>
              <w:rPr>
                <w:rFonts w:ascii="Arial Narrow" w:hAnsi="Arial Narrow"/>
                <w:b/>
                <w:sz w:val="20"/>
              </w:rPr>
            </w:pPr>
            <w:r>
              <w:rPr>
                <w:rFonts w:ascii="Arial Narrow" w:hAnsi="Arial Narrow"/>
                <w:b/>
                <w:sz w:val="20"/>
              </w:rPr>
              <w:t>PP population</w:t>
            </w:r>
          </w:p>
        </w:tc>
      </w:tr>
      <w:tr w:rsidR="00D55396" w:rsidRPr="004E2ADC" w:rsidTr="00D55396">
        <w:tc>
          <w:tcPr>
            <w:tcW w:w="1031" w:type="pct"/>
            <w:vAlign w:val="center"/>
          </w:tcPr>
          <w:p w:rsidR="00D55396" w:rsidRDefault="00D55396" w:rsidP="00081213">
            <w:pPr>
              <w:keepNext/>
              <w:widowControl/>
              <w:ind w:right="-108"/>
              <w:jc w:val="left"/>
              <w:rPr>
                <w:rFonts w:ascii="Arial Narrow" w:hAnsi="Arial Narrow"/>
                <w:sz w:val="20"/>
              </w:rPr>
            </w:pPr>
            <w:r>
              <w:rPr>
                <w:rFonts w:ascii="Arial Narrow" w:hAnsi="Arial Narrow"/>
                <w:sz w:val="20"/>
              </w:rPr>
              <w:t xml:space="preserve">N </w:t>
            </w:r>
          </w:p>
        </w:tc>
        <w:tc>
          <w:tcPr>
            <w:tcW w:w="992" w:type="pct"/>
            <w:vAlign w:val="center"/>
          </w:tcPr>
          <w:p w:rsidR="00D55396" w:rsidRPr="004E2ADC" w:rsidRDefault="00D55396" w:rsidP="00081213">
            <w:pPr>
              <w:keepNext/>
              <w:widowControl/>
              <w:jc w:val="center"/>
              <w:rPr>
                <w:rFonts w:ascii="Arial Narrow" w:hAnsi="Arial Narrow"/>
                <w:sz w:val="20"/>
              </w:rPr>
            </w:pPr>
            <w:r>
              <w:rPr>
                <w:rFonts w:ascii="Arial Narrow" w:hAnsi="Arial Narrow"/>
                <w:sz w:val="20"/>
              </w:rPr>
              <w:t>48</w:t>
            </w:r>
          </w:p>
        </w:tc>
        <w:tc>
          <w:tcPr>
            <w:tcW w:w="993" w:type="pct"/>
            <w:vAlign w:val="center"/>
          </w:tcPr>
          <w:p w:rsidR="00D55396" w:rsidRPr="004E2ADC" w:rsidRDefault="00D55396" w:rsidP="00081213">
            <w:pPr>
              <w:keepNext/>
              <w:widowControl/>
              <w:jc w:val="center"/>
              <w:rPr>
                <w:rFonts w:ascii="Arial Narrow" w:hAnsi="Arial Narrow"/>
                <w:sz w:val="20"/>
              </w:rPr>
            </w:pPr>
            <w:r>
              <w:rPr>
                <w:rFonts w:ascii="Arial Narrow" w:hAnsi="Arial Narrow"/>
                <w:sz w:val="20"/>
              </w:rPr>
              <w:t>54</w:t>
            </w:r>
          </w:p>
        </w:tc>
        <w:tc>
          <w:tcPr>
            <w:tcW w:w="992" w:type="pct"/>
            <w:vAlign w:val="center"/>
          </w:tcPr>
          <w:p w:rsidR="00D55396" w:rsidRPr="004E2ADC" w:rsidRDefault="00D55396" w:rsidP="00081213">
            <w:pPr>
              <w:keepNext/>
              <w:widowControl/>
              <w:jc w:val="center"/>
              <w:rPr>
                <w:rFonts w:ascii="Arial Narrow" w:hAnsi="Arial Narrow"/>
                <w:sz w:val="20"/>
              </w:rPr>
            </w:pPr>
            <w:r>
              <w:rPr>
                <w:rFonts w:ascii="Arial Narrow" w:hAnsi="Arial Narrow"/>
                <w:sz w:val="20"/>
              </w:rPr>
              <w:t>94</w:t>
            </w:r>
          </w:p>
        </w:tc>
        <w:tc>
          <w:tcPr>
            <w:tcW w:w="993" w:type="pct"/>
            <w:vAlign w:val="center"/>
          </w:tcPr>
          <w:p w:rsidR="00D55396" w:rsidRPr="004E2ADC" w:rsidRDefault="00D55396" w:rsidP="00081213">
            <w:pPr>
              <w:keepNext/>
              <w:widowControl/>
              <w:jc w:val="center"/>
              <w:rPr>
                <w:rFonts w:ascii="Arial Narrow" w:hAnsi="Arial Narrow"/>
                <w:sz w:val="20"/>
              </w:rPr>
            </w:pPr>
            <w:r>
              <w:rPr>
                <w:rFonts w:ascii="Arial Narrow" w:hAnsi="Arial Narrow"/>
                <w:sz w:val="20"/>
              </w:rPr>
              <w:t>94</w:t>
            </w:r>
          </w:p>
        </w:tc>
      </w:tr>
      <w:tr w:rsidR="00D55396" w:rsidRPr="004E2ADC" w:rsidTr="00D55396">
        <w:tc>
          <w:tcPr>
            <w:tcW w:w="1031" w:type="pct"/>
            <w:vAlign w:val="center"/>
          </w:tcPr>
          <w:p w:rsidR="00D55396" w:rsidRDefault="00D55396" w:rsidP="00081213">
            <w:pPr>
              <w:keepNext/>
              <w:widowControl/>
              <w:ind w:right="-108"/>
              <w:jc w:val="left"/>
              <w:rPr>
                <w:rFonts w:ascii="Arial Narrow" w:hAnsi="Arial Narrow"/>
                <w:sz w:val="20"/>
              </w:rPr>
            </w:pPr>
            <w:r>
              <w:rPr>
                <w:rFonts w:ascii="Arial Narrow" w:hAnsi="Arial Narrow"/>
                <w:sz w:val="20"/>
              </w:rPr>
              <w:t>Mean (SD)</w:t>
            </w:r>
          </w:p>
        </w:tc>
        <w:tc>
          <w:tcPr>
            <w:tcW w:w="992" w:type="pct"/>
            <w:vAlign w:val="center"/>
          </w:tcPr>
          <w:p w:rsidR="00D55396" w:rsidRPr="002856B2" w:rsidRDefault="00F9168A" w:rsidP="00081213">
            <w:pPr>
              <w:keepNext/>
              <w:widowControl/>
              <w:jc w:val="center"/>
              <w:rPr>
                <w:rFonts w:ascii="Arial Narrow" w:hAnsi="Arial Narrow"/>
                <w:sz w:val="20"/>
              </w:rPr>
            </w:pPr>
            <w:r>
              <w:rPr>
                <w:rFonts w:ascii="Arial Narrow" w:hAnsi="Arial Narrow"/>
                <w:noProof/>
                <w:color w:val="000000"/>
                <w:sz w:val="20"/>
                <w:highlight w:val="black"/>
              </w:rPr>
              <w:t>''''''''</w:t>
            </w:r>
            <w:r w:rsidR="00D55396" w:rsidRPr="002856B2">
              <w:rPr>
                <w:rFonts w:ascii="Arial Narrow" w:hAnsi="Arial Narrow"/>
                <w:sz w:val="20"/>
              </w:rPr>
              <w:t xml:space="preserve"> (</w:t>
            </w:r>
            <w:r>
              <w:rPr>
                <w:rFonts w:ascii="Arial Narrow" w:hAnsi="Arial Narrow"/>
                <w:noProof/>
                <w:color w:val="000000"/>
                <w:sz w:val="20"/>
                <w:highlight w:val="black"/>
              </w:rPr>
              <w:t>'''''''''</w:t>
            </w:r>
            <w:r w:rsidR="00D55396" w:rsidRPr="002856B2">
              <w:rPr>
                <w:rFonts w:ascii="Arial Narrow" w:hAnsi="Arial Narrow"/>
                <w:sz w:val="20"/>
              </w:rPr>
              <w:t>)</w:t>
            </w:r>
          </w:p>
        </w:tc>
        <w:tc>
          <w:tcPr>
            <w:tcW w:w="993" w:type="pct"/>
            <w:vAlign w:val="center"/>
          </w:tcPr>
          <w:p w:rsidR="00D55396" w:rsidRPr="004E2ADC" w:rsidRDefault="00F9168A" w:rsidP="00081213">
            <w:pPr>
              <w:keepNext/>
              <w:widowControl/>
              <w:jc w:val="center"/>
              <w:rPr>
                <w:rFonts w:ascii="Arial Narrow" w:hAnsi="Arial Narrow"/>
                <w:sz w:val="20"/>
              </w:rPr>
            </w:pPr>
            <w:r>
              <w:rPr>
                <w:rFonts w:ascii="Arial Narrow" w:hAnsi="Arial Narrow"/>
                <w:noProof/>
                <w:color w:val="000000"/>
                <w:sz w:val="20"/>
                <w:highlight w:val="black"/>
              </w:rPr>
              <w:t>''''''''</w:t>
            </w:r>
            <w:r w:rsidR="00D55396" w:rsidRPr="002856B2">
              <w:rPr>
                <w:rFonts w:ascii="Arial Narrow" w:hAnsi="Arial Narrow"/>
                <w:sz w:val="20"/>
              </w:rPr>
              <w:t xml:space="preserve"> (</w:t>
            </w:r>
            <w:r>
              <w:rPr>
                <w:rFonts w:ascii="Arial Narrow" w:hAnsi="Arial Narrow"/>
                <w:noProof/>
                <w:color w:val="000000"/>
                <w:sz w:val="20"/>
                <w:highlight w:val="black"/>
              </w:rPr>
              <w:t>'''''''</w:t>
            </w:r>
            <w:r w:rsidR="00D55396" w:rsidRPr="002856B2">
              <w:rPr>
                <w:rFonts w:ascii="Arial Narrow" w:hAnsi="Arial Narrow"/>
                <w:sz w:val="20"/>
              </w:rPr>
              <w:t>)</w:t>
            </w:r>
          </w:p>
        </w:tc>
        <w:tc>
          <w:tcPr>
            <w:tcW w:w="992" w:type="pct"/>
            <w:vAlign w:val="center"/>
          </w:tcPr>
          <w:p w:rsidR="00D55396" w:rsidRPr="004E2ADC" w:rsidRDefault="00D55396" w:rsidP="00081213">
            <w:pPr>
              <w:keepNext/>
              <w:widowControl/>
              <w:jc w:val="center"/>
              <w:rPr>
                <w:rFonts w:ascii="Arial Narrow" w:hAnsi="Arial Narrow"/>
                <w:sz w:val="20"/>
              </w:rPr>
            </w:pPr>
            <w:r>
              <w:rPr>
                <w:rFonts w:ascii="Arial Narrow" w:hAnsi="Arial Narrow"/>
                <w:sz w:val="20"/>
              </w:rPr>
              <w:t>0.7 (0.9)</w:t>
            </w:r>
          </w:p>
        </w:tc>
        <w:tc>
          <w:tcPr>
            <w:tcW w:w="993" w:type="pct"/>
            <w:vAlign w:val="center"/>
          </w:tcPr>
          <w:p w:rsidR="00D55396" w:rsidRPr="004E2ADC" w:rsidRDefault="00D55396" w:rsidP="00081213">
            <w:pPr>
              <w:keepNext/>
              <w:widowControl/>
              <w:jc w:val="center"/>
              <w:rPr>
                <w:rFonts w:ascii="Arial Narrow" w:hAnsi="Arial Narrow"/>
                <w:sz w:val="20"/>
              </w:rPr>
            </w:pPr>
            <w:r>
              <w:rPr>
                <w:rFonts w:ascii="Arial Narrow" w:hAnsi="Arial Narrow"/>
                <w:sz w:val="20"/>
              </w:rPr>
              <w:t>0.8 (0.9)</w:t>
            </w:r>
          </w:p>
        </w:tc>
      </w:tr>
      <w:tr w:rsidR="00D55396" w:rsidRPr="004E2ADC" w:rsidTr="00D55396">
        <w:tc>
          <w:tcPr>
            <w:tcW w:w="1031" w:type="pct"/>
            <w:vAlign w:val="center"/>
          </w:tcPr>
          <w:p w:rsidR="00D55396" w:rsidRDefault="00D55396" w:rsidP="00081213">
            <w:pPr>
              <w:keepNext/>
              <w:widowControl/>
              <w:ind w:right="-108"/>
              <w:jc w:val="left"/>
              <w:rPr>
                <w:rFonts w:ascii="Arial Narrow" w:hAnsi="Arial Narrow"/>
                <w:sz w:val="20"/>
              </w:rPr>
            </w:pPr>
            <w:r>
              <w:rPr>
                <w:rFonts w:ascii="Arial Narrow" w:hAnsi="Arial Narrow"/>
                <w:sz w:val="20"/>
              </w:rPr>
              <w:t>LS Mean (95% CI)</w:t>
            </w:r>
          </w:p>
        </w:tc>
        <w:tc>
          <w:tcPr>
            <w:tcW w:w="1985" w:type="pct"/>
            <w:gridSpan w:val="2"/>
            <w:vAlign w:val="center"/>
          </w:tcPr>
          <w:p w:rsidR="00D55396" w:rsidRPr="002856B2" w:rsidRDefault="00D55396" w:rsidP="00081213">
            <w:pPr>
              <w:keepNext/>
              <w:widowControl/>
              <w:jc w:val="center"/>
              <w:rPr>
                <w:rFonts w:ascii="Arial Narrow" w:hAnsi="Arial Narrow"/>
                <w:sz w:val="20"/>
              </w:rPr>
            </w:pPr>
            <w:r w:rsidRPr="002856B2">
              <w:rPr>
                <w:rFonts w:ascii="Arial Narrow" w:hAnsi="Arial Narrow"/>
                <w:sz w:val="20"/>
              </w:rPr>
              <w:t>-</w:t>
            </w:r>
            <w:r w:rsidR="00F9168A">
              <w:rPr>
                <w:rFonts w:ascii="Arial Narrow" w:hAnsi="Arial Narrow"/>
                <w:noProof/>
                <w:color w:val="000000"/>
                <w:sz w:val="20"/>
                <w:highlight w:val="black"/>
              </w:rPr>
              <w:t>''''''''''''''</w:t>
            </w:r>
            <w:r w:rsidRPr="002856B2">
              <w:rPr>
                <w:rFonts w:ascii="Arial Narrow" w:hAnsi="Arial Narrow"/>
                <w:sz w:val="20"/>
              </w:rPr>
              <w:t xml:space="preserve"> (-</w:t>
            </w:r>
            <w:r w:rsidR="00F9168A">
              <w:rPr>
                <w:rFonts w:ascii="Arial Narrow" w:hAnsi="Arial Narrow"/>
                <w:noProof/>
                <w:color w:val="000000"/>
                <w:sz w:val="20"/>
                <w:highlight w:val="black"/>
              </w:rPr>
              <w:t>'''''''''''''</w:t>
            </w:r>
            <w:r w:rsidRPr="002856B2">
              <w:rPr>
                <w:rFonts w:ascii="Arial Narrow" w:hAnsi="Arial Narrow"/>
                <w:sz w:val="20"/>
              </w:rPr>
              <w:t xml:space="preserve">, </w:t>
            </w:r>
            <w:r w:rsidR="00F9168A">
              <w:rPr>
                <w:rFonts w:ascii="Arial Narrow" w:hAnsi="Arial Narrow"/>
                <w:noProof/>
                <w:color w:val="000000"/>
                <w:sz w:val="20"/>
                <w:highlight w:val="black"/>
              </w:rPr>
              <w:t>''''''''''''''</w:t>
            </w:r>
            <w:r w:rsidRPr="002856B2">
              <w:rPr>
                <w:rFonts w:ascii="Arial Narrow" w:hAnsi="Arial Narrow"/>
                <w:sz w:val="20"/>
              </w:rPr>
              <w:t>)</w:t>
            </w:r>
          </w:p>
        </w:tc>
        <w:tc>
          <w:tcPr>
            <w:tcW w:w="1985" w:type="pct"/>
            <w:gridSpan w:val="2"/>
            <w:vAlign w:val="center"/>
          </w:tcPr>
          <w:p w:rsidR="00D55396" w:rsidRPr="004E2ADC" w:rsidRDefault="00D55396" w:rsidP="00081213">
            <w:pPr>
              <w:keepNext/>
              <w:widowControl/>
              <w:jc w:val="center"/>
              <w:rPr>
                <w:rFonts w:ascii="Arial Narrow" w:hAnsi="Arial Narrow"/>
                <w:sz w:val="20"/>
              </w:rPr>
            </w:pPr>
            <w:r>
              <w:rPr>
                <w:rFonts w:ascii="Arial Narrow" w:hAnsi="Arial Narrow"/>
                <w:sz w:val="20"/>
              </w:rPr>
              <w:t>-0.218 (-0.496, 0.062)</w:t>
            </w:r>
          </w:p>
        </w:tc>
      </w:tr>
      <w:tr w:rsidR="00D55396" w:rsidRPr="004E2ADC" w:rsidTr="00D55396">
        <w:tc>
          <w:tcPr>
            <w:tcW w:w="1031" w:type="pct"/>
            <w:vAlign w:val="center"/>
          </w:tcPr>
          <w:p w:rsidR="00D55396" w:rsidRDefault="00D55396" w:rsidP="00081213">
            <w:pPr>
              <w:keepNext/>
              <w:widowControl/>
              <w:ind w:right="-108"/>
              <w:jc w:val="left"/>
              <w:rPr>
                <w:rFonts w:ascii="Arial Narrow" w:hAnsi="Arial Narrow"/>
                <w:sz w:val="20"/>
              </w:rPr>
            </w:pPr>
            <w:r>
              <w:rPr>
                <w:rFonts w:ascii="Arial Narrow" w:hAnsi="Arial Narrow"/>
                <w:sz w:val="20"/>
              </w:rPr>
              <w:t>Meta-analysis</w:t>
            </w:r>
          </w:p>
        </w:tc>
        <w:tc>
          <w:tcPr>
            <w:tcW w:w="3969" w:type="pct"/>
            <w:gridSpan w:val="4"/>
            <w:vAlign w:val="center"/>
          </w:tcPr>
          <w:p w:rsidR="00D55396" w:rsidRPr="002856B2" w:rsidRDefault="00D55396" w:rsidP="00081213">
            <w:pPr>
              <w:keepNext/>
              <w:widowControl/>
              <w:jc w:val="center"/>
              <w:rPr>
                <w:rFonts w:ascii="Arial Narrow" w:hAnsi="Arial Narrow"/>
                <w:sz w:val="20"/>
              </w:rPr>
            </w:pPr>
            <w:r w:rsidRPr="002856B2">
              <w:rPr>
                <w:rFonts w:ascii="Arial Narrow" w:hAnsi="Arial Narrow"/>
                <w:sz w:val="20"/>
              </w:rPr>
              <w:t>-</w:t>
            </w:r>
            <w:r w:rsidR="00F9168A">
              <w:rPr>
                <w:rFonts w:ascii="Arial Narrow" w:hAnsi="Arial Narrow"/>
                <w:noProof/>
                <w:color w:val="000000"/>
                <w:sz w:val="20"/>
                <w:highlight w:val="black"/>
              </w:rPr>
              <w:t>'''''''''''''</w:t>
            </w:r>
            <w:r w:rsidRPr="002856B2">
              <w:rPr>
                <w:rFonts w:ascii="Arial Narrow" w:hAnsi="Arial Narrow"/>
                <w:sz w:val="20"/>
              </w:rPr>
              <w:t xml:space="preserve"> (-</w:t>
            </w:r>
            <w:r w:rsidR="00F9168A">
              <w:rPr>
                <w:rFonts w:ascii="Arial Narrow" w:hAnsi="Arial Narrow"/>
                <w:noProof/>
                <w:color w:val="000000"/>
                <w:sz w:val="20"/>
                <w:highlight w:val="black"/>
              </w:rPr>
              <w:t>'''''''''''''</w:t>
            </w:r>
            <w:r w:rsidRPr="002856B2">
              <w:rPr>
                <w:rFonts w:ascii="Arial Narrow" w:hAnsi="Arial Narrow"/>
                <w:sz w:val="20"/>
              </w:rPr>
              <w:t xml:space="preserve">, </w:t>
            </w:r>
            <w:r w:rsidR="00F9168A">
              <w:rPr>
                <w:rFonts w:ascii="Arial Narrow" w:hAnsi="Arial Narrow"/>
                <w:noProof/>
                <w:color w:val="000000"/>
                <w:sz w:val="20"/>
                <w:highlight w:val="black"/>
              </w:rPr>
              <w:t>'''''''''''''</w:t>
            </w:r>
            <w:r w:rsidRPr="002856B2">
              <w:rPr>
                <w:rFonts w:ascii="Arial Narrow" w:hAnsi="Arial Narrow"/>
                <w:sz w:val="20"/>
              </w:rPr>
              <w:t>)</w:t>
            </w:r>
          </w:p>
        </w:tc>
      </w:tr>
    </w:tbl>
    <w:p w:rsidR="00D55396" w:rsidRDefault="00D55396" w:rsidP="00081213">
      <w:pPr>
        <w:keepNext/>
        <w:widowControl/>
        <w:ind w:firstLine="709"/>
      </w:pPr>
      <w:r w:rsidRPr="007F7974">
        <w:rPr>
          <w:rFonts w:ascii="Arial Narrow" w:hAnsi="Arial Narrow"/>
          <w:sz w:val="18"/>
          <w:szCs w:val="18"/>
        </w:rPr>
        <w:t>ITT=intention to treat; PP=per protocol, LS</w:t>
      </w:r>
      <w:r>
        <w:rPr>
          <w:rFonts w:ascii="Arial Narrow" w:hAnsi="Arial Narrow"/>
          <w:sz w:val="18"/>
        </w:rPr>
        <w:t xml:space="preserve"> mean=least squares mean, CI=confidence interval</w:t>
      </w:r>
    </w:p>
    <w:p w:rsidR="00B60939" w:rsidRPr="00D55396" w:rsidRDefault="00D55396" w:rsidP="00081213">
      <w:pPr>
        <w:widowControl/>
        <w:ind w:firstLine="720"/>
        <w:rPr>
          <w:rFonts w:ascii="Arial Narrow" w:hAnsi="Arial Narrow"/>
          <w:sz w:val="18"/>
        </w:rPr>
      </w:pPr>
      <w:r w:rsidRPr="00D55396">
        <w:rPr>
          <w:rFonts w:ascii="Arial Narrow" w:hAnsi="Arial Narrow"/>
          <w:sz w:val="18"/>
        </w:rPr>
        <w:t>Source: Table B.6-2, pB-70 and Figure B.6-1, pB-69 of the submission</w:t>
      </w:r>
    </w:p>
    <w:p w:rsidR="00D55396" w:rsidRDefault="00D55396" w:rsidP="00081213">
      <w:pPr>
        <w:widowControl/>
        <w:ind w:firstLine="720"/>
        <w:rPr>
          <w:szCs w:val="22"/>
        </w:rPr>
      </w:pPr>
    </w:p>
    <w:p w:rsidR="00D55396" w:rsidRDefault="00D55396" w:rsidP="00081213">
      <w:pPr>
        <w:pStyle w:val="ListParagraph"/>
        <w:widowControl/>
        <w:numPr>
          <w:ilvl w:val="1"/>
          <w:numId w:val="6"/>
        </w:numPr>
        <w:rPr>
          <w:szCs w:val="22"/>
        </w:rPr>
      </w:pPr>
      <w:r w:rsidRPr="00A842D0">
        <w:rPr>
          <w:szCs w:val="22"/>
        </w:rPr>
        <w:t xml:space="preserve">There was no statistically significant difference between </w:t>
      </w:r>
      <w:proofErr w:type="spellStart"/>
      <w:r w:rsidRPr="00A842D0">
        <w:rPr>
          <w:szCs w:val="22"/>
        </w:rPr>
        <w:t>lipegfilgrastim</w:t>
      </w:r>
      <w:proofErr w:type="spellEnd"/>
      <w:r w:rsidRPr="00A842D0">
        <w:rPr>
          <w:szCs w:val="22"/>
        </w:rPr>
        <w:t xml:space="preserve"> 6</w:t>
      </w:r>
      <w:r w:rsidR="0087593D">
        <w:rPr>
          <w:szCs w:val="22"/>
        </w:rPr>
        <w:t xml:space="preserve"> </w:t>
      </w:r>
      <w:r w:rsidRPr="00A842D0">
        <w:rPr>
          <w:szCs w:val="22"/>
        </w:rPr>
        <w:t xml:space="preserve">mg and </w:t>
      </w:r>
      <w:proofErr w:type="spellStart"/>
      <w:r w:rsidRPr="00A842D0">
        <w:rPr>
          <w:szCs w:val="22"/>
        </w:rPr>
        <w:t>pegfilgrastim</w:t>
      </w:r>
      <w:proofErr w:type="spellEnd"/>
      <w:r w:rsidRPr="00A842D0">
        <w:rPr>
          <w:szCs w:val="22"/>
        </w:rPr>
        <w:t xml:space="preserve"> 6</w:t>
      </w:r>
      <w:r w:rsidR="007B569E">
        <w:rPr>
          <w:szCs w:val="22"/>
        </w:rPr>
        <w:t xml:space="preserve"> </w:t>
      </w:r>
      <w:r w:rsidRPr="00A842D0">
        <w:rPr>
          <w:szCs w:val="22"/>
        </w:rPr>
        <w:t xml:space="preserve">mg for the primary outcome of duration of severe neutropenia in days for either the </w:t>
      </w:r>
      <w:r w:rsidRPr="00D55396">
        <w:t>intention</w:t>
      </w:r>
      <w:r w:rsidRPr="00A842D0">
        <w:rPr>
          <w:szCs w:val="22"/>
        </w:rPr>
        <w:t xml:space="preserve"> to treat (ITT) or the per protocol (PP) population in the individual trials and in the meta-analyses. The upper 95% limits of the meta-analyses </w:t>
      </w:r>
      <w:r w:rsidRPr="00DA2D06">
        <w:rPr>
          <w:szCs w:val="22"/>
        </w:rPr>
        <w:t xml:space="preserve">were </w:t>
      </w:r>
      <w:r w:rsidR="00F9168A">
        <w:rPr>
          <w:noProof/>
          <w:color w:val="000000"/>
          <w:szCs w:val="22"/>
          <w:highlight w:val="black"/>
        </w:rPr>
        <w:t xml:space="preserve">'''''''''''' </w:t>
      </w:r>
      <w:r w:rsidRPr="00DA2D06">
        <w:rPr>
          <w:szCs w:val="22"/>
        </w:rPr>
        <w:t xml:space="preserve">and </w:t>
      </w:r>
      <w:r w:rsidR="00F9168A">
        <w:rPr>
          <w:noProof/>
          <w:color w:val="000000"/>
          <w:szCs w:val="22"/>
          <w:highlight w:val="black"/>
        </w:rPr>
        <w:t xml:space="preserve">''''''''''''''' </w:t>
      </w:r>
      <w:r w:rsidRPr="00A842D0">
        <w:rPr>
          <w:szCs w:val="22"/>
        </w:rPr>
        <w:t xml:space="preserve">for the ITT and PP populations, respectively, and the non-inferiority criterion that the </w:t>
      </w:r>
      <w:r w:rsidR="00F35F89">
        <w:rPr>
          <w:szCs w:val="22"/>
        </w:rPr>
        <w:t>duration of severe neutropenia</w:t>
      </w:r>
      <w:r w:rsidRPr="00A842D0">
        <w:rPr>
          <w:szCs w:val="22"/>
        </w:rPr>
        <w:t xml:space="preserve"> difference was smaller than 1 day was met in both analyses.</w:t>
      </w:r>
    </w:p>
    <w:p w:rsidR="005A7F26" w:rsidRPr="00353E54" w:rsidRDefault="005A7F26" w:rsidP="00081213">
      <w:pPr>
        <w:pStyle w:val="PBACHeading1"/>
        <w:numPr>
          <w:ilvl w:val="0"/>
          <w:numId w:val="0"/>
        </w:numPr>
        <w:ind w:left="720" w:hanging="720"/>
        <w:rPr>
          <w:b w:val="0"/>
        </w:rPr>
      </w:pPr>
    </w:p>
    <w:p w:rsidR="002F35B8" w:rsidRPr="006D55CF" w:rsidRDefault="00353E54" w:rsidP="00081213">
      <w:pPr>
        <w:pStyle w:val="ListParagraph"/>
        <w:widowControl/>
        <w:numPr>
          <w:ilvl w:val="1"/>
          <w:numId w:val="6"/>
        </w:numPr>
      </w:pPr>
      <w:r w:rsidRPr="006D55CF">
        <w:lastRenderedPageBreak/>
        <w:t>In response to w</w:t>
      </w:r>
      <w:r w:rsidR="005A7F26" w:rsidRPr="006D55CF">
        <w:t>hether a non-inferiority criterion of less than one day for the duration of severe neutropenia was a reasonable threshold for establishing non-inferiority in terms of effectiveness</w:t>
      </w:r>
      <w:r w:rsidRPr="006D55CF">
        <w:t>, t</w:t>
      </w:r>
      <w:r w:rsidR="005A7F26" w:rsidRPr="006D55CF">
        <w:t>he PSCR (p</w:t>
      </w:r>
      <w:r w:rsidRPr="006D55CF">
        <w:t>.</w:t>
      </w:r>
      <w:r w:rsidR="005A7F26" w:rsidRPr="006D55CF">
        <w:t xml:space="preserve">1) </w:t>
      </w:r>
      <w:r w:rsidR="00EB004A" w:rsidRPr="006D55CF">
        <w:t>argue</w:t>
      </w:r>
      <w:r w:rsidRPr="006D55CF">
        <w:t>d</w:t>
      </w:r>
      <w:r w:rsidR="005A7F26" w:rsidRPr="006D55CF">
        <w:t xml:space="preserve"> that the non-inferiority margin of one day was </w:t>
      </w:r>
      <w:r w:rsidR="00221DFC" w:rsidRPr="006D55CF">
        <w:t>pre-</w:t>
      </w:r>
      <w:r w:rsidR="005A7F26" w:rsidRPr="006D55CF">
        <w:t xml:space="preserve">specified in the pivotal phase 3 </w:t>
      </w:r>
      <w:proofErr w:type="spellStart"/>
      <w:r w:rsidR="005A7F26" w:rsidRPr="006D55CF">
        <w:t>lipegfilgrastim</w:t>
      </w:r>
      <w:proofErr w:type="spellEnd"/>
      <w:r w:rsidR="005A7F26" w:rsidRPr="006D55CF">
        <w:t xml:space="preserve"> non-inferiority </w:t>
      </w:r>
      <w:proofErr w:type="gramStart"/>
      <w:r w:rsidR="005A7F26" w:rsidRPr="006D55CF">
        <w:t>study</w:t>
      </w:r>
      <w:proofErr w:type="gramEnd"/>
      <w:r w:rsidR="005A7F26" w:rsidRPr="006D55CF">
        <w:t xml:space="preserve"> (</w:t>
      </w:r>
      <w:r w:rsidR="00221DFC" w:rsidRPr="006D55CF">
        <w:t>S</w:t>
      </w:r>
      <w:r w:rsidR="005A7F26" w:rsidRPr="006D55CF">
        <w:t xml:space="preserve">tudy 03). </w:t>
      </w:r>
    </w:p>
    <w:p w:rsidR="002F35B8" w:rsidRPr="006D55CF" w:rsidRDefault="002F35B8" w:rsidP="00081213">
      <w:pPr>
        <w:pStyle w:val="ListParagraph"/>
        <w:widowControl/>
      </w:pPr>
    </w:p>
    <w:p w:rsidR="002F35B8" w:rsidRPr="006D55CF" w:rsidRDefault="00147322" w:rsidP="00081213">
      <w:pPr>
        <w:pStyle w:val="ListParagraph"/>
        <w:widowControl/>
        <w:numPr>
          <w:ilvl w:val="1"/>
          <w:numId w:val="6"/>
        </w:numPr>
      </w:pPr>
      <w:r w:rsidRPr="006D55CF">
        <w:t xml:space="preserve">The clinical evidence provided in the submission was limited to patients being treated with chemotherapy for breast cancer, whereas the requested listing was for multiple indications. The PBAC has previously stated that “… it would flow-on any future new PBS-eligible patient populations recommended for </w:t>
      </w:r>
      <w:proofErr w:type="spellStart"/>
      <w:r w:rsidRPr="006D55CF">
        <w:t>pegfilgrastim</w:t>
      </w:r>
      <w:proofErr w:type="spellEnd"/>
      <w:r w:rsidRPr="006D55CF">
        <w:t xml:space="preserve"> to </w:t>
      </w:r>
      <w:proofErr w:type="spellStart"/>
      <w:r w:rsidRPr="006D55CF">
        <w:t>filgrastim</w:t>
      </w:r>
      <w:proofErr w:type="spellEnd"/>
      <w:r w:rsidRPr="006D55CF">
        <w:t xml:space="preserve"> because continuing flexibility in treatment options for the prophylaxis of chemotherapy induced febrile neutropenia is an important objective” (</w:t>
      </w:r>
      <w:proofErr w:type="spellStart"/>
      <w:r w:rsidRPr="006D55CF">
        <w:t>Pegfilgrastim</w:t>
      </w:r>
      <w:proofErr w:type="spellEnd"/>
      <w:r w:rsidRPr="006D55CF">
        <w:t xml:space="preserve"> PSD, November 2008). It is not clear whether this consideration can be interpreted to mean that establishing comparative effectiveness and safety in a single population supports use in other indications, as suggested by the submission.  However, if this is implied, consideration is required as to whether it should also extend to </w:t>
      </w:r>
      <w:proofErr w:type="spellStart"/>
      <w:r w:rsidRPr="006D55CF">
        <w:t>lipegfilgrastim</w:t>
      </w:r>
      <w:proofErr w:type="spellEnd"/>
      <w:r w:rsidRPr="006D55CF">
        <w:t xml:space="preserve">. </w:t>
      </w:r>
    </w:p>
    <w:p w:rsidR="002F35B8" w:rsidRPr="006D55CF" w:rsidRDefault="002F35B8" w:rsidP="00081213">
      <w:pPr>
        <w:pStyle w:val="ListParagraph"/>
        <w:widowControl/>
      </w:pPr>
    </w:p>
    <w:p w:rsidR="00EB004A" w:rsidRPr="006D55CF" w:rsidRDefault="00EB004A" w:rsidP="00081213">
      <w:pPr>
        <w:pStyle w:val="ListParagraph"/>
        <w:widowControl/>
        <w:numPr>
          <w:ilvl w:val="1"/>
          <w:numId w:val="6"/>
        </w:numPr>
      </w:pPr>
      <w:r w:rsidRPr="006D55CF">
        <w:t xml:space="preserve">The PSCR (p.1) argued that “recommendations for the use of G-CSFs in international guidelines are based on the prevalence of febrile neutropenia, rather than use with specific chemotherapy regimens and/or cancer types, thus the clinical trial evidence provided for </w:t>
      </w:r>
      <w:proofErr w:type="spellStart"/>
      <w:r w:rsidRPr="006D55CF">
        <w:t>lipegfilgrastim</w:t>
      </w:r>
      <w:proofErr w:type="spellEnd"/>
      <w:r w:rsidRPr="006D55CF">
        <w:t xml:space="preserve"> can validly be “flowed on” or generalised to other PBS indications in which the value of G-CSF therapy following </w:t>
      </w:r>
      <w:proofErr w:type="spellStart"/>
      <w:r w:rsidRPr="006D55CF">
        <w:t>myelosuppresive</w:t>
      </w:r>
      <w:proofErr w:type="spellEnd"/>
      <w:r w:rsidRPr="006D55CF">
        <w:t xml:space="preserve"> chemotherapy is recognised”. The ESC considered that the efficacy of </w:t>
      </w:r>
      <w:proofErr w:type="spellStart"/>
      <w:r w:rsidRPr="006D55CF">
        <w:t>lipegfilgrastim</w:t>
      </w:r>
      <w:proofErr w:type="spellEnd"/>
      <w:r w:rsidRPr="006D55CF">
        <w:t xml:space="preserve"> is unlikely to be affected by the type of cancer</w:t>
      </w:r>
      <w:r w:rsidR="00E73F9F" w:rsidRPr="006D55CF">
        <w:t>/chemotherapy regimen</w:t>
      </w:r>
      <w:r w:rsidRPr="006D55CF">
        <w:t xml:space="preserve"> and that there is no signal to suggest </w:t>
      </w:r>
      <w:r w:rsidR="00E73F9F" w:rsidRPr="006D55CF">
        <w:t>dissimilar efficacy</w:t>
      </w:r>
      <w:r w:rsidRPr="006D55CF">
        <w:t xml:space="preserve"> to </w:t>
      </w:r>
      <w:proofErr w:type="spellStart"/>
      <w:r w:rsidRPr="006D55CF">
        <w:t>pegfilgrastim</w:t>
      </w:r>
      <w:proofErr w:type="spellEnd"/>
      <w:r w:rsidRPr="006D55CF">
        <w:t xml:space="preserve"> for other regimens. </w:t>
      </w:r>
      <w:r w:rsidR="00E73F9F" w:rsidRPr="006D55CF">
        <w:t xml:space="preserve">The ESC noted that the </w:t>
      </w:r>
      <w:r w:rsidR="00E73F9F" w:rsidRPr="00917CE3">
        <w:t>Pre-Sub-Committee Response (PSCR) (p.1)</w:t>
      </w:r>
      <w:r w:rsidR="00E73F9F" w:rsidRPr="006D55CF">
        <w:t xml:space="preserve"> highlighted two ongoing studies investigating </w:t>
      </w:r>
      <w:proofErr w:type="spellStart"/>
      <w:r w:rsidR="00E73F9F" w:rsidRPr="006D55CF">
        <w:t>lipegfilgrastim</w:t>
      </w:r>
      <w:proofErr w:type="spellEnd"/>
      <w:r w:rsidR="00E73F9F" w:rsidRPr="006D55CF">
        <w:t xml:space="preserve"> efficacy when used in patient receiving other chemotherapy regimens.</w:t>
      </w:r>
    </w:p>
    <w:p w:rsidR="00D55396" w:rsidRPr="00882085" w:rsidRDefault="00D55396" w:rsidP="00081213">
      <w:pPr>
        <w:widowControl/>
        <w:ind w:firstLine="720"/>
        <w:rPr>
          <w:szCs w:val="22"/>
        </w:rPr>
      </w:pPr>
    </w:p>
    <w:p w:rsidR="00B60939" w:rsidRPr="002C2775" w:rsidRDefault="00B60939" w:rsidP="00081213">
      <w:pPr>
        <w:pStyle w:val="Heading2"/>
        <w:widowControl/>
        <w:rPr>
          <w:i/>
        </w:rPr>
      </w:pPr>
      <w:bookmarkStart w:id="10" w:name="_Toc440890552"/>
      <w:r w:rsidRPr="002C2775">
        <w:rPr>
          <w:i/>
        </w:rPr>
        <w:t>Comparative harms</w:t>
      </w:r>
      <w:bookmarkEnd w:id="10"/>
    </w:p>
    <w:p w:rsidR="00B60939" w:rsidRPr="00882085" w:rsidRDefault="00B60939" w:rsidP="00081213">
      <w:pPr>
        <w:widowControl/>
        <w:ind w:left="720" w:hanging="720"/>
        <w:rPr>
          <w:szCs w:val="22"/>
        </w:rPr>
      </w:pPr>
    </w:p>
    <w:p w:rsidR="00B60939" w:rsidRPr="0041615D" w:rsidRDefault="00ED08B2" w:rsidP="00081213">
      <w:pPr>
        <w:pStyle w:val="ListParagraph"/>
        <w:widowControl/>
        <w:numPr>
          <w:ilvl w:val="1"/>
          <w:numId w:val="6"/>
        </w:numPr>
        <w:rPr>
          <w:szCs w:val="22"/>
        </w:rPr>
      </w:pPr>
      <w:r w:rsidRPr="0041615D">
        <w:t>Table 4 summarises the incidence of adverse events in the trials.</w:t>
      </w:r>
    </w:p>
    <w:p w:rsidR="0041615D" w:rsidRPr="0041615D" w:rsidRDefault="0041615D" w:rsidP="00081213">
      <w:pPr>
        <w:pStyle w:val="ListParagraph"/>
        <w:widowControl/>
        <w:rPr>
          <w:szCs w:val="22"/>
        </w:rPr>
      </w:pPr>
    </w:p>
    <w:p w:rsidR="00ED08B2" w:rsidRDefault="0041615D" w:rsidP="00081213">
      <w:pPr>
        <w:widowControl/>
        <w:ind w:left="709"/>
      </w:pPr>
      <w:r w:rsidRPr="001F7361">
        <w:rPr>
          <w:rStyle w:val="CommentReference"/>
        </w:rPr>
        <w:t xml:space="preserve">Table </w:t>
      </w:r>
      <w:r>
        <w:rPr>
          <w:rStyle w:val="CommentReference"/>
        </w:rPr>
        <w:t>4: I</w:t>
      </w:r>
      <w:r w:rsidRPr="0041615D">
        <w:rPr>
          <w:rStyle w:val="CommentReference"/>
        </w:rPr>
        <w:t>ncidence of adverse events in the trials</w:t>
      </w:r>
    </w:p>
    <w:tbl>
      <w:tblPr>
        <w:tblStyle w:val="TableGrid"/>
        <w:tblW w:w="0" w:type="auto"/>
        <w:tblInd w:w="737" w:type="dxa"/>
        <w:tblCellMar>
          <w:left w:w="28" w:type="dxa"/>
          <w:right w:w="28" w:type="dxa"/>
        </w:tblCellMar>
        <w:tblLook w:val="04A0" w:firstRow="1" w:lastRow="0" w:firstColumn="1" w:lastColumn="0" w:noHBand="0" w:noVBand="1"/>
        <w:tblCaption w:val="Table 4: Incidence of adverse events in the trials"/>
      </w:tblPr>
      <w:tblGrid>
        <w:gridCol w:w="2410"/>
        <w:gridCol w:w="1134"/>
        <w:gridCol w:w="1134"/>
        <w:gridCol w:w="1134"/>
        <w:gridCol w:w="1134"/>
        <w:gridCol w:w="1399"/>
      </w:tblGrid>
      <w:tr w:rsidR="00ED08B2" w:rsidRPr="00DF1D58" w:rsidTr="00C57C30">
        <w:trPr>
          <w:tblHeader/>
        </w:trPr>
        <w:tc>
          <w:tcPr>
            <w:tcW w:w="2410" w:type="dxa"/>
          </w:tcPr>
          <w:p w:rsidR="00ED08B2" w:rsidRDefault="00ED08B2" w:rsidP="00081213">
            <w:pPr>
              <w:widowControl/>
              <w:rPr>
                <w:rFonts w:ascii="Arial Narrow" w:hAnsi="Arial Narrow"/>
                <w:sz w:val="20"/>
              </w:rPr>
            </w:pPr>
          </w:p>
        </w:tc>
        <w:tc>
          <w:tcPr>
            <w:tcW w:w="2268" w:type="dxa"/>
            <w:gridSpan w:val="2"/>
            <w:vAlign w:val="center"/>
          </w:tcPr>
          <w:p w:rsidR="00ED08B2" w:rsidRPr="00780076" w:rsidRDefault="00ED08B2" w:rsidP="00081213">
            <w:pPr>
              <w:widowControl/>
              <w:jc w:val="center"/>
              <w:rPr>
                <w:rFonts w:ascii="Arial Narrow" w:hAnsi="Arial Narrow"/>
                <w:b/>
                <w:sz w:val="20"/>
              </w:rPr>
            </w:pPr>
            <w:r>
              <w:rPr>
                <w:rFonts w:ascii="Arial Narrow" w:hAnsi="Arial Narrow"/>
                <w:b/>
                <w:sz w:val="20"/>
              </w:rPr>
              <w:t>Study 02; n (%)</w:t>
            </w:r>
          </w:p>
        </w:tc>
        <w:tc>
          <w:tcPr>
            <w:tcW w:w="2268" w:type="dxa"/>
            <w:gridSpan w:val="2"/>
            <w:vAlign w:val="center"/>
          </w:tcPr>
          <w:p w:rsidR="00ED08B2" w:rsidRPr="00780076" w:rsidRDefault="00ED08B2" w:rsidP="00081213">
            <w:pPr>
              <w:widowControl/>
              <w:jc w:val="center"/>
              <w:rPr>
                <w:rFonts w:ascii="Arial Narrow" w:hAnsi="Arial Narrow"/>
                <w:b/>
                <w:sz w:val="20"/>
              </w:rPr>
            </w:pPr>
            <w:r w:rsidRPr="00780076">
              <w:rPr>
                <w:rFonts w:ascii="Arial Narrow" w:hAnsi="Arial Narrow"/>
                <w:b/>
                <w:sz w:val="20"/>
              </w:rPr>
              <w:t>Study 03, n (%)</w:t>
            </w:r>
          </w:p>
        </w:tc>
        <w:tc>
          <w:tcPr>
            <w:tcW w:w="1399" w:type="dxa"/>
            <w:vMerge w:val="restart"/>
            <w:vAlign w:val="center"/>
          </w:tcPr>
          <w:p w:rsidR="00ED08B2" w:rsidRDefault="00ED08B2" w:rsidP="00081213">
            <w:pPr>
              <w:widowControl/>
              <w:jc w:val="center"/>
              <w:rPr>
                <w:rFonts w:ascii="Arial Narrow" w:hAnsi="Arial Narrow"/>
                <w:b/>
                <w:sz w:val="20"/>
              </w:rPr>
            </w:pPr>
            <w:r>
              <w:rPr>
                <w:rFonts w:ascii="Arial Narrow" w:hAnsi="Arial Narrow"/>
                <w:b/>
                <w:sz w:val="20"/>
              </w:rPr>
              <w:t>Meta-analysis</w:t>
            </w:r>
          </w:p>
          <w:p w:rsidR="00ED08B2" w:rsidRPr="00DF1D58" w:rsidRDefault="00ED08B2" w:rsidP="00081213">
            <w:pPr>
              <w:widowControl/>
              <w:jc w:val="center"/>
              <w:rPr>
                <w:rFonts w:ascii="Arial Narrow" w:hAnsi="Arial Narrow"/>
                <w:b/>
                <w:sz w:val="20"/>
                <w:vertAlign w:val="superscript"/>
              </w:rPr>
            </w:pPr>
            <w:r w:rsidRPr="00780076">
              <w:rPr>
                <w:rFonts w:ascii="Arial Narrow" w:hAnsi="Arial Narrow"/>
                <w:b/>
                <w:sz w:val="20"/>
              </w:rPr>
              <w:t>RR (95% CI)</w:t>
            </w:r>
            <w:r>
              <w:rPr>
                <w:rFonts w:ascii="Arial Narrow" w:hAnsi="Arial Narrow"/>
                <w:b/>
                <w:sz w:val="20"/>
                <w:vertAlign w:val="superscript"/>
              </w:rPr>
              <w:t>a</w:t>
            </w:r>
          </w:p>
        </w:tc>
      </w:tr>
      <w:tr w:rsidR="00ED08B2" w:rsidTr="00C57C30">
        <w:trPr>
          <w:tblHeader/>
        </w:trPr>
        <w:tc>
          <w:tcPr>
            <w:tcW w:w="2410" w:type="dxa"/>
          </w:tcPr>
          <w:p w:rsidR="00ED08B2" w:rsidRDefault="00ED08B2" w:rsidP="00081213">
            <w:pPr>
              <w:widowControl/>
              <w:rPr>
                <w:rFonts w:ascii="Arial Narrow" w:hAnsi="Arial Narrow"/>
                <w:sz w:val="20"/>
              </w:rPr>
            </w:pPr>
          </w:p>
        </w:tc>
        <w:tc>
          <w:tcPr>
            <w:tcW w:w="1134" w:type="dxa"/>
            <w:vAlign w:val="center"/>
          </w:tcPr>
          <w:p w:rsidR="00ED08B2" w:rsidRPr="00780076" w:rsidRDefault="00ED08B2" w:rsidP="00081213">
            <w:pPr>
              <w:widowControl/>
              <w:jc w:val="center"/>
              <w:rPr>
                <w:rFonts w:ascii="Arial Narrow" w:hAnsi="Arial Narrow"/>
                <w:b/>
                <w:sz w:val="20"/>
              </w:rPr>
            </w:pPr>
            <w:proofErr w:type="spellStart"/>
            <w:r>
              <w:rPr>
                <w:rFonts w:ascii="Arial Narrow" w:hAnsi="Arial Narrow"/>
                <w:b/>
                <w:sz w:val="20"/>
              </w:rPr>
              <w:t>Lipeg</w:t>
            </w:r>
            <w:proofErr w:type="spellEnd"/>
            <w:r>
              <w:rPr>
                <w:rFonts w:ascii="Arial Narrow" w:hAnsi="Arial Narrow"/>
                <w:b/>
                <w:sz w:val="20"/>
              </w:rPr>
              <w:t>; N=50</w:t>
            </w:r>
          </w:p>
        </w:tc>
        <w:tc>
          <w:tcPr>
            <w:tcW w:w="1134" w:type="dxa"/>
            <w:vAlign w:val="center"/>
          </w:tcPr>
          <w:p w:rsidR="00ED08B2" w:rsidRPr="00780076" w:rsidRDefault="00ED08B2" w:rsidP="00081213">
            <w:pPr>
              <w:widowControl/>
              <w:jc w:val="center"/>
              <w:rPr>
                <w:rFonts w:ascii="Arial Narrow" w:hAnsi="Arial Narrow"/>
                <w:b/>
                <w:sz w:val="20"/>
              </w:rPr>
            </w:pPr>
            <w:r w:rsidRPr="00780076">
              <w:rPr>
                <w:rFonts w:ascii="Arial Narrow" w:hAnsi="Arial Narrow"/>
                <w:b/>
                <w:sz w:val="20"/>
              </w:rPr>
              <w:t>Peg; N=54</w:t>
            </w:r>
          </w:p>
        </w:tc>
        <w:tc>
          <w:tcPr>
            <w:tcW w:w="1134" w:type="dxa"/>
            <w:vAlign w:val="center"/>
          </w:tcPr>
          <w:p w:rsidR="00ED08B2" w:rsidRPr="00780076" w:rsidRDefault="00ED08B2" w:rsidP="00081213">
            <w:pPr>
              <w:widowControl/>
              <w:jc w:val="center"/>
              <w:rPr>
                <w:rFonts w:ascii="Arial Narrow" w:hAnsi="Arial Narrow"/>
                <w:b/>
                <w:sz w:val="20"/>
              </w:rPr>
            </w:pPr>
            <w:proofErr w:type="spellStart"/>
            <w:r>
              <w:rPr>
                <w:rFonts w:ascii="Arial Narrow" w:hAnsi="Arial Narrow"/>
                <w:b/>
                <w:sz w:val="20"/>
              </w:rPr>
              <w:t>Lipeg</w:t>
            </w:r>
            <w:proofErr w:type="spellEnd"/>
            <w:r>
              <w:rPr>
                <w:rFonts w:ascii="Arial Narrow" w:hAnsi="Arial Narrow"/>
                <w:b/>
                <w:sz w:val="20"/>
              </w:rPr>
              <w:t>; N=101</w:t>
            </w:r>
          </w:p>
        </w:tc>
        <w:tc>
          <w:tcPr>
            <w:tcW w:w="1134" w:type="dxa"/>
            <w:vAlign w:val="center"/>
          </w:tcPr>
          <w:p w:rsidR="00ED08B2" w:rsidRPr="00780076" w:rsidRDefault="00ED08B2" w:rsidP="00081213">
            <w:pPr>
              <w:widowControl/>
              <w:jc w:val="center"/>
              <w:rPr>
                <w:rFonts w:ascii="Arial Narrow" w:hAnsi="Arial Narrow"/>
                <w:b/>
                <w:sz w:val="20"/>
              </w:rPr>
            </w:pPr>
            <w:r>
              <w:rPr>
                <w:rFonts w:ascii="Arial Narrow" w:hAnsi="Arial Narrow"/>
                <w:b/>
                <w:sz w:val="20"/>
              </w:rPr>
              <w:t>Peg, N=101</w:t>
            </w:r>
          </w:p>
        </w:tc>
        <w:tc>
          <w:tcPr>
            <w:tcW w:w="1399" w:type="dxa"/>
            <w:vMerge/>
            <w:vAlign w:val="center"/>
          </w:tcPr>
          <w:p w:rsidR="00ED08B2" w:rsidRDefault="00ED08B2" w:rsidP="00081213">
            <w:pPr>
              <w:widowControl/>
              <w:jc w:val="center"/>
              <w:rPr>
                <w:rFonts w:ascii="Arial Narrow" w:hAnsi="Arial Narrow"/>
                <w:sz w:val="20"/>
              </w:rPr>
            </w:pPr>
          </w:p>
        </w:tc>
      </w:tr>
      <w:tr w:rsidR="00ED08B2" w:rsidRPr="00780076" w:rsidTr="00ED08B2">
        <w:tc>
          <w:tcPr>
            <w:tcW w:w="8345" w:type="dxa"/>
            <w:gridSpan w:val="6"/>
          </w:tcPr>
          <w:p w:rsidR="00ED08B2" w:rsidRPr="00780076" w:rsidRDefault="00ED08B2" w:rsidP="00081213">
            <w:pPr>
              <w:widowControl/>
              <w:jc w:val="left"/>
              <w:rPr>
                <w:rFonts w:ascii="Arial Narrow" w:hAnsi="Arial Narrow"/>
                <w:b/>
                <w:sz w:val="20"/>
              </w:rPr>
            </w:pPr>
            <w:r>
              <w:rPr>
                <w:rFonts w:ascii="Arial Narrow" w:hAnsi="Arial Narrow"/>
                <w:b/>
                <w:sz w:val="20"/>
              </w:rPr>
              <w:t>Treatment emergent adverse events (TEAE)</w:t>
            </w:r>
          </w:p>
        </w:tc>
      </w:tr>
      <w:tr w:rsidR="00ED08B2" w:rsidRPr="00030BFB" w:rsidTr="00ED08B2">
        <w:tc>
          <w:tcPr>
            <w:tcW w:w="2410" w:type="dxa"/>
          </w:tcPr>
          <w:p w:rsidR="00ED08B2" w:rsidRDefault="00ED08B2" w:rsidP="00081213">
            <w:pPr>
              <w:widowControl/>
              <w:rPr>
                <w:rFonts w:ascii="Arial Narrow" w:hAnsi="Arial Narrow"/>
                <w:sz w:val="20"/>
              </w:rPr>
            </w:pPr>
            <w:r>
              <w:rPr>
                <w:rFonts w:ascii="Arial Narrow" w:hAnsi="Arial Narrow"/>
                <w:sz w:val="20"/>
              </w:rPr>
              <w:t>Any TEAE</w:t>
            </w:r>
          </w:p>
        </w:tc>
        <w:tc>
          <w:tcPr>
            <w:tcW w:w="1134" w:type="dxa"/>
            <w:vAlign w:val="center"/>
          </w:tcPr>
          <w:p w:rsidR="00ED08B2" w:rsidRPr="00DA2D06" w:rsidRDefault="00F9168A" w:rsidP="00081213">
            <w:pPr>
              <w:widowControl/>
              <w:jc w:val="center"/>
              <w:rPr>
                <w:rFonts w:ascii="Arial Narrow" w:hAnsi="Arial Narrow"/>
                <w:sz w:val="20"/>
              </w:rPr>
            </w:pPr>
            <w:r>
              <w:rPr>
                <w:rFonts w:ascii="Arial Narrow" w:hAnsi="Arial Narrow"/>
                <w:noProof/>
                <w:color w:val="000000"/>
                <w:sz w:val="20"/>
                <w:highlight w:val="black"/>
              </w:rPr>
              <w:t>'''''</w:t>
            </w:r>
            <w:r w:rsidR="00ED08B2" w:rsidRPr="00DA2D06">
              <w:rPr>
                <w:rFonts w:ascii="Arial Narrow" w:hAnsi="Arial Narrow"/>
                <w:sz w:val="20"/>
              </w:rPr>
              <w:t xml:space="preserve"> (</w:t>
            </w:r>
            <w:r>
              <w:rPr>
                <w:rFonts w:ascii="Arial Narrow" w:hAnsi="Arial Narrow"/>
                <w:noProof/>
                <w:color w:val="000000"/>
                <w:sz w:val="20"/>
                <w:highlight w:val="black"/>
              </w:rPr>
              <w:t>'''''''''''</w:t>
            </w:r>
            <w:r w:rsidR="00ED08B2" w:rsidRPr="00DA2D06">
              <w:rPr>
                <w:rFonts w:ascii="Arial Narrow" w:hAnsi="Arial Narrow"/>
                <w:sz w:val="20"/>
              </w:rPr>
              <w:t>)</w:t>
            </w:r>
          </w:p>
        </w:tc>
        <w:tc>
          <w:tcPr>
            <w:tcW w:w="1134" w:type="dxa"/>
            <w:vAlign w:val="center"/>
          </w:tcPr>
          <w:p w:rsidR="00ED08B2" w:rsidRPr="00DA2D06" w:rsidRDefault="00F9168A" w:rsidP="00081213">
            <w:pPr>
              <w:widowControl/>
              <w:jc w:val="center"/>
              <w:rPr>
                <w:rFonts w:ascii="Arial Narrow" w:hAnsi="Arial Narrow"/>
                <w:sz w:val="20"/>
              </w:rPr>
            </w:pPr>
            <w:r>
              <w:rPr>
                <w:rFonts w:ascii="Arial Narrow" w:hAnsi="Arial Narrow"/>
                <w:noProof/>
                <w:color w:val="000000"/>
                <w:sz w:val="20"/>
                <w:highlight w:val="black"/>
              </w:rPr>
              <w:t>'''''</w:t>
            </w:r>
            <w:r w:rsidR="00ED08B2" w:rsidRPr="00DA2D06">
              <w:rPr>
                <w:rFonts w:ascii="Arial Narrow" w:hAnsi="Arial Narrow"/>
                <w:sz w:val="20"/>
              </w:rPr>
              <w:t xml:space="preserve"> (</w:t>
            </w:r>
            <w:r>
              <w:rPr>
                <w:rFonts w:ascii="Arial Narrow" w:hAnsi="Arial Narrow"/>
                <w:noProof/>
                <w:color w:val="000000"/>
                <w:sz w:val="20"/>
                <w:highlight w:val="black"/>
              </w:rPr>
              <w:t>'''''''''''</w:t>
            </w:r>
            <w:r w:rsidR="00ED08B2" w:rsidRPr="00DA2D06">
              <w:rPr>
                <w:rFonts w:ascii="Arial Narrow" w:hAnsi="Arial Narrow"/>
                <w:sz w:val="20"/>
              </w:rPr>
              <w:t>)</w:t>
            </w:r>
          </w:p>
        </w:tc>
        <w:tc>
          <w:tcPr>
            <w:tcW w:w="1134" w:type="dxa"/>
            <w:vAlign w:val="center"/>
          </w:tcPr>
          <w:p w:rsidR="00ED08B2" w:rsidRPr="00DA2D06" w:rsidRDefault="00ED08B2" w:rsidP="00081213">
            <w:pPr>
              <w:widowControl/>
              <w:jc w:val="center"/>
              <w:rPr>
                <w:rFonts w:ascii="Arial Narrow" w:hAnsi="Arial Narrow"/>
                <w:sz w:val="20"/>
              </w:rPr>
            </w:pPr>
            <w:r w:rsidRPr="00DA2D06">
              <w:rPr>
                <w:rFonts w:ascii="Arial Narrow" w:hAnsi="Arial Narrow"/>
                <w:sz w:val="20"/>
              </w:rPr>
              <w:t>100 (99.0)</w:t>
            </w:r>
          </w:p>
        </w:tc>
        <w:tc>
          <w:tcPr>
            <w:tcW w:w="1134" w:type="dxa"/>
            <w:vAlign w:val="center"/>
          </w:tcPr>
          <w:p w:rsidR="00ED08B2" w:rsidRPr="00DA2D06" w:rsidRDefault="00ED08B2" w:rsidP="00081213">
            <w:pPr>
              <w:widowControl/>
              <w:jc w:val="center"/>
              <w:rPr>
                <w:rFonts w:ascii="Arial Narrow" w:hAnsi="Arial Narrow"/>
                <w:sz w:val="20"/>
              </w:rPr>
            </w:pPr>
            <w:r w:rsidRPr="00DA2D06">
              <w:rPr>
                <w:rFonts w:ascii="Arial Narrow" w:hAnsi="Arial Narrow"/>
                <w:sz w:val="20"/>
              </w:rPr>
              <w:t>99 (98.0)</w:t>
            </w:r>
          </w:p>
        </w:tc>
        <w:tc>
          <w:tcPr>
            <w:tcW w:w="1399" w:type="dxa"/>
            <w:vAlign w:val="center"/>
          </w:tcPr>
          <w:p w:rsidR="00ED08B2" w:rsidRPr="00DA2D06" w:rsidRDefault="00F9168A" w:rsidP="00081213">
            <w:pPr>
              <w:widowControl/>
              <w:jc w:val="center"/>
              <w:rPr>
                <w:rFonts w:ascii="Arial Narrow" w:hAnsi="Arial Narrow"/>
                <w:i/>
                <w:sz w:val="20"/>
              </w:rPr>
            </w:pPr>
            <w:r>
              <w:rPr>
                <w:rFonts w:ascii="Arial Narrow" w:hAnsi="Arial Narrow"/>
                <w:i/>
                <w:noProof/>
                <w:color w:val="000000"/>
                <w:sz w:val="20"/>
                <w:highlight w:val="black"/>
              </w:rPr>
              <w:t>''''''''''</w:t>
            </w:r>
            <w:r w:rsidR="00ED08B2" w:rsidRPr="00DA2D06">
              <w:rPr>
                <w:rFonts w:ascii="Arial Narrow" w:hAnsi="Arial Narrow"/>
                <w:i/>
                <w:sz w:val="20"/>
              </w:rPr>
              <w:t xml:space="preserve"> (</w:t>
            </w:r>
            <w:r>
              <w:rPr>
                <w:rFonts w:ascii="Arial Narrow" w:hAnsi="Arial Narrow"/>
                <w:i/>
                <w:noProof/>
                <w:color w:val="000000"/>
                <w:sz w:val="20"/>
                <w:highlight w:val="black"/>
              </w:rPr>
              <w:t>''''''''''</w:t>
            </w:r>
            <w:r w:rsidR="00ED08B2" w:rsidRPr="00DA2D06">
              <w:rPr>
                <w:rFonts w:ascii="Arial Narrow" w:hAnsi="Arial Narrow"/>
                <w:i/>
                <w:sz w:val="20"/>
              </w:rPr>
              <w:t xml:space="preserve">, </w:t>
            </w:r>
            <w:r>
              <w:rPr>
                <w:rFonts w:ascii="Arial Narrow" w:hAnsi="Arial Narrow"/>
                <w:i/>
                <w:noProof/>
                <w:color w:val="000000"/>
                <w:sz w:val="20"/>
                <w:highlight w:val="black"/>
              </w:rPr>
              <w:t>''''''''''''</w:t>
            </w:r>
            <w:r w:rsidR="00ED08B2" w:rsidRPr="00DA2D06">
              <w:rPr>
                <w:rFonts w:ascii="Arial Narrow" w:hAnsi="Arial Narrow"/>
                <w:i/>
                <w:sz w:val="20"/>
              </w:rPr>
              <w:t>)</w:t>
            </w:r>
          </w:p>
        </w:tc>
      </w:tr>
      <w:tr w:rsidR="00ED08B2" w:rsidRPr="00030BFB" w:rsidTr="00ED08B2">
        <w:tc>
          <w:tcPr>
            <w:tcW w:w="2410" w:type="dxa"/>
          </w:tcPr>
          <w:p w:rsidR="00ED08B2" w:rsidRDefault="00ED08B2" w:rsidP="00081213">
            <w:pPr>
              <w:widowControl/>
              <w:rPr>
                <w:rFonts w:ascii="Arial Narrow" w:hAnsi="Arial Narrow"/>
                <w:sz w:val="20"/>
              </w:rPr>
            </w:pPr>
            <w:r>
              <w:rPr>
                <w:rFonts w:ascii="Arial Narrow" w:hAnsi="Arial Narrow"/>
                <w:sz w:val="20"/>
              </w:rPr>
              <w:t>Serious TEAE</w:t>
            </w:r>
          </w:p>
        </w:tc>
        <w:tc>
          <w:tcPr>
            <w:tcW w:w="1134" w:type="dxa"/>
            <w:vAlign w:val="center"/>
          </w:tcPr>
          <w:p w:rsidR="00ED08B2" w:rsidRPr="00DA2D06" w:rsidRDefault="00F9168A" w:rsidP="00081213">
            <w:pPr>
              <w:widowControl/>
              <w:jc w:val="center"/>
              <w:rPr>
                <w:rFonts w:ascii="Arial Narrow" w:hAnsi="Arial Narrow"/>
                <w:sz w:val="20"/>
              </w:rPr>
            </w:pPr>
            <w:r>
              <w:rPr>
                <w:rFonts w:ascii="Arial Narrow" w:hAnsi="Arial Narrow"/>
                <w:noProof/>
                <w:color w:val="000000"/>
                <w:sz w:val="20"/>
                <w:highlight w:val="black"/>
              </w:rPr>
              <w:t>'''</w:t>
            </w:r>
            <w:r w:rsidR="00ED08B2" w:rsidRPr="00DA2D06">
              <w:rPr>
                <w:rFonts w:ascii="Arial Narrow" w:hAnsi="Arial Narrow"/>
                <w:sz w:val="20"/>
              </w:rPr>
              <w:t xml:space="preserve"> (</w:t>
            </w:r>
            <w:r>
              <w:rPr>
                <w:rFonts w:ascii="Arial Narrow" w:hAnsi="Arial Narrow"/>
                <w:noProof/>
                <w:color w:val="000000"/>
                <w:sz w:val="20"/>
                <w:highlight w:val="black"/>
              </w:rPr>
              <w:t>'''''''</w:t>
            </w:r>
            <w:r w:rsidR="00ED08B2" w:rsidRPr="00DA2D06">
              <w:rPr>
                <w:rFonts w:ascii="Arial Narrow" w:hAnsi="Arial Narrow"/>
                <w:sz w:val="20"/>
              </w:rPr>
              <w:t>)</w:t>
            </w:r>
          </w:p>
        </w:tc>
        <w:tc>
          <w:tcPr>
            <w:tcW w:w="1134" w:type="dxa"/>
            <w:vAlign w:val="center"/>
          </w:tcPr>
          <w:p w:rsidR="00ED08B2" w:rsidRPr="00DA2D06" w:rsidRDefault="00F9168A" w:rsidP="00081213">
            <w:pPr>
              <w:widowControl/>
              <w:jc w:val="center"/>
              <w:rPr>
                <w:rFonts w:ascii="Arial Narrow" w:hAnsi="Arial Narrow"/>
                <w:sz w:val="20"/>
              </w:rPr>
            </w:pPr>
            <w:r>
              <w:rPr>
                <w:rFonts w:ascii="Arial Narrow" w:hAnsi="Arial Narrow"/>
                <w:noProof/>
                <w:color w:val="000000"/>
                <w:sz w:val="20"/>
                <w:highlight w:val="black"/>
              </w:rPr>
              <w:t>'''</w:t>
            </w:r>
            <w:r w:rsidR="00ED08B2" w:rsidRPr="00DA2D06">
              <w:rPr>
                <w:rFonts w:ascii="Arial Narrow" w:hAnsi="Arial Narrow"/>
                <w:sz w:val="20"/>
              </w:rPr>
              <w:t xml:space="preserve"> (</w:t>
            </w:r>
            <w:r>
              <w:rPr>
                <w:rFonts w:ascii="Arial Narrow" w:hAnsi="Arial Narrow"/>
                <w:noProof/>
                <w:color w:val="000000"/>
                <w:sz w:val="20"/>
                <w:highlight w:val="black"/>
              </w:rPr>
              <w:t>''''''''</w:t>
            </w:r>
            <w:r w:rsidR="00ED08B2" w:rsidRPr="00DA2D06">
              <w:rPr>
                <w:rFonts w:ascii="Arial Narrow" w:hAnsi="Arial Narrow"/>
                <w:sz w:val="20"/>
              </w:rPr>
              <w:t>)</w:t>
            </w:r>
          </w:p>
        </w:tc>
        <w:tc>
          <w:tcPr>
            <w:tcW w:w="1134" w:type="dxa"/>
            <w:vAlign w:val="center"/>
          </w:tcPr>
          <w:p w:rsidR="00ED08B2" w:rsidRPr="00DA2D06" w:rsidRDefault="00ED08B2" w:rsidP="00081213">
            <w:pPr>
              <w:widowControl/>
              <w:jc w:val="center"/>
              <w:rPr>
                <w:rFonts w:ascii="Arial Narrow" w:hAnsi="Arial Narrow"/>
                <w:sz w:val="20"/>
              </w:rPr>
            </w:pPr>
            <w:r w:rsidRPr="00DA2D06">
              <w:rPr>
                <w:rFonts w:ascii="Arial Narrow" w:hAnsi="Arial Narrow"/>
                <w:sz w:val="20"/>
              </w:rPr>
              <w:t>3 (3.0)</w:t>
            </w:r>
          </w:p>
        </w:tc>
        <w:tc>
          <w:tcPr>
            <w:tcW w:w="1134" w:type="dxa"/>
            <w:vAlign w:val="center"/>
          </w:tcPr>
          <w:p w:rsidR="00ED08B2" w:rsidRPr="00DA2D06" w:rsidRDefault="00ED08B2" w:rsidP="00081213">
            <w:pPr>
              <w:widowControl/>
              <w:jc w:val="center"/>
              <w:rPr>
                <w:rFonts w:ascii="Arial Narrow" w:hAnsi="Arial Narrow"/>
                <w:sz w:val="20"/>
              </w:rPr>
            </w:pPr>
            <w:r w:rsidRPr="00DA2D06">
              <w:rPr>
                <w:rFonts w:ascii="Arial Narrow" w:hAnsi="Arial Narrow"/>
                <w:sz w:val="20"/>
              </w:rPr>
              <w:t>7 (6.9)</w:t>
            </w:r>
          </w:p>
        </w:tc>
        <w:tc>
          <w:tcPr>
            <w:tcW w:w="1399" w:type="dxa"/>
            <w:vAlign w:val="center"/>
          </w:tcPr>
          <w:p w:rsidR="00ED08B2" w:rsidRPr="00DA2D06" w:rsidRDefault="00F9168A" w:rsidP="00081213">
            <w:pPr>
              <w:widowControl/>
              <w:jc w:val="center"/>
              <w:rPr>
                <w:rFonts w:ascii="Arial Narrow" w:hAnsi="Arial Narrow"/>
                <w:i/>
                <w:sz w:val="20"/>
              </w:rPr>
            </w:pPr>
            <w:r>
              <w:rPr>
                <w:rFonts w:ascii="Arial Narrow" w:hAnsi="Arial Narrow"/>
                <w:i/>
                <w:noProof/>
                <w:color w:val="000000"/>
                <w:sz w:val="20"/>
                <w:highlight w:val="black"/>
              </w:rPr>
              <w:t>'''''''''''</w:t>
            </w:r>
            <w:r w:rsidR="00ED08B2" w:rsidRPr="00DA2D06">
              <w:rPr>
                <w:rFonts w:ascii="Arial Narrow" w:hAnsi="Arial Narrow"/>
                <w:i/>
                <w:sz w:val="20"/>
              </w:rPr>
              <w:t xml:space="preserve"> (</w:t>
            </w:r>
            <w:r>
              <w:rPr>
                <w:rFonts w:ascii="Arial Narrow" w:hAnsi="Arial Narrow"/>
                <w:i/>
                <w:noProof/>
                <w:color w:val="000000"/>
                <w:sz w:val="20"/>
                <w:highlight w:val="black"/>
              </w:rPr>
              <w:t>''''''''''</w:t>
            </w:r>
            <w:r w:rsidR="00ED08B2" w:rsidRPr="00DA2D06">
              <w:rPr>
                <w:rFonts w:ascii="Arial Narrow" w:hAnsi="Arial Narrow"/>
                <w:i/>
                <w:sz w:val="20"/>
              </w:rPr>
              <w:t xml:space="preserve">, </w:t>
            </w:r>
            <w:r>
              <w:rPr>
                <w:rFonts w:ascii="Arial Narrow" w:hAnsi="Arial Narrow"/>
                <w:i/>
                <w:noProof/>
                <w:color w:val="000000"/>
                <w:sz w:val="20"/>
                <w:highlight w:val="black"/>
              </w:rPr>
              <w:t>''''''''''''</w:t>
            </w:r>
            <w:r w:rsidR="00ED08B2" w:rsidRPr="00DA2D06">
              <w:rPr>
                <w:rFonts w:ascii="Arial Narrow" w:hAnsi="Arial Narrow"/>
                <w:i/>
                <w:sz w:val="20"/>
              </w:rPr>
              <w:t>)</w:t>
            </w:r>
          </w:p>
        </w:tc>
      </w:tr>
      <w:tr w:rsidR="00ED08B2" w:rsidRPr="00030BFB" w:rsidTr="00ED08B2">
        <w:tc>
          <w:tcPr>
            <w:tcW w:w="2410" w:type="dxa"/>
          </w:tcPr>
          <w:p w:rsidR="00ED08B2" w:rsidRDefault="00ED08B2" w:rsidP="00081213">
            <w:pPr>
              <w:widowControl/>
              <w:rPr>
                <w:rFonts w:ascii="Arial Narrow" w:hAnsi="Arial Narrow"/>
                <w:sz w:val="20"/>
              </w:rPr>
            </w:pPr>
            <w:r>
              <w:rPr>
                <w:rFonts w:ascii="Arial Narrow" w:hAnsi="Arial Narrow"/>
                <w:sz w:val="20"/>
              </w:rPr>
              <w:t>Severe TEAE</w:t>
            </w:r>
          </w:p>
        </w:tc>
        <w:tc>
          <w:tcPr>
            <w:tcW w:w="1134" w:type="dxa"/>
            <w:vAlign w:val="center"/>
          </w:tcPr>
          <w:p w:rsidR="00ED08B2" w:rsidRPr="00DA2D06" w:rsidRDefault="00F9168A" w:rsidP="00081213">
            <w:pPr>
              <w:widowControl/>
              <w:jc w:val="center"/>
              <w:rPr>
                <w:rFonts w:ascii="Arial Narrow" w:hAnsi="Arial Narrow"/>
                <w:sz w:val="20"/>
              </w:rPr>
            </w:pPr>
            <w:r>
              <w:rPr>
                <w:rFonts w:ascii="Arial Narrow" w:hAnsi="Arial Narrow"/>
                <w:noProof/>
                <w:color w:val="000000"/>
                <w:sz w:val="20"/>
                <w:highlight w:val="black"/>
              </w:rPr>
              <w:t>''''</w:t>
            </w:r>
            <w:r w:rsidR="00ED08B2" w:rsidRPr="00DA2D06">
              <w:rPr>
                <w:rFonts w:ascii="Arial Narrow" w:hAnsi="Arial Narrow"/>
                <w:sz w:val="20"/>
              </w:rPr>
              <w:t xml:space="preserve"> (</w:t>
            </w:r>
            <w:r>
              <w:rPr>
                <w:rFonts w:ascii="Arial Narrow" w:hAnsi="Arial Narrow"/>
                <w:noProof/>
                <w:color w:val="000000"/>
                <w:sz w:val="20"/>
                <w:highlight w:val="black"/>
              </w:rPr>
              <w:t>'''''''''</w:t>
            </w:r>
            <w:r w:rsidR="00ED08B2" w:rsidRPr="00DA2D06">
              <w:rPr>
                <w:rFonts w:ascii="Arial Narrow" w:hAnsi="Arial Narrow"/>
                <w:sz w:val="20"/>
              </w:rPr>
              <w:t>)</w:t>
            </w:r>
          </w:p>
        </w:tc>
        <w:tc>
          <w:tcPr>
            <w:tcW w:w="1134" w:type="dxa"/>
            <w:vAlign w:val="center"/>
          </w:tcPr>
          <w:p w:rsidR="00ED08B2" w:rsidRPr="00DA2D06" w:rsidRDefault="00F9168A" w:rsidP="00081213">
            <w:pPr>
              <w:widowControl/>
              <w:jc w:val="center"/>
              <w:rPr>
                <w:rFonts w:ascii="Arial Narrow" w:hAnsi="Arial Narrow"/>
                <w:sz w:val="20"/>
              </w:rPr>
            </w:pPr>
            <w:r>
              <w:rPr>
                <w:rFonts w:ascii="Arial Narrow" w:hAnsi="Arial Narrow"/>
                <w:noProof/>
                <w:color w:val="000000"/>
                <w:sz w:val="20"/>
                <w:highlight w:val="black"/>
              </w:rPr>
              <w:t>''''</w:t>
            </w:r>
            <w:r w:rsidR="00ED08B2" w:rsidRPr="00DA2D06">
              <w:rPr>
                <w:rFonts w:ascii="Arial Narrow" w:hAnsi="Arial Narrow"/>
                <w:sz w:val="20"/>
              </w:rPr>
              <w:t xml:space="preserve"> (</w:t>
            </w:r>
            <w:r>
              <w:rPr>
                <w:rFonts w:ascii="Arial Narrow" w:hAnsi="Arial Narrow"/>
                <w:noProof/>
                <w:color w:val="000000"/>
                <w:sz w:val="20"/>
                <w:highlight w:val="black"/>
              </w:rPr>
              <w:t>'''''''</w:t>
            </w:r>
            <w:r w:rsidR="00ED08B2" w:rsidRPr="00DA2D06">
              <w:rPr>
                <w:rFonts w:ascii="Arial Narrow" w:hAnsi="Arial Narrow"/>
                <w:sz w:val="20"/>
              </w:rPr>
              <w:t>)</w:t>
            </w:r>
          </w:p>
        </w:tc>
        <w:tc>
          <w:tcPr>
            <w:tcW w:w="1134" w:type="dxa"/>
            <w:vAlign w:val="center"/>
          </w:tcPr>
          <w:p w:rsidR="00ED08B2" w:rsidRPr="00DA2D06" w:rsidRDefault="00ED08B2" w:rsidP="00081213">
            <w:pPr>
              <w:widowControl/>
              <w:jc w:val="center"/>
              <w:rPr>
                <w:rFonts w:ascii="Arial Narrow" w:hAnsi="Arial Narrow"/>
                <w:sz w:val="20"/>
              </w:rPr>
            </w:pPr>
            <w:r w:rsidRPr="00DA2D06">
              <w:rPr>
                <w:rFonts w:ascii="Arial Narrow" w:hAnsi="Arial Narrow"/>
                <w:sz w:val="20"/>
              </w:rPr>
              <w:t>26 (25.7)</w:t>
            </w:r>
          </w:p>
        </w:tc>
        <w:tc>
          <w:tcPr>
            <w:tcW w:w="1134" w:type="dxa"/>
            <w:vAlign w:val="center"/>
          </w:tcPr>
          <w:p w:rsidR="00ED08B2" w:rsidRPr="00DA2D06" w:rsidRDefault="00ED08B2" w:rsidP="00081213">
            <w:pPr>
              <w:widowControl/>
              <w:jc w:val="center"/>
              <w:rPr>
                <w:rFonts w:ascii="Arial Narrow" w:hAnsi="Arial Narrow"/>
                <w:sz w:val="20"/>
              </w:rPr>
            </w:pPr>
            <w:r w:rsidRPr="00DA2D06">
              <w:rPr>
                <w:rFonts w:ascii="Arial Narrow" w:hAnsi="Arial Narrow"/>
                <w:sz w:val="20"/>
              </w:rPr>
              <w:t>35 (34.7)</w:t>
            </w:r>
          </w:p>
        </w:tc>
        <w:tc>
          <w:tcPr>
            <w:tcW w:w="1399" w:type="dxa"/>
            <w:vAlign w:val="center"/>
          </w:tcPr>
          <w:p w:rsidR="00ED08B2" w:rsidRPr="00DA2D06" w:rsidRDefault="00F9168A" w:rsidP="00081213">
            <w:pPr>
              <w:widowControl/>
              <w:jc w:val="center"/>
              <w:rPr>
                <w:rFonts w:ascii="Arial Narrow" w:hAnsi="Arial Narrow"/>
                <w:i/>
                <w:sz w:val="20"/>
              </w:rPr>
            </w:pPr>
            <w:r>
              <w:rPr>
                <w:rFonts w:ascii="Arial Narrow" w:hAnsi="Arial Narrow"/>
                <w:i/>
                <w:noProof/>
                <w:color w:val="000000"/>
                <w:sz w:val="20"/>
                <w:highlight w:val="black"/>
              </w:rPr>
              <w:t>'''''''''''</w:t>
            </w:r>
            <w:r w:rsidR="00ED08B2" w:rsidRPr="00DA2D06">
              <w:rPr>
                <w:rFonts w:ascii="Arial Narrow" w:hAnsi="Arial Narrow"/>
                <w:i/>
                <w:sz w:val="20"/>
              </w:rPr>
              <w:t xml:space="preserve"> (</w:t>
            </w:r>
            <w:r>
              <w:rPr>
                <w:rFonts w:ascii="Arial Narrow" w:hAnsi="Arial Narrow"/>
                <w:i/>
                <w:noProof/>
                <w:color w:val="000000"/>
                <w:sz w:val="20"/>
                <w:highlight w:val="black"/>
              </w:rPr>
              <w:t>''''''''''</w:t>
            </w:r>
            <w:r w:rsidR="00ED08B2" w:rsidRPr="00DA2D06">
              <w:rPr>
                <w:rFonts w:ascii="Arial Narrow" w:hAnsi="Arial Narrow"/>
                <w:i/>
                <w:sz w:val="20"/>
              </w:rPr>
              <w:t xml:space="preserve">, </w:t>
            </w:r>
            <w:r>
              <w:rPr>
                <w:rFonts w:ascii="Arial Narrow" w:hAnsi="Arial Narrow"/>
                <w:i/>
                <w:noProof/>
                <w:color w:val="000000"/>
                <w:sz w:val="20"/>
                <w:highlight w:val="black"/>
              </w:rPr>
              <w:t>''''''''''</w:t>
            </w:r>
            <w:r w:rsidR="00ED08B2" w:rsidRPr="00DA2D06">
              <w:rPr>
                <w:rFonts w:ascii="Arial Narrow" w:hAnsi="Arial Narrow"/>
                <w:i/>
                <w:sz w:val="20"/>
              </w:rPr>
              <w:t>)</w:t>
            </w:r>
          </w:p>
        </w:tc>
      </w:tr>
      <w:tr w:rsidR="00ED08B2" w:rsidRPr="00030BFB" w:rsidTr="00ED08B2">
        <w:tc>
          <w:tcPr>
            <w:tcW w:w="2410" w:type="dxa"/>
          </w:tcPr>
          <w:p w:rsidR="00ED08B2" w:rsidRDefault="00ED08B2" w:rsidP="00081213">
            <w:pPr>
              <w:widowControl/>
              <w:rPr>
                <w:rFonts w:ascii="Arial Narrow" w:hAnsi="Arial Narrow"/>
                <w:sz w:val="20"/>
              </w:rPr>
            </w:pPr>
            <w:r>
              <w:rPr>
                <w:rFonts w:ascii="Arial Narrow" w:hAnsi="Arial Narrow"/>
                <w:sz w:val="20"/>
              </w:rPr>
              <w:t>Discontinued due to TEAE</w:t>
            </w:r>
          </w:p>
        </w:tc>
        <w:tc>
          <w:tcPr>
            <w:tcW w:w="1134" w:type="dxa"/>
            <w:vAlign w:val="center"/>
          </w:tcPr>
          <w:p w:rsidR="00ED08B2" w:rsidRPr="00DA2D06" w:rsidRDefault="00F9168A" w:rsidP="00081213">
            <w:pPr>
              <w:widowControl/>
              <w:jc w:val="center"/>
              <w:rPr>
                <w:rFonts w:ascii="Arial Narrow" w:hAnsi="Arial Narrow"/>
                <w:sz w:val="20"/>
              </w:rPr>
            </w:pPr>
            <w:r>
              <w:rPr>
                <w:rFonts w:ascii="Arial Narrow" w:hAnsi="Arial Narrow"/>
                <w:noProof/>
                <w:color w:val="000000"/>
                <w:sz w:val="20"/>
                <w:highlight w:val="black"/>
              </w:rPr>
              <w:t>'''</w:t>
            </w:r>
            <w:r w:rsidR="00ED08B2" w:rsidRPr="00DA2D06">
              <w:rPr>
                <w:rFonts w:ascii="Arial Narrow" w:hAnsi="Arial Narrow"/>
                <w:sz w:val="20"/>
              </w:rPr>
              <w:t xml:space="preserve"> (</w:t>
            </w:r>
            <w:r>
              <w:rPr>
                <w:rFonts w:ascii="Arial Narrow" w:hAnsi="Arial Narrow"/>
                <w:noProof/>
                <w:color w:val="000000"/>
                <w:sz w:val="20"/>
                <w:highlight w:val="black"/>
              </w:rPr>
              <w:t>'''</w:t>
            </w:r>
            <w:r w:rsidR="00ED08B2" w:rsidRPr="00DA2D06">
              <w:rPr>
                <w:rFonts w:ascii="Arial Narrow" w:hAnsi="Arial Narrow"/>
                <w:sz w:val="20"/>
              </w:rPr>
              <w:t>)</w:t>
            </w:r>
          </w:p>
        </w:tc>
        <w:tc>
          <w:tcPr>
            <w:tcW w:w="1134" w:type="dxa"/>
            <w:vAlign w:val="center"/>
          </w:tcPr>
          <w:p w:rsidR="00ED08B2" w:rsidRPr="00DA2D06" w:rsidRDefault="00F9168A" w:rsidP="00081213">
            <w:pPr>
              <w:widowControl/>
              <w:jc w:val="center"/>
              <w:rPr>
                <w:rFonts w:ascii="Arial Narrow" w:hAnsi="Arial Narrow"/>
                <w:sz w:val="20"/>
              </w:rPr>
            </w:pPr>
            <w:r>
              <w:rPr>
                <w:rFonts w:ascii="Arial Narrow" w:hAnsi="Arial Narrow"/>
                <w:noProof/>
                <w:color w:val="000000"/>
                <w:sz w:val="20"/>
                <w:highlight w:val="black"/>
              </w:rPr>
              <w:t>'''</w:t>
            </w:r>
            <w:r w:rsidR="00ED08B2" w:rsidRPr="00DA2D06">
              <w:rPr>
                <w:rFonts w:ascii="Arial Narrow" w:hAnsi="Arial Narrow"/>
                <w:sz w:val="20"/>
              </w:rPr>
              <w:t xml:space="preserve"> (</w:t>
            </w:r>
            <w:r>
              <w:rPr>
                <w:rFonts w:ascii="Arial Narrow" w:hAnsi="Arial Narrow"/>
                <w:noProof/>
                <w:color w:val="000000"/>
                <w:sz w:val="20"/>
                <w:highlight w:val="black"/>
              </w:rPr>
              <w:t>'''''''</w:t>
            </w:r>
            <w:r w:rsidR="00ED08B2" w:rsidRPr="00DA2D06">
              <w:rPr>
                <w:rFonts w:ascii="Arial Narrow" w:hAnsi="Arial Narrow"/>
                <w:sz w:val="20"/>
              </w:rPr>
              <w:t>)</w:t>
            </w:r>
          </w:p>
        </w:tc>
        <w:tc>
          <w:tcPr>
            <w:tcW w:w="1134" w:type="dxa"/>
            <w:vAlign w:val="center"/>
          </w:tcPr>
          <w:p w:rsidR="00ED08B2" w:rsidRPr="00DA2D06" w:rsidRDefault="00ED08B2" w:rsidP="00081213">
            <w:pPr>
              <w:widowControl/>
              <w:jc w:val="center"/>
              <w:rPr>
                <w:rFonts w:ascii="Arial Narrow" w:hAnsi="Arial Narrow"/>
                <w:sz w:val="20"/>
              </w:rPr>
            </w:pPr>
            <w:r w:rsidRPr="00DA2D06">
              <w:rPr>
                <w:rFonts w:ascii="Arial Narrow" w:hAnsi="Arial Narrow"/>
                <w:sz w:val="20"/>
              </w:rPr>
              <w:t>3 (3.0)</w:t>
            </w:r>
          </w:p>
        </w:tc>
        <w:tc>
          <w:tcPr>
            <w:tcW w:w="1134" w:type="dxa"/>
            <w:vAlign w:val="center"/>
          </w:tcPr>
          <w:p w:rsidR="00ED08B2" w:rsidRPr="00DA2D06" w:rsidRDefault="00ED08B2" w:rsidP="00081213">
            <w:pPr>
              <w:widowControl/>
              <w:jc w:val="center"/>
              <w:rPr>
                <w:rFonts w:ascii="Arial Narrow" w:hAnsi="Arial Narrow"/>
                <w:sz w:val="20"/>
              </w:rPr>
            </w:pPr>
            <w:r w:rsidRPr="00DA2D06">
              <w:rPr>
                <w:rFonts w:ascii="Arial Narrow" w:hAnsi="Arial Narrow"/>
                <w:sz w:val="20"/>
              </w:rPr>
              <w:t>2 (2.0)</w:t>
            </w:r>
          </w:p>
        </w:tc>
        <w:tc>
          <w:tcPr>
            <w:tcW w:w="1399" w:type="dxa"/>
            <w:vAlign w:val="center"/>
          </w:tcPr>
          <w:p w:rsidR="00ED08B2" w:rsidRPr="00DA2D06" w:rsidRDefault="00F9168A" w:rsidP="00081213">
            <w:pPr>
              <w:widowControl/>
              <w:jc w:val="center"/>
              <w:rPr>
                <w:rFonts w:ascii="Arial Narrow" w:hAnsi="Arial Narrow"/>
                <w:i/>
                <w:sz w:val="20"/>
              </w:rPr>
            </w:pPr>
            <w:r>
              <w:rPr>
                <w:rFonts w:ascii="Arial Narrow" w:hAnsi="Arial Narrow"/>
                <w:i/>
                <w:noProof/>
                <w:color w:val="000000"/>
                <w:sz w:val="20"/>
                <w:highlight w:val="black"/>
              </w:rPr>
              <w:t>'''''''''''</w:t>
            </w:r>
            <w:r w:rsidR="00ED08B2" w:rsidRPr="00DA2D06">
              <w:rPr>
                <w:rFonts w:ascii="Arial Narrow" w:hAnsi="Arial Narrow"/>
                <w:i/>
                <w:sz w:val="20"/>
              </w:rPr>
              <w:t xml:space="preserve"> (</w:t>
            </w:r>
            <w:r>
              <w:rPr>
                <w:rFonts w:ascii="Arial Narrow" w:hAnsi="Arial Narrow"/>
                <w:i/>
                <w:noProof/>
                <w:color w:val="000000"/>
                <w:sz w:val="20"/>
                <w:highlight w:val="black"/>
              </w:rPr>
              <w:t>''''''''''</w:t>
            </w:r>
            <w:r w:rsidR="00ED08B2" w:rsidRPr="00DA2D06">
              <w:rPr>
                <w:rFonts w:ascii="Arial Narrow" w:hAnsi="Arial Narrow"/>
                <w:i/>
                <w:sz w:val="20"/>
              </w:rPr>
              <w:t xml:space="preserve">, </w:t>
            </w:r>
            <w:r>
              <w:rPr>
                <w:rFonts w:ascii="Arial Narrow" w:hAnsi="Arial Narrow"/>
                <w:i/>
                <w:noProof/>
                <w:color w:val="000000"/>
                <w:sz w:val="20"/>
                <w:highlight w:val="black"/>
              </w:rPr>
              <w:t>''''''''''</w:t>
            </w:r>
            <w:r w:rsidR="00ED08B2" w:rsidRPr="00DA2D06">
              <w:rPr>
                <w:rFonts w:ascii="Arial Narrow" w:hAnsi="Arial Narrow"/>
                <w:i/>
                <w:sz w:val="20"/>
              </w:rPr>
              <w:t>)</w:t>
            </w:r>
          </w:p>
        </w:tc>
      </w:tr>
      <w:tr w:rsidR="00ED08B2" w:rsidRPr="00030BFB" w:rsidTr="00ED08B2">
        <w:tc>
          <w:tcPr>
            <w:tcW w:w="2410" w:type="dxa"/>
          </w:tcPr>
          <w:p w:rsidR="00ED08B2" w:rsidRDefault="00ED08B2" w:rsidP="00081213">
            <w:pPr>
              <w:widowControl/>
              <w:rPr>
                <w:rFonts w:ascii="Arial Narrow" w:hAnsi="Arial Narrow"/>
                <w:sz w:val="20"/>
              </w:rPr>
            </w:pPr>
            <w:r>
              <w:rPr>
                <w:rFonts w:ascii="Arial Narrow" w:hAnsi="Arial Narrow"/>
                <w:sz w:val="20"/>
              </w:rPr>
              <w:t>Death</w:t>
            </w:r>
          </w:p>
        </w:tc>
        <w:tc>
          <w:tcPr>
            <w:tcW w:w="1134" w:type="dxa"/>
            <w:vAlign w:val="center"/>
          </w:tcPr>
          <w:p w:rsidR="00ED08B2" w:rsidRPr="00DA2D06" w:rsidRDefault="00F9168A" w:rsidP="00081213">
            <w:pPr>
              <w:widowControl/>
              <w:jc w:val="center"/>
              <w:rPr>
                <w:rFonts w:ascii="Arial Narrow" w:hAnsi="Arial Narrow"/>
                <w:sz w:val="20"/>
              </w:rPr>
            </w:pPr>
            <w:r>
              <w:rPr>
                <w:rFonts w:ascii="Arial Narrow" w:hAnsi="Arial Narrow"/>
                <w:noProof/>
                <w:color w:val="000000"/>
                <w:sz w:val="20"/>
                <w:highlight w:val="black"/>
              </w:rPr>
              <w:t>'''</w:t>
            </w:r>
            <w:r w:rsidR="00ED08B2" w:rsidRPr="00DA2D06">
              <w:rPr>
                <w:rFonts w:ascii="Arial Narrow" w:hAnsi="Arial Narrow"/>
                <w:sz w:val="20"/>
              </w:rPr>
              <w:t xml:space="preserve"> (</w:t>
            </w:r>
            <w:r>
              <w:rPr>
                <w:rFonts w:ascii="Arial Narrow" w:hAnsi="Arial Narrow"/>
                <w:noProof/>
                <w:color w:val="000000"/>
                <w:sz w:val="20"/>
                <w:highlight w:val="black"/>
              </w:rPr>
              <w:t>'''</w:t>
            </w:r>
            <w:r w:rsidR="00ED08B2" w:rsidRPr="00DA2D06">
              <w:rPr>
                <w:rFonts w:ascii="Arial Narrow" w:hAnsi="Arial Narrow"/>
                <w:sz w:val="20"/>
              </w:rPr>
              <w:t>)</w:t>
            </w:r>
          </w:p>
        </w:tc>
        <w:tc>
          <w:tcPr>
            <w:tcW w:w="1134" w:type="dxa"/>
            <w:vAlign w:val="center"/>
          </w:tcPr>
          <w:p w:rsidR="00ED08B2" w:rsidRPr="00DA2D06" w:rsidRDefault="00F9168A" w:rsidP="00081213">
            <w:pPr>
              <w:widowControl/>
              <w:jc w:val="center"/>
              <w:rPr>
                <w:rFonts w:ascii="Arial Narrow" w:hAnsi="Arial Narrow"/>
                <w:sz w:val="20"/>
              </w:rPr>
            </w:pPr>
            <w:r>
              <w:rPr>
                <w:rFonts w:ascii="Arial Narrow" w:hAnsi="Arial Narrow"/>
                <w:noProof/>
                <w:color w:val="000000"/>
                <w:sz w:val="20"/>
                <w:highlight w:val="black"/>
              </w:rPr>
              <w:t>'''</w:t>
            </w:r>
            <w:r w:rsidR="00ED08B2" w:rsidRPr="00DA2D06">
              <w:rPr>
                <w:rFonts w:ascii="Arial Narrow" w:hAnsi="Arial Narrow"/>
                <w:sz w:val="20"/>
              </w:rPr>
              <w:t xml:space="preserve"> (</w:t>
            </w:r>
            <w:r>
              <w:rPr>
                <w:rFonts w:ascii="Arial Narrow" w:hAnsi="Arial Narrow"/>
                <w:noProof/>
                <w:color w:val="000000"/>
                <w:sz w:val="20"/>
                <w:highlight w:val="black"/>
              </w:rPr>
              <w:t>'''</w:t>
            </w:r>
            <w:r w:rsidR="00ED08B2" w:rsidRPr="00DA2D06">
              <w:rPr>
                <w:rFonts w:ascii="Arial Narrow" w:hAnsi="Arial Narrow"/>
                <w:sz w:val="20"/>
              </w:rPr>
              <w:t>)</w:t>
            </w:r>
          </w:p>
        </w:tc>
        <w:tc>
          <w:tcPr>
            <w:tcW w:w="1134" w:type="dxa"/>
            <w:vAlign w:val="center"/>
          </w:tcPr>
          <w:p w:rsidR="00ED08B2" w:rsidRPr="00DA2D06" w:rsidRDefault="00ED08B2" w:rsidP="00081213">
            <w:pPr>
              <w:widowControl/>
              <w:jc w:val="center"/>
              <w:rPr>
                <w:rFonts w:ascii="Arial Narrow" w:hAnsi="Arial Narrow"/>
                <w:sz w:val="20"/>
              </w:rPr>
            </w:pPr>
            <w:r w:rsidRPr="00DA2D06">
              <w:rPr>
                <w:rFonts w:ascii="Arial Narrow" w:hAnsi="Arial Narrow"/>
                <w:sz w:val="20"/>
              </w:rPr>
              <w:t>1 (1.0)</w:t>
            </w:r>
          </w:p>
        </w:tc>
        <w:tc>
          <w:tcPr>
            <w:tcW w:w="1134" w:type="dxa"/>
            <w:vAlign w:val="center"/>
          </w:tcPr>
          <w:p w:rsidR="00ED08B2" w:rsidRPr="00DA2D06" w:rsidRDefault="00ED08B2" w:rsidP="00081213">
            <w:pPr>
              <w:widowControl/>
              <w:jc w:val="center"/>
              <w:rPr>
                <w:rFonts w:ascii="Arial Narrow" w:hAnsi="Arial Narrow"/>
                <w:sz w:val="20"/>
              </w:rPr>
            </w:pPr>
            <w:r w:rsidRPr="00DA2D06">
              <w:rPr>
                <w:rFonts w:ascii="Arial Narrow" w:hAnsi="Arial Narrow"/>
                <w:sz w:val="20"/>
              </w:rPr>
              <w:t>0 (0)</w:t>
            </w:r>
          </w:p>
        </w:tc>
        <w:tc>
          <w:tcPr>
            <w:tcW w:w="1399" w:type="dxa"/>
            <w:vAlign w:val="center"/>
          </w:tcPr>
          <w:p w:rsidR="00ED08B2" w:rsidRPr="00DA2D06" w:rsidRDefault="00F9168A" w:rsidP="00081213">
            <w:pPr>
              <w:widowControl/>
              <w:jc w:val="center"/>
              <w:rPr>
                <w:rFonts w:ascii="Arial Narrow" w:hAnsi="Arial Narrow"/>
                <w:i/>
                <w:sz w:val="20"/>
              </w:rPr>
            </w:pPr>
            <w:r>
              <w:rPr>
                <w:rFonts w:ascii="Arial Narrow" w:hAnsi="Arial Narrow"/>
                <w:i/>
                <w:noProof/>
                <w:color w:val="000000"/>
                <w:sz w:val="20"/>
                <w:highlight w:val="black"/>
              </w:rPr>
              <w:t>''''''''</w:t>
            </w:r>
            <w:r w:rsidR="00ED08B2" w:rsidRPr="00DA2D06">
              <w:rPr>
                <w:rFonts w:ascii="Arial Narrow" w:hAnsi="Arial Narrow"/>
                <w:i/>
                <w:sz w:val="20"/>
              </w:rPr>
              <w:t xml:space="preserve"> (</w:t>
            </w:r>
            <w:r>
              <w:rPr>
                <w:rFonts w:ascii="Arial Narrow" w:hAnsi="Arial Narrow"/>
                <w:i/>
                <w:noProof/>
                <w:color w:val="000000"/>
                <w:sz w:val="20"/>
                <w:highlight w:val="black"/>
              </w:rPr>
              <w:t>''''''''''</w:t>
            </w:r>
            <w:r w:rsidR="00ED08B2" w:rsidRPr="00DA2D06">
              <w:rPr>
                <w:rFonts w:ascii="Arial Narrow" w:hAnsi="Arial Narrow"/>
                <w:i/>
                <w:sz w:val="20"/>
              </w:rPr>
              <w:t xml:space="preserve">, </w:t>
            </w:r>
            <w:r>
              <w:rPr>
                <w:rFonts w:ascii="Arial Narrow" w:hAnsi="Arial Narrow"/>
                <w:i/>
                <w:noProof/>
                <w:color w:val="000000"/>
                <w:sz w:val="20"/>
                <w:highlight w:val="black"/>
              </w:rPr>
              <w:t>''''''''''''''</w:t>
            </w:r>
            <w:r w:rsidR="00ED08B2" w:rsidRPr="00DA2D06">
              <w:rPr>
                <w:rFonts w:ascii="Arial Narrow" w:hAnsi="Arial Narrow"/>
                <w:i/>
                <w:sz w:val="20"/>
              </w:rPr>
              <w:t>)</w:t>
            </w:r>
          </w:p>
        </w:tc>
      </w:tr>
      <w:tr w:rsidR="00ED08B2" w:rsidRPr="00E0011F" w:rsidTr="00ED08B2">
        <w:tc>
          <w:tcPr>
            <w:tcW w:w="8345" w:type="dxa"/>
            <w:gridSpan w:val="6"/>
            <w:shd w:val="clear" w:color="auto" w:fill="FFFFFF" w:themeFill="background1"/>
          </w:tcPr>
          <w:p w:rsidR="00ED08B2" w:rsidRPr="00DA2D06" w:rsidRDefault="00ED08B2" w:rsidP="00081213">
            <w:pPr>
              <w:widowControl/>
              <w:jc w:val="left"/>
              <w:rPr>
                <w:rFonts w:ascii="Arial Narrow" w:hAnsi="Arial Narrow"/>
                <w:b/>
                <w:sz w:val="20"/>
              </w:rPr>
            </w:pPr>
            <w:r w:rsidRPr="00DA2D06">
              <w:rPr>
                <w:rFonts w:ascii="Arial Narrow" w:hAnsi="Arial Narrow"/>
                <w:b/>
                <w:sz w:val="20"/>
              </w:rPr>
              <w:t>Treatment-emergent adverse drug reactions (TEADR)</w:t>
            </w:r>
          </w:p>
        </w:tc>
      </w:tr>
      <w:tr w:rsidR="00ED08B2" w:rsidRPr="00030BFB" w:rsidTr="00ED08B2">
        <w:tc>
          <w:tcPr>
            <w:tcW w:w="2410" w:type="dxa"/>
          </w:tcPr>
          <w:p w:rsidR="00ED08B2" w:rsidRDefault="00ED08B2" w:rsidP="00081213">
            <w:pPr>
              <w:widowControl/>
              <w:rPr>
                <w:rFonts w:ascii="Arial Narrow" w:hAnsi="Arial Narrow"/>
                <w:sz w:val="20"/>
              </w:rPr>
            </w:pPr>
            <w:r>
              <w:rPr>
                <w:rFonts w:ascii="Arial Narrow" w:hAnsi="Arial Narrow"/>
                <w:sz w:val="20"/>
              </w:rPr>
              <w:t>Related TEAE=TEADR</w:t>
            </w:r>
          </w:p>
        </w:tc>
        <w:tc>
          <w:tcPr>
            <w:tcW w:w="1134" w:type="dxa"/>
            <w:vAlign w:val="center"/>
          </w:tcPr>
          <w:p w:rsidR="00ED08B2" w:rsidRPr="00DA2D06" w:rsidRDefault="00F9168A" w:rsidP="00081213">
            <w:pPr>
              <w:widowControl/>
              <w:jc w:val="center"/>
              <w:rPr>
                <w:rFonts w:ascii="Arial Narrow" w:hAnsi="Arial Narrow"/>
                <w:sz w:val="20"/>
              </w:rPr>
            </w:pPr>
            <w:r>
              <w:rPr>
                <w:rFonts w:ascii="Arial Narrow" w:hAnsi="Arial Narrow"/>
                <w:noProof/>
                <w:color w:val="000000"/>
                <w:sz w:val="20"/>
                <w:highlight w:val="black"/>
              </w:rPr>
              <w:t>''''''</w:t>
            </w:r>
            <w:r w:rsidR="00ED08B2" w:rsidRPr="00DA2D06">
              <w:rPr>
                <w:rFonts w:ascii="Arial Narrow" w:hAnsi="Arial Narrow"/>
                <w:sz w:val="20"/>
              </w:rPr>
              <w:t xml:space="preserve"> (</w:t>
            </w:r>
            <w:r>
              <w:rPr>
                <w:rFonts w:ascii="Arial Narrow" w:hAnsi="Arial Narrow"/>
                <w:noProof/>
                <w:color w:val="000000"/>
                <w:sz w:val="20"/>
                <w:highlight w:val="black"/>
              </w:rPr>
              <w:t>''''''''''</w:t>
            </w:r>
            <w:r w:rsidR="00ED08B2" w:rsidRPr="00DA2D06">
              <w:rPr>
                <w:rFonts w:ascii="Arial Narrow" w:hAnsi="Arial Narrow"/>
                <w:sz w:val="20"/>
              </w:rPr>
              <w:t>)</w:t>
            </w:r>
          </w:p>
        </w:tc>
        <w:tc>
          <w:tcPr>
            <w:tcW w:w="1134" w:type="dxa"/>
            <w:vAlign w:val="center"/>
          </w:tcPr>
          <w:p w:rsidR="00ED08B2" w:rsidRPr="00DA2D06" w:rsidRDefault="00F9168A" w:rsidP="00081213">
            <w:pPr>
              <w:widowControl/>
              <w:jc w:val="center"/>
              <w:rPr>
                <w:rFonts w:ascii="Arial Narrow" w:hAnsi="Arial Narrow"/>
                <w:sz w:val="20"/>
              </w:rPr>
            </w:pPr>
            <w:r>
              <w:rPr>
                <w:rFonts w:ascii="Arial Narrow" w:hAnsi="Arial Narrow"/>
                <w:noProof/>
                <w:color w:val="000000"/>
                <w:sz w:val="20"/>
                <w:highlight w:val="black"/>
              </w:rPr>
              <w:t>'''''''</w:t>
            </w:r>
            <w:r w:rsidR="00ED08B2" w:rsidRPr="00DA2D06">
              <w:rPr>
                <w:rFonts w:ascii="Arial Narrow" w:hAnsi="Arial Narrow"/>
                <w:sz w:val="20"/>
              </w:rPr>
              <w:t xml:space="preserve"> (</w:t>
            </w:r>
            <w:r>
              <w:rPr>
                <w:rFonts w:ascii="Arial Narrow" w:hAnsi="Arial Narrow"/>
                <w:noProof/>
                <w:color w:val="000000"/>
                <w:sz w:val="20"/>
                <w:highlight w:val="black"/>
              </w:rPr>
              <w:t>''''''''''</w:t>
            </w:r>
            <w:r w:rsidR="00ED08B2" w:rsidRPr="00DA2D06">
              <w:rPr>
                <w:rFonts w:ascii="Arial Narrow" w:hAnsi="Arial Narrow"/>
                <w:sz w:val="20"/>
              </w:rPr>
              <w:t>)</w:t>
            </w:r>
          </w:p>
        </w:tc>
        <w:tc>
          <w:tcPr>
            <w:tcW w:w="1134" w:type="dxa"/>
            <w:vAlign w:val="center"/>
          </w:tcPr>
          <w:p w:rsidR="00ED08B2" w:rsidRPr="00DA2D06" w:rsidRDefault="00ED08B2" w:rsidP="00081213">
            <w:pPr>
              <w:widowControl/>
              <w:jc w:val="center"/>
              <w:rPr>
                <w:rFonts w:ascii="Arial Narrow" w:hAnsi="Arial Narrow"/>
                <w:sz w:val="20"/>
              </w:rPr>
            </w:pPr>
            <w:r w:rsidRPr="00DA2D06">
              <w:rPr>
                <w:rFonts w:ascii="Arial Narrow" w:hAnsi="Arial Narrow"/>
                <w:sz w:val="20"/>
              </w:rPr>
              <w:t>28 (27.7)</w:t>
            </w:r>
          </w:p>
        </w:tc>
        <w:tc>
          <w:tcPr>
            <w:tcW w:w="1134" w:type="dxa"/>
            <w:vAlign w:val="center"/>
          </w:tcPr>
          <w:p w:rsidR="00ED08B2" w:rsidRPr="00DA2D06" w:rsidRDefault="00ED08B2" w:rsidP="00081213">
            <w:pPr>
              <w:widowControl/>
              <w:jc w:val="center"/>
              <w:rPr>
                <w:rFonts w:ascii="Arial Narrow" w:hAnsi="Arial Narrow"/>
                <w:sz w:val="20"/>
              </w:rPr>
            </w:pPr>
            <w:r w:rsidRPr="00DA2D06">
              <w:rPr>
                <w:rFonts w:ascii="Arial Narrow" w:hAnsi="Arial Narrow"/>
                <w:sz w:val="20"/>
              </w:rPr>
              <w:t>26 (25.7)</w:t>
            </w:r>
          </w:p>
        </w:tc>
        <w:tc>
          <w:tcPr>
            <w:tcW w:w="1399" w:type="dxa"/>
            <w:vAlign w:val="center"/>
          </w:tcPr>
          <w:p w:rsidR="00ED08B2" w:rsidRPr="00DA2D06" w:rsidRDefault="00F9168A" w:rsidP="00081213">
            <w:pPr>
              <w:widowControl/>
              <w:jc w:val="center"/>
              <w:rPr>
                <w:rFonts w:ascii="Arial Narrow" w:hAnsi="Arial Narrow"/>
                <w:i/>
                <w:sz w:val="20"/>
              </w:rPr>
            </w:pPr>
            <w:r>
              <w:rPr>
                <w:rFonts w:ascii="Arial Narrow" w:hAnsi="Arial Narrow"/>
                <w:i/>
                <w:noProof/>
                <w:color w:val="000000"/>
                <w:sz w:val="20"/>
                <w:highlight w:val="black"/>
              </w:rPr>
              <w:t>''''''''''</w:t>
            </w:r>
            <w:r w:rsidR="00ED08B2" w:rsidRPr="00DA2D06">
              <w:rPr>
                <w:rFonts w:ascii="Arial Narrow" w:hAnsi="Arial Narrow"/>
                <w:i/>
                <w:sz w:val="20"/>
              </w:rPr>
              <w:t xml:space="preserve"> (</w:t>
            </w:r>
            <w:r>
              <w:rPr>
                <w:rFonts w:ascii="Arial Narrow" w:hAnsi="Arial Narrow"/>
                <w:i/>
                <w:noProof/>
                <w:color w:val="000000"/>
                <w:sz w:val="20"/>
                <w:highlight w:val="black"/>
              </w:rPr>
              <w:t>''''''''''</w:t>
            </w:r>
            <w:r w:rsidR="00ED08B2" w:rsidRPr="00DA2D06">
              <w:rPr>
                <w:rFonts w:ascii="Arial Narrow" w:hAnsi="Arial Narrow"/>
                <w:i/>
                <w:sz w:val="20"/>
              </w:rPr>
              <w:t xml:space="preserve">, </w:t>
            </w:r>
            <w:r>
              <w:rPr>
                <w:rFonts w:ascii="Arial Narrow" w:hAnsi="Arial Narrow"/>
                <w:i/>
                <w:noProof/>
                <w:color w:val="000000"/>
                <w:sz w:val="20"/>
                <w:highlight w:val="black"/>
              </w:rPr>
              <w:t>''''''''''</w:t>
            </w:r>
            <w:r w:rsidR="00ED08B2" w:rsidRPr="00DA2D06">
              <w:rPr>
                <w:rFonts w:ascii="Arial Narrow" w:hAnsi="Arial Narrow"/>
                <w:i/>
                <w:sz w:val="20"/>
              </w:rPr>
              <w:t>)</w:t>
            </w:r>
          </w:p>
        </w:tc>
      </w:tr>
      <w:tr w:rsidR="00ED08B2" w:rsidRPr="00030BFB" w:rsidTr="00ED08B2">
        <w:tc>
          <w:tcPr>
            <w:tcW w:w="2410" w:type="dxa"/>
          </w:tcPr>
          <w:p w:rsidR="00ED08B2" w:rsidRDefault="00ED08B2" w:rsidP="00081213">
            <w:pPr>
              <w:widowControl/>
              <w:rPr>
                <w:rFonts w:ascii="Arial Narrow" w:hAnsi="Arial Narrow"/>
                <w:sz w:val="20"/>
              </w:rPr>
            </w:pPr>
            <w:r>
              <w:rPr>
                <w:rFonts w:ascii="Arial Narrow" w:hAnsi="Arial Narrow"/>
                <w:sz w:val="20"/>
              </w:rPr>
              <w:t>Serious TEADR</w:t>
            </w:r>
          </w:p>
        </w:tc>
        <w:tc>
          <w:tcPr>
            <w:tcW w:w="1134" w:type="dxa"/>
            <w:vAlign w:val="center"/>
          </w:tcPr>
          <w:p w:rsidR="00ED08B2" w:rsidRPr="00DA2D06" w:rsidRDefault="00F9168A" w:rsidP="00081213">
            <w:pPr>
              <w:widowControl/>
              <w:jc w:val="center"/>
              <w:rPr>
                <w:rFonts w:ascii="Arial Narrow" w:hAnsi="Arial Narrow"/>
                <w:sz w:val="20"/>
              </w:rPr>
            </w:pPr>
            <w:r>
              <w:rPr>
                <w:rFonts w:ascii="Arial Narrow" w:hAnsi="Arial Narrow"/>
                <w:noProof/>
                <w:color w:val="000000"/>
                <w:sz w:val="20"/>
                <w:highlight w:val="black"/>
              </w:rPr>
              <w:t>''''</w:t>
            </w:r>
            <w:r w:rsidR="00ED08B2" w:rsidRPr="00DA2D06">
              <w:rPr>
                <w:rFonts w:ascii="Arial Narrow" w:hAnsi="Arial Narrow"/>
                <w:sz w:val="20"/>
              </w:rPr>
              <w:t xml:space="preserve"> (</w:t>
            </w:r>
            <w:r>
              <w:rPr>
                <w:rFonts w:ascii="Arial Narrow" w:hAnsi="Arial Narrow"/>
                <w:noProof/>
                <w:color w:val="000000"/>
                <w:sz w:val="20"/>
                <w:highlight w:val="black"/>
              </w:rPr>
              <w:t>'''''''</w:t>
            </w:r>
            <w:r w:rsidR="00ED08B2" w:rsidRPr="00DA2D06">
              <w:rPr>
                <w:rFonts w:ascii="Arial Narrow" w:hAnsi="Arial Narrow"/>
                <w:sz w:val="20"/>
              </w:rPr>
              <w:t>)</w:t>
            </w:r>
          </w:p>
        </w:tc>
        <w:tc>
          <w:tcPr>
            <w:tcW w:w="1134" w:type="dxa"/>
            <w:vAlign w:val="center"/>
          </w:tcPr>
          <w:p w:rsidR="00ED08B2" w:rsidRPr="00DA2D06" w:rsidRDefault="00F9168A" w:rsidP="00081213">
            <w:pPr>
              <w:widowControl/>
              <w:jc w:val="center"/>
              <w:rPr>
                <w:rFonts w:ascii="Arial Narrow" w:hAnsi="Arial Narrow"/>
                <w:sz w:val="20"/>
              </w:rPr>
            </w:pPr>
            <w:r>
              <w:rPr>
                <w:rFonts w:ascii="Arial Narrow" w:hAnsi="Arial Narrow"/>
                <w:noProof/>
                <w:color w:val="000000"/>
                <w:sz w:val="20"/>
                <w:highlight w:val="black"/>
              </w:rPr>
              <w:t>''''</w:t>
            </w:r>
            <w:r w:rsidR="00ED08B2" w:rsidRPr="00DA2D06">
              <w:rPr>
                <w:rFonts w:ascii="Arial Narrow" w:hAnsi="Arial Narrow"/>
                <w:sz w:val="20"/>
              </w:rPr>
              <w:t xml:space="preserve"> (</w:t>
            </w:r>
            <w:r>
              <w:rPr>
                <w:rFonts w:ascii="Arial Narrow" w:hAnsi="Arial Narrow"/>
                <w:noProof/>
                <w:color w:val="000000"/>
                <w:sz w:val="20"/>
                <w:highlight w:val="black"/>
              </w:rPr>
              <w:t>'''</w:t>
            </w:r>
            <w:r w:rsidR="00ED08B2" w:rsidRPr="00DA2D06">
              <w:rPr>
                <w:rFonts w:ascii="Arial Narrow" w:hAnsi="Arial Narrow"/>
                <w:sz w:val="20"/>
              </w:rPr>
              <w:t>)</w:t>
            </w:r>
          </w:p>
        </w:tc>
        <w:tc>
          <w:tcPr>
            <w:tcW w:w="1134" w:type="dxa"/>
            <w:vAlign w:val="center"/>
          </w:tcPr>
          <w:p w:rsidR="00ED08B2" w:rsidRPr="00DA2D06" w:rsidRDefault="00ED08B2" w:rsidP="00081213">
            <w:pPr>
              <w:widowControl/>
              <w:jc w:val="center"/>
              <w:rPr>
                <w:rFonts w:ascii="Arial Narrow" w:hAnsi="Arial Narrow"/>
                <w:sz w:val="20"/>
              </w:rPr>
            </w:pPr>
            <w:r w:rsidRPr="00DA2D06">
              <w:rPr>
                <w:rFonts w:ascii="Arial Narrow" w:hAnsi="Arial Narrow"/>
                <w:sz w:val="20"/>
              </w:rPr>
              <w:t>1 (1.0)</w:t>
            </w:r>
          </w:p>
        </w:tc>
        <w:tc>
          <w:tcPr>
            <w:tcW w:w="1134" w:type="dxa"/>
            <w:vAlign w:val="center"/>
          </w:tcPr>
          <w:p w:rsidR="00ED08B2" w:rsidRPr="00DA2D06" w:rsidRDefault="00ED08B2" w:rsidP="00081213">
            <w:pPr>
              <w:widowControl/>
              <w:jc w:val="center"/>
              <w:rPr>
                <w:rFonts w:ascii="Arial Narrow" w:hAnsi="Arial Narrow"/>
                <w:sz w:val="20"/>
              </w:rPr>
            </w:pPr>
            <w:r w:rsidRPr="00DA2D06">
              <w:rPr>
                <w:rFonts w:ascii="Arial Narrow" w:hAnsi="Arial Narrow"/>
                <w:sz w:val="20"/>
              </w:rPr>
              <w:t>1 (1.0)</w:t>
            </w:r>
          </w:p>
        </w:tc>
        <w:tc>
          <w:tcPr>
            <w:tcW w:w="1399" w:type="dxa"/>
            <w:vAlign w:val="center"/>
          </w:tcPr>
          <w:p w:rsidR="00ED08B2" w:rsidRPr="00DA2D06" w:rsidRDefault="00F9168A" w:rsidP="00081213">
            <w:pPr>
              <w:widowControl/>
              <w:jc w:val="center"/>
              <w:rPr>
                <w:rFonts w:ascii="Arial Narrow" w:hAnsi="Arial Narrow"/>
                <w:i/>
                <w:sz w:val="20"/>
              </w:rPr>
            </w:pPr>
            <w:r>
              <w:rPr>
                <w:rFonts w:ascii="Arial Narrow" w:hAnsi="Arial Narrow"/>
                <w:i/>
                <w:noProof/>
                <w:color w:val="000000"/>
                <w:sz w:val="20"/>
                <w:highlight w:val="black"/>
              </w:rPr>
              <w:t>''''''''''</w:t>
            </w:r>
            <w:r w:rsidR="00ED08B2" w:rsidRPr="00DA2D06">
              <w:rPr>
                <w:rFonts w:ascii="Arial Narrow" w:hAnsi="Arial Narrow"/>
                <w:i/>
                <w:sz w:val="20"/>
              </w:rPr>
              <w:t xml:space="preserve"> (</w:t>
            </w:r>
            <w:r>
              <w:rPr>
                <w:rFonts w:ascii="Arial Narrow" w:hAnsi="Arial Narrow"/>
                <w:i/>
                <w:noProof/>
                <w:color w:val="000000"/>
                <w:sz w:val="20"/>
                <w:highlight w:val="black"/>
              </w:rPr>
              <w:t>'''''''''''</w:t>
            </w:r>
            <w:r w:rsidR="00ED08B2" w:rsidRPr="00DA2D06">
              <w:rPr>
                <w:rFonts w:ascii="Arial Narrow" w:hAnsi="Arial Narrow"/>
                <w:i/>
                <w:sz w:val="20"/>
              </w:rPr>
              <w:t xml:space="preserve">, </w:t>
            </w:r>
            <w:r>
              <w:rPr>
                <w:rFonts w:ascii="Arial Narrow" w:hAnsi="Arial Narrow"/>
                <w:i/>
                <w:noProof/>
                <w:color w:val="000000"/>
                <w:sz w:val="20"/>
                <w:highlight w:val="black"/>
              </w:rPr>
              <w:t>'''''''''''''</w:t>
            </w:r>
            <w:r w:rsidR="00ED08B2" w:rsidRPr="00DA2D06">
              <w:rPr>
                <w:rFonts w:ascii="Arial Narrow" w:hAnsi="Arial Narrow"/>
                <w:i/>
                <w:sz w:val="20"/>
              </w:rPr>
              <w:t>)</w:t>
            </w:r>
          </w:p>
        </w:tc>
      </w:tr>
      <w:tr w:rsidR="00ED08B2" w:rsidRPr="00030BFB" w:rsidTr="00ED08B2">
        <w:tc>
          <w:tcPr>
            <w:tcW w:w="2410" w:type="dxa"/>
          </w:tcPr>
          <w:p w:rsidR="00ED08B2" w:rsidRDefault="00ED08B2" w:rsidP="00081213">
            <w:pPr>
              <w:widowControl/>
              <w:rPr>
                <w:rFonts w:ascii="Arial Narrow" w:hAnsi="Arial Narrow"/>
                <w:sz w:val="20"/>
              </w:rPr>
            </w:pPr>
            <w:r>
              <w:rPr>
                <w:rFonts w:ascii="Arial Narrow" w:hAnsi="Arial Narrow"/>
                <w:sz w:val="20"/>
              </w:rPr>
              <w:t>Severe TEADR</w:t>
            </w:r>
          </w:p>
        </w:tc>
        <w:tc>
          <w:tcPr>
            <w:tcW w:w="1134" w:type="dxa"/>
            <w:vAlign w:val="center"/>
          </w:tcPr>
          <w:p w:rsidR="00ED08B2" w:rsidRPr="00DA2D06" w:rsidRDefault="00F9168A" w:rsidP="00081213">
            <w:pPr>
              <w:widowControl/>
              <w:jc w:val="center"/>
              <w:rPr>
                <w:rFonts w:ascii="Arial Narrow" w:hAnsi="Arial Narrow"/>
                <w:sz w:val="20"/>
              </w:rPr>
            </w:pPr>
            <w:r>
              <w:rPr>
                <w:rFonts w:ascii="Arial Narrow" w:hAnsi="Arial Narrow"/>
                <w:noProof/>
                <w:color w:val="000000"/>
                <w:sz w:val="20"/>
                <w:highlight w:val="black"/>
              </w:rPr>
              <w:t>''''</w:t>
            </w:r>
            <w:r w:rsidR="00ED08B2" w:rsidRPr="00DA2D06">
              <w:rPr>
                <w:rFonts w:ascii="Arial Narrow" w:hAnsi="Arial Narrow"/>
                <w:sz w:val="20"/>
              </w:rPr>
              <w:t xml:space="preserve"> (</w:t>
            </w:r>
            <w:r>
              <w:rPr>
                <w:rFonts w:ascii="Arial Narrow" w:hAnsi="Arial Narrow"/>
                <w:noProof/>
                <w:color w:val="000000"/>
                <w:sz w:val="20"/>
                <w:highlight w:val="black"/>
              </w:rPr>
              <w:t>''''</w:t>
            </w:r>
            <w:r w:rsidR="00ED08B2" w:rsidRPr="00DA2D06">
              <w:rPr>
                <w:rFonts w:ascii="Arial Narrow" w:hAnsi="Arial Narrow"/>
                <w:sz w:val="20"/>
              </w:rPr>
              <w:t>)</w:t>
            </w:r>
          </w:p>
        </w:tc>
        <w:tc>
          <w:tcPr>
            <w:tcW w:w="1134" w:type="dxa"/>
            <w:vAlign w:val="center"/>
          </w:tcPr>
          <w:p w:rsidR="00ED08B2" w:rsidRPr="00DA2D06" w:rsidRDefault="00F9168A" w:rsidP="00081213">
            <w:pPr>
              <w:widowControl/>
              <w:jc w:val="center"/>
              <w:rPr>
                <w:rFonts w:ascii="Arial Narrow" w:hAnsi="Arial Narrow"/>
                <w:sz w:val="20"/>
              </w:rPr>
            </w:pPr>
            <w:r>
              <w:rPr>
                <w:rFonts w:ascii="Arial Narrow" w:hAnsi="Arial Narrow"/>
                <w:noProof/>
                <w:color w:val="000000"/>
                <w:sz w:val="20"/>
                <w:highlight w:val="black"/>
              </w:rPr>
              <w:t>'''</w:t>
            </w:r>
            <w:r w:rsidR="00ED08B2" w:rsidRPr="00DA2D06">
              <w:rPr>
                <w:rFonts w:ascii="Arial Narrow" w:hAnsi="Arial Narrow"/>
                <w:sz w:val="20"/>
              </w:rPr>
              <w:t xml:space="preserve"> (</w:t>
            </w:r>
            <w:r>
              <w:rPr>
                <w:rFonts w:ascii="Arial Narrow" w:hAnsi="Arial Narrow"/>
                <w:noProof/>
                <w:color w:val="000000"/>
                <w:sz w:val="20"/>
                <w:highlight w:val="black"/>
              </w:rPr>
              <w:t>''''</w:t>
            </w:r>
            <w:r w:rsidR="00ED08B2" w:rsidRPr="00DA2D06">
              <w:rPr>
                <w:rFonts w:ascii="Arial Narrow" w:hAnsi="Arial Narrow"/>
                <w:sz w:val="20"/>
              </w:rPr>
              <w:t>)</w:t>
            </w:r>
          </w:p>
        </w:tc>
        <w:tc>
          <w:tcPr>
            <w:tcW w:w="1134" w:type="dxa"/>
            <w:vAlign w:val="center"/>
          </w:tcPr>
          <w:p w:rsidR="00ED08B2" w:rsidRPr="00DA2D06" w:rsidRDefault="00ED08B2" w:rsidP="00081213">
            <w:pPr>
              <w:widowControl/>
              <w:jc w:val="center"/>
              <w:rPr>
                <w:rFonts w:ascii="Arial Narrow" w:hAnsi="Arial Narrow"/>
                <w:sz w:val="20"/>
              </w:rPr>
            </w:pPr>
            <w:r w:rsidRPr="00DA2D06">
              <w:rPr>
                <w:rFonts w:ascii="Arial Narrow" w:hAnsi="Arial Narrow"/>
                <w:sz w:val="20"/>
              </w:rPr>
              <w:t>1 (1.0)</w:t>
            </w:r>
          </w:p>
        </w:tc>
        <w:tc>
          <w:tcPr>
            <w:tcW w:w="1134" w:type="dxa"/>
            <w:vAlign w:val="center"/>
          </w:tcPr>
          <w:p w:rsidR="00ED08B2" w:rsidRPr="00DA2D06" w:rsidRDefault="00ED08B2" w:rsidP="00081213">
            <w:pPr>
              <w:widowControl/>
              <w:jc w:val="center"/>
              <w:rPr>
                <w:rFonts w:ascii="Arial Narrow" w:hAnsi="Arial Narrow"/>
                <w:sz w:val="20"/>
              </w:rPr>
            </w:pPr>
            <w:r w:rsidRPr="00DA2D06">
              <w:rPr>
                <w:rFonts w:ascii="Arial Narrow" w:hAnsi="Arial Narrow"/>
                <w:sz w:val="20"/>
              </w:rPr>
              <w:t>2 (2.0)</w:t>
            </w:r>
          </w:p>
        </w:tc>
        <w:tc>
          <w:tcPr>
            <w:tcW w:w="1399" w:type="dxa"/>
            <w:vAlign w:val="center"/>
          </w:tcPr>
          <w:p w:rsidR="00ED08B2" w:rsidRPr="00DA2D06" w:rsidRDefault="00F9168A" w:rsidP="00081213">
            <w:pPr>
              <w:widowControl/>
              <w:jc w:val="center"/>
              <w:rPr>
                <w:rFonts w:ascii="Arial Narrow" w:hAnsi="Arial Narrow"/>
                <w:i/>
                <w:sz w:val="20"/>
              </w:rPr>
            </w:pPr>
            <w:r>
              <w:rPr>
                <w:rFonts w:ascii="Arial Narrow" w:hAnsi="Arial Narrow"/>
                <w:i/>
                <w:noProof/>
                <w:color w:val="000000"/>
                <w:sz w:val="20"/>
                <w:highlight w:val="black"/>
              </w:rPr>
              <w:t>''''''''''</w:t>
            </w:r>
            <w:r w:rsidR="00ED08B2" w:rsidRPr="00DA2D06">
              <w:rPr>
                <w:rFonts w:ascii="Arial Narrow" w:hAnsi="Arial Narrow"/>
                <w:i/>
                <w:sz w:val="20"/>
              </w:rPr>
              <w:t xml:space="preserve"> (</w:t>
            </w:r>
            <w:r>
              <w:rPr>
                <w:rFonts w:ascii="Arial Narrow" w:hAnsi="Arial Narrow"/>
                <w:i/>
                <w:noProof/>
                <w:color w:val="000000"/>
                <w:sz w:val="20"/>
                <w:highlight w:val="black"/>
              </w:rPr>
              <w:t>'''''''''''</w:t>
            </w:r>
            <w:r w:rsidR="00ED08B2" w:rsidRPr="00DA2D06">
              <w:rPr>
                <w:rFonts w:ascii="Arial Narrow" w:hAnsi="Arial Narrow"/>
                <w:i/>
                <w:sz w:val="20"/>
              </w:rPr>
              <w:t xml:space="preserve">, </w:t>
            </w:r>
            <w:r>
              <w:rPr>
                <w:rFonts w:ascii="Arial Narrow" w:hAnsi="Arial Narrow"/>
                <w:i/>
                <w:noProof/>
                <w:color w:val="000000"/>
                <w:sz w:val="20"/>
                <w:highlight w:val="black"/>
              </w:rPr>
              <w:t>''''''''''</w:t>
            </w:r>
            <w:r w:rsidR="00ED08B2" w:rsidRPr="00DA2D06">
              <w:rPr>
                <w:rFonts w:ascii="Arial Narrow" w:hAnsi="Arial Narrow"/>
                <w:i/>
                <w:sz w:val="20"/>
              </w:rPr>
              <w:t>)</w:t>
            </w:r>
          </w:p>
        </w:tc>
      </w:tr>
      <w:tr w:rsidR="00ED08B2" w:rsidRPr="00030BFB" w:rsidTr="00ED08B2">
        <w:tc>
          <w:tcPr>
            <w:tcW w:w="2410" w:type="dxa"/>
          </w:tcPr>
          <w:p w:rsidR="00ED08B2" w:rsidRDefault="00ED08B2" w:rsidP="00081213">
            <w:pPr>
              <w:widowControl/>
              <w:rPr>
                <w:rFonts w:ascii="Arial Narrow" w:hAnsi="Arial Narrow"/>
                <w:sz w:val="20"/>
              </w:rPr>
            </w:pPr>
            <w:r>
              <w:rPr>
                <w:rFonts w:ascii="Arial Narrow" w:hAnsi="Arial Narrow"/>
                <w:sz w:val="20"/>
              </w:rPr>
              <w:t>Discontinued due to TEADR</w:t>
            </w:r>
          </w:p>
        </w:tc>
        <w:tc>
          <w:tcPr>
            <w:tcW w:w="1134" w:type="dxa"/>
            <w:vAlign w:val="center"/>
          </w:tcPr>
          <w:p w:rsidR="00ED08B2" w:rsidRPr="00DA2D06" w:rsidRDefault="00F9168A" w:rsidP="00081213">
            <w:pPr>
              <w:widowControl/>
              <w:jc w:val="center"/>
              <w:rPr>
                <w:rFonts w:ascii="Arial Narrow" w:hAnsi="Arial Narrow"/>
                <w:sz w:val="20"/>
              </w:rPr>
            </w:pPr>
            <w:r>
              <w:rPr>
                <w:rFonts w:ascii="Arial Narrow" w:hAnsi="Arial Narrow"/>
                <w:noProof/>
                <w:color w:val="000000"/>
                <w:sz w:val="20"/>
                <w:highlight w:val="black"/>
              </w:rPr>
              <w:t>''''</w:t>
            </w:r>
            <w:r w:rsidR="00ED08B2" w:rsidRPr="00DA2D06">
              <w:rPr>
                <w:rFonts w:ascii="Arial Narrow" w:hAnsi="Arial Narrow"/>
                <w:sz w:val="20"/>
              </w:rPr>
              <w:t xml:space="preserve"> (</w:t>
            </w:r>
            <w:r>
              <w:rPr>
                <w:rFonts w:ascii="Arial Narrow" w:hAnsi="Arial Narrow"/>
                <w:noProof/>
                <w:color w:val="000000"/>
                <w:sz w:val="20"/>
                <w:highlight w:val="black"/>
              </w:rPr>
              <w:t>'''</w:t>
            </w:r>
            <w:r w:rsidR="00ED08B2" w:rsidRPr="00DA2D06">
              <w:rPr>
                <w:rFonts w:ascii="Arial Narrow" w:hAnsi="Arial Narrow"/>
                <w:sz w:val="20"/>
              </w:rPr>
              <w:t>)</w:t>
            </w:r>
          </w:p>
        </w:tc>
        <w:tc>
          <w:tcPr>
            <w:tcW w:w="1134" w:type="dxa"/>
            <w:vAlign w:val="center"/>
          </w:tcPr>
          <w:p w:rsidR="00ED08B2" w:rsidRPr="00DA2D06" w:rsidRDefault="00F9168A" w:rsidP="00081213">
            <w:pPr>
              <w:widowControl/>
              <w:jc w:val="center"/>
              <w:rPr>
                <w:rFonts w:ascii="Arial Narrow" w:hAnsi="Arial Narrow"/>
                <w:sz w:val="20"/>
              </w:rPr>
            </w:pPr>
            <w:r>
              <w:rPr>
                <w:rFonts w:ascii="Arial Narrow" w:hAnsi="Arial Narrow"/>
                <w:noProof/>
                <w:color w:val="000000"/>
                <w:sz w:val="20"/>
                <w:highlight w:val="black"/>
              </w:rPr>
              <w:t>''''</w:t>
            </w:r>
            <w:r w:rsidR="00ED08B2" w:rsidRPr="00DA2D06">
              <w:rPr>
                <w:rFonts w:ascii="Arial Narrow" w:hAnsi="Arial Narrow"/>
                <w:sz w:val="20"/>
              </w:rPr>
              <w:t xml:space="preserve"> (</w:t>
            </w:r>
            <w:r>
              <w:rPr>
                <w:rFonts w:ascii="Arial Narrow" w:hAnsi="Arial Narrow"/>
                <w:noProof/>
                <w:color w:val="000000"/>
                <w:sz w:val="20"/>
                <w:highlight w:val="black"/>
              </w:rPr>
              <w:t>'''</w:t>
            </w:r>
            <w:r w:rsidR="00ED08B2" w:rsidRPr="00DA2D06">
              <w:rPr>
                <w:rFonts w:ascii="Arial Narrow" w:hAnsi="Arial Narrow"/>
                <w:sz w:val="20"/>
              </w:rPr>
              <w:t>)</w:t>
            </w:r>
          </w:p>
        </w:tc>
        <w:tc>
          <w:tcPr>
            <w:tcW w:w="1134" w:type="dxa"/>
            <w:vAlign w:val="center"/>
          </w:tcPr>
          <w:p w:rsidR="00ED08B2" w:rsidRPr="00DA2D06" w:rsidRDefault="00ED08B2" w:rsidP="00081213">
            <w:pPr>
              <w:widowControl/>
              <w:jc w:val="center"/>
              <w:rPr>
                <w:rFonts w:ascii="Arial Narrow" w:hAnsi="Arial Narrow"/>
                <w:sz w:val="20"/>
              </w:rPr>
            </w:pPr>
            <w:r w:rsidRPr="00DA2D06">
              <w:rPr>
                <w:rFonts w:ascii="Arial Narrow" w:hAnsi="Arial Narrow"/>
                <w:sz w:val="20"/>
              </w:rPr>
              <w:t>0 (0)</w:t>
            </w:r>
          </w:p>
        </w:tc>
        <w:tc>
          <w:tcPr>
            <w:tcW w:w="1134" w:type="dxa"/>
            <w:vAlign w:val="center"/>
          </w:tcPr>
          <w:p w:rsidR="00ED08B2" w:rsidRPr="00DA2D06" w:rsidRDefault="00ED08B2" w:rsidP="00081213">
            <w:pPr>
              <w:widowControl/>
              <w:jc w:val="center"/>
              <w:rPr>
                <w:rFonts w:ascii="Arial Narrow" w:hAnsi="Arial Narrow"/>
                <w:sz w:val="20"/>
              </w:rPr>
            </w:pPr>
            <w:r w:rsidRPr="00DA2D06">
              <w:rPr>
                <w:rFonts w:ascii="Arial Narrow" w:hAnsi="Arial Narrow"/>
                <w:sz w:val="20"/>
              </w:rPr>
              <w:t>1 (1.0)</w:t>
            </w:r>
          </w:p>
        </w:tc>
        <w:tc>
          <w:tcPr>
            <w:tcW w:w="1399" w:type="dxa"/>
            <w:vAlign w:val="center"/>
          </w:tcPr>
          <w:p w:rsidR="00ED08B2" w:rsidRPr="00DA2D06" w:rsidRDefault="00F9168A" w:rsidP="00081213">
            <w:pPr>
              <w:widowControl/>
              <w:jc w:val="center"/>
              <w:rPr>
                <w:rFonts w:ascii="Arial Narrow" w:hAnsi="Arial Narrow"/>
                <w:i/>
                <w:sz w:val="20"/>
              </w:rPr>
            </w:pPr>
            <w:r>
              <w:rPr>
                <w:rFonts w:ascii="Arial Narrow" w:hAnsi="Arial Narrow"/>
                <w:i/>
                <w:noProof/>
                <w:color w:val="000000"/>
                <w:sz w:val="20"/>
                <w:highlight w:val="black"/>
              </w:rPr>
              <w:t>'''''''''''</w:t>
            </w:r>
            <w:r w:rsidR="00ED08B2" w:rsidRPr="00DA2D06">
              <w:rPr>
                <w:rFonts w:ascii="Arial Narrow" w:hAnsi="Arial Narrow"/>
                <w:i/>
                <w:sz w:val="20"/>
              </w:rPr>
              <w:t xml:space="preserve"> (</w:t>
            </w:r>
            <w:r>
              <w:rPr>
                <w:rFonts w:ascii="Arial Narrow" w:hAnsi="Arial Narrow"/>
                <w:i/>
                <w:noProof/>
                <w:color w:val="000000"/>
                <w:sz w:val="20"/>
                <w:highlight w:val="black"/>
              </w:rPr>
              <w:t>'''''''''''</w:t>
            </w:r>
            <w:r w:rsidR="00ED08B2" w:rsidRPr="00DA2D06">
              <w:rPr>
                <w:rFonts w:ascii="Arial Narrow" w:hAnsi="Arial Narrow"/>
                <w:i/>
                <w:sz w:val="20"/>
              </w:rPr>
              <w:t xml:space="preserve">, </w:t>
            </w:r>
            <w:r>
              <w:rPr>
                <w:rFonts w:ascii="Arial Narrow" w:hAnsi="Arial Narrow"/>
                <w:i/>
                <w:noProof/>
                <w:color w:val="000000"/>
                <w:sz w:val="20"/>
                <w:highlight w:val="black"/>
              </w:rPr>
              <w:t>''''''''''</w:t>
            </w:r>
            <w:r w:rsidR="00ED08B2" w:rsidRPr="00DA2D06">
              <w:rPr>
                <w:rFonts w:ascii="Arial Narrow" w:hAnsi="Arial Narrow"/>
                <w:i/>
                <w:sz w:val="20"/>
              </w:rPr>
              <w:t>)</w:t>
            </w:r>
          </w:p>
        </w:tc>
      </w:tr>
    </w:tbl>
    <w:p w:rsidR="00ED08B2" w:rsidRDefault="00ED08B2" w:rsidP="00081213">
      <w:pPr>
        <w:widowControl/>
        <w:ind w:firstLine="709"/>
        <w:rPr>
          <w:rFonts w:ascii="Arial Narrow" w:hAnsi="Arial Narrow"/>
          <w:sz w:val="18"/>
          <w:szCs w:val="22"/>
        </w:rPr>
      </w:pPr>
      <w:proofErr w:type="spellStart"/>
      <w:r>
        <w:rPr>
          <w:rFonts w:ascii="Arial Narrow" w:hAnsi="Arial Narrow"/>
          <w:sz w:val="18"/>
        </w:rPr>
        <w:t>Lipeg</w:t>
      </w:r>
      <w:proofErr w:type="spellEnd"/>
      <w:r>
        <w:rPr>
          <w:rFonts w:ascii="Arial Narrow" w:hAnsi="Arial Narrow"/>
          <w:sz w:val="18"/>
        </w:rPr>
        <w:t>=</w:t>
      </w:r>
      <w:proofErr w:type="spellStart"/>
      <w:r>
        <w:rPr>
          <w:rFonts w:ascii="Arial Narrow" w:hAnsi="Arial Narrow"/>
          <w:sz w:val="18"/>
        </w:rPr>
        <w:t>lipegfilgrastim</w:t>
      </w:r>
      <w:proofErr w:type="spellEnd"/>
      <w:r>
        <w:rPr>
          <w:rFonts w:ascii="Arial Narrow" w:hAnsi="Arial Narrow"/>
          <w:sz w:val="18"/>
        </w:rPr>
        <w:t>, Peg=</w:t>
      </w:r>
      <w:proofErr w:type="spellStart"/>
      <w:r>
        <w:rPr>
          <w:rFonts w:ascii="Arial Narrow" w:hAnsi="Arial Narrow"/>
          <w:sz w:val="18"/>
        </w:rPr>
        <w:t>pegfilgrastim</w:t>
      </w:r>
      <w:proofErr w:type="spellEnd"/>
      <w:r>
        <w:rPr>
          <w:rFonts w:ascii="Arial Narrow" w:hAnsi="Arial Narrow"/>
          <w:sz w:val="18"/>
        </w:rPr>
        <w:t xml:space="preserve">, </w:t>
      </w:r>
      <w:r>
        <w:rPr>
          <w:rFonts w:ascii="Arial Narrow" w:hAnsi="Arial Narrow"/>
          <w:sz w:val="18"/>
          <w:szCs w:val="22"/>
        </w:rPr>
        <w:t>RR=relative risk, CI=confidence interval</w:t>
      </w:r>
      <w:r w:rsidR="00212985">
        <w:rPr>
          <w:rFonts w:ascii="Arial Narrow" w:hAnsi="Arial Narrow"/>
          <w:sz w:val="18"/>
          <w:szCs w:val="22"/>
        </w:rPr>
        <w:t>; TEAE=treatment emergent adverse event</w:t>
      </w:r>
    </w:p>
    <w:p w:rsidR="00ED08B2" w:rsidRPr="00030BFB" w:rsidRDefault="00ED08B2" w:rsidP="00081213">
      <w:pPr>
        <w:widowControl/>
        <w:tabs>
          <w:tab w:val="left" w:pos="284"/>
          <w:tab w:val="left" w:pos="993"/>
        </w:tabs>
        <w:ind w:firstLine="709"/>
        <w:rPr>
          <w:rFonts w:ascii="Arial Narrow" w:hAnsi="Arial Narrow"/>
          <w:i/>
          <w:sz w:val="18"/>
        </w:rPr>
      </w:pPr>
      <w:proofErr w:type="spellStart"/>
      <w:proofErr w:type="gramStart"/>
      <w:r w:rsidRPr="00030BFB">
        <w:rPr>
          <w:rFonts w:ascii="Arial Narrow" w:hAnsi="Arial Narrow"/>
          <w:i/>
          <w:sz w:val="18"/>
          <w:vertAlign w:val="superscript"/>
        </w:rPr>
        <w:t>a</w:t>
      </w:r>
      <w:proofErr w:type="spellEnd"/>
      <w:proofErr w:type="gramEnd"/>
      <w:r w:rsidRPr="00030BFB">
        <w:rPr>
          <w:rFonts w:ascii="Arial Narrow" w:hAnsi="Arial Narrow"/>
          <w:i/>
          <w:sz w:val="18"/>
        </w:rPr>
        <w:tab/>
        <w:t xml:space="preserve">estimated during the evaluation using </w:t>
      </w:r>
      <w:proofErr w:type="spellStart"/>
      <w:r w:rsidRPr="00030BFB">
        <w:rPr>
          <w:rFonts w:ascii="Arial Narrow" w:hAnsi="Arial Narrow"/>
          <w:i/>
          <w:sz w:val="18"/>
        </w:rPr>
        <w:t>StatsDirect</w:t>
      </w:r>
      <w:proofErr w:type="spellEnd"/>
    </w:p>
    <w:p w:rsidR="00ED08B2" w:rsidRPr="00670315" w:rsidRDefault="00ED08B2" w:rsidP="00081213">
      <w:pPr>
        <w:pStyle w:val="BodyText"/>
        <w:widowControl/>
        <w:ind w:firstLine="709"/>
        <w:rPr>
          <w:rFonts w:ascii="Arial Narrow" w:hAnsi="Arial Narrow"/>
          <w:sz w:val="18"/>
        </w:rPr>
      </w:pPr>
      <w:r w:rsidRPr="00670315">
        <w:rPr>
          <w:rFonts w:ascii="Arial Narrow" w:hAnsi="Arial Narrow"/>
          <w:sz w:val="18"/>
        </w:rPr>
        <w:t>Source: Table B.6-14, pB103 and Table B.6-15, pB-104 of the submission</w:t>
      </w:r>
    </w:p>
    <w:p w:rsidR="00B60939" w:rsidRPr="00473368" w:rsidRDefault="00B60939" w:rsidP="00081213">
      <w:pPr>
        <w:pStyle w:val="BodyText"/>
        <w:widowControl/>
        <w:ind w:firstLine="709"/>
        <w:rPr>
          <w:rFonts w:ascii="Arial Narrow" w:hAnsi="Arial Narrow"/>
          <w:szCs w:val="22"/>
        </w:rPr>
      </w:pPr>
    </w:p>
    <w:p w:rsidR="00B60939" w:rsidRPr="002C2775" w:rsidRDefault="00B60939" w:rsidP="00081213">
      <w:pPr>
        <w:pStyle w:val="Heading2"/>
        <w:widowControl/>
        <w:rPr>
          <w:i/>
        </w:rPr>
      </w:pPr>
      <w:bookmarkStart w:id="11" w:name="_Toc440890553"/>
      <w:r w:rsidRPr="002C2775">
        <w:rPr>
          <w:i/>
        </w:rPr>
        <w:t>Clinical claim</w:t>
      </w:r>
      <w:bookmarkEnd w:id="11"/>
    </w:p>
    <w:p w:rsidR="00B60939" w:rsidRPr="00882085" w:rsidRDefault="00B60939" w:rsidP="00081213">
      <w:pPr>
        <w:widowControl/>
        <w:ind w:left="720" w:hanging="720"/>
        <w:rPr>
          <w:szCs w:val="22"/>
        </w:rPr>
      </w:pPr>
    </w:p>
    <w:p w:rsidR="00221DFC" w:rsidRPr="006D55CF" w:rsidRDefault="006B1E54" w:rsidP="00081213">
      <w:pPr>
        <w:pStyle w:val="ListParagraph"/>
        <w:widowControl/>
        <w:numPr>
          <w:ilvl w:val="1"/>
          <w:numId w:val="6"/>
        </w:numPr>
      </w:pPr>
      <w:r w:rsidRPr="00350E1E">
        <w:t xml:space="preserve">The submission describes </w:t>
      </w:r>
      <w:proofErr w:type="spellStart"/>
      <w:r w:rsidRPr="00350E1E">
        <w:t>lipegfilgrastim</w:t>
      </w:r>
      <w:proofErr w:type="spellEnd"/>
      <w:r w:rsidRPr="00350E1E">
        <w:t xml:space="preserve"> as non-inferior in terms of comparative effectiveness and non-inferior in terms of comparative safety over </w:t>
      </w:r>
      <w:proofErr w:type="spellStart"/>
      <w:r w:rsidRPr="00350E1E">
        <w:t>pegfilgrastim</w:t>
      </w:r>
      <w:proofErr w:type="spellEnd"/>
      <w:r w:rsidR="00DF3E8C" w:rsidRPr="00350E1E">
        <w:t xml:space="preserve">. </w:t>
      </w:r>
      <w:r w:rsidR="004F32B4" w:rsidRPr="00350E1E">
        <w:t>This claim wa</w:t>
      </w:r>
      <w:r w:rsidRPr="00350E1E">
        <w:t xml:space="preserve">s adequately supported (if the PBAC accepts that a non-inferiority criterion of less than one day for </w:t>
      </w:r>
      <w:r w:rsidR="00E34A65" w:rsidRPr="00350E1E">
        <w:t xml:space="preserve">the duration of </w:t>
      </w:r>
      <w:r w:rsidRPr="00350E1E">
        <w:t xml:space="preserve">severe neutropenia is reasonable and that the PBS population is not significantly heavier than those enrolled in the trials as there is </w:t>
      </w:r>
      <w:r w:rsidRPr="006D55CF">
        <w:t xml:space="preserve">uncertainty regarding the efficacy of </w:t>
      </w:r>
      <w:proofErr w:type="spellStart"/>
      <w:r w:rsidRPr="006D55CF">
        <w:t>lipegfilgrastim</w:t>
      </w:r>
      <w:proofErr w:type="spellEnd"/>
      <w:r w:rsidRPr="006D55CF">
        <w:t xml:space="preserve"> in those weighing &gt;80kg</w:t>
      </w:r>
      <w:r w:rsidR="00F35F89" w:rsidRPr="006D55CF">
        <w:t>, see below</w:t>
      </w:r>
      <w:r w:rsidRPr="006D55CF">
        <w:t>) from the evidence presented for patients being treated with chemotherapy for breast cancer.  Consideration is required as to whether this claim would extend to other indications.</w:t>
      </w:r>
      <w:r w:rsidR="003174CC" w:rsidRPr="006D55CF">
        <w:t xml:space="preserve"> </w:t>
      </w:r>
    </w:p>
    <w:p w:rsidR="00221DFC" w:rsidRPr="006D55CF" w:rsidRDefault="00221DFC" w:rsidP="00081213">
      <w:pPr>
        <w:pStyle w:val="ListParagraph"/>
        <w:widowControl/>
      </w:pPr>
    </w:p>
    <w:p w:rsidR="003174CC" w:rsidRPr="006D55CF" w:rsidRDefault="00221DFC" w:rsidP="00081213">
      <w:pPr>
        <w:pStyle w:val="ListParagraph"/>
        <w:widowControl/>
        <w:numPr>
          <w:ilvl w:val="1"/>
          <w:numId w:val="6"/>
        </w:numPr>
      </w:pPr>
      <w:r w:rsidRPr="006D55CF">
        <w:t xml:space="preserve">The ESC considered that the submission’s clinical claim of non-inferior comparative effectiveness and non-inferior comparative safety over </w:t>
      </w:r>
      <w:proofErr w:type="spellStart"/>
      <w:r w:rsidRPr="006D55CF">
        <w:t>pegfilgrastim</w:t>
      </w:r>
      <w:proofErr w:type="spellEnd"/>
      <w:r w:rsidRPr="006D55CF">
        <w:t xml:space="preserve"> was reasonable.</w:t>
      </w:r>
    </w:p>
    <w:p w:rsidR="00CA31CC" w:rsidRPr="00E24058" w:rsidRDefault="00CA31CC" w:rsidP="00081213">
      <w:pPr>
        <w:widowControl/>
        <w:rPr>
          <w:szCs w:val="22"/>
        </w:rPr>
      </w:pPr>
    </w:p>
    <w:p w:rsidR="00CA31CC" w:rsidRPr="00A177B9" w:rsidRDefault="00CA31CC" w:rsidP="00081213">
      <w:pPr>
        <w:pStyle w:val="ListParagraph"/>
        <w:widowControl/>
        <w:numPr>
          <w:ilvl w:val="1"/>
          <w:numId w:val="6"/>
        </w:numPr>
        <w:jc w:val="left"/>
        <w:rPr>
          <w:bCs/>
        </w:rPr>
      </w:pPr>
      <w:r w:rsidRPr="00A177B9">
        <w:rPr>
          <w:bCs/>
          <w:szCs w:val="22"/>
        </w:rPr>
        <w:t>The PBAC considered that the clai</w:t>
      </w:r>
      <w:r w:rsidR="00DA4614" w:rsidRPr="00A177B9">
        <w:rPr>
          <w:bCs/>
          <w:szCs w:val="22"/>
        </w:rPr>
        <w:t xml:space="preserve">m of non-inferior </w:t>
      </w:r>
      <w:r w:rsidRPr="00A177B9">
        <w:rPr>
          <w:bCs/>
          <w:szCs w:val="22"/>
        </w:rPr>
        <w:t>comparative effectiveness</w:t>
      </w:r>
      <w:r w:rsidR="00AD6883" w:rsidRPr="00A177B9">
        <w:rPr>
          <w:bCs/>
          <w:szCs w:val="22"/>
        </w:rPr>
        <w:t xml:space="preserve"> </w:t>
      </w:r>
      <w:r w:rsidRPr="00A177B9">
        <w:rPr>
          <w:bCs/>
          <w:szCs w:val="22"/>
        </w:rPr>
        <w:t>was reasonable.</w:t>
      </w:r>
    </w:p>
    <w:p w:rsidR="00CA31CC" w:rsidRPr="00A177B9" w:rsidRDefault="00CA31CC" w:rsidP="00081213">
      <w:pPr>
        <w:pStyle w:val="ListParagraph"/>
        <w:widowControl/>
        <w:jc w:val="left"/>
        <w:rPr>
          <w:bCs/>
          <w:szCs w:val="22"/>
        </w:rPr>
      </w:pPr>
    </w:p>
    <w:p w:rsidR="00CA31CC" w:rsidRPr="00A177B9" w:rsidRDefault="00CA31CC" w:rsidP="00081213">
      <w:pPr>
        <w:pStyle w:val="ListParagraph"/>
        <w:widowControl/>
        <w:numPr>
          <w:ilvl w:val="1"/>
          <w:numId w:val="6"/>
        </w:numPr>
        <w:rPr>
          <w:szCs w:val="22"/>
        </w:rPr>
      </w:pPr>
      <w:r w:rsidRPr="00A177B9">
        <w:rPr>
          <w:szCs w:val="22"/>
        </w:rPr>
        <w:t>The PBAC considered that the claim of non-inferior comparative safety was reasonable.</w:t>
      </w:r>
    </w:p>
    <w:p w:rsidR="003174CC" w:rsidRDefault="003174CC" w:rsidP="00081213">
      <w:pPr>
        <w:pStyle w:val="ListParagraph"/>
        <w:widowControl/>
      </w:pPr>
    </w:p>
    <w:p w:rsidR="00B60939" w:rsidRPr="002C2775" w:rsidRDefault="00B60939" w:rsidP="00081213">
      <w:pPr>
        <w:pStyle w:val="Heading2"/>
        <w:widowControl/>
        <w:rPr>
          <w:i/>
        </w:rPr>
      </w:pPr>
      <w:bookmarkStart w:id="12" w:name="_Toc440890554"/>
      <w:r w:rsidRPr="002C2775">
        <w:rPr>
          <w:i/>
        </w:rPr>
        <w:t>Economic analysis</w:t>
      </w:r>
      <w:bookmarkEnd w:id="12"/>
      <w:r w:rsidR="00491B3A" w:rsidRPr="002C2775">
        <w:rPr>
          <w:i/>
        </w:rPr>
        <w:t xml:space="preserve"> </w:t>
      </w:r>
    </w:p>
    <w:p w:rsidR="00B60939" w:rsidRPr="00882085" w:rsidRDefault="00B60939" w:rsidP="00081213">
      <w:pPr>
        <w:widowControl/>
        <w:ind w:left="720" w:hanging="720"/>
        <w:rPr>
          <w:szCs w:val="22"/>
        </w:rPr>
      </w:pPr>
    </w:p>
    <w:p w:rsidR="00A86E8B" w:rsidRPr="006D55CF" w:rsidRDefault="00A86E8B" w:rsidP="00081213">
      <w:pPr>
        <w:pStyle w:val="ListParagraph"/>
        <w:widowControl/>
        <w:numPr>
          <w:ilvl w:val="1"/>
          <w:numId w:val="6"/>
        </w:numPr>
        <w:rPr>
          <w:szCs w:val="22"/>
        </w:rPr>
      </w:pPr>
      <w:r w:rsidRPr="00350E1E">
        <w:t xml:space="preserve">The </w:t>
      </w:r>
      <w:proofErr w:type="spellStart"/>
      <w:r w:rsidRPr="00350E1E">
        <w:t>equi</w:t>
      </w:r>
      <w:proofErr w:type="spellEnd"/>
      <w:r w:rsidRPr="00350E1E">
        <w:t xml:space="preserve">-effective doses are estimated as </w:t>
      </w:r>
      <w:proofErr w:type="spellStart"/>
      <w:r w:rsidR="006B1E54" w:rsidRPr="00350E1E">
        <w:t>lipegfilgrastim</w:t>
      </w:r>
      <w:proofErr w:type="spellEnd"/>
      <w:r w:rsidRPr="00350E1E">
        <w:t xml:space="preserve"> </w:t>
      </w:r>
      <w:r w:rsidR="006B1E54" w:rsidRPr="00350E1E">
        <w:t>6</w:t>
      </w:r>
      <w:r w:rsidR="0087593D" w:rsidRPr="00350E1E">
        <w:t xml:space="preserve"> </w:t>
      </w:r>
      <w:r w:rsidRPr="00350E1E">
        <w:t xml:space="preserve">mg </w:t>
      </w:r>
      <w:r w:rsidR="006B1E54" w:rsidRPr="00350E1E">
        <w:t>once per chemotherapy cycle</w:t>
      </w:r>
      <w:r w:rsidRPr="00350E1E">
        <w:t xml:space="preserve"> and </w:t>
      </w:r>
      <w:proofErr w:type="spellStart"/>
      <w:r w:rsidR="006B1E54" w:rsidRPr="00350E1E">
        <w:t>pegfilgrastim</w:t>
      </w:r>
      <w:proofErr w:type="spellEnd"/>
      <w:r w:rsidRPr="00350E1E">
        <w:t xml:space="preserve"> </w:t>
      </w:r>
      <w:r w:rsidR="006B1E54" w:rsidRPr="00350E1E">
        <w:t>6</w:t>
      </w:r>
      <w:r w:rsidR="00210765">
        <w:t xml:space="preserve"> </w:t>
      </w:r>
      <w:r w:rsidRPr="00350E1E">
        <w:t xml:space="preserve">mg </w:t>
      </w:r>
      <w:r w:rsidR="006B1E54" w:rsidRPr="00350E1E">
        <w:t>once per chemotherapy cycle.</w:t>
      </w:r>
      <w:r w:rsidR="00D548CE" w:rsidRPr="00350E1E">
        <w:t xml:space="preserve">  There is uncertainty regarding the efficacy of </w:t>
      </w:r>
      <w:proofErr w:type="spellStart"/>
      <w:r w:rsidR="00D548CE" w:rsidRPr="00350E1E">
        <w:t>lipegfilgrastim</w:t>
      </w:r>
      <w:proofErr w:type="spellEnd"/>
      <w:r w:rsidR="00D548CE" w:rsidRPr="00350E1E">
        <w:t xml:space="preserve"> in those weighing &gt;80</w:t>
      </w:r>
      <w:r w:rsidR="0087593D" w:rsidRPr="00350E1E">
        <w:t xml:space="preserve"> </w:t>
      </w:r>
      <w:r w:rsidR="00D548CE" w:rsidRPr="00350E1E">
        <w:t xml:space="preserve">kg: the TGA-approved PI for </w:t>
      </w:r>
      <w:proofErr w:type="spellStart"/>
      <w:r w:rsidR="00D548CE" w:rsidRPr="00350E1E">
        <w:t>lipegfilgrastim</w:t>
      </w:r>
      <w:proofErr w:type="spellEnd"/>
      <w:r w:rsidR="00D548CE" w:rsidRPr="00350E1E">
        <w:t xml:space="preserve"> indicates that “[a] statistically significant difference in </w:t>
      </w:r>
      <w:proofErr w:type="spellStart"/>
      <w:r w:rsidR="00D548CE" w:rsidRPr="00350E1E">
        <w:t>lipegfilgrastim</w:t>
      </w:r>
      <w:proofErr w:type="spellEnd"/>
      <w:r w:rsidR="00D548CE" w:rsidRPr="00350E1E">
        <w:t xml:space="preserve"> exposure was observed between the heaviest (&gt;80</w:t>
      </w:r>
      <w:r w:rsidR="0087593D" w:rsidRPr="00350E1E">
        <w:t xml:space="preserve"> </w:t>
      </w:r>
      <w:r w:rsidR="00D548CE" w:rsidRPr="00350E1E">
        <w:t>kg) and the lightest (&lt;60</w:t>
      </w:r>
      <w:r w:rsidR="0087593D" w:rsidRPr="00350E1E">
        <w:t xml:space="preserve"> </w:t>
      </w:r>
      <w:r w:rsidR="00D548CE" w:rsidRPr="00350E1E">
        <w:t>kg) subjects studied.  Exposure in the heaviest patients was approximately 30% that of the exposure in the lightest subjects.  A decrease in efficacy cannot be excluded in patients &gt;80</w:t>
      </w:r>
      <w:r w:rsidR="0087593D" w:rsidRPr="00350E1E">
        <w:t xml:space="preserve"> </w:t>
      </w:r>
      <w:r w:rsidR="00D548CE" w:rsidRPr="00350E1E">
        <w:t xml:space="preserve">kg from the currently available data”.  </w:t>
      </w:r>
      <w:r w:rsidR="00D548CE" w:rsidRPr="006D55CF">
        <w:t xml:space="preserve">Should a decrease in efficacy be observed among heavier patients, the assumption that a single syringe of </w:t>
      </w:r>
      <w:proofErr w:type="spellStart"/>
      <w:r w:rsidR="00D548CE" w:rsidRPr="006D55CF">
        <w:t>lipegfilgrastim</w:t>
      </w:r>
      <w:proofErr w:type="spellEnd"/>
      <w:r w:rsidR="00D548CE" w:rsidRPr="006D55CF">
        <w:t xml:space="preserve"> would substitute for a single syringe of </w:t>
      </w:r>
      <w:proofErr w:type="spellStart"/>
      <w:r w:rsidR="00D548CE" w:rsidRPr="006D55CF">
        <w:t>pegfilgrastim</w:t>
      </w:r>
      <w:proofErr w:type="spellEnd"/>
      <w:r w:rsidR="00D548CE" w:rsidRPr="006D55CF">
        <w:t xml:space="preserve"> may not hold.</w:t>
      </w:r>
    </w:p>
    <w:p w:rsidR="008B749A" w:rsidRPr="006D55CF" w:rsidRDefault="008B749A" w:rsidP="00081213">
      <w:pPr>
        <w:pStyle w:val="ListParagraph"/>
        <w:widowControl/>
        <w:rPr>
          <w:szCs w:val="22"/>
        </w:rPr>
      </w:pPr>
    </w:p>
    <w:p w:rsidR="005F0DBD" w:rsidRPr="006D55CF" w:rsidRDefault="00677DAE" w:rsidP="00081213">
      <w:pPr>
        <w:pStyle w:val="ListParagraph"/>
        <w:widowControl/>
        <w:numPr>
          <w:ilvl w:val="1"/>
          <w:numId w:val="6"/>
        </w:numPr>
        <w:rPr>
          <w:szCs w:val="22"/>
        </w:rPr>
      </w:pPr>
      <w:r w:rsidRPr="006D55CF">
        <w:t xml:space="preserve">The PSCR (p.3) argued that there is no demonstrated clinical impact of patient weight on the clinical efficacy of </w:t>
      </w:r>
      <w:proofErr w:type="spellStart"/>
      <w:r w:rsidRPr="006D55CF">
        <w:t>lipegfilgrastim</w:t>
      </w:r>
      <w:proofErr w:type="spellEnd"/>
      <w:r w:rsidRPr="006D55CF">
        <w:t xml:space="preserve"> and that a review of the </w:t>
      </w:r>
      <w:proofErr w:type="spellStart"/>
      <w:r w:rsidRPr="006D55CF">
        <w:t>pharmacodynamic</w:t>
      </w:r>
      <w:proofErr w:type="spellEnd"/>
      <w:r w:rsidRPr="006D55CF">
        <w:t xml:space="preserve"> study data shows that </w:t>
      </w:r>
      <w:proofErr w:type="spellStart"/>
      <w:r w:rsidRPr="006D55CF">
        <w:t>lipegfilgrastim</w:t>
      </w:r>
      <w:proofErr w:type="spellEnd"/>
      <w:r w:rsidRPr="006D55CF">
        <w:t xml:space="preserve"> provides greater absolute neutrophil counts across all weight classes/groups and that an analysis of the primary outcome data by patient weight shows no statistically or clinically significant differences in duration of severe neutropenia between </w:t>
      </w:r>
      <w:proofErr w:type="spellStart"/>
      <w:r w:rsidRPr="006D55CF">
        <w:t>lipegfilgrastim</w:t>
      </w:r>
      <w:proofErr w:type="spellEnd"/>
      <w:r w:rsidRPr="006D55CF">
        <w:t xml:space="preserve"> and </w:t>
      </w:r>
      <w:proofErr w:type="spellStart"/>
      <w:r w:rsidRPr="006D55CF">
        <w:t>pegfilgrastim</w:t>
      </w:r>
      <w:proofErr w:type="spellEnd"/>
      <w:r w:rsidRPr="006D55CF">
        <w:t xml:space="preserve"> in any weight subgroups. </w:t>
      </w:r>
    </w:p>
    <w:p w:rsidR="003372F0" w:rsidRPr="006D55CF" w:rsidRDefault="003372F0" w:rsidP="00081213">
      <w:pPr>
        <w:pStyle w:val="ListParagraph"/>
        <w:widowControl/>
        <w:rPr>
          <w:szCs w:val="22"/>
        </w:rPr>
      </w:pPr>
    </w:p>
    <w:p w:rsidR="008D638D" w:rsidRPr="00F9168A" w:rsidRDefault="006B1E54" w:rsidP="00081213">
      <w:pPr>
        <w:pStyle w:val="ListParagraph"/>
        <w:widowControl/>
        <w:numPr>
          <w:ilvl w:val="1"/>
          <w:numId w:val="6"/>
        </w:numPr>
      </w:pPr>
      <w:r w:rsidRPr="006D55CF">
        <w:t xml:space="preserve">The submission </w:t>
      </w:r>
      <w:r w:rsidR="002F35B8" w:rsidRPr="006D55CF">
        <w:t>offered</w:t>
      </w:r>
      <w:r w:rsidRPr="006D55CF">
        <w:t xml:space="preserve"> a </w:t>
      </w:r>
      <w:r w:rsidR="00F9168A">
        <w:rPr>
          <w:noProof/>
          <w:color w:val="000000"/>
          <w:highlight w:val="black"/>
        </w:rPr>
        <w:t>''''''</w:t>
      </w:r>
      <w:r w:rsidRPr="006D55CF">
        <w:t xml:space="preserve">% discount on the ex-manufacturer price </w:t>
      </w:r>
      <w:r w:rsidR="00F9168A">
        <w:rPr>
          <w:noProof/>
          <w:color w:val="000000"/>
          <w:highlight w:val="black"/>
        </w:rPr>
        <w:t>''''''' ''' ''''''' '''''''''''''''''' ''''' '''''''''''''''''''''''''''''' '''''''''''''''''''' ''''' ''''''''''''''''''''''' '''''' ''''''''''''' ''''''''' ''''''''''''''''''''''''' '''''' '''''''''''''' ''''''''''''''''''''' ''''''' '''''''''''' '''' ''''''' ''''''''''''''''' '''' ''''''''''''''''''''''''''''''''' ''''''''''' ''''''''' ''''''' '''''''''''''''''''''' '''''''''''''''''''''''''''''''''''''''' '''''''''''' ''''''''''''' '''''' ''''''''''''''''''''''''' ''''''''''' ''''''''''''''''''' '''' '''''''''''''''''''''' '''''' ''''''''''''''' ''''''''' '''''''''''''''''''''''' '''''' '''''''''''''''' ''''''''''''''''''''  ''''''''''''''' '''''''' ''''''''''''' '''' ''''''''''''''''''''''''''''''' '''''''''''''' '''''' ''''''''''''''' ''''' ''''''''''''''''''''''''''''''' ''''''' '''''''''''''''''''''''' '''''''''''''''''''' '''''''''' '''''''' ''''''''''' ''''''''''' ''''''''''''''''''''' ''''''''''''''' ''''''''''' '''''' ''''' ''''''''''''''''''''''''''''''''' ''''''' ''''''' '''' ''''''''''''''''''''''' ''''' '''''''''''''''''''''''''''''''</w:t>
      </w:r>
    </w:p>
    <w:p w:rsidR="003372F0" w:rsidRPr="006D55CF" w:rsidRDefault="003372F0" w:rsidP="00081213">
      <w:pPr>
        <w:pStyle w:val="ListParagraph"/>
        <w:widowControl/>
      </w:pPr>
    </w:p>
    <w:p w:rsidR="00107AA1" w:rsidRDefault="008B749A" w:rsidP="00081213">
      <w:pPr>
        <w:pStyle w:val="ListParagraph"/>
        <w:widowControl/>
        <w:numPr>
          <w:ilvl w:val="1"/>
          <w:numId w:val="6"/>
        </w:numPr>
      </w:pPr>
      <w:r w:rsidRPr="006D55CF">
        <w:lastRenderedPageBreak/>
        <w:t xml:space="preserve">The ESC noted that </w:t>
      </w:r>
      <w:r w:rsidR="00DE2507" w:rsidRPr="006D55CF">
        <w:t xml:space="preserve">should the PBAC consider </w:t>
      </w:r>
      <w:proofErr w:type="spellStart"/>
      <w:r w:rsidR="00DE2507" w:rsidRPr="006D55CF">
        <w:t>filgrastim</w:t>
      </w:r>
      <w:proofErr w:type="spellEnd"/>
      <w:r w:rsidR="00DE2507" w:rsidRPr="006D55CF">
        <w:t xml:space="preserve"> a comparator, </w:t>
      </w:r>
      <w:r w:rsidRPr="006D55CF">
        <w:t xml:space="preserve">under the National Health Act (1953), the PBAC could only recommend </w:t>
      </w:r>
      <w:proofErr w:type="spellStart"/>
      <w:r w:rsidRPr="006D55CF">
        <w:t>lipegfilgrastim</w:t>
      </w:r>
      <w:proofErr w:type="spellEnd"/>
      <w:r w:rsidRPr="006D55CF">
        <w:t xml:space="preserve"> </w:t>
      </w:r>
      <w:r w:rsidR="00DE2507" w:rsidRPr="006D55CF">
        <w:t xml:space="preserve">at a higher price than </w:t>
      </w:r>
      <w:proofErr w:type="spellStart"/>
      <w:r w:rsidR="00DE2507" w:rsidRPr="006D55CF">
        <w:t>filgrastim</w:t>
      </w:r>
      <w:proofErr w:type="spellEnd"/>
      <w:r w:rsidR="00DE2507" w:rsidRPr="006D55CF">
        <w:t xml:space="preserve"> if it was satisfied that </w:t>
      </w:r>
      <w:proofErr w:type="spellStart"/>
      <w:r w:rsidR="00DE2507" w:rsidRPr="006D55CF">
        <w:t>lipegfilgrastim</w:t>
      </w:r>
      <w:proofErr w:type="spellEnd"/>
      <w:r w:rsidR="00DE2507" w:rsidRPr="006D55CF">
        <w:t xml:space="preserve"> provides, for some patients, a significant improvement in efficacy and/or reduction of toxicity over the alternate therapy or therapies. The ESC further noted that </w:t>
      </w:r>
      <w:proofErr w:type="spellStart"/>
      <w:r w:rsidR="00DE2507" w:rsidRPr="006D55CF">
        <w:t>pegfilgrastim</w:t>
      </w:r>
      <w:proofErr w:type="spellEnd"/>
      <w:r w:rsidR="00DE2507" w:rsidRPr="006D55CF">
        <w:t xml:space="preserve"> was recommended for PBS listing on a cost-minimisation basis with </w:t>
      </w:r>
      <w:proofErr w:type="spellStart"/>
      <w:r w:rsidR="00DE2507" w:rsidRPr="006D55CF">
        <w:t>filgrastim</w:t>
      </w:r>
      <w:proofErr w:type="spellEnd"/>
      <w:r w:rsidR="00DE2507" w:rsidRPr="006D55CF">
        <w:t>.</w:t>
      </w:r>
      <w:r w:rsidR="009D7EBD">
        <w:t xml:space="preserve"> The Pre-PBAC Response</w:t>
      </w:r>
      <w:r w:rsidR="00890024">
        <w:t xml:space="preserve"> (p.1)</w:t>
      </w:r>
      <w:r w:rsidR="009D7EBD">
        <w:t xml:space="preserve"> argued that </w:t>
      </w:r>
      <w:proofErr w:type="spellStart"/>
      <w:r w:rsidR="00890024">
        <w:t>pegfilgrastim</w:t>
      </w:r>
      <w:proofErr w:type="spellEnd"/>
      <w:r w:rsidR="00890024">
        <w:t xml:space="preserve"> would be the therapy predominantly substituted and included comments from two clinicians that </w:t>
      </w:r>
      <w:r w:rsidR="00AC451B">
        <w:t xml:space="preserve">elaborated on the differences in clinical use between </w:t>
      </w:r>
      <w:proofErr w:type="spellStart"/>
      <w:r w:rsidR="00AC451B">
        <w:t>pegfilgrastim</w:t>
      </w:r>
      <w:proofErr w:type="spellEnd"/>
      <w:r w:rsidR="00AC451B">
        <w:t xml:space="preserve"> and </w:t>
      </w:r>
      <w:proofErr w:type="spellStart"/>
      <w:r w:rsidR="00AC451B">
        <w:t>filgrastim</w:t>
      </w:r>
      <w:proofErr w:type="spellEnd"/>
      <w:r w:rsidR="00AC451B">
        <w:t xml:space="preserve">. </w:t>
      </w:r>
    </w:p>
    <w:p w:rsidR="00107AA1" w:rsidRDefault="00107AA1" w:rsidP="00081213">
      <w:pPr>
        <w:pStyle w:val="ListParagraph"/>
        <w:widowControl/>
      </w:pPr>
    </w:p>
    <w:p w:rsidR="003372F0" w:rsidRPr="006D55CF" w:rsidRDefault="00AC451B" w:rsidP="00081213">
      <w:pPr>
        <w:pStyle w:val="ListParagraph"/>
        <w:widowControl/>
        <w:numPr>
          <w:ilvl w:val="1"/>
          <w:numId w:val="6"/>
        </w:numPr>
      </w:pPr>
      <w:r>
        <w:t xml:space="preserve">The PBAC noted the Pre-PBAC Response, however considered that </w:t>
      </w:r>
      <w:proofErr w:type="spellStart"/>
      <w:r>
        <w:t>filgrastim</w:t>
      </w:r>
      <w:proofErr w:type="spellEnd"/>
      <w:r>
        <w:t xml:space="preserve"> is a relevant comparator and that its price is informative for the consideration of </w:t>
      </w:r>
      <w:proofErr w:type="spellStart"/>
      <w:r>
        <w:t>lipegfilgrastim</w:t>
      </w:r>
      <w:proofErr w:type="spellEnd"/>
      <w:r>
        <w:t>.</w:t>
      </w:r>
    </w:p>
    <w:p w:rsidR="003372F0" w:rsidRPr="006D55CF" w:rsidRDefault="003372F0" w:rsidP="00081213">
      <w:pPr>
        <w:widowControl/>
      </w:pPr>
    </w:p>
    <w:p w:rsidR="00107AA1" w:rsidRPr="00107AA1" w:rsidRDefault="003372F0" w:rsidP="00081213">
      <w:pPr>
        <w:pStyle w:val="ListParagraph"/>
        <w:widowControl/>
        <w:numPr>
          <w:ilvl w:val="1"/>
          <w:numId w:val="6"/>
        </w:numPr>
      </w:pPr>
      <w:r w:rsidRPr="006D55CF">
        <w:rPr>
          <w:iCs/>
        </w:rPr>
        <w:t xml:space="preserve">Based on dosing of 5 micrograms/kg per day for 11.25 days, with an average weight of 73 kg (based on the average weight of patients in the </w:t>
      </w:r>
      <w:proofErr w:type="spellStart"/>
      <w:r w:rsidRPr="006D55CF">
        <w:rPr>
          <w:iCs/>
        </w:rPr>
        <w:t>lipegfilgrastim</w:t>
      </w:r>
      <w:proofErr w:type="spellEnd"/>
      <w:r w:rsidRPr="006D55CF">
        <w:rPr>
          <w:iCs/>
        </w:rPr>
        <w:t xml:space="preserve"> trials, Studies 02 and 03), the current cost of </w:t>
      </w:r>
      <w:proofErr w:type="spellStart"/>
      <w:r w:rsidRPr="006D55CF">
        <w:rPr>
          <w:iCs/>
        </w:rPr>
        <w:t>filgrastim</w:t>
      </w:r>
      <w:proofErr w:type="spellEnd"/>
      <w:r w:rsidRPr="006D55CF">
        <w:rPr>
          <w:iCs/>
        </w:rPr>
        <w:t xml:space="preserve"> is $</w:t>
      </w:r>
      <w:r w:rsidR="00F9168A">
        <w:rPr>
          <w:iCs/>
          <w:noProof/>
          <w:color w:val="000000"/>
          <w:highlight w:val="black"/>
        </w:rPr>
        <w:t>'''''''''''''''''''''</w:t>
      </w:r>
      <w:r w:rsidRPr="006D55CF">
        <w:rPr>
          <w:iCs/>
        </w:rPr>
        <w:t xml:space="preserve"> (total dose of 4,106.25 micrograms </w:t>
      </w:r>
      <w:proofErr w:type="spellStart"/>
      <w:r w:rsidRPr="006D55CF">
        <w:rPr>
          <w:iCs/>
        </w:rPr>
        <w:t>filgrastim</w:t>
      </w:r>
      <w:proofErr w:type="spellEnd"/>
      <w:r w:rsidRPr="006D55CF">
        <w:rPr>
          <w:iCs/>
        </w:rPr>
        <w:t xml:space="preserve"> at $</w:t>
      </w:r>
      <w:r w:rsidR="00F9168A">
        <w:rPr>
          <w:iCs/>
          <w:noProof/>
          <w:color w:val="000000"/>
          <w:highlight w:val="black"/>
        </w:rPr>
        <w:t>'''''''''''''</w:t>
      </w:r>
      <w:r w:rsidRPr="00995873">
        <w:rPr>
          <w:iCs/>
        </w:rPr>
        <w:t xml:space="preserve"> </w:t>
      </w:r>
      <w:r w:rsidRPr="006D55CF">
        <w:rPr>
          <w:iCs/>
        </w:rPr>
        <w:t>per microgram).  This compares with an ex-manufacturer price of $</w:t>
      </w:r>
      <w:r w:rsidR="00F9168A">
        <w:rPr>
          <w:iCs/>
          <w:noProof/>
          <w:color w:val="000000"/>
          <w:highlight w:val="black"/>
        </w:rPr>
        <w:t>'''''''''''''''''''''''</w:t>
      </w:r>
      <w:r w:rsidRPr="006D55CF">
        <w:rPr>
          <w:iCs/>
        </w:rPr>
        <w:t xml:space="preserve"> for </w:t>
      </w:r>
      <w:proofErr w:type="spellStart"/>
      <w:r w:rsidRPr="006D55CF">
        <w:rPr>
          <w:iCs/>
        </w:rPr>
        <w:t>lipegfilgrastim</w:t>
      </w:r>
      <w:proofErr w:type="spellEnd"/>
      <w:r w:rsidRPr="006D55CF">
        <w:rPr>
          <w:iCs/>
        </w:rPr>
        <w:t>.</w:t>
      </w:r>
      <w:r w:rsidR="009D7EBD">
        <w:rPr>
          <w:iCs/>
        </w:rPr>
        <w:t xml:space="preserve"> The Pre-PBAC Response</w:t>
      </w:r>
      <w:r w:rsidR="000D2D6A">
        <w:rPr>
          <w:iCs/>
        </w:rPr>
        <w:t xml:space="preserve"> (p.2) disputed the ESC’s calculation of the current </w:t>
      </w:r>
      <w:proofErr w:type="spellStart"/>
      <w:r w:rsidR="000D2D6A">
        <w:rPr>
          <w:iCs/>
        </w:rPr>
        <w:t>filgrastim</w:t>
      </w:r>
      <w:proofErr w:type="spellEnd"/>
      <w:r w:rsidR="000D2D6A">
        <w:rPr>
          <w:iCs/>
        </w:rPr>
        <w:t xml:space="preserve"> cost, </w:t>
      </w:r>
      <w:r w:rsidR="00064032">
        <w:rPr>
          <w:iCs/>
        </w:rPr>
        <w:t>and proposed a method of calculation that resulted in a cost of $</w:t>
      </w:r>
      <w:r w:rsidR="00F9168A">
        <w:rPr>
          <w:iCs/>
          <w:noProof/>
          <w:color w:val="000000"/>
          <w:highlight w:val="black"/>
        </w:rPr>
        <w:t>''''''''''''''''''''''</w:t>
      </w:r>
      <w:r w:rsidR="00B5325C">
        <w:rPr>
          <w:iCs/>
        </w:rPr>
        <w:t xml:space="preserve">, and proposed that this price is not </w:t>
      </w:r>
      <w:r w:rsidR="00A177B9">
        <w:rPr>
          <w:iCs/>
        </w:rPr>
        <w:t>substantially</w:t>
      </w:r>
      <w:r w:rsidR="00B5325C">
        <w:rPr>
          <w:iCs/>
        </w:rPr>
        <w:t xml:space="preserve"> different from the anticipated price at listing of $</w:t>
      </w:r>
      <w:r w:rsidR="00F9168A">
        <w:rPr>
          <w:iCs/>
          <w:noProof/>
          <w:color w:val="000000"/>
          <w:highlight w:val="black"/>
        </w:rPr>
        <w:t>'''''''''''''''''''</w:t>
      </w:r>
      <w:r w:rsidR="00B5325C">
        <w:rPr>
          <w:iCs/>
        </w:rPr>
        <w:t xml:space="preserve"> per syringe</w:t>
      </w:r>
      <w:r w:rsidR="0019191D">
        <w:rPr>
          <w:iCs/>
        </w:rPr>
        <w:t>, which includes the 5% 1 April 2016 price reduction from the submission’s original proposed price.</w:t>
      </w:r>
      <w:r w:rsidR="00F109AD">
        <w:rPr>
          <w:iCs/>
        </w:rPr>
        <w:t xml:space="preserve"> </w:t>
      </w:r>
    </w:p>
    <w:p w:rsidR="00107AA1" w:rsidRPr="00107AA1" w:rsidRDefault="00107AA1" w:rsidP="00081213">
      <w:pPr>
        <w:pStyle w:val="ListParagraph"/>
        <w:widowControl/>
        <w:rPr>
          <w:iCs/>
        </w:rPr>
      </w:pPr>
    </w:p>
    <w:p w:rsidR="003372F0" w:rsidRPr="006D55CF" w:rsidRDefault="00F109AD" w:rsidP="00081213">
      <w:pPr>
        <w:pStyle w:val="ListParagraph"/>
        <w:widowControl/>
        <w:numPr>
          <w:ilvl w:val="1"/>
          <w:numId w:val="6"/>
        </w:numPr>
      </w:pPr>
      <w:r>
        <w:rPr>
          <w:iCs/>
        </w:rPr>
        <w:t xml:space="preserve">The PBAC considered that the appropriate price should be calculated using the average </w:t>
      </w:r>
      <w:r w:rsidR="00107AA1">
        <w:rPr>
          <w:iCs/>
        </w:rPr>
        <w:t>cost</w:t>
      </w:r>
      <w:r>
        <w:rPr>
          <w:iCs/>
        </w:rPr>
        <w:t xml:space="preserve"> of </w:t>
      </w:r>
      <w:proofErr w:type="spellStart"/>
      <w:r>
        <w:rPr>
          <w:iCs/>
        </w:rPr>
        <w:t>filgrastim</w:t>
      </w:r>
      <w:proofErr w:type="spellEnd"/>
      <w:r>
        <w:rPr>
          <w:iCs/>
        </w:rPr>
        <w:t xml:space="preserve"> across the patient population.</w:t>
      </w:r>
    </w:p>
    <w:p w:rsidR="003372F0" w:rsidRDefault="003372F0" w:rsidP="00081213">
      <w:pPr>
        <w:widowControl/>
        <w:rPr>
          <w:i/>
          <w:iCs/>
        </w:rPr>
      </w:pPr>
    </w:p>
    <w:p w:rsidR="006B1E54" w:rsidRDefault="00C25D9C" w:rsidP="00081213">
      <w:pPr>
        <w:pStyle w:val="Heading2"/>
        <w:widowControl/>
        <w:rPr>
          <w:i/>
        </w:rPr>
      </w:pPr>
      <w:bookmarkStart w:id="13" w:name="_Toc440890555"/>
      <w:r w:rsidRPr="002C2775">
        <w:rPr>
          <w:i/>
        </w:rPr>
        <w:t>Drug cost/patient/course:</w:t>
      </w:r>
      <w:bookmarkEnd w:id="13"/>
    </w:p>
    <w:p w:rsidR="00C25D9C" w:rsidRDefault="00C25D9C" w:rsidP="00081213">
      <w:pPr>
        <w:widowControl/>
        <w:rPr>
          <w:szCs w:val="22"/>
        </w:rPr>
      </w:pPr>
    </w:p>
    <w:tbl>
      <w:tblPr>
        <w:tblStyle w:val="TableGrid"/>
        <w:tblW w:w="0" w:type="auto"/>
        <w:tblInd w:w="817" w:type="dxa"/>
        <w:tblCellMar>
          <w:left w:w="28" w:type="dxa"/>
          <w:right w:w="28" w:type="dxa"/>
        </w:tblCellMar>
        <w:tblLook w:val="04A0" w:firstRow="1" w:lastRow="0" w:firstColumn="1" w:lastColumn="0" w:noHBand="0" w:noVBand="1"/>
        <w:tblCaption w:val="Drug cost/patient/course:"/>
      </w:tblPr>
      <w:tblGrid>
        <w:gridCol w:w="912"/>
        <w:gridCol w:w="3676"/>
        <w:gridCol w:w="3677"/>
      </w:tblGrid>
      <w:tr w:rsidR="006B1E54" w:rsidTr="00CF4D5E">
        <w:trPr>
          <w:tblHeader/>
        </w:trPr>
        <w:tc>
          <w:tcPr>
            <w:tcW w:w="912" w:type="dxa"/>
          </w:tcPr>
          <w:p w:rsidR="006B1E54" w:rsidRDefault="006B1E54" w:rsidP="00081213">
            <w:pPr>
              <w:widowControl/>
              <w:rPr>
                <w:rFonts w:ascii="Arial Narrow" w:hAnsi="Arial Narrow"/>
                <w:sz w:val="20"/>
                <w:szCs w:val="22"/>
              </w:rPr>
            </w:pPr>
          </w:p>
        </w:tc>
        <w:tc>
          <w:tcPr>
            <w:tcW w:w="3676" w:type="dxa"/>
            <w:vAlign w:val="center"/>
          </w:tcPr>
          <w:p w:rsidR="006B1E54" w:rsidRPr="0041615D" w:rsidRDefault="006B1E54" w:rsidP="00081213">
            <w:pPr>
              <w:widowControl/>
              <w:jc w:val="center"/>
              <w:rPr>
                <w:rFonts w:ascii="Arial Narrow" w:hAnsi="Arial Narrow"/>
                <w:b/>
                <w:sz w:val="20"/>
                <w:szCs w:val="22"/>
              </w:rPr>
            </w:pPr>
            <w:proofErr w:type="spellStart"/>
            <w:r w:rsidRPr="0041615D">
              <w:rPr>
                <w:rFonts w:ascii="Arial Narrow" w:hAnsi="Arial Narrow"/>
                <w:b/>
                <w:sz w:val="20"/>
                <w:szCs w:val="22"/>
              </w:rPr>
              <w:t>Lipegfilgrastim</w:t>
            </w:r>
            <w:proofErr w:type="spellEnd"/>
            <w:r w:rsidRPr="0041615D">
              <w:rPr>
                <w:rFonts w:ascii="Arial Narrow" w:hAnsi="Arial Narrow"/>
                <w:b/>
                <w:sz w:val="20"/>
                <w:szCs w:val="22"/>
              </w:rPr>
              <w:t xml:space="preserve"> </w:t>
            </w:r>
            <w:r w:rsidR="0041615D" w:rsidRPr="0041615D">
              <w:rPr>
                <w:rFonts w:ascii="Arial Narrow" w:hAnsi="Arial Narrow"/>
                <w:b/>
                <w:sz w:val="20"/>
                <w:szCs w:val="22"/>
              </w:rPr>
              <w:t>– requested DPMQ</w:t>
            </w:r>
          </w:p>
        </w:tc>
        <w:tc>
          <w:tcPr>
            <w:tcW w:w="3677" w:type="dxa"/>
            <w:vAlign w:val="center"/>
          </w:tcPr>
          <w:p w:rsidR="006B1E54" w:rsidRPr="0041615D" w:rsidRDefault="006B1E54" w:rsidP="00081213">
            <w:pPr>
              <w:widowControl/>
              <w:jc w:val="center"/>
              <w:rPr>
                <w:rFonts w:ascii="Arial Narrow" w:hAnsi="Arial Narrow"/>
                <w:b/>
                <w:sz w:val="20"/>
                <w:szCs w:val="22"/>
              </w:rPr>
            </w:pPr>
            <w:proofErr w:type="spellStart"/>
            <w:r w:rsidRPr="0041615D">
              <w:rPr>
                <w:rFonts w:ascii="Arial Narrow" w:hAnsi="Arial Narrow"/>
                <w:b/>
                <w:sz w:val="20"/>
                <w:szCs w:val="22"/>
              </w:rPr>
              <w:t>Pegfilgrastim</w:t>
            </w:r>
            <w:proofErr w:type="spellEnd"/>
            <w:r w:rsidRPr="0041615D">
              <w:rPr>
                <w:rFonts w:ascii="Arial Narrow" w:hAnsi="Arial Narrow"/>
                <w:b/>
                <w:sz w:val="20"/>
                <w:szCs w:val="22"/>
              </w:rPr>
              <w:t xml:space="preserve"> </w:t>
            </w:r>
            <w:r w:rsidR="0041615D" w:rsidRPr="0041615D">
              <w:rPr>
                <w:rFonts w:ascii="Arial Narrow" w:hAnsi="Arial Narrow"/>
                <w:b/>
                <w:sz w:val="20"/>
                <w:szCs w:val="22"/>
              </w:rPr>
              <w:t>– current DPMQ</w:t>
            </w:r>
          </w:p>
        </w:tc>
      </w:tr>
      <w:tr w:rsidR="006B1E54" w:rsidTr="006B1E54">
        <w:tc>
          <w:tcPr>
            <w:tcW w:w="912" w:type="dxa"/>
          </w:tcPr>
          <w:p w:rsidR="006B1E54" w:rsidRDefault="006B1E54" w:rsidP="00081213">
            <w:pPr>
              <w:widowControl/>
              <w:rPr>
                <w:rFonts w:ascii="Arial Narrow" w:hAnsi="Arial Narrow"/>
                <w:sz w:val="20"/>
                <w:szCs w:val="22"/>
              </w:rPr>
            </w:pPr>
            <w:r>
              <w:rPr>
                <w:rFonts w:ascii="Arial Narrow" w:hAnsi="Arial Narrow"/>
                <w:sz w:val="20"/>
                <w:szCs w:val="22"/>
              </w:rPr>
              <w:t xml:space="preserve">Private </w:t>
            </w:r>
          </w:p>
        </w:tc>
        <w:tc>
          <w:tcPr>
            <w:tcW w:w="3676" w:type="dxa"/>
            <w:vAlign w:val="center"/>
          </w:tcPr>
          <w:p w:rsidR="006B1E54" w:rsidRDefault="0041615D" w:rsidP="00081213">
            <w:pPr>
              <w:widowControl/>
              <w:jc w:val="center"/>
              <w:rPr>
                <w:rFonts w:ascii="Arial Narrow" w:hAnsi="Arial Narrow"/>
                <w:sz w:val="20"/>
                <w:szCs w:val="22"/>
              </w:rPr>
            </w:pPr>
            <w:r>
              <w:rPr>
                <w:rFonts w:ascii="Arial Narrow" w:hAnsi="Arial Narrow"/>
                <w:sz w:val="20"/>
                <w:szCs w:val="22"/>
              </w:rPr>
              <w:t>$</w:t>
            </w:r>
            <w:r w:rsidR="00F9168A">
              <w:rPr>
                <w:rFonts w:ascii="Arial Narrow" w:hAnsi="Arial Narrow"/>
                <w:noProof/>
                <w:color w:val="000000"/>
                <w:sz w:val="20"/>
                <w:szCs w:val="22"/>
                <w:highlight w:val="black"/>
              </w:rPr>
              <w:t>'''''''''''''''''''''</w:t>
            </w:r>
            <w:r>
              <w:rPr>
                <w:rFonts w:ascii="Arial Narrow" w:hAnsi="Arial Narrow"/>
                <w:sz w:val="20"/>
                <w:szCs w:val="22"/>
              </w:rPr>
              <w:t xml:space="preserve"> (assuming 4 cycles of treatment)</w:t>
            </w:r>
          </w:p>
        </w:tc>
        <w:tc>
          <w:tcPr>
            <w:tcW w:w="3677" w:type="dxa"/>
            <w:vAlign w:val="center"/>
          </w:tcPr>
          <w:p w:rsidR="006B1E54" w:rsidRDefault="0041615D" w:rsidP="00081213">
            <w:pPr>
              <w:widowControl/>
              <w:jc w:val="center"/>
              <w:rPr>
                <w:rFonts w:ascii="Arial Narrow" w:hAnsi="Arial Narrow"/>
                <w:sz w:val="20"/>
                <w:szCs w:val="22"/>
              </w:rPr>
            </w:pPr>
            <w:r>
              <w:rPr>
                <w:rFonts w:ascii="Arial Narrow" w:hAnsi="Arial Narrow"/>
                <w:sz w:val="20"/>
                <w:szCs w:val="22"/>
              </w:rPr>
              <w:t>$</w:t>
            </w:r>
            <w:r w:rsidRPr="00917CE3">
              <w:rPr>
                <w:rFonts w:ascii="Arial Narrow" w:hAnsi="Arial Narrow"/>
                <w:sz w:val="20"/>
                <w:szCs w:val="22"/>
              </w:rPr>
              <w:t>7,887.72</w:t>
            </w:r>
            <w:r>
              <w:rPr>
                <w:rFonts w:ascii="Arial Narrow" w:hAnsi="Arial Narrow"/>
                <w:sz w:val="20"/>
                <w:szCs w:val="22"/>
              </w:rPr>
              <w:t xml:space="preserve"> (assuming 4 cycles of treatment)</w:t>
            </w:r>
          </w:p>
        </w:tc>
      </w:tr>
      <w:tr w:rsidR="006B1E54" w:rsidTr="006B1E54">
        <w:tc>
          <w:tcPr>
            <w:tcW w:w="912" w:type="dxa"/>
          </w:tcPr>
          <w:p w:rsidR="006B1E54" w:rsidRDefault="006B1E54" w:rsidP="00081213">
            <w:pPr>
              <w:widowControl/>
              <w:rPr>
                <w:rFonts w:ascii="Arial Narrow" w:hAnsi="Arial Narrow"/>
                <w:sz w:val="20"/>
                <w:szCs w:val="22"/>
              </w:rPr>
            </w:pPr>
            <w:r>
              <w:rPr>
                <w:rFonts w:ascii="Arial Narrow" w:hAnsi="Arial Narrow"/>
                <w:sz w:val="20"/>
                <w:szCs w:val="22"/>
              </w:rPr>
              <w:t xml:space="preserve">Public </w:t>
            </w:r>
          </w:p>
        </w:tc>
        <w:tc>
          <w:tcPr>
            <w:tcW w:w="3676" w:type="dxa"/>
            <w:vAlign w:val="center"/>
          </w:tcPr>
          <w:p w:rsidR="006B1E54" w:rsidRDefault="0041615D" w:rsidP="00081213">
            <w:pPr>
              <w:widowControl/>
              <w:jc w:val="center"/>
              <w:rPr>
                <w:rFonts w:ascii="Arial Narrow" w:hAnsi="Arial Narrow"/>
                <w:sz w:val="20"/>
                <w:szCs w:val="22"/>
              </w:rPr>
            </w:pPr>
            <w:r>
              <w:rPr>
                <w:rFonts w:ascii="Arial Narrow" w:hAnsi="Arial Narrow"/>
                <w:sz w:val="20"/>
                <w:szCs w:val="22"/>
              </w:rPr>
              <w:t>$</w:t>
            </w:r>
            <w:r w:rsidR="00F9168A">
              <w:rPr>
                <w:rFonts w:ascii="Arial Narrow" w:hAnsi="Arial Narrow"/>
                <w:noProof/>
                <w:color w:val="000000"/>
                <w:sz w:val="20"/>
                <w:szCs w:val="22"/>
                <w:highlight w:val="black"/>
              </w:rPr>
              <w:t>'''''''''''''''''''''</w:t>
            </w:r>
            <w:r>
              <w:rPr>
                <w:rFonts w:ascii="Arial Narrow" w:hAnsi="Arial Narrow"/>
                <w:sz w:val="20"/>
                <w:szCs w:val="22"/>
              </w:rPr>
              <w:t xml:space="preserve"> (assuming 4 cycles of treatment)</w:t>
            </w:r>
          </w:p>
        </w:tc>
        <w:tc>
          <w:tcPr>
            <w:tcW w:w="3677" w:type="dxa"/>
            <w:vAlign w:val="center"/>
          </w:tcPr>
          <w:p w:rsidR="006B1E54" w:rsidRDefault="0041615D" w:rsidP="00081213">
            <w:pPr>
              <w:widowControl/>
              <w:jc w:val="center"/>
              <w:rPr>
                <w:rFonts w:ascii="Arial Narrow" w:hAnsi="Arial Narrow"/>
                <w:sz w:val="20"/>
                <w:szCs w:val="22"/>
              </w:rPr>
            </w:pPr>
            <w:r>
              <w:rPr>
                <w:rFonts w:ascii="Arial Narrow" w:hAnsi="Arial Narrow"/>
                <w:sz w:val="20"/>
                <w:szCs w:val="22"/>
              </w:rPr>
              <w:t>$</w:t>
            </w:r>
            <w:r w:rsidRPr="00917CE3">
              <w:rPr>
                <w:rFonts w:ascii="Arial Narrow" w:hAnsi="Arial Narrow"/>
                <w:sz w:val="20"/>
                <w:szCs w:val="22"/>
              </w:rPr>
              <w:t>7,700.00</w:t>
            </w:r>
            <w:r>
              <w:rPr>
                <w:rFonts w:ascii="Arial Narrow" w:hAnsi="Arial Narrow"/>
                <w:sz w:val="20"/>
                <w:szCs w:val="22"/>
              </w:rPr>
              <w:t xml:space="preserve"> (assuming 4 cycles of treatment)</w:t>
            </w:r>
          </w:p>
        </w:tc>
      </w:tr>
    </w:tbl>
    <w:p w:rsidR="006B1E54" w:rsidRPr="0041615D" w:rsidRDefault="006B1E54" w:rsidP="00081213">
      <w:pPr>
        <w:widowControl/>
        <w:ind w:firstLine="709"/>
        <w:rPr>
          <w:szCs w:val="22"/>
        </w:rPr>
      </w:pPr>
    </w:p>
    <w:p w:rsidR="0041615D" w:rsidRPr="00CA365F" w:rsidRDefault="0041615D" w:rsidP="00081213">
      <w:pPr>
        <w:pStyle w:val="ListParagraph"/>
        <w:widowControl/>
        <w:numPr>
          <w:ilvl w:val="1"/>
          <w:numId w:val="6"/>
        </w:numPr>
        <w:rPr>
          <w:szCs w:val="22"/>
        </w:rPr>
      </w:pPr>
      <w:r w:rsidRPr="00CA365F">
        <w:rPr>
          <w:szCs w:val="22"/>
        </w:rPr>
        <w:t xml:space="preserve">Should the requested price for </w:t>
      </w:r>
      <w:proofErr w:type="spellStart"/>
      <w:r w:rsidRPr="00CA365F">
        <w:rPr>
          <w:szCs w:val="22"/>
        </w:rPr>
        <w:t>lipegfilgrastim</w:t>
      </w:r>
      <w:proofErr w:type="spellEnd"/>
      <w:r w:rsidRPr="00CA365F">
        <w:rPr>
          <w:szCs w:val="22"/>
        </w:rPr>
        <w:t xml:space="preserve"> flow-on to </w:t>
      </w:r>
      <w:proofErr w:type="spellStart"/>
      <w:r w:rsidRPr="00CA365F">
        <w:rPr>
          <w:szCs w:val="22"/>
        </w:rPr>
        <w:t>pegfilgrastim</w:t>
      </w:r>
      <w:proofErr w:type="spellEnd"/>
      <w:r w:rsidRPr="00CA365F">
        <w:rPr>
          <w:szCs w:val="22"/>
        </w:rPr>
        <w:t xml:space="preserve">, the drug cost/patient/course </w:t>
      </w:r>
      <w:r w:rsidR="00D548CE">
        <w:rPr>
          <w:szCs w:val="22"/>
        </w:rPr>
        <w:t xml:space="preserve">for both </w:t>
      </w:r>
      <w:r w:rsidRPr="00CA365F">
        <w:rPr>
          <w:szCs w:val="22"/>
        </w:rPr>
        <w:t xml:space="preserve">would be </w:t>
      </w:r>
      <w:r w:rsidR="00791D9D" w:rsidRPr="00CA365F">
        <w:rPr>
          <w:szCs w:val="22"/>
        </w:rPr>
        <w:t xml:space="preserve">as estimated for </w:t>
      </w:r>
      <w:proofErr w:type="spellStart"/>
      <w:proofErr w:type="gramStart"/>
      <w:r w:rsidR="009369B7">
        <w:rPr>
          <w:szCs w:val="22"/>
        </w:rPr>
        <w:t>lipegfilgrastim</w:t>
      </w:r>
      <w:proofErr w:type="spellEnd"/>
      <w:r w:rsidR="009369B7">
        <w:rPr>
          <w:szCs w:val="22"/>
        </w:rPr>
        <w:t>.</w:t>
      </w:r>
      <w:proofErr w:type="gramEnd"/>
    </w:p>
    <w:p w:rsidR="006B1E54" w:rsidRPr="0041615D" w:rsidRDefault="006B1E54" w:rsidP="00081213">
      <w:pPr>
        <w:widowControl/>
        <w:ind w:firstLine="709"/>
        <w:rPr>
          <w:sz w:val="24"/>
          <w:szCs w:val="22"/>
        </w:rPr>
      </w:pPr>
    </w:p>
    <w:p w:rsidR="00B60939" w:rsidRPr="002C2775" w:rsidRDefault="00B60939" w:rsidP="00081213">
      <w:pPr>
        <w:pStyle w:val="Heading2"/>
        <w:widowControl/>
        <w:rPr>
          <w:i/>
        </w:rPr>
      </w:pPr>
      <w:bookmarkStart w:id="14" w:name="_Toc440890556"/>
      <w:r w:rsidRPr="002C2775">
        <w:rPr>
          <w:i/>
        </w:rPr>
        <w:t>Estimated PBS usage &amp; financial implications</w:t>
      </w:r>
      <w:bookmarkEnd w:id="14"/>
    </w:p>
    <w:p w:rsidR="00B60939" w:rsidRPr="00882085" w:rsidRDefault="00B60939" w:rsidP="00081213">
      <w:pPr>
        <w:widowControl/>
        <w:ind w:left="720" w:hanging="720"/>
        <w:rPr>
          <w:b/>
          <w:i/>
          <w:szCs w:val="22"/>
        </w:rPr>
      </w:pPr>
    </w:p>
    <w:p w:rsidR="00C25D9C" w:rsidRPr="0041615D" w:rsidRDefault="004F32B4" w:rsidP="00081213">
      <w:pPr>
        <w:pStyle w:val="ListParagraph"/>
        <w:widowControl/>
        <w:numPr>
          <w:ilvl w:val="1"/>
          <w:numId w:val="6"/>
        </w:numPr>
        <w:rPr>
          <w:szCs w:val="22"/>
        </w:rPr>
      </w:pPr>
      <w:r>
        <w:t>This submission wa</w:t>
      </w:r>
      <w:r w:rsidR="0041615D">
        <w:t xml:space="preserve">s </w:t>
      </w:r>
      <w:r w:rsidR="00C25D9C">
        <w:t>not considered by DUSC</w:t>
      </w:r>
      <w:r w:rsidR="00C25D9C" w:rsidRPr="00B50DB8">
        <w:rPr>
          <w:color w:val="0070C0"/>
        </w:rPr>
        <w:t>.</w:t>
      </w:r>
    </w:p>
    <w:p w:rsidR="0041615D" w:rsidRPr="0041615D" w:rsidRDefault="0041615D" w:rsidP="00081213">
      <w:pPr>
        <w:pStyle w:val="ListParagraph"/>
        <w:widowControl/>
      </w:pPr>
    </w:p>
    <w:p w:rsidR="0041615D" w:rsidRDefault="0041615D" w:rsidP="00081213">
      <w:pPr>
        <w:pStyle w:val="ListParagraph"/>
        <w:widowControl/>
        <w:numPr>
          <w:ilvl w:val="1"/>
          <w:numId w:val="6"/>
        </w:numPr>
      </w:pPr>
      <w:r>
        <w:t xml:space="preserve">The submission utilised PBS usage data for </w:t>
      </w:r>
      <w:proofErr w:type="spellStart"/>
      <w:r>
        <w:t>filgrastim</w:t>
      </w:r>
      <w:proofErr w:type="spellEnd"/>
      <w:r>
        <w:t xml:space="preserve">, </w:t>
      </w:r>
      <w:proofErr w:type="spellStart"/>
      <w:r>
        <w:t>lenograstim</w:t>
      </w:r>
      <w:proofErr w:type="spellEnd"/>
      <w:r>
        <w:t xml:space="preserve"> and </w:t>
      </w:r>
      <w:proofErr w:type="spellStart"/>
      <w:r>
        <w:t>pegfilgrastim</w:t>
      </w:r>
      <w:proofErr w:type="spellEnd"/>
      <w:r>
        <w:t xml:space="preserve"> from the 2000/2001 to 2014/2015 financial years.  Based on this usage, three approaches were taken to extrapolate the likely growth of the G-CSF market over the forward projections:</w:t>
      </w:r>
    </w:p>
    <w:p w:rsidR="0041615D" w:rsidRDefault="0041615D" w:rsidP="00081213">
      <w:pPr>
        <w:pStyle w:val="ListParagraph"/>
        <w:widowControl/>
        <w:numPr>
          <w:ilvl w:val="0"/>
          <w:numId w:val="12"/>
        </w:numPr>
        <w:ind w:left="993" w:hanging="284"/>
      </w:pPr>
      <w:r>
        <w:t xml:space="preserve">A second-order polynomial (base case analysis); </w:t>
      </w:r>
    </w:p>
    <w:p w:rsidR="0041615D" w:rsidRDefault="0041615D" w:rsidP="00081213">
      <w:pPr>
        <w:pStyle w:val="ListParagraph"/>
        <w:widowControl/>
        <w:numPr>
          <w:ilvl w:val="0"/>
          <w:numId w:val="12"/>
        </w:numPr>
        <w:ind w:left="993" w:hanging="284"/>
      </w:pPr>
      <w:r>
        <w:t>Linear extrapolation (tested in sensitivity analysis); and</w:t>
      </w:r>
    </w:p>
    <w:p w:rsidR="0041615D" w:rsidRPr="00310A3D" w:rsidRDefault="0041615D" w:rsidP="00081213">
      <w:pPr>
        <w:pStyle w:val="ListParagraph"/>
        <w:widowControl/>
        <w:numPr>
          <w:ilvl w:val="0"/>
          <w:numId w:val="12"/>
        </w:numPr>
        <w:ind w:left="993" w:hanging="284"/>
        <w:rPr>
          <w:szCs w:val="22"/>
        </w:rPr>
      </w:pPr>
      <w:r>
        <w:t xml:space="preserve">Assuming a 7% growth rate in the market in each year (tested in sensitivity </w:t>
      </w:r>
      <w:r w:rsidRPr="00310A3D">
        <w:t>analysis).</w:t>
      </w:r>
    </w:p>
    <w:p w:rsidR="0041615D" w:rsidRPr="00310A3D" w:rsidRDefault="0041615D" w:rsidP="00081213">
      <w:pPr>
        <w:pStyle w:val="ListParagraph"/>
        <w:widowControl/>
        <w:rPr>
          <w:szCs w:val="22"/>
        </w:rPr>
      </w:pPr>
    </w:p>
    <w:p w:rsidR="0041615D" w:rsidRPr="00525F9D" w:rsidRDefault="004F32B4" w:rsidP="00081213">
      <w:pPr>
        <w:pStyle w:val="ListParagraph"/>
        <w:widowControl/>
        <w:numPr>
          <w:ilvl w:val="1"/>
          <w:numId w:val="6"/>
        </w:numPr>
        <w:rPr>
          <w:szCs w:val="22"/>
        </w:rPr>
      </w:pPr>
      <w:r w:rsidRPr="00E54B84">
        <w:lastRenderedPageBreak/>
        <w:t>The submission assumed</w:t>
      </w:r>
      <w:r w:rsidR="0041615D" w:rsidRPr="00E54B84">
        <w:t xml:space="preserve"> in the base case of the financial estimates that </w:t>
      </w:r>
      <w:proofErr w:type="spellStart"/>
      <w:r w:rsidR="0041615D" w:rsidRPr="00E54B84">
        <w:t>lipegfilgrastim</w:t>
      </w:r>
      <w:proofErr w:type="spellEnd"/>
      <w:r w:rsidR="0041615D" w:rsidRPr="00E54B84">
        <w:t xml:space="preserve"> </w:t>
      </w:r>
      <w:r w:rsidRPr="00E54B84">
        <w:t>would</w:t>
      </w:r>
      <w:r w:rsidR="0041615D" w:rsidRPr="00E54B84">
        <w:t xml:space="preserve"> </w:t>
      </w:r>
      <w:r w:rsidR="0041615D" w:rsidRPr="00E54B84">
        <w:rPr>
          <w:szCs w:val="22"/>
        </w:rPr>
        <w:t xml:space="preserve">only substitute for </w:t>
      </w:r>
      <w:proofErr w:type="spellStart"/>
      <w:r w:rsidR="0041615D" w:rsidRPr="00E54B84">
        <w:rPr>
          <w:szCs w:val="22"/>
        </w:rPr>
        <w:t>pegfilgrastim</w:t>
      </w:r>
      <w:proofErr w:type="spellEnd"/>
      <w:r w:rsidR="0041615D" w:rsidRPr="00E54B84">
        <w:rPr>
          <w:szCs w:val="22"/>
        </w:rPr>
        <w:t xml:space="preserve"> (and not for </w:t>
      </w:r>
      <w:proofErr w:type="spellStart"/>
      <w:r w:rsidR="0041615D" w:rsidRPr="00E54B84">
        <w:rPr>
          <w:szCs w:val="22"/>
        </w:rPr>
        <w:t>filgrastim</w:t>
      </w:r>
      <w:proofErr w:type="spellEnd"/>
      <w:r w:rsidR="0041615D" w:rsidRPr="00E54B84">
        <w:rPr>
          <w:szCs w:val="22"/>
        </w:rPr>
        <w:t xml:space="preserve"> or </w:t>
      </w:r>
      <w:proofErr w:type="spellStart"/>
      <w:r w:rsidR="0041615D" w:rsidRPr="00E54B84">
        <w:rPr>
          <w:szCs w:val="22"/>
        </w:rPr>
        <w:t>lenograstim</w:t>
      </w:r>
      <w:proofErr w:type="spellEnd"/>
      <w:r w:rsidR="0041615D" w:rsidRPr="00E54B84">
        <w:rPr>
          <w:szCs w:val="22"/>
        </w:rPr>
        <w:t xml:space="preserve">).  The assumed market uptake </w:t>
      </w:r>
      <w:r w:rsidR="00D379AB" w:rsidRPr="00E54B84">
        <w:rPr>
          <w:szCs w:val="22"/>
        </w:rPr>
        <w:t xml:space="preserve">rates are </w:t>
      </w:r>
      <w:r w:rsidR="00F9168A">
        <w:rPr>
          <w:noProof/>
          <w:color w:val="000000"/>
          <w:szCs w:val="22"/>
          <w:highlight w:val="black"/>
        </w:rPr>
        <w:t>''''''</w:t>
      </w:r>
      <w:r w:rsidR="00D379AB" w:rsidRPr="00E54B84">
        <w:rPr>
          <w:szCs w:val="22"/>
        </w:rPr>
        <w:t xml:space="preserve">% in year 1, </w:t>
      </w:r>
      <w:r w:rsidR="00F9168A">
        <w:rPr>
          <w:noProof/>
          <w:color w:val="000000"/>
          <w:szCs w:val="22"/>
          <w:highlight w:val="black"/>
        </w:rPr>
        <w:t>''''''</w:t>
      </w:r>
      <w:r w:rsidR="00D379AB" w:rsidRPr="00E54B84">
        <w:rPr>
          <w:szCs w:val="22"/>
        </w:rPr>
        <w:t xml:space="preserve">% in year 2 and </w:t>
      </w:r>
      <w:r w:rsidR="00F9168A">
        <w:rPr>
          <w:noProof/>
          <w:color w:val="000000"/>
          <w:szCs w:val="22"/>
          <w:highlight w:val="black"/>
        </w:rPr>
        <w:t>'''''''</w:t>
      </w:r>
      <w:r w:rsidR="00D379AB" w:rsidRPr="00E54B84">
        <w:rPr>
          <w:szCs w:val="22"/>
        </w:rPr>
        <w:t>% in years 3-5.</w:t>
      </w:r>
      <w:r w:rsidR="006802E7" w:rsidRPr="00E54B84">
        <w:rPr>
          <w:szCs w:val="22"/>
        </w:rPr>
        <w:t xml:space="preserve">  </w:t>
      </w:r>
      <w:r w:rsidR="006802E7" w:rsidRPr="00E54B84">
        <w:t xml:space="preserve">All of the cost savings estimated </w:t>
      </w:r>
      <w:r w:rsidR="00097AA3" w:rsidRPr="00E54B84">
        <w:t>is</w:t>
      </w:r>
      <w:r w:rsidR="006802E7" w:rsidRPr="00E54B84">
        <w:t xml:space="preserve"> attributable to the price reduction offered for </w:t>
      </w:r>
      <w:proofErr w:type="spellStart"/>
      <w:r w:rsidR="006802E7" w:rsidRPr="00E54B84">
        <w:t>lipegfilgrastim</w:t>
      </w:r>
      <w:proofErr w:type="spellEnd"/>
      <w:r w:rsidR="006802E7" w:rsidRPr="00E54B84">
        <w:t xml:space="preserve"> which is expec</w:t>
      </w:r>
      <w:r w:rsidR="00D548CE" w:rsidRPr="00E54B84">
        <w:t xml:space="preserve">ted to flow-on to </w:t>
      </w:r>
      <w:proofErr w:type="spellStart"/>
      <w:r w:rsidR="00D548CE" w:rsidRPr="00E54B84">
        <w:t>pegfilgrastim</w:t>
      </w:r>
      <w:proofErr w:type="spellEnd"/>
      <w:r w:rsidR="00D548CE" w:rsidRPr="00E54B84">
        <w:t xml:space="preserve">.  The price reduction would affect </w:t>
      </w:r>
      <w:r w:rsidR="00D548CE" w:rsidRPr="00905131">
        <w:t>all</w:t>
      </w:r>
      <w:r w:rsidR="00D548CE" w:rsidRPr="00E54B84">
        <w:t xml:space="preserve"> forecast scripts of </w:t>
      </w:r>
      <w:proofErr w:type="spellStart"/>
      <w:r w:rsidR="00D548CE" w:rsidRPr="00E54B84">
        <w:t>pegfilgrastim</w:t>
      </w:r>
      <w:proofErr w:type="spellEnd"/>
      <w:r w:rsidR="00D548CE" w:rsidRPr="00E54B84">
        <w:t xml:space="preserve"> in the forward estimates (not just the proportion assumed to be substituted for by </w:t>
      </w:r>
      <w:proofErr w:type="spellStart"/>
      <w:r w:rsidR="00D548CE" w:rsidRPr="00E54B84">
        <w:t>lipegfilgrastim</w:t>
      </w:r>
      <w:proofErr w:type="spellEnd"/>
      <w:r w:rsidR="00D548CE" w:rsidRPr="00E54B84">
        <w:t>).  The estimates also rel</w:t>
      </w:r>
      <w:r w:rsidRPr="00E54B84">
        <w:t>ied</w:t>
      </w:r>
      <w:r w:rsidR="00D548CE" w:rsidRPr="00E54B84">
        <w:t xml:space="preserve"> on one syringe of </w:t>
      </w:r>
      <w:proofErr w:type="spellStart"/>
      <w:r w:rsidR="00D548CE" w:rsidRPr="00E54B84">
        <w:t>lipegfilgrastim</w:t>
      </w:r>
      <w:proofErr w:type="spellEnd"/>
      <w:r w:rsidR="00D548CE" w:rsidRPr="00E54B84">
        <w:t xml:space="preserve"> substituting for one syringe of </w:t>
      </w:r>
      <w:proofErr w:type="spellStart"/>
      <w:r w:rsidR="00D548CE" w:rsidRPr="00E54B84">
        <w:t>pegfilgrastim</w:t>
      </w:r>
      <w:proofErr w:type="spellEnd"/>
      <w:r w:rsidR="00D548CE" w:rsidRPr="00E54B84">
        <w:t>,</w:t>
      </w:r>
      <w:r w:rsidR="006802E7" w:rsidRPr="00E54B84">
        <w:t xml:space="preserve"> </w:t>
      </w:r>
      <w:r w:rsidR="00D548CE" w:rsidRPr="00E54B84">
        <w:t xml:space="preserve">such that </w:t>
      </w:r>
      <w:r w:rsidR="006802E7" w:rsidRPr="00E54B84">
        <w:t xml:space="preserve">subsequent substitution of </w:t>
      </w:r>
      <w:proofErr w:type="spellStart"/>
      <w:r w:rsidR="006802E7" w:rsidRPr="00E54B84">
        <w:t>pegfilgrastim</w:t>
      </w:r>
      <w:proofErr w:type="spellEnd"/>
      <w:r w:rsidR="006802E7" w:rsidRPr="00E54B84">
        <w:t xml:space="preserve"> with </w:t>
      </w:r>
      <w:proofErr w:type="spellStart"/>
      <w:r w:rsidR="006802E7" w:rsidRPr="00E54B84">
        <w:t>lipegfilgrastim</w:t>
      </w:r>
      <w:proofErr w:type="spellEnd"/>
      <w:r w:rsidR="006802E7" w:rsidRPr="00E54B84">
        <w:t xml:space="preserve"> </w:t>
      </w:r>
      <w:r w:rsidR="00D548CE" w:rsidRPr="00E54B84">
        <w:t>would be</w:t>
      </w:r>
      <w:r w:rsidR="006802E7" w:rsidRPr="00E54B84">
        <w:t xml:space="preserve"> cost neutral.</w:t>
      </w:r>
      <w:r w:rsidR="00D548CE" w:rsidRPr="00E54B84">
        <w:t xml:space="preserve"> </w:t>
      </w:r>
    </w:p>
    <w:p w:rsidR="00525F9D" w:rsidRPr="00525F9D" w:rsidRDefault="00525F9D" w:rsidP="00081213">
      <w:pPr>
        <w:pStyle w:val="ListParagraph"/>
        <w:widowControl/>
        <w:rPr>
          <w:szCs w:val="22"/>
        </w:rPr>
      </w:pPr>
    </w:p>
    <w:p w:rsidR="00C25D9C" w:rsidRDefault="00C25D9C" w:rsidP="00081213">
      <w:pPr>
        <w:keepNext/>
        <w:widowControl/>
        <w:ind w:firstLine="709"/>
        <w:rPr>
          <w:rStyle w:val="CommentReference"/>
        </w:rPr>
      </w:pPr>
      <w:r w:rsidRPr="001222FC">
        <w:rPr>
          <w:rStyle w:val="CommentReference"/>
        </w:rPr>
        <w:t xml:space="preserve">Table </w:t>
      </w:r>
      <w:r w:rsidR="0041615D">
        <w:rPr>
          <w:rStyle w:val="CommentReference"/>
        </w:rPr>
        <w:t>5</w:t>
      </w:r>
      <w:r w:rsidRPr="001222FC">
        <w:rPr>
          <w:rStyle w:val="CommentReference"/>
        </w:rPr>
        <w:t>: Estimated use and financial implications</w:t>
      </w:r>
    </w:p>
    <w:tbl>
      <w:tblPr>
        <w:tblStyle w:val="TableGrid"/>
        <w:tblW w:w="8363" w:type="dxa"/>
        <w:tblInd w:w="737" w:type="dxa"/>
        <w:tblCellMar>
          <w:left w:w="28" w:type="dxa"/>
          <w:right w:w="28" w:type="dxa"/>
        </w:tblCellMar>
        <w:tblLook w:val="04A0" w:firstRow="1" w:lastRow="0" w:firstColumn="1" w:lastColumn="0" w:noHBand="0" w:noVBand="1"/>
        <w:tblCaption w:val="Table 5: Estimated use and financial implications"/>
      </w:tblPr>
      <w:tblGrid>
        <w:gridCol w:w="2541"/>
        <w:gridCol w:w="1158"/>
        <w:gridCol w:w="8"/>
        <w:gridCol w:w="1151"/>
        <w:gridCol w:w="15"/>
        <w:gridCol w:w="1143"/>
        <w:gridCol w:w="23"/>
        <w:gridCol w:w="1136"/>
        <w:gridCol w:w="30"/>
        <w:gridCol w:w="1158"/>
      </w:tblGrid>
      <w:tr w:rsidR="0041615D" w:rsidRPr="00BA161C" w:rsidTr="00CF4D5E">
        <w:trPr>
          <w:tblHeader/>
        </w:trPr>
        <w:tc>
          <w:tcPr>
            <w:tcW w:w="2552" w:type="dxa"/>
          </w:tcPr>
          <w:p w:rsidR="0041615D" w:rsidRPr="00BA161C" w:rsidRDefault="0041615D" w:rsidP="00081213">
            <w:pPr>
              <w:keepNext/>
              <w:widowControl/>
              <w:rPr>
                <w:rFonts w:ascii="Arial Narrow" w:hAnsi="Arial Narrow"/>
                <w:sz w:val="20"/>
              </w:rPr>
            </w:pPr>
          </w:p>
        </w:tc>
        <w:tc>
          <w:tcPr>
            <w:tcW w:w="1166" w:type="dxa"/>
            <w:gridSpan w:val="2"/>
          </w:tcPr>
          <w:p w:rsidR="0041615D" w:rsidRPr="00BA161C" w:rsidRDefault="0041615D" w:rsidP="00081213">
            <w:pPr>
              <w:keepNext/>
              <w:widowControl/>
              <w:jc w:val="center"/>
              <w:rPr>
                <w:rFonts w:ascii="Arial Narrow" w:hAnsi="Arial Narrow"/>
                <w:b/>
                <w:sz w:val="20"/>
              </w:rPr>
            </w:pPr>
            <w:r w:rsidRPr="00BA161C">
              <w:rPr>
                <w:rFonts w:ascii="Arial Narrow" w:hAnsi="Arial Narrow"/>
                <w:b/>
                <w:sz w:val="20"/>
              </w:rPr>
              <w:t>2016/2017</w:t>
            </w:r>
          </w:p>
        </w:tc>
        <w:tc>
          <w:tcPr>
            <w:tcW w:w="1166" w:type="dxa"/>
            <w:gridSpan w:val="2"/>
          </w:tcPr>
          <w:p w:rsidR="0041615D" w:rsidRPr="00BA161C" w:rsidRDefault="0041615D" w:rsidP="00081213">
            <w:pPr>
              <w:keepNext/>
              <w:widowControl/>
              <w:jc w:val="center"/>
              <w:rPr>
                <w:rFonts w:ascii="Arial Narrow" w:hAnsi="Arial Narrow"/>
                <w:b/>
                <w:sz w:val="20"/>
              </w:rPr>
            </w:pPr>
            <w:r w:rsidRPr="00BA161C">
              <w:rPr>
                <w:rFonts w:ascii="Arial Narrow" w:hAnsi="Arial Narrow"/>
                <w:b/>
                <w:sz w:val="20"/>
              </w:rPr>
              <w:t>2017/2018</w:t>
            </w:r>
          </w:p>
        </w:tc>
        <w:tc>
          <w:tcPr>
            <w:tcW w:w="1166" w:type="dxa"/>
            <w:gridSpan w:val="2"/>
          </w:tcPr>
          <w:p w:rsidR="0041615D" w:rsidRPr="00BA161C" w:rsidRDefault="0041615D" w:rsidP="00081213">
            <w:pPr>
              <w:keepNext/>
              <w:widowControl/>
              <w:jc w:val="center"/>
              <w:rPr>
                <w:rFonts w:ascii="Arial Narrow" w:hAnsi="Arial Narrow"/>
                <w:b/>
                <w:sz w:val="20"/>
              </w:rPr>
            </w:pPr>
            <w:r w:rsidRPr="00BA161C">
              <w:rPr>
                <w:rFonts w:ascii="Arial Narrow" w:hAnsi="Arial Narrow"/>
                <w:b/>
                <w:sz w:val="20"/>
              </w:rPr>
              <w:t>201</w:t>
            </w:r>
            <w:r>
              <w:rPr>
                <w:rFonts w:ascii="Arial Narrow" w:hAnsi="Arial Narrow"/>
                <w:b/>
                <w:sz w:val="20"/>
              </w:rPr>
              <w:t>8</w:t>
            </w:r>
            <w:r w:rsidRPr="00BA161C">
              <w:rPr>
                <w:rFonts w:ascii="Arial Narrow" w:hAnsi="Arial Narrow"/>
                <w:b/>
                <w:sz w:val="20"/>
              </w:rPr>
              <w:t>/20</w:t>
            </w:r>
            <w:r>
              <w:rPr>
                <w:rFonts w:ascii="Arial Narrow" w:hAnsi="Arial Narrow"/>
                <w:b/>
                <w:sz w:val="20"/>
              </w:rPr>
              <w:t>19</w:t>
            </w:r>
          </w:p>
        </w:tc>
        <w:tc>
          <w:tcPr>
            <w:tcW w:w="1166" w:type="dxa"/>
            <w:gridSpan w:val="2"/>
          </w:tcPr>
          <w:p w:rsidR="0041615D" w:rsidRPr="00BA161C" w:rsidRDefault="0041615D" w:rsidP="00081213">
            <w:pPr>
              <w:keepNext/>
              <w:widowControl/>
              <w:jc w:val="center"/>
              <w:rPr>
                <w:rFonts w:ascii="Arial Narrow" w:hAnsi="Arial Narrow"/>
                <w:b/>
                <w:sz w:val="20"/>
              </w:rPr>
            </w:pPr>
            <w:r w:rsidRPr="00BA161C">
              <w:rPr>
                <w:rFonts w:ascii="Arial Narrow" w:hAnsi="Arial Narrow"/>
                <w:b/>
                <w:sz w:val="20"/>
              </w:rPr>
              <w:t>20</w:t>
            </w:r>
            <w:r>
              <w:rPr>
                <w:rFonts w:ascii="Arial Narrow" w:hAnsi="Arial Narrow"/>
                <w:b/>
                <w:sz w:val="20"/>
              </w:rPr>
              <w:t>19</w:t>
            </w:r>
            <w:r w:rsidRPr="00BA161C">
              <w:rPr>
                <w:rFonts w:ascii="Arial Narrow" w:hAnsi="Arial Narrow"/>
                <w:b/>
                <w:sz w:val="20"/>
              </w:rPr>
              <w:t>/202</w:t>
            </w:r>
            <w:r>
              <w:rPr>
                <w:rFonts w:ascii="Arial Narrow" w:hAnsi="Arial Narrow"/>
                <w:b/>
                <w:sz w:val="20"/>
              </w:rPr>
              <w:t>0</w:t>
            </w:r>
          </w:p>
        </w:tc>
        <w:tc>
          <w:tcPr>
            <w:tcW w:w="1147" w:type="dxa"/>
          </w:tcPr>
          <w:p w:rsidR="0041615D" w:rsidRPr="00BA161C" w:rsidRDefault="0041615D" w:rsidP="00081213">
            <w:pPr>
              <w:keepNext/>
              <w:widowControl/>
              <w:jc w:val="center"/>
              <w:rPr>
                <w:rFonts w:ascii="Arial Narrow" w:hAnsi="Arial Narrow"/>
                <w:b/>
                <w:sz w:val="20"/>
              </w:rPr>
            </w:pPr>
            <w:r w:rsidRPr="00BA161C">
              <w:rPr>
                <w:rFonts w:ascii="Arial Narrow" w:hAnsi="Arial Narrow"/>
                <w:b/>
                <w:sz w:val="20"/>
              </w:rPr>
              <w:t>20</w:t>
            </w:r>
            <w:r>
              <w:rPr>
                <w:rFonts w:ascii="Arial Narrow" w:hAnsi="Arial Narrow"/>
                <w:b/>
                <w:sz w:val="20"/>
              </w:rPr>
              <w:t>20</w:t>
            </w:r>
            <w:r w:rsidRPr="00BA161C">
              <w:rPr>
                <w:rFonts w:ascii="Arial Narrow" w:hAnsi="Arial Narrow"/>
                <w:b/>
                <w:sz w:val="20"/>
              </w:rPr>
              <w:t>/202</w:t>
            </w:r>
            <w:r>
              <w:rPr>
                <w:rFonts w:ascii="Arial Narrow" w:hAnsi="Arial Narrow"/>
                <w:b/>
                <w:sz w:val="20"/>
              </w:rPr>
              <w:t>1</w:t>
            </w:r>
          </w:p>
        </w:tc>
      </w:tr>
      <w:tr w:rsidR="00D379AB" w:rsidRPr="00BA161C" w:rsidTr="00FF4103">
        <w:tc>
          <w:tcPr>
            <w:tcW w:w="8363" w:type="dxa"/>
            <w:gridSpan w:val="10"/>
          </w:tcPr>
          <w:p w:rsidR="00D379AB" w:rsidRPr="00D379AB" w:rsidRDefault="00D379AB" w:rsidP="00081213">
            <w:pPr>
              <w:keepNext/>
              <w:widowControl/>
              <w:jc w:val="left"/>
              <w:rPr>
                <w:rFonts w:ascii="Arial Narrow" w:hAnsi="Arial Narrow"/>
                <w:b/>
                <w:sz w:val="20"/>
              </w:rPr>
            </w:pPr>
            <w:r w:rsidRPr="00D379AB">
              <w:rPr>
                <w:rFonts w:ascii="Arial Narrow" w:hAnsi="Arial Narrow"/>
                <w:b/>
                <w:sz w:val="20"/>
              </w:rPr>
              <w:t xml:space="preserve">Cost of listing </w:t>
            </w:r>
            <w:proofErr w:type="spellStart"/>
            <w:r w:rsidRPr="00D379AB">
              <w:rPr>
                <w:rFonts w:ascii="Arial Narrow" w:hAnsi="Arial Narrow"/>
                <w:b/>
                <w:sz w:val="20"/>
              </w:rPr>
              <w:t>lipegfilgrastim</w:t>
            </w:r>
            <w:proofErr w:type="spellEnd"/>
          </w:p>
        </w:tc>
      </w:tr>
      <w:tr w:rsidR="0041615D" w:rsidRPr="00BA161C" w:rsidTr="00FF4103">
        <w:tc>
          <w:tcPr>
            <w:tcW w:w="2552" w:type="dxa"/>
          </w:tcPr>
          <w:p w:rsidR="0041615D" w:rsidRPr="00BA161C" w:rsidRDefault="0041615D" w:rsidP="00081213">
            <w:pPr>
              <w:keepNext/>
              <w:widowControl/>
              <w:rPr>
                <w:rFonts w:ascii="Arial Narrow" w:hAnsi="Arial Narrow"/>
                <w:sz w:val="20"/>
              </w:rPr>
            </w:pPr>
            <w:r>
              <w:rPr>
                <w:rFonts w:ascii="Arial Narrow" w:hAnsi="Arial Narrow"/>
                <w:sz w:val="20"/>
              </w:rPr>
              <w:t>Number of G-CSF scripts</w:t>
            </w:r>
          </w:p>
        </w:tc>
        <w:tc>
          <w:tcPr>
            <w:tcW w:w="1166" w:type="dxa"/>
            <w:gridSpan w:val="2"/>
          </w:tcPr>
          <w:p w:rsidR="0041615D"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66" w:type="dxa"/>
            <w:gridSpan w:val="2"/>
          </w:tcPr>
          <w:p w:rsidR="0041615D"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66" w:type="dxa"/>
            <w:gridSpan w:val="2"/>
          </w:tcPr>
          <w:p w:rsidR="0041615D"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66" w:type="dxa"/>
            <w:gridSpan w:val="2"/>
          </w:tcPr>
          <w:p w:rsidR="0041615D"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47" w:type="dxa"/>
          </w:tcPr>
          <w:p w:rsidR="0041615D"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41615D" w:rsidRPr="00BA161C" w:rsidTr="00FF4103">
        <w:tc>
          <w:tcPr>
            <w:tcW w:w="2552" w:type="dxa"/>
          </w:tcPr>
          <w:p w:rsidR="0041615D" w:rsidRPr="00BA161C" w:rsidRDefault="0041615D" w:rsidP="00081213">
            <w:pPr>
              <w:keepNext/>
              <w:widowControl/>
              <w:rPr>
                <w:rFonts w:ascii="Arial Narrow" w:hAnsi="Arial Narrow"/>
                <w:sz w:val="20"/>
              </w:rPr>
            </w:pPr>
            <w:r>
              <w:rPr>
                <w:rFonts w:ascii="Arial Narrow" w:hAnsi="Arial Narrow"/>
                <w:sz w:val="20"/>
              </w:rPr>
              <w:t xml:space="preserve">Proportion </w:t>
            </w:r>
            <w:proofErr w:type="spellStart"/>
            <w:r>
              <w:rPr>
                <w:rFonts w:ascii="Arial Narrow" w:hAnsi="Arial Narrow"/>
                <w:sz w:val="20"/>
              </w:rPr>
              <w:t>pegfilgrastim</w:t>
            </w:r>
            <w:proofErr w:type="spellEnd"/>
          </w:p>
        </w:tc>
        <w:tc>
          <w:tcPr>
            <w:tcW w:w="1166" w:type="dxa"/>
            <w:gridSpan w:val="2"/>
          </w:tcPr>
          <w:p w:rsidR="0041615D" w:rsidRPr="00BA161C" w:rsidRDefault="0041615D" w:rsidP="00081213">
            <w:pPr>
              <w:keepNext/>
              <w:widowControl/>
              <w:jc w:val="center"/>
              <w:rPr>
                <w:rFonts w:ascii="Arial Narrow" w:hAnsi="Arial Narrow"/>
                <w:sz w:val="20"/>
              </w:rPr>
            </w:pPr>
            <w:r>
              <w:rPr>
                <w:rFonts w:ascii="Arial Narrow" w:hAnsi="Arial Narrow"/>
                <w:sz w:val="20"/>
              </w:rPr>
              <w:t>80%</w:t>
            </w:r>
          </w:p>
        </w:tc>
        <w:tc>
          <w:tcPr>
            <w:tcW w:w="1166" w:type="dxa"/>
            <w:gridSpan w:val="2"/>
          </w:tcPr>
          <w:p w:rsidR="0041615D" w:rsidRPr="00BA161C" w:rsidRDefault="0041615D" w:rsidP="00081213">
            <w:pPr>
              <w:keepNext/>
              <w:widowControl/>
              <w:jc w:val="center"/>
              <w:rPr>
                <w:rFonts w:ascii="Arial Narrow" w:hAnsi="Arial Narrow"/>
                <w:sz w:val="20"/>
              </w:rPr>
            </w:pPr>
            <w:r>
              <w:rPr>
                <w:rFonts w:ascii="Arial Narrow" w:hAnsi="Arial Narrow"/>
                <w:sz w:val="20"/>
              </w:rPr>
              <w:t>80%</w:t>
            </w:r>
          </w:p>
        </w:tc>
        <w:tc>
          <w:tcPr>
            <w:tcW w:w="1166" w:type="dxa"/>
            <w:gridSpan w:val="2"/>
          </w:tcPr>
          <w:p w:rsidR="0041615D" w:rsidRPr="00BA161C" w:rsidRDefault="0041615D" w:rsidP="00081213">
            <w:pPr>
              <w:keepNext/>
              <w:widowControl/>
              <w:jc w:val="center"/>
              <w:rPr>
                <w:rFonts w:ascii="Arial Narrow" w:hAnsi="Arial Narrow"/>
                <w:sz w:val="20"/>
              </w:rPr>
            </w:pPr>
            <w:r>
              <w:rPr>
                <w:rFonts w:ascii="Arial Narrow" w:hAnsi="Arial Narrow"/>
                <w:sz w:val="20"/>
              </w:rPr>
              <w:t>80%</w:t>
            </w:r>
          </w:p>
        </w:tc>
        <w:tc>
          <w:tcPr>
            <w:tcW w:w="1166" w:type="dxa"/>
            <w:gridSpan w:val="2"/>
          </w:tcPr>
          <w:p w:rsidR="0041615D" w:rsidRPr="00BA161C" w:rsidRDefault="0041615D" w:rsidP="00081213">
            <w:pPr>
              <w:keepNext/>
              <w:widowControl/>
              <w:jc w:val="center"/>
              <w:rPr>
                <w:rFonts w:ascii="Arial Narrow" w:hAnsi="Arial Narrow"/>
                <w:sz w:val="20"/>
              </w:rPr>
            </w:pPr>
            <w:r>
              <w:rPr>
                <w:rFonts w:ascii="Arial Narrow" w:hAnsi="Arial Narrow"/>
                <w:sz w:val="20"/>
              </w:rPr>
              <w:t>80%</w:t>
            </w:r>
          </w:p>
        </w:tc>
        <w:tc>
          <w:tcPr>
            <w:tcW w:w="1147" w:type="dxa"/>
          </w:tcPr>
          <w:p w:rsidR="0041615D" w:rsidRPr="00BA161C" w:rsidRDefault="0041615D" w:rsidP="00081213">
            <w:pPr>
              <w:keepNext/>
              <w:widowControl/>
              <w:jc w:val="center"/>
              <w:rPr>
                <w:rFonts w:ascii="Arial Narrow" w:hAnsi="Arial Narrow"/>
                <w:sz w:val="20"/>
              </w:rPr>
            </w:pPr>
            <w:r>
              <w:rPr>
                <w:rFonts w:ascii="Arial Narrow" w:hAnsi="Arial Narrow"/>
                <w:sz w:val="20"/>
              </w:rPr>
              <w:t>80%</w:t>
            </w:r>
          </w:p>
        </w:tc>
      </w:tr>
      <w:tr w:rsidR="0041615D" w:rsidRPr="00BA161C" w:rsidTr="00FF4103">
        <w:tc>
          <w:tcPr>
            <w:tcW w:w="2552" w:type="dxa"/>
          </w:tcPr>
          <w:p w:rsidR="0041615D" w:rsidRPr="00BA161C" w:rsidRDefault="0041615D" w:rsidP="00081213">
            <w:pPr>
              <w:keepNext/>
              <w:widowControl/>
              <w:rPr>
                <w:rFonts w:ascii="Arial Narrow" w:hAnsi="Arial Narrow"/>
                <w:sz w:val="20"/>
              </w:rPr>
            </w:pPr>
            <w:r>
              <w:rPr>
                <w:rFonts w:ascii="Arial Narrow" w:hAnsi="Arial Narrow"/>
                <w:sz w:val="20"/>
              </w:rPr>
              <w:t xml:space="preserve">Number </w:t>
            </w:r>
            <w:proofErr w:type="spellStart"/>
            <w:r>
              <w:rPr>
                <w:rFonts w:ascii="Arial Narrow" w:hAnsi="Arial Narrow"/>
                <w:sz w:val="20"/>
              </w:rPr>
              <w:t>pegfilgrastim</w:t>
            </w:r>
            <w:proofErr w:type="spellEnd"/>
            <w:r>
              <w:rPr>
                <w:rFonts w:ascii="Arial Narrow" w:hAnsi="Arial Narrow"/>
                <w:sz w:val="20"/>
              </w:rPr>
              <w:t xml:space="preserve"> scripts</w:t>
            </w:r>
          </w:p>
        </w:tc>
        <w:tc>
          <w:tcPr>
            <w:tcW w:w="1166" w:type="dxa"/>
            <w:gridSpan w:val="2"/>
          </w:tcPr>
          <w:p w:rsidR="0041615D"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66" w:type="dxa"/>
            <w:gridSpan w:val="2"/>
          </w:tcPr>
          <w:p w:rsidR="0041615D"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66" w:type="dxa"/>
            <w:gridSpan w:val="2"/>
          </w:tcPr>
          <w:p w:rsidR="0041615D"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66" w:type="dxa"/>
            <w:gridSpan w:val="2"/>
          </w:tcPr>
          <w:p w:rsidR="0041615D"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47" w:type="dxa"/>
          </w:tcPr>
          <w:p w:rsidR="0041615D"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41615D" w:rsidRPr="00BA161C" w:rsidTr="00FF4103">
        <w:tc>
          <w:tcPr>
            <w:tcW w:w="2552" w:type="dxa"/>
          </w:tcPr>
          <w:p w:rsidR="0041615D" w:rsidRPr="00BA161C" w:rsidRDefault="0041615D" w:rsidP="00081213">
            <w:pPr>
              <w:keepNext/>
              <w:widowControl/>
              <w:rPr>
                <w:rFonts w:ascii="Arial Narrow" w:hAnsi="Arial Narrow"/>
                <w:sz w:val="20"/>
              </w:rPr>
            </w:pPr>
            <w:r>
              <w:rPr>
                <w:rFonts w:ascii="Arial Narrow" w:hAnsi="Arial Narrow"/>
                <w:sz w:val="20"/>
              </w:rPr>
              <w:t xml:space="preserve">Uptake rate for </w:t>
            </w:r>
            <w:proofErr w:type="spellStart"/>
            <w:r>
              <w:rPr>
                <w:rFonts w:ascii="Arial Narrow" w:hAnsi="Arial Narrow"/>
                <w:sz w:val="20"/>
              </w:rPr>
              <w:t>lipegfilgrastim</w:t>
            </w:r>
            <w:proofErr w:type="spellEnd"/>
          </w:p>
        </w:tc>
        <w:tc>
          <w:tcPr>
            <w:tcW w:w="1166" w:type="dxa"/>
            <w:gridSpan w:val="2"/>
          </w:tcPr>
          <w:p w:rsidR="0041615D" w:rsidRPr="00BA161C" w:rsidRDefault="00F9168A" w:rsidP="00081213">
            <w:pPr>
              <w:keepNext/>
              <w:widowControl/>
              <w:jc w:val="center"/>
              <w:rPr>
                <w:rFonts w:ascii="Arial Narrow" w:hAnsi="Arial Narrow"/>
                <w:sz w:val="20"/>
              </w:rPr>
            </w:pPr>
            <w:r>
              <w:rPr>
                <w:rFonts w:ascii="Arial Narrow" w:hAnsi="Arial Narrow"/>
                <w:noProof/>
                <w:color w:val="000000"/>
                <w:sz w:val="20"/>
                <w:highlight w:val="black"/>
              </w:rPr>
              <w:t>''''''</w:t>
            </w:r>
            <w:r w:rsidR="0041615D">
              <w:rPr>
                <w:rFonts w:ascii="Arial Narrow" w:hAnsi="Arial Narrow"/>
                <w:sz w:val="20"/>
              </w:rPr>
              <w:t>%</w:t>
            </w:r>
          </w:p>
        </w:tc>
        <w:tc>
          <w:tcPr>
            <w:tcW w:w="1166" w:type="dxa"/>
            <w:gridSpan w:val="2"/>
          </w:tcPr>
          <w:p w:rsidR="0041615D" w:rsidRPr="00BA161C" w:rsidRDefault="00F9168A" w:rsidP="00081213">
            <w:pPr>
              <w:keepNext/>
              <w:widowControl/>
              <w:jc w:val="center"/>
              <w:rPr>
                <w:rFonts w:ascii="Arial Narrow" w:hAnsi="Arial Narrow"/>
                <w:sz w:val="20"/>
              </w:rPr>
            </w:pPr>
            <w:r>
              <w:rPr>
                <w:rFonts w:ascii="Arial Narrow" w:hAnsi="Arial Narrow"/>
                <w:noProof/>
                <w:color w:val="000000"/>
                <w:sz w:val="20"/>
                <w:highlight w:val="black"/>
              </w:rPr>
              <w:t>''''''</w:t>
            </w:r>
            <w:r w:rsidR="0041615D">
              <w:rPr>
                <w:rFonts w:ascii="Arial Narrow" w:hAnsi="Arial Narrow"/>
                <w:sz w:val="20"/>
              </w:rPr>
              <w:t>%</w:t>
            </w:r>
          </w:p>
        </w:tc>
        <w:tc>
          <w:tcPr>
            <w:tcW w:w="1166" w:type="dxa"/>
            <w:gridSpan w:val="2"/>
          </w:tcPr>
          <w:p w:rsidR="0041615D" w:rsidRPr="00BA161C" w:rsidRDefault="00F9168A" w:rsidP="00081213">
            <w:pPr>
              <w:keepNext/>
              <w:widowControl/>
              <w:jc w:val="center"/>
              <w:rPr>
                <w:rFonts w:ascii="Arial Narrow" w:hAnsi="Arial Narrow"/>
                <w:sz w:val="20"/>
              </w:rPr>
            </w:pPr>
            <w:r>
              <w:rPr>
                <w:rFonts w:ascii="Arial Narrow" w:hAnsi="Arial Narrow"/>
                <w:noProof/>
                <w:color w:val="000000"/>
                <w:sz w:val="20"/>
                <w:highlight w:val="black"/>
              </w:rPr>
              <w:t>''''''</w:t>
            </w:r>
            <w:r w:rsidR="0041615D">
              <w:rPr>
                <w:rFonts w:ascii="Arial Narrow" w:hAnsi="Arial Narrow"/>
                <w:sz w:val="20"/>
              </w:rPr>
              <w:t>%</w:t>
            </w:r>
          </w:p>
        </w:tc>
        <w:tc>
          <w:tcPr>
            <w:tcW w:w="1166" w:type="dxa"/>
            <w:gridSpan w:val="2"/>
          </w:tcPr>
          <w:p w:rsidR="0041615D" w:rsidRPr="00BA161C" w:rsidRDefault="00F9168A" w:rsidP="00081213">
            <w:pPr>
              <w:keepNext/>
              <w:widowControl/>
              <w:jc w:val="center"/>
              <w:rPr>
                <w:rFonts w:ascii="Arial Narrow" w:hAnsi="Arial Narrow"/>
                <w:sz w:val="20"/>
              </w:rPr>
            </w:pPr>
            <w:r>
              <w:rPr>
                <w:rFonts w:ascii="Arial Narrow" w:hAnsi="Arial Narrow"/>
                <w:noProof/>
                <w:color w:val="000000"/>
                <w:sz w:val="20"/>
                <w:highlight w:val="black"/>
              </w:rPr>
              <w:t>'''''</w:t>
            </w:r>
            <w:r w:rsidR="0041615D">
              <w:rPr>
                <w:rFonts w:ascii="Arial Narrow" w:hAnsi="Arial Narrow"/>
                <w:sz w:val="20"/>
              </w:rPr>
              <w:t>%</w:t>
            </w:r>
          </w:p>
        </w:tc>
        <w:tc>
          <w:tcPr>
            <w:tcW w:w="1147" w:type="dxa"/>
          </w:tcPr>
          <w:p w:rsidR="0041615D" w:rsidRPr="00BA161C" w:rsidRDefault="00F9168A" w:rsidP="00081213">
            <w:pPr>
              <w:keepNext/>
              <w:widowControl/>
              <w:jc w:val="center"/>
              <w:rPr>
                <w:rFonts w:ascii="Arial Narrow" w:hAnsi="Arial Narrow"/>
                <w:sz w:val="20"/>
              </w:rPr>
            </w:pPr>
            <w:r>
              <w:rPr>
                <w:rFonts w:ascii="Arial Narrow" w:hAnsi="Arial Narrow"/>
                <w:noProof/>
                <w:color w:val="000000"/>
                <w:sz w:val="20"/>
                <w:highlight w:val="black"/>
              </w:rPr>
              <w:t>''''''</w:t>
            </w:r>
            <w:r w:rsidR="0041615D">
              <w:rPr>
                <w:rFonts w:ascii="Arial Narrow" w:hAnsi="Arial Narrow"/>
                <w:sz w:val="20"/>
              </w:rPr>
              <w:t>%</w:t>
            </w:r>
          </w:p>
        </w:tc>
      </w:tr>
      <w:tr w:rsidR="0041615D" w:rsidRPr="006A057B" w:rsidTr="00FF4103">
        <w:tc>
          <w:tcPr>
            <w:tcW w:w="2552" w:type="dxa"/>
            <w:vAlign w:val="center"/>
          </w:tcPr>
          <w:p w:rsidR="0041615D" w:rsidRPr="00BA161C" w:rsidRDefault="0041615D" w:rsidP="00081213">
            <w:pPr>
              <w:keepNext/>
              <w:widowControl/>
              <w:jc w:val="left"/>
              <w:rPr>
                <w:rFonts w:ascii="Arial Narrow" w:hAnsi="Arial Narrow"/>
                <w:sz w:val="20"/>
              </w:rPr>
            </w:pPr>
            <w:r>
              <w:rPr>
                <w:rFonts w:ascii="Arial Narrow" w:hAnsi="Arial Narrow"/>
                <w:sz w:val="20"/>
              </w:rPr>
              <w:t xml:space="preserve">Number </w:t>
            </w:r>
            <w:proofErr w:type="spellStart"/>
            <w:r>
              <w:rPr>
                <w:rFonts w:ascii="Arial Narrow" w:hAnsi="Arial Narrow"/>
                <w:sz w:val="20"/>
              </w:rPr>
              <w:t>lipegfilgrastim</w:t>
            </w:r>
            <w:proofErr w:type="spellEnd"/>
            <w:r>
              <w:rPr>
                <w:rFonts w:ascii="Arial Narrow" w:hAnsi="Arial Narrow"/>
                <w:sz w:val="20"/>
              </w:rPr>
              <w:t xml:space="preserve"> scripts</w:t>
            </w:r>
          </w:p>
        </w:tc>
        <w:tc>
          <w:tcPr>
            <w:tcW w:w="1166" w:type="dxa"/>
            <w:gridSpan w:val="2"/>
            <w:vAlign w:val="center"/>
          </w:tcPr>
          <w:p w:rsidR="0041615D"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66" w:type="dxa"/>
            <w:gridSpan w:val="2"/>
            <w:vAlign w:val="center"/>
          </w:tcPr>
          <w:p w:rsidR="0041615D"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66" w:type="dxa"/>
            <w:gridSpan w:val="2"/>
            <w:vAlign w:val="center"/>
          </w:tcPr>
          <w:p w:rsidR="0041615D"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66" w:type="dxa"/>
            <w:gridSpan w:val="2"/>
            <w:vAlign w:val="center"/>
          </w:tcPr>
          <w:p w:rsidR="0041615D"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47" w:type="dxa"/>
            <w:vAlign w:val="center"/>
          </w:tcPr>
          <w:p w:rsidR="0041615D"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41615D" w:rsidRPr="00BA161C" w:rsidTr="00FF4103">
        <w:tc>
          <w:tcPr>
            <w:tcW w:w="2552" w:type="dxa"/>
          </w:tcPr>
          <w:p w:rsidR="0041615D" w:rsidRDefault="0041615D" w:rsidP="00081213">
            <w:pPr>
              <w:keepNext/>
              <w:widowControl/>
              <w:tabs>
                <w:tab w:val="left" w:pos="142"/>
              </w:tabs>
              <w:rPr>
                <w:rFonts w:ascii="Arial Narrow" w:hAnsi="Arial Narrow"/>
                <w:sz w:val="20"/>
              </w:rPr>
            </w:pPr>
            <w:r>
              <w:rPr>
                <w:rFonts w:ascii="Arial Narrow" w:hAnsi="Arial Narrow"/>
                <w:sz w:val="20"/>
              </w:rPr>
              <w:tab/>
              <w:t xml:space="preserve">Private (43%)/ </w:t>
            </w:r>
          </w:p>
          <w:p w:rsidR="0041615D" w:rsidRPr="006A057B" w:rsidRDefault="0041615D" w:rsidP="00081213">
            <w:pPr>
              <w:keepNext/>
              <w:widowControl/>
              <w:tabs>
                <w:tab w:val="left" w:pos="142"/>
              </w:tabs>
              <w:rPr>
                <w:rFonts w:ascii="Arial Narrow" w:hAnsi="Arial Narrow"/>
                <w:sz w:val="20"/>
                <w:vertAlign w:val="superscript"/>
              </w:rPr>
            </w:pPr>
            <w:r>
              <w:rPr>
                <w:rFonts w:ascii="Arial Narrow" w:hAnsi="Arial Narrow"/>
                <w:sz w:val="20"/>
              </w:rPr>
              <w:tab/>
              <w:t>Public (57%)</w:t>
            </w:r>
            <w:r>
              <w:rPr>
                <w:rFonts w:ascii="Arial Narrow" w:hAnsi="Arial Narrow"/>
                <w:sz w:val="20"/>
                <w:vertAlign w:val="superscript"/>
              </w:rPr>
              <w:t>a</w:t>
            </w:r>
          </w:p>
        </w:tc>
        <w:tc>
          <w:tcPr>
            <w:tcW w:w="1166" w:type="dxa"/>
            <w:gridSpan w:val="2"/>
          </w:tcPr>
          <w:p w:rsidR="0041615D"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 xml:space="preserve">'''''''''''''  </w:t>
            </w:r>
          </w:p>
          <w:p w:rsidR="0041615D"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66" w:type="dxa"/>
            <w:gridSpan w:val="2"/>
          </w:tcPr>
          <w:p w:rsidR="0041615D"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 xml:space="preserve">''''''''''''''''' </w:t>
            </w:r>
          </w:p>
          <w:p w:rsidR="0041615D"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66" w:type="dxa"/>
            <w:gridSpan w:val="2"/>
          </w:tcPr>
          <w:p w:rsidR="0041615D"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 xml:space="preserve">''''''''''''''''' </w:t>
            </w:r>
          </w:p>
          <w:p w:rsidR="0041615D" w:rsidRPr="00F9168A" w:rsidRDefault="0041615D" w:rsidP="00081213">
            <w:pPr>
              <w:keepNext/>
              <w:widowControl/>
              <w:jc w:val="center"/>
              <w:rPr>
                <w:rFonts w:ascii="Arial Narrow" w:hAnsi="Arial Narrow"/>
                <w:sz w:val="20"/>
                <w:highlight w:val="black"/>
              </w:rPr>
            </w:pPr>
            <w:r>
              <w:rPr>
                <w:rFonts w:ascii="Arial Narrow" w:hAnsi="Arial Narrow"/>
                <w:sz w:val="20"/>
              </w:rPr>
              <w:t xml:space="preserve"> </w:t>
            </w:r>
            <w:r w:rsidR="00F9168A">
              <w:rPr>
                <w:rFonts w:ascii="Arial Narrow" w:hAnsi="Arial Narrow"/>
                <w:noProof/>
                <w:color w:val="000000"/>
                <w:sz w:val="20"/>
                <w:highlight w:val="black"/>
              </w:rPr>
              <w:t>''''''''''''''''</w:t>
            </w:r>
          </w:p>
        </w:tc>
        <w:tc>
          <w:tcPr>
            <w:tcW w:w="1166" w:type="dxa"/>
            <w:gridSpan w:val="2"/>
          </w:tcPr>
          <w:p w:rsidR="0041615D"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 xml:space="preserve">'''''''''''''''''' </w:t>
            </w:r>
          </w:p>
          <w:p w:rsidR="0041615D" w:rsidRPr="00F9168A" w:rsidRDefault="0041615D" w:rsidP="00081213">
            <w:pPr>
              <w:keepNext/>
              <w:widowControl/>
              <w:jc w:val="center"/>
              <w:rPr>
                <w:rFonts w:ascii="Arial Narrow" w:hAnsi="Arial Narrow"/>
                <w:sz w:val="20"/>
                <w:highlight w:val="black"/>
              </w:rPr>
            </w:pPr>
            <w:r>
              <w:rPr>
                <w:rFonts w:ascii="Arial Narrow" w:hAnsi="Arial Narrow"/>
                <w:sz w:val="20"/>
              </w:rPr>
              <w:t xml:space="preserve"> </w:t>
            </w:r>
            <w:r w:rsidR="00F9168A">
              <w:rPr>
                <w:rFonts w:ascii="Arial Narrow" w:hAnsi="Arial Narrow"/>
                <w:noProof/>
                <w:color w:val="000000"/>
                <w:sz w:val="20"/>
                <w:highlight w:val="black"/>
              </w:rPr>
              <w:t>'''''''''''''''''</w:t>
            </w:r>
          </w:p>
        </w:tc>
        <w:tc>
          <w:tcPr>
            <w:tcW w:w="1147" w:type="dxa"/>
          </w:tcPr>
          <w:p w:rsidR="0041615D"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 xml:space="preserve">''''''''''''''''' </w:t>
            </w:r>
          </w:p>
          <w:p w:rsidR="0041615D" w:rsidRPr="00F9168A" w:rsidRDefault="0041615D" w:rsidP="00081213">
            <w:pPr>
              <w:keepNext/>
              <w:widowControl/>
              <w:jc w:val="center"/>
              <w:rPr>
                <w:rFonts w:ascii="Arial Narrow" w:hAnsi="Arial Narrow"/>
                <w:sz w:val="20"/>
                <w:highlight w:val="black"/>
              </w:rPr>
            </w:pPr>
            <w:r>
              <w:rPr>
                <w:rFonts w:ascii="Arial Narrow" w:hAnsi="Arial Narrow"/>
                <w:sz w:val="20"/>
              </w:rPr>
              <w:t xml:space="preserve"> </w:t>
            </w:r>
            <w:r w:rsidR="00F9168A">
              <w:rPr>
                <w:rFonts w:ascii="Arial Narrow" w:hAnsi="Arial Narrow"/>
                <w:noProof/>
                <w:color w:val="000000"/>
                <w:sz w:val="20"/>
                <w:highlight w:val="black"/>
              </w:rPr>
              <w:t>''''''''''''''''</w:t>
            </w:r>
          </w:p>
        </w:tc>
      </w:tr>
      <w:tr w:rsidR="0041615D" w:rsidRPr="00FB067A" w:rsidTr="00FF4103">
        <w:tc>
          <w:tcPr>
            <w:tcW w:w="2552" w:type="dxa"/>
          </w:tcPr>
          <w:p w:rsidR="0041615D" w:rsidRPr="006A057B" w:rsidRDefault="0041615D" w:rsidP="00081213">
            <w:pPr>
              <w:keepNext/>
              <w:widowControl/>
              <w:tabs>
                <w:tab w:val="left" w:pos="285"/>
              </w:tabs>
              <w:rPr>
                <w:rFonts w:ascii="Arial Narrow" w:hAnsi="Arial Narrow"/>
                <w:sz w:val="20"/>
                <w:vertAlign w:val="superscript"/>
              </w:rPr>
            </w:pPr>
            <w:r>
              <w:rPr>
                <w:rFonts w:ascii="Arial Narrow" w:hAnsi="Arial Narrow"/>
                <w:sz w:val="20"/>
              </w:rPr>
              <w:t xml:space="preserve">Cost of </w:t>
            </w:r>
            <w:proofErr w:type="spellStart"/>
            <w:r>
              <w:rPr>
                <w:rFonts w:ascii="Arial Narrow" w:hAnsi="Arial Narrow"/>
                <w:sz w:val="20"/>
              </w:rPr>
              <w:t>lipegfilgrastim</w:t>
            </w:r>
            <w:r>
              <w:rPr>
                <w:rFonts w:ascii="Arial Narrow" w:hAnsi="Arial Narrow"/>
                <w:sz w:val="20"/>
                <w:vertAlign w:val="superscript"/>
              </w:rPr>
              <w:t>b</w:t>
            </w:r>
            <w:proofErr w:type="spellEnd"/>
          </w:p>
        </w:tc>
        <w:tc>
          <w:tcPr>
            <w:tcW w:w="1166" w:type="dxa"/>
            <w:gridSpan w:val="2"/>
          </w:tcPr>
          <w:p w:rsidR="0041615D" w:rsidRPr="00FB067A" w:rsidRDefault="0041615D" w:rsidP="00081213">
            <w:pPr>
              <w:keepNext/>
              <w:widowControl/>
              <w:jc w:val="center"/>
              <w:rPr>
                <w:rFonts w:ascii="Arial Narrow" w:hAnsi="Arial Narrow"/>
                <w:sz w:val="20"/>
              </w:rPr>
            </w:pPr>
            <w:r w:rsidRPr="00FB067A">
              <w:rPr>
                <w:rFonts w:ascii="Arial Narrow" w:hAnsi="Arial Narrow"/>
                <w:sz w:val="20"/>
              </w:rPr>
              <w:t>$</w:t>
            </w:r>
            <w:r w:rsidR="00F9168A">
              <w:rPr>
                <w:rFonts w:ascii="Arial Narrow" w:hAnsi="Arial Narrow"/>
                <w:noProof/>
                <w:color w:val="000000"/>
                <w:sz w:val="20"/>
                <w:highlight w:val="black"/>
              </w:rPr>
              <w:t>''''''''''''''''''''''''</w:t>
            </w:r>
          </w:p>
        </w:tc>
        <w:tc>
          <w:tcPr>
            <w:tcW w:w="1166" w:type="dxa"/>
            <w:gridSpan w:val="2"/>
          </w:tcPr>
          <w:p w:rsidR="0041615D" w:rsidRPr="00FB067A" w:rsidRDefault="0041615D" w:rsidP="00081213">
            <w:pPr>
              <w:keepNext/>
              <w:widowControl/>
              <w:jc w:val="center"/>
              <w:rPr>
                <w:rFonts w:ascii="Arial Narrow" w:hAnsi="Arial Narrow"/>
                <w:sz w:val="20"/>
              </w:rPr>
            </w:pPr>
            <w:r w:rsidRPr="00FB067A">
              <w:rPr>
                <w:rFonts w:ascii="Arial Narrow" w:hAnsi="Arial Narrow"/>
                <w:sz w:val="20"/>
              </w:rPr>
              <w:t>$</w:t>
            </w:r>
            <w:r w:rsidR="00F9168A">
              <w:rPr>
                <w:rFonts w:ascii="Arial Narrow" w:hAnsi="Arial Narrow"/>
                <w:noProof/>
                <w:color w:val="000000"/>
                <w:sz w:val="20"/>
                <w:highlight w:val="black"/>
              </w:rPr>
              <w:t>''''''''''''''''''''''''''</w:t>
            </w:r>
          </w:p>
        </w:tc>
        <w:tc>
          <w:tcPr>
            <w:tcW w:w="1166" w:type="dxa"/>
            <w:gridSpan w:val="2"/>
          </w:tcPr>
          <w:p w:rsidR="0041615D" w:rsidRPr="00FB067A" w:rsidRDefault="0041615D" w:rsidP="00081213">
            <w:pPr>
              <w:keepNext/>
              <w:widowControl/>
              <w:jc w:val="center"/>
              <w:rPr>
                <w:rFonts w:ascii="Arial Narrow" w:hAnsi="Arial Narrow"/>
                <w:sz w:val="20"/>
              </w:rPr>
            </w:pPr>
            <w:r w:rsidRPr="00FB067A">
              <w:rPr>
                <w:rFonts w:ascii="Arial Narrow" w:hAnsi="Arial Narrow"/>
                <w:sz w:val="20"/>
              </w:rPr>
              <w:t>$</w:t>
            </w:r>
            <w:r w:rsidR="00F9168A">
              <w:rPr>
                <w:rFonts w:ascii="Arial Narrow" w:hAnsi="Arial Narrow"/>
                <w:noProof/>
                <w:color w:val="000000"/>
                <w:sz w:val="20"/>
                <w:highlight w:val="black"/>
              </w:rPr>
              <w:t>'''''''''''''''''''''''''''''</w:t>
            </w:r>
          </w:p>
        </w:tc>
        <w:tc>
          <w:tcPr>
            <w:tcW w:w="1166" w:type="dxa"/>
            <w:gridSpan w:val="2"/>
          </w:tcPr>
          <w:p w:rsidR="0041615D" w:rsidRPr="00FB067A" w:rsidRDefault="0041615D" w:rsidP="00081213">
            <w:pPr>
              <w:keepNext/>
              <w:widowControl/>
              <w:jc w:val="center"/>
              <w:rPr>
                <w:rFonts w:ascii="Arial Narrow" w:hAnsi="Arial Narrow"/>
                <w:sz w:val="20"/>
              </w:rPr>
            </w:pPr>
            <w:r w:rsidRPr="00FB067A">
              <w:rPr>
                <w:rFonts w:ascii="Arial Narrow" w:hAnsi="Arial Narrow"/>
                <w:sz w:val="20"/>
              </w:rPr>
              <w:t>$</w:t>
            </w:r>
            <w:r w:rsidR="00F9168A">
              <w:rPr>
                <w:rFonts w:ascii="Arial Narrow" w:hAnsi="Arial Narrow"/>
                <w:noProof/>
                <w:color w:val="000000"/>
                <w:sz w:val="20"/>
                <w:highlight w:val="black"/>
              </w:rPr>
              <w:t>''''''''''''''''''''''''''</w:t>
            </w:r>
          </w:p>
        </w:tc>
        <w:tc>
          <w:tcPr>
            <w:tcW w:w="1147" w:type="dxa"/>
          </w:tcPr>
          <w:p w:rsidR="0041615D" w:rsidRPr="00FB067A" w:rsidRDefault="0041615D" w:rsidP="00081213">
            <w:pPr>
              <w:keepNext/>
              <w:widowControl/>
              <w:jc w:val="center"/>
              <w:rPr>
                <w:rFonts w:ascii="Arial Narrow" w:hAnsi="Arial Narrow"/>
                <w:sz w:val="20"/>
              </w:rPr>
            </w:pPr>
            <w:r w:rsidRPr="00FB067A">
              <w:rPr>
                <w:rFonts w:ascii="Arial Narrow" w:hAnsi="Arial Narrow"/>
                <w:sz w:val="20"/>
              </w:rPr>
              <w:t>$</w:t>
            </w:r>
            <w:r w:rsidR="00F9168A">
              <w:rPr>
                <w:rFonts w:ascii="Arial Narrow" w:hAnsi="Arial Narrow"/>
                <w:noProof/>
                <w:color w:val="000000"/>
                <w:sz w:val="20"/>
                <w:highlight w:val="black"/>
              </w:rPr>
              <w:t>''''''''''''''''''''''''''''</w:t>
            </w:r>
          </w:p>
        </w:tc>
      </w:tr>
      <w:tr w:rsidR="0041615D" w:rsidRPr="002D37E0" w:rsidTr="00FF4103">
        <w:tc>
          <w:tcPr>
            <w:tcW w:w="2552" w:type="dxa"/>
          </w:tcPr>
          <w:p w:rsidR="0041615D" w:rsidRPr="002D37E0" w:rsidRDefault="0041615D" w:rsidP="00081213">
            <w:pPr>
              <w:keepNext/>
              <w:widowControl/>
              <w:tabs>
                <w:tab w:val="left" w:pos="285"/>
              </w:tabs>
              <w:rPr>
                <w:rFonts w:ascii="Arial Narrow" w:hAnsi="Arial Narrow"/>
                <w:b/>
                <w:sz w:val="20"/>
                <w:vertAlign w:val="superscript"/>
              </w:rPr>
            </w:pPr>
            <w:r w:rsidRPr="002D37E0">
              <w:rPr>
                <w:rFonts w:ascii="Arial Narrow" w:hAnsi="Arial Narrow"/>
                <w:b/>
                <w:sz w:val="20"/>
              </w:rPr>
              <w:t>Net cost to PBS/</w:t>
            </w:r>
            <w:proofErr w:type="spellStart"/>
            <w:r w:rsidRPr="002D37E0">
              <w:rPr>
                <w:rFonts w:ascii="Arial Narrow" w:hAnsi="Arial Narrow"/>
                <w:b/>
                <w:sz w:val="20"/>
              </w:rPr>
              <w:t>RPBS</w:t>
            </w:r>
            <w:r>
              <w:rPr>
                <w:rFonts w:ascii="Arial Narrow" w:hAnsi="Arial Narrow"/>
                <w:b/>
                <w:sz w:val="20"/>
                <w:vertAlign w:val="superscript"/>
              </w:rPr>
              <w:t>c</w:t>
            </w:r>
            <w:proofErr w:type="spellEnd"/>
          </w:p>
        </w:tc>
        <w:tc>
          <w:tcPr>
            <w:tcW w:w="1166" w:type="dxa"/>
            <w:gridSpan w:val="2"/>
          </w:tcPr>
          <w:p w:rsidR="0041615D" w:rsidRPr="002D37E0" w:rsidRDefault="0041615D" w:rsidP="00081213">
            <w:pPr>
              <w:keepNext/>
              <w:widowControl/>
              <w:jc w:val="center"/>
              <w:rPr>
                <w:rFonts w:ascii="Arial Narrow" w:hAnsi="Arial Narrow"/>
                <w:b/>
                <w:sz w:val="20"/>
              </w:rPr>
            </w:pPr>
            <w:r w:rsidRPr="002D37E0">
              <w:rPr>
                <w:rFonts w:ascii="Arial Narrow" w:hAnsi="Arial Narrow"/>
                <w:b/>
                <w:sz w:val="20"/>
              </w:rPr>
              <w:t>$</w:t>
            </w:r>
            <w:r w:rsidR="00F9168A">
              <w:rPr>
                <w:rFonts w:ascii="Arial Narrow" w:hAnsi="Arial Narrow"/>
                <w:b/>
                <w:noProof/>
                <w:color w:val="000000"/>
                <w:sz w:val="20"/>
                <w:highlight w:val="black"/>
              </w:rPr>
              <w:t>'''''''''''''''''''''''</w:t>
            </w:r>
          </w:p>
        </w:tc>
        <w:tc>
          <w:tcPr>
            <w:tcW w:w="1166" w:type="dxa"/>
            <w:gridSpan w:val="2"/>
          </w:tcPr>
          <w:p w:rsidR="0041615D" w:rsidRPr="002D37E0" w:rsidRDefault="0041615D" w:rsidP="00081213">
            <w:pPr>
              <w:keepNext/>
              <w:widowControl/>
              <w:jc w:val="center"/>
              <w:rPr>
                <w:rFonts w:ascii="Arial Narrow" w:hAnsi="Arial Narrow"/>
                <w:b/>
                <w:sz w:val="20"/>
              </w:rPr>
            </w:pPr>
            <w:r w:rsidRPr="002D37E0">
              <w:rPr>
                <w:rFonts w:ascii="Arial Narrow" w:hAnsi="Arial Narrow"/>
                <w:b/>
                <w:sz w:val="20"/>
              </w:rPr>
              <w:t>$</w:t>
            </w:r>
            <w:r w:rsidR="00F9168A">
              <w:rPr>
                <w:rFonts w:ascii="Arial Narrow" w:hAnsi="Arial Narrow"/>
                <w:b/>
                <w:noProof/>
                <w:color w:val="000000"/>
                <w:sz w:val="20"/>
                <w:highlight w:val="black"/>
              </w:rPr>
              <w:t>'''''''''''''''''''''''</w:t>
            </w:r>
          </w:p>
        </w:tc>
        <w:tc>
          <w:tcPr>
            <w:tcW w:w="1166" w:type="dxa"/>
            <w:gridSpan w:val="2"/>
          </w:tcPr>
          <w:p w:rsidR="0041615D" w:rsidRPr="002D37E0" w:rsidRDefault="0041615D" w:rsidP="00081213">
            <w:pPr>
              <w:keepNext/>
              <w:widowControl/>
              <w:jc w:val="center"/>
              <w:rPr>
                <w:rFonts w:ascii="Arial Narrow" w:hAnsi="Arial Narrow"/>
                <w:b/>
                <w:sz w:val="20"/>
              </w:rPr>
            </w:pPr>
            <w:r w:rsidRPr="002D37E0">
              <w:rPr>
                <w:rFonts w:ascii="Arial Narrow" w:hAnsi="Arial Narrow"/>
                <w:b/>
                <w:sz w:val="20"/>
              </w:rPr>
              <w:t>$</w:t>
            </w:r>
            <w:r w:rsidR="00F9168A">
              <w:rPr>
                <w:rFonts w:ascii="Arial Narrow" w:hAnsi="Arial Narrow"/>
                <w:b/>
                <w:noProof/>
                <w:color w:val="000000"/>
                <w:sz w:val="20"/>
                <w:highlight w:val="black"/>
              </w:rPr>
              <w:t>'''''''''''''''''''''</w:t>
            </w:r>
          </w:p>
        </w:tc>
        <w:tc>
          <w:tcPr>
            <w:tcW w:w="1166" w:type="dxa"/>
            <w:gridSpan w:val="2"/>
          </w:tcPr>
          <w:p w:rsidR="0041615D" w:rsidRPr="002D37E0" w:rsidRDefault="0041615D" w:rsidP="00081213">
            <w:pPr>
              <w:keepNext/>
              <w:widowControl/>
              <w:jc w:val="center"/>
              <w:rPr>
                <w:rFonts w:ascii="Arial Narrow" w:hAnsi="Arial Narrow"/>
                <w:b/>
                <w:sz w:val="20"/>
              </w:rPr>
            </w:pPr>
            <w:r w:rsidRPr="002D37E0">
              <w:rPr>
                <w:rFonts w:ascii="Arial Narrow" w:hAnsi="Arial Narrow"/>
                <w:b/>
                <w:sz w:val="20"/>
              </w:rPr>
              <w:t>$</w:t>
            </w:r>
            <w:r w:rsidR="00F9168A">
              <w:rPr>
                <w:rFonts w:ascii="Arial Narrow" w:hAnsi="Arial Narrow"/>
                <w:b/>
                <w:noProof/>
                <w:color w:val="000000"/>
                <w:sz w:val="20"/>
                <w:highlight w:val="black"/>
              </w:rPr>
              <w:t>'''''''''''''''''''''''</w:t>
            </w:r>
          </w:p>
        </w:tc>
        <w:tc>
          <w:tcPr>
            <w:tcW w:w="1147" w:type="dxa"/>
          </w:tcPr>
          <w:p w:rsidR="0041615D" w:rsidRPr="002D37E0" w:rsidRDefault="0041615D" w:rsidP="00081213">
            <w:pPr>
              <w:keepNext/>
              <w:widowControl/>
              <w:jc w:val="center"/>
              <w:rPr>
                <w:rFonts w:ascii="Arial Narrow" w:hAnsi="Arial Narrow"/>
                <w:b/>
                <w:sz w:val="20"/>
              </w:rPr>
            </w:pPr>
            <w:r w:rsidRPr="002D37E0">
              <w:rPr>
                <w:rFonts w:ascii="Arial Narrow" w:hAnsi="Arial Narrow"/>
                <w:b/>
                <w:sz w:val="20"/>
              </w:rPr>
              <w:t>$</w:t>
            </w:r>
            <w:r w:rsidR="00F9168A">
              <w:rPr>
                <w:rFonts w:ascii="Arial Narrow" w:hAnsi="Arial Narrow"/>
                <w:b/>
                <w:noProof/>
                <w:color w:val="000000"/>
                <w:sz w:val="20"/>
                <w:highlight w:val="black"/>
              </w:rPr>
              <w:t>'''''''''''''''''''</w:t>
            </w:r>
          </w:p>
        </w:tc>
      </w:tr>
      <w:tr w:rsidR="00D379AB" w:rsidRPr="006450E6" w:rsidTr="00FF4103">
        <w:tc>
          <w:tcPr>
            <w:tcW w:w="8363" w:type="dxa"/>
            <w:gridSpan w:val="10"/>
          </w:tcPr>
          <w:p w:rsidR="00D379AB" w:rsidRPr="00D379AB" w:rsidRDefault="00D379AB" w:rsidP="00081213">
            <w:pPr>
              <w:keepNext/>
              <w:widowControl/>
              <w:jc w:val="left"/>
              <w:rPr>
                <w:rFonts w:ascii="Arial Narrow" w:hAnsi="Arial Narrow"/>
                <w:b/>
                <w:sz w:val="20"/>
              </w:rPr>
            </w:pPr>
            <w:r>
              <w:rPr>
                <w:rFonts w:ascii="Arial Narrow" w:hAnsi="Arial Narrow"/>
                <w:b/>
                <w:sz w:val="20"/>
              </w:rPr>
              <w:t xml:space="preserve">Cost </w:t>
            </w:r>
            <w:r w:rsidRPr="002E48D8">
              <w:rPr>
                <w:rFonts w:ascii="Arial Narrow" w:hAnsi="Arial Narrow"/>
                <w:b/>
                <w:sz w:val="20"/>
                <w:u w:val="single"/>
              </w:rPr>
              <w:t>savings</w:t>
            </w:r>
            <w:r>
              <w:rPr>
                <w:rFonts w:ascii="Arial Narrow" w:hAnsi="Arial Narrow"/>
                <w:b/>
                <w:sz w:val="20"/>
              </w:rPr>
              <w:t xml:space="preserve"> assumed from the reduced-price flow-on to </w:t>
            </w:r>
            <w:proofErr w:type="spellStart"/>
            <w:r>
              <w:rPr>
                <w:rFonts w:ascii="Arial Narrow" w:hAnsi="Arial Narrow"/>
                <w:b/>
                <w:sz w:val="20"/>
              </w:rPr>
              <w:t>pegfilgrastim</w:t>
            </w:r>
            <w:proofErr w:type="spellEnd"/>
          </w:p>
        </w:tc>
      </w:tr>
      <w:tr w:rsidR="00D379AB" w:rsidRPr="006A057B" w:rsidTr="00FF4103">
        <w:tc>
          <w:tcPr>
            <w:tcW w:w="2552" w:type="dxa"/>
          </w:tcPr>
          <w:p w:rsidR="00D379AB" w:rsidRPr="00BA161C" w:rsidRDefault="00D379AB" w:rsidP="00081213">
            <w:pPr>
              <w:keepNext/>
              <w:widowControl/>
              <w:jc w:val="left"/>
              <w:rPr>
                <w:rFonts w:ascii="Arial Narrow" w:hAnsi="Arial Narrow"/>
                <w:sz w:val="20"/>
              </w:rPr>
            </w:pPr>
            <w:r>
              <w:rPr>
                <w:rFonts w:ascii="Arial Narrow" w:hAnsi="Arial Narrow"/>
                <w:sz w:val="20"/>
              </w:rPr>
              <w:t xml:space="preserve">Total number </w:t>
            </w:r>
            <w:proofErr w:type="spellStart"/>
            <w:r>
              <w:rPr>
                <w:rFonts w:ascii="Arial Narrow" w:hAnsi="Arial Narrow"/>
                <w:sz w:val="20"/>
              </w:rPr>
              <w:t>pegfilgrastim</w:t>
            </w:r>
            <w:proofErr w:type="spellEnd"/>
            <w:r>
              <w:rPr>
                <w:rFonts w:ascii="Arial Narrow" w:hAnsi="Arial Narrow"/>
                <w:sz w:val="20"/>
              </w:rPr>
              <w:t xml:space="preserve"> scripts</w:t>
            </w:r>
          </w:p>
        </w:tc>
        <w:tc>
          <w:tcPr>
            <w:tcW w:w="1158" w:type="dxa"/>
            <w:vAlign w:val="center"/>
          </w:tcPr>
          <w:p w:rsidR="00D379AB"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59" w:type="dxa"/>
            <w:gridSpan w:val="2"/>
            <w:vAlign w:val="center"/>
          </w:tcPr>
          <w:p w:rsidR="00D379AB"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58" w:type="dxa"/>
            <w:gridSpan w:val="2"/>
            <w:vAlign w:val="center"/>
          </w:tcPr>
          <w:p w:rsidR="00D379AB"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59" w:type="dxa"/>
            <w:gridSpan w:val="2"/>
            <w:vAlign w:val="center"/>
          </w:tcPr>
          <w:p w:rsidR="00D379AB"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77" w:type="dxa"/>
            <w:gridSpan w:val="2"/>
            <w:vAlign w:val="center"/>
          </w:tcPr>
          <w:p w:rsidR="00D379AB"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D379AB" w:rsidRPr="00324A46" w:rsidTr="00FF4103">
        <w:tc>
          <w:tcPr>
            <w:tcW w:w="2552" w:type="dxa"/>
          </w:tcPr>
          <w:p w:rsidR="00D379AB" w:rsidRDefault="00D379AB" w:rsidP="00081213">
            <w:pPr>
              <w:keepNext/>
              <w:widowControl/>
              <w:tabs>
                <w:tab w:val="left" w:pos="270"/>
              </w:tabs>
              <w:jc w:val="left"/>
              <w:rPr>
                <w:rFonts w:ascii="Arial Narrow" w:hAnsi="Arial Narrow"/>
                <w:sz w:val="20"/>
              </w:rPr>
            </w:pPr>
            <w:r>
              <w:rPr>
                <w:rFonts w:ascii="Arial Narrow" w:hAnsi="Arial Narrow"/>
                <w:sz w:val="20"/>
              </w:rPr>
              <w:tab/>
              <w:t xml:space="preserve">Private (43%) </w:t>
            </w:r>
          </w:p>
          <w:p w:rsidR="00D379AB" w:rsidRDefault="00D379AB" w:rsidP="00081213">
            <w:pPr>
              <w:keepNext/>
              <w:widowControl/>
              <w:tabs>
                <w:tab w:val="left" w:pos="270"/>
              </w:tabs>
              <w:jc w:val="left"/>
              <w:rPr>
                <w:rFonts w:ascii="Arial Narrow" w:hAnsi="Arial Narrow"/>
                <w:sz w:val="20"/>
              </w:rPr>
            </w:pPr>
            <w:r>
              <w:rPr>
                <w:rFonts w:ascii="Arial Narrow" w:hAnsi="Arial Narrow"/>
                <w:sz w:val="20"/>
              </w:rPr>
              <w:tab/>
              <w:t>Public (57%)</w:t>
            </w:r>
            <w:r>
              <w:rPr>
                <w:rFonts w:ascii="Arial Narrow" w:hAnsi="Arial Narrow"/>
                <w:sz w:val="20"/>
                <w:vertAlign w:val="superscript"/>
              </w:rPr>
              <w:t>a</w:t>
            </w:r>
          </w:p>
        </w:tc>
        <w:tc>
          <w:tcPr>
            <w:tcW w:w="1158" w:type="dxa"/>
          </w:tcPr>
          <w:p w:rsidR="00D379AB"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 xml:space="preserve">'''''''''''''''' </w:t>
            </w:r>
          </w:p>
          <w:p w:rsidR="00D379AB" w:rsidRPr="00F9168A" w:rsidRDefault="00D379AB" w:rsidP="00081213">
            <w:pPr>
              <w:keepNext/>
              <w:widowControl/>
              <w:jc w:val="center"/>
              <w:rPr>
                <w:rFonts w:ascii="Arial Narrow" w:hAnsi="Arial Narrow"/>
                <w:sz w:val="20"/>
                <w:highlight w:val="black"/>
              </w:rPr>
            </w:pPr>
            <w:r w:rsidRPr="00324A46">
              <w:rPr>
                <w:rFonts w:ascii="Arial Narrow" w:hAnsi="Arial Narrow"/>
                <w:sz w:val="20"/>
              </w:rPr>
              <w:t xml:space="preserve"> </w:t>
            </w:r>
            <w:r w:rsidR="00F9168A">
              <w:rPr>
                <w:rFonts w:ascii="Arial Narrow" w:hAnsi="Arial Narrow"/>
                <w:noProof/>
                <w:color w:val="000000"/>
                <w:sz w:val="20"/>
                <w:highlight w:val="black"/>
              </w:rPr>
              <w:t>'''''''''''''''</w:t>
            </w:r>
          </w:p>
        </w:tc>
        <w:tc>
          <w:tcPr>
            <w:tcW w:w="1159" w:type="dxa"/>
            <w:gridSpan w:val="2"/>
          </w:tcPr>
          <w:p w:rsidR="00D379AB"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 xml:space="preserve">''''''''''''''''' </w:t>
            </w:r>
          </w:p>
          <w:p w:rsidR="00D379AB" w:rsidRPr="00F9168A" w:rsidRDefault="00D379AB" w:rsidP="00081213">
            <w:pPr>
              <w:keepNext/>
              <w:widowControl/>
              <w:jc w:val="center"/>
              <w:rPr>
                <w:rFonts w:ascii="Arial Narrow" w:hAnsi="Arial Narrow"/>
                <w:sz w:val="20"/>
                <w:highlight w:val="black"/>
              </w:rPr>
            </w:pPr>
            <w:r w:rsidRPr="00324A46">
              <w:rPr>
                <w:rFonts w:ascii="Arial Narrow" w:hAnsi="Arial Narrow"/>
                <w:sz w:val="20"/>
              </w:rPr>
              <w:t xml:space="preserve"> </w:t>
            </w:r>
            <w:r w:rsidR="00F9168A">
              <w:rPr>
                <w:rFonts w:ascii="Arial Narrow" w:hAnsi="Arial Narrow"/>
                <w:noProof/>
                <w:color w:val="000000"/>
                <w:sz w:val="20"/>
                <w:highlight w:val="black"/>
              </w:rPr>
              <w:t>''''''''''''''''</w:t>
            </w:r>
          </w:p>
        </w:tc>
        <w:tc>
          <w:tcPr>
            <w:tcW w:w="1158" w:type="dxa"/>
            <w:gridSpan w:val="2"/>
          </w:tcPr>
          <w:p w:rsidR="00D379AB"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 xml:space="preserve">'''''''''''''''' </w:t>
            </w:r>
          </w:p>
          <w:p w:rsidR="00D379AB" w:rsidRPr="00F9168A" w:rsidRDefault="00D379AB" w:rsidP="00081213">
            <w:pPr>
              <w:keepNext/>
              <w:widowControl/>
              <w:jc w:val="center"/>
              <w:rPr>
                <w:rFonts w:ascii="Arial Narrow" w:hAnsi="Arial Narrow"/>
                <w:sz w:val="20"/>
                <w:highlight w:val="black"/>
              </w:rPr>
            </w:pPr>
            <w:r w:rsidRPr="00324A46">
              <w:rPr>
                <w:rFonts w:ascii="Arial Narrow" w:hAnsi="Arial Narrow"/>
                <w:sz w:val="20"/>
              </w:rPr>
              <w:t xml:space="preserve"> </w:t>
            </w:r>
            <w:r w:rsidR="00F9168A">
              <w:rPr>
                <w:rFonts w:ascii="Arial Narrow" w:hAnsi="Arial Narrow"/>
                <w:noProof/>
                <w:color w:val="000000"/>
                <w:sz w:val="20"/>
                <w:highlight w:val="black"/>
              </w:rPr>
              <w:t>'''''''''''''''''</w:t>
            </w:r>
          </w:p>
        </w:tc>
        <w:tc>
          <w:tcPr>
            <w:tcW w:w="1159" w:type="dxa"/>
            <w:gridSpan w:val="2"/>
          </w:tcPr>
          <w:p w:rsidR="00D379AB"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 xml:space="preserve">''''''''''''''' </w:t>
            </w:r>
          </w:p>
          <w:p w:rsidR="00D379AB"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 xml:space="preserve"> ''''''''''''''''</w:t>
            </w:r>
          </w:p>
        </w:tc>
        <w:tc>
          <w:tcPr>
            <w:tcW w:w="1177" w:type="dxa"/>
            <w:gridSpan w:val="2"/>
          </w:tcPr>
          <w:p w:rsidR="00D379AB" w:rsidRPr="00F9168A" w:rsidRDefault="00F9168A" w:rsidP="00081213">
            <w:pPr>
              <w:keepNext/>
              <w:widowControl/>
              <w:jc w:val="center"/>
              <w:rPr>
                <w:rFonts w:ascii="Arial Narrow" w:hAnsi="Arial Narrow"/>
                <w:sz w:val="20"/>
                <w:highlight w:val="black"/>
              </w:rPr>
            </w:pPr>
            <w:r>
              <w:rPr>
                <w:rFonts w:ascii="Arial Narrow" w:hAnsi="Arial Narrow"/>
                <w:noProof/>
                <w:color w:val="000000"/>
                <w:sz w:val="20"/>
                <w:highlight w:val="black"/>
              </w:rPr>
              <w:t xml:space="preserve">'''''''''''''''' </w:t>
            </w:r>
          </w:p>
          <w:p w:rsidR="00D379AB" w:rsidRPr="00F9168A" w:rsidRDefault="00D379AB" w:rsidP="00081213">
            <w:pPr>
              <w:keepNext/>
              <w:widowControl/>
              <w:jc w:val="center"/>
              <w:rPr>
                <w:rFonts w:ascii="Arial Narrow" w:hAnsi="Arial Narrow"/>
                <w:sz w:val="20"/>
                <w:highlight w:val="black"/>
              </w:rPr>
            </w:pPr>
            <w:r w:rsidRPr="00324A46">
              <w:rPr>
                <w:rFonts w:ascii="Arial Narrow" w:hAnsi="Arial Narrow"/>
                <w:sz w:val="20"/>
              </w:rPr>
              <w:t xml:space="preserve"> </w:t>
            </w:r>
            <w:r w:rsidR="00F9168A">
              <w:rPr>
                <w:rFonts w:ascii="Arial Narrow" w:hAnsi="Arial Narrow"/>
                <w:noProof/>
                <w:color w:val="000000"/>
                <w:sz w:val="20"/>
                <w:highlight w:val="black"/>
              </w:rPr>
              <w:t>'''''''''''''''''</w:t>
            </w:r>
          </w:p>
        </w:tc>
      </w:tr>
      <w:tr w:rsidR="00D379AB" w:rsidRPr="009C72A4" w:rsidTr="00FF4103">
        <w:tc>
          <w:tcPr>
            <w:tcW w:w="2552" w:type="dxa"/>
          </w:tcPr>
          <w:p w:rsidR="00D379AB" w:rsidRPr="0098427F" w:rsidRDefault="00D379AB" w:rsidP="00081213">
            <w:pPr>
              <w:keepNext/>
              <w:widowControl/>
              <w:jc w:val="left"/>
              <w:rPr>
                <w:rFonts w:ascii="Arial Narrow" w:hAnsi="Arial Narrow"/>
                <w:sz w:val="20"/>
                <w:vertAlign w:val="superscript"/>
              </w:rPr>
            </w:pPr>
            <w:r>
              <w:rPr>
                <w:rFonts w:ascii="Arial Narrow" w:hAnsi="Arial Narrow"/>
                <w:sz w:val="20"/>
              </w:rPr>
              <w:t xml:space="preserve">Cost </w:t>
            </w:r>
            <w:proofErr w:type="spellStart"/>
            <w:r>
              <w:rPr>
                <w:rFonts w:ascii="Arial Narrow" w:hAnsi="Arial Narrow"/>
                <w:sz w:val="20"/>
              </w:rPr>
              <w:t>pegfilgrastim</w:t>
            </w:r>
            <w:proofErr w:type="spellEnd"/>
            <w:r>
              <w:rPr>
                <w:rFonts w:ascii="Arial Narrow" w:hAnsi="Arial Narrow"/>
                <w:sz w:val="20"/>
                <w:vertAlign w:val="superscript"/>
              </w:rPr>
              <w:t xml:space="preserve"> </w:t>
            </w:r>
            <w:r w:rsidRPr="0098427F">
              <w:rPr>
                <w:rFonts w:ascii="Arial Narrow" w:hAnsi="Arial Narrow"/>
                <w:sz w:val="20"/>
              </w:rPr>
              <w:t>(i</w:t>
            </w:r>
            <w:r>
              <w:rPr>
                <w:rFonts w:ascii="Arial Narrow" w:hAnsi="Arial Narrow"/>
                <w:sz w:val="20"/>
              </w:rPr>
              <w:t xml:space="preserve">f </w:t>
            </w:r>
            <w:proofErr w:type="spellStart"/>
            <w:r>
              <w:rPr>
                <w:rFonts w:ascii="Arial Narrow" w:hAnsi="Arial Narrow"/>
                <w:sz w:val="20"/>
              </w:rPr>
              <w:t>L</w:t>
            </w:r>
            <w:r w:rsidRPr="0098427F">
              <w:rPr>
                <w:rFonts w:ascii="Arial Narrow" w:hAnsi="Arial Narrow"/>
                <w:sz w:val="20"/>
              </w:rPr>
              <w:t>ipeg</w:t>
            </w:r>
            <w:proofErr w:type="spellEnd"/>
            <w:r w:rsidRPr="0098427F">
              <w:rPr>
                <w:rFonts w:ascii="Arial Narrow" w:hAnsi="Arial Narrow"/>
                <w:sz w:val="20"/>
              </w:rPr>
              <w:t xml:space="preserve"> not listed</w:t>
            </w:r>
            <w:r>
              <w:rPr>
                <w:rFonts w:ascii="Arial Narrow" w:hAnsi="Arial Narrow"/>
                <w:sz w:val="20"/>
              </w:rPr>
              <w:t>)</w:t>
            </w:r>
            <w:r>
              <w:rPr>
                <w:rFonts w:ascii="Arial Narrow" w:hAnsi="Arial Narrow"/>
                <w:sz w:val="20"/>
                <w:vertAlign w:val="superscript"/>
              </w:rPr>
              <w:t>d</w:t>
            </w:r>
          </w:p>
        </w:tc>
        <w:tc>
          <w:tcPr>
            <w:tcW w:w="1158" w:type="dxa"/>
            <w:vAlign w:val="center"/>
          </w:tcPr>
          <w:p w:rsidR="00D379AB" w:rsidRPr="009C72A4" w:rsidRDefault="00D379AB" w:rsidP="00081213">
            <w:pPr>
              <w:keepNext/>
              <w:widowControl/>
              <w:jc w:val="center"/>
              <w:rPr>
                <w:rFonts w:ascii="Arial Narrow" w:hAnsi="Arial Narrow"/>
                <w:sz w:val="20"/>
              </w:rPr>
            </w:pPr>
            <w:r w:rsidRPr="009C72A4">
              <w:rPr>
                <w:rFonts w:ascii="Arial Narrow" w:hAnsi="Arial Narrow"/>
                <w:sz w:val="20"/>
              </w:rPr>
              <w:t>$</w:t>
            </w:r>
            <w:r w:rsidR="00F9168A">
              <w:rPr>
                <w:rFonts w:ascii="Arial Narrow" w:hAnsi="Arial Narrow"/>
                <w:noProof/>
                <w:color w:val="000000"/>
                <w:sz w:val="20"/>
                <w:highlight w:val="black"/>
              </w:rPr>
              <w:t>'''''''''''''''''''''''''''''</w:t>
            </w:r>
          </w:p>
        </w:tc>
        <w:tc>
          <w:tcPr>
            <w:tcW w:w="1159" w:type="dxa"/>
            <w:gridSpan w:val="2"/>
            <w:vAlign w:val="center"/>
          </w:tcPr>
          <w:p w:rsidR="00D379AB" w:rsidRPr="009C72A4" w:rsidRDefault="00D379AB" w:rsidP="00081213">
            <w:pPr>
              <w:keepNext/>
              <w:widowControl/>
              <w:jc w:val="center"/>
              <w:rPr>
                <w:rFonts w:ascii="Arial Narrow" w:hAnsi="Arial Narrow"/>
                <w:sz w:val="20"/>
              </w:rPr>
            </w:pPr>
            <w:r w:rsidRPr="009C72A4">
              <w:rPr>
                <w:rFonts w:ascii="Arial Narrow" w:hAnsi="Arial Narrow"/>
                <w:sz w:val="20"/>
              </w:rPr>
              <w:t>$</w:t>
            </w:r>
            <w:r w:rsidR="00F9168A">
              <w:rPr>
                <w:rFonts w:ascii="Arial Narrow" w:hAnsi="Arial Narrow"/>
                <w:noProof/>
                <w:color w:val="000000"/>
                <w:sz w:val="20"/>
                <w:highlight w:val="black"/>
              </w:rPr>
              <w:t>'''''''''''''''''''''''''''''''</w:t>
            </w:r>
          </w:p>
        </w:tc>
        <w:tc>
          <w:tcPr>
            <w:tcW w:w="1158" w:type="dxa"/>
            <w:gridSpan w:val="2"/>
            <w:vAlign w:val="center"/>
          </w:tcPr>
          <w:p w:rsidR="00D379AB" w:rsidRPr="009C72A4" w:rsidRDefault="00D379AB" w:rsidP="00081213">
            <w:pPr>
              <w:keepNext/>
              <w:widowControl/>
              <w:jc w:val="center"/>
              <w:rPr>
                <w:rFonts w:ascii="Arial Narrow" w:hAnsi="Arial Narrow"/>
                <w:sz w:val="20"/>
              </w:rPr>
            </w:pPr>
            <w:r w:rsidRPr="009C72A4">
              <w:rPr>
                <w:rFonts w:ascii="Arial Narrow" w:hAnsi="Arial Narrow"/>
                <w:sz w:val="20"/>
              </w:rPr>
              <w:t>$</w:t>
            </w:r>
            <w:r w:rsidR="00F9168A">
              <w:rPr>
                <w:rFonts w:ascii="Arial Narrow" w:hAnsi="Arial Narrow"/>
                <w:noProof/>
                <w:color w:val="000000"/>
                <w:sz w:val="20"/>
                <w:highlight w:val="black"/>
              </w:rPr>
              <w:t>''''''''''''''''''''''''''''</w:t>
            </w:r>
          </w:p>
        </w:tc>
        <w:tc>
          <w:tcPr>
            <w:tcW w:w="1159" w:type="dxa"/>
            <w:gridSpan w:val="2"/>
            <w:vAlign w:val="center"/>
          </w:tcPr>
          <w:p w:rsidR="00D379AB" w:rsidRPr="009C72A4" w:rsidRDefault="00D379AB" w:rsidP="00081213">
            <w:pPr>
              <w:keepNext/>
              <w:widowControl/>
              <w:jc w:val="center"/>
              <w:rPr>
                <w:rFonts w:ascii="Arial Narrow" w:hAnsi="Arial Narrow"/>
                <w:sz w:val="20"/>
              </w:rPr>
            </w:pPr>
            <w:r w:rsidRPr="009C72A4">
              <w:rPr>
                <w:rFonts w:ascii="Arial Narrow" w:hAnsi="Arial Narrow"/>
                <w:sz w:val="20"/>
              </w:rPr>
              <w:t>$</w:t>
            </w:r>
            <w:r w:rsidR="00F9168A">
              <w:rPr>
                <w:rFonts w:ascii="Arial Narrow" w:hAnsi="Arial Narrow"/>
                <w:noProof/>
                <w:color w:val="000000"/>
                <w:sz w:val="20"/>
                <w:highlight w:val="black"/>
              </w:rPr>
              <w:t>'''''''''''''''''''''''''''</w:t>
            </w:r>
          </w:p>
        </w:tc>
        <w:tc>
          <w:tcPr>
            <w:tcW w:w="1177" w:type="dxa"/>
            <w:gridSpan w:val="2"/>
            <w:vAlign w:val="center"/>
          </w:tcPr>
          <w:p w:rsidR="00D379AB" w:rsidRPr="009C72A4" w:rsidRDefault="00D379AB" w:rsidP="00081213">
            <w:pPr>
              <w:keepNext/>
              <w:widowControl/>
              <w:jc w:val="center"/>
              <w:rPr>
                <w:rFonts w:ascii="Arial Narrow" w:hAnsi="Arial Narrow"/>
                <w:sz w:val="20"/>
              </w:rPr>
            </w:pPr>
            <w:r w:rsidRPr="009C72A4">
              <w:rPr>
                <w:rFonts w:ascii="Arial Narrow" w:hAnsi="Arial Narrow"/>
                <w:sz w:val="20"/>
              </w:rPr>
              <w:t>$</w:t>
            </w:r>
            <w:r w:rsidR="00F9168A">
              <w:rPr>
                <w:rFonts w:ascii="Arial Narrow" w:hAnsi="Arial Narrow"/>
                <w:noProof/>
                <w:color w:val="000000"/>
                <w:sz w:val="20"/>
                <w:highlight w:val="black"/>
              </w:rPr>
              <w:t>''''''''''''''''''''''''''''</w:t>
            </w:r>
          </w:p>
        </w:tc>
      </w:tr>
      <w:tr w:rsidR="00D379AB" w:rsidRPr="007B3667" w:rsidTr="00FF4103">
        <w:tc>
          <w:tcPr>
            <w:tcW w:w="2552" w:type="dxa"/>
          </w:tcPr>
          <w:p w:rsidR="00D379AB" w:rsidRPr="009C72A4" w:rsidRDefault="00D379AB" w:rsidP="00081213">
            <w:pPr>
              <w:keepNext/>
              <w:widowControl/>
              <w:jc w:val="left"/>
              <w:rPr>
                <w:rFonts w:ascii="Arial Narrow" w:hAnsi="Arial Narrow"/>
                <w:sz w:val="20"/>
                <w:vertAlign w:val="superscript"/>
              </w:rPr>
            </w:pPr>
            <w:r>
              <w:rPr>
                <w:rFonts w:ascii="Arial Narrow" w:hAnsi="Arial Narrow"/>
                <w:sz w:val="20"/>
              </w:rPr>
              <w:t xml:space="preserve">Net cost </w:t>
            </w:r>
            <w:proofErr w:type="spellStart"/>
            <w:r>
              <w:rPr>
                <w:rFonts w:ascii="Arial Narrow" w:hAnsi="Arial Narrow"/>
                <w:sz w:val="20"/>
              </w:rPr>
              <w:t>pegfilgrastim</w:t>
            </w:r>
            <w:proofErr w:type="spellEnd"/>
            <w:r>
              <w:rPr>
                <w:rFonts w:ascii="Arial Narrow" w:hAnsi="Arial Narrow"/>
                <w:sz w:val="20"/>
              </w:rPr>
              <w:t xml:space="preserve"> (if </w:t>
            </w:r>
            <w:proofErr w:type="spellStart"/>
            <w:r>
              <w:rPr>
                <w:rFonts w:ascii="Arial Narrow" w:hAnsi="Arial Narrow"/>
                <w:sz w:val="20"/>
              </w:rPr>
              <w:t>Lipeg</w:t>
            </w:r>
            <w:proofErr w:type="spellEnd"/>
            <w:r>
              <w:rPr>
                <w:rFonts w:ascii="Arial Narrow" w:hAnsi="Arial Narrow"/>
                <w:sz w:val="20"/>
              </w:rPr>
              <w:t xml:space="preserve"> not listed)</w:t>
            </w:r>
            <w:r>
              <w:rPr>
                <w:rFonts w:ascii="Arial Narrow" w:hAnsi="Arial Narrow"/>
                <w:sz w:val="20"/>
                <w:vertAlign w:val="superscript"/>
              </w:rPr>
              <w:t>c</w:t>
            </w:r>
          </w:p>
        </w:tc>
        <w:tc>
          <w:tcPr>
            <w:tcW w:w="1158" w:type="dxa"/>
            <w:vAlign w:val="center"/>
          </w:tcPr>
          <w:p w:rsidR="00D379AB" w:rsidRPr="00056FD6" w:rsidRDefault="00D379AB" w:rsidP="00081213">
            <w:pPr>
              <w:keepNext/>
              <w:widowControl/>
              <w:jc w:val="center"/>
              <w:rPr>
                <w:rFonts w:ascii="Arial Narrow" w:hAnsi="Arial Narrow"/>
                <w:sz w:val="20"/>
              </w:rPr>
            </w:pPr>
            <w:r w:rsidRPr="00056FD6">
              <w:rPr>
                <w:rFonts w:ascii="Arial Narrow" w:hAnsi="Arial Narrow"/>
                <w:sz w:val="20"/>
              </w:rPr>
              <w:t>$</w:t>
            </w:r>
            <w:r w:rsidR="00F9168A">
              <w:rPr>
                <w:rFonts w:ascii="Arial Narrow" w:hAnsi="Arial Narrow"/>
                <w:noProof/>
                <w:color w:val="000000"/>
                <w:sz w:val="20"/>
                <w:highlight w:val="black"/>
              </w:rPr>
              <w:t>'''''''''''''''''''''''''''''</w:t>
            </w:r>
          </w:p>
        </w:tc>
        <w:tc>
          <w:tcPr>
            <w:tcW w:w="1159" w:type="dxa"/>
            <w:gridSpan w:val="2"/>
            <w:vAlign w:val="center"/>
          </w:tcPr>
          <w:p w:rsidR="00D379AB" w:rsidRPr="00056FD6" w:rsidRDefault="00D379AB" w:rsidP="00081213">
            <w:pPr>
              <w:keepNext/>
              <w:widowControl/>
              <w:jc w:val="center"/>
              <w:rPr>
                <w:rFonts w:ascii="Arial Narrow" w:hAnsi="Arial Narrow"/>
                <w:sz w:val="20"/>
              </w:rPr>
            </w:pPr>
            <w:r w:rsidRPr="00056FD6">
              <w:rPr>
                <w:rFonts w:ascii="Arial Narrow" w:hAnsi="Arial Narrow"/>
                <w:sz w:val="20"/>
              </w:rPr>
              <w:t>$</w:t>
            </w:r>
            <w:r w:rsidR="00F9168A">
              <w:rPr>
                <w:rFonts w:ascii="Arial Narrow" w:hAnsi="Arial Narrow"/>
                <w:noProof/>
                <w:color w:val="000000"/>
                <w:sz w:val="20"/>
                <w:highlight w:val="black"/>
              </w:rPr>
              <w:t>'''''''''''''''''''''''''''''''</w:t>
            </w:r>
          </w:p>
        </w:tc>
        <w:tc>
          <w:tcPr>
            <w:tcW w:w="1158" w:type="dxa"/>
            <w:gridSpan w:val="2"/>
            <w:vAlign w:val="center"/>
          </w:tcPr>
          <w:p w:rsidR="00D379AB" w:rsidRPr="00056FD6" w:rsidRDefault="00D379AB" w:rsidP="00081213">
            <w:pPr>
              <w:keepNext/>
              <w:widowControl/>
              <w:jc w:val="center"/>
              <w:rPr>
                <w:rFonts w:ascii="Arial Narrow" w:hAnsi="Arial Narrow"/>
                <w:sz w:val="20"/>
              </w:rPr>
            </w:pPr>
            <w:r w:rsidRPr="00056FD6">
              <w:rPr>
                <w:rFonts w:ascii="Arial Narrow" w:hAnsi="Arial Narrow"/>
                <w:sz w:val="20"/>
              </w:rPr>
              <w:t>$</w:t>
            </w:r>
            <w:r w:rsidR="00F9168A">
              <w:rPr>
                <w:rFonts w:ascii="Arial Narrow" w:hAnsi="Arial Narrow"/>
                <w:noProof/>
                <w:color w:val="000000"/>
                <w:sz w:val="20"/>
                <w:highlight w:val="black"/>
              </w:rPr>
              <w:t>'''''''''''''''''''''''''''''</w:t>
            </w:r>
          </w:p>
        </w:tc>
        <w:tc>
          <w:tcPr>
            <w:tcW w:w="1159" w:type="dxa"/>
            <w:gridSpan w:val="2"/>
            <w:vAlign w:val="center"/>
          </w:tcPr>
          <w:p w:rsidR="00D379AB" w:rsidRPr="00056FD6" w:rsidRDefault="00D379AB" w:rsidP="00081213">
            <w:pPr>
              <w:keepNext/>
              <w:widowControl/>
              <w:jc w:val="center"/>
              <w:rPr>
                <w:rFonts w:ascii="Arial Narrow" w:hAnsi="Arial Narrow"/>
                <w:sz w:val="20"/>
              </w:rPr>
            </w:pPr>
            <w:r w:rsidRPr="00056FD6">
              <w:rPr>
                <w:rFonts w:ascii="Arial Narrow" w:hAnsi="Arial Narrow"/>
                <w:sz w:val="20"/>
              </w:rPr>
              <w:t>$</w:t>
            </w:r>
            <w:r w:rsidR="00F9168A">
              <w:rPr>
                <w:rFonts w:ascii="Arial Narrow" w:hAnsi="Arial Narrow"/>
                <w:noProof/>
                <w:color w:val="000000"/>
                <w:sz w:val="20"/>
                <w:highlight w:val="black"/>
              </w:rPr>
              <w:t>'''''''''''''''''''''''''''''</w:t>
            </w:r>
          </w:p>
        </w:tc>
        <w:tc>
          <w:tcPr>
            <w:tcW w:w="1177" w:type="dxa"/>
            <w:gridSpan w:val="2"/>
            <w:vAlign w:val="center"/>
          </w:tcPr>
          <w:p w:rsidR="00D379AB" w:rsidRPr="00056FD6" w:rsidRDefault="00D379AB" w:rsidP="00081213">
            <w:pPr>
              <w:keepNext/>
              <w:widowControl/>
              <w:jc w:val="center"/>
              <w:rPr>
                <w:rFonts w:ascii="Arial Narrow" w:hAnsi="Arial Narrow"/>
                <w:sz w:val="20"/>
              </w:rPr>
            </w:pPr>
            <w:r w:rsidRPr="00056FD6">
              <w:rPr>
                <w:rFonts w:ascii="Arial Narrow" w:hAnsi="Arial Narrow"/>
                <w:sz w:val="20"/>
              </w:rPr>
              <w:t>$</w:t>
            </w:r>
            <w:r w:rsidR="00F9168A">
              <w:rPr>
                <w:rFonts w:ascii="Arial Narrow" w:hAnsi="Arial Narrow"/>
                <w:noProof/>
                <w:color w:val="000000"/>
                <w:sz w:val="20"/>
                <w:highlight w:val="black"/>
              </w:rPr>
              <w:t>'''''''''''''''''''''''''''''''</w:t>
            </w:r>
          </w:p>
        </w:tc>
      </w:tr>
      <w:tr w:rsidR="00D379AB" w:rsidRPr="007B3667" w:rsidTr="00FF4103">
        <w:tc>
          <w:tcPr>
            <w:tcW w:w="2552" w:type="dxa"/>
          </w:tcPr>
          <w:p w:rsidR="00D379AB" w:rsidRPr="00957E33" w:rsidRDefault="00D379AB" w:rsidP="00081213">
            <w:pPr>
              <w:keepNext/>
              <w:widowControl/>
              <w:jc w:val="left"/>
              <w:rPr>
                <w:rFonts w:ascii="Arial Narrow" w:hAnsi="Arial Narrow"/>
                <w:sz w:val="20"/>
                <w:vertAlign w:val="superscript"/>
              </w:rPr>
            </w:pPr>
            <w:proofErr w:type="spellStart"/>
            <w:r w:rsidRPr="00957E33">
              <w:rPr>
                <w:rFonts w:ascii="Arial Narrow" w:hAnsi="Arial Narrow"/>
                <w:sz w:val="20"/>
              </w:rPr>
              <w:t>Lipeg</w:t>
            </w:r>
            <w:proofErr w:type="spellEnd"/>
            <w:r w:rsidRPr="00957E33">
              <w:rPr>
                <w:rFonts w:ascii="Arial Narrow" w:hAnsi="Arial Narrow"/>
                <w:sz w:val="20"/>
              </w:rPr>
              <w:t xml:space="preserve"> listed and price reduction flows on to </w:t>
            </w:r>
            <w:proofErr w:type="spellStart"/>
            <w:r w:rsidRPr="00957E33">
              <w:rPr>
                <w:rFonts w:ascii="Arial Narrow" w:hAnsi="Arial Narrow"/>
                <w:sz w:val="20"/>
              </w:rPr>
              <w:t>Peg</w:t>
            </w:r>
            <w:r>
              <w:rPr>
                <w:rFonts w:ascii="Arial Narrow" w:hAnsi="Arial Narrow"/>
                <w:sz w:val="20"/>
                <w:vertAlign w:val="superscript"/>
              </w:rPr>
              <w:t>b</w:t>
            </w:r>
            <w:proofErr w:type="spellEnd"/>
          </w:p>
        </w:tc>
        <w:tc>
          <w:tcPr>
            <w:tcW w:w="1158" w:type="dxa"/>
            <w:vAlign w:val="center"/>
          </w:tcPr>
          <w:p w:rsidR="00D379AB" w:rsidRPr="00056FD6" w:rsidRDefault="00D379AB" w:rsidP="00081213">
            <w:pPr>
              <w:keepNext/>
              <w:widowControl/>
              <w:jc w:val="center"/>
              <w:rPr>
                <w:rFonts w:ascii="Arial Narrow" w:hAnsi="Arial Narrow"/>
                <w:sz w:val="20"/>
              </w:rPr>
            </w:pPr>
            <w:r w:rsidRPr="00056FD6">
              <w:rPr>
                <w:rFonts w:ascii="Arial Narrow" w:hAnsi="Arial Narrow"/>
                <w:sz w:val="20"/>
              </w:rPr>
              <w:t>$</w:t>
            </w:r>
            <w:r w:rsidR="00F9168A">
              <w:rPr>
                <w:rFonts w:ascii="Arial Narrow" w:hAnsi="Arial Narrow"/>
                <w:noProof/>
                <w:color w:val="000000"/>
                <w:sz w:val="20"/>
                <w:highlight w:val="black"/>
              </w:rPr>
              <w:t>''''''''''''''''''''''''''''</w:t>
            </w:r>
          </w:p>
        </w:tc>
        <w:tc>
          <w:tcPr>
            <w:tcW w:w="1159" w:type="dxa"/>
            <w:gridSpan w:val="2"/>
            <w:vAlign w:val="center"/>
          </w:tcPr>
          <w:p w:rsidR="00D379AB" w:rsidRPr="00056FD6" w:rsidRDefault="00D379AB" w:rsidP="00081213">
            <w:pPr>
              <w:keepNext/>
              <w:widowControl/>
              <w:jc w:val="center"/>
              <w:rPr>
                <w:rFonts w:ascii="Arial Narrow" w:hAnsi="Arial Narrow"/>
                <w:sz w:val="20"/>
              </w:rPr>
            </w:pPr>
            <w:r w:rsidRPr="00056FD6">
              <w:rPr>
                <w:rFonts w:ascii="Arial Narrow" w:hAnsi="Arial Narrow"/>
                <w:sz w:val="20"/>
              </w:rPr>
              <w:t>$</w:t>
            </w:r>
            <w:r w:rsidR="00F9168A">
              <w:rPr>
                <w:rFonts w:ascii="Arial Narrow" w:hAnsi="Arial Narrow"/>
                <w:noProof/>
                <w:color w:val="000000"/>
                <w:sz w:val="20"/>
                <w:highlight w:val="black"/>
              </w:rPr>
              <w:t>''''''''''''''''''''''''''''''''</w:t>
            </w:r>
          </w:p>
        </w:tc>
        <w:tc>
          <w:tcPr>
            <w:tcW w:w="1158" w:type="dxa"/>
            <w:gridSpan w:val="2"/>
            <w:vAlign w:val="center"/>
          </w:tcPr>
          <w:p w:rsidR="00D379AB" w:rsidRPr="00056FD6" w:rsidRDefault="00D379AB" w:rsidP="00081213">
            <w:pPr>
              <w:keepNext/>
              <w:widowControl/>
              <w:jc w:val="center"/>
              <w:rPr>
                <w:rFonts w:ascii="Arial Narrow" w:hAnsi="Arial Narrow"/>
                <w:sz w:val="20"/>
              </w:rPr>
            </w:pPr>
            <w:r w:rsidRPr="00056FD6">
              <w:rPr>
                <w:rFonts w:ascii="Arial Narrow" w:hAnsi="Arial Narrow"/>
                <w:sz w:val="20"/>
              </w:rPr>
              <w:t>$</w:t>
            </w:r>
            <w:r w:rsidR="00F9168A">
              <w:rPr>
                <w:rFonts w:ascii="Arial Narrow" w:hAnsi="Arial Narrow"/>
                <w:noProof/>
                <w:color w:val="000000"/>
                <w:sz w:val="20"/>
                <w:highlight w:val="black"/>
              </w:rPr>
              <w:t>''''''''''''''''''''''''''''''</w:t>
            </w:r>
          </w:p>
        </w:tc>
        <w:tc>
          <w:tcPr>
            <w:tcW w:w="1159" w:type="dxa"/>
            <w:gridSpan w:val="2"/>
            <w:vAlign w:val="center"/>
          </w:tcPr>
          <w:p w:rsidR="00D379AB" w:rsidRPr="00056FD6" w:rsidRDefault="00D379AB" w:rsidP="00081213">
            <w:pPr>
              <w:keepNext/>
              <w:widowControl/>
              <w:jc w:val="center"/>
              <w:rPr>
                <w:rFonts w:ascii="Arial Narrow" w:hAnsi="Arial Narrow"/>
                <w:sz w:val="20"/>
              </w:rPr>
            </w:pPr>
            <w:r w:rsidRPr="00056FD6">
              <w:rPr>
                <w:rFonts w:ascii="Arial Narrow" w:hAnsi="Arial Narrow"/>
                <w:sz w:val="20"/>
              </w:rPr>
              <w:t>$</w:t>
            </w:r>
            <w:r w:rsidR="00F9168A">
              <w:rPr>
                <w:rFonts w:ascii="Arial Narrow" w:hAnsi="Arial Narrow"/>
                <w:noProof/>
                <w:color w:val="000000"/>
                <w:sz w:val="20"/>
                <w:highlight w:val="black"/>
              </w:rPr>
              <w:t>''''''''''''''''''''''''''''''''</w:t>
            </w:r>
          </w:p>
        </w:tc>
        <w:tc>
          <w:tcPr>
            <w:tcW w:w="1177" w:type="dxa"/>
            <w:gridSpan w:val="2"/>
            <w:vAlign w:val="center"/>
          </w:tcPr>
          <w:p w:rsidR="00D379AB" w:rsidRPr="00056FD6" w:rsidRDefault="00D379AB" w:rsidP="00081213">
            <w:pPr>
              <w:keepNext/>
              <w:widowControl/>
              <w:jc w:val="center"/>
              <w:rPr>
                <w:rFonts w:ascii="Arial Narrow" w:hAnsi="Arial Narrow"/>
                <w:sz w:val="20"/>
              </w:rPr>
            </w:pPr>
            <w:r w:rsidRPr="00056FD6">
              <w:rPr>
                <w:rFonts w:ascii="Arial Narrow" w:hAnsi="Arial Narrow"/>
                <w:sz w:val="20"/>
              </w:rPr>
              <w:t>$</w:t>
            </w:r>
            <w:r w:rsidR="00F9168A">
              <w:rPr>
                <w:rFonts w:ascii="Arial Narrow" w:hAnsi="Arial Narrow"/>
                <w:noProof/>
                <w:color w:val="000000"/>
                <w:sz w:val="20"/>
                <w:highlight w:val="black"/>
              </w:rPr>
              <w:t>'''''''''''''''''''''''''''</w:t>
            </w:r>
          </w:p>
        </w:tc>
      </w:tr>
      <w:tr w:rsidR="00D379AB" w:rsidRPr="007B3667" w:rsidTr="00FF4103">
        <w:tc>
          <w:tcPr>
            <w:tcW w:w="2552" w:type="dxa"/>
          </w:tcPr>
          <w:p w:rsidR="00D379AB" w:rsidRPr="00957E33" w:rsidRDefault="00D379AB" w:rsidP="00081213">
            <w:pPr>
              <w:keepNext/>
              <w:widowControl/>
              <w:jc w:val="left"/>
              <w:rPr>
                <w:rFonts w:ascii="Arial Narrow" w:hAnsi="Arial Narrow"/>
                <w:sz w:val="20"/>
              </w:rPr>
            </w:pPr>
            <w:r w:rsidRPr="00957E33">
              <w:rPr>
                <w:rFonts w:ascii="Arial Narrow" w:hAnsi="Arial Narrow"/>
                <w:sz w:val="20"/>
              </w:rPr>
              <w:t xml:space="preserve">Net cost </w:t>
            </w:r>
            <w:proofErr w:type="spellStart"/>
            <w:r w:rsidRPr="00957E33">
              <w:rPr>
                <w:rFonts w:ascii="Arial Narrow" w:hAnsi="Arial Narrow"/>
                <w:sz w:val="20"/>
              </w:rPr>
              <w:t>pegfilgrastim</w:t>
            </w:r>
            <w:proofErr w:type="spellEnd"/>
            <w:r w:rsidRPr="00957E33">
              <w:rPr>
                <w:rFonts w:ascii="Arial Narrow" w:hAnsi="Arial Narrow"/>
                <w:sz w:val="20"/>
              </w:rPr>
              <w:t xml:space="preserve"> (if </w:t>
            </w:r>
            <w:proofErr w:type="spellStart"/>
            <w:r w:rsidRPr="00957E33">
              <w:rPr>
                <w:rFonts w:ascii="Arial Narrow" w:hAnsi="Arial Narrow"/>
                <w:sz w:val="20"/>
              </w:rPr>
              <w:t>Lipeg</w:t>
            </w:r>
            <w:proofErr w:type="spellEnd"/>
            <w:r w:rsidRPr="00957E33">
              <w:rPr>
                <w:rFonts w:ascii="Arial Narrow" w:hAnsi="Arial Narrow"/>
                <w:sz w:val="20"/>
              </w:rPr>
              <w:t xml:space="preserve"> listed)</w:t>
            </w:r>
            <w:r w:rsidRPr="00957E33">
              <w:rPr>
                <w:rFonts w:ascii="Arial Narrow" w:hAnsi="Arial Narrow"/>
                <w:sz w:val="20"/>
                <w:vertAlign w:val="superscript"/>
              </w:rPr>
              <w:t>c</w:t>
            </w:r>
          </w:p>
        </w:tc>
        <w:tc>
          <w:tcPr>
            <w:tcW w:w="1158" w:type="dxa"/>
            <w:vAlign w:val="center"/>
          </w:tcPr>
          <w:p w:rsidR="00D379AB" w:rsidRPr="00056FD6" w:rsidRDefault="00D379AB" w:rsidP="00081213">
            <w:pPr>
              <w:keepNext/>
              <w:widowControl/>
              <w:jc w:val="center"/>
              <w:rPr>
                <w:rFonts w:ascii="Arial Narrow" w:hAnsi="Arial Narrow"/>
                <w:sz w:val="20"/>
              </w:rPr>
            </w:pPr>
            <w:r w:rsidRPr="00056FD6">
              <w:rPr>
                <w:rFonts w:ascii="Arial Narrow" w:hAnsi="Arial Narrow"/>
                <w:sz w:val="20"/>
              </w:rPr>
              <w:t>$</w:t>
            </w:r>
            <w:r w:rsidR="00F9168A">
              <w:rPr>
                <w:rFonts w:ascii="Arial Narrow" w:hAnsi="Arial Narrow"/>
                <w:noProof/>
                <w:color w:val="000000"/>
                <w:sz w:val="20"/>
                <w:highlight w:val="black"/>
              </w:rPr>
              <w:t>''''''''''''''''''''''''''''''</w:t>
            </w:r>
          </w:p>
        </w:tc>
        <w:tc>
          <w:tcPr>
            <w:tcW w:w="1159" w:type="dxa"/>
            <w:gridSpan w:val="2"/>
            <w:vAlign w:val="center"/>
          </w:tcPr>
          <w:p w:rsidR="00D379AB" w:rsidRPr="00056FD6" w:rsidRDefault="00D379AB" w:rsidP="00081213">
            <w:pPr>
              <w:keepNext/>
              <w:widowControl/>
              <w:jc w:val="center"/>
              <w:rPr>
                <w:rFonts w:ascii="Arial Narrow" w:hAnsi="Arial Narrow"/>
                <w:sz w:val="20"/>
              </w:rPr>
            </w:pPr>
            <w:r w:rsidRPr="00056FD6">
              <w:rPr>
                <w:rFonts w:ascii="Arial Narrow" w:hAnsi="Arial Narrow"/>
                <w:sz w:val="20"/>
              </w:rPr>
              <w:t>$</w:t>
            </w:r>
            <w:r w:rsidR="00F9168A">
              <w:rPr>
                <w:rFonts w:ascii="Arial Narrow" w:hAnsi="Arial Narrow"/>
                <w:noProof/>
                <w:color w:val="000000"/>
                <w:sz w:val="20"/>
                <w:highlight w:val="black"/>
              </w:rPr>
              <w:t>''''''''''''''''''''''''''''</w:t>
            </w:r>
          </w:p>
        </w:tc>
        <w:tc>
          <w:tcPr>
            <w:tcW w:w="1158" w:type="dxa"/>
            <w:gridSpan w:val="2"/>
            <w:vAlign w:val="center"/>
          </w:tcPr>
          <w:p w:rsidR="00D379AB" w:rsidRPr="00056FD6" w:rsidRDefault="00D379AB" w:rsidP="00081213">
            <w:pPr>
              <w:keepNext/>
              <w:widowControl/>
              <w:jc w:val="center"/>
              <w:rPr>
                <w:rFonts w:ascii="Arial Narrow" w:hAnsi="Arial Narrow"/>
                <w:sz w:val="20"/>
              </w:rPr>
            </w:pPr>
            <w:r w:rsidRPr="00056FD6">
              <w:rPr>
                <w:rFonts w:ascii="Arial Narrow" w:hAnsi="Arial Narrow"/>
                <w:sz w:val="20"/>
              </w:rPr>
              <w:t>$</w:t>
            </w:r>
            <w:r w:rsidR="00F9168A">
              <w:rPr>
                <w:rFonts w:ascii="Arial Narrow" w:hAnsi="Arial Narrow"/>
                <w:noProof/>
                <w:color w:val="000000"/>
                <w:sz w:val="20"/>
                <w:highlight w:val="black"/>
              </w:rPr>
              <w:t>''''''''''''''''''''''''''''''</w:t>
            </w:r>
          </w:p>
        </w:tc>
        <w:tc>
          <w:tcPr>
            <w:tcW w:w="1159" w:type="dxa"/>
            <w:gridSpan w:val="2"/>
            <w:vAlign w:val="center"/>
          </w:tcPr>
          <w:p w:rsidR="00D379AB" w:rsidRPr="00056FD6" w:rsidRDefault="00D379AB" w:rsidP="00081213">
            <w:pPr>
              <w:keepNext/>
              <w:widowControl/>
              <w:jc w:val="center"/>
              <w:rPr>
                <w:rFonts w:ascii="Arial Narrow" w:hAnsi="Arial Narrow"/>
                <w:sz w:val="20"/>
              </w:rPr>
            </w:pPr>
            <w:r w:rsidRPr="00056FD6">
              <w:rPr>
                <w:rFonts w:ascii="Arial Narrow" w:hAnsi="Arial Narrow"/>
                <w:sz w:val="20"/>
              </w:rPr>
              <w:t>$</w:t>
            </w:r>
            <w:r w:rsidR="00F9168A">
              <w:rPr>
                <w:rFonts w:ascii="Arial Narrow" w:hAnsi="Arial Narrow"/>
                <w:noProof/>
                <w:color w:val="000000"/>
                <w:sz w:val="20"/>
                <w:highlight w:val="black"/>
              </w:rPr>
              <w:t>'''''''''''''''''''''''''''</w:t>
            </w:r>
          </w:p>
        </w:tc>
        <w:tc>
          <w:tcPr>
            <w:tcW w:w="1177" w:type="dxa"/>
            <w:gridSpan w:val="2"/>
            <w:vAlign w:val="center"/>
          </w:tcPr>
          <w:p w:rsidR="00D379AB" w:rsidRPr="00056FD6" w:rsidRDefault="00D379AB" w:rsidP="00081213">
            <w:pPr>
              <w:keepNext/>
              <w:widowControl/>
              <w:jc w:val="center"/>
              <w:rPr>
                <w:rFonts w:ascii="Arial Narrow" w:hAnsi="Arial Narrow"/>
                <w:sz w:val="20"/>
              </w:rPr>
            </w:pPr>
            <w:r w:rsidRPr="00056FD6">
              <w:rPr>
                <w:rFonts w:ascii="Arial Narrow" w:hAnsi="Arial Narrow"/>
                <w:sz w:val="20"/>
              </w:rPr>
              <w:t>$</w:t>
            </w:r>
            <w:r w:rsidR="00F9168A">
              <w:rPr>
                <w:rFonts w:ascii="Arial Narrow" w:hAnsi="Arial Narrow"/>
                <w:noProof/>
                <w:color w:val="000000"/>
                <w:sz w:val="20"/>
                <w:highlight w:val="black"/>
              </w:rPr>
              <w:t>'''''''''''''''''''''''''''''''''</w:t>
            </w:r>
          </w:p>
        </w:tc>
      </w:tr>
      <w:tr w:rsidR="00D379AB" w:rsidRPr="00255623" w:rsidTr="00FF4103">
        <w:tc>
          <w:tcPr>
            <w:tcW w:w="2552" w:type="dxa"/>
          </w:tcPr>
          <w:p w:rsidR="00D379AB" w:rsidRPr="00957E33" w:rsidRDefault="00D379AB" w:rsidP="00081213">
            <w:pPr>
              <w:keepNext/>
              <w:widowControl/>
              <w:jc w:val="left"/>
              <w:rPr>
                <w:rFonts w:ascii="Arial Narrow" w:hAnsi="Arial Narrow"/>
                <w:b/>
                <w:sz w:val="20"/>
              </w:rPr>
            </w:pPr>
            <w:r w:rsidRPr="00957E33">
              <w:rPr>
                <w:rFonts w:ascii="Arial Narrow" w:hAnsi="Arial Narrow"/>
                <w:b/>
                <w:sz w:val="20"/>
              </w:rPr>
              <w:t xml:space="preserve">Net </w:t>
            </w:r>
            <w:r w:rsidRPr="00957E33">
              <w:rPr>
                <w:rFonts w:ascii="Arial Narrow" w:hAnsi="Arial Narrow"/>
                <w:b/>
                <w:sz w:val="20"/>
                <w:u w:val="single"/>
              </w:rPr>
              <w:t>savings</w:t>
            </w:r>
            <w:r w:rsidRPr="00957E33">
              <w:rPr>
                <w:rFonts w:ascii="Arial Narrow" w:hAnsi="Arial Narrow"/>
                <w:b/>
                <w:sz w:val="20"/>
              </w:rPr>
              <w:t xml:space="preserve"> to the PBS</w:t>
            </w:r>
          </w:p>
        </w:tc>
        <w:tc>
          <w:tcPr>
            <w:tcW w:w="1158" w:type="dxa"/>
          </w:tcPr>
          <w:p w:rsidR="00D379AB" w:rsidRPr="00255623" w:rsidRDefault="00D379AB" w:rsidP="00081213">
            <w:pPr>
              <w:keepNext/>
              <w:widowControl/>
              <w:jc w:val="center"/>
              <w:rPr>
                <w:rFonts w:ascii="Arial Narrow" w:hAnsi="Arial Narrow"/>
                <w:b/>
                <w:sz w:val="20"/>
                <w:highlight w:val="yellow"/>
              </w:rPr>
            </w:pPr>
            <w:r w:rsidRPr="00255623">
              <w:rPr>
                <w:rFonts w:ascii="Arial Narrow" w:hAnsi="Arial Narrow"/>
                <w:b/>
                <w:sz w:val="20"/>
              </w:rPr>
              <w:t>$</w:t>
            </w:r>
            <w:r w:rsidR="00F9168A">
              <w:rPr>
                <w:rFonts w:ascii="Arial Narrow" w:hAnsi="Arial Narrow"/>
                <w:b/>
                <w:noProof/>
                <w:color w:val="000000"/>
                <w:sz w:val="20"/>
                <w:highlight w:val="black"/>
              </w:rPr>
              <w:t>''''''''''''''''''''''''</w:t>
            </w:r>
          </w:p>
        </w:tc>
        <w:tc>
          <w:tcPr>
            <w:tcW w:w="1159" w:type="dxa"/>
            <w:gridSpan w:val="2"/>
          </w:tcPr>
          <w:p w:rsidR="00D379AB" w:rsidRPr="00255623" w:rsidRDefault="00D379AB" w:rsidP="00081213">
            <w:pPr>
              <w:keepNext/>
              <w:widowControl/>
              <w:jc w:val="center"/>
              <w:rPr>
                <w:rFonts w:ascii="Arial Narrow" w:hAnsi="Arial Narrow"/>
                <w:b/>
                <w:sz w:val="20"/>
                <w:highlight w:val="yellow"/>
              </w:rPr>
            </w:pPr>
            <w:r w:rsidRPr="00255623">
              <w:rPr>
                <w:rFonts w:ascii="Arial Narrow" w:hAnsi="Arial Narrow"/>
                <w:b/>
                <w:sz w:val="20"/>
              </w:rPr>
              <w:t>$</w:t>
            </w:r>
            <w:r w:rsidR="00F9168A">
              <w:rPr>
                <w:rFonts w:ascii="Arial Narrow" w:hAnsi="Arial Narrow"/>
                <w:b/>
                <w:noProof/>
                <w:color w:val="000000"/>
                <w:sz w:val="20"/>
                <w:highlight w:val="black"/>
              </w:rPr>
              <w:t>'''''''''''''''''''''''</w:t>
            </w:r>
          </w:p>
        </w:tc>
        <w:tc>
          <w:tcPr>
            <w:tcW w:w="1158" w:type="dxa"/>
            <w:gridSpan w:val="2"/>
          </w:tcPr>
          <w:p w:rsidR="00D379AB" w:rsidRPr="00255623" w:rsidRDefault="00D379AB" w:rsidP="00081213">
            <w:pPr>
              <w:keepNext/>
              <w:widowControl/>
              <w:jc w:val="center"/>
              <w:rPr>
                <w:rFonts w:ascii="Arial Narrow" w:hAnsi="Arial Narrow"/>
                <w:b/>
                <w:sz w:val="20"/>
                <w:highlight w:val="yellow"/>
              </w:rPr>
            </w:pPr>
            <w:r w:rsidRPr="00255623">
              <w:rPr>
                <w:rFonts w:ascii="Arial Narrow" w:hAnsi="Arial Narrow"/>
                <w:b/>
                <w:sz w:val="20"/>
              </w:rPr>
              <w:t>$</w:t>
            </w:r>
            <w:r w:rsidR="00F9168A">
              <w:rPr>
                <w:rFonts w:ascii="Arial Narrow" w:hAnsi="Arial Narrow"/>
                <w:b/>
                <w:noProof/>
                <w:color w:val="000000"/>
                <w:sz w:val="20"/>
                <w:highlight w:val="black"/>
              </w:rPr>
              <w:t>''''''''''''''''''''</w:t>
            </w:r>
          </w:p>
        </w:tc>
        <w:tc>
          <w:tcPr>
            <w:tcW w:w="1159" w:type="dxa"/>
            <w:gridSpan w:val="2"/>
          </w:tcPr>
          <w:p w:rsidR="00D379AB" w:rsidRPr="00255623" w:rsidRDefault="00D379AB" w:rsidP="00081213">
            <w:pPr>
              <w:keepNext/>
              <w:widowControl/>
              <w:jc w:val="center"/>
              <w:rPr>
                <w:rFonts w:ascii="Arial Narrow" w:hAnsi="Arial Narrow"/>
                <w:b/>
                <w:sz w:val="20"/>
                <w:highlight w:val="yellow"/>
              </w:rPr>
            </w:pPr>
            <w:r w:rsidRPr="00255623">
              <w:rPr>
                <w:rFonts w:ascii="Arial Narrow" w:hAnsi="Arial Narrow"/>
                <w:b/>
                <w:sz w:val="20"/>
              </w:rPr>
              <w:t>$</w:t>
            </w:r>
            <w:r w:rsidR="00F9168A">
              <w:rPr>
                <w:rFonts w:ascii="Arial Narrow" w:hAnsi="Arial Narrow"/>
                <w:b/>
                <w:noProof/>
                <w:color w:val="000000"/>
                <w:sz w:val="20"/>
                <w:highlight w:val="black"/>
              </w:rPr>
              <w:t>'''''''''''''''''''''''</w:t>
            </w:r>
          </w:p>
        </w:tc>
        <w:tc>
          <w:tcPr>
            <w:tcW w:w="1177" w:type="dxa"/>
            <w:gridSpan w:val="2"/>
          </w:tcPr>
          <w:p w:rsidR="00D379AB" w:rsidRPr="00255623" w:rsidRDefault="00D379AB" w:rsidP="00081213">
            <w:pPr>
              <w:keepNext/>
              <w:widowControl/>
              <w:jc w:val="center"/>
              <w:rPr>
                <w:rFonts w:ascii="Arial Narrow" w:hAnsi="Arial Narrow"/>
                <w:b/>
                <w:sz w:val="20"/>
                <w:highlight w:val="yellow"/>
              </w:rPr>
            </w:pPr>
            <w:r w:rsidRPr="00255623">
              <w:rPr>
                <w:rFonts w:ascii="Arial Narrow" w:hAnsi="Arial Narrow"/>
                <w:b/>
                <w:sz w:val="20"/>
              </w:rPr>
              <w:t>$</w:t>
            </w:r>
            <w:r w:rsidR="00F9168A">
              <w:rPr>
                <w:rFonts w:ascii="Arial Narrow" w:hAnsi="Arial Narrow"/>
                <w:b/>
                <w:noProof/>
                <w:color w:val="000000"/>
                <w:sz w:val="20"/>
                <w:highlight w:val="black"/>
              </w:rPr>
              <w:t>''''''''''''''''''''</w:t>
            </w:r>
          </w:p>
        </w:tc>
      </w:tr>
    </w:tbl>
    <w:p w:rsidR="002B6CBF" w:rsidRDefault="002B6CBF" w:rsidP="00081213">
      <w:pPr>
        <w:keepNext/>
        <w:widowControl/>
        <w:tabs>
          <w:tab w:val="left" w:pos="284"/>
          <w:tab w:val="left" w:pos="993"/>
        </w:tabs>
        <w:ind w:firstLine="709"/>
        <w:rPr>
          <w:rFonts w:ascii="Arial Narrow" w:hAnsi="Arial Narrow"/>
          <w:sz w:val="18"/>
          <w:vertAlign w:val="superscript"/>
        </w:rPr>
      </w:pPr>
      <w:proofErr w:type="spellStart"/>
      <w:r>
        <w:rPr>
          <w:rFonts w:ascii="Arial Narrow" w:hAnsi="Arial Narrow"/>
          <w:sz w:val="18"/>
        </w:rPr>
        <w:t>Lipeg</w:t>
      </w:r>
      <w:proofErr w:type="spellEnd"/>
      <w:r>
        <w:rPr>
          <w:rFonts w:ascii="Arial Narrow" w:hAnsi="Arial Narrow"/>
          <w:sz w:val="18"/>
        </w:rPr>
        <w:t>=</w:t>
      </w:r>
      <w:proofErr w:type="spellStart"/>
      <w:r>
        <w:rPr>
          <w:rFonts w:ascii="Arial Narrow" w:hAnsi="Arial Narrow"/>
          <w:sz w:val="18"/>
        </w:rPr>
        <w:t>lipegfilgrastim</w:t>
      </w:r>
      <w:proofErr w:type="spellEnd"/>
      <w:r>
        <w:rPr>
          <w:rFonts w:ascii="Arial Narrow" w:hAnsi="Arial Narrow"/>
          <w:sz w:val="18"/>
        </w:rPr>
        <w:t>, Peg=</w:t>
      </w:r>
      <w:proofErr w:type="spellStart"/>
      <w:r>
        <w:rPr>
          <w:rFonts w:ascii="Arial Narrow" w:hAnsi="Arial Narrow"/>
          <w:sz w:val="18"/>
        </w:rPr>
        <w:t>pegfilgrastim</w:t>
      </w:r>
      <w:proofErr w:type="spellEnd"/>
      <w:r w:rsidRPr="006A057B">
        <w:rPr>
          <w:rFonts w:ascii="Arial Narrow" w:hAnsi="Arial Narrow"/>
          <w:sz w:val="18"/>
          <w:vertAlign w:val="superscript"/>
        </w:rPr>
        <w:t xml:space="preserve"> </w:t>
      </w:r>
    </w:p>
    <w:p w:rsidR="0041615D" w:rsidRDefault="0041615D" w:rsidP="00081213">
      <w:pPr>
        <w:keepNext/>
        <w:widowControl/>
        <w:tabs>
          <w:tab w:val="left" w:pos="284"/>
          <w:tab w:val="left" w:pos="993"/>
        </w:tabs>
        <w:ind w:firstLine="709"/>
        <w:rPr>
          <w:rFonts w:ascii="Arial Narrow" w:hAnsi="Arial Narrow"/>
          <w:sz w:val="18"/>
        </w:rPr>
      </w:pPr>
      <w:proofErr w:type="gramStart"/>
      <w:r w:rsidRPr="006A057B">
        <w:rPr>
          <w:rFonts w:ascii="Arial Narrow" w:hAnsi="Arial Narrow"/>
          <w:sz w:val="18"/>
          <w:vertAlign w:val="superscript"/>
        </w:rPr>
        <w:t>a</w:t>
      </w:r>
      <w:proofErr w:type="gramEnd"/>
      <w:r w:rsidRPr="006A057B">
        <w:rPr>
          <w:rFonts w:ascii="Arial Narrow" w:hAnsi="Arial Narrow"/>
          <w:sz w:val="18"/>
        </w:rPr>
        <w:tab/>
        <w:t xml:space="preserve">based on private/public use of </w:t>
      </w:r>
      <w:proofErr w:type="spellStart"/>
      <w:r w:rsidRPr="006A057B">
        <w:rPr>
          <w:rFonts w:ascii="Arial Narrow" w:hAnsi="Arial Narrow"/>
          <w:sz w:val="18"/>
        </w:rPr>
        <w:t>pegfilgrastim</w:t>
      </w:r>
      <w:proofErr w:type="spellEnd"/>
    </w:p>
    <w:p w:rsidR="0041615D" w:rsidRDefault="0041615D" w:rsidP="00081213">
      <w:pPr>
        <w:keepNext/>
        <w:widowControl/>
        <w:tabs>
          <w:tab w:val="left" w:pos="284"/>
          <w:tab w:val="left" w:pos="993"/>
        </w:tabs>
        <w:ind w:firstLine="709"/>
        <w:rPr>
          <w:rFonts w:ascii="Arial Narrow" w:hAnsi="Arial Narrow"/>
          <w:sz w:val="18"/>
        </w:rPr>
      </w:pPr>
      <w:proofErr w:type="gramStart"/>
      <w:r>
        <w:rPr>
          <w:rFonts w:ascii="Arial Narrow" w:hAnsi="Arial Narrow"/>
          <w:sz w:val="18"/>
          <w:vertAlign w:val="superscript"/>
        </w:rPr>
        <w:t>b</w:t>
      </w:r>
      <w:proofErr w:type="gramEnd"/>
      <w:r>
        <w:rPr>
          <w:rFonts w:ascii="Arial Narrow" w:hAnsi="Arial Narrow"/>
          <w:sz w:val="18"/>
        </w:rPr>
        <w:tab/>
        <w:t>assuming DPMQ of $</w:t>
      </w:r>
      <w:r w:rsidR="00F9168A">
        <w:rPr>
          <w:rFonts w:ascii="Arial Narrow" w:hAnsi="Arial Narrow"/>
          <w:noProof/>
          <w:color w:val="000000"/>
          <w:sz w:val="18"/>
          <w:highlight w:val="black"/>
        </w:rPr>
        <w:t>''''''''''''''''''''''</w:t>
      </w:r>
      <w:r>
        <w:rPr>
          <w:rFonts w:ascii="Arial Narrow" w:hAnsi="Arial Narrow"/>
          <w:sz w:val="18"/>
        </w:rPr>
        <w:t xml:space="preserve"> for private and $</w:t>
      </w:r>
      <w:r w:rsidR="00F9168A">
        <w:rPr>
          <w:rFonts w:ascii="Arial Narrow" w:hAnsi="Arial Narrow"/>
          <w:noProof/>
          <w:color w:val="000000"/>
          <w:sz w:val="18"/>
          <w:highlight w:val="black"/>
        </w:rPr>
        <w:t>'''''''''''''''''''</w:t>
      </w:r>
      <w:r>
        <w:rPr>
          <w:rFonts w:ascii="Arial Narrow" w:hAnsi="Arial Narrow"/>
          <w:sz w:val="18"/>
        </w:rPr>
        <w:t xml:space="preserve"> for public hospitals</w:t>
      </w:r>
    </w:p>
    <w:p w:rsidR="0041615D" w:rsidRDefault="0041615D" w:rsidP="00081213">
      <w:pPr>
        <w:keepNext/>
        <w:widowControl/>
        <w:tabs>
          <w:tab w:val="left" w:pos="284"/>
          <w:tab w:val="left" w:pos="993"/>
        </w:tabs>
        <w:ind w:firstLine="709"/>
        <w:rPr>
          <w:rFonts w:ascii="Arial Narrow" w:hAnsi="Arial Narrow"/>
          <w:sz w:val="18"/>
        </w:rPr>
      </w:pPr>
      <w:proofErr w:type="gramStart"/>
      <w:r>
        <w:rPr>
          <w:rFonts w:ascii="Arial Narrow" w:hAnsi="Arial Narrow"/>
          <w:sz w:val="18"/>
          <w:vertAlign w:val="superscript"/>
        </w:rPr>
        <w:t>c</w:t>
      </w:r>
      <w:proofErr w:type="gramEnd"/>
      <w:r>
        <w:rPr>
          <w:rFonts w:ascii="Arial Narrow" w:hAnsi="Arial Narrow"/>
          <w:sz w:val="18"/>
        </w:rPr>
        <w:tab/>
        <w:t xml:space="preserve">co-payment based on proportional use of </w:t>
      </w:r>
      <w:proofErr w:type="spellStart"/>
      <w:r>
        <w:rPr>
          <w:rFonts w:ascii="Arial Narrow" w:hAnsi="Arial Narrow"/>
          <w:sz w:val="18"/>
        </w:rPr>
        <w:t>pegfilgrastim</w:t>
      </w:r>
      <w:proofErr w:type="spellEnd"/>
      <w:r>
        <w:rPr>
          <w:rFonts w:ascii="Arial Narrow" w:hAnsi="Arial Narrow"/>
          <w:sz w:val="18"/>
        </w:rPr>
        <w:t>, PBS=$</w:t>
      </w:r>
      <w:r w:rsidR="00F9168A">
        <w:rPr>
          <w:rFonts w:ascii="Arial Narrow" w:hAnsi="Arial Narrow"/>
          <w:noProof/>
          <w:color w:val="000000"/>
          <w:sz w:val="18"/>
          <w:highlight w:val="black"/>
        </w:rPr>
        <w:t>'''''''''''''''</w:t>
      </w:r>
      <w:r>
        <w:rPr>
          <w:rFonts w:ascii="Arial Narrow" w:hAnsi="Arial Narrow"/>
          <w:sz w:val="18"/>
        </w:rPr>
        <w:t>; RPBS=$</w:t>
      </w:r>
      <w:r w:rsidR="00F9168A">
        <w:rPr>
          <w:rFonts w:ascii="Arial Narrow" w:hAnsi="Arial Narrow"/>
          <w:noProof/>
          <w:color w:val="000000"/>
          <w:sz w:val="18"/>
          <w:highlight w:val="black"/>
        </w:rPr>
        <w:t>''''''''''</w:t>
      </w:r>
    </w:p>
    <w:p w:rsidR="00D379AB" w:rsidRDefault="00D379AB" w:rsidP="00081213">
      <w:pPr>
        <w:widowControl/>
        <w:tabs>
          <w:tab w:val="left" w:pos="284"/>
          <w:tab w:val="left" w:pos="993"/>
        </w:tabs>
        <w:ind w:firstLine="709"/>
        <w:rPr>
          <w:rFonts w:ascii="Arial Narrow" w:hAnsi="Arial Narrow"/>
          <w:sz w:val="18"/>
        </w:rPr>
      </w:pPr>
      <w:proofErr w:type="gramStart"/>
      <w:r>
        <w:rPr>
          <w:rFonts w:ascii="Arial Narrow" w:hAnsi="Arial Narrow"/>
          <w:sz w:val="18"/>
          <w:vertAlign w:val="superscript"/>
        </w:rPr>
        <w:t>d</w:t>
      </w:r>
      <w:proofErr w:type="gramEnd"/>
      <w:r>
        <w:rPr>
          <w:rFonts w:ascii="Arial Narrow" w:hAnsi="Arial Narrow"/>
          <w:sz w:val="18"/>
        </w:rPr>
        <w:tab/>
        <w:t>assuming DPMQ of $</w:t>
      </w:r>
      <w:r w:rsidR="00F9168A">
        <w:rPr>
          <w:rFonts w:ascii="Arial Narrow" w:hAnsi="Arial Narrow"/>
          <w:noProof/>
          <w:color w:val="000000"/>
          <w:sz w:val="18"/>
          <w:highlight w:val="black"/>
        </w:rPr>
        <w:t>''''''''''''''''''''''</w:t>
      </w:r>
      <w:r>
        <w:rPr>
          <w:rFonts w:ascii="Arial Narrow" w:hAnsi="Arial Narrow"/>
          <w:sz w:val="18"/>
        </w:rPr>
        <w:t xml:space="preserve"> for private and $</w:t>
      </w:r>
      <w:r w:rsidR="00F9168A">
        <w:rPr>
          <w:rFonts w:ascii="Arial Narrow" w:hAnsi="Arial Narrow"/>
          <w:noProof/>
          <w:color w:val="000000"/>
          <w:sz w:val="18"/>
          <w:highlight w:val="black"/>
        </w:rPr>
        <w:t>''''''''''''''''''''</w:t>
      </w:r>
      <w:r>
        <w:rPr>
          <w:rFonts w:ascii="Arial Narrow" w:hAnsi="Arial Narrow"/>
          <w:sz w:val="18"/>
        </w:rPr>
        <w:t xml:space="preserve"> for public hospitals</w:t>
      </w:r>
    </w:p>
    <w:p w:rsidR="00917CE3" w:rsidRDefault="00917CE3" w:rsidP="00081213">
      <w:pPr>
        <w:widowControl/>
        <w:tabs>
          <w:tab w:val="left" w:pos="284"/>
          <w:tab w:val="left" w:pos="993"/>
        </w:tabs>
        <w:ind w:firstLine="709"/>
        <w:rPr>
          <w:szCs w:val="24"/>
        </w:rPr>
      </w:pPr>
    </w:p>
    <w:p w:rsidR="00917CE3" w:rsidRPr="00D379AB" w:rsidRDefault="00917CE3" w:rsidP="002511EC">
      <w:pPr>
        <w:widowControl/>
        <w:tabs>
          <w:tab w:val="left" w:pos="284"/>
          <w:tab w:val="left" w:pos="993"/>
        </w:tabs>
        <w:ind w:left="709"/>
        <w:rPr>
          <w:rFonts w:ascii="Arial Narrow" w:hAnsi="Arial Narrow"/>
          <w:sz w:val="18"/>
        </w:rPr>
      </w:pPr>
      <w:r>
        <w:rPr>
          <w:szCs w:val="24"/>
        </w:rPr>
        <w:t>The redacted table shows that a</w:t>
      </w:r>
      <w:r w:rsidRPr="00DE39BD">
        <w:rPr>
          <w:szCs w:val="24"/>
        </w:rPr>
        <w:t xml:space="preserve">t year 5, the estimated number of </w:t>
      </w:r>
      <w:r w:rsidR="002511EC">
        <w:rPr>
          <w:szCs w:val="24"/>
        </w:rPr>
        <w:t>scripts</w:t>
      </w:r>
      <w:r w:rsidRPr="00DE39BD">
        <w:rPr>
          <w:szCs w:val="24"/>
        </w:rPr>
        <w:t xml:space="preserve"> was </w:t>
      </w:r>
      <w:r w:rsidR="002511EC">
        <w:rPr>
          <w:szCs w:val="24"/>
        </w:rPr>
        <w:t xml:space="preserve">10,000-50,000 </w:t>
      </w:r>
      <w:r w:rsidRPr="00DE39BD">
        <w:rPr>
          <w:szCs w:val="24"/>
        </w:rPr>
        <w:t>and the net</w:t>
      </w:r>
      <w:r w:rsidR="00CE2277">
        <w:rPr>
          <w:szCs w:val="24"/>
        </w:rPr>
        <w:t xml:space="preserve"> cost</w:t>
      </w:r>
      <w:r w:rsidRPr="00DE39BD">
        <w:rPr>
          <w:szCs w:val="24"/>
        </w:rPr>
        <w:t xml:space="preserve"> </w:t>
      </w:r>
      <w:r w:rsidR="002511EC">
        <w:rPr>
          <w:szCs w:val="24"/>
        </w:rPr>
        <w:t>saving</w:t>
      </w:r>
      <w:r w:rsidRPr="00DE39BD">
        <w:rPr>
          <w:szCs w:val="24"/>
        </w:rPr>
        <w:t xml:space="preserve"> to the PBS would be </w:t>
      </w:r>
      <w:r w:rsidR="002511EC">
        <w:rPr>
          <w:szCs w:val="24"/>
        </w:rPr>
        <w:t>$10 - $20 million.</w:t>
      </w:r>
    </w:p>
    <w:p w:rsidR="00D379AB" w:rsidRPr="00D379AB" w:rsidRDefault="00D379AB" w:rsidP="00081213">
      <w:pPr>
        <w:widowControl/>
        <w:tabs>
          <w:tab w:val="left" w:pos="284"/>
          <w:tab w:val="left" w:pos="993"/>
        </w:tabs>
        <w:ind w:firstLine="709"/>
      </w:pPr>
    </w:p>
    <w:p w:rsidR="0041615D" w:rsidRPr="00E54B84" w:rsidRDefault="004F32B4" w:rsidP="00081213">
      <w:pPr>
        <w:pStyle w:val="ListParagraph"/>
        <w:widowControl/>
        <w:numPr>
          <w:ilvl w:val="1"/>
          <w:numId w:val="6"/>
        </w:numPr>
        <w:rPr>
          <w:rStyle w:val="CommentReference"/>
          <w:rFonts w:ascii="Arial" w:hAnsi="Arial"/>
          <w:b w:val="0"/>
          <w:sz w:val="22"/>
          <w:szCs w:val="22"/>
        </w:rPr>
      </w:pPr>
      <w:r w:rsidRPr="00E54B84">
        <w:t>The estimated cost saving we</w:t>
      </w:r>
      <w:r w:rsidR="00D379AB" w:rsidRPr="00E54B84">
        <w:t xml:space="preserve">re dependent on the price reduction proposed for </w:t>
      </w:r>
      <w:proofErr w:type="spellStart"/>
      <w:r w:rsidR="00D379AB" w:rsidRPr="00E54B84">
        <w:t>lipegfilgrastim</w:t>
      </w:r>
      <w:proofErr w:type="spellEnd"/>
      <w:r w:rsidR="00D379AB" w:rsidRPr="00E54B84">
        <w:t xml:space="preserve"> to flow-on to </w:t>
      </w:r>
      <w:proofErr w:type="spellStart"/>
      <w:r w:rsidR="00D379AB" w:rsidRPr="00E54B84">
        <w:t>pegfilgrastim</w:t>
      </w:r>
      <w:proofErr w:type="spellEnd"/>
      <w:r w:rsidR="00D379AB" w:rsidRPr="00E54B84">
        <w:t xml:space="preserve"> an</w:t>
      </w:r>
      <w:r w:rsidRPr="00E54B84">
        <w:t>d the magnitude of the savings we</w:t>
      </w:r>
      <w:r w:rsidR="00D379AB" w:rsidRPr="00E54B84">
        <w:t xml:space="preserve">re dependent on the growth of the market.  </w:t>
      </w:r>
      <w:r w:rsidR="006802E7" w:rsidRPr="00E54B84">
        <w:t xml:space="preserve">Substitution of </w:t>
      </w:r>
      <w:proofErr w:type="spellStart"/>
      <w:r w:rsidR="006802E7" w:rsidRPr="00E54B84">
        <w:t>pegfilgrastim</w:t>
      </w:r>
      <w:proofErr w:type="spellEnd"/>
      <w:r w:rsidR="006802E7" w:rsidRPr="00E54B84">
        <w:t xml:space="preserve"> to use </w:t>
      </w:r>
      <w:r w:rsidR="00473368" w:rsidRPr="00E54B84">
        <w:t xml:space="preserve">of </w:t>
      </w:r>
      <w:proofErr w:type="spellStart"/>
      <w:r w:rsidR="006802E7" w:rsidRPr="00E54B84">
        <w:t>lipegfilgrastim</w:t>
      </w:r>
      <w:proofErr w:type="spellEnd"/>
      <w:r w:rsidR="006802E7" w:rsidRPr="00E54B84">
        <w:t xml:space="preserve"> </w:t>
      </w:r>
      <w:r w:rsidR="00F35F89" w:rsidRPr="00E54B84">
        <w:t xml:space="preserve">may also have an impact if the assumption that one syringe of </w:t>
      </w:r>
      <w:proofErr w:type="spellStart"/>
      <w:r w:rsidR="00F35F89" w:rsidRPr="00E54B84">
        <w:t>lipegfilgrastim</w:t>
      </w:r>
      <w:proofErr w:type="spellEnd"/>
      <w:r w:rsidR="00F35F89" w:rsidRPr="00E54B84">
        <w:t xml:space="preserve"> would substitute for one syringe of </w:t>
      </w:r>
      <w:proofErr w:type="spellStart"/>
      <w:r w:rsidR="00F35F89" w:rsidRPr="00E54B84">
        <w:t>pegfilgrastim</w:t>
      </w:r>
      <w:proofErr w:type="spellEnd"/>
      <w:r w:rsidR="00F35F89" w:rsidRPr="00E54B84">
        <w:t xml:space="preserve"> does not hold.</w:t>
      </w:r>
    </w:p>
    <w:p w:rsidR="00576972" w:rsidRDefault="00576972" w:rsidP="00081213">
      <w:pPr>
        <w:widowControl/>
        <w:rPr>
          <w:szCs w:val="22"/>
        </w:rPr>
      </w:pPr>
    </w:p>
    <w:p w:rsidR="00AC5CA9" w:rsidRDefault="00AC5CA9" w:rsidP="00081213">
      <w:pPr>
        <w:pStyle w:val="ListParagraph"/>
        <w:widowControl/>
        <w:ind w:left="709"/>
        <w:rPr>
          <w:i/>
          <w:szCs w:val="22"/>
        </w:rPr>
      </w:pPr>
      <w:r w:rsidRPr="00950EA7">
        <w:rPr>
          <w:i/>
          <w:szCs w:val="22"/>
        </w:rPr>
        <w:t>For more detail on PBAC’s view, see section 7 “PBAC outcome”</w:t>
      </w:r>
    </w:p>
    <w:p w:rsidR="00666BF6" w:rsidRDefault="00666BF6" w:rsidP="00081213">
      <w:pPr>
        <w:widowControl/>
        <w:spacing w:line="276" w:lineRule="auto"/>
        <w:rPr>
          <w:b/>
          <w:bCs/>
          <w:szCs w:val="22"/>
        </w:rPr>
      </w:pPr>
    </w:p>
    <w:p w:rsidR="00666BF6" w:rsidRPr="00950EA7" w:rsidRDefault="00666BF6" w:rsidP="00175A20">
      <w:pPr>
        <w:pStyle w:val="Heading1"/>
        <w:rPr>
          <w:b w:val="0"/>
          <w:bCs/>
        </w:rPr>
      </w:pPr>
      <w:r w:rsidRPr="00950EA7">
        <w:rPr>
          <w:bCs/>
        </w:rPr>
        <w:lastRenderedPageBreak/>
        <w:t>PBAC Outcome</w:t>
      </w:r>
    </w:p>
    <w:p w:rsidR="00666BF6" w:rsidRPr="006C307E" w:rsidRDefault="00666BF6" w:rsidP="00081213">
      <w:pPr>
        <w:widowControl/>
        <w:contextualSpacing/>
        <w:rPr>
          <w:b/>
          <w:bCs/>
          <w:szCs w:val="22"/>
          <w:highlight w:val="yellow"/>
          <w:lang w:val="en-GB"/>
        </w:rPr>
      </w:pPr>
    </w:p>
    <w:p w:rsidR="00666BF6" w:rsidRPr="00107AA1" w:rsidRDefault="004C6DB4" w:rsidP="00081213">
      <w:pPr>
        <w:widowControl/>
        <w:numPr>
          <w:ilvl w:val="1"/>
          <w:numId w:val="6"/>
        </w:numPr>
        <w:contextualSpacing/>
        <w:rPr>
          <w:b/>
          <w:bCs/>
          <w:szCs w:val="22"/>
          <w:lang w:val="en-GB"/>
        </w:rPr>
      </w:pPr>
      <w:r w:rsidRPr="00347932">
        <w:rPr>
          <w:bCs/>
          <w:szCs w:val="22"/>
          <w:lang w:val="en-GB"/>
        </w:rPr>
        <w:t>The PBAC recommended</w:t>
      </w:r>
      <w:r w:rsidR="009D7EBD">
        <w:rPr>
          <w:bCs/>
          <w:szCs w:val="22"/>
          <w:lang w:val="en-GB"/>
        </w:rPr>
        <w:t xml:space="preserve"> an</w:t>
      </w:r>
      <w:r w:rsidRPr="00347932">
        <w:rPr>
          <w:bCs/>
          <w:szCs w:val="22"/>
          <w:lang w:val="en-GB"/>
        </w:rPr>
        <w:t xml:space="preserve"> </w:t>
      </w:r>
      <w:r w:rsidR="009D7EBD" w:rsidRPr="00347932">
        <w:rPr>
          <w:bCs/>
          <w:szCs w:val="22"/>
          <w:lang w:val="en-GB"/>
        </w:rPr>
        <w:t xml:space="preserve">Authority </w:t>
      </w:r>
      <w:proofErr w:type="gramStart"/>
      <w:r w:rsidR="009D7EBD" w:rsidRPr="00347932">
        <w:rPr>
          <w:bCs/>
          <w:szCs w:val="22"/>
          <w:lang w:val="en-GB"/>
        </w:rPr>
        <w:t>Required</w:t>
      </w:r>
      <w:proofErr w:type="gramEnd"/>
      <w:r w:rsidR="009D7EBD" w:rsidRPr="00347932">
        <w:rPr>
          <w:bCs/>
          <w:szCs w:val="22"/>
          <w:lang w:val="en-GB"/>
        </w:rPr>
        <w:t xml:space="preserve"> </w:t>
      </w:r>
      <w:r w:rsidR="00801DEB">
        <w:rPr>
          <w:bCs/>
          <w:szCs w:val="22"/>
          <w:lang w:val="en-GB"/>
        </w:rPr>
        <w:t xml:space="preserve">listing of </w:t>
      </w:r>
      <w:proofErr w:type="spellStart"/>
      <w:r w:rsidR="00801DEB" w:rsidRPr="00347932">
        <w:rPr>
          <w:bCs/>
          <w:szCs w:val="22"/>
          <w:lang w:val="en-GB"/>
        </w:rPr>
        <w:t>lipegfilgrastim</w:t>
      </w:r>
      <w:proofErr w:type="spellEnd"/>
      <w:r w:rsidR="00801DEB">
        <w:rPr>
          <w:bCs/>
          <w:szCs w:val="22"/>
          <w:lang w:val="en-GB"/>
        </w:rPr>
        <w:t xml:space="preserve"> under </w:t>
      </w:r>
      <w:r w:rsidR="00801DEB" w:rsidRPr="00347932">
        <w:rPr>
          <w:bCs/>
          <w:szCs w:val="22"/>
          <w:lang w:val="en-GB"/>
        </w:rPr>
        <w:t>Section</w:t>
      </w:r>
      <w:r w:rsidRPr="00347932">
        <w:rPr>
          <w:bCs/>
          <w:szCs w:val="22"/>
          <w:lang w:val="en-GB"/>
        </w:rPr>
        <w:t xml:space="preserve"> 100 </w:t>
      </w:r>
      <w:r w:rsidR="009D7EBD">
        <w:rPr>
          <w:bCs/>
          <w:szCs w:val="22"/>
          <w:lang w:val="en-GB"/>
        </w:rPr>
        <w:t>(</w:t>
      </w:r>
      <w:r w:rsidR="00801DEB">
        <w:rPr>
          <w:bCs/>
          <w:szCs w:val="22"/>
          <w:lang w:val="en-GB"/>
        </w:rPr>
        <w:t>Highly Specialised Drug</w:t>
      </w:r>
      <w:r w:rsidR="00AD6445">
        <w:rPr>
          <w:bCs/>
          <w:szCs w:val="22"/>
          <w:lang w:val="en-GB"/>
        </w:rPr>
        <w:t>s</w:t>
      </w:r>
      <w:r w:rsidR="00801DEB">
        <w:rPr>
          <w:bCs/>
          <w:szCs w:val="22"/>
          <w:lang w:val="en-GB"/>
        </w:rPr>
        <w:t xml:space="preserve"> Program</w:t>
      </w:r>
      <w:r w:rsidR="009D7EBD">
        <w:rPr>
          <w:bCs/>
          <w:szCs w:val="22"/>
          <w:lang w:val="en-GB"/>
        </w:rPr>
        <w:t>)</w:t>
      </w:r>
      <w:r w:rsidR="00801DEB">
        <w:rPr>
          <w:bCs/>
          <w:szCs w:val="22"/>
          <w:lang w:val="en-GB"/>
        </w:rPr>
        <w:t xml:space="preserve"> </w:t>
      </w:r>
      <w:r w:rsidR="00801DEB" w:rsidRPr="00347932">
        <w:rPr>
          <w:bCs/>
          <w:szCs w:val="22"/>
          <w:lang w:val="en-GB"/>
        </w:rPr>
        <w:t xml:space="preserve">for </w:t>
      </w:r>
      <w:r w:rsidR="00BA4EDE">
        <w:rPr>
          <w:bCs/>
          <w:szCs w:val="22"/>
          <w:lang w:val="en-GB"/>
        </w:rPr>
        <w:t xml:space="preserve">prophylaxis of </w:t>
      </w:r>
      <w:r w:rsidR="00742D3C" w:rsidRPr="00347932">
        <w:rPr>
          <w:bCs/>
          <w:szCs w:val="22"/>
          <w:lang w:val="en-GB"/>
        </w:rPr>
        <w:t xml:space="preserve">chemotherapy </w:t>
      </w:r>
      <w:r w:rsidR="00801DEB" w:rsidRPr="00347932">
        <w:rPr>
          <w:bCs/>
          <w:szCs w:val="22"/>
          <w:lang w:val="en-GB"/>
        </w:rPr>
        <w:t>induced neutropenia</w:t>
      </w:r>
      <w:r w:rsidR="00AD6445">
        <w:rPr>
          <w:bCs/>
          <w:szCs w:val="22"/>
          <w:lang w:val="en-GB"/>
        </w:rPr>
        <w:t>. The recommendation was made</w:t>
      </w:r>
      <w:r w:rsidRPr="00347932">
        <w:rPr>
          <w:bCs/>
          <w:szCs w:val="22"/>
          <w:lang w:val="en-GB"/>
        </w:rPr>
        <w:t xml:space="preserve"> on a cost-minimisation basis with </w:t>
      </w:r>
      <w:proofErr w:type="spellStart"/>
      <w:r w:rsidRPr="00347932">
        <w:rPr>
          <w:bCs/>
          <w:szCs w:val="22"/>
          <w:lang w:val="en-GB"/>
        </w:rPr>
        <w:t>filgrastim</w:t>
      </w:r>
      <w:proofErr w:type="spellEnd"/>
      <w:r w:rsidR="00AD6445">
        <w:rPr>
          <w:bCs/>
          <w:szCs w:val="22"/>
          <w:lang w:val="en-GB"/>
        </w:rPr>
        <w:t xml:space="preserve"> where</w:t>
      </w:r>
      <w:r w:rsidRPr="00347932">
        <w:rPr>
          <w:bCs/>
          <w:szCs w:val="22"/>
          <w:lang w:val="en-GB"/>
        </w:rPr>
        <w:t xml:space="preserve"> </w:t>
      </w:r>
      <w:r w:rsidR="00AD6445">
        <w:rPr>
          <w:bCs/>
          <w:szCs w:val="22"/>
          <w:lang w:val="en-GB"/>
        </w:rPr>
        <w:t>t</w:t>
      </w:r>
      <w:r w:rsidR="00801DEB" w:rsidRPr="0010502E">
        <w:rPr>
          <w:bCs/>
          <w:szCs w:val="22"/>
          <w:lang w:val="en-GB"/>
        </w:rPr>
        <w:t xml:space="preserve">he </w:t>
      </w:r>
      <w:proofErr w:type="spellStart"/>
      <w:r w:rsidR="00801DEB" w:rsidRPr="0010502E">
        <w:rPr>
          <w:bCs/>
          <w:szCs w:val="22"/>
          <w:lang w:val="en-GB"/>
        </w:rPr>
        <w:t>equi</w:t>
      </w:r>
      <w:proofErr w:type="spellEnd"/>
      <w:r w:rsidR="00801DEB" w:rsidRPr="0010502E">
        <w:rPr>
          <w:bCs/>
          <w:szCs w:val="22"/>
          <w:lang w:val="en-GB"/>
        </w:rPr>
        <w:t xml:space="preserve">-effective doses </w:t>
      </w:r>
      <w:r w:rsidR="00B746A5">
        <w:rPr>
          <w:bCs/>
          <w:szCs w:val="22"/>
          <w:lang w:val="en-GB"/>
        </w:rPr>
        <w:t>are</w:t>
      </w:r>
      <w:r w:rsidR="00801DEB">
        <w:rPr>
          <w:bCs/>
          <w:szCs w:val="22"/>
          <w:lang w:val="en-GB"/>
        </w:rPr>
        <w:t xml:space="preserve"> </w:t>
      </w:r>
      <w:proofErr w:type="spellStart"/>
      <w:r w:rsidR="00801DEB">
        <w:rPr>
          <w:bCs/>
          <w:szCs w:val="22"/>
          <w:lang w:val="en-GB"/>
        </w:rPr>
        <w:t>lipegfilgrastim</w:t>
      </w:r>
      <w:proofErr w:type="spellEnd"/>
      <w:r w:rsidR="00801DEB">
        <w:rPr>
          <w:bCs/>
          <w:szCs w:val="22"/>
          <w:lang w:val="en-GB"/>
        </w:rPr>
        <w:t xml:space="preserve"> </w:t>
      </w:r>
      <w:r w:rsidR="00B746A5">
        <w:rPr>
          <w:bCs/>
          <w:szCs w:val="22"/>
          <w:lang w:val="en-GB"/>
        </w:rPr>
        <w:t xml:space="preserve">6 mg once per chemotherapy cycle, </w:t>
      </w:r>
      <w:proofErr w:type="spellStart"/>
      <w:r w:rsidR="00B746A5">
        <w:rPr>
          <w:bCs/>
          <w:szCs w:val="22"/>
          <w:lang w:val="en-GB"/>
        </w:rPr>
        <w:t>pegfilgrastim</w:t>
      </w:r>
      <w:proofErr w:type="spellEnd"/>
      <w:r w:rsidR="00B746A5">
        <w:rPr>
          <w:bCs/>
          <w:szCs w:val="22"/>
          <w:lang w:val="en-GB"/>
        </w:rPr>
        <w:t xml:space="preserve"> 6 mg once per chemotherapy cycle and </w:t>
      </w:r>
      <w:proofErr w:type="spellStart"/>
      <w:r w:rsidR="00B746A5">
        <w:rPr>
          <w:bCs/>
          <w:szCs w:val="22"/>
          <w:lang w:val="en-GB"/>
        </w:rPr>
        <w:t>filgrastim</w:t>
      </w:r>
      <w:proofErr w:type="spellEnd"/>
      <w:r w:rsidR="00B746A5">
        <w:rPr>
          <w:bCs/>
          <w:szCs w:val="22"/>
          <w:lang w:val="en-GB"/>
        </w:rPr>
        <w:t xml:space="preserve"> </w:t>
      </w:r>
      <w:r w:rsidR="00140AA3">
        <w:rPr>
          <w:bCs/>
          <w:szCs w:val="22"/>
          <w:lang w:val="en-GB"/>
        </w:rPr>
        <w:t>injection 5</w:t>
      </w:r>
      <w:r w:rsidR="00AD6445">
        <w:rPr>
          <w:rFonts w:ascii="Symbol" w:hAnsi="Symbol"/>
          <w:bCs/>
          <w:szCs w:val="22"/>
          <w:lang w:val="en-GB"/>
        </w:rPr>
        <w:t></w:t>
      </w:r>
      <w:r w:rsidR="00AD6445">
        <w:rPr>
          <w:bCs/>
          <w:szCs w:val="22"/>
          <w:lang w:val="en-GB"/>
        </w:rPr>
        <w:t>microgram</w:t>
      </w:r>
      <w:r w:rsidR="00140AA3">
        <w:rPr>
          <w:bCs/>
          <w:szCs w:val="22"/>
          <w:lang w:val="en-GB"/>
        </w:rPr>
        <w:t>/kg/day for 11.25 days.</w:t>
      </w:r>
    </w:p>
    <w:p w:rsidR="00107AA1" w:rsidRPr="00AD6445" w:rsidRDefault="00107AA1" w:rsidP="00081213">
      <w:pPr>
        <w:widowControl/>
        <w:ind w:left="720"/>
        <w:contextualSpacing/>
        <w:rPr>
          <w:b/>
          <w:bCs/>
          <w:szCs w:val="22"/>
          <w:lang w:val="en-GB"/>
        </w:rPr>
      </w:pPr>
    </w:p>
    <w:p w:rsidR="00107AA1" w:rsidRPr="00E73AD9" w:rsidRDefault="00107AA1" w:rsidP="00081213">
      <w:pPr>
        <w:widowControl/>
        <w:numPr>
          <w:ilvl w:val="1"/>
          <w:numId w:val="6"/>
        </w:numPr>
        <w:contextualSpacing/>
        <w:rPr>
          <w:b/>
          <w:bCs/>
          <w:szCs w:val="22"/>
          <w:lang w:val="en-GB"/>
        </w:rPr>
      </w:pPr>
      <w:r>
        <w:rPr>
          <w:bCs/>
          <w:szCs w:val="22"/>
          <w:lang w:val="en-GB"/>
        </w:rPr>
        <w:t xml:space="preserve">The PBAC noted that the submission’s nominated comparator, </w:t>
      </w:r>
      <w:proofErr w:type="spellStart"/>
      <w:r>
        <w:rPr>
          <w:bCs/>
          <w:szCs w:val="22"/>
          <w:lang w:val="en-GB"/>
        </w:rPr>
        <w:t>pegfilgrastim</w:t>
      </w:r>
      <w:proofErr w:type="spellEnd"/>
      <w:r>
        <w:rPr>
          <w:bCs/>
          <w:szCs w:val="22"/>
          <w:lang w:val="en-GB"/>
        </w:rPr>
        <w:t xml:space="preserve">, would be the agent most likely to be substituted. However, the PBAC considered that there would also be some substitution for </w:t>
      </w:r>
      <w:proofErr w:type="spellStart"/>
      <w:r>
        <w:rPr>
          <w:bCs/>
          <w:szCs w:val="22"/>
          <w:lang w:val="en-GB"/>
        </w:rPr>
        <w:t>filgrastim</w:t>
      </w:r>
      <w:proofErr w:type="spellEnd"/>
      <w:r>
        <w:rPr>
          <w:bCs/>
          <w:szCs w:val="22"/>
          <w:lang w:val="en-GB"/>
        </w:rPr>
        <w:t xml:space="preserve">, and that </w:t>
      </w:r>
      <w:proofErr w:type="spellStart"/>
      <w:r>
        <w:rPr>
          <w:bCs/>
          <w:szCs w:val="22"/>
          <w:lang w:val="en-GB"/>
        </w:rPr>
        <w:t>filgrastim</w:t>
      </w:r>
      <w:proofErr w:type="spellEnd"/>
      <w:r>
        <w:rPr>
          <w:bCs/>
          <w:szCs w:val="22"/>
          <w:lang w:val="en-GB"/>
        </w:rPr>
        <w:t xml:space="preserve"> is therefore also a relevant comparator. The PBAC recalled that </w:t>
      </w:r>
      <w:proofErr w:type="spellStart"/>
      <w:r>
        <w:rPr>
          <w:bCs/>
          <w:szCs w:val="22"/>
          <w:lang w:val="en-GB"/>
        </w:rPr>
        <w:t>pegfilgrastim</w:t>
      </w:r>
      <w:proofErr w:type="spellEnd"/>
      <w:r>
        <w:rPr>
          <w:bCs/>
          <w:szCs w:val="22"/>
          <w:lang w:val="en-GB"/>
        </w:rPr>
        <w:t xml:space="preserve"> was listed on a cost-minimisation basis with </w:t>
      </w:r>
      <w:proofErr w:type="spellStart"/>
      <w:r>
        <w:rPr>
          <w:bCs/>
          <w:szCs w:val="22"/>
          <w:lang w:val="en-GB"/>
        </w:rPr>
        <w:t>filgrastim</w:t>
      </w:r>
      <w:proofErr w:type="spellEnd"/>
      <w:r>
        <w:rPr>
          <w:bCs/>
          <w:szCs w:val="22"/>
          <w:lang w:val="en-GB"/>
        </w:rPr>
        <w:t>.</w:t>
      </w:r>
    </w:p>
    <w:p w:rsidR="00AD6445" w:rsidRPr="00AD6445" w:rsidRDefault="00AD6445" w:rsidP="00081213">
      <w:pPr>
        <w:widowControl/>
        <w:ind w:left="720"/>
        <w:contextualSpacing/>
        <w:rPr>
          <w:b/>
          <w:bCs/>
          <w:szCs w:val="22"/>
          <w:lang w:val="en-GB"/>
        </w:rPr>
      </w:pPr>
    </w:p>
    <w:p w:rsidR="00AD6445" w:rsidRPr="00801DEB" w:rsidRDefault="00AD6445" w:rsidP="00081213">
      <w:pPr>
        <w:widowControl/>
        <w:numPr>
          <w:ilvl w:val="1"/>
          <w:numId w:val="6"/>
        </w:numPr>
        <w:contextualSpacing/>
        <w:rPr>
          <w:b/>
          <w:bCs/>
          <w:szCs w:val="22"/>
          <w:lang w:val="en-GB"/>
        </w:rPr>
      </w:pPr>
      <w:r>
        <w:rPr>
          <w:szCs w:val="22"/>
        </w:rPr>
        <w:t>In making th</w:t>
      </w:r>
      <w:r w:rsidR="00107AA1">
        <w:rPr>
          <w:szCs w:val="22"/>
        </w:rPr>
        <w:t>e positive</w:t>
      </w:r>
      <w:r>
        <w:rPr>
          <w:szCs w:val="22"/>
        </w:rPr>
        <w:t xml:space="preserve"> recommendation, the PBAC noted it could only recommend listing of </w:t>
      </w:r>
      <w:proofErr w:type="spellStart"/>
      <w:r>
        <w:rPr>
          <w:szCs w:val="22"/>
        </w:rPr>
        <w:t>lipegfilgrastim</w:t>
      </w:r>
      <w:proofErr w:type="spellEnd"/>
      <w:r>
        <w:rPr>
          <w:szCs w:val="22"/>
        </w:rPr>
        <w:t xml:space="preserve"> </w:t>
      </w:r>
      <w:r w:rsidR="00107AA1">
        <w:rPr>
          <w:szCs w:val="22"/>
        </w:rPr>
        <w:t xml:space="preserve">at a higher price than </w:t>
      </w:r>
      <w:proofErr w:type="spellStart"/>
      <w:r w:rsidR="00107AA1">
        <w:rPr>
          <w:szCs w:val="22"/>
        </w:rPr>
        <w:t>filgrastim</w:t>
      </w:r>
      <w:proofErr w:type="spellEnd"/>
      <w:r w:rsidR="00107AA1">
        <w:rPr>
          <w:szCs w:val="22"/>
        </w:rPr>
        <w:t xml:space="preserve"> </w:t>
      </w:r>
      <w:r>
        <w:rPr>
          <w:szCs w:val="22"/>
        </w:rPr>
        <w:t xml:space="preserve">if it was satisfied that </w:t>
      </w:r>
      <w:proofErr w:type="spellStart"/>
      <w:r>
        <w:rPr>
          <w:szCs w:val="22"/>
        </w:rPr>
        <w:t>lipegfilgrastim</w:t>
      </w:r>
      <w:proofErr w:type="spellEnd"/>
      <w:r>
        <w:rPr>
          <w:szCs w:val="22"/>
        </w:rPr>
        <w:t xml:space="preserve"> provides, for some patients, a significant improvement in efficacy or reduction of toxicity over the alternative therapy or therapies. </w:t>
      </w:r>
      <w:r w:rsidR="00D05125">
        <w:rPr>
          <w:szCs w:val="22"/>
        </w:rPr>
        <w:t xml:space="preserve">The PBAC considered </w:t>
      </w:r>
      <w:proofErr w:type="spellStart"/>
      <w:r w:rsidR="007D7872">
        <w:rPr>
          <w:szCs w:val="22"/>
        </w:rPr>
        <w:t>filgrastim</w:t>
      </w:r>
      <w:proofErr w:type="spellEnd"/>
      <w:r w:rsidR="00D05125">
        <w:rPr>
          <w:szCs w:val="22"/>
        </w:rPr>
        <w:t xml:space="preserve"> to be an appropriate alternate therapy</w:t>
      </w:r>
      <w:r w:rsidR="003D6815">
        <w:rPr>
          <w:szCs w:val="22"/>
        </w:rPr>
        <w:t xml:space="preserve"> in this setting. The PBAC noted the absence of</w:t>
      </w:r>
      <w:r>
        <w:rPr>
          <w:szCs w:val="22"/>
        </w:rPr>
        <w:t xml:space="preserve"> data demonstrating an advantage of </w:t>
      </w:r>
      <w:proofErr w:type="spellStart"/>
      <w:r w:rsidR="007D7872">
        <w:rPr>
          <w:szCs w:val="22"/>
        </w:rPr>
        <w:t>lipegfilgrastim</w:t>
      </w:r>
      <w:proofErr w:type="spellEnd"/>
      <w:r>
        <w:rPr>
          <w:szCs w:val="22"/>
        </w:rPr>
        <w:t xml:space="preserve"> over </w:t>
      </w:r>
      <w:proofErr w:type="spellStart"/>
      <w:r w:rsidR="007D7872">
        <w:rPr>
          <w:szCs w:val="22"/>
        </w:rPr>
        <w:t>filgrastim</w:t>
      </w:r>
      <w:proofErr w:type="spellEnd"/>
      <w:r w:rsidR="00107AA1">
        <w:rPr>
          <w:szCs w:val="22"/>
        </w:rPr>
        <w:t xml:space="preserve"> for the clinical endpoint of interest.</w:t>
      </w:r>
      <w:r w:rsidR="003D6815">
        <w:rPr>
          <w:szCs w:val="22"/>
        </w:rPr>
        <w:t xml:space="preserve"> </w:t>
      </w:r>
      <w:r w:rsidR="00107AA1">
        <w:rPr>
          <w:szCs w:val="22"/>
        </w:rPr>
        <w:t>T</w:t>
      </w:r>
      <w:r>
        <w:rPr>
          <w:szCs w:val="22"/>
        </w:rPr>
        <w:t xml:space="preserve">he PBAC therefore considered a cost-minimisation recommendation against </w:t>
      </w:r>
      <w:proofErr w:type="spellStart"/>
      <w:r w:rsidR="007D7872">
        <w:rPr>
          <w:szCs w:val="22"/>
        </w:rPr>
        <w:t>filgrastim</w:t>
      </w:r>
      <w:proofErr w:type="spellEnd"/>
      <w:r>
        <w:rPr>
          <w:szCs w:val="22"/>
        </w:rPr>
        <w:t xml:space="preserve"> </w:t>
      </w:r>
      <w:r w:rsidR="003D6815">
        <w:rPr>
          <w:szCs w:val="22"/>
        </w:rPr>
        <w:t xml:space="preserve">to be </w:t>
      </w:r>
      <w:r>
        <w:rPr>
          <w:szCs w:val="22"/>
        </w:rPr>
        <w:t>appropriate.</w:t>
      </w:r>
    </w:p>
    <w:p w:rsidR="00E73AD9" w:rsidRDefault="00E73AD9" w:rsidP="00081213">
      <w:pPr>
        <w:pStyle w:val="ListParagraph"/>
        <w:widowControl/>
        <w:rPr>
          <w:bCs/>
          <w:szCs w:val="22"/>
          <w:lang w:val="en-GB"/>
        </w:rPr>
      </w:pPr>
    </w:p>
    <w:p w:rsidR="008D34EF" w:rsidRPr="008D34EF" w:rsidRDefault="00E73AD9" w:rsidP="00081213">
      <w:pPr>
        <w:widowControl/>
        <w:numPr>
          <w:ilvl w:val="1"/>
          <w:numId w:val="6"/>
        </w:numPr>
        <w:contextualSpacing/>
        <w:rPr>
          <w:b/>
          <w:bCs/>
          <w:szCs w:val="22"/>
          <w:lang w:val="en-GB"/>
        </w:rPr>
      </w:pPr>
      <w:r w:rsidRPr="0019126A">
        <w:rPr>
          <w:bCs/>
          <w:szCs w:val="22"/>
          <w:lang w:val="en-GB"/>
        </w:rPr>
        <w:t xml:space="preserve">The PBAC recommended </w:t>
      </w:r>
      <w:r>
        <w:rPr>
          <w:bCs/>
          <w:szCs w:val="22"/>
          <w:lang w:val="en-GB"/>
        </w:rPr>
        <w:t>that</w:t>
      </w:r>
      <w:r w:rsidRPr="0019126A">
        <w:rPr>
          <w:bCs/>
          <w:szCs w:val="22"/>
          <w:lang w:val="en-GB"/>
        </w:rPr>
        <w:t xml:space="preserve"> </w:t>
      </w:r>
      <w:proofErr w:type="spellStart"/>
      <w:r w:rsidRPr="0019126A">
        <w:rPr>
          <w:bCs/>
          <w:szCs w:val="22"/>
          <w:lang w:val="en-GB"/>
        </w:rPr>
        <w:t>lipegfilgrastim</w:t>
      </w:r>
      <w:proofErr w:type="spellEnd"/>
      <w:r w:rsidRPr="0019126A">
        <w:rPr>
          <w:bCs/>
          <w:szCs w:val="22"/>
          <w:lang w:val="en-GB"/>
        </w:rPr>
        <w:t xml:space="preserve"> </w:t>
      </w:r>
      <w:r>
        <w:rPr>
          <w:bCs/>
          <w:szCs w:val="22"/>
          <w:lang w:val="en-GB"/>
        </w:rPr>
        <w:t xml:space="preserve">is listed for </w:t>
      </w:r>
      <w:r w:rsidRPr="0019126A">
        <w:rPr>
          <w:bCs/>
          <w:szCs w:val="22"/>
          <w:lang w:val="en-GB"/>
        </w:rPr>
        <w:t xml:space="preserve">the same </w:t>
      </w:r>
      <w:r>
        <w:rPr>
          <w:bCs/>
          <w:szCs w:val="22"/>
          <w:lang w:val="en-GB"/>
        </w:rPr>
        <w:t xml:space="preserve">indications </w:t>
      </w:r>
      <w:r w:rsidRPr="0019126A">
        <w:rPr>
          <w:bCs/>
          <w:szCs w:val="22"/>
          <w:lang w:val="en-GB"/>
        </w:rPr>
        <w:t xml:space="preserve">as </w:t>
      </w:r>
      <w:proofErr w:type="spellStart"/>
      <w:r w:rsidRPr="0019126A">
        <w:rPr>
          <w:szCs w:val="22"/>
        </w:rPr>
        <w:t>pegfilgrastim</w:t>
      </w:r>
      <w:proofErr w:type="spellEnd"/>
      <w:r w:rsidRPr="0019126A">
        <w:rPr>
          <w:szCs w:val="22"/>
        </w:rPr>
        <w:t>.</w:t>
      </w:r>
      <w:r w:rsidRPr="0019126A">
        <w:rPr>
          <w:bCs/>
          <w:szCs w:val="22"/>
          <w:lang w:val="en-GB"/>
        </w:rPr>
        <w:t xml:space="preserve"> </w:t>
      </w:r>
      <w:r>
        <w:rPr>
          <w:szCs w:val="22"/>
        </w:rPr>
        <w:t>The PBAC were of the view that evidence of comparative clinical efficacy in one chemotherapy-induced neutropenia scenario was sufficient to enable extrapolation to other chemotherapy-induced neutropenia scena</w:t>
      </w:r>
      <w:r w:rsidR="004F5220">
        <w:rPr>
          <w:szCs w:val="22"/>
        </w:rPr>
        <w:t>r</w:t>
      </w:r>
      <w:r>
        <w:rPr>
          <w:szCs w:val="22"/>
        </w:rPr>
        <w:t xml:space="preserve">ios where evidence of efficacy of long half-life G-CSFs have previously </w:t>
      </w:r>
      <w:r w:rsidR="004F5220">
        <w:rPr>
          <w:szCs w:val="22"/>
        </w:rPr>
        <w:t xml:space="preserve">been </w:t>
      </w:r>
      <w:r>
        <w:rPr>
          <w:szCs w:val="22"/>
        </w:rPr>
        <w:t>accepted.</w:t>
      </w:r>
    </w:p>
    <w:p w:rsidR="00180B35" w:rsidRDefault="00180B35" w:rsidP="00081213">
      <w:pPr>
        <w:pStyle w:val="ListParagraph"/>
        <w:widowControl/>
        <w:rPr>
          <w:b/>
          <w:bCs/>
          <w:szCs w:val="22"/>
          <w:lang w:val="en-GB"/>
        </w:rPr>
      </w:pPr>
    </w:p>
    <w:p w:rsidR="00180B35" w:rsidRPr="00210765" w:rsidRDefault="00210765" w:rsidP="00081213">
      <w:pPr>
        <w:widowControl/>
        <w:numPr>
          <w:ilvl w:val="1"/>
          <w:numId w:val="6"/>
        </w:numPr>
        <w:contextualSpacing/>
        <w:rPr>
          <w:b/>
          <w:bCs/>
          <w:szCs w:val="22"/>
          <w:lang w:val="en-GB"/>
        </w:rPr>
      </w:pPr>
      <w:r w:rsidRPr="00347932">
        <w:rPr>
          <w:bCs/>
          <w:szCs w:val="22"/>
          <w:lang w:val="en-GB"/>
        </w:rPr>
        <w:t xml:space="preserve">The PBAC </w:t>
      </w:r>
      <w:r w:rsidR="008D34EF">
        <w:rPr>
          <w:bCs/>
          <w:szCs w:val="22"/>
          <w:lang w:val="en-GB"/>
        </w:rPr>
        <w:t xml:space="preserve">noted ESC advice about uncertainty regarding the efficacy of </w:t>
      </w:r>
      <w:proofErr w:type="spellStart"/>
      <w:r w:rsidR="008D34EF">
        <w:rPr>
          <w:bCs/>
          <w:szCs w:val="22"/>
          <w:lang w:val="en-GB"/>
        </w:rPr>
        <w:t>lipegfilgra</w:t>
      </w:r>
      <w:r w:rsidR="003D6815">
        <w:rPr>
          <w:bCs/>
          <w:szCs w:val="22"/>
          <w:lang w:val="en-GB"/>
        </w:rPr>
        <w:t>s</w:t>
      </w:r>
      <w:r w:rsidR="008D34EF">
        <w:rPr>
          <w:bCs/>
          <w:szCs w:val="22"/>
          <w:lang w:val="en-GB"/>
        </w:rPr>
        <w:t>tim</w:t>
      </w:r>
      <w:proofErr w:type="spellEnd"/>
      <w:r w:rsidR="008D34EF">
        <w:rPr>
          <w:bCs/>
          <w:szCs w:val="22"/>
          <w:lang w:val="en-GB"/>
        </w:rPr>
        <w:t xml:space="preserve"> in those weighing over 80 </w:t>
      </w:r>
      <w:proofErr w:type="gramStart"/>
      <w:r w:rsidR="008D34EF">
        <w:rPr>
          <w:bCs/>
          <w:szCs w:val="22"/>
          <w:lang w:val="en-GB"/>
        </w:rPr>
        <w:t>kg,</w:t>
      </w:r>
      <w:proofErr w:type="gramEnd"/>
      <w:r w:rsidR="008D34EF">
        <w:rPr>
          <w:bCs/>
          <w:szCs w:val="22"/>
          <w:lang w:val="en-GB"/>
        </w:rPr>
        <w:t xml:space="preserve"> however the PBAC </w:t>
      </w:r>
      <w:r w:rsidRPr="00347932">
        <w:rPr>
          <w:bCs/>
          <w:szCs w:val="22"/>
          <w:lang w:val="en-GB"/>
        </w:rPr>
        <w:t>a</w:t>
      </w:r>
      <w:r>
        <w:rPr>
          <w:bCs/>
          <w:szCs w:val="22"/>
          <w:lang w:val="en-GB"/>
        </w:rPr>
        <w:t>ccepted</w:t>
      </w:r>
      <w:r w:rsidR="008D34EF">
        <w:rPr>
          <w:bCs/>
          <w:szCs w:val="22"/>
          <w:lang w:val="en-GB"/>
        </w:rPr>
        <w:t xml:space="preserve"> the sponsor’s argument</w:t>
      </w:r>
      <w:r w:rsidRPr="00347932">
        <w:rPr>
          <w:bCs/>
          <w:szCs w:val="22"/>
          <w:lang w:val="en-GB"/>
        </w:rPr>
        <w:t xml:space="preserve"> </w:t>
      </w:r>
      <w:r>
        <w:rPr>
          <w:bCs/>
          <w:szCs w:val="22"/>
          <w:lang w:val="en-GB"/>
        </w:rPr>
        <w:t xml:space="preserve">that patient weight was unlikely to have an impact on the clinical efficacy of </w:t>
      </w:r>
      <w:proofErr w:type="spellStart"/>
      <w:r>
        <w:rPr>
          <w:bCs/>
          <w:szCs w:val="22"/>
          <w:lang w:val="en-GB"/>
        </w:rPr>
        <w:t>lipegfilgrastim</w:t>
      </w:r>
      <w:proofErr w:type="spellEnd"/>
      <w:r w:rsidR="00107AA1">
        <w:rPr>
          <w:bCs/>
          <w:szCs w:val="22"/>
          <w:lang w:val="en-GB"/>
        </w:rPr>
        <w:t>, at least relative to the efficacy observed in current practice</w:t>
      </w:r>
      <w:r>
        <w:rPr>
          <w:bCs/>
          <w:szCs w:val="22"/>
          <w:lang w:val="en-GB"/>
        </w:rPr>
        <w:t>.</w:t>
      </w:r>
    </w:p>
    <w:p w:rsidR="00347932" w:rsidRPr="00347932" w:rsidRDefault="00347932" w:rsidP="00081213">
      <w:pPr>
        <w:pStyle w:val="ListParagraph"/>
        <w:widowControl/>
        <w:rPr>
          <w:bCs/>
          <w:szCs w:val="22"/>
          <w:lang w:val="en-GB"/>
        </w:rPr>
      </w:pPr>
    </w:p>
    <w:p w:rsidR="00E74E5E" w:rsidRPr="00E74E5E" w:rsidRDefault="00874262" w:rsidP="00081213">
      <w:pPr>
        <w:widowControl/>
        <w:numPr>
          <w:ilvl w:val="1"/>
          <w:numId w:val="6"/>
        </w:numPr>
        <w:rPr>
          <w:bCs/>
          <w:szCs w:val="22"/>
        </w:rPr>
      </w:pPr>
      <w:r>
        <w:rPr>
          <w:bCs/>
          <w:szCs w:val="22"/>
          <w:lang w:val="en-GB"/>
        </w:rPr>
        <w:t xml:space="preserve">The submission presented two head-to-head </w:t>
      </w:r>
      <w:r w:rsidR="006C7E60">
        <w:rPr>
          <w:bCs/>
          <w:szCs w:val="22"/>
          <w:lang w:val="en-GB"/>
        </w:rPr>
        <w:t xml:space="preserve">randomised </w:t>
      </w:r>
      <w:r>
        <w:rPr>
          <w:bCs/>
          <w:szCs w:val="22"/>
          <w:lang w:val="en-GB"/>
        </w:rPr>
        <w:t>trials</w:t>
      </w:r>
      <w:r w:rsidR="00E74E5E">
        <w:rPr>
          <w:bCs/>
          <w:szCs w:val="22"/>
          <w:lang w:val="en-GB"/>
        </w:rPr>
        <w:t>, S</w:t>
      </w:r>
      <w:proofErr w:type="spellStart"/>
      <w:r w:rsidR="00E74E5E">
        <w:rPr>
          <w:bCs/>
          <w:szCs w:val="22"/>
        </w:rPr>
        <w:t>tudy</w:t>
      </w:r>
      <w:proofErr w:type="spellEnd"/>
      <w:r w:rsidR="00E74E5E">
        <w:rPr>
          <w:bCs/>
          <w:szCs w:val="22"/>
        </w:rPr>
        <w:t xml:space="preserve"> 02 (XM22-02) and Study 03 (XM22-03),</w:t>
      </w:r>
      <w:r>
        <w:rPr>
          <w:bCs/>
          <w:szCs w:val="22"/>
          <w:lang w:val="en-GB"/>
        </w:rPr>
        <w:t xml:space="preserve"> comparing </w:t>
      </w:r>
      <w:proofErr w:type="spellStart"/>
      <w:r>
        <w:rPr>
          <w:bCs/>
          <w:szCs w:val="22"/>
          <w:lang w:val="en-GB"/>
        </w:rPr>
        <w:t>lipegfilgrastim</w:t>
      </w:r>
      <w:proofErr w:type="spellEnd"/>
      <w:r>
        <w:rPr>
          <w:bCs/>
          <w:szCs w:val="22"/>
          <w:lang w:val="en-GB"/>
        </w:rPr>
        <w:t xml:space="preserve"> and </w:t>
      </w:r>
      <w:proofErr w:type="spellStart"/>
      <w:r>
        <w:rPr>
          <w:bCs/>
          <w:szCs w:val="22"/>
          <w:lang w:val="en-GB"/>
        </w:rPr>
        <w:t>pegfilgrastim</w:t>
      </w:r>
      <w:proofErr w:type="spellEnd"/>
      <w:r>
        <w:rPr>
          <w:bCs/>
          <w:szCs w:val="22"/>
          <w:lang w:val="en-GB"/>
        </w:rPr>
        <w:t xml:space="preserve">. </w:t>
      </w:r>
      <w:r w:rsidR="002F7F12">
        <w:rPr>
          <w:bCs/>
          <w:szCs w:val="22"/>
          <w:lang w:val="en-GB"/>
        </w:rPr>
        <w:t xml:space="preserve">The PBAC </w:t>
      </w:r>
      <w:r w:rsidR="00E74E5E">
        <w:rPr>
          <w:bCs/>
          <w:szCs w:val="22"/>
          <w:lang w:val="en-GB"/>
        </w:rPr>
        <w:t>considered that</w:t>
      </w:r>
      <w:r w:rsidR="002F7F12">
        <w:rPr>
          <w:bCs/>
          <w:szCs w:val="22"/>
          <w:lang w:val="en-GB"/>
        </w:rPr>
        <w:t xml:space="preserve"> the </w:t>
      </w:r>
      <w:r w:rsidR="00E74E5E">
        <w:rPr>
          <w:bCs/>
          <w:szCs w:val="22"/>
          <w:lang w:val="en-GB"/>
        </w:rPr>
        <w:t xml:space="preserve">clinical </w:t>
      </w:r>
      <w:r w:rsidR="002F7F12">
        <w:rPr>
          <w:bCs/>
          <w:szCs w:val="22"/>
          <w:lang w:val="en-GB"/>
        </w:rPr>
        <w:t>data provided</w:t>
      </w:r>
      <w:r w:rsidR="00E74E5E">
        <w:rPr>
          <w:bCs/>
          <w:szCs w:val="22"/>
          <w:lang w:val="en-GB"/>
        </w:rPr>
        <w:t xml:space="preserve"> robust support of</w:t>
      </w:r>
      <w:r w:rsidR="002F7F12">
        <w:rPr>
          <w:bCs/>
          <w:szCs w:val="22"/>
          <w:lang w:val="en-GB"/>
        </w:rPr>
        <w:t xml:space="preserve"> equivalent efficacy between </w:t>
      </w:r>
      <w:proofErr w:type="spellStart"/>
      <w:r w:rsidR="002F7F12">
        <w:rPr>
          <w:bCs/>
          <w:szCs w:val="22"/>
          <w:lang w:val="en-GB"/>
        </w:rPr>
        <w:t>lipegfilgrastim</w:t>
      </w:r>
      <w:proofErr w:type="spellEnd"/>
      <w:r w:rsidR="002F7F12">
        <w:rPr>
          <w:bCs/>
          <w:szCs w:val="22"/>
          <w:lang w:val="en-GB"/>
        </w:rPr>
        <w:t xml:space="preserve"> and </w:t>
      </w:r>
      <w:proofErr w:type="spellStart"/>
      <w:r w:rsidR="002F7F12">
        <w:rPr>
          <w:bCs/>
          <w:szCs w:val="22"/>
          <w:lang w:val="en-GB"/>
        </w:rPr>
        <w:t>pegfilgrastim</w:t>
      </w:r>
      <w:proofErr w:type="spellEnd"/>
      <w:r w:rsidR="00E62DAE">
        <w:rPr>
          <w:bCs/>
          <w:szCs w:val="22"/>
          <w:lang w:val="en-GB"/>
        </w:rPr>
        <w:t>. The PBAC also considered</w:t>
      </w:r>
      <w:r w:rsidR="00E74E5E">
        <w:rPr>
          <w:bCs/>
          <w:szCs w:val="22"/>
          <w:lang w:val="en-GB"/>
        </w:rPr>
        <w:t xml:space="preserve"> that the </w:t>
      </w:r>
      <w:r w:rsidR="00252B5A">
        <w:rPr>
          <w:bCs/>
          <w:szCs w:val="22"/>
          <w:lang w:val="en-GB"/>
        </w:rPr>
        <w:t xml:space="preserve">pre-specified </w:t>
      </w:r>
      <w:r w:rsidR="00E74E5E">
        <w:rPr>
          <w:bCs/>
          <w:szCs w:val="22"/>
          <w:lang w:val="en-GB"/>
        </w:rPr>
        <w:t>non-inferiority margin</w:t>
      </w:r>
      <w:r w:rsidR="00E62DAE">
        <w:rPr>
          <w:bCs/>
          <w:szCs w:val="22"/>
          <w:lang w:val="en-GB"/>
        </w:rPr>
        <w:t>,</w:t>
      </w:r>
      <w:r w:rsidR="002F7F12">
        <w:rPr>
          <w:bCs/>
          <w:szCs w:val="22"/>
          <w:lang w:val="en-GB"/>
        </w:rPr>
        <w:t xml:space="preserve"> </w:t>
      </w:r>
      <w:r w:rsidR="00E62DAE">
        <w:rPr>
          <w:bCs/>
          <w:szCs w:val="22"/>
          <w:lang w:val="en-GB"/>
        </w:rPr>
        <w:t xml:space="preserve">of less than one day for the duration of severe neutropenia, </w:t>
      </w:r>
      <w:r w:rsidR="00252B5A">
        <w:rPr>
          <w:bCs/>
          <w:szCs w:val="22"/>
          <w:lang w:val="en-GB"/>
        </w:rPr>
        <w:t xml:space="preserve">was appropriate and </w:t>
      </w:r>
      <w:r w:rsidR="00E62DAE">
        <w:rPr>
          <w:bCs/>
          <w:szCs w:val="22"/>
          <w:lang w:val="en-GB"/>
        </w:rPr>
        <w:t xml:space="preserve">noted that the criterion was </w:t>
      </w:r>
      <w:r w:rsidR="00252B5A">
        <w:rPr>
          <w:bCs/>
          <w:szCs w:val="22"/>
          <w:lang w:val="en-GB"/>
        </w:rPr>
        <w:t>met in meta-analyses for the intention to treat and per protocol populations.</w:t>
      </w:r>
    </w:p>
    <w:p w:rsidR="00E74E5E" w:rsidRPr="00E74E5E" w:rsidRDefault="00E74E5E" w:rsidP="00081213">
      <w:pPr>
        <w:widowControl/>
        <w:ind w:left="720"/>
        <w:rPr>
          <w:bCs/>
          <w:szCs w:val="22"/>
        </w:rPr>
      </w:pPr>
    </w:p>
    <w:p w:rsidR="001A7FA3" w:rsidRDefault="001A7FA3" w:rsidP="00081213">
      <w:pPr>
        <w:widowControl/>
        <w:numPr>
          <w:ilvl w:val="1"/>
          <w:numId w:val="6"/>
        </w:numPr>
        <w:rPr>
          <w:bCs/>
          <w:szCs w:val="22"/>
        </w:rPr>
      </w:pPr>
      <w:r w:rsidRPr="006D54A5">
        <w:rPr>
          <w:bCs/>
          <w:szCs w:val="22"/>
        </w:rPr>
        <w:t xml:space="preserve">The PBAC </w:t>
      </w:r>
      <w:r w:rsidR="00407399">
        <w:rPr>
          <w:bCs/>
          <w:szCs w:val="22"/>
        </w:rPr>
        <w:t>considered</w:t>
      </w:r>
      <w:r w:rsidR="005E39C8">
        <w:rPr>
          <w:bCs/>
          <w:szCs w:val="22"/>
        </w:rPr>
        <w:t xml:space="preserve"> that</w:t>
      </w:r>
      <w:r w:rsidRPr="006D54A5">
        <w:rPr>
          <w:bCs/>
          <w:szCs w:val="22"/>
        </w:rPr>
        <w:t xml:space="preserve"> the clinical claim of </w:t>
      </w:r>
      <w:r>
        <w:rPr>
          <w:bCs/>
          <w:szCs w:val="22"/>
        </w:rPr>
        <w:t>non-</w:t>
      </w:r>
      <w:r w:rsidR="003E7A3D" w:rsidRPr="006D54A5">
        <w:rPr>
          <w:bCs/>
          <w:szCs w:val="22"/>
        </w:rPr>
        <w:t>inferior</w:t>
      </w:r>
      <w:r w:rsidR="005E39C8">
        <w:rPr>
          <w:bCs/>
          <w:szCs w:val="22"/>
        </w:rPr>
        <w:t xml:space="preserve"> comparative effectiveness and safety over </w:t>
      </w:r>
      <w:proofErr w:type="spellStart"/>
      <w:r w:rsidR="005E39C8">
        <w:rPr>
          <w:bCs/>
          <w:szCs w:val="22"/>
        </w:rPr>
        <w:t>pegfilgrastim</w:t>
      </w:r>
      <w:proofErr w:type="spellEnd"/>
      <w:r w:rsidR="005E39C8">
        <w:rPr>
          <w:bCs/>
          <w:szCs w:val="22"/>
        </w:rPr>
        <w:t xml:space="preserve"> </w:t>
      </w:r>
      <w:r w:rsidR="003E7A3D" w:rsidRPr="006D54A5">
        <w:rPr>
          <w:bCs/>
          <w:szCs w:val="22"/>
        </w:rPr>
        <w:t>was</w:t>
      </w:r>
      <w:r w:rsidRPr="006D54A5">
        <w:rPr>
          <w:bCs/>
          <w:szCs w:val="22"/>
        </w:rPr>
        <w:t xml:space="preserve"> </w:t>
      </w:r>
      <w:r w:rsidR="005E39C8">
        <w:rPr>
          <w:bCs/>
          <w:szCs w:val="22"/>
        </w:rPr>
        <w:t>reasonable</w:t>
      </w:r>
      <w:r w:rsidR="001424A2">
        <w:rPr>
          <w:bCs/>
          <w:szCs w:val="22"/>
        </w:rPr>
        <w:t>.</w:t>
      </w:r>
    </w:p>
    <w:p w:rsidR="00407399" w:rsidRPr="00D62BB1" w:rsidRDefault="00407399" w:rsidP="00081213">
      <w:pPr>
        <w:pStyle w:val="ListParagraph"/>
        <w:widowControl/>
        <w:rPr>
          <w:szCs w:val="22"/>
        </w:rPr>
      </w:pPr>
    </w:p>
    <w:p w:rsidR="00407399" w:rsidRPr="00701DFF" w:rsidRDefault="00407399" w:rsidP="00081213">
      <w:pPr>
        <w:pStyle w:val="ListParagraph"/>
        <w:widowControl/>
        <w:numPr>
          <w:ilvl w:val="1"/>
          <w:numId w:val="6"/>
        </w:numPr>
        <w:rPr>
          <w:szCs w:val="22"/>
        </w:rPr>
      </w:pPr>
      <w:r>
        <w:rPr>
          <w:szCs w:val="22"/>
        </w:rPr>
        <w:t xml:space="preserve">The PBAC considered that </w:t>
      </w:r>
      <w:r w:rsidR="00905131">
        <w:rPr>
          <w:szCs w:val="22"/>
        </w:rPr>
        <w:t xml:space="preserve">net </w:t>
      </w:r>
      <w:r>
        <w:rPr>
          <w:szCs w:val="22"/>
        </w:rPr>
        <w:t>cost savings</w:t>
      </w:r>
      <w:r w:rsidR="00905131">
        <w:rPr>
          <w:szCs w:val="22"/>
        </w:rPr>
        <w:t xml:space="preserve"> to Government</w:t>
      </w:r>
      <w:r>
        <w:rPr>
          <w:szCs w:val="22"/>
        </w:rPr>
        <w:t xml:space="preserve"> </w:t>
      </w:r>
      <w:r w:rsidR="00905131">
        <w:rPr>
          <w:szCs w:val="22"/>
        </w:rPr>
        <w:t>would</w:t>
      </w:r>
      <w:r>
        <w:rPr>
          <w:szCs w:val="22"/>
        </w:rPr>
        <w:t xml:space="preserve"> </w:t>
      </w:r>
      <w:r w:rsidR="00905131">
        <w:rPr>
          <w:szCs w:val="22"/>
        </w:rPr>
        <w:t xml:space="preserve">depend on </w:t>
      </w:r>
      <w:r>
        <w:rPr>
          <w:szCs w:val="22"/>
        </w:rPr>
        <w:t xml:space="preserve">the </w:t>
      </w:r>
      <w:r w:rsidR="00905131">
        <w:rPr>
          <w:szCs w:val="22"/>
        </w:rPr>
        <w:t>difference in price between</w:t>
      </w:r>
      <w:r>
        <w:rPr>
          <w:szCs w:val="22"/>
        </w:rPr>
        <w:t xml:space="preserve"> </w:t>
      </w:r>
      <w:proofErr w:type="spellStart"/>
      <w:r>
        <w:rPr>
          <w:szCs w:val="22"/>
        </w:rPr>
        <w:t>pegfilgrastim</w:t>
      </w:r>
      <w:proofErr w:type="spellEnd"/>
      <w:r>
        <w:rPr>
          <w:szCs w:val="22"/>
        </w:rPr>
        <w:t xml:space="preserve"> and </w:t>
      </w:r>
      <w:proofErr w:type="spellStart"/>
      <w:r>
        <w:rPr>
          <w:szCs w:val="22"/>
        </w:rPr>
        <w:t>lipegfilgrastim</w:t>
      </w:r>
      <w:proofErr w:type="spellEnd"/>
      <w:r>
        <w:rPr>
          <w:szCs w:val="22"/>
        </w:rPr>
        <w:t xml:space="preserve"> </w:t>
      </w:r>
      <w:r w:rsidR="00905131">
        <w:rPr>
          <w:szCs w:val="22"/>
        </w:rPr>
        <w:t>at the point of</w:t>
      </w:r>
      <w:r>
        <w:rPr>
          <w:szCs w:val="22"/>
        </w:rPr>
        <w:t xml:space="preserve"> </w:t>
      </w:r>
      <w:proofErr w:type="spellStart"/>
      <w:r w:rsidR="00905131">
        <w:rPr>
          <w:szCs w:val="22"/>
        </w:rPr>
        <w:t>lipegfilgrastim</w:t>
      </w:r>
      <w:proofErr w:type="spellEnd"/>
      <w:r w:rsidR="00905131">
        <w:rPr>
          <w:szCs w:val="22"/>
        </w:rPr>
        <w:t xml:space="preserve"> </w:t>
      </w:r>
      <w:r>
        <w:rPr>
          <w:szCs w:val="22"/>
        </w:rPr>
        <w:t>PBS list</w:t>
      </w:r>
      <w:r w:rsidR="00905131">
        <w:rPr>
          <w:szCs w:val="22"/>
        </w:rPr>
        <w:t>ing</w:t>
      </w:r>
      <w:r>
        <w:rPr>
          <w:szCs w:val="22"/>
        </w:rPr>
        <w:t xml:space="preserve">. </w:t>
      </w:r>
      <w:r w:rsidR="00905131">
        <w:rPr>
          <w:szCs w:val="22"/>
        </w:rPr>
        <w:t>S</w:t>
      </w:r>
      <w:r>
        <w:rPr>
          <w:szCs w:val="22"/>
        </w:rPr>
        <w:t xml:space="preserve">ubstitution of </w:t>
      </w:r>
      <w:proofErr w:type="spellStart"/>
      <w:r>
        <w:rPr>
          <w:szCs w:val="22"/>
        </w:rPr>
        <w:t>filgrastim</w:t>
      </w:r>
      <w:proofErr w:type="spellEnd"/>
      <w:r>
        <w:rPr>
          <w:szCs w:val="22"/>
        </w:rPr>
        <w:t xml:space="preserve"> by </w:t>
      </w:r>
      <w:proofErr w:type="spellStart"/>
      <w:r>
        <w:rPr>
          <w:szCs w:val="22"/>
        </w:rPr>
        <w:t>lipegfilgrastim</w:t>
      </w:r>
      <w:proofErr w:type="spellEnd"/>
      <w:r>
        <w:rPr>
          <w:szCs w:val="22"/>
        </w:rPr>
        <w:t xml:space="preserve"> </w:t>
      </w:r>
      <w:r w:rsidR="00905131">
        <w:rPr>
          <w:szCs w:val="22"/>
        </w:rPr>
        <w:t>would</w:t>
      </w:r>
      <w:r>
        <w:rPr>
          <w:szCs w:val="22"/>
        </w:rPr>
        <w:t xml:space="preserve"> be</w:t>
      </w:r>
      <w:r w:rsidR="00BA4EDE">
        <w:rPr>
          <w:szCs w:val="22"/>
        </w:rPr>
        <w:t xml:space="preserve"> expected to be</w:t>
      </w:r>
      <w:r>
        <w:rPr>
          <w:szCs w:val="22"/>
        </w:rPr>
        <w:t xml:space="preserve"> cost-neutral.</w:t>
      </w:r>
    </w:p>
    <w:p w:rsidR="0019126A" w:rsidRPr="0019126A" w:rsidRDefault="0019126A" w:rsidP="00081213">
      <w:pPr>
        <w:widowControl/>
        <w:contextualSpacing/>
        <w:rPr>
          <w:b/>
          <w:bCs/>
          <w:szCs w:val="22"/>
          <w:lang w:val="en-GB"/>
        </w:rPr>
      </w:pPr>
    </w:p>
    <w:p w:rsidR="00701DFF" w:rsidRPr="00CF3498" w:rsidRDefault="00D25C74" w:rsidP="00081213">
      <w:pPr>
        <w:pStyle w:val="ListParagraph"/>
        <w:widowControl/>
        <w:numPr>
          <w:ilvl w:val="1"/>
          <w:numId w:val="6"/>
        </w:numPr>
        <w:rPr>
          <w:sz w:val="20"/>
          <w:szCs w:val="22"/>
        </w:rPr>
      </w:pPr>
      <w:r w:rsidRPr="00347932">
        <w:lastRenderedPageBreak/>
        <w:t xml:space="preserve">The PBAC advised, under Section 101(3BA) of the </w:t>
      </w:r>
      <w:r w:rsidRPr="00347932">
        <w:rPr>
          <w:i/>
        </w:rPr>
        <w:t>National Health Act 1953</w:t>
      </w:r>
      <w:r w:rsidRPr="00347932">
        <w:t xml:space="preserve">, that </w:t>
      </w:r>
      <w:proofErr w:type="spellStart"/>
      <w:r w:rsidRPr="00347932">
        <w:t>lipegfilgrastim</w:t>
      </w:r>
      <w:proofErr w:type="spellEnd"/>
      <w:r w:rsidR="009D7EBD">
        <w:t xml:space="preserve"> and</w:t>
      </w:r>
      <w:r w:rsidR="0033290F" w:rsidRPr="0033290F">
        <w:t xml:space="preserve"> </w:t>
      </w:r>
      <w:proofErr w:type="spellStart"/>
      <w:r w:rsidRPr="00347932">
        <w:t>pegfilgrastim</w:t>
      </w:r>
      <w:proofErr w:type="spellEnd"/>
      <w:r w:rsidR="00F20DF7">
        <w:t xml:space="preserve"> </w:t>
      </w:r>
      <w:r w:rsidR="00F20DF7" w:rsidRPr="00347932">
        <w:t>should</w:t>
      </w:r>
      <w:r w:rsidRPr="00347932">
        <w:t xml:space="preserve"> be treated as interchangeable on an individual patient basis.</w:t>
      </w:r>
    </w:p>
    <w:p w:rsidR="0033290F" w:rsidRPr="0033290F" w:rsidRDefault="0033290F" w:rsidP="00081213">
      <w:pPr>
        <w:pStyle w:val="ListParagraph"/>
        <w:widowControl/>
        <w:rPr>
          <w:sz w:val="20"/>
          <w:szCs w:val="22"/>
        </w:rPr>
      </w:pPr>
    </w:p>
    <w:p w:rsidR="009F732F" w:rsidRDefault="003F7DDD" w:rsidP="00081213">
      <w:pPr>
        <w:widowControl/>
        <w:numPr>
          <w:ilvl w:val="1"/>
          <w:numId w:val="6"/>
        </w:numPr>
        <w:rPr>
          <w:bCs/>
          <w:szCs w:val="22"/>
        </w:rPr>
      </w:pPr>
      <w:r w:rsidRPr="00E534B4">
        <w:rPr>
          <w:bCs/>
          <w:szCs w:val="22"/>
        </w:rPr>
        <w:t xml:space="preserve">The PBAC advised that </w:t>
      </w:r>
      <w:proofErr w:type="spellStart"/>
      <w:r w:rsidRPr="00E534B4">
        <w:rPr>
          <w:bCs/>
          <w:szCs w:val="22"/>
        </w:rPr>
        <w:t>lipegfilgrastim</w:t>
      </w:r>
      <w:proofErr w:type="spellEnd"/>
      <w:r w:rsidRPr="00E534B4">
        <w:rPr>
          <w:bCs/>
          <w:szCs w:val="22"/>
        </w:rPr>
        <w:t xml:space="preserve"> is not suitable for prescribing by nurse practitioners</w:t>
      </w:r>
      <w:r w:rsidR="009D2384">
        <w:rPr>
          <w:bCs/>
          <w:szCs w:val="22"/>
        </w:rPr>
        <w:t>.</w:t>
      </w:r>
      <w:r w:rsidRPr="00E534B4">
        <w:rPr>
          <w:bCs/>
          <w:szCs w:val="22"/>
        </w:rPr>
        <w:t xml:space="preserve"> </w:t>
      </w:r>
    </w:p>
    <w:p w:rsidR="00E534B4" w:rsidRPr="00E534B4" w:rsidRDefault="00E534B4" w:rsidP="00081213">
      <w:pPr>
        <w:widowControl/>
        <w:rPr>
          <w:bCs/>
          <w:szCs w:val="22"/>
        </w:rPr>
      </w:pPr>
    </w:p>
    <w:p w:rsidR="003F7DDD" w:rsidRPr="006D54A5" w:rsidRDefault="003F7DDD" w:rsidP="00081213">
      <w:pPr>
        <w:widowControl/>
        <w:numPr>
          <w:ilvl w:val="1"/>
          <w:numId w:val="6"/>
        </w:numPr>
        <w:rPr>
          <w:bCs/>
          <w:szCs w:val="22"/>
        </w:rPr>
      </w:pPr>
      <w:r w:rsidRPr="006D54A5">
        <w:rPr>
          <w:bCs/>
          <w:szCs w:val="22"/>
        </w:rPr>
        <w:t xml:space="preserve">The PBAC recommended that the </w:t>
      </w:r>
      <w:r w:rsidR="00E534B4">
        <w:rPr>
          <w:bCs/>
          <w:szCs w:val="22"/>
        </w:rPr>
        <w:t xml:space="preserve">Early Supply Rule </w:t>
      </w:r>
      <w:r w:rsidRPr="006D54A5">
        <w:rPr>
          <w:bCs/>
          <w:szCs w:val="22"/>
        </w:rPr>
        <w:t>should not apply.</w:t>
      </w:r>
    </w:p>
    <w:p w:rsidR="003F7DDD" w:rsidRPr="006D54A5" w:rsidRDefault="003F7DDD" w:rsidP="00081213">
      <w:pPr>
        <w:widowControl/>
        <w:rPr>
          <w:bCs/>
          <w:szCs w:val="22"/>
        </w:rPr>
      </w:pPr>
    </w:p>
    <w:p w:rsidR="003F7DDD" w:rsidRPr="006D54A5" w:rsidRDefault="00E534B4" w:rsidP="00081213">
      <w:pPr>
        <w:widowControl/>
        <w:numPr>
          <w:ilvl w:val="1"/>
          <w:numId w:val="6"/>
        </w:numPr>
        <w:rPr>
          <w:bCs/>
          <w:szCs w:val="22"/>
        </w:rPr>
      </w:pPr>
      <w:r>
        <w:rPr>
          <w:bCs/>
          <w:szCs w:val="22"/>
        </w:rPr>
        <w:t>The PBAC noted that t</w:t>
      </w:r>
      <w:r w:rsidR="004C27B8">
        <w:rPr>
          <w:bCs/>
          <w:szCs w:val="22"/>
        </w:rPr>
        <w:t>his</w:t>
      </w:r>
      <w:r w:rsidR="003F7DDD" w:rsidRPr="006D54A5">
        <w:rPr>
          <w:bCs/>
          <w:szCs w:val="22"/>
        </w:rPr>
        <w:t xml:space="preserve"> submission is not eligible for an Independent Review.</w:t>
      </w:r>
    </w:p>
    <w:p w:rsidR="0033290F" w:rsidRPr="00347932" w:rsidRDefault="0033290F" w:rsidP="00081213">
      <w:pPr>
        <w:pStyle w:val="ListParagraph"/>
        <w:widowControl/>
        <w:rPr>
          <w:sz w:val="20"/>
          <w:szCs w:val="22"/>
        </w:rPr>
      </w:pPr>
    </w:p>
    <w:p w:rsidR="00666BF6" w:rsidRPr="00EA0EDA" w:rsidRDefault="00666BF6" w:rsidP="00081213">
      <w:pPr>
        <w:widowControl/>
        <w:rPr>
          <w:b/>
          <w:bCs/>
          <w:szCs w:val="22"/>
          <w:highlight w:val="yellow"/>
          <w:lang w:val="en-GB"/>
        </w:rPr>
      </w:pPr>
    </w:p>
    <w:p w:rsidR="00666BF6" w:rsidRPr="000B73C5" w:rsidRDefault="00666BF6" w:rsidP="00081213">
      <w:pPr>
        <w:widowControl/>
        <w:rPr>
          <w:b/>
          <w:bCs/>
          <w:szCs w:val="22"/>
          <w:lang w:val="en-GB"/>
        </w:rPr>
      </w:pPr>
      <w:r w:rsidRPr="000B73C5">
        <w:rPr>
          <w:b/>
          <w:bCs/>
          <w:szCs w:val="22"/>
          <w:lang w:val="en-GB"/>
        </w:rPr>
        <w:t>Outcome:</w:t>
      </w:r>
    </w:p>
    <w:p w:rsidR="00666BF6" w:rsidRPr="000B73C5" w:rsidRDefault="00666BF6" w:rsidP="00081213">
      <w:pPr>
        <w:widowControl/>
        <w:rPr>
          <w:bCs/>
          <w:szCs w:val="22"/>
          <w:lang w:val="en-GB"/>
        </w:rPr>
      </w:pPr>
      <w:r w:rsidRPr="000B73C5">
        <w:rPr>
          <w:bCs/>
          <w:szCs w:val="22"/>
          <w:lang w:val="en-GB"/>
        </w:rPr>
        <w:t xml:space="preserve">Recommended </w:t>
      </w:r>
    </w:p>
    <w:p w:rsidR="00396FC9" w:rsidRPr="00AD6445" w:rsidRDefault="00396FC9" w:rsidP="00081213">
      <w:pPr>
        <w:widowControl/>
        <w:contextualSpacing/>
        <w:rPr>
          <w:b/>
          <w:bCs/>
          <w:szCs w:val="22"/>
          <w:lang w:val="en-GB"/>
        </w:rPr>
      </w:pPr>
    </w:p>
    <w:p w:rsidR="00666BF6" w:rsidRPr="000B73C5" w:rsidRDefault="00666BF6" w:rsidP="00175A20">
      <w:pPr>
        <w:pStyle w:val="Heading1"/>
        <w:rPr>
          <w:b w:val="0"/>
          <w:bCs/>
          <w:i/>
          <w:lang w:val="en-GB"/>
        </w:rPr>
      </w:pPr>
      <w:r w:rsidRPr="000B73C5">
        <w:rPr>
          <w:bCs/>
          <w:lang w:val="en-GB"/>
        </w:rPr>
        <w:t>Recommended listing</w:t>
      </w:r>
    </w:p>
    <w:p w:rsidR="00666BF6" w:rsidRPr="000B73C5" w:rsidRDefault="00666BF6" w:rsidP="00081213">
      <w:pPr>
        <w:widowControl/>
        <w:contextualSpacing/>
        <w:rPr>
          <w:b/>
          <w:bCs/>
          <w:szCs w:val="22"/>
        </w:rPr>
      </w:pPr>
    </w:p>
    <w:p w:rsidR="00666BF6" w:rsidRPr="000B73C5" w:rsidRDefault="00666BF6" w:rsidP="00081213">
      <w:pPr>
        <w:widowControl/>
        <w:numPr>
          <w:ilvl w:val="1"/>
          <w:numId w:val="6"/>
        </w:numPr>
        <w:rPr>
          <w:bCs/>
          <w:szCs w:val="22"/>
        </w:rPr>
      </w:pPr>
      <w:r w:rsidRPr="000B73C5">
        <w:rPr>
          <w:bCs/>
          <w:szCs w:val="22"/>
        </w:rPr>
        <w:t>Add new item:</w:t>
      </w:r>
    </w:p>
    <w:p w:rsidR="00666BF6" w:rsidRPr="006C307E" w:rsidRDefault="00666BF6" w:rsidP="00081213">
      <w:pPr>
        <w:widowControl/>
        <w:rPr>
          <w:b/>
          <w:bCs/>
          <w:szCs w:val="22"/>
          <w:highlight w:val="yellow"/>
        </w:rPr>
      </w:pPr>
    </w:p>
    <w:tbl>
      <w:tblPr>
        <w:tblW w:w="4604" w:type="pct"/>
        <w:tblInd w:w="737" w:type="dxa"/>
        <w:tblCellMar>
          <w:left w:w="28" w:type="dxa"/>
          <w:right w:w="28" w:type="dxa"/>
        </w:tblCellMar>
        <w:tblLook w:val="0000" w:firstRow="0" w:lastRow="0" w:firstColumn="0" w:lastColumn="0" w:noHBand="0" w:noVBand="0"/>
      </w:tblPr>
      <w:tblGrid>
        <w:gridCol w:w="3089"/>
        <w:gridCol w:w="677"/>
        <w:gridCol w:w="821"/>
        <w:gridCol w:w="1499"/>
        <w:gridCol w:w="807"/>
        <w:gridCol w:w="1470"/>
      </w:tblGrid>
      <w:tr w:rsidR="007D6BAD" w:rsidRPr="00855D1A" w:rsidTr="00B746A5">
        <w:trPr>
          <w:cantSplit/>
          <w:trHeight w:val="463"/>
        </w:trPr>
        <w:tc>
          <w:tcPr>
            <w:tcW w:w="1847" w:type="pct"/>
            <w:tcBorders>
              <w:bottom w:val="single" w:sz="4" w:space="0" w:color="auto"/>
            </w:tcBorders>
            <w:vAlign w:val="center"/>
          </w:tcPr>
          <w:p w:rsidR="007D6BAD" w:rsidRPr="00855D1A" w:rsidRDefault="007D6BAD" w:rsidP="00081213">
            <w:pPr>
              <w:keepNext/>
              <w:widowControl/>
              <w:jc w:val="left"/>
              <w:rPr>
                <w:rFonts w:ascii="Arial Narrow" w:hAnsi="Arial Narrow"/>
                <w:sz w:val="20"/>
              </w:rPr>
            </w:pPr>
            <w:r w:rsidRPr="00855D1A">
              <w:rPr>
                <w:rFonts w:ascii="Arial Narrow" w:hAnsi="Arial Narrow"/>
                <w:sz w:val="20"/>
              </w:rPr>
              <w:t>Name, Restriction,</w:t>
            </w:r>
          </w:p>
          <w:p w:rsidR="007D6BAD" w:rsidRPr="00855D1A" w:rsidRDefault="007D6BAD" w:rsidP="00081213">
            <w:pPr>
              <w:keepNext/>
              <w:widowControl/>
              <w:jc w:val="left"/>
              <w:rPr>
                <w:rFonts w:ascii="Arial Narrow" w:hAnsi="Arial Narrow"/>
                <w:sz w:val="20"/>
              </w:rPr>
            </w:pPr>
            <w:r w:rsidRPr="00855D1A">
              <w:rPr>
                <w:rFonts w:ascii="Arial Narrow" w:hAnsi="Arial Narrow"/>
                <w:sz w:val="20"/>
              </w:rPr>
              <w:t>Manner of administration and form</w:t>
            </w:r>
          </w:p>
        </w:tc>
        <w:tc>
          <w:tcPr>
            <w:tcW w:w="405" w:type="pct"/>
            <w:tcBorders>
              <w:bottom w:val="single" w:sz="4" w:space="0" w:color="auto"/>
            </w:tcBorders>
            <w:vAlign w:val="center"/>
          </w:tcPr>
          <w:p w:rsidR="007D6BAD" w:rsidRPr="00855D1A" w:rsidRDefault="007D6BAD" w:rsidP="00081213">
            <w:pPr>
              <w:keepNext/>
              <w:widowControl/>
              <w:jc w:val="center"/>
              <w:rPr>
                <w:rFonts w:ascii="Arial Narrow" w:hAnsi="Arial Narrow"/>
                <w:sz w:val="20"/>
              </w:rPr>
            </w:pPr>
            <w:r w:rsidRPr="00855D1A">
              <w:rPr>
                <w:rFonts w:ascii="Arial Narrow" w:hAnsi="Arial Narrow"/>
                <w:sz w:val="20"/>
              </w:rPr>
              <w:t>Max.</w:t>
            </w:r>
          </w:p>
          <w:p w:rsidR="007D6BAD" w:rsidRPr="00855D1A" w:rsidRDefault="007D6BAD" w:rsidP="00081213">
            <w:pPr>
              <w:keepNext/>
              <w:widowControl/>
              <w:jc w:val="center"/>
              <w:rPr>
                <w:rFonts w:ascii="Arial Narrow" w:hAnsi="Arial Narrow"/>
                <w:sz w:val="20"/>
              </w:rPr>
            </w:pPr>
            <w:proofErr w:type="spellStart"/>
            <w:r w:rsidRPr="00855D1A">
              <w:rPr>
                <w:rFonts w:ascii="Arial Narrow" w:hAnsi="Arial Narrow"/>
                <w:sz w:val="20"/>
              </w:rPr>
              <w:t>Qty</w:t>
            </w:r>
            <w:proofErr w:type="spellEnd"/>
          </w:p>
        </w:tc>
        <w:tc>
          <w:tcPr>
            <w:tcW w:w="491" w:type="pct"/>
            <w:tcBorders>
              <w:bottom w:val="single" w:sz="4" w:space="0" w:color="auto"/>
            </w:tcBorders>
            <w:vAlign w:val="center"/>
          </w:tcPr>
          <w:p w:rsidR="007D6BAD" w:rsidRPr="00855D1A" w:rsidRDefault="007D6BAD" w:rsidP="00081213">
            <w:pPr>
              <w:keepNext/>
              <w:widowControl/>
              <w:jc w:val="center"/>
              <w:rPr>
                <w:rFonts w:ascii="Arial Narrow" w:hAnsi="Arial Narrow"/>
                <w:sz w:val="20"/>
              </w:rPr>
            </w:pPr>
            <w:r w:rsidRPr="00855D1A">
              <w:rPr>
                <w:rFonts w:ascii="Arial Narrow" w:hAnsi="Arial Narrow"/>
                <w:sz w:val="20"/>
              </w:rPr>
              <w:t>№.of</w:t>
            </w:r>
          </w:p>
          <w:p w:rsidR="007D6BAD" w:rsidRPr="00855D1A" w:rsidRDefault="007D6BAD" w:rsidP="00081213">
            <w:pPr>
              <w:keepNext/>
              <w:widowControl/>
              <w:jc w:val="center"/>
              <w:rPr>
                <w:rFonts w:ascii="Arial Narrow" w:hAnsi="Arial Narrow"/>
                <w:sz w:val="20"/>
              </w:rPr>
            </w:pPr>
            <w:proofErr w:type="spellStart"/>
            <w:r w:rsidRPr="00855D1A">
              <w:rPr>
                <w:rFonts w:ascii="Arial Narrow" w:hAnsi="Arial Narrow"/>
                <w:sz w:val="20"/>
              </w:rPr>
              <w:t>Rpts</w:t>
            </w:r>
            <w:proofErr w:type="spellEnd"/>
          </w:p>
        </w:tc>
        <w:tc>
          <w:tcPr>
            <w:tcW w:w="896" w:type="pct"/>
            <w:tcBorders>
              <w:bottom w:val="single" w:sz="4" w:space="0" w:color="auto"/>
            </w:tcBorders>
            <w:vAlign w:val="center"/>
          </w:tcPr>
          <w:p w:rsidR="007D6BAD" w:rsidRPr="00855D1A" w:rsidRDefault="007D6BAD" w:rsidP="00081213">
            <w:pPr>
              <w:keepNext/>
              <w:widowControl/>
              <w:jc w:val="center"/>
              <w:rPr>
                <w:rFonts w:ascii="Arial Narrow" w:hAnsi="Arial Narrow"/>
                <w:sz w:val="20"/>
              </w:rPr>
            </w:pPr>
          </w:p>
        </w:tc>
        <w:tc>
          <w:tcPr>
            <w:tcW w:w="1361" w:type="pct"/>
            <w:gridSpan w:val="2"/>
            <w:tcBorders>
              <w:bottom w:val="single" w:sz="4" w:space="0" w:color="auto"/>
            </w:tcBorders>
            <w:vAlign w:val="center"/>
          </w:tcPr>
          <w:p w:rsidR="007D6BAD" w:rsidRPr="00855D1A" w:rsidRDefault="007D6BAD" w:rsidP="00081213">
            <w:pPr>
              <w:keepNext/>
              <w:widowControl/>
              <w:jc w:val="center"/>
              <w:rPr>
                <w:rFonts w:ascii="Arial Narrow" w:hAnsi="Arial Narrow"/>
                <w:sz w:val="20"/>
                <w:lang w:val="fr-FR"/>
              </w:rPr>
            </w:pPr>
            <w:r w:rsidRPr="00855D1A">
              <w:rPr>
                <w:rFonts w:ascii="Arial Narrow" w:hAnsi="Arial Narrow"/>
                <w:sz w:val="20"/>
              </w:rPr>
              <w:t>Proprietary Name and Manufacturer</w:t>
            </w:r>
          </w:p>
        </w:tc>
      </w:tr>
      <w:tr w:rsidR="007D6BAD" w:rsidRPr="00855D1A" w:rsidTr="00B746A5">
        <w:trPr>
          <w:cantSplit/>
          <w:trHeight w:val="567"/>
        </w:trPr>
        <w:tc>
          <w:tcPr>
            <w:tcW w:w="1847" w:type="pct"/>
          </w:tcPr>
          <w:p w:rsidR="007D6BAD" w:rsidRPr="00855D1A" w:rsidRDefault="007D6BAD" w:rsidP="00081213">
            <w:pPr>
              <w:keepNext/>
              <w:widowControl/>
              <w:rPr>
                <w:rFonts w:ascii="Arial Narrow" w:hAnsi="Arial Narrow"/>
                <w:sz w:val="20"/>
              </w:rPr>
            </w:pPr>
            <w:proofErr w:type="spellStart"/>
            <w:r w:rsidRPr="00855D1A">
              <w:rPr>
                <w:rFonts w:ascii="Arial Narrow" w:hAnsi="Arial Narrow"/>
                <w:smallCaps/>
                <w:sz w:val="20"/>
              </w:rPr>
              <w:t>Lipegfilgrastim</w:t>
            </w:r>
            <w:proofErr w:type="spellEnd"/>
          </w:p>
          <w:p w:rsidR="007D6BAD" w:rsidRPr="00855D1A" w:rsidRDefault="007D6BAD" w:rsidP="00081213">
            <w:pPr>
              <w:keepNext/>
              <w:widowControl/>
              <w:jc w:val="left"/>
              <w:rPr>
                <w:rFonts w:ascii="Arial Narrow" w:hAnsi="Arial Narrow"/>
                <w:sz w:val="20"/>
              </w:rPr>
            </w:pPr>
            <w:r w:rsidRPr="00855D1A">
              <w:rPr>
                <w:rFonts w:ascii="Arial Narrow" w:hAnsi="Arial Narrow"/>
                <w:sz w:val="20"/>
              </w:rPr>
              <w:t>6 mg/0.6mL, 1 x 0.6 mL syringe</w:t>
            </w:r>
          </w:p>
        </w:tc>
        <w:tc>
          <w:tcPr>
            <w:tcW w:w="405" w:type="pct"/>
          </w:tcPr>
          <w:p w:rsidR="007D6BAD" w:rsidRPr="00855D1A" w:rsidRDefault="007D6BAD" w:rsidP="00081213">
            <w:pPr>
              <w:keepNext/>
              <w:widowControl/>
              <w:jc w:val="center"/>
              <w:rPr>
                <w:rFonts w:ascii="Arial Narrow" w:hAnsi="Arial Narrow"/>
                <w:sz w:val="20"/>
              </w:rPr>
            </w:pPr>
          </w:p>
          <w:p w:rsidR="007D6BAD" w:rsidRPr="00855D1A" w:rsidRDefault="007D6BAD" w:rsidP="00081213">
            <w:pPr>
              <w:keepNext/>
              <w:widowControl/>
              <w:jc w:val="center"/>
              <w:rPr>
                <w:rFonts w:ascii="Arial Narrow" w:hAnsi="Arial Narrow"/>
                <w:sz w:val="20"/>
              </w:rPr>
            </w:pPr>
            <w:r w:rsidRPr="00855D1A">
              <w:rPr>
                <w:rFonts w:ascii="Arial Narrow" w:hAnsi="Arial Narrow"/>
                <w:sz w:val="20"/>
              </w:rPr>
              <w:t>1</w:t>
            </w:r>
          </w:p>
        </w:tc>
        <w:tc>
          <w:tcPr>
            <w:tcW w:w="491" w:type="pct"/>
          </w:tcPr>
          <w:p w:rsidR="007D6BAD" w:rsidRPr="00855D1A" w:rsidRDefault="007D6BAD" w:rsidP="00081213">
            <w:pPr>
              <w:keepNext/>
              <w:widowControl/>
              <w:jc w:val="center"/>
              <w:rPr>
                <w:rFonts w:ascii="Arial Narrow" w:hAnsi="Arial Narrow"/>
                <w:sz w:val="20"/>
              </w:rPr>
            </w:pPr>
          </w:p>
          <w:p w:rsidR="007D6BAD" w:rsidRPr="00855D1A" w:rsidRDefault="007D6BAD" w:rsidP="00081213">
            <w:pPr>
              <w:keepNext/>
              <w:widowControl/>
              <w:jc w:val="center"/>
              <w:rPr>
                <w:rFonts w:ascii="Arial Narrow" w:hAnsi="Arial Narrow"/>
                <w:sz w:val="20"/>
              </w:rPr>
            </w:pPr>
            <w:r w:rsidRPr="00855D1A">
              <w:rPr>
                <w:rFonts w:ascii="Arial Narrow" w:hAnsi="Arial Narrow"/>
                <w:sz w:val="20"/>
              </w:rPr>
              <w:t>11</w:t>
            </w:r>
          </w:p>
        </w:tc>
        <w:tc>
          <w:tcPr>
            <w:tcW w:w="896" w:type="pct"/>
          </w:tcPr>
          <w:p w:rsidR="007D6BAD" w:rsidRPr="00855D1A" w:rsidRDefault="007D6BAD" w:rsidP="00081213">
            <w:pPr>
              <w:keepNext/>
              <w:widowControl/>
              <w:jc w:val="center"/>
              <w:rPr>
                <w:rFonts w:ascii="Arial Narrow" w:hAnsi="Arial Narrow"/>
                <w:sz w:val="20"/>
              </w:rPr>
            </w:pPr>
          </w:p>
        </w:tc>
        <w:tc>
          <w:tcPr>
            <w:tcW w:w="482" w:type="pct"/>
            <w:vAlign w:val="center"/>
          </w:tcPr>
          <w:p w:rsidR="007D6BAD" w:rsidRPr="00855D1A" w:rsidRDefault="007D6BAD" w:rsidP="00081213">
            <w:pPr>
              <w:keepNext/>
              <w:widowControl/>
              <w:jc w:val="center"/>
              <w:rPr>
                <w:rFonts w:ascii="Arial Narrow" w:hAnsi="Arial Narrow"/>
                <w:sz w:val="20"/>
              </w:rPr>
            </w:pPr>
            <w:proofErr w:type="spellStart"/>
            <w:r w:rsidRPr="00855D1A">
              <w:rPr>
                <w:rFonts w:ascii="Arial Narrow" w:hAnsi="Arial Narrow"/>
                <w:sz w:val="20"/>
              </w:rPr>
              <w:t>Lonquex</w:t>
            </w:r>
            <w:proofErr w:type="spellEnd"/>
            <w:r w:rsidRPr="00855D1A">
              <w:rPr>
                <w:rFonts w:ascii="Arial Narrow" w:hAnsi="Arial Narrow"/>
                <w:sz w:val="20"/>
              </w:rPr>
              <w:t>®</w:t>
            </w:r>
          </w:p>
        </w:tc>
        <w:tc>
          <w:tcPr>
            <w:tcW w:w="878" w:type="pct"/>
          </w:tcPr>
          <w:p w:rsidR="007D6BAD" w:rsidRPr="00855D1A" w:rsidRDefault="007D6BAD" w:rsidP="00081213">
            <w:pPr>
              <w:keepNext/>
              <w:widowControl/>
              <w:jc w:val="center"/>
              <w:rPr>
                <w:rFonts w:ascii="Arial Narrow" w:hAnsi="Arial Narrow"/>
                <w:sz w:val="20"/>
              </w:rPr>
            </w:pPr>
            <w:r w:rsidRPr="00855D1A">
              <w:rPr>
                <w:rFonts w:ascii="Arial Narrow" w:hAnsi="Arial Narrow"/>
                <w:sz w:val="20"/>
              </w:rPr>
              <w:t>TEVA Pharma Australia Pty Ltd</w:t>
            </w:r>
          </w:p>
        </w:tc>
      </w:tr>
      <w:tr w:rsidR="007D6BAD" w:rsidRPr="00855D1A" w:rsidTr="00B746A5">
        <w:trPr>
          <w:cantSplit/>
          <w:trHeight w:val="354"/>
        </w:trPr>
        <w:tc>
          <w:tcPr>
            <w:tcW w:w="5000" w:type="pct"/>
            <w:gridSpan w:val="6"/>
            <w:vAlign w:val="center"/>
          </w:tcPr>
          <w:p w:rsidR="007D6BAD" w:rsidRPr="00855D1A" w:rsidRDefault="007D6BAD" w:rsidP="00081213">
            <w:pPr>
              <w:widowControl/>
              <w:jc w:val="left"/>
              <w:rPr>
                <w:rFonts w:ascii="Arial Narrow" w:hAnsi="Arial Narrow"/>
                <w:sz w:val="20"/>
              </w:rPr>
            </w:pPr>
            <w:r w:rsidRPr="00855D1A">
              <w:rPr>
                <w:rFonts w:ascii="Arial Narrow" w:hAnsi="Arial Narrow"/>
                <w:b/>
                <w:sz w:val="20"/>
                <w:u w:val="single"/>
              </w:rPr>
              <w:t xml:space="preserve">Section 100 </w:t>
            </w:r>
            <w:r>
              <w:rPr>
                <w:rFonts w:ascii="Arial Narrow" w:hAnsi="Arial Narrow"/>
                <w:b/>
                <w:sz w:val="20"/>
                <w:u w:val="single"/>
              </w:rPr>
              <w:t>Highly Specialised Drug Program</w:t>
            </w:r>
          </w:p>
        </w:tc>
      </w:tr>
    </w:tbl>
    <w:p w:rsidR="00334105" w:rsidRDefault="009955EE" w:rsidP="00081213">
      <w:pPr>
        <w:pStyle w:val="BodyText"/>
        <w:widowControl/>
        <w:ind w:firstLine="720"/>
        <w:rPr>
          <w:szCs w:val="22"/>
        </w:rPr>
      </w:pPr>
      <w:proofErr w:type="gramStart"/>
      <w:r>
        <w:rPr>
          <w:szCs w:val="22"/>
        </w:rPr>
        <w:t xml:space="preserve">Restrictions same as </w:t>
      </w:r>
      <w:proofErr w:type="spellStart"/>
      <w:r>
        <w:rPr>
          <w:szCs w:val="22"/>
        </w:rPr>
        <w:t>pegfilgrastim</w:t>
      </w:r>
      <w:proofErr w:type="spellEnd"/>
      <w:r>
        <w:rPr>
          <w:szCs w:val="22"/>
        </w:rPr>
        <w:t>.</w:t>
      </w:r>
      <w:proofErr w:type="gramEnd"/>
    </w:p>
    <w:p w:rsidR="003909C8" w:rsidRDefault="003909C8" w:rsidP="00081213">
      <w:pPr>
        <w:pStyle w:val="BodyText"/>
        <w:widowControl/>
        <w:ind w:firstLine="720"/>
        <w:rPr>
          <w:szCs w:val="22"/>
        </w:rPr>
      </w:pPr>
    </w:p>
    <w:p w:rsidR="003909C8" w:rsidRPr="004304F6" w:rsidRDefault="003909C8" w:rsidP="003909C8">
      <w:pPr>
        <w:pStyle w:val="Heading1"/>
        <w:spacing w:after="240"/>
        <w:contextualSpacing/>
        <w:jc w:val="both"/>
      </w:pPr>
      <w:r w:rsidRPr="004304F6">
        <w:t>Context for Decision</w:t>
      </w:r>
    </w:p>
    <w:p w:rsidR="003909C8" w:rsidRDefault="003909C8" w:rsidP="003909C8">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909C8" w:rsidRPr="004304F6" w:rsidRDefault="003909C8" w:rsidP="003909C8">
      <w:pPr>
        <w:ind w:left="720"/>
      </w:pPr>
    </w:p>
    <w:p w:rsidR="003909C8" w:rsidRDefault="003909C8" w:rsidP="003909C8">
      <w:pPr>
        <w:pStyle w:val="Heading1"/>
        <w:spacing w:after="240"/>
        <w:contextualSpacing/>
        <w:jc w:val="both"/>
      </w:pPr>
      <w:r w:rsidRPr="004304F6">
        <w:t>Sponsor’s Comment</w:t>
      </w:r>
    </w:p>
    <w:p w:rsidR="00917CE3" w:rsidRDefault="00917CE3" w:rsidP="00917CE3"/>
    <w:p w:rsidR="001D42F6" w:rsidRPr="00451386" w:rsidRDefault="001D42F6" w:rsidP="001D42F6">
      <w:pPr>
        <w:spacing w:after="120"/>
        <w:ind w:left="720"/>
        <w:rPr>
          <w:bCs/>
          <w:szCs w:val="24"/>
        </w:rPr>
      </w:pPr>
      <w:r>
        <w:t xml:space="preserve">TEVA welcomed the PBAC recommendation and have worked with the department to progress the listing of </w:t>
      </w:r>
      <w:proofErr w:type="spellStart"/>
      <w:r>
        <w:t>Lonquex</w:t>
      </w:r>
      <w:proofErr w:type="spellEnd"/>
      <w:r>
        <w:t xml:space="preserve"> onto the PBS, in order to provide patients with an alternative GCSF.</w:t>
      </w:r>
      <w:bookmarkStart w:id="15" w:name="_GoBack"/>
      <w:bookmarkEnd w:id="15"/>
    </w:p>
    <w:p w:rsidR="00917CE3" w:rsidRPr="00917CE3" w:rsidRDefault="00917CE3" w:rsidP="00917CE3"/>
    <w:p w:rsidR="003909C8" w:rsidRPr="009955EE" w:rsidRDefault="003909C8" w:rsidP="00081213">
      <w:pPr>
        <w:pStyle w:val="BodyText"/>
        <w:widowControl/>
        <w:ind w:firstLine="720"/>
        <w:rPr>
          <w:b/>
        </w:rPr>
      </w:pPr>
    </w:p>
    <w:sectPr w:rsidR="003909C8" w:rsidRPr="009955EE" w:rsidSect="00905BA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B40486" w15:done="0"/>
  <w15:commentEx w15:paraId="54366920" w15:done="0"/>
  <w15:commentEx w15:paraId="2B8C91FC" w15:done="0"/>
  <w15:commentEx w15:paraId="03CFEA5D" w15:done="0"/>
  <w15:commentEx w15:paraId="0BE2C7F7" w15:done="0"/>
  <w15:commentEx w15:paraId="61E09C12" w15:done="0"/>
  <w15:commentEx w15:paraId="49D44CB3" w15:done="0"/>
  <w15:commentEx w15:paraId="03138F0D" w15:done="0"/>
  <w15:commentEx w15:paraId="6D282AA0" w15:done="0"/>
  <w15:commentEx w15:paraId="5858B62E" w15:done="0"/>
  <w15:commentEx w15:paraId="480E71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68A" w:rsidRDefault="00F9168A" w:rsidP="00124A51">
      <w:r>
        <w:separator/>
      </w:r>
    </w:p>
  </w:endnote>
  <w:endnote w:type="continuationSeparator" w:id="0">
    <w:p w:rsidR="00F9168A" w:rsidRDefault="00F9168A"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68A" w:rsidRDefault="00F916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5D5" w:rsidRDefault="000F55D5">
    <w:pPr>
      <w:pStyle w:val="Footer"/>
      <w:jc w:val="center"/>
    </w:pPr>
  </w:p>
  <w:p w:rsidR="000F55D5" w:rsidRPr="00262557" w:rsidRDefault="00CF4D5E">
    <w:pPr>
      <w:pStyle w:val="Footer"/>
      <w:jc w:val="center"/>
      <w:rPr>
        <w:sz w:val="20"/>
      </w:rPr>
    </w:pPr>
    <w:sdt>
      <w:sdtPr>
        <w:id w:val="202220096"/>
        <w:docPartObj>
          <w:docPartGallery w:val="Page Numbers (Bottom of Page)"/>
          <w:docPartUnique/>
        </w:docPartObj>
      </w:sdtPr>
      <w:sdtEndPr>
        <w:rPr>
          <w:noProof/>
          <w:sz w:val="20"/>
        </w:rPr>
      </w:sdtEndPr>
      <w:sdtContent>
        <w:r w:rsidR="000F55D5" w:rsidRPr="00262557">
          <w:rPr>
            <w:sz w:val="20"/>
          </w:rPr>
          <w:fldChar w:fldCharType="begin"/>
        </w:r>
        <w:r w:rsidR="000F55D5" w:rsidRPr="00262557">
          <w:rPr>
            <w:sz w:val="20"/>
          </w:rPr>
          <w:instrText xml:space="preserve"> PAGE   \* MERGEFORMAT </w:instrText>
        </w:r>
        <w:r w:rsidR="000F55D5" w:rsidRPr="00262557">
          <w:rPr>
            <w:sz w:val="20"/>
          </w:rPr>
          <w:fldChar w:fldCharType="separate"/>
        </w:r>
        <w:r>
          <w:rPr>
            <w:noProof/>
            <w:sz w:val="20"/>
          </w:rPr>
          <w:t>10</w:t>
        </w:r>
        <w:r w:rsidR="000F55D5" w:rsidRPr="00262557">
          <w:rPr>
            <w:noProof/>
            <w:sz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68A" w:rsidRDefault="00F91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68A" w:rsidRDefault="00F9168A" w:rsidP="00124A51">
      <w:r>
        <w:separator/>
      </w:r>
    </w:p>
  </w:footnote>
  <w:footnote w:type="continuationSeparator" w:id="0">
    <w:p w:rsidR="00F9168A" w:rsidRDefault="00F9168A"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68A" w:rsidRDefault="00F916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5D5" w:rsidRPr="00DF217D" w:rsidRDefault="000F55D5" w:rsidP="003909C8">
    <w:pPr>
      <w:pStyle w:val="Header"/>
      <w:ind w:left="360"/>
      <w:jc w:val="center"/>
      <w:rPr>
        <w:i/>
        <w:color w:val="808080"/>
      </w:rPr>
    </w:pPr>
    <w:r>
      <w:rPr>
        <w:i/>
        <w:color w:val="808080"/>
      </w:rPr>
      <w:t xml:space="preserve">Public Summary Document – March 2016 </w:t>
    </w:r>
    <w:r w:rsidRPr="00DF217D">
      <w:rPr>
        <w:i/>
        <w:color w:val="808080"/>
      </w:rPr>
      <w:t>PBAC</w:t>
    </w:r>
    <w:r>
      <w:rPr>
        <w:i/>
        <w:color w:val="808080"/>
      </w:rPr>
      <w:t xml:space="preserve"> </w:t>
    </w:r>
    <w:r w:rsidRPr="00DF217D">
      <w:rPr>
        <w:i/>
        <w:color w:val="808080"/>
      </w:rPr>
      <w:t>Meeting</w:t>
    </w:r>
  </w:p>
  <w:p w:rsidR="000F55D5" w:rsidRPr="008C7ECB" w:rsidRDefault="000F55D5" w:rsidP="00AC5CA9">
    <w:pPr>
      <w:pStyle w:val="Header"/>
      <w:jc w:val="center"/>
    </w:pP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68A" w:rsidRDefault="00F916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69517D"/>
    <w:multiLevelType w:val="hybridMultilevel"/>
    <w:tmpl w:val="8E7258C6"/>
    <w:lvl w:ilvl="0" w:tplc="0C090001">
      <w:start w:val="1"/>
      <w:numFmt w:val="bullet"/>
      <w:pStyle w:val="Lis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F7E6741"/>
    <w:multiLevelType w:val="hybridMultilevel"/>
    <w:tmpl w:val="DB921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E2F776F"/>
    <w:multiLevelType w:val="hybridMultilevel"/>
    <w:tmpl w:val="77241220"/>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6A77653"/>
    <w:multiLevelType w:val="hybridMultilevel"/>
    <w:tmpl w:val="232A7A26"/>
    <w:lvl w:ilvl="0" w:tplc="F488CFD6">
      <w:numFmt w:val="bullet"/>
      <w:lvlText w:val="-"/>
      <w:lvlJc w:val="left"/>
      <w:pPr>
        <w:ind w:left="862" w:hanging="360"/>
      </w:pPr>
      <w:rPr>
        <w:rFonts w:ascii="Times New Roman" w:eastAsia="Times New Roman" w:hAnsi="Times New Roman" w:cs="Times New Roman"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
    <w:nsid w:val="3B7C34E2"/>
    <w:multiLevelType w:val="hybridMultilevel"/>
    <w:tmpl w:val="46C6A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0">
    <w:nsid w:val="43B06E1D"/>
    <w:multiLevelType w:val="hybridMultilevel"/>
    <w:tmpl w:val="300EDA94"/>
    <w:lvl w:ilvl="0" w:tplc="A4F02DC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48727DEA"/>
    <w:multiLevelType w:val="hybridMultilevel"/>
    <w:tmpl w:val="A23C5D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D4319A7"/>
    <w:multiLevelType w:val="hybridMultilevel"/>
    <w:tmpl w:val="37449856"/>
    <w:lvl w:ilvl="0" w:tplc="8124AFC0">
      <w:start w:val="1"/>
      <w:numFmt w:val="decimal"/>
      <w:lvlText w:val="%1."/>
      <w:lvlJc w:val="left"/>
      <w:pPr>
        <w:ind w:left="720" w:hanging="360"/>
      </w:pPr>
      <w:rPr>
        <w:rFonts w:ascii="Arial" w:hAnsi="Arial" w:cs="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F230023"/>
    <w:multiLevelType w:val="hybridMultilevel"/>
    <w:tmpl w:val="B95A3228"/>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6B739EE"/>
    <w:multiLevelType w:val="hybridMultilevel"/>
    <w:tmpl w:val="3D4C0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9541890"/>
    <w:multiLevelType w:val="hybridMultilevel"/>
    <w:tmpl w:val="F614F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1470409"/>
    <w:multiLevelType w:val="hybridMultilevel"/>
    <w:tmpl w:val="1BBAF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84D033C"/>
    <w:multiLevelType w:val="multilevel"/>
    <w:tmpl w:val="5C2EB4D4"/>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A5C5F49"/>
    <w:multiLevelType w:val="hybridMultilevel"/>
    <w:tmpl w:val="8B165C72"/>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2"/>
  </w:num>
  <w:num w:numId="4">
    <w:abstractNumId w:val="8"/>
  </w:num>
  <w:num w:numId="5">
    <w:abstractNumId w:val="1"/>
  </w:num>
  <w:num w:numId="6">
    <w:abstractNumId w:val="20"/>
  </w:num>
  <w:num w:numId="7">
    <w:abstractNumId w:val="4"/>
  </w:num>
  <w:num w:numId="8">
    <w:abstractNumId w:val="6"/>
  </w:num>
  <w:num w:numId="9">
    <w:abstractNumId w:val="16"/>
  </w:num>
  <w:num w:numId="10">
    <w:abstractNumId w:val="21"/>
  </w:num>
  <w:num w:numId="11">
    <w:abstractNumId w:val="7"/>
  </w:num>
  <w:num w:numId="12">
    <w:abstractNumId w:val="11"/>
  </w:num>
  <w:num w:numId="13">
    <w:abstractNumId w:val="18"/>
  </w:num>
  <w:num w:numId="14">
    <w:abstractNumId w:val="19"/>
  </w:num>
  <w:num w:numId="15">
    <w:abstractNumId w:val="17"/>
  </w:num>
  <w:num w:numId="16">
    <w:abstractNumId w:val="10"/>
  </w:num>
  <w:num w:numId="17">
    <w:abstractNumId w:val="20"/>
  </w:num>
  <w:num w:numId="18">
    <w:abstractNumId w:val="14"/>
  </w:num>
  <w:num w:numId="19">
    <w:abstractNumId w:val="13"/>
  </w:num>
  <w:num w:numId="20">
    <w:abstractNumId w:val="2"/>
  </w:num>
  <w:num w:numId="21">
    <w:abstractNumId w:val="0"/>
  </w:num>
  <w:num w:numId="22">
    <w:abstractNumId w:val="5"/>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ee Ching Ng">
    <w15:presenceInfo w15:providerId="AD" w15:userId="S-1-5-21-948756243-734778046-674738317-741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E1F"/>
    <w:rsid w:val="0000110B"/>
    <w:rsid w:val="00003499"/>
    <w:rsid w:val="000060EF"/>
    <w:rsid w:val="0001166A"/>
    <w:rsid w:val="00013247"/>
    <w:rsid w:val="00014D0D"/>
    <w:rsid w:val="00015886"/>
    <w:rsid w:val="000162EF"/>
    <w:rsid w:val="0001760D"/>
    <w:rsid w:val="00020663"/>
    <w:rsid w:val="0002225F"/>
    <w:rsid w:val="00023763"/>
    <w:rsid w:val="000248CC"/>
    <w:rsid w:val="00030BFB"/>
    <w:rsid w:val="00040895"/>
    <w:rsid w:val="00043730"/>
    <w:rsid w:val="00043C37"/>
    <w:rsid w:val="00046F6D"/>
    <w:rsid w:val="00047348"/>
    <w:rsid w:val="000476FE"/>
    <w:rsid w:val="000546D7"/>
    <w:rsid w:val="00056FD6"/>
    <w:rsid w:val="000619BA"/>
    <w:rsid w:val="00064032"/>
    <w:rsid w:val="0006511F"/>
    <w:rsid w:val="00071248"/>
    <w:rsid w:val="000720B9"/>
    <w:rsid w:val="00074629"/>
    <w:rsid w:val="000809BF"/>
    <w:rsid w:val="00081213"/>
    <w:rsid w:val="000812CA"/>
    <w:rsid w:val="00083639"/>
    <w:rsid w:val="00085395"/>
    <w:rsid w:val="00090C7E"/>
    <w:rsid w:val="00092C76"/>
    <w:rsid w:val="00094A16"/>
    <w:rsid w:val="00095483"/>
    <w:rsid w:val="0009570F"/>
    <w:rsid w:val="0009750F"/>
    <w:rsid w:val="00097AA3"/>
    <w:rsid w:val="00097D0E"/>
    <w:rsid w:val="000A4678"/>
    <w:rsid w:val="000A75D3"/>
    <w:rsid w:val="000B167C"/>
    <w:rsid w:val="000B73C5"/>
    <w:rsid w:val="000C26C3"/>
    <w:rsid w:val="000C5C71"/>
    <w:rsid w:val="000C611D"/>
    <w:rsid w:val="000D0A16"/>
    <w:rsid w:val="000D17AD"/>
    <w:rsid w:val="000D1BFC"/>
    <w:rsid w:val="000D265B"/>
    <w:rsid w:val="000D2D6A"/>
    <w:rsid w:val="000D6EF3"/>
    <w:rsid w:val="000E70A9"/>
    <w:rsid w:val="000E7A04"/>
    <w:rsid w:val="000F4BB8"/>
    <w:rsid w:val="000F55D5"/>
    <w:rsid w:val="000F7127"/>
    <w:rsid w:val="00100C10"/>
    <w:rsid w:val="00100F8A"/>
    <w:rsid w:val="00104B5D"/>
    <w:rsid w:val="00107AA1"/>
    <w:rsid w:val="0011032E"/>
    <w:rsid w:val="0011074B"/>
    <w:rsid w:val="00112122"/>
    <w:rsid w:val="0011348B"/>
    <w:rsid w:val="00121799"/>
    <w:rsid w:val="001222FC"/>
    <w:rsid w:val="00122390"/>
    <w:rsid w:val="00124A51"/>
    <w:rsid w:val="00126621"/>
    <w:rsid w:val="00126EA5"/>
    <w:rsid w:val="001301E9"/>
    <w:rsid w:val="001343AD"/>
    <w:rsid w:val="00137645"/>
    <w:rsid w:val="001379FD"/>
    <w:rsid w:val="0014015A"/>
    <w:rsid w:val="001406AA"/>
    <w:rsid w:val="00140AA3"/>
    <w:rsid w:val="00140E99"/>
    <w:rsid w:val="001424A2"/>
    <w:rsid w:val="001453E2"/>
    <w:rsid w:val="00145540"/>
    <w:rsid w:val="001456B0"/>
    <w:rsid w:val="00147322"/>
    <w:rsid w:val="00155563"/>
    <w:rsid w:val="00157130"/>
    <w:rsid w:val="00161178"/>
    <w:rsid w:val="001613BC"/>
    <w:rsid w:val="00162695"/>
    <w:rsid w:val="00162913"/>
    <w:rsid w:val="00163EFF"/>
    <w:rsid w:val="001661FB"/>
    <w:rsid w:val="00171F6F"/>
    <w:rsid w:val="00175A20"/>
    <w:rsid w:val="00180B35"/>
    <w:rsid w:val="00183D35"/>
    <w:rsid w:val="0018752F"/>
    <w:rsid w:val="0019126A"/>
    <w:rsid w:val="0019191D"/>
    <w:rsid w:val="00195067"/>
    <w:rsid w:val="00195222"/>
    <w:rsid w:val="001975D8"/>
    <w:rsid w:val="001A1ED1"/>
    <w:rsid w:val="001A33A3"/>
    <w:rsid w:val="001A454A"/>
    <w:rsid w:val="001A7FA3"/>
    <w:rsid w:val="001B3443"/>
    <w:rsid w:val="001C161F"/>
    <w:rsid w:val="001C2069"/>
    <w:rsid w:val="001C62E1"/>
    <w:rsid w:val="001C6E66"/>
    <w:rsid w:val="001D2BC4"/>
    <w:rsid w:val="001D42F6"/>
    <w:rsid w:val="001E0DC9"/>
    <w:rsid w:val="001E238E"/>
    <w:rsid w:val="001E2B1E"/>
    <w:rsid w:val="001E34D2"/>
    <w:rsid w:val="001E52EB"/>
    <w:rsid w:val="001E6218"/>
    <w:rsid w:val="001E740C"/>
    <w:rsid w:val="001E7C5C"/>
    <w:rsid w:val="001F1235"/>
    <w:rsid w:val="001F1CB3"/>
    <w:rsid w:val="001F5BDC"/>
    <w:rsid w:val="001F7361"/>
    <w:rsid w:val="002023E9"/>
    <w:rsid w:val="0020385F"/>
    <w:rsid w:val="00204717"/>
    <w:rsid w:val="00207021"/>
    <w:rsid w:val="00207D00"/>
    <w:rsid w:val="002105C1"/>
    <w:rsid w:val="00210765"/>
    <w:rsid w:val="00212985"/>
    <w:rsid w:val="0021462F"/>
    <w:rsid w:val="00214C3B"/>
    <w:rsid w:val="0021617A"/>
    <w:rsid w:val="00221DFC"/>
    <w:rsid w:val="00223917"/>
    <w:rsid w:val="00223983"/>
    <w:rsid w:val="00223B49"/>
    <w:rsid w:val="0022472B"/>
    <w:rsid w:val="00224DD4"/>
    <w:rsid w:val="002306F8"/>
    <w:rsid w:val="002309CC"/>
    <w:rsid w:val="002331CC"/>
    <w:rsid w:val="002409D5"/>
    <w:rsid w:val="002511EC"/>
    <w:rsid w:val="00252B5A"/>
    <w:rsid w:val="00252EA9"/>
    <w:rsid w:val="00254DCF"/>
    <w:rsid w:val="0025534B"/>
    <w:rsid w:val="00255623"/>
    <w:rsid w:val="00255BB7"/>
    <w:rsid w:val="00262557"/>
    <w:rsid w:val="00262A87"/>
    <w:rsid w:val="00275C5A"/>
    <w:rsid w:val="00281014"/>
    <w:rsid w:val="00282016"/>
    <w:rsid w:val="00282A4B"/>
    <w:rsid w:val="002856B2"/>
    <w:rsid w:val="00292439"/>
    <w:rsid w:val="002A03FC"/>
    <w:rsid w:val="002A14AB"/>
    <w:rsid w:val="002A40D2"/>
    <w:rsid w:val="002A63C2"/>
    <w:rsid w:val="002A6485"/>
    <w:rsid w:val="002B1C1F"/>
    <w:rsid w:val="002B432F"/>
    <w:rsid w:val="002B6CBF"/>
    <w:rsid w:val="002B6CCE"/>
    <w:rsid w:val="002C2775"/>
    <w:rsid w:val="002C27C1"/>
    <w:rsid w:val="002D37E0"/>
    <w:rsid w:val="002E48D8"/>
    <w:rsid w:val="002F35B8"/>
    <w:rsid w:val="002F7F12"/>
    <w:rsid w:val="00301017"/>
    <w:rsid w:val="003019D8"/>
    <w:rsid w:val="00301C78"/>
    <w:rsid w:val="00304284"/>
    <w:rsid w:val="00306235"/>
    <w:rsid w:val="0030786C"/>
    <w:rsid w:val="0031031A"/>
    <w:rsid w:val="00310981"/>
    <w:rsid w:val="00310A3D"/>
    <w:rsid w:val="00311CEF"/>
    <w:rsid w:val="00315498"/>
    <w:rsid w:val="003174CC"/>
    <w:rsid w:val="00320A3B"/>
    <w:rsid w:val="00324A46"/>
    <w:rsid w:val="00326F92"/>
    <w:rsid w:val="0033106B"/>
    <w:rsid w:val="0033290F"/>
    <w:rsid w:val="00333D0A"/>
    <w:rsid w:val="00334105"/>
    <w:rsid w:val="003366C9"/>
    <w:rsid w:val="003371B0"/>
    <w:rsid w:val="003372F0"/>
    <w:rsid w:val="003408A9"/>
    <w:rsid w:val="00347932"/>
    <w:rsid w:val="00350E1E"/>
    <w:rsid w:val="00353E54"/>
    <w:rsid w:val="003558C7"/>
    <w:rsid w:val="0035620E"/>
    <w:rsid w:val="003618C1"/>
    <w:rsid w:val="00375381"/>
    <w:rsid w:val="003819DD"/>
    <w:rsid w:val="00383393"/>
    <w:rsid w:val="0038365C"/>
    <w:rsid w:val="00384ECA"/>
    <w:rsid w:val="00387E22"/>
    <w:rsid w:val="00387E2A"/>
    <w:rsid w:val="003909C8"/>
    <w:rsid w:val="00391BCF"/>
    <w:rsid w:val="00392869"/>
    <w:rsid w:val="00393C2A"/>
    <w:rsid w:val="00396FC9"/>
    <w:rsid w:val="00396FD0"/>
    <w:rsid w:val="003A1A7A"/>
    <w:rsid w:val="003B1B3B"/>
    <w:rsid w:val="003B5FD9"/>
    <w:rsid w:val="003C3314"/>
    <w:rsid w:val="003C41BE"/>
    <w:rsid w:val="003D1828"/>
    <w:rsid w:val="003D2422"/>
    <w:rsid w:val="003D4491"/>
    <w:rsid w:val="003D5A92"/>
    <w:rsid w:val="003D6815"/>
    <w:rsid w:val="003E2ABB"/>
    <w:rsid w:val="003E7A3D"/>
    <w:rsid w:val="003F04E0"/>
    <w:rsid w:val="003F069F"/>
    <w:rsid w:val="003F4156"/>
    <w:rsid w:val="003F6EE4"/>
    <w:rsid w:val="003F7679"/>
    <w:rsid w:val="003F7DDD"/>
    <w:rsid w:val="00407399"/>
    <w:rsid w:val="00410708"/>
    <w:rsid w:val="00410EC7"/>
    <w:rsid w:val="00411ED9"/>
    <w:rsid w:val="004124E9"/>
    <w:rsid w:val="00412872"/>
    <w:rsid w:val="00414476"/>
    <w:rsid w:val="0041615D"/>
    <w:rsid w:val="00420B9F"/>
    <w:rsid w:val="00426EFF"/>
    <w:rsid w:val="0042747C"/>
    <w:rsid w:val="004319F8"/>
    <w:rsid w:val="00433044"/>
    <w:rsid w:val="00440C79"/>
    <w:rsid w:val="004443A7"/>
    <w:rsid w:val="00445639"/>
    <w:rsid w:val="004464EB"/>
    <w:rsid w:val="004465F4"/>
    <w:rsid w:val="00453060"/>
    <w:rsid w:val="00455D45"/>
    <w:rsid w:val="00457430"/>
    <w:rsid w:val="004617BA"/>
    <w:rsid w:val="00461A04"/>
    <w:rsid w:val="00464595"/>
    <w:rsid w:val="00466B22"/>
    <w:rsid w:val="00473368"/>
    <w:rsid w:val="00476173"/>
    <w:rsid w:val="004818C9"/>
    <w:rsid w:val="00482628"/>
    <w:rsid w:val="0048457F"/>
    <w:rsid w:val="004867E2"/>
    <w:rsid w:val="00486ECB"/>
    <w:rsid w:val="00490159"/>
    <w:rsid w:val="004907A3"/>
    <w:rsid w:val="00491B3A"/>
    <w:rsid w:val="00492CFD"/>
    <w:rsid w:val="00493A12"/>
    <w:rsid w:val="0049627C"/>
    <w:rsid w:val="004962D2"/>
    <w:rsid w:val="004A0DA1"/>
    <w:rsid w:val="004A26AE"/>
    <w:rsid w:val="004A2DF0"/>
    <w:rsid w:val="004A6597"/>
    <w:rsid w:val="004B1CB4"/>
    <w:rsid w:val="004B2F18"/>
    <w:rsid w:val="004B3DDB"/>
    <w:rsid w:val="004B44FD"/>
    <w:rsid w:val="004B532E"/>
    <w:rsid w:val="004B5CFC"/>
    <w:rsid w:val="004C27B8"/>
    <w:rsid w:val="004C4AED"/>
    <w:rsid w:val="004C6DB4"/>
    <w:rsid w:val="004D1ACB"/>
    <w:rsid w:val="004D2025"/>
    <w:rsid w:val="004D3CC7"/>
    <w:rsid w:val="004E0222"/>
    <w:rsid w:val="004E0EB8"/>
    <w:rsid w:val="004E15D5"/>
    <w:rsid w:val="004E19FA"/>
    <w:rsid w:val="004E2ADC"/>
    <w:rsid w:val="004E43B2"/>
    <w:rsid w:val="004E4582"/>
    <w:rsid w:val="004F1D02"/>
    <w:rsid w:val="004F2679"/>
    <w:rsid w:val="004F32B4"/>
    <w:rsid w:val="004F517F"/>
    <w:rsid w:val="004F5220"/>
    <w:rsid w:val="004F7865"/>
    <w:rsid w:val="00500663"/>
    <w:rsid w:val="0050633D"/>
    <w:rsid w:val="005066C6"/>
    <w:rsid w:val="00506928"/>
    <w:rsid w:val="0051064B"/>
    <w:rsid w:val="00511D29"/>
    <w:rsid w:val="00513E36"/>
    <w:rsid w:val="005152B5"/>
    <w:rsid w:val="00520D3C"/>
    <w:rsid w:val="00521319"/>
    <w:rsid w:val="00523C28"/>
    <w:rsid w:val="00525F9D"/>
    <w:rsid w:val="00530DAA"/>
    <w:rsid w:val="00530F5E"/>
    <w:rsid w:val="00535414"/>
    <w:rsid w:val="00535D76"/>
    <w:rsid w:val="00540EC7"/>
    <w:rsid w:val="00543AD9"/>
    <w:rsid w:val="00544CD4"/>
    <w:rsid w:val="00552BD3"/>
    <w:rsid w:val="00554207"/>
    <w:rsid w:val="00555109"/>
    <w:rsid w:val="0056035D"/>
    <w:rsid w:val="00563836"/>
    <w:rsid w:val="00564B8E"/>
    <w:rsid w:val="0056696F"/>
    <w:rsid w:val="00567976"/>
    <w:rsid w:val="00573650"/>
    <w:rsid w:val="00575D8D"/>
    <w:rsid w:val="00576972"/>
    <w:rsid w:val="00580D6C"/>
    <w:rsid w:val="00582498"/>
    <w:rsid w:val="00583699"/>
    <w:rsid w:val="00586CAF"/>
    <w:rsid w:val="0059141E"/>
    <w:rsid w:val="0059306A"/>
    <w:rsid w:val="00596DA0"/>
    <w:rsid w:val="005A4712"/>
    <w:rsid w:val="005A7F26"/>
    <w:rsid w:val="005B5857"/>
    <w:rsid w:val="005B5A44"/>
    <w:rsid w:val="005B6604"/>
    <w:rsid w:val="005B733C"/>
    <w:rsid w:val="005C1755"/>
    <w:rsid w:val="005C1B83"/>
    <w:rsid w:val="005C346B"/>
    <w:rsid w:val="005D044D"/>
    <w:rsid w:val="005D18AD"/>
    <w:rsid w:val="005D3F03"/>
    <w:rsid w:val="005D6A94"/>
    <w:rsid w:val="005E39C8"/>
    <w:rsid w:val="005E73C0"/>
    <w:rsid w:val="005E75E2"/>
    <w:rsid w:val="005E7A54"/>
    <w:rsid w:val="005F0775"/>
    <w:rsid w:val="005F0DBD"/>
    <w:rsid w:val="005F2706"/>
    <w:rsid w:val="005F6A8F"/>
    <w:rsid w:val="00607669"/>
    <w:rsid w:val="006078E1"/>
    <w:rsid w:val="00611537"/>
    <w:rsid w:val="00612F97"/>
    <w:rsid w:val="006131EE"/>
    <w:rsid w:val="00613295"/>
    <w:rsid w:val="00615218"/>
    <w:rsid w:val="00616802"/>
    <w:rsid w:val="00617D2E"/>
    <w:rsid w:val="00617E12"/>
    <w:rsid w:val="00621477"/>
    <w:rsid w:val="006262D7"/>
    <w:rsid w:val="00631D6B"/>
    <w:rsid w:val="0063479F"/>
    <w:rsid w:val="006356B7"/>
    <w:rsid w:val="006364A1"/>
    <w:rsid w:val="00636AC0"/>
    <w:rsid w:val="00637BFD"/>
    <w:rsid w:val="006450E6"/>
    <w:rsid w:val="00645EE7"/>
    <w:rsid w:val="006471CC"/>
    <w:rsid w:val="00647482"/>
    <w:rsid w:val="0065079F"/>
    <w:rsid w:val="00651232"/>
    <w:rsid w:val="00652471"/>
    <w:rsid w:val="0065338C"/>
    <w:rsid w:val="00653850"/>
    <w:rsid w:val="00653A79"/>
    <w:rsid w:val="00655E8E"/>
    <w:rsid w:val="006571DA"/>
    <w:rsid w:val="00666BF6"/>
    <w:rsid w:val="00670315"/>
    <w:rsid w:val="00674E42"/>
    <w:rsid w:val="00676C80"/>
    <w:rsid w:val="00677DAE"/>
    <w:rsid w:val="006802E7"/>
    <w:rsid w:val="00682112"/>
    <w:rsid w:val="00684822"/>
    <w:rsid w:val="006872BA"/>
    <w:rsid w:val="006917D7"/>
    <w:rsid w:val="00694F44"/>
    <w:rsid w:val="00695CAF"/>
    <w:rsid w:val="006A057B"/>
    <w:rsid w:val="006A2998"/>
    <w:rsid w:val="006A49E1"/>
    <w:rsid w:val="006A6C34"/>
    <w:rsid w:val="006B01EF"/>
    <w:rsid w:val="006B0D4C"/>
    <w:rsid w:val="006B0E43"/>
    <w:rsid w:val="006B1E54"/>
    <w:rsid w:val="006B72DC"/>
    <w:rsid w:val="006C2A8E"/>
    <w:rsid w:val="006C7E60"/>
    <w:rsid w:val="006D1732"/>
    <w:rsid w:val="006D3C7D"/>
    <w:rsid w:val="006D55CF"/>
    <w:rsid w:val="006D5D5F"/>
    <w:rsid w:val="006E023D"/>
    <w:rsid w:val="006E2BD9"/>
    <w:rsid w:val="006E5C44"/>
    <w:rsid w:val="006E7083"/>
    <w:rsid w:val="006F059C"/>
    <w:rsid w:val="006F06F8"/>
    <w:rsid w:val="006F5C0A"/>
    <w:rsid w:val="006F63A5"/>
    <w:rsid w:val="00701DFF"/>
    <w:rsid w:val="0070276E"/>
    <w:rsid w:val="00702F8F"/>
    <w:rsid w:val="007036FD"/>
    <w:rsid w:val="007050CD"/>
    <w:rsid w:val="007114B3"/>
    <w:rsid w:val="00711861"/>
    <w:rsid w:val="00711A36"/>
    <w:rsid w:val="00716BC7"/>
    <w:rsid w:val="007172AD"/>
    <w:rsid w:val="0072416F"/>
    <w:rsid w:val="007249EA"/>
    <w:rsid w:val="00725DFA"/>
    <w:rsid w:val="007276E3"/>
    <w:rsid w:val="00733143"/>
    <w:rsid w:val="00735328"/>
    <w:rsid w:val="0073685B"/>
    <w:rsid w:val="00737592"/>
    <w:rsid w:val="00742D3C"/>
    <w:rsid w:val="00743013"/>
    <w:rsid w:val="00744986"/>
    <w:rsid w:val="00747324"/>
    <w:rsid w:val="00751118"/>
    <w:rsid w:val="00760FA1"/>
    <w:rsid w:val="00761DDE"/>
    <w:rsid w:val="007632BF"/>
    <w:rsid w:val="0076600F"/>
    <w:rsid w:val="00766390"/>
    <w:rsid w:val="00770EE6"/>
    <w:rsid w:val="007714D7"/>
    <w:rsid w:val="00774C7C"/>
    <w:rsid w:val="007769D9"/>
    <w:rsid w:val="00780076"/>
    <w:rsid w:val="007915CF"/>
    <w:rsid w:val="00791D9D"/>
    <w:rsid w:val="007A01D2"/>
    <w:rsid w:val="007A0A12"/>
    <w:rsid w:val="007A24C8"/>
    <w:rsid w:val="007A280C"/>
    <w:rsid w:val="007A3371"/>
    <w:rsid w:val="007A4132"/>
    <w:rsid w:val="007A487A"/>
    <w:rsid w:val="007A59DE"/>
    <w:rsid w:val="007B251D"/>
    <w:rsid w:val="007B3667"/>
    <w:rsid w:val="007B569E"/>
    <w:rsid w:val="007B6D11"/>
    <w:rsid w:val="007B77D1"/>
    <w:rsid w:val="007C361D"/>
    <w:rsid w:val="007D0204"/>
    <w:rsid w:val="007D0B38"/>
    <w:rsid w:val="007D6BAD"/>
    <w:rsid w:val="007D7872"/>
    <w:rsid w:val="007E1411"/>
    <w:rsid w:val="007F1017"/>
    <w:rsid w:val="007F1A67"/>
    <w:rsid w:val="007F4A3F"/>
    <w:rsid w:val="007F5815"/>
    <w:rsid w:val="007F5DE5"/>
    <w:rsid w:val="007F7974"/>
    <w:rsid w:val="00801DEB"/>
    <w:rsid w:val="008024DD"/>
    <w:rsid w:val="00805142"/>
    <w:rsid w:val="00807A41"/>
    <w:rsid w:val="00807A8B"/>
    <w:rsid w:val="00812149"/>
    <w:rsid w:val="008166EF"/>
    <w:rsid w:val="00816DCE"/>
    <w:rsid w:val="00820655"/>
    <w:rsid w:val="0082581E"/>
    <w:rsid w:val="00826210"/>
    <w:rsid w:val="008264EB"/>
    <w:rsid w:val="008339BF"/>
    <w:rsid w:val="00833B05"/>
    <w:rsid w:val="00834BD5"/>
    <w:rsid w:val="00834E03"/>
    <w:rsid w:val="00840CA2"/>
    <w:rsid w:val="00843A32"/>
    <w:rsid w:val="00855D1A"/>
    <w:rsid w:val="00856C47"/>
    <w:rsid w:val="00856E9A"/>
    <w:rsid w:val="00861E31"/>
    <w:rsid w:val="00862502"/>
    <w:rsid w:val="00866E4C"/>
    <w:rsid w:val="0086744E"/>
    <w:rsid w:val="0087008F"/>
    <w:rsid w:val="00870F75"/>
    <w:rsid w:val="00874262"/>
    <w:rsid w:val="0087593D"/>
    <w:rsid w:val="008777C7"/>
    <w:rsid w:val="00882874"/>
    <w:rsid w:val="00883787"/>
    <w:rsid w:val="00887E93"/>
    <w:rsid w:val="00890024"/>
    <w:rsid w:val="00891E99"/>
    <w:rsid w:val="00894489"/>
    <w:rsid w:val="008961C8"/>
    <w:rsid w:val="008963A5"/>
    <w:rsid w:val="008A1233"/>
    <w:rsid w:val="008A1B99"/>
    <w:rsid w:val="008A3C3E"/>
    <w:rsid w:val="008A43AE"/>
    <w:rsid w:val="008A7514"/>
    <w:rsid w:val="008A79DE"/>
    <w:rsid w:val="008B1CA8"/>
    <w:rsid w:val="008B2F4E"/>
    <w:rsid w:val="008B403B"/>
    <w:rsid w:val="008B49A4"/>
    <w:rsid w:val="008B749A"/>
    <w:rsid w:val="008B7D7E"/>
    <w:rsid w:val="008C7ECB"/>
    <w:rsid w:val="008D34EF"/>
    <w:rsid w:val="008D638D"/>
    <w:rsid w:val="008E1B9E"/>
    <w:rsid w:val="008E238D"/>
    <w:rsid w:val="008E7221"/>
    <w:rsid w:val="008F120A"/>
    <w:rsid w:val="008F26C3"/>
    <w:rsid w:val="008F48EB"/>
    <w:rsid w:val="008F4F0B"/>
    <w:rsid w:val="00904950"/>
    <w:rsid w:val="00904E98"/>
    <w:rsid w:val="00905131"/>
    <w:rsid w:val="00905BAC"/>
    <w:rsid w:val="009062A5"/>
    <w:rsid w:val="00911272"/>
    <w:rsid w:val="00912110"/>
    <w:rsid w:val="0091252B"/>
    <w:rsid w:val="00917CE3"/>
    <w:rsid w:val="0093109A"/>
    <w:rsid w:val="0093259D"/>
    <w:rsid w:val="00934091"/>
    <w:rsid w:val="00934C9E"/>
    <w:rsid w:val="009369B7"/>
    <w:rsid w:val="00950EA7"/>
    <w:rsid w:val="00951248"/>
    <w:rsid w:val="009530AC"/>
    <w:rsid w:val="00957E33"/>
    <w:rsid w:val="0096086D"/>
    <w:rsid w:val="00960C44"/>
    <w:rsid w:val="00961F57"/>
    <w:rsid w:val="0096291B"/>
    <w:rsid w:val="00962CB9"/>
    <w:rsid w:val="00964312"/>
    <w:rsid w:val="0097121A"/>
    <w:rsid w:val="00974052"/>
    <w:rsid w:val="00974EC9"/>
    <w:rsid w:val="00983E57"/>
    <w:rsid w:val="0098427F"/>
    <w:rsid w:val="00987549"/>
    <w:rsid w:val="009955EE"/>
    <w:rsid w:val="00995873"/>
    <w:rsid w:val="009969EA"/>
    <w:rsid w:val="00996B1A"/>
    <w:rsid w:val="00997CBD"/>
    <w:rsid w:val="009A402B"/>
    <w:rsid w:val="009A4BDC"/>
    <w:rsid w:val="009A4F65"/>
    <w:rsid w:val="009B3E26"/>
    <w:rsid w:val="009B4787"/>
    <w:rsid w:val="009B48C2"/>
    <w:rsid w:val="009B60A9"/>
    <w:rsid w:val="009C2873"/>
    <w:rsid w:val="009C31E5"/>
    <w:rsid w:val="009C72A4"/>
    <w:rsid w:val="009D2384"/>
    <w:rsid w:val="009D47F1"/>
    <w:rsid w:val="009D5B91"/>
    <w:rsid w:val="009D71C6"/>
    <w:rsid w:val="009D7EBD"/>
    <w:rsid w:val="009E05A8"/>
    <w:rsid w:val="009E223B"/>
    <w:rsid w:val="009E4C07"/>
    <w:rsid w:val="009E7623"/>
    <w:rsid w:val="009E7D38"/>
    <w:rsid w:val="009F1B8B"/>
    <w:rsid w:val="009F48C4"/>
    <w:rsid w:val="009F732F"/>
    <w:rsid w:val="00A00673"/>
    <w:rsid w:val="00A03D43"/>
    <w:rsid w:val="00A04380"/>
    <w:rsid w:val="00A049A5"/>
    <w:rsid w:val="00A11465"/>
    <w:rsid w:val="00A13948"/>
    <w:rsid w:val="00A177B9"/>
    <w:rsid w:val="00A23C58"/>
    <w:rsid w:val="00A27AEC"/>
    <w:rsid w:val="00A27CEA"/>
    <w:rsid w:val="00A32E82"/>
    <w:rsid w:val="00A35D16"/>
    <w:rsid w:val="00A43BAC"/>
    <w:rsid w:val="00A43C59"/>
    <w:rsid w:val="00A50ECD"/>
    <w:rsid w:val="00A52132"/>
    <w:rsid w:val="00A52729"/>
    <w:rsid w:val="00A53675"/>
    <w:rsid w:val="00A56B6A"/>
    <w:rsid w:val="00A578DC"/>
    <w:rsid w:val="00A5799F"/>
    <w:rsid w:val="00A60391"/>
    <w:rsid w:val="00A6061F"/>
    <w:rsid w:val="00A61EAF"/>
    <w:rsid w:val="00A62C5B"/>
    <w:rsid w:val="00A64605"/>
    <w:rsid w:val="00A6725B"/>
    <w:rsid w:val="00A67A51"/>
    <w:rsid w:val="00A72ACB"/>
    <w:rsid w:val="00A733F4"/>
    <w:rsid w:val="00A74F64"/>
    <w:rsid w:val="00A75480"/>
    <w:rsid w:val="00A842D0"/>
    <w:rsid w:val="00A86E8B"/>
    <w:rsid w:val="00A87E4E"/>
    <w:rsid w:val="00A93072"/>
    <w:rsid w:val="00A959D8"/>
    <w:rsid w:val="00A96ADB"/>
    <w:rsid w:val="00AA103D"/>
    <w:rsid w:val="00AB042A"/>
    <w:rsid w:val="00AB2D34"/>
    <w:rsid w:val="00AB3430"/>
    <w:rsid w:val="00AB7CFA"/>
    <w:rsid w:val="00AC2B2C"/>
    <w:rsid w:val="00AC4128"/>
    <w:rsid w:val="00AC451B"/>
    <w:rsid w:val="00AC5CA9"/>
    <w:rsid w:val="00AD0F1C"/>
    <w:rsid w:val="00AD3C45"/>
    <w:rsid w:val="00AD3E7D"/>
    <w:rsid w:val="00AD6445"/>
    <w:rsid w:val="00AD6883"/>
    <w:rsid w:val="00AE275C"/>
    <w:rsid w:val="00AE62DF"/>
    <w:rsid w:val="00AF0A71"/>
    <w:rsid w:val="00AF296B"/>
    <w:rsid w:val="00AF3430"/>
    <w:rsid w:val="00B028CD"/>
    <w:rsid w:val="00B04CE2"/>
    <w:rsid w:val="00B06AB6"/>
    <w:rsid w:val="00B124F1"/>
    <w:rsid w:val="00B166CE"/>
    <w:rsid w:val="00B22D16"/>
    <w:rsid w:val="00B3596E"/>
    <w:rsid w:val="00B417A4"/>
    <w:rsid w:val="00B42851"/>
    <w:rsid w:val="00B50DB8"/>
    <w:rsid w:val="00B528CA"/>
    <w:rsid w:val="00B5325C"/>
    <w:rsid w:val="00B53905"/>
    <w:rsid w:val="00B54B5B"/>
    <w:rsid w:val="00B5562E"/>
    <w:rsid w:val="00B57000"/>
    <w:rsid w:val="00B60939"/>
    <w:rsid w:val="00B60AFD"/>
    <w:rsid w:val="00B62715"/>
    <w:rsid w:val="00B639C2"/>
    <w:rsid w:val="00B65EF5"/>
    <w:rsid w:val="00B746A5"/>
    <w:rsid w:val="00B773D4"/>
    <w:rsid w:val="00B818A4"/>
    <w:rsid w:val="00B8649C"/>
    <w:rsid w:val="00B866E2"/>
    <w:rsid w:val="00B91A45"/>
    <w:rsid w:val="00B92608"/>
    <w:rsid w:val="00B92D0B"/>
    <w:rsid w:val="00B94177"/>
    <w:rsid w:val="00B946FF"/>
    <w:rsid w:val="00B94945"/>
    <w:rsid w:val="00B973D1"/>
    <w:rsid w:val="00BA161C"/>
    <w:rsid w:val="00BA3BBA"/>
    <w:rsid w:val="00BA4EDE"/>
    <w:rsid w:val="00BA5400"/>
    <w:rsid w:val="00BB10A6"/>
    <w:rsid w:val="00BB10E3"/>
    <w:rsid w:val="00BB7405"/>
    <w:rsid w:val="00BC0795"/>
    <w:rsid w:val="00BC32FF"/>
    <w:rsid w:val="00BD331C"/>
    <w:rsid w:val="00BD5670"/>
    <w:rsid w:val="00BD6CF3"/>
    <w:rsid w:val="00BD7745"/>
    <w:rsid w:val="00BE2180"/>
    <w:rsid w:val="00BE4275"/>
    <w:rsid w:val="00BE66F6"/>
    <w:rsid w:val="00BF2433"/>
    <w:rsid w:val="00BF36A6"/>
    <w:rsid w:val="00BF4280"/>
    <w:rsid w:val="00BF60EC"/>
    <w:rsid w:val="00BF61C9"/>
    <w:rsid w:val="00C00041"/>
    <w:rsid w:val="00C01F11"/>
    <w:rsid w:val="00C160B3"/>
    <w:rsid w:val="00C25418"/>
    <w:rsid w:val="00C25D9C"/>
    <w:rsid w:val="00C31649"/>
    <w:rsid w:val="00C40385"/>
    <w:rsid w:val="00C41E0A"/>
    <w:rsid w:val="00C53847"/>
    <w:rsid w:val="00C57C30"/>
    <w:rsid w:val="00C57DA8"/>
    <w:rsid w:val="00C633FE"/>
    <w:rsid w:val="00C65576"/>
    <w:rsid w:val="00C66165"/>
    <w:rsid w:val="00C70CFA"/>
    <w:rsid w:val="00C72F24"/>
    <w:rsid w:val="00C733F6"/>
    <w:rsid w:val="00C750C8"/>
    <w:rsid w:val="00C768ED"/>
    <w:rsid w:val="00C77656"/>
    <w:rsid w:val="00C80818"/>
    <w:rsid w:val="00C8213F"/>
    <w:rsid w:val="00C8299B"/>
    <w:rsid w:val="00C83702"/>
    <w:rsid w:val="00C8797A"/>
    <w:rsid w:val="00C9245A"/>
    <w:rsid w:val="00C938CF"/>
    <w:rsid w:val="00C9455F"/>
    <w:rsid w:val="00C94D19"/>
    <w:rsid w:val="00CA0C67"/>
    <w:rsid w:val="00CA31CC"/>
    <w:rsid w:val="00CA365F"/>
    <w:rsid w:val="00CA5245"/>
    <w:rsid w:val="00CA5C0B"/>
    <w:rsid w:val="00CA7B09"/>
    <w:rsid w:val="00CB5B1A"/>
    <w:rsid w:val="00CB67A4"/>
    <w:rsid w:val="00CC031B"/>
    <w:rsid w:val="00CC330F"/>
    <w:rsid w:val="00CC4873"/>
    <w:rsid w:val="00CD3526"/>
    <w:rsid w:val="00CD493F"/>
    <w:rsid w:val="00CD6ADC"/>
    <w:rsid w:val="00CD6CA3"/>
    <w:rsid w:val="00CD7261"/>
    <w:rsid w:val="00CE2277"/>
    <w:rsid w:val="00CE4EDA"/>
    <w:rsid w:val="00CE6087"/>
    <w:rsid w:val="00CE6274"/>
    <w:rsid w:val="00CE6616"/>
    <w:rsid w:val="00CE750D"/>
    <w:rsid w:val="00CE795C"/>
    <w:rsid w:val="00CF1BC8"/>
    <w:rsid w:val="00CF1E6D"/>
    <w:rsid w:val="00CF2085"/>
    <w:rsid w:val="00CF3498"/>
    <w:rsid w:val="00CF456B"/>
    <w:rsid w:val="00CF4D5E"/>
    <w:rsid w:val="00CF5A22"/>
    <w:rsid w:val="00CF5F4C"/>
    <w:rsid w:val="00CF7BB1"/>
    <w:rsid w:val="00D0262E"/>
    <w:rsid w:val="00D05125"/>
    <w:rsid w:val="00D110BD"/>
    <w:rsid w:val="00D17D6C"/>
    <w:rsid w:val="00D2386E"/>
    <w:rsid w:val="00D24837"/>
    <w:rsid w:val="00D25C74"/>
    <w:rsid w:val="00D26A17"/>
    <w:rsid w:val="00D345F5"/>
    <w:rsid w:val="00D357FF"/>
    <w:rsid w:val="00D377FA"/>
    <w:rsid w:val="00D379AB"/>
    <w:rsid w:val="00D40586"/>
    <w:rsid w:val="00D54501"/>
    <w:rsid w:val="00D548CE"/>
    <w:rsid w:val="00D55396"/>
    <w:rsid w:val="00D62BB1"/>
    <w:rsid w:val="00D63840"/>
    <w:rsid w:val="00D67FB2"/>
    <w:rsid w:val="00D76A44"/>
    <w:rsid w:val="00D80EE0"/>
    <w:rsid w:val="00D8279B"/>
    <w:rsid w:val="00D83D1B"/>
    <w:rsid w:val="00D83E8A"/>
    <w:rsid w:val="00D93753"/>
    <w:rsid w:val="00D93843"/>
    <w:rsid w:val="00D97806"/>
    <w:rsid w:val="00DA1AF8"/>
    <w:rsid w:val="00DA2D06"/>
    <w:rsid w:val="00DA4614"/>
    <w:rsid w:val="00DA77A5"/>
    <w:rsid w:val="00DC104A"/>
    <w:rsid w:val="00DC5501"/>
    <w:rsid w:val="00DD29E8"/>
    <w:rsid w:val="00DD3F28"/>
    <w:rsid w:val="00DD4537"/>
    <w:rsid w:val="00DD4E15"/>
    <w:rsid w:val="00DE0118"/>
    <w:rsid w:val="00DE2507"/>
    <w:rsid w:val="00DE2981"/>
    <w:rsid w:val="00DE4FCB"/>
    <w:rsid w:val="00DF1D58"/>
    <w:rsid w:val="00DF3E8C"/>
    <w:rsid w:val="00DF5D2B"/>
    <w:rsid w:val="00DF66F3"/>
    <w:rsid w:val="00E0011F"/>
    <w:rsid w:val="00E033BB"/>
    <w:rsid w:val="00E10149"/>
    <w:rsid w:val="00E103FB"/>
    <w:rsid w:val="00E12E93"/>
    <w:rsid w:val="00E13C8E"/>
    <w:rsid w:val="00E156D5"/>
    <w:rsid w:val="00E16372"/>
    <w:rsid w:val="00E20ED6"/>
    <w:rsid w:val="00E21358"/>
    <w:rsid w:val="00E2249B"/>
    <w:rsid w:val="00E22A0D"/>
    <w:rsid w:val="00E24780"/>
    <w:rsid w:val="00E26A36"/>
    <w:rsid w:val="00E2751A"/>
    <w:rsid w:val="00E2771E"/>
    <w:rsid w:val="00E34A65"/>
    <w:rsid w:val="00E37569"/>
    <w:rsid w:val="00E40B64"/>
    <w:rsid w:val="00E41D40"/>
    <w:rsid w:val="00E41E30"/>
    <w:rsid w:val="00E43287"/>
    <w:rsid w:val="00E433C3"/>
    <w:rsid w:val="00E43D70"/>
    <w:rsid w:val="00E4773E"/>
    <w:rsid w:val="00E47B2C"/>
    <w:rsid w:val="00E51560"/>
    <w:rsid w:val="00E51B8F"/>
    <w:rsid w:val="00E534B4"/>
    <w:rsid w:val="00E54B84"/>
    <w:rsid w:val="00E54D07"/>
    <w:rsid w:val="00E55424"/>
    <w:rsid w:val="00E55BB5"/>
    <w:rsid w:val="00E60CB5"/>
    <w:rsid w:val="00E62DAE"/>
    <w:rsid w:val="00E65A71"/>
    <w:rsid w:val="00E65B56"/>
    <w:rsid w:val="00E65E79"/>
    <w:rsid w:val="00E66C48"/>
    <w:rsid w:val="00E67291"/>
    <w:rsid w:val="00E67416"/>
    <w:rsid w:val="00E7075A"/>
    <w:rsid w:val="00E718B6"/>
    <w:rsid w:val="00E73581"/>
    <w:rsid w:val="00E73AD9"/>
    <w:rsid w:val="00E73F9F"/>
    <w:rsid w:val="00E74E5E"/>
    <w:rsid w:val="00E76008"/>
    <w:rsid w:val="00E77ED7"/>
    <w:rsid w:val="00E83BDF"/>
    <w:rsid w:val="00EA24B5"/>
    <w:rsid w:val="00EA3864"/>
    <w:rsid w:val="00EA50D2"/>
    <w:rsid w:val="00EB004A"/>
    <w:rsid w:val="00EB127B"/>
    <w:rsid w:val="00EB15B6"/>
    <w:rsid w:val="00EB18B8"/>
    <w:rsid w:val="00EB2ECA"/>
    <w:rsid w:val="00EB4916"/>
    <w:rsid w:val="00EC00C9"/>
    <w:rsid w:val="00EC179E"/>
    <w:rsid w:val="00EC2AC4"/>
    <w:rsid w:val="00EC3B55"/>
    <w:rsid w:val="00EC3BD0"/>
    <w:rsid w:val="00ED08B2"/>
    <w:rsid w:val="00ED2991"/>
    <w:rsid w:val="00EE07D3"/>
    <w:rsid w:val="00EE1B1B"/>
    <w:rsid w:val="00EE60BF"/>
    <w:rsid w:val="00F033FF"/>
    <w:rsid w:val="00F04C59"/>
    <w:rsid w:val="00F067A2"/>
    <w:rsid w:val="00F109AD"/>
    <w:rsid w:val="00F20080"/>
    <w:rsid w:val="00F20DF7"/>
    <w:rsid w:val="00F24837"/>
    <w:rsid w:val="00F24A35"/>
    <w:rsid w:val="00F2558A"/>
    <w:rsid w:val="00F2575F"/>
    <w:rsid w:val="00F27B1B"/>
    <w:rsid w:val="00F27E47"/>
    <w:rsid w:val="00F30935"/>
    <w:rsid w:val="00F33DE9"/>
    <w:rsid w:val="00F35F89"/>
    <w:rsid w:val="00F3619A"/>
    <w:rsid w:val="00F36D6E"/>
    <w:rsid w:val="00F422ED"/>
    <w:rsid w:val="00F46CB6"/>
    <w:rsid w:val="00F55CEE"/>
    <w:rsid w:val="00F55E73"/>
    <w:rsid w:val="00F60092"/>
    <w:rsid w:val="00F62060"/>
    <w:rsid w:val="00F71357"/>
    <w:rsid w:val="00F80E5D"/>
    <w:rsid w:val="00F833CC"/>
    <w:rsid w:val="00F84575"/>
    <w:rsid w:val="00F851CE"/>
    <w:rsid w:val="00F9168A"/>
    <w:rsid w:val="00F95EB1"/>
    <w:rsid w:val="00F97A78"/>
    <w:rsid w:val="00FA24E7"/>
    <w:rsid w:val="00FB067A"/>
    <w:rsid w:val="00FB2637"/>
    <w:rsid w:val="00FB2FCB"/>
    <w:rsid w:val="00FB353D"/>
    <w:rsid w:val="00FB503C"/>
    <w:rsid w:val="00FB7578"/>
    <w:rsid w:val="00FC1074"/>
    <w:rsid w:val="00FC1884"/>
    <w:rsid w:val="00FC30E1"/>
    <w:rsid w:val="00FD1F41"/>
    <w:rsid w:val="00FD2100"/>
    <w:rsid w:val="00FD446D"/>
    <w:rsid w:val="00FD68DC"/>
    <w:rsid w:val="00FE45FE"/>
    <w:rsid w:val="00FE5C77"/>
    <w:rsid w:val="00FF2D6A"/>
    <w:rsid w:val="00FF3DCF"/>
    <w:rsid w:val="00FF3FDF"/>
    <w:rsid w:val="00FF4103"/>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List Bullet 2" w:uiPriority="99"/>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qFormat/>
    <w:rsid w:val="00175A20"/>
    <w:pPr>
      <w:outlineLvl w:val="0"/>
    </w:p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next w:val="Normal"/>
    <w:link w:val="TitleChar"/>
    <w:rsid w:val="00175A20"/>
    <w:pPr>
      <w:outlineLvl w:val="0"/>
    </w:pPr>
    <w:rPr>
      <w:rFonts w:ascii="Arial Bold" w:hAnsi="Arial Bold" w:cs="Arial"/>
      <w:b/>
      <w:caps/>
      <w:snapToGrid w:val="0"/>
      <w:sz w:val="28"/>
      <w:lang w:eastAsia="en-US"/>
    </w:rPr>
  </w:style>
  <w:style w:type="character" w:customStyle="1" w:styleId="TitleChar">
    <w:name w:val="Title Char"/>
    <w:basedOn w:val="DefaultParagraphFont"/>
    <w:link w:val="Title"/>
    <w:rsid w:val="00175A20"/>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6"/>
      </w:numPr>
    </w:pPr>
    <w:rPr>
      <w:rFonts w:ascii="Arial" w:hAnsi="Arial" w:cs="Arial"/>
      <w:b/>
      <w:snapToGrid w:val="0"/>
      <w:sz w:val="22"/>
      <w:szCs w:val="22"/>
      <w:lang w:eastAsia="en-US"/>
    </w:rPr>
  </w:style>
  <w:style w:type="paragraph" w:customStyle="1" w:styleId="KMC-Tabletext">
    <w:name w:val="KMC-Table text"/>
    <w:basedOn w:val="Normal"/>
    <w:qFormat/>
    <w:rsid w:val="00743013"/>
    <w:pPr>
      <w:widowControl/>
      <w:spacing w:before="40" w:after="40"/>
    </w:pPr>
    <w:rPr>
      <w:rFonts w:ascii="Arial Narrow" w:hAnsi="Arial Narrow"/>
      <w:bCs/>
      <w:snapToGrid/>
      <w:lang w:eastAsia="en-AU"/>
    </w:rPr>
  </w:style>
  <w:style w:type="paragraph" w:customStyle="1" w:styleId="PBSnormal">
    <w:name w:val="PBS normal"/>
    <w:basedOn w:val="Normal"/>
    <w:link w:val="PBSnormalChar"/>
    <w:qFormat/>
    <w:rsid w:val="00961F57"/>
    <w:pPr>
      <w:widowControl/>
      <w:spacing w:before="120" w:after="240" w:line="360" w:lineRule="auto"/>
    </w:pPr>
    <w:rPr>
      <w:snapToGrid/>
      <w:lang w:eastAsia="en-AU"/>
    </w:rPr>
  </w:style>
  <w:style w:type="character" w:customStyle="1" w:styleId="PBSnormalChar">
    <w:name w:val="PBS normal Char"/>
    <w:basedOn w:val="DefaultParagraphFont"/>
    <w:link w:val="PBSnormal"/>
    <w:rsid w:val="00961F57"/>
    <w:rPr>
      <w:rFonts w:ascii="Arial" w:hAnsi="Arial" w:cs="Arial"/>
      <w:sz w:val="22"/>
    </w:rPr>
  </w:style>
  <w:style w:type="paragraph" w:styleId="EndnoteText">
    <w:name w:val="endnote text"/>
    <w:basedOn w:val="Normal"/>
    <w:link w:val="EndnoteTextChar"/>
    <w:semiHidden/>
    <w:unhideWhenUsed/>
    <w:rsid w:val="00FE5C77"/>
    <w:rPr>
      <w:sz w:val="20"/>
    </w:rPr>
  </w:style>
  <w:style w:type="character" w:customStyle="1" w:styleId="EndnoteTextChar">
    <w:name w:val="Endnote Text Char"/>
    <w:basedOn w:val="DefaultParagraphFont"/>
    <w:link w:val="EndnoteText"/>
    <w:semiHidden/>
    <w:rsid w:val="00FE5C77"/>
    <w:rPr>
      <w:rFonts w:ascii="Arial" w:hAnsi="Arial" w:cs="Arial"/>
      <w:snapToGrid w:val="0"/>
      <w:lang w:eastAsia="en-US"/>
    </w:rPr>
  </w:style>
  <w:style w:type="character" w:styleId="EndnoteReference">
    <w:name w:val="endnote reference"/>
    <w:basedOn w:val="DefaultParagraphFont"/>
    <w:semiHidden/>
    <w:unhideWhenUsed/>
    <w:rsid w:val="00FE5C77"/>
    <w:rPr>
      <w:vertAlign w:val="superscript"/>
    </w:rPr>
  </w:style>
  <w:style w:type="paragraph" w:styleId="FootnoteText">
    <w:name w:val="footnote text"/>
    <w:basedOn w:val="Normal"/>
    <w:link w:val="FootnoteTextChar"/>
    <w:semiHidden/>
    <w:unhideWhenUsed/>
    <w:rsid w:val="00FE5C77"/>
    <w:rPr>
      <w:sz w:val="20"/>
    </w:rPr>
  </w:style>
  <w:style w:type="character" w:customStyle="1" w:styleId="FootnoteTextChar">
    <w:name w:val="Footnote Text Char"/>
    <w:basedOn w:val="DefaultParagraphFont"/>
    <w:link w:val="FootnoteText"/>
    <w:semiHidden/>
    <w:rsid w:val="00FE5C77"/>
    <w:rPr>
      <w:rFonts w:ascii="Arial" w:hAnsi="Arial" w:cs="Arial"/>
      <w:snapToGrid w:val="0"/>
      <w:lang w:eastAsia="en-US"/>
    </w:rPr>
  </w:style>
  <w:style w:type="character" w:styleId="FootnoteReference">
    <w:name w:val="footnote reference"/>
    <w:basedOn w:val="DefaultParagraphFont"/>
    <w:semiHidden/>
    <w:unhideWhenUsed/>
    <w:rsid w:val="00FE5C77"/>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D6EF3"/>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link w:val="ListParagraph"/>
    <w:uiPriority w:val="72"/>
    <w:rsid w:val="00CA31CC"/>
    <w:rPr>
      <w:rFonts w:ascii="Arial" w:hAnsi="Arial" w:cs="Arial"/>
      <w:snapToGrid w:val="0"/>
      <w:sz w:val="22"/>
      <w:lang w:eastAsia="en-US"/>
    </w:rPr>
  </w:style>
  <w:style w:type="paragraph" w:customStyle="1" w:styleId="Char">
    <w:name w:val="Char"/>
    <w:basedOn w:val="Normal"/>
    <w:rsid w:val="00B166CE"/>
    <w:pPr>
      <w:widowControl/>
      <w:spacing w:after="160" w:line="240" w:lineRule="exact"/>
      <w:jc w:val="left"/>
    </w:pPr>
    <w:rPr>
      <w:rFonts w:ascii="Verdana" w:eastAsia="MS Mincho" w:hAnsi="Verdana" w:cs="Verdana"/>
      <w:snapToGrid/>
      <w:sz w:val="20"/>
      <w:lang w:val="en-US"/>
    </w:rPr>
  </w:style>
  <w:style w:type="character" w:styleId="IntenseReference">
    <w:name w:val="Intense Reference"/>
    <w:basedOn w:val="DefaultParagraphFont"/>
    <w:uiPriority w:val="32"/>
    <w:qFormat/>
    <w:rsid w:val="003909C8"/>
    <w:rPr>
      <w:b/>
      <w:bCs/>
      <w:i/>
      <w:smallCaps/>
      <w:color w:val="C0504D" w:themeColor="accent2"/>
      <w:spacing w:val="5"/>
      <w:u w:val="none"/>
    </w:rPr>
  </w:style>
  <w:style w:type="paragraph" w:styleId="ListBullet2">
    <w:name w:val="List Bullet 2"/>
    <w:basedOn w:val="Normal"/>
    <w:uiPriority w:val="99"/>
    <w:unhideWhenUsed/>
    <w:rsid w:val="003909C8"/>
    <w:pPr>
      <w:widowControl/>
      <w:numPr>
        <w:numId w:val="30"/>
      </w:numPr>
      <w:spacing w:after="200" w:line="276" w:lineRule="auto"/>
      <w:contextualSpacing/>
      <w:jc w:val="left"/>
    </w:pPr>
    <w:rPr>
      <w:rFonts w:ascii="Times New Roman" w:eastAsiaTheme="minorHAnsi" w:hAnsi="Times New Roman" w:cstheme="minorBidi"/>
      <w:snapToGrid/>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List Bullet 2" w:uiPriority="99"/>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qFormat/>
    <w:rsid w:val="00175A20"/>
    <w:pPr>
      <w:outlineLvl w:val="0"/>
    </w:p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next w:val="Normal"/>
    <w:link w:val="TitleChar"/>
    <w:rsid w:val="00175A20"/>
    <w:pPr>
      <w:outlineLvl w:val="0"/>
    </w:pPr>
    <w:rPr>
      <w:rFonts w:ascii="Arial Bold" w:hAnsi="Arial Bold" w:cs="Arial"/>
      <w:b/>
      <w:caps/>
      <w:snapToGrid w:val="0"/>
      <w:sz w:val="28"/>
      <w:lang w:eastAsia="en-US"/>
    </w:rPr>
  </w:style>
  <w:style w:type="character" w:customStyle="1" w:styleId="TitleChar">
    <w:name w:val="Title Char"/>
    <w:basedOn w:val="DefaultParagraphFont"/>
    <w:link w:val="Title"/>
    <w:rsid w:val="00175A20"/>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6"/>
      </w:numPr>
    </w:pPr>
    <w:rPr>
      <w:rFonts w:ascii="Arial" w:hAnsi="Arial" w:cs="Arial"/>
      <w:b/>
      <w:snapToGrid w:val="0"/>
      <w:sz w:val="22"/>
      <w:szCs w:val="22"/>
      <w:lang w:eastAsia="en-US"/>
    </w:rPr>
  </w:style>
  <w:style w:type="paragraph" w:customStyle="1" w:styleId="KMC-Tabletext">
    <w:name w:val="KMC-Table text"/>
    <w:basedOn w:val="Normal"/>
    <w:qFormat/>
    <w:rsid w:val="00743013"/>
    <w:pPr>
      <w:widowControl/>
      <w:spacing w:before="40" w:after="40"/>
    </w:pPr>
    <w:rPr>
      <w:rFonts w:ascii="Arial Narrow" w:hAnsi="Arial Narrow"/>
      <w:bCs/>
      <w:snapToGrid/>
      <w:lang w:eastAsia="en-AU"/>
    </w:rPr>
  </w:style>
  <w:style w:type="paragraph" w:customStyle="1" w:styleId="PBSnormal">
    <w:name w:val="PBS normal"/>
    <w:basedOn w:val="Normal"/>
    <w:link w:val="PBSnormalChar"/>
    <w:qFormat/>
    <w:rsid w:val="00961F57"/>
    <w:pPr>
      <w:widowControl/>
      <w:spacing w:before="120" w:after="240" w:line="360" w:lineRule="auto"/>
    </w:pPr>
    <w:rPr>
      <w:snapToGrid/>
      <w:lang w:eastAsia="en-AU"/>
    </w:rPr>
  </w:style>
  <w:style w:type="character" w:customStyle="1" w:styleId="PBSnormalChar">
    <w:name w:val="PBS normal Char"/>
    <w:basedOn w:val="DefaultParagraphFont"/>
    <w:link w:val="PBSnormal"/>
    <w:rsid w:val="00961F57"/>
    <w:rPr>
      <w:rFonts w:ascii="Arial" w:hAnsi="Arial" w:cs="Arial"/>
      <w:sz w:val="22"/>
    </w:rPr>
  </w:style>
  <w:style w:type="paragraph" w:styleId="EndnoteText">
    <w:name w:val="endnote text"/>
    <w:basedOn w:val="Normal"/>
    <w:link w:val="EndnoteTextChar"/>
    <w:semiHidden/>
    <w:unhideWhenUsed/>
    <w:rsid w:val="00FE5C77"/>
    <w:rPr>
      <w:sz w:val="20"/>
    </w:rPr>
  </w:style>
  <w:style w:type="character" w:customStyle="1" w:styleId="EndnoteTextChar">
    <w:name w:val="Endnote Text Char"/>
    <w:basedOn w:val="DefaultParagraphFont"/>
    <w:link w:val="EndnoteText"/>
    <w:semiHidden/>
    <w:rsid w:val="00FE5C77"/>
    <w:rPr>
      <w:rFonts w:ascii="Arial" w:hAnsi="Arial" w:cs="Arial"/>
      <w:snapToGrid w:val="0"/>
      <w:lang w:eastAsia="en-US"/>
    </w:rPr>
  </w:style>
  <w:style w:type="character" w:styleId="EndnoteReference">
    <w:name w:val="endnote reference"/>
    <w:basedOn w:val="DefaultParagraphFont"/>
    <w:semiHidden/>
    <w:unhideWhenUsed/>
    <w:rsid w:val="00FE5C77"/>
    <w:rPr>
      <w:vertAlign w:val="superscript"/>
    </w:rPr>
  </w:style>
  <w:style w:type="paragraph" w:styleId="FootnoteText">
    <w:name w:val="footnote text"/>
    <w:basedOn w:val="Normal"/>
    <w:link w:val="FootnoteTextChar"/>
    <w:semiHidden/>
    <w:unhideWhenUsed/>
    <w:rsid w:val="00FE5C77"/>
    <w:rPr>
      <w:sz w:val="20"/>
    </w:rPr>
  </w:style>
  <w:style w:type="character" w:customStyle="1" w:styleId="FootnoteTextChar">
    <w:name w:val="Footnote Text Char"/>
    <w:basedOn w:val="DefaultParagraphFont"/>
    <w:link w:val="FootnoteText"/>
    <w:semiHidden/>
    <w:rsid w:val="00FE5C77"/>
    <w:rPr>
      <w:rFonts w:ascii="Arial" w:hAnsi="Arial" w:cs="Arial"/>
      <w:snapToGrid w:val="0"/>
      <w:lang w:eastAsia="en-US"/>
    </w:rPr>
  </w:style>
  <w:style w:type="character" w:styleId="FootnoteReference">
    <w:name w:val="footnote reference"/>
    <w:basedOn w:val="DefaultParagraphFont"/>
    <w:semiHidden/>
    <w:unhideWhenUsed/>
    <w:rsid w:val="00FE5C77"/>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D6EF3"/>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link w:val="ListParagraph"/>
    <w:uiPriority w:val="72"/>
    <w:rsid w:val="00CA31CC"/>
    <w:rPr>
      <w:rFonts w:ascii="Arial" w:hAnsi="Arial" w:cs="Arial"/>
      <w:snapToGrid w:val="0"/>
      <w:sz w:val="22"/>
      <w:lang w:eastAsia="en-US"/>
    </w:rPr>
  </w:style>
  <w:style w:type="paragraph" w:customStyle="1" w:styleId="Char">
    <w:name w:val="Char"/>
    <w:basedOn w:val="Normal"/>
    <w:rsid w:val="00B166CE"/>
    <w:pPr>
      <w:widowControl/>
      <w:spacing w:after="160" w:line="240" w:lineRule="exact"/>
      <w:jc w:val="left"/>
    </w:pPr>
    <w:rPr>
      <w:rFonts w:ascii="Verdana" w:eastAsia="MS Mincho" w:hAnsi="Verdana" w:cs="Verdana"/>
      <w:snapToGrid/>
      <w:sz w:val="20"/>
      <w:lang w:val="en-US"/>
    </w:rPr>
  </w:style>
  <w:style w:type="character" w:styleId="IntenseReference">
    <w:name w:val="Intense Reference"/>
    <w:basedOn w:val="DefaultParagraphFont"/>
    <w:uiPriority w:val="32"/>
    <w:qFormat/>
    <w:rsid w:val="003909C8"/>
    <w:rPr>
      <w:b/>
      <w:bCs/>
      <w:i/>
      <w:smallCaps/>
      <w:color w:val="C0504D" w:themeColor="accent2"/>
      <w:spacing w:val="5"/>
      <w:u w:val="none"/>
    </w:rPr>
  </w:style>
  <w:style w:type="paragraph" w:styleId="ListBullet2">
    <w:name w:val="List Bullet 2"/>
    <w:basedOn w:val="Normal"/>
    <w:uiPriority w:val="99"/>
    <w:unhideWhenUsed/>
    <w:rsid w:val="003909C8"/>
    <w:pPr>
      <w:widowControl/>
      <w:numPr>
        <w:numId w:val="30"/>
      </w:numPr>
      <w:spacing w:after="200" w:line="276" w:lineRule="auto"/>
      <w:contextualSpacing/>
      <w:jc w:val="left"/>
    </w:pPr>
    <w:rPr>
      <w:rFonts w:ascii="Times New Roman" w:eastAsiaTheme="minorHAnsi" w:hAnsi="Times New Roman" w:cstheme="minorBidi"/>
      <w:snapToGrid/>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28"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4049</Words>
  <Characters>25989</Characters>
  <Application>Microsoft Office Word</Application>
  <DocSecurity>0</DocSecurity>
  <Lines>999</Lines>
  <Paragraphs>492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2016-06-20T04:13:00Z</dcterms:created>
  <dcterms:modified xsi:type="dcterms:W3CDTF">2016-06-21T23:57:00Z</dcterms:modified>
</cp:coreProperties>
</file>