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FF" w:rsidRPr="00D232D7" w:rsidRDefault="0072095B" w:rsidP="0072095B">
      <w:pPr>
        <w:pStyle w:val="Title"/>
        <w:ind w:firstLine="0"/>
      </w:pPr>
      <w:r>
        <w:t>4.05</w:t>
      </w:r>
      <w:r>
        <w:tab/>
        <w:t>LENALIDOMIDE</w:t>
      </w:r>
    </w:p>
    <w:p w:rsidR="006519FF" w:rsidRPr="0072095B" w:rsidRDefault="006519FF" w:rsidP="0072095B">
      <w:pPr>
        <w:pStyle w:val="Title"/>
      </w:pPr>
      <w:r w:rsidRPr="0072095B">
        <w:t>capsules, 5mg, 10mg, 15mg and 25mg</w:t>
      </w:r>
      <w:r w:rsidR="00CB5448" w:rsidRPr="0072095B">
        <w:t>,</w:t>
      </w:r>
    </w:p>
    <w:p w:rsidR="006519FF" w:rsidRPr="0072095B" w:rsidRDefault="006519FF" w:rsidP="0072095B">
      <w:pPr>
        <w:pStyle w:val="Title"/>
      </w:pPr>
      <w:r w:rsidRPr="0072095B">
        <w:t>Revlimid®, Celgene Pty Ltd.</w:t>
      </w:r>
    </w:p>
    <w:p w:rsidR="00C27B58" w:rsidRDefault="00C27B58" w:rsidP="00C27B58">
      <w:pPr>
        <w:pStyle w:val="NoSpacing"/>
      </w:pPr>
    </w:p>
    <w:p w:rsidR="00CB5448" w:rsidRDefault="00CB5448" w:rsidP="00C27B58">
      <w:pPr>
        <w:pStyle w:val="NoSpacing"/>
      </w:pPr>
    </w:p>
    <w:p w:rsidR="00CE10C4" w:rsidRPr="00D232D7" w:rsidRDefault="00CE10C4" w:rsidP="00D232D7">
      <w:pPr>
        <w:pStyle w:val="Heading1"/>
      </w:pPr>
      <w:r w:rsidRPr="00D232D7">
        <w:t xml:space="preserve">Purpose of </w:t>
      </w:r>
      <w:r w:rsidR="0004240E" w:rsidRPr="00D232D7">
        <w:t>Application</w:t>
      </w:r>
    </w:p>
    <w:p w:rsidR="006A12A5" w:rsidRPr="00882085" w:rsidRDefault="006A12A5" w:rsidP="00882085">
      <w:pPr>
        <w:jc w:val="both"/>
        <w:rPr>
          <w:rFonts w:ascii="Arial" w:hAnsi="Arial"/>
          <w:sz w:val="22"/>
          <w:szCs w:val="22"/>
        </w:rPr>
      </w:pPr>
    </w:p>
    <w:p w:rsidR="006519FF" w:rsidRPr="006519FF" w:rsidRDefault="006519FF" w:rsidP="006519FF">
      <w:pPr>
        <w:widowControl w:val="0"/>
        <w:numPr>
          <w:ilvl w:val="1"/>
          <w:numId w:val="25"/>
        </w:numPr>
        <w:contextualSpacing/>
        <w:jc w:val="both"/>
        <w:rPr>
          <w:rFonts w:ascii="Arial" w:hAnsi="Arial" w:cs="Arial"/>
          <w:snapToGrid w:val="0"/>
          <w:sz w:val="22"/>
          <w:szCs w:val="20"/>
          <w:lang w:eastAsia="en-US"/>
        </w:rPr>
      </w:pPr>
      <w:r w:rsidRPr="006519FF">
        <w:rPr>
          <w:rFonts w:ascii="Arial" w:hAnsi="Arial" w:cs="Arial"/>
          <w:snapToGrid w:val="0"/>
          <w:sz w:val="22"/>
          <w:szCs w:val="20"/>
          <w:lang w:eastAsia="en-US"/>
        </w:rPr>
        <w:t>To inform the PBAC of a new price offered by the sponsor for lenalidomide as a first line therapy in the treatment of patients with newly diagnosed symptomatic multiple myeloma (NDMM) who are ineligible for stem cell transplant.</w:t>
      </w:r>
    </w:p>
    <w:p w:rsidR="00EF44A0" w:rsidRDefault="00EF44A0" w:rsidP="00C27B58">
      <w:pPr>
        <w:pStyle w:val="NoSpacing"/>
      </w:pPr>
    </w:p>
    <w:p w:rsidR="00CB5448" w:rsidRDefault="00CB5448" w:rsidP="00C27B58">
      <w:pPr>
        <w:pStyle w:val="NoSpacing"/>
      </w:pPr>
    </w:p>
    <w:p w:rsidR="003660EC" w:rsidRPr="003660EC" w:rsidRDefault="003660EC" w:rsidP="00D232D7">
      <w:pPr>
        <w:pStyle w:val="Heading1"/>
        <w:rPr>
          <w:rFonts w:cs="Arial"/>
          <w:b w:val="0"/>
          <w:snapToGrid w:val="0"/>
          <w:lang w:eastAsia="en-US"/>
        </w:rPr>
      </w:pPr>
      <w:bookmarkStart w:id="0" w:name="_Toc427593302"/>
      <w:r w:rsidRPr="003660EC">
        <w:rPr>
          <w:rFonts w:cs="Arial"/>
          <w:snapToGrid w:val="0"/>
          <w:lang w:eastAsia="en-US"/>
        </w:rPr>
        <w:t>Background</w:t>
      </w:r>
      <w:bookmarkEnd w:id="0"/>
    </w:p>
    <w:p w:rsidR="003660EC" w:rsidRPr="003660EC" w:rsidRDefault="003660EC" w:rsidP="003660EC">
      <w:pPr>
        <w:widowControl w:val="0"/>
        <w:jc w:val="both"/>
        <w:rPr>
          <w:rFonts w:ascii="Arial" w:hAnsi="Arial" w:cs="Arial"/>
          <w:snapToGrid w:val="0"/>
          <w:sz w:val="22"/>
          <w:szCs w:val="22"/>
          <w:lang w:eastAsia="en-US"/>
        </w:rPr>
      </w:pPr>
    </w:p>
    <w:p w:rsidR="003660EC" w:rsidRPr="00AE187B" w:rsidRDefault="003660EC" w:rsidP="003660EC">
      <w:pPr>
        <w:widowControl w:val="0"/>
        <w:numPr>
          <w:ilvl w:val="1"/>
          <w:numId w:val="25"/>
        </w:numPr>
        <w:contextualSpacing/>
        <w:jc w:val="both"/>
        <w:rPr>
          <w:rFonts w:ascii="Arial" w:hAnsi="Arial" w:cs="Arial"/>
          <w:snapToGrid w:val="0"/>
          <w:sz w:val="22"/>
          <w:szCs w:val="22"/>
          <w:lang w:eastAsia="en-US"/>
        </w:rPr>
      </w:pPr>
      <w:r w:rsidRPr="00AE187B">
        <w:rPr>
          <w:rFonts w:ascii="Arial" w:hAnsi="Arial" w:cs="Arial"/>
          <w:snapToGrid w:val="0"/>
          <w:sz w:val="22"/>
          <w:szCs w:val="20"/>
          <w:lang w:eastAsia="en-US"/>
        </w:rPr>
        <w:t>A major submission seeking a</w:t>
      </w:r>
      <w:r w:rsidRPr="00AE187B">
        <w:rPr>
          <w:rFonts w:ascii="Arial" w:hAnsi="Arial" w:cs="Arial"/>
          <w:snapToGrid w:val="0"/>
          <w:sz w:val="22"/>
          <w:szCs w:val="22"/>
          <w:lang w:eastAsia="en-US"/>
        </w:rPr>
        <w:t xml:space="preserve"> listing for lenalidomide on the basis of a cost-utility analysis comparing lenalidomide plus dexamethasone (Rd) against thalidomide plus melphalan plus prednisone (or prednisolone) (MPT) </w:t>
      </w:r>
      <w:r w:rsidRPr="00AE187B">
        <w:rPr>
          <w:rFonts w:ascii="Arial" w:hAnsi="Arial" w:cs="Arial"/>
          <w:snapToGrid w:val="0"/>
          <w:sz w:val="22"/>
          <w:szCs w:val="20"/>
          <w:lang w:eastAsia="en-US"/>
        </w:rPr>
        <w:t xml:space="preserve">was considered at </w:t>
      </w:r>
      <w:r w:rsidR="00AD1585">
        <w:rPr>
          <w:rFonts w:ascii="Arial" w:hAnsi="Arial" w:cs="Arial"/>
          <w:snapToGrid w:val="0"/>
          <w:sz w:val="22"/>
          <w:szCs w:val="20"/>
          <w:lang w:eastAsia="en-US"/>
        </w:rPr>
        <w:t>the November 2015 PBAC meeting.</w:t>
      </w:r>
    </w:p>
    <w:p w:rsidR="003660EC" w:rsidRPr="00AE187B" w:rsidRDefault="003660EC" w:rsidP="003660EC">
      <w:pPr>
        <w:ind w:left="720"/>
        <w:contextualSpacing/>
        <w:jc w:val="both"/>
        <w:rPr>
          <w:rFonts w:ascii="Arial" w:hAnsi="Arial" w:cs="Arial"/>
          <w:snapToGrid w:val="0"/>
          <w:sz w:val="22"/>
          <w:szCs w:val="22"/>
          <w:lang w:eastAsia="en-US"/>
        </w:rPr>
      </w:pPr>
    </w:p>
    <w:p w:rsidR="003660EC" w:rsidRPr="00AE187B" w:rsidRDefault="003660EC" w:rsidP="003660EC">
      <w:pPr>
        <w:widowControl w:val="0"/>
        <w:numPr>
          <w:ilvl w:val="1"/>
          <w:numId w:val="25"/>
        </w:numPr>
        <w:contextualSpacing/>
        <w:jc w:val="both"/>
        <w:rPr>
          <w:rFonts w:ascii="Arial" w:hAnsi="Arial" w:cs="Arial"/>
          <w:b/>
          <w:snapToGrid w:val="0"/>
          <w:sz w:val="22"/>
          <w:szCs w:val="20"/>
          <w:lang w:eastAsia="en-US"/>
        </w:rPr>
      </w:pPr>
      <w:r w:rsidRPr="00AE187B">
        <w:rPr>
          <w:rFonts w:ascii="Arial" w:hAnsi="Arial" w:cs="Arial"/>
          <w:snapToGrid w:val="0"/>
          <w:sz w:val="22"/>
          <w:szCs w:val="20"/>
          <w:lang w:eastAsia="en-US"/>
        </w:rPr>
        <w:t>The PBAC deferred making a recommendation for the submission seeking to list lenalidomide in combination with dexamethasone (Rd) as first line therapy for patients who are newly diagnosed with multiple myeloma (NDMM) due to the appropriate comparators, the inclusion of many favourable assumptions to Rd in the presented the model and a highly uncertain and high ICER for the requested treatment setting. (November 2015</w:t>
      </w:r>
      <w:r w:rsidR="007E224E">
        <w:rPr>
          <w:rFonts w:ascii="Arial" w:hAnsi="Arial" w:cs="Arial"/>
          <w:snapToGrid w:val="0"/>
          <w:sz w:val="22"/>
          <w:szCs w:val="20"/>
          <w:lang w:eastAsia="en-US"/>
        </w:rPr>
        <w:t xml:space="preserve"> Public Summary Document</w:t>
      </w:r>
      <w:r w:rsidRPr="00AE187B">
        <w:rPr>
          <w:rFonts w:ascii="Arial" w:hAnsi="Arial" w:cs="Arial"/>
          <w:snapToGrid w:val="0"/>
          <w:sz w:val="22"/>
          <w:szCs w:val="20"/>
          <w:lang w:eastAsia="en-US"/>
        </w:rPr>
        <w:t>, paragraph 7.1)</w:t>
      </w:r>
    </w:p>
    <w:p w:rsidR="003660EC" w:rsidRPr="00AE187B" w:rsidRDefault="003660EC" w:rsidP="003660EC">
      <w:pPr>
        <w:ind w:left="720"/>
        <w:contextualSpacing/>
        <w:jc w:val="both"/>
        <w:rPr>
          <w:rFonts w:ascii="Arial" w:hAnsi="Arial" w:cs="Arial"/>
          <w:snapToGrid w:val="0"/>
          <w:sz w:val="22"/>
          <w:szCs w:val="22"/>
          <w:lang w:eastAsia="en-US"/>
        </w:rPr>
      </w:pPr>
    </w:p>
    <w:p w:rsidR="003660EC" w:rsidRPr="00604112" w:rsidRDefault="003660EC" w:rsidP="003660EC">
      <w:pPr>
        <w:widowControl w:val="0"/>
        <w:numPr>
          <w:ilvl w:val="1"/>
          <w:numId w:val="25"/>
        </w:numPr>
        <w:contextualSpacing/>
        <w:jc w:val="both"/>
        <w:rPr>
          <w:rFonts w:ascii="Arial" w:hAnsi="Arial" w:cs="Arial"/>
          <w:snapToGrid w:val="0"/>
          <w:sz w:val="22"/>
          <w:szCs w:val="22"/>
          <w:lang w:eastAsia="en-US"/>
        </w:rPr>
      </w:pPr>
      <w:r w:rsidRPr="00AE187B">
        <w:rPr>
          <w:rFonts w:ascii="Arial" w:hAnsi="Arial" w:cs="Arial"/>
          <w:snapToGrid w:val="0"/>
          <w:sz w:val="22"/>
          <w:szCs w:val="20"/>
          <w:lang w:eastAsia="en-US"/>
        </w:rPr>
        <w:t>Based on the adjustments made by the sponsors in the Pre-PBAC response</w:t>
      </w:r>
      <w:r w:rsidR="00A560BF">
        <w:rPr>
          <w:rFonts w:ascii="Arial" w:hAnsi="Arial" w:cs="Arial"/>
          <w:snapToGrid w:val="0"/>
          <w:sz w:val="22"/>
          <w:szCs w:val="20"/>
          <w:lang w:eastAsia="en-US"/>
        </w:rPr>
        <w:t xml:space="preserve"> and</w:t>
      </w:r>
      <w:r w:rsidRPr="00AE187B">
        <w:rPr>
          <w:rFonts w:ascii="Arial" w:hAnsi="Arial" w:cs="Arial"/>
          <w:snapToGrid w:val="0"/>
          <w:sz w:val="22"/>
          <w:szCs w:val="20"/>
          <w:lang w:eastAsia="en-US"/>
        </w:rPr>
        <w:t xml:space="preserve"> adjustments required following PBAC deliberations, a re-specified base case was constructed. This estimated a robust ICER of $</w:t>
      </w:r>
      <w:r w:rsidR="00FF6BCD">
        <w:rPr>
          <w:rFonts w:ascii="Arial" w:hAnsi="Arial" w:cs="Arial"/>
          <w:snapToGrid w:val="0"/>
          <w:sz w:val="22"/>
          <w:szCs w:val="20"/>
          <w:lang w:eastAsia="en-US"/>
        </w:rPr>
        <w:t>75,000-$105,000</w:t>
      </w:r>
      <w:r w:rsidRPr="00AE187B">
        <w:rPr>
          <w:rFonts w:ascii="Arial" w:hAnsi="Arial" w:cs="Arial"/>
          <w:snapToGrid w:val="0"/>
          <w:sz w:val="22"/>
          <w:szCs w:val="20"/>
          <w:lang w:eastAsia="en-US"/>
        </w:rPr>
        <w:t xml:space="preserve">. </w:t>
      </w:r>
      <w:r w:rsidR="00A560BF">
        <w:rPr>
          <w:rFonts w:ascii="Arial" w:hAnsi="Arial" w:cs="Arial"/>
          <w:snapToGrid w:val="0"/>
          <w:sz w:val="22"/>
          <w:szCs w:val="20"/>
          <w:lang w:eastAsia="en-US"/>
        </w:rPr>
        <w:t xml:space="preserve"> </w:t>
      </w:r>
      <w:r w:rsidRPr="00AE187B">
        <w:rPr>
          <w:rFonts w:ascii="Arial" w:hAnsi="Arial" w:cs="Arial"/>
          <w:snapToGrid w:val="0"/>
          <w:sz w:val="22"/>
          <w:szCs w:val="20"/>
          <w:lang w:eastAsia="en-US"/>
        </w:rPr>
        <w:t>The PBAC considered that this approach reliably inform</w:t>
      </w:r>
      <w:r w:rsidR="00A560BF">
        <w:rPr>
          <w:rFonts w:ascii="Arial" w:hAnsi="Arial" w:cs="Arial"/>
          <w:snapToGrid w:val="0"/>
          <w:sz w:val="22"/>
          <w:szCs w:val="20"/>
          <w:lang w:eastAsia="en-US"/>
        </w:rPr>
        <w:t>ed</w:t>
      </w:r>
      <w:r w:rsidRPr="00AE187B">
        <w:rPr>
          <w:rFonts w:ascii="Arial" w:hAnsi="Arial" w:cs="Arial"/>
          <w:snapToGrid w:val="0"/>
          <w:sz w:val="22"/>
          <w:szCs w:val="20"/>
          <w:lang w:eastAsia="en-US"/>
        </w:rPr>
        <w:t xml:space="preserve"> decision-making about cost-effectiveness. The PBAC considered that to be cost-effective, the price should be reduced to bring the ICER to less than $</w:t>
      </w:r>
      <w:r w:rsidR="00FF6BCD">
        <w:rPr>
          <w:rFonts w:ascii="Arial" w:hAnsi="Arial" w:cs="Arial"/>
          <w:snapToGrid w:val="0"/>
          <w:sz w:val="22"/>
          <w:szCs w:val="20"/>
          <w:lang w:eastAsia="en-US"/>
        </w:rPr>
        <w:t>45,000-$75,000</w:t>
      </w:r>
      <w:r w:rsidRPr="00AE187B">
        <w:rPr>
          <w:rFonts w:ascii="Arial" w:hAnsi="Arial" w:cs="Arial"/>
          <w:snapToGrid w:val="0"/>
          <w:sz w:val="22"/>
          <w:szCs w:val="20"/>
          <w:lang w:eastAsia="en-US"/>
        </w:rPr>
        <w:t xml:space="preserve">.  Further, it recommended that a financial cap be implemented to mitigate the significant financial risk created by uncertainties surrounding use outside the restriction, with a rebate to the price of thalidomide </w:t>
      </w:r>
      <w:r w:rsidR="00A560BF">
        <w:rPr>
          <w:rFonts w:ascii="Arial" w:hAnsi="Arial" w:cs="Arial"/>
          <w:snapToGrid w:val="0"/>
          <w:sz w:val="22"/>
          <w:szCs w:val="20"/>
          <w:lang w:eastAsia="en-US"/>
        </w:rPr>
        <w:t>beyond</w:t>
      </w:r>
      <w:r w:rsidRPr="00AE187B">
        <w:rPr>
          <w:rFonts w:ascii="Arial" w:hAnsi="Arial" w:cs="Arial"/>
          <w:snapToGrid w:val="0"/>
          <w:sz w:val="22"/>
          <w:szCs w:val="20"/>
          <w:lang w:eastAsia="en-US"/>
        </w:rPr>
        <w:t xml:space="preserve"> the cap. </w:t>
      </w:r>
      <w:r w:rsidRPr="00604112">
        <w:rPr>
          <w:rFonts w:ascii="Arial" w:hAnsi="Arial" w:cs="Arial"/>
          <w:snapToGrid w:val="0"/>
          <w:sz w:val="22"/>
          <w:szCs w:val="20"/>
          <w:lang w:eastAsia="en-US"/>
        </w:rPr>
        <w:t xml:space="preserve">(November 2015 </w:t>
      </w:r>
      <w:r w:rsidR="008120B2">
        <w:rPr>
          <w:rFonts w:ascii="Arial" w:hAnsi="Arial" w:cs="Arial"/>
          <w:snapToGrid w:val="0"/>
          <w:sz w:val="22"/>
          <w:szCs w:val="20"/>
          <w:lang w:eastAsia="en-US"/>
        </w:rPr>
        <w:t>Public Summary Document</w:t>
      </w:r>
      <w:r w:rsidRPr="00604112">
        <w:rPr>
          <w:rFonts w:ascii="Arial" w:hAnsi="Arial" w:cs="Arial"/>
          <w:snapToGrid w:val="0"/>
          <w:sz w:val="22"/>
          <w:szCs w:val="20"/>
          <w:lang w:eastAsia="en-US"/>
        </w:rPr>
        <w:t>, paragraph 7.21)</w:t>
      </w:r>
    </w:p>
    <w:p w:rsidR="003660EC" w:rsidRPr="00AE187B" w:rsidRDefault="003660EC" w:rsidP="003660EC">
      <w:pPr>
        <w:widowControl w:val="0"/>
        <w:jc w:val="both"/>
        <w:rPr>
          <w:rFonts w:ascii="Arial" w:hAnsi="Arial" w:cs="Arial"/>
          <w:snapToGrid w:val="0"/>
          <w:sz w:val="22"/>
          <w:szCs w:val="20"/>
          <w:lang w:eastAsia="en-US"/>
        </w:rPr>
      </w:pPr>
    </w:p>
    <w:p w:rsidR="003660EC" w:rsidRPr="00AE187B" w:rsidRDefault="003660EC" w:rsidP="003660EC">
      <w:pPr>
        <w:widowControl w:val="0"/>
        <w:numPr>
          <w:ilvl w:val="1"/>
          <w:numId w:val="25"/>
        </w:numPr>
        <w:contextualSpacing/>
        <w:jc w:val="both"/>
        <w:rPr>
          <w:rFonts w:ascii="Arial" w:hAnsi="Arial" w:cs="Arial"/>
          <w:snapToGrid w:val="0"/>
          <w:sz w:val="22"/>
          <w:szCs w:val="20"/>
          <w:lang w:eastAsia="en-US"/>
        </w:rPr>
      </w:pPr>
      <w:r w:rsidRPr="00AE187B">
        <w:rPr>
          <w:rFonts w:ascii="Arial" w:hAnsi="Arial" w:cs="Arial"/>
          <w:snapToGrid w:val="0"/>
          <w:sz w:val="22"/>
          <w:szCs w:val="20"/>
          <w:lang w:eastAsia="en-US"/>
        </w:rPr>
        <w:t xml:space="preserve">The sponsor </w:t>
      </w:r>
      <w:r w:rsidR="00CB040F">
        <w:rPr>
          <w:rFonts w:ascii="Arial" w:hAnsi="Arial" w:cs="Arial"/>
          <w:snapToGrid w:val="0"/>
          <w:sz w:val="22"/>
          <w:szCs w:val="20"/>
          <w:lang w:eastAsia="en-US"/>
        </w:rPr>
        <w:t>had</w:t>
      </w:r>
      <w:r w:rsidR="00CB040F" w:rsidRPr="00AE187B">
        <w:rPr>
          <w:rFonts w:ascii="Arial" w:hAnsi="Arial" w:cs="Arial"/>
          <w:snapToGrid w:val="0"/>
          <w:sz w:val="22"/>
          <w:szCs w:val="20"/>
          <w:lang w:eastAsia="en-US"/>
        </w:rPr>
        <w:t xml:space="preserve"> </w:t>
      </w:r>
      <w:r w:rsidRPr="00AE187B">
        <w:rPr>
          <w:rFonts w:ascii="Arial" w:hAnsi="Arial" w:cs="Arial"/>
          <w:snapToGrid w:val="0"/>
          <w:sz w:val="22"/>
          <w:szCs w:val="20"/>
          <w:lang w:eastAsia="en-US"/>
        </w:rPr>
        <w:t xml:space="preserve">subsequently made an offer of </w:t>
      </w:r>
      <w:r w:rsidR="0061688D">
        <w:rPr>
          <w:rFonts w:ascii="Arial" w:hAnsi="Arial" w:cs="Arial"/>
          <w:noProof/>
          <w:snapToGrid w:val="0"/>
          <w:color w:val="000000"/>
          <w:sz w:val="22"/>
          <w:szCs w:val="20"/>
          <w:highlight w:val="black"/>
          <w:lang w:eastAsia="en-US"/>
        </w:rPr>
        <w:t>''''''</w:t>
      </w:r>
      <w:r w:rsidRPr="00AE187B">
        <w:rPr>
          <w:rFonts w:ascii="Arial" w:hAnsi="Arial" w:cs="Arial"/>
          <w:snapToGrid w:val="0"/>
          <w:sz w:val="22"/>
          <w:szCs w:val="20"/>
          <w:lang w:eastAsia="en-US"/>
        </w:rPr>
        <w:t>%</w:t>
      </w:r>
      <w:r w:rsidR="00B52719">
        <w:rPr>
          <w:rFonts w:ascii="Arial" w:hAnsi="Arial" w:cs="Arial"/>
          <w:snapToGrid w:val="0"/>
          <w:sz w:val="22"/>
          <w:szCs w:val="20"/>
          <w:lang w:eastAsia="en-US"/>
        </w:rPr>
        <w:t xml:space="preserve"> price reduction</w:t>
      </w:r>
      <w:r w:rsidRPr="00AE187B">
        <w:rPr>
          <w:rFonts w:ascii="Arial" w:hAnsi="Arial" w:cs="Arial"/>
          <w:snapToGrid w:val="0"/>
          <w:sz w:val="22"/>
          <w:szCs w:val="20"/>
          <w:lang w:eastAsia="en-US"/>
        </w:rPr>
        <w:t xml:space="preserve">, including the legislated </w:t>
      </w:r>
      <w:r w:rsidRPr="005F7977">
        <w:rPr>
          <w:rFonts w:ascii="Arial" w:hAnsi="Arial" w:cs="Arial"/>
          <w:snapToGrid w:val="0"/>
          <w:sz w:val="22"/>
          <w:szCs w:val="20"/>
          <w:lang w:eastAsia="en-US"/>
        </w:rPr>
        <w:t>5</w:t>
      </w:r>
      <w:r w:rsidRPr="00AE187B">
        <w:rPr>
          <w:rFonts w:ascii="Arial" w:hAnsi="Arial" w:cs="Arial"/>
          <w:snapToGrid w:val="0"/>
          <w:sz w:val="22"/>
          <w:szCs w:val="20"/>
          <w:lang w:eastAsia="en-US"/>
        </w:rPr>
        <w:t>% price reduction to the ex-man price for lenalidomide as a first line setting for MM.</w:t>
      </w:r>
    </w:p>
    <w:p w:rsidR="003660EC" w:rsidRPr="00AE187B" w:rsidRDefault="003660EC" w:rsidP="003660EC">
      <w:pPr>
        <w:ind w:left="720"/>
        <w:rPr>
          <w:rFonts w:ascii="Arial" w:hAnsi="Arial" w:cs="Arial"/>
          <w:b/>
          <w:snapToGrid w:val="0"/>
          <w:sz w:val="22"/>
          <w:szCs w:val="22"/>
          <w:lang w:eastAsia="en-US"/>
        </w:rPr>
      </w:pPr>
    </w:p>
    <w:p w:rsidR="003660EC" w:rsidRPr="00595BEF" w:rsidRDefault="003660EC" w:rsidP="003660EC">
      <w:pPr>
        <w:widowControl w:val="0"/>
        <w:numPr>
          <w:ilvl w:val="1"/>
          <w:numId w:val="25"/>
        </w:numPr>
        <w:contextualSpacing/>
        <w:jc w:val="both"/>
        <w:rPr>
          <w:rFonts w:ascii="Arial" w:hAnsi="Arial" w:cs="Arial"/>
          <w:snapToGrid w:val="0"/>
          <w:sz w:val="22"/>
          <w:szCs w:val="20"/>
          <w:lang w:eastAsia="en-US"/>
        </w:rPr>
      </w:pPr>
      <w:r w:rsidRPr="00595BEF">
        <w:rPr>
          <w:rFonts w:ascii="Arial" w:hAnsi="Arial" w:cs="Arial"/>
          <w:snapToGrid w:val="0"/>
          <w:sz w:val="22"/>
          <w:szCs w:val="20"/>
          <w:lang w:eastAsia="en-US"/>
        </w:rPr>
        <w:t>Lenalidomide was TGA registered on 11 November 2015 for the treatment of patients with newly diagnosed multiple myeloma who are ineligible for autologous stem cell transplantation.</w:t>
      </w:r>
    </w:p>
    <w:p w:rsidR="003660EC" w:rsidRPr="00AE187B" w:rsidRDefault="003660EC" w:rsidP="003660EC">
      <w:pPr>
        <w:ind w:left="720"/>
        <w:contextualSpacing/>
        <w:jc w:val="both"/>
        <w:rPr>
          <w:rFonts w:ascii="Arial" w:hAnsi="Arial" w:cs="Arial"/>
          <w:snapToGrid w:val="0"/>
          <w:sz w:val="22"/>
          <w:szCs w:val="20"/>
          <w:lang w:eastAsia="en-US"/>
        </w:rPr>
      </w:pPr>
    </w:p>
    <w:p w:rsidR="003660EC" w:rsidRPr="00AE187B" w:rsidRDefault="003660EC" w:rsidP="003660EC">
      <w:pPr>
        <w:widowControl w:val="0"/>
        <w:numPr>
          <w:ilvl w:val="1"/>
          <w:numId w:val="25"/>
        </w:numPr>
        <w:contextualSpacing/>
        <w:jc w:val="both"/>
        <w:rPr>
          <w:rFonts w:ascii="Arial" w:hAnsi="Arial" w:cs="Arial"/>
          <w:snapToGrid w:val="0"/>
          <w:sz w:val="22"/>
          <w:szCs w:val="22"/>
          <w:lang w:eastAsia="en-US"/>
        </w:rPr>
      </w:pPr>
      <w:r w:rsidRPr="00AE187B">
        <w:rPr>
          <w:rFonts w:ascii="Arial" w:hAnsi="Arial" w:cs="Arial"/>
          <w:snapToGrid w:val="0"/>
          <w:sz w:val="22"/>
          <w:szCs w:val="22"/>
          <w:lang w:eastAsia="en-US"/>
        </w:rPr>
        <w:t>Lenalidomide is currently listed on the PBS for the treatment of patients with multiple myeloma (MM) for whom thalidomide therapy has failed or in whom there is severe intolerance or toxicity to thalidomide.</w:t>
      </w:r>
    </w:p>
    <w:p w:rsidR="003660EC" w:rsidRPr="00AE187B" w:rsidRDefault="003660EC" w:rsidP="003660EC">
      <w:pPr>
        <w:ind w:left="720"/>
        <w:contextualSpacing/>
        <w:jc w:val="both"/>
        <w:rPr>
          <w:rFonts w:ascii="Arial" w:hAnsi="Arial" w:cs="Arial"/>
          <w:snapToGrid w:val="0"/>
          <w:sz w:val="22"/>
          <w:szCs w:val="20"/>
          <w:lang w:eastAsia="en-US"/>
        </w:rPr>
      </w:pPr>
    </w:p>
    <w:p w:rsidR="00604112" w:rsidRDefault="00604112">
      <w:pPr>
        <w:rPr>
          <w:rFonts w:ascii="Arial Narrow" w:hAnsi="Arial Narrow"/>
          <w:sz w:val="22"/>
          <w:szCs w:val="22"/>
        </w:rPr>
      </w:pPr>
      <w:r>
        <w:rPr>
          <w:rFonts w:ascii="Arial Narrow" w:hAnsi="Arial Narrow"/>
          <w:sz w:val="22"/>
          <w:szCs w:val="22"/>
        </w:rPr>
        <w:br w:type="page"/>
      </w:r>
    </w:p>
    <w:p w:rsidR="00AE187B" w:rsidRPr="009630D9" w:rsidRDefault="00AE187B" w:rsidP="00AE187B">
      <w:pPr>
        <w:ind w:firstLine="709"/>
        <w:rPr>
          <w:rFonts w:ascii="Arial Narrow" w:hAnsi="Arial Narrow"/>
          <w:sz w:val="22"/>
          <w:szCs w:val="22"/>
        </w:rPr>
      </w:pPr>
    </w:p>
    <w:p w:rsidR="00A560BF" w:rsidRDefault="00A560BF" w:rsidP="00D232D7">
      <w:pPr>
        <w:pStyle w:val="Heading1"/>
      </w:pPr>
      <w:r>
        <w:t>PBAC discussion</w:t>
      </w:r>
    </w:p>
    <w:p w:rsidR="00A560BF" w:rsidRDefault="00A560BF" w:rsidP="00A560BF">
      <w:pPr>
        <w:pStyle w:val="PBACHeading1"/>
        <w:ind w:firstLine="0"/>
      </w:pPr>
    </w:p>
    <w:p w:rsidR="00A560BF" w:rsidRDefault="00A560BF" w:rsidP="00A560BF">
      <w:pPr>
        <w:widowControl w:val="0"/>
        <w:numPr>
          <w:ilvl w:val="1"/>
          <w:numId w:val="25"/>
        </w:numPr>
        <w:contextualSpacing/>
        <w:jc w:val="both"/>
        <w:rPr>
          <w:rFonts w:ascii="Arial" w:hAnsi="Arial" w:cs="Arial"/>
          <w:snapToGrid w:val="0"/>
          <w:sz w:val="22"/>
          <w:szCs w:val="22"/>
          <w:lang w:eastAsia="en-US"/>
        </w:rPr>
      </w:pPr>
      <w:r>
        <w:rPr>
          <w:rFonts w:ascii="Arial" w:hAnsi="Arial" w:cs="Arial"/>
          <w:snapToGrid w:val="0"/>
          <w:sz w:val="22"/>
          <w:szCs w:val="22"/>
          <w:lang w:eastAsia="en-US"/>
        </w:rPr>
        <w:t>The PBAC noted the price offer for l</w:t>
      </w:r>
      <w:r w:rsidRPr="00AE187B">
        <w:rPr>
          <w:rFonts w:ascii="Arial" w:hAnsi="Arial" w:cs="Arial"/>
          <w:snapToGrid w:val="0"/>
          <w:sz w:val="22"/>
          <w:szCs w:val="22"/>
          <w:lang w:eastAsia="en-US"/>
        </w:rPr>
        <w:t xml:space="preserve">enalidomide </w:t>
      </w:r>
      <w:r>
        <w:rPr>
          <w:rFonts w:ascii="Arial" w:hAnsi="Arial" w:cs="Arial"/>
          <w:snapToGrid w:val="0"/>
          <w:sz w:val="22"/>
          <w:szCs w:val="22"/>
          <w:lang w:eastAsia="en-US"/>
        </w:rPr>
        <w:t xml:space="preserve">and considered it made lenalidomide acceptably cost effective for first line treatment </w:t>
      </w:r>
      <w:r w:rsidRPr="00AE187B">
        <w:rPr>
          <w:rFonts w:ascii="Arial" w:hAnsi="Arial" w:cs="Arial"/>
          <w:snapToGrid w:val="0"/>
          <w:sz w:val="22"/>
          <w:szCs w:val="22"/>
          <w:lang w:eastAsia="en-US"/>
        </w:rPr>
        <w:t>of patients with multiple myeloma (MM).</w:t>
      </w:r>
    </w:p>
    <w:p w:rsidR="00A560BF" w:rsidRPr="00AE187B" w:rsidRDefault="00A560BF" w:rsidP="00A560BF">
      <w:pPr>
        <w:widowControl w:val="0"/>
        <w:ind w:left="720"/>
        <w:contextualSpacing/>
        <w:jc w:val="both"/>
        <w:rPr>
          <w:rFonts w:ascii="Arial" w:hAnsi="Arial" w:cs="Arial"/>
          <w:snapToGrid w:val="0"/>
          <w:sz w:val="22"/>
          <w:szCs w:val="22"/>
          <w:lang w:eastAsia="en-US"/>
        </w:rPr>
      </w:pPr>
    </w:p>
    <w:p w:rsidR="00A560BF" w:rsidRDefault="00A560BF" w:rsidP="00A560BF">
      <w:pPr>
        <w:widowControl w:val="0"/>
        <w:numPr>
          <w:ilvl w:val="1"/>
          <w:numId w:val="25"/>
        </w:numPr>
        <w:contextualSpacing/>
        <w:jc w:val="both"/>
        <w:rPr>
          <w:rFonts w:ascii="Arial" w:hAnsi="Arial" w:cs="Arial"/>
          <w:bCs/>
          <w:sz w:val="22"/>
          <w:szCs w:val="22"/>
          <w:lang w:val="en-GB"/>
        </w:rPr>
      </w:pPr>
      <w:r>
        <w:rPr>
          <w:rFonts w:ascii="Arial" w:hAnsi="Arial" w:cs="Arial"/>
          <w:bCs/>
          <w:sz w:val="22"/>
          <w:szCs w:val="22"/>
          <w:lang w:val="en-GB"/>
        </w:rPr>
        <w:t>The PBAC noted that an alternative approach of cost-minimisation against bortezomib in first-line treatment of multiple myeloma would also likely hav</w:t>
      </w:r>
      <w:r w:rsidR="00AD1585">
        <w:rPr>
          <w:rFonts w:ascii="Arial" w:hAnsi="Arial" w:cs="Arial"/>
          <w:bCs/>
          <w:sz w:val="22"/>
          <w:szCs w:val="22"/>
          <w:lang w:val="en-GB"/>
        </w:rPr>
        <w:t>e been an appropriate approach.</w:t>
      </w:r>
    </w:p>
    <w:p w:rsidR="00A560BF" w:rsidRDefault="00A560BF" w:rsidP="00A560BF">
      <w:pPr>
        <w:contextualSpacing/>
        <w:rPr>
          <w:rFonts w:ascii="Arial" w:hAnsi="Arial" w:cs="Arial"/>
          <w:bCs/>
          <w:sz w:val="22"/>
          <w:szCs w:val="22"/>
          <w:lang w:val="en-GB"/>
        </w:rPr>
      </w:pPr>
    </w:p>
    <w:p w:rsidR="00A560BF" w:rsidRDefault="00A560BF" w:rsidP="00A560BF">
      <w:pPr>
        <w:widowControl w:val="0"/>
        <w:numPr>
          <w:ilvl w:val="1"/>
          <w:numId w:val="25"/>
        </w:numPr>
        <w:contextualSpacing/>
        <w:jc w:val="both"/>
        <w:rPr>
          <w:rFonts w:ascii="Arial" w:hAnsi="Arial" w:cs="Arial"/>
          <w:bCs/>
          <w:sz w:val="22"/>
          <w:szCs w:val="22"/>
          <w:lang w:val="en-GB"/>
        </w:rPr>
      </w:pPr>
      <w:r w:rsidRPr="00EE6969">
        <w:rPr>
          <w:rFonts w:ascii="Arial" w:hAnsi="Arial" w:cs="Arial"/>
          <w:bCs/>
          <w:sz w:val="22"/>
          <w:szCs w:val="22"/>
          <w:lang w:val="en-GB"/>
        </w:rPr>
        <w:t>As previously, the PBAC acknowledged there is a high clinical need for oral therapies in the treatment of multiple myeloma (MM). The PBAC recalled that input received from the Consumer Hearing at the November 2015 meeting indicated a strong preference for oral the</w:t>
      </w:r>
      <w:r w:rsidR="00AD1585">
        <w:rPr>
          <w:rFonts w:ascii="Arial" w:hAnsi="Arial" w:cs="Arial"/>
          <w:bCs/>
          <w:sz w:val="22"/>
          <w:szCs w:val="22"/>
          <w:lang w:val="en-GB"/>
        </w:rPr>
        <w:t>rapies for the treatment of MM.</w:t>
      </w:r>
    </w:p>
    <w:p w:rsidR="00A560BF" w:rsidRDefault="00A560BF" w:rsidP="00A560BF">
      <w:pPr>
        <w:pStyle w:val="PBACHeading1"/>
        <w:ind w:firstLine="0"/>
      </w:pPr>
    </w:p>
    <w:p w:rsidR="00A560BF" w:rsidRPr="00A560BF" w:rsidRDefault="00A560BF" w:rsidP="00A560BF">
      <w:pPr>
        <w:widowControl w:val="0"/>
        <w:numPr>
          <w:ilvl w:val="1"/>
          <w:numId w:val="25"/>
        </w:numPr>
        <w:contextualSpacing/>
        <w:jc w:val="both"/>
        <w:rPr>
          <w:rFonts w:ascii="Arial" w:hAnsi="Arial" w:cs="Arial"/>
          <w:bCs/>
          <w:sz w:val="22"/>
          <w:szCs w:val="22"/>
          <w:lang w:val="en-GB"/>
        </w:rPr>
      </w:pPr>
      <w:r w:rsidRPr="001D7F00">
        <w:rPr>
          <w:rFonts w:ascii="Arial" w:hAnsi="Arial" w:cs="Arial"/>
          <w:bCs/>
          <w:sz w:val="22"/>
          <w:szCs w:val="22"/>
          <w:lang w:val="en-GB"/>
        </w:rPr>
        <w:t xml:space="preserve">The PBAC </w:t>
      </w:r>
      <w:r>
        <w:rPr>
          <w:rFonts w:ascii="Arial" w:hAnsi="Arial" w:cs="Arial"/>
          <w:bCs/>
          <w:sz w:val="22"/>
          <w:szCs w:val="22"/>
          <w:lang w:val="en-GB"/>
        </w:rPr>
        <w:t>reiterated its concern of</w:t>
      </w:r>
      <w:r w:rsidRPr="001D7F00">
        <w:rPr>
          <w:rFonts w:ascii="Arial" w:hAnsi="Arial" w:cs="Arial"/>
          <w:bCs/>
          <w:sz w:val="22"/>
          <w:szCs w:val="22"/>
          <w:lang w:val="en-GB"/>
        </w:rPr>
        <w:t xml:space="preserve"> use </w:t>
      </w:r>
      <w:r>
        <w:rPr>
          <w:rFonts w:ascii="Arial" w:hAnsi="Arial" w:cs="Arial"/>
          <w:bCs/>
          <w:sz w:val="22"/>
          <w:szCs w:val="22"/>
          <w:lang w:val="en-GB"/>
        </w:rPr>
        <w:t>beyond</w:t>
      </w:r>
      <w:r w:rsidRPr="001D7F00">
        <w:rPr>
          <w:rFonts w:ascii="Arial" w:hAnsi="Arial" w:cs="Arial"/>
          <w:bCs/>
          <w:sz w:val="22"/>
          <w:szCs w:val="22"/>
          <w:lang w:val="en-GB"/>
        </w:rPr>
        <w:t xml:space="preserve"> </w:t>
      </w:r>
      <w:r w:rsidR="0087382F">
        <w:rPr>
          <w:rFonts w:ascii="Arial" w:hAnsi="Arial" w:cs="Arial"/>
          <w:bCs/>
          <w:sz w:val="22"/>
          <w:szCs w:val="22"/>
          <w:lang w:val="en-GB"/>
        </w:rPr>
        <w:t xml:space="preserve">the proposed </w:t>
      </w:r>
      <w:r>
        <w:rPr>
          <w:rFonts w:ascii="Arial" w:hAnsi="Arial" w:cs="Arial"/>
          <w:bCs/>
          <w:sz w:val="22"/>
          <w:szCs w:val="22"/>
          <w:lang w:val="en-GB"/>
        </w:rPr>
        <w:t xml:space="preserve">PBS </w:t>
      </w:r>
      <w:r w:rsidRPr="001D7F00">
        <w:rPr>
          <w:rFonts w:ascii="Arial" w:hAnsi="Arial" w:cs="Arial"/>
          <w:bCs/>
          <w:sz w:val="22"/>
          <w:szCs w:val="22"/>
          <w:lang w:val="en-GB"/>
        </w:rPr>
        <w:t>restriction</w:t>
      </w:r>
      <w:r w:rsidR="0087382F">
        <w:rPr>
          <w:rFonts w:ascii="Arial" w:hAnsi="Arial" w:cs="Arial"/>
          <w:bCs/>
          <w:sz w:val="22"/>
          <w:szCs w:val="22"/>
          <w:lang w:val="en-GB"/>
        </w:rPr>
        <w:t>,</w:t>
      </w:r>
      <w:r w:rsidRPr="001D7F00">
        <w:rPr>
          <w:rFonts w:ascii="Arial" w:hAnsi="Arial" w:cs="Arial"/>
          <w:bCs/>
          <w:sz w:val="22"/>
          <w:szCs w:val="22"/>
          <w:lang w:val="en-GB"/>
        </w:rPr>
        <w:t xml:space="preserve"> in patients who are eligible for stem cell transplant. The PBAC </w:t>
      </w:r>
      <w:r>
        <w:rPr>
          <w:rFonts w:ascii="Arial" w:hAnsi="Arial" w:cs="Arial"/>
          <w:bCs/>
          <w:sz w:val="22"/>
          <w:szCs w:val="22"/>
          <w:lang w:val="en-GB"/>
        </w:rPr>
        <w:t>recommended a financial cap be implemented</w:t>
      </w:r>
      <w:r w:rsidRPr="001D7F00">
        <w:rPr>
          <w:rFonts w:ascii="Arial" w:hAnsi="Arial" w:cs="Arial"/>
          <w:bCs/>
          <w:sz w:val="22"/>
          <w:szCs w:val="22"/>
          <w:lang w:val="en-GB"/>
        </w:rPr>
        <w:t xml:space="preserve"> to mitigate the</w:t>
      </w:r>
      <w:r w:rsidR="0087382F">
        <w:rPr>
          <w:rFonts w:ascii="Arial" w:hAnsi="Arial" w:cs="Arial"/>
          <w:bCs/>
          <w:sz w:val="22"/>
          <w:szCs w:val="22"/>
          <w:lang w:val="en-GB"/>
        </w:rPr>
        <w:t>se</w:t>
      </w:r>
      <w:r w:rsidRPr="001D7F00">
        <w:rPr>
          <w:rFonts w:ascii="Arial" w:hAnsi="Arial" w:cs="Arial"/>
          <w:bCs/>
          <w:sz w:val="22"/>
          <w:szCs w:val="22"/>
          <w:lang w:val="en-GB"/>
        </w:rPr>
        <w:t xml:space="preserve"> uncertainties</w:t>
      </w:r>
      <w:r w:rsidR="0087382F">
        <w:rPr>
          <w:rFonts w:ascii="Arial" w:hAnsi="Arial" w:cs="Arial"/>
          <w:bCs/>
          <w:sz w:val="22"/>
          <w:szCs w:val="22"/>
          <w:lang w:val="en-GB"/>
        </w:rPr>
        <w:t>,</w:t>
      </w:r>
      <w:r w:rsidRPr="001D7F00">
        <w:rPr>
          <w:rFonts w:ascii="Arial" w:hAnsi="Arial" w:cs="Arial"/>
          <w:bCs/>
          <w:sz w:val="22"/>
          <w:szCs w:val="22"/>
          <w:lang w:val="en-GB"/>
        </w:rPr>
        <w:t xml:space="preserve"> </w:t>
      </w:r>
      <w:r w:rsidR="0087382F">
        <w:rPr>
          <w:rFonts w:ascii="Arial" w:hAnsi="Arial" w:cs="Arial"/>
          <w:bCs/>
          <w:sz w:val="22"/>
          <w:szCs w:val="22"/>
          <w:lang w:val="en-GB"/>
        </w:rPr>
        <w:t>including a</w:t>
      </w:r>
      <w:r w:rsidRPr="00A560BF">
        <w:rPr>
          <w:rFonts w:ascii="Arial" w:hAnsi="Arial" w:cs="Arial"/>
          <w:bCs/>
          <w:sz w:val="22"/>
          <w:szCs w:val="22"/>
          <w:lang w:val="en-GB"/>
        </w:rPr>
        <w:t xml:space="preserve"> rebate </w:t>
      </w:r>
      <w:r w:rsidRPr="001A08CD">
        <w:rPr>
          <w:rFonts w:ascii="Arial" w:hAnsi="Arial" w:cs="Arial"/>
          <w:bCs/>
          <w:sz w:val="22"/>
          <w:szCs w:val="22"/>
          <w:lang w:val="en-GB"/>
        </w:rPr>
        <w:t xml:space="preserve">to </w:t>
      </w:r>
      <w:r w:rsidR="0087382F" w:rsidRPr="001A08CD">
        <w:rPr>
          <w:rFonts w:ascii="Arial" w:hAnsi="Arial" w:cs="Arial"/>
          <w:bCs/>
          <w:sz w:val="22"/>
          <w:szCs w:val="22"/>
          <w:lang w:val="en-GB"/>
        </w:rPr>
        <w:t xml:space="preserve">the </w:t>
      </w:r>
      <w:r w:rsidRPr="001A08CD">
        <w:rPr>
          <w:rFonts w:ascii="Arial" w:hAnsi="Arial" w:cs="Arial"/>
          <w:bCs/>
          <w:sz w:val="22"/>
          <w:szCs w:val="22"/>
          <w:lang w:val="en-GB"/>
        </w:rPr>
        <w:t>price of thalidomide</w:t>
      </w:r>
      <w:r w:rsidRPr="00A560BF">
        <w:rPr>
          <w:rFonts w:ascii="Arial" w:hAnsi="Arial" w:cs="Arial"/>
          <w:bCs/>
          <w:sz w:val="22"/>
          <w:szCs w:val="22"/>
          <w:lang w:val="en-GB"/>
        </w:rPr>
        <w:t xml:space="preserve"> </w:t>
      </w:r>
      <w:r>
        <w:rPr>
          <w:rFonts w:ascii="Arial" w:hAnsi="Arial" w:cs="Arial"/>
          <w:bCs/>
          <w:sz w:val="22"/>
          <w:szCs w:val="22"/>
          <w:lang w:val="en-GB"/>
        </w:rPr>
        <w:t xml:space="preserve">should utilisation </w:t>
      </w:r>
      <w:r w:rsidRPr="00A560BF">
        <w:rPr>
          <w:rFonts w:ascii="Arial" w:hAnsi="Arial" w:cs="Arial"/>
          <w:bCs/>
          <w:sz w:val="22"/>
          <w:szCs w:val="22"/>
          <w:lang w:val="en-GB"/>
        </w:rPr>
        <w:t>exceed</w:t>
      </w:r>
      <w:r>
        <w:rPr>
          <w:rFonts w:ascii="Arial" w:hAnsi="Arial" w:cs="Arial"/>
          <w:bCs/>
          <w:sz w:val="22"/>
          <w:szCs w:val="22"/>
          <w:lang w:val="en-GB"/>
        </w:rPr>
        <w:t xml:space="preserve"> the cap</w:t>
      </w:r>
      <w:r w:rsidRPr="00A560BF">
        <w:rPr>
          <w:rFonts w:ascii="Arial" w:hAnsi="Arial" w:cs="Arial"/>
          <w:bCs/>
          <w:sz w:val="22"/>
          <w:szCs w:val="22"/>
          <w:lang w:val="en-GB"/>
        </w:rPr>
        <w:t>.</w:t>
      </w:r>
    </w:p>
    <w:p w:rsidR="00A560BF" w:rsidRDefault="00A560BF" w:rsidP="00A560BF">
      <w:pPr>
        <w:pStyle w:val="PBACHeading1"/>
        <w:ind w:firstLine="0"/>
      </w:pPr>
    </w:p>
    <w:p w:rsidR="00F47AEA" w:rsidRDefault="00F47AEA" w:rsidP="00A560BF">
      <w:pPr>
        <w:pStyle w:val="PBACHeading1"/>
        <w:ind w:firstLine="0"/>
      </w:pPr>
    </w:p>
    <w:p w:rsidR="00AE187B" w:rsidRPr="00595BEF" w:rsidRDefault="00AE187B" w:rsidP="00D232D7">
      <w:pPr>
        <w:pStyle w:val="Heading1"/>
      </w:pPr>
      <w:r w:rsidRPr="00595BEF">
        <w:t>PBAC Outcome</w:t>
      </w:r>
    </w:p>
    <w:p w:rsidR="0099051F" w:rsidRPr="00595BEF" w:rsidRDefault="0099051F" w:rsidP="00AE187B">
      <w:pPr>
        <w:ind w:left="720"/>
        <w:contextualSpacing/>
        <w:rPr>
          <w:rFonts w:ascii="Arial" w:hAnsi="Arial" w:cs="Arial"/>
          <w:bCs/>
          <w:sz w:val="22"/>
          <w:szCs w:val="22"/>
          <w:lang w:val="en-GB"/>
        </w:rPr>
      </w:pPr>
    </w:p>
    <w:p w:rsidR="00A560BF" w:rsidRPr="00A560BF" w:rsidRDefault="00AE187B" w:rsidP="00595BEF">
      <w:pPr>
        <w:widowControl w:val="0"/>
        <w:numPr>
          <w:ilvl w:val="1"/>
          <w:numId w:val="25"/>
        </w:numPr>
        <w:contextualSpacing/>
        <w:jc w:val="both"/>
        <w:rPr>
          <w:rFonts w:ascii="Arial" w:hAnsi="Arial" w:cs="Arial"/>
          <w:bCs/>
          <w:sz w:val="22"/>
          <w:szCs w:val="22"/>
          <w:lang w:val="en-GB"/>
        </w:rPr>
      </w:pPr>
      <w:r w:rsidRPr="00595BEF">
        <w:rPr>
          <w:rFonts w:ascii="Arial" w:hAnsi="Arial" w:cs="Arial"/>
          <w:bCs/>
          <w:sz w:val="22"/>
          <w:szCs w:val="22"/>
          <w:lang w:val="en-GB"/>
        </w:rPr>
        <w:t>The PBAC recommended the listing of</w:t>
      </w:r>
      <w:r w:rsidR="00CB040F" w:rsidRPr="00595BEF">
        <w:rPr>
          <w:rFonts w:ascii="Arial" w:hAnsi="Arial" w:cs="Arial"/>
          <w:bCs/>
          <w:sz w:val="22"/>
          <w:szCs w:val="22"/>
          <w:lang w:val="en-GB"/>
        </w:rPr>
        <w:t xml:space="preserve"> lenalidomide</w:t>
      </w:r>
      <w:r w:rsidR="00500B1F" w:rsidRPr="0099051F">
        <w:rPr>
          <w:rFonts w:ascii="Arial" w:hAnsi="Arial" w:cs="Arial"/>
          <w:bCs/>
          <w:sz w:val="22"/>
          <w:szCs w:val="22"/>
          <w:lang w:val="en-GB"/>
        </w:rPr>
        <w:t>,</w:t>
      </w:r>
      <w:r w:rsidR="00AD1585">
        <w:rPr>
          <w:rFonts w:ascii="Arial" w:hAnsi="Arial" w:cs="Arial"/>
          <w:bCs/>
          <w:sz w:val="22"/>
          <w:szCs w:val="22"/>
          <w:lang w:val="en-GB"/>
        </w:rPr>
        <w:t xml:space="preserve"> </w:t>
      </w:r>
      <w:r w:rsidR="00CB040F" w:rsidRPr="0099051F">
        <w:rPr>
          <w:rFonts w:ascii="Arial" w:hAnsi="Arial" w:cs="Arial"/>
          <w:bCs/>
          <w:sz w:val="22"/>
          <w:szCs w:val="22"/>
          <w:lang w:val="en-GB"/>
        </w:rPr>
        <w:t>in combination with dexamethasone as first line therapy for patients who are newly diagnosed with multiple myeloma (NDMM)</w:t>
      </w:r>
      <w:r w:rsidRPr="00595BEF">
        <w:rPr>
          <w:rFonts w:ascii="Arial" w:hAnsi="Arial" w:cs="Arial"/>
          <w:bCs/>
          <w:sz w:val="22"/>
          <w:szCs w:val="22"/>
          <w:lang w:val="en-GB"/>
        </w:rPr>
        <w:t xml:space="preserve">, </w:t>
      </w:r>
      <w:r w:rsidR="0009762F">
        <w:rPr>
          <w:rFonts w:ascii="Arial" w:hAnsi="Arial" w:cs="Arial"/>
          <w:bCs/>
          <w:sz w:val="22"/>
          <w:szCs w:val="22"/>
          <w:lang w:val="en-GB"/>
        </w:rPr>
        <w:t>under</w:t>
      </w:r>
      <w:r w:rsidR="00D34EA8" w:rsidRPr="00595BEF">
        <w:rPr>
          <w:rFonts w:ascii="Arial" w:hAnsi="Arial" w:cs="Arial"/>
          <w:bCs/>
          <w:sz w:val="22"/>
          <w:szCs w:val="22"/>
          <w:lang w:val="en-GB"/>
        </w:rPr>
        <w:t xml:space="preserve"> </w:t>
      </w:r>
      <w:r w:rsidR="0099051F">
        <w:rPr>
          <w:rFonts w:ascii="Arial" w:hAnsi="Arial" w:cs="Arial"/>
          <w:bCs/>
          <w:sz w:val="22"/>
          <w:szCs w:val="22"/>
          <w:lang w:val="en-GB"/>
        </w:rPr>
        <w:t>Section 100 (Highly Specialised Drugs)</w:t>
      </w:r>
      <w:r w:rsidR="004B40E7" w:rsidRPr="0099051F">
        <w:rPr>
          <w:rFonts w:ascii="Arial" w:hAnsi="Arial" w:cs="Arial"/>
          <w:bCs/>
          <w:sz w:val="22"/>
          <w:szCs w:val="22"/>
          <w:lang w:val="en-GB"/>
        </w:rPr>
        <w:t xml:space="preserve">, </w:t>
      </w:r>
      <w:r w:rsidR="0000108D">
        <w:rPr>
          <w:rFonts w:ascii="Arial" w:hAnsi="Arial" w:cs="Arial"/>
          <w:bCs/>
          <w:sz w:val="22"/>
          <w:szCs w:val="22"/>
          <w:lang w:val="en-GB"/>
        </w:rPr>
        <w:t xml:space="preserve">on </w:t>
      </w:r>
      <w:r w:rsidR="00A560BF">
        <w:rPr>
          <w:rFonts w:ascii="Arial" w:hAnsi="Arial" w:cs="Arial"/>
          <w:bCs/>
          <w:sz w:val="22"/>
          <w:szCs w:val="22"/>
          <w:lang w:val="en-GB"/>
        </w:rPr>
        <w:t xml:space="preserve">the basis of acceptable cost effectiveness </w:t>
      </w:r>
      <w:r w:rsidR="00A560BF">
        <w:rPr>
          <w:rFonts w:ascii="Arial" w:hAnsi="Arial" w:cs="Arial"/>
          <w:bCs/>
          <w:sz w:val="22"/>
          <w:szCs w:val="22"/>
        </w:rPr>
        <w:t>over</w:t>
      </w:r>
      <w:r w:rsidR="00A560BF" w:rsidRPr="00A560BF">
        <w:rPr>
          <w:rFonts w:ascii="Arial" w:hAnsi="Arial" w:cs="Arial"/>
          <w:bCs/>
          <w:sz w:val="22"/>
          <w:szCs w:val="22"/>
        </w:rPr>
        <w:t xml:space="preserve"> thalidomide plus melphalan plus prednisone (or prednisolone) (MPT)</w:t>
      </w:r>
      <w:r w:rsidR="00A560BF">
        <w:rPr>
          <w:rFonts w:ascii="Arial" w:hAnsi="Arial" w:cs="Arial"/>
          <w:bCs/>
          <w:sz w:val="22"/>
          <w:szCs w:val="22"/>
        </w:rPr>
        <w:t>.</w:t>
      </w:r>
    </w:p>
    <w:p w:rsidR="00EE6969" w:rsidRPr="00EE6969" w:rsidRDefault="00EE6969" w:rsidP="00EE6969">
      <w:pPr>
        <w:widowControl w:val="0"/>
        <w:ind w:left="720"/>
        <w:contextualSpacing/>
        <w:jc w:val="both"/>
        <w:rPr>
          <w:rFonts w:ascii="Arial" w:hAnsi="Arial" w:cs="Arial"/>
          <w:bCs/>
          <w:sz w:val="22"/>
          <w:szCs w:val="22"/>
          <w:lang w:val="en-GB"/>
        </w:rPr>
      </w:pPr>
    </w:p>
    <w:p w:rsidR="0099051F" w:rsidRDefault="004B40E7" w:rsidP="008839ED">
      <w:pPr>
        <w:widowControl w:val="0"/>
        <w:numPr>
          <w:ilvl w:val="1"/>
          <w:numId w:val="25"/>
        </w:numPr>
        <w:contextualSpacing/>
        <w:jc w:val="both"/>
        <w:rPr>
          <w:rFonts w:ascii="Arial" w:hAnsi="Arial" w:cs="Arial"/>
          <w:bCs/>
          <w:sz w:val="22"/>
          <w:szCs w:val="22"/>
          <w:lang w:val="en-GB"/>
        </w:rPr>
      </w:pPr>
      <w:r w:rsidRPr="004B40E7">
        <w:rPr>
          <w:rFonts w:ascii="Arial" w:hAnsi="Arial" w:cs="Arial"/>
          <w:bCs/>
          <w:sz w:val="22"/>
          <w:szCs w:val="22"/>
          <w:lang w:val="en-GB"/>
        </w:rPr>
        <w:t>The PBAC recommended that restriction for lenalidomide</w:t>
      </w:r>
      <w:r>
        <w:rPr>
          <w:rFonts w:ascii="Arial" w:hAnsi="Arial" w:cs="Arial"/>
          <w:bCs/>
          <w:sz w:val="22"/>
          <w:szCs w:val="22"/>
          <w:lang w:val="en-GB"/>
        </w:rPr>
        <w:t>,</w:t>
      </w:r>
      <w:r w:rsidRPr="004B40E7">
        <w:rPr>
          <w:rFonts w:ascii="Arial" w:hAnsi="Arial" w:cs="Arial"/>
          <w:bCs/>
          <w:sz w:val="22"/>
          <w:szCs w:val="22"/>
          <w:lang w:val="en-GB"/>
        </w:rPr>
        <w:t xml:space="preserve"> in combination with dexamethasone</w:t>
      </w:r>
      <w:r>
        <w:rPr>
          <w:rFonts w:ascii="Arial" w:hAnsi="Arial" w:cs="Arial"/>
          <w:bCs/>
          <w:sz w:val="22"/>
          <w:szCs w:val="22"/>
          <w:lang w:val="en-GB"/>
        </w:rPr>
        <w:t>,</w:t>
      </w:r>
      <w:r w:rsidRPr="004B40E7">
        <w:rPr>
          <w:rFonts w:ascii="Arial" w:hAnsi="Arial" w:cs="Arial"/>
          <w:bCs/>
          <w:sz w:val="22"/>
          <w:szCs w:val="22"/>
          <w:lang w:val="en-GB"/>
        </w:rPr>
        <w:t xml:space="preserve"> for the treatment of MM as first line therapy </w:t>
      </w:r>
      <w:r w:rsidR="007D1648">
        <w:rPr>
          <w:rFonts w:ascii="Arial" w:hAnsi="Arial" w:cs="Arial"/>
          <w:bCs/>
          <w:sz w:val="22"/>
          <w:szCs w:val="22"/>
          <w:lang w:val="en-GB"/>
        </w:rPr>
        <w:t xml:space="preserve">should </w:t>
      </w:r>
      <w:r w:rsidRPr="004B40E7">
        <w:rPr>
          <w:rFonts w:ascii="Arial" w:hAnsi="Arial" w:cs="Arial"/>
          <w:bCs/>
          <w:sz w:val="22"/>
          <w:szCs w:val="22"/>
          <w:lang w:val="en-GB"/>
        </w:rPr>
        <w:t>be aligned with that of bortezomib</w:t>
      </w:r>
      <w:r w:rsidR="00500B1F">
        <w:rPr>
          <w:rFonts w:ascii="Arial" w:hAnsi="Arial" w:cs="Arial"/>
          <w:bCs/>
          <w:sz w:val="22"/>
          <w:szCs w:val="22"/>
          <w:lang w:val="en-GB"/>
        </w:rPr>
        <w:t xml:space="preserve"> for first line therapy in the treatment of MM</w:t>
      </w:r>
      <w:r w:rsidR="0087382F">
        <w:rPr>
          <w:rFonts w:ascii="Arial" w:hAnsi="Arial" w:cs="Arial"/>
          <w:bCs/>
          <w:sz w:val="22"/>
          <w:szCs w:val="22"/>
          <w:lang w:val="en-GB"/>
        </w:rPr>
        <w:t xml:space="preserve"> in the transplant-ineligible population</w:t>
      </w:r>
      <w:r w:rsidR="00AD1585">
        <w:rPr>
          <w:rFonts w:ascii="Arial" w:hAnsi="Arial" w:cs="Arial"/>
          <w:bCs/>
          <w:sz w:val="22"/>
          <w:szCs w:val="22"/>
          <w:lang w:val="en-GB"/>
        </w:rPr>
        <w:t>.</w:t>
      </w:r>
    </w:p>
    <w:p w:rsidR="00A560BF" w:rsidRDefault="00A560BF" w:rsidP="00A560BF">
      <w:pPr>
        <w:pStyle w:val="ListParagraph"/>
        <w:rPr>
          <w:rFonts w:ascii="Arial" w:hAnsi="Arial" w:cs="Arial"/>
          <w:bCs/>
          <w:sz w:val="22"/>
          <w:szCs w:val="22"/>
          <w:lang w:val="en-GB"/>
        </w:rPr>
      </w:pPr>
    </w:p>
    <w:p w:rsidR="00A560BF" w:rsidRDefault="00A560BF" w:rsidP="008839ED">
      <w:pPr>
        <w:widowControl w:val="0"/>
        <w:numPr>
          <w:ilvl w:val="1"/>
          <w:numId w:val="25"/>
        </w:numPr>
        <w:contextualSpacing/>
        <w:jc w:val="both"/>
        <w:rPr>
          <w:rFonts w:ascii="Arial" w:hAnsi="Arial" w:cs="Arial"/>
          <w:bCs/>
          <w:sz w:val="22"/>
          <w:szCs w:val="22"/>
          <w:lang w:val="en-GB"/>
        </w:rPr>
      </w:pPr>
      <w:r>
        <w:rPr>
          <w:rFonts w:ascii="Arial" w:hAnsi="Arial" w:cs="Arial"/>
          <w:bCs/>
          <w:sz w:val="22"/>
          <w:szCs w:val="22"/>
          <w:lang w:val="en-GB"/>
        </w:rPr>
        <w:t xml:space="preserve">The PBAC noted recent correspondence from clinical stakeholders regarding re-use of lenalidomide upon disease progression.  The PBAC noted that under the current restriction </w:t>
      </w:r>
      <w:r w:rsidR="0087382F">
        <w:rPr>
          <w:rFonts w:ascii="Arial" w:hAnsi="Arial" w:cs="Arial"/>
          <w:bCs/>
          <w:sz w:val="22"/>
          <w:szCs w:val="22"/>
          <w:lang w:val="en-GB"/>
        </w:rPr>
        <w:t xml:space="preserve">for progressive disease, </w:t>
      </w:r>
      <w:r>
        <w:rPr>
          <w:rFonts w:ascii="Arial" w:hAnsi="Arial" w:cs="Arial"/>
          <w:bCs/>
          <w:sz w:val="22"/>
          <w:szCs w:val="22"/>
          <w:lang w:val="en-GB"/>
        </w:rPr>
        <w:t>patients who cease treatment with lenalidomide</w:t>
      </w:r>
      <w:r w:rsidR="0087382F">
        <w:rPr>
          <w:rFonts w:ascii="Arial" w:hAnsi="Arial" w:cs="Arial"/>
          <w:bCs/>
          <w:sz w:val="22"/>
          <w:szCs w:val="22"/>
          <w:lang w:val="en-GB"/>
        </w:rPr>
        <w:t xml:space="preserve"> after initial successful disease control</w:t>
      </w:r>
      <w:r>
        <w:rPr>
          <w:rFonts w:ascii="Arial" w:hAnsi="Arial" w:cs="Arial"/>
          <w:bCs/>
          <w:sz w:val="22"/>
          <w:szCs w:val="22"/>
          <w:lang w:val="en-GB"/>
        </w:rPr>
        <w:t xml:space="preserve"> and then experience disease progression are not eligible to resume treatment with lenalidomide.  The PBAC considered that, based on the sponsor’s proposal, lenalidomide would remain cost effective in that setting.  The PBAC therefore advised that the PBS restriction should permit re-treatment with lenalidomide following disease progression</w:t>
      </w:r>
      <w:r w:rsidR="0087382F">
        <w:rPr>
          <w:rFonts w:ascii="Arial" w:hAnsi="Arial" w:cs="Arial"/>
          <w:bCs/>
          <w:sz w:val="22"/>
          <w:szCs w:val="22"/>
          <w:lang w:val="en-GB"/>
        </w:rPr>
        <w:t>, in patients who had discontinued earlier</w:t>
      </w:r>
      <w:r w:rsidR="00C25370">
        <w:rPr>
          <w:rFonts w:ascii="Arial" w:hAnsi="Arial" w:cs="Arial"/>
          <w:bCs/>
          <w:sz w:val="22"/>
          <w:szCs w:val="22"/>
          <w:lang w:val="en-GB"/>
        </w:rPr>
        <w:t xml:space="preserve"> when the disease was controlled</w:t>
      </w:r>
      <w:r>
        <w:rPr>
          <w:rFonts w:ascii="Arial" w:hAnsi="Arial" w:cs="Arial"/>
          <w:bCs/>
          <w:sz w:val="22"/>
          <w:szCs w:val="22"/>
          <w:lang w:val="en-GB"/>
        </w:rPr>
        <w:t>.</w:t>
      </w:r>
    </w:p>
    <w:p w:rsidR="0099051F" w:rsidRDefault="0099051F" w:rsidP="00595BEF">
      <w:pPr>
        <w:ind w:left="709"/>
        <w:contextualSpacing/>
        <w:rPr>
          <w:rFonts w:ascii="Arial" w:hAnsi="Arial" w:cs="Arial"/>
          <w:bCs/>
          <w:sz w:val="22"/>
          <w:szCs w:val="22"/>
          <w:lang w:val="en-GB"/>
        </w:rPr>
      </w:pPr>
    </w:p>
    <w:p w:rsidR="00AE187B" w:rsidRDefault="007D1648" w:rsidP="008839ED">
      <w:pPr>
        <w:widowControl w:val="0"/>
        <w:numPr>
          <w:ilvl w:val="1"/>
          <w:numId w:val="25"/>
        </w:numPr>
        <w:contextualSpacing/>
        <w:jc w:val="both"/>
        <w:rPr>
          <w:rFonts w:ascii="Arial" w:hAnsi="Arial" w:cs="Arial"/>
          <w:bCs/>
          <w:sz w:val="22"/>
          <w:szCs w:val="22"/>
          <w:lang w:val="en-GB"/>
        </w:rPr>
      </w:pPr>
      <w:r w:rsidRPr="0099051F">
        <w:rPr>
          <w:rFonts w:ascii="Arial" w:hAnsi="Arial" w:cs="Arial"/>
          <w:bCs/>
          <w:sz w:val="22"/>
          <w:szCs w:val="22"/>
          <w:lang w:val="en-GB"/>
        </w:rPr>
        <w:t xml:space="preserve">The PBAC noted that the sponsor </w:t>
      </w:r>
      <w:r w:rsidR="00C15E38" w:rsidRPr="0099051F">
        <w:rPr>
          <w:rFonts w:ascii="Arial" w:hAnsi="Arial" w:cs="Arial"/>
          <w:bCs/>
          <w:sz w:val="22"/>
          <w:szCs w:val="22"/>
          <w:lang w:val="en-GB"/>
        </w:rPr>
        <w:t>requested the</w:t>
      </w:r>
      <w:r w:rsidR="00A560BF">
        <w:rPr>
          <w:rFonts w:ascii="Arial" w:hAnsi="Arial" w:cs="Arial"/>
          <w:bCs/>
          <w:sz w:val="22"/>
          <w:szCs w:val="22"/>
          <w:lang w:val="en-GB"/>
        </w:rPr>
        <w:t xml:space="preserve"> listing under Section 100 </w:t>
      </w:r>
      <w:r w:rsidRPr="0099051F">
        <w:rPr>
          <w:rFonts w:ascii="Arial" w:hAnsi="Arial" w:cs="Arial"/>
          <w:bCs/>
          <w:sz w:val="22"/>
          <w:szCs w:val="22"/>
          <w:lang w:val="en-GB"/>
        </w:rPr>
        <w:t xml:space="preserve">Highly </w:t>
      </w:r>
      <w:r w:rsidR="00A560BF">
        <w:rPr>
          <w:rFonts w:ascii="Arial" w:hAnsi="Arial" w:cs="Arial"/>
          <w:bCs/>
          <w:sz w:val="22"/>
          <w:szCs w:val="22"/>
          <w:lang w:val="en-GB"/>
        </w:rPr>
        <w:t>S</w:t>
      </w:r>
      <w:r w:rsidRPr="0099051F">
        <w:rPr>
          <w:rFonts w:ascii="Arial" w:hAnsi="Arial" w:cs="Arial"/>
          <w:bCs/>
          <w:sz w:val="22"/>
          <w:szCs w:val="22"/>
          <w:lang w:val="en-GB"/>
        </w:rPr>
        <w:t xml:space="preserve">pecialised </w:t>
      </w:r>
      <w:r w:rsidR="00A560BF">
        <w:rPr>
          <w:rFonts w:ascii="Arial" w:hAnsi="Arial" w:cs="Arial"/>
          <w:bCs/>
          <w:sz w:val="22"/>
          <w:szCs w:val="22"/>
          <w:lang w:val="en-GB"/>
        </w:rPr>
        <w:t>Drugs (HSD) Programme</w:t>
      </w:r>
      <w:r w:rsidRPr="0099051F">
        <w:rPr>
          <w:rFonts w:ascii="Arial" w:hAnsi="Arial" w:cs="Arial"/>
          <w:bCs/>
          <w:sz w:val="22"/>
          <w:szCs w:val="22"/>
          <w:lang w:val="en-GB"/>
        </w:rPr>
        <w:t>.</w:t>
      </w:r>
      <w:r w:rsidR="002C1F5D" w:rsidRPr="0099051F">
        <w:rPr>
          <w:rFonts w:ascii="Arial" w:hAnsi="Arial" w:cs="Arial"/>
          <w:bCs/>
          <w:sz w:val="22"/>
          <w:szCs w:val="22"/>
          <w:lang w:val="en-GB"/>
        </w:rPr>
        <w:t xml:space="preserve"> The PBAC recalled</w:t>
      </w:r>
      <w:r w:rsidR="00A560BF">
        <w:rPr>
          <w:rFonts w:ascii="Arial" w:hAnsi="Arial" w:cs="Arial"/>
          <w:bCs/>
          <w:sz w:val="22"/>
          <w:szCs w:val="22"/>
          <w:lang w:val="en-GB"/>
        </w:rPr>
        <w:t xml:space="preserve"> that</w:t>
      </w:r>
      <w:r w:rsidR="002C1F5D" w:rsidRPr="0099051F">
        <w:rPr>
          <w:rFonts w:ascii="Arial" w:hAnsi="Arial" w:cs="Arial"/>
          <w:bCs/>
          <w:sz w:val="22"/>
          <w:szCs w:val="22"/>
          <w:lang w:val="en-GB"/>
        </w:rPr>
        <w:t xml:space="preserve"> a</w:t>
      </w:r>
      <w:r w:rsidRPr="0099051F">
        <w:rPr>
          <w:rFonts w:ascii="Arial" w:hAnsi="Arial" w:cs="Arial"/>
          <w:bCs/>
          <w:sz w:val="22"/>
          <w:szCs w:val="22"/>
          <w:lang w:val="en-GB"/>
        </w:rPr>
        <w:t xml:space="preserve">t its April 2015 Special Meeting, the </w:t>
      </w:r>
      <w:r w:rsidR="00A560BF">
        <w:rPr>
          <w:rFonts w:ascii="Arial" w:hAnsi="Arial" w:cs="Arial"/>
          <w:bCs/>
          <w:sz w:val="22"/>
          <w:szCs w:val="22"/>
          <w:lang w:val="en-GB"/>
        </w:rPr>
        <w:t>Committee</w:t>
      </w:r>
      <w:r w:rsidRPr="0099051F">
        <w:rPr>
          <w:rFonts w:ascii="Arial" w:hAnsi="Arial" w:cs="Arial"/>
          <w:bCs/>
          <w:sz w:val="22"/>
          <w:szCs w:val="22"/>
          <w:lang w:val="en-GB"/>
        </w:rPr>
        <w:t xml:space="preserve"> considered the criteria applied by the former HSD Working Party and advised that the only criterion that differentiated HSD listings from General Schedule listings was </w:t>
      </w:r>
      <w:r w:rsidR="00A560BF">
        <w:rPr>
          <w:rFonts w:ascii="Arial" w:hAnsi="Arial" w:cs="Arial"/>
          <w:bCs/>
          <w:sz w:val="22"/>
          <w:szCs w:val="22"/>
          <w:lang w:val="en-GB"/>
        </w:rPr>
        <w:t xml:space="preserve">that </w:t>
      </w:r>
      <w:r w:rsidRPr="0099051F">
        <w:rPr>
          <w:rFonts w:ascii="Arial" w:hAnsi="Arial" w:cs="Arial"/>
          <w:bCs/>
          <w:sz w:val="22"/>
          <w:szCs w:val="22"/>
          <w:lang w:val="en-GB"/>
        </w:rPr>
        <w:t xml:space="preserve">“the drug is highly specialised, making administration outside an institutional environment problematic and the patient target </w:t>
      </w:r>
      <w:r w:rsidRPr="0099051F">
        <w:rPr>
          <w:rFonts w:ascii="Arial" w:hAnsi="Arial" w:cs="Arial"/>
          <w:bCs/>
          <w:sz w:val="22"/>
          <w:szCs w:val="22"/>
          <w:lang w:val="en-GB"/>
        </w:rPr>
        <w:lastRenderedPageBreak/>
        <w:t xml:space="preserve">group is clearly identifiable.”  The PBAC </w:t>
      </w:r>
      <w:r w:rsidR="00A560BF">
        <w:rPr>
          <w:rFonts w:ascii="Arial" w:hAnsi="Arial" w:cs="Arial"/>
          <w:bCs/>
          <w:sz w:val="22"/>
          <w:szCs w:val="22"/>
          <w:lang w:val="en-GB"/>
        </w:rPr>
        <w:t xml:space="preserve">noted that lenalidomide is currently listed under the Section 100 HSD Programme.  The PBAC </w:t>
      </w:r>
      <w:r w:rsidRPr="0099051F">
        <w:rPr>
          <w:rFonts w:ascii="Arial" w:hAnsi="Arial" w:cs="Arial"/>
          <w:bCs/>
          <w:sz w:val="22"/>
          <w:szCs w:val="22"/>
          <w:lang w:val="en-GB"/>
        </w:rPr>
        <w:t xml:space="preserve">considered </w:t>
      </w:r>
      <w:r w:rsidR="00A560BF">
        <w:rPr>
          <w:rFonts w:ascii="Arial" w:hAnsi="Arial" w:cs="Arial"/>
          <w:bCs/>
          <w:sz w:val="22"/>
          <w:szCs w:val="22"/>
          <w:lang w:val="en-GB"/>
        </w:rPr>
        <w:t xml:space="preserve">that </w:t>
      </w:r>
      <w:r w:rsidRPr="0099051F">
        <w:rPr>
          <w:rFonts w:ascii="Arial" w:hAnsi="Arial" w:cs="Arial"/>
          <w:bCs/>
          <w:sz w:val="22"/>
          <w:szCs w:val="22"/>
          <w:lang w:val="en-GB"/>
        </w:rPr>
        <w:t xml:space="preserve">this criterion </w:t>
      </w:r>
      <w:r w:rsidR="00A560BF">
        <w:rPr>
          <w:rFonts w:ascii="Arial" w:hAnsi="Arial" w:cs="Arial"/>
          <w:bCs/>
          <w:sz w:val="22"/>
          <w:szCs w:val="22"/>
          <w:lang w:val="en-GB"/>
        </w:rPr>
        <w:t>was still satisfied</w:t>
      </w:r>
      <w:r w:rsidRPr="0099051F">
        <w:rPr>
          <w:rFonts w:ascii="Arial" w:hAnsi="Arial" w:cs="Arial"/>
          <w:bCs/>
          <w:sz w:val="22"/>
          <w:szCs w:val="22"/>
          <w:lang w:val="en-GB"/>
        </w:rPr>
        <w:t xml:space="preserve"> by this proposed listing</w:t>
      </w:r>
      <w:r w:rsidR="00A560BF">
        <w:rPr>
          <w:rFonts w:ascii="Arial" w:hAnsi="Arial" w:cs="Arial"/>
          <w:bCs/>
          <w:sz w:val="22"/>
          <w:szCs w:val="22"/>
          <w:lang w:val="en-GB"/>
        </w:rPr>
        <w:t xml:space="preserve"> and advised that lenalidomide should remain listed under Section 100 (HSD).</w:t>
      </w:r>
    </w:p>
    <w:p w:rsidR="00C25370" w:rsidRDefault="00C25370" w:rsidP="000D36E9">
      <w:pPr>
        <w:widowControl w:val="0"/>
        <w:ind w:left="720"/>
        <w:contextualSpacing/>
        <w:jc w:val="both"/>
        <w:rPr>
          <w:rFonts w:ascii="Arial" w:hAnsi="Arial" w:cs="Arial"/>
          <w:bCs/>
          <w:sz w:val="22"/>
          <w:szCs w:val="22"/>
          <w:lang w:val="en-GB"/>
        </w:rPr>
      </w:pPr>
    </w:p>
    <w:p w:rsidR="00C25370" w:rsidRPr="00595BEF" w:rsidRDefault="00C25370" w:rsidP="008839ED">
      <w:pPr>
        <w:widowControl w:val="0"/>
        <w:numPr>
          <w:ilvl w:val="1"/>
          <w:numId w:val="25"/>
        </w:numPr>
        <w:contextualSpacing/>
        <w:jc w:val="both"/>
        <w:rPr>
          <w:rFonts w:ascii="Arial" w:hAnsi="Arial" w:cs="Arial"/>
          <w:bCs/>
          <w:sz w:val="22"/>
          <w:szCs w:val="22"/>
          <w:lang w:val="en-GB"/>
        </w:rPr>
      </w:pPr>
      <w:r>
        <w:rPr>
          <w:rFonts w:ascii="Arial" w:hAnsi="Arial" w:cs="Arial"/>
          <w:bCs/>
          <w:sz w:val="22"/>
          <w:szCs w:val="22"/>
          <w:lang w:val="en-GB"/>
        </w:rPr>
        <w:t>The PBAC also considered that once lenalidomide is listed for first line use in patients with multiple myeloma who are ineligible for stem cell transplant, that changes to the bortezomib restriction should be enacted to enable use of bortezomib in patients with progressive disease after in</w:t>
      </w:r>
      <w:r w:rsidR="00AD1585">
        <w:rPr>
          <w:rFonts w:ascii="Arial" w:hAnsi="Arial" w:cs="Arial"/>
          <w:bCs/>
          <w:sz w:val="22"/>
          <w:szCs w:val="22"/>
          <w:lang w:val="en-GB"/>
        </w:rPr>
        <w:t xml:space="preserve">itial therapy with lenalidomide </w:t>
      </w:r>
      <w:r>
        <w:rPr>
          <w:rFonts w:ascii="Arial" w:hAnsi="Arial" w:cs="Arial"/>
          <w:bCs/>
          <w:sz w:val="22"/>
          <w:szCs w:val="22"/>
          <w:lang w:val="en-GB"/>
        </w:rPr>
        <w:t>or thalidomide.</w:t>
      </w:r>
    </w:p>
    <w:p w:rsidR="00AE187B" w:rsidRPr="00595BEF" w:rsidRDefault="00AE187B" w:rsidP="00AE187B">
      <w:pPr>
        <w:ind w:left="720"/>
        <w:contextualSpacing/>
        <w:rPr>
          <w:rFonts w:ascii="Arial" w:hAnsi="Arial" w:cs="Arial"/>
          <w:bCs/>
          <w:sz w:val="22"/>
          <w:szCs w:val="22"/>
          <w:lang w:val="en-GB"/>
        </w:rPr>
      </w:pPr>
    </w:p>
    <w:p w:rsidR="00AE187B" w:rsidRPr="00595BEF" w:rsidRDefault="00AE187B" w:rsidP="00AE187B">
      <w:pPr>
        <w:widowControl w:val="0"/>
        <w:numPr>
          <w:ilvl w:val="1"/>
          <w:numId w:val="25"/>
        </w:numPr>
        <w:contextualSpacing/>
        <w:jc w:val="both"/>
        <w:rPr>
          <w:rFonts w:ascii="Arial" w:hAnsi="Arial" w:cs="Arial"/>
          <w:bCs/>
          <w:sz w:val="22"/>
          <w:szCs w:val="22"/>
          <w:lang w:val="en-GB"/>
        </w:rPr>
      </w:pPr>
      <w:r w:rsidRPr="00595BEF">
        <w:rPr>
          <w:rFonts w:ascii="Arial" w:hAnsi="Arial" w:cs="Arial"/>
          <w:bCs/>
          <w:sz w:val="22"/>
          <w:szCs w:val="22"/>
          <w:lang w:val="en-GB"/>
        </w:rPr>
        <w:t xml:space="preserve">The PBAC advised that </w:t>
      </w:r>
      <w:r w:rsidR="00D90119">
        <w:rPr>
          <w:rFonts w:ascii="Arial" w:hAnsi="Arial" w:cs="Arial"/>
          <w:bCs/>
          <w:sz w:val="22"/>
          <w:szCs w:val="22"/>
          <w:lang w:val="en-GB"/>
        </w:rPr>
        <w:t>lenalidomide</w:t>
      </w:r>
      <w:r w:rsidRPr="00595BEF">
        <w:rPr>
          <w:rFonts w:ascii="Arial" w:hAnsi="Arial" w:cs="Arial"/>
          <w:bCs/>
          <w:sz w:val="22"/>
          <w:szCs w:val="22"/>
          <w:lang w:val="en-GB"/>
        </w:rPr>
        <w:t xml:space="preserve"> is not suitable for prescribing by nurse practitioners.</w:t>
      </w:r>
    </w:p>
    <w:p w:rsidR="00AE187B" w:rsidRPr="00595BEF" w:rsidRDefault="00AE187B" w:rsidP="00AE187B">
      <w:pPr>
        <w:ind w:left="720"/>
        <w:contextualSpacing/>
        <w:rPr>
          <w:rFonts w:ascii="Arial" w:hAnsi="Arial" w:cs="Arial"/>
          <w:bCs/>
          <w:sz w:val="22"/>
          <w:szCs w:val="22"/>
          <w:lang w:val="en-GB"/>
        </w:rPr>
      </w:pPr>
    </w:p>
    <w:p w:rsidR="00AE187B" w:rsidRPr="00595BEF" w:rsidRDefault="00AE187B" w:rsidP="00AE187B">
      <w:pPr>
        <w:widowControl w:val="0"/>
        <w:numPr>
          <w:ilvl w:val="1"/>
          <w:numId w:val="25"/>
        </w:numPr>
        <w:contextualSpacing/>
        <w:jc w:val="both"/>
        <w:rPr>
          <w:rFonts w:ascii="Arial" w:hAnsi="Arial" w:cs="Arial"/>
          <w:bCs/>
          <w:sz w:val="22"/>
          <w:szCs w:val="22"/>
          <w:lang w:val="en-GB"/>
        </w:rPr>
      </w:pPr>
      <w:r w:rsidRPr="00595BEF">
        <w:rPr>
          <w:rFonts w:ascii="Arial" w:hAnsi="Arial" w:cs="Arial"/>
          <w:bCs/>
          <w:sz w:val="22"/>
          <w:szCs w:val="22"/>
          <w:lang w:val="en-GB"/>
        </w:rPr>
        <w:t xml:space="preserve">The PBAC recommended that the </w:t>
      </w:r>
      <w:r w:rsidR="006B7909">
        <w:rPr>
          <w:rFonts w:ascii="Arial" w:hAnsi="Arial" w:cs="Arial"/>
          <w:bCs/>
          <w:sz w:val="22"/>
          <w:szCs w:val="22"/>
          <w:lang w:val="en-GB"/>
        </w:rPr>
        <w:t>Early Supply</w:t>
      </w:r>
      <w:r w:rsidR="00AD1585">
        <w:rPr>
          <w:rFonts w:ascii="Arial" w:hAnsi="Arial" w:cs="Arial"/>
          <w:bCs/>
          <w:sz w:val="22"/>
          <w:szCs w:val="22"/>
          <w:lang w:val="en-GB"/>
        </w:rPr>
        <w:t xml:space="preserve"> Rule should not apply.</w:t>
      </w:r>
    </w:p>
    <w:p w:rsidR="00AE187B" w:rsidRPr="00595BEF" w:rsidRDefault="00AE187B" w:rsidP="00AE187B">
      <w:pPr>
        <w:ind w:left="720"/>
        <w:contextualSpacing/>
        <w:rPr>
          <w:rFonts w:ascii="Arial" w:hAnsi="Arial" w:cs="Arial"/>
          <w:bCs/>
          <w:sz w:val="22"/>
          <w:szCs w:val="22"/>
          <w:lang w:val="en-GB"/>
        </w:rPr>
      </w:pPr>
    </w:p>
    <w:p w:rsidR="006B7909" w:rsidRPr="00A5233D" w:rsidRDefault="00AD1585" w:rsidP="006B7909">
      <w:pPr>
        <w:ind w:left="720"/>
        <w:contextualSpacing/>
        <w:rPr>
          <w:rFonts w:ascii="Arial" w:hAnsi="Arial" w:cs="Arial"/>
          <w:b/>
          <w:bCs/>
          <w:i/>
          <w:sz w:val="22"/>
          <w:szCs w:val="22"/>
          <w:lang w:val="en-GB"/>
        </w:rPr>
      </w:pPr>
      <w:r>
        <w:rPr>
          <w:rFonts w:ascii="Arial" w:hAnsi="Arial" w:cs="Arial"/>
          <w:b/>
          <w:bCs/>
          <w:i/>
          <w:sz w:val="22"/>
          <w:szCs w:val="22"/>
          <w:lang w:val="en-GB"/>
        </w:rPr>
        <w:t>PBS Reform issues</w:t>
      </w:r>
    </w:p>
    <w:p w:rsidR="006B7909" w:rsidRPr="00D90119" w:rsidRDefault="006B7909" w:rsidP="006B7909">
      <w:pPr>
        <w:ind w:left="720"/>
        <w:contextualSpacing/>
        <w:rPr>
          <w:rFonts w:ascii="Arial" w:hAnsi="Arial" w:cs="Arial"/>
          <w:bCs/>
          <w:sz w:val="22"/>
          <w:szCs w:val="22"/>
          <w:lang w:val="en-GB"/>
        </w:rPr>
      </w:pPr>
    </w:p>
    <w:p w:rsidR="006B7909" w:rsidRPr="00A5233D" w:rsidRDefault="006B7909" w:rsidP="006B7909">
      <w:pPr>
        <w:ind w:left="720"/>
        <w:contextualSpacing/>
        <w:rPr>
          <w:rFonts w:ascii="Arial" w:hAnsi="Arial" w:cs="Arial"/>
          <w:b/>
          <w:bCs/>
          <w:i/>
          <w:sz w:val="22"/>
          <w:szCs w:val="22"/>
          <w:lang w:val="en-GB"/>
        </w:rPr>
      </w:pPr>
      <w:r w:rsidRPr="00A5233D">
        <w:rPr>
          <w:rFonts w:ascii="Arial" w:hAnsi="Arial" w:cs="Arial"/>
          <w:b/>
          <w:bCs/>
          <w:i/>
          <w:sz w:val="22"/>
          <w:szCs w:val="22"/>
          <w:lang w:val="en-GB"/>
        </w:rPr>
        <w:t>Section 101 (3BA)</w:t>
      </w:r>
    </w:p>
    <w:p w:rsidR="006B7909" w:rsidRPr="00D90119" w:rsidRDefault="00755D12" w:rsidP="008839ED">
      <w:pPr>
        <w:widowControl w:val="0"/>
        <w:numPr>
          <w:ilvl w:val="1"/>
          <w:numId w:val="25"/>
        </w:numPr>
        <w:contextualSpacing/>
        <w:jc w:val="both"/>
        <w:rPr>
          <w:rFonts w:ascii="Arial" w:hAnsi="Arial" w:cs="Arial"/>
          <w:bCs/>
          <w:sz w:val="22"/>
          <w:szCs w:val="22"/>
          <w:lang w:val="en-GB"/>
        </w:rPr>
      </w:pPr>
      <w:r>
        <w:rPr>
          <w:rFonts w:ascii="Arial" w:hAnsi="Arial" w:cs="Arial"/>
          <w:bCs/>
          <w:sz w:val="22"/>
          <w:szCs w:val="22"/>
          <w:lang w:val="en-GB"/>
        </w:rPr>
        <w:t>In making its recommendation to list lenalidomide, t</w:t>
      </w:r>
      <w:r w:rsidR="006B7909" w:rsidRPr="00D90119">
        <w:rPr>
          <w:rFonts w:ascii="Arial" w:hAnsi="Arial" w:cs="Arial"/>
          <w:bCs/>
          <w:sz w:val="22"/>
          <w:szCs w:val="22"/>
          <w:lang w:val="en-GB"/>
        </w:rPr>
        <w:t xml:space="preserve">he PBAC </w:t>
      </w:r>
      <w:r>
        <w:rPr>
          <w:rFonts w:ascii="Arial" w:hAnsi="Arial" w:cs="Arial"/>
          <w:bCs/>
          <w:sz w:val="22"/>
          <w:szCs w:val="22"/>
          <w:lang w:val="en-GB"/>
        </w:rPr>
        <w:t xml:space="preserve">advised the Minister that </w:t>
      </w:r>
      <w:r w:rsidR="006B7909" w:rsidRPr="00D90119">
        <w:rPr>
          <w:rFonts w:ascii="Arial" w:hAnsi="Arial" w:cs="Arial"/>
          <w:bCs/>
          <w:sz w:val="22"/>
          <w:szCs w:val="22"/>
          <w:lang w:val="en-GB"/>
        </w:rPr>
        <w:t xml:space="preserve">under Section 101 (3BA) of the National Health Act, lenalidomide and thalidomide should </w:t>
      </w:r>
      <w:r w:rsidR="00694770">
        <w:rPr>
          <w:rFonts w:ascii="Arial" w:hAnsi="Arial" w:cs="Arial"/>
          <w:bCs/>
          <w:sz w:val="22"/>
          <w:szCs w:val="22"/>
          <w:lang w:val="en-GB"/>
        </w:rPr>
        <w:t xml:space="preserve">not </w:t>
      </w:r>
      <w:r w:rsidR="006B7909" w:rsidRPr="00D90119">
        <w:rPr>
          <w:rFonts w:ascii="Arial" w:hAnsi="Arial" w:cs="Arial"/>
          <w:bCs/>
          <w:sz w:val="22"/>
          <w:szCs w:val="22"/>
          <w:lang w:val="en-GB"/>
        </w:rPr>
        <w:t>be treated as interchangeable on an individual patient basis.</w:t>
      </w:r>
    </w:p>
    <w:p w:rsidR="00FE567B" w:rsidRDefault="00FE567B" w:rsidP="00AE187B">
      <w:pPr>
        <w:rPr>
          <w:rFonts w:ascii="Arial" w:hAnsi="Arial" w:cs="Arial"/>
          <w:b/>
          <w:bCs/>
          <w:sz w:val="22"/>
          <w:szCs w:val="22"/>
          <w:lang w:val="en-GB"/>
        </w:rPr>
      </w:pPr>
    </w:p>
    <w:p w:rsidR="00AE187B" w:rsidRPr="00595BEF" w:rsidRDefault="00AE187B" w:rsidP="00AE187B">
      <w:pPr>
        <w:rPr>
          <w:rFonts w:ascii="Arial" w:hAnsi="Arial" w:cs="Arial"/>
          <w:b/>
          <w:bCs/>
          <w:sz w:val="22"/>
          <w:szCs w:val="22"/>
          <w:lang w:val="en-GB"/>
        </w:rPr>
      </w:pPr>
      <w:r w:rsidRPr="00595BEF">
        <w:rPr>
          <w:rFonts w:ascii="Arial" w:hAnsi="Arial" w:cs="Arial"/>
          <w:b/>
          <w:bCs/>
          <w:sz w:val="22"/>
          <w:szCs w:val="22"/>
          <w:lang w:val="en-GB"/>
        </w:rPr>
        <w:t>Outcome:</w:t>
      </w:r>
    </w:p>
    <w:p w:rsidR="00AE187B" w:rsidRPr="00595BEF" w:rsidRDefault="00AE187B" w:rsidP="00AE187B">
      <w:pPr>
        <w:rPr>
          <w:rFonts w:ascii="Arial" w:hAnsi="Arial" w:cs="Arial"/>
          <w:bCs/>
          <w:sz w:val="22"/>
          <w:szCs w:val="22"/>
          <w:lang w:val="en-GB"/>
        </w:rPr>
      </w:pPr>
      <w:r w:rsidRPr="00595BEF">
        <w:rPr>
          <w:rFonts w:ascii="Arial" w:hAnsi="Arial" w:cs="Arial"/>
          <w:bCs/>
          <w:sz w:val="22"/>
          <w:szCs w:val="22"/>
          <w:lang w:val="en-GB"/>
        </w:rPr>
        <w:t>Recommended</w:t>
      </w:r>
    </w:p>
    <w:p w:rsidR="00AE187B" w:rsidRDefault="00AE187B" w:rsidP="00AE187B">
      <w:pPr>
        <w:rPr>
          <w:rFonts w:ascii="Arial" w:hAnsi="Arial" w:cs="Arial"/>
          <w:bCs/>
          <w:sz w:val="22"/>
          <w:szCs w:val="22"/>
          <w:highlight w:val="yellow"/>
        </w:rPr>
      </w:pPr>
    </w:p>
    <w:p w:rsidR="001E06CE" w:rsidRPr="009630D9" w:rsidRDefault="001E06CE" w:rsidP="00AE187B">
      <w:pPr>
        <w:rPr>
          <w:rFonts w:ascii="Arial" w:hAnsi="Arial" w:cs="Arial"/>
          <w:bCs/>
          <w:sz w:val="22"/>
          <w:szCs w:val="22"/>
          <w:highlight w:val="yellow"/>
        </w:rPr>
      </w:pPr>
    </w:p>
    <w:p w:rsidR="00AE187B" w:rsidRPr="00595BEF" w:rsidRDefault="00AE187B" w:rsidP="00D232D7">
      <w:pPr>
        <w:pStyle w:val="Heading1"/>
        <w:rPr>
          <w:rFonts w:cs="Arial"/>
          <w:b w:val="0"/>
          <w:bCs/>
          <w:i/>
          <w:lang w:val="en-GB"/>
        </w:rPr>
      </w:pPr>
      <w:r w:rsidRPr="00595BEF">
        <w:rPr>
          <w:rFonts w:cs="Arial"/>
          <w:bCs/>
          <w:lang w:val="en-GB"/>
        </w:rPr>
        <w:t>Recommended listing</w:t>
      </w:r>
    </w:p>
    <w:p w:rsidR="00AE187B" w:rsidRPr="009630D9" w:rsidRDefault="00AE187B" w:rsidP="00AE187B">
      <w:pPr>
        <w:rPr>
          <w:rFonts w:ascii="Arial" w:hAnsi="Arial" w:cs="Arial"/>
          <w:b/>
          <w:bCs/>
          <w:i/>
          <w:sz w:val="22"/>
          <w:szCs w:val="22"/>
          <w:highlight w:val="yellow"/>
          <w:lang w:val="en-GB"/>
        </w:rPr>
      </w:pPr>
    </w:p>
    <w:p w:rsidR="009D5F85" w:rsidRDefault="00657193" w:rsidP="00620386">
      <w:pPr>
        <w:widowControl w:val="0"/>
        <w:numPr>
          <w:ilvl w:val="1"/>
          <w:numId w:val="25"/>
        </w:numPr>
        <w:contextualSpacing/>
        <w:jc w:val="both"/>
        <w:rPr>
          <w:rFonts w:ascii="Arial" w:hAnsi="Arial" w:cs="Arial"/>
          <w:bCs/>
          <w:sz w:val="22"/>
          <w:szCs w:val="22"/>
          <w:lang w:val="en-GB"/>
        </w:rPr>
      </w:pPr>
      <w:r w:rsidRPr="00620386">
        <w:rPr>
          <w:rFonts w:ascii="Arial" w:hAnsi="Arial" w:cs="Arial"/>
          <w:bCs/>
          <w:sz w:val="22"/>
          <w:szCs w:val="22"/>
          <w:lang w:val="en-GB"/>
        </w:rPr>
        <w:t>Restriction</w:t>
      </w:r>
      <w:r w:rsidR="00FD4321" w:rsidRPr="00620386">
        <w:rPr>
          <w:rFonts w:ascii="Arial" w:hAnsi="Arial" w:cs="Arial"/>
          <w:bCs/>
          <w:sz w:val="22"/>
          <w:szCs w:val="22"/>
          <w:lang w:val="en-GB"/>
        </w:rPr>
        <w:t>s</w:t>
      </w:r>
      <w:r w:rsidRPr="00620386">
        <w:rPr>
          <w:rFonts w:ascii="Arial" w:hAnsi="Arial" w:cs="Arial"/>
          <w:bCs/>
          <w:sz w:val="22"/>
          <w:szCs w:val="22"/>
          <w:lang w:val="en-GB"/>
        </w:rPr>
        <w:t xml:space="preserve"> to be finalised.</w:t>
      </w:r>
    </w:p>
    <w:p w:rsidR="00C67705" w:rsidRDefault="00C67705" w:rsidP="00C67705">
      <w:pPr>
        <w:jc w:val="both"/>
        <w:rPr>
          <w:rFonts w:ascii="Arial" w:hAnsi="Arial" w:cs="Arial"/>
          <w:b/>
          <w:bCs/>
          <w:i/>
          <w:snapToGrid w:val="0"/>
          <w:color w:val="0070C0"/>
          <w:sz w:val="22"/>
          <w:szCs w:val="22"/>
          <w:lang w:val="en-GB" w:eastAsia="en-US"/>
        </w:rPr>
      </w:pPr>
    </w:p>
    <w:p w:rsidR="00C67705" w:rsidRDefault="00C67705" w:rsidP="00C67705">
      <w:pPr>
        <w:jc w:val="both"/>
        <w:rPr>
          <w:rFonts w:ascii="Arial" w:hAnsi="Arial" w:cs="Arial"/>
          <w:b/>
          <w:bCs/>
          <w:i/>
          <w:snapToGrid w:val="0"/>
          <w:color w:val="0070C0"/>
          <w:sz w:val="22"/>
          <w:szCs w:val="22"/>
          <w:lang w:val="en-GB" w:eastAsia="en-US"/>
        </w:rPr>
      </w:pPr>
    </w:p>
    <w:p w:rsidR="00C67705" w:rsidRPr="004304F6" w:rsidRDefault="00C67705" w:rsidP="00C67705">
      <w:pPr>
        <w:pStyle w:val="Heading1"/>
        <w:spacing w:after="240"/>
        <w:rPr>
          <w:rFonts w:cs="Arial"/>
        </w:rPr>
      </w:pPr>
      <w:r w:rsidRPr="004304F6">
        <w:rPr>
          <w:rFonts w:cs="Arial"/>
        </w:rPr>
        <w:t>Context for Decision</w:t>
      </w:r>
    </w:p>
    <w:p w:rsidR="00C67705" w:rsidRDefault="00C67705" w:rsidP="00FF6BCD">
      <w:pPr>
        <w:ind w:left="720"/>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67705" w:rsidRPr="004304F6" w:rsidRDefault="00C67705" w:rsidP="00C67705">
      <w:pPr>
        <w:ind w:left="720"/>
        <w:rPr>
          <w:rFonts w:ascii="Arial" w:hAnsi="Arial" w:cs="Arial"/>
          <w:sz w:val="22"/>
        </w:rPr>
      </w:pPr>
    </w:p>
    <w:p w:rsidR="00C67705" w:rsidRDefault="00C67705" w:rsidP="00C67705">
      <w:pPr>
        <w:pStyle w:val="Heading1"/>
        <w:spacing w:after="240"/>
        <w:rPr>
          <w:rFonts w:cs="Arial"/>
        </w:rPr>
      </w:pPr>
      <w:r w:rsidRPr="004304F6">
        <w:rPr>
          <w:rFonts w:cs="Arial"/>
        </w:rPr>
        <w:t>Sponsor’s Comment</w:t>
      </w:r>
    </w:p>
    <w:p w:rsidR="001E06CE" w:rsidRDefault="00393A68" w:rsidP="00AD1585">
      <w:pPr>
        <w:ind w:left="720"/>
        <w:jc w:val="both"/>
        <w:rPr>
          <w:rFonts w:ascii="Arial" w:hAnsi="Arial" w:cs="Arial"/>
          <w:sz w:val="22"/>
        </w:rPr>
      </w:pPr>
      <w:r w:rsidRPr="00393A68">
        <w:rPr>
          <w:rFonts w:ascii="Arial" w:hAnsi="Arial" w:cs="Arial"/>
          <w:sz w:val="22"/>
        </w:rPr>
        <w:t>Celgene welcomes the positive recommendation for the listing of Lenalidomide for patients with newly diagnosed multiple myeloma and would like to acknowledge the contribution of clinical stakeholders, consumers in this process along with the receptivity of the PBAC to recognise their concerns and views.</w:t>
      </w:r>
    </w:p>
    <w:p w:rsidR="00AD1585" w:rsidRDefault="00AD1585" w:rsidP="00AD1585">
      <w:pPr>
        <w:ind w:left="720"/>
        <w:jc w:val="both"/>
        <w:rPr>
          <w:rFonts w:ascii="Arial" w:hAnsi="Arial" w:cs="Arial"/>
          <w:sz w:val="22"/>
        </w:rPr>
      </w:pPr>
    </w:p>
    <w:p w:rsidR="00AD1585" w:rsidRPr="00AD1585" w:rsidRDefault="00AD1585" w:rsidP="00AD1585">
      <w:pPr>
        <w:ind w:left="720"/>
        <w:jc w:val="both"/>
        <w:rPr>
          <w:rFonts w:ascii="Arial" w:hAnsi="Arial" w:cs="Arial"/>
          <w:sz w:val="22"/>
        </w:rPr>
      </w:pPr>
    </w:p>
    <w:sectPr w:rsidR="00AD1585" w:rsidRPr="00AD158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8D" w:rsidRDefault="0061688D">
      <w:r>
        <w:separator/>
      </w:r>
    </w:p>
    <w:p w:rsidR="0061688D" w:rsidRDefault="0061688D"/>
    <w:p w:rsidR="0061688D" w:rsidRDefault="0061688D"/>
  </w:endnote>
  <w:endnote w:type="continuationSeparator" w:id="0">
    <w:p w:rsidR="0061688D" w:rsidRDefault="0061688D">
      <w:r>
        <w:continuationSeparator/>
      </w:r>
    </w:p>
    <w:p w:rsidR="0061688D" w:rsidRDefault="0061688D"/>
    <w:p w:rsidR="0061688D" w:rsidRDefault="0061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5370" w:rsidTr="005A3173">
      <w:trPr>
        <w:trHeight w:val="151"/>
      </w:trPr>
      <w:tc>
        <w:tcPr>
          <w:tcW w:w="2250" w:type="pct"/>
          <w:tcBorders>
            <w:top w:val="nil"/>
            <w:left w:val="nil"/>
            <w:bottom w:val="single" w:sz="4" w:space="0" w:color="4F81BD"/>
            <w:right w:val="nil"/>
          </w:tcBorders>
        </w:tcPr>
        <w:p w:rsidR="00C25370" w:rsidRPr="005A3173" w:rsidRDefault="00C2537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5370" w:rsidRPr="005A3173" w:rsidRDefault="00C2537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5370" w:rsidRPr="005A3173" w:rsidRDefault="00C25370" w:rsidP="005A3173">
          <w:pPr>
            <w:pStyle w:val="Header"/>
            <w:spacing w:line="276" w:lineRule="auto"/>
            <w:rPr>
              <w:rFonts w:ascii="Calibri" w:eastAsia="MS Gothic" w:hAnsi="Calibri"/>
              <w:b/>
              <w:bCs/>
              <w:color w:val="4F81BD"/>
            </w:rPr>
          </w:pPr>
        </w:p>
      </w:tc>
    </w:tr>
    <w:tr w:rsidR="00C25370" w:rsidTr="005A3173">
      <w:trPr>
        <w:trHeight w:val="150"/>
      </w:trPr>
      <w:tc>
        <w:tcPr>
          <w:tcW w:w="2250" w:type="pct"/>
          <w:tcBorders>
            <w:top w:val="single" w:sz="4" w:space="0" w:color="4F81BD"/>
            <w:left w:val="nil"/>
            <w:bottom w:val="nil"/>
            <w:right w:val="nil"/>
          </w:tcBorders>
        </w:tcPr>
        <w:p w:rsidR="00C25370" w:rsidRPr="005A3173" w:rsidRDefault="00C25370" w:rsidP="005A3173">
          <w:pPr>
            <w:pStyle w:val="Header"/>
            <w:spacing w:line="276" w:lineRule="auto"/>
            <w:rPr>
              <w:rFonts w:ascii="Calibri" w:eastAsia="MS Gothic" w:hAnsi="Calibri"/>
              <w:b/>
              <w:bCs/>
              <w:color w:val="4F81BD"/>
            </w:rPr>
          </w:pPr>
        </w:p>
      </w:tc>
      <w:tc>
        <w:tcPr>
          <w:tcW w:w="0" w:type="auto"/>
          <w:vMerge/>
          <w:vAlign w:val="center"/>
          <w:hideMark/>
        </w:tcPr>
        <w:p w:rsidR="00C25370" w:rsidRPr="005A3173" w:rsidRDefault="00C25370"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5370" w:rsidRPr="005A3173" w:rsidRDefault="00C25370" w:rsidP="005A3173">
          <w:pPr>
            <w:pStyle w:val="Header"/>
            <w:spacing w:line="276" w:lineRule="auto"/>
            <w:rPr>
              <w:rFonts w:ascii="Calibri" w:eastAsia="MS Gothic" w:hAnsi="Calibri"/>
              <w:b/>
              <w:bCs/>
              <w:color w:val="4F81BD"/>
            </w:rPr>
          </w:pPr>
        </w:p>
      </w:tc>
    </w:tr>
  </w:tbl>
  <w:p w:rsidR="00C25370" w:rsidRDefault="00C2537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bookmarkStart w:id="1" w:name="_GoBack"/>
  </w:p>
  <w:p w:rsidR="00C25370" w:rsidRDefault="00C25370">
    <w:pPr>
      <w:pStyle w:val="Footer"/>
    </w:pPr>
  </w:p>
  <w:p w:rsidR="00C25370" w:rsidRDefault="00C25370"/>
  <w:bookmarkEnd w:id="1"/>
  <w:p w:rsidR="00A4467E" w:rsidRDefault="00A446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011222844"/>
      <w:docPartObj>
        <w:docPartGallery w:val="Page Numbers (Bottom of Page)"/>
        <w:docPartUnique/>
      </w:docPartObj>
    </w:sdtPr>
    <w:sdtEndPr>
      <w:rPr>
        <w:noProof/>
      </w:rPr>
    </w:sdtEndPr>
    <w:sdtContent>
      <w:p w:rsidR="00D232D7" w:rsidRDefault="00D232D7">
        <w:pPr>
          <w:pStyle w:val="Footer"/>
          <w:jc w:val="center"/>
          <w:rPr>
            <w:rFonts w:ascii="Arial" w:hAnsi="Arial" w:cs="Arial"/>
            <w:sz w:val="22"/>
          </w:rPr>
        </w:pPr>
      </w:p>
      <w:p w:rsidR="00A4467E" w:rsidRPr="00D232D7" w:rsidRDefault="00C25370" w:rsidP="00D232D7">
        <w:pPr>
          <w:pStyle w:val="Footer"/>
          <w:jc w:val="center"/>
          <w:rPr>
            <w:rFonts w:ascii="Arial" w:hAnsi="Arial" w:cs="Arial"/>
            <w:sz w:val="22"/>
          </w:rPr>
        </w:pPr>
        <w:r w:rsidRPr="00AE187B">
          <w:rPr>
            <w:rFonts w:ascii="Arial" w:hAnsi="Arial" w:cs="Arial"/>
            <w:sz w:val="22"/>
          </w:rPr>
          <w:fldChar w:fldCharType="begin"/>
        </w:r>
        <w:r w:rsidRPr="00AE187B">
          <w:rPr>
            <w:rFonts w:ascii="Arial" w:hAnsi="Arial" w:cs="Arial"/>
            <w:sz w:val="22"/>
          </w:rPr>
          <w:instrText xml:space="preserve"> PAGE   \* MERGEFORMAT </w:instrText>
        </w:r>
        <w:r w:rsidRPr="00AE187B">
          <w:rPr>
            <w:rFonts w:ascii="Arial" w:hAnsi="Arial" w:cs="Arial"/>
            <w:sz w:val="22"/>
          </w:rPr>
          <w:fldChar w:fldCharType="separate"/>
        </w:r>
        <w:r w:rsidR="00355C1F">
          <w:rPr>
            <w:rFonts w:ascii="Arial" w:hAnsi="Arial" w:cs="Arial"/>
            <w:noProof/>
            <w:sz w:val="22"/>
          </w:rPr>
          <w:t>2</w:t>
        </w:r>
        <w:r w:rsidRPr="00AE187B">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25370" w:rsidTr="005A3173">
      <w:trPr>
        <w:trHeight w:val="151"/>
      </w:trPr>
      <w:tc>
        <w:tcPr>
          <w:tcW w:w="2250" w:type="pct"/>
          <w:tcBorders>
            <w:top w:val="nil"/>
            <w:left w:val="nil"/>
            <w:bottom w:val="single" w:sz="4" w:space="0" w:color="4F81BD"/>
            <w:right w:val="nil"/>
          </w:tcBorders>
        </w:tcPr>
        <w:p w:rsidR="00C25370" w:rsidRPr="005A3173" w:rsidRDefault="00C2537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5370" w:rsidRPr="005A3173" w:rsidRDefault="00C2537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5370" w:rsidRPr="005A3173" w:rsidRDefault="00C25370" w:rsidP="005A3173">
          <w:pPr>
            <w:pStyle w:val="Header"/>
            <w:spacing w:line="276" w:lineRule="auto"/>
            <w:rPr>
              <w:rFonts w:ascii="Calibri" w:eastAsia="MS Gothic" w:hAnsi="Calibri"/>
              <w:b/>
              <w:bCs/>
              <w:color w:val="4F81BD"/>
            </w:rPr>
          </w:pPr>
        </w:p>
      </w:tc>
    </w:tr>
    <w:tr w:rsidR="00C25370" w:rsidTr="005A3173">
      <w:trPr>
        <w:trHeight w:val="150"/>
      </w:trPr>
      <w:tc>
        <w:tcPr>
          <w:tcW w:w="2250" w:type="pct"/>
          <w:tcBorders>
            <w:top w:val="single" w:sz="4" w:space="0" w:color="4F81BD"/>
            <w:left w:val="nil"/>
            <w:bottom w:val="nil"/>
            <w:right w:val="nil"/>
          </w:tcBorders>
        </w:tcPr>
        <w:p w:rsidR="00C25370" w:rsidRPr="005A3173" w:rsidRDefault="00C25370" w:rsidP="005A3173">
          <w:pPr>
            <w:pStyle w:val="Header"/>
            <w:spacing w:line="276" w:lineRule="auto"/>
            <w:rPr>
              <w:rFonts w:ascii="Calibri" w:eastAsia="MS Gothic" w:hAnsi="Calibri"/>
              <w:b/>
              <w:bCs/>
              <w:color w:val="4F81BD"/>
            </w:rPr>
          </w:pPr>
        </w:p>
      </w:tc>
      <w:tc>
        <w:tcPr>
          <w:tcW w:w="0" w:type="auto"/>
          <w:vMerge/>
          <w:vAlign w:val="center"/>
          <w:hideMark/>
        </w:tcPr>
        <w:p w:rsidR="00C25370" w:rsidRPr="005A3173" w:rsidRDefault="00C25370"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5370" w:rsidRPr="005A3173" w:rsidRDefault="00C2537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5370" w:rsidTr="005A3173">
      <w:trPr>
        <w:trHeight w:val="151"/>
      </w:trPr>
      <w:tc>
        <w:tcPr>
          <w:tcW w:w="2250" w:type="pct"/>
          <w:tcBorders>
            <w:top w:val="nil"/>
            <w:left w:val="nil"/>
            <w:bottom w:val="single" w:sz="4" w:space="0" w:color="4F81BD"/>
            <w:right w:val="nil"/>
          </w:tcBorders>
        </w:tcPr>
        <w:p w:rsidR="00C25370" w:rsidRPr="005A3173" w:rsidRDefault="00C2537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25370" w:rsidRPr="005A3173" w:rsidRDefault="00C2537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25370" w:rsidRPr="005A3173" w:rsidRDefault="00C25370" w:rsidP="005A3173">
          <w:pPr>
            <w:pStyle w:val="Header"/>
            <w:spacing w:line="276" w:lineRule="auto"/>
            <w:rPr>
              <w:rFonts w:ascii="Calibri" w:eastAsia="MS Gothic" w:hAnsi="Calibri"/>
              <w:b/>
              <w:bCs/>
              <w:color w:val="4F81BD"/>
            </w:rPr>
          </w:pPr>
        </w:p>
      </w:tc>
    </w:tr>
    <w:tr w:rsidR="00C25370" w:rsidTr="005A3173">
      <w:trPr>
        <w:trHeight w:val="150"/>
      </w:trPr>
      <w:tc>
        <w:tcPr>
          <w:tcW w:w="2250" w:type="pct"/>
          <w:tcBorders>
            <w:top w:val="single" w:sz="4" w:space="0" w:color="4F81BD"/>
            <w:left w:val="nil"/>
            <w:bottom w:val="nil"/>
            <w:right w:val="nil"/>
          </w:tcBorders>
        </w:tcPr>
        <w:p w:rsidR="00C25370" w:rsidRPr="005A3173" w:rsidRDefault="00C25370" w:rsidP="005A3173">
          <w:pPr>
            <w:pStyle w:val="Header"/>
            <w:spacing w:line="276" w:lineRule="auto"/>
            <w:rPr>
              <w:rFonts w:ascii="Calibri" w:eastAsia="MS Gothic" w:hAnsi="Calibri"/>
              <w:b/>
              <w:bCs/>
              <w:color w:val="4F81BD"/>
            </w:rPr>
          </w:pPr>
        </w:p>
      </w:tc>
      <w:tc>
        <w:tcPr>
          <w:tcW w:w="0" w:type="auto"/>
          <w:vMerge/>
          <w:vAlign w:val="center"/>
          <w:hideMark/>
        </w:tcPr>
        <w:p w:rsidR="00C25370" w:rsidRPr="005A3173" w:rsidRDefault="00C25370" w:rsidP="005A3173">
          <w:pPr>
            <w:rPr>
              <w:rFonts w:ascii="Calibri" w:hAnsi="Calibri"/>
              <w:color w:val="365F91"/>
              <w:sz w:val="22"/>
              <w:szCs w:val="22"/>
            </w:rPr>
          </w:pPr>
        </w:p>
      </w:tc>
      <w:tc>
        <w:tcPr>
          <w:tcW w:w="2250" w:type="pct"/>
          <w:tcBorders>
            <w:top w:val="single" w:sz="4" w:space="0" w:color="4F81BD"/>
            <w:left w:val="nil"/>
            <w:bottom w:val="nil"/>
            <w:right w:val="nil"/>
          </w:tcBorders>
        </w:tcPr>
        <w:p w:rsidR="00C25370" w:rsidRPr="005A3173" w:rsidRDefault="00C25370" w:rsidP="005A3173">
          <w:pPr>
            <w:pStyle w:val="Header"/>
            <w:spacing w:line="276" w:lineRule="auto"/>
            <w:rPr>
              <w:rFonts w:ascii="Calibri" w:eastAsia="MS Gothic" w:hAnsi="Calibri"/>
              <w:b/>
              <w:bCs/>
              <w:color w:val="4F81BD"/>
            </w:rPr>
          </w:pPr>
        </w:p>
      </w:tc>
    </w:tr>
  </w:tbl>
  <w:p w:rsidR="00C25370" w:rsidRPr="007C0F57" w:rsidRDefault="00C2537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25370" w:rsidRPr="007C0F57" w:rsidRDefault="00C25370" w:rsidP="007C0F57">
    <w:pPr>
      <w:pStyle w:val="Footer"/>
      <w:jc w:val="center"/>
      <w:rPr>
        <w:b/>
        <w:i/>
        <w:sz w:val="20"/>
        <w:szCs w:val="20"/>
      </w:rPr>
    </w:pPr>
    <w:r w:rsidRPr="007C0F57">
      <w:rPr>
        <w:b/>
        <w:i/>
        <w:sz w:val="20"/>
        <w:szCs w:val="20"/>
      </w:rPr>
      <w:t>Commercial-in-Confidence</w:t>
    </w:r>
  </w:p>
  <w:p w:rsidR="00C25370" w:rsidRDefault="00C25370"/>
  <w:p w:rsidR="00A4467E" w:rsidRDefault="00A446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8D" w:rsidRDefault="0061688D">
      <w:r>
        <w:separator/>
      </w:r>
    </w:p>
    <w:p w:rsidR="0061688D" w:rsidRDefault="0061688D"/>
    <w:p w:rsidR="0061688D" w:rsidRDefault="0061688D"/>
  </w:footnote>
  <w:footnote w:type="continuationSeparator" w:id="0">
    <w:p w:rsidR="0061688D" w:rsidRDefault="0061688D">
      <w:r>
        <w:continuationSeparator/>
      </w:r>
    </w:p>
    <w:p w:rsidR="0061688D" w:rsidRDefault="0061688D"/>
    <w:p w:rsidR="0061688D" w:rsidRDefault="00616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25370" w:rsidRPr="008E0D90" w:rsidTr="00A06225">
      <w:trPr>
        <w:trHeight w:val="151"/>
      </w:trPr>
      <w:tc>
        <w:tcPr>
          <w:tcW w:w="2389" w:type="pct"/>
          <w:tcBorders>
            <w:top w:val="nil"/>
            <w:left w:val="nil"/>
            <w:bottom w:val="single" w:sz="4" w:space="0" w:color="4F81BD"/>
            <w:right w:val="nil"/>
          </w:tcBorders>
        </w:tcPr>
        <w:p w:rsidR="00C25370" w:rsidRPr="00A06225" w:rsidRDefault="00C25370">
          <w:pPr>
            <w:pStyle w:val="Header"/>
            <w:spacing w:line="276" w:lineRule="auto"/>
            <w:rPr>
              <w:rFonts w:ascii="Cambria" w:eastAsia="MS Gothic" w:hAnsi="Cambria"/>
              <w:b/>
              <w:bCs/>
              <w:color w:val="4F81BD"/>
            </w:rPr>
          </w:pPr>
        </w:p>
      </w:tc>
      <w:tc>
        <w:tcPr>
          <w:tcW w:w="333" w:type="pct"/>
          <w:vMerge w:val="restart"/>
          <w:noWrap/>
          <w:vAlign w:val="center"/>
          <w:hideMark/>
        </w:tcPr>
        <w:p w:rsidR="00C25370" w:rsidRPr="00A06225" w:rsidRDefault="00C2537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25370" w:rsidRPr="00A06225" w:rsidRDefault="00C25370">
          <w:pPr>
            <w:pStyle w:val="Header"/>
            <w:spacing w:line="276" w:lineRule="auto"/>
            <w:rPr>
              <w:rFonts w:ascii="Cambria" w:eastAsia="MS Gothic" w:hAnsi="Cambria"/>
              <w:b/>
              <w:bCs/>
              <w:color w:val="4F81BD"/>
            </w:rPr>
          </w:pPr>
        </w:p>
      </w:tc>
    </w:tr>
    <w:tr w:rsidR="00C25370" w:rsidRPr="008E0D90" w:rsidTr="00A06225">
      <w:trPr>
        <w:trHeight w:val="150"/>
      </w:trPr>
      <w:tc>
        <w:tcPr>
          <w:tcW w:w="2389" w:type="pct"/>
          <w:tcBorders>
            <w:top w:val="single" w:sz="4" w:space="0" w:color="4F81BD"/>
            <w:left w:val="nil"/>
            <w:bottom w:val="nil"/>
            <w:right w:val="nil"/>
          </w:tcBorders>
        </w:tcPr>
        <w:p w:rsidR="00C25370" w:rsidRPr="00A06225" w:rsidRDefault="00C25370">
          <w:pPr>
            <w:pStyle w:val="Header"/>
            <w:spacing w:line="276" w:lineRule="auto"/>
            <w:rPr>
              <w:rFonts w:ascii="Cambria" w:eastAsia="MS Gothic" w:hAnsi="Cambria"/>
              <w:b/>
              <w:bCs/>
              <w:color w:val="4F81BD"/>
            </w:rPr>
          </w:pPr>
        </w:p>
      </w:tc>
      <w:tc>
        <w:tcPr>
          <w:tcW w:w="0" w:type="auto"/>
          <w:vMerge/>
          <w:vAlign w:val="center"/>
          <w:hideMark/>
        </w:tcPr>
        <w:p w:rsidR="00C25370" w:rsidRPr="00A06225" w:rsidRDefault="00C25370">
          <w:pPr>
            <w:rPr>
              <w:rFonts w:ascii="Cambria" w:hAnsi="Cambria"/>
              <w:color w:val="4F81BD"/>
              <w:sz w:val="22"/>
              <w:szCs w:val="22"/>
            </w:rPr>
          </w:pPr>
        </w:p>
      </w:tc>
      <w:tc>
        <w:tcPr>
          <w:tcW w:w="2278" w:type="pct"/>
          <w:tcBorders>
            <w:top w:val="single" w:sz="4" w:space="0" w:color="4F81BD"/>
            <w:left w:val="nil"/>
            <w:bottom w:val="nil"/>
            <w:right w:val="nil"/>
          </w:tcBorders>
        </w:tcPr>
        <w:p w:rsidR="00C25370" w:rsidRPr="00A06225" w:rsidRDefault="00C25370">
          <w:pPr>
            <w:pStyle w:val="Header"/>
            <w:spacing w:line="276" w:lineRule="auto"/>
            <w:rPr>
              <w:rFonts w:ascii="Cambria" w:eastAsia="MS Gothic" w:hAnsi="Cambria"/>
              <w:b/>
              <w:bCs/>
              <w:color w:val="4F81BD"/>
            </w:rPr>
          </w:pPr>
        </w:p>
      </w:tc>
    </w:tr>
  </w:tbl>
  <w:p w:rsidR="00C25370" w:rsidRDefault="00C25370">
    <w:pPr>
      <w:pStyle w:val="Header"/>
    </w:pPr>
  </w:p>
  <w:p w:rsidR="00C25370" w:rsidRDefault="00C25370"/>
  <w:p w:rsidR="00A4467E" w:rsidRDefault="00A446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95B" w:rsidRPr="00DF217D" w:rsidRDefault="0072095B" w:rsidP="0072095B">
    <w:pPr>
      <w:pStyle w:val="Header"/>
      <w:ind w:left="360"/>
      <w:jc w:val="center"/>
      <w:rPr>
        <w:rFonts w:ascii="Arial" w:hAnsi="Arial" w:cs="Arial"/>
        <w:i/>
        <w:color w:val="808080"/>
        <w:sz w:val="22"/>
      </w:rPr>
    </w:pPr>
    <w:r>
      <w:rPr>
        <w:rFonts w:ascii="Arial" w:hAnsi="Arial" w:cs="Arial"/>
        <w:i/>
        <w:color w:val="808080"/>
        <w:sz w:val="22"/>
      </w:rPr>
      <w:t xml:space="preserve">Public Summary Document – 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4467E" w:rsidRPr="00620386" w:rsidRDefault="00C25370" w:rsidP="00620386">
    <w:pPr>
      <w:pStyle w:val="Header"/>
      <w:jc w:val="center"/>
      <w:rPr>
        <w:rFonts w:ascii="Arial" w:hAnsi="Arial" w:cs="Arial"/>
        <w:b/>
        <w:noProof/>
      </w:rPr>
    </w:pPr>
    <w:r w:rsidRPr="009D5F85">
      <w:rPr>
        <w:rFonts w:ascii="Arial" w:hAnsi="Arial" w:cs="Arial"/>
        <w:b/>
        <w:noProof/>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112" w:rsidRDefault="006041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A37322"/>
    <w:multiLevelType w:val="hybridMultilevel"/>
    <w:tmpl w:val="DF741ED4"/>
    <w:lvl w:ilvl="0" w:tplc="09E6FCB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9E0B9E"/>
    <w:multiLevelType w:val="hybridMultilevel"/>
    <w:tmpl w:val="D83026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8F73EDC"/>
    <w:multiLevelType w:val="hybridMultilevel"/>
    <w:tmpl w:val="F29CF5F4"/>
    <w:lvl w:ilvl="0" w:tplc="22B017E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DA6BB8"/>
    <w:multiLevelType w:val="hybridMultilevel"/>
    <w:tmpl w:val="DF741ED4"/>
    <w:lvl w:ilvl="0" w:tplc="09E6FCB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E476AA"/>
    <w:multiLevelType w:val="hybridMultilevel"/>
    <w:tmpl w:val="DF741ED4"/>
    <w:lvl w:ilvl="0" w:tplc="09E6FCB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7">
    <w:nsid w:val="784D033C"/>
    <w:multiLevelType w:val="multilevel"/>
    <w:tmpl w:val="C88C5B4A"/>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3"/>
  </w:num>
  <w:num w:numId="2">
    <w:abstractNumId w:val="43"/>
  </w:num>
  <w:num w:numId="3">
    <w:abstractNumId w:val="28"/>
  </w:num>
  <w:num w:numId="4">
    <w:abstractNumId w:val="1"/>
  </w:num>
  <w:num w:numId="5">
    <w:abstractNumId w:val="7"/>
  </w:num>
  <w:num w:numId="6">
    <w:abstractNumId w:val="27"/>
  </w:num>
  <w:num w:numId="7">
    <w:abstractNumId w:val="23"/>
  </w:num>
  <w:num w:numId="8">
    <w:abstractNumId w:val="6"/>
  </w:num>
  <w:num w:numId="9">
    <w:abstractNumId w:val="10"/>
  </w:num>
  <w:num w:numId="10">
    <w:abstractNumId w:val="41"/>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4"/>
  </w:num>
  <w:num w:numId="15">
    <w:abstractNumId w:val="35"/>
  </w:num>
  <w:num w:numId="16">
    <w:abstractNumId w:val="31"/>
  </w:num>
  <w:num w:numId="17">
    <w:abstractNumId w:val="46"/>
  </w:num>
  <w:num w:numId="18">
    <w:abstractNumId w:val="16"/>
  </w:num>
  <w:num w:numId="19">
    <w:abstractNumId w:val="26"/>
  </w:num>
  <w:num w:numId="20">
    <w:abstractNumId w:val="5"/>
  </w:num>
  <w:num w:numId="21">
    <w:abstractNumId w:val="38"/>
  </w:num>
  <w:num w:numId="22">
    <w:abstractNumId w:val="42"/>
  </w:num>
  <w:num w:numId="23">
    <w:abstractNumId w:val="48"/>
  </w:num>
  <w:num w:numId="24">
    <w:abstractNumId w:val="22"/>
  </w:num>
  <w:num w:numId="25">
    <w:abstractNumId w:val="47"/>
  </w:num>
  <w:num w:numId="26">
    <w:abstractNumId w:val="36"/>
  </w:num>
  <w:num w:numId="27">
    <w:abstractNumId w:val="15"/>
  </w:num>
  <w:num w:numId="28">
    <w:abstractNumId w:val="8"/>
  </w:num>
  <w:num w:numId="29">
    <w:abstractNumId w:val="33"/>
  </w:num>
  <w:num w:numId="30">
    <w:abstractNumId w:val="4"/>
  </w:num>
  <w:num w:numId="31">
    <w:abstractNumId w:val="34"/>
  </w:num>
  <w:num w:numId="32">
    <w:abstractNumId w:val="45"/>
  </w:num>
  <w:num w:numId="33">
    <w:abstractNumId w:val="32"/>
  </w:num>
  <w:num w:numId="34">
    <w:abstractNumId w:val="49"/>
  </w:num>
  <w:num w:numId="35">
    <w:abstractNumId w:val="14"/>
  </w:num>
  <w:num w:numId="36">
    <w:abstractNumId w:val="30"/>
  </w:num>
  <w:num w:numId="37">
    <w:abstractNumId w:val="37"/>
  </w:num>
  <w:num w:numId="38">
    <w:abstractNumId w:val="11"/>
  </w:num>
  <w:num w:numId="39">
    <w:abstractNumId w:val="24"/>
  </w:num>
  <w:num w:numId="40">
    <w:abstractNumId w:val="2"/>
  </w:num>
  <w:num w:numId="41">
    <w:abstractNumId w:val="21"/>
  </w:num>
  <w:num w:numId="42">
    <w:abstractNumId w:val="40"/>
  </w:num>
  <w:num w:numId="43">
    <w:abstractNumId w:val="3"/>
  </w:num>
  <w:num w:numId="44">
    <w:abstractNumId w:val="20"/>
  </w:num>
  <w:num w:numId="45">
    <w:abstractNumId w:val="19"/>
  </w:num>
  <w:num w:numId="46">
    <w:abstractNumId w:val="12"/>
  </w:num>
  <w:num w:numId="47">
    <w:abstractNumId w:val="18"/>
  </w:num>
  <w:num w:numId="48">
    <w:abstractNumId w:val="0"/>
  </w:num>
  <w:num w:numId="49">
    <w:abstractNumId w:val="17"/>
  </w:num>
  <w:num w:numId="50">
    <w:abstractNumId w:val="25"/>
  </w:num>
  <w:num w:numId="51">
    <w:abstractNumId w:val="39"/>
  </w:num>
  <w:num w:numId="52">
    <w:abstractNumId w:val="9"/>
  </w:num>
  <w:num w:numId="53">
    <w:abstractNumId w:val="47"/>
  </w:num>
  <w:num w:numId="54">
    <w:abstractNumId w:val="47"/>
  </w:num>
  <w:num w:numId="55">
    <w:abstractNumId w:val="47"/>
  </w:num>
  <w:num w:numId="56">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08D"/>
    <w:rsid w:val="000025AD"/>
    <w:rsid w:val="0002464A"/>
    <w:rsid w:val="0002613E"/>
    <w:rsid w:val="0003106B"/>
    <w:rsid w:val="00032C66"/>
    <w:rsid w:val="000421A1"/>
    <w:rsid w:val="0004240E"/>
    <w:rsid w:val="00045E26"/>
    <w:rsid w:val="000514B5"/>
    <w:rsid w:val="0005286C"/>
    <w:rsid w:val="00053A24"/>
    <w:rsid w:val="00060E64"/>
    <w:rsid w:val="00066755"/>
    <w:rsid w:val="000969AD"/>
    <w:rsid w:val="0009762F"/>
    <w:rsid w:val="000B558D"/>
    <w:rsid w:val="000B7DC3"/>
    <w:rsid w:val="000C6996"/>
    <w:rsid w:val="000D23BA"/>
    <w:rsid w:val="000D36E9"/>
    <w:rsid w:val="000E681E"/>
    <w:rsid w:val="000F4E6A"/>
    <w:rsid w:val="001107BF"/>
    <w:rsid w:val="00114237"/>
    <w:rsid w:val="0012417C"/>
    <w:rsid w:val="001300B4"/>
    <w:rsid w:val="00137394"/>
    <w:rsid w:val="00142395"/>
    <w:rsid w:val="00142714"/>
    <w:rsid w:val="001452ED"/>
    <w:rsid w:val="001830CE"/>
    <w:rsid w:val="00196307"/>
    <w:rsid w:val="001A08CD"/>
    <w:rsid w:val="001B017F"/>
    <w:rsid w:val="001B5129"/>
    <w:rsid w:val="001C1195"/>
    <w:rsid w:val="001D7F00"/>
    <w:rsid w:val="001E06CE"/>
    <w:rsid w:val="001F348F"/>
    <w:rsid w:val="001F5CB6"/>
    <w:rsid w:val="00213CFB"/>
    <w:rsid w:val="00240F08"/>
    <w:rsid w:val="00256284"/>
    <w:rsid w:val="00270E3C"/>
    <w:rsid w:val="00271BA1"/>
    <w:rsid w:val="00277505"/>
    <w:rsid w:val="0029458F"/>
    <w:rsid w:val="002A0BD4"/>
    <w:rsid w:val="002A104C"/>
    <w:rsid w:val="002A4960"/>
    <w:rsid w:val="002B1AE6"/>
    <w:rsid w:val="002B30F8"/>
    <w:rsid w:val="002C1F5D"/>
    <w:rsid w:val="002C212F"/>
    <w:rsid w:val="002E1DA8"/>
    <w:rsid w:val="002E3153"/>
    <w:rsid w:val="002E72CA"/>
    <w:rsid w:val="00326E79"/>
    <w:rsid w:val="003367EF"/>
    <w:rsid w:val="00341AE4"/>
    <w:rsid w:val="00355C1F"/>
    <w:rsid w:val="003660EC"/>
    <w:rsid w:val="0037135F"/>
    <w:rsid w:val="00383401"/>
    <w:rsid w:val="00385B4A"/>
    <w:rsid w:val="003872CF"/>
    <w:rsid w:val="00393A68"/>
    <w:rsid w:val="0039782C"/>
    <w:rsid w:val="003A5B4A"/>
    <w:rsid w:val="003B19DB"/>
    <w:rsid w:val="003B1FF6"/>
    <w:rsid w:val="003B23C5"/>
    <w:rsid w:val="003B2A75"/>
    <w:rsid w:val="003D4AC4"/>
    <w:rsid w:val="003D63B7"/>
    <w:rsid w:val="003E416E"/>
    <w:rsid w:val="003E468B"/>
    <w:rsid w:val="003E7205"/>
    <w:rsid w:val="003F31A3"/>
    <w:rsid w:val="003F5C8C"/>
    <w:rsid w:val="004465BD"/>
    <w:rsid w:val="00466ADA"/>
    <w:rsid w:val="00476245"/>
    <w:rsid w:val="00485940"/>
    <w:rsid w:val="004A5A85"/>
    <w:rsid w:val="004B40E7"/>
    <w:rsid w:val="004B5640"/>
    <w:rsid w:val="004C1BD7"/>
    <w:rsid w:val="004C691D"/>
    <w:rsid w:val="004E692D"/>
    <w:rsid w:val="004F1067"/>
    <w:rsid w:val="00500B1F"/>
    <w:rsid w:val="00501554"/>
    <w:rsid w:val="0051359B"/>
    <w:rsid w:val="00514CD7"/>
    <w:rsid w:val="005319B2"/>
    <w:rsid w:val="00532C74"/>
    <w:rsid w:val="00534E2E"/>
    <w:rsid w:val="00544552"/>
    <w:rsid w:val="00581932"/>
    <w:rsid w:val="00595BEF"/>
    <w:rsid w:val="005963BB"/>
    <w:rsid w:val="005A3173"/>
    <w:rsid w:val="005A3223"/>
    <w:rsid w:val="005A3DA3"/>
    <w:rsid w:val="005A52C4"/>
    <w:rsid w:val="005A5408"/>
    <w:rsid w:val="005B1AD7"/>
    <w:rsid w:val="005D03AB"/>
    <w:rsid w:val="005D5017"/>
    <w:rsid w:val="005F7977"/>
    <w:rsid w:val="00601A91"/>
    <w:rsid w:val="00602BA3"/>
    <w:rsid w:val="00604112"/>
    <w:rsid w:val="00614159"/>
    <w:rsid w:val="0061688D"/>
    <w:rsid w:val="00617C00"/>
    <w:rsid w:val="00620386"/>
    <w:rsid w:val="006263BF"/>
    <w:rsid w:val="0062748A"/>
    <w:rsid w:val="00630A2C"/>
    <w:rsid w:val="00651169"/>
    <w:rsid w:val="006519FF"/>
    <w:rsid w:val="00653D69"/>
    <w:rsid w:val="00657193"/>
    <w:rsid w:val="00670A76"/>
    <w:rsid w:val="006711AA"/>
    <w:rsid w:val="00672B57"/>
    <w:rsid w:val="00675622"/>
    <w:rsid w:val="0069004C"/>
    <w:rsid w:val="006906DB"/>
    <w:rsid w:val="00694770"/>
    <w:rsid w:val="006A12A5"/>
    <w:rsid w:val="006A1F3E"/>
    <w:rsid w:val="006B0D94"/>
    <w:rsid w:val="006B485D"/>
    <w:rsid w:val="006B7909"/>
    <w:rsid w:val="006C708E"/>
    <w:rsid w:val="006D05FA"/>
    <w:rsid w:val="006D6EC7"/>
    <w:rsid w:val="006F5125"/>
    <w:rsid w:val="0071112B"/>
    <w:rsid w:val="007174BB"/>
    <w:rsid w:val="0072095B"/>
    <w:rsid w:val="00755D12"/>
    <w:rsid w:val="0076420C"/>
    <w:rsid w:val="00771EB1"/>
    <w:rsid w:val="007753C2"/>
    <w:rsid w:val="007838B8"/>
    <w:rsid w:val="007C0F57"/>
    <w:rsid w:val="007C40B6"/>
    <w:rsid w:val="007C729F"/>
    <w:rsid w:val="007D1648"/>
    <w:rsid w:val="007E1D28"/>
    <w:rsid w:val="007E224E"/>
    <w:rsid w:val="007F2641"/>
    <w:rsid w:val="007F7C36"/>
    <w:rsid w:val="00806796"/>
    <w:rsid w:val="008120B2"/>
    <w:rsid w:val="00826F6D"/>
    <w:rsid w:val="00856DDD"/>
    <w:rsid w:val="00863E68"/>
    <w:rsid w:val="0087382F"/>
    <w:rsid w:val="00882085"/>
    <w:rsid w:val="00883188"/>
    <w:rsid w:val="008839ED"/>
    <w:rsid w:val="00897D58"/>
    <w:rsid w:val="008A1956"/>
    <w:rsid w:val="008A379A"/>
    <w:rsid w:val="008A4937"/>
    <w:rsid w:val="008A6BDF"/>
    <w:rsid w:val="008D3C82"/>
    <w:rsid w:val="008D447E"/>
    <w:rsid w:val="008D7A41"/>
    <w:rsid w:val="008E3680"/>
    <w:rsid w:val="008E5870"/>
    <w:rsid w:val="008F1434"/>
    <w:rsid w:val="008F7355"/>
    <w:rsid w:val="009067B7"/>
    <w:rsid w:val="00930937"/>
    <w:rsid w:val="00933E6C"/>
    <w:rsid w:val="00942160"/>
    <w:rsid w:val="009602C5"/>
    <w:rsid w:val="00974C21"/>
    <w:rsid w:val="0099051F"/>
    <w:rsid w:val="009B0F67"/>
    <w:rsid w:val="009B4F76"/>
    <w:rsid w:val="009C703C"/>
    <w:rsid w:val="009D3CAA"/>
    <w:rsid w:val="009D5F85"/>
    <w:rsid w:val="009E2AB7"/>
    <w:rsid w:val="009F4E46"/>
    <w:rsid w:val="009F58E5"/>
    <w:rsid w:val="009F5B65"/>
    <w:rsid w:val="009F5F2E"/>
    <w:rsid w:val="009F6ADA"/>
    <w:rsid w:val="00A06225"/>
    <w:rsid w:val="00A128E6"/>
    <w:rsid w:val="00A156BC"/>
    <w:rsid w:val="00A3422E"/>
    <w:rsid w:val="00A37C8D"/>
    <w:rsid w:val="00A4467E"/>
    <w:rsid w:val="00A5273B"/>
    <w:rsid w:val="00A53A9D"/>
    <w:rsid w:val="00A55FEE"/>
    <w:rsid w:val="00A560BF"/>
    <w:rsid w:val="00A62C1A"/>
    <w:rsid w:val="00A6426D"/>
    <w:rsid w:val="00A70622"/>
    <w:rsid w:val="00A70977"/>
    <w:rsid w:val="00A8390C"/>
    <w:rsid w:val="00A928BD"/>
    <w:rsid w:val="00AA4D1C"/>
    <w:rsid w:val="00AC193C"/>
    <w:rsid w:val="00AC5206"/>
    <w:rsid w:val="00AD1585"/>
    <w:rsid w:val="00AE11A5"/>
    <w:rsid w:val="00AE13E2"/>
    <w:rsid w:val="00AE187B"/>
    <w:rsid w:val="00AF64F4"/>
    <w:rsid w:val="00AF68CC"/>
    <w:rsid w:val="00B01FFE"/>
    <w:rsid w:val="00B205AA"/>
    <w:rsid w:val="00B22E84"/>
    <w:rsid w:val="00B23FE2"/>
    <w:rsid w:val="00B25F75"/>
    <w:rsid w:val="00B33519"/>
    <w:rsid w:val="00B43CF8"/>
    <w:rsid w:val="00B43E90"/>
    <w:rsid w:val="00B467DC"/>
    <w:rsid w:val="00B52719"/>
    <w:rsid w:val="00B56118"/>
    <w:rsid w:val="00B609A6"/>
    <w:rsid w:val="00B6773F"/>
    <w:rsid w:val="00B801BA"/>
    <w:rsid w:val="00BB69F5"/>
    <w:rsid w:val="00BB7EC3"/>
    <w:rsid w:val="00BC4B9A"/>
    <w:rsid w:val="00BD4E43"/>
    <w:rsid w:val="00BD784C"/>
    <w:rsid w:val="00BF4CB6"/>
    <w:rsid w:val="00C00DA7"/>
    <w:rsid w:val="00C12768"/>
    <w:rsid w:val="00C15E38"/>
    <w:rsid w:val="00C2229D"/>
    <w:rsid w:val="00C25370"/>
    <w:rsid w:val="00C27B58"/>
    <w:rsid w:val="00C35996"/>
    <w:rsid w:val="00C50446"/>
    <w:rsid w:val="00C5342C"/>
    <w:rsid w:val="00C6256A"/>
    <w:rsid w:val="00C67705"/>
    <w:rsid w:val="00C91449"/>
    <w:rsid w:val="00C92D10"/>
    <w:rsid w:val="00CB040F"/>
    <w:rsid w:val="00CB5448"/>
    <w:rsid w:val="00CE10C4"/>
    <w:rsid w:val="00CE20F6"/>
    <w:rsid w:val="00CE27B5"/>
    <w:rsid w:val="00CF61BA"/>
    <w:rsid w:val="00D0321E"/>
    <w:rsid w:val="00D1455A"/>
    <w:rsid w:val="00D232D7"/>
    <w:rsid w:val="00D3280C"/>
    <w:rsid w:val="00D3406A"/>
    <w:rsid w:val="00D34EA8"/>
    <w:rsid w:val="00D455BD"/>
    <w:rsid w:val="00D469B2"/>
    <w:rsid w:val="00D741EB"/>
    <w:rsid w:val="00D84934"/>
    <w:rsid w:val="00D861D6"/>
    <w:rsid w:val="00D90119"/>
    <w:rsid w:val="00D91271"/>
    <w:rsid w:val="00DA2CB5"/>
    <w:rsid w:val="00DA4BAC"/>
    <w:rsid w:val="00DE6D27"/>
    <w:rsid w:val="00DF217D"/>
    <w:rsid w:val="00DF26A7"/>
    <w:rsid w:val="00E164B3"/>
    <w:rsid w:val="00E16910"/>
    <w:rsid w:val="00E37D38"/>
    <w:rsid w:val="00E6238F"/>
    <w:rsid w:val="00E65E54"/>
    <w:rsid w:val="00E80155"/>
    <w:rsid w:val="00E848C0"/>
    <w:rsid w:val="00E91B96"/>
    <w:rsid w:val="00E941A1"/>
    <w:rsid w:val="00E95CE3"/>
    <w:rsid w:val="00EA2825"/>
    <w:rsid w:val="00EB5088"/>
    <w:rsid w:val="00ED1644"/>
    <w:rsid w:val="00EE18E7"/>
    <w:rsid w:val="00EE6969"/>
    <w:rsid w:val="00EF44A0"/>
    <w:rsid w:val="00EF4FED"/>
    <w:rsid w:val="00EF6E03"/>
    <w:rsid w:val="00F050BD"/>
    <w:rsid w:val="00F05657"/>
    <w:rsid w:val="00F25578"/>
    <w:rsid w:val="00F258E5"/>
    <w:rsid w:val="00F300BC"/>
    <w:rsid w:val="00F32C2C"/>
    <w:rsid w:val="00F3334E"/>
    <w:rsid w:val="00F47AEA"/>
    <w:rsid w:val="00F50EC4"/>
    <w:rsid w:val="00F57A6D"/>
    <w:rsid w:val="00F638CC"/>
    <w:rsid w:val="00F64CC1"/>
    <w:rsid w:val="00F8247A"/>
    <w:rsid w:val="00F9629A"/>
    <w:rsid w:val="00FA5883"/>
    <w:rsid w:val="00FA6055"/>
    <w:rsid w:val="00FB322F"/>
    <w:rsid w:val="00FB442F"/>
    <w:rsid w:val="00FC01CD"/>
    <w:rsid w:val="00FC1929"/>
    <w:rsid w:val="00FC5B46"/>
    <w:rsid w:val="00FD4321"/>
    <w:rsid w:val="00FE567B"/>
    <w:rsid w:val="00FF00BD"/>
    <w:rsid w:val="00FF1ED4"/>
    <w:rsid w:val="00FF2801"/>
    <w:rsid w:val="00FF6BC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232D7"/>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PBACHeading1">
    <w:name w:val="PBAC Heading 1"/>
    <w:qFormat/>
    <w:rsid w:val="006519FF"/>
    <w:pPr>
      <w:ind w:left="720" w:hanging="720"/>
    </w:pPr>
    <w:rPr>
      <w:rFonts w:ascii="Arial" w:hAnsi="Arial" w:cs="Arial"/>
      <w:b/>
      <w:snapToGrid w:val="0"/>
      <w:sz w:val="22"/>
      <w:szCs w:val="22"/>
      <w:lang w:eastAsia="en-US"/>
    </w:rPr>
  </w:style>
  <w:style w:type="paragraph" w:styleId="FootnoteText">
    <w:name w:val="footnote text"/>
    <w:basedOn w:val="Normal"/>
    <w:link w:val="FootnoteTextChar"/>
    <w:unhideWhenUsed/>
    <w:rsid w:val="003660EC"/>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3660EC"/>
    <w:rPr>
      <w:rFonts w:ascii="Arial" w:hAnsi="Arial" w:cs="Arial"/>
      <w:snapToGrid w:val="0"/>
      <w:lang w:eastAsia="en-US"/>
    </w:rPr>
  </w:style>
  <w:style w:type="character" w:styleId="FootnoteReference">
    <w:name w:val="footnote reference"/>
    <w:uiPriority w:val="99"/>
    <w:unhideWhenUsed/>
    <w:rsid w:val="003660EC"/>
    <w:rPr>
      <w:vertAlign w:val="superscript"/>
    </w:rPr>
  </w:style>
  <w:style w:type="character" w:customStyle="1" w:styleId="ListParagraphChar">
    <w:name w:val="List Paragraph Char"/>
    <w:aliases w:val="BulletPoints Char"/>
    <w:basedOn w:val="DefaultParagraphFont"/>
    <w:link w:val="ListParagraph"/>
    <w:uiPriority w:val="72"/>
    <w:rsid w:val="009D5F85"/>
    <w:rPr>
      <w:sz w:val="24"/>
      <w:szCs w:val="24"/>
    </w:rPr>
  </w:style>
  <w:style w:type="paragraph" w:customStyle="1" w:styleId="minorovrheadings">
    <w:name w:val="minor ovr headings"/>
    <w:basedOn w:val="Heading1"/>
    <w:link w:val="minorovrheadingsChar"/>
    <w:qFormat/>
    <w:rsid w:val="009D5F85"/>
    <w:pPr>
      <w:spacing w:before="240" w:after="60"/>
    </w:pPr>
    <w:rPr>
      <w:rFonts w:cs="Arial"/>
      <w:b w:val="0"/>
      <w:bCs/>
      <w:kern w:val="28"/>
    </w:rPr>
  </w:style>
  <w:style w:type="character" w:customStyle="1" w:styleId="minorovrheadingsChar">
    <w:name w:val="minor ovr headings Char"/>
    <w:basedOn w:val="ListParagraphChar"/>
    <w:link w:val="minorovrheadings"/>
    <w:rsid w:val="009D5F85"/>
    <w:rPr>
      <w:rFonts w:ascii="Arial" w:hAnsi="Arial" w:cs="Arial"/>
      <w:bCs/>
      <w:kern w:val="28"/>
      <w:sz w:val="22"/>
      <w:szCs w:val="24"/>
    </w:rPr>
  </w:style>
  <w:style w:type="character" w:styleId="IntenseReference">
    <w:name w:val="Intense Reference"/>
    <w:basedOn w:val="DefaultParagraphFont"/>
    <w:uiPriority w:val="32"/>
    <w:qFormat/>
    <w:rsid w:val="00AE187B"/>
    <w:rPr>
      <w:b/>
      <w:bCs/>
      <w:i/>
      <w:smallCaps/>
      <w:color w:val="C0504D" w:themeColor="accent2"/>
      <w:spacing w:val="5"/>
      <w:u w:val="none"/>
    </w:rPr>
  </w:style>
  <w:style w:type="paragraph" w:styleId="Revision">
    <w:name w:val="Revision"/>
    <w:hidden/>
    <w:uiPriority w:val="71"/>
    <w:rsid w:val="007D1648"/>
    <w:rPr>
      <w:sz w:val="24"/>
      <w:szCs w:val="24"/>
    </w:rPr>
  </w:style>
  <w:style w:type="paragraph" w:customStyle="1" w:styleId="Table">
    <w:name w:val="Table"/>
    <w:basedOn w:val="Normal"/>
    <w:link w:val="TableChar"/>
    <w:qFormat/>
    <w:rsid w:val="007D1648"/>
    <w:pPr>
      <w:keepLines/>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7D1648"/>
    <w:rPr>
      <w:rFonts w:ascii="Candara" w:eastAsiaTheme="majorEastAsia" w:hAnsi="Candara" w:cstheme="majorBidi"/>
      <w:szCs w:val="22"/>
      <w:lang w:eastAsia="en-US" w:bidi="en-US"/>
    </w:rPr>
  </w:style>
  <w:style w:type="paragraph" w:customStyle="1" w:styleId="Default">
    <w:name w:val="Default"/>
    <w:rsid w:val="007D1648"/>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2095B"/>
    <w:pPr>
      <w:ind w:firstLine="720"/>
      <w:outlineLvl w:val="0"/>
    </w:pPr>
    <w:rPr>
      <w:rFonts w:ascii="Arial" w:hAnsi="Arial" w:cs="Arial"/>
      <w:b/>
      <w:sz w:val="28"/>
    </w:rPr>
  </w:style>
  <w:style w:type="character" w:customStyle="1" w:styleId="TitleChar">
    <w:name w:val="Title Char"/>
    <w:basedOn w:val="DefaultParagraphFont"/>
    <w:link w:val="Title"/>
    <w:rsid w:val="0072095B"/>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D232D7"/>
    <w:pPr>
      <w:numPr>
        <w:numId w:val="25"/>
      </w:numPr>
      <w:jc w:val="both"/>
      <w:outlineLvl w:val="0"/>
    </w:pPr>
    <w:rPr>
      <w:rFonts w:ascii="Arial" w:hAnsi="Arial"/>
      <w:b/>
      <w:sz w:val="22"/>
      <w:szCs w:val="22"/>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PBACHeading1">
    <w:name w:val="PBAC Heading 1"/>
    <w:qFormat/>
    <w:rsid w:val="006519FF"/>
    <w:pPr>
      <w:ind w:left="720" w:hanging="720"/>
    </w:pPr>
    <w:rPr>
      <w:rFonts w:ascii="Arial" w:hAnsi="Arial" w:cs="Arial"/>
      <w:b/>
      <w:snapToGrid w:val="0"/>
      <w:sz w:val="22"/>
      <w:szCs w:val="22"/>
      <w:lang w:eastAsia="en-US"/>
    </w:rPr>
  </w:style>
  <w:style w:type="paragraph" w:styleId="FootnoteText">
    <w:name w:val="footnote text"/>
    <w:basedOn w:val="Normal"/>
    <w:link w:val="FootnoteTextChar"/>
    <w:unhideWhenUsed/>
    <w:rsid w:val="003660EC"/>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rsid w:val="003660EC"/>
    <w:rPr>
      <w:rFonts w:ascii="Arial" w:hAnsi="Arial" w:cs="Arial"/>
      <w:snapToGrid w:val="0"/>
      <w:lang w:eastAsia="en-US"/>
    </w:rPr>
  </w:style>
  <w:style w:type="character" w:styleId="FootnoteReference">
    <w:name w:val="footnote reference"/>
    <w:uiPriority w:val="99"/>
    <w:unhideWhenUsed/>
    <w:rsid w:val="003660EC"/>
    <w:rPr>
      <w:vertAlign w:val="superscript"/>
    </w:rPr>
  </w:style>
  <w:style w:type="character" w:customStyle="1" w:styleId="ListParagraphChar">
    <w:name w:val="List Paragraph Char"/>
    <w:aliases w:val="BulletPoints Char"/>
    <w:basedOn w:val="DefaultParagraphFont"/>
    <w:link w:val="ListParagraph"/>
    <w:uiPriority w:val="72"/>
    <w:rsid w:val="009D5F85"/>
    <w:rPr>
      <w:sz w:val="24"/>
      <w:szCs w:val="24"/>
    </w:rPr>
  </w:style>
  <w:style w:type="paragraph" w:customStyle="1" w:styleId="minorovrheadings">
    <w:name w:val="minor ovr headings"/>
    <w:basedOn w:val="Heading1"/>
    <w:link w:val="minorovrheadingsChar"/>
    <w:qFormat/>
    <w:rsid w:val="009D5F85"/>
    <w:pPr>
      <w:spacing w:before="240" w:after="60"/>
    </w:pPr>
    <w:rPr>
      <w:rFonts w:cs="Arial"/>
      <w:b w:val="0"/>
      <w:bCs/>
      <w:kern w:val="28"/>
    </w:rPr>
  </w:style>
  <w:style w:type="character" w:customStyle="1" w:styleId="minorovrheadingsChar">
    <w:name w:val="minor ovr headings Char"/>
    <w:basedOn w:val="ListParagraphChar"/>
    <w:link w:val="minorovrheadings"/>
    <w:rsid w:val="009D5F85"/>
    <w:rPr>
      <w:rFonts w:ascii="Arial" w:hAnsi="Arial" w:cs="Arial"/>
      <w:bCs/>
      <w:kern w:val="28"/>
      <w:sz w:val="22"/>
      <w:szCs w:val="24"/>
    </w:rPr>
  </w:style>
  <w:style w:type="character" w:styleId="IntenseReference">
    <w:name w:val="Intense Reference"/>
    <w:basedOn w:val="DefaultParagraphFont"/>
    <w:uiPriority w:val="32"/>
    <w:qFormat/>
    <w:rsid w:val="00AE187B"/>
    <w:rPr>
      <w:b/>
      <w:bCs/>
      <w:i/>
      <w:smallCaps/>
      <w:color w:val="C0504D" w:themeColor="accent2"/>
      <w:spacing w:val="5"/>
      <w:u w:val="none"/>
    </w:rPr>
  </w:style>
  <w:style w:type="paragraph" w:styleId="Revision">
    <w:name w:val="Revision"/>
    <w:hidden/>
    <w:uiPriority w:val="71"/>
    <w:rsid w:val="007D1648"/>
    <w:rPr>
      <w:sz w:val="24"/>
      <w:szCs w:val="24"/>
    </w:rPr>
  </w:style>
  <w:style w:type="paragraph" w:customStyle="1" w:styleId="Table">
    <w:name w:val="Table"/>
    <w:basedOn w:val="Normal"/>
    <w:link w:val="TableChar"/>
    <w:qFormat/>
    <w:rsid w:val="007D1648"/>
    <w:pPr>
      <w:keepLines/>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7D1648"/>
    <w:rPr>
      <w:rFonts w:ascii="Candara" w:eastAsiaTheme="majorEastAsia" w:hAnsi="Candara" w:cstheme="majorBidi"/>
      <w:szCs w:val="22"/>
      <w:lang w:eastAsia="en-US" w:bidi="en-US"/>
    </w:rPr>
  </w:style>
  <w:style w:type="paragraph" w:customStyle="1" w:styleId="Default">
    <w:name w:val="Default"/>
    <w:rsid w:val="007D1648"/>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72095B"/>
    <w:pPr>
      <w:ind w:firstLine="720"/>
      <w:outlineLvl w:val="0"/>
    </w:pPr>
    <w:rPr>
      <w:rFonts w:ascii="Arial" w:hAnsi="Arial" w:cs="Arial"/>
      <w:b/>
      <w:sz w:val="28"/>
    </w:rPr>
  </w:style>
  <w:style w:type="character" w:customStyle="1" w:styleId="TitleChar">
    <w:name w:val="Title Char"/>
    <w:basedOn w:val="DefaultParagraphFont"/>
    <w:link w:val="Title"/>
    <w:rsid w:val="0072095B"/>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16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1411-5168-4BED-9B22-EEBAFC5D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5961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2016-06-17T03:25:00Z</dcterms:created>
  <dcterms:modified xsi:type="dcterms:W3CDTF">2016-06-22T02:24:00Z</dcterms:modified>
</cp:coreProperties>
</file>