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9D" w:rsidRPr="00411546" w:rsidRDefault="00B47BC8" w:rsidP="00411546">
      <w:pPr>
        <w:pStyle w:val="Title"/>
      </w:pPr>
      <w:r w:rsidRPr="00411546">
        <w:t xml:space="preserve">7.17 </w:t>
      </w:r>
      <w:r w:rsidRPr="00411546">
        <w:tab/>
        <w:t>IDELALISIB</w:t>
      </w:r>
      <w:r w:rsidR="00411546">
        <w:t xml:space="preserve"> </w:t>
      </w:r>
      <w:r w:rsidR="00411546">
        <w:br/>
      </w:r>
      <w:r w:rsidR="00663F9D" w:rsidRPr="00411546">
        <w:t>Oral tablet, 100mg, 150mg</w:t>
      </w:r>
      <w:r w:rsidR="00411546">
        <w:br/>
      </w:r>
      <w:proofErr w:type="spellStart"/>
      <w:r w:rsidR="00663F9D" w:rsidRPr="00411546">
        <w:t>Zydelig</w:t>
      </w:r>
      <w:proofErr w:type="spellEnd"/>
      <w:r w:rsidR="00663F9D" w:rsidRPr="00411546">
        <w:t>®, Gilead Sciences Pty Ltd</w:t>
      </w:r>
    </w:p>
    <w:p w:rsidR="00C27B58" w:rsidRPr="00BE46E1" w:rsidRDefault="00C27B58" w:rsidP="00C27B58">
      <w:pPr>
        <w:pStyle w:val="NoSpacing"/>
      </w:pPr>
    </w:p>
    <w:p w:rsidR="00A677B9" w:rsidRPr="00BE46E1" w:rsidRDefault="00A677B9" w:rsidP="00C27B58">
      <w:pPr>
        <w:pStyle w:val="NoSpacing"/>
      </w:pPr>
    </w:p>
    <w:p w:rsidR="00CE10C4" w:rsidRPr="00411546" w:rsidRDefault="00CE10C4" w:rsidP="00411546">
      <w:pPr>
        <w:pStyle w:val="Heading1"/>
      </w:pPr>
      <w:r w:rsidRPr="00411546">
        <w:t xml:space="preserve">Purpose of </w:t>
      </w:r>
      <w:r w:rsidR="0004240E" w:rsidRPr="00411546">
        <w:t>Application</w:t>
      </w:r>
    </w:p>
    <w:p w:rsidR="006A12A5" w:rsidRPr="00BE46E1" w:rsidRDefault="006A12A5" w:rsidP="00882085">
      <w:pPr>
        <w:jc w:val="both"/>
        <w:rPr>
          <w:rFonts w:ascii="Arial" w:hAnsi="Arial"/>
          <w:sz w:val="22"/>
          <w:szCs w:val="22"/>
        </w:rPr>
      </w:pPr>
    </w:p>
    <w:p w:rsidR="00C5642D" w:rsidRPr="00BE46E1" w:rsidRDefault="00663F9D" w:rsidP="00233062">
      <w:pPr>
        <w:pStyle w:val="PBACheading1"/>
        <w:keepNext/>
        <w:keepLines/>
        <w:ind w:left="720" w:firstLine="0"/>
      </w:pPr>
      <w:r w:rsidRPr="00BE46E1">
        <w:t xml:space="preserve">The minor </w:t>
      </w:r>
      <w:r w:rsidR="00233062" w:rsidRPr="00BE46E1">
        <w:t>re</w:t>
      </w:r>
      <w:r w:rsidRPr="00BE46E1">
        <w:t xml:space="preserve">submission requested </w:t>
      </w:r>
      <w:r w:rsidR="00F961AE" w:rsidRPr="00BE46E1">
        <w:t xml:space="preserve">a </w:t>
      </w:r>
      <w:r w:rsidRPr="00BE46E1">
        <w:t xml:space="preserve">Section 85, Authority </w:t>
      </w:r>
      <w:proofErr w:type="gramStart"/>
      <w:r w:rsidRPr="00BE46E1">
        <w:t>Required</w:t>
      </w:r>
      <w:proofErr w:type="gramEnd"/>
      <w:r w:rsidRPr="00BE46E1">
        <w:t xml:space="preserve"> listing of </w:t>
      </w:r>
      <w:proofErr w:type="spellStart"/>
      <w:r w:rsidRPr="00BE46E1">
        <w:t>idelalisib</w:t>
      </w:r>
      <w:proofErr w:type="spellEnd"/>
      <w:r w:rsidRPr="00BE46E1">
        <w:t xml:space="preserve"> for the treatment of relapsed/refractory </w:t>
      </w:r>
      <w:r w:rsidR="003629FB" w:rsidRPr="00BE46E1">
        <w:t>follicular lymphoma (FL) that has progressed despite prior treatment with r</w:t>
      </w:r>
      <w:r w:rsidRPr="00BE46E1">
        <w:t>ituximab and an alkylating agent.</w:t>
      </w:r>
    </w:p>
    <w:p w:rsidR="00EF44A0" w:rsidRPr="00BE46E1" w:rsidRDefault="00EF44A0" w:rsidP="00C27B58">
      <w:pPr>
        <w:pStyle w:val="NoSpacing"/>
      </w:pPr>
    </w:p>
    <w:p w:rsidR="00A677B9" w:rsidRPr="00BE46E1" w:rsidRDefault="00A677B9" w:rsidP="00C27B58">
      <w:pPr>
        <w:pStyle w:val="NoSpacing"/>
      </w:pPr>
    </w:p>
    <w:p w:rsidR="00614159" w:rsidRPr="00BE46E1" w:rsidRDefault="006A12A5" w:rsidP="00411546">
      <w:pPr>
        <w:pStyle w:val="Heading1"/>
      </w:pPr>
      <w:r w:rsidRPr="00BE46E1">
        <w:t>Requested listing</w:t>
      </w:r>
    </w:p>
    <w:p w:rsidR="006A12A5" w:rsidRPr="00BE46E1" w:rsidRDefault="006A12A5" w:rsidP="00882085">
      <w:pPr>
        <w:jc w:val="both"/>
        <w:rPr>
          <w:rFonts w:ascii="Arial" w:hAnsi="Arial"/>
          <w:b/>
          <w:sz w:val="22"/>
          <w:szCs w:val="22"/>
        </w:rPr>
      </w:pPr>
    </w:p>
    <w:p w:rsidR="00663F9D" w:rsidRPr="00BE46E1" w:rsidRDefault="00EF44A0" w:rsidP="0089657F">
      <w:pPr>
        <w:pStyle w:val="ListParagraph"/>
        <w:numPr>
          <w:ilvl w:val="1"/>
          <w:numId w:val="1"/>
        </w:numPr>
        <w:jc w:val="both"/>
        <w:rPr>
          <w:rFonts w:ascii="Arial" w:hAnsi="Arial"/>
          <w:sz w:val="22"/>
          <w:szCs w:val="22"/>
        </w:rPr>
      </w:pPr>
      <w:r w:rsidRPr="00BE46E1">
        <w:rPr>
          <w:rFonts w:ascii="Arial" w:hAnsi="Arial"/>
          <w:sz w:val="22"/>
          <w:szCs w:val="22"/>
        </w:rPr>
        <w:t xml:space="preserve">The </w:t>
      </w:r>
      <w:r w:rsidR="00C5642D" w:rsidRPr="00BE46E1">
        <w:rPr>
          <w:rFonts w:ascii="Arial" w:hAnsi="Arial"/>
          <w:sz w:val="22"/>
          <w:szCs w:val="22"/>
        </w:rPr>
        <w:t>re</w:t>
      </w:r>
      <w:r w:rsidRPr="00BE46E1">
        <w:rPr>
          <w:rFonts w:ascii="Arial" w:hAnsi="Arial"/>
          <w:sz w:val="22"/>
          <w:szCs w:val="22"/>
        </w:rPr>
        <w:t xml:space="preserve">submission </w:t>
      </w:r>
      <w:r w:rsidR="00356E1D" w:rsidRPr="00BE46E1">
        <w:rPr>
          <w:rFonts w:ascii="Arial" w:hAnsi="Arial"/>
          <w:sz w:val="22"/>
          <w:szCs w:val="22"/>
        </w:rPr>
        <w:t>does not request</w:t>
      </w:r>
      <w:r w:rsidR="00AB2410" w:rsidRPr="00BE46E1">
        <w:rPr>
          <w:rFonts w:ascii="Arial" w:hAnsi="Arial"/>
          <w:sz w:val="22"/>
          <w:szCs w:val="22"/>
        </w:rPr>
        <w:t xml:space="preserve"> any changes to the wording of the listing as described in November 2015 PBAC </w:t>
      </w:r>
      <w:r w:rsidR="0057286D">
        <w:rPr>
          <w:rFonts w:ascii="Arial" w:hAnsi="Arial"/>
          <w:sz w:val="22"/>
          <w:szCs w:val="22"/>
        </w:rPr>
        <w:t>PSD</w:t>
      </w:r>
      <w:r w:rsidR="002B5C9C" w:rsidRPr="00BE46E1">
        <w:rPr>
          <w:rFonts w:ascii="Arial" w:hAnsi="Arial"/>
          <w:sz w:val="22"/>
          <w:szCs w:val="22"/>
        </w:rPr>
        <w:t>.</w:t>
      </w:r>
    </w:p>
    <w:p w:rsidR="00663F9D" w:rsidRPr="00BE46E1" w:rsidRDefault="00663F9D" w:rsidP="00663F9D">
      <w:pPr>
        <w:pStyle w:val="ListParagraph"/>
        <w:jc w:val="both"/>
      </w:pPr>
    </w:p>
    <w:tbl>
      <w:tblPr>
        <w:tblW w:w="8501" w:type="dxa"/>
        <w:tblInd w:w="817" w:type="dxa"/>
        <w:tblLayout w:type="fixed"/>
        <w:tblLook w:val="04A0" w:firstRow="1" w:lastRow="0" w:firstColumn="1" w:lastColumn="0" w:noHBand="0" w:noVBand="1"/>
      </w:tblPr>
      <w:tblGrid>
        <w:gridCol w:w="1954"/>
        <w:gridCol w:w="1032"/>
        <w:gridCol w:w="537"/>
        <w:gridCol w:w="794"/>
        <w:gridCol w:w="1565"/>
        <w:gridCol w:w="1436"/>
        <w:gridCol w:w="1183"/>
      </w:tblGrid>
      <w:tr w:rsidR="001C6795" w:rsidRPr="00BE46E1" w:rsidTr="00D377CE">
        <w:trPr>
          <w:cantSplit/>
          <w:trHeight w:val="471"/>
        </w:trPr>
        <w:tc>
          <w:tcPr>
            <w:tcW w:w="2986" w:type="dxa"/>
            <w:gridSpan w:val="2"/>
            <w:tcBorders>
              <w:top w:val="nil"/>
              <w:left w:val="nil"/>
              <w:bottom w:val="single" w:sz="4" w:space="0" w:color="auto"/>
              <w:right w:val="nil"/>
            </w:tcBorders>
            <w:hideMark/>
          </w:tcPr>
          <w:p w:rsidR="001C6795" w:rsidRPr="00BE46E1" w:rsidRDefault="001C6795" w:rsidP="00217622">
            <w:pPr>
              <w:keepNext/>
              <w:ind w:left="-108"/>
              <w:rPr>
                <w:rFonts w:ascii="Arial Narrow" w:hAnsi="Arial Narrow"/>
                <w:sz w:val="20"/>
              </w:rPr>
            </w:pPr>
            <w:r w:rsidRPr="00BE46E1">
              <w:rPr>
                <w:rFonts w:ascii="Arial Narrow" w:hAnsi="Arial Narrow"/>
                <w:sz w:val="20"/>
              </w:rPr>
              <w:t>Name, Restriction,</w:t>
            </w:r>
          </w:p>
          <w:p w:rsidR="001C6795" w:rsidRPr="00BE46E1" w:rsidRDefault="001C6795" w:rsidP="00217622">
            <w:pPr>
              <w:keepNext/>
              <w:ind w:left="-108"/>
              <w:rPr>
                <w:rFonts w:ascii="Arial Narrow" w:hAnsi="Arial Narrow"/>
                <w:sz w:val="20"/>
              </w:rPr>
            </w:pPr>
            <w:r w:rsidRPr="00BE46E1">
              <w:rPr>
                <w:rFonts w:ascii="Arial Narrow" w:hAnsi="Arial Narrow"/>
                <w:sz w:val="20"/>
              </w:rPr>
              <w:t>Manner of administration and form</w:t>
            </w:r>
          </w:p>
        </w:tc>
        <w:tc>
          <w:tcPr>
            <w:tcW w:w="537" w:type="dxa"/>
            <w:tcBorders>
              <w:top w:val="nil"/>
              <w:left w:val="nil"/>
              <w:bottom w:val="single" w:sz="4" w:space="0" w:color="auto"/>
              <w:right w:val="nil"/>
            </w:tcBorders>
            <w:hideMark/>
          </w:tcPr>
          <w:p w:rsidR="001C6795" w:rsidRPr="00BE46E1" w:rsidRDefault="001C6795" w:rsidP="00217622">
            <w:pPr>
              <w:keepNext/>
              <w:ind w:left="-108"/>
              <w:rPr>
                <w:rFonts w:ascii="Arial Narrow" w:hAnsi="Arial Narrow"/>
                <w:sz w:val="20"/>
              </w:rPr>
            </w:pPr>
            <w:r w:rsidRPr="00BE46E1">
              <w:rPr>
                <w:rFonts w:ascii="Arial Narrow" w:hAnsi="Arial Narrow"/>
                <w:sz w:val="20"/>
              </w:rPr>
              <w:t>Max.</w:t>
            </w:r>
          </w:p>
          <w:p w:rsidR="001C6795" w:rsidRPr="00BE46E1" w:rsidRDefault="001C6795" w:rsidP="00217622">
            <w:pPr>
              <w:keepNext/>
              <w:ind w:left="-108"/>
              <w:rPr>
                <w:rFonts w:ascii="Arial Narrow" w:hAnsi="Arial Narrow"/>
                <w:sz w:val="20"/>
              </w:rPr>
            </w:pPr>
            <w:proofErr w:type="spellStart"/>
            <w:r w:rsidRPr="00BE46E1">
              <w:rPr>
                <w:rFonts w:ascii="Arial Narrow" w:hAnsi="Arial Narrow"/>
                <w:sz w:val="20"/>
              </w:rPr>
              <w:t>Qty</w:t>
            </w:r>
            <w:proofErr w:type="spellEnd"/>
          </w:p>
        </w:tc>
        <w:tc>
          <w:tcPr>
            <w:tcW w:w="794" w:type="dxa"/>
            <w:tcBorders>
              <w:top w:val="nil"/>
              <w:left w:val="nil"/>
              <w:bottom w:val="single" w:sz="4" w:space="0" w:color="auto"/>
              <w:right w:val="nil"/>
            </w:tcBorders>
            <w:hideMark/>
          </w:tcPr>
          <w:p w:rsidR="001C6795" w:rsidRPr="00BE46E1" w:rsidRDefault="001C6795" w:rsidP="00217622">
            <w:pPr>
              <w:keepNext/>
              <w:ind w:left="-108"/>
              <w:rPr>
                <w:rFonts w:ascii="Arial Narrow" w:hAnsi="Arial Narrow"/>
                <w:sz w:val="20"/>
              </w:rPr>
            </w:pPr>
            <w:r w:rsidRPr="00BE46E1">
              <w:rPr>
                <w:rFonts w:ascii="Arial Narrow" w:hAnsi="Arial Narrow"/>
                <w:sz w:val="20"/>
              </w:rPr>
              <w:t>№.of</w:t>
            </w:r>
          </w:p>
          <w:p w:rsidR="001C6795" w:rsidRPr="00BE46E1" w:rsidRDefault="001C6795" w:rsidP="00217622">
            <w:pPr>
              <w:keepNext/>
              <w:ind w:left="-108"/>
              <w:rPr>
                <w:rFonts w:ascii="Arial Narrow" w:hAnsi="Arial Narrow"/>
                <w:sz w:val="20"/>
              </w:rPr>
            </w:pPr>
            <w:proofErr w:type="spellStart"/>
            <w:r w:rsidRPr="00BE46E1">
              <w:rPr>
                <w:rFonts w:ascii="Arial Narrow" w:hAnsi="Arial Narrow"/>
                <w:sz w:val="20"/>
              </w:rPr>
              <w:t>Rpts</w:t>
            </w:r>
            <w:proofErr w:type="spellEnd"/>
          </w:p>
        </w:tc>
        <w:tc>
          <w:tcPr>
            <w:tcW w:w="1565" w:type="dxa"/>
            <w:tcBorders>
              <w:top w:val="nil"/>
              <w:left w:val="nil"/>
              <w:bottom w:val="single" w:sz="4" w:space="0" w:color="auto"/>
              <w:right w:val="nil"/>
            </w:tcBorders>
            <w:hideMark/>
          </w:tcPr>
          <w:p w:rsidR="001C6795" w:rsidRPr="00BE46E1" w:rsidRDefault="001C6795" w:rsidP="00217622">
            <w:pPr>
              <w:keepNext/>
              <w:ind w:left="-108"/>
              <w:rPr>
                <w:rFonts w:ascii="Arial Narrow" w:hAnsi="Arial Narrow"/>
                <w:sz w:val="20"/>
              </w:rPr>
            </w:pPr>
            <w:r w:rsidRPr="00BE46E1">
              <w:rPr>
                <w:rFonts w:ascii="Arial Narrow" w:hAnsi="Arial Narrow"/>
                <w:sz w:val="20"/>
              </w:rPr>
              <w:t xml:space="preserve">Dispensed Price for Max. </w:t>
            </w:r>
            <w:proofErr w:type="spellStart"/>
            <w:r w:rsidRPr="00BE46E1">
              <w:rPr>
                <w:rFonts w:ascii="Arial Narrow" w:hAnsi="Arial Narrow"/>
                <w:sz w:val="20"/>
              </w:rPr>
              <w:t>Qty</w:t>
            </w:r>
            <w:proofErr w:type="spellEnd"/>
          </w:p>
        </w:tc>
        <w:tc>
          <w:tcPr>
            <w:tcW w:w="2619" w:type="dxa"/>
            <w:gridSpan w:val="2"/>
            <w:tcBorders>
              <w:top w:val="nil"/>
              <w:left w:val="nil"/>
              <w:bottom w:val="single" w:sz="4" w:space="0" w:color="auto"/>
              <w:right w:val="nil"/>
            </w:tcBorders>
            <w:hideMark/>
          </w:tcPr>
          <w:p w:rsidR="001C6795" w:rsidRPr="00BE46E1" w:rsidRDefault="001C6795" w:rsidP="00217622">
            <w:pPr>
              <w:keepNext/>
              <w:rPr>
                <w:rFonts w:ascii="Arial Narrow" w:hAnsi="Arial Narrow"/>
                <w:sz w:val="20"/>
              </w:rPr>
            </w:pPr>
            <w:r w:rsidRPr="00BE46E1">
              <w:rPr>
                <w:rFonts w:ascii="Arial Narrow" w:hAnsi="Arial Narrow"/>
                <w:sz w:val="20"/>
              </w:rPr>
              <w:t>Proprietary Name and Manufacturer</w:t>
            </w:r>
          </w:p>
        </w:tc>
      </w:tr>
      <w:tr w:rsidR="001C6795" w:rsidRPr="00BE46E1" w:rsidTr="00D377CE">
        <w:trPr>
          <w:cantSplit/>
          <w:trHeight w:val="577"/>
        </w:trPr>
        <w:tc>
          <w:tcPr>
            <w:tcW w:w="2986" w:type="dxa"/>
            <w:gridSpan w:val="2"/>
            <w:hideMark/>
          </w:tcPr>
          <w:p w:rsidR="001C6795" w:rsidRPr="00BE46E1" w:rsidRDefault="001C6795" w:rsidP="00217622">
            <w:pPr>
              <w:keepNext/>
              <w:ind w:left="-108"/>
              <w:rPr>
                <w:rFonts w:ascii="Arial Narrow" w:hAnsi="Arial Narrow"/>
                <w:smallCaps/>
                <w:sz w:val="20"/>
              </w:rPr>
            </w:pPr>
            <w:proofErr w:type="spellStart"/>
            <w:r w:rsidRPr="00BE46E1">
              <w:rPr>
                <w:rFonts w:ascii="Arial Narrow" w:hAnsi="Arial Narrow"/>
                <w:smallCaps/>
                <w:sz w:val="20"/>
              </w:rPr>
              <w:t>idelalisib</w:t>
            </w:r>
            <w:proofErr w:type="spellEnd"/>
          </w:p>
          <w:p w:rsidR="001C6795" w:rsidRPr="00BE46E1" w:rsidRDefault="001C6795" w:rsidP="00217622">
            <w:pPr>
              <w:keepNext/>
              <w:ind w:left="-108"/>
              <w:rPr>
                <w:rFonts w:ascii="Arial Narrow" w:hAnsi="Arial Narrow"/>
                <w:sz w:val="20"/>
              </w:rPr>
            </w:pPr>
            <w:r w:rsidRPr="00BE46E1">
              <w:rPr>
                <w:rFonts w:ascii="Arial Narrow" w:hAnsi="Arial Narrow"/>
                <w:sz w:val="20"/>
              </w:rPr>
              <w:t>Tablet, 150mg, 60</w:t>
            </w:r>
          </w:p>
          <w:p w:rsidR="001C6795" w:rsidRPr="00BE46E1" w:rsidRDefault="001C6795" w:rsidP="00217622">
            <w:pPr>
              <w:keepNext/>
              <w:ind w:left="-108"/>
              <w:rPr>
                <w:rFonts w:ascii="Arial Narrow" w:hAnsi="Arial Narrow"/>
                <w:sz w:val="20"/>
              </w:rPr>
            </w:pPr>
            <w:r w:rsidRPr="00BE46E1">
              <w:rPr>
                <w:rFonts w:ascii="Arial Narrow" w:hAnsi="Arial Narrow"/>
                <w:sz w:val="20"/>
              </w:rPr>
              <w:t>Tablet, 100mg, 60</w:t>
            </w:r>
          </w:p>
        </w:tc>
        <w:tc>
          <w:tcPr>
            <w:tcW w:w="537" w:type="dxa"/>
          </w:tcPr>
          <w:p w:rsidR="001C6795" w:rsidRPr="00BE46E1" w:rsidRDefault="001C6795" w:rsidP="00217622">
            <w:pPr>
              <w:keepNext/>
              <w:ind w:left="-108"/>
              <w:rPr>
                <w:rFonts w:ascii="Arial Narrow" w:hAnsi="Arial Narrow"/>
                <w:sz w:val="20"/>
              </w:rPr>
            </w:pPr>
          </w:p>
          <w:p w:rsidR="001C6795" w:rsidRPr="00BE46E1" w:rsidRDefault="001C6795" w:rsidP="00217622">
            <w:pPr>
              <w:keepNext/>
              <w:ind w:left="-108"/>
              <w:rPr>
                <w:rFonts w:ascii="Arial Narrow" w:hAnsi="Arial Narrow"/>
                <w:sz w:val="20"/>
              </w:rPr>
            </w:pPr>
            <w:r w:rsidRPr="00BE46E1">
              <w:rPr>
                <w:rFonts w:ascii="Arial Narrow" w:hAnsi="Arial Narrow"/>
                <w:sz w:val="20"/>
              </w:rPr>
              <w:t>1</w:t>
            </w:r>
          </w:p>
        </w:tc>
        <w:tc>
          <w:tcPr>
            <w:tcW w:w="794" w:type="dxa"/>
          </w:tcPr>
          <w:p w:rsidR="001C6795" w:rsidRPr="00BE46E1" w:rsidRDefault="001C6795" w:rsidP="00217622">
            <w:pPr>
              <w:keepNext/>
              <w:ind w:left="-108"/>
              <w:rPr>
                <w:rFonts w:ascii="Arial Narrow" w:hAnsi="Arial Narrow"/>
                <w:sz w:val="20"/>
              </w:rPr>
            </w:pPr>
          </w:p>
          <w:p w:rsidR="001C6795" w:rsidRPr="00BE46E1" w:rsidRDefault="001C6795" w:rsidP="00217622">
            <w:pPr>
              <w:keepNext/>
              <w:ind w:left="-108"/>
              <w:rPr>
                <w:rFonts w:ascii="Arial Narrow" w:hAnsi="Arial Narrow"/>
                <w:sz w:val="20"/>
              </w:rPr>
            </w:pPr>
            <w:r w:rsidRPr="00BE46E1">
              <w:rPr>
                <w:rFonts w:ascii="Arial Narrow" w:hAnsi="Arial Narrow"/>
                <w:sz w:val="20"/>
              </w:rPr>
              <w:t>5</w:t>
            </w:r>
          </w:p>
        </w:tc>
        <w:tc>
          <w:tcPr>
            <w:tcW w:w="1565" w:type="dxa"/>
          </w:tcPr>
          <w:p w:rsidR="001C6795" w:rsidRPr="00BE46E1" w:rsidRDefault="001C6795" w:rsidP="00217622">
            <w:pPr>
              <w:keepNext/>
              <w:ind w:left="-108"/>
              <w:rPr>
                <w:rFonts w:ascii="Arial Narrow" w:hAnsi="Arial Narrow"/>
                <w:sz w:val="20"/>
              </w:rPr>
            </w:pPr>
          </w:p>
          <w:p w:rsidR="001C6795" w:rsidRPr="00BE46E1" w:rsidRDefault="001C6795" w:rsidP="00217622">
            <w:pPr>
              <w:keepNext/>
              <w:ind w:left="-108"/>
              <w:rPr>
                <w:rFonts w:ascii="Arial Narrow" w:hAnsi="Arial Narrow"/>
                <w:sz w:val="20"/>
              </w:rPr>
            </w:pPr>
            <w:r w:rsidRPr="00BE46E1">
              <w:rPr>
                <w:rFonts w:ascii="Arial Narrow" w:hAnsi="Arial Narrow"/>
                <w:sz w:val="20"/>
              </w:rPr>
              <w:t>$</w:t>
            </w:r>
            <w:r w:rsidR="002C5C5C">
              <w:rPr>
                <w:rFonts w:ascii="Arial Narrow" w:hAnsi="Arial Narrow"/>
                <w:noProof/>
                <w:color w:val="000000"/>
                <w:sz w:val="20"/>
                <w:highlight w:val="black"/>
              </w:rPr>
              <w:t>''''''''''''''''''''</w:t>
            </w:r>
            <w:r w:rsidRPr="00BE46E1">
              <w:rPr>
                <w:rFonts w:ascii="Arial Narrow" w:hAnsi="Arial Narrow"/>
                <w:sz w:val="20"/>
              </w:rPr>
              <w:t xml:space="preserve"> (published)</w:t>
            </w:r>
          </w:p>
          <w:p w:rsidR="001C6795" w:rsidRPr="00BE46E1" w:rsidRDefault="001C6795" w:rsidP="00217622">
            <w:pPr>
              <w:keepNext/>
              <w:ind w:left="-108"/>
              <w:rPr>
                <w:rFonts w:ascii="Arial Narrow" w:hAnsi="Arial Narrow"/>
                <w:sz w:val="20"/>
              </w:rPr>
            </w:pPr>
            <w:r w:rsidRPr="00BE46E1">
              <w:rPr>
                <w:rFonts w:ascii="Arial Narrow" w:hAnsi="Arial Narrow"/>
                <w:sz w:val="20"/>
              </w:rPr>
              <w:t>$</w:t>
            </w:r>
            <w:r w:rsidR="002C5C5C">
              <w:rPr>
                <w:rFonts w:ascii="Arial Narrow" w:hAnsi="Arial Narrow"/>
                <w:noProof/>
                <w:color w:val="000000"/>
                <w:sz w:val="20"/>
                <w:highlight w:val="black"/>
              </w:rPr>
              <w:t xml:space="preserve">''''''''''''''''''''''' </w:t>
            </w:r>
            <w:r w:rsidRPr="00BE46E1">
              <w:rPr>
                <w:rFonts w:ascii="Arial Narrow" w:hAnsi="Arial Narrow"/>
                <w:sz w:val="20"/>
              </w:rPr>
              <w:t xml:space="preserve">(effective) </w:t>
            </w:r>
          </w:p>
        </w:tc>
        <w:tc>
          <w:tcPr>
            <w:tcW w:w="1436" w:type="dxa"/>
            <w:hideMark/>
          </w:tcPr>
          <w:p w:rsidR="001C6795" w:rsidRPr="00BE46E1" w:rsidRDefault="001C6795" w:rsidP="00217622">
            <w:pPr>
              <w:keepNext/>
              <w:jc w:val="center"/>
              <w:rPr>
                <w:rFonts w:ascii="Arial Narrow" w:hAnsi="Arial Narrow"/>
                <w:sz w:val="20"/>
              </w:rPr>
            </w:pPr>
            <w:proofErr w:type="spellStart"/>
            <w:r w:rsidRPr="00BE46E1">
              <w:rPr>
                <w:rFonts w:ascii="Arial Narrow" w:hAnsi="Arial Narrow"/>
                <w:sz w:val="20"/>
              </w:rPr>
              <w:t>Zydelig</w:t>
            </w:r>
            <w:proofErr w:type="spellEnd"/>
            <w:r w:rsidRPr="00BE46E1">
              <w:rPr>
                <w:rFonts w:ascii="Arial Narrow" w:hAnsi="Arial Narrow"/>
                <w:sz w:val="20"/>
                <w:vertAlign w:val="superscript"/>
              </w:rPr>
              <w:t>®</w:t>
            </w:r>
          </w:p>
        </w:tc>
        <w:tc>
          <w:tcPr>
            <w:tcW w:w="1183" w:type="dxa"/>
            <w:hideMark/>
          </w:tcPr>
          <w:p w:rsidR="001C6795" w:rsidRPr="00BE46E1" w:rsidRDefault="001C6795" w:rsidP="00217622">
            <w:pPr>
              <w:keepNext/>
              <w:jc w:val="center"/>
              <w:rPr>
                <w:rFonts w:ascii="Arial Narrow" w:hAnsi="Arial Narrow"/>
                <w:sz w:val="20"/>
              </w:rPr>
            </w:pPr>
            <w:r w:rsidRPr="00BE46E1">
              <w:rPr>
                <w:rFonts w:ascii="Arial Narrow" w:hAnsi="Arial Narrow"/>
                <w:sz w:val="20"/>
              </w:rPr>
              <w:t>Gilead</w:t>
            </w:r>
          </w:p>
        </w:tc>
      </w:tr>
      <w:tr w:rsidR="001C6795" w:rsidRPr="00BE46E1" w:rsidTr="00D377CE">
        <w:trPr>
          <w:cantSplit/>
          <w:trHeight w:val="360"/>
        </w:trPr>
        <w:tc>
          <w:tcPr>
            <w:tcW w:w="8501" w:type="dxa"/>
            <w:gridSpan w:val="7"/>
            <w:tcBorders>
              <w:top w:val="nil"/>
              <w:left w:val="nil"/>
              <w:bottom w:val="single" w:sz="4" w:space="0" w:color="auto"/>
              <w:right w:val="nil"/>
            </w:tcBorders>
          </w:tcPr>
          <w:p w:rsidR="001C6795" w:rsidRPr="00BE46E1" w:rsidRDefault="001C6795" w:rsidP="00217622">
            <w:pPr>
              <w:rPr>
                <w:rFonts w:ascii="Arial Narrow" w:hAnsi="Arial Narrow"/>
                <w:sz w:val="20"/>
              </w:rPr>
            </w:pP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 xml:space="preserve">Category / </w:t>
            </w:r>
          </w:p>
          <w:p w:rsidR="001C6795" w:rsidRPr="00BE46E1" w:rsidRDefault="001C6795" w:rsidP="00217622">
            <w:pPr>
              <w:rPr>
                <w:rFonts w:ascii="Arial Narrow" w:hAnsi="Arial Narrow"/>
                <w:b/>
                <w:sz w:val="20"/>
              </w:rPr>
            </w:pPr>
            <w:r w:rsidRPr="00BE46E1">
              <w:rPr>
                <w:rFonts w:ascii="Arial Narrow" w:hAnsi="Arial Narrow"/>
                <w:b/>
                <w:sz w:val="20"/>
              </w:rPr>
              <w:t>Program</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z w:val="20"/>
              </w:rPr>
            </w:pPr>
            <w:r w:rsidRPr="00BE46E1">
              <w:rPr>
                <w:rFonts w:ascii="Arial Narrow" w:hAnsi="Arial Narrow"/>
                <w:sz w:val="20"/>
              </w:rPr>
              <w:t>GENERAL – General Schedule (Code GE)</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tcPr>
          <w:p w:rsidR="001C6795" w:rsidRPr="00BE46E1" w:rsidRDefault="001C6795" w:rsidP="00217622">
            <w:pPr>
              <w:rPr>
                <w:rFonts w:ascii="Arial Narrow" w:hAnsi="Arial Narrow"/>
                <w:b/>
                <w:sz w:val="20"/>
              </w:rPr>
            </w:pPr>
            <w:r w:rsidRPr="00BE46E1">
              <w:rPr>
                <w:rFonts w:ascii="Arial Narrow" w:hAnsi="Arial Narrow"/>
                <w:b/>
                <w:sz w:val="20"/>
              </w:rPr>
              <w:t>Prescriber type:</w:t>
            </w:r>
          </w:p>
          <w:p w:rsidR="001C6795" w:rsidRPr="00BE46E1" w:rsidRDefault="001C6795" w:rsidP="00217622">
            <w:pPr>
              <w:rPr>
                <w:rFonts w:ascii="Arial Narrow" w:hAnsi="Arial Narrow"/>
                <w:b/>
                <w:sz w:val="20"/>
              </w:rPr>
            </w:pP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z w:val="20"/>
              </w:rPr>
            </w:pPr>
            <w:r w:rsidRPr="00BE46E1">
              <w:rPr>
                <w:rFonts w:ascii="Arial Narrow" w:hAnsi="Arial Narrow"/>
                <w:sz w:val="20"/>
              </w:rPr>
              <w:fldChar w:fldCharType="begin">
                <w:ffData>
                  <w:name w:val="Check1"/>
                  <w:enabled/>
                  <w:calcOnExit w:val="0"/>
                  <w:checkBox>
                    <w:sizeAuto/>
                    <w:default w:val="0"/>
                  </w:checkBox>
                </w:ffData>
              </w:fldChar>
            </w:r>
            <w:r w:rsidRPr="00BE46E1">
              <w:rPr>
                <w:rFonts w:ascii="Arial Narrow" w:hAnsi="Arial Narrow"/>
                <w:sz w:val="20"/>
              </w:rPr>
              <w:instrText xml:space="preserve"> FORMCHECKBOX </w:instrText>
            </w:r>
            <w:r w:rsidR="00BE15B2">
              <w:rPr>
                <w:rFonts w:ascii="Arial Narrow" w:hAnsi="Arial Narrow"/>
                <w:sz w:val="20"/>
              </w:rPr>
            </w:r>
            <w:r w:rsidR="00BE15B2">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Dental  </w:t>
            </w:r>
            <w:r w:rsidRPr="00BE46E1">
              <w:rPr>
                <w:rFonts w:ascii="Arial Narrow" w:hAnsi="Arial Narrow"/>
                <w:sz w:val="20"/>
              </w:rPr>
              <w:fldChar w:fldCharType="begin">
                <w:ffData>
                  <w:name w:val=""/>
                  <w:enabled/>
                  <w:calcOnExit w:val="0"/>
                  <w:checkBox>
                    <w:sizeAuto/>
                    <w:default w:val="1"/>
                  </w:checkBox>
                </w:ffData>
              </w:fldChar>
            </w:r>
            <w:r w:rsidRPr="00BE46E1">
              <w:rPr>
                <w:rFonts w:ascii="Arial Narrow" w:hAnsi="Arial Narrow"/>
                <w:sz w:val="20"/>
              </w:rPr>
              <w:instrText xml:space="preserve"> FORMCHECKBOX </w:instrText>
            </w:r>
            <w:r w:rsidR="00BE15B2">
              <w:rPr>
                <w:rFonts w:ascii="Arial Narrow" w:hAnsi="Arial Narrow"/>
                <w:sz w:val="20"/>
              </w:rPr>
            </w:r>
            <w:r w:rsidR="00BE15B2">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Medical Practitioners  </w:t>
            </w:r>
            <w:r w:rsidRPr="00BE46E1">
              <w:rPr>
                <w:rFonts w:ascii="Arial Narrow" w:hAnsi="Arial Narrow"/>
                <w:sz w:val="20"/>
              </w:rPr>
              <w:fldChar w:fldCharType="begin">
                <w:ffData>
                  <w:name w:val="Check3"/>
                  <w:enabled/>
                  <w:calcOnExit w:val="0"/>
                  <w:checkBox>
                    <w:sizeAuto/>
                    <w:default w:val="0"/>
                  </w:checkBox>
                </w:ffData>
              </w:fldChar>
            </w:r>
            <w:r w:rsidRPr="00BE46E1">
              <w:rPr>
                <w:rFonts w:ascii="Arial Narrow" w:hAnsi="Arial Narrow"/>
                <w:sz w:val="20"/>
              </w:rPr>
              <w:instrText xml:space="preserve"> FORMCHECKBOX </w:instrText>
            </w:r>
            <w:r w:rsidR="00BE15B2">
              <w:rPr>
                <w:rFonts w:ascii="Arial Narrow" w:hAnsi="Arial Narrow"/>
                <w:sz w:val="20"/>
              </w:rPr>
            </w:r>
            <w:r w:rsidR="00BE15B2">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Nurse practitioners  </w:t>
            </w:r>
            <w:r w:rsidRPr="00BE46E1">
              <w:rPr>
                <w:rFonts w:ascii="Arial Narrow" w:hAnsi="Arial Narrow"/>
                <w:sz w:val="20"/>
              </w:rPr>
              <w:fldChar w:fldCharType="begin">
                <w:ffData>
                  <w:name w:val=""/>
                  <w:enabled/>
                  <w:calcOnExit w:val="0"/>
                  <w:checkBox>
                    <w:sizeAuto/>
                    <w:default w:val="0"/>
                  </w:checkBox>
                </w:ffData>
              </w:fldChar>
            </w:r>
            <w:r w:rsidRPr="00BE46E1">
              <w:rPr>
                <w:rFonts w:ascii="Arial Narrow" w:hAnsi="Arial Narrow"/>
                <w:sz w:val="20"/>
              </w:rPr>
              <w:instrText xml:space="preserve"> FORMCHECKBOX </w:instrText>
            </w:r>
            <w:r w:rsidR="00BE15B2">
              <w:rPr>
                <w:rFonts w:ascii="Arial Narrow" w:hAnsi="Arial Narrow"/>
                <w:sz w:val="20"/>
              </w:rPr>
            </w:r>
            <w:r w:rsidR="00BE15B2">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Optometrists</w:t>
            </w:r>
          </w:p>
          <w:p w:rsidR="001C6795" w:rsidRPr="00BE46E1" w:rsidRDefault="001C6795" w:rsidP="00217622">
            <w:pPr>
              <w:rPr>
                <w:rFonts w:ascii="Arial Narrow" w:hAnsi="Arial Narrow"/>
                <w:sz w:val="20"/>
              </w:rPr>
            </w:pPr>
            <w:r w:rsidRPr="00BE46E1">
              <w:rPr>
                <w:rFonts w:ascii="Arial Narrow" w:hAnsi="Arial Narrow"/>
                <w:sz w:val="20"/>
              </w:rPr>
              <w:fldChar w:fldCharType="begin">
                <w:ffData>
                  <w:name w:val="Check5"/>
                  <w:enabled/>
                  <w:calcOnExit w:val="0"/>
                  <w:checkBox>
                    <w:sizeAuto/>
                    <w:default w:val="0"/>
                  </w:checkBox>
                </w:ffData>
              </w:fldChar>
            </w:r>
            <w:r w:rsidRPr="00BE46E1">
              <w:rPr>
                <w:rFonts w:ascii="Arial Narrow" w:hAnsi="Arial Narrow"/>
                <w:sz w:val="20"/>
              </w:rPr>
              <w:instrText xml:space="preserve"> FORMCHECKBOX </w:instrText>
            </w:r>
            <w:r w:rsidR="00BE15B2">
              <w:rPr>
                <w:rFonts w:ascii="Arial Narrow" w:hAnsi="Arial Narrow"/>
                <w:sz w:val="20"/>
              </w:rPr>
            </w:r>
            <w:r w:rsidR="00BE15B2">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Midwives</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proofErr w:type="spellStart"/>
            <w:r w:rsidRPr="00BE46E1">
              <w:rPr>
                <w:rFonts w:ascii="Arial Narrow" w:hAnsi="Arial Narrow"/>
                <w:b/>
                <w:sz w:val="20"/>
              </w:rPr>
              <w:t>Episodicity</w:t>
            </w:r>
            <w:proofErr w:type="spellEnd"/>
            <w:r w:rsidRPr="00BE46E1">
              <w:rPr>
                <w:rFonts w:ascii="Arial Narrow" w:hAnsi="Arial Narrow"/>
                <w:b/>
                <w:sz w:val="20"/>
              </w:rPr>
              <w:t>:</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trike/>
                <w:sz w:val="20"/>
              </w:rPr>
            </w:pPr>
            <w:r w:rsidRPr="00BE46E1">
              <w:rPr>
                <w:rFonts w:ascii="Arial Narrow" w:hAnsi="Arial Narrow"/>
                <w:sz w:val="20"/>
              </w:rPr>
              <w:t>Refractory</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Severity:</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trike/>
                <w:sz w:val="20"/>
              </w:rPr>
            </w:pP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Condition:</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z w:val="20"/>
              </w:rPr>
            </w:pPr>
            <w:r w:rsidRPr="00BE46E1">
              <w:rPr>
                <w:rFonts w:ascii="Arial Narrow" w:hAnsi="Arial Narrow"/>
                <w:sz w:val="20"/>
              </w:rPr>
              <w:t>follicular B-cell non-Hodgkin’s lymphoma</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PBS Indication:</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z w:val="20"/>
              </w:rPr>
            </w:pPr>
            <w:r w:rsidRPr="00BE46E1">
              <w:rPr>
                <w:rFonts w:ascii="Arial Narrow" w:hAnsi="Arial Narrow"/>
                <w:sz w:val="20"/>
              </w:rPr>
              <w:t>Refractory follicular B-cell non-Hodgkin’s lymphoma</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Treatment phase:</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trike/>
                <w:sz w:val="20"/>
              </w:rPr>
            </w:pP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Restriction Level / Method:</w:t>
            </w:r>
          </w:p>
        </w:tc>
        <w:tc>
          <w:tcPr>
            <w:tcW w:w="6547" w:type="dxa"/>
            <w:gridSpan w:val="6"/>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sz w:val="20"/>
              </w:rPr>
            </w:pPr>
            <w:r w:rsidRPr="00BE46E1">
              <w:rPr>
                <w:rFonts w:ascii="Arial Narrow" w:hAnsi="Arial Narrow" w:cs="Arial"/>
                <w:sz w:val="20"/>
                <w:szCs w:val="20"/>
              </w:rPr>
              <w:fldChar w:fldCharType="begin">
                <w:ffData>
                  <w:name w:val="Check5"/>
                  <w:enabled/>
                  <w:calcOnExit w:val="0"/>
                  <w:checkBox>
                    <w:sizeAuto/>
                    <w:default w:val="1"/>
                  </w:checkBox>
                </w:ffData>
              </w:fldChar>
            </w:r>
            <w:bookmarkStart w:id="0" w:name="Check5"/>
            <w:r w:rsidRPr="00BE46E1">
              <w:rPr>
                <w:rFonts w:ascii="Arial Narrow" w:hAnsi="Arial Narrow"/>
                <w:sz w:val="20"/>
              </w:rPr>
              <w:instrText xml:space="preserve"> FORMCHECKBOX </w:instrText>
            </w:r>
            <w:r w:rsidR="00BE15B2">
              <w:rPr>
                <w:rFonts w:ascii="Arial Narrow" w:hAnsi="Arial Narrow" w:cs="Arial"/>
                <w:sz w:val="20"/>
                <w:szCs w:val="20"/>
              </w:rPr>
            </w:r>
            <w:r w:rsidR="00BE15B2">
              <w:rPr>
                <w:rFonts w:ascii="Arial Narrow" w:hAnsi="Arial Narrow" w:cs="Arial"/>
                <w:sz w:val="20"/>
                <w:szCs w:val="20"/>
              </w:rPr>
              <w:fldChar w:fldCharType="separate"/>
            </w:r>
            <w:r w:rsidRPr="00BE46E1">
              <w:rPr>
                <w:rFonts w:ascii="Arial Narrow" w:hAnsi="Arial Narrow"/>
                <w:sz w:val="20"/>
              </w:rPr>
              <w:fldChar w:fldCharType="end"/>
            </w:r>
            <w:bookmarkEnd w:id="0"/>
            <w:r w:rsidR="00E036FB" w:rsidRPr="00BE46E1">
              <w:rPr>
                <w:rFonts w:ascii="Arial Narrow" w:hAnsi="Arial Narrow"/>
                <w:sz w:val="20"/>
              </w:rPr>
              <w:t xml:space="preserve"> Authority Required - Telephone</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Treatment criteria:</w:t>
            </w:r>
          </w:p>
        </w:tc>
        <w:tc>
          <w:tcPr>
            <w:tcW w:w="6547" w:type="dxa"/>
            <w:gridSpan w:val="6"/>
            <w:tcBorders>
              <w:top w:val="single" w:sz="4" w:space="0" w:color="auto"/>
              <w:left w:val="single" w:sz="4" w:space="0" w:color="auto"/>
              <w:bottom w:val="single" w:sz="4" w:space="0" w:color="auto"/>
              <w:right w:val="single" w:sz="4" w:space="0" w:color="auto"/>
            </w:tcBorders>
          </w:tcPr>
          <w:p w:rsidR="001C6795" w:rsidRPr="00BE46E1" w:rsidRDefault="001C6795" w:rsidP="00D377CE">
            <w:pPr>
              <w:rPr>
                <w:rFonts w:ascii="Arial Narrow" w:hAnsi="Arial Narrow"/>
                <w:sz w:val="20"/>
              </w:rPr>
            </w:pP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Clinical criteria:</w:t>
            </w:r>
          </w:p>
        </w:tc>
        <w:tc>
          <w:tcPr>
            <w:tcW w:w="6547" w:type="dxa"/>
            <w:gridSpan w:val="6"/>
            <w:tcBorders>
              <w:top w:val="single" w:sz="4" w:space="0" w:color="auto"/>
              <w:left w:val="single" w:sz="4" w:space="0" w:color="auto"/>
              <w:bottom w:val="single" w:sz="4" w:space="0" w:color="auto"/>
              <w:right w:val="single" w:sz="4" w:space="0" w:color="auto"/>
            </w:tcBorders>
          </w:tcPr>
          <w:p w:rsidR="001C6795" w:rsidRPr="00BE46E1" w:rsidRDefault="001C6795" w:rsidP="00217622">
            <w:pPr>
              <w:rPr>
                <w:rFonts w:ascii="Arial Narrow" w:hAnsi="Arial Narrow"/>
                <w:sz w:val="20"/>
              </w:rPr>
            </w:pPr>
            <w:r w:rsidRPr="00BE46E1">
              <w:rPr>
                <w:rFonts w:ascii="Arial Narrow" w:hAnsi="Arial Narrow"/>
                <w:sz w:val="20"/>
              </w:rPr>
              <w:t>The condition must be refractory to rituximab</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AND</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 xml:space="preserve">The condition must be refractory to an alkylating agent </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AND</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The treatment must be as monotherapy</w:t>
            </w:r>
          </w:p>
          <w:p w:rsidR="001C6795" w:rsidRPr="00BE46E1" w:rsidRDefault="001C6795" w:rsidP="00217622">
            <w:pPr>
              <w:rPr>
                <w:rFonts w:ascii="Arial Narrow" w:hAnsi="Arial Narrow"/>
                <w:strike/>
                <w:sz w:val="20"/>
              </w:rPr>
            </w:pP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tcPr>
          <w:p w:rsidR="001C6795" w:rsidRPr="00BE46E1" w:rsidRDefault="001C6795" w:rsidP="00217622">
            <w:pPr>
              <w:rPr>
                <w:rFonts w:ascii="Arial Narrow" w:hAnsi="Arial Narrow"/>
                <w:b/>
                <w:sz w:val="20"/>
              </w:rPr>
            </w:pPr>
            <w:r w:rsidRPr="00BE46E1">
              <w:rPr>
                <w:rFonts w:ascii="Arial Narrow" w:hAnsi="Arial Narrow"/>
                <w:b/>
                <w:sz w:val="20"/>
              </w:rPr>
              <w:lastRenderedPageBreak/>
              <w:t>Prescriber Instructions</w:t>
            </w:r>
          </w:p>
          <w:p w:rsidR="001C6795" w:rsidRPr="00BE46E1" w:rsidRDefault="001C6795" w:rsidP="00217622">
            <w:pPr>
              <w:rPr>
                <w:rFonts w:ascii="Arial Narrow" w:hAnsi="Arial Narrow"/>
                <w:sz w:val="20"/>
              </w:rPr>
            </w:pPr>
          </w:p>
        </w:tc>
        <w:tc>
          <w:tcPr>
            <w:tcW w:w="6547" w:type="dxa"/>
            <w:gridSpan w:val="6"/>
            <w:tcBorders>
              <w:top w:val="single" w:sz="4" w:space="0" w:color="auto"/>
              <w:left w:val="single" w:sz="4" w:space="0" w:color="auto"/>
              <w:bottom w:val="single" w:sz="4" w:space="0" w:color="auto"/>
              <w:right w:val="single" w:sz="4" w:space="0" w:color="auto"/>
            </w:tcBorders>
          </w:tcPr>
          <w:p w:rsidR="001C6795" w:rsidRPr="00BE46E1" w:rsidRDefault="001C6795" w:rsidP="00217622">
            <w:pPr>
              <w:rPr>
                <w:rFonts w:ascii="Arial Narrow" w:hAnsi="Arial Narrow"/>
                <w:sz w:val="20"/>
              </w:rPr>
            </w:pPr>
            <w:r w:rsidRPr="00BE46E1">
              <w:rPr>
                <w:rFonts w:ascii="Arial Narrow" w:hAnsi="Arial Narrow"/>
                <w:sz w:val="20"/>
              </w:rPr>
              <w:t xml:space="preserve">A patient who has progressive disease when treated with this drug is no longer eligible for PBS-subsidised treatment with this drug. </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 xml:space="preserve">The condition is considered refractory to both rituximab and an alkylating agent if the agents were administered together or in successive treatment regimens. </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 xml:space="preserve">The condition is considered refractory if the patient experiences less than a partial response or progression of disease within 6 months after completion of a prior therapy. </w:t>
            </w:r>
          </w:p>
        </w:tc>
      </w:tr>
      <w:tr w:rsidR="001C6795" w:rsidRPr="00BE46E1" w:rsidTr="00D377CE">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1C6795" w:rsidRPr="00BE46E1" w:rsidRDefault="001C6795" w:rsidP="00217622">
            <w:pPr>
              <w:rPr>
                <w:rFonts w:ascii="Arial Narrow" w:hAnsi="Arial Narrow"/>
                <w:b/>
                <w:sz w:val="20"/>
              </w:rPr>
            </w:pPr>
            <w:r w:rsidRPr="00BE46E1">
              <w:rPr>
                <w:rFonts w:ascii="Arial Narrow" w:hAnsi="Arial Narrow"/>
                <w:b/>
                <w:sz w:val="20"/>
              </w:rPr>
              <w:t>Administrative Advice</w:t>
            </w:r>
          </w:p>
        </w:tc>
        <w:tc>
          <w:tcPr>
            <w:tcW w:w="6547" w:type="dxa"/>
            <w:gridSpan w:val="6"/>
            <w:tcBorders>
              <w:top w:val="single" w:sz="4" w:space="0" w:color="auto"/>
              <w:left w:val="single" w:sz="4" w:space="0" w:color="auto"/>
              <w:bottom w:val="single" w:sz="4" w:space="0" w:color="auto"/>
              <w:right w:val="single" w:sz="4" w:space="0" w:color="auto"/>
            </w:tcBorders>
          </w:tcPr>
          <w:p w:rsidR="001C6795" w:rsidRPr="00BE46E1" w:rsidRDefault="001C6795" w:rsidP="00217622">
            <w:pPr>
              <w:rPr>
                <w:rFonts w:ascii="Arial Narrow" w:hAnsi="Arial Narrow"/>
                <w:sz w:val="20"/>
              </w:rPr>
            </w:pPr>
            <w:r w:rsidRPr="00BE46E1">
              <w:rPr>
                <w:rFonts w:ascii="Arial Narrow" w:hAnsi="Arial Narrow"/>
                <w:sz w:val="20"/>
              </w:rPr>
              <w:t xml:space="preserve">No increase in the maximum quantity or number of units may be authorised. </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 xml:space="preserve">No increase in the maximum number of repeats may be authorised. </w:t>
            </w:r>
          </w:p>
          <w:p w:rsidR="001C6795" w:rsidRPr="00BE46E1" w:rsidRDefault="001C6795" w:rsidP="00217622">
            <w:pPr>
              <w:rPr>
                <w:rFonts w:ascii="Arial Narrow" w:hAnsi="Arial Narrow"/>
                <w:sz w:val="20"/>
              </w:rPr>
            </w:pPr>
          </w:p>
          <w:p w:rsidR="001C6795" w:rsidRPr="00BE46E1" w:rsidRDefault="001C6795" w:rsidP="00217622">
            <w:pPr>
              <w:rPr>
                <w:rFonts w:ascii="Arial Narrow" w:hAnsi="Arial Narrow"/>
                <w:sz w:val="20"/>
              </w:rPr>
            </w:pPr>
            <w:r w:rsidRPr="00BE46E1">
              <w:rPr>
                <w:rFonts w:ascii="Arial Narrow" w:hAnsi="Arial Narrow"/>
                <w:sz w:val="20"/>
              </w:rPr>
              <w:t>Special Pricing Arrangements apply.</w:t>
            </w:r>
          </w:p>
        </w:tc>
      </w:tr>
    </w:tbl>
    <w:p w:rsidR="00803C8A" w:rsidRDefault="00803C8A" w:rsidP="005C7DEA">
      <w:pPr>
        <w:tabs>
          <w:tab w:val="left" w:pos="7377"/>
        </w:tabs>
        <w:jc w:val="both"/>
        <w:rPr>
          <w:rFonts w:ascii="Arial" w:hAnsi="Arial" w:cs="Arial"/>
          <w:i/>
          <w:sz w:val="22"/>
          <w:szCs w:val="22"/>
        </w:rPr>
      </w:pPr>
    </w:p>
    <w:p w:rsidR="00803C8A" w:rsidRPr="00D1455A" w:rsidRDefault="00803C8A" w:rsidP="00803C8A">
      <w:pPr>
        <w:pStyle w:val="ListParagraph"/>
        <w:jc w:val="both"/>
        <w:rPr>
          <w:rFonts w:ascii="Arial" w:hAnsi="Arial"/>
          <w:b/>
          <w:i/>
          <w:sz w:val="22"/>
          <w:szCs w:val="22"/>
        </w:rPr>
      </w:pPr>
    </w:p>
    <w:p w:rsidR="00803C8A" w:rsidRPr="003452D0" w:rsidRDefault="00803C8A" w:rsidP="00803C8A">
      <w:pPr>
        <w:pStyle w:val="ListParagraph"/>
        <w:numPr>
          <w:ilvl w:val="1"/>
          <w:numId w:val="1"/>
        </w:numPr>
        <w:jc w:val="both"/>
        <w:rPr>
          <w:rFonts w:ascii="Arial" w:hAnsi="Arial" w:cs="Arial"/>
          <w:i/>
          <w:sz w:val="22"/>
          <w:szCs w:val="22"/>
        </w:rPr>
      </w:pPr>
      <w:r>
        <w:rPr>
          <w:rFonts w:ascii="Arial" w:hAnsi="Arial" w:cs="Arial"/>
          <w:sz w:val="22"/>
          <w:szCs w:val="22"/>
        </w:rPr>
        <w:t xml:space="preserve">At the </w:t>
      </w:r>
      <w:r w:rsidRPr="002B5C9C">
        <w:rPr>
          <w:rFonts w:ascii="Arial" w:hAnsi="Arial" w:cs="Arial"/>
          <w:sz w:val="22"/>
          <w:szCs w:val="22"/>
        </w:rPr>
        <w:t>November</w:t>
      </w:r>
      <w:r>
        <w:rPr>
          <w:rFonts w:ascii="Arial" w:hAnsi="Arial" w:cs="Arial"/>
          <w:sz w:val="22"/>
          <w:szCs w:val="22"/>
        </w:rPr>
        <w:t xml:space="preserve"> 2015 meeting, the</w:t>
      </w:r>
      <w:r w:rsidRPr="002B5C9C">
        <w:rPr>
          <w:rFonts w:ascii="Arial" w:hAnsi="Arial" w:cs="Arial"/>
          <w:sz w:val="22"/>
          <w:szCs w:val="22"/>
        </w:rPr>
        <w:t xml:space="preserve"> PBAC accepted the restriction as proposed by the Secretariat, but considered that a telephone authority would be more appropriate than a streamlined authority. The PBAC considered that leakage into </w:t>
      </w:r>
      <w:proofErr w:type="spellStart"/>
      <w:r w:rsidRPr="002B5C9C">
        <w:rPr>
          <w:rFonts w:ascii="Arial" w:hAnsi="Arial" w:cs="Arial"/>
          <w:sz w:val="22"/>
          <w:szCs w:val="22"/>
        </w:rPr>
        <w:t>Waldenstrom's</w:t>
      </w:r>
      <w:proofErr w:type="spellEnd"/>
      <w:r w:rsidRPr="002B5C9C">
        <w:rPr>
          <w:rFonts w:ascii="Arial" w:hAnsi="Arial" w:cs="Arial"/>
          <w:sz w:val="22"/>
          <w:szCs w:val="22"/>
        </w:rPr>
        <w:t xml:space="preserve"> </w:t>
      </w:r>
      <w:proofErr w:type="spellStart"/>
      <w:r w:rsidRPr="002B5C9C">
        <w:rPr>
          <w:rFonts w:ascii="Arial" w:hAnsi="Arial" w:cs="Arial"/>
          <w:sz w:val="22"/>
          <w:szCs w:val="22"/>
        </w:rPr>
        <w:t>Macroglobulinemia</w:t>
      </w:r>
      <w:proofErr w:type="spellEnd"/>
      <w:r w:rsidRPr="002B5C9C">
        <w:rPr>
          <w:rFonts w:ascii="Arial" w:hAnsi="Arial" w:cs="Arial"/>
          <w:sz w:val="22"/>
          <w:szCs w:val="22"/>
        </w:rPr>
        <w:t xml:space="preserve"> was likely.</w:t>
      </w:r>
      <w:r>
        <w:rPr>
          <w:rFonts w:ascii="Arial" w:hAnsi="Arial" w:cs="Arial"/>
          <w:sz w:val="22"/>
          <w:szCs w:val="22"/>
        </w:rPr>
        <w:t xml:space="preserve"> In this minor</w:t>
      </w:r>
      <w:r w:rsidR="000C377D">
        <w:rPr>
          <w:rFonts w:ascii="Arial" w:hAnsi="Arial" w:cs="Arial"/>
          <w:sz w:val="22"/>
          <w:szCs w:val="22"/>
        </w:rPr>
        <w:t xml:space="preserve"> re</w:t>
      </w:r>
      <w:r>
        <w:rPr>
          <w:rFonts w:ascii="Arial" w:hAnsi="Arial" w:cs="Arial"/>
          <w:sz w:val="22"/>
          <w:szCs w:val="22"/>
        </w:rPr>
        <w:t xml:space="preserve">submission, the sponsor did not object to the implementation of a telephone authority and the restriction was updated accordingly. </w:t>
      </w:r>
    </w:p>
    <w:p w:rsidR="00803C8A" w:rsidRDefault="00803C8A" w:rsidP="00803C8A">
      <w:pPr>
        <w:ind w:left="720" w:hanging="720"/>
        <w:jc w:val="both"/>
        <w:rPr>
          <w:rFonts w:ascii="Arial" w:hAnsi="Arial" w:cs="Arial"/>
          <w:sz w:val="22"/>
          <w:szCs w:val="22"/>
        </w:rPr>
      </w:pPr>
    </w:p>
    <w:p w:rsidR="009301D7" w:rsidRPr="005C7DEA" w:rsidRDefault="005C10B1" w:rsidP="005C10B1">
      <w:pPr>
        <w:tabs>
          <w:tab w:val="left" w:pos="7377"/>
        </w:tabs>
        <w:ind w:left="720" w:hanging="11"/>
        <w:jc w:val="both"/>
        <w:rPr>
          <w:rFonts w:ascii="Arial" w:hAnsi="Arial" w:cs="Arial"/>
          <w:i/>
          <w:sz w:val="22"/>
          <w:szCs w:val="22"/>
        </w:rPr>
      </w:pPr>
      <w:r w:rsidRPr="00521894">
        <w:rPr>
          <w:rFonts w:ascii="Arial" w:hAnsi="Arial" w:cs="Arial"/>
          <w:i/>
          <w:sz w:val="22"/>
          <w:szCs w:val="22"/>
        </w:rPr>
        <w:t xml:space="preserve">For more detail on PBAC’s view, see section </w:t>
      </w:r>
      <w:r w:rsidR="00497E2B">
        <w:rPr>
          <w:rFonts w:ascii="Arial" w:hAnsi="Arial" w:cs="Arial"/>
          <w:i/>
          <w:sz w:val="22"/>
          <w:szCs w:val="22"/>
        </w:rPr>
        <w:t>5</w:t>
      </w:r>
      <w:r w:rsidRPr="00521894">
        <w:rPr>
          <w:rFonts w:ascii="Arial" w:hAnsi="Arial" w:cs="Arial"/>
          <w:i/>
          <w:sz w:val="22"/>
          <w:szCs w:val="22"/>
        </w:rPr>
        <w:t xml:space="preserve"> “PBAC outcome”</w:t>
      </w:r>
    </w:p>
    <w:p w:rsidR="00BE46E1" w:rsidRPr="00BE46E1" w:rsidRDefault="00BE46E1" w:rsidP="0090140A">
      <w:pPr>
        <w:jc w:val="both"/>
        <w:rPr>
          <w:rFonts w:ascii="Arial" w:hAnsi="Arial"/>
          <w:sz w:val="22"/>
          <w:szCs w:val="22"/>
        </w:rPr>
      </w:pPr>
    </w:p>
    <w:p w:rsidR="00C837B1" w:rsidRPr="00BE46E1" w:rsidRDefault="00C837B1" w:rsidP="00411546">
      <w:pPr>
        <w:pStyle w:val="Heading1"/>
      </w:pPr>
      <w:r w:rsidRPr="00BE46E1">
        <w:t>Background</w:t>
      </w:r>
    </w:p>
    <w:p w:rsidR="00C837B1" w:rsidRPr="00BE46E1" w:rsidRDefault="00C837B1" w:rsidP="00C837B1">
      <w:pPr>
        <w:jc w:val="both"/>
        <w:rPr>
          <w:rFonts w:ascii="Arial" w:hAnsi="Arial"/>
          <w:sz w:val="22"/>
          <w:szCs w:val="22"/>
        </w:rPr>
      </w:pPr>
    </w:p>
    <w:p w:rsidR="00C837B1" w:rsidRPr="00BE46E1" w:rsidRDefault="00C837B1" w:rsidP="0089657F">
      <w:pPr>
        <w:pStyle w:val="ListParagraph"/>
        <w:numPr>
          <w:ilvl w:val="1"/>
          <w:numId w:val="1"/>
        </w:numPr>
        <w:jc w:val="both"/>
        <w:rPr>
          <w:rFonts w:ascii="Arial" w:hAnsi="Arial"/>
          <w:sz w:val="22"/>
          <w:szCs w:val="22"/>
        </w:rPr>
      </w:pPr>
      <w:proofErr w:type="spellStart"/>
      <w:r w:rsidRPr="00BE46E1">
        <w:rPr>
          <w:rFonts w:ascii="Arial" w:hAnsi="Arial"/>
          <w:sz w:val="22"/>
          <w:szCs w:val="22"/>
        </w:rPr>
        <w:t>Idelalisib</w:t>
      </w:r>
      <w:proofErr w:type="spellEnd"/>
      <w:r w:rsidRPr="00BE46E1">
        <w:rPr>
          <w:rFonts w:ascii="Arial" w:hAnsi="Arial"/>
          <w:sz w:val="22"/>
          <w:szCs w:val="22"/>
        </w:rPr>
        <w:t xml:space="preserve"> was TGA registered on 9 February 2015 as monotherapy for the treatment of patients with refractory follicular lymphoma, who have received at least two prior systemic therapies. </w:t>
      </w:r>
    </w:p>
    <w:p w:rsidR="00C837B1" w:rsidRPr="00BE46E1" w:rsidRDefault="00C837B1" w:rsidP="00C837B1">
      <w:pPr>
        <w:pStyle w:val="ListParagraph"/>
        <w:jc w:val="both"/>
        <w:rPr>
          <w:rFonts w:ascii="Arial" w:hAnsi="Arial"/>
          <w:sz w:val="22"/>
          <w:szCs w:val="22"/>
        </w:rPr>
      </w:pPr>
    </w:p>
    <w:p w:rsidR="00C837B1" w:rsidRPr="00BE46E1" w:rsidRDefault="00C837B1" w:rsidP="0089657F">
      <w:pPr>
        <w:pStyle w:val="ListParagraph"/>
        <w:numPr>
          <w:ilvl w:val="1"/>
          <w:numId w:val="1"/>
        </w:numPr>
        <w:jc w:val="both"/>
        <w:rPr>
          <w:rFonts w:ascii="Arial" w:hAnsi="Arial"/>
          <w:sz w:val="22"/>
          <w:szCs w:val="22"/>
        </w:rPr>
      </w:pPr>
      <w:r w:rsidRPr="00BE46E1">
        <w:rPr>
          <w:rFonts w:ascii="Arial" w:hAnsi="Arial"/>
          <w:sz w:val="22"/>
          <w:szCs w:val="22"/>
        </w:rPr>
        <w:t>This item was previously considered at the</w:t>
      </w:r>
      <w:r w:rsidR="00D02257" w:rsidRPr="00BE46E1">
        <w:rPr>
          <w:rFonts w:ascii="Arial" w:hAnsi="Arial"/>
          <w:sz w:val="22"/>
          <w:szCs w:val="22"/>
        </w:rPr>
        <w:t xml:space="preserve"> March 2015 and</w:t>
      </w:r>
      <w:r w:rsidRPr="00BE46E1">
        <w:rPr>
          <w:rFonts w:ascii="Arial" w:hAnsi="Arial"/>
          <w:sz w:val="22"/>
          <w:szCs w:val="22"/>
        </w:rPr>
        <w:t xml:space="preserve"> November 2015 PBAC meeting.</w:t>
      </w:r>
    </w:p>
    <w:p w:rsidR="002B0412" w:rsidRPr="00BE46E1" w:rsidRDefault="002B0412" w:rsidP="002B0412">
      <w:pPr>
        <w:pStyle w:val="ListParagraph"/>
        <w:rPr>
          <w:rFonts w:ascii="Arial" w:hAnsi="Arial"/>
          <w:sz w:val="22"/>
          <w:szCs w:val="22"/>
        </w:rPr>
      </w:pPr>
    </w:p>
    <w:p w:rsidR="002B0412" w:rsidRPr="00BE46E1" w:rsidRDefault="002B0412" w:rsidP="0089657F">
      <w:pPr>
        <w:pStyle w:val="ListParagraph"/>
        <w:numPr>
          <w:ilvl w:val="1"/>
          <w:numId w:val="1"/>
        </w:numPr>
        <w:jc w:val="both"/>
        <w:rPr>
          <w:rFonts w:ascii="Arial" w:hAnsi="Arial"/>
          <w:sz w:val="22"/>
          <w:szCs w:val="22"/>
        </w:rPr>
      </w:pPr>
      <w:r w:rsidRPr="00BE46E1">
        <w:rPr>
          <w:rFonts w:ascii="Arial" w:hAnsi="Arial"/>
          <w:sz w:val="22"/>
          <w:szCs w:val="22"/>
        </w:rPr>
        <w:t xml:space="preserve">The November 2015 PBAC deferred its decision for listing </w:t>
      </w:r>
      <w:proofErr w:type="spellStart"/>
      <w:r w:rsidRPr="00BE46E1">
        <w:rPr>
          <w:rFonts w:ascii="Arial" w:hAnsi="Arial"/>
          <w:sz w:val="22"/>
          <w:szCs w:val="22"/>
        </w:rPr>
        <w:t>idelalisib</w:t>
      </w:r>
      <w:proofErr w:type="spellEnd"/>
      <w:r w:rsidRPr="00BE46E1">
        <w:rPr>
          <w:rFonts w:ascii="Arial" w:hAnsi="Arial"/>
          <w:sz w:val="22"/>
          <w:szCs w:val="22"/>
        </w:rPr>
        <w:t xml:space="preserve"> as it was considered to not be cost-effective at the price proposed.</w:t>
      </w:r>
    </w:p>
    <w:p w:rsidR="009557D8" w:rsidRPr="00BE46E1" w:rsidRDefault="009557D8" w:rsidP="00D02257">
      <w:pPr>
        <w:jc w:val="both"/>
        <w:rPr>
          <w:rFonts w:ascii="Arial" w:hAnsi="Arial"/>
          <w:sz w:val="22"/>
          <w:szCs w:val="22"/>
        </w:rPr>
      </w:pPr>
    </w:p>
    <w:p w:rsidR="00D377CE" w:rsidRPr="00BE46E1" w:rsidRDefault="00D377CE" w:rsidP="00826F6D">
      <w:pPr>
        <w:pStyle w:val="ListParagraph"/>
        <w:jc w:val="both"/>
        <w:rPr>
          <w:rFonts w:ascii="Arial Narrow" w:hAnsi="Arial Narrow"/>
          <w:b/>
          <w:sz w:val="20"/>
          <w:szCs w:val="22"/>
        </w:rPr>
      </w:pPr>
      <w:r w:rsidRPr="00BE46E1">
        <w:rPr>
          <w:rFonts w:ascii="Arial Narrow" w:hAnsi="Arial Narrow"/>
          <w:b/>
          <w:sz w:val="20"/>
          <w:szCs w:val="22"/>
        </w:rPr>
        <w:t xml:space="preserve">Table 1: </w:t>
      </w:r>
      <w:r w:rsidR="0075793D" w:rsidRPr="00BE46E1">
        <w:rPr>
          <w:rFonts w:ascii="Arial Narrow" w:hAnsi="Arial Narrow"/>
          <w:b/>
          <w:sz w:val="20"/>
          <w:szCs w:val="22"/>
        </w:rPr>
        <w:t>Summary of previous submission and current resubmission:</w:t>
      </w:r>
    </w:p>
    <w:tbl>
      <w:tblPr>
        <w:tblStyle w:val="TableGrid"/>
        <w:tblW w:w="8080" w:type="dxa"/>
        <w:tblInd w:w="817" w:type="dxa"/>
        <w:tblLayout w:type="fixed"/>
        <w:tblLook w:val="04A0" w:firstRow="1" w:lastRow="0" w:firstColumn="1" w:lastColumn="0" w:noHBand="0" w:noVBand="1"/>
        <w:tblCaption w:val="Summary of previous submission and current resubmission:"/>
      </w:tblPr>
      <w:tblGrid>
        <w:gridCol w:w="1134"/>
        <w:gridCol w:w="3402"/>
        <w:gridCol w:w="3544"/>
      </w:tblGrid>
      <w:tr w:rsidR="0075793D" w:rsidRPr="00BE46E1" w:rsidTr="00A409A2">
        <w:trPr>
          <w:tblHeader/>
        </w:trPr>
        <w:tc>
          <w:tcPr>
            <w:tcW w:w="1134" w:type="dxa"/>
          </w:tcPr>
          <w:p w:rsidR="0075793D" w:rsidRPr="00BE46E1" w:rsidRDefault="0075793D" w:rsidP="00D377CE">
            <w:pPr>
              <w:jc w:val="both"/>
              <w:rPr>
                <w:rFonts w:ascii="Arial Narrow" w:hAnsi="Arial Narrow"/>
                <w:sz w:val="20"/>
                <w:szCs w:val="20"/>
              </w:rPr>
            </w:pPr>
          </w:p>
        </w:tc>
        <w:tc>
          <w:tcPr>
            <w:tcW w:w="3402" w:type="dxa"/>
          </w:tcPr>
          <w:p w:rsidR="0075793D" w:rsidRPr="00BE46E1" w:rsidRDefault="0075793D" w:rsidP="0075793D">
            <w:pPr>
              <w:jc w:val="center"/>
              <w:rPr>
                <w:rFonts w:ascii="Arial Narrow" w:hAnsi="Arial Narrow"/>
                <w:b/>
                <w:sz w:val="20"/>
                <w:szCs w:val="20"/>
              </w:rPr>
            </w:pPr>
            <w:proofErr w:type="spellStart"/>
            <w:r w:rsidRPr="00BE46E1">
              <w:rPr>
                <w:rFonts w:ascii="Arial Narrow" w:hAnsi="Arial Narrow"/>
                <w:b/>
                <w:sz w:val="20"/>
                <w:szCs w:val="20"/>
              </w:rPr>
              <w:t>Idelalisib</w:t>
            </w:r>
            <w:proofErr w:type="spellEnd"/>
            <w:r w:rsidRPr="00BE46E1">
              <w:rPr>
                <w:rFonts w:ascii="Arial Narrow" w:hAnsi="Arial Narrow"/>
                <w:b/>
                <w:sz w:val="20"/>
                <w:szCs w:val="20"/>
              </w:rPr>
              <w:t>, November 2015</w:t>
            </w:r>
            <w:r w:rsidR="000E2972" w:rsidRPr="00BE46E1">
              <w:rPr>
                <w:rFonts w:ascii="Arial Narrow" w:hAnsi="Arial Narrow"/>
                <w:b/>
                <w:sz w:val="20"/>
                <w:szCs w:val="20"/>
              </w:rPr>
              <w:t>, recommendations</w:t>
            </w:r>
          </w:p>
        </w:tc>
        <w:tc>
          <w:tcPr>
            <w:tcW w:w="3544" w:type="dxa"/>
          </w:tcPr>
          <w:p w:rsidR="0075793D" w:rsidRPr="00BE46E1" w:rsidRDefault="00D47905" w:rsidP="00D47905">
            <w:pPr>
              <w:jc w:val="center"/>
              <w:rPr>
                <w:rFonts w:ascii="Arial Narrow" w:hAnsi="Arial Narrow"/>
                <w:b/>
                <w:sz w:val="20"/>
                <w:szCs w:val="20"/>
              </w:rPr>
            </w:pPr>
            <w:proofErr w:type="spellStart"/>
            <w:r w:rsidRPr="00BE46E1">
              <w:rPr>
                <w:rFonts w:ascii="Arial Narrow" w:hAnsi="Arial Narrow"/>
                <w:b/>
                <w:sz w:val="20"/>
                <w:szCs w:val="20"/>
              </w:rPr>
              <w:t>Idelalisib</w:t>
            </w:r>
            <w:proofErr w:type="spellEnd"/>
            <w:r w:rsidRPr="00BE46E1">
              <w:rPr>
                <w:rFonts w:ascii="Arial Narrow" w:hAnsi="Arial Narrow"/>
                <w:b/>
                <w:sz w:val="20"/>
                <w:szCs w:val="20"/>
              </w:rPr>
              <w:t>, March</w:t>
            </w:r>
            <w:r w:rsidR="0075793D" w:rsidRPr="00BE46E1">
              <w:rPr>
                <w:rFonts w:ascii="Arial Narrow" w:hAnsi="Arial Narrow"/>
                <w:b/>
                <w:sz w:val="20"/>
                <w:szCs w:val="20"/>
              </w:rPr>
              <w:t xml:space="preserve"> 201</w:t>
            </w:r>
            <w:r w:rsidRPr="00BE46E1">
              <w:rPr>
                <w:rFonts w:ascii="Arial Narrow" w:hAnsi="Arial Narrow"/>
                <w:b/>
                <w:sz w:val="20"/>
                <w:szCs w:val="20"/>
              </w:rPr>
              <w:t>6</w:t>
            </w:r>
            <w:r w:rsidR="000E2972" w:rsidRPr="00BE46E1">
              <w:rPr>
                <w:rFonts w:ascii="Arial Narrow" w:hAnsi="Arial Narrow"/>
                <w:b/>
                <w:sz w:val="20"/>
                <w:szCs w:val="20"/>
              </w:rPr>
              <w:t>,</w:t>
            </w:r>
          </w:p>
          <w:p w:rsidR="000E2972" w:rsidRPr="00BE46E1" w:rsidRDefault="000E2972" w:rsidP="00D47905">
            <w:pPr>
              <w:jc w:val="center"/>
              <w:rPr>
                <w:rFonts w:ascii="Arial Narrow" w:hAnsi="Arial Narrow"/>
                <w:sz w:val="20"/>
                <w:szCs w:val="20"/>
              </w:rPr>
            </w:pPr>
            <w:r w:rsidRPr="00BE46E1">
              <w:rPr>
                <w:rFonts w:ascii="Arial Narrow" w:hAnsi="Arial Narrow"/>
                <w:b/>
                <w:sz w:val="20"/>
                <w:szCs w:val="20"/>
              </w:rPr>
              <w:t>response</w:t>
            </w:r>
          </w:p>
        </w:tc>
      </w:tr>
      <w:tr w:rsidR="0075793D" w:rsidRPr="00BE46E1" w:rsidTr="00A677B9">
        <w:tc>
          <w:tcPr>
            <w:tcW w:w="1134" w:type="dxa"/>
          </w:tcPr>
          <w:p w:rsidR="0075793D" w:rsidRPr="00BE46E1" w:rsidRDefault="00D47905" w:rsidP="00D377CE">
            <w:pPr>
              <w:jc w:val="both"/>
              <w:rPr>
                <w:rFonts w:ascii="Arial Narrow" w:hAnsi="Arial Narrow"/>
                <w:sz w:val="20"/>
                <w:szCs w:val="20"/>
              </w:rPr>
            </w:pPr>
            <w:r w:rsidRPr="00BE46E1">
              <w:rPr>
                <w:rFonts w:ascii="Arial Narrow" w:hAnsi="Arial Narrow"/>
                <w:sz w:val="20"/>
                <w:szCs w:val="20"/>
              </w:rPr>
              <w:t>Requested Listing</w:t>
            </w:r>
          </w:p>
        </w:tc>
        <w:tc>
          <w:tcPr>
            <w:tcW w:w="3402" w:type="dxa"/>
          </w:tcPr>
          <w:p w:rsidR="0075793D" w:rsidRPr="00BE46E1" w:rsidRDefault="000E2972" w:rsidP="00D377CE">
            <w:pPr>
              <w:jc w:val="both"/>
              <w:rPr>
                <w:rFonts w:ascii="Arial Narrow" w:hAnsi="Arial Narrow"/>
                <w:sz w:val="20"/>
                <w:szCs w:val="20"/>
              </w:rPr>
            </w:pPr>
            <w:r w:rsidRPr="00BE46E1">
              <w:rPr>
                <w:rFonts w:ascii="Arial Narrow" w:hAnsi="Arial Narrow"/>
                <w:sz w:val="20"/>
                <w:szCs w:val="20"/>
              </w:rPr>
              <w:t xml:space="preserve">The PBAC accepted the restriction as proposed by the Secretariat, but considered that a telephone authority would be more appropriate than a streamlined authority. The PBAC considered that leakage into </w:t>
            </w:r>
            <w:proofErr w:type="spellStart"/>
            <w:r w:rsidRPr="00BE46E1">
              <w:rPr>
                <w:rFonts w:ascii="Arial Narrow" w:hAnsi="Arial Narrow"/>
                <w:sz w:val="20"/>
                <w:szCs w:val="20"/>
              </w:rPr>
              <w:t>Waldenstrom's</w:t>
            </w:r>
            <w:proofErr w:type="spellEnd"/>
            <w:r w:rsidRPr="00BE46E1">
              <w:rPr>
                <w:rFonts w:ascii="Arial Narrow" w:hAnsi="Arial Narrow"/>
                <w:sz w:val="20"/>
                <w:szCs w:val="20"/>
              </w:rPr>
              <w:t xml:space="preserve"> </w:t>
            </w:r>
            <w:proofErr w:type="spellStart"/>
            <w:r w:rsidRPr="00BE46E1">
              <w:rPr>
                <w:rFonts w:ascii="Arial Narrow" w:hAnsi="Arial Narrow"/>
                <w:sz w:val="20"/>
                <w:szCs w:val="20"/>
              </w:rPr>
              <w:t>Macroglobulinemia</w:t>
            </w:r>
            <w:proofErr w:type="spellEnd"/>
            <w:r w:rsidRPr="00BE46E1">
              <w:rPr>
                <w:rFonts w:ascii="Arial Narrow" w:hAnsi="Arial Narrow"/>
                <w:sz w:val="20"/>
                <w:szCs w:val="20"/>
              </w:rPr>
              <w:t xml:space="preserve"> was likely.</w:t>
            </w:r>
          </w:p>
        </w:tc>
        <w:tc>
          <w:tcPr>
            <w:tcW w:w="3544" w:type="dxa"/>
          </w:tcPr>
          <w:p w:rsidR="0075793D" w:rsidRPr="00BE46E1" w:rsidRDefault="000E2972" w:rsidP="00D377CE">
            <w:pPr>
              <w:jc w:val="both"/>
              <w:rPr>
                <w:rFonts w:ascii="Arial Narrow" w:hAnsi="Arial Narrow"/>
                <w:sz w:val="20"/>
                <w:szCs w:val="20"/>
              </w:rPr>
            </w:pPr>
            <w:r w:rsidRPr="00BE46E1">
              <w:rPr>
                <w:rFonts w:ascii="Arial Narrow" w:hAnsi="Arial Narrow"/>
                <w:sz w:val="20"/>
                <w:szCs w:val="20"/>
              </w:rPr>
              <w:t xml:space="preserve">The sponsor does not object to the implementation of a telephone authority. No comment was made regarding leakage into </w:t>
            </w:r>
            <w:proofErr w:type="spellStart"/>
            <w:r w:rsidRPr="00BE46E1">
              <w:rPr>
                <w:rFonts w:ascii="Arial Narrow" w:hAnsi="Arial Narrow"/>
                <w:sz w:val="20"/>
                <w:szCs w:val="20"/>
              </w:rPr>
              <w:t>Waldenstrom's</w:t>
            </w:r>
            <w:proofErr w:type="spellEnd"/>
            <w:r w:rsidRPr="00BE46E1">
              <w:rPr>
                <w:rFonts w:ascii="Arial Narrow" w:hAnsi="Arial Narrow"/>
                <w:sz w:val="20"/>
                <w:szCs w:val="20"/>
              </w:rPr>
              <w:t xml:space="preserve"> </w:t>
            </w:r>
            <w:proofErr w:type="spellStart"/>
            <w:r w:rsidRPr="00BE46E1">
              <w:rPr>
                <w:rFonts w:ascii="Arial Narrow" w:hAnsi="Arial Narrow"/>
                <w:sz w:val="20"/>
                <w:szCs w:val="20"/>
              </w:rPr>
              <w:t>Macroglobulinemia</w:t>
            </w:r>
            <w:proofErr w:type="spellEnd"/>
            <w:r w:rsidRPr="00BE46E1">
              <w:rPr>
                <w:rFonts w:ascii="Arial Narrow" w:hAnsi="Arial Narrow"/>
                <w:sz w:val="20"/>
                <w:szCs w:val="20"/>
              </w:rPr>
              <w:t>.</w:t>
            </w:r>
          </w:p>
        </w:tc>
      </w:tr>
      <w:tr w:rsidR="0075793D" w:rsidRPr="00BE46E1" w:rsidTr="00A677B9">
        <w:tc>
          <w:tcPr>
            <w:tcW w:w="1134" w:type="dxa"/>
          </w:tcPr>
          <w:p w:rsidR="0075793D" w:rsidRPr="00BE46E1" w:rsidRDefault="00D47905" w:rsidP="00D377CE">
            <w:pPr>
              <w:jc w:val="both"/>
              <w:rPr>
                <w:rFonts w:ascii="Arial Narrow" w:hAnsi="Arial Narrow"/>
                <w:sz w:val="20"/>
                <w:szCs w:val="20"/>
              </w:rPr>
            </w:pPr>
            <w:r w:rsidRPr="00BE46E1">
              <w:rPr>
                <w:rFonts w:ascii="Arial Narrow" w:hAnsi="Arial Narrow"/>
                <w:sz w:val="20"/>
                <w:szCs w:val="20"/>
              </w:rPr>
              <w:t>Requested Price</w:t>
            </w:r>
          </w:p>
        </w:tc>
        <w:tc>
          <w:tcPr>
            <w:tcW w:w="3402" w:type="dxa"/>
          </w:tcPr>
          <w:p w:rsidR="00C81593" w:rsidRDefault="00D32703" w:rsidP="00BE15B2">
            <w:pPr>
              <w:spacing w:after="1000"/>
              <w:jc w:val="both"/>
              <w:rPr>
                <w:rFonts w:ascii="Arial Narrow" w:hAnsi="Arial Narrow"/>
                <w:sz w:val="20"/>
                <w:szCs w:val="20"/>
              </w:rPr>
            </w:pPr>
            <w:r w:rsidRPr="00BE46E1">
              <w:rPr>
                <w:rFonts w:ascii="Arial Narrow" w:hAnsi="Arial Narrow"/>
                <w:sz w:val="20"/>
                <w:szCs w:val="20"/>
              </w:rPr>
              <w:t xml:space="preserve">The PBAC deferred its decision for listing </w:t>
            </w:r>
            <w:proofErr w:type="spellStart"/>
            <w:r w:rsidRPr="00BE46E1">
              <w:rPr>
                <w:rFonts w:ascii="Arial Narrow" w:hAnsi="Arial Narrow"/>
                <w:sz w:val="20"/>
                <w:szCs w:val="20"/>
              </w:rPr>
              <w:t>idelalisib</w:t>
            </w:r>
            <w:proofErr w:type="spellEnd"/>
            <w:r w:rsidRPr="00BE46E1">
              <w:rPr>
                <w:rFonts w:ascii="Arial Narrow" w:hAnsi="Arial Narrow"/>
                <w:sz w:val="20"/>
                <w:szCs w:val="20"/>
              </w:rPr>
              <w:t xml:space="preserve"> it was considered to be not cost-e</w:t>
            </w:r>
            <w:r w:rsidR="00BE15B2">
              <w:rPr>
                <w:rFonts w:ascii="Arial Narrow" w:hAnsi="Arial Narrow"/>
                <w:sz w:val="20"/>
                <w:szCs w:val="20"/>
              </w:rPr>
              <w:t>ffective at the price proposed.</w:t>
            </w:r>
            <w:bookmarkStart w:id="1" w:name="_GoBack"/>
            <w:bookmarkEnd w:id="1"/>
          </w:p>
          <w:p w:rsidR="00C81593" w:rsidRDefault="00C81593" w:rsidP="00D32703">
            <w:pPr>
              <w:jc w:val="both"/>
              <w:rPr>
                <w:rFonts w:ascii="Arial Narrow" w:hAnsi="Arial Narrow"/>
                <w:sz w:val="20"/>
                <w:szCs w:val="20"/>
              </w:rPr>
            </w:pPr>
          </w:p>
          <w:p w:rsidR="003D5555" w:rsidRPr="00BE46E1" w:rsidRDefault="003D5555" w:rsidP="00D32703">
            <w:pPr>
              <w:jc w:val="both"/>
              <w:rPr>
                <w:rFonts w:ascii="Arial Narrow" w:hAnsi="Arial Narrow"/>
                <w:sz w:val="20"/>
                <w:szCs w:val="20"/>
              </w:rPr>
            </w:pPr>
            <w:r w:rsidRPr="00BE46E1">
              <w:rPr>
                <w:rFonts w:ascii="Arial Narrow" w:hAnsi="Arial Narrow"/>
                <w:sz w:val="20"/>
                <w:szCs w:val="20"/>
              </w:rPr>
              <w:t>Previous requested price:</w:t>
            </w:r>
          </w:p>
          <w:p w:rsidR="003D5555" w:rsidRPr="00BE46E1" w:rsidRDefault="003D5555" w:rsidP="00D32703">
            <w:pPr>
              <w:jc w:val="both"/>
              <w:rPr>
                <w:rFonts w:ascii="Arial Narrow" w:hAnsi="Arial Narrow"/>
                <w:sz w:val="20"/>
                <w:szCs w:val="20"/>
              </w:rPr>
            </w:pPr>
          </w:p>
          <w:tbl>
            <w:tblPr>
              <w:tblStyle w:val="TableGrid"/>
              <w:tblW w:w="3264" w:type="dxa"/>
              <w:tblLayout w:type="fixed"/>
              <w:tblLook w:val="04A0" w:firstRow="1" w:lastRow="0" w:firstColumn="1" w:lastColumn="0" w:noHBand="0" w:noVBand="1"/>
              <w:tblCaption w:val="Effective DPMQ"/>
            </w:tblPr>
            <w:tblGrid>
              <w:gridCol w:w="1265"/>
              <w:gridCol w:w="1999"/>
            </w:tblGrid>
            <w:tr w:rsidR="004A1276" w:rsidRPr="00BE46E1" w:rsidTr="00A409A2">
              <w:trPr>
                <w:trHeight w:val="412"/>
                <w:tblHeader/>
              </w:trPr>
              <w:tc>
                <w:tcPr>
                  <w:tcW w:w="1265" w:type="dxa"/>
                </w:tcPr>
                <w:p w:rsidR="004A1276" w:rsidRPr="00BE46E1" w:rsidRDefault="004A1276" w:rsidP="004A1276">
                  <w:pPr>
                    <w:pStyle w:val="Table"/>
                    <w:jc w:val="center"/>
                    <w:rPr>
                      <w:rStyle w:val="SmallBold"/>
                      <w:rFonts w:ascii="Arial Narrow" w:hAnsi="Arial Narrow"/>
                      <w:szCs w:val="20"/>
                    </w:rPr>
                  </w:pPr>
                </w:p>
              </w:tc>
              <w:tc>
                <w:tcPr>
                  <w:tcW w:w="1999" w:type="dxa"/>
                </w:tcPr>
                <w:p w:rsidR="004A1276" w:rsidRPr="00BE46E1" w:rsidRDefault="004A1276" w:rsidP="004A1276">
                  <w:pPr>
                    <w:pStyle w:val="Table"/>
                    <w:jc w:val="center"/>
                    <w:rPr>
                      <w:rStyle w:val="SmallBold"/>
                      <w:rFonts w:ascii="Arial Narrow" w:hAnsi="Arial Narrow"/>
                      <w:szCs w:val="20"/>
                    </w:rPr>
                  </w:pPr>
                  <w:r w:rsidRPr="00BE46E1">
                    <w:rPr>
                      <w:rStyle w:val="SmallBold"/>
                      <w:rFonts w:ascii="Arial Narrow" w:hAnsi="Arial Narrow"/>
                      <w:szCs w:val="20"/>
                    </w:rPr>
                    <w:t>Effective DPMQ</w:t>
                  </w:r>
                </w:p>
              </w:tc>
            </w:tr>
            <w:tr w:rsidR="004A1276" w:rsidRPr="00BE46E1" w:rsidTr="001F2E42">
              <w:trPr>
                <w:trHeight w:val="858"/>
              </w:trPr>
              <w:tc>
                <w:tcPr>
                  <w:tcW w:w="1265" w:type="dxa"/>
                </w:tcPr>
                <w:p w:rsidR="004A1276" w:rsidRPr="00BE46E1" w:rsidRDefault="004A1276" w:rsidP="004A1276">
                  <w:pPr>
                    <w:pStyle w:val="Table"/>
                    <w:jc w:val="center"/>
                    <w:rPr>
                      <w:rFonts w:ascii="Arial Narrow" w:hAnsi="Arial Narrow"/>
                      <w:szCs w:val="20"/>
                    </w:rPr>
                  </w:pPr>
                  <w:r w:rsidRPr="00BE46E1">
                    <w:rPr>
                      <w:rFonts w:ascii="Arial Narrow" w:hAnsi="Arial Narrow"/>
                      <w:szCs w:val="20"/>
                    </w:rPr>
                    <w:t>Oral tablet  150mg/</w:t>
                  </w:r>
                </w:p>
                <w:p w:rsidR="004A1276" w:rsidRPr="00BE46E1" w:rsidRDefault="004A1276" w:rsidP="004A1276">
                  <w:pPr>
                    <w:pStyle w:val="Table"/>
                    <w:jc w:val="center"/>
                    <w:rPr>
                      <w:rFonts w:ascii="Arial Narrow" w:hAnsi="Arial Narrow"/>
                      <w:szCs w:val="20"/>
                    </w:rPr>
                  </w:pPr>
                  <w:r w:rsidRPr="00BE46E1">
                    <w:rPr>
                      <w:rFonts w:ascii="Arial Narrow" w:hAnsi="Arial Narrow"/>
                      <w:szCs w:val="20"/>
                    </w:rPr>
                    <w:t>100 mg</w:t>
                  </w:r>
                </w:p>
              </w:tc>
              <w:tc>
                <w:tcPr>
                  <w:tcW w:w="1999" w:type="dxa"/>
                </w:tcPr>
                <w:p w:rsidR="004A1276" w:rsidRPr="00BE46E1" w:rsidRDefault="004A1276" w:rsidP="004A1276">
                  <w:pPr>
                    <w:pStyle w:val="Table"/>
                    <w:jc w:val="center"/>
                    <w:rPr>
                      <w:rFonts w:ascii="Arial Narrow" w:hAnsi="Arial Narrow"/>
                      <w:szCs w:val="20"/>
                    </w:rPr>
                  </w:pPr>
                  <w:r w:rsidRPr="00BE46E1">
                    <w:rPr>
                      <w:rFonts w:ascii="Arial Narrow" w:hAnsi="Arial Narrow"/>
                      <w:szCs w:val="20"/>
                    </w:rPr>
                    <w:t>$</w:t>
                  </w:r>
                  <w:r w:rsidR="002C5C5C">
                    <w:rPr>
                      <w:rFonts w:ascii="Arial Narrow" w:hAnsi="Arial Narrow"/>
                      <w:noProof/>
                      <w:color w:val="000000"/>
                      <w:szCs w:val="20"/>
                      <w:highlight w:val="black"/>
                    </w:rPr>
                    <w:t>'''''''''''''''''''''</w:t>
                  </w:r>
                </w:p>
              </w:tc>
            </w:tr>
          </w:tbl>
          <w:p w:rsidR="003D5555" w:rsidRPr="00BE46E1" w:rsidRDefault="003D5555" w:rsidP="00D32703">
            <w:pPr>
              <w:jc w:val="both"/>
              <w:rPr>
                <w:rFonts w:ascii="Arial Narrow" w:hAnsi="Arial Narrow"/>
                <w:sz w:val="20"/>
                <w:szCs w:val="20"/>
              </w:rPr>
            </w:pPr>
          </w:p>
        </w:tc>
        <w:tc>
          <w:tcPr>
            <w:tcW w:w="3544" w:type="dxa"/>
          </w:tcPr>
          <w:p w:rsidR="00BA266B" w:rsidRPr="00BE46E1" w:rsidRDefault="0018468B" w:rsidP="00BA266B">
            <w:pPr>
              <w:pStyle w:val="NoSpacing"/>
              <w:rPr>
                <w:rFonts w:ascii="Arial Narrow" w:hAnsi="Arial Narrow"/>
                <w:sz w:val="20"/>
                <w:szCs w:val="20"/>
              </w:rPr>
            </w:pPr>
            <w:r>
              <w:rPr>
                <w:rFonts w:ascii="Arial Narrow" w:hAnsi="Arial Narrow"/>
                <w:sz w:val="20"/>
                <w:szCs w:val="20"/>
              </w:rPr>
              <w:lastRenderedPageBreak/>
              <w:t>In the resubmission, t</w:t>
            </w:r>
            <w:r w:rsidR="00233062" w:rsidRPr="00BE46E1">
              <w:rPr>
                <w:rFonts w:ascii="Arial Narrow" w:hAnsi="Arial Narrow"/>
                <w:sz w:val="20"/>
                <w:szCs w:val="20"/>
              </w:rPr>
              <w:t xml:space="preserve">he sponsor </w:t>
            </w:r>
            <w:r w:rsidRPr="00BE46E1">
              <w:rPr>
                <w:rFonts w:ascii="Arial Narrow" w:hAnsi="Arial Narrow"/>
                <w:sz w:val="20"/>
                <w:szCs w:val="20"/>
              </w:rPr>
              <w:t>propose</w:t>
            </w:r>
            <w:r>
              <w:rPr>
                <w:rFonts w:ascii="Arial Narrow" w:hAnsi="Arial Narrow"/>
                <w:sz w:val="20"/>
                <w:szCs w:val="20"/>
              </w:rPr>
              <w:t>d</w:t>
            </w:r>
            <w:r w:rsidRPr="00BE46E1">
              <w:rPr>
                <w:rFonts w:ascii="Arial Narrow" w:hAnsi="Arial Narrow"/>
                <w:sz w:val="20"/>
                <w:szCs w:val="20"/>
              </w:rPr>
              <w:t xml:space="preserve"> </w:t>
            </w:r>
            <w:r>
              <w:rPr>
                <w:rFonts w:ascii="Arial Narrow" w:hAnsi="Arial Narrow"/>
                <w:sz w:val="20"/>
                <w:szCs w:val="20"/>
              </w:rPr>
              <w:t xml:space="preserve">an effective price of </w:t>
            </w:r>
            <w:r w:rsidRPr="0018468B">
              <w:rPr>
                <w:rFonts w:ascii="Arial Narrow" w:hAnsi="Arial Narrow"/>
                <w:sz w:val="20"/>
                <w:szCs w:val="20"/>
              </w:rPr>
              <w:t>$</w:t>
            </w:r>
            <w:r w:rsidR="002C5C5C">
              <w:rPr>
                <w:rFonts w:ascii="Arial Narrow" w:hAnsi="Arial Narrow"/>
                <w:noProof/>
                <w:color w:val="000000"/>
                <w:sz w:val="20"/>
                <w:szCs w:val="20"/>
                <w:highlight w:val="black"/>
              </w:rPr>
              <w:t>''''''''''''''''''''</w:t>
            </w:r>
            <w:r w:rsidR="00631EFB" w:rsidRPr="00BE46E1">
              <w:rPr>
                <w:rFonts w:ascii="Arial Narrow" w:hAnsi="Arial Narrow"/>
                <w:sz w:val="20"/>
                <w:szCs w:val="20"/>
              </w:rPr>
              <w:t xml:space="preserve">, requesting a </w:t>
            </w:r>
            <w:r w:rsidR="002C5C5C">
              <w:rPr>
                <w:rFonts w:ascii="Arial Narrow" w:hAnsi="Arial Narrow"/>
                <w:noProof/>
                <w:color w:val="000000"/>
                <w:sz w:val="20"/>
                <w:szCs w:val="20"/>
                <w:highlight w:val="black"/>
              </w:rPr>
              <w:t>''''''</w:t>
            </w:r>
            <w:r w:rsidR="00631EFB" w:rsidRPr="00BE46E1">
              <w:rPr>
                <w:rFonts w:ascii="Arial Narrow" w:hAnsi="Arial Narrow"/>
                <w:sz w:val="20"/>
                <w:szCs w:val="20"/>
              </w:rPr>
              <w:t>% reduction of the proposed published price</w:t>
            </w:r>
            <w:r w:rsidR="000D46FA" w:rsidRPr="00BE46E1">
              <w:rPr>
                <w:rFonts w:ascii="Arial Narrow" w:hAnsi="Arial Narrow"/>
                <w:sz w:val="20"/>
                <w:szCs w:val="20"/>
              </w:rPr>
              <w:t xml:space="preserve"> ($</w:t>
            </w:r>
            <w:r w:rsidR="002C5C5C">
              <w:rPr>
                <w:rFonts w:ascii="Arial Narrow" w:hAnsi="Arial Narrow"/>
                <w:noProof/>
                <w:color w:val="000000"/>
                <w:sz w:val="20"/>
                <w:szCs w:val="20"/>
                <w:highlight w:val="black"/>
              </w:rPr>
              <w:t>'''''''''''''''''''''</w:t>
            </w:r>
            <w:r w:rsidR="000D46FA" w:rsidRPr="00BE46E1">
              <w:rPr>
                <w:rFonts w:ascii="Arial Narrow" w:hAnsi="Arial Narrow"/>
                <w:sz w:val="20"/>
                <w:szCs w:val="20"/>
              </w:rPr>
              <w:t>)</w:t>
            </w:r>
            <w:r w:rsidR="00631EFB" w:rsidRPr="00BE46E1">
              <w:rPr>
                <w:rFonts w:ascii="Arial Narrow" w:hAnsi="Arial Narrow"/>
                <w:sz w:val="20"/>
                <w:szCs w:val="20"/>
              </w:rPr>
              <w:t>.</w:t>
            </w:r>
            <w:r w:rsidR="00233062" w:rsidRPr="00BE46E1">
              <w:rPr>
                <w:rFonts w:ascii="Arial Narrow" w:hAnsi="Arial Narrow"/>
                <w:sz w:val="20"/>
                <w:szCs w:val="20"/>
              </w:rPr>
              <w:t xml:space="preserve"> </w:t>
            </w:r>
            <w:r>
              <w:rPr>
                <w:rFonts w:ascii="Arial Narrow" w:hAnsi="Arial Narrow"/>
                <w:sz w:val="20"/>
                <w:szCs w:val="20"/>
              </w:rPr>
              <w:t xml:space="preserve">The pre-PBAC response proposed a new effective </w:t>
            </w:r>
            <w:r w:rsidR="006B3BF6">
              <w:rPr>
                <w:rFonts w:ascii="Arial Narrow" w:hAnsi="Arial Narrow"/>
                <w:sz w:val="20"/>
                <w:szCs w:val="20"/>
              </w:rPr>
              <w:t>DPMQ</w:t>
            </w:r>
            <w:r>
              <w:rPr>
                <w:rFonts w:ascii="Arial Narrow" w:hAnsi="Arial Narrow"/>
                <w:sz w:val="20"/>
                <w:szCs w:val="20"/>
              </w:rPr>
              <w:t xml:space="preserve"> of $</w:t>
            </w:r>
            <w:r w:rsidR="002C5C5C">
              <w:rPr>
                <w:rFonts w:ascii="Arial Narrow" w:hAnsi="Arial Narrow"/>
                <w:noProof/>
                <w:color w:val="000000"/>
                <w:sz w:val="20"/>
                <w:szCs w:val="20"/>
                <w:highlight w:val="black"/>
              </w:rPr>
              <w:t>'''''''''''''''''''''</w:t>
            </w:r>
            <w:r>
              <w:rPr>
                <w:rFonts w:ascii="Arial Narrow" w:hAnsi="Arial Narrow"/>
                <w:sz w:val="20"/>
                <w:szCs w:val="20"/>
              </w:rPr>
              <w:t xml:space="preserve">. </w:t>
            </w:r>
            <w:r w:rsidR="00631EFB" w:rsidRPr="00BE46E1">
              <w:rPr>
                <w:rFonts w:ascii="Arial Narrow" w:hAnsi="Arial Narrow"/>
                <w:sz w:val="20"/>
                <w:szCs w:val="20"/>
              </w:rPr>
              <w:t xml:space="preserve">The listing of the 100 mg strength, at the same price as the 150 mg strength, is </w:t>
            </w:r>
            <w:r w:rsidR="00631EFB" w:rsidRPr="00BE46E1">
              <w:rPr>
                <w:rFonts w:ascii="Arial Narrow" w:hAnsi="Arial Narrow"/>
                <w:sz w:val="20"/>
                <w:szCs w:val="20"/>
              </w:rPr>
              <w:lastRenderedPageBreak/>
              <w:t xml:space="preserve">requested only for facilitation of dose reduction for adverse even management. </w:t>
            </w:r>
          </w:p>
          <w:p w:rsidR="00A3683D" w:rsidRPr="00BE46E1" w:rsidRDefault="00A3683D" w:rsidP="00BA266B">
            <w:pPr>
              <w:pStyle w:val="NoSpacing"/>
              <w:rPr>
                <w:rFonts w:ascii="Arial Narrow" w:hAnsi="Arial Narrow"/>
                <w:sz w:val="20"/>
                <w:szCs w:val="20"/>
              </w:rPr>
            </w:pPr>
            <w:r w:rsidRPr="00BE46E1">
              <w:rPr>
                <w:rFonts w:ascii="Arial Narrow" w:hAnsi="Arial Narrow"/>
                <w:sz w:val="20"/>
                <w:szCs w:val="20"/>
              </w:rPr>
              <w:t>Current requested price:</w:t>
            </w:r>
          </w:p>
          <w:p w:rsidR="00E24024" w:rsidRPr="00BE46E1" w:rsidRDefault="00E24024" w:rsidP="00BA266B">
            <w:pPr>
              <w:pStyle w:val="NoSpacing"/>
              <w:rPr>
                <w:rFonts w:ascii="Arial Narrow" w:hAnsi="Arial Narrow"/>
                <w:sz w:val="20"/>
                <w:szCs w:val="20"/>
              </w:rPr>
            </w:pPr>
          </w:p>
          <w:tbl>
            <w:tblPr>
              <w:tblStyle w:val="TableGrid"/>
              <w:tblW w:w="3023" w:type="dxa"/>
              <w:tblLayout w:type="fixed"/>
              <w:tblLook w:val="04A0" w:firstRow="1" w:lastRow="0" w:firstColumn="1" w:lastColumn="0" w:noHBand="0" w:noVBand="1"/>
              <w:tblCaption w:val="Effective DPMQ "/>
            </w:tblPr>
            <w:tblGrid>
              <w:gridCol w:w="1256"/>
              <w:gridCol w:w="1767"/>
            </w:tblGrid>
            <w:tr w:rsidR="004A1276" w:rsidRPr="0018468B" w:rsidTr="00A409A2">
              <w:trPr>
                <w:trHeight w:val="529"/>
                <w:tblHeader/>
              </w:trPr>
              <w:tc>
                <w:tcPr>
                  <w:tcW w:w="1256" w:type="dxa"/>
                </w:tcPr>
                <w:p w:rsidR="004A1276" w:rsidRPr="00D5559D" w:rsidRDefault="004A1276" w:rsidP="004A1276">
                  <w:pPr>
                    <w:pStyle w:val="Table"/>
                    <w:jc w:val="center"/>
                    <w:rPr>
                      <w:rStyle w:val="SmallBold"/>
                      <w:rFonts w:ascii="Arial Narrow" w:hAnsi="Arial Narrow"/>
                      <w:sz w:val="18"/>
                      <w:szCs w:val="20"/>
                    </w:rPr>
                  </w:pPr>
                </w:p>
              </w:tc>
              <w:tc>
                <w:tcPr>
                  <w:tcW w:w="1767" w:type="dxa"/>
                </w:tcPr>
                <w:p w:rsidR="004A1276" w:rsidRPr="00D5559D" w:rsidRDefault="004A1276" w:rsidP="004A1276">
                  <w:pPr>
                    <w:pStyle w:val="Table"/>
                    <w:jc w:val="center"/>
                    <w:rPr>
                      <w:rStyle w:val="SmallBold"/>
                      <w:rFonts w:ascii="Arial Narrow" w:hAnsi="Arial Narrow"/>
                      <w:sz w:val="18"/>
                      <w:szCs w:val="20"/>
                    </w:rPr>
                  </w:pPr>
                  <w:r w:rsidRPr="00D5559D">
                    <w:rPr>
                      <w:rStyle w:val="SmallBold"/>
                      <w:rFonts w:ascii="Arial Narrow" w:hAnsi="Arial Narrow"/>
                      <w:sz w:val="18"/>
                      <w:szCs w:val="20"/>
                    </w:rPr>
                    <w:t>Effective DPMQ</w:t>
                  </w:r>
                  <w:r w:rsidR="0018468B" w:rsidRPr="00D5559D">
                    <w:rPr>
                      <w:rStyle w:val="SmallBold"/>
                      <w:rFonts w:ascii="Arial Narrow" w:hAnsi="Arial Narrow"/>
                      <w:sz w:val="18"/>
                      <w:szCs w:val="20"/>
                    </w:rPr>
                    <w:t xml:space="preserve"> </w:t>
                  </w:r>
                </w:p>
                <w:p w:rsidR="0018468B" w:rsidRPr="00D5559D" w:rsidRDefault="0018468B" w:rsidP="004A1276">
                  <w:pPr>
                    <w:pStyle w:val="Table"/>
                    <w:jc w:val="center"/>
                    <w:rPr>
                      <w:rStyle w:val="SmallBold"/>
                      <w:rFonts w:ascii="Arial Narrow" w:hAnsi="Arial Narrow"/>
                      <w:sz w:val="18"/>
                      <w:szCs w:val="20"/>
                    </w:rPr>
                  </w:pPr>
                  <w:r w:rsidRPr="00D5559D">
                    <w:rPr>
                      <w:rStyle w:val="SmallBold"/>
                      <w:rFonts w:ascii="Arial Narrow" w:hAnsi="Arial Narrow"/>
                      <w:sz w:val="18"/>
                      <w:szCs w:val="20"/>
                    </w:rPr>
                    <w:t>(proposed in the pre-PBAC response)</w:t>
                  </w:r>
                </w:p>
              </w:tc>
            </w:tr>
            <w:tr w:rsidR="004A1276" w:rsidRPr="0018468B" w:rsidTr="001F2E42">
              <w:trPr>
                <w:trHeight w:val="732"/>
              </w:trPr>
              <w:tc>
                <w:tcPr>
                  <w:tcW w:w="1256" w:type="dxa"/>
                </w:tcPr>
                <w:p w:rsidR="004A1276" w:rsidRPr="00D5559D" w:rsidRDefault="004A1276" w:rsidP="004A1276">
                  <w:pPr>
                    <w:pStyle w:val="Table"/>
                    <w:jc w:val="center"/>
                    <w:rPr>
                      <w:rFonts w:ascii="Arial Narrow" w:hAnsi="Arial Narrow"/>
                      <w:sz w:val="18"/>
                      <w:szCs w:val="20"/>
                    </w:rPr>
                  </w:pPr>
                  <w:r w:rsidRPr="00D5559D">
                    <w:rPr>
                      <w:rFonts w:ascii="Arial Narrow" w:hAnsi="Arial Narrow"/>
                      <w:sz w:val="18"/>
                      <w:szCs w:val="20"/>
                    </w:rPr>
                    <w:t>Oral tablet  150mg /100 mg</w:t>
                  </w:r>
                </w:p>
              </w:tc>
              <w:tc>
                <w:tcPr>
                  <w:tcW w:w="1767" w:type="dxa"/>
                </w:tcPr>
                <w:p w:rsidR="004A1276" w:rsidRPr="00D5559D" w:rsidRDefault="0018468B" w:rsidP="004A1276">
                  <w:pPr>
                    <w:pStyle w:val="Table"/>
                    <w:jc w:val="center"/>
                    <w:rPr>
                      <w:rFonts w:ascii="Arial Narrow" w:hAnsi="Arial Narrow"/>
                      <w:sz w:val="18"/>
                      <w:szCs w:val="20"/>
                    </w:rPr>
                  </w:pPr>
                  <w:r w:rsidRPr="00D5559D">
                    <w:rPr>
                      <w:rFonts w:ascii="Arial Narrow" w:hAnsi="Arial Narrow"/>
                      <w:sz w:val="18"/>
                      <w:szCs w:val="20"/>
                    </w:rPr>
                    <w:t>$</w:t>
                  </w:r>
                  <w:r w:rsidR="002C5C5C">
                    <w:rPr>
                      <w:rFonts w:ascii="Arial Narrow" w:hAnsi="Arial Narrow"/>
                      <w:noProof/>
                      <w:color w:val="000000"/>
                      <w:sz w:val="18"/>
                      <w:szCs w:val="20"/>
                      <w:highlight w:val="black"/>
                    </w:rPr>
                    <w:t>''''''''''''''''''''</w:t>
                  </w:r>
                </w:p>
              </w:tc>
            </w:tr>
          </w:tbl>
          <w:p w:rsidR="00E24024" w:rsidRPr="00BE46E1" w:rsidRDefault="00E24024" w:rsidP="00BA266B">
            <w:pPr>
              <w:pStyle w:val="NoSpacing"/>
              <w:rPr>
                <w:rFonts w:ascii="Arial Narrow" w:hAnsi="Arial Narrow"/>
                <w:sz w:val="20"/>
                <w:szCs w:val="20"/>
              </w:rPr>
            </w:pPr>
          </w:p>
          <w:p w:rsidR="0075793D" w:rsidRPr="00BE46E1" w:rsidRDefault="0075793D" w:rsidP="00D377CE">
            <w:pPr>
              <w:jc w:val="both"/>
              <w:rPr>
                <w:rFonts w:ascii="Arial Narrow" w:hAnsi="Arial Narrow"/>
                <w:sz w:val="20"/>
                <w:szCs w:val="20"/>
              </w:rPr>
            </w:pPr>
          </w:p>
        </w:tc>
      </w:tr>
      <w:tr w:rsidR="0075793D" w:rsidRPr="00BE46E1" w:rsidTr="00A677B9">
        <w:tc>
          <w:tcPr>
            <w:tcW w:w="1134" w:type="dxa"/>
          </w:tcPr>
          <w:p w:rsidR="0075793D" w:rsidRPr="00BE46E1" w:rsidRDefault="00D47905" w:rsidP="00D377CE">
            <w:pPr>
              <w:jc w:val="both"/>
              <w:rPr>
                <w:rFonts w:ascii="Arial Narrow" w:hAnsi="Arial Narrow"/>
                <w:sz w:val="20"/>
                <w:szCs w:val="20"/>
              </w:rPr>
            </w:pPr>
            <w:r w:rsidRPr="00BE46E1">
              <w:rPr>
                <w:rFonts w:ascii="Arial Narrow" w:hAnsi="Arial Narrow"/>
                <w:sz w:val="20"/>
                <w:szCs w:val="20"/>
              </w:rPr>
              <w:lastRenderedPageBreak/>
              <w:t>Economic evaluation</w:t>
            </w:r>
          </w:p>
        </w:tc>
        <w:tc>
          <w:tcPr>
            <w:tcW w:w="3402" w:type="dxa"/>
          </w:tcPr>
          <w:p w:rsidR="0075793D" w:rsidRPr="00BE46E1" w:rsidRDefault="009557D8" w:rsidP="000E2972">
            <w:pPr>
              <w:jc w:val="both"/>
              <w:rPr>
                <w:rFonts w:ascii="Arial Narrow" w:hAnsi="Arial Narrow"/>
                <w:sz w:val="20"/>
                <w:szCs w:val="20"/>
              </w:rPr>
            </w:pPr>
            <w:r w:rsidRPr="00BE46E1">
              <w:rPr>
                <w:rFonts w:ascii="Arial Narrow" w:hAnsi="Arial Narrow"/>
                <w:sz w:val="20"/>
                <w:szCs w:val="20"/>
              </w:rPr>
              <w:t>The PBAC considered that the multivariate sensitivity analysis performed during the evaluation that resulted in an ICER of $</w:t>
            </w:r>
            <w:r w:rsidR="00BB0478">
              <w:rPr>
                <w:rFonts w:ascii="Arial Narrow" w:hAnsi="Arial Narrow"/>
                <w:sz w:val="20"/>
                <w:szCs w:val="20"/>
              </w:rPr>
              <w:t>105,000</w:t>
            </w:r>
            <w:r w:rsidRPr="00BE46E1">
              <w:rPr>
                <w:rFonts w:ascii="Arial Narrow" w:hAnsi="Arial Narrow"/>
                <w:sz w:val="20"/>
                <w:szCs w:val="20"/>
              </w:rPr>
              <w:t>/QALY</w:t>
            </w:r>
            <w:r w:rsidR="00BB0478">
              <w:rPr>
                <w:rFonts w:ascii="Arial Narrow" w:hAnsi="Arial Narrow"/>
                <w:sz w:val="20"/>
                <w:szCs w:val="20"/>
              </w:rPr>
              <w:t xml:space="preserve"> - $200,000/QALY</w:t>
            </w:r>
            <w:r w:rsidRPr="00BE46E1">
              <w:rPr>
                <w:rFonts w:ascii="Arial Narrow" w:hAnsi="Arial Narrow"/>
                <w:sz w:val="20"/>
                <w:szCs w:val="20"/>
              </w:rPr>
              <w:t xml:space="preserve"> whilst requiring acceptance of an uncertain extrapolation of overall survival, provided the most realistic estimate of cost effectiveness and should be used as the base-case. </w:t>
            </w:r>
            <w:r w:rsidR="00037653" w:rsidRPr="00BE46E1">
              <w:rPr>
                <w:rFonts w:ascii="Arial Narrow" w:hAnsi="Arial Narrow"/>
                <w:sz w:val="20"/>
                <w:szCs w:val="20"/>
              </w:rPr>
              <w:t xml:space="preserve">The Committee considered that this ICER was unacceptably high, and that a significant price reduction would be required in order to reduce the ICER to less than </w:t>
            </w:r>
            <w:r w:rsidR="00437E47">
              <w:rPr>
                <w:rFonts w:ascii="Arial Narrow" w:hAnsi="Arial Narrow"/>
                <w:sz w:val="20"/>
                <w:szCs w:val="20"/>
              </w:rPr>
              <w:t>$</w:t>
            </w:r>
            <w:r w:rsidR="00BB0478">
              <w:rPr>
                <w:rFonts w:ascii="Arial Narrow" w:hAnsi="Arial Narrow"/>
                <w:sz w:val="20"/>
                <w:szCs w:val="20"/>
              </w:rPr>
              <w:t>45,000</w:t>
            </w:r>
            <w:r w:rsidR="00BB0478" w:rsidRPr="00BE46E1">
              <w:rPr>
                <w:rFonts w:ascii="Arial Narrow" w:hAnsi="Arial Narrow"/>
                <w:sz w:val="20"/>
                <w:szCs w:val="20"/>
              </w:rPr>
              <w:t>/QALY</w:t>
            </w:r>
            <w:r w:rsidR="00BB0478">
              <w:rPr>
                <w:rFonts w:ascii="Arial Narrow" w:hAnsi="Arial Narrow"/>
                <w:sz w:val="20"/>
                <w:szCs w:val="20"/>
              </w:rPr>
              <w:t xml:space="preserve"> - $75,000/QALY</w:t>
            </w:r>
            <w:r w:rsidR="00037653" w:rsidRPr="00BE46E1">
              <w:rPr>
                <w:rFonts w:ascii="Arial Narrow" w:hAnsi="Arial Narrow"/>
                <w:sz w:val="20"/>
                <w:szCs w:val="20"/>
              </w:rPr>
              <w:t xml:space="preserve">. </w:t>
            </w:r>
            <w:r w:rsidR="00193728" w:rsidRPr="00BE46E1">
              <w:rPr>
                <w:rFonts w:ascii="Arial Narrow" w:hAnsi="Arial Narrow"/>
                <w:sz w:val="20"/>
                <w:szCs w:val="20"/>
              </w:rPr>
              <w:t xml:space="preserve">[7.8, Nov 2015 </w:t>
            </w:r>
            <w:r w:rsidR="00BB0478">
              <w:rPr>
                <w:rFonts w:ascii="Arial Narrow" w:hAnsi="Arial Narrow"/>
                <w:sz w:val="20"/>
                <w:szCs w:val="20"/>
              </w:rPr>
              <w:t>Public Summary Document</w:t>
            </w:r>
            <w:r w:rsidR="00193728" w:rsidRPr="00BE46E1">
              <w:rPr>
                <w:rFonts w:ascii="Arial Narrow" w:hAnsi="Arial Narrow"/>
                <w:sz w:val="20"/>
                <w:szCs w:val="20"/>
              </w:rPr>
              <w:t>]</w:t>
            </w:r>
          </w:p>
          <w:p w:rsidR="00D32703" w:rsidRPr="00BE46E1" w:rsidRDefault="00D32703" w:rsidP="000E2972">
            <w:pPr>
              <w:jc w:val="both"/>
              <w:rPr>
                <w:rFonts w:ascii="Arial Narrow" w:hAnsi="Arial Narrow"/>
                <w:sz w:val="20"/>
                <w:szCs w:val="20"/>
              </w:rPr>
            </w:pPr>
          </w:p>
          <w:p w:rsidR="00D32703" w:rsidRPr="00BE46E1" w:rsidRDefault="00D32703" w:rsidP="000E2972">
            <w:pPr>
              <w:jc w:val="both"/>
              <w:rPr>
                <w:rFonts w:ascii="Arial Narrow" w:hAnsi="Arial Narrow"/>
                <w:sz w:val="20"/>
                <w:szCs w:val="20"/>
              </w:rPr>
            </w:pPr>
            <w:r w:rsidRPr="00BE46E1">
              <w:rPr>
                <w:rFonts w:ascii="Arial Narrow" w:hAnsi="Arial Narrow"/>
                <w:sz w:val="20"/>
                <w:szCs w:val="20"/>
              </w:rPr>
              <w:t>The PBAC agreed with the ESC that a five-year time horizon in the economic model was appropriate and more realistic for this condition.</w:t>
            </w:r>
            <w:r w:rsidR="00193728" w:rsidRPr="00BE46E1">
              <w:rPr>
                <w:rFonts w:ascii="Arial Narrow" w:hAnsi="Arial Narrow"/>
                <w:sz w:val="20"/>
                <w:szCs w:val="20"/>
              </w:rPr>
              <w:t xml:space="preserve"> [7.7, Nov 2015 </w:t>
            </w:r>
            <w:r w:rsidR="005A22FE">
              <w:rPr>
                <w:rFonts w:ascii="Arial Narrow" w:hAnsi="Arial Narrow"/>
                <w:sz w:val="20"/>
                <w:szCs w:val="20"/>
              </w:rPr>
              <w:t>PSD</w:t>
            </w:r>
            <w:r w:rsidR="00193728" w:rsidRPr="00BE46E1">
              <w:rPr>
                <w:rFonts w:ascii="Arial Narrow" w:hAnsi="Arial Narrow"/>
                <w:sz w:val="20"/>
                <w:szCs w:val="20"/>
              </w:rPr>
              <w:t>]</w:t>
            </w:r>
          </w:p>
          <w:p w:rsidR="00D32703" w:rsidRPr="00BE46E1" w:rsidRDefault="00D32703" w:rsidP="000E2972">
            <w:pPr>
              <w:jc w:val="both"/>
              <w:rPr>
                <w:rFonts w:ascii="Arial Narrow" w:hAnsi="Arial Narrow"/>
                <w:sz w:val="20"/>
                <w:szCs w:val="20"/>
              </w:rPr>
            </w:pPr>
          </w:p>
          <w:p w:rsidR="000E2972" w:rsidRPr="00BE46E1" w:rsidRDefault="000E2972" w:rsidP="000E2972">
            <w:pPr>
              <w:jc w:val="both"/>
              <w:rPr>
                <w:rFonts w:ascii="Arial Narrow" w:hAnsi="Arial Narrow"/>
                <w:sz w:val="20"/>
                <w:szCs w:val="20"/>
              </w:rPr>
            </w:pPr>
          </w:p>
          <w:p w:rsidR="000E2972" w:rsidRPr="00BE46E1" w:rsidRDefault="000E2972" w:rsidP="000E2972">
            <w:pPr>
              <w:jc w:val="both"/>
              <w:rPr>
                <w:rFonts w:ascii="Arial Narrow" w:hAnsi="Arial Narrow"/>
                <w:sz w:val="20"/>
                <w:szCs w:val="20"/>
              </w:rPr>
            </w:pPr>
          </w:p>
        </w:tc>
        <w:tc>
          <w:tcPr>
            <w:tcW w:w="3544" w:type="dxa"/>
          </w:tcPr>
          <w:p w:rsidR="000E2972" w:rsidRPr="00BE46E1" w:rsidRDefault="000E2972" w:rsidP="00D377CE">
            <w:pPr>
              <w:jc w:val="both"/>
              <w:rPr>
                <w:rFonts w:ascii="Arial Narrow" w:hAnsi="Arial Narrow"/>
                <w:sz w:val="20"/>
                <w:szCs w:val="20"/>
              </w:rPr>
            </w:pPr>
            <w:r w:rsidRPr="00BE46E1">
              <w:rPr>
                <w:rFonts w:ascii="Arial Narrow" w:hAnsi="Arial Narrow"/>
                <w:sz w:val="20"/>
                <w:szCs w:val="20"/>
              </w:rPr>
              <w:t>When the base case of the economic model is re-specified in accordance with PBAC</w:t>
            </w:r>
            <w:r w:rsidR="00B21BF4" w:rsidRPr="00BE46E1">
              <w:rPr>
                <w:rFonts w:ascii="Arial Narrow" w:hAnsi="Arial Narrow"/>
                <w:sz w:val="20"/>
                <w:szCs w:val="20"/>
              </w:rPr>
              <w:t xml:space="preserve"> </w:t>
            </w:r>
            <w:r w:rsidR="0057286D">
              <w:rPr>
                <w:rFonts w:ascii="Arial Narrow" w:hAnsi="Arial Narrow"/>
                <w:sz w:val="20"/>
                <w:szCs w:val="20"/>
              </w:rPr>
              <w:t>PSD</w:t>
            </w:r>
            <w:r w:rsidR="0090140A" w:rsidRPr="00BE46E1">
              <w:rPr>
                <w:rFonts w:ascii="Arial Narrow" w:hAnsi="Arial Narrow"/>
                <w:sz w:val="20"/>
                <w:szCs w:val="20"/>
              </w:rPr>
              <w:t xml:space="preserve">, </w:t>
            </w:r>
            <w:r w:rsidRPr="00BE46E1">
              <w:rPr>
                <w:rFonts w:ascii="Arial Narrow" w:hAnsi="Arial Narrow"/>
                <w:sz w:val="20"/>
                <w:szCs w:val="20"/>
              </w:rPr>
              <w:t>ICER is $</w:t>
            </w:r>
            <w:r w:rsidR="00BB0478">
              <w:rPr>
                <w:rFonts w:ascii="Arial Narrow" w:hAnsi="Arial Narrow"/>
                <w:sz w:val="20"/>
                <w:szCs w:val="20"/>
              </w:rPr>
              <w:t>45,000</w:t>
            </w:r>
            <w:r w:rsidRPr="00BE46E1">
              <w:rPr>
                <w:rFonts w:ascii="Arial Narrow" w:hAnsi="Arial Narrow"/>
                <w:sz w:val="20"/>
                <w:szCs w:val="20"/>
              </w:rPr>
              <w:t>/QALY</w:t>
            </w:r>
            <w:r w:rsidR="00BB0478">
              <w:rPr>
                <w:rFonts w:ascii="Arial Narrow" w:hAnsi="Arial Narrow"/>
                <w:sz w:val="20"/>
                <w:szCs w:val="20"/>
              </w:rPr>
              <w:t xml:space="preserve"> - $75,000/QALY</w:t>
            </w:r>
            <w:r w:rsidR="00193728" w:rsidRPr="00BE46E1">
              <w:rPr>
                <w:rFonts w:ascii="Arial Narrow" w:hAnsi="Arial Narrow"/>
                <w:sz w:val="20"/>
                <w:szCs w:val="20"/>
              </w:rPr>
              <w:t xml:space="preserve">. The ICER has been independently verified. </w:t>
            </w:r>
          </w:p>
          <w:p w:rsidR="0090140A" w:rsidRPr="00BE46E1" w:rsidRDefault="0090140A" w:rsidP="00D377CE">
            <w:pPr>
              <w:jc w:val="both"/>
              <w:rPr>
                <w:rFonts w:ascii="Arial Narrow" w:hAnsi="Arial Narrow"/>
                <w:sz w:val="20"/>
                <w:szCs w:val="20"/>
              </w:rPr>
            </w:pPr>
          </w:p>
          <w:p w:rsidR="00D32703" w:rsidRPr="00BE46E1" w:rsidRDefault="00B21BF4" w:rsidP="00482B16">
            <w:pPr>
              <w:keepNext/>
              <w:rPr>
                <w:rFonts w:ascii="Arial Narrow" w:hAnsi="Arial Narrow"/>
                <w:sz w:val="20"/>
                <w:szCs w:val="20"/>
              </w:rPr>
            </w:pPr>
            <w:r w:rsidRPr="00BE46E1">
              <w:rPr>
                <w:rFonts w:ascii="Arial Narrow" w:hAnsi="Arial Narrow"/>
                <w:sz w:val="20"/>
                <w:szCs w:val="20"/>
              </w:rPr>
              <w:t xml:space="preserve">Modifications </w:t>
            </w:r>
            <w:r w:rsidR="0090140A" w:rsidRPr="00BE46E1">
              <w:rPr>
                <w:rFonts w:ascii="Arial Narrow" w:hAnsi="Arial Narrow"/>
                <w:sz w:val="20"/>
                <w:szCs w:val="20"/>
              </w:rPr>
              <w:t xml:space="preserve">to the base case </w:t>
            </w:r>
            <w:r w:rsidRPr="00BE46E1">
              <w:rPr>
                <w:rFonts w:ascii="Arial Narrow" w:hAnsi="Arial Narrow"/>
                <w:sz w:val="20"/>
                <w:szCs w:val="20"/>
              </w:rPr>
              <w:t>were health state resource costs as per previous March 2015 submission; and</w:t>
            </w:r>
            <w:r w:rsidR="00482B16" w:rsidRPr="00BE46E1">
              <w:rPr>
                <w:rFonts w:ascii="Arial Narrow" w:hAnsi="Arial Narrow"/>
                <w:sz w:val="20"/>
                <w:szCs w:val="20"/>
              </w:rPr>
              <w:t xml:space="preserve"> </w:t>
            </w:r>
            <w:r w:rsidRPr="00BE46E1">
              <w:rPr>
                <w:rFonts w:ascii="Arial Narrow" w:hAnsi="Arial Narrow"/>
                <w:sz w:val="20"/>
                <w:szCs w:val="20"/>
              </w:rPr>
              <w:t>the weighted cost of anti-cancer therapy in BSC limited to one course (3 or 4 months, rather than monthly ongoing cost)</w:t>
            </w:r>
            <w:r w:rsidR="00482B16" w:rsidRPr="00BE46E1">
              <w:rPr>
                <w:rFonts w:ascii="Arial Narrow" w:hAnsi="Arial Narrow"/>
                <w:sz w:val="20"/>
                <w:szCs w:val="20"/>
              </w:rPr>
              <w:t>.</w:t>
            </w:r>
          </w:p>
          <w:p w:rsidR="00D32703" w:rsidRPr="00BE46E1" w:rsidRDefault="00D32703" w:rsidP="00BE15B2">
            <w:pPr>
              <w:spacing w:after="400"/>
              <w:jc w:val="both"/>
              <w:rPr>
                <w:rFonts w:ascii="Arial Narrow" w:hAnsi="Arial Narrow"/>
                <w:sz w:val="20"/>
                <w:szCs w:val="20"/>
              </w:rPr>
            </w:pPr>
          </w:p>
          <w:p w:rsidR="00D32703" w:rsidRPr="00BE46E1" w:rsidRDefault="00D32703" w:rsidP="00D377CE">
            <w:pPr>
              <w:jc w:val="both"/>
              <w:rPr>
                <w:rFonts w:ascii="Arial Narrow" w:hAnsi="Arial Narrow"/>
                <w:sz w:val="20"/>
                <w:szCs w:val="20"/>
              </w:rPr>
            </w:pPr>
            <w:r w:rsidRPr="00BE46E1">
              <w:rPr>
                <w:rFonts w:ascii="Arial Narrow" w:hAnsi="Arial Narrow"/>
                <w:sz w:val="20"/>
                <w:szCs w:val="20"/>
              </w:rPr>
              <w:t>The re-specified base case continues to use a 5 year time horizon.</w:t>
            </w:r>
          </w:p>
          <w:p w:rsidR="00D32703" w:rsidRPr="00BE46E1" w:rsidRDefault="00D32703" w:rsidP="00D377CE">
            <w:pPr>
              <w:jc w:val="both"/>
              <w:rPr>
                <w:rFonts w:ascii="Arial Narrow" w:hAnsi="Arial Narrow"/>
                <w:sz w:val="20"/>
                <w:szCs w:val="20"/>
              </w:rPr>
            </w:pPr>
          </w:p>
          <w:p w:rsidR="00D32703" w:rsidRPr="00BE46E1" w:rsidRDefault="0055029E" w:rsidP="00D377CE">
            <w:pPr>
              <w:jc w:val="both"/>
              <w:rPr>
                <w:rFonts w:ascii="Arial Narrow" w:hAnsi="Arial Narrow"/>
                <w:sz w:val="20"/>
                <w:szCs w:val="20"/>
              </w:rPr>
            </w:pPr>
            <w:r>
              <w:rPr>
                <w:rFonts w:ascii="Arial Narrow" w:hAnsi="Arial Narrow"/>
                <w:sz w:val="20"/>
                <w:szCs w:val="20"/>
              </w:rPr>
              <w:t>In the pre-PBAC response, a</w:t>
            </w:r>
            <w:r w:rsidRPr="0055029E">
              <w:rPr>
                <w:rFonts w:ascii="Arial Narrow" w:hAnsi="Arial Narrow"/>
                <w:sz w:val="20"/>
                <w:szCs w:val="20"/>
              </w:rPr>
              <w:t>pplying the requested price to the PBAC</w:t>
            </w:r>
            <w:r w:rsidRPr="0055029E">
              <w:rPr>
                <w:rFonts w:ascii="Cambria Math" w:hAnsi="Cambria Math" w:cs="Cambria Math"/>
                <w:sz w:val="20"/>
                <w:szCs w:val="20"/>
              </w:rPr>
              <w:t>‐</w:t>
            </w:r>
            <w:r w:rsidRPr="0055029E">
              <w:rPr>
                <w:rFonts w:ascii="Arial Narrow" w:hAnsi="Arial Narrow"/>
                <w:sz w:val="20"/>
                <w:szCs w:val="20"/>
              </w:rPr>
              <w:t>specified</w:t>
            </w:r>
            <w:r>
              <w:rPr>
                <w:rFonts w:ascii="Arial Narrow" w:hAnsi="Arial Narrow"/>
                <w:sz w:val="20"/>
                <w:szCs w:val="20"/>
              </w:rPr>
              <w:t xml:space="preserve"> </w:t>
            </w:r>
            <w:r w:rsidRPr="0055029E">
              <w:rPr>
                <w:rFonts w:ascii="Arial Narrow" w:hAnsi="Arial Narrow"/>
                <w:sz w:val="20"/>
                <w:szCs w:val="20"/>
              </w:rPr>
              <w:t>base case eco</w:t>
            </w:r>
            <w:r>
              <w:rPr>
                <w:rFonts w:ascii="Arial Narrow" w:hAnsi="Arial Narrow"/>
                <w:sz w:val="20"/>
                <w:szCs w:val="20"/>
              </w:rPr>
              <w:t xml:space="preserve">nomic model </w:t>
            </w:r>
            <w:r w:rsidR="001B7DD6">
              <w:rPr>
                <w:rFonts w:ascii="Arial Narrow" w:hAnsi="Arial Narrow"/>
                <w:sz w:val="20"/>
                <w:szCs w:val="20"/>
              </w:rPr>
              <w:t>brought</w:t>
            </w:r>
            <w:r>
              <w:rPr>
                <w:rFonts w:ascii="Arial Narrow" w:hAnsi="Arial Narrow"/>
                <w:sz w:val="20"/>
                <w:szCs w:val="20"/>
              </w:rPr>
              <w:t xml:space="preserve"> the ICER</w:t>
            </w:r>
            <w:r w:rsidRPr="0055029E">
              <w:rPr>
                <w:rFonts w:ascii="Arial Narrow" w:hAnsi="Arial Narrow"/>
                <w:sz w:val="20"/>
                <w:szCs w:val="20"/>
              </w:rPr>
              <w:t xml:space="preserve"> for </w:t>
            </w:r>
            <w:proofErr w:type="spellStart"/>
            <w:r w:rsidRPr="0055029E">
              <w:rPr>
                <w:rFonts w:ascii="Arial Narrow" w:hAnsi="Arial Narrow"/>
                <w:sz w:val="20"/>
                <w:szCs w:val="20"/>
              </w:rPr>
              <w:t>idelalisib</w:t>
            </w:r>
            <w:proofErr w:type="spellEnd"/>
            <w:r w:rsidRPr="0055029E">
              <w:rPr>
                <w:rFonts w:ascii="Arial Narrow" w:hAnsi="Arial Narrow"/>
                <w:sz w:val="20"/>
                <w:szCs w:val="20"/>
              </w:rPr>
              <w:t xml:space="preserve"> in the treatment of FL </w:t>
            </w:r>
            <w:r>
              <w:rPr>
                <w:rFonts w:ascii="Arial Narrow" w:hAnsi="Arial Narrow"/>
                <w:sz w:val="20"/>
                <w:szCs w:val="20"/>
              </w:rPr>
              <w:t>to</w:t>
            </w:r>
            <w:r w:rsidRPr="0055029E">
              <w:rPr>
                <w:rFonts w:ascii="Arial Narrow" w:hAnsi="Arial Narrow"/>
                <w:sz w:val="20"/>
                <w:szCs w:val="20"/>
              </w:rPr>
              <w:t xml:space="preserve"> </w:t>
            </w:r>
            <w:r w:rsidR="009502F4">
              <w:rPr>
                <w:rFonts w:ascii="Arial Narrow" w:hAnsi="Arial Narrow"/>
                <w:sz w:val="20"/>
                <w:szCs w:val="20"/>
              </w:rPr>
              <w:t>45,000</w:t>
            </w:r>
            <w:r w:rsidR="009502F4" w:rsidRPr="00BE46E1">
              <w:rPr>
                <w:rFonts w:ascii="Arial Narrow" w:hAnsi="Arial Narrow"/>
                <w:sz w:val="20"/>
                <w:szCs w:val="20"/>
              </w:rPr>
              <w:t>/QALY</w:t>
            </w:r>
            <w:r w:rsidR="009502F4">
              <w:rPr>
                <w:rFonts w:ascii="Arial Narrow" w:hAnsi="Arial Narrow"/>
                <w:sz w:val="20"/>
                <w:szCs w:val="20"/>
              </w:rPr>
              <w:t xml:space="preserve"> - $75,000/QALY`</w:t>
            </w:r>
            <w:r>
              <w:rPr>
                <w:rFonts w:ascii="Arial Narrow" w:hAnsi="Arial Narrow"/>
                <w:sz w:val="20"/>
                <w:szCs w:val="20"/>
              </w:rPr>
              <w:t xml:space="preserve">. </w:t>
            </w:r>
          </w:p>
        </w:tc>
      </w:tr>
      <w:tr w:rsidR="00193728" w:rsidRPr="00BE46E1" w:rsidTr="00A677B9">
        <w:tc>
          <w:tcPr>
            <w:tcW w:w="1134" w:type="dxa"/>
          </w:tcPr>
          <w:p w:rsidR="00193728" w:rsidRPr="00BE46E1" w:rsidRDefault="00B21BF4" w:rsidP="00D377CE">
            <w:pPr>
              <w:jc w:val="both"/>
              <w:rPr>
                <w:rFonts w:ascii="Arial Narrow" w:hAnsi="Arial Narrow"/>
                <w:sz w:val="20"/>
                <w:szCs w:val="20"/>
              </w:rPr>
            </w:pPr>
            <w:r w:rsidRPr="00BE46E1">
              <w:rPr>
                <w:rFonts w:ascii="Arial Narrow" w:hAnsi="Arial Narrow"/>
                <w:sz w:val="20"/>
                <w:szCs w:val="20"/>
              </w:rPr>
              <w:t xml:space="preserve">Number of patients and </w:t>
            </w:r>
            <w:r w:rsidR="00193728" w:rsidRPr="00BE46E1">
              <w:rPr>
                <w:rFonts w:ascii="Arial Narrow" w:hAnsi="Arial Narrow"/>
                <w:sz w:val="20"/>
                <w:szCs w:val="20"/>
              </w:rPr>
              <w:t>Risk share</w:t>
            </w:r>
          </w:p>
        </w:tc>
        <w:tc>
          <w:tcPr>
            <w:tcW w:w="3402" w:type="dxa"/>
          </w:tcPr>
          <w:p w:rsidR="00193728" w:rsidRPr="00BE46E1" w:rsidRDefault="00193728" w:rsidP="00193728">
            <w:pPr>
              <w:jc w:val="both"/>
              <w:rPr>
                <w:rFonts w:ascii="Arial Narrow" w:hAnsi="Arial Narrow"/>
                <w:sz w:val="20"/>
                <w:szCs w:val="20"/>
              </w:rPr>
            </w:pPr>
            <w:r w:rsidRPr="00BE46E1">
              <w:rPr>
                <w:rFonts w:ascii="Arial Narrow" w:hAnsi="Arial Narrow"/>
                <w:sz w:val="20"/>
                <w:szCs w:val="20"/>
              </w:rPr>
              <w:t xml:space="preserve">The PBAC considered that the total patient population is uncertain and as such, a risk sharing arrangement with a cap based on the patient numbers as presented in the resubmission should be adopted once financial estimates are updated in line with the Committee’s requested changes. The PBAC considered that due to the uncertainty in patient numbers, utilisation should be reviewed following listing.  [7.9, Nov 2015 </w:t>
            </w:r>
            <w:r w:rsidR="009502F4">
              <w:rPr>
                <w:rFonts w:ascii="Arial Narrow" w:hAnsi="Arial Narrow"/>
                <w:sz w:val="20"/>
                <w:szCs w:val="20"/>
              </w:rPr>
              <w:t>PSD</w:t>
            </w:r>
            <w:r w:rsidRPr="00BE46E1">
              <w:rPr>
                <w:rFonts w:ascii="Arial Narrow" w:hAnsi="Arial Narrow"/>
                <w:sz w:val="20"/>
                <w:szCs w:val="20"/>
              </w:rPr>
              <w:t>]</w:t>
            </w:r>
          </w:p>
          <w:p w:rsidR="00193728" w:rsidRPr="00BE46E1" w:rsidRDefault="00193728" w:rsidP="006200AF">
            <w:pPr>
              <w:jc w:val="both"/>
              <w:rPr>
                <w:rFonts w:ascii="Arial Narrow" w:hAnsi="Arial Narrow"/>
                <w:sz w:val="20"/>
                <w:szCs w:val="20"/>
              </w:rPr>
            </w:pPr>
          </w:p>
        </w:tc>
        <w:tc>
          <w:tcPr>
            <w:tcW w:w="3544" w:type="dxa"/>
          </w:tcPr>
          <w:p w:rsidR="00193728" w:rsidRPr="00BE46E1" w:rsidRDefault="00193728" w:rsidP="00D377CE">
            <w:pPr>
              <w:jc w:val="both"/>
              <w:rPr>
                <w:rFonts w:ascii="Arial Narrow" w:hAnsi="Arial Narrow"/>
                <w:sz w:val="20"/>
                <w:szCs w:val="20"/>
              </w:rPr>
            </w:pPr>
            <w:r w:rsidRPr="00BE46E1">
              <w:rPr>
                <w:rFonts w:ascii="Arial Narrow" w:hAnsi="Arial Narrow"/>
                <w:sz w:val="20"/>
                <w:szCs w:val="20"/>
              </w:rPr>
              <w:t xml:space="preserve">The submission presents the upper end of patient estimates provided in the </w:t>
            </w:r>
            <w:r w:rsidR="00A13B8E">
              <w:rPr>
                <w:rFonts w:ascii="Arial Narrow" w:hAnsi="Arial Narrow"/>
                <w:sz w:val="20"/>
                <w:szCs w:val="20"/>
              </w:rPr>
              <w:t>Pre-Sub-Committee-Response (</w:t>
            </w:r>
            <w:r w:rsidRPr="00BE46E1">
              <w:rPr>
                <w:rFonts w:ascii="Arial Narrow" w:hAnsi="Arial Narrow"/>
                <w:sz w:val="20"/>
                <w:szCs w:val="20"/>
              </w:rPr>
              <w:t>PSCR</w:t>
            </w:r>
            <w:r w:rsidR="00A13B8E">
              <w:rPr>
                <w:rFonts w:ascii="Arial Narrow" w:hAnsi="Arial Narrow"/>
                <w:sz w:val="20"/>
                <w:szCs w:val="20"/>
              </w:rPr>
              <w:t>)</w:t>
            </w:r>
            <w:r w:rsidRPr="00BE46E1">
              <w:rPr>
                <w:rFonts w:ascii="Arial Narrow" w:hAnsi="Arial Narrow"/>
                <w:sz w:val="20"/>
                <w:szCs w:val="20"/>
              </w:rPr>
              <w:t>, updated with the revised pricing</w:t>
            </w:r>
            <w:r w:rsidR="00CF4831" w:rsidRPr="00BE46E1">
              <w:rPr>
                <w:rFonts w:ascii="Arial Narrow" w:hAnsi="Arial Narrow"/>
                <w:sz w:val="20"/>
                <w:szCs w:val="20"/>
              </w:rPr>
              <w:t xml:space="preserve"> (see table 2)</w:t>
            </w:r>
            <w:r w:rsidRPr="00BE46E1">
              <w:rPr>
                <w:rFonts w:ascii="Arial Narrow" w:hAnsi="Arial Narrow"/>
                <w:sz w:val="20"/>
                <w:szCs w:val="20"/>
              </w:rPr>
              <w:t>.</w:t>
            </w:r>
          </w:p>
          <w:p w:rsidR="00761848" w:rsidRPr="00BE46E1" w:rsidRDefault="00761848" w:rsidP="00761848">
            <w:pPr>
              <w:jc w:val="both"/>
              <w:rPr>
                <w:rFonts w:ascii="Arial Narrow" w:hAnsi="Arial Narrow"/>
                <w:sz w:val="20"/>
                <w:szCs w:val="20"/>
              </w:rPr>
            </w:pPr>
            <w:r w:rsidRPr="00BE46E1">
              <w:rPr>
                <w:rFonts w:ascii="Arial Narrow" w:hAnsi="Arial Narrow"/>
                <w:sz w:val="20"/>
                <w:szCs w:val="20"/>
              </w:rPr>
              <w:t xml:space="preserve">The PSCR (p5, November 2015) provided a sensitivity analysis of the financial estimates, which was based on a </w:t>
            </w:r>
            <w:r w:rsidR="002C5C5C">
              <w:rPr>
                <w:rFonts w:ascii="Arial Narrow" w:hAnsi="Arial Narrow"/>
                <w:noProof/>
                <w:color w:val="000000"/>
                <w:sz w:val="20"/>
                <w:szCs w:val="20"/>
                <w:highlight w:val="black"/>
              </w:rPr>
              <w:t>''''''</w:t>
            </w:r>
            <w:r w:rsidRPr="00BE46E1">
              <w:rPr>
                <w:rFonts w:ascii="Arial Narrow" w:hAnsi="Arial Narrow"/>
                <w:sz w:val="20"/>
                <w:szCs w:val="20"/>
              </w:rPr>
              <w:t xml:space="preserve">% increase in the number of patients with treated refractory disease. [6.42, Nov 2015 </w:t>
            </w:r>
            <w:r w:rsidR="009502F4">
              <w:rPr>
                <w:rFonts w:ascii="Arial Narrow" w:hAnsi="Arial Narrow"/>
                <w:sz w:val="20"/>
                <w:szCs w:val="20"/>
              </w:rPr>
              <w:t>PSD</w:t>
            </w:r>
            <w:r w:rsidRPr="00BE46E1">
              <w:rPr>
                <w:rFonts w:ascii="Arial Narrow" w:hAnsi="Arial Narrow"/>
                <w:sz w:val="20"/>
                <w:szCs w:val="20"/>
              </w:rPr>
              <w:t>]</w:t>
            </w:r>
          </w:p>
          <w:p w:rsidR="00761848" w:rsidRPr="00BE46E1" w:rsidRDefault="00761848" w:rsidP="00D377CE">
            <w:pPr>
              <w:jc w:val="both"/>
              <w:rPr>
                <w:rFonts w:ascii="Arial Narrow" w:hAnsi="Arial Narrow"/>
                <w:sz w:val="20"/>
                <w:szCs w:val="20"/>
              </w:rPr>
            </w:pPr>
          </w:p>
          <w:p w:rsidR="00B21BF4" w:rsidRPr="00BE46E1" w:rsidRDefault="00B21BF4" w:rsidP="00D377CE">
            <w:pPr>
              <w:jc w:val="both"/>
              <w:rPr>
                <w:rFonts w:ascii="Arial Narrow" w:hAnsi="Arial Narrow"/>
                <w:sz w:val="20"/>
                <w:szCs w:val="20"/>
              </w:rPr>
            </w:pPr>
          </w:p>
        </w:tc>
      </w:tr>
      <w:tr w:rsidR="009557D8" w:rsidRPr="00BE46E1" w:rsidTr="00A677B9">
        <w:tc>
          <w:tcPr>
            <w:tcW w:w="1134" w:type="dxa"/>
          </w:tcPr>
          <w:p w:rsidR="009557D8" w:rsidRPr="00BE46E1" w:rsidRDefault="009557D8" w:rsidP="00D377CE">
            <w:pPr>
              <w:jc w:val="both"/>
              <w:rPr>
                <w:rFonts w:ascii="Arial Narrow" w:hAnsi="Arial Narrow"/>
                <w:sz w:val="20"/>
                <w:szCs w:val="20"/>
              </w:rPr>
            </w:pPr>
            <w:r w:rsidRPr="00BE46E1">
              <w:rPr>
                <w:rFonts w:ascii="Arial Narrow" w:hAnsi="Arial Narrow"/>
                <w:sz w:val="20"/>
                <w:szCs w:val="20"/>
              </w:rPr>
              <w:t>Main Comparator</w:t>
            </w:r>
          </w:p>
        </w:tc>
        <w:tc>
          <w:tcPr>
            <w:tcW w:w="6946" w:type="dxa"/>
            <w:gridSpan w:val="2"/>
            <w:vMerge w:val="restart"/>
          </w:tcPr>
          <w:p w:rsidR="009557D8" w:rsidRPr="00BE46E1" w:rsidRDefault="009557D8" w:rsidP="009557D8">
            <w:pPr>
              <w:jc w:val="center"/>
              <w:rPr>
                <w:rFonts w:ascii="Arial Narrow" w:hAnsi="Arial Narrow"/>
                <w:sz w:val="20"/>
                <w:szCs w:val="20"/>
              </w:rPr>
            </w:pPr>
            <w:r w:rsidRPr="00BE46E1">
              <w:rPr>
                <w:rFonts w:ascii="Arial Narrow" w:hAnsi="Arial Narrow"/>
                <w:sz w:val="20"/>
                <w:szCs w:val="20"/>
              </w:rPr>
              <w:t>Unchanged from November PBAC submission</w:t>
            </w:r>
          </w:p>
        </w:tc>
      </w:tr>
      <w:tr w:rsidR="009557D8" w:rsidRPr="00BE46E1" w:rsidTr="00A677B9">
        <w:tc>
          <w:tcPr>
            <w:tcW w:w="1134" w:type="dxa"/>
          </w:tcPr>
          <w:p w:rsidR="009557D8" w:rsidRPr="00BE46E1" w:rsidRDefault="009557D8" w:rsidP="00D377CE">
            <w:pPr>
              <w:jc w:val="both"/>
              <w:rPr>
                <w:rFonts w:ascii="Arial Narrow" w:hAnsi="Arial Narrow"/>
                <w:sz w:val="20"/>
                <w:szCs w:val="20"/>
              </w:rPr>
            </w:pPr>
            <w:r w:rsidRPr="00BE46E1">
              <w:rPr>
                <w:rFonts w:ascii="Arial Narrow" w:hAnsi="Arial Narrow"/>
                <w:sz w:val="20"/>
                <w:szCs w:val="20"/>
              </w:rPr>
              <w:t>Clinical evidence</w:t>
            </w:r>
          </w:p>
        </w:tc>
        <w:tc>
          <w:tcPr>
            <w:tcW w:w="6946" w:type="dxa"/>
            <w:gridSpan w:val="2"/>
            <w:vMerge/>
          </w:tcPr>
          <w:p w:rsidR="009557D8" w:rsidRPr="00BE46E1" w:rsidRDefault="009557D8" w:rsidP="00D377CE">
            <w:pPr>
              <w:jc w:val="both"/>
              <w:rPr>
                <w:rFonts w:ascii="Arial Narrow" w:hAnsi="Arial Narrow"/>
                <w:sz w:val="20"/>
                <w:szCs w:val="20"/>
              </w:rPr>
            </w:pPr>
          </w:p>
        </w:tc>
      </w:tr>
      <w:tr w:rsidR="009557D8" w:rsidRPr="00BE46E1" w:rsidTr="00A677B9">
        <w:tc>
          <w:tcPr>
            <w:tcW w:w="1134" w:type="dxa"/>
          </w:tcPr>
          <w:p w:rsidR="009557D8" w:rsidRPr="00BE46E1" w:rsidRDefault="009557D8" w:rsidP="00D377CE">
            <w:pPr>
              <w:jc w:val="both"/>
              <w:rPr>
                <w:rFonts w:ascii="Arial Narrow" w:hAnsi="Arial Narrow"/>
                <w:sz w:val="20"/>
                <w:szCs w:val="20"/>
              </w:rPr>
            </w:pPr>
            <w:r w:rsidRPr="00BE46E1">
              <w:rPr>
                <w:rFonts w:ascii="Arial Narrow" w:hAnsi="Arial Narrow"/>
                <w:sz w:val="20"/>
                <w:szCs w:val="20"/>
              </w:rPr>
              <w:t>Key effectiveness data</w:t>
            </w:r>
          </w:p>
        </w:tc>
        <w:tc>
          <w:tcPr>
            <w:tcW w:w="6946" w:type="dxa"/>
            <w:gridSpan w:val="2"/>
            <w:vMerge/>
          </w:tcPr>
          <w:p w:rsidR="009557D8" w:rsidRPr="00BE46E1" w:rsidRDefault="009557D8" w:rsidP="00D377CE">
            <w:pPr>
              <w:jc w:val="both"/>
              <w:rPr>
                <w:rFonts w:ascii="Arial Narrow" w:hAnsi="Arial Narrow"/>
                <w:sz w:val="20"/>
                <w:szCs w:val="20"/>
              </w:rPr>
            </w:pPr>
          </w:p>
        </w:tc>
      </w:tr>
      <w:tr w:rsidR="009557D8" w:rsidRPr="00BE46E1" w:rsidTr="00A677B9">
        <w:tc>
          <w:tcPr>
            <w:tcW w:w="1134" w:type="dxa"/>
          </w:tcPr>
          <w:p w:rsidR="009557D8" w:rsidRPr="00BE46E1" w:rsidRDefault="009557D8" w:rsidP="00D377CE">
            <w:pPr>
              <w:jc w:val="both"/>
              <w:rPr>
                <w:rFonts w:ascii="Arial Narrow" w:hAnsi="Arial Narrow"/>
                <w:sz w:val="20"/>
                <w:szCs w:val="20"/>
              </w:rPr>
            </w:pPr>
            <w:r w:rsidRPr="00BE46E1">
              <w:rPr>
                <w:rFonts w:ascii="Arial Narrow" w:hAnsi="Arial Narrow"/>
                <w:sz w:val="20"/>
                <w:szCs w:val="20"/>
              </w:rPr>
              <w:lastRenderedPageBreak/>
              <w:t>Key safety data</w:t>
            </w:r>
          </w:p>
        </w:tc>
        <w:tc>
          <w:tcPr>
            <w:tcW w:w="6946" w:type="dxa"/>
            <w:gridSpan w:val="2"/>
            <w:vMerge/>
          </w:tcPr>
          <w:p w:rsidR="009557D8" w:rsidRPr="00BE46E1" w:rsidRDefault="009557D8" w:rsidP="00D377CE">
            <w:pPr>
              <w:jc w:val="both"/>
              <w:rPr>
                <w:rFonts w:ascii="Arial Narrow" w:hAnsi="Arial Narrow"/>
                <w:sz w:val="20"/>
                <w:szCs w:val="20"/>
              </w:rPr>
            </w:pPr>
          </w:p>
        </w:tc>
      </w:tr>
      <w:tr w:rsidR="009557D8" w:rsidRPr="00BE46E1" w:rsidTr="00A677B9">
        <w:tc>
          <w:tcPr>
            <w:tcW w:w="1134" w:type="dxa"/>
          </w:tcPr>
          <w:p w:rsidR="009557D8" w:rsidRPr="00BE46E1" w:rsidRDefault="009557D8" w:rsidP="00D377CE">
            <w:pPr>
              <w:jc w:val="both"/>
              <w:rPr>
                <w:rFonts w:ascii="Arial Narrow" w:hAnsi="Arial Narrow"/>
                <w:sz w:val="20"/>
                <w:szCs w:val="20"/>
              </w:rPr>
            </w:pPr>
            <w:r w:rsidRPr="00BE46E1">
              <w:rPr>
                <w:rFonts w:ascii="Arial Narrow" w:hAnsi="Arial Narrow"/>
                <w:sz w:val="20"/>
                <w:szCs w:val="20"/>
              </w:rPr>
              <w:t>Clinical claim</w:t>
            </w:r>
          </w:p>
        </w:tc>
        <w:tc>
          <w:tcPr>
            <w:tcW w:w="6946" w:type="dxa"/>
            <w:gridSpan w:val="2"/>
            <w:vMerge/>
          </w:tcPr>
          <w:p w:rsidR="009557D8" w:rsidRPr="00BE46E1" w:rsidRDefault="009557D8" w:rsidP="00D377CE">
            <w:pPr>
              <w:jc w:val="both"/>
              <w:rPr>
                <w:rFonts w:ascii="Arial Narrow" w:hAnsi="Arial Narrow"/>
                <w:sz w:val="20"/>
                <w:szCs w:val="20"/>
              </w:rPr>
            </w:pPr>
          </w:p>
        </w:tc>
      </w:tr>
    </w:tbl>
    <w:p w:rsidR="00D377CE" w:rsidRDefault="00D377CE" w:rsidP="00D377CE">
      <w:pPr>
        <w:jc w:val="both"/>
        <w:rPr>
          <w:rFonts w:ascii="Arial Narrow" w:hAnsi="Arial Narrow"/>
          <w:b/>
          <w:sz w:val="20"/>
          <w:szCs w:val="20"/>
        </w:rPr>
      </w:pPr>
    </w:p>
    <w:p w:rsidR="00497E2B" w:rsidRDefault="00497E2B" w:rsidP="00411546">
      <w:pPr>
        <w:pStyle w:val="Heading1"/>
      </w:pPr>
      <w:r>
        <w:t>Consideration of the evidence</w:t>
      </w:r>
    </w:p>
    <w:p w:rsidR="00BE46E1" w:rsidRDefault="00BE46E1" w:rsidP="00D377CE">
      <w:pPr>
        <w:jc w:val="both"/>
        <w:rPr>
          <w:rFonts w:ascii="Arial Narrow" w:hAnsi="Arial Narrow"/>
          <w:b/>
          <w:sz w:val="20"/>
          <w:szCs w:val="20"/>
        </w:rPr>
      </w:pPr>
    </w:p>
    <w:p w:rsidR="00BF47CB" w:rsidRPr="00411546" w:rsidRDefault="00BF47CB" w:rsidP="00411546">
      <w:pPr>
        <w:pStyle w:val="Heading2"/>
      </w:pPr>
      <w:r w:rsidRPr="00411546">
        <w:t>Sponsor hearing</w:t>
      </w:r>
    </w:p>
    <w:p w:rsidR="00BF47CB" w:rsidRDefault="00BF47CB" w:rsidP="00BF47CB">
      <w:pPr>
        <w:jc w:val="both"/>
        <w:rPr>
          <w:rFonts w:ascii="Arial" w:hAnsi="Arial"/>
          <w:b/>
          <w:sz w:val="22"/>
          <w:szCs w:val="22"/>
        </w:rPr>
      </w:pPr>
    </w:p>
    <w:p w:rsidR="00BF47CB" w:rsidRDefault="00BF47CB" w:rsidP="0089657F">
      <w:pPr>
        <w:pStyle w:val="ListParagraph"/>
        <w:numPr>
          <w:ilvl w:val="1"/>
          <w:numId w:val="1"/>
        </w:numPr>
        <w:jc w:val="both"/>
        <w:rPr>
          <w:rFonts w:ascii="Arial" w:hAnsi="Arial"/>
          <w:sz w:val="22"/>
          <w:szCs w:val="22"/>
        </w:rPr>
      </w:pPr>
      <w:r w:rsidRPr="00F1150D">
        <w:rPr>
          <w:rFonts w:ascii="Arial" w:hAnsi="Arial"/>
          <w:sz w:val="22"/>
          <w:szCs w:val="22"/>
        </w:rPr>
        <w:t>There was no hearing for this item as it was a minor submission.</w:t>
      </w:r>
    </w:p>
    <w:p w:rsidR="00BF47CB" w:rsidRDefault="00BF47CB" w:rsidP="00BF47CB">
      <w:pPr>
        <w:jc w:val="both"/>
        <w:rPr>
          <w:rFonts w:ascii="Arial" w:hAnsi="Arial"/>
          <w:sz w:val="22"/>
          <w:szCs w:val="22"/>
        </w:rPr>
      </w:pPr>
    </w:p>
    <w:p w:rsidR="00BF47CB" w:rsidRDefault="00BF47CB" w:rsidP="00411546">
      <w:pPr>
        <w:pStyle w:val="Heading2"/>
      </w:pPr>
      <w:r>
        <w:t>Consumer comments</w:t>
      </w:r>
    </w:p>
    <w:p w:rsidR="00BF47CB" w:rsidRPr="00F1150D" w:rsidRDefault="00BF47CB" w:rsidP="00BF47CB">
      <w:pPr>
        <w:jc w:val="both"/>
        <w:rPr>
          <w:rFonts w:ascii="Arial" w:hAnsi="Arial"/>
          <w:b/>
          <w:sz w:val="22"/>
          <w:szCs w:val="22"/>
        </w:rPr>
      </w:pPr>
    </w:p>
    <w:p w:rsidR="00BF47CB" w:rsidRPr="00BF47CB" w:rsidRDefault="00BF47CB" w:rsidP="0089657F">
      <w:pPr>
        <w:pStyle w:val="ListParagraph"/>
        <w:numPr>
          <w:ilvl w:val="1"/>
          <w:numId w:val="1"/>
        </w:numPr>
        <w:jc w:val="both"/>
        <w:rPr>
          <w:rFonts w:ascii="Arial" w:hAnsi="Arial"/>
          <w:sz w:val="22"/>
          <w:szCs w:val="22"/>
        </w:rPr>
      </w:pPr>
      <w:r w:rsidRPr="00BF47CB">
        <w:rPr>
          <w:rFonts w:ascii="Arial" w:hAnsi="Arial"/>
          <w:sz w:val="22"/>
          <w:szCs w:val="22"/>
        </w:rPr>
        <w:t>The PBAC noted that no consumer comments were received for this item.</w:t>
      </w:r>
    </w:p>
    <w:p w:rsidR="0036181A" w:rsidRPr="00521894" w:rsidRDefault="0036181A" w:rsidP="00223360">
      <w:pPr>
        <w:tabs>
          <w:tab w:val="left" w:pos="7377"/>
        </w:tabs>
        <w:jc w:val="both"/>
        <w:rPr>
          <w:rFonts w:ascii="Arial" w:hAnsi="Arial" w:cs="Arial"/>
          <w:i/>
          <w:sz w:val="22"/>
          <w:szCs w:val="22"/>
        </w:rPr>
      </w:pPr>
    </w:p>
    <w:p w:rsidR="0036181A" w:rsidRPr="001B7DD6" w:rsidRDefault="0036181A" w:rsidP="00411546">
      <w:pPr>
        <w:pStyle w:val="Heading2"/>
      </w:pPr>
      <w:r w:rsidRPr="001B7DD6">
        <w:t>Drug cost/patient/course: $</w:t>
      </w:r>
      <w:r w:rsidR="002C5C5C">
        <w:rPr>
          <w:noProof/>
          <w:color w:val="000000"/>
          <w:highlight w:val="black"/>
        </w:rPr>
        <w:t>'''''''''''''</w:t>
      </w:r>
    </w:p>
    <w:p w:rsidR="0036181A" w:rsidRPr="0036181A" w:rsidRDefault="0036181A" w:rsidP="0036181A">
      <w:pPr>
        <w:pStyle w:val="ListParagraph"/>
        <w:jc w:val="both"/>
        <w:rPr>
          <w:rFonts w:ascii="Arial" w:hAnsi="Arial"/>
          <w:sz w:val="22"/>
          <w:szCs w:val="22"/>
        </w:rPr>
      </w:pPr>
    </w:p>
    <w:p w:rsidR="00BF47CB" w:rsidRPr="00223360" w:rsidRDefault="0036181A" w:rsidP="00223360">
      <w:pPr>
        <w:pStyle w:val="ListParagraph"/>
        <w:numPr>
          <w:ilvl w:val="1"/>
          <w:numId w:val="1"/>
        </w:numPr>
        <w:jc w:val="both"/>
        <w:rPr>
          <w:rFonts w:ascii="Arial" w:hAnsi="Arial"/>
          <w:sz w:val="22"/>
          <w:szCs w:val="22"/>
        </w:rPr>
      </w:pPr>
      <w:r w:rsidRPr="00223360">
        <w:rPr>
          <w:rFonts w:ascii="Arial" w:hAnsi="Arial"/>
          <w:sz w:val="22"/>
          <w:szCs w:val="22"/>
        </w:rPr>
        <w:t>This was based on a mean duration of treatment of 11.4 months (mean progression free survival duration estimated in the economic model, November 2015 resubmission), 92.7% dose intensity, and cost of $</w:t>
      </w:r>
      <w:r w:rsidR="002C5C5C">
        <w:rPr>
          <w:rFonts w:ascii="Arial" w:hAnsi="Arial"/>
          <w:noProof/>
          <w:color w:val="000000"/>
          <w:sz w:val="22"/>
          <w:szCs w:val="22"/>
          <w:highlight w:val="black"/>
        </w:rPr>
        <w:t>'''''''''''''''''''</w:t>
      </w:r>
      <w:r w:rsidRPr="00223360">
        <w:rPr>
          <w:rFonts w:ascii="Arial" w:hAnsi="Arial"/>
          <w:sz w:val="22"/>
          <w:szCs w:val="22"/>
        </w:rPr>
        <w:t xml:space="preserve"> per pack (60 tablets</w:t>
      </w:r>
      <w:r w:rsidR="001B7DD6" w:rsidRPr="00223360">
        <w:rPr>
          <w:rFonts w:ascii="Arial" w:hAnsi="Arial"/>
          <w:sz w:val="22"/>
          <w:szCs w:val="22"/>
        </w:rPr>
        <w:t>, as proposed in the pre-PBAC response</w:t>
      </w:r>
      <w:r w:rsidRPr="00223360">
        <w:rPr>
          <w:rFonts w:ascii="Arial" w:hAnsi="Arial"/>
          <w:sz w:val="22"/>
          <w:szCs w:val="22"/>
        </w:rPr>
        <w:t>).</w:t>
      </w:r>
    </w:p>
    <w:p w:rsidR="0030526A" w:rsidRPr="00BE46E1" w:rsidRDefault="0030526A" w:rsidP="00D377CE">
      <w:pPr>
        <w:jc w:val="both"/>
        <w:rPr>
          <w:rFonts w:ascii="Arial Narrow" w:hAnsi="Arial Narrow"/>
          <w:b/>
          <w:sz w:val="20"/>
          <w:szCs w:val="20"/>
        </w:rPr>
      </w:pPr>
    </w:p>
    <w:p w:rsidR="00802E97" w:rsidRPr="00BE46E1" w:rsidRDefault="00802E97" w:rsidP="00411546">
      <w:pPr>
        <w:pStyle w:val="Heading2"/>
      </w:pPr>
      <w:bookmarkStart w:id="2" w:name="_Toc429999412"/>
      <w:r w:rsidRPr="00BE46E1">
        <w:t>Estimated PBS usage &amp; financial implications</w:t>
      </w:r>
      <w:bookmarkEnd w:id="2"/>
    </w:p>
    <w:p w:rsidR="000F3F64" w:rsidRPr="00BE46E1" w:rsidRDefault="000F3F64" w:rsidP="000F3F64">
      <w:pPr>
        <w:jc w:val="both"/>
        <w:rPr>
          <w:rFonts w:ascii="Arial" w:hAnsi="Arial" w:cs="Arial"/>
          <w:snapToGrid w:val="0"/>
          <w:sz w:val="22"/>
          <w:szCs w:val="22"/>
          <w:lang w:eastAsia="en-US"/>
        </w:rPr>
      </w:pPr>
    </w:p>
    <w:p w:rsidR="00802E97" w:rsidRPr="00BE46E1" w:rsidRDefault="00826B37" w:rsidP="0089657F">
      <w:pPr>
        <w:keepNext/>
        <w:widowControl w:val="0"/>
        <w:numPr>
          <w:ilvl w:val="1"/>
          <w:numId w:val="1"/>
        </w:numPr>
        <w:contextualSpacing/>
        <w:jc w:val="both"/>
        <w:rPr>
          <w:rFonts w:ascii="Arial" w:hAnsi="Arial" w:cs="Arial"/>
          <w:snapToGrid w:val="0"/>
          <w:sz w:val="22"/>
          <w:szCs w:val="22"/>
          <w:lang w:eastAsia="en-US"/>
        </w:rPr>
      </w:pPr>
      <w:r>
        <w:rPr>
          <w:rFonts w:ascii="Arial" w:hAnsi="Arial" w:cs="Arial"/>
          <w:snapToGrid w:val="0"/>
          <w:sz w:val="22"/>
          <w:szCs w:val="20"/>
          <w:lang w:eastAsia="en-US"/>
        </w:rPr>
        <w:t>Applying the requested price from the pre-PBAC response, t</w:t>
      </w:r>
      <w:r w:rsidRPr="00BE46E1">
        <w:rPr>
          <w:rFonts w:ascii="Arial" w:hAnsi="Arial" w:cs="Arial"/>
          <w:snapToGrid w:val="0"/>
          <w:sz w:val="22"/>
          <w:szCs w:val="20"/>
          <w:lang w:eastAsia="en-US"/>
        </w:rPr>
        <w:t xml:space="preserve">he </w:t>
      </w:r>
      <w:r w:rsidR="000F3F64" w:rsidRPr="00BE46E1">
        <w:rPr>
          <w:rFonts w:ascii="Arial" w:hAnsi="Arial" w:cs="Arial"/>
          <w:snapToGrid w:val="0"/>
          <w:sz w:val="22"/>
          <w:szCs w:val="20"/>
          <w:lang w:eastAsia="en-US"/>
        </w:rPr>
        <w:t xml:space="preserve">net cost </w:t>
      </w:r>
      <w:r w:rsidR="00D02AA8" w:rsidRPr="00BE46E1">
        <w:rPr>
          <w:rFonts w:ascii="Arial" w:hAnsi="Arial" w:cs="Arial"/>
          <w:snapToGrid w:val="0"/>
          <w:sz w:val="22"/>
          <w:szCs w:val="20"/>
          <w:lang w:eastAsia="en-US"/>
        </w:rPr>
        <w:t xml:space="preserve">of </w:t>
      </w:r>
      <w:proofErr w:type="spellStart"/>
      <w:r w:rsidR="00D02AA8" w:rsidRPr="00BE46E1">
        <w:rPr>
          <w:rFonts w:ascii="Arial" w:hAnsi="Arial" w:cs="Arial"/>
          <w:snapToGrid w:val="0"/>
          <w:sz w:val="22"/>
          <w:szCs w:val="20"/>
          <w:lang w:eastAsia="en-US"/>
        </w:rPr>
        <w:t>idelalisib</w:t>
      </w:r>
      <w:proofErr w:type="spellEnd"/>
      <w:r w:rsidR="00E235B8" w:rsidRPr="00BE46E1">
        <w:rPr>
          <w:rFonts w:ascii="Arial" w:hAnsi="Arial" w:cs="Arial"/>
          <w:snapToGrid w:val="0"/>
          <w:sz w:val="22"/>
          <w:szCs w:val="20"/>
          <w:lang w:eastAsia="en-US"/>
        </w:rPr>
        <w:t xml:space="preserve"> (FL)</w:t>
      </w:r>
      <w:r w:rsidR="00D02AA8" w:rsidRPr="00BE46E1">
        <w:rPr>
          <w:rFonts w:ascii="Arial" w:hAnsi="Arial" w:cs="Arial"/>
          <w:snapToGrid w:val="0"/>
          <w:sz w:val="22"/>
          <w:szCs w:val="20"/>
          <w:lang w:eastAsia="en-US"/>
        </w:rPr>
        <w:t xml:space="preserve"> </w:t>
      </w:r>
      <w:r w:rsidR="000F3F64" w:rsidRPr="00BE46E1">
        <w:rPr>
          <w:rFonts w:ascii="Arial" w:hAnsi="Arial" w:cs="Arial"/>
          <w:snapToGrid w:val="0"/>
          <w:sz w:val="22"/>
          <w:szCs w:val="20"/>
          <w:lang w:eastAsia="en-US"/>
        </w:rPr>
        <w:t xml:space="preserve">to government </w:t>
      </w:r>
      <w:r w:rsidR="00D02AA8" w:rsidRPr="00BE46E1">
        <w:rPr>
          <w:rFonts w:ascii="Arial" w:hAnsi="Arial" w:cs="Arial"/>
          <w:snapToGrid w:val="0"/>
          <w:sz w:val="22"/>
          <w:szCs w:val="20"/>
          <w:lang w:eastAsia="en-US"/>
        </w:rPr>
        <w:t>is</w:t>
      </w:r>
      <w:r w:rsidR="000F3F64" w:rsidRPr="00BE46E1">
        <w:rPr>
          <w:rFonts w:ascii="Arial" w:hAnsi="Arial" w:cs="Arial"/>
          <w:snapToGrid w:val="0"/>
          <w:sz w:val="22"/>
          <w:szCs w:val="20"/>
          <w:lang w:eastAsia="en-US"/>
        </w:rPr>
        <w:t xml:space="preserve"> estimated to be </w:t>
      </w:r>
      <w:r w:rsidR="00784E13">
        <w:rPr>
          <w:rFonts w:ascii="Arial" w:hAnsi="Arial" w:cs="Arial"/>
          <w:snapToGrid w:val="0"/>
          <w:sz w:val="22"/>
          <w:szCs w:val="20"/>
          <w:lang w:eastAsia="en-US"/>
        </w:rPr>
        <w:t xml:space="preserve">less than </w:t>
      </w:r>
      <w:r w:rsidR="000F3F64" w:rsidRPr="00BE46E1">
        <w:rPr>
          <w:rFonts w:ascii="Arial" w:hAnsi="Arial" w:cs="Arial"/>
          <w:snapToGrid w:val="0"/>
          <w:sz w:val="22"/>
          <w:szCs w:val="20"/>
          <w:lang w:eastAsia="en-US"/>
        </w:rPr>
        <w:t>$</w:t>
      </w:r>
      <w:r w:rsidR="00784E13">
        <w:rPr>
          <w:rFonts w:ascii="Arial" w:hAnsi="Arial" w:cs="Arial"/>
          <w:snapToGrid w:val="0"/>
          <w:sz w:val="22"/>
          <w:szCs w:val="20"/>
          <w:lang w:eastAsia="en-US"/>
        </w:rPr>
        <w:t>10</w:t>
      </w:r>
      <w:r w:rsidR="000F3F64" w:rsidRPr="00BE46E1">
        <w:rPr>
          <w:rFonts w:ascii="Arial" w:hAnsi="Arial" w:cs="Arial"/>
          <w:snapToGrid w:val="0"/>
          <w:sz w:val="22"/>
          <w:szCs w:val="20"/>
          <w:lang w:eastAsia="en-US"/>
        </w:rPr>
        <w:t xml:space="preserve"> million over </w:t>
      </w:r>
      <w:r w:rsidR="00496494" w:rsidRPr="00BE46E1">
        <w:rPr>
          <w:rFonts w:ascii="Arial" w:hAnsi="Arial" w:cs="Arial"/>
          <w:snapToGrid w:val="0"/>
          <w:sz w:val="22"/>
          <w:szCs w:val="20"/>
          <w:lang w:eastAsia="en-US"/>
        </w:rPr>
        <w:t>the first five years of listing. The previous November 2015 PBAC submission was</w:t>
      </w:r>
      <w:r w:rsidR="000F3F64" w:rsidRPr="00BE46E1">
        <w:rPr>
          <w:rFonts w:ascii="Arial" w:hAnsi="Arial" w:cs="Arial"/>
          <w:snapToGrid w:val="0"/>
          <w:sz w:val="22"/>
          <w:szCs w:val="20"/>
          <w:lang w:eastAsia="en-US"/>
        </w:rPr>
        <w:t xml:space="preserve"> $</w:t>
      </w:r>
      <w:r w:rsidR="00784E13">
        <w:rPr>
          <w:rFonts w:ascii="Arial" w:hAnsi="Arial" w:cs="Arial"/>
          <w:snapToGrid w:val="0"/>
          <w:sz w:val="22"/>
          <w:szCs w:val="20"/>
          <w:lang w:eastAsia="en-US"/>
        </w:rPr>
        <w:t>10 - $20</w:t>
      </w:r>
      <w:r w:rsidR="00496494" w:rsidRPr="00BE46E1">
        <w:rPr>
          <w:rFonts w:ascii="Arial" w:hAnsi="Arial" w:cs="Arial"/>
          <w:snapToGrid w:val="0"/>
          <w:sz w:val="22"/>
          <w:szCs w:val="20"/>
          <w:lang w:eastAsia="en-US"/>
        </w:rPr>
        <w:t xml:space="preserve"> million.</w:t>
      </w:r>
      <w:r w:rsidR="001B7DD6">
        <w:rPr>
          <w:rFonts w:ascii="Arial" w:hAnsi="Arial" w:cs="Arial"/>
          <w:snapToGrid w:val="0"/>
          <w:sz w:val="22"/>
          <w:szCs w:val="20"/>
          <w:lang w:eastAsia="en-US"/>
        </w:rPr>
        <w:t xml:space="preserve"> </w:t>
      </w:r>
      <w:r>
        <w:rPr>
          <w:rFonts w:ascii="Arial" w:hAnsi="Arial" w:cs="Arial"/>
          <w:snapToGrid w:val="0"/>
          <w:sz w:val="22"/>
          <w:szCs w:val="20"/>
          <w:lang w:eastAsia="en-US"/>
        </w:rPr>
        <w:t xml:space="preserve"> In year 5, the cost to the PBS/RPBS was estimated to be </w:t>
      </w:r>
      <w:r w:rsidR="00784E13">
        <w:rPr>
          <w:rFonts w:ascii="Arial" w:hAnsi="Arial" w:cs="Arial"/>
          <w:snapToGrid w:val="0"/>
          <w:sz w:val="22"/>
          <w:szCs w:val="20"/>
          <w:lang w:eastAsia="en-US"/>
        </w:rPr>
        <w:t xml:space="preserve">less than </w:t>
      </w:r>
      <w:r w:rsidR="00784E13" w:rsidRPr="00BE46E1">
        <w:rPr>
          <w:rFonts w:ascii="Arial" w:hAnsi="Arial" w:cs="Arial"/>
          <w:snapToGrid w:val="0"/>
          <w:sz w:val="22"/>
          <w:szCs w:val="20"/>
          <w:lang w:eastAsia="en-US"/>
        </w:rPr>
        <w:t>$</w:t>
      </w:r>
      <w:r w:rsidR="00784E13">
        <w:rPr>
          <w:rFonts w:ascii="Arial" w:hAnsi="Arial" w:cs="Arial"/>
          <w:snapToGrid w:val="0"/>
          <w:sz w:val="22"/>
          <w:szCs w:val="20"/>
          <w:lang w:eastAsia="en-US"/>
        </w:rPr>
        <w:t>10</w:t>
      </w:r>
      <w:r>
        <w:rPr>
          <w:rFonts w:ascii="Arial" w:hAnsi="Arial" w:cs="Arial"/>
          <w:snapToGrid w:val="0"/>
          <w:sz w:val="22"/>
          <w:szCs w:val="20"/>
          <w:lang w:eastAsia="en-US"/>
        </w:rPr>
        <w:t xml:space="preserve">, </w:t>
      </w:r>
      <w:r w:rsidR="00FE64DB">
        <w:rPr>
          <w:rFonts w:ascii="Arial" w:hAnsi="Arial" w:cs="Arial"/>
          <w:snapToGrid w:val="0"/>
          <w:sz w:val="22"/>
          <w:szCs w:val="20"/>
          <w:lang w:eastAsia="en-US"/>
        </w:rPr>
        <w:t>with</w:t>
      </w:r>
      <w:r>
        <w:rPr>
          <w:rFonts w:ascii="Arial" w:hAnsi="Arial" w:cs="Arial"/>
          <w:snapToGrid w:val="0"/>
          <w:sz w:val="22"/>
          <w:szCs w:val="20"/>
          <w:lang w:eastAsia="en-US"/>
        </w:rPr>
        <w:t xml:space="preserve"> </w:t>
      </w:r>
      <w:r w:rsidR="00784E13">
        <w:rPr>
          <w:rFonts w:ascii="Arial" w:hAnsi="Arial" w:cs="Arial"/>
          <w:snapToGrid w:val="0"/>
          <w:sz w:val="22"/>
          <w:szCs w:val="20"/>
          <w:lang w:eastAsia="en-US"/>
        </w:rPr>
        <w:t xml:space="preserve">less than 10,000 </w:t>
      </w:r>
      <w:r>
        <w:rPr>
          <w:rFonts w:ascii="Arial" w:hAnsi="Arial" w:cs="Arial"/>
          <w:snapToGrid w:val="0"/>
          <w:sz w:val="22"/>
          <w:szCs w:val="20"/>
          <w:lang w:eastAsia="en-US"/>
        </w:rPr>
        <w:t xml:space="preserve">patients estimated to be treated. </w:t>
      </w:r>
    </w:p>
    <w:p w:rsidR="009301D7" w:rsidRPr="00BE46E1" w:rsidRDefault="009301D7" w:rsidP="006D3486">
      <w:pPr>
        <w:keepNext/>
        <w:widowControl w:val="0"/>
        <w:contextualSpacing/>
        <w:jc w:val="both"/>
        <w:rPr>
          <w:rFonts w:ascii="Arial" w:hAnsi="Arial" w:cs="Arial"/>
          <w:snapToGrid w:val="0"/>
          <w:sz w:val="22"/>
          <w:szCs w:val="22"/>
          <w:lang w:eastAsia="en-US"/>
        </w:rPr>
      </w:pPr>
    </w:p>
    <w:p w:rsidR="003C3FAE" w:rsidRPr="00BE46E1" w:rsidRDefault="003C3FAE" w:rsidP="003C3FAE">
      <w:pPr>
        <w:ind w:firstLine="709"/>
        <w:rPr>
          <w:rStyle w:val="CommentReference"/>
          <w:rFonts w:ascii="Arial Narrow" w:hAnsi="Arial Narrow"/>
          <w:b/>
        </w:rPr>
      </w:pPr>
      <w:r w:rsidRPr="00BE46E1">
        <w:rPr>
          <w:rStyle w:val="CommentReference"/>
          <w:rFonts w:ascii="Arial Narrow" w:hAnsi="Arial Narrow"/>
          <w:b/>
          <w:sz w:val="20"/>
        </w:rPr>
        <w:t xml:space="preserve">Table </w:t>
      </w:r>
      <w:r w:rsidR="00A7389A" w:rsidRPr="00BE46E1">
        <w:rPr>
          <w:rStyle w:val="CommentReference"/>
          <w:rFonts w:ascii="Arial Narrow" w:hAnsi="Arial Narrow"/>
          <w:b/>
          <w:sz w:val="20"/>
        </w:rPr>
        <w:t>2</w:t>
      </w:r>
      <w:r w:rsidRPr="00BE46E1">
        <w:rPr>
          <w:rStyle w:val="CommentReference"/>
          <w:rFonts w:ascii="Arial Narrow" w:hAnsi="Arial Narrow"/>
          <w:b/>
          <w:sz w:val="20"/>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1"/>
        <w:gridCol w:w="988"/>
        <w:gridCol w:w="990"/>
        <w:gridCol w:w="990"/>
        <w:gridCol w:w="990"/>
        <w:gridCol w:w="986"/>
      </w:tblGrid>
      <w:tr w:rsidR="003C3FAE" w:rsidRPr="00BE46E1" w:rsidTr="00217622">
        <w:trPr>
          <w:cantSplit/>
          <w:tblHeader/>
        </w:trPr>
        <w:tc>
          <w:tcPr>
            <w:tcW w:w="2038" w:type="pct"/>
            <w:shd w:val="clear" w:color="auto" w:fill="auto"/>
            <w:vAlign w:val="center"/>
          </w:tcPr>
          <w:p w:rsidR="003C3FAE" w:rsidRPr="00BE46E1" w:rsidRDefault="003C3FAE" w:rsidP="00217622">
            <w:pPr>
              <w:tabs>
                <w:tab w:val="left" w:pos="142"/>
              </w:tabs>
              <w:ind w:right="93"/>
              <w:rPr>
                <w:rFonts w:ascii="Arial Narrow" w:hAnsi="Arial Narrow"/>
                <w:b/>
                <w:sz w:val="20"/>
                <w:szCs w:val="20"/>
              </w:rPr>
            </w:pPr>
          </w:p>
        </w:tc>
        <w:tc>
          <w:tcPr>
            <w:tcW w:w="592" w:type="pct"/>
            <w:shd w:val="clear" w:color="auto" w:fill="auto"/>
            <w:vAlign w:val="center"/>
          </w:tcPr>
          <w:p w:rsidR="003C3FAE" w:rsidRPr="00BE46E1" w:rsidRDefault="003C3FAE" w:rsidP="00217622">
            <w:pPr>
              <w:ind w:right="93"/>
              <w:jc w:val="center"/>
              <w:rPr>
                <w:rFonts w:ascii="Arial Narrow" w:hAnsi="Arial Narrow"/>
                <w:b/>
                <w:sz w:val="20"/>
                <w:szCs w:val="20"/>
              </w:rPr>
            </w:pPr>
            <w:r w:rsidRPr="00BE46E1">
              <w:rPr>
                <w:rFonts w:ascii="Arial Narrow" w:hAnsi="Arial Narrow"/>
                <w:b/>
                <w:sz w:val="20"/>
                <w:szCs w:val="20"/>
              </w:rPr>
              <w:t>Year 1</w:t>
            </w:r>
          </w:p>
        </w:tc>
        <w:tc>
          <w:tcPr>
            <w:tcW w:w="593" w:type="pct"/>
            <w:shd w:val="clear" w:color="auto" w:fill="auto"/>
            <w:vAlign w:val="center"/>
          </w:tcPr>
          <w:p w:rsidR="003C3FAE" w:rsidRPr="00BE46E1" w:rsidRDefault="003C3FAE" w:rsidP="00217622">
            <w:pPr>
              <w:ind w:right="93"/>
              <w:jc w:val="center"/>
              <w:rPr>
                <w:rFonts w:ascii="Arial Narrow" w:hAnsi="Arial Narrow"/>
                <w:b/>
                <w:sz w:val="20"/>
                <w:szCs w:val="20"/>
              </w:rPr>
            </w:pPr>
            <w:r w:rsidRPr="00BE46E1">
              <w:rPr>
                <w:rFonts w:ascii="Arial Narrow" w:hAnsi="Arial Narrow"/>
                <w:b/>
                <w:sz w:val="20"/>
                <w:szCs w:val="20"/>
              </w:rPr>
              <w:t>Year 2</w:t>
            </w:r>
          </w:p>
        </w:tc>
        <w:tc>
          <w:tcPr>
            <w:tcW w:w="593" w:type="pct"/>
            <w:shd w:val="clear" w:color="auto" w:fill="auto"/>
            <w:vAlign w:val="center"/>
          </w:tcPr>
          <w:p w:rsidR="003C3FAE" w:rsidRPr="00BE46E1" w:rsidRDefault="003C3FAE" w:rsidP="00217622">
            <w:pPr>
              <w:ind w:right="93"/>
              <w:jc w:val="center"/>
              <w:rPr>
                <w:rFonts w:ascii="Arial Narrow" w:hAnsi="Arial Narrow"/>
                <w:b/>
                <w:sz w:val="20"/>
                <w:szCs w:val="20"/>
              </w:rPr>
            </w:pPr>
            <w:r w:rsidRPr="00BE46E1">
              <w:rPr>
                <w:rFonts w:ascii="Arial Narrow" w:hAnsi="Arial Narrow"/>
                <w:b/>
                <w:sz w:val="20"/>
                <w:szCs w:val="20"/>
              </w:rPr>
              <w:t>Year 3</w:t>
            </w:r>
          </w:p>
        </w:tc>
        <w:tc>
          <w:tcPr>
            <w:tcW w:w="593" w:type="pct"/>
            <w:shd w:val="clear" w:color="auto" w:fill="auto"/>
            <w:vAlign w:val="center"/>
          </w:tcPr>
          <w:p w:rsidR="003C3FAE" w:rsidRPr="00BE46E1" w:rsidRDefault="003C3FAE" w:rsidP="00217622">
            <w:pPr>
              <w:ind w:right="93"/>
              <w:jc w:val="center"/>
              <w:rPr>
                <w:rFonts w:ascii="Arial Narrow" w:hAnsi="Arial Narrow"/>
                <w:b/>
                <w:sz w:val="20"/>
                <w:szCs w:val="20"/>
              </w:rPr>
            </w:pPr>
            <w:r w:rsidRPr="00BE46E1">
              <w:rPr>
                <w:rFonts w:ascii="Arial Narrow" w:hAnsi="Arial Narrow"/>
                <w:b/>
                <w:sz w:val="20"/>
                <w:szCs w:val="20"/>
              </w:rPr>
              <w:t>Year 4</w:t>
            </w:r>
          </w:p>
        </w:tc>
        <w:tc>
          <w:tcPr>
            <w:tcW w:w="591" w:type="pct"/>
            <w:shd w:val="clear" w:color="auto" w:fill="auto"/>
            <w:vAlign w:val="center"/>
          </w:tcPr>
          <w:p w:rsidR="003C3FAE" w:rsidRPr="00BE46E1" w:rsidRDefault="003C3FAE" w:rsidP="00217622">
            <w:pPr>
              <w:ind w:right="93"/>
              <w:jc w:val="center"/>
              <w:rPr>
                <w:rFonts w:ascii="Arial Narrow" w:hAnsi="Arial Narrow"/>
                <w:b/>
                <w:sz w:val="20"/>
                <w:szCs w:val="20"/>
              </w:rPr>
            </w:pPr>
            <w:r w:rsidRPr="00BE46E1">
              <w:rPr>
                <w:rFonts w:ascii="Arial Narrow" w:hAnsi="Arial Narrow"/>
                <w:b/>
                <w:sz w:val="20"/>
                <w:szCs w:val="20"/>
              </w:rPr>
              <w:t>Year 5</w:t>
            </w:r>
          </w:p>
        </w:tc>
      </w:tr>
      <w:tr w:rsidR="003C3FAE" w:rsidRPr="00BE46E1" w:rsidTr="00217622">
        <w:trPr>
          <w:cantSplit/>
        </w:trPr>
        <w:tc>
          <w:tcPr>
            <w:tcW w:w="5000" w:type="pct"/>
            <w:gridSpan w:val="6"/>
            <w:shd w:val="clear" w:color="auto" w:fill="auto"/>
            <w:vAlign w:val="center"/>
          </w:tcPr>
          <w:p w:rsidR="003C3FAE" w:rsidRPr="00BE46E1" w:rsidRDefault="003C3FAE" w:rsidP="00217622">
            <w:pPr>
              <w:ind w:right="93"/>
              <w:rPr>
                <w:rFonts w:ascii="Arial Narrow" w:hAnsi="Arial Narrow"/>
                <w:b/>
                <w:bCs/>
                <w:sz w:val="20"/>
                <w:szCs w:val="20"/>
              </w:rPr>
            </w:pPr>
            <w:r w:rsidRPr="00BE46E1">
              <w:rPr>
                <w:rFonts w:ascii="Arial Narrow" w:hAnsi="Arial Narrow"/>
                <w:b/>
                <w:bCs/>
                <w:sz w:val="20"/>
                <w:szCs w:val="20"/>
              </w:rPr>
              <w:t>Estimated extent of use</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Number treated – March 2015</w:t>
            </w:r>
          </w:p>
        </w:tc>
        <w:tc>
          <w:tcPr>
            <w:tcW w:w="592"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3"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3"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3"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1"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 xml:space="preserve">Number treated </w:t>
            </w:r>
            <w:r w:rsidR="006368D4" w:rsidRPr="00BE46E1">
              <w:rPr>
                <w:rFonts w:ascii="Arial Narrow" w:hAnsi="Arial Narrow"/>
                <w:sz w:val="20"/>
                <w:szCs w:val="20"/>
              </w:rPr>
              <w:t>– November 2015</w:t>
            </w:r>
          </w:p>
        </w:tc>
        <w:tc>
          <w:tcPr>
            <w:tcW w:w="592"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3"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3"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3"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c>
          <w:tcPr>
            <w:tcW w:w="591" w:type="pct"/>
            <w:shd w:val="clear" w:color="auto" w:fill="auto"/>
            <w:vAlign w:val="center"/>
          </w:tcPr>
          <w:p w:rsidR="003C3FAE" w:rsidRPr="002C5C5C" w:rsidRDefault="002C5C5C" w:rsidP="00217622">
            <w:pPr>
              <w:pStyle w:val="Tabletext"/>
              <w:jc w:val="center"/>
              <w:rPr>
                <w:rFonts w:ascii="Arial Narrow" w:hAnsi="Arial Narrow"/>
                <w:highlight w:val="black"/>
              </w:rPr>
            </w:pPr>
            <w:r>
              <w:rPr>
                <w:rFonts w:ascii="Arial Narrow" w:hAnsi="Arial Narrow"/>
                <w:noProof/>
                <w:color w:val="000000"/>
                <w:highlight w:val="black"/>
              </w:rPr>
              <w:t>''''''''''</w:t>
            </w:r>
          </w:p>
        </w:tc>
      </w:tr>
      <w:tr w:rsidR="006368D4" w:rsidRPr="00BE46E1" w:rsidTr="00217622">
        <w:trPr>
          <w:cantSplit/>
        </w:trPr>
        <w:tc>
          <w:tcPr>
            <w:tcW w:w="2038" w:type="pct"/>
            <w:shd w:val="clear" w:color="auto" w:fill="auto"/>
            <w:vAlign w:val="center"/>
          </w:tcPr>
          <w:p w:rsidR="006368D4" w:rsidRPr="00BE46E1" w:rsidRDefault="0090140A" w:rsidP="00217622">
            <w:pPr>
              <w:tabs>
                <w:tab w:val="left" w:pos="142"/>
              </w:tabs>
              <w:ind w:right="93"/>
              <w:rPr>
                <w:rFonts w:ascii="Arial Narrow" w:hAnsi="Arial Narrow"/>
                <w:sz w:val="20"/>
                <w:szCs w:val="20"/>
              </w:rPr>
            </w:pPr>
            <w:r w:rsidRPr="00BE46E1">
              <w:rPr>
                <w:rFonts w:ascii="Arial Narrow" w:hAnsi="Arial Narrow"/>
                <w:sz w:val="20"/>
                <w:szCs w:val="20"/>
              </w:rPr>
              <w:t xml:space="preserve">Number treated- </w:t>
            </w:r>
            <w:r w:rsidR="006C7849">
              <w:rPr>
                <w:rFonts w:ascii="Arial Narrow" w:hAnsi="Arial Narrow"/>
                <w:sz w:val="20"/>
                <w:szCs w:val="20"/>
              </w:rPr>
              <w:t xml:space="preserve">this resubmission (as in </w:t>
            </w:r>
            <w:r w:rsidR="006C7849" w:rsidRPr="00BE46E1">
              <w:rPr>
                <w:rFonts w:ascii="Arial Narrow" w:hAnsi="Arial Narrow"/>
                <w:sz w:val="20"/>
                <w:szCs w:val="20"/>
              </w:rPr>
              <w:t>Nov</w:t>
            </w:r>
            <w:r w:rsidR="006C7849">
              <w:rPr>
                <w:rFonts w:ascii="Arial Narrow" w:hAnsi="Arial Narrow"/>
                <w:sz w:val="20"/>
                <w:szCs w:val="20"/>
              </w:rPr>
              <w:t>ember</w:t>
            </w:r>
            <w:r w:rsidR="006C7849" w:rsidRPr="00BE46E1">
              <w:rPr>
                <w:rFonts w:ascii="Arial Narrow" w:hAnsi="Arial Narrow"/>
                <w:sz w:val="20"/>
                <w:szCs w:val="20"/>
              </w:rPr>
              <w:t>2015 PSCR</w:t>
            </w:r>
            <w:r w:rsidR="006C7849">
              <w:rPr>
                <w:rFonts w:ascii="Arial Narrow" w:hAnsi="Arial Narrow"/>
                <w:sz w:val="20"/>
                <w:szCs w:val="20"/>
              </w:rPr>
              <w:t>)</w:t>
            </w:r>
          </w:p>
        </w:tc>
        <w:tc>
          <w:tcPr>
            <w:tcW w:w="592" w:type="pct"/>
            <w:shd w:val="clear" w:color="auto" w:fill="auto"/>
            <w:vAlign w:val="center"/>
          </w:tcPr>
          <w:p w:rsidR="006368D4" w:rsidRPr="002C5C5C" w:rsidRDefault="002C5C5C" w:rsidP="00217622">
            <w:pPr>
              <w:pStyle w:val="Tabletext"/>
              <w:jc w:val="center"/>
              <w:rPr>
                <w:rFonts w:ascii="Arial Narrow" w:hAnsi="Arial Narrow"/>
                <w:b/>
                <w:highlight w:val="black"/>
              </w:rPr>
            </w:pPr>
            <w:r>
              <w:rPr>
                <w:rFonts w:ascii="Arial Narrow" w:hAnsi="Arial Narrow"/>
                <w:b/>
                <w:noProof/>
                <w:color w:val="000000"/>
                <w:highlight w:val="black"/>
              </w:rPr>
              <w:t>''''</w:t>
            </w:r>
          </w:p>
        </w:tc>
        <w:tc>
          <w:tcPr>
            <w:tcW w:w="593" w:type="pct"/>
            <w:shd w:val="clear" w:color="auto" w:fill="auto"/>
            <w:vAlign w:val="center"/>
          </w:tcPr>
          <w:p w:rsidR="006368D4" w:rsidRPr="002C5C5C" w:rsidRDefault="002C5C5C" w:rsidP="00217622">
            <w:pPr>
              <w:pStyle w:val="Tabletext"/>
              <w:jc w:val="center"/>
              <w:rPr>
                <w:rFonts w:ascii="Arial Narrow" w:hAnsi="Arial Narrow"/>
                <w:b/>
                <w:highlight w:val="black"/>
              </w:rPr>
            </w:pPr>
            <w:r>
              <w:rPr>
                <w:rFonts w:ascii="Arial Narrow" w:hAnsi="Arial Narrow"/>
                <w:b/>
                <w:noProof/>
                <w:color w:val="000000"/>
                <w:highlight w:val="black"/>
              </w:rPr>
              <w:t>'''''</w:t>
            </w:r>
          </w:p>
        </w:tc>
        <w:tc>
          <w:tcPr>
            <w:tcW w:w="593" w:type="pct"/>
            <w:shd w:val="clear" w:color="auto" w:fill="auto"/>
            <w:vAlign w:val="center"/>
          </w:tcPr>
          <w:p w:rsidR="006368D4" w:rsidRPr="002C5C5C" w:rsidRDefault="002C5C5C" w:rsidP="00217622">
            <w:pPr>
              <w:pStyle w:val="Tabletext"/>
              <w:jc w:val="center"/>
              <w:rPr>
                <w:rFonts w:ascii="Arial Narrow" w:hAnsi="Arial Narrow"/>
                <w:b/>
                <w:highlight w:val="black"/>
              </w:rPr>
            </w:pPr>
            <w:r>
              <w:rPr>
                <w:rFonts w:ascii="Arial Narrow" w:hAnsi="Arial Narrow"/>
                <w:b/>
                <w:noProof/>
                <w:color w:val="000000"/>
                <w:highlight w:val="black"/>
              </w:rPr>
              <w:t>'''''</w:t>
            </w:r>
          </w:p>
        </w:tc>
        <w:tc>
          <w:tcPr>
            <w:tcW w:w="593" w:type="pct"/>
            <w:shd w:val="clear" w:color="auto" w:fill="auto"/>
            <w:vAlign w:val="center"/>
          </w:tcPr>
          <w:p w:rsidR="006368D4" w:rsidRPr="002C5C5C" w:rsidRDefault="002C5C5C" w:rsidP="00217622">
            <w:pPr>
              <w:pStyle w:val="Tabletext"/>
              <w:jc w:val="center"/>
              <w:rPr>
                <w:rFonts w:ascii="Arial Narrow" w:hAnsi="Arial Narrow"/>
                <w:b/>
                <w:highlight w:val="black"/>
              </w:rPr>
            </w:pPr>
            <w:r>
              <w:rPr>
                <w:rFonts w:ascii="Arial Narrow" w:hAnsi="Arial Narrow"/>
                <w:b/>
                <w:noProof/>
                <w:color w:val="000000"/>
                <w:highlight w:val="black"/>
              </w:rPr>
              <w:t>''''''''</w:t>
            </w:r>
          </w:p>
        </w:tc>
        <w:tc>
          <w:tcPr>
            <w:tcW w:w="591" w:type="pct"/>
            <w:shd w:val="clear" w:color="auto" w:fill="auto"/>
            <w:vAlign w:val="center"/>
          </w:tcPr>
          <w:p w:rsidR="006368D4" w:rsidRPr="002C5C5C" w:rsidRDefault="002C5C5C" w:rsidP="00217622">
            <w:pPr>
              <w:pStyle w:val="Tabletext"/>
              <w:jc w:val="center"/>
              <w:rPr>
                <w:rFonts w:ascii="Arial Narrow" w:hAnsi="Arial Narrow"/>
                <w:b/>
                <w:highlight w:val="black"/>
              </w:rPr>
            </w:pPr>
            <w:r>
              <w:rPr>
                <w:rFonts w:ascii="Arial Narrow" w:hAnsi="Arial Narrow"/>
                <w:b/>
                <w:noProof/>
                <w:color w:val="000000"/>
                <w:highlight w:val="black"/>
              </w:rPr>
              <w:t>'''''''</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Uptake rate – March 2015</w:t>
            </w:r>
          </w:p>
        </w:tc>
        <w:tc>
          <w:tcPr>
            <w:tcW w:w="592"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35</w:t>
            </w:r>
            <w:r w:rsidRPr="00BE46E1">
              <w:rPr>
                <w:rFonts w:ascii="Arial Narrow" w:hAnsi="Arial Narrow"/>
              </w:rPr>
              <w:t>%</w:t>
            </w:r>
          </w:p>
        </w:tc>
        <w:tc>
          <w:tcPr>
            <w:tcW w:w="593"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55</w:t>
            </w:r>
            <w:r w:rsidRPr="00BE46E1">
              <w:rPr>
                <w:rFonts w:ascii="Arial Narrow" w:hAnsi="Arial Narrow"/>
              </w:rPr>
              <w:t>%</w:t>
            </w:r>
          </w:p>
        </w:tc>
        <w:tc>
          <w:tcPr>
            <w:tcW w:w="593"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65</w:t>
            </w:r>
            <w:r w:rsidRPr="00BE46E1">
              <w:rPr>
                <w:rFonts w:ascii="Arial Narrow" w:hAnsi="Arial Narrow"/>
              </w:rPr>
              <w:t>%</w:t>
            </w:r>
          </w:p>
        </w:tc>
        <w:tc>
          <w:tcPr>
            <w:tcW w:w="593"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70</w:t>
            </w:r>
            <w:r w:rsidRPr="00BE46E1">
              <w:rPr>
                <w:rFonts w:ascii="Arial Narrow" w:hAnsi="Arial Narrow"/>
              </w:rPr>
              <w:t>%</w:t>
            </w:r>
          </w:p>
        </w:tc>
        <w:tc>
          <w:tcPr>
            <w:tcW w:w="591"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80</w:t>
            </w:r>
            <w:r w:rsidRPr="00BE46E1">
              <w:rPr>
                <w:rFonts w:ascii="Arial Narrow" w:hAnsi="Arial Narrow"/>
              </w:rPr>
              <w:t>%</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 xml:space="preserve">Uptake rate </w:t>
            </w:r>
            <w:r w:rsidR="006368D4" w:rsidRPr="00BE46E1">
              <w:rPr>
                <w:rFonts w:ascii="Arial Narrow" w:hAnsi="Arial Narrow"/>
                <w:sz w:val="20"/>
                <w:szCs w:val="20"/>
              </w:rPr>
              <w:t>– November 2015</w:t>
            </w:r>
          </w:p>
        </w:tc>
        <w:tc>
          <w:tcPr>
            <w:tcW w:w="592"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35</w:t>
            </w:r>
            <w:r w:rsidRPr="00BE46E1">
              <w:rPr>
                <w:rFonts w:ascii="Arial Narrow" w:hAnsi="Arial Narrow"/>
              </w:rPr>
              <w:t>%</w:t>
            </w:r>
          </w:p>
        </w:tc>
        <w:tc>
          <w:tcPr>
            <w:tcW w:w="593"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55</w:t>
            </w:r>
            <w:r w:rsidRPr="00BE46E1">
              <w:rPr>
                <w:rFonts w:ascii="Arial Narrow" w:hAnsi="Arial Narrow"/>
              </w:rPr>
              <w:t>%</w:t>
            </w:r>
          </w:p>
        </w:tc>
        <w:tc>
          <w:tcPr>
            <w:tcW w:w="593"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65</w:t>
            </w:r>
            <w:r w:rsidRPr="00BE46E1">
              <w:rPr>
                <w:rFonts w:ascii="Arial Narrow" w:hAnsi="Arial Narrow"/>
              </w:rPr>
              <w:t>%</w:t>
            </w:r>
          </w:p>
        </w:tc>
        <w:tc>
          <w:tcPr>
            <w:tcW w:w="593"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70</w:t>
            </w:r>
            <w:r w:rsidRPr="00BE46E1">
              <w:rPr>
                <w:rFonts w:ascii="Arial Narrow" w:hAnsi="Arial Narrow"/>
              </w:rPr>
              <w:t>%</w:t>
            </w:r>
          </w:p>
        </w:tc>
        <w:tc>
          <w:tcPr>
            <w:tcW w:w="591" w:type="pct"/>
            <w:shd w:val="clear" w:color="auto" w:fill="auto"/>
            <w:vAlign w:val="center"/>
          </w:tcPr>
          <w:p w:rsidR="003C3FAE" w:rsidRPr="00BE46E1" w:rsidRDefault="003C3FAE" w:rsidP="00217622">
            <w:pPr>
              <w:pStyle w:val="Tabletext"/>
              <w:jc w:val="center"/>
              <w:rPr>
                <w:rFonts w:ascii="Arial Narrow" w:hAnsi="Arial Narrow"/>
              </w:rPr>
            </w:pPr>
            <w:r w:rsidRPr="0081586A">
              <w:rPr>
                <w:rFonts w:ascii="Arial Narrow" w:hAnsi="Arial Narrow"/>
              </w:rPr>
              <w:t>80</w:t>
            </w:r>
            <w:r w:rsidRPr="00BE46E1">
              <w:rPr>
                <w:rFonts w:ascii="Arial Narrow" w:hAnsi="Arial Narrow"/>
              </w:rPr>
              <w:t>%</w:t>
            </w:r>
          </w:p>
        </w:tc>
      </w:tr>
      <w:tr w:rsidR="006368D4" w:rsidRPr="00BE46E1" w:rsidTr="00217622">
        <w:trPr>
          <w:cantSplit/>
        </w:trPr>
        <w:tc>
          <w:tcPr>
            <w:tcW w:w="2038" w:type="pct"/>
            <w:shd w:val="clear" w:color="auto" w:fill="auto"/>
            <w:vAlign w:val="center"/>
          </w:tcPr>
          <w:p w:rsidR="006368D4" w:rsidRPr="00BE46E1" w:rsidRDefault="000D3726" w:rsidP="006C7849">
            <w:pPr>
              <w:tabs>
                <w:tab w:val="left" w:pos="142"/>
              </w:tabs>
              <w:ind w:right="93"/>
              <w:rPr>
                <w:rFonts w:ascii="Arial Narrow" w:hAnsi="Arial Narrow"/>
                <w:sz w:val="20"/>
                <w:szCs w:val="20"/>
              </w:rPr>
            </w:pPr>
            <w:r w:rsidRPr="00BE46E1">
              <w:rPr>
                <w:rFonts w:ascii="Arial Narrow" w:hAnsi="Arial Narrow"/>
                <w:sz w:val="20"/>
                <w:szCs w:val="20"/>
              </w:rPr>
              <w:t>Uptake rate</w:t>
            </w:r>
            <w:r w:rsidR="005065E6" w:rsidRPr="00BE46E1">
              <w:rPr>
                <w:rFonts w:ascii="Arial Narrow" w:hAnsi="Arial Narrow"/>
                <w:sz w:val="20"/>
                <w:szCs w:val="20"/>
              </w:rPr>
              <w:t xml:space="preserve">- </w:t>
            </w:r>
            <w:r w:rsidR="006C7849">
              <w:rPr>
                <w:rFonts w:ascii="Arial Narrow" w:hAnsi="Arial Narrow"/>
                <w:sz w:val="20"/>
                <w:szCs w:val="20"/>
              </w:rPr>
              <w:t xml:space="preserve">this resubmission (as in </w:t>
            </w:r>
            <w:r w:rsidR="005065E6" w:rsidRPr="00BE46E1">
              <w:rPr>
                <w:rFonts w:ascii="Arial Narrow" w:hAnsi="Arial Narrow"/>
                <w:sz w:val="20"/>
                <w:szCs w:val="20"/>
              </w:rPr>
              <w:t>Nov</w:t>
            </w:r>
            <w:r w:rsidR="006C7849">
              <w:rPr>
                <w:rFonts w:ascii="Arial Narrow" w:hAnsi="Arial Narrow"/>
                <w:sz w:val="20"/>
                <w:szCs w:val="20"/>
              </w:rPr>
              <w:t>ember</w:t>
            </w:r>
            <w:r w:rsidR="005065E6" w:rsidRPr="00BE46E1">
              <w:rPr>
                <w:rFonts w:ascii="Arial Narrow" w:hAnsi="Arial Narrow"/>
                <w:sz w:val="20"/>
                <w:szCs w:val="20"/>
              </w:rPr>
              <w:t>2015 PSCR</w:t>
            </w:r>
            <w:r w:rsidR="006C7849">
              <w:rPr>
                <w:rFonts w:ascii="Arial Narrow" w:hAnsi="Arial Narrow"/>
                <w:sz w:val="20"/>
                <w:szCs w:val="20"/>
              </w:rPr>
              <w:t>)</w:t>
            </w:r>
          </w:p>
        </w:tc>
        <w:tc>
          <w:tcPr>
            <w:tcW w:w="592" w:type="pct"/>
            <w:shd w:val="clear" w:color="auto" w:fill="auto"/>
            <w:vAlign w:val="center"/>
          </w:tcPr>
          <w:p w:rsidR="006368D4" w:rsidRPr="00BE46E1" w:rsidRDefault="00960C79" w:rsidP="00217622">
            <w:pPr>
              <w:pStyle w:val="Tabletext"/>
              <w:jc w:val="center"/>
              <w:rPr>
                <w:rFonts w:ascii="Arial Narrow" w:hAnsi="Arial Narrow"/>
              </w:rPr>
            </w:pPr>
            <w:r w:rsidRPr="0081586A">
              <w:rPr>
                <w:rFonts w:ascii="Arial Narrow" w:hAnsi="Arial Narrow"/>
              </w:rPr>
              <w:t>42</w:t>
            </w:r>
            <w:r w:rsidRPr="00BE46E1">
              <w:rPr>
                <w:rFonts w:ascii="Arial Narrow" w:hAnsi="Arial Narrow"/>
              </w:rPr>
              <w:t>%</w:t>
            </w:r>
          </w:p>
        </w:tc>
        <w:tc>
          <w:tcPr>
            <w:tcW w:w="593" w:type="pct"/>
            <w:shd w:val="clear" w:color="auto" w:fill="auto"/>
            <w:vAlign w:val="center"/>
          </w:tcPr>
          <w:p w:rsidR="006368D4" w:rsidRPr="00BE46E1" w:rsidRDefault="00960C79" w:rsidP="00217622">
            <w:pPr>
              <w:pStyle w:val="Tabletext"/>
              <w:jc w:val="center"/>
              <w:rPr>
                <w:rFonts w:ascii="Arial Narrow" w:hAnsi="Arial Narrow"/>
              </w:rPr>
            </w:pPr>
            <w:r w:rsidRPr="0081586A">
              <w:rPr>
                <w:rFonts w:ascii="Arial Narrow" w:hAnsi="Arial Narrow"/>
              </w:rPr>
              <w:t>66</w:t>
            </w:r>
            <w:r w:rsidRPr="00BE46E1">
              <w:rPr>
                <w:rFonts w:ascii="Arial Narrow" w:hAnsi="Arial Narrow"/>
              </w:rPr>
              <w:t>%</w:t>
            </w:r>
          </w:p>
        </w:tc>
        <w:tc>
          <w:tcPr>
            <w:tcW w:w="593" w:type="pct"/>
            <w:shd w:val="clear" w:color="auto" w:fill="auto"/>
            <w:vAlign w:val="center"/>
          </w:tcPr>
          <w:p w:rsidR="006368D4" w:rsidRPr="00BE46E1" w:rsidRDefault="00960C79" w:rsidP="00217622">
            <w:pPr>
              <w:pStyle w:val="Tabletext"/>
              <w:jc w:val="center"/>
              <w:rPr>
                <w:rFonts w:ascii="Arial Narrow" w:hAnsi="Arial Narrow"/>
              </w:rPr>
            </w:pPr>
            <w:r w:rsidRPr="0081586A">
              <w:rPr>
                <w:rFonts w:ascii="Arial Narrow" w:hAnsi="Arial Narrow"/>
              </w:rPr>
              <w:t>78</w:t>
            </w:r>
            <w:r w:rsidRPr="00BE46E1">
              <w:rPr>
                <w:rFonts w:ascii="Arial Narrow" w:hAnsi="Arial Narrow"/>
              </w:rPr>
              <w:t>%</w:t>
            </w:r>
          </w:p>
        </w:tc>
        <w:tc>
          <w:tcPr>
            <w:tcW w:w="593" w:type="pct"/>
            <w:shd w:val="clear" w:color="auto" w:fill="auto"/>
            <w:vAlign w:val="center"/>
          </w:tcPr>
          <w:p w:rsidR="006368D4" w:rsidRPr="00BE46E1" w:rsidRDefault="00960C79" w:rsidP="00217622">
            <w:pPr>
              <w:pStyle w:val="Tabletext"/>
              <w:jc w:val="center"/>
              <w:rPr>
                <w:rFonts w:ascii="Arial Narrow" w:hAnsi="Arial Narrow"/>
              </w:rPr>
            </w:pPr>
            <w:r w:rsidRPr="0081586A">
              <w:rPr>
                <w:rFonts w:ascii="Arial Narrow" w:hAnsi="Arial Narrow"/>
              </w:rPr>
              <w:t>84</w:t>
            </w:r>
            <w:r w:rsidRPr="00BE46E1">
              <w:rPr>
                <w:rFonts w:ascii="Arial Narrow" w:hAnsi="Arial Narrow"/>
              </w:rPr>
              <w:t>%</w:t>
            </w:r>
          </w:p>
        </w:tc>
        <w:tc>
          <w:tcPr>
            <w:tcW w:w="591" w:type="pct"/>
            <w:shd w:val="clear" w:color="auto" w:fill="auto"/>
            <w:vAlign w:val="center"/>
          </w:tcPr>
          <w:p w:rsidR="006368D4" w:rsidRPr="00BE46E1" w:rsidRDefault="00960C79" w:rsidP="00217622">
            <w:pPr>
              <w:pStyle w:val="Tabletext"/>
              <w:jc w:val="center"/>
              <w:rPr>
                <w:rFonts w:ascii="Arial Narrow" w:hAnsi="Arial Narrow"/>
              </w:rPr>
            </w:pPr>
            <w:r w:rsidRPr="0081586A">
              <w:rPr>
                <w:rFonts w:ascii="Arial Narrow" w:hAnsi="Arial Narrow"/>
              </w:rPr>
              <w:t>96</w:t>
            </w:r>
            <w:r w:rsidRPr="00BE46E1">
              <w:rPr>
                <w:rFonts w:ascii="Arial Narrow" w:hAnsi="Arial Narrow"/>
              </w:rPr>
              <w:t>%</w:t>
            </w:r>
          </w:p>
        </w:tc>
      </w:tr>
      <w:tr w:rsidR="003C3FAE" w:rsidRPr="00BE46E1" w:rsidTr="00217622">
        <w:trPr>
          <w:cantSplit/>
        </w:trPr>
        <w:tc>
          <w:tcPr>
            <w:tcW w:w="5000" w:type="pct"/>
            <w:gridSpan w:val="6"/>
            <w:shd w:val="clear" w:color="auto" w:fill="auto"/>
            <w:vAlign w:val="center"/>
          </w:tcPr>
          <w:p w:rsidR="003C3FAE" w:rsidRPr="00BE46E1" w:rsidRDefault="003C3FAE" w:rsidP="00217622">
            <w:pPr>
              <w:pStyle w:val="Tabletext"/>
              <w:rPr>
                <w:rFonts w:ascii="Arial Narrow" w:hAnsi="Arial Narrow"/>
                <w:b/>
              </w:rPr>
            </w:pPr>
            <w:r w:rsidRPr="00BE46E1">
              <w:rPr>
                <w:rFonts w:ascii="Arial Narrow" w:hAnsi="Arial Narrow"/>
                <w:b/>
              </w:rPr>
              <w:t>Estimated net cost to PBS/RPBS/MBS</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Net cost to PBS/RPBS – March 2015</w:t>
            </w:r>
          </w:p>
        </w:tc>
        <w:tc>
          <w:tcPr>
            <w:tcW w:w="592"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1"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Net cost to PBS/RPBS</w:t>
            </w:r>
            <w:r w:rsidR="00A7389A" w:rsidRPr="00BE46E1">
              <w:rPr>
                <w:rFonts w:ascii="Arial Narrow" w:hAnsi="Arial Narrow"/>
                <w:sz w:val="20"/>
                <w:szCs w:val="20"/>
              </w:rPr>
              <w:t xml:space="preserve"> – November 2015</w:t>
            </w:r>
          </w:p>
        </w:tc>
        <w:tc>
          <w:tcPr>
            <w:tcW w:w="592" w:type="pct"/>
            <w:shd w:val="clear" w:color="auto" w:fill="auto"/>
            <w:vAlign w:val="center"/>
          </w:tcPr>
          <w:p w:rsidR="003C3FAE" w:rsidRPr="00BE46E1" w:rsidRDefault="003C3FAE" w:rsidP="006E544E">
            <w:pPr>
              <w:pStyle w:val="Tabletext"/>
              <w:jc w:val="center"/>
              <w:rPr>
                <w:rStyle w:val="SmallBold"/>
                <w:rFonts w:ascii="Arial Narrow" w:hAnsi="Arial Narrow"/>
                <w:b w:val="0"/>
              </w:rPr>
            </w:pPr>
            <w:r w:rsidRPr="00BE46E1">
              <w:rPr>
                <w:rStyle w:val="SmallBold"/>
                <w:rFonts w:ascii="Arial Narrow" w:hAnsi="Arial Narrow"/>
                <w:b w:val="0"/>
              </w:rPr>
              <w:t>$</w:t>
            </w:r>
            <w:r w:rsidR="002C5C5C">
              <w:rPr>
                <w:rStyle w:val="SmallBold"/>
                <w:rFonts w:ascii="Arial Narrow" w:hAnsi="Arial Narrow"/>
                <w:b w:val="0"/>
                <w:noProof/>
                <w:color w:val="000000"/>
                <w:highlight w:val="black"/>
              </w:rPr>
              <w:t>'''''''''''''''''''''''</w:t>
            </w:r>
          </w:p>
        </w:tc>
        <w:tc>
          <w:tcPr>
            <w:tcW w:w="593" w:type="pct"/>
            <w:shd w:val="clear" w:color="auto" w:fill="auto"/>
            <w:vAlign w:val="center"/>
          </w:tcPr>
          <w:p w:rsidR="003C3FAE" w:rsidRPr="00BE46E1" w:rsidRDefault="003C3FAE" w:rsidP="006E544E">
            <w:pPr>
              <w:pStyle w:val="Tabletext"/>
              <w:jc w:val="center"/>
              <w:rPr>
                <w:rStyle w:val="SmallBold"/>
                <w:rFonts w:ascii="Arial Narrow" w:hAnsi="Arial Narrow"/>
                <w:b w:val="0"/>
              </w:rPr>
            </w:pPr>
            <w:r w:rsidRPr="00BE46E1">
              <w:rPr>
                <w:rStyle w:val="SmallBold"/>
                <w:rFonts w:ascii="Arial Narrow" w:hAnsi="Arial Narrow"/>
                <w:b w:val="0"/>
              </w:rPr>
              <w:t>$</w:t>
            </w:r>
            <w:r w:rsidR="002C5C5C">
              <w:rPr>
                <w:rStyle w:val="SmallBold"/>
                <w:rFonts w:ascii="Arial Narrow" w:hAnsi="Arial Narrow"/>
                <w:b w:val="0"/>
                <w:noProof/>
                <w:color w:val="000000"/>
                <w:highlight w:val="black"/>
              </w:rPr>
              <w:t>'''''''''''''''''''''''</w:t>
            </w:r>
          </w:p>
        </w:tc>
        <w:tc>
          <w:tcPr>
            <w:tcW w:w="593" w:type="pct"/>
            <w:shd w:val="clear" w:color="auto" w:fill="auto"/>
            <w:vAlign w:val="center"/>
          </w:tcPr>
          <w:p w:rsidR="003C3FAE" w:rsidRPr="00BE46E1" w:rsidRDefault="003C3FAE" w:rsidP="006E544E">
            <w:pPr>
              <w:pStyle w:val="Tabletext"/>
              <w:jc w:val="center"/>
              <w:rPr>
                <w:rStyle w:val="SmallBold"/>
                <w:rFonts w:ascii="Arial Narrow" w:hAnsi="Arial Narrow"/>
                <w:b w:val="0"/>
              </w:rPr>
            </w:pPr>
            <w:r w:rsidRPr="00BE46E1">
              <w:rPr>
                <w:rStyle w:val="SmallBold"/>
                <w:rFonts w:ascii="Arial Narrow" w:hAnsi="Arial Narrow"/>
                <w:b w:val="0"/>
              </w:rPr>
              <w:t>$</w:t>
            </w:r>
            <w:r w:rsidR="002C5C5C">
              <w:rPr>
                <w:rStyle w:val="SmallBold"/>
                <w:rFonts w:ascii="Arial Narrow" w:hAnsi="Arial Narrow"/>
                <w:b w:val="0"/>
                <w:noProof/>
                <w:color w:val="000000"/>
                <w:highlight w:val="black"/>
              </w:rPr>
              <w:t>'''''''''''''''''''''''''</w:t>
            </w:r>
          </w:p>
        </w:tc>
        <w:tc>
          <w:tcPr>
            <w:tcW w:w="593" w:type="pct"/>
            <w:shd w:val="clear" w:color="auto" w:fill="auto"/>
            <w:vAlign w:val="center"/>
          </w:tcPr>
          <w:p w:rsidR="003C3FAE" w:rsidRPr="00BE46E1" w:rsidRDefault="003C3FAE" w:rsidP="006E544E">
            <w:pPr>
              <w:pStyle w:val="Tabletext"/>
              <w:jc w:val="center"/>
              <w:rPr>
                <w:rStyle w:val="SmallBold"/>
                <w:rFonts w:ascii="Arial Narrow" w:hAnsi="Arial Narrow"/>
                <w:b w:val="0"/>
              </w:rPr>
            </w:pPr>
            <w:r w:rsidRPr="00BE46E1">
              <w:rPr>
                <w:rStyle w:val="SmallBold"/>
                <w:rFonts w:ascii="Arial Narrow" w:hAnsi="Arial Narrow"/>
                <w:b w:val="0"/>
              </w:rPr>
              <w:t>$</w:t>
            </w:r>
            <w:r w:rsidR="002C5C5C">
              <w:rPr>
                <w:rStyle w:val="SmallBold"/>
                <w:rFonts w:ascii="Arial Narrow" w:hAnsi="Arial Narrow"/>
                <w:b w:val="0"/>
                <w:noProof/>
                <w:color w:val="000000"/>
                <w:highlight w:val="black"/>
              </w:rPr>
              <w:t>'''''''''''''''''''''''''</w:t>
            </w:r>
          </w:p>
        </w:tc>
        <w:tc>
          <w:tcPr>
            <w:tcW w:w="591" w:type="pct"/>
            <w:shd w:val="clear" w:color="auto" w:fill="auto"/>
            <w:vAlign w:val="center"/>
          </w:tcPr>
          <w:p w:rsidR="003C3FAE" w:rsidRPr="00BE46E1" w:rsidRDefault="003C3FAE" w:rsidP="006E544E">
            <w:pPr>
              <w:pStyle w:val="Tabletext"/>
              <w:jc w:val="center"/>
              <w:rPr>
                <w:rStyle w:val="SmallBold"/>
                <w:rFonts w:ascii="Arial Narrow" w:hAnsi="Arial Narrow"/>
                <w:b w:val="0"/>
              </w:rPr>
            </w:pPr>
            <w:r w:rsidRPr="00BE46E1">
              <w:rPr>
                <w:rStyle w:val="SmallBold"/>
                <w:rFonts w:ascii="Arial Narrow" w:hAnsi="Arial Narrow"/>
                <w:b w:val="0"/>
              </w:rPr>
              <w:t>$</w:t>
            </w:r>
            <w:r w:rsidR="002C5C5C">
              <w:rPr>
                <w:rStyle w:val="SmallBold"/>
                <w:rFonts w:ascii="Arial Narrow" w:hAnsi="Arial Narrow"/>
                <w:b w:val="0"/>
                <w:noProof/>
                <w:color w:val="000000"/>
                <w:highlight w:val="black"/>
              </w:rPr>
              <w:t>'''''''''''''''''''''''</w:t>
            </w:r>
          </w:p>
        </w:tc>
      </w:tr>
      <w:tr w:rsidR="00826B37" w:rsidRPr="00BE46E1" w:rsidTr="00217622">
        <w:trPr>
          <w:cantSplit/>
        </w:trPr>
        <w:tc>
          <w:tcPr>
            <w:tcW w:w="2038" w:type="pct"/>
            <w:shd w:val="clear" w:color="auto" w:fill="auto"/>
            <w:vAlign w:val="center"/>
          </w:tcPr>
          <w:p w:rsidR="00826B37" w:rsidRPr="0036181A" w:rsidRDefault="00826B37" w:rsidP="006C7849">
            <w:pPr>
              <w:tabs>
                <w:tab w:val="left" w:pos="142"/>
              </w:tabs>
              <w:ind w:right="93"/>
              <w:rPr>
                <w:rFonts w:ascii="Arial Narrow" w:hAnsi="Arial Narrow"/>
                <w:sz w:val="20"/>
                <w:szCs w:val="20"/>
              </w:rPr>
            </w:pPr>
            <w:r w:rsidRPr="00826B37">
              <w:rPr>
                <w:rFonts w:ascii="Arial Narrow" w:hAnsi="Arial Narrow"/>
                <w:sz w:val="20"/>
                <w:szCs w:val="20"/>
              </w:rPr>
              <w:t>Net cost to PBS/RPBS –</w:t>
            </w:r>
            <w:r w:rsidR="006E544E">
              <w:rPr>
                <w:rFonts w:ascii="Arial Narrow" w:hAnsi="Arial Narrow"/>
                <w:sz w:val="20"/>
                <w:szCs w:val="20"/>
              </w:rPr>
              <w:t xml:space="preserve"> </w:t>
            </w:r>
            <w:r w:rsidRPr="0036181A">
              <w:rPr>
                <w:rFonts w:ascii="Arial Narrow" w:hAnsi="Arial Narrow"/>
                <w:sz w:val="20"/>
                <w:szCs w:val="20"/>
              </w:rPr>
              <w:t>this resubmission</w:t>
            </w:r>
          </w:p>
        </w:tc>
        <w:tc>
          <w:tcPr>
            <w:tcW w:w="592" w:type="pct"/>
            <w:shd w:val="clear" w:color="auto" w:fill="auto"/>
          </w:tcPr>
          <w:p w:rsidR="00826B37" w:rsidRPr="001B7DD6" w:rsidRDefault="00826B37" w:rsidP="006E544E">
            <w:pPr>
              <w:pStyle w:val="Tabletext"/>
              <w:jc w:val="center"/>
              <w:rPr>
                <w:rFonts w:ascii="Arial Narrow" w:hAnsi="Arial Narrow"/>
              </w:rPr>
            </w:pPr>
            <w:r w:rsidRPr="001B7DD6">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826B37" w:rsidRPr="001B7DD6" w:rsidRDefault="00826B37" w:rsidP="006E544E">
            <w:pPr>
              <w:pStyle w:val="Tabletext"/>
              <w:jc w:val="center"/>
              <w:rPr>
                <w:rFonts w:ascii="Arial Narrow" w:hAnsi="Arial Narrow"/>
              </w:rPr>
            </w:pPr>
            <w:r w:rsidRPr="001B7DD6">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826B37" w:rsidRPr="001B7DD6" w:rsidRDefault="00826B37" w:rsidP="006E544E">
            <w:pPr>
              <w:pStyle w:val="Tabletext"/>
              <w:jc w:val="center"/>
              <w:rPr>
                <w:rFonts w:ascii="Arial Narrow" w:hAnsi="Arial Narrow"/>
              </w:rPr>
            </w:pPr>
            <w:r w:rsidRPr="001B7DD6">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826B37" w:rsidRPr="001B7DD6" w:rsidRDefault="00826B37" w:rsidP="006E544E">
            <w:pPr>
              <w:pStyle w:val="Tabletext"/>
              <w:jc w:val="center"/>
              <w:rPr>
                <w:rFonts w:ascii="Arial Narrow" w:hAnsi="Arial Narrow"/>
              </w:rPr>
            </w:pPr>
            <w:r w:rsidRPr="001B7DD6">
              <w:rPr>
                <w:rFonts w:ascii="Arial Narrow" w:hAnsi="Arial Narrow"/>
              </w:rPr>
              <w:t>$</w:t>
            </w:r>
            <w:r w:rsidR="002C5C5C">
              <w:rPr>
                <w:rFonts w:ascii="Arial Narrow" w:hAnsi="Arial Narrow"/>
                <w:noProof/>
                <w:color w:val="000000"/>
                <w:highlight w:val="black"/>
              </w:rPr>
              <w:t>'''''''''''''''''''''''</w:t>
            </w:r>
          </w:p>
        </w:tc>
        <w:tc>
          <w:tcPr>
            <w:tcW w:w="591" w:type="pct"/>
            <w:shd w:val="clear" w:color="auto" w:fill="auto"/>
          </w:tcPr>
          <w:p w:rsidR="00826B37" w:rsidRPr="001B7DD6" w:rsidRDefault="00826B37" w:rsidP="006E544E">
            <w:pPr>
              <w:pStyle w:val="Tabletext"/>
              <w:jc w:val="center"/>
              <w:rPr>
                <w:rFonts w:ascii="Arial Narrow" w:hAnsi="Arial Narrow"/>
              </w:rPr>
            </w:pPr>
            <w:r w:rsidRPr="001B7DD6">
              <w:rPr>
                <w:rFonts w:ascii="Arial Narrow" w:hAnsi="Arial Narrow"/>
              </w:rPr>
              <w:t>$</w:t>
            </w:r>
            <w:r w:rsidR="002C5C5C">
              <w:rPr>
                <w:rFonts w:ascii="Arial Narrow" w:hAnsi="Arial Narrow"/>
                <w:noProof/>
                <w:color w:val="000000"/>
                <w:highlight w:val="black"/>
              </w:rPr>
              <w:t>'''''''''''''''''''''''''</w:t>
            </w:r>
          </w:p>
        </w:tc>
      </w:tr>
      <w:tr w:rsidR="00826B37" w:rsidRPr="00BE46E1" w:rsidTr="00217622">
        <w:trPr>
          <w:cantSplit/>
        </w:trPr>
        <w:tc>
          <w:tcPr>
            <w:tcW w:w="2038" w:type="pct"/>
            <w:shd w:val="clear" w:color="auto" w:fill="auto"/>
            <w:vAlign w:val="center"/>
          </w:tcPr>
          <w:p w:rsidR="00826B37" w:rsidRPr="00223360" w:rsidRDefault="001B7DD6" w:rsidP="006C7849">
            <w:pPr>
              <w:tabs>
                <w:tab w:val="left" w:pos="142"/>
              </w:tabs>
              <w:ind w:right="93"/>
              <w:rPr>
                <w:rFonts w:ascii="Arial Narrow" w:hAnsi="Arial Narrow"/>
                <w:b/>
                <w:sz w:val="20"/>
                <w:szCs w:val="20"/>
              </w:rPr>
            </w:pPr>
            <w:r w:rsidRPr="00223360">
              <w:rPr>
                <w:rFonts w:ascii="Arial Narrow" w:hAnsi="Arial Narrow"/>
                <w:b/>
                <w:sz w:val="20"/>
                <w:szCs w:val="20"/>
              </w:rPr>
              <w:t>Net cost to PBS/RPBS-</w:t>
            </w:r>
            <w:r w:rsidR="00826B37" w:rsidRPr="00223360">
              <w:rPr>
                <w:rFonts w:ascii="Arial Narrow" w:hAnsi="Arial Narrow"/>
                <w:b/>
                <w:sz w:val="20"/>
                <w:szCs w:val="20"/>
              </w:rPr>
              <w:t xml:space="preserve">this  resubmission updated with pre-PBAC price proposal </w:t>
            </w:r>
          </w:p>
        </w:tc>
        <w:tc>
          <w:tcPr>
            <w:tcW w:w="592" w:type="pct"/>
            <w:shd w:val="clear" w:color="auto" w:fill="auto"/>
          </w:tcPr>
          <w:p w:rsidR="00826B37" w:rsidRPr="001B7DD6" w:rsidRDefault="00826B37" w:rsidP="006E544E">
            <w:pPr>
              <w:pStyle w:val="Tabletext"/>
              <w:jc w:val="center"/>
              <w:rPr>
                <w:rFonts w:ascii="Arial Narrow" w:hAnsi="Arial Narrow"/>
                <w:b/>
              </w:rPr>
            </w:pPr>
            <w:r w:rsidRPr="001B7DD6">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826B37" w:rsidRPr="001B7DD6" w:rsidRDefault="00826B37" w:rsidP="006E544E">
            <w:pPr>
              <w:pStyle w:val="Tabletext"/>
              <w:jc w:val="center"/>
              <w:rPr>
                <w:rFonts w:ascii="Arial Narrow" w:hAnsi="Arial Narrow"/>
                <w:b/>
              </w:rPr>
            </w:pPr>
            <w:r w:rsidRPr="001B7DD6">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826B37" w:rsidRPr="001B7DD6" w:rsidRDefault="00826B37" w:rsidP="006E544E">
            <w:pPr>
              <w:pStyle w:val="Tabletext"/>
              <w:jc w:val="center"/>
              <w:rPr>
                <w:rFonts w:ascii="Arial Narrow" w:hAnsi="Arial Narrow"/>
                <w:b/>
              </w:rPr>
            </w:pPr>
            <w:r w:rsidRPr="001B7DD6">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826B37" w:rsidRPr="001B7DD6" w:rsidRDefault="00826B37" w:rsidP="006E544E">
            <w:pPr>
              <w:pStyle w:val="Tabletext"/>
              <w:jc w:val="center"/>
              <w:rPr>
                <w:rFonts w:ascii="Arial Narrow" w:hAnsi="Arial Narrow"/>
                <w:b/>
              </w:rPr>
            </w:pPr>
            <w:r w:rsidRPr="001B7DD6">
              <w:rPr>
                <w:rFonts w:ascii="Arial Narrow" w:hAnsi="Arial Narrow"/>
                <w:b/>
              </w:rPr>
              <w:t>$</w:t>
            </w:r>
            <w:r w:rsidR="002C5C5C">
              <w:rPr>
                <w:rFonts w:ascii="Arial Narrow" w:hAnsi="Arial Narrow"/>
                <w:b/>
                <w:noProof/>
                <w:color w:val="000000"/>
                <w:highlight w:val="black"/>
              </w:rPr>
              <w:t>'''''''''''''''''''</w:t>
            </w:r>
          </w:p>
        </w:tc>
        <w:tc>
          <w:tcPr>
            <w:tcW w:w="591" w:type="pct"/>
            <w:shd w:val="clear" w:color="auto" w:fill="auto"/>
          </w:tcPr>
          <w:p w:rsidR="00826B37" w:rsidRPr="001B7DD6" w:rsidRDefault="00826B37" w:rsidP="006E544E">
            <w:pPr>
              <w:pStyle w:val="Tabletext"/>
              <w:jc w:val="center"/>
              <w:rPr>
                <w:rFonts w:ascii="Arial Narrow" w:hAnsi="Arial Narrow"/>
                <w:b/>
              </w:rPr>
            </w:pPr>
            <w:r w:rsidRPr="001B7DD6">
              <w:rPr>
                <w:rFonts w:ascii="Arial Narrow" w:hAnsi="Arial Narrow"/>
                <w:b/>
              </w:rPr>
              <w:t>$</w:t>
            </w:r>
            <w:r w:rsidR="002C5C5C">
              <w:rPr>
                <w:rFonts w:ascii="Arial Narrow" w:hAnsi="Arial Narrow"/>
                <w:b/>
                <w:noProof/>
                <w:color w:val="000000"/>
                <w:highlight w:val="black"/>
              </w:rPr>
              <w:t>'''''''''''''''''''''</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lastRenderedPageBreak/>
              <w:t>Net cost to MBS – March 2015</w:t>
            </w:r>
          </w:p>
        </w:tc>
        <w:tc>
          <w:tcPr>
            <w:tcW w:w="592"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1" w:type="pct"/>
            <w:shd w:val="clear" w:color="auto" w:fill="auto"/>
            <w:vAlign w:val="bottom"/>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r>
      <w:tr w:rsidR="003C3FAE" w:rsidRPr="00BE46E1" w:rsidTr="00217622">
        <w:trPr>
          <w:cantSplit/>
        </w:trPr>
        <w:tc>
          <w:tcPr>
            <w:tcW w:w="2038" w:type="pct"/>
            <w:shd w:val="clear" w:color="auto" w:fill="auto"/>
            <w:vAlign w:val="center"/>
          </w:tcPr>
          <w:p w:rsidR="003C3FAE" w:rsidRPr="00BE46E1" w:rsidRDefault="003C3FAE" w:rsidP="00217622">
            <w:pPr>
              <w:tabs>
                <w:tab w:val="left" w:pos="142"/>
              </w:tabs>
              <w:ind w:right="93"/>
              <w:rPr>
                <w:rFonts w:ascii="Arial Narrow" w:hAnsi="Arial Narrow"/>
                <w:sz w:val="20"/>
                <w:szCs w:val="20"/>
              </w:rPr>
            </w:pPr>
            <w:r w:rsidRPr="00BE46E1">
              <w:rPr>
                <w:rFonts w:ascii="Arial Narrow" w:hAnsi="Arial Narrow"/>
                <w:sz w:val="20"/>
                <w:szCs w:val="20"/>
              </w:rPr>
              <w:t xml:space="preserve">Net cost to MBS </w:t>
            </w:r>
            <w:r w:rsidR="00A7389A" w:rsidRPr="00BE46E1">
              <w:rPr>
                <w:rFonts w:ascii="Arial Narrow" w:hAnsi="Arial Narrow"/>
                <w:sz w:val="20"/>
                <w:szCs w:val="20"/>
              </w:rPr>
              <w:t>– November 2015</w:t>
            </w:r>
          </w:p>
        </w:tc>
        <w:tc>
          <w:tcPr>
            <w:tcW w:w="592"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1"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r>
      <w:tr w:rsidR="00A7389A" w:rsidRPr="00BE46E1" w:rsidTr="00217622">
        <w:trPr>
          <w:cantSplit/>
        </w:trPr>
        <w:tc>
          <w:tcPr>
            <w:tcW w:w="2038" w:type="pct"/>
            <w:shd w:val="clear" w:color="auto" w:fill="auto"/>
            <w:vAlign w:val="center"/>
          </w:tcPr>
          <w:p w:rsidR="00A7389A" w:rsidRPr="00223360" w:rsidRDefault="000D3726" w:rsidP="001B7DD6">
            <w:pPr>
              <w:tabs>
                <w:tab w:val="left" w:pos="142"/>
              </w:tabs>
              <w:ind w:right="93"/>
              <w:rPr>
                <w:rFonts w:ascii="Arial Narrow" w:hAnsi="Arial Narrow"/>
                <w:b/>
                <w:sz w:val="20"/>
                <w:szCs w:val="20"/>
              </w:rPr>
            </w:pPr>
            <w:r w:rsidRPr="00223360">
              <w:rPr>
                <w:rFonts w:ascii="Arial Narrow" w:hAnsi="Arial Narrow"/>
                <w:b/>
                <w:sz w:val="20"/>
                <w:szCs w:val="20"/>
              </w:rPr>
              <w:t>Net cost to MBS</w:t>
            </w:r>
            <w:r w:rsidR="00995635" w:rsidRPr="00223360">
              <w:rPr>
                <w:rFonts w:ascii="Arial Narrow" w:hAnsi="Arial Narrow"/>
                <w:b/>
                <w:sz w:val="20"/>
                <w:szCs w:val="20"/>
              </w:rPr>
              <w:t>- this submission</w:t>
            </w:r>
          </w:p>
        </w:tc>
        <w:tc>
          <w:tcPr>
            <w:tcW w:w="592"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1"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r>
      <w:tr w:rsidR="003C3FAE" w:rsidRPr="00BE46E1" w:rsidTr="00217622">
        <w:trPr>
          <w:cantSplit/>
        </w:trPr>
        <w:tc>
          <w:tcPr>
            <w:tcW w:w="2038" w:type="pct"/>
            <w:shd w:val="clear" w:color="auto" w:fill="auto"/>
          </w:tcPr>
          <w:p w:rsidR="003C3FAE" w:rsidRPr="00BE46E1" w:rsidRDefault="003C3FAE" w:rsidP="00217622">
            <w:pPr>
              <w:pStyle w:val="Tabletext"/>
              <w:rPr>
                <w:rFonts w:ascii="Arial Narrow" w:hAnsi="Arial Narrow"/>
              </w:rPr>
            </w:pPr>
            <w:r w:rsidRPr="00BE46E1">
              <w:rPr>
                <w:rFonts w:ascii="Arial Narrow" w:hAnsi="Arial Narrow"/>
              </w:rPr>
              <w:t>Net cost to hospitals – March 2015</w:t>
            </w:r>
          </w:p>
        </w:tc>
        <w:tc>
          <w:tcPr>
            <w:tcW w:w="592"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1"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r>
      <w:tr w:rsidR="003C3FAE" w:rsidRPr="00BE46E1" w:rsidTr="00217622">
        <w:trPr>
          <w:cantSplit/>
        </w:trPr>
        <w:tc>
          <w:tcPr>
            <w:tcW w:w="2038" w:type="pct"/>
            <w:shd w:val="clear" w:color="auto" w:fill="auto"/>
          </w:tcPr>
          <w:p w:rsidR="003C3FAE" w:rsidRPr="00BE46E1" w:rsidRDefault="003C3FAE" w:rsidP="00217622">
            <w:pPr>
              <w:pStyle w:val="Tabletext"/>
              <w:rPr>
                <w:rFonts w:ascii="Arial Narrow" w:hAnsi="Arial Narrow"/>
              </w:rPr>
            </w:pPr>
            <w:r w:rsidRPr="00BE46E1">
              <w:rPr>
                <w:rFonts w:ascii="Arial Narrow" w:hAnsi="Arial Narrow"/>
              </w:rPr>
              <w:t xml:space="preserve">Net cost to hospitals </w:t>
            </w:r>
            <w:r w:rsidR="00A7389A" w:rsidRPr="00BE46E1">
              <w:rPr>
                <w:rFonts w:ascii="Arial Narrow" w:hAnsi="Arial Narrow"/>
              </w:rPr>
              <w:t>– November 2015</w:t>
            </w:r>
          </w:p>
        </w:tc>
        <w:tc>
          <w:tcPr>
            <w:tcW w:w="592"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3"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c>
          <w:tcPr>
            <w:tcW w:w="591" w:type="pct"/>
            <w:shd w:val="clear" w:color="auto" w:fill="auto"/>
          </w:tcPr>
          <w:p w:rsidR="003C3FAE" w:rsidRPr="00BE46E1" w:rsidRDefault="003C3FAE" w:rsidP="006E544E">
            <w:pPr>
              <w:pStyle w:val="Tabletext"/>
              <w:jc w:val="center"/>
              <w:rPr>
                <w:rFonts w:ascii="Arial Narrow" w:hAnsi="Arial Narrow"/>
              </w:rPr>
            </w:pPr>
            <w:r w:rsidRPr="00BE46E1">
              <w:rPr>
                <w:rFonts w:ascii="Arial Narrow" w:hAnsi="Arial Narrow"/>
              </w:rPr>
              <w:t>$</w:t>
            </w:r>
            <w:r w:rsidR="002C5C5C">
              <w:rPr>
                <w:rFonts w:ascii="Arial Narrow" w:hAnsi="Arial Narrow"/>
                <w:noProof/>
                <w:color w:val="000000"/>
                <w:highlight w:val="black"/>
              </w:rPr>
              <w:t>'''''''''''''''''''''</w:t>
            </w:r>
          </w:p>
        </w:tc>
      </w:tr>
      <w:tr w:rsidR="00A7389A" w:rsidRPr="00BE46E1" w:rsidTr="00217622">
        <w:trPr>
          <w:cantSplit/>
        </w:trPr>
        <w:tc>
          <w:tcPr>
            <w:tcW w:w="2038" w:type="pct"/>
            <w:shd w:val="clear" w:color="auto" w:fill="auto"/>
          </w:tcPr>
          <w:p w:rsidR="00A7389A" w:rsidRPr="00223360" w:rsidRDefault="000D3726" w:rsidP="001B7DD6">
            <w:pPr>
              <w:pStyle w:val="Tabletext"/>
              <w:rPr>
                <w:rFonts w:ascii="Arial Narrow" w:hAnsi="Arial Narrow"/>
                <w:b/>
              </w:rPr>
            </w:pPr>
            <w:r w:rsidRPr="00223360">
              <w:rPr>
                <w:rFonts w:ascii="Arial Narrow" w:hAnsi="Arial Narrow"/>
                <w:b/>
              </w:rPr>
              <w:t>Net cost to hospitals</w:t>
            </w:r>
            <w:r w:rsidR="006E544E" w:rsidRPr="00223360">
              <w:rPr>
                <w:rFonts w:ascii="Arial Narrow" w:hAnsi="Arial Narrow"/>
                <w:b/>
              </w:rPr>
              <w:t>-</w:t>
            </w:r>
            <w:r w:rsidR="00995635" w:rsidRPr="00223360">
              <w:rPr>
                <w:rFonts w:ascii="Arial Narrow" w:hAnsi="Arial Narrow"/>
                <w:b/>
              </w:rPr>
              <w:t>this submission</w:t>
            </w:r>
          </w:p>
        </w:tc>
        <w:tc>
          <w:tcPr>
            <w:tcW w:w="592"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3"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c>
          <w:tcPr>
            <w:tcW w:w="591" w:type="pct"/>
            <w:shd w:val="clear" w:color="auto" w:fill="auto"/>
          </w:tcPr>
          <w:p w:rsidR="00A7389A" w:rsidRPr="00BE46E1" w:rsidRDefault="00F21A4D" w:rsidP="006E544E">
            <w:pPr>
              <w:pStyle w:val="Tabletext"/>
              <w:jc w:val="center"/>
              <w:rPr>
                <w:rFonts w:ascii="Arial Narrow" w:hAnsi="Arial Narrow"/>
                <w:b/>
              </w:rPr>
            </w:pPr>
            <w:r w:rsidRPr="00BE46E1">
              <w:rPr>
                <w:rFonts w:ascii="Arial Narrow" w:hAnsi="Arial Narrow"/>
                <w:b/>
              </w:rPr>
              <w:t>$</w:t>
            </w:r>
            <w:r w:rsidR="002C5C5C">
              <w:rPr>
                <w:rFonts w:ascii="Arial Narrow" w:hAnsi="Arial Narrow"/>
                <w:b/>
                <w:noProof/>
                <w:color w:val="000000"/>
                <w:highlight w:val="black"/>
              </w:rPr>
              <w:t>''''''''''''''''</w:t>
            </w:r>
          </w:p>
        </w:tc>
      </w:tr>
    </w:tbl>
    <w:p w:rsidR="00C54AE5" w:rsidRPr="00BE1267" w:rsidRDefault="00C54AE5" w:rsidP="00BE1267">
      <w:pPr>
        <w:keepNext/>
        <w:widowControl w:val="0"/>
        <w:jc w:val="both"/>
        <w:rPr>
          <w:rFonts w:ascii="Arial" w:hAnsi="Arial" w:cs="Arial"/>
          <w:snapToGrid w:val="0"/>
          <w:sz w:val="22"/>
          <w:szCs w:val="22"/>
          <w:lang w:eastAsia="en-US"/>
        </w:rPr>
      </w:pPr>
      <w:r w:rsidRPr="00BE1267">
        <w:rPr>
          <w:rFonts w:ascii="Arial" w:hAnsi="Arial" w:cs="Arial"/>
          <w:snapToGrid w:val="0"/>
          <w:sz w:val="22"/>
          <w:szCs w:val="22"/>
          <w:lang w:eastAsia="en-US"/>
        </w:rPr>
        <w:t xml:space="preserve">. </w:t>
      </w:r>
    </w:p>
    <w:p w:rsidR="0081586A" w:rsidRDefault="0081586A" w:rsidP="0081586A">
      <w:pPr>
        <w:keepNext/>
        <w:widowControl w:val="0"/>
        <w:ind w:left="720"/>
        <w:jc w:val="both"/>
        <w:rPr>
          <w:rFonts w:ascii="Arial" w:hAnsi="Arial" w:cs="Arial"/>
          <w:snapToGrid w:val="0"/>
          <w:sz w:val="22"/>
          <w:szCs w:val="22"/>
          <w:lang w:eastAsia="en-US"/>
        </w:rPr>
      </w:pPr>
      <w:r>
        <w:rPr>
          <w:rFonts w:ascii="Arial" w:hAnsi="Arial" w:cs="Arial"/>
          <w:snapToGrid w:val="0"/>
          <w:sz w:val="22"/>
          <w:szCs w:val="22"/>
          <w:lang w:eastAsia="en-US"/>
        </w:rPr>
        <w:t>The redacted table shows that at year 5, the estimated number of patients was less than 10,000 per year and the net cost to the PBS would be less than $10 million per year.</w:t>
      </w:r>
    </w:p>
    <w:p w:rsidR="00784E13" w:rsidRDefault="00784E13" w:rsidP="00784E13">
      <w:pPr>
        <w:keepNext/>
        <w:widowControl w:val="0"/>
        <w:ind w:firstLine="720"/>
        <w:jc w:val="both"/>
        <w:rPr>
          <w:rFonts w:ascii="Arial" w:hAnsi="Arial" w:cs="Arial"/>
          <w:snapToGrid w:val="0"/>
          <w:sz w:val="22"/>
          <w:szCs w:val="22"/>
          <w:lang w:eastAsia="en-US"/>
        </w:rPr>
      </w:pPr>
    </w:p>
    <w:p w:rsidR="00784E13" w:rsidRDefault="00784E13" w:rsidP="00784E13">
      <w:pPr>
        <w:keepNext/>
        <w:widowControl w:val="0"/>
        <w:ind w:firstLine="720"/>
        <w:jc w:val="both"/>
        <w:rPr>
          <w:rFonts w:ascii="Arial" w:hAnsi="Arial" w:cs="Arial"/>
          <w:snapToGrid w:val="0"/>
          <w:sz w:val="22"/>
          <w:szCs w:val="22"/>
          <w:lang w:eastAsia="en-US"/>
        </w:rPr>
      </w:pPr>
    </w:p>
    <w:p w:rsidR="00521894" w:rsidRPr="00521894" w:rsidRDefault="00521894" w:rsidP="00784E13">
      <w:pPr>
        <w:keepNext/>
        <w:widowControl w:val="0"/>
        <w:ind w:firstLine="720"/>
        <w:jc w:val="both"/>
        <w:rPr>
          <w:rFonts w:ascii="Arial" w:hAnsi="Arial" w:cs="Arial"/>
          <w:i/>
          <w:sz w:val="22"/>
          <w:szCs w:val="22"/>
        </w:rPr>
      </w:pPr>
      <w:r w:rsidRPr="00521894">
        <w:rPr>
          <w:rFonts w:ascii="Arial" w:hAnsi="Arial" w:cs="Arial"/>
          <w:i/>
          <w:sz w:val="22"/>
          <w:szCs w:val="22"/>
        </w:rPr>
        <w:t xml:space="preserve">For more detail on PBAC’s view, see section </w:t>
      </w:r>
      <w:r w:rsidR="00497E2B">
        <w:rPr>
          <w:rFonts w:ascii="Arial" w:hAnsi="Arial" w:cs="Arial"/>
          <w:i/>
          <w:sz w:val="22"/>
          <w:szCs w:val="22"/>
        </w:rPr>
        <w:t>5</w:t>
      </w:r>
      <w:r w:rsidRPr="00521894">
        <w:rPr>
          <w:rFonts w:ascii="Arial" w:hAnsi="Arial" w:cs="Arial"/>
          <w:i/>
          <w:sz w:val="22"/>
          <w:szCs w:val="22"/>
        </w:rPr>
        <w:t xml:space="preserve"> “PBAC outcome”</w:t>
      </w:r>
    </w:p>
    <w:p w:rsidR="00521894" w:rsidRDefault="00521894" w:rsidP="001E166F">
      <w:pPr>
        <w:pStyle w:val="ListParagraph"/>
        <w:keepNext/>
        <w:widowControl w:val="0"/>
        <w:jc w:val="both"/>
        <w:rPr>
          <w:rFonts w:ascii="Arial" w:hAnsi="Arial" w:cs="Arial"/>
          <w:snapToGrid w:val="0"/>
          <w:sz w:val="22"/>
          <w:szCs w:val="22"/>
          <w:lang w:eastAsia="en-US"/>
        </w:rPr>
      </w:pPr>
    </w:p>
    <w:p w:rsidR="00BE46E1" w:rsidRDefault="00BE46E1" w:rsidP="009301D7">
      <w:pPr>
        <w:keepNext/>
        <w:widowControl w:val="0"/>
        <w:contextualSpacing/>
        <w:jc w:val="both"/>
        <w:rPr>
          <w:rFonts w:ascii="Arial" w:hAnsi="Arial" w:cs="Arial"/>
          <w:snapToGrid w:val="0"/>
          <w:sz w:val="22"/>
          <w:szCs w:val="22"/>
          <w:lang w:eastAsia="en-US"/>
        </w:rPr>
      </w:pPr>
    </w:p>
    <w:p w:rsidR="00BF47CB" w:rsidRDefault="00BF47CB" w:rsidP="00411546">
      <w:pPr>
        <w:pStyle w:val="Heading1"/>
      </w:pPr>
      <w:r w:rsidRPr="006F73F3">
        <w:t>PBAC Outcome</w:t>
      </w:r>
    </w:p>
    <w:p w:rsidR="00BF47CB" w:rsidRPr="006F73F3" w:rsidRDefault="00BF47CB" w:rsidP="00BF47CB">
      <w:pPr>
        <w:jc w:val="both"/>
        <w:rPr>
          <w:rFonts w:ascii="Arial" w:hAnsi="Arial"/>
          <w:bCs/>
          <w:sz w:val="22"/>
          <w:szCs w:val="22"/>
          <w:lang w:val="en-GB"/>
        </w:rPr>
      </w:pPr>
    </w:p>
    <w:p w:rsidR="001F676E" w:rsidRDefault="001F676E" w:rsidP="001F676E">
      <w:pPr>
        <w:pStyle w:val="ListParagraph"/>
        <w:numPr>
          <w:ilvl w:val="1"/>
          <w:numId w:val="1"/>
        </w:numPr>
        <w:jc w:val="both"/>
        <w:rPr>
          <w:rFonts w:ascii="Arial" w:hAnsi="Arial"/>
          <w:bCs/>
          <w:sz w:val="22"/>
          <w:szCs w:val="22"/>
          <w:lang w:val="en-GB"/>
        </w:rPr>
      </w:pPr>
      <w:r>
        <w:rPr>
          <w:rFonts w:ascii="Arial" w:hAnsi="Arial"/>
          <w:bCs/>
          <w:sz w:val="22"/>
          <w:szCs w:val="22"/>
          <w:lang w:val="en-GB"/>
        </w:rPr>
        <w:t xml:space="preserve">The </w:t>
      </w:r>
      <w:r w:rsidRPr="001F676E">
        <w:rPr>
          <w:rFonts w:ascii="Arial" w:hAnsi="Arial"/>
          <w:bCs/>
          <w:sz w:val="22"/>
          <w:szCs w:val="22"/>
          <w:lang w:val="en-GB"/>
        </w:rPr>
        <w:t xml:space="preserve">PBAC </w:t>
      </w:r>
      <w:r>
        <w:rPr>
          <w:rFonts w:ascii="Arial" w:hAnsi="Arial"/>
          <w:bCs/>
          <w:sz w:val="22"/>
          <w:szCs w:val="22"/>
          <w:lang w:val="en-GB"/>
        </w:rPr>
        <w:t xml:space="preserve">recalled that the Committee at its November 2015 meeting </w:t>
      </w:r>
      <w:r w:rsidRPr="001F676E">
        <w:rPr>
          <w:rFonts w:ascii="Arial" w:hAnsi="Arial"/>
          <w:bCs/>
          <w:sz w:val="22"/>
          <w:szCs w:val="22"/>
          <w:lang w:val="en-GB"/>
        </w:rPr>
        <w:t xml:space="preserve">deferred its decision for the Authority </w:t>
      </w:r>
      <w:proofErr w:type="gramStart"/>
      <w:r w:rsidRPr="001F676E">
        <w:rPr>
          <w:rFonts w:ascii="Arial" w:hAnsi="Arial"/>
          <w:bCs/>
          <w:sz w:val="22"/>
          <w:szCs w:val="22"/>
          <w:lang w:val="en-GB"/>
        </w:rPr>
        <w:t>Required</w:t>
      </w:r>
      <w:proofErr w:type="gramEnd"/>
      <w:r w:rsidRPr="001F676E">
        <w:rPr>
          <w:rFonts w:ascii="Arial" w:hAnsi="Arial"/>
          <w:bCs/>
          <w:sz w:val="22"/>
          <w:szCs w:val="22"/>
          <w:lang w:val="en-GB"/>
        </w:rPr>
        <w:t xml:space="preserve"> listing of </w:t>
      </w:r>
      <w:proofErr w:type="spellStart"/>
      <w:r w:rsidRPr="001F676E">
        <w:rPr>
          <w:rFonts w:ascii="Arial" w:hAnsi="Arial"/>
          <w:bCs/>
          <w:sz w:val="22"/>
          <w:szCs w:val="22"/>
          <w:lang w:val="en-GB"/>
        </w:rPr>
        <w:t>idelalisib</w:t>
      </w:r>
      <w:proofErr w:type="spellEnd"/>
      <w:r w:rsidRPr="001F676E">
        <w:rPr>
          <w:rFonts w:ascii="Arial" w:hAnsi="Arial"/>
          <w:bCs/>
          <w:sz w:val="22"/>
          <w:szCs w:val="22"/>
          <w:lang w:val="en-GB"/>
        </w:rPr>
        <w:t xml:space="preserve"> for the treatment of follicular lymphoma as </w:t>
      </w:r>
      <w:proofErr w:type="spellStart"/>
      <w:r w:rsidRPr="001F676E">
        <w:rPr>
          <w:rFonts w:ascii="Arial" w:hAnsi="Arial"/>
          <w:bCs/>
          <w:sz w:val="22"/>
          <w:szCs w:val="22"/>
          <w:lang w:val="en-GB"/>
        </w:rPr>
        <w:t>idelalisib</w:t>
      </w:r>
      <w:proofErr w:type="spellEnd"/>
      <w:r w:rsidRPr="001F676E">
        <w:rPr>
          <w:rFonts w:ascii="Arial" w:hAnsi="Arial"/>
          <w:bCs/>
          <w:sz w:val="22"/>
          <w:szCs w:val="22"/>
          <w:lang w:val="en-GB"/>
        </w:rPr>
        <w:t xml:space="preserve"> was not considered to be cost-effective at the price proposed. The PBAC therefore considered that the </w:t>
      </w:r>
      <w:r w:rsidR="00C10CA4">
        <w:rPr>
          <w:rFonts w:ascii="Arial" w:hAnsi="Arial"/>
          <w:bCs/>
          <w:sz w:val="22"/>
          <w:szCs w:val="22"/>
          <w:lang w:val="en-GB"/>
        </w:rPr>
        <w:t>deferral would</w:t>
      </w:r>
      <w:r w:rsidRPr="001F676E">
        <w:rPr>
          <w:rFonts w:ascii="Arial" w:hAnsi="Arial"/>
          <w:bCs/>
          <w:sz w:val="22"/>
          <w:szCs w:val="22"/>
          <w:lang w:val="en-GB"/>
        </w:rPr>
        <w:t xml:space="preserve"> enable the Department to negotiate a reduced price, adopting a pragmatic approach that would reduce the base-case ICER as presented in the multivariate sensitivity analysis to a more appropriate range.</w:t>
      </w:r>
    </w:p>
    <w:p w:rsidR="00581268" w:rsidRDefault="00581268" w:rsidP="00581268">
      <w:pPr>
        <w:jc w:val="both"/>
        <w:rPr>
          <w:rFonts w:ascii="Arial" w:hAnsi="Arial"/>
          <w:bCs/>
          <w:sz w:val="22"/>
          <w:szCs w:val="22"/>
          <w:lang w:val="en-GB"/>
        </w:rPr>
      </w:pPr>
    </w:p>
    <w:p w:rsidR="00581268" w:rsidRDefault="00581268" w:rsidP="00581268">
      <w:pPr>
        <w:numPr>
          <w:ilvl w:val="1"/>
          <w:numId w:val="1"/>
        </w:numPr>
        <w:jc w:val="both"/>
        <w:rPr>
          <w:rFonts w:ascii="Arial" w:hAnsi="Arial"/>
          <w:bCs/>
          <w:sz w:val="22"/>
          <w:szCs w:val="22"/>
          <w:lang w:val="en-GB"/>
        </w:rPr>
      </w:pPr>
      <w:r w:rsidRPr="00B31A06">
        <w:rPr>
          <w:rFonts w:ascii="Arial" w:hAnsi="Arial"/>
          <w:bCs/>
          <w:sz w:val="22"/>
          <w:szCs w:val="22"/>
          <w:lang w:val="en-GB"/>
        </w:rPr>
        <w:t>The PBAC noted the modifications to the economic model and the price proposed in the pre-PBAC response</w:t>
      </w:r>
      <w:r w:rsidR="00BE1267">
        <w:rPr>
          <w:rFonts w:ascii="Arial" w:hAnsi="Arial"/>
          <w:bCs/>
          <w:sz w:val="22"/>
          <w:szCs w:val="22"/>
          <w:lang w:val="en-GB"/>
        </w:rPr>
        <w:t xml:space="preserve"> of this resubmission</w:t>
      </w:r>
      <w:r w:rsidRPr="00B31A06">
        <w:rPr>
          <w:rFonts w:ascii="Arial" w:hAnsi="Arial"/>
          <w:bCs/>
          <w:sz w:val="22"/>
          <w:szCs w:val="22"/>
          <w:lang w:val="en-GB"/>
        </w:rPr>
        <w:t xml:space="preserve"> which resulted in an ICER of </w:t>
      </w:r>
      <w:r w:rsidR="00DA25B2">
        <w:rPr>
          <w:rFonts w:ascii="Arial" w:hAnsi="Arial"/>
          <w:bCs/>
          <w:sz w:val="22"/>
          <w:szCs w:val="22"/>
          <w:lang w:val="en-GB"/>
        </w:rPr>
        <w:t>$45,000</w:t>
      </w:r>
      <w:r w:rsidRPr="00B31A06">
        <w:rPr>
          <w:rFonts w:ascii="Arial" w:hAnsi="Arial"/>
          <w:bCs/>
          <w:sz w:val="22"/>
          <w:szCs w:val="22"/>
          <w:lang w:val="en-GB"/>
        </w:rPr>
        <w:t>/QALY</w:t>
      </w:r>
      <w:r w:rsidR="00DA25B2">
        <w:rPr>
          <w:rFonts w:ascii="Arial" w:hAnsi="Arial"/>
          <w:bCs/>
          <w:sz w:val="22"/>
          <w:szCs w:val="22"/>
          <w:lang w:val="en-GB"/>
        </w:rPr>
        <w:t xml:space="preserve"> - $75,000/QALY</w:t>
      </w:r>
      <w:r w:rsidRPr="00B31A06">
        <w:rPr>
          <w:rFonts w:ascii="Arial" w:hAnsi="Arial"/>
          <w:bCs/>
          <w:sz w:val="22"/>
          <w:szCs w:val="22"/>
          <w:lang w:val="en-GB"/>
        </w:rPr>
        <w:t xml:space="preserve">. The PBAC considered that </w:t>
      </w:r>
      <w:r w:rsidR="00C10CA4">
        <w:rPr>
          <w:rFonts w:ascii="Arial" w:hAnsi="Arial"/>
          <w:bCs/>
          <w:sz w:val="22"/>
          <w:szCs w:val="22"/>
          <w:lang w:val="en-GB"/>
        </w:rPr>
        <w:t>such an ICER</w:t>
      </w:r>
      <w:r w:rsidRPr="00B31A06">
        <w:rPr>
          <w:rFonts w:ascii="Arial" w:hAnsi="Arial"/>
          <w:bCs/>
          <w:sz w:val="22"/>
          <w:szCs w:val="22"/>
          <w:lang w:val="en-GB"/>
        </w:rPr>
        <w:t xml:space="preserve"> was </w:t>
      </w:r>
      <w:r w:rsidR="00B05E38">
        <w:rPr>
          <w:rFonts w:ascii="Arial" w:hAnsi="Arial"/>
          <w:bCs/>
          <w:sz w:val="22"/>
          <w:szCs w:val="22"/>
          <w:lang w:val="en-GB"/>
        </w:rPr>
        <w:t>high but acceptable in the context of a tight restriction.</w:t>
      </w:r>
    </w:p>
    <w:p w:rsidR="00CC4288" w:rsidRPr="009D27DA" w:rsidRDefault="00CC4288" w:rsidP="009D27DA">
      <w:pPr>
        <w:rPr>
          <w:rFonts w:ascii="Arial" w:hAnsi="Arial"/>
          <w:bCs/>
          <w:sz w:val="22"/>
          <w:szCs w:val="22"/>
          <w:lang w:val="en-GB"/>
        </w:rPr>
      </w:pPr>
    </w:p>
    <w:p w:rsidR="00BE1267" w:rsidRDefault="009D27DA" w:rsidP="00BE1267">
      <w:pPr>
        <w:numPr>
          <w:ilvl w:val="1"/>
          <w:numId w:val="1"/>
        </w:numPr>
        <w:jc w:val="both"/>
        <w:rPr>
          <w:rFonts w:ascii="Arial" w:hAnsi="Arial"/>
          <w:bCs/>
          <w:sz w:val="22"/>
          <w:szCs w:val="22"/>
          <w:lang w:val="en-GB"/>
        </w:rPr>
      </w:pPr>
      <w:r w:rsidRPr="00783449">
        <w:rPr>
          <w:rFonts w:ascii="Arial" w:hAnsi="Arial"/>
          <w:bCs/>
          <w:sz w:val="22"/>
          <w:szCs w:val="22"/>
          <w:lang w:val="en-GB"/>
        </w:rPr>
        <w:t xml:space="preserve">The </w:t>
      </w:r>
      <w:r>
        <w:rPr>
          <w:rFonts w:ascii="Arial" w:hAnsi="Arial"/>
          <w:bCs/>
          <w:sz w:val="22"/>
          <w:szCs w:val="22"/>
          <w:lang w:val="en-GB"/>
        </w:rPr>
        <w:t xml:space="preserve">PBAC noted the modification in patient utilisation, </w:t>
      </w:r>
      <w:r w:rsidR="00BE1267">
        <w:rPr>
          <w:rFonts w:ascii="Arial" w:hAnsi="Arial"/>
          <w:bCs/>
          <w:sz w:val="22"/>
          <w:szCs w:val="22"/>
          <w:lang w:val="en-GB"/>
        </w:rPr>
        <w:t xml:space="preserve">based on PSCR from </w:t>
      </w:r>
      <w:r w:rsidR="00A13B8E">
        <w:rPr>
          <w:rFonts w:ascii="Arial" w:hAnsi="Arial"/>
          <w:bCs/>
          <w:sz w:val="22"/>
          <w:szCs w:val="22"/>
          <w:lang w:val="en-GB"/>
        </w:rPr>
        <w:t>the November</w:t>
      </w:r>
      <w:r>
        <w:rPr>
          <w:rFonts w:ascii="Arial" w:hAnsi="Arial"/>
          <w:bCs/>
          <w:sz w:val="22"/>
          <w:szCs w:val="22"/>
          <w:lang w:val="en-GB"/>
        </w:rPr>
        <w:t xml:space="preserve"> 2015 </w:t>
      </w:r>
      <w:r w:rsidR="00BE1267">
        <w:rPr>
          <w:rFonts w:ascii="Arial" w:hAnsi="Arial"/>
          <w:bCs/>
          <w:sz w:val="22"/>
          <w:szCs w:val="22"/>
          <w:lang w:val="en-GB"/>
        </w:rPr>
        <w:t>meeting</w:t>
      </w:r>
      <w:r>
        <w:rPr>
          <w:rFonts w:ascii="Arial" w:hAnsi="Arial"/>
          <w:bCs/>
          <w:sz w:val="22"/>
          <w:szCs w:val="22"/>
          <w:lang w:val="en-GB"/>
        </w:rPr>
        <w:t xml:space="preserve">, which presented the </w:t>
      </w:r>
      <w:r w:rsidRPr="00783449">
        <w:rPr>
          <w:rFonts w:ascii="Arial" w:hAnsi="Arial"/>
          <w:bCs/>
          <w:sz w:val="22"/>
          <w:szCs w:val="22"/>
          <w:lang w:val="en-GB"/>
        </w:rPr>
        <w:t>upper end of patient estimates</w:t>
      </w:r>
      <w:r>
        <w:rPr>
          <w:rFonts w:ascii="Arial" w:hAnsi="Arial"/>
          <w:bCs/>
          <w:sz w:val="22"/>
          <w:szCs w:val="22"/>
          <w:lang w:val="en-GB"/>
        </w:rPr>
        <w:t>. The PBAC considered this</w:t>
      </w:r>
      <w:r w:rsidR="00BE1267">
        <w:rPr>
          <w:rFonts w:ascii="Arial" w:hAnsi="Arial"/>
          <w:bCs/>
          <w:sz w:val="22"/>
          <w:szCs w:val="22"/>
          <w:lang w:val="en-GB"/>
        </w:rPr>
        <w:t xml:space="preserve"> estimate</w:t>
      </w:r>
      <w:r w:rsidRPr="00783449">
        <w:rPr>
          <w:rFonts w:ascii="Arial" w:hAnsi="Arial"/>
          <w:bCs/>
          <w:sz w:val="22"/>
          <w:szCs w:val="22"/>
          <w:lang w:val="en-GB"/>
        </w:rPr>
        <w:t xml:space="preserve"> </w:t>
      </w:r>
      <w:r>
        <w:rPr>
          <w:rFonts w:ascii="Arial" w:hAnsi="Arial"/>
          <w:bCs/>
          <w:sz w:val="22"/>
          <w:szCs w:val="22"/>
          <w:lang w:val="en-GB"/>
        </w:rPr>
        <w:t xml:space="preserve">to be </w:t>
      </w:r>
      <w:r w:rsidR="00BE1267">
        <w:rPr>
          <w:rFonts w:ascii="Arial" w:hAnsi="Arial"/>
          <w:bCs/>
          <w:sz w:val="22"/>
          <w:szCs w:val="22"/>
          <w:lang w:val="en-GB"/>
        </w:rPr>
        <w:t xml:space="preserve">more </w:t>
      </w:r>
      <w:r>
        <w:rPr>
          <w:rFonts w:ascii="Arial" w:hAnsi="Arial"/>
          <w:bCs/>
          <w:sz w:val="22"/>
          <w:szCs w:val="22"/>
          <w:lang w:val="en-GB"/>
        </w:rPr>
        <w:t>reasonable</w:t>
      </w:r>
      <w:r w:rsidR="00BE1267">
        <w:rPr>
          <w:rFonts w:ascii="Arial" w:hAnsi="Arial"/>
          <w:bCs/>
          <w:sz w:val="22"/>
          <w:szCs w:val="22"/>
          <w:lang w:val="en-GB"/>
        </w:rPr>
        <w:t>, but remained concerned</w:t>
      </w:r>
      <w:r w:rsidR="00BE1267" w:rsidRPr="00BE1267">
        <w:rPr>
          <w:rFonts w:ascii="Arial" w:hAnsi="Arial"/>
          <w:bCs/>
          <w:sz w:val="22"/>
          <w:szCs w:val="22"/>
          <w:lang w:val="en-GB"/>
        </w:rPr>
        <w:t xml:space="preserve"> that the total patient population </w:t>
      </w:r>
      <w:r w:rsidR="00BE1267">
        <w:rPr>
          <w:rFonts w:ascii="Arial" w:hAnsi="Arial"/>
          <w:bCs/>
          <w:sz w:val="22"/>
          <w:szCs w:val="22"/>
          <w:lang w:val="en-GB"/>
        </w:rPr>
        <w:t>is</w:t>
      </w:r>
      <w:r w:rsidR="00BE1267" w:rsidRPr="00BE1267">
        <w:rPr>
          <w:rFonts w:ascii="Arial" w:hAnsi="Arial"/>
          <w:bCs/>
          <w:sz w:val="22"/>
          <w:szCs w:val="22"/>
          <w:lang w:val="en-GB"/>
        </w:rPr>
        <w:t xml:space="preserve"> uncertain</w:t>
      </w:r>
      <w:r w:rsidR="00BE1267">
        <w:rPr>
          <w:rFonts w:ascii="Arial" w:hAnsi="Arial"/>
          <w:bCs/>
          <w:sz w:val="22"/>
          <w:szCs w:val="22"/>
          <w:lang w:val="en-GB"/>
        </w:rPr>
        <w:t>. The PBAC</w:t>
      </w:r>
      <w:r w:rsidR="00BE1267" w:rsidRPr="00BE1267">
        <w:rPr>
          <w:rFonts w:ascii="Arial" w:hAnsi="Arial"/>
          <w:bCs/>
          <w:sz w:val="22"/>
          <w:szCs w:val="22"/>
          <w:lang w:val="en-GB"/>
        </w:rPr>
        <w:t xml:space="preserve"> </w:t>
      </w:r>
      <w:r w:rsidR="00BE1267">
        <w:rPr>
          <w:rFonts w:ascii="Arial" w:hAnsi="Arial"/>
          <w:bCs/>
          <w:sz w:val="22"/>
          <w:szCs w:val="22"/>
          <w:lang w:val="en-GB"/>
        </w:rPr>
        <w:t>reiterated</w:t>
      </w:r>
      <w:r w:rsidR="00BE1267" w:rsidRPr="00BE1267">
        <w:rPr>
          <w:rFonts w:ascii="Arial" w:hAnsi="Arial"/>
          <w:bCs/>
          <w:sz w:val="22"/>
          <w:szCs w:val="22"/>
          <w:lang w:val="en-GB"/>
        </w:rPr>
        <w:t xml:space="preserve"> a risk sharing arrangement with a cap based on the patient numbers as presented in the resubmission should be adopted. The PBAC </w:t>
      </w:r>
      <w:r w:rsidR="00BE1267">
        <w:rPr>
          <w:rFonts w:ascii="Arial" w:hAnsi="Arial"/>
          <w:bCs/>
          <w:sz w:val="22"/>
          <w:szCs w:val="22"/>
          <w:lang w:val="en-GB"/>
        </w:rPr>
        <w:t xml:space="preserve">reiterated </w:t>
      </w:r>
      <w:r w:rsidR="00BE1267" w:rsidRPr="00BE1267">
        <w:rPr>
          <w:rFonts w:ascii="Arial" w:hAnsi="Arial"/>
          <w:bCs/>
          <w:sz w:val="22"/>
          <w:szCs w:val="22"/>
          <w:lang w:val="en-GB"/>
        </w:rPr>
        <w:t>that due to the uncertainty in patient numbers, utilisation should be review</w:t>
      </w:r>
      <w:r w:rsidR="00BE1267">
        <w:rPr>
          <w:rFonts w:ascii="Arial" w:hAnsi="Arial"/>
          <w:bCs/>
          <w:sz w:val="22"/>
          <w:szCs w:val="22"/>
          <w:lang w:val="en-GB"/>
        </w:rPr>
        <w:t xml:space="preserve">ed </w:t>
      </w:r>
      <w:r w:rsidR="00A937A4">
        <w:rPr>
          <w:rFonts w:ascii="Arial" w:hAnsi="Arial"/>
          <w:bCs/>
          <w:sz w:val="22"/>
          <w:szCs w:val="22"/>
          <w:lang w:val="en-GB"/>
        </w:rPr>
        <w:t xml:space="preserve">3 years </w:t>
      </w:r>
      <w:r w:rsidR="00BE1267">
        <w:rPr>
          <w:rFonts w:ascii="Arial" w:hAnsi="Arial"/>
          <w:bCs/>
          <w:sz w:val="22"/>
          <w:szCs w:val="22"/>
          <w:lang w:val="en-GB"/>
        </w:rPr>
        <w:t>following listing.</w:t>
      </w:r>
    </w:p>
    <w:p w:rsidR="009D27DA" w:rsidRDefault="009D27DA" w:rsidP="00BE1267">
      <w:pPr>
        <w:tabs>
          <w:tab w:val="left" w:pos="7425"/>
        </w:tabs>
        <w:jc w:val="both"/>
        <w:rPr>
          <w:rFonts w:ascii="Arial" w:hAnsi="Arial"/>
          <w:bCs/>
          <w:sz w:val="22"/>
          <w:szCs w:val="22"/>
          <w:lang w:val="en-GB"/>
        </w:rPr>
      </w:pPr>
    </w:p>
    <w:p w:rsidR="009D27DA" w:rsidRDefault="009D27DA" w:rsidP="009D27DA">
      <w:pPr>
        <w:jc w:val="both"/>
        <w:rPr>
          <w:rFonts w:ascii="Arial" w:hAnsi="Arial"/>
          <w:bCs/>
          <w:sz w:val="22"/>
          <w:szCs w:val="22"/>
          <w:lang w:val="en-GB"/>
        </w:rPr>
      </w:pPr>
    </w:p>
    <w:p w:rsidR="009D27DA" w:rsidRPr="0036535F" w:rsidRDefault="009D27DA" w:rsidP="009D27DA">
      <w:pPr>
        <w:pStyle w:val="PBACheading1"/>
        <w:keepNext/>
        <w:keepLines/>
        <w:numPr>
          <w:ilvl w:val="1"/>
          <w:numId w:val="1"/>
        </w:numPr>
        <w:rPr>
          <w:i/>
        </w:rPr>
      </w:pPr>
      <w:r>
        <w:rPr>
          <w:lang w:eastAsia="en-AU"/>
        </w:rPr>
        <w:t>The PBAC recalled that during the November 2015 meeting, the Committee:</w:t>
      </w:r>
    </w:p>
    <w:p w:rsidR="009D27DA" w:rsidRPr="00FB3FEE" w:rsidRDefault="009D27DA" w:rsidP="009D27DA">
      <w:pPr>
        <w:pStyle w:val="PBACheading1"/>
        <w:numPr>
          <w:ilvl w:val="1"/>
          <w:numId w:val="10"/>
        </w:numPr>
        <w:ind w:left="1418" w:hanging="709"/>
        <w:jc w:val="both"/>
        <w:rPr>
          <w:noProof/>
          <w:lang w:eastAsia="en-AU"/>
        </w:rPr>
      </w:pPr>
      <w:proofErr w:type="gramStart"/>
      <w:r w:rsidRPr="00386EEB">
        <w:t>reiterated</w:t>
      </w:r>
      <w:proofErr w:type="gramEnd"/>
      <w:r w:rsidRPr="00386EEB">
        <w:t xml:space="preserve"> that there is a high unmet clinical need for an effective treatment for patients with double-refractory follicular lymphoma. </w:t>
      </w:r>
      <w:r w:rsidRPr="00FB3FEE">
        <w:rPr>
          <w:bCs/>
          <w:lang w:val="en-GB"/>
        </w:rPr>
        <w:t>The PBAC also noted with caution the significant toxicities that can be experienced by patients using this drug, and considered that the incidence of these in Australian practice should be closely monitored.</w:t>
      </w:r>
    </w:p>
    <w:p w:rsidR="009D27DA" w:rsidRPr="00386EEB" w:rsidRDefault="009D27DA" w:rsidP="009D27DA">
      <w:pPr>
        <w:pStyle w:val="PBACheading1"/>
        <w:keepNext/>
        <w:keepLines/>
        <w:numPr>
          <w:ilvl w:val="1"/>
          <w:numId w:val="10"/>
        </w:numPr>
        <w:ind w:left="1418" w:hanging="709"/>
        <w:rPr>
          <w:i/>
        </w:rPr>
      </w:pPr>
      <w:proofErr w:type="gramStart"/>
      <w:r w:rsidRPr="00386EEB">
        <w:rPr>
          <w:lang w:eastAsia="en-AU"/>
        </w:rPr>
        <w:lastRenderedPageBreak/>
        <w:t>noted</w:t>
      </w:r>
      <w:proofErr w:type="gramEnd"/>
      <w:r w:rsidRPr="00386EEB">
        <w:rPr>
          <w:lang w:eastAsia="en-AU"/>
        </w:rPr>
        <w:t xml:space="preserve"> that harms, particularly relating to severe diarrhoea and colitis, are likely to be significant for many patients. </w:t>
      </w:r>
    </w:p>
    <w:p w:rsidR="009D27DA" w:rsidRPr="00581268" w:rsidRDefault="009D27DA" w:rsidP="009D27DA">
      <w:pPr>
        <w:jc w:val="both"/>
        <w:rPr>
          <w:rFonts w:ascii="Arial" w:hAnsi="Arial"/>
          <w:bCs/>
          <w:sz w:val="22"/>
          <w:szCs w:val="22"/>
          <w:lang w:val="en-GB"/>
        </w:rPr>
      </w:pPr>
    </w:p>
    <w:p w:rsidR="009D27DA" w:rsidRPr="006B011F" w:rsidRDefault="009D27DA" w:rsidP="006B011F">
      <w:pPr>
        <w:pStyle w:val="ListParagraph"/>
        <w:numPr>
          <w:ilvl w:val="1"/>
          <w:numId w:val="1"/>
        </w:numPr>
        <w:jc w:val="both"/>
        <w:rPr>
          <w:rFonts w:ascii="Arial" w:hAnsi="Arial"/>
          <w:bCs/>
          <w:sz w:val="22"/>
          <w:szCs w:val="22"/>
          <w:lang w:val="en-GB"/>
        </w:rPr>
      </w:pPr>
      <w:r>
        <w:rPr>
          <w:rFonts w:ascii="Arial" w:hAnsi="Arial"/>
          <w:bCs/>
          <w:sz w:val="22"/>
          <w:szCs w:val="22"/>
          <w:lang w:val="en-GB"/>
        </w:rPr>
        <w:t xml:space="preserve">The PBAC noted recent global concerns about </w:t>
      </w:r>
      <w:r w:rsidRPr="0056579E">
        <w:rPr>
          <w:rFonts w:ascii="Arial" w:hAnsi="Arial"/>
          <w:bCs/>
          <w:sz w:val="22"/>
          <w:szCs w:val="22"/>
          <w:lang w:val="en-GB"/>
        </w:rPr>
        <w:t>an increased rate of serious adverse events</w:t>
      </w:r>
      <w:r w:rsidR="009D61B8">
        <w:rPr>
          <w:rFonts w:ascii="Arial" w:hAnsi="Arial"/>
          <w:bCs/>
          <w:sz w:val="22"/>
          <w:szCs w:val="22"/>
          <w:lang w:val="en-GB"/>
        </w:rPr>
        <w:t>,</w:t>
      </w:r>
      <w:r w:rsidRPr="0056579E">
        <w:rPr>
          <w:rFonts w:ascii="Arial" w:hAnsi="Arial"/>
          <w:bCs/>
          <w:sz w:val="22"/>
          <w:szCs w:val="22"/>
          <w:lang w:val="en-GB"/>
        </w:rPr>
        <w:t xml:space="preserve"> including deaths, mostly due to infections</w:t>
      </w:r>
      <w:r>
        <w:rPr>
          <w:rFonts w:ascii="Arial" w:hAnsi="Arial"/>
          <w:bCs/>
          <w:sz w:val="22"/>
          <w:szCs w:val="22"/>
          <w:lang w:val="en-GB"/>
        </w:rPr>
        <w:t xml:space="preserve"> in current</w:t>
      </w:r>
      <w:r w:rsidR="00162DAB">
        <w:rPr>
          <w:rFonts w:ascii="Arial" w:hAnsi="Arial"/>
          <w:bCs/>
          <w:sz w:val="22"/>
          <w:szCs w:val="22"/>
          <w:lang w:val="en-GB"/>
        </w:rPr>
        <w:t xml:space="preserve"> on-going</w:t>
      </w:r>
      <w:r>
        <w:rPr>
          <w:rFonts w:ascii="Arial" w:hAnsi="Arial"/>
          <w:bCs/>
          <w:sz w:val="22"/>
          <w:szCs w:val="22"/>
          <w:lang w:val="en-GB"/>
        </w:rPr>
        <w:t xml:space="preserve"> clinical trials</w:t>
      </w:r>
      <w:r w:rsidRPr="0056579E">
        <w:rPr>
          <w:rFonts w:ascii="Arial" w:hAnsi="Arial"/>
          <w:bCs/>
          <w:sz w:val="22"/>
          <w:szCs w:val="22"/>
          <w:lang w:val="en-GB"/>
        </w:rPr>
        <w:t xml:space="preserve"> </w:t>
      </w:r>
      <w:r>
        <w:rPr>
          <w:rFonts w:ascii="Arial" w:hAnsi="Arial"/>
          <w:bCs/>
          <w:sz w:val="22"/>
          <w:szCs w:val="22"/>
          <w:lang w:val="en-GB"/>
        </w:rPr>
        <w:t xml:space="preserve">studying </w:t>
      </w:r>
      <w:proofErr w:type="spellStart"/>
      <w:r>
        <w:rPr>
          <w:rFonts w:ascii="Arial" w:hAnsi="Arial"/>
          <w:bCs/>
          <w:sz w:val="22"/>
          <w:szCs w:val="22"/>
          <w:lang w:val="en-GB"/>
        </w:rPr>
        <w:t>idelalisib</w:t>
      </w:r>
      <w:proofErr w:type="spellEnd"/>
      <w:r w:rsidRPr="0056579E">
        <w:rPr>
          <w:rFonts w:ascii="Arial" w:hAnsi="Arial"/>
          <w:bCs/>
          <w:sz w:val="22"/>
          <w:szCs w:val="22"/>
          <w:lang w:val="en-GB"/>
        </w:rPr>
        <w:t xml:space="preserve"> in combination with other medicines</w:t>
      </w:r>
      <w:r>
        <w:rPr>
          <w:rFonts w:ascii="Arial" w:hAnsi="Arial"/>
          <w:bCs/>
          <w:sz w:val="22"/>
          <w:szCs w:val="22"/>
          <w:lang w:val="en-GB"/>
        </w:rPr>
        <w:t>.  The PBAC noted that</w:t>
      </w:r>
      <w:r w:rsidR="00A564A3">
        <w:rPr>
          <w:rFonts w:ascii="Arial" w:hAnsi="Arial"/>
          <w:bCs/>
          <w:sz w:val="22"/>
          <w:szCs w:val="22"/>
          <w:lang w:val="en-GB"/>
        </w:rPr>
        <w:t>,</w:t>
      </w:r>
      <w:r>
        <w:rPr>
          <w:rFonts w:ascii="Arial" w:hAnsi="Arial"/>
          <w:bCs/>
          <w:sz w:val="22"/>
          <w:szCs w:val="22"/>
          <w:lang w:val="en-GB"/>
        </w:rPr>
        <w:t xml:space="preserve"> while these </w:t>
      </w:r>
      <w:r w:rsidR="00A564A3">
        <w:rPr>
          <w:rFonts w:ascii="Arial" w:hAnsi="Arial"/>
          <w:bCs/>
          <w:sz w:val="22"/>
          <w:szCs w:val="22"/>
          <w:lang w:val="en-GB"/>
        </w:rPr>
        <w:t>on-going</w:t>
      </w:r>
      <w:r>
        <w:rPr>
          <w:rFonts w:ascii="Arial" w:hAnsi="Arial"/>
          <w:bCs/>
          <w:sz w:val="22"/>
          <w:szCs w:val="22"/>
          <w:lang w:val="en-GB"/>
        </w:rPr>
        <w:t xml:space="preserve"> trials are being carried out in </w:t>
      </w:r>
      <w:r w:rsidR="00A564A3">
        <w:rPr>
          <w:rFonts w:ascii="Arial" w:hAnsi="Arial"/>
          <w:bCs/>
          <w:sz w:val="22"/>
          <w:szCs w:val="22"/>
          <w:lang w:val="en-GB"/>
        </w:rPr>
        <w:t xml:space="preserve">different diseases or in </w:t>
      </w:r>
      <w:r>
        <w:rPr>
          <w:rFonts w:ascii="Arial" w:hAnsi="Arial"/>
          <w:bCs/>
          <w:sz w:val="22"/>
          <w:szCs w:val="22"/>
          <w:lang w:val="en-GB"/>
        </w:rPr>
        <w:t xml:space="preserve">different patient </w:t>
      </w:r>
      <w:r w:rsidR="0016318A">
        <w:rPr>
          <w:rFonts w:ascii="Arial" w:hAnsi="Arial"/>
          <w:bCs/>
          <w:sz w:val="22"/>
          <w:szCs w:val="22"/>
          <w:lang w:val="en-GB"/>
        </w:rPr>
        <w:t xml:space="preserve">populations </w:t>
      </w:r>
      <w:r>
        <w:rPr>
          <w:rFonts w:ascii="Arial" w:hAnsi="Arial"/>
          <w:bCs/>
          <w:sz w:val="22"/>
          <w:szCs w:val="22"/>
          <w:lang w:val="en-GB"/>
        </w:rPr>
        <w:t xml:space="preserve">compared to the patient population for </w:t>
      </w:r>
      <w:r w:rsidR="00A564A3">
        <w:rPr>
          <w:rFonts w:ascii="Arial" w:hAnsi="Arial"/>
          <w:bCs/>
          <w:sz w:val="22"/>
          <w:szCs w:val="22"/>
          <w:lang w:val="en-GB"/>
        </w:rPr>
        <w:t xml:space="preserve">which listing is being sought, </w:t>
      </w:r>
      <w:r>
        <w:rPr>
          <w:rFonts w:ascii="Arial" w:hAnsi="Arial"/>
          <w:bCs/>
          <w:sz w:val="22"/>
          <w:szCs w:val="22"/>
          <w:lang w:val="en-GB"/>
        </w:rPr>
        <w:t>these serious adverse even</w:t>
      </w:r>
      <w:r w:rsidR="00A564A3">
        <w:rPr>
          <w:rFonts w:ascii="Arial" w:hAnsi="Arial"/>
          <w:bCs/>
          <w:sz w:val="22"/>
          <w:szCs w:val="22"/>
          <w:lang w:val="en-GB"/>
        </w:rPr>
        <w:t>ts represent harms in addition</w:t>
      </w:r>
      <w:r>
        <w:rPr>
          <w:rFonts w:ascii="Arial" w:hAnsi="Arial"/>
          <w:bCs/>
          <w:sz w:val="22"/>
          <w:szCs w:val="22"/>
          <w:lang w:val="en-GB"/>
        </w:rPr>
        <w:t xml:space="preserve"> to those raised in </w:t>
      </w:r>
      <w:r w:rsidR="00A564A3">
        <w:rPr>
          <w:rFonts w:ascii="Arial" w:hAnsi="Arial"/>
          <w:bCs/>
          <w:sz w:val="22"/>
          <w:szCs w:val="22"/>
          <w:lang w:val="en-GB"/>
        </w:rPr>
        <w:t>clinical</w:t>
      </w:r>
      <w:r>
        <w:rPr>
          <w:rFonts w:ascii="Arial" w:hAnsi="Arial"/>
          <w:bCs/>
          <w:sz w:val="22"/>
          <w:szCs w:val="22"/>
          <w:lang w:val="en-GB"/>
        </w:rPr>
        <w:t xml:space="preserve"> data provided in the submission. </w:t>
      </w:r>
      <w:r w:rsidR="00C10CA4">
        <w:rPr>
          <w:rFonts w:ascii="Arial" w:hAnsi="Arial"/>
          <w:bCs/>
          <w:sz w:val="22"/>
          <w:szCs w:val="22"/>
          <w:lang w:val="en-GB"/>
        </w:rPr>
        <w:t xml:space="preserve">The PBAC was also mindful that these additional harms associated with </w:t>
      </w:r>
      <w:proofErr w:type="spellStart"/>
      <w:r w:rsidR="00C10CA4">
        <w:rPr>
          <w:rFonts w:ascii="Arial" w:hAnsi="Arial"/>
          <w:bCs/>
          <w:sz w:val="22"/>
          <w:szCs w:val="22"/>
          <w:lang w:val="en-GB"/>
        </w:rPr>
        <w:t>idelalisib</w:t>
      </w:r>
      <w:proofErr w:type="spellEnd"/>
      <w:r w:rsidR="00C10CA4">
        <w:rPr>
          <w:rFonts w:ascii="Arial" w:hAnsi="Arial"/>
          <w:bCs/>
          <w:sz w:val="22"/>
          <w:szCs w:val="22"/>
          <w:lang w:val="en-GB"/>
        </w:rPr>
        <w:t xml:space="preserve"> may have an impact on the evaluation of cost-effectiveness.</w:t>
      </w:r>
    </w:p>
    <w:p w:rsidR="001F676E" w:rsidRDefault="001F676E" w:rsidP="001F676E">
      <w:pPr>
        <w:jc w:val="both"/>
        <w:rPr>
          <w:rFonts w:ascii="Arial" w:hAnsi="Arial"/>
          <w:bCs/>
          <w:sz w:val="22"/>
          <w:szCs w:val="22"/>
          <w:lang w:val="en-GB"/>
        </w:rPr>
      </w:pPr>
    </w:p>
    <w:p w:rsidR="009D27DA" w:rsidRDefault="00A564A3" w:rsidP="009D27DA">
      <w:pPr>
        <w:pStyle w:val="ListParagraph"/>
        <w:numPr>
          <w:ilvl w:val="1"/>
          <w:numId w:val="1"/>
        </w:numPr>
        <w:jc w:val="both"/>
        <w:rPr>
          <w:rFonts w:ascii="Arial" w:hAnsi="Arial"/>
          <w:bCs/>
          <w:sz w:val="22"/>
          <w:szCs w:val="22"/>
          <w:lang w:val="en-GB"/>
        </w:rPr>
      </w:pPr>
      <w:r>
        <w:rPr>
          <w:rFonts w:ascii="Arial" w:hAnsi="Arial"/>
          <w:bCs/>
          <w:sz w:val="22"/>
          <w:szCs w:val="22"/>
          <w:lang w:val="en-GB"/>
        </w:rPr>
        <w:t>The</w:t>
      </w:r>
      <w:r w:rsidR="001F676E" w:rsidRPr="007C5AFF">
        <w:rPr>
          <w:rFonts w:ascii="Arial" w:hAnsi="Arial"/>
          <w:bCs/>
          <w:sz w:val="22"/>
          <w:szCs w:val="22"/>
          <w:lang w:val="en-GB"/>
        </w:rPr>
        <w:t xml:space="preserve"> PBAC deferred the listing of </w:t>
      </w:r>
      <w:proofErr w:type="spellStart"/>
      <w:r w:rsidR="001F676E" w:rsidRPr="007C5AFF">
        <w:rPr>
          <w:rFonts w:ascii="Arial" w:hAnsi="Arial"/>
          <w:bCs/>
          <w:sz w:val="22"/>
          <w:szCs w:val="22"/>
          <w:lang w:val="en-GB"/>
        </w:rPr>
        <w:t>idelasilib</w:t>
      </w:r>
      <w:proofErr w:type="spellEnd"/>
      <w:r w:rsidR="001F676E" w:rsidRPr="007C5AFF">
        <w:rPr>
          <w:rFonts w:ascii="Arial" w:hAnsi="Arial"/>
          <w:bCs/>
          <w:sz w:val="22"/>
          <w:szCs w:val="22"/>
          <w:lang w:val="en-GB"/>
        </w:rPr>
        <w:t xml:space="preserve"> for the treatment </w:t>
      </w:r>
      <w:r w:rsidR="001F676E" w:rsidRPr="007C5AFF">
        <w:rPr>
          <w:rFonts w:ascii="Arial" w:hAnsi="Arial"/>
          <w:bCs/>
          <w:sz w:val="22"/>
          <w:szCs w:val="22"/>
        </w:rPr>
        <w:t>of follicular lymphoma that is refractory to both rituximab and an alkylating agent</w:t>
      </w:r>
      <w:r w:rsidR="006B011F" w:rsidRPr="007C5AFF">
        <w:rPr>
          <w:rFonts w:ascii="Arial" w:hAnsi="Arial"/>
          <w:bCs/>
          <w:sz w:val="22"/>
          <w:szCs w:val="22"/>
        </w:rPr>
        <w:t xml:space="preserve"> </w:t>
      </w:r>
      <w:r w:rsidR="006B011F" w:rsidRPr="007C5AFF">
        <w:rPr>
          <w:rFonts w:ascii="Arial" w:hAnsi="Arial"/>
          <w:bCs/>
          <w:sz w:val="22"/>
          <w:szCs w:val="22"/>
          <w:lang w:val="en-GB"/>
        </w:rPr>
        <w:t xml:space="preserve">to seek additional information regarding safety given the recent concerns raised by regulators. The PBAC requested the sponsor to update </w:t>
      </w:r>
      <w:r>
        <w:rPr>
          <w:rFonts w:ascii="Arial" w:hAnsi="Arial"/>
          <w:bCs/>
          <w:sz w:val="22"/>
          <w:szCs w:val="22"/>
          <w:lang w:val="en-GB"/>
        </w:rPr>
        <w:t xml:space="preserve">the </w:t>
      </w:r>
      <w:r w:rsidR="006B011F" w:rsidRPr="007C5AFF">
        <w:rPr>
          <w:rFonts w:ascii="Arial" w:hAnsi="Arial"/>
          <w:bCs/>
          <w:sz w:val="22"/>
          <w:szCs w:val="22"/>
          <w:lang w:val="en-GB"/>
        </w:rPr>
        <w:t>PBAC on adverse events in the clinical areas in which listing is being sought, and if</w:t>
      </w:r>
      <w:r w:rsidR="00C10CA4">
        <w:rPr>
          <w:rFonts w:ascii="Arial" w:hAnsi="Arial"/>
          <w:bCs/>
          <w:sz w:val="22"/>
          <w:szCs w:val="22"/>
          <w:lang w:val="en-GB"/>
        </w:rPr>
        <w:t>,</w:t>
      </w:r>
      <w:r w:rsidR="006B011F" w:rsidRPr="007C5AFF">
        <w:rPr>
          <w:rFonts w:ascii="Arial" w:hAnsi="Arial"/>
          <w:bCs/>
          <w:sz w:val="22"/>
          <w:szCs w:val="22"/>
          <w:lang w:val="en-GB"/>
        </w:rPr>
        <w:t xml:space="preserve"> or how</w:t>
      </w:r>
      <w:r w:rsidR="00C10CA4">
        <w:rPr>
          <w:rFonts w:ascii="Arial" w:hAnsi="Arial"/>
          <w:bCs/>
          <w:sz w:val="22"/>
          <w:szCs w:val="22"/>
          <w:lang w:val="en-GB"/>
        </w:rPr>
        <w:t>,</w:t>
      </w:r>
      <w:r w:rsidR="006B011F" w:rsidRPr="007C5AFF">
        <w:rPr>
          <w:rFonts w:ascii="Arial" w:hAnsi="Arial"/>
          <w:bCs/>
          <w:sz w:val="22"/>
          <w:szCs w:val="22"/>
          <w:lang w:val="en-GB"/>
        </w:rPr>
        <w:t xml:space="preserve"> the recent emergence of addition</w:t>
      </w:r>
      <w:r w:rsidR="007C5AFF" w:rsidRPr="007C5AFF">
        <w:rPr>
          <w:rFonts w:ascii="Arial" w:hAnsi="Arial"/>
          <w:bCs/>
          <w:sz w:val="22"/>
          <w:szCs w:val="22"/>
          <w:lang w:val="en-GB"/>
        </w:rPr>
        <w:t>al</w:t>
      </w:r>
      <w:r w:rsidR="006B011F" w:rsidRPr="007C5AFF">
        <w:rPr>
          <w:rFonts w:ascii="Arial" w:hAnsi="Arial"/>
          <w:bCs/>
          <w:sz w:val="22"/>
          <w:szCs w:val="22"/>
          <w:lang w:val="en-GB"/>
        </w:rPr>
        <w:t xml:space="preserve"> serious adverse events in the current</w:t>
      </w:r>
      <w:r>
        <w:rPr>
          <w:rFonts w:ascii="Arial" w:hAnsi="Arial"/>
          <w:bCs/>
          <w:sz w:val="22"/>
          <w:szCs w:val="22"/>
          <w:lang w:val="en-GB"/>
        </w:rPr>
        <w:t xml:space="preserve"> </w:t>
      </w:r>
      <w:r w:rsidR="006B011F" w:rsidRPr="007C5AFF">
        <w:rPr>
          <w:rFonts w:ascii="Arial" w:hAnsi="Arial"/>
          <w:bCs/>
          <w:sz w:val="22"/>
          <w:szCs w:val="22"/>
          <w:lang w:val="en-GB"/>
        </w:rPr>
        <w:t>trials may impact</w:t>
      </w:r>
      <w:r w:rsidR="007C5AFF" w:rsidRPr="007C5AFF">
        <w:rPr>
          <w:rFonts w:ascii="Arial" w:hAnsi="Arial"/>
          <w:bCs/>
          <w:sz w:val="22"/>
          <w:szCs w:val="22"/>
          <w:lang w:val="en-GB"/>
        </w:rPr>
        <w:t xml:space="preserve"> patients if </w:t>
      </w:r>
      <w:proofErr w:type="spellStart"/>
      <w:r w:rsidR="00A058BD" w:rsidRPr="007C5AFF">
        <w:rPr>
          <w:rFonts w:ascii="Arial" w:hAnsi="Arial"/>
          <w:bCs/>
          <w:sz w:val="22"/>
          <w:szCs w:val="22"/>
          <w:lang w:val="en-GB"/>
        </w:rPr>
        <w:t>idelalisib</w:t>
      </w:r>
      <w:proofErr w:type="spellEnd"/>
      <w:r w:rsidR="00A058BD" w:rsidRPr="007C5AFF">
        <w:rPr>
          <w:rFonts w:ascii="Arial" w:hAnsi="Arial"/>
          <w:bCs/>
          <w:sz w:val="22"/>
          <w:szCs w:val="22"/>
          <w:lang w:val="en-GB"/>
        </w:rPr>
        <w:t xml:space="preserve"> becomes</w:t>
      </w:r>
      <w:r w:rsidR="007C5AFF" w:rsidRPr="007C5AFF">
        <w:rPr>
          <w:rFonts w:ascii="Arial" w:hAnsi="Arial"/>
          <w:bCs/>
          <w:sz w:val="22"/>
          <w:szCs w:val="22"/>
          <w:lang w:val="en-GB"/>
        </w:rPr>
        <w:t xml:space="preserve"> available in </w:t>
      </w:r>
      <w:r w:rsidR="00A058BD">
        <w:rPr>
          <w:rFonts w:ascii="Arial" w:hAnsi="Arial"/>
          <w:bCs/>
          <w:sz w:val="22"/>
          <w:szCs w:val="22"/>
          <w:lang w:val="en-GB"/>
        </w:rPr>
        <w:t>the</w:t>
      </w:r>
      <w:r w:rsidR="007C5AFF" w:rsidRPr="007C5AFF">
        <w:rPr>
          <w:rFonts w:ascii="Arial" w:hAnsi="Arial"/>
          <w:bCs/>
          <w:sz w:val="22"/>
          <w:szCs w:val="22"/>
          <w:lang w:val="en-GB"/>
        </w:rPr>
        <w:t xml:space="preserve"> broader PBS population.</w:t>
      </w:r>
    </w:p>
    <w:p w:rsidR="007C5AFF" w:rsidRPr="007C5AFF" w:rsidRDefault="007C5AFF" w:rsidP="007C5AFF">
      <w:pPr>
        <w:jc w:val="both"/>
        <w:rPr>
          <w:rFonts w:ascii="Arial" w:hAnsi="Arial"/>
          <w:bCs/>
          <w:sz w:val="22"/>
          <w:szCs w:val="22"/>
          <w:lang w:val="en-GB"/>
        </w:rPr>
      </w:pPr>
    </w:p>
    <w:p w:rsidR="009D27DA" w:rsidRPr="00EC6FCE" w:rsidRDefault="009D27DA" w:rsidP="009D27DA">
      <w:pPr>
        <w:pStyle w:val="ListParagraph"/>
        <w:numPr>
          <w:ilvl w:val="1"/>
          <w:numId w:val="1"/>
        </w:numPr>
        <w:jc w:val="both"/>
        <w:rPr>
          <w:rFonts w:ascii="Arial" w:hAnsi="Arial" w:cs="Arial"/>
          <w:sz w:val="22"/>
          <w:szCs w:val="22"/>
        </w:rPr>
      </w:pPr>
      <w:r>
        <w:rPr>
          <w:rFonts w:ascii="Arial" w:hAnsi="Arial" w:cs="Arial"/>
          <w:sz w:val="22"/>
          <w:szCs w:val="22"/>
        </w:rPr>
        <w:t>Further, t</w:t>
      </w:r>
      <w:r w:rsidRPr="001F676E">
        <w:rPr>
          <w:rFonts w:ascii="Arial" w:hAnsi="Arial" w:cs="Arial"/>
          <w:sz w:val="22"/>
          <w:szCs w:val="22"/>
        </w:rPr>
        <w:t>he PBAC noted that sponsor agree</w:t>
      </w:r>
      <w:r>
        <w:rPr>
          <w:rFonts w:ascii="Arial" w:hAnsi="Arial" w:cs="Arial"/>
          <w:sz w:val="22"/>
          <w:szCs w:val="22"/>
        </w:rPr>
        <w:t>d</w:t>
      </w:r>
      <w:r w:rsidRPr="001F676E">
        <w:rPr>
          <w:rFonts w:ascii="Arial" w:hAnsi="Arial" w:cs="Arial"/>
          <w:sz w:val="22"/>
          <w:szCs w:val="22"/>
        </w:rPr>
        <w:t xml:space="preserve"> with an Authority required (Telephone) listing. If </w:t>
      </w:r>
      <w:proofErr w:type="spellStart"/>
      <w:r w:rsidRPr="001F676E">
        <w:rPr>
          <w:rFonts w:ascii="Arial" w:hAnsi="Arial" w:cs="Arial"/>
          <w:sz w:val="22"/>
          <w:szCs w:val="22"/>
        </w:rPr>
        <w:t>idelalisib</w:t>
      </w:r>
      <w:proofErr w:type="spellEnd"/>
      <w:r w:rsidRPr="001F676E">
        <w:rPr>
          <w:rFonts w:ascii="Arial" w:hAnsi="Arial" w:cs="Arial"/>
          <w:sz w:val="22"/>
          <w:szCs w:val="22"/>
        </w:rPr>
        <w:t xml:space="preserve"> for this condition was listed, the PBAC were of a mind to recommend that</w:t>
      </w:r>
      <w:r>
        <w:rPr>
          <w:rFonts w:ascii="Arial" w:hAnsi="Arial" w:cs="Arial"/>
          <w:sz w:val="22"/>
          <w:szCs w:val="22"/>
        </w:rPr>
        <w:t>:</w:t>
      </w:r>
    </w:p>
    <w:p w:rsidR="009D27DA" w:rsidRPr="001F676E" w:rsidRDefault="009D27DA" w:rsidP="009D27DA">
      <w:pPr>
        <w:pStyle w:val="ListParagraph"/>
        <w:numPr>
          <w:ilvl w:val="1"/>
          <w:numId w:val="9"/>
        </w:numPr>
        <w:ind w:left="1134" w:hanging="141"/>
        <w:jc w:val="both"/>
        <w:rPr>
          <w:rFonts w:ascii="Arial" w:hAnsi="Arial" w:cs="Arial"/>
          <w:sz w:val="22"/>
          <w:szCs w:val="22"/>
        </w:rPr>
      </w:pPr>
      <w:r w:rsidRPr="001F676E">
        <w:rPr>
          <w:rFonts w:ascii="Arial" w:hAnsi="Arial" w:cs="Arial"/>
          <w:sz w:val="22"/>
          <w:szCs w:val="22"/>
        </w:rPr>
        <w:t xml:space="preserve">The Early Supply Rule should apply to </w:t>
      </w:r>
      <w:proofErr w:type="spellStart"/>
      <w:r w:rsidRPr="001F676E">
        <w:rPr>
          <w:rFonts w:ascii="Arial" w:hAnsi="Arial" w:cs="Arial"/>
          <w:sz w:val="22"/>
          <w:szCs w:val="22"/>
        </w:rPr>
        <w:t>idelalisib</w:t>
      </w:r>
      <w:proofErr w:type="spellEnd"/>
      <w:r w:rsidRPr="001F676E">
        <w:rPr>
          <w:rFonts w:ascii="Arial" w:hAnsi="Arial" w:cs="Arial"/>
          <w:sz w:val="22"/>
          <w:szCs w:val="22"/>
        </w:rPr>
        <w:t xml:space="preserve"> as the requested maximum quantity is sufficient supply for 30 days of treatment. </w:t>
      </w:r>
    </w:p>
    <w:p w:rsidR="009D27DA" w:rsidRPr="001F676E" w:rsidRDefault="009D27DA" w:rsidP="009D27DA">
      <w:pPr>
        <w:pStyle w:val="ListParagraph"/>
        <w:numPr>
          <w:ilvl w:val="1"/>
          <w:numId w:val="9"/>
        </w:numPr>
        <w:ind w:left="1134" w:hanging="141"/>
        <w:jc w:val="both"/>
        <w:rPr>
          <w:rFonts w:ascii="Arial" w:hAnsi="Arial" w:cs="Arial"/>
          <w:sz w:val="22"/>
          <w:szCs w:val="22"/>
        </w:rPr>
      </w:pPr>
      <w:proofErr w:type="spellStart"/>
      <w:r w:rsidRPr="001F676E">
        <w:rPr>
          <w:rFonts w:ascii="Arial" w:hAnsi="Arial" w:cs="Arial"/>
          <w:sz w:val="22"/>
          <w:szCs w:val="22"/>
        </w:rPr>
        <w:t>Idelalisib</w:t>
      </w:r>
      <w:proofErr w:type="spellEnd"/>
      <w:r w:rsidRPr="001F676E">
        <w:rPr>
          <w:rFonts w:ascii="Arial" w:hAnsi="Arial" w:cs="Arial"/>
          <w:sz w:val="22"/>
          <w:szCs w:val="22"/>
        </w:rPr>
        <w:t xml:space="preserve"> is not suitable for prescribing by nurse practitioners as antineoplastic agents are currently considered to be out of scope for prescribing by nurse practitioners. </w:t>
      </w:r>
    </w:p>
    <w:p w:rsidR="009D27DA" w:rsidRPr="009D27DA" w:rsidRDefault="009D27DA" w:rsidP="009D27DA">
      <w:pPr>
        <w:pStyle w:val="ListParagraph"/>
        <w:numPr>
          <w:ilvl w:val="1"/>
          <w:numId w:val="9"/>
        </w:numPr>
        <w:ind w:left="1134" w:hanging="141"/>
        <w:jc w:val="both"/>
        <w:rPr>
          <w:rFonts w:ascii="Arial" w:hAnsi="Arial" w:cs="Arial"/>
          <w:sz w:val="22"/>
          <w:szCs w:val="22"/>
        </w:rPr>
      </w:pPr>
      <w:r w:rsidRPr="001F676E">
        <w:rPr>
          <w:rFonts w:ascii="Arial" w:hAnsi="Arial" w:cs="Arial"/>
          <w:sz w:val="22"/>
          <w:szCs w:val="22"/>
        </w:rPr>
        <w:t xml:space="preserve">Under Section 101 (3BA) of the National Health Act, </w:t>
      </w:r>
      <w:proofErr w:type="spellStart"/>
      <w:r w:rsidRPr="001F676E">
        <w:rPr>
          <w:rFonts w:ascii="Arial" w:hAnsi="Arial" w:cs="Arial"/>
          <w:sz w:val="22"/>
          <w:szCs w:val="22"/>
        </w:rPr>
        <w:t>idelalisib</w:t>
      </w:r>
      <w:proofErr w:type="spellEnd"/>
      <w:r w:rsidRPr="001F676E">
        <w:rPr>
          <w:rFonts w:ascii="Arial" w:hAnsi="Arial" w:cs="Arial"/>
          <w:sz w:val="22"/>
          <w:szCs w:val="22"/>
        </w:rPr>
        <w:t xml:space="preserve"> would </w:t>
      </w:r>
      <w:r w:rsidR="00143703" w:rsidRPr="001F676E">
        <w:rPr>
          <w:rFonts w:ascii="Arial" w:hAnsi="Arial" w:cs="Arial"/>
          <w:sz w:val="22"/>
          <w:szCs w:val="22"/>
        </w:rPr>
        <w:t>not be</w:t>
      </w:r>
      <w:r w:rsidRPr="001F676E">
        <w:rPr>
          <w:rFonts w:ascii="Arial" w:hAnsi="Arial" w:cs="Arial"/>
          <w:sz w:val="22"/>
          <w:szCs w:val="22"/>
        </w:rPr>
        <w:t xml:space="preserve"> treated as interchangeable with any other drug(s) or medicinal preparation(s</w:t>
      </w:r>
      <w:r w:rsidR="00143703" w:rsidRPr="001F676E">
        <w:rPr>
          <w:rFonts w:ascii="Arial" w:hAnsi="Arial" w:cs="Arial"/>
          <w:sz w:val="22"/>
          <w:szCs w:val="22"/>
        </w:rPr>
        <w:t>) on</w:t>
      </w:r>
      <w:r w:rsidRPr="001F676E">
        <w:rPr>
          <w:rFonts w:ascii="Arial" w:hAnsi="Arial" w:cs="Arial"/>
          <w:sz w:val="22"/>
          <w:szCs w:val="22"/>
        </w:rPr>
        <w:t xml:space="preserve"> an individual patient basis. </w:t>
      </w:r>
    </w:p>
    <w:p w:rsidR="009D27DA" w:rsidRPr="009D27DA" w:rsidRDefault="009D27DA" w:rsidP="009D27DA">
      <w:pPr>
        <w:jc w:val="both"/>
        <w:rPr>
          <w:rFonts w:ascii="Arial" w:hAnsi="Arial"/>
          <w:bCs/>
          <w:sz w:val="22"/>
          <w:szCs w:val="22"/>
          <w:lang w:val="en-GB"/>
        </w:rPr>
      </w:pPr>
    </w:p>
    <w:p w:rsidR="00BF47CB" w:rsidRPr="006F73F3" w:rsidRDefault="00BF47CB" w:rsidP="00BF47CB">
      <w:pPr>
        <w:jc w:val="both"/>
        <w:rPr>
          <w:rFonts w:ascii="Arial" w:hAnsi="Arial"/>
          <w:b/>
          <w:bCs/>
          <w:sz w:val="22"/>
          <w:szCs w:val="22"/>
          <w:lang w:val="en-GB"/>
        </w:rPr>
      </w:pPr>
      <w:r w:rsidRPr="006F73F3">
        <w:rPr>
          <w:rFonts w:ascii="Arial" w:hAnsi="Arial"/>
          <w:b/>
          <w:bCs/>
          <w:sz w:val="22"/>
          <w:szCs w:val="22"/>
          <w:lang w:val="en-GB"/>
        </w:rPr>
        <w:t>Outcome:</w:t>
      </w:r>
    </w:p>
    <w:p w:rsidR="00BF47CB" w:rsidRPr="006F73F3" w:rsidRDefault="002F6007" w:rsidP="00BF47CB">
      <w:pPr>
        <w:jc w:val="both"/>
        <w:rPr>
          <w:rFonts w:ascii="Arial" w:hAnsi="Arial"/>
          <w:bCs/>
          <w:sz w:val="22"/>
          <w:szCs w:val="22"/>
          <w:lang w:val="en-GB"/>
        </w:rPr>
      </w:pPr>
      <w:r>
        <w:rPr>
          <w:rFonts w:ascii="Arial" w:hAnsi="Arial"/>
          <w:bCs/>
          <w:sz w:val="22"/>
          <w:szCs w:val="22"/>
          <w:lang w:val="en-GB"/>
        </w:rPr>
        <w:t>Deferred</w:t>
      </w:r>
    </w:p>
    <w:p w:rsidR="00BF47CB" w:rsidRPr="006F73F3" w:rsidRDefault="00BF47CB" w:rsidP="00BF47CB">
      <w:pPr>
        <w:jc w:val="both"/>
        <w:rPr>
          <w:rFonts w:ascii="Arial" w:hAnsi="Arial"/>
          <w:bCs/>
          <w:sz w:val="22"/>
          <w:szCs w:val="22"/>
          <w:lang w:val="en-GB"/>
        </w:rPr>
      </w:pPr>
    </w:p>
    <w:p w:rsidR="008F557C" w:rsidRDefault="008F557C" w:rsidP="008F557C">
      <w:pPr>
        <w:pStyle w:val="Heading1"/>
      </w:pPr>
      <w:r w:rsidRPr="00632206">
        <w:t>Context for Decision</w:t>
      </w:r>
    </w:p>
    <w:p w:rsidR="008F557C" w:rsidRDefault="008F557C" w:rsidP="008F557C">
      <w:pPr>
        <w:ind w:left="720"/>
        <w:jc w:val="both"/>
        <w:rPr>
          <w:rFonts w:ascii="Arial" w:hAnsi="Arial" w:cs="Arial"/>
          <w:sz w:val="22"/>
        </w:rPr>
      </w:pPr>
    </w:p>
    <w:p w:rsidR="008F557C" w:rsidRDefault="008F557C" w:rsidP="008F557C">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F557C" w:rsidRDefault="008F557C" w:rsidP="008F557C">
      <w:pPr>
        <w:ind w:left="720"/>
        <w:jc w:val="both"/>
        <w:rPr>
          <w:rFonts w:ascii="Arial" w:hAnsi="Arial" w:cs="Arial"/>
          <w:sz w:val="22"/>
        </w:rPr>
      </w:pPr>
    </w:p>
    <w:p w:rsidR="008F557C" w:rsidRDefault="008F557C" w:rsidP="008F557C">
      <w:pPr>
        <w:pStyle w:val="Heading1"/>
      </w:pPr>
      <w:r w:rsidRPr="00451386">
        <w:t>Sponsor’s Comment</w:t>
      </w:r>
    </w:p>
    <w:p w:rsidR="008F557C" w:rsidRDefault="008F557C" w:rsidP="008F557C">
      <w:pPr>
        <w:ind w:left="720"/>
        <w:jc w:val="both"/>
        <w:rPr>
          <w:rFonts w:ascii="Arial" w:hAnsi="Arial" w:cs="Arial"/>
          <w:bCs/>
          <w:sz w:val="22"/>
          <w:highlight w:val="yellow"/>
          <w:lang w:val="en-GB"/>
        </w:rPr>
      </w:pPr>
    </w:p>
    <w:p w:rsidR="00BF47CB" w:rsidRPr="008F557C" w:rsidRDefault="008F557C" w:rsidP="008F557C">
      <w:pPr>
        <w:spacing w:after="120"/>
        <w:ind w:left="720"/>
        <w:jc w:val="both"/>
        <w:rPr>
          <w:rFonts w:ascii="Arial" w:hAnsi="Arial" w:cs="Arial"/>
          <w:bCs/>
          <w:sz w:val="22"/>
          <w:szCs w:val="22"/>
          <w:lang w:val="en-GB"/>
        </w:rPr>
      </w:pPr>
      <w:r w:rsidRPr="003035CC">
        <w:rPr>
          <w:rFonts w:ascii="Arial" w:hAnsi="Arial" w:cs="Arial"/>
          <w:bCs/>
          <w:sz w:val="22"/>
        </w:rPr>
        <w:t>The sponsor had no comment.</w:t>
      </w:r>
    </w:p>
    <w:sectPr w:rsidR="00BF47CB" w:rsidRPr="008F557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5C" w:rsidRDefault="002C5C5C">
      <w:r>
        <w:separator/>
      </w:r>
    </w:p>
    <w:p w:rsidR="002C5C5C" w:rsidRDefault="002C5C5C"/>
  </w:endnote>
  <w:endnote w:type="continuationSeparator" w:id="0">
    <w:p w:rsidR="002C5C5C" w:rsidRDefault="002C5C5C">
      <w:r>
        <w:continuationSeparator/>
      </w:r>
    </w:p>
    <w:p w:rsidR="002C5C5C" w:rsidRDefault="002C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10CA4" w:rsidTr="005A3173">
      <w:trPr>
        <w:trHeight w:val="151"/>
      </w:trPr>
      <w:tc>
        <w:tcPr>
          <w:tcW w:w="2250" w:type="pct"/>
          <w:tcBorders>
            <w:top w:val="nil"/>
            <w:left w:val="nil"/>
            <w:bottom w:val="single" w:sz="4" w:space="0" w:color="4F81BD"/>
            <w:right w:val="nil"/>
          </w:tcBorders>
        </w:tcPr>
        <w:p w:rsidR="00C10CA4" w:rsidRPr="005A3173" w:rsidRDefault="00C10CA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0CA4" w:rsidRPr="005A3173" w:rsidRDefault="00C10CA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0CA4" w:rsidRPr="005A3173" w:rsidRDefault="00C10CA4" w:rsidP="005A3173">
          <w:pPr>
            <w:pStyle w:val="Header"/>
            <w:spacing w:line="276" w:lineRule="auto"/>
            <w:rPr>
              <w:rFonts w:ascii="Calibri" w:eastAsia="MS Gothic" w:hAnsi="Calibri"/>
              <w:b/>
              <w:bCs/>
              <w:color w:val="4F81BD"/>
            </w:rPr>
          </w:pPr>
        </w:p>
      </w:tc>
    </w:tr>
    <w:tr w:rsidR="00C10CA4" w:rsidTr="005A3173">
      <w:trPr>
        <w:trHeight w:val="150"/>
      </w:trPr>
      <w:tc>
        <w:tcPr>
          <w:tcW w:w="2250" w:type="pct"/>
          <w:tcBorders>
            <w:top w:val="single" w:sz="4" w:space="0" w:color="4F81BD"/>
            <w:left w:val="nil"/>
            <w:bottom w:val="nil"/>
            <w:right w:val="nil"/>
          </w:tcBorders>
        </w:tcPr>
        <w:p w:rsidR="00C10CA4" w:rsidRPr="005A3173" w:rsidRDefault="00C10CA4" w:rsidP="005A3173">
          <w:pPr>
            <w:pStyle w:val="Header"/>
            <w:spacing w:line="276" w:lineRule="auto"/>
            <w:rPr>
              <w:rFonts w:ascii="Calibri" w:eastAsia="MS Gothic" w:hAnsi="Calibri"/>
              <w:b/>
              <w:bCs/>
              <w:color w:val="4F81BD"/>
            </w:rPr>
          </w:pPr>
        </w:p>
      </w:tc>
      <w:tc>
        <w:tcPr>
          <w:tcW w:w="0" w:type="auto"/>
          <w:vMerge/>
          <w:vAlign w:val="center"/>
          <w:hideMark/>
        </w:tcPr>
        <w:p w:rsidR="00C10CA4" w:rsidRPr="005A3173" w:rsidRDefault="00C10CA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0CA4" w:rsidRPr="005A3173" w:rsidRDefault="00C10CA4" w:rsidP="005A3173">
          <w:pPr>
            <w:pStyle w:val="Header"/>
            <w:spacing w:line="276" w:lineRule="auto"/>
            <w:rPr>
              <w:rFonts w:ascii="Calibri" w:eastAsia="MS Gothic" w:hAnsi="Calibri"/>
              <w:b/>
              <w:bCs/>
              <w:color w:val="4F81BD"/>
            </w:rPr>
          </w:pPr>
        </w:p>
      </w:tc>
    </w:tr>
  </w:tbl>
  <w:p w:rsidR="00C10CA4" w:rsidRDefault="00C10CA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CA4" w:rsidRDefault="00C10CA4">
    <w:pPr>
      <w:pStyle w:val="Footer"/>
    </w:pPr>
  </w:p>
  <w:p w:rsidR="00C10CA4" w:rsidRDefault="00C10C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68528"/>
      <w:docPartObj>
        <w:docPartGallery w:val="Page Numbers (Bottom of Page)"/>
        <w:docPartUnique/>
      </w:docPartObj>
    </w:sdtPr>
    <w:sdtEndPr>
      <w:rPr>
        <w:rFonts w:ascii="Arial" w:hAnsi="Arial" w:cs="Arial"/>
        <w:noProof/>
        <w:sz w:val="22"/>
      </w:rPr>
    </w:sdtEndPr>
    <w:sdtContent>
      <w:p w:rsidR="00C10CA4" w:rsidRPr="00411546" w:rsidRDefault="00C10CA4">
        <w:pPr>
          <w:pStyle w:val="Footer"/>
          <w:jc w:val="center"/>
          <w:rPr>
            <w:rFonts w:ascii="Arial" w:hAnsi="Arial" w:cs="Arial"/>
            <w:sz w:val="22"/>
          </w:rPr>
        </w:pPr>
        <w:r w:rsidRPr="00411546">
          <w:rPr>
            <w:rFonts w:ascii="Arial" w:hAnsi="Arial" w:cs="Arial"/>
            <w:sz w:val="22"/>
          </w:rPr>
          <w:fldChar w:fldCharType="begin"/>
        </w:r>
        <w:r w:rsidRPr="00411546">
          <w:rPr>
            <w:rFonts w:ascii="Arial" w:hAnsi="Arial" w:cs="Arial"/>
            <w:sz w:val="22"/>
          </w:rPr>
          <w:instrText xml:space="preserve"> PAGE   \* MERGEFORMAT </w:instrText>
        </w:r>
        <w:r w:rsidRPr="00411546">
          <w:rPr>
            <w:rFonts w:ascii="Arial" w:hAnsi="Arial" w:cs="Arial"/>
            <w:sz w:val="22"/>
          </w:rPr>
          <w:fldChar w:fldCharType="separate"/>
        </w:r>
        <w:r w:rsidR="00BE15B2">
          <w:rPr>
            <w:rFonts w:ascii="Arial" w:hAnsi="Arial" w:cs="Arial"/>
            <w:noProof/>
            <w:sz w:val="22"/>
          </w:rPr>
          <w:t>2</w:t>
        </w:r>
        <w:r w:rsidRPr="00411546">
          <w:rPr>
            <w:rFonts w:ascii="Arial" w:hAnsi="Arial" w:cs="Arial"/>
            <w:noProof/>
            <w:sz w:val="22"/>
          </w:rPr>
          <w:fldChar w:fldCharType="end"/>
        </w:r>
      </w:p>
    </w:sdtContent>
  </w:sdt>
  <w:p w:rsidR="00C10CA4" w:rsidRDefault="00C10CA4"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10CA4" w:rsidTr="005A3173">
      <w:trPr>
        <w:trHeight w:val="151"/>
      </w:trPr>
      <w:tc>
        <w:tcPr>
          <w:tcW w:w="2250" w:type="pct"/>
          <w:tcBorders>
            <w:top w:val="nil"/>
            <w:left w:val="nil"/>
            <w:bottom w:val="single" w:sz="4" w:space="0" w:color="4F81BD"/>
            <w:right w:val="nil"/>
          </w:tcBorders>
        </w:tcPr>
        <w:p w:rsidR="00C10CA4" w:rsidRPr="005A3173" w:rsidRDefault="00C10CA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0CA4" w:rsidRPr="005A3173" w:rsidRDefault="00C10CA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0CA4" w:rsidRPr="005A3173" w:rsidRDefault="00C10CA4" w:rsidP="005A3173">
          <w:pPr>
            <w:pStyle w:val="Header"/>
            <w:spacing w:line="276" w:lineRule="auto"/>
            <w:rPr>
              <w:rFonts w:ascii="Calibri" w:eastAsia="MS Gothic" w:hAnsi="Calibri"/>
              <w:b/>
              <w:bCs/>
              <w:color w:val="4F81BD"/>
            </w:rPr>
          </w:pPr>
        </w:p>
      </w:tc>
    </w:tr>
    <w:tr w:rsidR="00C10CA4" w:rsidTr="005A3173">
      <w:trPr>
        <w:trHeight w:val="150"/>
      </w:trPr>
      <w:tc>
        <w:tcPr>
          <w:tcW w:w="2250" w:type="pct"/>
          <w:tcBorders>
            <w:top w:val="single" w:sz="4" w:space="0" w:color="4F81BD"/>
            <w:left w:val="nil"/>
            <w:bottom w:val="nil"/>
            <w:right w:val="nil"/>
          </w:tcBorders>
        </w:tcPr>
        <w:p w:rsidR="00C10CA4" w:rsidRPr="005A3173" w:rsidRDefault="00C10CA4" w:rsidP="005A3173">
          <w:pPr>
            <w:pStyle w:val="Header"/>
            <w:spacing w:line="276" w:lineRule="auto"/>
            <w:rPr>
              <w:rFonts w:ascii="Calibri" w:eastAsia="MS Gothic" w:hAnsi="Calibri"/>
              <w:b/>
              <w:bCs/>
              <w:color w:val="4F81BD"/>
            </w:rPr>
          </w:pPr>
        </w:p>
      </w:tc>
      <w:tc>
        <w:tcPr>
          <w:tcW w:w="0" w:type="auto"/>
          <w:vMerge/>
          <w:vAlign w:val="center"/>
          <w:hideMark/>
        </w:tcPr>
        <w:p w:rsidR="00C10CA4" w:rsidRPr="005A3173" w:rsidRDefault="00C10CA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0CA4" w:rsidRPr="005A3173" w:rsidRDefault="00C10CA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10CA4" w:rsidTr="005A3173">
      <w:trPr>
        <w:trHeight w:val="151"/>
      </w:trPr>
      <w:tc>
        <w:tcPr>
          <w:tcW w:w="2250" w:type="pct"/>
          <w:tcBorders>
            <w:top w:val="nil"/>
            <w:left w:val="nil"/>
            <w:bottom w:val="single" w:sz="4" w:space="0" w:color="4F81BD"/>
            <w:right w:val="nil"/>
          </w:tcBorders>
        </w:tcPr>
        <w:p w:rsidR="00C10CA4" w:rsidRPr="005A3173" w:rsidRDefault="00C10CA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0CA4" w:rsidRPr="005A3173" w:rsidRDefault="00C10CA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0CA4" w:rsidRPr="005A3173" w:rsidRDefault="00C10CA4" w:rsidP="005A3173">
          <w:pPr>
            <w:pStyle w:val="Header"/>
            <w:spacing w:line="276" w:lineRule="auto"/>
            <w:rPr>
              <w:rFonts w:ascii="Calibri" w:eastAsia="MS Gothic" w:hAnsi="Calibri"/>
              <w:b/>
              <w:bCs/>
              <w:color w:val="4F81BD"/>
            </w:rPr>
          </w:pPr>
        </w:p>
      </w:tc>
    </w:tr>
    <w:tr w:rsidR="00C10CA4" w:rsidTr="005A3173">
      <w:trPr>
        <w:trHeight w:val="150"/>
      </w:trPr>
      <w:tc>
        <w:tcPr>
          <w:tcW w:w="2250" w:type="pct"/>
          <w:tcBorders>
            <w:top w:val="single" w:sz="4" w:space="0" w:color="4F81BD"/>
            <w:left w:val="nil"/>
            <w:bottom w:val="nil"/>
            <w:right w:val="nil"/>
          </w:tcBorders>
        </w:tcPr>
        <w:p w:rsidR="00C10CA4" w:rsidRPr="005A3173" w:rsidRDefault="00C10CA4" w:rsidP="005A3173">
          <w:pPr>
            <w:pStyle w:val="Header"/>
            <w:spacing w:line="276" w:lineRule="auto"/>
            <w:rPr>
              <w:rFonts w:ascii="Calibri" w:eastAsia="MS Gothic" w:hAnsi="Calibri"/>
              <w:b/>
              <w:bCs/>
              <w:color w:val="4F81BD"/>
            </w:rPr>
          </w:pPr>
        </w:p>
      </w:tc>
      <w:tc>
        <w:tcPr>
          <w:tcW w:w="0" w:type="auto"/>
          <w:vMerge/>
          <w:vAlign w:val="center"/>
          <w:hideMark/>
        </w:tcPr>
        <w:p w:rsidR="00C10CA4" w:rsidRPr="005A3173" w:rsidRDefault="00C10CA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0CA4" w:rsidRPr="005A3173" w:rsidRDefault="00C10CA4" w:rsidP="005A3173">
          <w:pPr>
            <w:pStyle w:val="Header"/>
            <w:spacing w:line="276" w:lineRule="auto"/>
            <w:rPr>
              <w:rFonts w:ascii="Calibri" w:eastAsia="MS Gothic" w:hAnsi="Calibri"/>
              <w:b/>
              <w:bCs/>
              <w:color w:val="4F81BD"/>
            </w:rPr>
          </w:pPr>
        </w:p>
      </w:tc>
    </w:tr>
  </w:tbl>
  <w:p w:rsidR="00C10CA4" w:rsidRPr="007C0F57" w:rsidRDefault="00C10CA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10CA4" w:rsidRPr="007C0F57" w:rsidRDefault="00C10CA4" w:rsidP="007C0F57">
    <w:pPr>
      <w:pStyle w:val="Footer"/>
      <w:jc w:val="center"/>
      <w:rPr>
        <w:b/>
        <w:i/>
        <w:sz w:val="20"/>
        <w:szCs w:val="20"/>
      </w:rPr>
    </w:pPr>
    <w:r w:rsidRPr="007C0F57">
      <w:rPr>
        <w:b/>
        <w:i/>
        <w:sz w:val="20"/>
        <w:szCs w:val="20"/>
      </w:rPr>
      <w:t>Commercial-in-Confidence</w:t>
    </w:r>
  </w:p>
  <w:p w:rsidR="00C10CA4" w:rsidRDefault="00C10C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5C" w:rsidRDefault="002C5C5C">
      <w:r>
        <w:separator/>
      </w:r>
    </w:p>
    <w:p w:rsidR="002C5C5C" w:rsidRDefault="002C5C5C"/>
  </w:footnote>
  <w:footnote w:type="continuationSeparator" w:id="0">
    <w:p w:rsidR="002C5C5C" w:rsidRDefault="002C5C5C">
      <w:r>
        <w:continuationSeparator/>
      </w:r>
    </w:p>
    <w:p w:rsidR="002C5C5C" w:rsidRDefault="002C5C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10CA4" w:rsidRPr="008E0D90" w:rsidTr="00A06225">
      <w:trPr>
        <w:trHeight w:val="151"/>
      </w:trPr>
      <w:tc>
        <w:tcPr>
          <w:tcW w:w="2389" w:type="pct"/>
          <w:tcBorders>
            <w:top w:val="nil"/>
            <w:left w:val="nil"/>
            <w:bottom w:val="single" w:sz="4" w:space="0" w:color="4F81BD"/>
            <w:right w:val="nil"/>
          </w:tcBorders>
        </w:tcPr>
        <w:p w:rsidR="00C10CA4" w:rsidRPr="00A06225" w:rsidRDefault="00C10CA4">
          <w:pPr>
            <w:pStyle w:val="Header"/>
            <w:spacing w:line="276" w:lineRule="auto"/>
            <w:rPr>
              <w:rFonts w:ascii="Cambria" w:eastAsia="MS Gothic" w:hAnsi="Cambria"/>
              <w:b/>
              <w:bCs/>
              <w:color w:val="4F81BD"/>
            </w:rPr>
          </w:pPr>
        </w:p>
      </w:tc>
      <w:tc>
        <w:tcPr>
          <w:tcW w:w="333" w:type="pct"/>
          <w:vMerge w:val="restart"/>
          <w:noWrap/>
          <w:vAlign w:val="center"/>
          <w:hideMark/>
        </w:tcPr>
        <w:p w:rsidR="00C10CA4" w:rsidRPr="00A06225" w:rsidRDefault="00C10CA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10CA4" w:rsidRPr="00A06225" w:rsidRDefault="00C10CA4">
          <w:pPr>
            <w:pStyle w:val="Header"/>
            <w:spacing w:line="276" w:lineRule="auto"/>
            <w:rPr>
              <w:rFonts w:ascii="Cambria" w:eastAsia="MS Gothic" w:hAnsi="Cambria"/>
              <w:b/>
              <w:bCs/>
              <w:color w:val="4F81BD"/>
            </w:rPr>
          </w:pPr>
        </w:p>
      </w:tc>
    </w:tr>
    <w:tr w:rsidR="00C10CA4" w:rsidRPr="008E0D90" w:rsidTr="00A06225">
      <w:trPr>
        <w:trHeight w:val="150"/>
      </w:trPr>
      <w:tc>
        <w:tcPr>
          <w:tcW w:w="2389" w:type="pct"/>
          <w:tcBorders>
            <w:top w:val="single" w:sz="4" w:space="0" w:color="4F81BD"/>
            <w:left w:val="nil"/>
            <w:bottom w:val="nil"/>
            <w:right w:val="nil"/>
          </w:tcBorders>
        </w:tcPr>
        <w:p w:rsidR="00C10CA4" w:rsidRPr="00A06225" w:rsidRDefault="00C10CA4">
          <w:pPr>
            <w:pStyle w:val="Header"/>
            <w:spacing w:line="276" w:lineRule="auto"/>
            <w:rPr>
              <w:rFonts w:ascii="Cambria" w:eastAsia="MS Gothic" w:hAnsi="Cambria"/>
              <w:b/>
              <w:bCs/>
              <w:color w:val="4F81BD"/>
            </w:rPr>
          </w:pPr>
        </w:p>
      </w:tc>
      <w:tc>
        <w:tcPr>
          <w:tcW w:w="0" w:type="auto"/>
          <w:vMerge/>
          <w:vAlign w:val="center"/>
          <w:hideMark/>
        </w:tcPr>
        <w:p w:rsidR="00C10CA4" w:rsidRPr="00A06225" w:rsidRDefault="00C10CA4">
          <w:pPr>
            <w:rPr>
              <w:rFonts w:ascii="Cambria" w:hAnsi="Cambria"/>
              <w:color w:val="4F81BD"/>
              <w:sz w:val="22"/>
              <w:szCs w:val="22"/>
            </w:rPr>
          </w:pPr>
        </w:p>
      </w:tc>
      <w:tc>
        <w:tcPr>
          <w:tcW w:w="2278" w:type="pct"/>
          <w:tcBorders>
            <w:top w:val="single" w:sz="4" w:space="0" w:color="4F81BD"/>
            <w:left w:val="nil"/>
            <w:bottom w:val="nil"/>
            <w:right w:val="nil"/>
          </w:tcBorders>
        </w:tcPr>
        <w:p w:rsidR="00C10CA4" w:rsidRPr="00A06225" w:rsidRDefault="00C10CA4">
          <w:pPr>
            <w:pStyle w:val="Header"/>
            <w:spacing w:line="276" w:lineRule="auto"/>
            <w:rPr>
              <w:rFonts w:ascii="Cambria" w:eastAsia="MS Gothic" w:hAnsi="Cambria"/>
              <w:b/>
              <w:bCs/>
              <w:color w:val="4F81BD"/>
            </w:rPr>
          </w:pPr>
        </w:p>
      </w:tc>
    </w:tr>
  </w:tbl>
  <w:p w:rsidR="00C10CA4" w:rsidRDefault="00C10CA4">
    <w:pPr>
      <w:pStyle w:val="Header"/>
    </w:pPr>
  </w:p>
  <w:p w:rsidR="00C10CA4" w:rsidRDefault="00C10C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CA4" w:rsidRPr="00177205" w:rsidRDefault="008F557C" w:rsidP="00177205">
    <w:pPr>
      <w:jc w:val="center"/>
      <w:rPr>
        <w:rFonts w:ascii="Arial" w:hAnsi="Arial" w:cs="Arial"/>
        <w:i/>
        <w:sz w:val="22"/>
        <w:lang w:eastAsia="en-US"/>
      </w:rPr>
    </w:pPr>
    <w:r>
      <w:rPr>
        <w:rFonts w:ascii="Arial" w:hAnsi="Arial" w:cs="Arial"/>
        <w:i/>
        <w:sz w:val="22"/>
        <w:lang w:eastAsia="en-US"/>
      </w:rPr>
      <w:t>Public Summary Document</w:t>
    </w:r>
    <w:r w:rsidR="00C10CA4" w:rsidRPr="00177205">
      <w:rPr>
        <w:rFonts w:ascii="Arial" w:hAnsi="Arial" w:cs="Arial"/>
        <w:i/>
        <w:sz w:val="22"/>
        <w:lang w:eastAsia="en-US"/>
      </w:rPr>
      <w:t xml:space="preserve"> – March 2016 PBAC Meeting</w:t>
    </w:r>
  </w:p>
  <w:p w:rsidR="00C10CA4" w:rsidRDefault="00C10CA4"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59AA"/>
    <w:multiLevelType w:val="hybridMultilevel"/>
    <w:tmpl w:val="1A300A0A"/>
    <w:lvl w:ilvl="0" w:tplc="0C090001">
      <w:start w:val="1"/>
      <w:numFmt w:val="bullet"/>
      <w:lvlText w:val=""/>
      <w:lvlJc w:val="left"/>
      <w:pPr>
        <w:ind w:left="720" w:hanging="360"/>
      </w:pPr>
      <w:rPr>
        <w:rFonts w:ascii="Symbol" w:hAnsi="Symbol" w:hint="default"/>
      </w:rPr>
    </w:lvl>
    <w:lvl w:ilvl="1" w:tplc="5D4EED5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C2A4E28"/>
    <w:multiLevelType w:val="hybridMultilevel"/>
    <w:tmpl w:val="13E80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C4E0970"/>
    <w:multiLevelType w:val="hybridMultilevel"/>
    <w:tmpl w:val="5FF6F91A"/>
    <w:lvl w:ilvl="0" w:tplc="0C090001">
      <w:start w:val="1"/>
      <w:numFmt w:val="bullet"/>
      <w:lvlText w:val=""/>
      <w:lvlJc w:val="left"/>
      <w:pPr>
        <w:ind w:left="720" w:hanging="360"/>
      </w:pPr>
      <w:rPr>
        <w:rFonts w:ascii="Symbol" w:hAnsi="Symbol" w:hint="default"/>
      </w:rPr>
    </w:lvl>
    <w:lvl w:ilvl="1" w:tplc="7854B196">
      <w:start w:val="1"/>
      <w:numFmt w:val="bullet"/>
      <w:lvlText w:val="-"/>
      <w:lvlJc w:val="left"/>
      <w:pPr>
        <w:ind w:left="1440" w:hanging="36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2C92BCC"/>
    <w:multiLevelType w:val="hybridMultilevel"/>
    <w:tmpl w:val="484E4E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5031277"/>
    <w:multiLevelType w:val="hybridMultilevel"/>
    <w:tmpl w:val="03B6D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CEB7D58"/>
    <w:multiLevelType w:val="multilevel"/>
    <w:tmpl w:val="F7541BD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31C66EB"/>
    <w:multiLevelType w:val="hybridMultilevel"/>
    <w:tmpl w:val="46D480C6"/>
    <w:lvl w:ilvl="0" w:tplc="7854B196">
      <w:start w:val="1"/>
      <w:numFmt w:val="bullet"/>
      <w:lvlText w:val="-"/>
      <w:lvlJc w:val="left"/>
      <w:pPr>
        <w:ind w:left="2160" w:hanging="360"/>
      </w:pPr>
      <w:rPr>
        <w:rFonts w:ascii="Arial Narrow" w:eastAsia="Times New Roman" w:hAnsi="Arial Narrow"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nsid w:val="77C35591"/>
    <w:multiLevelType w:val="multilevel"/>
    <w:tmpl w:val="C0DC653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84D033C"/>
    <w:multiLevelType w:val="multilevel"/>
    <w:tmpl w:val="F566EE42"/>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E7065F7"/>
    <w:multiLevelType w:val="hybridMultilevel"/>
    <w:tmpl w:val="163C4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3"/>
  </w:num>
  <w:num w:numId="5">
    <w:abstractNumId w:val="6"/>
  </w:num>
  <w:num w:numId="6">
    <w:abstractNumId w:val="2"/>
  </w:num>
  <w:num w:numId="7">
    <w:abstractNumId w:val="1"/>
  </w:num>
  <w:num w:numId="8">
    <w:abstractNumId w:val="0"/>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3CB"/>
    <w:rsid w:val="00007851"/>
    <w:rsid w:val="00012C02"/>
    <w:rsid w:val="0002464A"/>
    <w:rsid w:val="0003106B"/>
    <w:rsid w:val="00031226"/>
    <w:rsid w:val="00037653"/>
    <w:rsid w:val="000421A1"/>
    <w:rsid w:val="0004240E"/>
    <w:rsid w:val="00045E26"/>
    <w:rsid w:val="000514B5"/>
    <w:rsid w:val="000519B0"/>
    <w:rsid w:val="00060E64"/>
    <w:rsid w:val="00066755"/>
    <w:rsid w:val="000969AD"/>
    <w:rsid w:val="000A190E"/>
    <w:rsid w:val="000A3A74"/>
    <w:rsid w:val="000B07A5"/>
    <w:rsid w:val="000B558D"/>
    <w:rsid w:val="000C377D"/>
    <w:rsid w:val="000C6996"/>
    <w:rsid w:val="000D23BA"/>
    <w:rsid w:val="000D3726"/>
    <w:rsid w:val="000D46FA"/>
    <w:rsid w:val="000E2972"/>
    <w:rsid w:val="000E681E"/>
    <w:rsid w:val="000F3F64"/>
    <w:rsid w:val="000F4E6A"/>
    <w:rsid w:val="00103618"/>
    <w:rsid w:val="00104ECE"/>
    <w:rsid w:val="001107BF"/>
    <w:rsid w:val="00111A7E"/>
    <w:rsid w:val="0012417C"/>
    <w:rsid w:val="00142395"/>
    <w:rsid w:val="00142714"/>
    <w:rsid w:val="00143703"/>
    <w:rsid w:val="00144EAE"/>
    <w:rsid w:val="001452ED"/>
    <w:rsid w:val="00155D5E"/>
    <w:rsid w:val="00162DAB"/>
    <w:rsid w:val="0016318A"/>
    <w:rsid w:val="00165073"/>
    <w:rsid w:val="00177205"/>
    <w:rsid w:val="001830CE"/>
    <w:rsid w:val="0018468B"/>
    <w:rsid w:val="00193728"/>
    <w:rsid w:val="00196307"/>
    <w:rsid w:val="001A275C"/>
    <w:rsid w:val="001B017F"/>
    <w:rsid w:val="001B5129"/>
    <w:rsid w:val="001B7DD6"/>
    <w:rsid w:val="001C1195"/>
    <w:rsid w:val="001C6795"/>
    <w:rsid w:val="001D7AC7"/>
    <w:rsid w:val="001E166F"/>
    <w:rsid w:val="001E7686"/>
    <w:rsid w:val="001F2E42"/>
    <w:rsid w:val="001F5BAD"/>
    <w:rsid w:val="001F676E"/>
    <w:rsid w:val="00207B02"/>
    <w:rsid w:val="00213CFB"/>
    <w:rsid w:val="00217622"/>
    <w:rsid w:val="00223360"/>
    <w:rsid w:val="002242EC"/>
    <w:rsid w:val="00232FA4"/>
    <w:rsid w:val="00233062"/>
    <w:rsid w:val="00234534"/>
    <w:rsid w:val="00271BA1"/>
    <w:rsid w:val="00272AEE"/>
    <w:rsid w:val="00277505"/>
    <w:rsid w:val="00282AD9"/>
    <w:rsid w:val="0029458F"/>
    <w:rsid w:val="002A104C"/>
    <w:rsid w:val="002A4960"/>
    <w:rsid w:val="002B0412"/>
    <w:rsid w:val="002B1AE6"/>
    <w:rsid w:val="002B30F8"/>
    <w:rsid w:val="002B5C9C"/>
    <w:rsid w:val="002C212F"/>
    <w:rsid w:val="002C5C5C"/>
    <w:rsid w:val="002E3153"/>
    <w:rsid w:val="002E72CA"/>
    <w:rsid w:val="002F6007"/>
    <w:rsid w:val="00302115"/>
    <w:rsid w:val="0030526A"/>
    <w:rsid w:val="00326E79"/>
    <w:rsid w:val="003367EF"/>
    <w:rsid w:val="00341AE4"/>
    <w:rsid w:val="003452D0"/>
    <w:rsid w:val="00351F3B"/>
    <w:rsid w:val="00356E1D"/>
    <w:rsid w:val="0036181A"/>
    <w:rsid w:val="003629FB"/>
    <w:rsid w:val="0036535F"/>
    <w:rsid w:val="003872CF"/>
    <w:rsid w:val="0039782C"/>
    <w:rsid w:val="003A5B4A"/>
    <w:rsid w:val="003B23C5"/>
    <w:rsid w:val="003B2A75"/>
    <w:rsid w:val="003C3FAE"/>
    <w:rsid w:val="003D4AC4"/>
    <w:rsid w:val="003D5555"/>
    <w:rsid w:val="003D63B7"/>
    <w:rsid w:val="003E468B"/>
    <w:rsid w:val="003E7A7B"/>
    <w:rsid w:val="003F5C8C"/>
    <w:rsid w:val="00411546"/>
    <w:rsid w:val="004237E1"/>
    <w:rsid w:val="00437E47"/>
    <w:rsid w:val="004465BD"/>
    <w:rsid w:val="00453E06"/>
    <w:rsid w:val="00466ADA"/>
    <w:rsid w:val="00476245"/>
    <w:rsid w:val="00482B16"/>
    <w:rsid w:val="00485940"/>
    <w:rsid w:val="00496494"/>
    <w:rsid w:val="00497E2B"/>
    <w:rsid w:val="004A1276"/>
    <w:rsid w:val="004A5A85"/>
    <w:rsid w:val="004B5640"/>
    <w:rsid w:val="004C1BD7"/>
    <w:rsid w:val="004C691D"/>
    <w:rsid w:val="004E692D"/>
    <w:rsid w:val="00501554"/>
    <w:rsid w:val="005065E6"/>
    <w:rsid w:val="00514CD7"/>
    <w:rsid w:val="00521894"/>
    <w:rsid w:val="005319B2"/>
    <w:rsid w:val="00532C74"/>
    <w:rsid w:val="0053330C"/>
    <w:rsid w:val="00534E2E"/>
    <w:rsid w:val="00544552"/>
    <w:rsid w:val="00545667"/>
    <w:rsid w:val="0055029E"/>
    <w:rsid w:val="0056579E"/>
    <w:rsid w:val="0057286D"/>
    <w:rsid w:val="00581268"/>
    <w:rsid w:val="00581932"/>
    <w:rsid w:val="005963BB"/>
    <w:rsid w:val="005A1388"/>
    <w:rsid w:val="005A22FE"/>
    <w:rsid w:val="005A3173"/>
    <w:rsid w:val="005A3223"/>
    <w:rsid w:val="005A3DA3"/>
    <w:rsid w:val="005A52C4"/>
    <w:rsid w:val="005C10B1"/>
    <w:rsid w:val="005C5C87"/>
    <w:rsid w:val="005C7DEA"/>
    <w:rsid w:val="005D03AB"/>
    <w:rsid w:val="005D5017"/>
    <w:rsid w:val="00601A91"/>
    <w:rsid w:val="00602BA3"/>
    <w:rsid w:val="00614159"/>
    <w:rsid w:val="00617C00"/>
    <w:rsid w:val="006200AF"/>
    <w:rsid w:val="006263BF"/>
    <w:rsid w:val="0062748A"/>
    <w:rsid w:val="00630A2C"/>
    <w:rsid w:val="00631EFB"/>
    <w:rsid w:val="006368D4"/>
    <w:rsid w:val="00651169"/>
    <w:rsid w:val="00653D69"/>
    <w:rsid w:val="00657DFE"/>
    <w:rsid w:val="006629E4"/>
    <w:rsid w:val="00663F9D"/>
    <w:rsid w:val="00670A76"/>
    <w:rsid w:val="006711AA"/>
    <w:rsid w:val="00672B57"/>
    <w:rsid w:val="00675622"/>
    <w:rsid w:val="006761B8"/>
    <w:rsid w:val="00676FC1"/>
    <w:rsid w:val="006906DB"/>
    <w:rsid w:val="006A12A5"/>
    <w:rsid w:val="006B011F"/>
    <w:rsid w:val="006B016F"/>
    <w:rsid w:val="006B0D94"/>
    <w:rsid w:val="006B3BF6"/>
    <w:rsid w:val="006B485D"/>
    <w:rsid w:val="006C708E"/>
    <w:rsid w:val="006C7849"/>
    <w:rsid w:val="006D3486"/>
    <w:rsid w:val="006D6EC7"/>
    <w:rsid w:val="006E544E"/>
    <w:rsid w:val="006F5125"/>
    <w:rsid w:val="007174BB"/>
    <w:rsid w:val="00756B01"/>
    <w:rsid w:val="0075793D"/>
    <w:rsid w:val="00761848"/>
    <w:rsid w:val="007629FD"/>
    <w:rsid w:val="0076420C"/>
    <w:rsid w:val="007753C2"/>
    <w:rsid w:val="00775A2B"/>
    <w:rsid w:val="0078259C"/>
    <w:rsid w:val="00783449"/>
    <w:rsid w:val="007838B8"/>
    <w:rsid w:val="00784E13"/>
    <w:rsid w:val="00795CCC"/>
    <w:rsid w:val="007C0F57"/>
    <w:rsid w:val="007C40B6"/>
    <w:rsid w:val="007C5AFF"/>
    <w:rsid w:val="007C729F"/>
    <w:rsid w:val="007E1D28"/>
    <w:rsid w:val="007F2641"/>
    <w:rsid w:val="007F7C36"/>
    <w:rsid w:val="00802E97"/>
    <w:rsid w:val="00803C8A"/>
    <w:rsid w:val="00806796"/>
    <w:rsid w:val="0081586A"/>
    <w:rsid w:val="00826B37"/>
    <w:rsid w:val="00826F6D"/>
    <w:rsid w:val="0085011B"/>
    <w:rsid w:val="00850BC3"/>
    <w:rsid w:val="00853CE5"/>
    <w:rsid w:val="00856DDD"/>
    <w:rsid w:val="008579B9"/>
    <w:rsid w:val="00863E68"/>
    <w:rsid w:val="00882085"/>
    <w:rsid w:val="00883188"/>
    <w:rsid w:val="00894003"/>
    <w:rsid w:val="0089657F"/>
    <w:rsid w:val="00897D58"/>
    <w:rsid w:val="008A02CC"/>
    <w:rsid w:val="008A1956"/>
    <w:rsid w:val="008A4937"/>
    <w:rsid w:val="008D1F12"/>
    <w:rsid w:val="008D3C82"/>
    <w:rsid w:val="008D447E"/>
    <w:rsid w:val="008D7A41"/>
    <w:rsid w:val="008E3680"/>
    <w:rsid w:val="008E5870"/>
    <w:rsid w:val="008E688B"/>
    <w:rsid w:val="008F1434"/>
    <w:rsid w:val="008F557C"/>
    <w:rsid w:val="008F7355"/>
    <w:rsid w:val="0090140A"/>
    <w:rsid w:val="009067B7"/>
    <w:rsid w:val="009301D7"/>
    <w:rsid w:val="00930937"/>
    <w:rsid w:val="00933E6C"/>
    <w:rsid w:val="00942160"/>
    <w:rsid w:val="009502F4"/>
    <w:rsid w:val="009557D8"/>
    <w:rsid w:val="009602C5"/>
    <w:rsid w:val="00960C79"/>
    <w:rsid w:val="00974C21"/>
    <w:rsid w:val="00993887"/>
    <w:rsid w:val="00995635"/>
    <w:rsid w:val="009A4D47"/>
    <w:rsid w:val="009B0F67"/>
    <w:rsid w:val="009B3DEE"/>
    <w:rsid w:val="009C703C"/>
    <w:rsid w:val="009D27DA"/>
    <w:rsid w:val="009D3CAA"/>
    <w:rsid w:val="009D61B8"/>
    <w:rsid w:val="009F4E46"/>
    <w:rsid w:val="009F5B65"/>
    <w:rsid w:val="009F5F2E"/>
    <w:rsid w:val="00A058BD"/>
    <w:rsid w:val="00A06225"/>
    <w:rsid w:val="00A128E6"/>
    <w:rsid w:val="00A13B8E"/>
    <w:rsid w:val="00A3683D"/>
    <w:rsid w:val="00A37C8D"/>
    <w:rsid w:val="00A409A2"/>
    <w:rsid w:val="00A45193"/>
    <w:rsid w:val="00A5273B"/>
    <w:rsid w:val="00A537E3"/>
    <w:rsid w:val="00A53A9D"/>
    <w:rsid w:val="00A55FEE"/>
    <w:rsid w:val="00A564A3"/>
    <w:rsid w:val="00A62C1A"/>
    <w:rsid w:val="00A6426D"/>
    <w:rsid w:val="00A677B9"/>
    <w:rsid w:val="00A70622"/>
    <w:rsid w:val="00A70977"/>
    <w:rsid w:val="00A7389A"/>
    <w:rsid w:val="00A73EE3"/>
    <w:rsid w:val="00A8390C"/>
    <w:rsid w:val="00A928BD"/>
    <w:rsid w:val="00A937A4"/>
    <w:rsid w:val="00A95975"/>
    <w:rsid w:val="00AA4D1C"/>
    <w:rsid w:val="00AB2410"/>
    <w:rsid w:val="00AB7CDA"/>
    <w:rsid w:val="00AC193C"/>
    <w:rsid w:val="00AC5206"/>
    <w:rsid w:val="00AE11A5"/>
    <w:rsid w:val="00AE13E2"/>
    <w:rsid w:val="00AF68CC"/>
    <w:rsid w:val="00B05E38"/>
    <w:rsid w:val="00B205AA"/>
    <w:rsid w:val="00B21BF4"/>
    <w:rsid w:val="00B22E84"/>
    <w:rsid w:val="00B25F75"/>
    <w:rsid w:val="00B31A06"/>
    <w:rsid w:val="00B337B7"/>
    <w:rsid w:val="00B43E90"/>
    <w:rsid w:val="00B441D0"/>
    <w:rsid w:val="00B467DC"/>
    <w:rsid w:val="00B47BC8"/>
    <w:rsid w:val="00B515C2"/>
    <w:rsid w:val="00B554B4"/>
    <w:rsid w:val="00B56118"/>
    <w:rsid w:val="00B6773F"/>
    <w:rsid w:val="00B801BA"/>
    <w:rsid w:val="00B8334D"/>
    <w:rsid w:val="00B9081E"/>
    <w:rsid w:val="00B93C3B"/>
    <w:rsid w:val="00BA266B"/>
    <w:rsid w:val="00BB0478"/>
    <w:rsid w:val="00BB69F5"/>
    <w:rsid w:val="00BB7EC3"/>
    <w:rsid w:val="00BC4B9A"/>
    <w:rsid w:val="00BD6E37"/>
    <w:rsid w:val="00BD784C"/>
    <w:rsid w:val="00BE1267"/>
    <w:rsid w:val="00BE15B2"/>
    <w:rsid w:val="00BE46E1"/>
    <w:rsid w:val="00BF2B94"/>
    <w:rsid w:val="00BF47CB"/>
    <w:rsid w:val="00BF4CB6"/>
    <w:rsid w:val="00BF5222"/>
    <w:rsid w:val="00BF6431"/>
    <w:rsid w:val="00C00DA7"/>
    <w:rsid w:val="00C05F1D"/>
    <w:rsid w:val="00C10CA4"/>
    <w:rsid w:val="00C12768"/>
    <w:rsid w:val="00C27B58"/>
    <w:rsid w:val="00C35996"/>
    <w:rsid w:val="00C36A23"/>
    <w:rsid w:val="00C468E9"/>
    <w:rsid w:val="00C52A73"/>
    <w:rsid w:val="00C5342C"/>
    <w:rsid w:val="00C54AE5"/>
    <w:rsid w:val="00C5642D"/>
    <w:rsid w:val="00C6256A"/>
    <w:rsid w:val="00C81593"/>
    <w:rsid w:val="00C837B1"/>
    <w:rsid w:val="00C91449"/>
    <w:rsid w:val="00C92D10"/>
    <w:rsid w:val="00CC4288"/>
    <w:rsid w:val="00CD1FA2"/>
    <w:rsid w:val="00CD725E"/>
    <w:rsid w:val="00CE10C4"/>
    <w:rsid w:val="00CE27B5"/>
    <w:rsid w:val="00CF4831"/>
    <w:rsid w:val="00D02257"/>
    <w:rsid w:val="00D02AA8"/>
    <w:rsid w:val="00D0321E"/>
    <w:rsid w:val="00D1455A"/>
    <w:rsid w:val="00D30E93"/>
    <w:rsid w:val="00D32703"/>
    <w:rsid w:val="00D3280C"/>
    <w:rsid w:val="00D3406A"/>
    <w:rsid w:val="00D377CE"/>
    <w:rsid w:val="00D469B2"/>
    <w:rsid w:val="00D47905"/>
    <w:rsid w:val="00D520EA"/>
    <w:rsid w:val="00D5559D"/>
    <w:rsid w:val="00D741EB"/>
    <w:rsid w:val="00D84934"/>
    <w:rsid w:val="00D91271"/>
    <w:rsid w:val="00D94696"/>
    <w:rsid w:val="00D979E7"/>
    <w:rsid w:val="00DA25B2"/>
    <w:rsid w:val="00DA2CB5"/>
    <w:rsid w:val="00DA33D0"/>
    <w:rsid w:val="00DA4BAC"/>
    <w:rsid w:val="00DB3C7F"/>
    <w:rsid w:val="00DB7981"/>
    <w:rsid w:val="00DD74DA"/>
    <w:rsid w:val="00DE6D27"/>
    <w:rsid w:val="00DF217D"/>
    <w:rsid w:val="00DF26A7"/>
    <w:rsid w:val="00E036FB"/>
    <w:rsid w:val="00E0465A"/>
    <w:rsid w:val="00E104A9"/>
    <w:rsid w:val="00E164B3"/>
    <w:rsid w:val="00E16910"/>
    <w:rsid w:val="00E235B8"/>
    <w:rsid w:val="00E24024"/>
    <w:rsid w:val="00E3693F"/>
    <w:rsid w:val="00E65E54"/>
    <w:rsid w:val="00E73025"/>
    <w:rsid w:val="00E80155"/>
    <w:rsid w:val="00E848C0"/>
    <w:rsid w:val="00E91B96"/>
    <w:rsid w:val="00E941A1"/>
    <w:rsid w:val="00E95CE3"/>
    <w:rsid w:val="00E95ED6"/>
    <w:rsid w:val="00EA2825"/>
    <w:rsid w:val="00EB5088"/>
    <w:rsid w:val="00EC1DAC"/>
    <w:rsid w:val="00EC6FCE"/>
    <w:rsid w:val="00ED1644"/>
    <w:rsid w:val="00EF44A0"/>
    <w:rsid w:val="00EF4FED"/>
    <w:rsid w:val="00F050BD"/>
    <w:rsid w:val="00F05657"/>
    <w:rsid w:val="00F140A1"/>
    <w:rsid w:val="00F21A4D"/>
    <w:rsid w:val="00F25578"/>
    <w:rsid w:val="00F258E5"/>
    <w:rsid w:val="00F300BC"/>
    <w:rsid w:val="00F3334E"/>
    <w:rsid w:val="00F50EC4"/>
    <w:rsid w:val="00F578EB"/>
    <w:rsid w:val="00F57A6D"/>
    <w:rsid w:val="00F638CC"/>
    <w:rsid w:val="00F64CC1"/>
    <w:rsid w:val="00F743FD"/>
    <w:rsid w:val="00F8247A"/>
    <w:rsid w:val="00F941A7"/>
    <w:rsid w:val="00F961AE"/>
    <w:rsid w:val="00F9629A"/>
    <w:rsid w:val="00FA5883"/>
    <w:rsid w:val="00FA6055"/>
    <w:rsid w:val="00FB322F"/>
    <w:rsid w:val="00FB442F"/>
    <w:rsid w:val="00FC1929"/>
    <w:rsid w:val="00FC5B46"/>
    <w:rsid w:val="00FE1A58"/>
    <w:rsid w:val="00FE64DB"/>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411546"/>
    <w:pPr>
      <w:numPr>
        <w:numId w:val="1"/>
      </w:numPr>
      <w:jc w:val="both"/>
      <w:outlineLvl w:val="0"/>
    </w:pPr>
    <w:rPr>
      <w:rFonts w:ascii="Arial" w:hAnsi="Arial"/>
      <w:b/>
      <w:sz w:val="22"/>
      <w:szCs w:val="22"/>
    </w:rPr>
  </w:style>
  <w:style w:type="paragraph" w:styleId="Heading2">
    <w:name w:val="heading 2"/>
    <w:basedOn w:val="Normal"/>
    <w:next w:val="Normal"/>
    <w:qFormat/>
    <w:rsid w:val="00411546"/>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PBACheading1">
    <w:name w:val="PBAC heading 1"/>
    <w:qFormat/>
    <w:rsid w:val="00233062"/>
    <w:pPr>
      <w:ind w:left="1146" w:hanging="720"/>
    </w:pPr>
    <w:rPr>
      <w:rFonts w:ascii="Arial" w:hAnsi="Arial" w:cs="Arial"/>
      <w:snapToGrid w:val="0"/>
      <w:sz w:val="22"/>
      <w:szCs w:val="22"/>
      <w:lang w:eastAsia="en-US"/>
    </w:rPr>
  </w:style>
  <w:style w:type="paragraph" w:customStyle="1" w:styleId="Table">
    <w:name w:val="Table"/>
    <w:basedOn w:val="Normal"/>
    <w:link w:val="TableChar"/>
    <w:qFormat/>
    <w:rsid w:val="003D5555"/>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3D5555"/>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3D5555"/>
    <w:rPr>
      <w:rFonts w:ascii="Candara" w:hAnsi="Candara"/>
      <w:b/>
      <w:sz w:val="20"/>
      <w:lang w:val="en-AU"/>
    </w:rPr>
  </w:style>
  <w:style w:type="paragraph" w:styleId="BodyText">
    <w:name w:val="Body Text"/>
    <w:basedOn w:val="Normal"/>
    <w:link w:val="BodyTextChar"/>
    <w:rsid w:val="00545667"/>
    <w:pPr>
      <w:spacing w:after="120"/>
    </w:pPr>
  </w:style>
  <w:style w:type="character" w:customStyle="1" w:styleId="BodyTextChar">
    <w:name w:val="Body Text Char"/>
    <w:basedOn w:val="DefaultParagraphFont"/>
    <w:link w:val="BodyText"/>
    <w:rsid w:val="00545667"/>
    <w:rPr>
      <w:sz w:val="24"/>
      <w:szCs w:val="24"/>
    </w:rPr>
  </w:style>
  <w:style w:type="character" w:customStyle="1" w:styleId="TabletextChar">
    <w:name w:val="Table text Char"/>
    <w:link w:val="Tabletext"/>
    <w:rsid w:val="003C3FAE"/>
    <w:rPr>
      <w:rFonts w:ascii="Arial" w:hAnsi="Arial"/>
      <w:lang w:eastAsia="en-US"/>
    </w:rPr>
  </w:style>
  <w:style w:type="paragraph" w:customStyle="1" w:styleId="TableFooter">
    <w:name w:val="Table Footer"/>
    <w:basedOn w:val="Normal"/>
    <w:qFormat/>
    <w:rsid w:val="006200AF"/>
    <w:pPr>
      <w:widowControl w:val="0"/>
      <w:jc w:val="both"/>
    </w:pPr>
    <w:rPr>
      <w:rFonts w:ascii="Arial Narrow" w:hAnsi="Arial Narrow" w:cs="Arial"/>
      <w:snapToGrid w:val="0"/>
      <w:sz w:val="18"/>
      <w:szCs w:val="20"/>
      <w:lang w:eastAsia="en-US"/>
    </w:rPr>
  </w:style>
  <w:style w:type="character" w:customStyle="1" w:styleId="ListParagraphChar">
    <w:name w:val="List Paragraph Char"/>
    <w:basedOn w:val="DefaultParagraphFont"/>
    <w:link w:val="ListParagraph"/>
    <w:uiPriority w:val="72"/>
    <w:locked/>
    <w:rsid w:val="00BF47CB"/>
    <w:rPr>
      <w:sz w:val="24"/>
      <w:szCs w:val="24"/>
    </w:rPr>
  </w:style>
  <w:style w:type="table" w:customStyle="1" w:styleId="Summarybox3">
    <w:name w:val="Summary box3"/>
    <w:basedOn w:val="TableNormal"/>
    <w:next w:val="TableGrid"/>
    <w:uiPriority w:val="59"/>
    <w:rsid w:val="001F2E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1546"/>
    <w:pPr>
      <w:ind w:left="720" w:hanging="720"/>
      <w:outlineLvl w:val="0"/>
    </w:pPr>
    <w:rPr>
      <w:rFonts w:ascii="Arial" w:hAnsi="Arial"/>
      <w:b/>
      <w:sz w:val="28"/>
      <w:szCs w:val="28"/>
    </w:rPr>
  </w:style>
  <w:style w:type="character" w:customStyle="1" w:styleId="TitleChar">
    <w:name w:val="Title Char"/>
    <w:basedOn w:val="DefaultParagraphFont"/>
    <w:link w:val="Title"/>
    <w:rsid w:val="00411546"/>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411546"/>
    <w:pPr>
      <w:numPr>
        <w:numId w:val="1"/>
      </w:numPr>
      <w:jc w:val="both"/>
      <w:outlineLvl w:val="0"/>
    </w:pPr>
    <w:rPr>
      <w:rFonts w:ascii="Arial" w:hAnsi="Arial"/>
      <w:b/>
      <w:sz w:val="22"/>
      <w:szCs w:val="22"/>
    </w:rPr>
  </w:style>
  <w:style w:type="paragraph" w:styleId="Heading2">
    <w:name w:val="heading 2"/>
    <w:basedOn w:val="Normal"/>
    <w:next w:val="Normal"/>
    <w:qFormat/>
    <w:rsid w:val="00411546"/>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PBACheading1">
    <w:name w:val="PBAC heading 1"/>
    <w:qFormat/>
    <w:rsid w:val="00233062"/>
    <w:pPr>
      <w:ind w:left="1146" w:hanging="720"/>
    </w:pPr>
    <w:rPr>
      <w:rFonts w:ascii="Arial" w:hAnsi="Arial" w:cs="Arial"/>
      <w:snapToGrid w:val="0"/>
      <w:sz w:val="22"/>
      <w:szCs w:val="22"/>
      <w:lang w:eastAsia="en-US"/>
    </w:rPr>
  </w:style>
  <w:style w:type="paragraph" w:customStyle="1" w:styleId="Table">
    <w:name w:val="Table"/>
    <w:basedOn w:val="Normal"/>
    <w:link w:val="TableChar"/>
    <w:qFormat/>
    <w:rsid w:val="003D5555"/>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3D5555"/>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3D5555"/>
    <w:rPr>
      <w:rFonts w:ascii="Candara" w:hAnsi="Candara"/>
      <w:b/>
      <w:sz w:val="20"/>
      <w:lang w:val="en-AU"/>
    </w:rPr>
  </w:style>
  <w:style w:type="paragraph" w:styleId="BodyText">
    <w:name w:val="Body Text"/>
    <w:basedOn w:val="Normal"/>
    <w:link w:val="BodyTextChar"/>
    <w:rsid w:val="00545667"/>
    <w:pPr>
      <w:spacing w:after="120"/>
    </w:pPr>
  </w:style>
  <w:style w:type="character" w:customStyle="1" w:styleId="BodyTextChar">
    <w:name w:val="Body Text Char"/>
    <w:basedOn w:val="DefaultParagraphFont"/>
    <w:link w:val="BodyText"/>
    <w:rsid w:val="00545667"/>
    <w:rPr>
      <w:sz w:val="24"/>
      <w:szCs w:val="24"/>
    </w:rPr>
  </w:style>
  <w:style w:type="character" w:customStyle="1" w:styleId="TabletextChar">
    <w:name w:val="Table text Char"/>
    <w:link w:val="Tabletext"/>
    <w:rsid w:val="003C3FAE"/>
    <w:rPr>
      <w:rFonts w:ascii="Arial" w:hAnsi="Arial"/>
      <w:lang w:eastAsia="en-US"/>
    </w:rPr>
  </w:style>
  <w:style w:type="paragraph" w:customStyle="1" w:styleId="TableFooter">
    <w:name w:val="Table Footer"/>
    <w:basedOn w:val="Normal"/>
    <w:qFormat/>
    <w:rsid w:val="006200AF"/>
    <w:pPr>
      <w:widowControl w:val="0"/>
      <w:jc w:val="both"/>
    </w:pPr>
    <w:rPr>
      <w:rFonts w:ascii="Arial Narrow" w:hAnsi="Arial Narrow" w:cs="Arial"/>
      <w:snapToGrid w:val="0"/>
      <w:sz w:val="18"/>
      <w:szCs w:val="20"/>
      <w:lang w:eastAsia="en-US"/>
    </w:rPr>
  </w:style>
  <w:style w:type="character" w:customStyle="1" w:styleId="ListParagraphChar">
    <w:name w:val="List Paragraph Char"/>
    <w:basedOn w:val="DefaultParagraphFont"/>
    <w:link w:val="ListParagraph"/>
    <w:uiPriority w:val="72"/>
    <w:locked/>
    <w:rsid w:val="00BF47CB"/>
    <w:rPr>
      <w:sz w:val="24"/>
      <w:szCs w:val="24"/>
    </w:rPr>
  </w:style>
  <w:style w:type="table" w:customStyle="1" w:styleId="Summarybox3">
    <w:name w:val="Summary box3"/>
    <w:basedOn w:val="TableNormal"/>
    <w:next w:val="TableGrid"/>
    <w:uiPriority w:val="59"/>
    <w:rsid w:val="001F2E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1546"/>
    <w:pPr>
      <w:ind w:left="720" w:hanging="720"/>
      <w:outlineLvl w:val="0"/>
    </w:pPr>
    <w:rPr>
      <w:rFonts w:ascii="Arial" w:hAnsi="Arial"/>
      <w:b/>
      <w:sz w:val="28"/>
      <w:szCs w:val="28"/>
    </w:rPr>
  </w:style>
  <w:style w:type="character" w:customStyle="1" w:styleId="TitleChar">
    <w:name w:val="Title Char"/>
    <w:basedOn w:val="DefaultParagraphFont"/>
    <w:link w:val="Title"/>
    <w:rsid w:val="00411546"/>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97420896">
      <w:bodyDiv w:val="1"/>
      <w:marLeft w:val="0"/>
      <w:marRight w:val="0"/>
      <w:marTop w:val="0"/>
      <w:marBottom w:val="0"/>
      <w:divBdr>
        <w:top w:val="none" w:sz="0" w:space="0" w:color="auto"/>
        <w:left w:val="none" w:sz="0" w:space="0" w:color="auto"/>
        <w:bottom w:val="none" w:sz="0" w:space="0" w:color="auto"/>
        <w:right w:val="none" w:sz="0" w:space="0" w:color="auto"/>
      </w:divBdr>
    </w:div>
    <w:div w:id="161574400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BF2F-9A74-489F-9BD4-76E41583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12188</Characters>
  <Application>Microsoft Office Word</Application>
  <DocSecurity>0</DocSecurity>
  <Lines>435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2016-06-07T04:09:00Z</dcterms:created>
  <dcterms:modified xsi:type="dcterms:W3CDTF">2016-06-22T04:37:00Z</dcterms:modified>
</cp:coreProperties>
</file>