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3D5" w:rsidRPr="00067D33" w:rsidRDefault="003943D5" w:rsidP="00A21175">
      <w:pPr>
        <w:pStyle w:val="Title"/>
      </w:pPr>
      <w:r w:rsidRPr="00067D33">
        <w:t>7.18</w:t>
      </w:r>
      <w:r w:rsidRPr="00067D33">
        <w:tab/>
        <w:t>IDELALISIB</w:t>
      </w:r>
      <w:r w:rsidR="00A21175">
        <w:br/>
      </w:r>
      <w:r w:rsidR="004C709D" w:rsidRPr="00067D33">
        <w:t xml:space="preserve">Oral tablet, 100 mg, </w:t>
      </w:r>
      <w:r w:rsidRPr="00067D33">
        <w:t xml:space="preserve">150 mg </w:t>
      </w:r>
      <w:r w:rsidR="00A21175">
        <w:br/>
      </w:r>
      <w:r w:rsidRPr="00067D33">
        <w:t>Zydelig®, Gilead Sciences Pty Ltd</w:t>
      </w:r>
    </w:p>
    <w:p w:rsidR="00CE10C4" w:rsidRPr="00A809CE" w:rsidRDefault="00CE10C4" w:rsidP="00C27B58">
      <w:pPr>
        <w:pStyle w:val="NoSpacing"/>
      </w:pPr>
    </w:p>
    <w:p w:rsidR="00C27B58" w:rsidRPr="00A809CE" w:rsidRDefault="00C27B58" w:rsidP="00C27B58">
      <w:pPr>
        <w:pStyle w:val="NoSpacing"/>
      </w:pPr>
    </w:p>
    <w:p w:rsidR="00CE10C4" w:rsidRPr="00067D33" w:rsidRDefault="00CE10C4" w:rsidP="00067D33">
      <w:pPr>
        <w:pStyle w:val="Heading1"/>
      </w:pPr>
      <w:r w:rsidRPr="00067D33">
        <w:t xml:space="preserve">Purpose of </w:t>
      </w:r>
      <w:r w:rsidR="0004240E" w:rsidRPr="00067D33">
        <w:t>Application</w:t>
      </w:r>
    </w:p>
    <w:p w:rsidR="006A12A5" w:rsidRPr="00A809CE" w:rsidRDefault="006A12A5" w:rsidP="00882085">
      <w:pPr>
        <w:jc w:val="both"/>
        <w:rPr>
          <w:rFonts w:ascii="Arial" w:hAnsi="Arial"/>
          <w:sz w:val="22"/>
          <w:szCs w:val="22"/>
        </w:rPr>
      </w:pPr>
    </w:p>
    <w:p w:rsidR="00F9629A" w:rsidRPr="00A809CE" w:rsidRDefault="00EF44A0" w:rsidP="00315535">
      <w:pPr>
        <w:pStyle w:val="ListParagraph"/>
        <w:numPr>
          <w:ilvl w:val="1"/>
          <w:numId w:val="1"/>
        </w:numPr>
        <w:jc w:val="both"/>
      </w:pPr>
      <w:r w:rsidRPr="00A809CE">
        <w:rPr>
          <w:rFonts w:ascii="Arial" w:hAnsi="Arial"/>
          <w:sz w:val="22"/>
          <w:szCs w:val="22"/>
        </w:rPr>
        <w:t>The mi</w:t>
      </w:r>
      <w:r w:rsidR="00FF2801" w:rsidRPr="00A809CE">
        <w:rPr>
          <w:rFonts w:ascii="Arial" w:hAnsi="Arial"/>
          <w:sz w:val="22"/>
          <w:szCs w:val="22"/>
        </w:rPr>
        <w:t>nor</w:t>
      </w:r>
      <w:r w:rsidR="004C709D" w:rsidRPr="00A809CE">
        <w:rPr>
          <w:rFonts w:ascii="Arial" w:hAnsi="Arial"/>
          <w:sz w:val="22"/>
          <w:szCs w:val="22"/>
        </w:rPr>
        <w:t xml:space="preserve"> re-</w:t>
      </w:r>
      <w:r w:rsidR="00FF2801" w:rsidRPr="00A809CE">
        <w:rPr>
          <w:rFonts w:ascii="Arial" w:hAnsi="Arial"/>
          <w:sz w:val="22"/>
          <w:szCs w:val="22"/>
        </w:rPr>
        <w:t xml:space="preserve">submission </w:t>
      </w:r>
      <w:r w:rsidR="004C709D" w:rsidRPr="00A809CE">
        <w:rPr>
          <w:rFonts w:ascii="Arial" w:hAnsi="Arial"/>
          <w:sz w:val="22"/>
          <w:szCs w:val="22"/>
        </w:rPr>
        <w:t>requested a Section 85, Authority Required listing of idelalisib</w:t>
      </w:r>
      <w:r w:rsidR="002518C0" w:rsidRPr="00A809CE">
        <w:rPr>
          <w:rFonts w:ascii="Arial" w:hAnsi="Arial"/>
          <w:sz w:val="22"/>
          <w:szCs w:val="22"/>
        </w:rPr>
        <w:t xml:space="preserve"> for the treatment of relapsed/refractory chronic lymphocytic leukaemia (CLL)/small lymphocytic leukaemia (SLL).</w:t>
      </w:r>
    </w:p>
    <w:p w:rsidR="002518C0" w:rsidRPr="00A809CE" w:rsidRDefault="002518C0" w:rsidP="002518C0">
      <w:pPr>
        <w:pStyle w:val="NoSpacing"/>
        <w:ind w:left="720"/>
      </w:pPr>
    </w:p>
    <w:p w:rsidR="00D851F8" w:rsidRPr="00A809CE" w:rsidRDefault="00D851F8" w:rsidP="002518C0">
      <w:pPr>
        <w:pStyle w:val="NoSpacing"/>
        <w:ind w:left="720"/>
      </w:pPr>
    </w:p>
    <w:p w:rsidR="00614159" w:rsidRPr="00A809CE" w:rsidRDefault="006A12A5" w:rsidP="00067D33">
      <w:pPr>
        <w:pStyle w:val="Heading1"/>
      </w:pPr>
      <w:r w:rsidRPr="00A809CE">
        <w:t>Requested listing</w:t>
      </w:r>
    </w:p>
    <w:p w:rsidR="006A12A5" w:rsidRPr="00A809CE" w:rsidRDefault="006A12A5" w:rsidP="00882085">
      <w:pPr>
        <w:jc w:val="both"/>
        <w:rPr>
          <w:rFonts w:ascii="Arial" w:hAnsi="Arial"/>
          <w:b/>
          <w:sz w:val="22"/>
          <w:szCs w:val="22"/>
        </w:rPr>
      </w:pPr>
    </w:p>
    <w:p w:rsidR="002518C0" w:rsidRPr="00A809CE" w:rsidRDefault="002518C0" w:rsidP="00315535">
      <w:pPr>
        <w:pStyle w:val="NoSpacing"/>
        <w:numPr>
          <w:ilvl w:val="1"/>
          <w:numId w:val="1"/>
        </w:numPr>
      </w:pPr>
      <w:r w:rsidRPr="00A809CE">
        <w:t xml:space="preserve">The re-submission does not request any changes to the wording of the listing as described in November 2015 PBAC </w:t>
      </w:r>
      <w:r w:rsidR="00474052">
        <w:t>Public Summary Document (PSD)</w:t>
      </w:r>
      <w:r w:rsidRPr="00A809CE">
        <w:t>.</w:t>
      </w:r>
    </w:p>
    <w:p w:rsidR="00826F6D" w:rsidRPr="00A809CE" w:rsidRDefault="00826F6D" w:rsidP="00C27B58">
      <w:pPr>
        <w:pStyle w:val="NoSpacing"/>
      </w:pPr>
    </w:p>
    <w:tbl>
      <w:tblPr>
        <w:tblW w:w="8505" w:type="dxa"/>
        <w:tblInd w:w="817" w:type="dxa"/>
        <w:tblLayout w:type="fixed"/>
        <w:tblLook w:val="0000" w:firstRow="0" w:lastRow="0" w:firstColumn="0" w:lastColumn="0" w:noHBand="0" w:noVBand="0"/>
      </w:tblPr>
      <w:tblGrid>
        <w:gridCol w:w="2126"/>
        <w:gridCol w:w="426"/>
        <w:gridCol w:w="567"/>
        <w:gridCol w:w="850"/>
        <w:gridCol w:w="709"/>
        <w:gridCol w:w="992"/>
        <w:gridCol w:w="284"/>
        <w:gridCol w:w="1275"/>
        <w:gridCol w:w="1134"/>
        <w:gridCol w:w="142"/>
      </w:tblGrid>
      <w:tr w:rsidR="002518C0" w:rsidRPr="00A809CE" w:rsidTr="002518C0">
        <w:trPr>
          <w:gridAfter w:val="1"/>
          <w:wAfter w:w="142" w:type="dxa"/>
          <w:cantSplit/>
          <w:trHeight w:val="471"/>
        </w:trPr>
        <w:tc>
          <w:tcPr>
            <w:tcW w:w="3119" w:type="dxa"/>
            <w:gridSpan w:val="3"/>
            <w:tcBorders>
              <w:bottom w:val="single" w:sz="4" w:space="0" w:color="auto"/>
            </w:tcBorders>
          </w:tcPr>
          <w:p w:rsidR="002518C0" w:rsidRPr="00A809CE" w:rsidRDefault="002518C0" w:rsidP="002518C0">
            <w:pPr>
              <w:keepNext/>
              <w:ind w:left="-108"/>
              <w:jc w:val="both"/>
              <w:rPr>
                <w:rFonts w:ascii="Arial Narrow" w:hAnsi="Arial Narrow" w:cs="Arial"/>
                <w:b/>
                <w:sz w:val="20"/>
                <w:szCs w:val="20"/>
              </w:rPr>
            </w:pPr>
            <w:r w:rsidRPr="00A809CE">
              <w:rPr>
                <w:rFonts w:ascii="Arial Narrow" w:hAnsi="Arial Narrow" w:cs="Arial"/>
                <w:b/>
                <w:sz w:val="20"/>
                <w:szCs w:val="20"/>
              </w:rPr>
              <w:t>Name, Restriction,</w:t>
            </w:r>
          </w:p>
          <w:p w:rsidR="002518C0" w:rsidRPr="00A809CE" w:rsidRDefault="002518C0" w:rsidP="002518C0">
            <w:pPr>
              <w:keepNext/>
              <w:ind w:left="-108"/>
              <w:jc w:val="both"/>
              <w:rPr>
                <w:rFonts w:ascii="Arial Narrow" w:hAnsi="Arial Narrow" w:cs="Arial"/>
                <w:b/>
                <w:sz w:val="20"/>
                <w:szCs w:val="20"/>
              </w:rPr>
            </w:pPr>
            <w:r w:rsidRPr="00A809CE">
              <w:rPr>
                <w:rFonts w:ascii="Arial Narrow" w:hAnsi="Arial Narrow" w:cs="Arial"/>
                <w:b/>
                <w:sz w:val="20"/>
                <w:szCs w:val="20"/>
              </w:rPr>
              <w:t>Manner of administration and form</w:t>
            </w:r>
          </w:p>
        </w:tc>
        <w:tc>
          <w:tcPr>
            <w:tcW w:w="850" w:type="dxa"/>
            <w:tcBorders>
              <w:bottom w:val="single" w:sz="4" w:space="0" w:color="auto"/>
            </w:tcBorders>
          </w:tcPr>
          <w:p w:rsidR="002518C0" w:rsidRPr="00A809CE" w:rsidRDefault="002518C0" w:rsidP="002518C0">
            <w:pPr>
              <w:keepNext/>
              <w:ind w:left="-108"/>
              <w:jc w:val="both"/>
              <w:rPr>
                <w:rFonts w:ascii="Arial Narrow" w:hAnsi="Arial Narrow" w:cs="Arial"/>
                <w:b/>
                <w:sz w:val="20"/>
                <w:szCs w:val="20"/>
              </w:rPr>
            </w:pPr>
            <w:r w:rsidRPr="00A809CE">
              <w:rPr>
                <w:rFonts w:ascii="Arial Narrow" w:hAnsi="Arial Narrow" w:cs="Arial"/>
                <w:b/>
                <w:sz w:val="20"/>
                <w:szCs w:val="20"/>
              </w:rPr>
              <w:t>Max.</w:t>
            </w:r>
          </w:p>
          <w:p w:rsidR="002518C0" w:rsidRPr="00A809CE" w:rsidRDefault="002518C0" w:rsidP="002518C0">
            <w:pPr>
              <w:keepNext/>
              <w:ind w:left="-108"/>
              <w:jc w:val="both"/>
              <w:rPr>
                <w:rFonts w:ascii="Arial Narrow" w:hAnsi="Arial Narrow" w:cs="Arial"/>
                <w:b/>
                <w:sz w:val="20"/>
                <w:szCs w:val="20"/>
              </w:rPr>
            </w:pPr>
            <w:r w:rsidRPr="00A809CE">
              <w:rPr>
                <w:rFonts w:ascii="Arial Narrow" w:hAnsi="Arial Narrow" w:cs="Arial"/>
                <w:b/>
                <w:sz w:val="20"/>
                <w:szCs w:val="20"/>
              </w:rPr>
              <w:t>Qty</w:t>
            </w:r>
          </w:p>
        </w:tc>
        <w:tc>
          <w:tcPr>
            <w:tcW w:w="709" w:type="dxa"/>
            <w:tcBorders>
              <w:bottom w:val="single" w:sz="4" w:space="0" w:color="auto"/>
            </w:tcBorders>
          </w:tcPr>
          <w:p w:rsidR="002518C0" w:rsidRPr="00A809CE" w:rsidRDefault="002518C0" w:rsidP="002518C0">
            <w:pPr>
              <w:keepNext/>
              <w:ind w:left="-108"/>
              <w:jc w:val="both"/>
              <w:rPr>
                <w:rFonts w:ascii="Arial Narrow" w:hAnsi="Arial Narrow" w:cs="Arial"/>
                <w:b/>
                <w:sz w:val="20"/>
                <w:szCs w:val="20"/>
              </w:rPr>
            </w:pPr>
            <w:r w:rsidRPr="00A809CE">
              <w:rPr>
                <w:rFonts w:ascii="Arial Narrow" w:hAnsi="Arial Narrow" w:cs="Arial"/>
                <w:b/>
                <w:sz w:val="20"/>
                <w:szCs w:val="20"/>
              </w:rPr>
              <w:t>№.of</w:t>
            </w:r>
          </w:p>
          <w:p w:rsidR="002518C0" w:rsidRPr="00A809CE" w:rsidRDefault="002518C0" w:rsidP="002518C0">
            <w:pPr>
              <w:keepNext/>
              <w:ind w:left="-108"/>
              <w:jc w:val="both"/>
              <w:rPr>
                <w:rFonts w:ascii="Arial Narrow" w:hAnsi="Arial Narrow" w:cs="Arial"/>
                <w:b/>
                <w:sz w:val="20"/>
                <w:szCs w:val="20"/>
              </w:rPr>
            </w:pPr>
            <w:r w:rsidRPr="00A809CE">
              <w:rPr>
                <w:rFonts w:ascii="Arial Narrow" w:hAnsi="Arial Narrow" w:cs="Arial"/>
                <w:b/>
                <w:sz w:val="20"/>
                <w:szCs w:val="20"/>
              </w:rPr>
              <w:t>Rpts</w:t>
            </w:r>
          </w:p>
        </w:tc>
        <w:tc>
          <w:tcPr>
            <w:tcW w:w="1276" w:type="dxa"/>
            <w:gridSpan w:val="2"/>
            <w:tcBorders>
              <w:bottom w:val="single" w:sz="4" w:space="0" w:color="auto"/>
            </w:tcBorders>
          </w:tcPr>
          <w:p w:rsidR="002518C0" w:rsidRPr="00A809CE" w:rsidRDefault="002518C0" w:rsidP="002518C0">
            <w:pPr>
              <w:keepNext/>
              <w:ind w:left="-108"/>
              <w:jc w:val="both"/>
              <w:rPr>
                <w:rFonts w:ascii="Arial Narrow" w:hAnsi="Arial Narrow" w:cs="Arial"/>
                <w:b/>
                <w:sz w:val="20"/>
                <w:szCs w:val="20"/>
              </w:rPr>
            </w:pPr>
            <w:r w:rsidRPr="00A809CE">
              <w:rPr>
                <w:rFonts w:ascii="Arial Narrow" w:hAnsi="Arial Narrow" w:cs="Arial"/>
                <w:b/>
                <w:sz w:val="20"/>
                <w:szCs w:val="20"/>
              </w:rPr>
              <w:t>Dispensed Price for Max. Qty</w:t>
            </w:r>
          </w:p>
        </w:tc>
        <w:tc>
          <w:tcPr>
            <w:tcW w:w="2409" w:type="dxa"/>
            <w:gridSpan w:val="2"/>
            <w:tcBorders>
              <w:bottom w:val="single" w:sz="4" w:space="0" w:color="auto"/>
            </w:tcBorders>
          </w:tcPr>
          <w:p w:rsidR="002518C0" w:rsidRPr="00A809CE" w:rsidRDefault="002518C0" w:rsidP="002518C0">
            <w:pPr>
              <w:keepNext/>
              <w:jc w:val="both"/>
              <w:rPr>
                <w:rFonts w:ascii="Arial Narrow" w:hAnsi="Arial Narrow" w:cs="Arial"/>
                <w:b/>
                <w:sz w:val="20"/>
                <w:szCs w:val="20"/>
              </w:rPr>
            </w:pPr>
            <w:r w:rsidRPr="00A809CE">
              <w:rPr>
                <w:rFonts w:ascii="Arial Narrow" w:hAnsi="Arial Narrow" w:cs="Arial"/>
                <w:b/>
                <w:sz w:val="20"/>
                <w:szCs w:val="20"/>
              </w:rPr>
              <w:t>Proprietary Name and Manufacturer</w:t>
            </w:r>
          </w:p>
        </w:tc>
      </w:tr>
      <w:tr w:rsidR="002518C0" w:rsidRPr="00A809CE" w:rsidTr="002518C0">
        <w:trPr>
          <w:cantSplit/>
          <w:trHeight w:val="577"/>
        </w:trPr>
        <w:tc>
          <w:tcPr>
            <w:tcW w:w="2552" w:type="dxa"/>
            <w:gridSpan w:val="2"/>
          </w:tcPr>
          <w:p w:rsidR="002518C0" w:rsidRPr="00A809CE" w:rsidRDefault="002518C0" w:rsidP="00C33EAA">
            <w:pPr>
              <w:keepNext/>
              <w:ind w:left="-108"/>
              <w:rPr>
                <w:rFonts w:ascii="Arial Narrow" w:hAnsi="Arial Narrow"/>
                <w:sz w:val="20"/>
              </w:rPr>
            </w:pPr>
            <w:r w:rsidRPr="00A809CE">
              <w:rPr>
                <w:rFonts w:ascii="Arial Narrow" w:hAnsi="Arial Narrow"/>
                <w:smallCaps/>
                <w:sz w:val="20"/>
              </w:rPr>
              <w:t>Idelalisib</w:t>
            </w:r>
          </w:p>
          <w:p w:rsidR="002518C0" w:rsidRPr="00A809CE" w:rsidRDefault="002518C0" w:rsidP="00C33EAA">
            <w:pPr>
              <w:keepNext/>
              <w:ind w:left="-108"/>
              <w:rPr>
                <w:rFonts w:ascii="Arial Narrow" w:hAnsi="Arial Narrow"/>
                <w:sz w:val="20"/>
              </w:rPr>
            </w:pPr>
            <w:r w:rsidRPr="00A809CE">
              <w:rPr>
                <w:rFonts w:ascii="Arial Narrow" w:hAnsi="Arial Narrow"/>
                <w:sz w:val="20"/>
              </w:rPr>
              <w:t>Tablet, 150 mg, 60</w:t>
            </w:r>
          </w:p>
          <w:p w:rsidR="002518C0" w:rsidRPr="00A809CE" w:rsidRDefault="002518C0" w:rsidP="00C33EAA">
            <w:pPr>
              <w:keepNext/>
              <w:ind w:left="-108"/>
              <w:rPr>
                <w:rFonts w:ascii="Arial Narrow" w:hAnsi="Arial Narrow"/>
                <w:sz w:val="20"/>
              </w:rPr>
            </w:pPr>
            <w:r w:rsidRPr="00A809CE">
              <w:rPr>
                <w:rFonts w:ascii="Arial Narrow" w:hAnsi="Arial Narrow"/>
                <w:sz w:val="20"/>
              </w:rPr>
              <w:t>Tablet, 100 mg, 60</w:t>
            </w:r>
          </w:p>
        </w:tc>
        <w:tc>
          <w:tcPr>
            <w:tcW w:w="567" w:type="dxa"/>
          </w:tcPr>
          <w:p w:rsidR="002518C0" w:rsidRPr="00A809CE" w:rsidRDefault="002518C0" w:rsidP="00C33EAA">
            <w:pPr>
              <w:keepNext/>
              <w:ind w:left="-108"/>
              <w:rPr>
                <w:rFonts w:ascii="Arial Narrow" w:hAnsi="Arial Narrow"/>
                <w:sz w:val="20"/>
              </w:rPr>
            </w:pPr>
          </w:p>
          <w:p w:rsidR="002518C0" w:rsidRPr="00A809CE" w:rsidRDefault="002518C0" w:rsidP="00C33EAA">
            <w:pPr>
              <w:keepNext/>
              <w:ind w:left="-108"/>
              <w:rPr>
                <w:rFonts w:ascii="Arial Narrow" w:hAnsi="Arial Narrow"/>
                <w:sz w:val="20"/>
              </w:rPr>
            </w:pPr>
            <w:r w:rsidRPr="00A809CE">
              <w:rPr>
                <w:rFonts w:ascii="Arial Narrow" w:hAnsi="Arial Narrow"/>
                <w:sz w:val="20"/>
              </w:rPr>
              <w:t>1</w:t>
            </w:r>
          </w:p>
        </w:tc>
        <w:tc>
          <w:tcPr>
            <w:tcW w:w="850" w:type="dxa"/>
          </w:tcPr>
          <w:p w:rsidR="002518C0" w:rsidRPr="00A809CE" w:rsidRDefault="002518C0" w:rsidP="00C33EAA">
            <w:pPr>
              <w:keepNext/>
              <w:ind w:left="-108"/>
              <w:rPr>
                <w:rFonts w:ascii="Arial Narrow" w:hAnsi="Arial Narrow"/>
                <w:sz w:val="20"/>
              </w:rPr>
            </w:pPr>
          </w:p>
          <w:p w:rsidR="002518C0" w:rsidRPr="00A809CE" w:rsidRDefault="002518C0" w:rsidP="00C33EAA">
            <w:pPr>
              <w:keepNext/>
              <w:ind w:left="-108"/>
              <w:rPr>
                <w:rFonts w:ascii="Arial Narrow" w:hAnsi="Arial Narrow"/>
                <w:sz w:val="20"/>
              </w:rPr>
            </w:pPr>
            <w:r w:rsidRPr="00A809CE">
              <w:rPr>
                <w:rFonts w:ascii="Arial Narrow" w:hAnsi="Arial Narrow"/>
                <w:sz w:val="20"/>
              </w:rPr>
              <w:t>5</w:t>
            </w:r>
          </w:p>
        </w:tc>
        <w:tc>
          <w:tcPr>
            <w:tcW w:w="1701" w:type="dxa"/>
            <w:gridSpan w:val="2"/>
          </w:tcPr>
          <w:p w:rsidR="002518C0" w:rsidRPr="00A809CE" w:rsidRDefault="002518C0" w:rsidP="00C33EAA">
            <w:pPr>
              <w:keepNext/>
              <w:ind w:left="-108"/>
              <w:rPr>
                <w:rFonts w:ascii="Arial Narrow" w:hAnsi="Arial Narrow"/>
                <w:sz w:val="20"/>
              </w:rPr>
            </w:pPr>
          </w:p>
          <w:p w:rsidR="002518C0" w:rsidRPr="00A809CE" w:rsidRDefault="002518C0" w:rsidP="00C33EAA">
            <w:pPr>
              <w:keepNext/>
              <w:ind w:left="-108"/>
              <w:rPr>
                <w:rFonts w:ascii="Arial Narrow" w:hAnsi="Arial Narrow"/>
                <w:sz w:val="20"/>
              </w:rPr>
            </w:pPr>
            <w:r w:rsidRPr="00A809CE">
              <w:rPr>
                <w:rFonts w:ascii="Arial Narrow" w:hAnsi="Arial Narrow"/>
                <w:sz w:val="20"/>
              </w:rPr>
              <w:t>$</w:t>
            </w:r>
            <w:r w:rsidR="00622211">
              <w:rPr>
                <w:rFonts w:ascii="Arial Narrow" w:hAnsi="Arial Narrow"/>
                <w:noProof/>
                <w:color w:val="000000"/>
                <w:sz w:val="20"/>
                <w:highlight w:val="black"/>
              </w:rPr>
              <w:t>''''''''''''''''''''''</w:t>
            </w:r>
            <w:r w:rsidRPr="00A809CE">
              <w:rPr>
                <w:rFonts w:ascii="Arial Narrow" w:hAnsi="Arial Narrow"/>
                <w:sz w:val="20"/>
              </w:rPr>
              <w:t xml:space="preserve"> (published)</w:t>
            </w:r>
          </w:p>
          <w:p w:rsidR="002518C0" w:rsidRPr="00A809CE" w:rsidRDefault="002518C0" w:rsidP="00C33EAA">
            <w:pPr>
              <w:keepNext/>
              <w:ind w:left="-108"/>
              <w:rPr>
                <w:rFonts w:ascii="Arial Narrow" w:hAnsi="Arial Narrow"/>
                <w:sz w:val="20"/>
              </w:rPr>
            </w:pPr>
            <w:r w:rsidRPr="00A809CE">
              <w:rPr>
                <w:rFonts w:ascii="Arial Narrow" w:hAnsi="Arial Narrow"/>
                <w:sz w:val="20"/>
              </w:rPr>
              <w:t>$</w:t>
            </w:r>
            <w:r w:rsidR="00622211">
              <w:rPr>
                <w:rFonts w:ascii="Arial Narrow" w:hAnsi="Arial Narrow"/>
                <w:noProof/>
                <w:color w:val="000000"/>
                <w:sz w:val="20"/>
                <w:highlight w:val="black"/>
              </w:rPr>
              <w:t xml:space="preserve">''''''''''''''''''' </w:t>
            </w:r>
            <w:r w:rsidRPr="00A809CE">
              <w:rPr>
                <w:rFonts w:ascii="Arial Narrow" w:hAnsi="Arial Narrow"/>
                <w:sz w:val="20"/>
              </w:rPr>
              <w:t>(effective)</w:t>
            </w:r>
          </w:p>
        </w:tc>
        <w:tc>
          <w:tcPr>
            <w:tcW w:w="1559" w:type="dxa"/>
            <w:gridSpan w:val="2"/>
          </w:tcPr>
          <w:p w:rsidR="002518C0" w:rsidRPr="00A809CE" w:rsidRDefault="002518C0" w:rsidP="00C33EAA">
            <w:pPr>
              <w:keepNext/>
              <w:jc w:val="center"/>
              <w:rPr>
                <w:rFonts w:ascii="Arial Narrow" w:hAnsi="Arial Narrow"/>
                <w:sz w:val="20"/>
              </w:rPr>
            </w:pPr>
            <w:r w:rsidRPr="00A809CE">
              <w:rPr>
                <w:rFonts w:ascii="Arial Narrow" w:hAnsi="Arial Narrow"/>
                <w:sz w:val="20"/>
              </w:rPr>
              <w:t>Zydelig</w:t>
            </w:r>
            <w:r w:rsidRPr="00A809CE">
              <w:rPr>
                <w:rFonts w:ascii="Arial Narrow" w:hAnsi="Arial Narrow"/>
                <w:sz w:val="20"/>
                <w:vertAlign w:val="superscript"/>
              </w:rPr>
              <w:t>®</w:t>
            </w:r>
          </w:p>
        </w:tc>
        <w:tc>
          <w:tcPr>
            <w:tcW w:w="1276" w:type="dxa"/>
            <w:gridSpan w:val="2"/>
          </w:tcPr>
          <w:p w:rsidR="002518C0" w:rsidRPr="00A809CE" w:rsidRDefault="002518C0" w:rsidP="00C33EAA">
            <w:pPr>
              <w:keepNext/>
              <w:jc w:val="center"/>
              <w:rPr>
                <w:rFonts w:ascii="Arial Narrow" w:hAnsi="Arial Narrow"/>
                <w:sz w:val="20"/>
              </w:rPr>
            </w:pPr>
            <w:r w:rsidRPr="00A809CE">
              <w:rPr>
                <w:rFonts w:ascii="Arial Narrow" w:hAnsi="Arial Narrow"/>
                <w:sz w:val="20"/>
              </w:rPr>
              <w:t>Gilead</w:t>
            </w:r>
          </w:p>
        </w:tc>
      </w:tr>
      <w:tr w:rsidR="002518C0" w:rsidRPr="00A809CE" w:rsidTr="002518C0">
        <w:trPr>
          <w:cantSplit/>
          <w:trHeight w:val="360"/>
        </w:trPr>
        <w:tc>
          <w:tcPr>
            <w:tcW w:w="8505" w:type="dxa"/>
            <w:gridSpan w:val="10"/>
            <w:tcBorders>
              <w:bottom w:val="single" w:sz="4" w:space="0" w:color="auto"/>
            </w:tcBorders>
          </w:tcPr>
          <w:p w:rsidR="002518C0" w:rsidRPr="00A809CE" w:rsidRDefault="002518C0" w:rsidP="00C33EAA">
            <w:pPr>
              <w:rPr>
                <w:rFonts w:ascii="Arial Narrow" w:hAnsi="Arial Narrow"/>
                <w:sz w:val="20"/>
              </w:rPr>
            </w:pPr>
          </w:p>
        </w:tc>
      </w:tr>
      <w:tr w:rsidR="002518C0" w:rsidRPr="00A809CE" w:rsidTr="002518C0">
        <w:trPr>
          <w:cantSplit/>
          <w:trHeight w:val="360"/>
        </w:trPr>
        <w:tc>
          <w:tcPr>
            <w:tcW w:w="2126" w:type="dxa"/>
            <w:tcBorders>
              <w:top w:val="single" w:sz="4" w:space="0" w:color="auto"/>
              <w:left w:val="single" w:sz="4" w:space="0" w:color="auto"/>
              <w:bottom w:val="single" w:sz="4" w:space="0" w:color="auto"/>
              <w:right w:val="single" w:sz="4" w:space="0" w:color="auto"/>
            </w:tcBorders>
          </w:tcPr>
          <w:p w:rsidR="002518C0" w:rsidRPr="00A809CE" w:rsidRDefault="002518C0" w:rsidP="00C33EAA">
            <w:pPr>
              <w:rPr>
                <w:rFonts w:ascii="Arial Narrow" w:hAnsi="Arial Narrow"/>
                <w:b/>
                <w:sz w:val="20"/>
              </w:rPr>
            </w:pPr>
            <w:r w:rsidRPr="00A809CE">
              <w:rPr>
                <w:rFonts w:ascii="Arial Narrow" w:hAnsi="Arial Narrow"/>
                <w:b/>
                <w:sz w:val="20"/>
              </w:rPr>
              <w:t>Category / Program</w:t>
            </w:r>
          </w:p>
        </w:tc>
        <w:tc>
          <w:tcPr>
            <w:tcW w:w="6379" w:type="dxa"/>
            <w:gridSpan w:val="9"/>
            <w:tcBorders>
              <w:top w:val="single" w:sz="4" w:space="0" w:color="auto"/>
              <w:left w:val="single" w:sz="4" w:space="0" w:color="auto"/>
              <w:bottom w:val="single" w:sz="4" w:space="0" w:color="auto"/>
              <w:right w:val="single" w:sz="4" w:space="0" w:color="auto"/>
            </w:tcBorders>
          </w:tcPr>
          <w:p w:rsidR="002518C0" w:rsidRPr="00A809CE" w:rsidRDefault="002518C0" w:rsidP="00C33EAA">
            <w:pPr>
              <w:rPr>
                <w:rFonts w:ascii="Arial Narrow" w:hAnsi="Arial Narrow"/>
                <w:sz w:val="20"/>
              </w:rPr>
            </w:pPr>
            <w:r w:rsidRPr="00A809CE">
              <w:rPr>
                <w:rFonts w:ascii="Arial Narrow" w:hAnsi="Arial Narrow"/>
                <w:sz w:val="20"/>
              </w:rPr>
              <w:t>GENERAL – General Schedule (Code GE)</w:t>
            </w:r>
          </w:p>
        </w:tc>
      </w:tr>
      <w:tr w:rsidR="002518C0" w:rsidRPr="00A809CE" w:rsidTr="002518C0">
        <w:trPr>
          <w:cantSplit/>
          <w:trHeight w:val="360"/>
        </w:trPr>
        <w:tc>
          <w:tcPr>
            <w:tcW w:w="2126" w:type="dxa"/>
            <w:tcBorders>
              <w:top w:val="single" w:sz="4" w:space="0" w:color="auto"/>
              <w:left w:val="single" w:sz="4" w:space="0" w:color="auto"/>
              <w:bottom w:val="single" w:sz="4" w:space="0" w:color="auto"/>
              <w:right w:val="single" w:sz="4" w:space="0" w:color="auto"/>
            </w:tcBorders>
          </w:tcPr>
          <w:p w:rsidR="002518C0" w:rsidRPr="00A809CE" w:rsidRDefault="002518C0" w:rsidP="00C33EAA">
            <w:pPr>
              <w:rPr>
                <w:rFonts w:ascii="Arial Narrow" w:hAnsi="Arial Narrow"/>
                <w:b/>
                <w:sz w:val="20"/>
              </w:rPr>
            </w:pPr>
            <w:r w:rsidRPr="00A809CE">
              <w:rPr>
                <w:rFonts w:ascii="Arial Narrow" w:hAnsi="Arial Narrow"/>
                <w:b/>
                <w:sz w:val="20"/>
              </w:rPr>
              <w:t>Prescriber type:</w:t>
            </w:r>
          </w:p>
        </w:tc>
        <w:tc>
          <w:tcPr>
            <w:tcW w:w="6379" w:type="dxa"/>
            <w:gridSpan w:val="9"/>
            <w:tcBorders>
              <w:top w:val="single" w:sz="4" w:space="0" w:color="auto"/>
              <w:left w:val="single" w:sz="4" w:space="0" w:color="auto"/>
              <w:bottom w:val="single" w:sz="4" w:space="0" w:color="auto"/>
              <w:right w:val="single" w:sz="4" w:space="0" w:color="auto"/>
            </w:tcBorders>
          </w:tcPr>
          <w:p w:rsidR="002518C0" w:rsidRPr="00A809CE" w:rsidRDefault="002518C0" w:rsidP="00C33EAA">
            <w:pPr>
              <w:rPr>
                <w:rFonts w:ascii="Arial Narrow" w:hAnsi="Arial Narrow"/>
                <w:sz w:val="20"/>
              </w:rPr>
            </w:pPr>
            <w:r w:rsidRPr="00A809CE">
              <w:rPr>
                <w:rFonts w:ascii="Arial Narrow" w:hAnsi="Arial Narrow"/>
                <w:sz w:val="20"/>
              </w:rPr>
              <w:fldChar w:fldCharType="begin">
                <w:ffData>
                  <w:name w:val="Check1"/>
                  <w:enabled/>
                  <w:calcOnExit w:val="0"/>
                  <w:checkBox>
                    <w:sizeAuto/>
                    <w:default w:val="0"/>
                  </w:checkBox>
                </w:ffData>
              </w:fldChar>
            </w:r>
            <w:r w:rsidRPr="00A809CE">
              <w:rPr>
                <w:rFonts w:ascii="Arial Narrow" w:hAnsi="Arial Narrow"/>
                <w:sz w:val="20"/>
              </w:rPr>
              <w:instrText xml:space="preserve"> FORMCHECKBOX </w:instrText>
            </w:r>
            <w:r w:rsidR="00557F15">
              <w:rPr>
                <w:rFonts w:ascii="Arial Narrow" w:hAnsi="Arial Narrow"/>
                <w:sz w:val="20"/>
              </w:rPr>
            </w:r>
            <w:r w:rsidR="00557F15">
              <w:rPr>
                <w:rFonts w:ascii="Arial Narrow" w:hAnsi="Arial Narrow"/>
                <w:sz w:val="20"/>
              </w:rPr>
              <w:fldChar w:fldCharType="separate"/>
            </w:r>
            <w:r w:rsidRPr="00A809CE">
              <w:rPr>
                <w:rFonts w:ascii="Arial Narrow" w:hAnsi="Arial Narrow"/>
                <w:sz w:val="20"/>
              </w:rPr>
              <w:fldChar w:fldCharType="end"/>
            </w:r>
            <w:r w:rsidRPr="00A809CE">
              <w:rPr>
                <w:rFonts w:ascii="Arial Narrow" w:hAnsi="Arial Narrow"/>
                <w:sz w:val="20"/>
              </w:rPr>
              <w:t xml:space="preserve">Dental  </w:t>
            </w:r>
            <w:r w:rsidRPr="00A809CE">
              <w:rPr>
                <w:rFonts w:ascii="Arial Narrow" w:hAnsi="Arial Narrow"/>
                <w:sz w:val="20"/>
              </w:rPr>
              <w:fldChar w:fldCharType="begin">
                <w:ffData>
                  <w:name w:val=""/>
                  <w:enabled/>
                  <w:calcOnExit w:val="0"/>
                  <w:checkBox>
                    <w:sizeAuto/>
                    <w:default w:val="1"/>
                  </w:checkBox>
                </w:ffData>
              </w:fldChar>
            </w:r>
            <w:r w:rsidRPr="00A809CE">
              <w:rPr>
                <w:rFonts w:ascii="Arial Narrow" w:hAnsi="Arial Narrow"/>
                <w:sz w:val="20"/>
              </w:rPr>
              <w:instrText xml:space="preserve"> FORMCHECKBOX </w:instrText>
            </w:r>
            <w:r w:rsidR="00557F15">
              <w:rPr>
                <w:rFonts w:ascii="Arial Narrow" w:hAnsi="Arial Narrow"/>
                <w:sz w:val="20"/>
              </w:rPr>
            </w:r>
            <w:r w:rsidR="00557F15">
              <w:rPr>
                <w:rFonts w:ascii="Arial Narrow" w:hAnsi="Arial Narrow"/>
                <w:sz w:val="20"/>
              </w:rPr>
              <w:fldChar w:fldCharType="separate"/>
            </w:r>
            <w:r w:rsidRPr="00A809CE">
              <w:rPr>
                <w:rFonts w:ascii="Arial Narrow" w:hAnsi="Arial Narrow"/>
                <w:sz w:val="20"/>
              </w:rPr>
              <w:fldChar w:fldCharType="end"/>
            </w:r>
            <w:r w:rsidRPr="00A809CE">
              <w:rPr>
                <w:rFonts w:ascii="Arial Narrow" w:hAnsi="Arial Narrow"/>
                <w:sz w:val="20"/>
              </w:rPr>
              <w:t xml:space="preserve">Medical Practitioners  </w:t>
            </w:r>
            <w:r w:rsidRPr="00A809CE">
              <w:rPr>
                <w:rFonts w:ascii="Arial Narrow" w:hAnsi="Arial Narrow"/>
                <w:sz w:val="20"/>
              </w:rPr>
              <w:fldChar w:fldCharType="begin">
                <w:ffData>
                  <w:name w:val="Check3"/>
                  <w:enabled/>
                  <w:calcOnExit w:val="0"/>
                  <w:checkBox>
                    <w:sizeAuto/>
                    <w:default w:val="0"/>
                  </w:checkBox>
                </w:ffData>
              </w:fldChar>
            </w:r>
            <w:r w:rsidRPr="00A809CE">
              <w:rPr>
                <w:rFonts w:ascii="Arial Narrow" w:hAnsi="Arial Narrow"/>
                <w:sz w:val="20"/>
              </w:rPr>
              <w:instrText xml:space="preserve"> FORMCHECKBOX </w:instrText>
            </w:r>
            <w:r w:rsidR="00557F15">
              <w:rPr>
                <w:rFonts w:ascii="Arial Narrow" w:hAnsi="Arial Narrow"/>
                <w:sz w:val="20"/>
              </w:rPr>
            </w:r>
            <w:r w:rsidR="00557F15">
              <w:rPr>
                <w:rFonts w:ascii="Arial Narrow" w:hAnsi="Arial Narrow"/>
                <w:sz w:val="20"/>
              </w:rPr>
              <w:fldChar w:fldCharType="separate"/>
            </w:r>
            <w:r w:rsidRPr="00A809CE">
              <w:rPr>
                <w:rFonts w:ascii="Arial Narrow" w:hAnsi="Arial Narrow"/>
                <w:sz w:val="20"/>
              </w:rPr>
              <w:fldChar w:fldCharType="end"/>
            </w:r>
            <w:r w:rsidRPr="00A809CE">
              <w:rPr>
                <w:rFonts w:ascii="Arial Narrow" w:hAnsi="Arial Narrow"/>
                <w:sz w:val="20"/>
              </w:rPr>
              <w:t xml:space="preserve">Nurse practitioners  </w:t>
            </w:r>
            <w:r w:rsidRPr="00A809CE">
              <w:rPr>
                <w:rFonts w:ascii="Arial Narrow" w:hAnsi="Arial Narrow"/>
                <w:sz w:val="20"/>
              </w:rPr>
              <w:fldChar w:fldCharType="begin">
                <w:ffData>
                  <w:name w:val=""/>
                  <w:enabled/>
                  <w:calcOnExit w:val="0"/>
                  <w:checkBox>
                    <w:sizeAuto/>
                    <w:default w:val="0"/>
                  </w:checkBox>
                </w:ffData>
              </w:fldChar>
            </w:r>
            <w:r w:rsidRPr="00A809CE">
              <w:rPr>
                <w:rFonts w:ascii="Arial Narrow" w:hAnsi="Arial Narrow"/>
                <w:sz w:val="20"/>
              </w:rPr>
              <w:instrText xml:space="preserve"> FORMCHECKBOX </w:instrText>
            </w:r>
            <w:r w:rsidR="00557F15">
              <w:rPr>
                <w:rFonts w:ascii="Arial Narrow" w:hAnsi="Arial Narrow"/>
                <w:sz w:val="20"/>
              </w:rPr>
            </w:r>
            <w:r w:rsidR="00557F15">
              <w:rPr>
                <w:rFonts w:ascii="Arial Narrow" w:hAnsi="Arial Narrow"/>
                <w:sz w:val="20"/>
              </w:rPr>
              <w:fldChar w:fldCharType="separate"/>
            </w:r>
            <w:r w:rsidRPr="00A809CE">
              <w:rPr>
                <w:rFonts w:ascii="Arial Narrow" w:hAnsi="Arial Narrow"/>
                <w:sz w:val="20"/>
              </w:rPr>
              <w:fldChar w:fldCharType="end"/>
            </w:r>
            <w:r w:rsidRPr="00A809CE">
              <w:rPr>
                <w:rFonts w:ascii="Arial Narrow" w:hAnsi="Arial Narrow"/>
                <w:sz w:val="20"/>
              </w:rPr>
              <w:t>Optometrists</w:t>
            </w:r>
          </w:p>
          <w:p w:rsidR="002518C0" w:rsidRPr="00A809CE" w:rsidRDefault="002518C0" w:rsidP="00C33EAA">
            <w:pPr>
              <w:rPr>
                <w:rFonts w:ascii="Arial Narrow" w:hAnsi="Arial Narrow"/>
                <w:sz w:val="20"/>
              </w:rPr>
            </w:pPr>
            <w:r w:rsidRPr="00A809CE">
              <w:rPr>
                <w:rFonts w:ascii="Arial Narrow" w:hAnsi="Arial Narrow"/>
                <w:sz w:val="20"/>
              </w:rPr>
              <w:fldChar w:fldCharType="begin">
                <w:ffData>
                  <w:name w:val="Check5"/>
                  <w:enabled/>
                  <w:calcOnExit w:val="0"/>
                  <w:checkBox>
                    <w:sizeAuto/>
                    <w:default w:val="0"/>
                  </w:checkBox>
                </w:ffData>
              </w:fldChar>
            </w:r>
            <w:r w:rsidRPr="00A809CE">
              <w:rPr>
                <w:rFonts w:ascii="Arial Narrow" w:hAnsi="Arial Narrow"/>
                <w:sz w:val="20"/>
              </w:rPr>
              <w:instrText xml:space="preserve"> FORMCHECKBOX </w:instrText>
            </w:r>
            <w:r w:rsidR="00557F15">
              <w:rPr>
                <w:rFonts w:ascii="Arial Narrow" w:hAnsi="Arial Narrow"/>
                <w:sz w:val="20"/>
              </w:rPr>
            </w:r>
            <w:r w:rsidR="00557F15">
              <w:rPr>
                <w:rFonts w:ascii="Arial Narrow" w:hAnsi="Arial Narrow"/>
                <w:sz w:val="20"/>
              </w:rPr>
              <w:fldChar w:fldCharType="separate"/>
            </w:r>
            <w:r w:rsidRPr="00A809CE">
              <w:rPr>
                <w:rFonts w:ascii="Arial Narrow" w:hAnsi="Arial Narrow"/>
                <w:sz w:val="20"/>
              </w:rPr>
              <w:fldChar w:fldCharType="end"/>
            </w:r>
            <w:r w:rsidRPr="00A809CE">
              <w:rPr>
                <w:rFonts w:ascii="Arial Narrow" w:hAnsi="Arial Narrow"/>
                <w:sz w:val="20"/>
              </w:rPr>
              <w:t>Midwives</w:t>
            </w:r>
          </w:p>
        </w:tc>
      </w:tr>
      <w:tr w:rsidR="002518C0" w:rsidRPr="00A809CE" w:rsidTr="002518C0">
        <w:trPr>
          <w:cantSplit/>
          <w:trHeight w:val="360"/>
        </w:trPr>
        <w:tc>
          <w:tcPr>
            <w:tcW w:w="2126" w:type="dxa"/>
            <w:tcBorders>
              <w:top w:val="single" w:sz="4" w:space="0" w:color="auto"/>
              <w:left w:val="single" w:sz="4" w:space="0" w:color="auto"/>
              <w:bottom w:val="single" w:sz="4" w:space="0" w:color="auto"/>
              <w:right w:val="single" w:sz="4" w:space="0" w:color="auto"/>
            </w:tcBorders>
          </w:tcPr>
          <w:p w:rsidR="002518C0" w:rsidRPr="00A809CE" w:rsidRDefault="002518C0" w:rsidP="00C33EAA">
            <w:pPr>
              <w:rPr>
                <w:rFonts w:ascii="Arial Narrow" w:hAnsi="Arial Narrow"/>
                <w:b/>
                <w:sz w:val="20"/>
              </w:rPr>
            </w:pPr>
            <w:r w:rsidRPr="00A809CE">
              <w:rPr>
                <w:rFonts w:ascii="Arial Narrow" w:hAnsi="Arial Narrow"/>
                <w:b/>
                <w:sz w:val="20"/>
              </w:rPr>
              <w:t>PBS Indication:</w:t>
            </w:r>
          </w:p>
        </w:tc>
        <w:tc>
          <w:tcPr>
            <w:tcW w:w="6379" w:type="dxa"/>
            <w:gridSpan w:val="9"/>
            <w:tcBorders>
              <w:top w:val="single" w:sz="4" w:space="0" w:color="auto"/>
              <w:left w:val="single" w:sz="4" w:space="0" w:color="auto"/>
              <w:bottom w:val="single" w:sz="4" w:space="0" w:color="auto"/>
              <w:right w:val="single" w:sz="4" w:space="0" w:color="auto"/>
            </w:tcBorders>
          </w:tcPr>
          <w:p w:rsidR="002518C0" w:rsidRPr="00A809CE" w:rsidRDefault="002518C0" w:rsidP="00C33EAA">
            <w:pPr>
              <w:rPr>
                <w:rFonts w:ascii="Arial Narrow" w:hAnsi="Arial Narrow"/>
                <w:sz w:val="20"/>
              </w:rPr>
            </w:pPr>
            <w:r w:rsidRPr="00A809CE">
              <w:rPr>
                <w:rFonts w:ascii="Arial Narrow" w:hAnsi="Arial Narrow"/>
                <w:sz w:val="20"/>
              </w:rPr>
              <w:t>Chronic lymphocytic leukaemia (CLL) or small lymphocytic lymphoma (SLL)</w:t>
            </w:r>
          </w:p>
        </w:tc>
      </w:tr>
      <w:tr w:rsidR="002518C0" w:rsidRPr="00A809CE" w:rsidTr="002518C0">
        <w:trPr>
          <w:cantSplit/>
          <w:trHeight w:val="360"/>
        </w:trPr>
        <w:tc>
          <w:tcPr>
            <w:tcW w:w="2126" w:type="dxa"/>
            <w:tcBorders>
              <w:top w:val="single" w:sz="4" w:space="0" w:color="auto"/>
              <w:left w:val="single" w:sz="4" w:space="0" w:color="auto"/>
              <w:bottom w:val="single" w:sz="4" w:space="0" w:color="auto"/>
              <w:right w:val="single" w:sz="4" w:space="0" w:color="auto"/>
            </w:tcBorders>
          </w:tcPr>
          <w:p w:rsidR="002518C0" w:rsidRPr="00A809CE" w:rsidRDefault="002518C0" w:rsidP="00C33EAA">
            <w:pPr>
              <w:rPr>
                <w:rFonts w:ascii="Arial Narrow" w:hAnsi="Arial Narrow"/>
                <w:sz w:val="20"/>
              </w:rPr>
            </w:pPr>
            <w:r w:rsidRPr="00A809CE">
              <w:rPr>
                <w:rFonts w:ascii="Arial Narrow" w:hAnsi="Arial Narrow"/>
                <w:b/>
                <w:sz w:val="20"/>
              </w:rPr>
              <w:t>Treatment phase:</w:t>
            </w:r>
          </w:p>
        </w:tc>
        <w:tc>
          <w:tcPr>
            <w:tcW w:w="6379" w:type="dxa"/>
            <w:gridSpan w:val="9"/>
            <w:tcBorders>
              <w:top w:val="single" w:sz="4" w:space="0" w:color="auto"/>
              <w:left w:val="single" w:sz="4" w:space="0" w:color="auto"/>
              <w:bottom w:val="single" w:sz="4" w:space="0" w:color="auto"/>
              <w:right w:val="single" w:sz="4" w:space="0" w:color="auto"/>
            </w:tcBorders>
          </w:tcPr>
          <w:p w:rsidR="002518C0" w:rsidRPr="00A809CE" w:rsidRDefault="002518C0" w:rsidP="00C33EAA">
            <w:pPr>
              <w:rPr>
                <w:rFonts w:ascii="Arial Narrow" w:hAnsi="Arial Narrow"/>
                <w:strike/>
                <w:sz w:val="20"/>
              </w:rPr>
            </w:pPr>
          </w:p>
        </w:tc>
      </w:tr>
      <w:tr w:rsidR="002518C0" w:rsidRPr="00A809CE" w:rsidTr="002518C0">
        <w:trPr>
          <w:cantSplit/>
          <w:trHeight w:val="360"/>
        </w:trPr>
        <w:tc>
          <w:tcPr>
            <w:tcW w:w="2126" w:type="dxa"/>
            <w:tcBorders>
              <w:top w:val="single" w:sz="4" w:space="0" w:color="auto"/>
              <w:left w:val="single" w:sz="4" w:space="0" w:color="auto"/>
              <w:bottom w:val="single" w:sz="4" w:space="0" w:color="auto"/>
              <w:right w:val="single" w:sz="4" w:space="0" w:color="auto"/>
            </w:tcBorders>
          </w:tcPr>
          <w:p w:rsidR="002518C0" w:rsidRPr="00A809CE" w:rsidRDefault="002518C0" w:rsidP="00C33EAA">
            <w:pPr>
              <w:rPr>
                <w:rFonts w:ascii="Arial Narrow" w:hAnsi="Arial Narrow"/>
                <w:b/>
                <w:sz w:val="20"/>
              </w:rPr>
            </w:pPr>
            <w:r w:rsidRPr="00A809CE">
              <w:rPr>
                <w:rFonts w:ascii="Arial Narrow" w:hAnsi="Arial Narrow"/>
                <w:b/>
                <w:sz w:val="20"/>
              </w:rPr>
              <w:t>Restriction Level / Method:</w:t>
            </w:r>
          </w:p>
        </w:tc>
        <w:tc>
          <w:tcPr>
            <w:tcW w:w="6379" w:type="dxa"/>
            <w:gridSpan w:val="9"/>
            <w:tcBorders>
              <w:top w:val="single" w:sz="4" w:space="0" w:color="auto"/>
              <w:left w:val="single" w:sz="4" w:space="0" w:color="auto"/>
              <w:bottom w:val="single" w:sz="4" w:space="0" w:color="auto"/>
              <w:right w:val="single" w:sz="4" w:space="0" w:color="auto"/>
            </w:tcBorders>
          </w:tcPr>
          <w:p w:rsidR="002518C0" w:rsidRPr="00A809CE" w:rsidRDefault="00A650FE" w:rsidP="00C33EAA">
            <w:pPr>
              <w:rPr>
                <w:rFonts w:ascii="Arial Narrow" w:hAnsi="Arial Narrow"/>
                <w:sz w:val="20"/>
              </w:rPr>
            </w:pPr>
            <w:r w:rsidRPr="00A809CE">
              <w:rPr>
                <w:rFonts w:ascii="Arial Narrow" w:hAnsi="Arial Narrow"/>
                <w:sz w:val="20"/>
              </w:rPr>
              <w:fldChar w:fldCharType="begin">
                <w:ffData>
                  <w:name w:val="Check3"/>
                  <w:enabled/>
                  <w:calcOnExit w:val="0"/>
                  <w:checkBox>
                    <w:sizeAuto/>
                    <w:default w:val="1"/>
                  </w:checkBox>
                </w:ffData>
              </w:fldChar>
            </w:r>
            <w:bookmarkStart w:id="0" w:name="Check3"/>
            <w:r w:rsidRPr="00A809CE">
              <w:rPr>
                <w:rFonts w:ascii="Arial Narrow" w:hAnsi="Arial Narrow"/>
                <w:sz w:val="20"/>
              </w:rPr>
              <w:instrText xml:space="preserve"> FORMCHECKBOX </w:instrText>
            </w:r>
            <w:r w:rsidR="00557F15">
              <w:rPr>
                <w:rFonts w:ascii="Arial Narrow" w:hAnsi="Arial Narrow"/>
                <w:sz w:val="20"/>
              </w:rPr>
            </w:r>
            <w:r w:rsidR="00557F15">
              <w:rPr>
                <w:rFonts w:ascii="Arial Narrow" w:hAnsi="Arial Narrow"/>
                <w:sz w:val="20"/>
              </w:rPr>
              <w:fldChar w:fldCharType="separate"/>
            </w:r>
            <w:r w:rsidRPr="00A809CE">
              <w:rPr>
                <w:rFonts w:ascii="Arial Narrow" w:hAnsi="Arial Narrow"/>
                <w:sz w:val="20"/>
              </w:rPr>
              <w:fldChar w:fldCharType="end"/>
            </w:r>
            <w:bookmarkEnd w:id="0"/>
            <w:r w:rsidR="002518C0" w:rsidRPr="00A809CE">
              <w:rPr>
                <w:rFonts w:ascii="Arial Narrow" w:hAnsi="Arial Narrow"/>
                <w:sz w:val="20"/>
              </w:rPr>
              <w:t>Authority Required - Telephone</w:t>
            </w:r>
          </w:p>
          <w:p w:rsidR="002518C0" w:rsidRPr="00A809CE" w:rsidRDefault="002518C0" w:rsidP="00C33EAA">
            <w:pPr>
              <w:rPr>
                <w:rFonts w:ascii="Arial Narrow" w:hAnsi="Arial Narrow"/>
                <w:sz w:val="20"/>
              </w:rPr>
            </w:pPr>
          </w:p>
        </w:tc>
      </w:tr>
      <w:tr w:rsidR="002518C0" w:rsidRPr="00A809CE" w:rsidTr="002518C0">
        <w:trPr>
          <w:cantSplit/>
          <w:trHeight w:val="360"/>
        </w:trPr>
        <w:tc>
          <w:tcPr>
            <w:tcW w:w="2126" w:type="dxa"/>
            <w:tcBorders>
              <w:top w:val="single" w:sz="4" w:space="0" w:color="auto"/>
              <w:left w:val="single" w:sz="4" w:space="0" w:color="auto"/>
              <w:bottom w:val="single" w:sz="4" w:space="0" w:color="auto"/>
              <w:right w:val="single" w:sz="4" w:space="0" w:color="auto"/>
            </w:tcBorders>
          </w:tcPr>
          <w:p w:rsidR="002518C0" w:rsidRPr="00A809CE" w:rsidRDefault="002518C0" w:rsidP="00C33EAA">
            <w:pPr>
              <w:rPr>
                <w:rFonts w:ascii="Arial Narrow" w:hAnsi="Arial Narrow"/>
                <w:b/>
                <w:sz w:val="20"/>
              </w:rPr>
            </w:pPr>
            <w:r w:rsidRPr="00A809CE">
              <w:rPr>
                <w:rFonts w:ascii="Arial Narrow" w:hAnsi="Arial Narrow"/>
                <w:b/>
                <w:sz w:val="20"/>
              </w:rPr>
              <w:t>Clinical criteria:</w:t>
            </w:r>
          </w:p>
        </w:tc>
        <w:tc>
          <w:tcPr>
            <w:tcW w:w="6379" w:type="dxa"/>
            <w:gridSpan w:val="9"/>
            <w:tcBorders>
              <w:top w:val="single" w:sz="4" w:space="0" w:color="auto"/>
              <w:left w:val="single" w:sz="4" w:space="0" w:color="auto"/>
              <w:bottom w:val="single" w:sz="4" w:space="0" w:color="auto"/>
              <w:right w:val="single" w:sz="4" w:space="0" w:color="auto"/>
            </w:tcBorders>
          </w:tcPr>
          <w:p w:rsidR="002518C0" w:rsidRPr="00A809CE" w:rsidRDefault="002518C0" w:rsidP="00C33EAA">
            <w:pPr>
              <w:rPr>
                <w:rFonts w:ascii="Arial Narrow" w:hAnsi="Arial Narrow"/>
                <w:sz w:val="20"/>
              </w:rPr>
            </w:pPr>
            <w:r w:rsidRPr="00A809CE">
              <w:rPr>
                <w:rFonts w:ascii="Arial Narrow" w:hAnsi="Arial Narrow"/>
                <w:sz w:val="20"/>
              </w:rPr>
              <w:t>The treatment must be in combination with rituximab;</w:t>
            </w:r>
          </w:p>
          <w:p w:rsidR="002518C0" w:rsidRPr="00A809CE" w:rsidRDefault="002518C0" w:rsidP="00C33EAA">
            <w:pPr>
              <w:rPr>
                <w:rFonts w:ascii="Arial Narrow" w:hAnsi="Arial Narrow"/>
                <w:sz w:val="20"/>
              </w:rPr>
            </w:pPr>
          </w:p>
          <w:p w:rsidR="002518C0" w:rsidRPr="00A809CE" w:rsidRDefault="002518C0" w:rsidP="00C33EAA">
            <w:pPr>
              <w:rPr>
                <w:rFonts w:ascii="Arial Narrow" w:hAnsi="Arial Narrow"/>
                <w:sz w:val="20"/>
              </w:rPr>
            </w:pPr>
            <w:r w:rsidRPr="00A809CE">
              <w:rPr>
                <w:rFonts w:ascii="Arial Narrow" w:hAnsi="Arial Narrow"/>
                <w:sz w:val="20"/>
              </w:rPr>
              <w:t>AND</w:t>
            </w:r>
          </w:p>
          <w:p w:rsidR="002518C0" w:rsidRPr="00A809CE" w:rsidRDefault="002518C0" w:rsidP="00C33EAA">
            <w:pPr>
              <w:rPr>
                <w:rFonts w:ascii="Arial Narrow" w:hAnsi="Arial Narrow"/>
                <w:sz w:val="20"/>
              </w:rPr>
            </w:pPr>
          </w:p>
          <w:p w:rsidR="002518C0" w:rsidRPr="00A809CE" w:rsidRDefault="002518C0" w:rsidP="00C33EAA">
            <w:pPr>
              <w:rPr>
                <w:rFonts w:ascii="Arial Narrow" w:hAnsi="Arial Narrow"/>
                <w:sz w:val="20"/>
              </w:rPr>
            </w:pPr>
            <w:r w:rsidRPr="00A809CE">
              <w:rPr>
                <w:rFonts w:ascii="Arial Narrow" w:hAnsi="Arial Narrow"/>
                <w:sz w:val="20"/>
              </w:rPr>
              <w:t>The condition must have relapsed or be refractory after at least one therapy;</w:t>
            </w:r>
          </w:p>
          <w:p w:rsidR="002518C0" w:rsidRPr="00A809CE" w:rsidRDefault="002518C0" w:rsidP="00C33EAA">
            <w:pPr>
              <w:rPr>
                <w:rFonts w:ascii="Arial Narrow" w:hAnsi="Arial Narrow"/>
                <w:sz w:val="20"/>
              </w:rPr>
            </w:pPr>
          </w:p>
          <w:p w:rsidR="002518C0" w:rsidRPr="00A809CE" w:rsidRDefault="002518C0" w:rsidP="00C33EAA">
            <w:pPr>
              <w:rPr>
                <w:rFonts w:ascii="Arial Narrow" w:hAnsi="Arial Narrow"/>
                <w:sz w:val="20"/>
              </w:rPr>
            </w:pPr>
            <w:r w:rsidRPr="00A809CE">
              <w:rPr>
                <w:rFonts w:ascii="Arial Narrow" w:hAnsi="Arial Narrow"/>
                <w:sz w:val="20"/>
              </w:rPr>
              <w:t>AND</w:t>
            </w:r>
          </w:p>
          <w:p w:rsidR="002518C0" w:rsidRPr="00A809CE" w:rsidRDefault="002518C0" w:rsidP="00C33EAA">
            <w:pPr>
              <w:rPr>
                <w:rFonts w:ascii="Arial Narrow" w:hAnsi="Arial Narrow"/>
                <w:sz w:val="20"/>
              </w:rPr>
            </w:pPr>
          </w:p>
          <w:p w:rsidR="002518C0" w:rsidRPr="00A809CE" w:rsidRDefault="002518C0" w:rsidP="00C33EAA">
            <w:pPr>
              <w:rPr>
                <w:rFonts w:ascii="Arial Narrow" w:hAnsi="Arial Narrow"/>
                <w:sz w:val="20"/>
              </w:rPr>
            </w:pPr>
            <w:r w:rsidRPr="00A809CE">
              <w:rPr>
                <w:rFonts w:ascii="Arial Narrow" w:hAnsi="Arial Narrow"/>
                <w:sz w:val="20"/>
              </w:rPr>
              <w:t>Patient must have a total cumulative illness rating scale (CIRS) score of greater than 6 (excluding CLL-induced illness or organ damage);</w:t>
            </w:r>
          </w:p>
          <w:p w:rsidR="002518C0" w:rsidRPr="00A809CE" w:rsidRDefault="002518C0" w:rsidP="00C33EAA">
            <w:pPr>
              <w:rPr>
                <w:rFonts w:ascii="Arial Narrow" w:hAnsi="Arial Narrow"/>
                <w:sz w:val="20"/>
              </w:rPr>
            </w:pPr>
          </w:p>
          <w:p w:rsidR="002518C0" w:rsidRPr="00A809CE" w:rsidRDefault="002518C0" w:rsidP="00C33EAA">
            <w:pPr>
              <w:rPr>
                <w:rFonts w:ascii="Arial Narrow" w:hAnsi="Arial Narrow"/>
                <w:sz w:val="20"/>
              </w:rPr>
            </w:pPr>
            <w:r w:rsidRPr="00A809CE">
              <w:rPr>
                <w:rFonts w:ascii="Arial Narrow" w:hAnsi="Arial Narrow"/>
                <w:sz w:val="20"/>
              </w:rPr>
              <w:t>AND</w:t>
            </w:r>
          </w:p>
          <w:p w:rsidR="002518C0" w:rsidRPr="00A809CE" w:rsidRDefault="002518C0" w:rsidP="00C33EAA">
            <w:pPr>
              <w:rPr>
                <w:rFonts w:ascii="Arial Narrow" w:hAnsi="Arial Narrow"/>
                <w:sz w:val="20"/>
              </w:rPr>
            </w:pPr>
          </w:p>
          <w:p w:rsidR="002518C0" w:rsidRPr="00A809CE" w:rsidRDefault="002518C0" w:rsidP="00C33EAA">
            <w:pPr>
              <w:rPr>
                <w:rFonts w:ascii="Arial Narrow" w:hAnsi="Arial Narrow"/>
                <w:sz w:val="20"/>
              </w:rPr>
            </w:pPr>
            <w:r w:rsidRPr="00A809CE">
              <w:rPr>
                <w:rFonts w:ascii="Arial Narrow" w:hAnsi="Arial Narrow"/>
                <w:sz w:val="20"/>
              </w:rPr>
              <w:t xml:space="preserve">Patient must be inappropriate for chemo-immunotherapy </w:t>
            </w:r>
          </w:p>
        </w:tc>
      </w:tr>
      <w:tr w:rsidR="002518C0" w:rsidRPr="00A809CE" w:rsidTr="002518C0">
        <w:trPr>
          <w:cantSplit/>
          <w:trHeight w:val="360"/>
        </w:trPr>
        <w:tc>
          <w:tcPr>
            <w:tcW w:w="2126" w:type="dxa"/>
            <w:tcBorders>
              <w:top w:val="single" w:sz="4" w:space="0" w:color="auto"/>
              <w:left w:val="single" w:sz="4" w:space="0" w:color="auto"/>
              <w:bottom w:val="single" w:sz="4" w:space="0" w:color="auto"/>
              <w:right w:val="single" w:sz="4" w:space="0" w:color="auto"/>
            </w:tcBorders>
          </w:tcPr>
          <w:p w:rsidR="002518C0" w:rsidRPr="00A809CE" w:rsidRDefault="002518C0" w:rsidP="00C33EAA">
            <w:pPr>
              <w:rPr>
                <w:rFonts w:ascii="Arial Narrow" w:hAnsi="Arial Narrow"/>
                <w:b/>
                <w:sz w:val="20"/>
              </w:rPr>
            </w:pPr>
            <w:r w:rsidRPr="00A809CE">
              <w:rPr>
                <w:rFonts w:ascii="Arial Narrow" w:hAnsi="Arial Narrow"/>
                <w:b/>
                <w:sz w:val="20"/>
              </w:rPr>
              <w:lastRenderedPageBreak/>
              <w:t>Prescriber Instructions</w:t>
            </w:r>
          </w:p>
        </w:tc>
        <w:tc>
          <w:tcPr>
            <w:tcW w:w="6379" w:type="dxa"/>
            <w:gridSpan w:val="9"/>
            <w:tcBorders>
              <w:top w:val="single" w:sz="4" w:space="0" w:color="auto"/>
              <w:left w:val="single" w:sz="4" w:space="0" w:color="auto"/>
              <w:bottom w:val="single" w:sz="4" w:space="0" w:color="auto"/>
              <w:right w:val="single" w:sz="4" w:space="0" w:color="auto"/>
            </w:tcBorders>
          </w:tcPr>
          <w:p w:rsidR="00A650FE" w:rsidRPr="00A809CE" w:rsidRDefault="00A650FE" w:rsidP="00A650FE">
            <w:pPr>
              <w:rPr>
                <w:rFonts w:ascii="Arial Narrow" w:hAnsi="Arial Narrow"/>
                <w:sz w:val="20"/>
              </w:rPr>
            </w:pPr>
            <w:r w:rsidRPr="00A809CE">
              <w:rPr>
                <w:rFonts w:ascii="Arial Narrow" w:hAnsi="Arial Narrow"/>
                <w:sz w:val="20"/>
              </w:rPr>
              <w:t xml:space="preserve">A patient who has progressive disease when treated with this drug is no longer eligible for PBS-subsidised treatment with this drug. </w:t>
            </w:r>
          </w:p>
          <w:p w:rsidR="00A650FE" w:rsidRPr="00A809CE" w:rsidRDefault="00A650FE" w:rsidP="00C33EAA">
            <w:pPr>
              <w:rPr>
                <w:rFonts w:ascii="Arial Narrow" w:hAnsi="Arial Narrow"/>
                <w:sz w:val="20"/>
              </w:rPr>
            </w:pPr>
          </w:p>
          <w:p w:rsidR="002518C0" w:rsidRPr="00A809CE" w:rsidRDefault="002518C0" w:rsidP="00C33EAA">
            <w:pPr>
              <w:rPr>
                <w:rFonts w:ascii="Arial Narrow" w:hAnsi="Arial Narrow"/>
                <w:sz w:val="20"/>
              </w:rPr>
            </w:pPr>
            <w:r w:rsidRPr="00A809CE">
              <w:rPr>
                <w:rFonts w:ascii="Arial Narrow" w:hAnsi="Arial Narrow"/>
                <w:sz w:val="20"/>
              </w:rPr>
              <w:t>A patient is inappropriate for chemo-immunotherapy because of one or more of the following:</w:t>
            </w:r>
          </w:p>
          <w:p w:rsidR="002518C0" w:rsidRPr="00A809CE" w:rsidRDefault="002518C0" w:rsidP="00315535">
            <w:pPr>
              <w:numPr>
                <w:ilvl w:val="0"/>
                <w:numId w:val="3"/>
              </w:numPr>
              <w:rPr>
                <w:rFonts w:ascii="Arial Narrow" w:hAnsi="Arial Narrow"/>
                <w:sz w:val="20"/>
              </w:rPr>
            </w:pPr>
            <w:r w:rsidRPr="00A809CE">
              <w:rPr>
                <w:rFonts w:ascii="Arial Narrow" w:hAnsi="Arial Narrow"/>
                <w:sz w:val="20"/>
              </w:rPr>
              <w:t>Severe neutropenia; or</w:t>
            </w:r>
          </w:p>
          <w:p w:rsidR="002518C0" w:rsidRPr="00A809CE" w:rsidRDefault="002518C0" w:rsidP="00315535">
            <w:pPr>
              <w:numPr>
                <w:ilvl w:val="0"/>
                <w:numId w:val="3"/>
              </w:numPr>
              <w:rPr>
                <w:rFonts w:ascii="Arial Narrow" w:hAnsi="Arial Narrow"/>
                <w:sz w:val="20"/>
              </w:rPr>
            </w:pPr>
            <w:r w:rsidRPr="00A809CE">
              <w:rPr>
                <w:rFonts w:ascii="Arial Narrow" w:hAnsi="Arial Narrow"/>
                <w:sz w:val="20"/>
              </w:rPr>
              <w:t xml:space="preserve">Severe thrombocytopenia; or </w:t>
            </w:r>
          </w:p>
          <w:p w:rsidR="002518C0" w:rsidRPr="00A809CE" w:rsidRDefault="002518C0" w:rsidP="00315535">
            <w:pPr>
              <w:numPr>
                <w:ilvl w:val="0"/>
                <w:numId w:val="3"/>
              </w:numPr>
              <w:rPr>
                <w:rFonts w:ascii="Arial Narrow" w:hAnsi="Arial Narrow"/>
                <w:sz w:val="20"/>
              </w:rPr>
            </w:pPr>
            <w:r w:rsidRPr="00A809CE">
              <w:rPr>
                <w:rFonts w:ascii="Arial Narrow" w:hAnsi="Arial Narrow"/>
                <w:sz w:val="20"/>
              </w:rPr>
              <w:t>Presence of 17p deletion; or</w:t>
            </w:r>
          </w:p>
          <w:p w:rsidR="002518C0" w:rsidRPr="00A809CE" w:rsidRDefault="002518C0" w:rsidP="00315535">
            <w:pPr>
              <w:numPr>
                <w:ilvl w:val="0"/>
                <w:numId w:val="3"/>
              </w:numPr>
              <w:rPr>
                <w:rFonts w:ascii="Arial Narrow" w:hAnsi="Arial Narrow"/>
                <w:sz w:val="20"/>
              </w:rPr>
            </w:pPr>
            <w:r w:rsidRPr="00A809CE">
              <w:rPr>
                <w:rFonts w:ascii="Arial Narrow" w:hAnsi="Arial Narrow"/>
                <w:sz w:val="20"/>
              </w:rPr>
              <w:t>Presence of TP53 mutation.</w:t>
            </w:r>
          </w:p>
        </w:tc>
      </w:tr>
      <w:tr w:rsidR="002518C0" w:rsidRPr="00A809CE" w:rsidTr="002518C0">
        <w:trPr>
          <w:cantSplit/>
          <w:trHeight w:val="360"/>
        </w:trPr>
        <w:tc>
          <w:tcPr>
            <w:tcW w:w="2126" w:type="dxa"/>
            <w:tcBorders>
              <w:top w:val="single" w:sz="4" w:space="0" w:color="auto"/>
              <w:left w:val="single" w:sz="4" w:space="0" w:color="auto"/>
              <w:bottom w:val="single" w:sz="4" w:space="0" w:color="auto"/>
              <w:right w:val="single" w:sz="4" w:space="0" w:color="auto"/>
            </w:tcBorders>
          </w:tcPr>
          <w:p w:rsidR="002518C0" w:rsidRPr="00A809CE" w:rsidRDefault="002518C0" w:rsidP="00C33EAA">
            <w:pPr>
              <w:rPr>
                <w:rFonts w:ascii="Arial Narrow" w:hAnsi="Arial Narrow"/>
                <w:sz w:val="20"/>
              </w:rPr>
            </w:pPr>
            <w:r w:rsidRPr="00A809CE">
              <w:rPr>
                <w:rFonts w:ascii="Arial Narrow" w:hAnsi="Arial Narrow"/>
                <w:b/>
                <w:sz w:val="20"/>
              </w:rPr>
              <w:t>Administrative Advice</w:t>
            </w:r>
          </w:p>
        </w:tc>
        <w:tc>
          <w:tcPr>
            <w:tcW w:w="6379" w:type="dxa"/>
            <w:gridSpan w:val="9"/>
            <w:tcBorders>
              <w:top w:val="single" w:sz="4" w:space="0" w:color="auto"/>
              <w:left w:val="single" w:sz="4" w:space="0" w:color="auto"/>
              <w:bottom w:val="single" w:sz="4" w:space="0" w:color="auto"/>
              <w:right w:val="single" w:sz="4" w:space="0" w:color="auto"/>
            </w:tcBorders>
          </w:tcPr>
          <w:p w:rsidR="002518C0" w:rsidRPr="00A809CE" w:rsidRDefault="002518C0" w:rsidP="00C33EAA">
            <w:pPr>
              <w:rPr>
                <w:rFonts w:ascii="Arial Narrow" w:hAnsi="Arial Narrow"/>
                <w:sz w:val="20"/>
              </w:rPr>
            </w:pPr>
            <w:r w:rsidRPr="00A809CE">
              <w:rPr>
                <w:rFonts w:ascii="Arial Narrow" w:hAnsi="Arial Narrow"/>
                <w:sz w:val="20"/>
              </w:rPr>
              <w:t>Severe neutropenia defined as absolute neutrophil count ≤ 1.0 x 10</w:t>
            </w:r>
            <w:r w:rsidRPr="00A809CE">
              <w:rPr>
                <w:rFonts w:ascii="Arial Narrow" w:hAnsi="Arial Narrow"/>
                <w:sz w:val="20"/>
                <w:vertAlign w:val="superscript"/>
              </w:rPr>
              <w:t>9</w:t>
            </w:r>
            <w:r w:rsidRPr="00A809CE">
              <w:rPr>
                <w:rFonts w:ascii="Arial Narrow" w:hAnsi="Arial Narrow"/>
                <w:sz w:val="20"/>
              </w:rPr>
              <w:t>/L</w:t>
            </w:r>
          </w:p>
          <w:p w:rsidR="002518C0" w:rsidRPr="00A809CE" w:rsidRDefault="002518C0" w:rsidP="00C33EAA">
            <w:pPr>
              <w:rPr>
                <w:rFonts w:ascii="Arial Narrow" w:hAnsi="Arial Narrow"/>
                <w:sz w:val="20"/>
              </w:rPr>
            </w:pPr>
            <w:r w:rsidRPr="00A809CE">
              <w:rPr>
                <w:rFonts w:ascii="Arial Narrow" w:hAnsi="Arial Narrow"/>
                <w:sz w:val="20"/>
              </w:rPr>
              <w:t>Severe thrombocytopenia defined as platelet count ≤ 50 x 10</w:t>
            </w:r>
            <w:r w:rsidRPr="00A809CE">
              <w:rPr>
                <w:rFonts w:ascii="Arial Narrow" w:hAnsi="Arial Narrow"/>
                <w:sz w:val="20"/>
                <w:vertAlign w:val="superscript"/>
              </w:rPr>
              <w:t>9</w:t>
            </w:r>
            <w:r w:rsidRPr="00A809CE">
              <w:rPr>
                <w:rFonts w:ascii="Arial Narrow" w:hAnsi="Arial Narrow"/>
                <w:sz w:val="20"/>
              </w:rPr>
              <w:t>/L</w:t>
            </w:r>
          </w:p>
        </w:tc>
      </w:tr>
    </w:tbl>
    <w:p w:rsidR="00A650FE" w:rsidRDefault="00A650FE" w:rsidP="00C33EAA">
      <w:pPr>
        <w:jc w:val="both"/>
        <w:rPr>
          <w:rFonts w:ascii="Arial" w:hAnsi="Arial"/>
          <w:b/>
          <w:sz w:val="22"/>
          <w:szCs w:val="22"/>
        </w:rPr>
      </w:pPr>
    </w:p>
    <w:p w:rsidR="00523508" w:rsidRPr="00523508" w:rsidRDefault="00523508" w:rsidP="00523508">
      <w:pPr>
        <w:pStyle w:val="PBACheading1"/>
        <w:numPr>
          <w:ilvl w:val="1"/>
          <w:numId w:val="1"/>
        </w:numPr>
        <w:jc w:val="both"/>
        <w:rPr>
          <w:noProof/>
          <w:lang w:eastAsia="en-AU"/>
        </w:rPr>
      </w:pPr>
      <w:r w:rsidRPr="00523508">
        <w:t xml:space="preserve">At the November 2015 meeting, </w:t>
      </w:r>
      <w:r w:rsidRPr="00523508">
        <w:rPr>
          <w:noProof/>
          <w:lang w:eastAsia="en-AU"/>
        </w:rPr>
        <w:t>the PBAC advised that the Department should work with the sponsor to finalise an appropriate telephone Authority restriction. The PBAC agreed with the ESC that patients should be treated until progression and that this should be incorporated into the restriction wording. The Secretariat has updated the restriction to include Authority required (Telephone) and the Prescriber Instruction: A patient who has progressive disease when treated with this drug is no longer eligible for PBS-subsidised treatment with this drug.</w:t>
      </w:r>
      <w:r w:rsidRPr="00523508">
        <w:t xml:space="preserve"> In this minor re-submission, the sponsor is willing to work with the Department to finalise the restriction.</w:t>
      </w:r>
    </w:p>
    <w:p w:rsidR="00523508" w:rsidRPr="00C33EAA" w:rsidRDefault="00523508" w:rsidP="00C33EAA">
      <w:pPr>
        <w:jc w:val="both"/>
        <w:rPr>
          <w:rFonts w:ascii="Arial" w:hAnsi="Arial"/>
          <w:b/>
          <w:sz w:val="22"/>
          <w:szCs w:val="22"/>
        </w:rPr>
      </w:pPr>
    </w:p>
    <w:p w:rsidR="00BB7EC3" w:rsidRPr="00A809CE" w:rsidRDefault="00BB7EC3" w:rsidP="00882085">
      <w:pPr>
        <w:jc w:val="both"/>
        <w:rPr>
          <w:rFonts w:ascii="Arial" w:hAnsi="Arial"/>
          <w:b/>
          <w:sz w:val="22"/>
          <w:szCs w:val="22"/>
        </w:rPr>
      </w:pPr>
    </w:p>
    <w:p w:rsidR="00CE10C4" w:rsidRPr="00A809CE" w:rsidRDefault="00CE10C4" w:rsidP="00067D33">
      <w:pPr>
        <w:pStyle w:val="Heading1"/>
      </w:pPr>
      <w:r w:rsidRPr="00A809CE">
        <w:t>Background</w:t>
      </w:r>
    </w:p>
    <w:p w:rsidR="006A12A5" w:rsidRPr="00A809CE" w:rsidRDefault="006A12A5" w:rsidP="00882085">
      <w:pPr>
        <w:jc w:val="both"/>
        <w:rPr>
          <w:rFonts w:ascii="Arial" w:hAnsi="Arial"/>
          <w:sz w:val="22"/>
          <w:szCs w:val="22"/>
        </w:rPr>
      </w:pPr>
    </w:p>
    <w:p w:rsidR="00856BD0" w:rsidRPr="00A809CE" w:rsidRDefault="00856BD0" w:rsidP="00740ACA">
      <w:pPr>
        <w:pStyle w:val="ListParagraph"/>
        <w:numPr>
          <w:ilvl w:val="1"/>
          <w:numId w:val="1"/>
        </w:numPr>
        <w:jc w:val="both"/>
        <w:rPr>
          <w:rFonts w:ascii="Arial" w:hAnsi="Arial"/>
          <w:sz w:val="22"/>
          <w:szCs w:val="22"/>
        </w:rPr>
      </w:pPr>
      <w:r w:rsidRPr="00A809CE">
        <w:rPr>
          <w:rFonts w:ascii="Arial" w:hAnsi="Arial"/>
          <w:sz w:val="22"/>
          <w:szCs w:val="22"/>
        </w:rPr>
        <w:t>Idelalisib was TGA registered on 9 February 2015 for the indication:</w:t>
      </w:r>
    </w:p>
    <w:p w:rsidR="00856BD0" w:rsidRPr="00A809CE" w:rsidRDefault="00856BD0" w:rsidP="00740ACA">
      <w:pPr>
        <w:pStyle w:val="ListParagraph"/>
        <w:jc w:val="both"/>
        <w:rPr>
          <w:rFonts w:ascii="Arial" w:hAnsi="Arial"/>
          <w:sz w:val="22"/>
          <w:szCs w:val="22"/>
        </w:rPr>
      </w:pPr>
      <w:r w:rsidRPr="00A809CE">
        <w:rPr>
          <w:rFonts w:ascii="Arial" w:hAnsi="Arial"/>
          <w:sz w:val="22"/>
          <w:szCs w:val="22"/>
        </w:rPr>
        <w:t>In combination with rituximab, for the treatment of patients with chronic lymphocytic leukaemia (CLL) / small lymphocytic lymphoma (SLL) for whom chemo-immunotherapy was not considered suitable, either:</w:t>
      </w:r>
    </w:p>
    <w:p w:rsidR="00856BD0" w:rsidRPr="00A809CE" w:rsidRDefault="00856BD0" w:rsidP="00740ACA">
      <w:pPr>
        <w:pStyle w:val="ListParagraph"/>
        <w:numPr>
          <w:ilvl w:val="0"/>
          <w:numId w:val="4"/>
        </w:numPr>
        <w:jc w:val="both"/>
        <w:rPr>
          <w:rFonts w:ascii="Arial" w:hAnsi="Arial"/>
          <w:sz w:val="22"/>
          <w:szCs w:val="22"/>
        </w:rPr>
      </w:pPr>
      <w:r w:rsidRPr="00A809CE">
        <w:rPr>
          <w:rFonts w:ascii="Arial" w:hAnsi="Arial"/>
          <w:sz w:val="22"/>
          <w:szCs w:val="22"/>
        </w:rPr>
        <w:t>upon relapse after at least one prior therapy; or</w:t>
      </w:r>
    </w:p>
    <w:p w:rsidR="00856BD0" w:rsidRPr="00A809CE" w:rsidRDefault="00856BD0" w:rsidP="00740ACA">
      <w:pPr>
        <w:pStyle w:val="ListParagraph"/>
        <w:numPr>
          <w:ilvl w:val="0"/>
          <w:numId w:val="4"/>
        </w:numPr>
        <w:jc w:val="both"/>
        <w:rPr>
          <w:rFonts w:ascii="Arial" w:hAnsi="Arial"/>
          <w:sz w:val="22"/>
          <w:szCs w:val="22"/>
        </w:rPr>
      </w:pPr>
      <w:r w:rsidRPr="00A809CE">
        <w:rPr>
          <w:rFonts w:ascii="Arial" w:hAnsi="Arial"/>
          <w:sz w:val="22"/>
          <w:szCs w:val="22"/>
        </w:rPr>
        <w:t>as first-line treatment in the presence of 17p deletion or TP53 mutation.</w:t>
      </w:r>
    </w:p>
    <w:p w:rsidR="00856BD0" w:rsidRPr="00A809CE" w:rsidRDefault="00856BD0" w:rsidP="00856BD0">
      <w:pPr>
        <w:pStyle w:val="ListParagraph"/>
        <w:rPr>
          <w:rFonts w:ascii="Arial" w:hAnsi="Arial"/>
          <w:sz w:val="22"/>
          <w:szCs w:val="22"/>
        </w:rPr>
      </w:pPr>
    </w:p>
    <w:p w:rsidR="00C30ADD" w:rsidRPr="00153559" w:rsidRDefault="00856BD0" w:rsidP="000B0224">
      <w:pPr>
        <w:pStyle w:val="ListParagraph"/>
        <w:numPr>
          <w:ilvl w:val="1"/>
          <w:numId w:val="1"/>
        </w:numPr>
        <w:jc w:val="both"/>
        <w:rPr>
          <w:rFonts w:ascii="Arial" w:hAnsi="Arial"/>
          <w:sz w:val="22"/>
          <w:szCs w:val="22"/>
        </w:rPr>
      </w:pPr>
      <w:r w:rsidRPr="00A809CE">
        <w:rPr>
          <w:rFonts w:ascii="Arial" w:hAnsi="Arial"/>
          <w:sz w:val="22"/>
          <w:szCs w:val="22"/>
        </w:rPr>
        <w:t xml:space="preserve">This item was previously considered at the March 2015 and November </w:t>
      </w:r>
      <w:r w:rsidR="00D851F8" w:rsidRPr="00A809CE">
        <w:rPr>
          <w:rFonts w:ascii="Arial" w:hAnsi="Arial"/>
          <w:sz w:val="22"/>
          <w:szCs w:val="22"/>
        </w:rPr>
        <w:t>2015 PBAC</w:t>
      </w:r>
      <w:r w:rsidRPr="00A809CE">
        <w:rPr>
          <w:rFonts w:ascii="Arial" w:hAnsi="Arial"/>
          <w:sz w:val="22"/>
          <w:szCs w:val="22"/>
        </w:rPr>
        <w:t xml:space="preserve"> meeting.</w:t>
      </w:r>
      <w:r w:rsidR="00C97E05" w:rsidRPr="00A809CE">
        <w:rPr>
          <w:rFonts w:ascii="Arial" w:hAnsi="Arial"/>
          <w:sz w:val="22"/>
          <w:szCs w:val="22"/>
        </w:rPr>
        <w:t xml:space="preserve"> At the November 2015 meeting, the PBAC deferred its decision for the Authority Required listing of idelalisib in combination with rituximab for the second-line treatment of relapsed chronic lymphocytic leukaemia (CLL) and small lymphocytic leukaemia (SLL) in patients who are unfit for chemotherapy as idelalisib was not considered to be cost-effective at the price proposed.</w:t>
      </w:r>
    </w:p>
    <w:p w:rsidR="00C30ADD" w:rsidRPr="00A809CE" w:rsidRDefault="00C30ADD" w:rsidP="00DD4883">
      <w:pPr>
        <w:jc w:val="both"/>
        <w:rPr>
          <w:rFonts w:ascii="Arial Narrow" w:hAnsi="Arial Narrow"/>
          <w:b/>
          <w:sz w:val="20"/>
          <w:szCs w:val="22"/>
        </w:rPr>
      </w:pPr>
    </w:p>
    <w:p w:rsidR="00F86578" w:rsidRDefault="00F86578" w:rsidP="00DD4883">
      <w:pPr>
        <w:ind w:firstLine="720"/>
        <w:jc w:val="both"/>
        <w:rPr>
          <w:rFonts w:ascii="Arial Narrow" w:hAnsi="Arial Narrow"/>
          <w:b/>
          <w:sz w:val="20"/>
          <w:szCs w:val="22"/>
        </w:rPr>
      </w:pPr>
    </w:p>
    <w:p w:rsidR="002D1E6E" w:rsidRPr="00A809CE" w:rsidRDefault="002D1E6E" w:rsidP="00DD4883">
      <w:pPr>
        <w:ind w:firstLine="720"/>
        <w:jc w:val="both"/>
        <w:rPr>
          <w:rFonts w:ascii="Arial Narrow" w:hAnsi="Arial Narrow"/>
          <w:b/>
          <w:sz w:val="20"/>
          <w:szCs w:val="22"/>
        </w:rPr>
      </w:pPr>
      <w:r w:rsidRPr="00A809CE">
        <w:rPr>
          <w:rFonts w:ascii="Arial Narrow" w:hAnsi="Arial Narrow"/>
          <w:b/>
          <w:sz w:val="20"/>
          <w:szCs w:val="22"/>
        </w:rPr>
        <w:t>Table 1: Summary of previous submission and current resubmission:</w:t>
      </w:r>
    </w:p>
    <w:tbl>
      <w:tblPr>
        <w:tblStyle w:val="TableGrid"/>
        <w:tblW w:w="0" w:type="auto"/>
        <w:tblInd w:w="817" w:type="dxa"/>
        <w:tblLook w:val="04A0" w:firstRow="1" w:lastRow="0" w:firstColumn="1" w:lastColumn="0" w:noHBand="0" w:noVBand="1"/>
        <w:tblCaption w:val="Table 1: Summary of previous submission and current resubmission:"/>
      </w:tblPr>
      <w:tblGrid>
        <w:gridCol w:w="1174"/>
        <w:gridCol w:w="3504"/>
        <w:gridCol w:w="3747"/>
      </w:tblGrid>
      <w:tr w:rsidR="002518C0" w:rsidRPr="00A809CE" w:rsidTr="00A4669C">
        <w:trPr>
          <w:tblHeader/>
        </w:trPr>
        <w:tc>
          <w:tcPr>
            <w:tcW w:w="1174" w:type="dxa"/>
          </w:tcPr>
          <w:p w:rsidR="002518C0" w:rsidRPr="00A809CE" w:rsidRDefault="002518C0" w:rsidP="00C33EAA">
            <w:pPr>
              <w:jc w:val="both"/>
              <w:rPr>
                <w:rFonts w:ascii="Arial Narrow" w:hAnsi="Arial Narrow"/>
                <w:sz w:val="20"/>
                <w:szCs w:val="20"/>
              </w:rPr>
            </w:pPr>
          </w:p>
        </w:tc>
        <w:tc>
          <w:tcPr>
            <w:tcW w:w="3504" w:type="dxa"/>
          </w:tcPr>
          <w:p w:rsidR="002518C0" w:rsidRPr="00A809CE" w:rsidRDefault="002518C0" w:rsidP="00C33EAA">
            <w:pPr>
              <w:jc w:val="center"/>
              <w:rPr>
                <w:rFonts w:ascii="Arial Narrow" w:hAnsi="Arial Narrow"/>
                <w:b/>
                <w:sz w:val="20"/>
                <w:szCs w:val="20"/>
              </w:rPr>
            </w:pPr>
            <w:r w:rsidRPr="00A809CE">
              <w:rPr>
                <w:rFonts w:ascii="Arial Narrow" w:hAnsi="Arial Narrow"/>
                <w:b/>
                <w:sz w:val="20"/>
                <w:szCs w:val="20"/>
              </w:rPr>
              <w:t>Idelalisib, November 2015, recommendations</w:t>
            </w:r>
          </w:p>
        </w:tc>
        <w:tc>
          <w:tcPr>
            <w:tcW w:w="3747" w:type="dxa"/>
          </w:tcPr>
          <w:p w:rsidR="002518C0" w:rsidRPr="00A809CE" w:rsidRDefault="002518C0" w:rsidP="00C33EAA">
            <w:pPr>
              <w:jc w:val="center"/>
              <w:rPr>
                <w:rFonts w:ascii="Arial Narrow" w:hAnsi="Arial Narrow"/>
                <w:b/>
                <w:sz w:val="20"/>
                <w:szCs w:val="20"/>
              </w:rPr>
            </w:pPr>
            <w:r w:rsidRPr="00A809CE">
              <w:rPr>
                <w:rFonts w:ascii="Arial Narrow" w:hAnsi="Arial Narrow"/>
                <w:b/>
                <w:sz w:val="20"/>
                <w:szCs w:val="20"/>
              </w:rPr>
              <w:t>Idelalisib, March 2016,</w:t>
            </w:r>
          </w:p>
          <w:p w:rsidR="002518C0" w:rsidRPr="00A809CE" w:rsidRDefault="002518C0" w:rsidP="00C33EAA">
            <w:pPr>
              <w:jc w:val="center"/>
              <w:rPr>
                <w:rFonts w:ascii="Arial Narrow" w:hAnsi="Arial Narrow"/>
                <w:sz w:val="20"/>
                <w:szCs w:val="20"/>
              </w:rPr>
            </w:pPr>
            <w:r w:rsidRPr="00A809CE">
              <w:rPr>
                <w:rFonts w:ascii="Arial Narrow" w:hAnsi="Arial Narrow"/>
                <w:b/>
                <w:sz w:val="20"/>
                <w:szCs w:val="20"/>
              </w:rPr>
              <w:t>response</w:t>
            </w:r>
          </w:p>
        </w:tc>
      </w:tr>
      <w:tr w:rsidR="002518C0" w:rsidRPr="00A809CE" w:rsidTr="00DA48DD">
        <w:tc>
          <w:tcPr>
            <w:tcW w:w="1174" w:type="dxa"/>
          </w:tcPr>
          <w:p w:rsidR="002518C0" w:rsidRPr="00A809CE" w:rsidRDefault="002518C0" w:rsidP="00C33EAA">
            <w:pPr>
              <w:jc w:val="both"/>
              <w:rPr>
                <w:rFonts w:ascii="Arial Narrow" w:hAnsi="Arial Narrow"/>
                <w:sz w:val="20"/>
                <w:szCs w:val="20"/>
              </w:rPr>
            </w:pPr>
            <w:r w:rsidRPr="00A809CE">
              <w:rPr>
                <w:rFonts w:ascii="Arial Narrow" w:hAnsi="Arial Narrow"/>
                <w:sz w:val="20"/>
                <w:szCs w:val="20"/>
              </w:rPr>
              <w:t>Requested Listing</w:t>
            </w:r>
          </w:p>
        </w:tc>
        <w:tc>
          <w:tcPr>
            <w:tcW w:w="3504" w:type="dxa"/>
          </w:tcPr>
          <w:p w:rsidR="002518C0" w:rsidRPr="00A809CE" w:rsidRDefault="002518C0" w:rsidP="002A390B">
            <w:pPr>
              <w:jc w:val="both"/>
              <w:rPr>
                <w:rFonts w:ascii="Arial Narrow" w:hAnsi="Arial Narrow"/>
                <w:sz w:val="20"/>
                <w:szCs w:val="20"/>
              </w:rPr>
            </w:pPr>
            <w:r w:rsidRPr="00A809CE">
              <w:rPr>
                <w:rFonts w:ascii="Arial Narrow" w:hAnsi="Arial Narrow"/>
                <w:sz w:val="20"/>
                <w:szCs w:val="20"/>
              </w:rPr>
              <w:t xml:space="preserve">The PBAC </w:t>
            </w:r>
            <w:r w:rsidR="002A390B" w:rsidRPr="00A809CE">
              <w:rPr>
                <w:rFonts w:ascii="Arial Narrow" w:hAnsi="Arial Narrow"/>
                <w:sz w:val="20"/>
                <w:szCs w:val="20"/>
              </w:rPr>
              <w:t xml:space="preserve">advised that, once a price is negotiated, the Department should work with the sponsor to finalise an appropriate telephone Authority restriction. </w:t>
            </w:r>
          </w:p>
        </w:tc>
        <w:tc>
          <w:tcPr>
            <w:tcW w:w="3747" w:type="dxa"/>
          </w:tcPr>
          <w:p w:rsidR="002518C0" w:rsidRPr="00A809CE" w:rsidRDefault="002518C0" w:rsidP="002A390B">
            <w:pPr>
              <w:jc w:val="both"/>
              <w:rPr>
                <w:rFonts w:ascii="Arial Narrow" w:hAnsi="Arial Narrow"/>
                <w:sz w:val="20"/>
                <w:szCs w:val="20"/>
              </w:rPr>
            </w:pPr>
            <w:r w:rsidRPr="00A809CE">
              <w:rPr>
                <w:rFonts w:ascii="Arial Narrow" w:hAnsi="Arial Narrow"/>
                <w:sz w:val="20"/>
                <w:szCs w:val="20"/>
              </w:rPr>
              <w:t xml:space="preserve">The sponsor </w:t>
            </w:r>
            <w:r w:rsidR="002A390B" w:rsidRPr="00A809CE">
              <w:rPr>
                <w:rFonts w:ascii="Arial Narrow" w:hAnsi="Arial Narrow"/>
                <w:sz w:val="20"/>
                <w:szCs w:val="20"/>
              </w:rPr>
              <w:t>is willing to work with the Department to finalise the restriction.</w:t>
            </w:r>
          </w:p>
        </w:tc>
      </w:tr>
      <w:tr w:rsidR="002518C0" w:rsidRPr="00A809CE" w:rsidTr="00DA48DD">
        <w:tc>
          <w:tcPr>
            <w:tcW w:w="1174" w:type="dxa"/>
          </w:tcPr>
          <w:p w:rsidR="002518C0" w:rsidRPr="00A809CE" w:rsidRDefault="002518C0" w:rsidP="00C33EAA">
            <w:pPr>
              <w:jc w:val="both"/>
              <w:rPr>
                <w:rFonts w:ascii="Arial Narrow" w:hAnsi="Arial Narrow"/>
                <w:sz w:val="20"/>
                <w:szCs w:val="20"/>
              </w:rPr>
            </w:pPr>
            <w:r w:rsidRPr="00A809CE">
              <w:rPr>
                <w:rFonts w:ascii="Arial Narrow" w:hAnsi="Arial Narrow"/>
                <w:sz w:val="20"/>
                <w:szCs w:val="20"/>
              </w:rPr>
              <w:t>Requested Price</w:t>
            </w:r>
          </w:p>
        </w:tc>
        <w:tc>
          <w:tcPr>
            <w:tcW w:w="3504" w:type="dxa"/>
          </w:tcPr>
          <w:p w:rsidR="002518C0" w:rsidRPr="00A809CE" w:rsidRDefault="002518C0" w:rsidP="00C33EAA">
            <w:pPr>
              <w:jc w:val="both"/>
              <w:rPr>
                <w:rFonts w:ascii="Arial Narrow" w:hAnsi="Arial Narrow"/>
                <w:sz w:val="20"/>
                <w:szCs w:val="20"/>
              </w:rPr>
            </w:pPr>
            <w:r w:rsidRPr="00A809CE">
              <w:rPr>
                <w:rFonts w:ascii="Arial Narrow" w:hAnsi="Arial Narrow"/>
                <w:sz w:val="20"/>
                <w:szCs w:val="20"/>
              </w:rPr>
              <w:t>The PBAC deferred its decision for listing idelalisib it was considered to be not cost-effective at the price proposed.</w:t>
            </w:r>
          </w:p>
          <w:p w:rsidR="002518C0" w:rsidRPr="00A809CE" w:rsidRDefault="002518C0" w:rsidP="00C33EAA">
            <w:pPr>
              <w:jc w:val="both"/>
              <w:rPr>
                <w:rFonts w:ascii="Arial Narrow" w:hAnsi="Arial Narrow"/>
                <w:sz w:val="20"/>
                <w:szCs w:val="20"/>
              </w:rPr>
            </w:pPr>
          </w:p>
          <w:p w:rsidR="002518C0" w:rsidRPr="00A809CE" w:rsidRDefault="002518C0" w:rsidP="00C33EAA">
            <w:pPr>
              <w:jc w:val="both"/>
              <w:rPr>
                <w:rFonts w:ascii="Arial Narrow" w:hAnsi="Arial Narrow"/>
                <w:sz w:val="20"/>
                <w:szCs w:val="20"/>
              </w:rPr>
            </w:pPr>
          </w:p>
          <w:p w:rsidR="002518C0" w:rsidRPr="00A809CE" w:rsidRDefault="002518C0" w:rsidP="00C33EAA">
            <w:pPr>
              <w:jc w:val="both"/>
              <w:rPr>
                <w:rFonts w:ascii="Arial Narrow" w:hAnsi="Arial Narrow"/>
                <w:sz w:val="20"/>
                <w:szCs w:val="20"/>
              </w:rPr>
            </w:pPr>
            <w:r w:rsidRPr="00A809CE">
              <w:rPr>
                <w:rFonts w:ascii="Arial Narrow" w:hAnsi="Arial Narrow"/>
                <w:sz w:val="20"/>
                <w:szCs w:val="20"/>
              </w:rPr>
              <w:t>Previous requested price:</w:t>
            </w:r>
          </w:p>
          <w:tbl>
            <w:tblPr>
              <w:tblStyle w:val="TableGrid"/>
              <w:tblW w:w="0" w:type="auto"/>
              <w:tblLook w:val="04A0" w:firstRow="1" w:lastRow="0" w:firstColumn="1" w:lastColumn="0" w:noHBand="0" w:noVBand="1"/>
            </w:tblPr>
            <w:tblGrid>
              <w:gridCol w:w="1265"/>
              <w:gridCol w:w="1999"/>
            </w:tblGrid>
            <w:tr w:rsidR="00C97E05" w:rsidRPr="00A809CE" w:rsidTr="00A4669C">
              <w:trPr>
                <w:trHeight w:val="412"/>
                <w:tblHeader/>
              </w:trPr>
              <w:tc>
                <w:tcPr>
                  <w:tcW w:w="1265" w:type="dxa"/>
                  <w:vAlign w:val="center"/>
                </w:tcPr>
                <w:p w:rsidR="00C97E05" w:rsidRPr="00A809CE" w:rsidRDefault="00C97E05" w:rsidP="00F86578">
                  <w:pPr>
                    <w:pStyle w:val="Table"/>
                    <w:jc w:val="center"/>
                    <w:rPr>
                      <w:rStyle w:val="SmallBold"/>
                      <w:rFonts w:ascii="Arial Narrow" w:hAnsi="Arial Narrow"/>
                      <w:sz w:val="18"/>
                    </w:rPr>
                  </w:pPr>
                  <w:bookmarkStart w:id="1" w:name="_GoBack" w:colFirst="0" w:colLast="2"/>
                </w:p>
              </w:tc>
              <w:tc>
                <w:tcPr>
                  <w:tcW w:w="1999" w:type="dxa"/>
                  <w:vAlign w:val="center"/>
                </w:tcPr>
                <w:p w:rsidR="00C97E05" w:rsidRPr="00A809CE" w:rsidRDefault="00C97E05" w:rsidP="00F86578">
                  <w:pPr>
                    <w:pStyle w:val="Table"/>
                    <w:jc w:val="center"/>
                    <w:rPr>
                      <w:rStyle w:val="SmallBold"/>
                      <w:rFonts w:ascii="Arial Narrow" w:hAnsi="Arial Narrow"/>
                      <w:sz w:val="18"/>
                    </w:rPr>
                  </w:pPr>
                  <w:r w:rsidRPr="00A809CE">
                    <w:rPr>
                      <w:rStyle w:val="SmallBold"/>
                      <w:rFonts w:ascii="Arial Narrow" w:hAnsi="Arial Narrow"/>
                      <w:sz w:val="18"/>
                    </w:rPr>
                    <w:t>Effective DPMQ</w:t>
                  </w:r>
                </w:p>
              </w:tc>
            </w:tr>
            <w:tr w:rsidR="00C97E05" w:rsidRPr="00A809CE" w:rsidTr="00F86578">
              <w:trPr>
                <w:trHeight w:val="651"/>
              </w:trPr>
              <w:tc>
                <w:tcPr>
                  <w:tcW w:w="1265" w:type="dxa"/>
                  <w:vAlign w:val="center"/>
                </w:tcPr>
                <w:p w:rsidR="00C97E05" w:rsidRPr="00A809CE" w:rsidRDefault="00C97E05" w:rsidP="00F86578">
                  <w:pPr>
                    <w:pStyle w:val="Table"/>
                    <w:jc w:val="center"/>
                    <w:rPr>
                      <w:rFonts w:ascii="Arial Narrow" w:hAnsi="Arial Narrow"/>
                      <w:sz w:val="18"/>
                    </w:rPr>
                  </w:pPr>
                  <w:r w:rsidRPr="00A809CE">
                    <w:rPr>
                      <w:rFonts w:ascii="Arial Narrow" w:hAnsi="Arial Narrow"/>
                      <w:sz w:val="18"/>
                    </w:rPr>
                    <w:lastRenderedPageBreak/>
                    <w:t>Oral tablet  150mg/</w:t>
                  </w:r>
                </w:p>
                <w:p w:rsidR="00C97E05" w:rsidRPr="00A809CE" w:rsidRDefault="00C97E05" w:rsidP="00F86578">
                  <w:pPr>
                    <w:pStyle w:val="Table"/>
                    <w:jc w:val="center"/>
                    <w:rPr>
                      <w:rFonts w:ascii="Arial Narrow" w:hAnsi="Arial Narrow"/>
                      <w:sz w:val="18"/>
                    </w:rPr>
                  </w:pPr>
                  <w:r w:rsidRPr="00A809CE">
                    <w:rPr>
                      <w:rFonts w:ascii="Arial Narrow" w:hAnsi="Arial Narrow"/>
                      <w:sz w:val="18"/>
                    </w:rPr>
                    <w:t>100 mg</w:t>
                  </w:r>
                </w:p>
              </w:tc>
              <w:tc>
                <w:tcPr>
                  <w:tcW w:w="1999" w:type="dxa"/>
                  <w:vAlign w:val="center"/>
                </w:tcPr>
                <w:p w:rsidR="00C97E05" w:rsidRPr="00A809CE" w:rsidRDefault="00C97E05" w:rsidP="00F86578">
                  <w:pPr>
                    <w:pStyle w:val="Table"/>
                    <w:jc w:val="center"/>
                    <w:rPr>
                      <w:rFonts w:ascii="Arial Narrow" w:hAnsi="Arial Narrow"/>
                      <w:sz w:val="18"/>
                    </w:rPr>
                  </w:pPr>
                  <w:r w:rsidRPr="00A809CE">
                    <w:rPr>
                      <w:rFonts w:ascii="Arial Narrow" w:hAnsi="Arial Narrow"/>
                      <w:sz w:val="18"/>
                    </w:rPr>
                    <w:t>$</w:t>
                  </w:r>
                  <w:r w:rsidR="00622211">
                    <w:rPr>
                      <w:rFonts w:ascii="Arial Narrow" w:hAnsi="Arial Narrow"/>
                      <w:noProof/>
                      <w:color w:val="000000"/>
                      <w:sz w:val="18"/>
                      <w:highlight w:val="black"/>
                    </w:rPr>
                    <w:t>''''''''''''''''''''</w:t>
                  </w:r>
                </w:p>
              </w:tc>
            </w:tr>
            <w:bookmarkEnd w:id="1"/>
          </w:tbl>
          <w:p w:rsidR="00C97E05" w:rsidRPr="00A809CE" w:rsidRDefault="00C97E05" w:rsidP="00C33EAA">
            <w:pPr>
              <w:jc w:val="both"/>
              <w:rPr>
                <w:rFonts w:ascii="Arial Narrow" w:hAnsi="Arial Narrow"/>
                <w:sz w:val="20"/>
                <w:szCs w:val="20"/>
              </w:rPr>
            </w:pPr>
          </w:p>
          <w:p w:rsidR="002518C0" w:rsidRPr="00A809CE" w:rsidRDefault="002518C0" w:rsidP="00C33EAA">
            <w:pPr>
              <w:jc w:val="both"/>
              <w:rPr>
                <w:rFonts w:ascii="Arial Narrow" w:hAnsi="Arial Narrow"/>
                <w:sz w:val="20"/>
                <w:szCs w:val="20"/>
              </w:rPr>
            </w:pPr>
          </w:p>
        </w:tc>
        <w:tc>
          <w:tcPr>
            <w:tcW w:w="3747" w:type="dxa"/>
          </w:tcPr>
          <w:p w:rsidR="007003B8" w:rsidRDefault="007003B8" w:rsidP="007003B8">
            <w:pPr>
              <w:pStyle w:val="NoSpacing"/>
              <w:rPr>
                <w:rFonts w:ascii="Arial Narrow" w:hAnsi="Arial Narrow"/>
                <w:sz w:val="20"/>
                <w:szCs w:val="20"/>
              </w:rPr>
            </w:pPr>
            <w:r>
              <w:rPr>
                <w:rFonts w:ascii="Arial Narrow" w:hAnsi="Arial Narrow"/>
                <w:sz w:val="20"/>
                <w:szCs w:val="20"/>
              </w:rPr>
              <w:lastRenderedPageBreak/>
              <w:t>In the resubmission, the sponsor proposed an effective price of $</w:t>
            </w:r>
            <w:r w:rsidR="00622211">
              <w:rPr>
                <w:rFonts w:ascii="Arial Narrow" w:hAnsi="Arial Narrow"/>
                <w:noProof/>
                <w:color w:val="000000"/>
                <w:sz w:val="20"/>
                <w:szCs w:val="20"/>
                <w:highlight w:val="black"/>
              </w:rPr>
              <w:t>'''''''''''''''''''''</w:t>
            </w:r>
            <w:r>
              <w:rPr>
                <w:rFonts w:ascii="Arial Narrow" w:hAnsi="Arial Narrow"/>
                <w:sz w:val="20"/>
                <w:szCs w:val="20"/>
              </w:rPr>
              <w:t xml:space="preserve">, requesting a </w:t>
            </w:r>
            <w:r w:rsidR="00622211">
              <w:rPr>
                <w:rFonts w:ascii="Arial Narrow" w:hAnsi="Arial Narrow"/>
                <w:noProof/>
                <w:color w:val="000000"/>
                <w:sz w:val="20"/>
                <w:szCs w:val="20"/>
                <w:highlight w:val="black"/>
              </w:rPr>
              <w:t>''''''</w:t>
            </w:r>
            <w:r>
              <w:rPr>
                <w:rFonts w:ascii="Arial Narrow" w:hAnsi="Arial Narrow"/>
                <w:sz w:val="20"/>
                <w:szCs w:val="20"/>
              </w:rPr>
              <w:t>% reduction of the proposed published price ($</w:t>
            </w:r>
            <w:r w:rsidR="00622211">
              <w:rPr>
                <w:rFonts w:ascii="Arial Narrow" w:hAnsi="Arial Narrow"/>
                <w:noProof/>
                <w:color w:val="000000"/>
                <w:sz w:val="20"/>
                <w:szCs w:val="20"/>
                <w:highlight w:val="black"/>
              </w:rPr>
              <w:t>'''''''''''''''''''</w:t>
            </w:r>
            <w:r>
              <w:rPr>
                <w:rFonts w:ascii="Arial Narrow" w:hAnsi="Arial Narrow"/>
                <w:sz w:val="20"/>
                <w:szCs w:val="20"/>
              </w:rPr>
              <w:t>). The pre-PBAC response proposed a new effective DPMQ of $</w:t>
            </w:r>
            <w:r w:rsidR="00622211">
              <w:rPr>
                <w:rFonts w:ascii="Arial Narrow" w:hAnsi="Arial Narrow"/>
                <w:noProof/>
                <w:color w:val="000000"/>
                <w:sz w:val="20"/>
                <w:szCs w:val="20"/>
                <w:highlight w:val="black"/>
              </w:rPr>
              <w:t>''''''''''''''''''</w:t>
            </w:r>
            <w:r>
              <w:rPr>
                <w:rFonts w:ascii="Arial Narrow" w:hAnsi="Arial Narrow"/>
                <w:sz w:val="20"/>
                <w:szCs w:val="20"/>
              </w:rPr>
              <w:t xml:space="preserve">. The listing of the 100 mg strength, at the same price as the 150 mg strength, is requested only for facilitation of dose reduction for adverse even </w:t>
            </w:r>
            <w:r>
              <w:rPr>
                <w:rFonts w:ascii="Arial Narrow" w:hAnsi="Arial Narrow"/>
                <w:sz w:val="20"/>
                <w:szCs w:val="20"/>
              </w:rPr>
              <w:lastRenderedPageBreak/>
              <w:t xml:space="preserve">management. </w:t>
            </w:r>
          </w:p>
          <w:p w:rsidR="007003B8" w:rsidRDefault="007003B8" w:rsidP="007003B8">
            <w:pPr>
              <w:pStyle w:val="NoSpacing"/>
              <w:rPr>
                <w:rFonts w:ascii="Arial Narrow" w:hAnsi="Arial Narrow"/>
                <w:sz w:val="20"/>
                <w:szCs w:val="20"/>
              </w:rPr>
            </w:pPr>
            <w:r>
              <w:rPr>
                <w:rFonts w:ascii="Arial Narrow" w:hAnsi="Arial Narrow"/>
                <w:sz w:val="20"/>
                <w:szCs w:val="20"/>
              </w:rPr>
              <w:t>Current requested price:</w:t>
            </w:r>
          </w:p>
          <w:tbl>
            <w:tblPr>
              <w:tblStyle w:val="TableGrid"/>
              <w:tblW w:w="3030" w:type="dxa"/>
              <w:tblLook w:val="04A0" w:firstRow="1" w:lastRow="0" w:firstColumn="1" w:lastColumn="0" w:noHBand="0" w:noVBand="1"/>
            </w:tblPr>
            <w:tblGrid>
              <w:gridCol w:w="1259"/>
              <w:gridCol w:w="1771"/>
            </w:tblGrid>
            <w:tr w:rsidR="007003B8" w:rsidTr="00A4669C">
              <w:trPr>
                <w:trHeight w:val="529"/>
                <w:tblHeader/>
              </w:trPr>
              <w:tc>
                <w:tcPr>
                  <w:tcW w:w="1259" w:type="dxa"/>
                  <w:tcBorders>
                    <w:top w:val="single" w:sz="4" w:space="0" w:color="auto"/>
                    <w:left w:val="single" w:sz="4" w:space="0" w:color="auto"/>
                    <w:bottom w:val="single" w:sz="4" w:space="0" w:color="auto"/>
                    <w:right w:val="single" w:sz="4" w:space="0" w:color="auto"/>
                  </w:tcBorders>
                  <w:vAlign w:val="center"/>
                </w:tcPr>
                <w:p w:rsidR="007003B8" w:rsidRDefault="007003B8" w:rsidP="00F86578">
                  <w:pPr>
                    <w:pStyle w:val="Table"/>
                    <w:jc w:val="center"/>
                    <w:rPr>
                      <w:rStyle w:val="SmallBold"/>
                      <w:rFonts w:ascii="Arial Narrow" w:hAnsi="Arial Narrow"/>
                      <w:sz w:val="18"/>
                    </w:rPr>
                  </w:pPr>
                </w:p>
              </w:tc>
              <w:tc>
                <w:tcPr>
                  <w:tcW w:w="1771" w:type="dxa"/>
                  <w:tcBorders>
                    <w:top w:val="single" w:sz="4" w:space="0" w:color="auto"/>
                    <w:left w:val="single" w:sz="4" w:space="0" w:color="auto"/>
                    <w:bottom w:val="single" w:sz="4" w:space="0" w:color="auto"/>
                    <w:right w:val="single" w:sz="4" w:space="0" w:color="auto"/>
                  </w:tcBorders>
                  <w:vAlign w:val="center"/>
                  <w:hideMark/>
                </w:tcPr>
                <w:p w:rsidR="007003B8" w:rsidRDefault="007003B8" w:rsidP="00F86578">
                  <w:pPr>
                    <w:pStyle w:val="Table"/>
                    <w:jc w:val="center"/>
                    <w:rPr>
                      <w:rStyle w:val="SmallBold"/>
                      <w:rFonts w:ascii="Arial Narrow" w:hAnsi="Arial Narrow"/>
                      <w:sz w:val="18"/>
                    </w:rPr>
                  </w:pPr>
                  <w:r>
                    <w:rPr>
                      <w:rStyle w:val="SmallBold"/>
                      <w:rFonts w:ascii="Arial Narrow" w:hAnsi="Arial Narrow"/>
                      <w:sz w:val="18"/>
                      <w:szCs w:val="20"/>
                    </w:rPr>
                    <w:t>Effective DPMQ</w:t>
                  </w:r>
                </w:p>
                <w:p w:rsidR="007003B8" w:rsidRDefault="007003B8" w:rsidP="00F86578">
                  <w:pPr>
                    <w:pStyle w:val="Table"/>
                    <w:jc w:val="center"/>
                    <w:rPr>
                      <w:rStyle w:val="SmallBold"/>
                      <w:rFonts w:ascii="Arial Narrow" w:hAnsi="Arial Narrow"/>
                      <w:sz w:val="18"/>
                      <w:szCs w:val="20"/>
                    </w:rPr>
                  </w:pPr>
                  <w:r>
                    <w:rPr>
                      <w:rStyle w:val="SmallBold"/>
                      <w:rFonts w:ascii="Arial Narrow" w:hAnsi="Arial Narrow"/>
                      <w:sz w:val="18"/>
                      <w:szCs w:val="20"/>
                    </w:rPr>
                    <w:t>(proposed in the pre-PBAC response)</w:t>
                  </w:r>
                </w:p>
              </w:tc>
            </w:tr>
            <w:tr w:rsidR="007003B8" w:rsidTr="00F86578">
              <w:trPr>
                <w:trHeight w:val="732"/>
              </w:trPr>
              <w:tc>
                <w:tcPr>
                  <w:tcW w:w="1259" w:type="dxa"/>
                  <w:tcBorders>
                    <w:top w:val="single" w:sz="4" w:space="0" w:color="auto"/>
                    <w:left w:val="single" w:sz="4" w:space="0" w:color="auto"/>
                    <w:bottom w:val="single" w:sz="4" w:space="0" w:color="auto"/>
                    <w:right w:val="single" w:sz="4" w:space="0" w:color="auto"/>
                  </w:tcBorders>
                  <w:vAlign w:val="center"/>
                  <w:hideMark/>
                </w:tcPr>
                <w:p w:rsidR="007003B8" w:rsidRDefault="007003B8" w:rsidP="00F86578">
                  <w:pPr>
                    <w:pStyle w:val="Table"/>
                    <w:jc w:val="center"/>
                    <w:rPr>
                      <w:rFonts w:ascii="Arial Narrow" w:hAnsi="Arial Narrow"/>
                      <w:sz w:val="18"/>
                      <w:szCs w:val="20"/>
                    </w:rPr>
                  </w:pPr>
                  <w:r>
                    <w:rPr>
                      <w:rFonts w:ascii="Arial Narrow" w:hAnsi="Arial Narrow"/>
                      <w:sz w:val="18"/>
                      <w:szCs w:val="20"/>
                    </w:rPr>
                    <w:t>Oral tablet  150mg /100 mg</w:t>
                  </w:r>
                </w:p>
              </w:tc>
              <w:tc>
                <w:tcPr>
                  <w:tcW w:w="1771" w:type="dxa"/>
                  <w:tcBorders>
                    <w:top w:val="single" w:sz="4" w:space="0" w:color="auto"/>
                    <w:left w:val="single" w:sz="4" w:space="0" w:color="auto"/>
                    <w:bottom w:val="single" w:sz="4" w:space="0" w:color="auto"/>
                    <w:right w:val="single" w:sz="4" w:space="0" w:color="auto"/>
                  </w:tcBorders>
                  <w:vAlign w:val="center"/>
                  <w:hideMark/>
                </w:tcPr>
                <w:p w:rsidR="007003B8" w:rsidRDefault="007003B8" w:rsidP="00F86578">
                  <w:pPr>
                    <w:pStyle w:val="Table"/>
                    <w:jc w:val="center"/>
                    <w:rPr>
                      <w:rFonts w:ascii="Arial Narrow" w:hAnsi="Arial Narrow"/>
                      <w:sz w:val="18"/>
                      <w:szCs w:val="20"/>
                    </w:rPr>
                  </w:pPr>
                  <w:r>
                    <w:rPr>
                      <w:rFonts w:ascii="Arial Narrow" w:hAnsi="Arial Narrow"/>
                      <w:sz w:val="18"/>
                      <w:szCs w:val="20"/>
                    </w:rPr>
                    <w:t>$</w:t>
                  </w:r>
                  <w:r w:rsidR="00622211">
                    <w:rPr>
                      <w:rFonts w:ascii="Arial Narrow" w:hAnsi="Arial Narrow"/>
                      <w:noProof/>
                      <w:color w:val="000000"/>
                      <w:sz w:val="18"/>
                      <w:szCs w:val="20"/>
                      <w:highlight w:val="black"/>
                    </w:rPr>
                    <w:t>'''''''''''''''''</w:t>
                  </w:r>
                </w:p>
              </w:tc>
            </w:tr>
          </w:tbl>
          <w:p w:rsidR="002518C0" w:rsidRPr="00A809CE" w:rsidRDefault="002518C0" w:rsidP="00C97E05"/>
        </w:tc>
      </w:tr>
      <w:tr w:rsidR="002518C0" w:rsidRPr="00A809CE" w:rsidTr="00DA48DD">
        <w:tc>
          <w:tcPr>
            <w:tcW w:w="1174" w:type="dxa"/>
          </w:tcPr>
          <w:p w:rsidR="002518C0" w:rsidRPr="00A809CE" w:rsidRDefault="002518C0" w:rsidP="00C33EAA">
            <w:pPr>
              <w:jc w:val="both"/>
              <w:rPr>
                <w:rFonts w:ascii="Arial Narrow" w:hAnsi="Arial Narrow"/>
                <w:sz w:val="20"/>
                <w:szCs w:val="20"/>
              </w:rPr>
            </w:pPr>
            <w:r w:rsidRPr="00A809CE">
              <w:rPr>
                <w:rFonts w:ascii="Arial Narrow" w:hAnsi="Arial Narrow"/>
                <w:sz w:val="20"/>
                <w:szCs w:val="20"/>
              </w:rPr>
              <w:lastRenderedPageBreak/>
              <w:t>Economic evaluation</w:t>
            </w:r>
          </w:p>
        </w:tc>
        <w:tc>
          <w:tcPr>
            <w:tcW w:w="3504" w:type="dxa"/>
          </w:tcPr>
          <w:p w:rsidR="002518C0" w:rsidRPr="00A809CE" w:rsidRDefault="002518C0" w:rsidP="00C33EAA">
            <w:pPr>
              <w:jc w:val="both"/>
              <w:rPr>
                <w:rFonts w:ascii="Arial Narrow" w:hAnsi="Arial Narrow"/>
                <w:sz w:val="20"/>
                <w:szCs w:val="20"/>
              </w:rPr>
            </w:pPr>
            <w:r w:rsidRPr="00A809CE">
              <w:rPr>
                <w:rFonts w:ascii="Arial Narrow" w:hAnsi="Arial Narrow"/>
                <w:sz w:val="20"/>
                <w:szCs w:val="20"/>
              </w:rPr>
              <w:t xml:space="preserve">The PBAC considered that the </w:t>
            </w:r>
            <w:r w:rsidR="002D1E6E" w:rsidRPr="00A809CE">
              <w:rPr>
                <w:rFonts w:ascii="Arial Narrow" w:hAnsi="Arial Narrow"/>
                <w:sz w:val="20"/>
                <w:szCs w:val="20"/>
              </w:rPr>
              <w:t>most realistic estimate of cost-effectiveness could be calculated using the assumptions in the PBAC base case.</w:t>
            </w:r>
            <w:r w:rsidR="0096491B" w:rsidRPr="00A809CE">
              <w:rPr>
                <w:rFonts w:ascii="Arial Narrow" w:hAnsi="Arial Narrow"/>
                <w:sz w:val="20"/>
                <w:szCs w:val="20"/>
              </w:rPr>
              <w:t xml:space="preserve"> This resulted in the ICER being $</w:t>
            </w:r>
            <w:r w:rsidR="00EA3A0A">
              <w:rPr>
                <w:rFonts w:ascii="Arial Narrow" w:hAnsi="Arial Narrow"/>
                <w:sz w:val="20"/>
                <w:szCs w:val="20"/>
              </w:rPr>
              <w:t>105,000/QALY - $200,000/</w:t>
            </w:r>
            <w:r w:rsidR="0096491B" w:rsidRPr="00A809CE">
              <w:rPr>
                <w:rFonts w:ascii="Arial Narrow" w:hAnsi="Arial Narrow"/>
                <w:sz w:val="20"/>
                <w:szCs w:val="20"/>
              </w:rPr>
              <w:t>QALY.</w:t>
            </w:r>
          </w:p>
          <w:p w:rsidR="002518C0" w:rsidRPr="00A809CE" w:rsidRDefault="002518C0" w:rsidP="00C33EAA">
            <w:pPr>
              <w:jc w:val="both"/>
              <w:rPr>
                <w:rFonts w:ascii="Arial Narrow" w:hAnsi="Arial Narrow"/>
                <w:sz w:val="20"/>
                <w:szCs w:val="20"/>
              </w:rPr>
            </w:pPr>
          </w:p>
          <w:p w:rsidR="002518C0" w:rsidRPr="00A809CE" w:rsidRDefault="0096491B" w:rsidP="00C33EAA">
            <w:pPr>
              <w:jc w:val="both"/>
              <w:rPr>
                <w:rFonts w:ascii="Arial Narrow" w:hAnsi="Arial Narrow"/>
                <w:sz w:val="20"/>
                <w:szCs w:val="20"/>
              </w:rPr>
            </w:pPr>
            <w:r w:rsidRPr="00A809CE">
              <w:rPr>
                <w:rFonts w:ascii="Arial Narrow" w:hAnsi="Arial Narrow"/>
                <w:sz w:val="20"/>
                <w:szCs w:val="20"/>
              </w:rPr>
              <w:t>The PBAC considered the ICER per QALY to be unacceptably high and a significant price reduction would be required in order to reduce</w:t>
            </w:r>
            <w:r w:rsidR="00CB131F" w:rsidRPr="00A809CE">
              <w:rPr>
                <w:rFonts w:ascii="Arial Narrow" w:hAnsi="Arial Narrow"/>
                <w:sz w:val="20"/>
                <w:szCs w:val="20"/>
              </w:rPr>
              <w:t xml:space="preserve"> this base case ICER to less than $</w:t>
            </w:r>
            <w:r w:rsidR="00043067">
              <w:rPr>
                <w:rFonts w:ascii="Arial Narrow" w:hAnsi="Arial Narrow"/>
                <w:sz w:val="20"/>
                <w:szCs w:val="20"/>
              </w:rPr>
              <w:t>45,000</w:t>
            </w:r>
            <w:r w:rsidR="00CB131F" w:rsidRPr="00A809CE">
              <w:rPr>
                <w:rFonts w:ascii="Arial Narrow" w:hAnsi="Arial Narrow"/>
                <w:sz w:val="20"/>
                <w:szCs w:val="20"/>
              </w:rPr>
              <w:t>/QALY</w:t>
            </w:r>
            <w:r w:rsidR="00043067">
              <w:rPr>
                <w:rFonts w:ascii="Arial Narrow" w:hAnsi="Arial Narrow"/>
                <w:sz w:val="20"/>
                <w:szCs w:val="20"/>
              </w:rPr>
              <w:t xml:space="preserve"> - $75,000/QALY</w:t>
            </w:r>
            <w:r w:rsidR="00CB131F" w:rsidRPr="00A809CE">
              <w:rPr>
                <w:rFonts w:ascii="Arial Narrow" w:hAnsi="Arial Narrow"/>
                <w:sz w:val="20"/>
                <w:szCs w:val="20"/>
              </w:rPr>
              <w:t>.</w:t>
            </w:r>
            <w:r w:rsidRPr="00A809CE">
              <w:rPr>
                <w:rFonts w:ascii="Arial Narrow" w:hAnsi="Arial Narrow"/>
                <w:sz w:val="20"/>
                <w:szCs w:val="20"/>
              </w:rPr>
              <w:t xml:space="preserve"> </w:t>
            </w:r>
          </w:p>
          <w:p w:rsidR="002518C0" w:rsidRPr="00A809CE" w:rsidRDefault="002518C0" w:rsidP="00C33EAA">
            <w:pPr>
              <w:jc w:val="both"/>
              <w:rPr>
                <w:rFonts w:ascii="Arial Narrow" w:hAnsi="Arial Narrow"/>
                <w:sz w:val="20"/>
                <w:szCs w:val="20"/>
              </w:rPr>
            </w:pPr>
          </w:p>
          <w:p w:rsidR="008E6EDD" w:rsidRPr="00A809CE" w:rsidRDefault="00CB131F" w:rsidP="008E6EDD">
            <w:pPr>
              <w:jc w:val="both"/>
              <w:rPr>
                <w:rFonts w:ascii="Arial Narrow" w:hAnsi="Arial Narrow"/>
                <w:sz w:val="20"/>
                <w:szCs w:val="20"/>
              </w:rPr>
            </w:pPr>
            <w:r w:rsidRPr="00A809CE">
              <w:rPr>
                <w:rFonts w:ascii="Arial Narrow" w:hAnsi="Arial Narrow"/>
                <w:sz w:val="20"/>
                <w:szCs w:val="20"/>
              </w:rPr>
              <w:t>Given that the incremental overall survival (OS) is likely underestimated by its reliance on the ITT analysis, the PBAC requested that the consequence of this price reduction be presented in the lower bound sensitivity analysis generated using the RPSFT analysis.</w:t>
            </w:r>
            <w:r w:rsidR="008E6EDD" w:rsidRPr="00A809CE">
              <w:rPr>
                <w:rFonts w:ascii="Arial Narrow" w:hAnsi="Arial Narrow"/>
                <w:sz w:val="20"/>
                <w:szCs w:val="20"/>
              </w:rPr>
              <w:t xml:space="preserve"> [7.13, Nov 2015 </w:t>
            </w:r>
            <w:r w:rsidR="007461E7">
              <w:rPr>
                <w:rFonts w:ascii="Arial Narrow" w:hAnsi="Arial Narrow"/>
                <w:sz w:val="20"/>
                <w:szCs w:val="20"/>
              </w:rPr>
              <w:t>P</w:t>
            </w:r>
            <w:r w:rsidR="00474052">
              <w:rPr>
                <w:rFonts w:ascii="Arial Narrow" w:hAnsi="Arial Narrow"/>
                <w:sz w:val="20"/>
                <w:szCs w:val="20"/>
              </w:rPr>
              <w:t>SD</w:t>
            </w:r>
            <w:r w:rsidR="008E6EDD" w:rsidRPr="00A809CE">
              <w:rPr>
                <w:rFonts w:ascii="Arial Narrow" w:hAnsi="Arial Narrow"/>
                <w:sz w:val="20"/>
                <w:szCs w:val="20"/>
              </w:rPr>
              <w:t>]</w:t>
            </w:r>
          </w:p>
          <w:p w:rsidR="002518C0" w:rsidRPr="00A809CE" w:rsidRDefault="002518C0" w:rsidP="00C33EAA">
            <w:pPr>
              <w:jc w:val="both"/>
              <w:rPr>
                <w:rFonts w:ascii="Arial Narrow" w:hAnsi="Arial Narrow"/>
                <w:sz w:val="20"/>
                <w:szCs w:val="20"/>
              </w:rPr>
            </w:pPr>
          </w:p>
        </w:tc>
        <w:tc>
          <w:tcPr>
            <w:tcW w:w="3747" w:type="dxa"/>
          </w:tcPr>
          <w:p w:rsidR="002A4B02" w:rsidRPr="00A809CE" w:rsidRDefault="002A4B02" w:rsidP="002A4B02">
            <w:pPr>
              <w:jc w:val="both"/>
              <w:rPr>
                <w:rFonts w:ascii="Arial Narrow" w:hAnsi="Arial Narrow"/>
                <w:sz w:val="20"/>
                <w:szCs w:val="20"/>
              </w:rPr>
            </w:pPr>
            <w:r w:rsidRPr="00A809CE">
              <w:rPr>
                <w:rFonts w:ascii="Arial Narrow" w:hAnsi="Arial Narrow"/>
                <w:sz w:val="20"/>
                <w:szCs w:val="20"/>
              </w:rPr>
              <w:t>The respecified base-case economic evaluation was presented with the following assumptions:</w:t>
            </w:r>
          </w:p>
          <w:p w:rsidR="002A4B02" w:rsidRPr="00A809CE" w:rsidRDefault="002A4B02" w:rsidP="002A4B02">
            <w:pPr>
              <w:jc w:val="both"/>
              <w:rPr>
                <w:rFonts w:ascii="Arial Narrow" w:hAnsi="Arial Narrow"/>
                <w:sz w:val="20"/>
                <w:szCs w:val="20"/>
              </w:rPr>
            </w:pPr>
            <w:r w:rsidRPr="00A809CE">
              <w:rPr>
                <w:rFonts w:ascii="Arial Narrow" w:hAnsi="Arial Narrow"/>
                <w:sz w:val="20"/>
                <w:szCs w:val="20"/>
              </w:rPr>
              <w:t xml:space="preserve">• A price reduction of </w:t>
            </w:r>
            <w:r w:rsidR="00622211">
              <w:rPr>
                <w:rFonts w:ascii="Arial Narrow" w:hAnsi="Arial Narrow"/>
                <w:noProof/>
                <w:color w:val="000000"/>
                <w:sz w:val="20"/>
                <w:szCs w:val="20"/>
                <w:highlight w:val="black"/>
              </w:rPr>
              <w:t>''''''</w:t>
            </w:r>
            <w:r w:rsidRPr="00A809CE">
              <w:rPr>
                <w:rFonts w:ascii="Arial Narrow" w:hAnsi="Arial Narrow"/>
                <w:sz w:val="20"/>
                <w:szCs w:val="20"/>
              </w:rPr>
              <w:t>% at effective DPMQ</w:t>
            </w:r>
          </w:p>
          <w:p w:rsidR="002A4B02" w:rsidRPr="00A809CE" w:rsidRDefault="002A4B02" w:rsidP="002A4B02">
            <w:pPr>
              <w:jc w:val="both"/>
              <w:rPr>
                <w:rFonts w:ascii="Arial Narrow" w:hAnsi="Arial Narrow"/>
                <w:sz w:val="20"/>
                <w:szCs w:val="20"/>
              </w:rPr>
            </w:pPr>
            <w:r w:rsidRPr="00A809CE">
              <w:rPr>
                <w:rFonts w:ascii="Arial Narrow" w:hAnsi="Arial Narrow"/>
                <w:sz w:val="20"/>
                <w:szCs w:val="20"/>
              </w:rPr>
              <w:t>• ITT analysis using parametric extrapolation</w:t>
            </w:r>
          </w:p>
          <w:p w:rsidR="002A4B02" w:rsidRPr="00A809CE" w:rsidRDefault="002A4B02" w:rsidP="002A4B02">
            <w:pPr>
              <w:jc w:val="both"/>
              <w:rPr>
                <w:rFonts w:ascii="Arial Narrow" w:hAnsi="Arial Narrow"/>
                <w:sz w:val="20"/>
                <w:szCs w:val="20"/>
              </w:rPr>
            </w:pPr>
            <w:r w:rsidRPr="00A809CE">
              <w:rPr>
                <w:rFonts w:ascii="Arial Narrow" w:hAnsi="Arial Narrow"/>
                <w:sz w:val="20"/>
                <w:szCs w:val="20"/>
              </w:rPr>
              <w:t>•Accepting an 8 year time horizon</w:t>
            </w:r>
          </w:p>
          <w:p w:rsidR="002A4B02" w:rsidRPr="00A809CE" w:rsidRDefault="002A4B02" w:rsidP="002A4B02">
            <w:pPr>
              <w:jc w:val="both"/>
              <w:rPr>
                <w:rFonts w:ascii="Arial Narrow" w:hAnsi="Arial Narrow"/>
                <w:sz w:val="20"/>
                <w:szCs w:val="20"/>
              </w:rPr>
            </w:pPr>
            <w:r w:rsidRPr="00A809CE">
              <w:rPr>
                <w:rFonts w:ascii="Arial Narrow" w:hAnsi="Arial Narrow"/>
                <w:sz w:val="20"/>
                <w:szCs w:val="20"/>
              </w:rPr>
              <w:t>•Removing costs of rituximab in the BSC arm</w:t>
            </w:r>
          </w:p>
          <w:p w:rsidR="002A4B02" w:rsidRPr="00A809CE" w:rsidRDefault="002A4B02" w:rsidP="002A4B02">
            <w:pPr>
              <w:jc w:val="both"/>
              <w:rPr>
                <w:rFonts w:ascii="Arial Narrow" w:hAnsi="Arial Narrow"/>
                <w:sz w:val="20"/>
                <w:szCs w:val="20"/>
              </w:rPr>
            </w:pPr>
            <w:r w:rsidRPr="00A809CE">
              <w:rPr>
                <w:rFonts w:ascii="Arial Narrow" w:hAnsi="Arial Narrow"/>
                <w:sz w:val="20"/>
                <w:szCs w:val="20"/>
              </w:rPr>
              <w:t>•Removing costs and disutilities for rituximab treatment in the BSC arm (by setting proportion of rituximab users to zero)</w:t>
            </w:r>
          </w:p>
          <w:p w:rsidR="002A4B02" w:rsidRPr="00A809CE" w:rsidRDefault="002A4B02" w:rsidP="002A4B02">
            <w:pPr>
              <w:jc w:val="both"/>
              <w:rPr>
                <w:rFonts w:ascii="Arial Narrow" w:hAnsi="Arial Narrow"/>
                <w:sz w:val="20"/>
                <w:szCs w:val="20"/>
              </w:rPr>
            </w:pPr>
            <w:r w:rsidRPr="00A809CE">
              <w:rPr>
                <w:rFonts w:ascii="Arial Narrow" w:hAnsi="Arial Narrow"/>
                <w:sz w:val="20"/>
                <w:szCs w:val="20"/>
              </w:rPr>
              <w:t xml:space="preserve">•Adjusting the cost of anaemia and thrombocytopenia </w:t>
            </w:r>
          </w:p>
          <w:p w:rsidR="002A4B02" w:rsidRPr="00A809CE" w:rsidRDefault="002A4B02" w:rsidP="002A4B02">
            <w:pPr>
              <w:jc w:val="both"/>
              <w:rPr>
                <w:rFonts w:ascii="Arial Narrow" w:hAnsi="Arial Narrow"/>
                <w:sz w:val="20"/>
                <w:szCs w:val="20"/>
              </w:rPr>
            </w:pPr>
            <w:r w:rsidRPr="00A809CE">
              <w:rPr>
                <w:rFonts w:ascii="Arial Narrow" w:hAnsi="Arial Narrow"/>
                <w:sz w:val="20"/>
                <w:szCs w:val="20"/>
              </w:rPr>
              <w:t xml:space="preserve">•Corrected rate of pneumonia in idelalisib plus rituximab arm of 10% </w:t>
            </w:r>
          </w:p>
          <w:p w:rsidR="002A4B02" w:rsidRDefault="002A4B02" w:rsidP="002A4B02">
            <w:pPr>
              <w:jc w:val="both"/>
              <w:rPr>
                <w:rFonts w:ascii="Arial Narrow" w:hAnsi="Arial Narrow"/>
                <w:sz w:val="20"/>
                <w:szCs w:val="20"/>
              </w:rPr>
            </w:pPr>
            <w:r w:rsidRPr="00A809CE">
              <w:rPr>
                <w:rFonts w:ascii="Arial Narrow" w:hAnsi="Arial Narrow"/>
                <w:sz w:val="20"/>
                <w:szCs w:val="20"/>
              </w:rPr>
              <w:t>•Costs of stable and progressive disease as per original submission.</w:t>
            </w:r>
          </w:p>
          <w:p w:rsidR="00523508" w:rsidRDefault="00523508" w:rsidP="002A4B02">
            <w:pPr>
              <w:jc w:val="both"/>
              <w:rPr>
                <w:rFonts w:ascii="Arial Narrow" w:hAnsi="Arial Narrow"/>
                <w:sz w:val="20"/>
                <w:szCs w:val="20"/>
              </w:rPr>
            </w:pPr>
          </w:p>
          <w:p w:rsidR="00523508" w:rsidRPr="00523508" w:rsidRDefault="00523508" w:rsidP="00523508">
            <w:pPr>
              <w:jc w:val="both"/>
              <w:rPr>
                <w:rFonts w:ascii="Arial Narrow" w:hAnsi="Arial Narrow"/>
                <w:sz w:val="20"/>
                <w:szCs w:val="20"/>
              </w:rPr>
            </w:pPr>
            <w:r w:rsidRPr="00523508">
              <w:rPr>
                <w:rFonts w:ascii="Arial Narrow" w:hAnsi="Arial Narrow"/>
                <w:sz w:val="20"/>
                <w:szCs w:val="20"/>
              </w:rPr>
              <w:t xml:space="preserve">When the base case is respecified the ICER is; </w:t>
            </w:r>
          </w:p>
          <w:p w:rsidR="006679C1" w:rsidRDefault="00523508" w:rsidP="00C33EAA">
            <w:pPr>
              <w:jc w:val="both"/>
              <w:rPr>
                <w:rFonts w:ascii="Arial Narrow" w:hAnsi="Arial Narrow"/>
                <w:sz w:val="20"/>
                <w:szCs w:val="20"/>
              </w:rPr>
            </w:pPr>
            <w:r w:rsidRPr="00523508">
              <w:rPr>
                <w:rFonts w:ascii="Arial Narrow" w:hAnsi="Arial Narrow"/>
                <w:sz w:val="20"/>
                <w:szCs w:val="20"/>
              </w:rPr>
              <w:t>$</w:t>
            </w:r>
            <w:r w:rsidR="00767682">
              <w:rPr>
                <w:rFonts w:ascii="Arial Narrow" w:hAnsi="Arial Narrow"/>
                <w:sz w:val="20"/>
                <w:szCs w:val="20"/>
              </w:rPr>
              <w:t>45,000/QALY - $75,000</w:t>
            </w:r>
            <w:r w:rsidRPr="00523508">
              <w:rPr>
                <w:rFonts w:ascii="Arial Narrow" w:hAnsi="Arial Narrow"/>
                <w:sz w:val="20"/>
                <w:szCs w:val="20"/>
              </w:rPr>
              <w:t xml:space="preserve">/QALY </w:t>
            </w:r>
            <w:r w:rsidR="002C2076">
              <w:rPr>
                <w:rFonts w:ascii="Arial Narrow" w:hAnsi="Arial Narrow"/>
                <w:sz w:val="20"/>
                <w:szCs w:val="20"/>
              </w:rPr>
              <w:t xml:space="preserve">(RPSFT-adjusted crossover) and </w:t>
            </w:r>
            <w:r w:rsidR="00DF0216">
              <w:rPr>
                <w:rFonts w:ascii="Arial Narrow" w:hAnsi="Arial Narrow"/>
                <w:sz w:val="20"/>
                <w:szCs w:val="20"/>
              </w:rPr>
              <w:t>$75,000/QALY - $105,000/QALY</w:t>
            </w:r>
            <w:r w:rsidRPr="00523508">
              <w:rPr>
                <w:rFonts w:ascii="Arial Narrow" w:hAnsi="Arial Narrow"/>
                <w:sz w:val="20"/>
                <w:szCs w:val="20"/>
              </w:rPr>
              <w:t xml:space="preserve"> (ITT)</w:t>
            </w:r>
            <w:r>
              <w:rPr>
                <w:rFonts w:ascii="Arial Narrow" w:hAnsi="Arial Narrow"/>
                <w:sz w:val="20"/>
                <w:szCs w:val="20"/>
              </w:rPr>
              <w:t>.</w:t>
            </w:r>
            <w:r w:rsidRPr="00A809CE">
              <w:rPr>
                <w:rFonts w:ascii="Arial Narrow" w:hAnsi="Arial Narrow"/>
                <w:sz w:val="20"/>
                <w:szCs w:val="20"/>
              </w:rPr>
              <w:t xml:space="preserve"> These ICERs were independently verified.</w:t>
            </w:r>
          </w:p>
          <w:p w:rsidR="00523508" w:rsidRDefault="00523508" w:rsidP="00C33EAA">
            <w:pPr>
              <w:jc w:val="both"/>
              <w:rPr>
                <w:rFonts w:ascii="Arial Narrow" w:hAnsi="Arial Narrow"/>
                <w:sz w:val="20"/>
                <w:szCs w:val="20"/>
              </w:rPr>
            </w:pPr>
          </w:p>
          <w:p w:rsidR="003C4D04" w:rsidRPr="00A809CE" w:rsidRDefault="004C3075" w:rsidP="004C3075">
            <w:pPr>
              <w:jc w:val="both"/>
              <w:rPr>
                <w:rFonts w:ascii="Arial Narrow" w:hAnsi="Arial Narrow"/>
                <w:sz w:val="20"/>
                <w:szCs w:val="20"/>
              </w:rPr>
            </w:pPr>
            <w:r w:rsidRPr="004C3075">
              <w:rPr>
                <w:rFonts w:ascii="Arial Narrow" w:hAnsi="Arial Narrow"/>
                <w:sz w:val="20"/>
                <w:szCs w:val="20"/>
              </w:rPr>
              <w:t>In the pre-PBAC response, applying the requested price to the PBAC</w:t>
            </w:r>
            <w:r w:rsidRPr="004C3075">
              <w:rPr>
                <w:rFonts w:ascii="Cambria Math" w:hAnsi="Cambria Math" w:cs="Cambria Math"/>
                <w:sz w:val="20"/>
                <w:szCs w:val="20"/>
              </w:rPr>
              <w:t>‐</w:t>
            </w:r>
            <w:r w:rsidRPr="004C3075">
              <w:rPr>
                <w:rFonts w:ascii="Arial Narrow" w:hAnsi="Arial Narrow"/>
                <w:sz w:val="20"/>
                <w:szCs w:val="20"/>
              </w:rPr>
              <w:t>specified base case economic model brought the ICER</w:t>
            </w:r>
            <w:r w:rsidR="00523508">
              <w:rPr>
                <w:rFonts w:ascii="Arial Narrow" w:hAnsi="Arial Narrow"/>
                <w:sz w:val="20"/>
                <w:szCs w:val="20"/>
              </w:rPr>
              <w:t>/QALY</w:t>
            </w:r>
            <w:r w:rsidRPr="004C3075">
              <w:rPr>
                <w:rFonts w:ascii="Arial Narrow" w:hAnsi="Arial Narrow"/>
                <w:sz w:val="20"/>
                <w:szCs w:val="20"/>
              </w:rPr>
              <w:t xml:space="preserve"> for i</w:t>
            </w:r>
            <w:r>
              <w:rPr>
                <w:rFonts w:ascii="Arial Narrow" w:hAnsi="Arial Narrow"/>
                <w:sz w:val="20"/>
                <w:szCs w:val="20"/>
              </w:rPr>
              <w:t>delalisib in the treatment of CLL</w:t>
            </w:r>
            <w:r w:rsidRPr="004C3075">
              <w:rPr>
                <w:rFonts w:ascii="Arial Narrow" w:hAnsi="Arial Narrow"/>
                <w:sz w:val="20"/>
                <w:szCs w:val="20"/>
              </w:rPr>
              <w:t xml:space="preserve"> </w:t>
            </w:r>
            <w:r>
              <w:rPr>
                <w:rFonts w:ascii="Arial Narrow" w:hAnsi="Arial Narrow"/>
                <w:sz w:val="20"/>
                <w:szCs w:val="20"/>
              </w:rPr>
              <w:t>to</w:t>
            </w:r>
            <w:r w:rsidR="00CB131F" w:rsidRPr="00A809CE">
              <w:rPr>
                <w:rFonts w:ascii="Arial Narrow" w:hAnsi="Arial Narrow"/>
                <w:sz w:val="20"/>
                <w:szCs w:val="20"/>
              </w:rPr>
              <w:t xml:space="preserve">; </w:t>
            </w:r>
          </w:p>
          <w:p w:rsidR="00ED7595" w:rsidRPr="00A809CE" w:rsidRDefault="004C3075" w:rsidP="00DF0216">
            <w:pPr>
              <w:jc w:val="both"/>
              <w:rPr>
                <w:rFonts w:ascii="Arial Narrow" w:hAnsi="Arial Narrow"/>
                <w:sz w:val="20"/>
                <w:szCs w:val="20"/>
              </w:rPr>
            </w:pPr>
            <w:r>
              <w:rPr>
                <w:rFonts w:ascii="Arial Narrow" w:hAnsi="Arial Narrow"/>
                <w:sz w:val="20"/>
                <w:szCs w:val="20"/>
              </w:rPr>
              <w:t>$</w:t>
            </w:r>
            <w:r w:rsidR="00DF0216">
              <w:rPr>
                <w:rFonts w:ascii="Arial Narrow" w:hAnsi="Arial Narrow"/>
                <w:sz w:val="20"/>
                <w:szCs w:val="20"/>
              </w:rPr>
              <w:t>45,000</w:t>
            </w:r>
            <w:r w:rsidR="00CB131F" w:rsidRPr="004C3075">
              <w:rPr>
                <w:rFonts w:ascii="Arial Narrow" w:hAnsi="Arial Narrow"/>
                <w:sz w:val="20"/>
                <w:szCs w:val="20"/>
              </w:rPr>
              <w:t>/QALY</w:t>
            </w:r>
            <w:r w:rsidR="00DF0216">
              <w:rPr>
                <w:rFonts w:ascii="Arial Narrow" w:hAnsi="Arial Narrow"/>
                <w:sz w:val="20"/>
                <w:szCs w:val="20"/>
              </w:rPr>
              <w:t xml:space="preserve"> - $75,000/QALY</w:t>
            </w:r>
            <w:r w:rsidR="00CB131F" w:rsidRPr="004C3075">
              <w:rPr>
                <w:rFonts w:ascii="Arial Narrow" w:hAnsi="Arial Narrow"/>
                <w:sz w:val="20"/>
                <w:szCs w:val="20"/>
              </w:rPr>
              <w:t xml:space="preserve"> (</w:t>
            </w:r>
            <w:r w:rsidR="003A7016" w:rsidRPr="004C3075">
              <w:rPr>
                <w:rFonts w:ascii="Arial Narrow" w:hAnsi="Arial Narrow"/>
                <w:sz w:val="20"/>
                <w:szCs w:val="20"/>
              </w:rPr>
              <w:t xml:space="preserve">RPSFT-adjusted </w:t>
            </w:r>
            <w:r w:rsidR="00CB131F" w:rsidRPr="004C3075">
              <w:rPr>
                <w:rFonts w:ascii="Arial Narrow" w:hAnsi="Arial Narrow"/>
                <w:sz w:val="20"/>
                <w:szCs w:val="20"/>
              </w:rPr>
              <w:t xml:space="preserve">crossover) </w:t>
            </w:r>
            <w:r w:rsidR="003A7016" w:rsidRPr="004C3075">
              <w:rPr>
                <w:rFonts w:ascii="Arial Narrow" w:hAnsi="Arial Narrow"/>
                <w:sz w:val="20"/>
                <w:szCs w:val="20"/>
              </w:rPr>
              <w:t xml:space="preserve">and </w:t>
            </w:r>
            <w:r>
              <w:rPr>
                <w:rFonts w:ascii="Arial Narrow" w:hAnsi="Arial Narrow"/>
                <w:sz w:val="20"/>
                <w:szCs w:val="20"/>
              </w:rPr>
              <w:t>$</w:t>
            </w:r>
            <w:r w:rsidR="00DF0216">
              <w:rPr>
                <w:rFonts w:ascii="Arial Narrow" w:hAnsi="Arial Narrow"/>
                <w:sz w:val="20"/>
                <w:szCs w:val="20"/>
              </w:rPr>
              <w:t>45,000</w:t>
            </w:r>
            <w:r w:rsidR="00DF0216" w:rsidRPr="004C3075">
              <w:rPr>
                <w:rFonts w:ascii="Arial Narrow" w:hAnsi="Arial Narrow"/>
                <w:sz w:val="20"/>
                <w:szCs w:val="20"/>
              </w:rPr>
              <w:t>/QALY</w:t>
            </w:r>
            <w:r w:rsidR="00DF0216">
              <w:rPr>
                <w:rFonts w:ascii="Arial Narrow" w:hAnsi="Arial Narrow"/>
                <w:sz w:val="20"/>
                <w:szCs w:val="20"/>
              </w:rPr>
              <w:t xml:space="preserve"> - $75,000/QALY</w:t>
            </w:r>
            <w:r w:rsidR="00DF0216" w:rsidRPr="004C3075">
              <w:rPr>
                <w:rFonts w:ascii="Arial Narrow" w:hAnsi="Arial Narrow"/>
                <w:sz w:val="20"/>
                <w:szCs w:val="20"/>
              </w:rPr>
              <w:t xml:space="preserve"> </w:t>
            </w:r>
            <w:r w:rsidR="003C4D04" w:rsidRPr="004C3075">
              <w:rPr>
                <w:rFonts w:ascii="Arial Narrow" w:hAnsi="Arial Narrow"/>
                <w:sz w:val="20"/>
                <w:szCs w:val="20"/>
              </w:rPr>
              <w:t>(ITT)</w:t>
            </w:r>
            <w:r w:rsidR="00BC787A">
              <w:rPr>
                <w:rFonts w:ascii="Arial Narrow" w:hAnsi="Arial Narrow"/>
                <w:sz w:val="20"/>
                <w:szCs w:val="20"/>
              </w:rPr>
              <w:t>.</w:t>
            </w:r>
          </w:p>
        </w:tc>
      </w:tr>
      <w:tr w:rsidR="002518C0" w:rsidRPr="00A809CE" w:rsidTr="00DA48DD">
        <w:tc>
          <w:tcPr>
            <w:tcW w:w="1174" w:type="dxa"/>
          </w:tcPr>
          <w:p w:rsidR="002518C0" w:rsidRPr="00A809CE" w:rsidRDefault="002518C0" w:rsidP="00C33EAA">
            <w:pPr>
              <w:jc w:val="both"/>
              <w:rPr>
                <w:rFonts w:ascii="Arial Narrow" w:hAnsi="Arial Narrow"/>
                <w:sz w:val="20"/>
                <w:szCs w:val="20"/>
              </w:rPr>
            </w:pPr>
            <w:r w:rsidRPr="00A809CE">
              <w:rPr>
                <w:rFonts w:ascii="Arial Narrow" w:hAnsi="Arial Narrow"/>
                <w:sz w:val="20"/>
                <w:szCs w:val="20"/>
              </w:rPr>
              <w:t>Number of patients</w:t>
            </w:r>
            <w:r w:rsidR="00AF3F87" w:rsidRPr="00A809CE">
              <w:rPr>
                <w:rFonts w:ascii="Arial Narrow" w:hAnsi="Arial Narrow"/>
                <w:sz w:val="20"/>
                <w:szCs w:val="20"/>
              </w:rPr>
              <w:t xml:space="preserve"> and financial estimates</w:t>
            </w:r>
          </w:p>
        </w:tc>
        <w:tc>
          <w:tcPr>
            <w:tcW w:w="3504" w:type="dxa"/>
          </w:tcPr>
          <w:p w:rsidR="00C97E05" w:rsidRPr="00A809CE" w:rsidRDefault="00C97E05" w:rsidP="00C97E05">
            <w:pPr>
              <w:jc w:val="both"/>
              <w:rPr>
                <w:rFonts w:ascii="Arial Narrow" w:hAnsi="Arial Narrow"/>
                <w:sz w:val="20"/>
                <w:szCs w:val="20"/>
              </w:rPr>
            </w:pPr>
            <w:r w:rsidRPr="00A809CE">
              <w:rPr>
                <w:rFonts w:ascii="Arial Narrow" w:hAnsi="Arial Narrow"/>
                <w:sz w:val="20"/>
                <w:szCs w:val="20"/>
              </w:rPr>
              <w:t>The PBAC considered that the total patient population was uncertain, but that the alternative approach presented by the evaluation including both the incident and prevalent populations is more reasonable and should be the basis for any risk sharing arrangement.</w:t>
            </w:r>
            <w:r w:rsidR="003B1B3B" w:rsidRPr="00A809CE">
              <w:rPr>
                <w:rFonts w:ascii="Arial Narrow" w:hAnsi="Arial Narrow"/>
                <w:sz w:val="20"/>
                <w:szCs w:val="20"/>
              </w:rPr>
              <w:t xml:space="preserve"> [7.15, Nov 2015 </w:t>
            </w:r>
            <w:r w:rsidR="00DF0216">
              <w:rPr>
                <w:rFonts w:ascii="Arial Narrow" w:hAnsi="Arial Narrow"/>
                <w:sz w:val="20"/>
                <w:szCs w:val="20"/>
              </w:rPr>
              <w:t>PSD</w:t>
            </w:r>
            <w:r w:rsidR="003B1B3B" w:rsidRPr="00A809CE">
              <w:rPr>
                <w:rFonts w:ascii="Arial Narrow" w:hAnsi="Arial Narrow"/>
                <w:sz w:val="20"/>
                <w:szCs w:val="20"/>
              </w:rPr>
              <w:t>]</w:t>
            </w:r>
          </w:p>
          <w:p w:rsidR="00C97E05" w:rsidRPr="00A809CE" w:rsidRDefault="00C97E05" w:rsidP="00C97E05">
            <w:pPr>
              <w:jc w:val="both"/>
              <w:rPr>
                <w:rFonts w:ascii="Arial Narrow" w:hAnsi="Arial Narrow"/>
                <w:sz w:val="20"/>
                <w:szCs w:val="20"/>
              </w:rPr>
            </w:pPr>
          </w:p>
          <w:p w:rsidR="002518C0" w:rsidRPr="00A809CE" w:rsidRDefault="00C97E05" w:rsidP="00B957BD">
            <w:pPr>
              <w:jc w:val="both"/>
              <w:rPr>
                <w:sz w:val="20"/>
              </w:rPr>
            </w:pPr>
            <w:r w:rsidRPr="00A809CE">
              <w:rPr>
                <w:rFonts w:ascii="Arial Narrow" w:hAnsi="Arial Narrow"/>
                <w:sz w:val="20"/>
                <w:szCs w:val="20"/>
              </w:rPr>
              <w:t>The PBAC agreed that cost offsets for rituximab monotherapy should not be included in the estimated cost to the PBS.</w:t>
            </w:r>
            <w:r w:rsidR="003B1B3B" w:rsidRPr="00A809CE">
              <w:rPr>
                <w:rFonts w:ascii="Arial Narrow" w:hAnsi="Arial Narrow"/>
                <w:sz w:val="20"/>
                <w:szCs w:val="20"/>
              </w:rPr>
              <w:t xml:space="preserve"> [7.16, Nov 2015 </w:t>
            </w:r>
            <w:r w:rsidR="00B957BD">
              <w:rPr>
                <w:rFonts w:ascii="Arial Narrow" w:hAnsi="Arial Narrow"/>
                <w:sz w:val="20"/>
                <w:szCs w:val="20"/>
              </w:rPr>
              <w:t>PSD</w:t>
            </w:r>
            <w:r w:rsidR="003B1B3B" w:rsidRPr="00A809CE">
              <w:rPr>
                <w:rFonts w:ascii="Arial Narrow" w:hAnsi="Arial Narrow"/>
                <w:sz w:val="20"/>
                <w:szCs w:val="20"/>
              </w:rPr>
              <w:t>]</w:t>
            </w:r>
          </w:p>
        </w:tc>
        <w:tc>
          <w:tcPr>
            <w:tcW w:w="3747" w:type="dxa"/>
          </w:tcPr>
          <w:p w:rsidR="00C97E05" w:rsidRPr="00A809CE" w:rsidRDefault="00C97E05" w:rsidP="00C97E05">
            <w:pPr>
              <w:jc w:val="both"/>
              <w:rPr>
                <w:rFonts w:ascii="Arial Narrow" w:hAnsi="Arial Narrow"/>
                <w:sz w:val="20"/>
                <w:szCs w:val="20"/>
              </w:rPr>
            </w:pPr>
            <w:r w:rsidRPr="00A809CE">
              <w:rPr>
                <w:rFonts w:ascii="Arial Narrow" w:hAnsi="Arial Narrow"/>
                <w:sz w:val="20"/>
                <w:szCs w:val="20"/>
              </w:rPr>
              <w:t xml:space="preserve">The re-submission updates the estimate provided in the PSCR in October </w:t>
            </w:r>
            <w:r w:rsidR="00D851F8" w:rsidRPr="00A809CE">
              <w:rPr>
                <w:rFonts w:ascii="Arial Narrow" w:hAnsi="Arial Narrow"/>
                <w:sz w:val="20"/>
                <w:szCs w:val="20"/>
              </w:rPr>
              <w:t>2015 (</w:t>
            </w:r>
            <w:r w:rsidR="006679C1" w:rsidRPr="00A809CE">
              <w:rPr>
                <w:rFonts w:ascii="Arial Narrow" w:hAnsi="Arial Narrow"/>
                <w:sz w:val="20"/>
                <w:szCs w:val="20"/>
              </w:rPr>
              <w:t>including both the incident and prevalent populations)</w:t>
            </w:r>
            <w:r w:rsidRPr="00A809CE">
              <w:rPr>
                <w:rFonts w:ascii="Arial Narrow" w:hAnsi="Arial Narrow"/>
                <w:sz w:val="20"/>
                <w:szCs w:val="20"/>
              </w:rPr>
              <w:t xml:space="preserve"> with the revised pricing. These estimates differ from those in the November 2015 PBAC </w:t>
            </w:r>
            <w:r w:rsidR="00B957BD">
              <w:rPr>
                <w:rFonts w:ascii="Arial Narrow" w:hAnsi="Arial Narrow"/>
                <w:sz w:val="20"/>
                <w:szCs w:val="20"/>
              </w:rPr>
              <w:t>PSD</w:t>
            </w:r>
            <w:r w:rsidR="00B957BD" w:rsidRPr="00A809CE">
              <w:rPr>
                <w:rFonts w:ascii="Arial Narrow" w:hAnsi="Arial Narrow"/>
                <w:sz w:val="20"/>
                <w:szCs w:val="20"/>
              </w:rPr>
              <w:t xml:space="preserve"> </w:t>
            </w:r>
            <w:r w:rsidR="006679C1" w:rsidRPr="00A809CE">
              <w:rPr>
                <w:rFonts w:ascii="Arial Narrow" w:hAnsi="Arial Narrow"/>
                <w:sz w:val="20"/>
                <w:szCs w:val="20"/>
              </w:rPr>
              <w:t>[paragraph 6.50]</w:t>
            </w:r>
            <w:r w:rsidRPr="00A809CE">
              <w:rPr>
                <w:rFonts w:ascii="Arial Narrow" w:hAnsi="Arial Narrow"/>
                <w:sz w:val="20"/>
                <w:szCs w:val="20"/>
              </w:rPr>
              <w:t xml:space="preserve">, as they allow 20% market growth in response to the listing of an effective treatment where none exists. </w:t>
            </w:r>
          </w:p>
          <w:p w:rsidR="00314B22" w:rsidRPr="00A809CE" w:rsidRDefault="00314B22" w:rsidP="00C97E05">
            <w:pPr>
              <w:jc w:val="both"/>
              <w:rPr>
                <w:rFonts w:ascii="Arial Narrow" w:hAnsi="Arial Narrow"/>
                <w:sz w:val="20"/>
                <w:szCs w:val="20"/>
              </w:rPr>
            </w:pPr>
          </w:p>
          <w:p w:rsidR="00314B22" w:rsidRPr="00A809CE" w:rsidRDefault="00314B22" w:rsidP="00314B22">
            <w:pPr>
              <w:ind w:right="26"/>
              <w:rPr>
                <w:rFonts w:ascii="Arial Narrow" w:hAnsi="Arial Narrow"/>
                <w:sz w:val="20"/>
                <w:szCs w:val="20"/>
              </w:rPr>
            </w:pPr>
            <w:r w:rsidRPr="00A809CE">
              <w:rPr>
                <w:rFonts w:ascii="Arial Narrow" w:hAnsi="Arial Narrow"/>
                <w:sz w:val="20"/>
                <w:szCs w:val="20"/>
              </w:rPr>
              <w:t xml:space="preserve">From the PSCR (p4, </w:t>
            </w:r>
            <w:r w:rsidR="00AF3F87" w:rsidRPr="00A809CE">
              <w:rPr>
                <w:rFonts w:ascii="Arial Narrow" w:hAnsi="Arial Narrow"/>
                <w:sz w:val="20"/>
                <w:szCs w:val="20"/>
              </w:rPr>
              <w:t xml:space="preserve">7.04 </w:t>
            </w:r>
            <w:r w:rsidRPr="00A809CE">
              <w:rPr>
                <w:rFonts w:ascii="Arial Narrow" w:hAnsi="Arial Narrow"/>
                <w:sz w:val="20"/>
                <w:szCs w:val="20"/>
              </w:rPr>
              <w:t xml:space="preserve">Nov 2015): The Sponsor could also not ascertain why the [alternative approach in </w:t>
            </w:r>
            <w:r w:rsidR="00AF3F87" w:rsidRPr="00A809CE">
              <w:rPr>
                <w:rFonts w:ascii="Arial Narrow" w:hAnsi="Arial Narrow"/>
                <w:sz w:val="20"/>
                <w:szCs w:val="20"/>
              </w:rPr>
              <w:t xml:space="preserve">the </w:t>
            </w:r>
            <w:r w:rsidRPr="00A809CE">
              <w:rPr>
                <w:rFonts w:ascii="Arial Narrow" w:hAnsi="Arial Narrow"/>
                <w:sz w:val="20"/>
                <w:szCs w:val="20"/>
              </w:rPr>
              <w:t xml:space="preserve">Commentary] had elected to omit the assumption that listing of idelalisib could be expected to grow the number of patients receiving treatment by 20% (i.e. market growth 120%). </w:t>
            </w:r>
          </w:p>
          <w:p w:rsidR="00314B22" w:rsidRPr="00A809CE" w:rsidRDefault="00314B22" w:rsidP="00314B22">
            <w:pPr>
              <w:ind w:right="26"/>
              <w:rPr>
                <w:rFonts w:ascii="Arial Narrow" w:hAnsi="Arial Narrow"/>
                <w:sz w:val="20"/>
                <w:szCs w:val="20"/>
              </w:rPr>
            </w:pPr>
            <w:r w:rsidRPr="00A809CE">
              <w:rPr>
                <w:rFonts w:ascii="Arial Narrow" w:hAnsi="Arial Narrow"/>
                <w:sz w:val="20"/>
                <w:szCs w:val="20"/>
              </w:rPr>
              <w:t xml:space="preserve">The numbers presented in this minor re-submission are the same as presented in Table </w:t>
            </w:r>
            <w:r w:rsidRPr="00A809CE">
              <w:rPr>
                <w:rFonts w:ascii="Arial Narrow" w:hAnsi="Arial Narrow"/>
                <w:sz w:val="20"/>
                <w:szCs w:val="20"/>
              </w:rPr>
              <w:lastRenderedPageBreak/>
              <w:t xml:space="preserve">5 of the Nov 2015 PSCR. This growth assumption was not specifically raised in the Nov 2015 ESC ADV. </w:t>
            </w:r>
          </w:p>
          <w:p w:rsidR="00AF3F87" w:rsidRPr="00A809CE" w:rsidRDefault="00AF3F87" w:rsidP="00314B22">
            <w:pPr>
              <w:jc w:val="both"/>
              <w:rPr>
                <w:rFonts w:ascii="Arial Narrow" w:hAnsi="Arial Narrow"/>
                <w:sz w:val="20"/>
                <w:szCs w:val="20"/>
              </w:rPr>
            </w:pPr>
          </w:p>
          <w:p w:rsidR="00C97E05" w:rsidRPr="00A809CE" w:rsidRDefault="00C97E05" w:rsidP="00314B22">
            <w:pPr>
              <w:jc w:val="both"/>
              <w:rPr>
                <w:rFonts w:ascii="Arial Narrow" w:hAnsi="Arial Narrow"/>
                <w:sz w:val="20"/>
                <w:szCs w:val="20"/>
              </w:rPr>
            </w:pPr>
            <w:r w:rsidRPr="00A809CE">
              <w:rPr>
                <w:rFonts w:ascii="Arial Narrow" w:hAnsi="Arial Narrow"/>
                <w:sz w:val="20"/>
                <w:szCs w:val="20"/>
              </w:rPr>
              <w:t xml:space="preserve">Cost offsets for </w:t>
            </w:r>
            <w:r w:rsidR="00314B22" w:rsidRPr="00A809CE">
              <w:rPr>
                <w:rFonts w:ascii="Arial Narrow" w:hAnsi="Arial Narrow"/>
                <w:sz w:val="20"/>
                <w:szCs w:val="20"/>
              </w:rPr>
              <w:t>rituximab</w:t>
            </w:r>
            <w:r w:rsidRPr="00A809CE">
              <w:rPr>
                <w:rFonts w:ascii="Arial Narrow" w:hAnsi="Arial Narrow"/>
                <w:sz w:val="20"/>
                <w:szCs w:val="20"/>
              </w:rPr>
              <w:t xml:space="preserve"> have been removed from the financial estimates.</w:t>
            </w:r>
          </w:p>
        </w:tc>
      </w:tr>
      <w:tr w:rsidR="002518C0" w:rsidRPr="00A809CE" w:rsidTr="00DA48DD">
        <w:tc>
          <w:tcPr>
            <w:tcW w:w="1174" w:type="dxa"/>
          </w:tcPr>
          <w:p w:rsidR="002518C0" w:rsidRPr="00A809CE" w:rsidRDefault="002518C0" w:rsidP="00C33EAA">
            <w:pPr>
              <w:jc w:val="both"/>
              <w:rPr>
                <w:rFonts w:ascii="Arial Narrow" w:hAnsi="Arial Narrow"/>
                <w:sz w:val="20"/>
                <w:szCs w:val="20"/>
              </w:rPr>
            </w:pPr>
            <w:r w:rsidRPr="00A809CE">
              <w:rPr>
                <w:rFonts w:ascii="Arial Narrow" w:hAnsi="Arial Narrow"/>
                <w:sz w:val="20"/>
                <w:szCs w:val="20"/>
              </w:rPr>
              <w:lastRenderedPageBreak/>
              <w:t>Main Comparator</w:t>
            </w:r>
          </w:p>
        </w:tc>
        <w:tc>
          <w:tcPr>
            <w:tcW w:w="7251" w:type="dxa"/>
            <w:gridSpan w:val="2"/>
            <w:vMerge w:val="restart"/>
          </w:tcPr>
          <w:p w:rsidR="002518C0" w:rsidRPr="00A809CE" w:rsidRDefault="002518C0" w:rsidP="00C33EAA">
            <w:pPr>
              <w:jc w:val="center"/>
              <w:rPr>
                <w:rFonts w:ascii="Arial Narrow" w:hAnsi="Arial Narrow"/>
                <w:sz w:val="20"/>
                <w:szCs w:val="20"/>
              </w:rPr>
            </w:pPr>
            <w:r w:rsidRPr="00A809CE">
              <w:rPr>
                <w:rFonts w:ascii="Arial Narrow" w:hAnsi="Arial Narrow"/>
                <w:sz w:val="20"/>
                <w:szCs w:val="20"/>
              </w:rPr>
              <w:t>Unchanged from November PBAC submission</w:t>
            </w:r>
          </w:p>
        </w:tc>
      </w:tr>
      <w:tr w:rsidR="002518C0" w:rsidRPr="00A809CE" w:rsidTr="00DA48DD">
        <w:tc>
          <w:tcPr>
            <w:tcW w:w="1174" w:type="dxa"/>
          </w:tcPr>
          <w:p w:rsidR="002518C0" w:rsidRPr="00A809CE" w:rsidRDefault="002518C0" w:rsidP="00C33EAA">
            <w:pPr>
              <w:jc w:val="both"/>
              <w:rPr>
                <w:rFonts w:ascii="Arial Narrow" w:hAnsi="Arial Narrow"/>
                <w:sz w:val="20"/>
                <w:szCs w:val="20"/>
              </w:rPr>
            </w:pPr>
            <w:r w:rsidRPr="00A809CE">
              <w:rPr>
                <w:rFonts w:ascii="Arial Narrow" w:hAnsi="Arial Narrow"/>
                <w:sz w:val="20"/>
                <w:szCs w:val="20"/>
              </w:rPr>
              <w:t>Clinical evidence</w:t>
            </w:r>
          </w:p>
        </w:tc>
        <w:tc>
          <w:tcPr>
            <w:tcW w:w="7251" w:type="dxa"/>
            <w:gridSpan w:val="2"/>
            <w:vMerge/>
          </w:tcPr>
          <w:p w:rsidR="002518C0" w:rsidRPr="00A809CE" w:rsidRDefault="002518C0" w:rsidP="00C33EAA">
            <w:pPr>
              <w:jc w:val="both"/>
              <w:rPr>
                <w:rFonts w:ascii="Arial Narrow" w:hAnsi="Arial Narrow"/>
                <w:sz w:val="20"/>
                <w:szCs w:val="20"/>
              </w:rPr>
            </w:pPr>
          </w:p>
        </w:tc>
      </w:tr>
      <w:tr w:rsidR="002518C0" w:rsidRPr="00A809CE" w:rsidTr="00DA48DD">
        <w:tc>
          <w:tcPr>
            <w:tcW w:w="1174" w:type="dxa"/>
          </w:tcPr>
          <w:p w:rsidR="002518C0" w:rsidRPr="00A809CE" w:rsidRDefault="002518C0" w:rsidP="00C33EAA">
            <w:pPr>
              <w:jc w:val="both"/>
              <w:rPr>
                <w:rFonts w:ascii="Arial Narrow" w:hAnsi="Arial Narrow"/>
                <w:sz w:val="20"/>
                <w:szCs w:val="20"/>
              </w:rPr>
            </w:pPr>
            <w:r w:rsidRPr="00A809CE">
              <w:rPr>
                <w:rFonts w:ascii="Arial Narrow" w:hAnsi="Arial Narrow"/>
                <w:sz w:val="20"/>
                <w:szCs w:val="20"/>
              </w:rPr>
              <w:t>Key effectiveness data</w:t>
            </w:r>
          </w:p>
        </w:tc>
        <w:tc>
          <w:tcPr>
            <w:tcW w:w="7251" w:type="dxa"/>
            <w:gridSpan w:val="2"/>
            <w:vMerge/>
          </w:tcPr>
          <w:p w:rsidR="002518C0" w:rsidRPr="00A809CE" w:rsidRDefault="002518C0" w:rsidP="00C33EAA">
            <w:pPr>
              <w:jc w:val="both"/>
              <w:rPr>
                <w:rFonts w:ascii="Arial Narrow" w:hAnsi="Arial Narrow"/>
                <w:sz w:val="20"/>
                <w:szCs w:val="20"/>
              </w:rPr>
            </w:pPr>
          </w:p>
        </w:tc>
      </w:tr>
      <w:tr w:rsidR="002518C0" w:rsidRPr="00A809CE" w:rsidTr="00DA48DD">
        <w:tc>
          <w:tcPr>
            <w:tcW w:w="1174" w:type="dxa"/>
          </w:tcPr>
          <w:p w:rsidR="002518C0" w:rsidRPr="00A809CE" w:rsidRDefault="002518C0" w:rsidP="00C33EAA">
            <w:pPr>
              <w:jc w:val="both"/>
              <w:rPr>
                <w:rFonts w:ascii="Arial Narrow" w:hAnsi="Arial Narrow"/>
                <w:sz w:val="20"/>
                <w:szCs w:val="20"/>
              </w:rPr>
            </w:pPr>
            <w:r w:rsidRPr="00A809CE">
              <w:rPr>
                <w:rFonts w:ascii="Arial Narrow" w:hAnsi="Arial Narrow"/>
                <w:sz w:val="20"/>
                <w:szCs w:val="20"/>
              </w:rPr>
              <w:t>Key safety data</w:t>
            </w:r>
          </w:p>
        </w:tc>
        <w:tc>
          <w:tcPr>
            <w:tcW w:w="7251" w:type="dxa"/>
            <w:gridSpan w:val="2"/>
            <w:vMerge/>
          </w:tcPr>
          <w:p w:rsidR="002518C0" w:rsidRPr="00A809CE" w:rsidRDefault="002518C0" w:rsidP="00C33EAA">
            <w:pPr>
              <w:jc w:val="both"/>
              <w:rPr>
                <w:rFonts w:ascii="Arial Narrow" w:hAnsi="Arial Narrow"/>
                <w:sz w:val="20"/>
                <w:szCs w:val="20"/>
              </w:rPr>
            </w:pPr>
          </w:p>
        </w:tc>
      </w:tr>
      <w:tr w:rsidR="002518C0" w:rsidRPr="00A809CE" w:rsidTr="00DA48DD">
        <w:tc>
          <w:tcPr>
            <w:tcW w:w="1174" w:type="dxa"/>
          </w:tcPr>
          <w:p w:rsidR="002518C0" w:rsidRPr="00A809CE" w:rsidRDefault="002518C0" w:rsidP="00C33EAA">
            <w:pPr>
              <w:jc w:val="both"/>
              <w:rPr>
                <w:rFonts w:ascii="Arial Narrow" w:hAnsi="Arial Narrow"/>
                <w:sz w:val="20"/>
                <w:szCs w:val="20"/>
              </w:rPr>
            </w:pPr>
            <w:r w:rsidRPr="00A809CE">
              <w:rPr>
                <w:rFonts w:ascii="Arial Narrow" w:hAnsi="Arial Narrow"/>
                <w:sz w:val="20"/>
                <w:szCs w:val="20"/>
              </w:rPr>
              <w:t>Clinical claim</w:t>
            </w:r>
          </w:p>
        </w:tc>
        <w:tc>
          <w:tcPr>
            <w:tcW w:w="7251" w:type="dxa"/>
            <w:gridSpan w:val="2"/>
            <w:vMerge/>
          </w:tcPr>
          <w:p w:rsidR="002518C0" w:rsidRPr="00A809CE" w:rsidRDefault="002518C0" w:rsidP="00C33EAA">
            <w:pPr>
              <w:jc w:val="both"/>
              <w:rPr>
                <w:rFonts w:ascii="Arial Narrow" w:hAnsi="Arial Narrow"/>
                <w:sz w:val="20"/>
                <w:szCs w:val="20"/>
              </w:rPr>
            </w:pPr>
          </w:p>
        </w:tc>
      </w:tr>
    </w:tbl>
    <w:p w:rsidR="002518C0" w:rsidRDefault="002518C0" w:rsidP="002518C0">
      <w:pPr>
        <w:jc w:val="both"/>
        <w:rPr>
          <w:rFonts w:ascii="Arial" w:hAnsi="Arial"/>
          <w:sz w:val="22"/>
          <w:szCs w:val="22"/>
        </w:rPr>
      </w:pPr>
    </w:p>
    <w:p w:rsidR="00F86578" w:rsidRPr="00A809CE" w:rsidRDefault="00F86578" w:rsidP="002518C0">
      <w:pPr>
        <w:jc w:val="both"/>
        <w:rPr>
          <w:rFonts w:ascii="Arial" w:hAnsi="Arial"/>
          <w:sz w:val="22"/>
          <w:szCs w:val="22"/>
        </w:rPr>
      </w:pPr>
    </w:p>
    <w:p w:rsidR="00215114" w:rsidRDefault="00215114" w:rsidP="00067D33">
      <w:pPr>
        <w:pStyle w:val="Heading1"/>
      </w:pPr>
      <w:r>
        <w:t>Consideration of the evidence</w:t>
      </w:r>
    </w:p>
    <w:p w:rsidR="00DA48DD" w:rsidRPr="00A809CE" w:rsidRDefault="00DA48DD" w:rsidP="00DA48DD">
      <w:pPr>
        <w:jc w:val="center"/>
        <w:rPr>
          <w:rFonts w:ascii="Arial" w:hAnsi="Arial"/>
          <w:b/>
          <w:sz w:val="22"/>
          <w:szCs w:val="22"/>
          <w:u w:val="single"/>
        </w:rPr>
      </w:pPr>
    </w:p>
    <w:p w:rsidR="00A809CE" w:rsidRPr="00067D33" w:rsidRDefault="00A809CE" w:rsidP="00067D33">
      <w:pPr>
        <w:pStyle w:val="Heading2"/>
      </w:pPr>
      <w:r w:rsidRPr="00067D33">
        <w:t>Sponsor hearing</w:t>
      </w:r>
    </w:p>
    <w:p w:rsidR="00A809CE" w:rsidRDefault="00A809CE" w:rsidP="00A809CE">
      <w:pPr>
        <w:jc w:val="both"/>
        <w:rPr>
          <w:rFonts w:ascii="Arial" w:hAnsi="Arial"/>
          <w:b/>
          <w:sz w:val="22"/>
          <w:szCs w:val="22"/>
        </w:rPr>
      </w:pPr>
    </w:p>
    <w:p w:rsidR="00A809CE" w:rsidRDefault="00A809CE" w:rsidP="000B0224">
      <w:pPr>
        <w:pStyle w:val="ListParagraph"/>
        <w:numPr>
          <w:ilvl w:val="1"/>
          <w:numId w:val="1"/>
        </w:numPr>
        <w:jc w:val="both"/>
        <w:rPr>
          <w:rFonts w:ascii="Arial" w:hAnsi="Arial"/>
          <w:sz w:val="22"/>
          <w:szCs w:val="22"/>
        </w:rPr>
      </w:pPr>
      <w:r w:rsidRPr="00F1150D">
        <w:rPr>
          <w:rFonts w:ascii="Arial" w:hAnsi="Arial"/>
          <w:sz w:val="22"/>
          <w:szCs w:val="22"/>
        </w:rPr>
        <w:t>There was no hearing for this item as it was a minor submission.</w:t>
      </w:r>
    </w:p>
    <w:p w:rsidR="00A809CE" w:rsidRDefault="00A809CE" w:rsidP="000B0224">
      <w:pPr>
        <w:jc w:val="both"/>
        <w:rPr>
          <w:rFonts w:ascii="Arial" w:hAnsi="Arial"/>
          <w:sz w:val="22"/>
          <w:szCs w:val="22"/>
        </w:rPr>
      </w:pPr>
    </w:p>
    <w:p w:rsidR="00A809CE" w:rsidRDefault="00A809CE" w:rsidP="000B0224">
      <w:pPr>
        <w:pStyle w:val="Heading2"/>
      </w:pPr>
      <w:r>
        <w:t>Consumer comments</w:t>
      </w:r>
    </w:p>
    <w:p w:rsidR="00A809CE" w:rsidRPr="00F1150D" w:rsidRDefault="00A809CE" w:rsidP="000B0224">
      <w:pPr>
        <w:jc w:val="both"/>
        <w:rPr>
          <w:rFonts w:ascii="Arial" w:hAnsi="Arial"/>
          <w:b/>
          <w:sz w:val="22"/>
          <w:szCs w:val="22"/>
        </w:rPr>
      </w:pPr>
    </w:p>
    <w:p w:rsidR="00A809CE" w:rsidRDefault="00A809CE" w:rsidP="000B0224">
      <w:pPr>
        <w:pStyle w:val="ListParagraph"/>
        <w:numPr>
          <w:ilvl w:val="1"/>
          <w:numId w:val="1"/>
        </w:numPr>
        <w:jc w:val="both"/>
        <w:rPr>
          <w:rFonts w:ascii="Arial" w:hAnsi="Arial"/>
          <w:sz w:val="22"/>
          <w:szCs w:val="22"/>
        </w:rPr>
      </w:pPr>
      <w:r>
        <w:rPr>
          <w:rFonts w:ascii="Arial" w:hAnsi="Arial"/>
          <w:sz w:val="22"/>
          <w:szCs w:val="22"/>
        </w:rPr>
        <w:t>The PBAC noted that no consumer comments were received for this item.</w:t>
      </w:r>
    </w:p>
    <w:p w:rsidR="00314B22" w:rsidRPr="00A809CE" w:rsidRDefault="00314B22" w:rsidP="000B0224">
      <w:pPr>
        <w:jc w:val="both"/>
        <w:rPr>
          <w:rFonts w:ascii="Arial" w:hAnsi="Arial"/>
          <w:sz w:val="22"/>
          <w:szCs w:val="22"/>
        </w:rPr>
      </w:pPr>
    </w:p>
    <w:p w:rsidR="007B0A39" w:rsidRDefault="00153559" w:rsidP="000B0224">
      <w:pPr>
        <w:ind w:firstLine="720"/>
        <w:jc w:val="both"/>
        <w:rPr>
          <w:rFonts w:ascii="Arial Narrow" w:hAnsi="Arial Narrow"/>
          <w:sz w:val="20"/>
          <w:szCs w:val="20"/>
        </w:rPr>
      </w:pPr>
      <w:r w:rsidRPr="00521894">
        <w:rPr>
          <w:rFonts w:ascii="Arial" w:hAnsi="Arial" w:cs="Arial"/>
          <w:i/>
          <w:sz w:val="22"/>
          <w:szCs w:val="22"/>
        </w:rPr>
        <w:t>For more detail on PBAC’s view, see section 5 “PBAC outcome”</w:t>
      </w:r>
    </w:p>
    <w:p w:rsidR="007B0A39" w:rsidRDefault="007B0A39" w:rsidP="000B0224">
      <w:pPr>
        <w:jc w:val="both"/>
        <w:rPr>
          <w:rFonts w:ascii="Arial Narrow" w:hAnsi="Arial Narrow"/>
          <w:sz w:val="20"/>
          <w:szCs w:val="20"/>
        </w:rPr>
      </w:pPr>
      <w:bookmarkStart w:id="2" w:name="_Toc429999412"/>
    </w:p>
    <w:p w:rsidR="00532551" w:rsidRPr="00532551" w:rsidRDefault="00532551" w:rsidP="000B0224">
      <w:pPr>
        <w:pStyle w:val="Heading2"/>
      </w:pPr>
      <w:r w:rsidRPr="00532551">
        <w:t>Drug cost/patient/course: $</w:t>
      </w:r>
      <w:r w:rsidR="00622211">
        <w:rPr>
          <w:noProof/>
          <w:color w:val="000000"/>
          <w:highlight w:val="black"/>
        </w:rPr>
        <w:t>''''''''''''</w:t>
      </w:r>
      <w:r w:rsidRPr="00532551">
        <w:t>.</w:t>
      </w:r>
    </w:p>
    <w:p w:rsidR="00532551" w:rsidRPr="00532551" w:rsidRDefault="00532551" w:rsidP="000B0224">
      <w:pPr>
        <w:jc w:val="both"/>
        <w:rPr>
          <w:rFonts w:ascii="Arial" w:hAnsi="Arial" w:cs="Arial"/>
          <w:sz w:val="22"/>
          <w:szCs w:val="22"/>
        </w:rPr>
      </w:pPr>
    </w:p>
    <w:p w:rsidR="00532551" w:rsidRPr="00C86F5F" w:rsidRDefault="00532551" w:rsidP="000B0224">
      <w:pPr>
        <w:pStyle w:val="ListParagraph"/>
        <w:numPr>
          <w:ilvl w:val="1"/>
          <w:numId w:val="1"/>
        </w:numPr>
        <w:jc w:val="both"/>
        <w:rPr>
          <w:rFonts w:ascii="Arial" w:hAnsi="Arial" w:cs="Arial"/>
          <w:sz w:val="22"/>
          <w:szCs w:val="22"/>
        </w:rPr>
      </w:pPr>
      <w:r w:rsidRPr="00C86F5F">
        <w:rPr>
          <w:rFonts w:ascii="Arial" w:hAnsi="Arial" w:cs="Arial"/>
          <w:sz w:val="22"/>
          <w:szCs w:val="22"/>
        </w:rPr>
        <w:t xml:space="preserve">This was based on a mean duration of treatment of 21.6 months (mean progression free survival duration estimated in the economic model), 92.7% dose intensity (calculated from Trial 312-0116), and a pack </w:t>
      </w:r>
      <w:r w:rsidR="00986AF2" w:rsidRPr="00C86F5F">
        <w:rPr>
          <w:rFonts w:ascii="Arial" w:hAnsi="Arial" w:cs="Arial"/>
          <w:sz w:val="22"/>
          <w:szCs w:val="22"/>
        </w:rPr>
        <w:t>DPMQ</w:t>
      </w:r>
      <w:r w:rsidRPr="00C86F5F">
        <w:rPr>
          <w:rFonts w:ascii="Arial" w:hAnsi="Arial" w:cs="Arial"/>
          <w:sz w:val="22"/>
          <w:szCs w:val="22"/>
        </w:rPr>
        <w:t xml:space="preserve"> of $</w:t>
      </w:r>
      <w:r w:rsidR="00622211">
        <w:rPr>
          <w:rFonts w:ascii="Arial" w:hAnsi="Arial" w:cs="Arial"/>
          <w:noProof/>
          <w:color w:val="000000"/>
          <w:sz w:val="22"/>
          <w:szCs w:val="22"/>
          <w:highlight w:val="black"/>
        </w:rPr>
        <w:t>'''''''''''''''''''</w:t>
      </w:r>
      <w:r w:rsidRPr="00C86F5F">
        <w:rPr>
          <w:rFonts w:ascii="Arial" w:hAnsi="Arial" w:cs="Arial"/>
          <w:sz w:val="22"/>
          <w:szCs w:val="22"/>
        </w:rPr>
        <w:t>.</w:t>
      </w:r>
    </w:p>
    <w:p w:rsidR="007B0A39" w:rsidRPr="007B0A39" w:rsidRDefault="007B0A39" w:rsidP="000B0224">
      <w:pPr>
        <w:jc w:val="both"/>
        <w:rPr>
          <w:rFonts w:ascii="Arial" w:hAnsi="Arial"/>
          <w:b/>
          <w:sz w:val="22"/>
          <w:szCs w:val="22"/>
        </w:rPr>
      </w:pPr>
    </w:p>
    <w:p w:rsidR="00153559" w:rsidRPr="00215114" w:rsidRDefault="00ED7595" w:rsidP="000B0224">
      <w:pPr>
        <w:pStyle w:val="Heading2"/>
      </w:pPr>
      <w:r w:rsidRPr="00215114">
        <w:t>Estimated PBS usage &amp; financial implicatio</w:t>
      </w:r>
      <w:bookmarkEnd w:id="2"/>
      <w:r w:rsidR="007B0A39" w:rsidRPr="00215114">
        <w:t>ns</w:t>
      </w:r>
    </w:p>
    <w:p w:rsidR="00153559" w:rsidRDefault="00153559" w:rsidP="000B0224">
      <w:pPr>
        <w:jc w:val="both"/>
        <w:rPr>
          <w:rFonts w:ascii="Arial" w:hAnsi="Arial" w:cs="Arial"/>
          <w:snapToGrid w:val="0"/>
          <w:sz w:val="22"/>
          <w:szCs w:val="20"/>
          <w:lang w:eastAsia="en-US"/>
        </w:rPr>
      </w:pPr>
    </w:p>
    <w:p w:rsidR="00215114" w:rsidRDefault="00921A4F" w:rsidP="000B0224">
      <w:pPr>
        <w:pStyle w:val="ListParagraph"/>
        <w:numPr>
          <w:ilvl w:val="1"/>
          <w:numId w:val="1"/>
        </w:numPr>
        <w:jc w:val="both"/>
        <w:rPr>
          <w:rFonts w:ascii="Arial" w:hAnsi="Arial" w:cs="Arial"/>
          <w:snapToGrid w:val="0"/>
          <w:sz w:val="22"/>
          <w:szCs w:val="22"/>
          <w:lang w:eastAsia="en-US"/>
        </w:rPr>
      </w:pPr>
      <w:r>
        <w:rPr>
          <w:rFonts w:ascii="Arial" w:hAnsi="Arial" w:cs="Arial"/>
          <w:snapToGrid w:val="0"/>
          <w:sz w:val="22"/>
          <w:szCs w:val="20"/>
          <w:lang w:eastAsia="en-US"/>
        </w:rPr>
        <w:t>Applying the requested price from the pre-PBAC response, t</w:t>
      </w:r>
      <w:r w:rsidR="00ED7595" w:rsidRPr="00153559">
        <w:rPr>
          <w:rFonts w:ascii="Arial" w:hAnsi="Arial" w:cs="Arial"/>
          <w:snapToGrid w:val="0"/>
          <w:sz w:val="22"/>
          <w:szCs w:val="20"/>
          <w:lang w:eastAsia="en-US"/>
        </w:rPr>
        <w:t>he net cost of idelalisib</w:t>
      </w:r>
      <w:r w:rsidR="001E0A8B" w:rsidRPr="00153559">
        <w:rPr>
          <w:rFonts w:ascii="Arial" w:hAnsi="Arial" w:cs="Arial"/>
          <w:snapToGrid w:val="0"/>
          <w:sz w:val="22"/>
          <w:szCs w:val="20"/>
          <w:lang w:eastAsia="en-US"/>
        </w:rPr>
        <w:t xml:space="preserve"> (CLL)</w:t>
      </w:r>
      <w:r w:rsidR="00ED7595" w:rsidRPr="00153559">
        <w:rPr>
          <w:rFonts w:ascii="Arial" w:hAnsi="Arial" w:cs="Arial"/>
          <w:snapToGrid w:val="0"/>
          <w:sz w:val="22"/>
          <w:szCs w:val="20"/>
          <w:lang w:eastAsia="en-US"/>
        </w:rPr>
        <w:t xml:space="preserve"> to government is</w:t>
      </w:r>
      <w:r w:rsidR="00215114">
        <w:rPr>
          <w:rFonts w:ascii="Arial" w:hAnsi="Arial" w:cs="Arial"/>
          <w:snapToGrid w:val="0"/>
          <w:sz w:val="22"/>
          <w:szCs w:val="20"/>
          <w:lang w:eastAsia="en-US"/>
        </w:rPr>
        <w:t xml:space="preserve"> estimated to be $30</w:t>
      </w:r>
      <w:r w:rsidR="00FE17B5">
        <w:rPr>
          <w:rFonts w:ascii="Arial" w:hAnsi="Arial" w:cs="Arial"/>
          <w:snapToGrid w:val="0"/>
          <w:sz w:val="22"/>
          <w:szCs w:val="20"/>
          <w:lang w:eastAsia="en-US"/>
        </w:rPr>
        <w:t xml:space="preserve"> - $60 million per </w:t>
      </w:r>
      <w:r w:rsidR="00FF70EE">
        <w:rPr>
          <w:rFonts w:ascii="Arial" w:hAnsi="Arial" w:cs="Arial"/>
          <w:snapToGrid w:val="0"/>
          <w:sz w:val="22"/>
          <w:szCs w:val="20"/>
          <w:lang w:eastAsia="en-US"/>
        </w:rPr>
        <w:t>year</w:t>
      </w:r>
      <w:r w:rsidR="00ED7595" w:rsidRPr="00153559">
        <w:rPr>
          <w:rFonts w:ascii="Arial" w:hAnsi="Arial" w:cs="Arial"/>
          <w:snapToGrid w:val="0"/>
          <w:sz w:val="22"/>
          <w:szCs w:val="20"/>
          <w:lang w:eastAsia="en-US"/>
        </w:rPr>
        <w:t xml:space="preserve"> over the first five years of listing. The previous November 2015 PBAC submission was</w:t>
      </w:r>
      <w:r w:rsidR="00055718" w:rsidRPr="00153559">
        <w:rPr>
          <w:rFonts w:ascii="Arial" w:hAnsi="Arial" w:cs="Arial"/>
          <w:snapToGrid w:val="0"/>
          <w:sz w:val="22"/>
          <w:szCs w:val="20"/>
          <w:lang w:eastAsia="en-US"/>
        </w:rPr>
        <w:t xml:space="preserve"> approximately </w:t>
      </w:r>
      <w:r w:rsidR="00800DC2">
        <w:rPr>
          <w:rFonts w:ascii="Arial" w:hAnsi="Arial" w:cs="Arial"/>
          <w:snapToGrid w:val="0"/>
          <w:sz w:val="22"/>
          <w:szCs w:val="20"/>
          <w:lang w:eastAsia="en-US"/>
        </w:rPr>
        <w:t>$30 - $60 million per year</w:t>
      </w:r>
      <w:r w:rsidR="006679C1" w:rsidRPr="00153559">
        <w:rPr>
          <w:rFonts w:ascii="Arial" w:hAnsi="Arial" w:cs="Arial"/>
          <w:snapToGrid w:val="0"/>
          <w:sz w:val="22"/>
          <w:szCs w:val="20"/>
          <w:lang w:eastAsia="en-US"/>
        </w:rPr>
        <w:t>.</w:t>
      </w:r>
      <w:r w:rsidR="00215114">
        <w:rPr>
          <w:rFonts w:ascii="Arial" w:hAnsi="Arial" w:cs="Arial"/>
          <w:snapToGrid w:val="0"/>
          <w:sz w:val="22"/>
          <w:szCs w:val="20"/>
          <w:lang w:eastAsia="en-US"/>
        </w:rPr>
        <w:t xml:space="preserve"> In year 5, the cost to the PBS/RPBS was estimated to be </w:t>
      </w:r>
      <w:r w:rsidR="00800DC2">
        <w:rPr>
          <w:rFonts w:ascii="Arial" w:hAnsi="Arial" w:cs="Arial"/>
          <w:snapToGrid w:val="0"/>
          <w:sz w:val="22"/>
          <w:szCs w:val="20"/>
          <w:lang w:eastAsia="en-US"/>
        </w:rPr>
        <w:t>less than $10 million</w:t>
      </w:r>
      <w:r w:rsidR="00215114">
        <w:rPr>
          <w:rFonts w:ascii="Arial" w:hAnsi="Arial" w:cs="Arial"/>
          <w:snapToGrid w:val="0"/>
          <w:sz w:val="22"/>
          <w:szCs w:val="20"/>
          <w:lang w:eastAsia="en-US"/>
        </w:rPr>
        <w:t xml:space="preserve">, with </w:t>
      </w:r>
      <w:r w:rsidR="00800DC2">
        <w:rPr>
          <w:rFonts w:ascii="Arial" w:hAnsi="Arial" w:cs="Arial"/>
          <w:snapToGrid w:val="0"/>
          <w:sz w:val="22"/>
          <w:szCs w:val="20"/>
          <w:lang w:eastAsia="en-US"/>
        </w:rPr>
        <w:t xml:space="preserve">less than 10,000 </w:t>
      </w:r>
      <w:r w:rsidR="00215114">
        <w:rPr>
          <w:rFonts w:ascii="Arial" w:hAnsi="Arial" w:cs="Arial"/>
          <w:snapToGrid w:val="0"/>
          <w:sz w:val="22"/>
          <w:szCs w:val="20"/>
          <w:lang w:eastAsia="en-US"/>
        </w:rPr>
        <w:t xml:space="preserve">patients estimated to be treated. </w:t>
      </w:r>
    </w:p>
    <w:p w:rsidR="00C30ADD" w:rsidRPr="00C30ADD" w:rsidRDefault="00C30ADD" w:rsidP="00C30ADD">
      <w:pPr>
        <w:pStyle w:val="ListParagraph"/>
        <w:keepNext/>
        <w:widowControl w:val="0"/>
        <w:jc w:val="both"/>
        <w:rPr>
          <w:rStyle w:val="CommentReference"/>
          <w:rFonts w:ascii="Arial Narrow" w:hAnsi="Arial Narrow"/>
          <w:b/>
          <w:sz w:val="20"/>
          <w:szCs w:val="20"/>
        </w:rPr>
      </w:pPr>
    </w:p>
    <w:p w:rsidR="002518C0" w:rsidRPr="00A809CE" w:rsidRDefault="002518C0" w:rsidP="00DA48DD">
      <w:pPr>
        <w:keepNext/>
        <w:ind w:firstLine="720"/>
        <w:rPr>
          <w:rStyle w:val="CommentReference"/>
          <w:rFonts w:ascii="Arial Narrow" w:hAnsi="Arial Narrow"/>
          <w:b/>
          <w:sz w:val="20"/>
          <w:szCs w:val="20"/>
        </w:rPr>
      </w:pPr>
      <w:r w:rsidRPr="00A809CE">
        <w:rPr>
          <w:rStyle w:val="CommentReference"/>
          <w:rFonts w:ascii="Arial Narrow" w:hAnsi="Arial Narrow"/>
          <w:b/>
          <w:sz w:val="20"/>
          <w:szCs w:val="20"/>
        </w:rPr>
        <w:t xml:space="preserve">Table </w:t>
      </w:r>
      <w:r w:rsidR="001E0A8B" w:rsidRPr="00A809CE">
        <w:rPr>
          <w:rStyle w:val="CommentReference"/>
          <w:rFonts w:ascii="Arial Narrow" w:hAnsi="Arial Narrow"/>
          <w:b/>
          <w:sz w:val="20"/>
          <w:szCs w:val="20"/>
        </w:rPr>
        <w:t>2</w:t>
      </w:r>
      <w:r w:rsidRPr="00A809CE">
        <w:rPr>
          <w:rStyle w:val="CommentReference"/>
          <w:rFonts w:ascii="Arial Narrow" w:hAnsi="Arial Narrow"/>
          <w:b/>
          <w:sz w:val="20"/>
          <w:szCs w:val="20"/>
        </w:rPr>
        <w:t>: Estimated use and financial implications</w:t>
      </w:r>
    </w:p>
    <w:tbl>
      <w:tblPr>
        <w:tblW w:w="7702" w:type="dxa"/>
        <w:jc w:val="center"/>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32"/>
        <w:gridCol w:w="978"/>
        <w:gridCol w:w="1173"/>
        <w:gridCol w:w="1173"/>
        <w:gridCol w:w="1173"/>
        <w:gridCol w:w="1173"/>
      </w:tblGrid>
      <w:tr w:rsidR="002518C0" w:rsidRPr="00A809CE" w:rsidTr="00F86578">
        <w:trPr>
          <w:tblHeader/>
          <w:jc w:val="center"/>
        </w:trPr>
        <w:tc>
          <w:tcPr>
            <w:tcW w:w="2032" w:type="dxa"/>
            <w:shd w:val="clear" w:color="auto" w:fill="auto"/>
            <w:vAlign w:val="center"/>
          </w:tcPr>
          <w:p w:rsidR="002518C0" w:rsidRPr="00A809CE" w:rsidRDefault="002518C0" w:rsidP="00DA48DD">
            <w:pPr>
              <w:keepNext/>
              <w:tabs>
                <w:tab w:val="left" w:pos="142"/>
              </w:tabs>
              <w:rPr>
                <w:rFonts w:ascii="Arial Narrow" w:hAnsi="Arial Narrow"/>
                <w:b/>
                <w:sz w:val="20"/>
                <w:szCs w:val="20"/>
              </w:rPr>
            </w:pPr>
          </w:p>
        </w:tc>
        <w:tc>
          <w:tcPr>
            <w:tcW w:w="978" w:type="dxa"/>
            <w:shd w:val="clear" w:color="auto" w:fill="auto"/>
            <w:vAlign w:val="center"/>
          </w:tcPr>
          <w:p w:rsidR="002518C0" w:rsidRPr="00A809CE" w:rsidRDefault="002518C0" w:rsidP="00DA48DD">
            <w:pPr>
              <w:keepNext/>
              <w:jc w:val="center"/>
              <w:rPr>
                <w:rFonts w:ascii="Arial Narrow" w:hAnsi="Arial Narrow"/>
                <w:b/>
                <w:sz w:val="20"/>
                <w:szCs w:val="20"/>
              </w:rPr>
            </w:pPr>
            <w:r w:rsidRPr="00A809CE">
              <w:rPr>
                <w:rFonts w:ascii="Arial Narrow" w:hAnsi="Arial Narrow"/>
                <w:b/>
                <w:sz w:val="20"/>
                <w:szCs w:val="20"/>
              </w:rPr>
              <w:t>Year 1</w:t>
            </w:r>
          </w:p>
        </w:tc>
        <w:tc>
          <w:tcPr>
            <w:tcW w:w="1173" w:type="dxa"/>
            <w:shd w:val="clear" w:color="auto" w:fill="auto"/>
            <w:vAlign w:val="center"/>
          </w:tcPr>
          <w:p w:rsidR="002518C0" w:rsidRPr="00A809CE" w:rsidRDefault="002518C0" w:rsidP="00DA48DD">
            <w:pPr>
              <w:keepNext/>
              <w:jc w:val="center"/>
              <w:rPr>
                <w:rFonts w:ascii="Arial Narrow" w:hAnsi="Arial Narrow"/>
                <w:b/>
                <w:sz w:val="20"/>
                <w:szCs w:val="20"/>
              </w:rPr>
            </w:pPr>
            <w:r w:rsidRPr="00A809CE">
              <w:rPr>
                <w:rFonts w:ascii="Arial Narrow" w:hAnsi="Arial Narrow"/>
                <w:b/>
                <w:sz w:val="20"/>
                <w:szCs w:val="20"/>
              </w:rPr>
              <w:t>Year 2</w:t>
            </w:r>
          </w:p>
        </w:tc>
        <w:tc>
          <w:tcPr>
            <w:tcW w:w="1173" w:type="dxa"/>
            <w:shd w:val="clear" w:color="auto" w:fill="auto"/>
            <w:vAlign w:val="center"/>
          </w:tcPr>
          <w:p w:rsidR="002518C0" w:rsidRPr="00A809CE" w:rsidRDefault="002518C0" w:rsidP="00DA48DD">
            <w:pPr>
              <w:keepNext/>
              <w:jc w:val="center"/>
              <w:rPr>
                <w:rFonts w:ascii="Arial Narrow" w:hAnsi="Arial Narrow"/>
                <w:b/>
                <w:sz w:val="20"/>
                <w:szCs w:val="20"/>
              </w:rPr>
            </w:pPr>
            <w:r w:rsidRPr="00A809CE">
              <w:rPr>
                <w:rFonts w:ascii="Arial Narrow" w:hAnsi="Arial Narrow"/>
                <w:b/>
                <w:sz w:val="20"/>
                <w:szCs w:val="20"/>
              </w:rPr>
              <w:t>Year 3</w:t>
            </w:r>
          </w:p>
        </w:tc>
        <w:tc>
          <w:tcPr>
            <w:tcW w:w="1173" w:type="dxa"/>
            <w:shd w:val="clear" w:color="auto" w:fill="auto"/>
            <w:vAlign w:val="center"/>
          </w:tcPr>
          <w:p w:rsidR="002518C0" w:rsidRPr="00A809CE" w:rsidRDefault="002518C0" w:rsidP="00DA48DD">
            <w:pPr>
              <w:keepNext/>
              <w:jc w:val="center"/>
              <w:rPr>
                <w:rFonts w:ascii="Arial Narrow" w:hAnsi="Arial Narrow"/>
                <w:b/>
                <w:sz w:val="20"/>
                <w:szCs w:val="20"/>
              </w:rPr>
            </w:pPr>
            <w:r w:rsidRPr="00A809CE">
              <w:rPr>
                <w:rFonts w:ascii="Arial Narrow" w:hAnsi="Arial Narrow"/>
                <w:b/>
                <w:sz w:val="20"/>
                <w:szCs w:val="20"/>
              </w:rPr>
              <w:t>Year 4</w:t>
            </w:r>
          </w:p>
        </w:tc>
        <w:tc>
          <w:tcPr>
            <w:tcW w:w="1173" w:type="dxa"/>
            <w:shd w:val="clear" w:color="auto" w:fill="auto"/>
            <w:vAlign w:val="center"/>
          </w:tcPr>
          <w:p w:rsidR="002518C0" w:rsidRPr="00A809CE" w:rsidRDefault="002518C0" w:rsidP="00DA48DD">
            <w:pPr>
              <w:keepNext/>
              <w:jc w:val="center"/>
              <w:rPr>
                <w:rFonts w:ascii="Arial Narrow" w:hAnsi="Arial Narrow"/>
                <w:b/>
                <w:sz w:val="20"/>
                <w:szCs w:val="20"/>
              </w:rPr>
            </w:pPr>
            <w:r w:rsidRPr="00A809CE">
              <w:rPr>
                <w:rFonts w:ascii="Arial Narrow" w:hAnsi="Arial Narrow"/>
                <w:b/>
                <w:sz w:val="20"/>
                <w:szCs w:val="20"/>
              </w:rPr>
              <w:t>Year 5</w:t>
            </w:r>
          </w:p>
        </w:tc>
      </w:tr>
      <w:tr w:rsidR="002518C0" w:rsidRPr="00A809CE" w:rsidTr="00F86578">
        <w:trPr>
          <w:jc w:val="center"/>
        </w:trPr>
        <w:tc>
          <w:tcPr>
            <w:tcW w:w="7702" w:type="dxa"/>
            <w:gridSpan w:val="6"/>
            <w:shd w:val="clear" w:color="auto" w:fill="auto"/>
            <w:vAlign w:val="center"/>
          </w:tcPr>
          <w:p w:rsidR="002518C0" w:rsidRPr="00A809CE" w:rsidRDefault="002518C0" w:rsidP="00DA48DD">
            <w:pPr>
              <w:keepNext/>
              <w:rPr>
                <w:rFonts w:ascii="Arial Narrow" w:hAnsi="Arial Narrow"/>
                <w:b/>
                <w:bCs/>
                <w:color w:val="000000"/>
                <w:sz w:val="20"/>
                <w:szCs w:val="20"/>
              </w:rPr>
            </w:pPr>
            <w:r w:rsidRPr="00A809CE">
              <w:rPr>
                <w:rFonts w:ascii="Arial Narrow" w:hAnsi="Arial Narrow"/>
                <w:b/>
                <w:bCs/>
                <w:color w:val="000000"/>
                <w:sz w:val="20"/>
                <w:szCs w:val="20"/>
              </w:rPr>
              <w:t>Estimated extent of use</w:t>
            </w:r>
          </w:p>
        </w:tc>
      </w:tr>
      <w:tr w:rsidR="002518C0" w:rsidRPr="00A809CE" w:rsidTr="00F86578">
        <w:trPr>
          <w:jc w:val="center"/>
        </w:trPr>
        <w:tc>
          <w:tcPr>
            <w:tcW w:w="2032" w:type="dxa"/>
            <w:shd w:val="clear" w:color="auto" w:fill="auto"/>
            <w:vAlign w:val="center"/>
          </w:tcPr>
          <w:p w:rsidR="002518C0" w:rsidRPr="00A809CE" w:rsidRDefault="002518C0" w:rsidP="00DA48DD">
            <w:pPr>
              <w:keepNext/>
              <w:tabs>
                <w:tab w:val="left" w:pos="142"/>
              </w:tabs>
              <w:rPr>
                <w:rFonts w:ascii="Arial Narrow" w:hAnsi="Arial Narrow"/>
                <w:sz w:val="20"/>
                <w:szCs w:val="20"/>
              </w:rPr>
            </w:pPr>
            <w:r w:rsidRPr="00A809CE">
              <w:rPr>
                <w:rFonts w:ascii="Arial Narrow" w:hAnsi="Arial Narrow"/>
                <w:sz w:val="20"/>
                <w:szCs w:val="20"/>
              </w:rPr>
              <w:t>Number treated – Mar 2015</w:t>
            </w:r>
          </w:p>
        </w:tc>
        <w:tc>
          <w:tcPr>
            <w:tcW w:w="978" w:type="dxa"/>
            <w:shd w:val="clear" w:color="auto" w:fill="auto"/>
            <w:vAlign w:val="center"/>
          </w:tcPr>
          <w:p w:rsidR="002518C0" w:rsidRPr="00622211" w:rsidRDefault="00622211" w:rsidP="00DA48DD">
            <w:pPr>
              <w:keepNext/>
              <w:jc w:val="center"/>
              <w:rPr>
                <w:rFonts w:ascii="Arial Narrow" w:hAnsi="Arial Narrow"/>
                <w:bCs/>
                <w:color w:val="000000"/>
                <w:sz w:val="20"/>
                <w:szCs w:val="20"/>
                <w:highlight w:val="black"/>
              </w:rPr>
            </w:pPr>
            <w:r>
              <w:rPr>
                <w:rFonts w:ascii="Arial Narrow" w:hAnsi="Arial Narrow"/>
                <w:bCs/>
                <w:noProof/>
                <w:color w:val="000000"/>
                <w:sz w:val="20"/>
                <w:szCs w:val="20"/>
                <w:highlight w:val="black"/>
              </w:rPr>
              <w:t>'''''</w:t>
            </w:r>
          </w:p>
        </w:tc>
        <w:tc>
          <w:tcPr>
            <w:tcW w:w="1173" w:type="dxa"/>
            <w:shd w:val="clear" w:color="auto" w:fill="auto"/>
            <w:vAlign w:val="center"/>
          </w:tcPr>
          <w:p w:rsidR="002518C0" w:rsidRPr="00622211" w:rsidRDefault="00622211" w:rsidP="00DA48DD">
            <w:pPr>
              <w:keepNext/>
              <w:jc w:val="center"/>
              <w:rPr>
                <w:rFonts w:ascii="Arial Narrow" w:hAnsi="Arial Narrow"/>
                <w:bCs/>
                <w:color w:val="000000"/>
                <w:sz w:val="20"/>
                <w:szCs w:val="20"/>
                <w:highlight w:val="black"/>
              </w:rPr>
            </w:pPr>
            <w:r>
              <w:rPr>
                <w:rFonts w:ascii="Arial Narrow" w:hAnsi="Arial Narrow"/>
                <w:bCs/>
                <w:noProof/>
                <w:color w:val="000000"/>
                <w:sz w:val="20"/>
                <w:szCs w:val="20"/>
                <w:highlight w:val="black"/>
              </w:rPr>
              <w:t>'''''''''</w:t>
            </w:r>
          </w:p>
        </w:tc>
        <w:tc>
          <w:tcPr>
            <w:tcW w:w="1173" w:type="dxa"/>
            <w:shd w:val="clear" w:color="auto" w:fill="auto"/>
            <w:vAlign w:val="center"/>
          </w:tcPr>
          <w:p w:rsidR="002518C0" w:rsidRPr="00622211" w:rsidRDefault="00622211" w:rsidP="00DA48DD">
            <w:pPr>
              <w:keepNext/>
              <w:jc w:val="center"/>
              <w:rPr>
                <w:rFonts w:ascii="Arial Narrow" w:hAnsi="Arial Narrow"/>
                <w:bCs/>
                <w:color w:val="000000"/>
                <w:sz w:val="20"/>
                <w:szCs w:val="20"/>
                <w:highlight w:val="black"/>
              </w:rPr>
            </w:pPr>
            <w:r>
              <w:rPr>
                <w:rFonts w:ascii="Arial Narrow" w:hAnsi="Arial Narrow"/>
                <w:bCs/>
                <w:noProof/>
                <w:color w:val="000000"/>
                <w:sz w:val="20"/>
                <w:szCs w:val="20"/>
                <w:highlight w:val="black"/>
              </w:rPr>
              <w:t>'''''''''</w:t>
            </w:r>
          </w:p>
        </w:tc>
        <w:tc>
          <w:tcPr>
            <w:tcW w:w="1173" w:type="dxa"/>
            <w:shd w:val="clear" w:color="auto" w:fill="auto"/>
            <w:vAlign w:val="center"/>
          </w:tcPr>
          <w:p w:rsidR="002518C0" w:rsidRPr="00622211" w:rsidRDefault="00622211" w:rsidP="00DA48DD">
            <w:pPr>
              <w:keepNext/>
              <w:jc w:val="center"/>
              <w:rPr>
                <w:rFonts w:ascii="Arial Narrow" w:hAnsi="Arial Narrow"/>
                <w:bCs/>
                <w:color w:val="000000"/>
                <w:sz w:val="20"/>
                <w:szCs w:val="20"/>
                <w:highlight w:val="black"/>
              </w:rPr>
            </w:pPr>
            <w:r>
              <w:rPr>
                <w:rFonts w:ascii="Arial Narrow" w:hAnsi="Arial Narrow"/>
                <w:bCs/>
                <w:noProof/>
                <w:color w:val="000000"/>
                <w:sz w:val="20"/>
                <w:szCs w:val="20"/>
                <w:highlight w:val="black"/>
              </w:rPr>
              <w:t>'''''''''</w:t>
            </w:r>
          </w:p>
        </w:tc>
        <w:tc>
          <w:tcPr>
            <w:tcW w:w="1173" w:type="dxa"/>
            <w:shd w:val="clear" w:color="auto" w:fill="auto"/>
            <w:vAlign w:val="center"/>
          </w:tcPr>
          <w:p w:rsidR="002518C0" w:rsidRPr="00622211" w:rsidRDefault="00622211" w:rsidP="00DA48DD">
            <w:pPr>
              <w:keepNext/>
              <w:jc w:val="center"/>
              <w:rPr>
                <w:rFonts w:ascii="Arial Narrow" w:hAnsi="Arial Narrow"/>
                <w:bCs/>
                <w:color w:val="000000"/>
                <w:sz w:val="20"/>
                <w:szCs w:val="20"/>
                <w:highlight w:val="black"/>
              </w:rPr>
            </w:pPr>
            <w:r>
              <w:rPr>
                <w:rFonts w:ascii="Arial Narrow" w:hAnsi="Arial Narrow"/>
                <w:bCs/>
                <w:noProof/>
                <w:color w:val="000000"/>
                <w:sz w:val="20"/>
                <w:szCs w:val="20"/>
                <w:highlight w:val="black"/>
              </w:rPr>
              <w:t>'''''''''</w:t>
            </w:r>
          </w:p>
        </w:tc>
      </w:tr>
      <w:tr w:rsidR="002518C0" w:rsidRPr="00A809CE" w:rsidTr="00F86578">
        <w:trPr>
          <w:jc w:val="center"/>
        </w:trPr>
        <w:tc>
          <w:tcPr>
            <w:tcW w:w="2032" w:type="dxa"/>
            <w:shd w:val="clear" w:color="auto" w:fill="auto"/>
            <w:vAlign w:val="center"/>
          </w:tcPr>
          <w:p w:rsidR="002518C0" w:rsidRPr="00A809CE" w:rsidRDefault="002518C0" w:rsidP="00DA48DD">
            <w:pPr>
              <w:keepNext/>
              <w:tabs>
                <w:tab w:val="left" w:pos="142"/>
              </w:tabs>
              <w:rPr>
                <w:rFonts w:ascii="Arial Narrow" w:hAnsi="Arial Narrow"/>
                <w:sz w:val="20"/>
                <w:szCs w:val="20"/>
              </w:rPr>
            </w:pPr>
            <w:r w:rsidRPr="00A809CE">
              <w:rPr>
                <w:rFonts w:ascii="Arial Narrow" w:hAnsi="Arial Narrow"/>
                <w:sz w:val="20"/>
                <w:szCs w:val="20"/>
              </w:rPr>
              <w:t>Number treated</w:t>
            </w:r>
            <w:r w:rsidR="001E0A8B" w:rsidRPr="00A809CE">
              <w:rPr>
                <w:rFonts w:ascii="Arial Narrow" w:hAnsi="Arial Narrow"/>
                <w:sz w:val="20"/>
                <w:szCs w:val="20"/>
              </w:rPr>
              <w:t xml:space="preserve"> – Nov 2015</w:t>
            </w:r>
          </w:p>
        </w:tc>
        <w:tc>
          <w:tcPr>
            <w:tcW w:w="978" w:type="dxa"/>
            <w:shd w:val="clear" w:color="auto" w:fill="auto"/>
            <w:vAlign w:val="center"/>
          </w:tcPr>
          <w:p w:rsidR="002518C0" w:rsidRPr="00622211" w:rsidRDefault="00622211" w:rsidP="00DA48DD">
            <w:pPr>
              <w:keepNext/>
              <w:jc w:val="center"/>
              <w:rPr>
                <w:rStyle w:val="TableText0"/>
                <w:szCs w:val="20"/>
                <w:highlight w:val="black"/>
              </w:rPr>
            </w:pPr>
            <w:r>
              <w:rPr>
                <w:rStyle w:val="TableText0"/>
                <w:noProof/>
                <w:color w:val="000000"/>
                <w:szCs w:val="20"/>
                <w:highlight w:val="black"/>
              </w:rPr>
              <w:t>'''''</w:t>
            </w:r>
          </w:p>
        </w:tc>
        <w:tc>
          <w:tcPr>
            <w:tcW w:w="1173" w:type="dxa"/>
            <w:shd w:val="clear" w:color="auto" w:fill="auto"/>
            <w:vAlign w:val="center"/>
          </w:tcPr>
          <w:p w:rsidR="002518C0" w:rsidRPr="00622211" w:rsidRDefault="00622211" w:rsidP="00DA48DD">
            <w:pPr>
              <w:keepNext/>
              <w:jc w:val="center"/>
              <w:rPr>
                <w:rStyle w:val="TableText0"/>
                <w:szCs w:val="20"/>
                <w:highlight w:val="black"/>
              </w:rPr>
            </w:pPr>
            <w:r>
              <w:rPr>
                <w:rStyle w:val="TableText0"/>
                <w:noProof/>
                <w:color w:val="000000"/>
                <w:szCs w:val="20"/>
                <w:highlight w:val="black"/>
              </w:rPr>
              <w:t>'''''''''</w:t>
            </w:r>
          </w:p>
        </w:tc>
        <w:tc>
          <w:tcPr>
            <w:tcW w:w="1173" w:type="dxa"/>
            <w:shd w:val="clear" w:color="auto" w:fill="auto"/>
            <w:vAlign w:val="center"/>
          </w:tcPr>
          <w:p w:rsidR="002518C0" w:rsidRPr="00622211" w:rsidRDefault="00622211" w:rsidP="00DA48DD">
            <w:pPr>
              <w:keepNext/>
              <w:jc w:val="center"/>
              <w:rPr>
                <w:rStyle w:val="TableText0"/>
                <w:szCs w:val="20"/>
                <w:highlight w:val="black"/>
              </w:rPr>
            </w:pPr>
            <w:r>
              <w:rPr>
                <w:rStyle w:val="TableText0"/>
                <w:noProof/>
                <w:color w:val="000000"/>
                <w:szCs w:val="20"/>
                <w:highlight w:val="black"/>
              </w:rPr>
              <w:t>''''''''''</w:t>
            </w:r>
          </w:p>
        </w:tc>
        <w:tc>
          <w:tcPr>
            <w:tcW w:w="1173" w:type="dxa"/>
            <w:shd w:val="clear" w:color="auto" w:fill="auto"/>
            <w:vAlign w:val="center"/>
          </w:tcPr>
          <w:p w:rsidR="002518C0" w:rsidRPr="00622211" w:rsidRDefault="00622211" w:rsidP="00DA48DD">
            <w:pPr>
              <w:keepNext/>
              <w:jc w:val="center"/>
              <w:rPr>
                <w:rStyle w:val="TableText0"/>
                <w:szCs w:val="20"/>
                <w:highlight w:val="black"/>
              </w:rPr>
            </w:pPr>
            <w:r>
              <w:rPr>
                <w:rStyle w:val="TableText0"/>
                <w:noProof/>
                <w:color w:val="000000"/>
                <w:szCs w:val="20"/>
                <w:highlight w:val="black"/>
              </w:rPr>
              <w:t>'''''''''</w:t>
            </w:r>
          </w:p>
        </w:tc>
        <w:tc>
          <w:tcPr>
            <w:tcW w:w="1173" w:type="dxa"/>
            <w:shd w:val="clear" w:color="auto" w:fill="auto"/>
            <w:vAlign w:val="center"/>
          </w:tcPr>
          <w:p w:rsidR="002518C0" w:rsidRPr="00622211" w:rsidRDefault="00622211" w:rsidP="00DA48DD">
            <w:pPr>
              <w:keepNext/>
              <w:jc w:val="center"/>
              <w:rPr>
                <w:rStyle w:val="TableText0"/>
                <w:szCs w:val="20"/>
                <w:highlight w:val="black"/>
              </w:rPr>
            </w:pPr>
            <w:r>
              <w:rPr>
                <w:rStyle w:val="TableText0"/>
                <w:noProof/>
                <w:color w:val="000000"/>
                <w:szCs w:val="20"/>
                <w:highlight w:val="black"/>
              </w:rPr>
              <w:t>'''''''''</w:t>
            </w:r>
          </w:p>
        </w:tc>
      </w:tr>
      <w:tr w:rsidR="00BF5A5A" w:rsidRPr="00A809CE" w:rsidTr="00F86578">
        <w:trPr>
          <w:jc w:val="center"/>
        </w:trPr>
        <w:tc>
          <w:tcPr>
            <w:tcW w:w="2032" w:type="dxa"/>
            <w:shd w:val="clear" w:color="auto" w:fill="auto"/>
            <w:vAlign w:val="center"/>
          </w:tcPr>
          <w:p w:rsidR="00BF5A5A" w:rsidRPr="00A809CE" w:rsidRDefault="00BF5A5A" w:rsidP="00DA48DD">
            <w:pPr>
              <w:keepNext/>
              <w:tabs>
                <w:tab w:val="left" w:pos="142"/>
              </w:tabs>
              <w:rPr>
                <w:rFonts w:ascii="Arial Narrow" w:hAnsi="Arial Narrow"/>
                <w:sz w:val="20"/>
                <w:szCs w:val="20"/>
              </w:rPr>
            </w:pPr>
            <w:r w:rsidRPr="00A809CE">
              <w:rPr>
                <w:rFonts w:ascii="Arial Narrow" w:hAnsi="Arial Narrow"/>
                <w:sz w:val="20"/>
                <w:szCs w:val="20"/>
              </w:rPr>
              <w:t>Number treated – Nov 2015 alternate</w:t>
            </w:r>
          </w:p>
        </w:tc>
        <w:tc>
          <w:tcPr>
            <w:tcW w:w="978" w:type="dxa"/>
            <w:shd w:val="clear" w:color="auto" w:fill="auto"/>
            <w:vAlign w:val="center"/>
          </w:tcPr>
          <w:p w:rsidR="00BF5A5A" w:rsidRPr="00622211" w:rsidRDefault="00622211" w:rsidP="00DA48DD">
            <w:pPr>
              <w:keepNext/>
              <w:jc w:val="center"/>
              <w:rPr>
                <w:rStyle w:val="TableText0"/>
                <w:szCs w:val="20"/>
                <w:highlight w:val="black"/>
              </w:rPr>
            </w:pPr>
            <w:r>
              <w:rPr>
                <w:rStyle w:val="TableText0"/>
                <w:noProof/>
                <w:color w:val="000000"/>
                <w:szCs w:val="20"/>
                <w:highlight w:val="black"/>
              </w:rPr>
              <w:t>''''''''''</w:t>
            </w:r>
          </w:p>
        </w:tc>
        <w:tc>
          <w:tcPr>
            <w:tcW w:w="1173" w:type="dxa"/>
            <w:shd w:val="clear" w:color="auto" w:fill="auto"/>
            <w:vAlign w:val="center"/>
          </w:tcPr>
          <w:p w:rsidR="00BF5A5A" w:rsidRPr="00622211" w:rsidRDefault="00622211" w:rsidP="00DA48DD">
            <w:pPr>
              <w:keepNext/>
              <w:jc w:val="center"/>
              <w:rPr>
                <w:rStyle w:val="TableText0"/>
                <w:szCs w:val="20"/>
                <w:highlight w:val="black"/>
              </w:rPr>
            </w:pPr>
            <w:r>
              <w:rPr>
                <w:rStyle w:val="TableText0"/>
                <w:noProof/>
                <w:color w:val="000000"/>
                <w:szCs w:val="20"/>
                <w:highlight w:val="black"/>
              </w:rPr>
              <w:t>''''''''''</w:t>
            </w:r>
          </w:p>
        </w:tc>
        <w:tc>
          <w:tcPr>
            <w:tcW w:w="1173" w:type="dxa"/>
            <w:shd w:val="clear" w:color="auto" w:fill="auto"/>
            <w:vAlign w:val="center"/>
          </w:tcPr>
          <w:p w:rsidR="00BF5A5A" w:rsidRPr="00622211" w:rsidRDefault="00622211" w:rsidP="00DA48DD">
            <w:pPr>
              <w:keepNext/>
              <w:jc w:val="center"/>
              <w:rPr>
                <w:rStyle w:val="TableText0"/>
                <w:szCs w:val="20"/>
                <w:highlight w:val="black"/>
              </w:rPr>
            </w:pPr>
            <w:r>
              <w:rPr>
                <w:rStyle w:val="TableText0"/>
                <w:noProof/>
                <w:color w:val="000000"/>
                <w:szCs w:val="20"/>
                <w:highlight w:val="black"/>
              </w:rPr>
              <w:t>''''''''''</w:t>
            </w:r>
          </w:p>
        </w:tc>
        <w:tc>
          <w:tcPr>
            <w:tcW w:w="1173" w:type="dxa"/>
            <w:shd w:val="clear" w:color="auto" w:fill="auto"/>
            <w:vAlign w:val="center"/>
          </w:tcPr>
          <w:p w:rsidR="00BF5A5A" w:rsidRPr="00622211" w:rsidRDefault="00622211" w:rsidP="00DA48DD">
            <w:pPr>
              <w:keepNext/>
              <w:jc w:val="center"/>
              <w:rPr>
                <w:rStyle w:val="TableText0"/>
                <w:szCs w:val="20"/>
                <w:highlight w:val="black"/>
              </w:rPr>
            </w:pPr>
            <w:r>
              <w:rPr>
                <w:rStyle w:val="TableText0"/>
                <w:noProof/>
                <w:color w:val="000000"/>
                <w:szCs w:val="20"/>
                <w:highlight w:val="black"/>
              </w:rPr>
              <w:t>''''''''''</w:t>
            </w:r>
          </w:p>
        </w:tc>
        <w:tc>
          <w:tcPr>
            <w:tcW w:w="1173" w:type="dxa"/>
            <w:shd w:val="clear" w:color="auto" w:fill="auto"/>
            <w:vAlign w:val="center"/>
          </w:tcPr>
          <w:p w:rsidR="00BF5A5A" w:rsidRPr="00622211" w:rsidRDefault="00622211" w:rsidP="00DA48DD">
            <w:pPr>
              <w:keepNext/>
              <w:jc w:val="center"/>
              <w:rPr>
                <w:rStyle w:val="TableText0"/>
                <w:szCs w:val="20"/>
                <w:highlight w:val="black"/>
              </w:rPr>
            </w:pPr>
            <w:r>
              <w:rPr>
                <w:rStyle w:val="TableText0"/>
                <w:noProof/>
                <w:color w:val="000000"/>
                <w:szCs w:val="20"/>
                <w:highlight w:val="black"/>
              </w:rPr>
              <w:t>''''''''''</w:t>
            </w:r>
          </w:p>
        </w:tc>
      </w:tr>
      <w:tr w:rsidR="001E0A8B" w:rsidRPr="00A809CE" w:rsidTr="00F86578">
        <w:trPr>
          <w:jc w:val="center"/>
        </w:trPr>
        <w:tc>
          <w:tcPr>
            <w:tcW w:w="2032" w:type="dxa"/>
            <w:shd w:val="clear" w:color="auto" w:fill="auto"/>
            <w:vAlign w:val="center"/>
          </w:tcPr>
          <w:p w:rsidR="001E0A8B" w:rsidRPr="00A809CE" w:rsidRDefault="001E0A8B" w:rsidP="00DA48DD">
            <w:pPr>
              <w:keepNext/>
              <w:tabs>
                <w:tab w:val="left" w:pos="142"/>
              </w:tabs>
              <w:rPr>
                <w:rFonts w:ascii="Arial Narrow" w:hAnsi="Arial Narrow"/>
                <w:sz w:val="20"/>
                <w:szCs w:val="20"/>
              </w:rPr>
            </w:pPr>
            <w:r w:rsidRPr="00A809CE">
              <w:rPr>
                <w:rFonts w:ascii="Arial Narrow" w:hAnsi="Arial Narrow"/>
                <w:sz w:val="20"/>
                <w:szCs w:val="20"/>
              </w:rPr>
              <w:t>Number treated</w:t>
            </w:r>
          </w:p>
        </w:tc>
        <w:tc>
          <w:tcPr>
            <w:tcW w:w="978" w:type="dxa"/>
            <w:shd w:val="clear" w:color="auto" w:fill="auto"/>
            <w:vAlign w:val="center"/>
          </w:tcPr>
          <w:p w:rsidR="001E0A8B" w:rsidRPr="00622211" w:rsidRDefault="00622211" w:rsidP="00DA48DD">
            <w:pPr>
              <w:keepNext/>
              <w:jc w:val="center"/>
              <w:rPr>
                <w:rStyle w:val="TableText0"/>
                <w:szCs w:val="20"/>
                <w:highlight w:val="black"/>
              </w:rPr>
            </w:pPr>
            <w:r>
              <w:rPr>
                <w:rStyle w:val="TableText0"/>
                <w:noProof/>
                <w:color w:val="000000"/>
                <w:szCs w:val="20"/>
                <w:highlight w:val="black"/>
              </w:rPr>
              <w:t>'''''''''</w:t>
            </w:r>
          </w:p>
        </w:tc>
        <w:tc>
          <w:tcPr>
            <w:tcW w:w="1173" w:type="dxa"/>
            <w:shd w:val="clear" w:color="auto" w:fill="auto"/>
            <w:vAlign w:val="center"/>
          </w:tcPr>
          <w:p w:rsidR="001E0A8B" w:rsidRPr="00622211" w:rsidRDefault="00622211" w:rsidP="00DA48DD">
            <w:pPr>
              <w:keepNext/>
              <w:jc w:val="center"/>
              <w:rPr>
                <w:rStyle w:val="TableText0"/>
                <w:szCs w:val="20"/>
                <w:highlight w:val="black"/>
              </w:rPr>
            </w:pPr>
            <w:r>
              <w:rPr>
                <w:rStyle w:val="TableText0"/>
                <w:noProof/>
                <w:color w:val="000000"/>
                <w:szCs w:val="20"/>
                <w:highlight w:val="black"/>
              </w:rPr>
              <w:t>'''''''''</w:t>
            </w:r>
          </w:p>
        </w:tc>
        <w:tc>
          <w:tcPr>
            <w:tcW w:w="1173" w:type="dxa"/>
            <w:shd w:val="clear" w:color="auto" w:fill="auto"/>
            <w:vAlign w:val="center"/>
          </w:tcPr>
          <w:p w:rsidR="001E0A8B" w:rsidRPr="00622211" w:rsidRDefault="00622211" w:rsidP="00DA48DD">
            <w:pPr>
              <w:keepNext/>
              <w:jc w:val="center"/>
              <w:rPr>
                <w:rStyle w:val="TableText0"/>
                <w:szCs w:val="20"/>
                <w:highlight w:val="black"/>
              </w:rPr>
            </w:pPr>
            <w:r>
              <w:rPr>
                <w:rStyle w:val="TableText0"/>
                <w:noProof/>
                <w:color w:val="000000"/>
                <w:szCs w:val="20"/>
                <w:highlight w:val="black"/>
              </w:rPr>
              <w:t>''''''''''</w:t>
            </w:r>
          </w:p>
        </w:tc>
        <w:tc>
          <w:tcPr>
            <w:tcW w:w="1173" w:type="dxa"/>
            <w:shd w:val="clear" w:color="auto" w:fill="auto"/>
            <w:vAlign w:val="center"/>
          </w:tcPr>
          <w:p w:rsidR="001E0A8B" w:rsidRPr="00622211" w:rsidRDefault="00622211" w:rsidP="00DA48DD">
            <w:pPr>
              <w:keepNext/>
              <w:jc w:val="center"/>
              <w:rPr>
                <w:rStyle w:val="TableText0"/>
                <w:szCs w:val="20"/>
                <w:highlight w:val="black"/>
              </w:rPr>
            </w:pPr>
            <w:r>
              <w:rPr>
                <w:rStyle w:val="TableText0"/>
                <w:noProof/>
                <w:color w:val="000000"/>
                <w:szCs w:val="20"/>
                <w:highlight w:val="black"/>
              </w:rPr>
              <w:t>''''''''''</w:t>
            </w:r>
          </w:p>
        </w:tc>
        <w:tc>
          <w:tcPr>
            <w:tcW w:w="1173" w:type="dxa"/>
            <w:shd w:val="clear" w:color="auto" w:fill="auto"/>
            <w:vAlign w:val="center"/>
          </w:tcPr>
          <w:p w:rsidR="001E0A8B" w:rsidRPr="00622211" w:rsidRDefault="00622211" w:rsidP="00DA48DD">
            <w:pPr>
              <w:keepNext/>
              <w:jc w:val="center"/>
              <w:rPr>
                <w:rStyle w:val="TableText0"/>
                <w:szCs w:val="20"/>
                <w:highlight w:val="black"/>
              </w:rPr>
            </w:pPr>
            <w:r>
              <w:rPr>
                <w:rStyle w:val="TableText0"/>
                <w:noProof/>
                <w:color w:val="000000"/>
                <w:szCs w:val="20"/>
                <w:highlight w:val="black"/>
              </w:rPr>
              <w:t>''''''''''</w:t>
            </w:r>
          </w:p>
        </w:tc>
      </w:tr>
      <w:tr w:rsidR="002518C0" w:rsidRPr="00A809CE" w:rsidTr="00F86578">
        <w:trPr>
          <w:jc w:val="center"/>
        </w:trPr>
        <w:tc>
          <w:tcPr>
            <w:tcW w:w="7702" w:type="dxa"/>
            <w:gridSpan w:val="6"/>
            <w:shd w:val="clear" w:color="auto" w:fill="auto"/>
            <w:vAlign w:val="center"/>
          </w:tcPr>
          <w:p w:rsidR="002518C0" w:rsidRPr="00A809CE" w:rsidRDefault="002518C0" w:rsidP="00DA48DD">
            <w:pPr>
              <w:keepNext/>
              <w:rPr>
                <w:rFonts w:ascii="Arial Narrow" w:hAnsi="Arial Narrow"/>
                <w:b/>
                <w:bCs/>
                <w:color w:val="000000"/>
                <w:sz w:val="20"/>
                <w:szCs w:val="20"/>
              </w:rPr>
            </w:pPr>
            <w:r w:rsidRPr="00A809CE">
              <w:rPr>
                <w:rFonts w:ascii="Arial Narrow" w:hAnsi="Arial Narrow"/>
                <w:b/>
                <w:bCs/>
                <w:color w:val="000000"/>
                <w:sz w:val="20"/>
                <w:szCs w:val="20"/>
              </w:rPr>
              <w:t>Estimated net cost to PBS/RPBS/MBS</w:t>
            </w:r>
          </w:p>
        </w:tc>
      </w:tr>
      <w:tr w:rsidR="002518C0" w:rsidRPr="00A809CE" w:rsidTr="00F86578">
        <w:trPr>
          <w:jc w:val="center"/>
        </w:trPr>
        <w:tc>
          <w:tcPr>
            <w:tcW w:w="2032" w:type="dxa"/>
            <w:shd w:val="clear" w:color="auto" w:fill="auto"/>
            <w:vAlign w:val="center"/>
          </w:tcPr>
          <w:p w:rsidR="002518C0" w:rsidRPr="00A809CE" w:rsidRDefault="002518C0" w:rsidP="009B7F65">
            <w:pPr>
              <w:keepNext/>
              <w:tabs>
                <w:tab w:val="left" w:pos="142"/>
              </w:tabs>
              <w:jc w:val="center"/>
              <w:rPr>
                <w:rFonts w:ascii="Arial Narrow" w:hAnsi="Arial Narrow"/>
                <w:sz w:val="20"/>
                <w:szCs w:val="20"/>
              </w:rPr>
            </w:pPr>
            <w:r w:rsidRPr="00A809CE">
              <w:rPr>
                <w:rFonts w:ascii="Arial Narrow" w:hAnsi="Arial Narrow"/>
                <w:sz w:val="20"/>
                <w:szCs w:val="20"/>
              </w:rPr>
              <w:t>Net cost to PBS/RPBS – Mar 2015</w:t>
            </w:r>
          </w:p>
        </w:tc>
        <w:tc>
          <w:tcPr>
            <w:tcW w:w="978" w:type="dxa"/>
            <w:shd w:val="clear" w:color="auto" w:fill="auto"/>
            <w:vAlign w:val="center"/>
          </w:tcPr>
          <w:p w:rsidR="002518C0" w:rsidRPr="00A809CE" w:rsidRDefault="002518C0" w:rsidP="009B7F65">
            <w:pPr>
              <w:keepNext/>
              <w:jc w:val="center"/>
              <w:rPr>
                <w:rFonts w:ascii="Arial Narrow" w:hAnsi="Arial Narrow"/>
                <w:bCs/>
                <w:color w:val="000000"/>
                <w:sz w:val="20"/>
                <w:szCs w:val="20"/>
              </w:rPr>
            </w:pPr>
            <w:r w:rsidRPr="00A809CE">
              <w:rPr>
                <w:rFonts w:ascii="Arial Narrow" w:hAnsi="Arial Narrow"/>
                <w:bCs/>
                <w:color w:val="000000"/>
                <w:sz w:val="20"/>
                <w:szCs w:val="20"/>
              </w:rPr>
              <w:t>$</w:t>
            </w:r>
            <w:r w:rsidR="00622211">
              <w:rPr>
                <w:rFonts w:ascii="Arial Narrow" w:hAnsi="Arial Narrow"/>
                <w:bCs/>
                <w:noProof/>
                <w:color w:val="000000"/>
                <w:sz w:val="20"/>
                <w:szCs w:val="20"/>
                <w:highlight w:val="black"/>
              </w:rPr>
              <w:t>'''''''''''''''''''''''''</w:t>
            </w:r>
          </w:p>
        </w:tc>
        <w:tc>
          <w:tcPr>
            <w:tcW w:w="1173" w:type="dxa"/>
            <w:shd w:val="clear" w:color="auto" w:fill="auto"/>
            <w:vAlign w:val="center"/>
          </w:tcPr>
          <w:p w:rsidR="002518C0" w:rsidRPr="00A809CE" w:rsidRDefault="002518C0" w:rsidP="009B7F65">
            <w:pPr>
              <w:keepNext/>
              <w:jc w:val="center"/>
              <w:rPr>
                <w:rFonts w:ascii="Arial Narrow" w:hAnsi="Arial Narrow"/>
                <w:bCs/>
                <w:color w:val="000000"/>
                <w:sz w:val="20"/>
                <w:szCs w:val="20"/>
              </w:rPr>
            </w:pPr>
            <w:r w:rsidRPr="00A809CE">
              <w:rPr>
                <w:rFonts w:ascii="Arial Narrow" w:hAnsi="Arial Narrow"/>
                <w:bCs/>
                <w:color w:val="000000"/>
                <w:sz w:val="20"/>
                <w:szCs w:val="20"/>
              </w:rPr>
              <w:t>$</w:t>
            </w:r>
            <w:r w:rsidR="00622211">
              <w:rPr>
                <w:rFonts w:ascii="Arial Narrow" w:hAnsi="Arial Narrow"/>
                <w:bCs/>
                <w:noProof/>
                <w:color w:val="000000"/>
                <w:sz w:val="20"/>
                <w:szCs w:val="20"/>
                <w:highlight w:val="black"/>
              </w:rPr>
              <w:t>'''''''''''''''''''''''</w:t>
            </w:r>
          </w:p>
        </w:tc>
        <w:tc>
          <w:tcPr>
            <w:tcW w:w="1173" w:type="dxa"/>
            <w:shd w:val="clear" w:color="auto" w:fill="auto"/>
            <w:vAlign w:val="center"/>
          </w:tcPr>
          <w:p w:rsidR="002518C0" w:rsidRPr="00A809CE" w:rsidRDefault="002518C0" w:rsidP="009B7F65">
            <w:pPr>
              <w:keepNext/>
              <w:jc w:val="center"/>
              <w:rPr>
                <w:rFonts w:ascii="Arial Narrow" w:hAnsi="Arial Narrow"/>
                <w:bCs/>
                <w:color w:val="000000"/>
                <w:sz w:val="20"/>
                <w:szCs w:val="20"/>
              </w:rPr>
            </w:pPr>
            <w:r w:rsidRPr="00A809CE">
              <w:rPr>
                <w:rFonts w:ascii="Arial Narrow" w:hAnsi="Arial Narrow"/>
                <w:bCs/>
                <w:color w:val="000000"/>
                <w:sz w:val="20"/>
                <w:szCs w:val="20"/>
              </w:rPr>
              <w:t>$</w:t>
            </w:r>
            <w:r w:rsidR="00622211">
              <w:rPr>
                <w:rFonts w:ascii="Arial Narrow" w:hAnsi="Arial Narrow"/>
                <w:bCs/>
                <w:noProof/>
                <w:color w:val="000000"/>
                <w:sz w:val="20"/>
                <w:szCs w:val="20"/>
                <w:highlight w:val="black"/>
              </w:rPr>
              <w:t>''''''''''''''''''''''''''</w:t>
            </w:r>
          </w:p>
        </w:tc>
        <w:tc>
          <w:tcPr>
            <w:tcW w:w="1173" w:type="dxa"/>
            <w:shd w:val="clear" w:color="auto" w:fill="auto"/>
            <w:vAlign w:val="center"/>
          </w:tcPr>
          <w:p w:rsidR="002518C0" w:rsidRPr="00A809CE" w:rsidRDefault="002518C0" w:rsidP="009B7F65">
            <w:pPr>
              <w:keepNext/>
              <w:jc w:val="center"/>
              <w:rPr>
                <w:rFonts w:ascii="Arial Narrow" w:hAnsi="Arial Narrow"/>
                <w:bCs/>
                <w:color w:val="000000"/>
                <w:sz w:val="20"/>
                <w:szCs w:val="20"/>
              </w:rPr>
            </w:pPr>
            <w:r w:rsidRPr="00A809CE">
              <w:rPr>
                <w:rFonts w:ascii="Arial Narrow" w:hAnsi="Arial Narrow"/>
                <w:bCs/>
                <w:color w:val="000000"/>
                <w:sz w:val="20"/>
                <w:szCs w:val="20"/>
              </w:rPr>
              <w:t>$</w:t>
            </w:r>
            <w:r w:rsidR="00622211">
              <w:rPr>
                <w:rFonts w:ascii="Arial Narrow" w:hAnsi="Arial Narrow"/>
                <w:bCs/>
                <w:noProof/>
                <w:color w:val="000000"/>
                <w:sz w:val="20"/>
                <w:szCs w:val="20"/>
                <w:highlight w:val="black"/>
              </w:rPr>
              <w:t>'''''''''''''''''''''''''</w:t>
            </w:r>
          </w:p>
        </w:tc>
        <w:tc>
          <w:tcPr>
            <w:tcW w:w="1173" w:type="dxa"/>
            <w:shd w:val="clear" w:color="auto" w:fill="auto"/>
            <w:vAlign w:val="center"/>
          </w:tcPr>
          <w:p w:rsidR="002518C0" w:rsidRPr="00A809CE" w:rsidRDefault="002518C0" w:rsidP="009B7F65">
            <w:pPr>
              <w:keepNext/>
              <w:jc w:val="center"/>
              <w:rPr>
                <w:rFonts w:ascii="Arial Narrow" w:hAnsi="Arial Narrow"/>
                <w:bCs/>
                <w:color w:val="000000"/>
                <w:sz w:val="20"/>
                <w:szCs w:val="20"/>
              </w:rPr>
            </w:pPr>
            <w:r w:rsidRPr="00A809CE">
              <w:rPr>
                <w:rFonts w:ascii="Arial Narrow" w:hAnsi="Arial Narrow"/>
                <w:bCs/>
                <w:color w:val="000000"/>
                <w:sz w:val="20"/>
                <w:szCs w:val="20"/>
              </w:rPr>
              <w:t>$</w:t>
            </w:r>
            <w:r w:rsidR="00622211">
              <w:rPr>
                <w:rFonts w:ascii="Arial Narrow" w:hAnsi="Arial Narrow"/>
                <w:bCs/>
                <w:noProof/>
                <w:color w:val="000000"/>
                <w:sz w:val="20"/>
                <w:szCs w:val="20"/>
                <w:highlight w:val="black"/>
              </w:rPr>
              <w:t>''''''''''''''''''''''''''</w:t>
            </w:r>
          </w:p>
        </w:tc>
      </w:tr>
      <w:tr w:rsidR="002518C0" w:rsidRPr="00A809CE" w:rsidTr="00F86578">
        <w:trPr>
          <w:jc w:val="center"/>
        </w:trPr>
        <w:tc>
          <w:tcPr>
            <w:tcW w:w="2032" w:type="dxa"/>
            <w:shd w:val="clear" w:color="auto" w:fill="auto"/>
            <w:vAlign w:val="center"/>
          </w:tcPr>
          <w:p w:rsidR="002518C0" w:rsidRPr="00A809CE" w:rsidRDefault="002518C0" w:rsidP="009B7F65">
            <w:pPr>
              <w:keepNext/>
              <w:tabs>
                <w:tab w:val="left" w:pos="142"/>
              </w:tabs>
              <w:jc w:val="center"/>
              <w:rPr>
                <w:rFonts w:ascii="Arial Narrow" w:hAnsi="Arial Narrow"/>
                <w:sz w:val="20"/>
                <w:szCs w:val="20"/>
              </w:rPr>
            </w:pPr>
            <w:r w:rsidRPr="00A809CE">
              <w:rPr>
                <w:rFonts w:ascii="Arial Narrow" w:hAnsi="Arial Narrow"/>
                <w:sz w:val="20"/>
                <w:szCs w:val="20"/>
              </w:rPr>
              <w:t>Net cost to PBS/RPBS</w:t>
            </w:r>
            <w:r w:rsidR="001E0A8B" w:rsidRPr="00A809CE">
              <w:rPr>
                <w:rFonts w:ascii="Arial Narrow" w:hAnsi="Arial Narrow"/>
                <w:sz w:val="20"/>
                <w:szCs w:val="20"/>
              </w:rPr>
              <w:t xml:space="preserve"> – Nov 2015</w:t>
            </w:r>
          </w:p>
        </w:tc>
        <w:tc>
          <w:tcPr>
            <w:tcW w:w="978" w:type="dxa"/>
            <w:shd w:val="clear" w:color="auto" w:fill="auto"/>
            <w:vAlign w:val="center"/>
          </w:tcPr>
          <w:p w:rsidR="002518C0" w:rsidRPr="00A809CE" w:rsidRDefault="002518C0" w:rsidP="009B7F65">
            <w:pPr>
              <w:keepNext/>
              <w:jc w:val="center"/>
              <w:rPr>
                <w:rStyle w:val="TableText0"/>
                <w:szCs w:val="20"/>
              </w:rPr>
            </w:pPr>
            <w:r w:rsidRPr="00A809CE">
              <w:rPr>
                <w:rStyle w:val="TableText0"/>
                <w:szCs w:val="20"/>
              </w:rPr>
              <w:t>$</w:t>
            </w:r>
            <w:r w:rsidR="00622211">
              <w:rPr>
                <w:rStyle w:val="TableText0"/>
                <w:noProof/>
                <w:color w:val="000000"/>
                <w:szCs w:val="20"/>
                <w:highlight w:val="black"/>
              </w:rPr>
              <w:t>'''''''''''''''''''''</w:t>
            </w:r>
          </w:p>
        </w:tc>
        <w:tc>
          <w:tcPr>
            <w:tcW w:w="1173" w:type="dxa"/>
            <w:shd w:val="clear" w:color="auto" w:fill="auto"/>
            <w:vAlign w:val="center"/>
          </w:tcPr>
          <w:p w:rsidR="002518C0" w:rsidRPr="00A809CE" w:rsidRDefault="002518C0" w:rsidP="009B7F65">
            <w:pPr>
              <w:keepNext/>
              <w:jc w:val="center"/>
              <w:rPr>
                <w:rStyle w:val="TableText0"/>
                <w:szCs w:val="20"/>
              </w:rPr>
            </w:pPr>
            <w:r w:rsidRPr="00A809CE">
              <w:rPr>
                <w:rStyle w:val="TableText0"/>
                <w:szCs w:val="20"/>
              </w:rPr>
              <w:t>$</w:t>
            </w:r>
            <w:r w:rsidR="00622211">
              <w:rPr>
                <w:rStyle w:val="TableText0"/>
                <w:noProof/>
                <w:color w:val="000000"/>
                <w:szCs w:val="20"/>
                <w:highlight w:val="black"/>
              </w:rPr>
              <w:t>''''''''''''''''''''''</w:t>
            </w:r>
          </w:p>
        </w:tc>
        <w:tc>
          <w:tcPr>
            <w:tcW w:w="1173" w:type="dxa"/>
            <w:shd w:val="clear" w:color="auto" w:fill="auto"/>
            <w:vAlign w:val="center"/>
          </w:tcPr>
          <w:p w:rsidR="002518C0" w:rsidRPr="00A809CE" w:rsidRDefault="002518C0" w:rsidP="009B7F65">
            <w:pPr>
              <w:keepNext/>
              <w:jc w:val="center"/>
              <w:rPr>
                <w:rStyle w:val="TableText0"/>
                <w:szCs w:val="20"/>
              </w:rPr>
            </w:pPr>
            <w:r w:rsidRPr="00A809CE">
              <w:rPr>
                <w:rStyle w:val="TableText0"/>
                <w:szCs w:val="20"/>
              </w:rPr>
              <w:t>$</w:t>
            </w:r>
            <w:r w:rsidR="00622211">
              <w:rPr>
                <w:rStyle w:val="TableText0"/>
                <w:noProof/>
                <w:color w:val="000000"/>
                <w:szCs w:val="20"/>
                <w:highlight w:val="black"/>
              </w:rPr>
              <w:t>'''''''''''''''''''''''''</w:t>
            </w:r>
          </w:p>
        </w:tc>
        <w:tc>
          <w:tcPr>
            <w:tcW w:w="1173" w:type="dxa"/>
            <w:shd w:val="clear" w:color="auto" w:fill="auto"/>
            <w:vAlign w:val="center"/>
          </w:tcPr>
          <w:p w:rsidR="002518C0" w:rsidRPr="00A809CE" w:rsidRDefault="002518C0" w:rsidP="009B7F65">
            <w:pPr>
              <w:keepNext/>
              <w:jc w:val="center"/>
              <w:rPr>
                <w:rStyle w:val="TableText0"/>
                <w:szCs w:val="20"/>
              </w:rPr>
            </w:pPr>
            <w:r w:rsidRPr="00A809CE">
              <w:rPr>
                <w:rStyle w:val="TableText0"/>
                <w:szCs w:val="20"/>
              </w:rPr>
              <w:t>$</w:t>
            </w:r>
            <w:r w:rsidR="00622211">
              <w:rPr>
                <w:rStyle w:val="TableText0"/>
                <w:noProof/>
                <w:color w:val="000000"/>
                <w:szCs w:val="20"/>
                <w:highlight w:val="black"/>
              </w:rPr>
              <w:t>'''''''''''''''''''''''''</w:t>
            </w:r>
          </w:p>
        </w:tc>
        <w:tc>
          <w:tcPr>
            <w:tcW w:w="1173" w:type="dxa"/>
            <w:shd w:val="clear" w:color="auto" w:fill="auto"/>
            <w:vAlign w:val="center"/>
          </w:tcPr>
          <w:p w:rsidR="002518C0" w:rsidRPr="00A809CE" w:rsidRDefault="002518C0" w:rsidP="009B7F65">
            <w:pPr>
              <w:keepNext/>
              <w:jc w:val="center"/>
              <w:rPr>
                <w:rStyle w:val="TableText0"/>
                <w:szCs w:val="20"/>
              </w:rPr>
            </w:pPr>
            <w:r w:rsidRPr="00A809CE">
              <w:rPr>
                <w:rStyle w:val="TableText0"/>
                <w:szCs w:val="20"/>
              </w:rPr>
              <w:t>$</w:t>
            </w:r>
            <w:r w:rsidR="00622211">
              <w:rPr>
                <w:rStyle w:val="TableText0"/>
                <w:noProof/>
                <w:color w:val="000000"/>
                <w:szCs w:val="20"/>
                <w:highlight w:val="black"/>
              </w:rPr>
              <w:t>'''''''''''''''''''''''</w:t>
            </w:r>
          </w:p>
        </w:tc>
      </w:tr>
      <w:tr w:rsidR="00BF5A5A" w:rsidRPr="00A809CE" w:rsidTr="00F86578">
        <w:trPr>
          <w:jc w:val="center"/>
        </w:trPr>
        <w:tc>
          <w:tcPr>
            <w:tcW w:w="2032" w:type="dxa"/>
            <w:shd w:val="clear" w:color="auto" w:fill="auto"/>
            <w:vAlign w:val="center"/>
          </w:tcPr>
          <w:p w:rsidR="00BF5A5A" w:rsidRPr="00A809CE" w:rsidRDefault="00BF5A5A" w:rsidP="009B7F65">
            <w:pPr>
              <w:keepNext/>
              <w:tabs>
                <w:tab w:val="left" w:pos="142"/>
              </w:tabs>
              <w:jc w:val="center"/>
              <w:rPr>
                <w:rFonts w:ascii="Arial Narrow" w:hAnsi="Arial Narrow"/>
                <w:sz w:val="19"/>
                <w:szCs w:val="19"/>
              </w:rPr>
            </w:pPr>
            <w:r w:rsidRPr="00A809CE">
              <w:rPr>
                <w:rFonts w:ascii="Arial Narrow" w:hAnsi="Arial Narrow"/>
                <w:sz w:val="19"/>
                <w:szCs w:val="19"/>
              </w:rPr>
              <w:t>Net cost to PBS/RPBS- Nov 2015 alternate</w:t>
            </w:r>
          </w:p>
        </w:tc>
        <w:tc>
          <w:tcPr>
            <w:tcW w:w="978" w:type="dxa"/>
            <w:shd w:val="clear" w:color="auto" w:fill="auto"/>
            <w:vAlign w:val="center"/>
          </w:tcPr>
          <w:p w:rsidR="00BF5A5A" w:rsidRPr="00A809CE" w:rsidRDefault="00BF5A5A" w:rsidP="009B7F65">
            <w:pPr>
              <w:keepNext/>
              <w:jc w:val="center"/>
              <w:rPr>
                <w:rStyle w:val="TableText0"/>
              </w:rPr>
            </w:pPr>
            <w:r w:rsidRPr="00A809CE">
              <w:rPr>
                <w:rStyle w:val="TableText0"/>
              </w:rPr>
              <w:t>$</w:t>
            </w:r>
            <w:r w:rsidR="00622211">
              <w:rPr>
                <w:rStyle w:val="TableText0"/>
                <w:noProof/>
                <w:color w:val="000000"/>
                <w:highlight w:val="black"/>
              </w:rPr>
              <w:t>'''''''''''''''''''''''</w:t>
            </w:r>
          </w:p>
        </w:tc>
        <w:tc>
          <w:tcPr>
            <w:tcW w:w="1173" w:type="dxa"/>
            <w:shd w:val="clear" w:color="auto" w:fill="auto"/>
            <w:vAlign w:val="center"/>
          </w:tcPr>
          <w:p w:rsidR="00BF5A5A" w:rsidRPr="00A809CE" w:rsidRDefault="00BF5A5A" w:rsidP="009B7F65">
            <w:pPr>
              <w:keepNext/>
              <w:jc w:val="center"/>
              <w:rPr>
                <w:rStyle w:val="TableText0"/>
              </w:rPr>
            </w:pPr>
            <w:r w:rsidRPr="00A809CE">
              <w:rPr>
                <w:rStyle w:val="TableText0"/>
              </w:rPr>
              <w:t>$</w:t>
            </w:r>
            <w:r w:rsidR="00622211">
              <w:rPr>
                <w:rStyle w:val="TableText0"/>
                <w:noProof/>
                <w:color w:val="000000"/>
                <w:highlight w:val="black"/>
              </w:rPr>
              <w:t>''''''''''''''''''''''</w:t>
            </w:r>
          </w:p>
        </w:tc>
        <w:tc>
          <w:tcPr>
            <w:tcW w:w="1173" w:type="dxa"/>
            <w:shd w:val="clear" w:color="auto" w:fill="auto"/>
            <w:vAlign w:val="center"/>
          </w:tcPr>
          <w:p w:rsidR="00BF5A5A" w:rsidRPr="00A809CE" w:rsidRDefault="00BF5A5A" w:rsidP="009B7F65">
            <w:pPr>
              <w:keepNext/>
              <w:jc w:val="center"/>
              <w:rPr>
                <w:rStyle w:val="TableText0"/>
              </w:rPr>
            </w:pPr>
            <w:r w:rsidRPr="00A809CE">
              <w:rPr>
                <w:rStyle w:val="TableText0"/>
              </w:rPr>
              <w:t>$</w:t>
            </w:r>
            <w:r w:rsidR="00622211">
              <w:rPr>
                <w:rStyle w:val="TableText0"/>
                <w:noProof/>
                <w:color w:val="000000"/>
                <w:highlight w:val="black"/>
              </w:rPr>
              <w:t>'''''''''''''''''''''''''</w:t>
            </w:r>
          </w:p>
        </w:tc>
        <w:tc>
          <w:tcPr>
            <w:tcW w:w="1173" w:type="dxa"/>
            <w:shd w:val="clear" w:color="auto" w:fill="auto"/>
            <w:vAlign w:val="center"/>
          </w:tcPr>
          <w:p w:rsidR="00BF5A5A" w:rsidRPr="00A809CE" w:rsidRDefault="00BF5A5A" w:rsidP="009B7F65">
            <w:pPr>
              <w:keepNext/>
              <w:jc w:val="center"/>
              <w:rPr>
                <w:rStyle w:val="TableText0"/>
              </w:rPr>
            </w:pPr>
            <w:r w:rsidRPr="00A809CE">
              <w:rPr>
                <w:rStyle w:val="TableText0"/>
              </w:rPr>
              <w:t>$</w:t>
            </w:r>
            <w:r w:rsidR="00622211">
              <w:rPr>
                <w:rStyle w:val="TableText0"/>
                <w:noProof/>
                <w:color w:val="000000"/>
                <w:highlight w:val="black"/>
              </w:rPr>
              <w:t>''''''''''''''''''''''</w:t>
            </w:r>
          </w:p>
        </w:tc>
        <w:tc>
          <w:tcPr>
            <w:tcW w:w="1173" w:type="dxa"/>
            <w:shd w:val="clear" w:color="auto" w:fill="auto"/>
            <w:vAlign w:val="center"/>
          </w:tcPr>
          <w:p w:rsidR="00BF5A5A" w:rsidRPr="00A809CE" w:rsidRDefault="00BF5A5A" w:rsidP="009B7F65">
            <w:pPr>
              <w:keepNext/>
              <w:jc w:val="center"/>
              <w:rPr>
                <w:rStyle w:val="TableText0"/>
              </w:rPr>
            </w:pPr>
            <w:r w:rsidRPr="00A809CE">
              <w:rPr>
                <w:rStyle w:val="TableText0"/>
              </w:rPr>
              <w:t>$</w:t>
            </w:r>
            <w:r w:rsidR="00622211">
              <w:rPr>
                <w:rStyle w:val="TableText0"/>
                <w:noProof/>
                <w:color w:val="000000"/>
                <w:highlight w:val="black"/>
              </w:rPr>
              <w:t>'''''''''''''''''''''''</w:t>
            </w:r>
          </w:p>
        </w:tc>
      </w:tr>
      <w:tr w:rsidR="00215114" w:rsidRPr="00A809CE" w:rsidTr="00F86578">
        <w:trPr>
          <w:jc w:val="center"/>
        </w:trPr>
        <w:tc>
          <w:tcPr>
            <w:tcW w:w="2032" w:type="dxa"/>
            <w:shd w:val="clear" w:color="auto" w:fill="auto"/>
            <w:vAlign w:val="center"/>
          </w:tcPr>
          <w:p w:rsidR="00215114" w:rsidRPr="00215114" w:rsidRDefault="00215114" w:rsidP="009B7F65">
            <w:pPr>
              <w:keepNext/>
              <w:tabs>
                <w:tab w:val="left" w:pos="142"/>
              </w:tabs>
              <w:jc w:val="center"/>
              <w:rPr>
                <w:rFonts w:ascii="Arial Narrow" w:hAnsi="Arial Narrow"/>
                <w:sz w:val="20"/>
                <w:szCs w:val="20"/>
              </w:rPr>
            </w:pPr>
            <w:r w:rsidRPr="00215114">
              <w:rPr>
                <w:rFonts w:ascii="Arial Narrow" w:hAnsi="Arial Narrow"/>
                <w:sz w:val="20"/>
                <w:szCs w:val="20"/>
              </w:rPr>
              <w:t>Net cost to PBS/RPBS</w:t>
            </w:r>
          </w:p>
        </w:tc>
        <w:tc>
          <w:tcPr>
            <w:tcW w:w="978" w:type="dxa"/>
            <w:shd w:val="clear" w:color="auto" w:fill="auto"/>
            <w:vAlign w:val="center"/>
          </w:tcPr>
          <w:p w:rsidR="00215114" w:rsidRPr="00215114" w:rsidRDefault="00215114" w:rsidP="009B7F65">
            <w:pPr>
              <w:jc w:val="center"/>
              <w:rPr>
                <w:rFonts w:ascii="Arial Narrow" w:hAnsi="Arial Narrow"/>
                <w:sz w:val="20"/>
                <w:szCs w:val="18"/>
              </w:rPr>
            </w:pPr>
            <w:r w:rsidRPr="00215114">
              <w:rPr>
                <w:rFonts w:ascii="Arial Narrow" w:hAnsi="Arial Narrow"/>
                <w:sz w:val="20"/>
                <w:szCs w:val="18"/>
              </w:rPr>
              <w:t>$</w:t>
            </w:r>
            <w:r w:rsidR="00622211">
              <w:rPr>
                <w:rFonts w:ascii="Arial Narrow" w:hAnsi="Arial Narrow"/>
                <w:noProof/>
                <w:color w:val="000000"/>
                <w:sz w:val="20"/>
                <w:szCs w:val="18"/>
                <w:highlight w:val="black"/>
              </w:rPr>
              <w:t>'''''''''''''''''''''''</w:t>
            </w:r>
          </w:p>
        </w:tc>
        <w:tc>
          <w:tcPr>
            <w:tcW w:w="1173" w:type="dxa"/>
            <w:shd w:val="clear" w:color="auto" w:fill="auto"/>
            <w:vAlign w:val="center"/>
          </w:tcPr>
          <w:p w:rsidR="00215114" w:rsidRPr="00215114" w:rsidRDefault="00215114" w:rsidP="009B7F65">
            <w:pPr>
              <w:jc w:val="center"/>
              <w:rPr>
                <w:rFonts w:ascii="Arial Narrow" w:hAnsi="Arial Narrow"/>
                <w:sz w:val="20"/>
                <w:szCs w:val="18"/>
              </w:rPr>
            </w:pPr>
            <w:r w:rsidRPr="00215114">
              <w:rPr>
                <w:rFonts w:ascii="Arial Narrow" w:hAnsi="Arial Narrow"/>
                <w:sz w:val="20"/>
                <w:szCs w:val="18"/>
              </w:rPr>
              <w:t>$</w:t>
            </w:r>
            <w:r w:rsidR="00622211">
              <w:rPr>
                <w:rFonts w:ascii="Arial Narrow" w:hAnsi="Arial Narrow"/>
                <w:noProof/>
                <w:color w:val="000000"/>
                <w:sz w:val="20"/>
                <w:szCs w:val="18"/>
                <w:highlight w:val="black"/>
              </w:rPr>
              <w:t>''''''''''''''''''''''''</w:t>
            </w:r>
          </w:p>
        </w:tc>
        <w:tc>
          <w:tcPr>
            <w:tcW w:w="1173" w:type="dxa"/>
            <w:shd w:val="clear" w:color="auto" w:fill="auto"/>
            <w:vAlign w:val="center"/>
          </w:tcPr>
          <w:p w:rsidR="00215114" w:rsidRPr="00215114" w:rsidRDefault="00215114" w:rsidP="009B7F65">
            <w:pPr>
              <w:jc w:val="center"/>
              <w:rPr>
                <w:rFonts w:ascii="Arial Narrow" w:hAnsi="Arial Narrow"/>
                <w:sz w:val="20"/>
                <w:szCs w:val="18"/>
              </w:rPr>
            </w:pPr>
            <w:r w:rsidRPr="00215114">
              <w:rPr>
                <w:rFonts w:ascii="Arial Narrow" w:hAnsi="Arial Narrow"/>
                <w:sz w:val="20"/>
                <w:szCs w:val="18"/>
              </w:rPr>
              <w:t>$</w:t>
            </w:r>
            <w:r w:rsidR="00622211">
              <w:rPr>
                <w:rFonts w:ascii="Arial Narrow" w:hAnsi="Arial Narrow"/>
                <w:noProof/>
                <w:color w:val="000000"/>
                <w:sz w:val="20"/>
                <w:szCs w:val="18"/>
                <w:highlight w:val="black"/>
              </w:rPr>
              <w:t>'''''''''''''''''''''''</w:t>
            </w:r>
          </w:p>
        </w:tc>
        <w:tc>
          <w:tcPr>
            <w:tcW w:w="1173" w:type="dxa"/>
            <w:shd w:val="clear" w:color="auto" w:fill="auto"/>
            <w:vAlign w:val="center"/>
          </w:tcPr>
          <w:p w:rsidR="00215114" w:rsidRPr="00215114" w:rsidRDefault="00215114" w:rsidP="009B7F65">
            <w:pPr>
              <w:jc w:val="center"/>
              <w:rPr>
                <w:rFonts w:ascii="Arial Narrow" w:hAnsi="Arial Narrow"/>
                <w:sz w:val="20"/>
                <w:szCs w:val="18"/>
              </w:rPr>
            </w:pPr>
            <w:r w:rsidRPr="00215114">
              <w:rPr>
                <w:rFonts w:ascii="Arial Narrow" w:hAnsi="Arial Narrow"/>
                <w:sz w:val="20"/>
                <w:szCs w:val="18"/>
              </w:rPr>
              <w:t>$</w:t>
            </w:r>
            <w:r w:rsidR="00622211">
              <w:rPr>
                <w:rFonts w:ascii="Arial Narrow" w:hAnsi="Arial Narrow"/>
                <w:noProof/>
                <w:color w:val="000000"/>
                <w:sz w:val="20"/>
                <w:szCs w:val="18"/>
                <w:highlight w:val="black"/>
              </w:rPr>
              <w:t>''''''''''''''''''''''''</w:t>
            </w:r>
          </w:p>
        </w:tc>
        <w:tc>
          <w:tcPr>
            <w:tcW w:w="1173" w:type="dxa"/>
            <w:shd w:val="clear" w:color="auto" w:fill="auto"/>
            <w:vAlign w:val="center"/>
          </w:tcPr>
          <w:p w:rsidR="00215114" w:rsidRPr="00215114" w:rsidRDefault="00215114" w:rsidP="009B7F65">
            <w:pPr>
              <w:jc w:val="center"/>
              <w:rPr>
                <w:rFonts w:ascii="Arial Narrow" w:hAnsi="Arial Narrow"/>
                <w:sz w:val="20"/>
                <w:szCs w:val="18"/>
              </w:rPr>
            </w:pPr>
            <w:r w:rsidRPr="00215114">
              <w:rPr>
                <w:rFonts w:ascii="Arial Narrow" w:hAnsi="Arial Narrow"/>
                <w:sz w:val="20"/>
                <w:szCs w:val="18"/>
              </w:rPr>
              <w:t>$</w:t>
            </w:r>
            <w:r w:rsidR="00622211">
              <w:rPr>
                <w:rFonts w:ascii="Arial Narrow" w:hAnsi="Arial Narrow"/>
                <w:noProof/>
                <w:color w:val="000000"/>
                <w:sz w:val="20"/>
                <w:szCs w:val="18"/>
                <w:highlight w:val="black"/>
              </w:rPr>
              <w:t>'''''''''''''''''''''</w:t>
            </w:r>
          </w:p>
        </w:tc>
      </w:tr>
      <w:tr w:rsidR="009B7F65" w:rsidRPr="00A809CE" w:rsidTr="00F86578">
        <w:trPr>
          <w:jc w:val="center"/>
        </w:trPr>
        <w:tc>
          <w:tcPr>
            <w:tcW w:w="2032" w:type="dxa"/>
            <w:shd w:val="clear" w:color="auto" w:fill="auto"/>
            <w:vAlign w:val="center"/>
          </w:tcPr>
          <w:p w:rsidR="009B7F65" w:rsidRPr="009B7F65" w:rsidRDefault="009B7F65" w:rsidP="009B7F65">
            <w:pPr>
              <w:keepNext/>
              <w:tabs>
                <w:tab w:val="left" w:pos="142"/>
              </w:tabs>
              <w:jc w:val="center"/>
              <w:rPr>
                <w:rFonts w:ascii="Arial Narrow" w:hAnsi="Arial Narrow"/>
                <w:b/>
                <w:sz w:val="20"/>
                <w:szCs w:val="20"/>
              </w:rPr>
            </w:pPr>
            <w:r w:rsidRPr="009B7F65">
              <w:rPr>
                <w:rFonts w:ascii="Arial Narrow" w:hAnsi="Arial Narrow"/>
                <w:b/>
                <w:sz w:val="20"/>
                <w:szCs w:val="20"/>
              </w:rPr>
              <w:t>Net cost to PBS/RPBS-pre-PBAC response price proposal</w:t>
            </w:r>
          </w:p>
        </w:tc>
        <w:tc>
          <w:tcPr>
            <w:tcW w:w="978" w:type="dxa"/>
            <w:shd w:val="clear" w:color="auto" w:fill="auto"/>
            <w:vAlign w:val="center"/>
          </w:tcPr>
          <w:p w:rsidR="009B7F65" w:rsidRPr="009B7F65" w:rsidRDefault="009B7F65" w:rsidP="009B7F65">
            <w:pPr>
              <w:jc w:val="center"/>
              <w:rPr>
                <w:rFonts w:ascii="Arial Narrow" w:hAnsi="Arial Narrow"/>
                <w:b/>
                <w:sz w:val="20"/>
              </w:rPr>
            </w:pPr>
            <w:r w:rsidRPr="009B7F65">
              <w:rPr>
                <w:rFonts w:ascii="Arial Narrow" w:hAnsi="Arial Narrow"/>
                <w:b/>
                <w:sz w:val="20"/>
              </w:rPr>
              <w:t>$</w:t>
            </w:r>
            <w:r w:rsidR="00622211">
              <w:rPr>
                <w:rFonts w:ascii="Arial Narrow" w:hAnsi="Arial Narrow"/>
                <w:b/>
                <w:noProof/>
                <w:color w:val="000000"/>
                <w:sz w:val="20"/>
                <w:highlight w:val="black"/>
              </w:rPr>
              <w:t>'''''''''''''''''''''</w:t>
            </w:r>
          </w:p>
        </w:tc>
        <w:tc>
          <w:tcPr>
            <w:tcW w:w="1173" w:type="dxa"/>
            <w:shd w:val="clear" w:color="auto" w:fill="auto"/>
            <w:vAlign w:val="center"/>
          </w:tcPr>
          <w:p w:rsidR="009B7F65" w:rsidRPr="009B7F65" w:rsidRDefault="009B7F65" w:rsidP="009B7F65">
            <w:pPr>
              <w:jc w:val="center"/>
              <w:rPr>
                <w:rFonts w:ascii="Arial Narrow" w:hAnsi="Arial Narrow"/>
                <w:b/>
                <w:sz w:val="20"/>
              </w:rPr>
            </w:pPr>
            <w:r w:rsidRPr="009B7F65">
              <w:rPr>
                <w:rFonts w:ascii="Arial Narrow" w:hAnsi="Arial Narrow"/>
                <w:b/>
                <w:sz w:val="20"/>
              </w:rPr>
              <w:t>$</w:t>
            </w:r>
            <w:r w:rsidR="00622211">
              <w:rPr>
                <w:rFonts w:ascii="Arial Narrow" w:hAnsi="Arial Narrow"/>
                <w:b/>
                <w:noProof/>
                <w:color w:val="000000"/>
                <w:sz w:val="20"/>
                <w:highlight w:val="black"/>
              </w:rPr>
              <w:t>'''''''''''''''''</w:t>
            </w:r>
          </w:p>
        </w:tc>
        <w:tc>
          <w:tcPr>
            <w:tcW w:w="1173" w:type="dxa"/>
            <w:shd w:val="clear" w:color="auto" w:fill="auto"/>
            <w:vAlign w:val="center"/>
          </w:tcPr>
          <w:p w:rsidR="009B7F65" w:rsidRPr="009B7F65" w:rsidRDefault="009B7F65" w:rsidP="009B7F65">
            <w:pPr>
              <w:jc w:val="center"/>
              <w:rPr>
                <w:rFonts w:ascii="Arial Narrow" w:hAnsi="Arial Narrow"/>
                <w:b/>
                <w:sz w:val="20"/>
              </w:rPr>
            </w:pPr>
            <w:r w:rsidRPr="009B7F65">
              <w:rPr>
                <w:rFonts w:ascii="Arial Narrow" w:hAnsi="Arial Narrow"/>
                <w:b/>
                <w:sz w:val="20"/>
              </w:rPr>
              <w:t>$</w:t>
            </w:r>
            <w:r w:rsidR="00622211">
              <w:rPr>
                <w:rFonts w:ascii="Arial Narrow" w:hAnsi="Arial Narrow"/>
                <w:b/>
                <w:noProof/>
                <w:color w:val="000000"/>
                <w:sz w:val="20"/>
                <w:highlight w:val="black"/>
              </w:rPr>
              <w:t>''''''''''''''''''''</w:t>
            </w:r>
          </w:p>
        </w:tc>
        <w:tc>
          <w:tcPr>
            <w:tcW w:w="1173" w:type="dxa"/>
            <w:shd w:val="clear" w:color="auto" w:fill="auto"/>
            <w:vAlign w:val="center"/>
          </w:tcPr>
          <w:p w:rsidR="009B7F65" w:rsidRPr="009B7F65" w:rsidRDefault="009B7F65" w:rsidP="009B7F65">
            <w:pPr>
              <w:jc w:val="center"/>
              <w:rPr>
                <w:rFonts w:ascii="Arial Narrow" w:hAnsi="Arial Narrow"/>
                <w:b/>
                <w:sz w:val="20"/>
              </w:rPr>
            </w:pPr>
            <w:r w:rsidRPr="009B7F65">
              <w:rPr>
                <w:rFonts w:ascii="Arial Narrow" w:hAnsi="Arial Narrow"/>
                <w:b/>
                <w:sz w:val="20"/>
              </w:rPr>
              <w:t>$</w:t>
            </w:r>
            <w:r w:rsidR="00622211">
              <w:rPr>
                <w:rFonts w:ascii="Arial Narrow" w:hAnsi="Arial Narrow"/>
                <w:b/>
                <w:noProof/>
                <w:color w:val="000000"/>
                <w:sz w:val="20"/>
                <w:highlight w:val="black"/>
              </w:rPr>
              <w:t>''''''''''''''''''''</w:t>
            </w:r>
          </w:p>
        </w:tc>
        <w:tc>
          <w:tcPr>
            <w:tcW w:w="1173" w:type="dxa"/>
            <w:shd w:val="clear" w:color="auto" w:fill="auto"/>
            <w:vAlign w:val="center"/>
          </w:tcPr>
          <w:p w:rsidR="009B7F65" w:rsidRPr="009B7F65" w:rsidRDefault="009B7F65" w:rsidP="009B7F65">
            <w:pPr>
              <w:jc w:val="center"/>
              <w:rPr>
                <w:rFonts w:ascii="Arial Narrow" w:hAnsi="Arial Narrow"/>
                <w:b/>
                <w:sz w:val="20"/>
              </w:rPr>
            </w:pPr>
            <w:r w:rsidRPr="009B7F65">
              <w:rPr>
                <w:rFonts w:ascii="Arial Narrow" w:hAnsi="Arial Narrow"/>
                <w:b/>
                <w:sz w:val="20"/>
              </w:rPr>
              <w:t>$</w:t>
            </w:r>
            <w:r w:rsidR="00622211">
              <w:rPr>
                <w:rFonts w:ascii="Arial Narrow" w:hAnsi="Arial Narrow"/>
                <w:b/>
                <w:noProof/>
                <w:color w:val="000000"/>
                <w:sz w:val="20"/>
                <w:highlight w:val="black"/>
              </w:rPr>
              <w:t>''''''''''''''''''</w:t>
            </w:r>
          </w:p>
        </w:tc>
      </w:tr>
      <w:tr w:rsidR="00BF5A5A" w:rsidRPr="00A809CE" w:rsidTr="00F86578">
        <w:trPr>
          <w:jc w:val="center"/>
        </w:trPr>
        <w:tc>
          <w:tcPr>
            <w:tcW w:w="2032" w:type="dxa"/>
            <w:shd w:val="clear" w:color="auto" w:fill="auto"/>
            <w:vAlign w:val="center"/>
          </w:tcPr>
          <w:p w:rsidR="00BF5A5A" w:rsidRPr="00A809CE" w:rsidRDefault="00BF5A5A" w:rsidP="009B7F65">
            <w:pPr>
              <w:keepNext/>
              <w:tabs>
                <w:tab w:val="left" w:pos="142"/>
              </w:tabs>
              <w:jc w:val="center"/>
              <w:rPr>
                <w:rFonts w:ascii="Arial Narrow" w:hAnsi="Arial Narrow"/>
                <w:sz w:val="20"/>
                <w:szCs w:val="20"/>
              </w:rPr>
            </w:pPr>
            <w:r w:rsidRPr="00A809CE">
              <w:rPr>
                <w:rFonts w:ascii="Arial Narrow" w:hAnsi="Arial Narrow"/>
                <w:sz w:val="20"/>
                <w:szCs w:val="20"/>
              </w:rPr>
              <w:t>Net cost to MBS – Mar 2015</w:t>
            </w:r>
          </w:p>
        </w:tc>
        <w:tc>
          <w:tcPr>
            <w:tcW w:w="978" w:type="dxa"/>
            <w:shd w:val="clear" w:color="auto" w:fill="auto"/>
            <w:vAlign w:val="center"/>
          </w:tcPr>
          <w:p w:rsidR="00BF5A5A" w:rsidRPr="00A809CE" w:rsidRDefault="00BF5A5A" w:rsidP="009B7F65">
            <w:pPr>
              <w:pStyle w:val="Tabletext"/>
              <w:keepNext/>
              <w:jc w:val="center"/>
              <w:rPr>
                <w:rFonts w:ascii="Arial Narrow" w:hAnsi="Arial Narrow"/>
              </w:rPr>
            </w:pPr>
            <w:r w:rsidRPr="00A809CE">
              <w:rPr>
                <w:rFonts w:ascii="Arial Narrow" w:hAnsi="Arial Narrow"/>
              </w:rPr>
              <w:t>$</w:t>
            </w:r>
            <w:r w:rsidR="00622211">
              <w:rPr>
                <w:rFonts w:ascii="Arial Narrow" w:hAnsi="Arial Narrow"/>
                <w:noProof/>
                <w:color w:val="000000"/>
                <w:highlight w:val="black"/>
              </w:rPr>
              <w:t>''''''''''''''''</w:t>
            </w:r>
          </w:p>
        </w:tc>
        <w:tc>
          <w:tcPr>
            <w:tcW w:w="1173" w:type="dxa"/>
            <w:shd w:val="clear" w:color="auto" w:fill="auto"/>
            <w:vAlign w:val="center"/>
          </w:tcPr>
          <w:p w:rsidR="00BF5A5A" w:rsidRPr="00A809CE" w:rsidRDefault="00BF5A5A" w:rsidP="009B7F65">
            <w:pPr>
              <w:pStyle w:val="Tabletext"/>
              <w:keepNext/>
              <w:jc w:val="center"/>
              <w:rPr>
                <w:rFonts w:ascii="Arial Narrow" w:hAnsi="Arial Narrow"/>
              </w:rPr>
            </w:pPr>
            <w:r w:rsidRPr="00A809CE">
              <w:rPr>
                <w:rFonts w:ascii="Arial Narrow" w:hAnsi="Arial Narrow"/>
              </w:rPr>
              <w:t>$</w:t>
            </w:r>
            <w:r w:rsidR="00622211">
              <w:rPr>
                <w:rFonts w:ascii="Arial Narrow" w:hAnsi="Arial Narrow"/>
                <w:noProof/>
                <w:color w:val="000000"/>
                <w:highlight w:val="black"/>
              </w:rPr>
              <w:t>'''''''''''''''''</w:t>
            </w:r>
          </w:p>
        </w:tc>
        <w:tc>
          <w:tcPr>
            <w:tcW w:w="1173" w:type="dxa"/>
            <w:shd w:val="clear" w:color="auto" w:fill="auto"/>
            <w:vAlign w:val="center"/>
          </w:tcPr>
          <w:p w:rsidR="00BF5A5A" w:rsidRPr="00A809CE" w:rsidRDefault="00BF5A5A" w:rsidP="009B7F65">
            <w:pPr>
              <w:pStyle w:val="Tabletext"/>
              <w:keepNext/>
              <w:jc w:val="center"/>
              <w:rPr>
                <w:rFonts w:ascii="Arial Narrow" w:hAnsi="Arial Narrow"/>
              </w:rPr>
            </w:pPr>
            <w:r w:rsidRPr="00A809CE">
              <w:rPr>
                <w:rFonts w:ascii="Arial Narrow" w:hAnsi="Arial Narrow"/>
              </w:rPr>
              <w:t>$</w:t>
            </w:r>
            <w:r w:rsidR="00622211">
              <w:rPr>
                <w:rFonts w:ascii="Arial Narrow" w:hAnsi="Arial Narrow"/>
                <w:noProof/>
                <w:color w:val="000000"/>
                <w:highlight w:val="black"/>
              </w:rPr>
              <w:t>''''''''''''''''''</w:t>
            </w:r>
          </w:p>
        </w:tc>
        <w:tc>
          <w:tcPr>
            <w:tcW w:w="1173" w:type="dxa"/>
            <w:shd w:val="clear" w:color="auto" w:fill="auto"/>
            <w:vAlign w:val="center"/>
          </w:tcPr>
          <w:p w:rsidR="00BF5A5A" w:rsidRPr="00A809CE" w:rsidRDefault="00BF5A5A" w:rsidP="009B7F65">
            <w:pPr>
              <w:pStyle w:val="Tabletext"/>
              <w:keepNext/>
              <w:jc w:val="center"/>
              <w:rPr>
                <w:rFonts w:ascii="Arial Narrow" w:hAnsi="Arial Narrow"/>
              </w:rPr>
            </w:pPr>
            <w:r w:rsidRPr="00A809CE">
              <w:rPr>
                <w:rFonts w:ascii="Arial Narrow" w:hAnsi="Arial Narrow"/>
              </w:rPr>
              <w:t>$</w:t>
            </w:r>
            <w:r w:rsidR="00622211">
              <w:rPr>
                <w:rFonts w:ascii="Arial Narrow" w:hAnsi="Arial Narrow"/>
                <w:noProof/>
                <w:color w:val="000000"/>
                <w:highlight w:val="black"/>
              </w:rPr>
              <w:t>'''''''''''''</w:t>
            </w:r>
          </w:p>
        </w:tc>
        <w:tc>
          <w:tcPr>
            <w:tcW w:w="1173" w:type="dxa"/>
            <w:shd w:val="clear" w:color="auto" w:fill="auto"/>
            <w:vAlign w:val="center"/>
          </w:tcPr>
          <w:p w:rsidR="00BF5A5A" w:rsidRPr="00A809CE" w:rsidRDefault="00BF5A5A" w:rsidP="009B7F65">
            <w:pPr>
              <w:pStyle w:val="Tabletext"/>
              <w:keepNext/>
              <w:jc w:val="center"/>
              <w:rPr>
                <w:rFonts w:ascii="Arial Narrow" w:hAnsi="Arial Narrow"/>
              </w:rPr>
            </w:pPr>
            <w:r w:rsidRPr="00A809CE">
              <w:rPr>
                <w:rFonts w:ascii="Arial Narrow" w:hAnsi="Arial Narrow"/>
              </w:rPr>
              <w:t>$</w:t>
            </w:r>
            <w:r w:rsidR="00622211">
              <w:rPr>
                <w:rFonts w:ascii="Arial Narrow" w:hAnsi="Arial Narrow"/>
                <w:noProof/>
                <w:color w:val="000000"/>
                <w:highlight w:val="black"/>
              </w:rPr>
              <w:t>'''''''''''''''</w:t>
            </w:r>
          </w:p>
        </w:tc>
      </w:tr>
      <w:tr w:rsidR="00BF5A5A" w:rsidRPr="00A809CE" w:rsidTr="00F86578">
        <w:trPr>
          <w:jc w:val="center"/>
        </w:trPr>
        <w:tc>
          <w:tcPr>
            <w:tcW w:w="2032" w:type="dxa"/>
            <w:shd w:val="clear" w:color="auto" w:fill="auto"/>
            <w:vAlign w:val="center"/>
          </w:tcPr>
          <w:p w:rsidR="00BF5A5A" w:rsidRPr="00A809CE" w:rsidRDefault="00BF5A5A" w:rsidP="009B7F65">
            <w:pPr>
              <w:keepNext/>
              <w:tabs>
                <w:tab w:val="left" w:pos="142"/>
              </w:tabs>
              <w:jc w:val="center"/>
              <w:rPr>
                <w:rFonts w:ascii="Arial Narrow" w:hAnsi="Arial Narrow"/>
                <w:sz w:val="20"/>
                <w:szCs w:val="20"/>
              </w:rPr>
            </w:pPr>
            <w:r w:rsidRPr="00A809CE">
              <w:rPr>
                <w:rFonts w:ascii="Arial Narrow" w:hAnsi="Arial Narrow"/>
                <w:sz w:val="20"/>
                <w:szCs w:val="20"/>
              </w:rPr>
              <w:t>Net cost to MBS – Nov 2015</w:t>
            </w:r>
          </w:p>
        </w:tc>
        <w:tc>
          <w:tcPr>
            <w:tcW w:w="978" w:type="dxa"/>
            <w:shd w:val="clear" w:color="auto" w:fill="auto"/>
            <w:vAlign w:val="center"/>
          </w:tcPr>
          <w:p w:rsidR="00BF5A5A" w:rsidRPr="00A809CE" w:rsidRDefault="00BF5A5A" w:rsidP="009B7F65">
            <w:pPr>
              <w:pStyle w:val="Tabletext"/>
              <w:keepNext/>
              <w:jc w:val="center"/>
              <w:rPr>
                <w:rFonts w:ascii="Arial Narrow" w:hAnsi="Arial Narrow" w:cs="Arial"/>
                <w:bCs/>
              </w:rPr>
            </w:pPr>
            <w:r w:rsidRPr="00A809CE">
              <w:rPr>
                <w:rFonts w:ascii="Arial Narrow" w:hAnsi="Arial Narrow" w:cs="Arial"/>
                <w:bCs/>
              </w:rPr>
              <w:t>$</w:t>
            </w:r>
            <w:r w:rsidR="00622211">
              <w:rPr>
                <w:rFonts w:ascii="Arial Narrow" w:hAnsi="Arial Narrow" w:cs="Arial"/>
                <w:bCs/>
                <w:noProof/>
                <w:color w:val="000000"/>
                <w:highlight w:val="black"/>
              </w:rPr>
              <w:t>'''''''''''''''</w:t>
            </w:r>
          </w:p>
        </w:tc>
        <w:tc>
          <w:tcPr>
            <w:tcW w:w="1173" w:type="dxa"/>
            <w:shd w:val="clear" w:color="auto" w:fill="auto"/>
            <w:vAlign w:val="center"/>
          </w:tcPr>
          <w:p w:rsidR="00BF5A5A" w:rsidRPr="00A809CE" w:rsidRDefault="00BF5A5A" w:rsidP="009B7F65">
            <w:pPr>
              <w:pStyle w:val="Tabletext"/>
              <w:keepNext/>
              <w:jc w:val="center"/>
              <w:rPr>
                <w:rFonts w:ascii="Arial Narrow" w:hAnsi="Arial Narrow" w:cs="Arial"/>
                <w:bCs/>
              </w:rPr>
            </w:pPr>
            <w:r w:rsidRPr="00A809CE">
              <w:rPr>
                <w:rFonts w:ascii="Arial Narrow" w:hAnsi="Arial Narrow" w:cs="Arial"/>
                <w:bCs/>
              </w:rPr>
              <w:t>$</w:t>
            </w:r>
            <w:r w:rsidR="00622211">
              <w:rPr>
                <w:rFonts w:ascii="Arial Narrow" w:hAnsi="Arial Narrow" w:cs="Arial"/>
                <w:bCs/>
                <w:noProof/>
                <w:color w:val="000000"/>
                <w:highlight w:val="black"/>
              </w:rPr>
              <w:t>''''''''''''''''</w:t>
            </w:r>
          </w:p>
        </w:tc>
        <w:tc>
          <w:tcPr>
            <w:tcW w:w="1173" w:type="dxa"/>
            <w:shd w:val="clear" w:color="auto" w:fill="auto"/>
            <w:vAlign w:val="center"/>
          </w:tcPr>
          <w:p w:rsidR="00BF5A5A" w:rsidRPr="00A809CE" w:rsidRDefault="00BF5A5A" w:rsidP="009B7F65">
            <w:pPr>
              <w:pStyle w:val="Tabletext"/>
              <w:keepNext/>
              <w:jc w:val="center"/>
              <w:rPr>
                <w:rFonts w:ascii="Arial Narrow" w:hAnsi="Arial Narrow" w:cs="Arial"/>
                <w:bCs/>
              </w:rPr>
            </w:pPr>
            <w:r w:rsidRPr="00A809CE">
              <w:rPr>
                <w:rFonts w:ascii="Arial Narrow" w:hAnsi="Arial Narrow" w:cs="Arial"/>
                <w:bCs/>
              </w:rPr>
              <w:t>$</w:t>
            </w:r>
            <w:r w:rsidR="00622211">
              <w:rPr>
                <w:rFonts w:ascii="Arial Narrow" w:hAnsi="Arial Narrow" w:cs="Arial"/>
                <w:bCs/>
                <w:noProof/>
                <w:color w:val="000000"/>
                <w:highlight w:val="black"/>
              </w:rPr>
              <w:t>''''''''''''''''''</w:t>
            </w:r>
          </w:p>
        </w:tc>
        <w:tc>
          <w:tcPr>
            <w:tcW w:w="1173" w:type="dxa"/>
            <w:shd w:val="clear" w:color="auto" w:fill="auto"/>
            <w:vAlign w:val="center"/>
          </w:tcPr>
          <w:p w:rsidR="00BF5A5A" w:rsidRPr="00A809CE" w:rsidRDefault="00BF5A5A" w:rsidP="009B7F65">
            <w:pPr>
              <w:pStyle w:val="Tabletext"/>
              <w:keepNext/>
              <w:jc w:val="center"/>
              <w:rPr>
                <w:rFonts w:ascii="Arial Narrow" w:hAnsi="Arial Narrow" w:cs="Arial"/>
                <w:bCs/>
              </w:rPr>
            </w:pPr>
            <w:r w:rsidRPr="00A809CE">
              <w:rPr>
                <w:rFonts w:ascii="Arial Narrow" w:hAnsi="Arial Narrow" w:cs="Arial"/>
                <w:bCs/>
              </w:rPr>
              <w:t>$</w:t>
            </w:r>
            <w:r w:rsidR="00622211">
              <w:rPr>
                <w:rFonts w:ascii="Arial Narrow" w:hAnsi="Arial Narrow" w:cs="Arial"/>
                <w:bCs/>
                <w:noProof/>
                <w:color w:val="000000"/>
                <w:highlight w:val="black"/>
              </w:rPr>
              <w:t>''''''''''''</w:t>
            </w:r>
          </w:p>
        </w:tc>
        <w:tc>
          <w:tcPr>
            <w:tcW w:w="1173" w:type="dxa"/>
            <w:shd w:val="clear" w:color="auto" w:fill="auto"/>
            <w:vAlign w:val="center"/>
          </w:tcPr>
          <w:p w:rsidR="00BF5A5A" w:rsidRPr="00A809CE" w:rsidRDefault="00BF5A5A" w:rsidP="009B7F65">
            <w:pPr>
              <w:pStyle w:val="Tabletext"/>
              <w:keepNext/>
              <w:jc w:val="center"/>
              <w:rPr>
                <w:rFonts w:ascii="Arial Narrow" w:hAnsi="Arial Narrow" w:cs="Arial"/>
                <w:bCs/>
              </w:rPr>
            </w:pPr>
            <w:r w:rsidRPr="00A809CE">
              <w:rPr>
                <w:rFonts w:ascii="Arial Narrow" w:hAnsi="Arial Narrow" w:cs="Arial"/>
                <w:bCs/>
              </w:rPr>
              <w:t>$</w:t>
            </w:r>
            <w:r w:rsidR="00622211">
              <w:rPr>
                <w:rFonts w:ascii="Arial Narrow" w:hAnsi="Arial Narrow" w:cs="Arial"/>
                <w:bCs/>
                <w:noProof/>
                <w:color w:val="000000"/>
                <w:highlight w:val="black"/>
              </w:rPr>
              <w:t>''''''''''''''</w:t>
            </w:r>
          </w:p>
        </w:tc>
      </w:tr>
      <w:tr w:rsidR="007E5882" w:rsidRPr="00A809CE" w:rsidTr="00F86578">
        <w:trPr>
          <w:jc w:val="center"/>
        </w:trPr>
        <w:tc>
          <w:tcPr>
            <w:tcW w:w="2032" w:type="dxa"/>
            <w:shd w:val="clear" w:color="auto" w:fill="auto"/>
            <w:vAlign w:val="center"/>
          </w:tcPr>
          <w:p w:rsidR="007E5882" w:rsidRPr="00A809CE" w:rsidRDefault="007E5882" w:rsidP="009B7F65">
            <w:pPr>
              <w:keepNext/>
              <w:tabs>
                <w:tab w:val="left" w:pos="142"/>
              </w:tabs>
              <w:jc w:val="center"/>
              <w:rPr>
                <w:rFonts w:ascii="Arial Narrow" w:hAnsi="Arial Narrow"/>
                <w:sz w:val="20"/>
                <w:szCs w:val="20"/>
              </w:rPr>
            </w:pPr>
            <w:r w:rsidRPr="00A809CE">
              <w:rPr>
                <w:rFonts w:ascii="Arial Narrow" w:hAnsi="Arial Narrow"/>
                <w:sz w:val="20"/>
                <w:szCs w:val="20"/>
              </w:rPr>
              <w:t>Net cost to MBS – Nov 2015 alternate</w:t>
            </w:r>
          </w:p>
        </w:tc>
        <w:tc>
          <w:tcPr>
            <w:tcW w:w="978" w:type="dxa"/>
            <w:shd w:val="clear" w:color="auto" w:fill="auto"/>
            <w:vAlign w:val="center"/>
          </w:tcPr>
          <w:p w:rsidR="007E5882" w:rsidRPr="00A809CE" w:rsidRDefault="007E5882" w:rsidP="009B7F65">
            <w:pPr>
              <w:pStyle w:val="Tabletext"/>
              <w:keepNext/>
              <w:jc w:val="center"/>
              <w:rPr>
                <w:rFonts w:ascii="Arial Narrow" w:hAnsi="Arial Narrow" w:cs="Arial"/>
                <w:bCs/>
              </w:rPr>
            </w:pPr>
            <w:r w:rsidRPr="00A809CE">
              <w:rPr>
                <w:rFonts w:ascii="Arial Narrow" w:hAnsi="Arial Narrow" w:cs="Arial"/>
                <w:bCs/>
              </w:rPr>
              <w:t>$</w:t>
            </w:r>
            <w:r w:rsidR="00622211">
              <w:rPr>
                <w:rFonts w:ascii="Arial Narrow" w:hAnsi="Arial Narrow" w:cs="Arial"/>
                <w:bCs/>
                <w:noProof/>
                <w:color w:val="000000"/>
                <w:highlight w:val="black"/>
              </w:rPr>
              <w:t>'''''''''''''''''</w:t>
            </w:r>
          </w:p>
        </w:tc>
        <w:tc>
          <w:tcPr>
            <w:tcW w:w="1173" w:type="dxa"/>
            <w:shd w:val="clear" w:color="auto" w:fill="auto"/>
            <w:vAlign w:val="center"/>
          </w:tcPr>
          <w:p w:rsidR="007E5882" w:rsidRPr="00A809CE" w:rsidRDefault="007E5882" w:rsidP="009B7F65">
            <w:pPr>
              <w:pStyle w:val="Tabletext"/>
              <w:keepNext/>
              <w:jc w:val="center"/>
              <w:rPr>
                <w:rFonts w:ascii="Arial Narrow" w:hAnsi="Arial Narrow" w:cs="Arial"/>
                <w:bCs/>
              </w:rPr>
            </w:pPr>
            <w:r w:rsidRPr="00A809CE">
              <w:rPr>
                <w:rFonts w:ascii="Arial Narrow" w:hAnsi="Arial Narrow" w:cs="Arial"/>
                <w:bCs/>
              </w:rPr>
              <w:t>$</w:t>
            </w:r>
            <w:r w:rsidR="00622211">
              <w:rPr>
                <w:rFonts w:ascii="Arial Narrow" w:hAnsi="Arial Narrow" w:cs="Arial"/>
                <w:bCs/>
                <w:noProof/>
                <w:color w:val="000000"/>
                <w:highlight w:val="black"/>
              </w:rPr>
              <w:t>''''''''''''''''''</w:t>
            </w:r>
          </w:p>
        </w:tc>
        <w:tc>
          <w:tcPr>
            <w:tcW w:w="1173" w:type="dxa"/>
            <w:shd w:val="clear" w:color="auto" w:fill="auto"/>
            <w:vAlign w:val="center"/>
          </w:tcPr>
          <w:p w:rsidR="007E5882" w:rsidRPr="00A809CE" w:rsidRDefault="007E5882" w:rsidP="009B7F65">
            <w:pPr>
              <w:pStyle w:val="Tabletext"/>
              <w:keepNext/>
              <w:jc w:val="center"/>
              <w:rPr>
                <w:rFonts w:ascii="Arial Narrow" w:hAnsi="Arial Narrow" w:cs="Arial"/>
                <w:bCs/>
              </w:rPr>
            </w:pPr>
            <w:r w:rsidRPr="00A809CE">
              <w:rPr>
                <w:rFonts w:ascii="Arial Narrow" w:hAnsi="Arial Narrow" w:cs="Arial"/>
                <w:bCs/>
              </w:rPr>
              <w:t>$</w:t>
            </w:r>
            <w:r w:rsidR="00622211">
              <w:rPr>
                <w:rFonts w:ascii="Arial Narrow" w:hAnsi="Arial Narrow" w:cs="Arial"/>
                <w:bCs/>
                <w:noProof/>
                <w:color w:val="000000"/>
                <w:highlight w:val="black"/>
              </w:rPr>
              <w:t>''''''''''''''''</w:t>
            </w:r>
          </w:p>
        </w:tc>
        <w:tc>
          <w:tcPr>
            <w:tcW w:w="1173" w:type="dxa"/>
            <w:shd w:val="clear" w:color="auto" w:fill="auto"/>
            <w:vAlign w:val="center"/>
          </w:tcPr>
          <w:p w:rsidR="007E5882" w:rsidRPr="00A809CE" w:rsidRDefault="007E5882" w:rsidP="009B7F65">
            <w:pPr>
              <w:pStyle w:val="Tabletext"/>
              <w:keepNext/>
              <w:jc w:val="center"/>
              <w:rPr>
                <w:rFonts w:ascii="Arial Narrow" w:hAnsi="Arial Narrow" w:cs="Arial"/>
                <w:bCs/>
              </w:rPr>
            </w:pPr>
            <w:r w:rsidRPr="00A809CE">
              <w:rPr>
                <w:rFonts w:ascii="Arial Narrow" w:hAnsi="Arial Narrow" w:cs="Arial"/>
                <w:bCs/>
              </w:rPr>
              <w:t>$</w:t>
            </w:r>
            <w:r w:rsidR="00622211">
              <w:rPr>
                <w:rFonts w:ascii="Arial Narrow" w:hAnsi="Arial Narrow" w:cs="Arial"/>
                <w:bCs/>
                <w:noProof/>
                <w:color w:val="000000"/>
                <w:highlight w:val="black"/>
              </w:rPr>
              <w:t>''''''''''''''''</w:t>
            </w:r>
          </w:p>
        </w:tc>
        <w:tc>
          <w:tcPr>
            <w:tcW w:w="1173" w:type="dxa"/>
            <w:shd w:val="clear" w:color="auto" w:fill="auto"/>
            <w:vAlign w:val="center"/>
          </w:tcPr>
          <w:p w:rsidR="007E5882" w:rsidRPr="00A809CE" w:rsidRDefault="007E5882" w:rsidP="009B7F65">
            <w:pPr>
              <w:pStyle w:val="Tabletext"/>
              <w:keepNext/>
              <w:jc w:val="center"/>
              <w:rPr>
                <w:rFonts w:ascii="Arial Narrow" w:hAnsi="Arial Narrow" w:cs="Arial"/>
                <w:bCs/>
              </w:rPr>
            </w:pPr>
            <w:r w:rsidRPr="00A809CE">
              <w:rPr>
                <w:rFonts w:ascii="Arial Narrow" w:hAnsi="Arial Narrow" w:cs="Arial"/>
                <w:bCs/>
              </w:rPr>
              <w:t>$</w:t>
            </w:r>
            <w:r w:rsidR="00622211">
              <w:rPr>
                <w:rFonts w:ascii="Arial Narrow" w:hAnsi="Arial Narrow" w:cs="Arial"/>
                <w:bCs/>
                <w:noProof/>
                <w:color w:val="000000"/>
                <w:highlight w:val="black"/>
              </w:rPr>
              <w:t>''''''''''''''''''</w:t>
            </w:r>
          </w:p>
        </w:tc>
      </w:tr>
      <w:tr w:rsidR="007E5882" w:rsidRPr="00A809CE" w:rsidTr="00F86578">
        <w:trPr>
          <w:jc w:val="center"/>
        </w:trPr>
        <w:tc>
          <w:tcPr>
            <w:tcW w:w="2032" w:type="dxa"/>
            <w:shd w:val="clear" w:color="auto" w:fill="auto"/>
            <w:vAlign w:val="center"/>
          </w:tcPr>
          <w:p w:rsidR="007E5882" w:rsidRPr="00A809CE" w:rsidRDefault="007E5882" w:rsidP="009B7F65">
            <w:pPr>
              <w:keepNext/>
              <w:tabs>
                <w:tab w:val="left" w:pos="142"/>
              </w:tabs>
              <w:jc w:val="center"/>
              <w:rPr>
                <w:rFonts w:ascii="Arial Narrow" w:hAnsi="Arial Narrow"/>
                <w:b/>
                <w:sz w:val="20"/>
                <w:szCs w:val="20"/>
              </w:rPr>
            </w:pPr>
            <w:r w:rsidRPr="00A809CE">
              <w:rPr>
                <w:rFonts w:ascii="Arial Narrow" w:hAnsi="Arial Narrow"/>
                <w:b/>
                <w:sz w:val="20"/>
                <w:szCs w:val="20"/>
              </w:rPr>
              <w:t>Net cost to MBS</w:t>
            </w:r>
          </w:p>
        </w:tc>
        <w:tc>
          <w:tcPr>
            <w:tcW w:w="978" w:type="dxa"/>
            <w:shd w:val="clear" w:color="auto" w:fill="auto"/>
            <w:vAlign w:val="center"/>
          </w:tcPr>
          <w:p w:rsidR="007E5882" w:rsidRPr="00A809CE" w:rsidRDefault="007E5882" w:rsidP="009B7F65">
            <w:pPr>
              <w:jc w:val="center"/>
              <w:rPr>
                <w:rFonts w:ascii="Arial Narrow" w:hAnsi="Arial Narrow"/>
                <w:b/>
                <w:bCs/>
                <w:color w:val="000000"/>
                <w:sz w:val="20"/>
                <w:szCs w:val="20"/>
              </w:rPr>
            </w:pPr>
            <w:r w:rsidRPr="00A809CE">
              <w:rPr>
                <w:rFonts w:ascii="Arial Narrow" w:hAnsi="Arial Narrow"/>
                <w:b/>
                <w:bCs/>
                <w:color w:val="000000"/>
                <w:sz w:val="20"/>
                <w:szCs w:val="20"/>
              </w:rPr>
              <w:t>$</w:t>
            </w:r>
            <w:r w:rsidR="00622211">
              <w:rPr>
                <w:rFonts w:ascii="Arial Narrow" w:hAnsi="Arial Narrow"/>
                <w:b/>
                <w:bCs/>
                <w:noProof/>
                <w:color w:val="000000"/>
                <w:sz w:val="20"/>
                <w:szCs w:val="20"/>
                <w:highlight w:val="black"/>
              </w:rPr>
              <w:t>''''''''''''</w:t>
            </w:r>
          </w:p>
        </w:tc>
        <w:tc>
          <w:tcPr>
            <w:tcW w:w="1173" w:type="dxa"/>
            <w:shd w:val="clear" w:color="auto" w:fill="auto"/>
            <w:vAlign w:val="center"/>
          </w:tcPr>
          <w:p w:rsidR="007E5882" w:rsidRPr="00A809CE" w:rsidRDefault="007E5882" w:rsidP="009B7F65">
            <w:pPr>
              <w:jc w:val="center"/>
              <w:rPr>
                <w:rFonts w:ascii="Arial Narrow" w:hAnsi="Arial Narrow"/>
                <w:b/>
                <w:bCs/>
                <w:color w:val="000000"/>
                <w:sz w:val="20"/>
                <w:szCs w:val="20"/>
              </w:rPr>
            </w:pPr>
            <w:r w:rsidRPr="00A809CE">
              <w:rPr>
                <w:rFonts w:ascii="Arial Narrow" w:hAnsi="Arial Narrow"/>
                <w:b/>
                <w:bCs/>
                <w:color w:val="000000"/>
                <w:sz w:val="20"/>
                <w:szCs w:val="20"/>
              </w:rPr>
              <w:t>$</w:t>
            </w:r>
            <w:r w:rsidR="00622211">
              <w:rPr>
                <w:rFonts w:ascii="Arial Narrow" w:hAnsi="Arial Narrow"/>
                <w:b/>
                <w:bCs/>
                <w:noProof/>
                <w:color w:val="000000"/>
                <w:sz w:val="20"/>
                <w:szCs w:val="20"/>
                <w:highlight w:val="black"/>
              </w:rPr>
              <w:t>'''''''''''''</w:t>
            </w:r>
          </w:p>
        </w:tc>
        <w:tc>
          <w:tcPr>
            <w:tcW w:w="1173" w:type="dxa"/>
            <w:shd w:val="clear" w:color="auto" w:fill="auto"/>
            <w:vAlign w:val="center"/>
          </w:tcPr>
          <w:p w:rsidR="007E5882" w:rsidRPr="00A809CE" w:rsidRDefault="007E5882" w:rsidP="009B7F65">
            <w:pPr>
              <w:jc w:val="center"/>
              <w:rPr>
                <w:rFonts w:ascii="Arial Narrow" w:hAnsi="Arial Narrow"/>
                <w:b/>
                <w:bCs/>
                <w:color w:val="000000"/>
                <w:sz w:val="20"/>
                <w:szCs w:val="20"/>
              </w:rPr>
            </w:pPr>
            <w:r w:rsidRPr="00A809CE">
              <w:rPr>
                <w:rFonts w:ascii="Arial Narrow" w:hAnsi="Arial Narrow"/>
                <w:b/>
                <w:bCs/>
                <w:color w:val="000000"/>
                <w:sz w:val="20"/>
                <w:szCs w:val="20"/>
              </w:rPr>
              <w:t>$</w:t>
            </w:r>
            <w:r w:rsidR="00622211">
              <w:rPr>
                <w:rFonts w:ascii="Arial Narrow" w:hAnsi="Arial Narrow"/>
                <w:b/>
                <w:bCs/>
                <w:noProof/>
                <w:color w:val="000000"/>
                <w:sz w:val="20"/>
                <w:szCs w:val="20"/>
                <w:highlight w:val="black"/>
              </w:rPr>
              <w:t>''''''''''''''</w:t>
            </w:r>
          </w:p>
        </w:tc>
        <w:tc>
          <w:tcPr>
            <w:tcW w:w="1173" w:type="dxa"/>
            <w:shd w:val="clear" w:color="auto" w:fill="auto"/>
            <w:vAlign w:val="center"/>
          </w:tcPr>
          <w:p w:rsidR="007E5882" w:rsidRPr="00A809CE" w:rsidRDefault="007E5882" w:rsidP="009B7F65">
            <w:pPr>
              <w:jc w:val="center"/>
              <w:rPr>
                <w:rFonts w:ascii="Arial Narrow" w:hAnsi="Arial Narrow"/>
                <w:b/>
                <w:bCs/>
                <w:color w:val="000000"/>
                <w:sz w:val="20"/>
                <w:szCs w:val="20"/>
              </w:rPr>
            </w:pPr>
            <w:r w:rsidRPr="00A809CE">
              <w:rPr>
                <w:rFonts w:ascii="Arial Narrow" w:hAnsi="Arial Narrow"/>
                <w:b/>
                <w:bCs/>
                <w:color w:val="000000"/>
                <w:sz w:val="20"/>
                <w:szCs w:val="20"/>
              </w:rPr>
              <w:t>$</w:t>
            </w:r>
            <w:r w:rsidR="00622211">
              <w:rPr>
                <w:rFonts w:ascii="Arial Narrow" w:hAnsi="Arial Narrow"/>
                <w:b/>
                <w:bCs/>
                <w:noProof/>
                <w:color w:val="000000"/>
                <w:sz w:val="20"/>
                <w:szCs w:val="20"/>
                <w:highlight w:val="black"/>
              </w:rPr>
              <w:t>''''''''''''''</w:t>
            </w:r>
          </w:p>
        </w:tc>
        <w:tc>
          <w:tcPr>
            <w:tcW w:w="1173" w:type="dxa"/>
            <w:shd w:val="clear" w:color="auto" w:fill="auto"/>
            <w:vAlign w:val="center"/>
          </w:tcPr>
          <w:p w:rsidR="007E5882" w:rsidRPr="00A809CE" w:rsidRDefault="007E5882" w:rsidP="009B7F65">
            <w:pPr>
              <w:jc w:val="center"/>
              <w:rPr>
                <w:rFonts w:ascii="Arial Narrow" w:hAnsi="Arial Narrow"/>
                <w:b/>
                <w:bCs/>
                <w:color w:val="000000"/>
                <w:sz w:val="20"/>
                <w:szCs w:val="20"/>
              </w:rPr>
            </w:pPr>
            <w:r w:rsidRPr="00A809CE">
              <w:rPr>
                <w:rFonts w:ascii="Arial Narrow" w:hAnsi="Arial Narrow"/>
                <w:b/>
                <w:bCs/>
                <w:color w:val="000000"/>
                <w:sz w:val="20"/>
                <w:szCs w:val="20"/>
              </w:rPr>
              <w:t>$</w:t>
            </w:r>
            <w:r w:rsidR="00622211">
              <w:rPr>
                <w:rFonts w:ascii="Arial Narrow" w:hAnsi="Arial Narrow"/>
                <w:b/>
                <w:bCs/>
                <w:noProof/>
                <w:color w:val="000000"/>
                <w:sz w:val="20"/>
                <w:szCs w:val="20"/>
                <w:highlight w:val="black"/>
              </w:rPr>
              <w:t>'''''''''''''</w:t>
            </w:r>
          </w:p>
        </w:tc>
      </w:tr>
      <w:tr w:rsidR="007E5882" w:rsidRPr="00A809CE" w:rsidTr="00F86578">
        <w:trPr>
          <w:jc w:val="center"/>
        </w:trPr>
        <w:tc>
          <w:tcPr>
            <w:tcW w:w="2032" w:type="dxa"/>
            <w:shd w:val="clear" w:color="auto" w:fill="auto"/>
            <w:vAlign w:val="center"/>
          </w:tcPr>
          <w:p w:rsidR="007E5882" w:rsidRPr="00A809CE" w:rsidRDefault="007E5882" w:rsidP="009B7F65">
            <w:pPr>
              <w:keepNext/>
              <w:tabs>
                <w:tab w:val="left" w:pos="142"/>
              </w:tabs>
              <w:jc w:val="center"/>
              <w:rPr>
                <w:rFonts w:ascii="Arial Narrow" w:hAnsi="Arial Narrow"/>
                <w:sz w:val="20"/>
                <w:szCs w:val="20"/>
              </w:rPr>
            </w:pPr>
            <w:r w:rsidRPr="00A809CE">
              <w:rPr>
                <w:rFonts w:ascii="Arial Narrow" w:hAnsi="Arial Narrow"/>
                <w:sz w:val="20"/>
                <w:szCs w:val="20"/>
              </w:rPr>
              <w:t>Net cost to hospitals – Mar 2015</w:t>
            </w:r>
          </w:p>
        </w:tc>
        <w:tc>
          <w:tcPr>
            <w:tcW w:w="978" w:type="dxa"/>
            <w:shd w:val="clear" w:color="auto" w:fill="auto"/>
            <w:vAlign w:val="center"/>
          </w:tcPr>
          <w:p w:rsidR="007E5882" w:rsidRPr="00A809CE" w:rsidRDefault="007E5882" w:rsidP="009B7F65">
            <w:pPr>
              <w:keepNext/>
              <w:jc w:val="center"/>
              <w:rPr>
                <w:rFonts w:ascii="Arial Narrow" w:hAnsi="Arial Narrow"/>
                <w:bCs/>
                <w:color w:val="000000"/>
                <w:sz w:val="20"/>
                <w:szCs w:val="20"/>
              </w:rPr>
            </w:pPr>
            <w:r w:rsidRPr="00A809CE">
              <w:rPr>
                <w:rFonts w:ascii="Arial Narrow" w:hAnsi="Arial Narrow"/>
                <w:bCs/>
                <w:color w:val="000000"/>
                <w:sz w:val="20"/>
                <w:szCs w:val="20"/>
              </w:rPr>
              <w:t>$</w:t>
            </w:r>
            <w:r w:rsidR="00622211">
              <w:rPr>
                <w:rFonts w:ascii="Arial Narrow" w:hAnsi="Arial Narrow"/>
                <w:bCs/>
                <w:noProof/>
                <w:color w:val="000000"/>
                <w:sz w:val="20"/>
                <w:szCs w:val="20"/>
                <w:highlight w:val="black"/>
              </w:rPr>
              <w:t>'''''''''''''''''''</w:t>
            </w:r>
          </w:p>
        </w:tc>
        <w:tc>
          <w:tcPr>
            <w:tcW w:w="1173" w:type="dxa"/>
            <w:shd w:val="clear" w:color="auto" w:fill="auto"/>
            <w:vAlign w:val="center"/>
          </w:tcPr>
          <w:p w:rsidR="007E5882" w:rsidRPr="00A809CE" w:rsidRDefault="007E5882" w:rsidP="009B7F65">
            <w:pPr>
              <w:keepNext/>
              <w:jc w:val="center"/>
              <w:rPr>
                <w:rFonts w:ascii="Arial Narrow" w:hAnsi="Arial Narrow"/>
                <w:bCs/>
                <w:color w:val="000000"/>
                <w:sz w:val="20"/>
                <w:szCs w:val="20"/>
              </w:rPr>
            </w:pPr>
            <w:r w:rsidRPr="00A809CE">
              <w:rPr>
                <w:rFonts w:ascii="Arial Narrow" w:hAnsi="Arial Narrow"/>
                <w:bCs/>
                <w:color w:val="000000"/>
                <w:sz w:val="20"/>
                <w:szCs w:val="20"/>
              </w:rPr>
              <w:t>$</w:t>
            </w:r>
            <w:r w:rsidR="00622211">
              <w:rPr>
                <w:rFonts w:ascii="Arial Narrow" w:hAnsi="Arial Narrow"/>
                <w:bCs/>
                <w:noProof/>
                <w:color w:val="000000"/>
                <w:sz w:val="20"/>
                <w:szCs w:val="20"/>
                <w:highlight w:val="black"/>
              </w:rPr>
              <w:t>'''''''''''''''''</w:t>
            </w:r>
          </w:p>
        </w:tc>
        <w:tc>
          <w:tcPr>
            <w:tcW w:w="1173" w:type="dxa"/>
            <w:shd w:val="clear" w:color="auto" w:fill="auto"/>
            <w:vAlign w:val="center"/>
          </w:tcPr>
          <w:p w:rsidR="007E5882" w:rsidRPr="00A809CE" w:rsidRDefault="007E5882" w:rsidP="009B7F65">
            <w:pPr>
              <w:keepNext/>
              <w:jc w:val="center"/>
              <w:rPr>
                <w:rFonts w:ascii="Arial Narrow" w:hAnsi="Arial Narrow"/>
                <w:bCs/>
                <w:color w:val="000000"/>
                <w:sz w:val="20"/>
                <w:szCs w:val="20"/>
              </w:rPr>
            </w:pPr>
            <w:r w:rsidRPr="00A809CE">
              <w:rPr>
                <w:rFonts w:ascii="Arial Narrow" w:hAnsi="Arial Narrow"/>
                <w:bCs/>
                <w:color w:val="000000"/>
                <w:sz w:val="20"/>
                <w:szCs w:val="20"/>
              </w:rPr>
              <w:t>$</w:t>
            </w:r>
            <w:r w:rsidR="00622211">
              <w:rPr>
                <w:rFonts w:ascii="Arial Narrow" w:hAnsi="Arial Narrow"/>
                <w:bCs/>
                <w:noProof/>
                <w:color w:val="000000"/>
                <w:sz w:val="20"/>
                <w:szCs w:val="20"/>
                <w:highlight w:val="black"/>
              </w:rPr>
              <w:t>''''''''''''''''''</w:t>
            </w:r>
          </w:p>
        </w:tc>
        <w:tc>
          <w:tcPr>
            <w:tcW w:w="1173" w:type="dxa"/>
            <w:shd w:val="clear" w:color="auto" w:fill="auto"/>
            <w:vAlign w:val="center"/>
          </w:tcPr>
          <w:p w:rsidR="007E5882" w:rsidRPr="00A809CE" w:rsidRDefault="007E5882" w:rsidP="009B7F65">
            <w:pPr>
              <w:keepNext/>
              <w:jc w:val="center"/>
              <w:rPr>
                <w:rFonts w:ascii="Arial Narrow" w:hAnsi="Arial Narrow"/>
                <w:bCs/>
                <w:color w:val="000000"/>
                <w:sz w:val="20"/>
                <w:szCs w:val="20"/>
              </w:rPr>
            </w:pPr>
            <w:r w:rsidRPr="00A809CE">
              <w:rPr>
                <w:rFonts w:ascii="Arial Narrow" w:hAnsi="Arial Narrow"/>
                <w:bCs/>
                <w:color w:val="000000"/>
                <w:sz w:val="20"/>
                <w:szCs w:val="20"/>
              </w:rPr>
              <w:t>$</w:t>
            </w:r>
            <w:r w:rsidR="00622211">
              <w:rPr>
                <w:rFonts w:ascii="Arial Narrow" w:hAnsi="Arial Narrow"/>
                <w:bCs/>
                <w:noProof/>
                <w:color w:val="000000"/>
                <w:sz w:val="20"/>
                <w:szCs w:val="20"/>
                <w:highlight w:val="black"/>
              </w:rPr>
              <w:t>'''''''''''''''''''</w:t>
            </w:r>
          </w:p>
        </w:tc>
        <w:tc>
          <w:tcPr>
            <w:tcW w:w="1173" w:type="dxa"/>
            <w:shd w:val="clear" w:color="auto" w:fill="auto"/>
            <w:vAlign w:val="center"/>
          </w:tcPr>
          <w:p w:rsidR="007E5882" w:rsidRPr="00A809CE" w:rsidRDefault="007E5882" w:rsidP="009B7F65">
            <w:pPr>
              <w:keepNext/>
              <w:jc w:val="center"/>
              <w:rPr>
                <w:rFonts w:ascii="Arial Narrow" w:hAnsi="Arial Narrow"/>
                <w:bCs/>
                <w:color w:val="000000"/>
                <w:sz w:val="20"/>
                <w:szCs w:val="20"/>
              </w:rPr>
            </w:pPr>
            <w:r w:rsidRPr="00A809CE">
              <w:rPr>
                <w:rFonts w:ascii="Arial Narrow" w:hAnsi="Arial Narrow"/>
                <w:bCs/>
                <w:color w:val="000000"/>
                <w:sz w:val="20"/>
                <w:szCs w:val="20"/>
              </w:rPr>
              <w:t>$</w:t>
            </w:r>
            <w:r w:rsidR="00622211">
              <w:rPr>
                <w:rFonts w:ascii="Arial Narrow" w:hAnsi="Arial Narrow"/>
                <w:bCs/>
                <w:noProof/>
                <w:color w:val="000000"/>
                <w:sz w:val="20"/>
                <w:szCs w:val="20"/>
                <w:highlight w:val="black"/>
              </w:rPr>
              <w:t>'''''''''''''''''''</w:t>
            </w:r>
          </w:p>
        </w:tc>
      </w:tr>
      <w:tr w:rsidR="007E5882" w:rsidRPr="00A809CE" w:rsidTr="00F86578">
        <w:trPr>
          <w:jc w:val="center"/>
        </w:trPr>
        <w:tc>
          <w:tcPr>
            <w:tcW w:w="2032" w:type="dxa"/>
            <w:shd w:val="clear" w:color="auto" w:fill="auto"/>
            <w:vAlign w:val="center"/>
          </w:tcPr>
          <w:p w:rsidR="007E5882" w:rsidRPr="00A809CE" w:rsidRDefault="007E5882" w:rsidP="009B7F65">
            <w:pPr>
              <w:keepNext/>
              <w:tabs>
                <w:tab w:val="left" w:pos="142"/>
              </w:tabs>
              <w:jc w:val="center"/>
              <w:rPr>
                <w:rFonts w:ascii="Arial Narrow" w:hAnsi="Arial Narrow"/>
                <w:sz w:val="20"/>
                <w:szCs w:val="20"/>
              </w:rPr>
            </w:pPr>
            <w:r w:rsidRPr="00A809CE">
              <w:rPr>
                <w:rFonts w:ascii="Arial Narrow" w:hAnsi="Arial Narrow"/>
                <w:sz w:val="20"/>
                <w:szCs w:val="20"/>
              </w:rPr>
              <w:t>Net cost to hospitals – Nov 2015</w:t>
            </w:r>
          </w:p>
        </w:tc>
        <w:tc>
          <w:tcPr>
            <w:tcW w:w="978" w:type="dxa"/>
            <w:shd w:val="clear" w:color="auto" w:fill="auto"/>
            <w:vAlign w:val="center"/>
          </w:tcPr>
          <w:p w:rsidR="007E5882" w:rsidRPr="00A809CE" w:rsidRDefault="007E5882" w:rsidP="009B7F65">
            <w:pPr>
              <w:keepNext/>
              <w:jc w:val="center"/>
              <w:rPr>
                <w:rStyle w:val="TableText0"/>
                <w:szCs w:val="20"/>
              </w:rPr>
            </w:pPr>
            <w:r w:rsidRPr="00A809CE">
              <w:rPr>
                <w:rStyle w:val="TableText0"/>
                <w:szCs w:val="20"/>
              </w:rPr>
              <w:t>$</w:t>
            </w:r>
            <w:r w:rsidR="00622211">
              <w:rPr>
                <w:rStyle w:val="TableText0"/>
                <w:noProof/>
                <w:color w:val="000000"/>
                <w:szCs w:val="20"/>
                <w:highlight w:val="black"/>
              </w:rPr>
              <w:t>'''''''''''''''''</w:t>
            </w:r>
          </w:p>
        </w:tc>
        <w:tc>
          <w:tcPr>
            <w:tcW w:w="1173" w:type="dxa"/>
            <w:shd w:val="clear" w:color="auto" w:fill="auto"/>
            <w:vAlign w:val="center"/>
          </w:tcPr>
          <w:p w:rsidR="007E5882" w:rsidRPr="00A809CE" w:rsidRDefault="007E5882" w:rsidP="009B7F65">
            <w:pPr>
              <w:keepNext/>
              <w:jc w:val="center"/>
              <w:rPr>
                <w:rStyle w:val="TableText0"/>
                <w:szCs w:val="20"/>
              </w:rPr>
            </w:pPr>
            <w:r w:rsidRPr="00A809CE">
              <w:rPr>
                <w:rStyle w:val="TableText0"/>
                <w:szCs w:val="20"/>
              </w:rPr>
              <w:t>$</w:t>
            </w:r>
            <w:r w:rsidR="00622211">
              <w:rPr>
                <w:rStyle w:val="TableText0"/>
                <w:noProof/>
                <w:color w:val="000000"/>
                <w:szCs w:val="20"/>
                <w:highlight w:val="black"/>
              </w:rPr>
              <w:t>'''''''''''''''''''</w:t>
            </w:r>
          </w:p>
        </w:tc>
        <w:tc>
          <w:tcPr>
            <w:tcW w:w="1173" w:type="dxa"/>
            <w:shd w:val="clear" w:color="auto" w:fill="auto"/>
            <w:vAlign w:val="center"/>
          </w:tcPr>
          <w:p w:rsidR="007E5882" w:rsidRPr="00A809CE" w:rsidRDefault="007E5882" w:rsidP="009B7F65">
            <w:pPr>
              <w:keepNext/>
              <w:jc w:val="center"/>
              <w:rPr>
                <w:rStyle w:val="TableText0"/>
                <w:szCs w:val="20"/>
              </w:rPr>
            </w:pPr>
            <w:r w:rsidRPr="00A809CE">
              <w:rPr>
                <w:rStyle w:val="TableText0"/>
                <w:szCs w:val="20"/>
              </w:rPr>
              <w:t>$</w:t>
            </w:r>
            <w:r w:rsidR="00622211">
              <w:rPr>
                <w:rStyle w:val="TableText0"/>
                <w:noProof/>
                <w:color w:val="000000"/>
                <w:szCs w:val="20"/>
                <w:highlight w:val="black"/>
              </w:rPr>
              <w:t>'''''''''''''''''''</w:t>
            </w:r>
          </w:p>
        </w:tc>
        <w:tc>
          <w:tcPr>
            <w:tcW w:w="1173" w:type="dxa"/>
            <w:shd w:val="clear" w:color="auto" w:fill="auto"/>
            <w:vAlign w:val="center"/>
          </w:tcPr>
          <w:p w:rsidR="007E5882" w:rsidRPr="00A809CE" w:rsidRDefault="007E5882" w:rsidP="009B7F65">
            <w:pPr>
              <w:keepNext/>
              <w:jc w:val="center"/>
              <w:rPr>
                <w:rStyle w:val="TableText0"/>
                <w:szCs w:val="20"/>
              </w:rPr>
            </w:pPr>
            <w:r w:rsidRPr="00A809CE">
              <w:rPr>
                <w:rStyle w:val="TableText0"/>
                <w:szCs w:val="20"/>
              </w:rPr>
              <w:t>$</w:t>
            </w:r>
            <w:r w:rsidR="00622211">
              <w:rPr>
                <w:rStyle w:val="TableText0"/>
                <w:noProof/>
                <w:color w:val="000000"/>
                <w:szCs w:val="20"/>
                <w:highlight w:val="black"/>
              </w:rPr>
              <w:t>'''''''''''''''''</w:t>
            </w:r>
          </w:p>
        </w:tc>
        <w:tc>
          <w:tcPr>
            <w:tcW w:w="1173" w:type="dxa"/>
            <w:shd w:val="clear" w:color="auto" w:fill="auto"/>
            <w:vAlign w:val="center"/>
          </w:tcPr>
          <w:p w:rsidR="007E5882" w:rsidRPr="00A809CE" w:rsidRDefault="007E5882" w:rsidP="009B7F65">
            <w:pPr>
              <w:keepNext/>
              <w:jc w:val="center"/>
              <w:rPr>
                <w:rStyle w:val="TableText0"/>
                <w:szCs w:val="20"/>
              </w:rPr>
            </w:pPr>
            <w:r w:rsidRPr="00A809CE">
              <w:rPr>
                <w:rStyle w:val="TableText0"/>
                <w:szCs w:val="20"/>
              </w:rPr>
              <w:t>$</w:t>
            </w:r>
            <w:r w:rsidR="00622211">
              <w:rPr>
                <w:rStyle w:val="TableText0"/>
                <w:noProof/>
                <w:color w:val="000000"/>
                <w:szCs w:val="20"/>
                <w:highlight w:val="black"/>
              </w:rPr>
              <w:t>''''''''''''''''''</w:t>
            </w:r>
          </w:p>
        </w:tc>
      </w:tr>
      <w:tr w:rsidR="007E5882" w:rsidRPr="00A809CE" w:rsidTr="00F86578">
        <w:trPr>
          <w:jc w:val="center"/>
        </w:trPr>
        <w:tc>
          <w:tcPr>
            <w:tcW w:w="2032" w:type="dxa"/>
            <w:shd w:val="clear" w:color="auto" w:fill="auto"/>
            <w:vAlign w:val="center"/>
          </w:tcPr>
          <w:p w:rsidR="007E5882" w:rsidRPr="00A809CE" w:rsidRDefault="007E5882" w:rsidP="009B7F65">
            <w:pPr>
              <w:keepNext/>
              <w:tabs>
                <w:tab w:val="left" w:pos="142"/>
              </w:tabs>
              <w:jc w:val="center"/>
              <w:rPr>
                <w:rFonts w:ascii="Arial Narrow" w:hAnsi="Arial Narrow"/>
                <w:sz w:val="20"/>
                <w:szCs w:val="20"/>
              </w:rPr>
            </w:pPr>
            <w:r w:rsidRPr="00A809CE">
              <w:rPr>
                <w:rFonts w:ascii="Arial Narrow" w:hAnsi="Arial Narrow"/>
                <w:sz w:val="20"/>
                <w:szCs w:val="20"/>
              </w:rPr>
              <w:t>Net cost to hospitals – Nov 2015 alternate</w:t>
            </w:r>
          </w:p>
        </w:tc>
        <w:tc>
          <w:tcPr>
            <w:tcW w:w="978" w:type="dxa"/>
            <w:shd w:val="clear" w:color="auto" w:fill="auto"/>
            <w:vAlign w:val="center"/>
          </w:tcPr>
          <w:p w:rsidR="007E5882" w:rsidRPr="00A809CE" w:rsidRDefault="007E5882" w:rsidP="009B7F65">
            <w:pPr>
              <w:keepNext/>
              <w:jc w:val="center"/>
              <w:rPr>
                <w:rStyle w:val="TableText0"/>
              </w:rPr>
            </w:pPr>
            <w:r w:rsidRPr="00A809CE">
              <w:rPr>
                <w:rStyle w:val="TableText0"/>
              </w:rPr>
              <w:t>$</w:t>
            </w:r>
            <w:r w:rsidR="00622211">
              <w:rPr>
                <w:rStyle w:val="TableText0"/>
                <w:noProof/>
                <w:color w:val="000000"/>
                <w:highlight w:val="black"/>
              </w:rPr>
              <w:t>''''''''''''''''''''</w:t>
            </w:r>
          </w:p>
        </w:tc>
        <w:tc>
          <w:tcPr>
            <w:tcW w:w="1173" w:type="dxa"/>
            <w:shd w:val="clear" w:color="auto" w:fill="auto"/>
            <w:vAlign w:val="center"/>
          </w:tcPr>
          <w:p w:rsidR="007E5882" w:rsidRPr="00A809CE" w:rsidRDefault="007E5882" w:rsidP="009B7F65">
            <w:pPr>
              <w:keepNext/>
              <w:jc w:val="center"/>
              <w:rPr>
                <w:rStyle w:val="TableText0"/>
              </w:rPr>
            </w:pPr>
            <w:r w:rsidRPr="00A809CE">
              <w:rPr>
                <w:rStyle w:val="TableText0"/>
              </w:rPr>
              <w:t>$</w:t>
            </w:r>
            <w:r w:rsidR="00622211">
              <w:rPr>
                <w:rStyle w:val="TableText0"/>
                <w:noProof/>
                <w:color w:val="000000"/>
                <w:highlight w:val="black"/>
              </w:rPr>
              <w:t>'''''''''''''''''''</w:t>
            </w:r>
          </w:p>
        </w:tc>
        <w:tc>
          <w:tcPr>
            <w:tcW w:w="1173" w:type="dxa"/>
            <w:shd w:val="clear" w:color="auto" w:fill="auto"/>
            <w:vAlign w:val="center"/>
          </w:tcPr>
          <w:p w:rsidR="007E5882" w:rsidRPr="00A809CE" w:rsidRDefault="007E5882" w:rsidP="009B7F65">
            <w:pPr>
              <w:keepNext/>
              <w:jc w:val="center"/>
              <w:rPr>
                <w:rStyle w:val="TableText0"/>
              </w:rPr>
            </w:pPr>
            <w:r w:rsidRPr="00A809CE">
              <w:rPr>
                <w:rStyle w:val="TableText0"/>
              </w:rPr>
              <w:t>$</w:t>
            </w:r>
            <w:r w:rsidR="00622211">
              <w:rPr>
                <w:rStyle w:val="TableText0"/>
                <w:noProof/>
                <w:color w:val="000000"/>
                <w:highlight w:val="black"/>
              </w:rPr>
              <w:t>''''''''''''''''''''</w:t>
            </w:r>
          </w:p>
        </w:tc>
        <w:tc>
          <w:tcPr>
            <w:tcW w:w="1173" w:type="dxa"/>
            <w:shd w:val="clear" w:color="auto" w:fill="auto"/>
            <w:vAlign w:val="center"/>
          </w:tcPr>
          <w:p w:rsidR="007E5882" w:rsidRPr="00A809CE" w:rsidRDefault="007E5882" w:rsidP="009B7F65">
            <w:pPr>
              <w:keepNext/>
              <w:jc w:val="center"/>
              <w:rPr>
                <w:rStyle w:val="TableText0"/>
              </w:rPr>
            </w:pPr>
            <w:r w:rsidRPr="00A809CE">
              <w:rPr>
                <w:rStyle w:val="TableText0"/>
              </w:rPr>
              <w:t>$</w:t>
            </w:r>
            <w:r w:rsidR="00622211">
              <w:rPr>
                <w:rStyle w:val="TableText0"/>
                <w:noProof/>
                <w:color w:val="000000"/>
                <w:highlight w:val="black"/>
              </w:rPr>
              <w:t>'''''''''''''''''''''</w:t>
            </w:r>
          </w:p>
        </w:tc>
        <w:tc>
          <w:tcPr>
            <w:tcW w:w="1173" w:type="dxa"/>
            <w:shd w:val="clear" w:color="auto" w:fill="auto"/>
            <w:vAlign w:val="center"/>
          </w:tcPr>
          <w:p w:rsidR="007E5882" w:rsidRPr="00A809CE" w:rsidRDefault="007E5882" w:rsidP="009B7F65">
            <w:pPr>
              <w:keepNext/>
              <w:jc w:val="center"/>
              <w:rPr>
                <w:rStyle w:val="TableText0"/>
              </w:rPr>
            </w:pPr>
            <w:r w:rsidRPr="00A809CE">
              <w:rPr>
                <w:rStyle w:val="TableText0"/>
              </w:rPr>
              <w:t>$</w:t>
            </w:r>
            <w:r w:rsidR="00622211">
              <w:rPr>
                <w:rStyle w:val="TableText0"/>
                <w:noProof/>
                <w:color w:val="000000"/>
                <w:highlight w:val="black"/>
              </w:rPr>
              <w:t>''''''''''''''''''''</w:t>
            </w:r>
          </w:p>
        </w:tc>
      </w:tr>
      <w:tr w:rsidR="007E5882" w:rsidRPr="00A809CE" w:rsidTr="00F86578">
        <w:trPr>
          <w:jc w:val="center"/>
        </w:trPr>
        <w:tc>
          <w:tcPr>
            <w:tcW w:w="2032" w:type="dxa"/>
            <w:shd w:val="clear" w:color="auto" w:fill="auto"/>
            <w:vAlign w:val="center"/>
          </w:tcPr>
          <w:p w:rsidR="007E5882" w:rsidRPr="00A809CE" w:rsidRDefault="007E5882" w:rsidP="009B7F65">
            <w:pPr>
              <w:keepNext/>
              <w:tabs>
                <w:tab w:val="left" w:pos="142"/>
              </w:tabs>
              <w:jc w:val="center"/>
              <w:rPr>
                <w:rFonts w:ascii="Arial Narrow" w:hAnsi="Arial Narrow"/>
                <w:b/>
                <w:sz w:val="20"/>
                <w:szCs w:val="20"/>
              </w:rPr>
            </w:pPr>
            <w:r w:rsidRPr="00A809CE">
              <w:rPr>
                <w:rFonts w:ascii="Arial Narrow" w:hAnsi="Arial Narrow"/>
                <w:b/>
                <w:sz w:val="20"/>
                <w:szCs w:val="20"/>
              </w:rPr>
              <w:t>Net cost to hospitals</w:t>
            </w:r>
          </w:p>
        </w:tc>
        <w:tc>
          <w:tcPr>
            <w:tcW w:w="978" w:type="dxa"/>
            <w:shd w:val="clear" w:color="auto" w:fill="auto"/>
            <w:vAlign w:val="center"/>
          </w:tcPr>
          <w:p w:rsidR="007E5882" w:rsidRPr="00A809CE" w:rsidRDefault="007E5882" w:rsidP="009B7F65">
            <w:pPr>
              <w:jc w:val="center"/>
              <w:rPr>
                <w:rFonts w:ascii="Arial Narrow" w:hAnsi="Arial Narrow"/>
                <w:b/>
                <w:bCs/>
                <w:color w:val="000000"/>
                <w:sz w:val="20"/>
                <w:szCs w:val="20"/>
              </w:rPr>
            </w:pPr>
            <w:r w:rsidRPr="00A809CE">
              <w:rPr>
                <w:rFonts w:ascii="Arial Narrow" w:hAnsi="Arial Narrow"/>
                <w:b/>
                <w:bCs/>
                <w:color w:val="000000"/>
                <w:sz w:val="20"/>
                <w:szCs w:val="20"/>
              </w:rPr>
              <w:t>$</w:t>
            </w:r>
            <w:r w:rsidR="00622211">
              <w:rPr>
                <w:rFonts w:ascii="Arial Narrow" w:hAnsi="Arial Narrow"/>
                <w:b/>
                <w:bCs/>
                <w:noProof/>
                <w:color w:val="000000"/>
                <w:sz w:val="20"/>
                <w:szCs w:val="20"/>
                <w:highlight w:val="black"/>
              </w:rPr>
              <w:t>'''''''''''''''</w:t>
            </w:r>
          </w:p>
        </w:tc>
        <w:tc>
          <w:tcPr>
            <w:tcW w:w="1173" w:type="dxa"/>
            <w:shd w:val="clear" w:color="auto" w:fill="auto"/>
            <w:vAlign w:val="center"/>
          </w:tcPr>
          <w:p w:rsidR="007E5882" w:rsidRPr="00A809CE" w:rsidRDefault="007E5882" w:rsidP="009B7F65">
            <w:pPr>
              <w:jc w:val="center"/>
              <w:rPr>
                <w:rFonts w:ascii="Arial Narrow" w:hAnsi="Arial Narrow"/>
                <w:b/>
                <w:bCs/>
                <w:color w:val="000000"/>
                <w:sz w:val="20"/>
                <w:szCs w:val="20"/>
              </w:rPr>
            </w:pPr>
            <w:r w:rsidRPr="00A809CE">
              <w:rPr>
                <w:rFonts w:ascii="Arial Narrow" w:hAnsi="Arial Narrow"/>
                <w:b/>
                <w:bCs/>
                <w:color w:val="000000"/>
                <w:sz w:val="20"/>
                <w:szCs w:val="20"/>
              </w:rPr>
              <w:t>$</w:t>
            </w:r>
            <w:r w:rsidR="00622211">
              <w:rPr>
                <w:rFonts w:ascii="Arial Narrow" w:hAnsi="Arial Narrow"/>
                <w:b/>
                <w:bCs/>
                <w:noProof/>
                <w:color w:val="000000"/>
                <w:sz w:val="20"/>
                <w:szCs w:val="20"/>
                <w:highlight w:val="black"/>
              </w:rPr>
              <w:t>''''''''''''''''</w:t>
            </w:r>
          </w:p>
        </w:tc>
        <w:tc>
          <w:tcPr>
            <w:tcW w:w="1173" w:type="dxa"/>
            <w:shd w:val="clear" w:color="auto" w:fill="auto"/>
            <w:vAlign w:val="center"/>
          </w:tcPr>
          <w:p w:rsidR="007E5882" w:rsidRPr="00A809CE" w:rsidRDefault="007E5882" w:rsidP="009B7F65">
            <w:pPr>
              <w:jc w:val="center"/>
              <w:rPr>
                <w:rFonts w:ascii="Arial Narrow" w:hAnsi="Arial Narrow"/>
                <w:b/>
                <w:bCs/>
                <w:color w:val="000000"/>
                <w:sz w:val="20"/>
                <w:szCs w:val="20"/>
              </w:rPr>
            </w:pPr>
            <w:r w:rsidRPr="00A809CE">
              <w:rPr>
                <w:rFonts w:ascii="Arial Narrow" w:hAnsi="Arial Narrow"/>
                <w:b/>
                <w:bCs/>
                <w:color w:val="000000"/>
                <w:sz w:val="20"/>
                <w:szCs w:val="20"/>
              </w:rPr>
              <w:t>$</w:t>
            </w:r>
            <w:r w:rsidR="00622211">
              <w:rPr>
                <w:rFonts w:ascii="Arial Narrow" w:hAnsi="Arial Narrow"/>
                <w:b/>
                <w:bCs/>
                <w:noProof/>
                <w:color w:val="000000"/>
                <w:sz w:val="20"/>
                <w:szCs w:val="20"/>
                <w:highlight w:val="black"/>
              </w:rPr>
              <w:t>''''''''''''''</w:t>
            </w:r>
          </w:p>
        </w:tc>
        <w:tc>
          <w:tcPr>
            <w:tcW w:w="1173" w:type="dxa"/>
            <w:shd w:val="clear" w:color="auto" w:fill="auto"/>
            <w:vAlign w:val="center"/>
          </w:tcPr>
          <w:p w:rsidR="007E5882" w:rsidRPr="00A809CE" w:rsidRDefault="007E5882" w:rsidP="009B7F65">
            <w:pPr>
              <w:jc w:val="center"/>
              <w:rPr>
                <w:rFonts w:ascii="Arial Narrow" w:hAnsi="Arial Narrow"/>
                <w:b/>
                <w:bCs/>
                <w:color w:val="000000"/>
                <w:sz w:val="20"/>
                <w:szCs w:val="20"/>
              </w:rPr>
            </w:pPr>
            <w:r w:rsidRPr="00A809CE">
              <w:rPr>
                <w:rFonts w:ascii="Arial Narrow" w:hAnsi="Arial Narrow"/>
                <w:b/>
                <w:bCs/>
                <w:color w:val="000000"/>
                <w:sz w:val="20"/>
                <w:szCs w:val="20"/>
              </w:rPr>
              <w:t>$</w:t>
            </w:r>
            <w:r w:rsidR="00622211">
              <w:rPr>
                <w:rFonts w:ascii="Arial Narrow" w:hAnsi="Arial Narrow"/>
                <w:b/>
                <w:bCs/>
                <w:noProof/>
                <w:color w:val="000000"/>
                <w:sz w:val="20"/>
                <w:szCs w:val="20"/>
                <w:highlight w:val="black"/>
              </w:rPr>
              <w:t>'''''''''''''''</w:t>
            </w:r>
          </w:p>
        </w:tc>
        <w:tc>
          <w:tcPr>
            <w:tcW w:w="1173" w:type="dxa"/>
            <w:shd w:val="clear" w:color="auto" w:fill="auto"/>
            <w:vAlign w:val="center"/>
          </w:tcPr>
          <w:p w:rsidR="007E5882" w:rsidRPr="00A809CE" w:rsidRDefault="007E5882" w:rsidP="009B7F65">
            <w:pPr>
              <w:jc w:val="center"/>
              <w:rPr>
                <w:rFonts w:ascii="Arial Narrow" w:hAnsi="Arial Narrow"/>
                <w:b/>
                <w:bCs/>
                <w:color w:val="000000"/>
                <w:sz w:val="20"/>
                <w:szCs w:val="20"/>
              </w:rPr>
            </w:pPr>
            <w:r w:rsidRPr="00A809CE">
              <w:rPr>
                <w:rFonts w:ascii="Arial Narrow" w:hAnsi="Arial Narrow"/>
                <w:b/>
                <w:bCs/>
                <w:color w:val="000000"/>
                <w:sz w:val="20"/>
                <w:szCs w:val="20"/>
              </w:rPr>
              <w:t>$</w:t>
            </w:r>
            <w:r w:rsidR="00622211">
              <w:rPr>
                <w:rFonts w:ascii="Arial Narrow" w:hAnsi="Arial Narrow"/>
                <w:b/>
                <w:bCs/>
                <w:noProof/>
                <w:color w:val="000000"/>
                <w:sz w:val="20"/>
                <w:szCs w:val="20"/>
                <w:highlight w:val="black"/>
              </w:rPr>
              <w:t>'''''''''''''''''</w:t>
            </w:r>
          </w:p>
        </w:tc>
      </w:tr>
    </w:tbl>
    <w:p w:rsidR="00A809CE" w:rsidRDefault="00A809CE" w:rsidP="002518C0">
      <w:pPr>
        <w:pStyle w:val="ListParagraph"/>
        <w:ind w:left="709"/>
        <w:jc w:val="both"/>
        <w:rPr>
          <w:rFonts w:ascii="Arial Narrow" w:hAnsi="Arial Narrow"/>
          <w:sz w:val="20"/>
          <w:szCs w:val="20"/>
        </w:rPr>
      </w:pPr>
    </w:p>
    <w:p w:rsidR="007B0A39" w:rsidRPr="00153559" w:rsidRDefault="00153559" w:rsidP="00153559">
      <w:pPr>
        <w:pStyle w:val="ListParagraph"/>
        <w:ind w:left="709"/>
        <w:jc w:val="both"/>
        <w:rPr>
          <w:rFonts w:ascii="Arial Narrow" w:hAnsi="Arial Narrow"/>
          <w:sz w:val="20"/>
          <w:szCs w:val="20"/>
        </w:rPr>
      </w:pPr>
      <w:r w:rsidRPr="00521894">
        <w:rPr>
          <w:rFonts w:ascii="Arial" w:hAnsi="Arial" w:cs="Arial"/>
          <w:i/>
          <w:sz w:val="22"/>
          <w:szCs w:val="22"/>
        </w:rPr>
        <w:t>For more detail on PBAC’s view, see section 5 “PBAC outcome”</w:t>
      </w:r>
    </w:p>
    <w:p w:rsidR="007B0A39" w:rsidRDefault="007B0A39" w:rsidP="00153559">
      <w:pPr>
        <w:jc w:val="both"/>
        <w:rPr>
          <w:rFonts w:ascii="Arial Narrow" w:hAnsi="Arial Narrow"/>
          <w:sz w:val="20"/>
          <w:szCs w:val="20"/>
        </w:rPr>
      </w:pPr>
    </w:p>
    <w:p w:rsidR="00800DC2" w:rsidRPr="00153559" w:rsidRDefault="00800DC2" w:rsidP="007461E7">
      <w:pPr>
        <w:ind w:left="709" w:firstLine="11"/>
        <w:jc w:val="both"/>
        <w:rPr>
          <w:rFonts w:ascii="Arial Narrow" w:hAnsi="Arial Narrow"/>
          <w:sz w:val="20"/>
          <w:szCs w:val="20"/>
        </w:rPr>
      </w:pPr>
      <w:r>
        <w:rPr>
          <w:rFonts w:ascii="Arial" w:hAnsi="Arial" w:cs="Arial"/>
          <w:sz w:val="22"/>
          <w:szCs w:val="20"/>
        </w:rPr>
        <w:t xml:space="preserve">The redacted table shows that at year 5, the estimated range of patients </w:t>
      </w:r>
      <w:r w:rsidR="00E00A11">
        <w:rPr>
          <w:rFonts w:ascii="Arial" w:hAnsi="Arial" w:cs="Arial"/>
          <w:sz w:val="22"/>
          <w:szCs w:val="20"/>
        </w:rPr>
        <w:t xml:space="preserve">was less </w:t>
      </w:r>
      <w:r w:rsidR="00E00A11" w:rsidRPr="00E00A11">
        <w:rPr>
          <w:rFonts w:ascii="Arial" w:hAnsi="Arial" w:cs="Arial"/>
          <w:sz w:val="22"/>
          <w:szCs w:val="22"/>
        </w:rPr>
        <w:t xml:space="preserve">than </w:t>
      </w:r>
      <w:r w:rsidR="00E00A11" w:rsidRPr="007461E7">
        <w:rPr>
          <w:rFonts w:ascii="Arial" w:hAnsi="Arial" w:cs="Arial"/>
          <w:sz w:val="22"/>
          <w:szCs w:val="22"/>
        </w:rPr>
        <w:t>10,000</w:t>
      </w:r>
      <w:r w:rsidR="00E00A11">
        <w:rPr>
          <w:rFonts w:ascii="Arial" w:hAnsi="Arial" w:cs="Arial"/>
          <w:sz w:val="22"/>
          <w:szCs w:val="22"/>
        </w:rPr>
        <w:t xml:space="preserve"> per year and the net cost to the PBS would be less than $10</w:t>
      </w:r>
      <w:r w:rsidR="00521BCA">
        <w:rPr>
          <w:rFonts w:ascii="Arial" w:hAnsi="Arial" w:cs="Arial"/>
          <w:sz w:val="22"/>
          <w:szCs w:val="22"/>
        </w:rPr>
        <w:t xml:space="preserve"> million per year.</w:t>
      </w:r>
    </w:p>
    <w:p w:rsidR="00A809CE" w:rsidRPr="00A809CE" w:rsidRDefault="00A809CE" w:rsidP="002518C0">
      <w:pPr>
        <w:pStyle w:val="ListParagraph"/>
        <w:ind w:left="709"/>
        <w:jc w:val="both"/>
        <w:rPr>
          <w:rFonts w:ascii="Arial Narrow" w:hAnsi="Arial Narrow"/>
          <w:sz w:val="20"/>
          <w:szCs w:val="20"/>
        </w:rPr>
      </w:pPr>
    </w:p>
    <w:p w:rsidR="00A809CE" w:rsidRPr="00A809CE" w:rsidRDefault="00A809CE" w:rsidP="00067D33">
      <w:pPr>
        <w:pStyle w:val="Heading1"/>
      </w:pPr>
      <w:r w:rsidRPr="00A809CE">
        <w:t>PBAC Outcome</w:t>
      </w:r>
    </w:p>
    <w:p w:rsidR="00C33EAA" w:rsidRPr="00C33EAA" w:rsidRDefault="00C33EAA" w:rsidP="00C33EAA">
      <w:pPr>
        <w:jc w:val="both"/>
        <w:rPr>
          <w:rFonts w:ascii="Arial" w:hAnsi="Arial"/>
          <w:b/>
          <w:sz w:val="22"/>
          <w:szCs w:val="22"/>
        </w:rPr>
      </w:pPr>
    </w:p>
    <w:p w:rsidR="00C86F5F" w:rsidRPr="00C86F5F" w:rsidRDefault="00C86F5F" w:rsidP="00C86F5F">
      <w:pPr>
        <w:pStyle w:val="ListParagraph"/>
        <w:numPr>
          <w:ilvl w:val="1"/>
          <w:numId w:val="1"/>
        </w:numPr>
        <w:jc w:val="both"/>
        <w:rPr>
          <w:rFonts w:ascii="Arial" w:hAnsi="Arial"/>
          <w:b/>
          <w:sz w:val="22"/>
          <w:szCs w:val="22"/>
        </w:rPr>
      </w:pPr>
      <w:r w:rsidRPr="00C86F5F">
        <w:rPr>
          <w:rFonts w:ascii="Arial" w:hAnsi="Arial"/>
          <w:bCs/>
          <w:sz w:val="22"/>
          <w:szCs w:val="22"/>
          <w:lang w:val="en-GB"/>
        </w:rPr>
        <w:t xml:space="preserve">The PBAC recalled that the Committee at its November 2015 meeting deferred its decision for the Authority Required listing </w:t>
      </w:r>
      <w:r w:rsidR="00F86578" w:rsidRPr="00C33EAA">
        <w:rPr>
          <w:rFonts w:ascii="Arial" w:hAnsi="Arial"/>
          <w:bCs/>
          <w:sz w:val="22"/>
          <w:szCs w:val="22"/>
          <w:lang w:val="en-GB"/>
        </w:rPr>
        <w:t>idelalisib</w:t>
      </w:r>
      <w:r w:rsidRPr="00C33EAA">
        <w:rPr>
          <w:rFonts w:ascii="Arial" w:hAnsi="Arial"/>
          <w:bCs/>
          <w:sz w:val="22"/>
          <w:szCs w:val="22"/>
          <w:lang w:val="en-GB"/>
        </w:rPr>
        <w:t xml:space="preserve"> for the</w:t>
      </w:r>
      <w:r>
        <w:rPr>
          <w:rFonts w:ascii="Arial" w:hAnsi="Arial"/>
          <w:bCs/>
          <w:sz w:val="22"/>
          <w:szCs w:val="22"/>
          <w:lang w:val="en-GB"/>
        </w:rPr>
        <w:t xml:space="preserve"> second-line</w:t>
      </w:r>
      <w:r w:rsidRPr="00C33EAA">
        <w:rPr>
          <w:rFonts w:ascii="Arial" w:hAnsi="Arial"/>
          <w:bCs/>
          <w:sz w:val="22"/>
          <w:szCs w:val="22"/>
          <w:lang w:val="en-GB"/>
        </w:rPr>
        <w:t xml:space="preserve"> treatment </w:t>
      </w:r>
      <w:r w:rsidRPr="00C33EAA">
        <w:rPr>
          <w:rFonts w:ascii="Arial" w:hAnsi="Arial"/>
          <w:bCs/>
          <w:sz w:val="22"/>
          <w:szCs w:val="22"/>
        </w:rPr>
        <w:t>of</w:t>
      </w:r>
      <w:r>
        <w:rPr>
          <w:rFonts w:ascii="Arial" w:hAnsi="Arial"/>
          <w:bCs/>
          <w:sz w:val="22"/>
          <w:szCs w:val="22"/>
        </w:rPr>
        <w:t xml:space="preserve"> chronic lymphocytic leukaemia (CLL) and small lymphocytic lymphoma (SLL) </w:t>
      </w:r>
      <w:r w:rsidRPr="00C86F5F">
        <w:rPr>
          <w:rFonts w:ascii="Arial" w:hAnsi="Arial"/>
          <w:bCs/>
          <w:sz w:val="22"/>
          <w:szCs w:val="22"/>
          <w:lang w:val="en-GB"/>
        </w:rPr>
        <w:t>as idelalisib was not considered to be cost-effective at the price proposed.</w:t>
      </w:r>
      <w:r>
        <w:rPr>
          <w:rFonts w:ascii="Arial" w:hAnsi="Arial"/>
          <w:bCs/>
          <w:sz w:val="22"/>
          <w:szCs w:val="22"/>
          <w:lang w:val="en-GB"/>
        </w:rPr>
        <w:t xml:space="preserve"> The PBAC therefore considered that the submission should be deferred to enable the Department to negotiate a reduced price, adopting a pragmatic approach that would reduce the base-case ICER as presented in the multivariate sensitivity analysis to a more appropriate range.</w:t>
      </w:r>
    </w:p>
    <w:p w:rsidR="00C86F5F" w:rsidRPr="00C86F5F" w:rsidRDefault="00C86F5F" w:rsidP="00C86F5F">
      <w:pPr>
        <w:pStyle w:val="ListParagraph"/>
        <w:jc w:val="both"/>
        <w:rPr>
          <w:rFonts w:ascii="Arial" w:hAnsi="Arial"/>
          <w:b/>
          <w:sz w:val="22"/>
          <w:szCs w:val="22"/>
        </w:rPr>
      </w:pPr>
    </w:p>
    <w:p w:rsidR="007628FD" w:rsidRPr="00443B37" w:rsidRDefault="00177EE4" w:rsidP="00921A4F">
      <w:pPr>
        <w:numPr>
          <w:ilvl w:val="1"/>
          <w:numId w:val="1"/>
        </w:numPr>
        <w:jc w:val="both"/>
        <w:rPr>
          <w:rFonts w:ascii="Arial" w:hAnsi="Arial"/>
          <w:b/>
          <w:sz w:val="22"/>
          <w:szCs w:val="22"/>
        </w:rPr>
      </w:pPr>
      <w:r w:rsidRPr="00177EE4">
        <w:rPr>
          <w:rFonts w:ascii="Arial" w:hAnsi="Arial"/>
          <w:bCs/>
          <w:sz w:val="22"/>
          <w:szCs w:val="22"/>
          <w:lang w:val="en-GB"/>
        </w:rPr>
        <w:lastRenderedPageBreak/>
        <w:t>The PBAC noted the modifications to the economic model and the price proposed in the pre-PBAC response of this resubmission which resulted in ICER</w:t>
      </w:r>
      <w:r w:rsidR="00921A4F">
        <w:rPr>
          <w:rFonts w:ascii="Arial" w:hAnsi="Arial"/>
          <w:bCs/>
          <w:sz w:val="22"/>
          <w:szCs w:val="22"/>
          <w:lang w:val="en-GB"/>
        </w:rPr>
        <w:t>s</w:t>
      </w:r>
      <w:r w:rsidRPr="00177EE4">
        <w:rPr>
          <w:rFonts w:ascii="Arial" w:hAnsi="Arial"/>
          <w:bCs/>
          <w:sz w:val="22"/>
          <w:szCs w:val="22"/>
          <w:lang w:val="en-GB"/>
        </w:rPr>
        <w:t xml:space="preserve"> of </w:t>
      </w:r>
      <w:r w:rsidR="00921A4F" w:rsidRPr="00921A4F">
        <w:rPr>
          <w:rFonts w:ascii="Arial" w:hAnsi="Arial"/>
          <w:bCs/>
          <w:sz w:val="22"/>
          <w:szCs w:val="22"/>
          <w:lang w:val="en-GB"/>
        </w:rPr>
        <w:t>$</w:t>
      </w:r>
      <w:r w:rsidR="00521BCA">
        <w:rPr>
          <w:rFonts w:ascii="Arial" w:hAnsi="Arial"/>
          <w:bCs/>
          <w:sz w:val="22"/>
          <w:szCs w:val="22"/>
          <w:lang w:val="en-GB"/>
        </w:rPr>
        <w:t>45,000</w:t>
      </w:r>
      <w:r w:rsidR="00921A4F" w:rsidRPr="00921A4F">
        <w:rPr>
          <w:rFonts w:ascii="Arial" w:hAnsi="Arial"/>
          <w:bCs/>
          <w:sz w:val="22"/>
          <w:szCs w:val="22"/>
          <w:lang w:val="en-GB"/>
        </w:rPr>
        <w:t>/QALY</w:t>
      </w:r>
      <w:r w:rsidR="00521BCA">
        <w:rPr>
          <w:rFonts w:ascii="Arial" w:hAnsi="Arial"/>
          <w:bCs/>
          <w:sz w:val="22"/>
          <w:szCs w:val="22"/>
          <w:lang w:val="en-GB"/>
        </w:rPr>
        <w:t xml:space="preserve"> - $75,000/QALY</w:t>
      </w:r>
      <w:r w:rsidR="00921A4F" w:rsidRPr="00921A4F">
        <w:rPr>
          <w:rFonts w:ascii="Arial" w:hAnsi="Arial"/>
          <w:bCs/>
          <w:sz w:val="22"/>
          <w:szCs w:val="22"/>
          <w:lang w:val="en-GB"/>
        </w:rPr>
        <w:t xml:space="preserve"> (</w:t>
      </w:r>
      <w:r w:rsidR="00921A4F">
        <w:rPr>
          <w:rFonts w:ascii="Arial" w:hAnsi="Arial"/>
          <w:bCs/>
          <w:sz w:val="22"/>
          <w:szCs w:val="22"/>
          <w:lang w:val="en-GB"/>
        </w:rPr>
        <w:t xml:space="preserve">based on </w:t>
      </w:r>
      <w:r w:rsidR="00921A4F" w:rsidRPr="00921A4F">
        <w:rPr>
          <w:rFonts w:ascii="Arial" w:hAnsi="Arial"/>
          <w:bCs/>
          <w:sz w:val="22"/>
          <w:szCs w:val="22"/>
          <w:lang w:val="en-GB"/>
        </w:rPr>
        <w:t>RPSFT-adjusted crossover) and $</w:t>
      </w:r>
      <w:r w:rsidR="00521BCA">
        <w:rPr>
          <w:rFonts w:ascii="Arial" w:hAnsi="Arial"/>
          <w:bCs/>
          <w:sz w:val="22"/>
          <w:szCs w:val="22"/>
          <w:lang w:val="en-GB"/>
        </w:rPr>
        <w:t>45,000</w:t>
      </w:r>
      <w:r w:rsidR="00521BCA" w:rsidRPr="00921A4F">
        <w:rPr>
          <w:rFonts w:ascii="Arial" w:hAnsi="Arial"/>
          <w:bCs/>
          <w:sz w:val="22"/>
          <w:szCs w:val="22"/>
          <w:lang w:val="en-GB"/>
        </w:rPr>
        <w:t>/QALY</w:t>
      </w:r>
      <w:r w:rsidR="00521BCA">
        <w:rPr>
          <w:rFonts w:ascii="Arial" w:hAnsi="Arial"/>
          <w:bCs/>
          <w:sz w:val="22"/>
          <w:szCs w:val="22"/>
          <w:lang w:val="en-GB"/>
        </w:rPr>
        <w:t xml:space="preserve"> - $75,000/QALY</w:t>
      </w:r>
      <w:r w:rsidR="00521BCA" w:rsidRPr="00921A4F" w:rsidDel="00521BCA">
        <w:rPr>
          <w:rFonts w:ascii="Arial" w:hAnsi="Arial"/>
          <w:bCs/>
          <w:sz w:val="22"/>
          <w:szCs w:val="22"/>
          <w:lang w:val="en-GB"/>
        </w:rPr>
        <w:t xml:space="preserve"> </w:t>
      </w:r>
      <w:r w:rsidR="00921A4F" w:rsidRPr="00921A4F">
        <w:rPr>
          <w:rFonts w:ascii="Arial" w:hAnsi="Arial"/>
          <w:bCs/>
          <w:sz w:val="22"/>
          <w:szCs w:val="22"/>
          <w:lang w:val="en-GB"/>
        </w:rPr>
        <w:t>(</w:t>
      </w:r>
      <w:r w:rsidR="00921A4F">
        <w:rPr>
          <w:rFonts w:ascii="Arial" w:hAnsi="Arial"/>
          <w:bCs/>
          <w:sz w:val="22"/>
          <w:szCs w:val="22"/>
          <w:lang w:val="en-GB"/>
        </w:rPr>
        <w:t xml:space="preserve">based on </w:t>
      </w:r>
      <w:r w:rsidR="00921A4F" w:rsidRPr="00921A4F">
        <w:rPr>
          <w:rFonts w:ascii="Arial" w:hAnsi="Arial"/>
          <w:bCs/>
          <w:sz w:val="22"/>
          <w:szCs w:val="22"/>
          <w:lang w:val="en-GB"/>
        </w:rPr>
        <w:t>ITT</w:t>
      </w:r>
      <w:r w:rsidR="00921A4F">
        <w:rPr>
          <w:rFonts w:ascii="Arial" w:hAnsi="Arial"/>
          <w:bCs/>
          <w:sz w:val="22"/>
          <w:szCs w:val="22"/>
          <w:lang w:val="en-GB"/>
        </w:rPr>
        <w:t xml:space="preserve"> analysis</w:t>
      </w:r>
      <w:r w:rsidR="00921A4F" w:rsidRPr="00921A4F">
        <w:rPr>
          <w:rFonts w:ascii="Arial" w:hAnsi="Arial"/>
          <w:bCs/>
          <w:sz w:val="22"/>
          <w:szCs w:val="22"/>
          <w:lang w:val="en-GB"/>
        </w:rPr>
        <w:t>)</w:t>
      </w:r>
      <w:r w:rsidRPr="00177EE4">
        <w:rPr>
          <w:rFonts w:ascii="Arial" w:hAnsi="Arial"/>
          <w:bCs/>
          <w:sz w:val="22"/>
          <w:szCs w:val="22"/>
          <w:lang w:val="en-GB"/>
        </w:rPr>
        <w:t>. The PBAC considered that this</w:t>
      </w:r>
      <w:r w:rsidR="00921A4F">
        <w:rPr>
          <w:rFonts w:ascii="Arial" w:hAnsi="Arial"/>
          <w:bCs/>
          <w:sz w:val="22"/>
          <w:szCs w:val="22"/>
          <w:lang w:val="en-GB"/>
        </w:rPr>
        <w:t xml:space="preserve"> range of ICERs</w:t>
      </w:r>
      <w:r w:rsidRPr="00177EE4">
        <w:rPr>
          <w:rFonts w:ascii="Arial" w:hAnsi="Arial"/>
          <w:bCs/>
          <w:sz w:val="22"/>
          <w:szCs w:val="22"/>
          <w:lang w:val="en-GB"/>
        </w:rPr>
        <w:t xml:space="preserve"> </w:t>
      </w:r>
      <w:r w:rsidR="00921A4F">
        <w:rPr>
          <w:rFonts w:ascii="Arial" w:hAnsi="Arial"/>
          <w:bCs/>
          <w:sz w:val="22"/>
          <w:szCs w:val="22"/>
          <w:lang w:val="en-GB"/>
        </w:rPr>
        <w:t>were</w:t>
      </w:r>
      <w:r w:rsidRPr="00177EE4">
        <w:rPr>
          <w:rFonts w:ascii="Arial" w:hAnsi="Arial"/>
          <w:bCs/>
          <w:sz w:val="22"/>
          <w:szCs w:val="22"/>
          <w:lang w:val="en-GB"/>
        </w:rPr>
        <w:t xml:space="preserve"> high but </w:t>
      </w:r>
      <w:r w:rsidR="00247612">
        <w:rPr>
          <w:rFonts w:ascii="Arial" w:hAnsi="Arial"/>
          <w:bCs/>
          <w:sz w:val="22"/>
          <w:szCs w:val="22"/>
          <w:lang w:val="en-GB"/>
        </w:rPr>
        <w:t xml:space="preserve">may be </w:t>
      </w:r>
      <w:r w:rsidRPr="00177EE4">
        <w:rPr>
          <w:rFonts w:ascii="Arial" w:hAnsi="Arial"/>
          <w:bCs/>
          <w:sz w:val="22"/>
          <w:szCs w:val="22"/>
          <w:lang w:val="en-GB"/>
        </w:rPr>
        <w:t>acceptable in the context of a tight restriction.</w:t>
      </w:r>
    </w:p>
    <w:p w:rsidR="00443B37" w:rsidRDefault="00443B37" w:rsidP="00443B37">
      <w:pPr>
        <w:pStyle w:val="ListParagraph"/>
        <w:rPr>
          <w:rFonts w:ascii="Arial" w:hAnsi="Arial"/>
          <w:b/>
          <w:sz w:val="22"/>
          <w:szCs w:val="22"/>
        </w:rPr>
      </w:pPr>
    </w:p>
    <w:p w:rsidR="00443B37" w:rsidRPr="001D40CC" w:rsidRDefault="00443B37" w:rsidP="001D40CC">
      <w:pPr>
        <w:numPr>
          <w:ilvl w:val="1"/>
          <w:numId w:val="1"/>
        </w:numPr>
        <w:jc w:val="both"/>
        <w:rPr>
          <w:rFonts w:ascii="Arial" w:hAnsi="Arial"/>
          <w:b/>
          <w:bCs/>
          <w:sz w:val="22"/>
          <w:szCs w:val="22"/>
          <w:lang w:val="en-GB"/>
        </w:rPr>
      </w:pPr>
      <w:r w:rsidRPr="001D40CC">
        <w:rPr>
          <w:rFonts w:ascii="Arial" w:hAnsi="Arial"/>
          <w:bCs/>
          <w:sz w:val="22"/>
          <w:szCs w:val="22"/>
          <w:lang w:val="en-GB"/>
        </w:rPr>
        <w:t>The PBAC noted the modification in patient utilisation, including both the incident and prevalent populations, the methodology preferred by the PBAC, with 20% market growth. The PBAC considered this estimate to be more reasonable, but remained concerned that the total patient population is uncertain and likely underestimated if idelalisib is added to the currently available treatments on the PBS. The PBAC reiterated</w:t>
      </w:r>
      <w:r w:rsidR="001D40CC">
        <w:rPr>
          <w:rFonts w:ascii="Arial" w:hAnsi="Arial"/>
          <w:bCs/>
          <w:sz w:val="22"/>
          <w:szCs w:val="22"/>
          <w:lang w:val="en-GB"/>
        </w:rPr>
        <w:t xml:space="preserve"> that </w:t>
      </w:r>
      <w:r w:rsidRPr="001D40CC">
        <w:rPr>
          <w:rFonts w:ascii="Arial" w:hAnsi="Arial"/>
          <w:bCs/>
          <w:sz w:val="22"/>
          <w:szCs w:val="22"/>
          <w:lang w:val="en-GB"/>
        </w:rPr>
        <w:t xml:space="preserve">a risk sharing arrangement should be adopted. </w:t>
      </w:r>
    </w:p>
    <w:p w:rsidR="007628FD" w:rsidRDefault="007628FD" w:rsidP="007628FD">
      <w:pPr>
        <w:pStyle w:val="ListParagraph"/>
      </w:pPr>
    </w:p>
    <w:p w:rsidR="00177EE4" w:rsidRPr="007628FD" w:rsidRDefault="00177EE4" w:rsidP="00740ACA">
      <w:pPr>
        <w:numPr>
          <w:ilvl w:val="1"/>
          <w:numId w:val="1"/>
        </w:numPr>
        <w:jc w:val="both"/>
        <w:rPr>
          <w:rFonts w:ascii="Arial" w:hAnsi="Arial" w:cs="Arial"/>
          <w:b/>
          <w:sz w:val="20"/>
          <w:szCs w:val="22"/>
        </w:rPr>
      </w:pPr>
      <w:r w:rsidRPr="007628FD">
        <w:rPr>
          <w:rFonts w:ascii="Arial" w:hAnsi="Arial" w:cs="Arial"/>
          <w:sz w:val="22"/>
        </w:rPr>
        <w:t>The PBAC recalled that during the November 2015 meeting, the Committee:</w:t>
      </w:r>
    </w:p>
    <w:p w:rsidR="00443B37" w:rsidRPr="00F86578" w:rsidRDefault="00921A4F" w:rsidP="00740ACA">
      <w:pPr>
        <w:pStyle w:val="ListParagraph"/>
        <w:numPr>
          <w:ilvl w:val="0"/>
          <w:numId w:val="4"/>
        </w:numPr>
        <w:jc w:val="both"/>
        <w:rPr>
          <w:rFonts w:ascii="Arial" w:hAnsi="Arial"/>
          <w:sz w:val="22"/>
          <w:szCs w:val="22"/>
        </w:rPr>
      </w:pPr>
      <w:r w:rsidRPr="00F86578">
        <w:rPr>
          <w:rFonts w:ascii="Arial" w:hAnsi="Arial"/>
          <w:sz w:val="22"/>
          <w:szCs w:val="22"/>
        </w:rPr>
        <w:t>reiterated that there is a high unmet clinical need for an effective treatment for this patient population, and that an oral medication is likely to be preferred for this group. The PBAC also noted with caution the significant toxicities that can be experienced by patients using this drug, and considered that the incidence of these in Australian practice should be closely monitored.</w:t>
      </w:r>
    </w:p>
    <w:p w:rsidR="00443B37" w:rsidRPr="00F86578" w:rsidRDefault="00443B37" w:rsidP="00740ACA">
      <w:pPr>
        <w:pStyle w:val="ListParagraph"/>
        <w:numPr>
          <w:ilvl w:val="0"/>
          <w:numId w:val="4"/>
        </w:numPr>
        <w:jc w:val="both"/>
        <w:rPr>
          <w:rFonts w:ascii="Arial" w:hAnsi="Arial"/>
          <w:sz w:val="22"/>
          <w:szCs w:val="22"/>
        </w:rPr>
      </w:pPr>
      <w:r w:rsidRPr="00F86578">
        <w:rPr>
          <w:rFonts w:ascii="Arial" w:hAnsi="Arial"/>
          <w:sz w:val="22"/>
          <w:szCs w:val="22"/>
        </w:rPr>
        <w:t>reiterated as in the March 2015 consideration that there were statistically significant efficacy results indicating gains in OS and PFS for idelalisib in combination with rituximab over the comparator, noting that this is balanced against significant harms particularly in relation to diarrhoea and colitis which may occur late.</w:t>
      </w:r>
    </w:p>
    <w:p w:rsidR="00C86F5F" w:rsidRPr="007628FD" w:rsidRDefault="00C86F5F" w:rsidP="007628FD">
      <w:pPr>
        <w:jc w:val="both"/>
        <w:rPr>
          <w:rFonts w:ascii="Arial" w:hAnsi="Arial"/>
          <w:b/>
          <w:sz w:val="22"/>
          <w:szCs w:val="22"/>
        </w:rPr>
      </w:pPr>
    </w:p>
    <w:p w:rsidR="001559E4" w:rsidRDefault="001559E4" w:rsidP="00E4149C">
      <w:pPr>
        <w:numPr>
          <w:ilvl w:val="1"/>
          <w:numId w:val="1"/>
        </w:numPr>
        <w:jc w:val="both"/>
        <w:rPr>
          <w:rFonts w:ascii="Arial" w:hAnsi="Arial"/>
          <w:bCs/>
          <w:sz w:val="22"/>
          <w:szCs w:val="22"/>
          <w:lang w:val="en-GB"/>
        </w:rPr>
      </w:pPr>
      <w:r>
        <w:rPr>
          <w:rFonts w:ascii="Arial" w:hAnsi="Arial"/>
          <w:bCs/>
          <w:sz w:val="22"/>
          <w:szCs w:val="22"/>
          <w:lang w:val="en-GB"/>
        </w:rPr>
        <w:t xml:space="preserve">The PBAC noted recent global concerns about an increased rate of serious adverse events, including deaths, mostly due to infections in current on-going clinical trials studying idelalisib in combination with other medicines.  The PBAC noted that, while these on-going trials are being carried out in different diseases or in different patient populations compared to the patient population for which listing is being sought, these serious adverse events represent harms in addition to those raised in clinical data provided in the submission. </w:t>
      </w:r>
    </w:p>
    <w:p w:rsidR="001559E4" w:rsidRDefault="001559E4" w:rsidP="001559E4">
      <w:pPr>
        <w:jc w:val="both"/>
        <w:rPr>
          <w:rFonts w:ascii="Arial" w:hAnsi="Arial"/>
          <w:bCs/>
          <w:sz w:val="22"/>
          <w:szCs w:val="22"/>
          <w:lang w:val="en-GB"/>
        </w:rPr>
      </w:pPr>
    </w:p>
    <w:p w:rsidR="001559E4" w:rsidRDefault="001559E4" w:rsidP="00E4149C">
      <w:pPr>
        <w:numPr>
          <w:ilvl w:val="1"/>
          <w:numId w:val="1"/>
        </w:numPr>
        <w:jc w:val="both"/>
        <w:rPr>
          <w:rFonts w:ascii="Arial" w:hAnsi="Arial"/>
          <w:bCs/>
          <w:sz w:val="22"/>
          <w:szCs w:val="22"/>
          <w:lang w:val="en-GB"/>
        </w:rPr>
      </w:pPr>
      <w:r>
        <w:rPr>
          <w:rFonts w:ascii="Arial" w:hAnsi="Arial"/>
          <w:bCs/>
          <w:sz w:val="22"/>
          <w:szCs w:val="22"/>
          <w:lang w:val="en-GB"/>
        </w:rPr>
        <w:t xml:space="preserve">The PBAC deferred the listing of </w:t>
      </w:r>
      <w:r w:rsidR="00F86578">
        <w:rPr>
          <w:rFonts w:ascii="Arial" w:hAnsi="Arial"/>
          <w:bCs/>
          <w:sz w:val="22"/>
          <w:szCs w:val="22"/>
          <w:lang w:val="en-GB"/>
        </w:rPr>
        <w:t>idelalisib</w:t>
      </w:r>
      <w:r>
        <w:rPr>
          <w:rFonts w:ascii="Arial" w:hAnsi="Arial"/>
          <w:bCs/>
          <w:sz w:val="22"/>
          <w:szCs w:val="22"/>
          <w:lang w:val="en-GB"/>
        </w:rPr>
        <w:t xml:space="preserve"> for the treatment </w:t>
      </w:r>
      <w:r>
        <w:rPr>
          <w:rFonts w:ascii="Arial" w:hAnsi="Arial"/>
          <w:bCs/>
          <w:sz w:val="22"/>
          <w:szCs w:val="22"/>
        </w:rPr>
        <w:t xml:space="preserve">of follicular lymphoma </w:t>
      </w:r>
      <w:r w:rsidRPr="00E4149C">
        <w:rPr>
          <w:rFonts w:ascii="Arial" w:hAnsi="Arial" w:cs="Arial"/>
          <w:sz w:val="22"/>
        </w:rPr>
        <w:t>that is refractory to both rituximab and an alkylating agent to seek additional</w:t>
      </w:r>
      <w:r>
        <w:rPr>
          <w:rFonts w:ascii="Arial" w:hAnsi="Arial"/>
          <w:bCs/>
          <w:sz w:val="22"/>
          <w:szCs w:val="22"/>
          <w:lang w:val="en-GB"/>
        </w:rPr>
        <w:t xml:space="preserve"> information regarding safety given the recent concerns raised by regulators. The PBAC requested the sponsor to update the PBAC on adverse events in the clinical areas in which listing is being sought, and if</w:t>
      </w:r>
      <w:r w:rsidR="00247612">
        <w:rPr>
          <w:rFonts w:ascii="Arial" w:hAnsi="Arial"/>
          <w:bCs/>
          <w:sz w:val="22"/>
          <w:szCs w:val="22"/>
          <w:lang w:val="en-GB"/>
        </w:rPr>
        <w:t>,</w:t>
      </w:r>
      <w:r>
        <w:rPr>
          <w:rFonts w:ascii="Arial" w:hAnsi="Arial"/>
          <w:bCs/>
          <w:sz w:val="22"/>
          <w:szCs w:val="22"/>
          <w:lang w:val="en-GB"/>
        </w:rPr>
        <w:t xml:space="preserve"> or how</w:t>
      </w:r>
      <w:r w:rsidR="00247612">
        <w:rPr>
          <w:rFonts w:ascii="Arial" w:hAnsi="Arial"/>
          <w:bCs/>
          <w:sz w:val="22"/>
          <w:szCs w:val="22"/>
          <w:lang w:val="en-GB"/>
        </w:rPr>
        <w:t>,</w:t>
      </w:r>
      <w:r>
        <w:rPr>
          <w:rFonts w:ascii="Arial" w:hAnsi="Arial"/>
          <w:bCs/>
          <w:sz w:val="22"/>
          <w:szCs w:val="22"/>
          <w:lang w:val="en-GB"/>
        </w:rPr>
        <w:t xml:space="preserve"> the recent emergence of additional serious adverse events in the current trials may impact patients if idelalisib becomes available in the broader PBS population. </w:t>
      </w:r>
      <w:r w:rsidR="00247612">
        <w:rPr>
          <w:rFonts w:ascii="Arial" w:hAnsi="Arial"/>
          <w:bCs/>
          <w:sz w:val="22"/>
          <w:szCs w:val="22"/>
          <w:lang w:val="en-GB"/>
        </w:rPr>
        <w:t>The PBAC was also mindful that</w:t>
      </w:r>
      <w:r>
        <w:rPr>
          <w:rFonts w:ascii="Arial" w:hAnsi="Arial"/>
          <w:bCs/>
          <w:sz w:val="22"/>
          <w:szCs w:val="22"/>
          <w:lang w:val="en-GB"/>
        </w:rPr>
        <w:t xml:space="preserve"> </w:t>
      </w:r>
      <w:r w:rsidR="00247612">
        <w:rPr>
          <w:rFonts w:ascii="Arial" w:hAnsi="Arial"/>
          <w:bCs/>
          <w:sz w:val="22"/>
          <w:szCs w:val="22"/>
          <w:lang w:val="en-GB"/>
        </w:rPr>
        <w:t>these additional harms associated with idelalisib may have an impact on the evaluation of cost-effectiveness.</w:t>
      </w:r>
    </w:p>
    <w:p w:rsidR="001559E4" w:rsidRDefault="001559E4" w:rsidP="001559E4">
      <w:pPr>
        <w:jc w:val="both"/>
        <w:rPr>
          <w:rFonts w:ascii="Arial" w:hAnsi="Arial"/>
          <w:bCs/>
          <w:sz w:val="22"/>
          <w:szCs w:val="22"/>
          <w:lang w:val="en-GB"/>
        </w:rPr>
      </w:pPr>
    </w:p>
    <w:p w:rsidR="001559E4" w:rsidRDefault="001559E4" w:rsidP="00E4149C">
      <w:pPr>
        <w:numPr>
          <w:ilvl w:val="1"/>
          <w:numId w:val="1"/>
        </w:numPr>
        <w:jc w:val="both"/>
        <w:rPr>
          <w:rFonts w:ascii="Arial" w:hAnsi="Arial" w:cs="Arial"/>
          <w:sz w:val="22"/>
          <w:szCs w:val="22"/>
        </w:rPr>
      </w:pPr>
      <w:r>
        <w:rPr>
          <w:rFonts w:ascii="Arial" w:hAnsi="Arial" w:cs="Arial"/>
          <w:sz w:val="22"/>
          <w:szCs w:val="22"/>
        </w:rPr>
        <w:t xml:space="preserve">Further, the PBAC noted that </w:t>
      </w:r>
      <w:r w:rsidR="00D748BF">
        <w:rPr>
          <w:rFonts w:ascii="Arial" w:hAnsi="Arial" w:cs="Arial"/>
          <w:sz w:val="22"/>
          <w:szCs w:val="22"/>
        </w:rPr>
        <w:t xml:space="preserve">the </w:t>
      </w:r>
      <w:r>
        <w:rPr>
          <w:rFonts w:ascii="Arial" w:hAnsi="Arial" w:cs="Arial"/>
          <w:sz w:val="22"/>
          <w:szCs w:val="22"/>
        </w:rPr>
        <w:t>sponsor agreed with an Authority required (Telephone) listing. If idelalisib for this condition was listed, the PBAC were of a mind to recommend that:</w:t>
      </w:r>
    </w:p>
    <w:p w:rsidR="001559E4" w:rsidRDefault="001559E4" w:rsidP="00740ACA">
      <w:pPr>
        <w:pStyle w:val="ListParagraph"/>
        <w:numPr>
          <w:ilvl w:val="0"/>
          <w:numId w:val="4"/>
        </w:numPr>
        <w:jc w:val="both"/>
        <w:rPr>
          <w:rFonts w:ascii="Arial" w:hAnsi="Arial" w:cs="Arial"/>
          <w:sz w:val="22"/>
          <w:szCs w:val="22"/>
        </w:rPr>
      </w:pPr>
      <w:r w:rsidRPr="00F86578">
        <w:rPr>
          <w:rFonts w:ascii="Arial" w:hAnsi="Arial"/>
          <w:sz w:val="22"/>
          <w:szCs w:val="22"/>
        </w:rPr>
        <w:t>The</w:t>
      </w:r>
      <w:r>
        <w:rPr>
          <w:rFonts w:ascii="Arial" w:hAnsi="Arial" w:cs="Arial"/>
          <w:sz w:val="22"/>
          <w:szCs w:val="22"/>
        </w:rPr>
        <w:t xml:space="preserve"> Early Supply Rule should apply to idelalisib as the requested maximum quantity is sufficient supply for 30 days of treatment. </w:t>
      </w:r>
    </w:p>
    <w:p w:rsidR="00F86578" w:rsidRDefault="00F86578" w:rsidP="00F86578">
      <w:pPr>
        <w:pStyle w:val="ListParagraph"/>
        <w:ind w:left="1080"/>
        <w:rPr>
          <w:rFonts w:ascii="Arial" w:hAnsi="Arial" w:cs="Arial"/>
          <w:sz w:val="22"/>
          <w:szCs w:val="22"/>
        </w:rPr>
      </w:pPr>
    </w:p>
    <w:p w:rsidR="001559E4" w:rsidRDefault="001559E4" w:rsidP="00D748BF">
      <w:pPr>
        <w:pStyle w:val="ListParagraph"/>
        <w:numPr>
          <w:ilvl w:val="0"/>
          <w:numId w:val="4"/>
        </w:numPr>
        <w:jc w:val="both"/>
        <w:rPr>
          <w:rFonts w:ascii="Arial" w:hAnsi="Arial" w:cs="Arial"/>
          <w:sz w:val="22"/>
          <w:szCs w:val="22"/>
        </w:rPr>
      </w:pPr>
      <w:r>
        <w:rPr>
          <w:rFonts w:ascii="Arial" w:hAnsi="Arial" w:cs="Arial"/>
          <w:sz w:val="22"/>
          <w:szCs w:val="22"/>
        </w:rPr>
        <w:lastRenderedPageBreak/>
        <w:t>Idelalisib is not suitable for prescribing by nurse practitioners as antineoplastic agents are currently considered to be out of scope for pres</w:t>
      </w:r>
      <w:r w:rsidR="00D748BF">
        <w:rPr>
          <w:rFonts w:ascii="Arial" w:hAnsi="Arial" w:cs="Arial"/>
          <w:sz w:val="22"/>
          <w:szCs w:val="22"/>
        </w:rPr>
        <w:t>cribing by nurse practitioners.</w:t>
      </w:r>
    </w:p>
    <w:p w:rsidR="001559E4" w:rsidRDefault="001559E4" w:rsidP="00D748BF">
      <w:pPr>
        <w:pStyle w:val="ListParagraph"/>
        <w:numPr>
          <w:ilvl w:val="0"/>
          <w:numId w:val="4"/>
        </w:numPr>
        <w:jc w:val="both"/>
        <w:rPr>
          <w:rFonts w:ascii="Arial" w:hAnsi="Arial" w:cs="Arial"/>
          <w:sz w:val="22"/>
          <w:szCs w:val="22"/>
        </w:rPr>
      </w:pPr>
      <w:r>
        <w:rPr>
          <w:rFonts w:ascii="Arial" w:hAnsi="Arial" w:cs="Arial"/>
          <w:sz w:val="22"/>
          <w:szCs w:val="22"/>
        </w:rPr>
        <w:t xml:space="preserve">Under Section 101 (3BA) of the National Health Act, idelalisib would </w:t>
      </w:r>
      <w:r w:rsidR="00F86578">
        <w:rPr>
          <w:rFonts w:ascii="Arial" w:hAnsi="Arial" w:cs="Arial"/>
          <w:sz w:val="22"/>
          <w:szCs w:val="22"/>
        </w:rPr>
        <w:t>not be</w:t>
      </w:r>
      <w:r>
        <w:rPr>
          <w:rFonts w:ascii="Arial" w:hAnsi="Arial" w:cs="Arial"/>
          <w:sz w:val="22"/>
          <w:szCs w:val="22"/>
        </w:rPr>
        <w:t xml:space="preserve"> treated as interchangeable with any other drug(s) or medicinal preparation(s</w:t>
      </w:r>
      <w:r w:rsidR="00F86578">
        <w:rPr>
          <w:rFonts w:ascii="Arial" w:hAnsi="Arial" w:cs="Arial"/>
          <w:sz w:val="22"/>
          <w:szCs w:val="22"/>
        </w:rPr>
        <w:t>) on an individual patient basis.</w:t>
      </w:r>
    </w:p>
    <w:p w:rsidR="00A809CE" w:rsidRPr="00A809CE" w:rsidRDefault="00A809CE" w:rsidP="00A809CE">
      <w:pPr>
        <w:jc w:val="both"/>
        <w:rPr>
          <w:rFonts w:ascii="Arial" w:hAnsi="Arial"/>
          <w:b/>
          <w:bCs/>
          <w:sz w:val="22"/>
          <w:szCs w:val="22"/>
          <w:lang w:val="en-GB"/>
        </w:rPr>
      </w:pPr>
    </w:p>
    <w:p w:rsidR="00A809CE" w:rsidRPr="00A809CE" w:rsidRDefault="00A809CE" w:rsidP="00A809CE">
      <w:pPr>
        <w:jc w:val="both"/>
        <w:rPr>
          <w:rFonts w:ascii="Arial" w:hAnsi="Arial"/>
          <w:b/>
          <w:bCs/>
          <w:sz w:val="22"/>
          <w:szCs w:val="22"/>
          <w:lang w:val="en-GB"/>
        </w:rPr>
      </w:pPr>
      <w:r w:rsidRPr="00A809CE">
        <w:rPr>
          <w:rFonts w:ascii="Arial" w:hAnsi="Arial"/>
          <w:b/>
          <w:bCs/>
          <w:sz w:val="22"/>
          <w:szCs w:val="22"/>
          <w:lang w:val="en-GB"/>
        </w:rPr>
        <w:t>Outcome:</w:t>
      </w:r>
    </w:p>
    <w:p w:rsidR="001559E4" w:rsidRPr="00480185" w:rsidRDefault="00720F82" w:rsidP="00480185">
      <w:pPr>
        <w:jc w:val="both"/>
        <w:rPr>
          <w:rFonts w:ascii="Arial" w:hAnsi="Arial"/>
          <w:bCs/>
          <w:sz w:val="22"/>
          <w:szCs w:val="22"/>
          <w:lang w:val="en-GB"/>
        </w:rPr>
      </w:pPr>
      <w:r>
        <w:rPr>
          <w:rFonts w:ascii="Arial" w:hAnsi="Arial"/>
          <w:bCs/>
          <w:sz w:val="22"/>
          <w:szCs w:val="22"/>
          <w:lang w:val="en-GB"/>
        </w:rPr>
        <w:t>Deferred</w:t>
      </w:r>
    </w:p>
    <w:p w:rsidR="001559E4" w:rsidRDefault="001559E4" w:rsidP="001559E4">
      <w:pPr>
        <w:jc w:val="both"/>
        <w:rPr>
          <w:rFonts w:ascii="Arial" w:hAnsi="Arial"/>
          <w:bCs/>
          <w:sz w:val="22"/>
          <w:szCs w:val="22"/>
        </w:rPr>
      </w:pPr>
    </w:p>
    <w:p w:rsidR="001559E4" w:rsidRPr="00975AD6" w:rsidRDefault="001559E4" w:rsidP="00975AD6">
      <w:pPr>
        <w:jc w:val="both"/>
        <w:rPr>
          <w:rFonts w:ascii="Arial" w:hAnsi="Arial"/>
          <w:sz w:val="22"/>
          <w:szCs w:val="22"/>
        </w:rPr>
      </w:pPr>
    </w:p>
    <w:p w:rsidR="00FC5C1A" w:rsidRDefault="00FC5C1A" w:rsidP="00FC5C1A">
      <w:pPr>
        <w:pStyle w:val="Heading1"/>
      </w:pPr>
      <w:r w:rsidRPr="00632206">
        <w:t>Context for Decision</w:t>
      </w:r>
    </w:p>
    <w:p w:rsidR="00FC5C1A" w:rsidRDefault="00FC5C1A" w:rsidP="00FC5C1A">
      <w:pPr>
        <w:ind w:left="720"/>
        <w:jc w:val="both"/>
        <w:rPr>
          <w:rFonts w:ascii="Arial" w:hAnsi="Arial" w:cs="Arial"/>
          <w:sz w:val="22"/>
        </w:rPr>
      </w:pPr>
    </w:p>
    <w:p w:rsidR="00FC5C1A" w:rsidRDefault="00FC5C1A" w:rsidP="00FC5C1A">
      <w:pPr>
        <w:ind w:left="720"/>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C5C1A" w:rsidRDefault="00FC5C1A" w:rsidP="00FC5C1A">
      <w:pPr>
        <w:ind w:left="720"/>
        <w:jc w:val="both"/>
        <w:rPr>
          <w:rFonts w:ascii="Arial" w:hAnsi="Arial" w:cs="Arial"/>
          <w:sz w:val="22"/>
        </w:rPr>
      </w:pPr>
    </w:p>
    <w:p w:rsidR="00FC5C1A" w:rsidRDefault="00FC5C1A" w:rsidP="00FC5C1A">
      <w:pPr>
        <w:pStyle w:val="Heading1"/>
      </w:pPr>
      <w:r w:rsidRPr="00451386">
        <w:t>Sponsor’s Comment</w:t>
      </w:r>
    </w:p>
    <w:p w:rsidR="00FC5C1A" w:rsidRDefault="00FC5C1A" w:rsidP="00FC5C1A">
      <w:pPr>
        <w:ind w:left="720"/>
        <w:jc w:val="both"/>
        <w:rPr>
          <w:rFonts w:ascii="Arial" w:hAnsi="Arial" w:cs="Arial"/>
          <w:bCs/>
          <w:sz w:val="22"/>
          <w:highlight w:val="yellow"/>
          <w:lang w:val="en-GB"/>
        </w:rPr>
      </w:pPr>
    </w:p>
    <w:p w:rsidR="00FC5C1A" w:rsidRPr="001742C1" w:rsidRDefault="00FC5C1A" w:rsidP="00FC5C1A">
      <w:pPr>
        <w:spacing w:after="120"/>
        <w:ind w:left="720"/>
        <w:jc w:val="both"/>
        <w:rPr>
          <w:rFonts w:ascii="Arial" w:hAnsi="Arial" w:cs="Arial"/>
          <w:bCs/>
          <w:sz w:val="22"/>
          <w:szCs w:val="22"/>
          <w:lang w:val="en-GB"/>
        </w:rPr>
      </w:pPr>
      <w:r w:rsidRPr="003035CC">
        <w:rPr>
          <w:rFonts w:ascii="Arial" w:hAnsi="Arial" w:cs="Arial"/>
          <w:bCs/>
          <w:sz w:val="22"/>
        </w:rPr>
        <w:t>The sponsor had no comment.</w:t>
      </w:r>
    </w:p>
    <w:p w:rsidR="00A809CE" w:rsidRPr="00A809CE" w:rsidRDefault="00A809CE" w:rsidP="00A809CE">
      <w:pPr>
        <w:jc w:val="both"/>
        <w:rPr>
          <w:rFonts w:ascii="Arial" w:hAnsi="Arial"/>
          <w:bCs/>
          <w:sz w:val="22"/>
          <w:szCs w:val="22"/>
        </w:rPr>
      </w:pPr>
    </w:p>
    <w:sectPr w:rsidR="00A809CE" w:rsidRPr="00A809CE"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211" w:rsidRDefault="00622211">
      <w:r>
        <w:separator/>
      </w:r>
    </w:p>
    <w:p w:rsidR="00622211" w:rsidRDefault="00622211"/>
  </w:endnote>
  <w:endnote w:type="continuationSeparator" w:id="0">
    <w:p w:rsidR="00622211" w:rsidRDefault="00622211">
      <w:r>
        <w:continuationSeparator/>
      </w:r>
    </w:p>
    <w:p w:rsidR="00622211" w:rsidRDefault="00622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17BBD" w:rsidTr="005A3173">
      <w:trPr>
        <w:trHeight w:val="151"/>
      </w:trPr>
      <w:tc>
        <w:tcPr>
          <w:tcW w:w="2250" w:type="pct"/>
          <w:tcBorders>
            <w:top w:val="nil"/>
            <w:left w:val="nil"/>
            <w:bottom w:val="single" w:sz="4" w:space="0" w:color="4F81BD"/>
            <w:right w:val="nil"/>
          </w:tcBorders>
        </w:tcPr>
        <w:p w:rsidR="00B17BBD" w:rsidRPr="005A3173" w:rsidRDefault="00B17BB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17BBD" w:rsidRPr="005A3173" w:rsidRDefault="00B17BB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17BBD" w:rsidRPr="005A3173" w:rsidRDefault="00B17BBD" w:rsidP="005A3173">
          <w:pPr>
            <w:pStyle w:val="Header"/>
            <w:spacing w:line="276" w:lineRule="auto"/>
            <w:rPr>
              <w:rFonts w:ascii="Calibri" w:eastAsia="MS Gothic" w:hAnsi="Calibri"/>
              <w:b/>
              <w:bCs/>
              <w:color w:val="4F81BD"/>
            </w:rPr>
          </w:pPr>
        </w:p>
      </w:tc>
    </w:tr>
    <w:tr w:rsidR="00B17BBD" w:rsidTr="005A3173">
      <w:trPr>
        <w:trHeight w:val="150"/>
      </w:trPr>
      <w:tc>
        <w:tcPr>
          <w:tcW w:w="2250" w:type="pct"/>
          <w:tcBorders>
            <w:top w:val="single" w:sz="4" w:space="0" w:color="4F81BD"/>
            <w:left w:val="nil"/>
            <w:bottom w:val="nil"/>
            <w:right w:val="nil"/>
          </w:tcBorders>
        </w:tcPr>
        <w:p w:rsidR="00B17BBD" w:rsidRPr="005A3173" w:rsidRDefault="00B17BBD" w:rsidP="005A3173">
          <w:pPr>
            <w:pStyle w:val="Header"/>
            <w:spacing w:line="276" w:lineRule="auto"/>
            <w:rPr>
              <w:rFonts w:ascii="Calibri" w:eastAsia="MS Gothic" w:hAnsi="Calibri"/>
              <w:b/>
              <w:bCs/>
              <w:color w:val="4F81BD"/>
            </w:rPr>
          </w:pPr>
        </w:p>
      </w:tc>
      <w:tc>
        <w:tcPr>
          <w:tcW w:w="0" w:type="auto"/>
          <w:vMerge/>
          <w:vAlign w:val="center"/>
          <w:hideMark/>
        </w:tcPr>
        <w:p w:rsidR="00B17BBD" w:rsidRPr="005A3173" w:rsidRDefault="00B17BBD" w:rsidP="005A3173">
          <w:pPr>
            <w:rPr>
              <w:rFonts w:ascii="Calibri" w:hAnsi="Calibri"/>
              <w:color w:val="365F91"/>
              <w:sz w:val="22"/>
              <w:szCs w:val="22"/>
            </w:rPr>
          </w:pPr>
        </w:p>
      </w:tc>
      <w:tc>
        <w:tcPr>
          <w:tcW w:w="2250" w:type="pct"/>
          <w:tcBorders>
            <w:top w:val="single" w:sz="4" w:space="0" w:color="4F81BD"/>
            <w:left w:val="nil"/>
            <w:bottom w:val="nil"/>
            <w:right w:val="nil"/>
          </w:tcBorders>
        </w:tcPr>
        <w:p w:rsidR="00B17BBD" w:rsidRPr="005A3173" w:rsidRDefault="00B17BBD" w:rsidP="005A3173">
          <w:pPr>
            <w:pStyle w:val="Header"/>
            <w:spacing w:line="276" w:lineRule="auto"/>
            <w:rPr>
              <w:rFonts w:ascii="Calibri" w:eastAsia="MS Gothic" w:hAnsi="Calibri"/>
              <w:b/>
              <w:bCs/>
              <w:color w:val="4F81BD"/>
            </w:rPr>
          </w:pPr>
        </w:p>
      </w:tc>
    </w:tr>
  </w:tbl>
  <w:p w:rsidR="00B17BBD" w:rsidRDefault="00B17BB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7BBD" w:rsidRDefault="00B17BBD">
    <w:pPr>
      <w:pStyle w:val="Footer"/>
    </w:pPr>
  </w:p>
  <w:p w:rsidR="00B17BBD" w:rsidRDefault="00B17BB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181859"/>
      <w:docPartObj>
        <w:docPartGallery w:val="Page Numbers (Bottom of Page)"/>
        <w:docPartUnique/>
      </w:docPartObj>
    </w:sdtPr>
    <w:sdtEndPr>
      <w:rPr>
        <w:rFonts w:ascii="Arial" w:hAnsi="Arial" w:cs="Arial"/>
        <w:noProof/>
        <w:sz w:val="20"/>
      </w:rPr>
    </w:sdtEndPr>
    <w:sdtContent>
      <w:p w:rsidR="00B17BBD" w:rsidRPr="00A1273A" w:rsidRDefault="00B17BBD" w:rsidP="00067D33">
        <w:pPr>
          <w:pStyle w:val="Footer"/>
          <w:jc w:val="center"/>
          <w:rPr>
            <w:rFonts w:ascii="Arial" w:hAnsi="Arial" w:cs="Arial"/>
            <w:sz w:val="20"/>
          </w:rPr>
        </w:pPr>
        <w:r w:rsidRPr="00A1273A">
          <w:rPr>
            <w:rFonts w:ascii="Arial" w:hAnsi="Arial" w:cs="Arial"/>
            <w:sz w:val="20"/>
          </w:rPr>
          <w:fldChar w:fldCharType="begin"/>
        </w:r>
        <w:r w:rsidRPr="00A1273A">
          <w:rPr>
            <w:rFonts w:ascii="Arial" w:hAnsi="Arial" w:cs="Arial"/>
            <w:sz w:val="20"/>
          </w:rPr>
          <w:instrText xml:space="preserve"> PAGE   \* MERGEFORMAT </w:instrText>
        </w:r>
        <w:r w:rsidRPr="00A1273A">
          <w:rPr>
            <w:rFonts w:ascii="Arial" w:hAnsi="Arial" w:cs="Arial"/>
            <w:sz w:val="20"/>
          </w:rPr>
          <w:fldChar w:fldCharType="separate"/>
        </w:r>
        <w:r w:rsidR="00557F15">
          <w:rPr>
            <w:rFonts w:ascii="Arial" w:hAnsi="Arial" w:cs="Arial"/>
            <w:noProof/>
            <w:sz w:val="20"/>
          </w:rPr>
          <w:t>2</w:t>
        </w:r>
        <w:r w:rsidRPr="00A1273A">
          <w:rPr>
            <w:rFonts w:ascii="Arial" w:hAnsi="Arial" w:cs="Arial"/>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B17BBD" w:rsidTr="005A3173">
      <w:trPr>
        <w:trHeight w:val="151"/>
      </w:trPr>
      <w:tc>
        <w:tcPr>
          <w:tcW w:w="2250" w:type="pct"/>
          <w:tcBorders>
            <w:top w:val="nil"/>
            <w:left w:val="nil"/>
            <w:bottom w:val="single" w:sz="4" w:space="0" w:color="4F81BD"/>
            <w:right w:val="nil"/>
          </w:tcBorders>
        </w:tcPr>
        <w:p w:rsidR="00B17BBD" w:rsidRPr="005A3173" w:rsidRDefault="00B17BB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17BBD" w:rsidRPr="005A3173" w:rsidRDefault="00B17BB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17BBD" w:rsidRPr="005A3173" w:rsidRDefault="00B17BBD" w:rsidP="005A3173">
          <w:pPr>
            <w:pStyle w:val="Header"/>
            <w:spacing w:line="276" w:lineRule="auto"/>
            <w:rPr>
              <w:rFonts w:ascii="Calibri" w:eastAsia="MS Gothic" w:hAnsi="Calibri"/>
              <w:b/>
              <w:bCs/>
              <w:color w:val="4F81BD"/>
            </w:rPr>
          </w:pPr>
        </w:p>
      </w:tc>
    </w:tr>
    <w:tr w:rsidR="00B17BBD" w:rsidTr="005A3173">
      <w:trPr>
        <w:trHeight w:val="150"/>
      </w:trPr>
      <w:tc>
        <w:tcPr>
          <w:tcW w:w="2250" w:type="pct"/>
          <w:tcBorders>
            <w:top w:val="single" w:sz="4" w:space="0" w:color="4F81BD"/>
            <w:left w:val="nil"/>
            <w:bottom w:val="nil"/>
            <w:right w:val="nil"/>
          </w:tcBorders>
        </w:tcPr>
        <w:p w:rsidR="00B17BBD" w:rsidRPr="005A3173" w:rsidRDefault="00B17BBD" w:rsidP="005A3173">
          <w:pPr>
            <w:pStyle w:val="Header"/>
            <w:spacing w:line="276" w:lineRule="auto"/>
            <w:rPr>
              <w:rFonts w:ascii="Calibri" w:eastAsia="MS Gothic" w:hAnsi="Calibri"/>
              <w:b/>
              <w:bCs/>
              <w:color w:val="4F81BD"/>
            </w:rPr>
          </w:pPr>
        </w:p>
      </w:tc>
      <w:tc>
        <w:tcPr>
          <w:tcW w:w="0" w:type="auto"/>
          <w:vMerge/>
          <w:vAlign w:val="center"/>
          <w:hideMark/>
        </w:tcPr>
        <w:p w:rsidR="00B17BBD" w:rsidRPr="005A3173" w:rsidRDefault="00B17BBD" w:rsidP="005A3173">
          <w:pPr>
            <w:rPr>
              <w:rFonts w:ascii="Calibri" w:hAnsi="Calibri"/>
              <w:color w:val="365F91"/>
              <w:sz w:val="22"/>
              <w:szCs w:val="22"/>
            </w:rPr>
          </w:pPr>
        </w:p>
      </w:tc>
      <w:tc>
        <w:tcPr>
          <w:tcW w:w="2250" w:type="pct"/>
          <w:tcBorders>
            <w:top w:val="single" w:sz="4" w:space="0" w:color="4F81BD"/>
            <w:left w:val="nil"/>
            <w:bottom w:val="nil"/>
            <w:right w:val="nil"/>
          </w:tcBorders>
        </w:tcPr>
        <w:p w:rsidR="00B17BBD" w:rsidRPr="005A3173" w:rsidRDefault="00B17BBD"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17BBD" w:rsidTr="005A3173">
      <w:trPr>
        <w:trHeight w:val="151"/>
      </w:trPr>
      <w:tc>
        <w:tcPr>
          <w:tcW w:w="2250" w:type="pct"/>
          <w:tcBorders>
            <w:top w:val="nil"/>
            <w:left w:val="nil"/>
            <w:bottom w:val="single" w:sz="4" w:space="0" w:color="4F81BD"/>
            <w:right w:val="nil"/>
          </w:tcBorders>
        </w:tcPr>
        <w:p w:rsidR="00B17BBD" w:rsidRPr="005A3173" w:rsidRDefault="00B17BB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17BBD" w:rsidRPr="005A3173" w:rsidRDefault="00B17BB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17BBD" w:rsidRPr="005A3173" w:rsidRDefault="00B17BBD" w:rsidP="005A3173">
          <w:pPr>
            <w:pStyle w:val="Header"/>
            <w:spacing w:line="276" w:lineRule="auto"/>
            <w:rPr>
              <w:rFonts w:ascii="Calibri" w:eastAsia="MS Gothic" w:hAnsi="Calibri"/>
              <w:b/>
              <w:bCs/>
              <w:color w:val="4F81BD"/>
            </w:rPr>
          </w:pPr>
        </w:p>
      </w:tc>
    </w:tr>
    <w:tr w:rsidR="00B17BBD" w:rsidTr="005A3173">
      <w:trPr>
        <w:trHeight w:val="150"/>
      </w:trPr>
      <w:tc>
        <w:tcPr>
          <w:tcW w:w="2250" w:type="pct"/>
          <w:tcBorders>
            <w:top w:val="single" w:sz="4" w:space="0" w:color="4F81BD"/>
            <w:left w:val="nil"/>
            <w:bottom w:val="nil"/>
            <w:right w:val="nil"/>
          </w:tcBorders>
        </w:tcPr>
        <w:p w:rsidR="00B17BBD" w:rsidRPr="005A3173" w:rsidRDefault="00B17BBD" w:rsidP="005A3173">
          <w:pPr>
            <w:pStyle w:val="Header"/>
            <w:spacing w:line="276" w:lineRule="auto"/>
            <w:rPr>
              <w:rFonts w:ascii="Calibri" w:eastAsia="MS Gothic" w:hAnsi="Calibri"/>
              <w:b/>
              <w:bCs/>
              <w:color w:val="4F81BD"/>
            </w:rPr>
          </w:pPr>
        </w:p>
      </w:tc>
      <w:tc>
        <w:tcPr>
          <w:tcW w:w="0" w:type="auto"/>
          <w:vMerge/>
          <w:vAlign w:val="center"/>
          <w:hideMark/>
        </w:tcPr>
        <w:p w:rsidR="00B17BBD" w:rsidRPr="005A3173" w:rsidRDefault="00B17BBD" w:rsidP="005A3173">
          <w:pPr>
            <w:rPr>
              <w:rFonts w:ascii="Calibri" w:hAnsi="Calibri"/>
              <w:color w:val="365F91"/>
              <w:sz w:val="22"/>
              <w:szCs w:val="22"/>
            </w:rPr>
          </w:pPr>
        </w:p>
      </w:tc>
      <w:tc>
        <w:tcPr>
          <w:tcW w:w="2250" w:type="pct"/>
          <w:tcBorders>
            <w:top w:val="single" w:sz="4" w:space="0" w:color="4F81BD"/>
            <w:left w:val="nil"/>
            <w:bottom w:val="nil"/>
            <w:right w:val="nil"/>
          </w:tcBorders>
        </w:tcPr>
        <w:p w:rsidR="00B17BBD" w:rsidRPr="005A3173" w:rsidRDefault="00B17BBD" w:rsidP="005A3173">
          <w:pPr>
            <w:pStyle w:val="Header"/>
            <w:spacing w:line="276" w:lineRule="auto"/>
            <w:rPr>
              <w:rFonts w:ascii="Calibri" w:eastAsia="MS Gothic" w:hAnsi="Calibri"/>
              <w:b/>
              <w:bCs/>
              <w:color w:val="4F81BD"/>
            </w:rPr>
          </w:pPr>
        </w:p>
      </w:tc>
    </w:tr>
  </w:tbl>
  <w:p w:rsidR="00B17BBD" w:rsidRPr="007C0F57" w:rsidRDefault="00B17BB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B17BBD" w:rsidRPr="007C0F57" w:rsidRDefault="00B17BBD" w:rsidP="007C0F57">
    <w:pPr>
      <w:pStyle w:val="Footer"/>
      <w:jc w:val="center"/>
      <w:rPr>
        <w:b/>
        <w:i/>
        <w:sz w:val="20"/>
        <w:szCs w:val="20"/>
      </w:rPr>
    </w:pPr>
    <w:r w:rsidRPr="007C0F57">
      <w:rPr>
        <w:b/>
        <w:i/>
        <w:sz w:val="20"/>
        <w:szCs w:val="20"/>
      </w:rPr>
      <w:t>Commercial-in-Confidence</w:t>
    </w:r>
  </w:p>
  <w:p w:rsidR="00B17BBD" w:rsidRDefault="00B17B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211" w:rsidRDefault="00622211">
      <w:r>
        <w:separator/>
      </w:r>
    </w:p>
    <w:p w:rsidR="00622211" w:rsidRDefault="00622211"/>
  </w:footnote>
  <w:footnote w:type="continuationSeparator" w:id="0">
    <w:p w:rsidR="00622211" w:rsidRDefault="00622211">
      <w:r>
        <w:continuationSeparator/>
      </w:r>
    </w:p>
    <w:p w:rsidR="00622211" w:rsidRDefault="006222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B17BBD" w:rsidRPr="008E0D90" w:rsidTr="00A06225">
      <w:trPr>
        <w:trHeight w:val="151"/>
      </w:trPr>
      <w:tc>
        <w:tcPr>
          <w:tcW w:w="2389" w:type="pct"/>
          <w:tcBorders>
            <w:top w:val="nil"/>
            <w:left w:val="nil"/>
            <w:bottom w:val="single" w:sz="4" w:space="0" w:color="4F81BD"/>
            <w:right w:val="nil"/>
          </w:tcBorders>
        </w:tcPr>
        <w:p w:rsidR="00B17BBD" w:rsidRPr="00A06225" w:rsidRDefault="00B17BBD">
          <w:pPr>
            <w:pStyle w:val="Header"/>
            <w:spacing w:line="276" w:lineRule="auto"/>
            <w:rPr>
              <w:rFonts w:ascii="Cambria" w:eastAsia="MS Gothic" w:hAnsi="Cambria"/>
              <w:b/>
              <w:bCs/>
              <w:color w:val="4F81BD"/>
            </w:rPr>
          </w:pPr>
        </w:p>
      </w:tc>
      <w:tc>
        <w:tcPr>
          <w:tcW w:w="333" w:type="pct"/>
          <w:vMerge w:val="restart"/>
          <w:noWrap/>
          <w:vAlign w:val="center"/>
          <w:hideMark/>
        </w:tcPr>
        <w:p w:rsidR="00B17BBD" w:rsidRPr="00A06225" w:rsidRDefault="00B17BB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B17BBD" w:rsidRPr="00A06225" w:rsidRDefault="00B17BBD">
          <w:pPr>
            <w:pStyle w:val="Header"/>
            <w:spacing w:line="276" w:lineRule="auto"/>
            <w:rPr>
              <w:rFonts w:ascii="Cambria" w:eastAsia="MS Gothic" w:hAnsi="Cambria"/>
              <w:b/>
              <w:bCs/>
              <w:color w:val="4F81BD"/>
            </w:rPr>
          </w:pPr>
        </w:p>
      </w:tc>
    </w:tr>
    <w:tr w:rsidR="00B17BBD" w:rsidRPr="008E0D90" w:rsidTr="00A06225">
      <w:trPr>
        <w:trHeight w:val="150"/>
      </w:trPr>
      <w:tc>
        <w:tcPr>
          <w:tcW w:w="2389" w:type="pct"/>
          <w:tcBorders>
            <w:top w:val="single" w:sz="4" w:space="0" w:color="4F81BD"/>
            <w:left w:val="nil"/>
            <w:bottom w:val="nil"/>
            <w:right w:val="nil"/>
          </w:tcBorders>
        </w:tcPr>
        <w:p w:rsidR="00B17BBD" w:rsidRPr="00A06225" w:rsidRDefault="00B17BBD">
          <w:pPr>
            <w:pStyle w:val="Header"/>
            <w:spacing w:line="276" w:lineRule="auto"/>
            <w:rPr>
              <w:rFonts w:ascii="Cambria" w:eastAsia="MS Gothic" w:hAnsi="Cambria"/>
              <w:b/>
              <w:bCs/>
              <w:color w:val="4F81BD"/>
            </w:rPr>
          </w:pPr>
        </w:p>
      </w:tc>
      <w:tc>
        <w:tcPr>
          <w:tcW w:w="0" w:type="auto"/>
          <w:vMerge/>
          <w:vAlign w:val="center"/>
          <w:hideMark/>
        </w:tcPr>
        <w:p w:rsidR="00B17BBD" w:rsidRPr="00A06225" w:rsidRDefault="00B17BBD">
          <w:pPr>
            <w:rPr>
              <w:rFonts w:ascii="Cambria" w:hAnsi="Cambria"/>
              <w:color w:val="4F81BD"/>
              <w:sz w:val="22"/>
              <w:szCs w:val="22"/>
            </w:rPr>
          </w:pPr>
        </w:p>
      </w:tc>
      <w:tc>
        <w:tcPr>
          <w:tcW w:w="2278" w:type="pct"/>
          <w:tcBorders>
            <w:top w:val="single" w:sz="4" w:space="0" w:color="4F81BD"/>
            <w:left w:val="nil"/>
            <w:bottom w:val="nil"/>
            <w:right w:val="nil"/>
          </w:tcBorders>
        </w:tcPr>
        <w:p w:rsidR="00B17BBD" w:rsidRPr="00A06225" w:rsidRDefault="00B17BBD">
          <w:pPr>
            <w:pStyle w:val="Header"/>
            <w:spacing w:line="276" w:lineRule="auto"/>
            <w:rPr>
              <w:rFonts w:ascii="Cambria" w:eastAsia="MS Gothic" w:hAnsi="Cambria"/>
              <w:b/>
              <w:bCs/>
              <w:color w:val="4F81BD"/>
            </w:rPr>
          </w:pPr>
        </w:p>
      </w:tc>
    </w:tr>
  </w:tbl>
  <w:p w:rsidR="00B17BBD" w:rsidRDefault="00B17BBD">
    <w:pPr>
      <w:pStyle w:val="Header"/>
    </w:pPr>
  </w:p>
  <w:p w:rsidR="00B17BBD" w:rsidRDefault="00B17BB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BBD" w:rsidRPr="00F1150D" w:rsidRDefault="00FC5C1A" w:rsidP="00A809CE">
    <w:pPr>
      <w:pStyle w:val="NoSpacing"/>
      <w:jc w:val="center"/>
      <w:rPr>
        <w:rFonts w:cs="Arial"/>
        <w:i/>
      </w:rPr>
    </w:pPr>
    <w:r>
      <w:rPr>
        <w:rFonts w:cs="Arial"/>
        <w:i/>
      </w:rPr>
      <w:t>Public Summary Document</w:t>
    </w:r>
    <w:r w:rsidR="00B17BBD" w:rsidRPr="00F1150D">
      <w:rPr>
        <w:rFonts w:cs="Arial"/>
        <w:i/>
      </w:rPr>
      <w:t xml:space="preserve"> – March 2016 PBAC Meeting</w:t>
    </w:r>
  </w:p>
  <w:p w:rsidR="00B17BBD" w:rsidRDefault="00B17BBD"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1F5D"/>
    <w:multiLevelType w:val="hybridMultilevel"/>
    <w:tmpl w:val="A072D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3AD4657"/>
    <w:multiLevelType w:val="hybridMultilevel"/>
    <w:tmpl w:val="561266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6814B0"/>
    <w:multiLevelType w:val="hybridMultilevel"/>
    <w:tmpl w:val="A928D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EF54324"/>
    <w:multiLevelType w:val="hybridMultilevel"/>
    <w:tmpl w:val="DD00E3B8"/>
    <w:lvl w:ilvl="0" w:tplc="7854B196">
      <w:start w:val="1"/>
      <w:numFmt w:val="bullet"/>
      <w:lvlText w:val="-"/>
      <w:lvlJc w:val="left"/>
      <w:pPr>
        <w:ind w:left="1440" w:hanging="360"/>
      </w:pPr>
      <w:rPr>
        <w:rFonts w:ascii="Arial Narrow" w:eastAsia="Times New Roman" w:hAnsi="Arial Narrow"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21265801"/>
    <w:multiLevelType w:val="hybridMultilevel"/>
    <w:tmpl w:val="BEFA095A"/>
    <w:lvl w:ilvl="0" w:tplc="7854B196">
      <w:start w:val="1"/>
      <w:numFmt w:val="bullet"/>
      <w:lvlText w:val="-"/>
      <w:lvlJc w:val="left"/>
      <w:pPr>
        <w:ind w:left="720" w:hanging="360"/>
      </w:pPr>
      <w:rPr>
        <w:rFonts w:ascii="Arial Narrow" w:eastAsia="Times New Roman" w:hAnsi="Arial Narrow" w:cs="Aria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18108B4"/>
    <w:multiLevelType w:val="hybridMultilevel"/>
    <w:tmpl w:val="8CE002E2"/>
    <w:lvl w:ilvl="0" w:tplc="0C090001">
      <w:start w:val="1"/>
      <w:numFmt w:val="bullet"/>
      <w:lvlText w:val=""/>
      <w:lvlJc w:val="left"/>
      <w:pPr>
        <w:ind w:left="720" w:hanging="360"/>
      </w:pPr>
      <w:rPr>
        <w:rFonts w:ascii="Symbol" w:hAnsi="Symbol" w:hint="default"/>
      </w:rPr>
    </w:lvl>
    <w:lvl w:ilvl="1" w:tplc="7854B196">
      <w:start w:val="1"/>
      <w:numFmt w:val="bullet"/>
      <w:lvlText w:val="-"/>
      <w:lvlJc w:val="left"/>
      <w:pPr>
        <w:ind w:left="1440" w:hanging="360"/>
      </w:pPr>
      <w:rPr>
        <w:rFonts w:ascii="Arial Narrow" w:eastAsia="Times New Roman" w:hAnsi="Arial Narro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2607ADB"/>
    <w:multiLevelType w:val="hybridMultilevel"/>
    <w:tmpl w:val="F6DCEC5C"/>
    <w:lvl w:ilvl="0" w:tplc="7854B196">
      <w:start w:val="1"/>
      <w:numFmt w:val="bullet"/>
      <w:lvlText w:val="-"/>
      <w:lvlJc w:val="left"/>
      <w:pPr>
        <w:ind w:left="1440" w:hanging="360"/>
      </w:pPr>
      <w:rPr>
        <w:rFonts w:ascii="Arial Narrow" w:eastAsia="Times New Roman" w:hAnsi="Arial Narrow"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22F714F5"/>
    <w:multiLevelType w:val="hybridMultilevel"/>
    <w:tmpl w:val="479A36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4C4E0970"/>
    <w:multiLevelType w:val="hybridMultilevel"/>
    <w:tmpl w:val="5FF6F91A"/>
    <w:lvl w:ilvl="0" w:tplc="0C090001">
      <w:start w:val="1"/>
      <w:numFmt w:val="bullet"/>
      <w:lvlText w:val=""/>
      <w:lvlJc w:val="left"/>
      <w:pPr>
        <w:ind w:left="720" w:hanging="360"/>
      </w:pPr>
      <w:rPr>
        <w:rFonts w:ascii="Symbol" w:hAnsi="Symbol" w:hint="default"/>
      </w:rPr>
    </w:lvl>
    <w:lvl w:ilvl="1" w:tplc="7854B196">
      <w:start w:val="1"/>
      <w:numFmt w:val="bullet"/>
      <w:lvlText w:val="-"/>
      <w:lvlJc w:val="left"/>
      <w:pPr>
        <w:ind w:left="1440" w:hanging="360"/>
      </w:pPr>
      <w:rPr>
        <w:rFonts w:ascii="Arial Narrow" w:eastAsia="Times New Roman" w:hAnsi="Arial Narro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C6F79CD"/>
    <w:multiLevelType w:val="multilevel"/>
    <w:tmpl w:val="4AC6E9D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53213D2"/>
    <w:multiLevelType w:val="hybridMultilevel"/>
    <w:tmpl w:val="065C4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6844053"/>
    <w:multiLevelType w:val="hybridMultilevel"/>
    <w:tmpl w:val="05C258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5CEB7D58"/>
    <w:multiLevelType w:val="multilevel"/>
    <w:tmpl w:val="F7541BD2"/>
    <w:lvl w:ilvl="0">
      <w:start w:val="1"/>
      <w:numFmt w:val="decimal"/>
      <w:lvlText w:val="%1"/>
      <w:lvlJc w:val="left"/>
      <w:pPr>
        <w:ind w:left="720" w:hanging="720"/>
      </w:pPr>
      <w:rPr>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nsid w:val="67D65CF2"/>
    <w:multiLevelType w:val="hybridMultilevel"/>
    <w:tmpl w:val="074EA3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7F3103"/>
    <w:multiLevelType w:val="hybridMultilevel"/>
    <w:tmpl w:val="0212E1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73B777D5"/>
    <w:multiLevelType w:val="hybridMultilevel"/>
    <w:tmpl w:val="DFEAB9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7490247"/>
    <w:multiLevelType w:val="hybridMultilevel"/>
    <w:tmpl w:val="08945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7C35591"/>
    <w:multiLevelType w:val="multilevel"/>
    <w:tmpl w:val="C0DC6534"/>
    <w:lvl w:ilvl="0">
      <w:start w:val="1"/>
      <w:numFmt w:val="decimal"/>
      <w:lvlText w:val="%1"/>
      <w:lvlJc w:val="left"/>
      <w:pPr>
        <w:ind w:left="720" w:hanging="720"/>
      </w:pPr>
      <w:rPr>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nsid w:val="784D033C"/>
    <w:multiLevelType w:val="multilevel"/>
    <w:tmpl w:val="C9147F0A"/>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1"/>
  </w:num>
  <w:num w:numId="3">
    <w:abstractNumId w:val="5"/>
  </w:num>
  <w:num w:numId="4">
    <w:abstractNumId w:val="0"/>
  </w:num>
  <w:num w:numId="5">
    <w:abstractNumId w:val="3"/>
  </w:num>
  <w:num w:numId="6">
    <w:abstractNumId w:val="10"/>
  </w:num>
  <w:num w:numId="7">
    <w:abstractNumId w:val="15"/>
  </w:num>
  <w:num w:numId="8">
    <w:abstractNumId w:val="2"/>
  </w:num>
  <w:num w:numId="9">
    <w:abstractNumId w:val="7"/>
  </w:num>
  <w:num w:numId="10">
    <w:abstractNumId w:val="6"/>
  </w:num>
  <w:num w:numId="11">
    <w:abstractNumId w:val="4"/>
  </w:num>
  <w:num w:numId="12">
    <w:abstractNumId w:val="9"/>
  </w:num>
  <w:num w:numId="13">
    <w:abstractNumId w:val="13"/>
  </w:num>
  <w:num w:numId="14">
    <w:abstractNumId w:val="16"/>
  </w:num>
  <w:num w:numId="15">
    <w:abstractNumId w:val="1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8"/>
  </w:num>
  <w:num w:numId="19">
    <w:abstractNumId w:val="8"/>
  </w:num>
  <w:num w:numId="20">
    <w:abstractNumId w:val="1"/>
  </w:num>
  <w:num w:numId="2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36DB7"/>
    <w:rsid w:val="000421A1"/>
    <w:rsid w:val="0004240E"/>
    <w:rsid w:val="00043067"/>
    <w:rsid w:val="00045E26"/>
    <w:rsid w:val="000514B5"/>
    <w:rsid w:val="00055718"/>
    <w:rsid w:val="00060E64"/>
    <w:rsid w:val="00066755"/>
    <w:rsid w:val="00067D33"/>
    <w:rsid w:val="000969AD"/>
    <w:rsid w:val="000B0224"/>
    <w:rsid w:val="000B558D"/>
    <w:rsid w:val="000C6996"/>
    <w:rsid w:val="000D23BA"/>
    <w:rsid w:val="000E681E"/>
    <w:rsid w:val="000F4E6A"/>
    <w:rsid w:val="00103423"/>
    <w:rsid w:val="001107BF"/>
    <w:rsid w:val="0012417C"/>
    <w:rsid w:val="0013116E"/>
    <w:rsid w:val="00142395"/>
    <w:rsid w:val="00142714"/>
    <w:rsid w:val="001452ED"/>
    <w:rsid w:val="00153559"/>
    <w:rsid w:val="001559E4"/>
    <w:rsid w:val="00177EE4"/>
    <w:rsid w:val="001830CE"/>
    <w:rsid w:val="00196307"/>
    <w:rsid w:val="001B017F"/>
    <w:rsid w:val="001B5129"/>
    <w:rsid w:val="001C1195"/>
    <w:rsid w:val="001D40CC"/>
    <w:rsid w:val="001E0A8B"/>
    <w:rsid w:val="00213CFB"/>
    <w:rsid w:val="00215114"/>
    <w:rsid w:val="002262C3"/>
    <w:rsid w:val="00236BD9"/>
    <w:rsid w:val="00241B6A"/>
    <w:rsid w:val="00247612"/>
    <w:rsid w:val="002518C0"/>
    <w:rsid w:val="00271BA1"/>
    <w:rsid w:val="00277505"/>
    <w:rsid w:val="002814CC"/>
    <w:rsid w:val="0029458F"/>
    <w:rsid w:val="002A104C"/>
    <w:rsid w:val="002A390B"/>
    <w:rsid w:val="002A4960"/>
    <w:rsid w:val="002A4B02"/>
    <w:rsid w:val="002B1AE6"/>
    <w:rsid w:val="002B30F8"/>
    <w:rsid w:val="002C2076"/>
    <w:rsid w:val="002C212F"/>
    <w:rsid w:val="002D1E6E"/>
    <w:rsid w:val="002D47B4"/>
    <w:rsid w:val="002E3153"/>
    <w:rsid w:val="002E708B"/>
    <w:rsid w:val="002E72CA"/>
    <w:rsid w:val="00314B22"/>
    <w:rsid w:val="00315444"/>
    <w:rsid w:val="00315535"/>
    <w:rsid w:val="00320F93"/>
    <w:rsid w:val="00325F64"/>
    <w:rsid w:val="00326E79"/>
    <w:rsid w:val="003367EF"/>
    <w:rsid w:val="00341AE4"/>
    <w:rsid w:val="003872CF"/>
    <w:rsid w:val="003943D5"/>
    <w:rsid w:val="0039782C"/>
    <w:rsid w:val="003A5B4A"/>
    <w:rsid w:val="003A7016"/>
    <w:rsid w:val="003B1B3B"/>
    <w:rsid w:val="003B23C5"/>
    <w:rsid w:val="003B2A75"/>
    <w:rsid w:val="003C4D04"/>
    <w:rsid w:val="003D0700"/>
    <w:rsid w:val="003D4AC4"/>
    <w:rsid w:val="003D63B7"/>
    <w:rsid w:val="003E468B"/>
    <w:rsid w:val="003F5C8C"/>
    <w:rsid w:val="00417DE1"/>
    <w:rsid w:val="00443B37"/>
    <w:rsid w:val="004465BD"/>
    <w:rsid w:val="00466ADA"/>
    <w:rsid w:val="00474052"/>
    <w:rsid w:val="00476245"/>
    <w:rsid w:val="00480185"/>
    <w:rsid w:val="00485940"/>
    <w:rsid w:val="004A5A85"/>
    <w:rsid w:val="004B5640"/>
    <w:rsid w:val="004C1BD7"/>
    <w:rsid w:val="004C3075"/>
    <w:rsid w:val="004C4EC8"/>
    <w:rsid w:val="004C691D"/>
    <w:rsid w:val="004C709D"/>
    <w:rsid w:val="004E692D"/>
    <w:rsid w:val="00501554"/>
    <w:rsid w:val="00512A5A"/>
    <w:rsid w:val="00514CD7"/>
    <w:rsid w:val="00521BCA"/>
    <w:rsid w:val="00523508"/>
    <w:rsid w:val="005319B2"/>
    <w:rsid w:val="00532551"/>
    <w:rsid w:val="00532C74"/>
    <w:rsid w:val="00534E2E"/>
    <w:rsid w:val="00544552"/>
    <w:rsid w:val="00547B57"/>
    <w:rsid w:val="00557F15"/>
    <w:rsid w:val="00581932"/>
    <w:rsid w:val="005963BB"/>
    <w:rsid w:val="005A3173"/>
    <w:rsid w:val="005A3223"/>
    <w:rsid w:val="005A3DA3"/>
    <w:rsid w:val="005A52C4"/>
    <w:rsid w:val="005B6E9D"/>
    <w:rsid w:val="005D03AB"/>
    <w:rsid w:val="005D5017"/>
    <w:rsid w:val="00601A91"/>
    <w:rsid w:val="00602BA3"/>
    <w:rsid w:val="00614159"/>
    <w:rsid w:val="00617C00"/>
    <w:rsid w:val="00622211"/>
    <w:rsid w:val="006263BF"/>
    <w:rsid w:val="0062748A"/>
    <w:rsid w:val="00630A2C"/>
    <w:rsid w:val="00644C00"/>
    <w:rsid w:val="00651169"/>
    <w:rsid w:val="00653D69"/>
    <w:rsid w:val="00656493"/>
    <w:rsid w:val="006679C1"/>
    <w:rsid w:val="00670A76"/>
    <w:rsid w:val="006711AA"/>
    <w:rsid w:val="00672B57"/>
    <w:rsid w:val="00675622"/>
    <w:rsid w:val="00681BD1"/>
    <w:rsid w:val="006906DB"/>
    <w:rsid w:val="006A12A5"/>
    <w:rsid w:val="006B0D94"/>
    <w:rsid w:val="006B485D"/>
    <w:rsid w:val="006C708E"/>
    <w:rsid w:val="006D6EC7"/>
    <w:rsid w:val="006F5125"/>
    <w:rsid w:val="007003B8"/>
    <w:rsid w:val="007174BB"/>
    <w:rsid w:val="00720F82"/>
    <w:rsid w:val="00740ACA"/>
    <w:rsid w:val="007461E7"/>
    <w:rsid w:val="00753F67"/>
    <w:rsid w:val="007628FD"/>
    <w:rsid w:val="0076420C"/>
    <w:rsid w:val="00767682"/>
    <w:rsid w:val="007753C2"/>
    <w:rsid w:val="007838B8"/>
    <w:rsid w:val="007B0A39"/>
    <w:rsid w:val="007C0F57"/>
    <w:rsid w:val="007C40B6"/>
    <w:rsid w:val="007C729F"/>
    <w:rsid w:val="007E1D28"/>
    <w:rsid w:val="007E5882"/>
    <w:rsid w:val="007F2641"/>
    <w:rsid w:val="007F79B0"/>
    <w:rsid w:val="007F7C36"/>
    <w:rsid w:val="00800DC2"/>
    <w:rsid w:val="00806796"/>
    <w:rsid w:val="008077F8"/>
    <w:rsid w:val="00826F6D"/>
    <w:rsid w:val="0084744F"/>
    <w:rsid w:val="00854C03"/>
    <w:rsid w:val="00856A89"/>
    <w:rsid w:val="00856BD0"/>
    <w:rsid w:val="00856DDD"/>
    <w:rsid w:val="00863E68"/>
    <w:rsid w:val="00882085"/>
    <w:rsid w:val="00883188"/>
    <w:rsid w:val="00897D58"/>
    <w:rsid w:val="008A1956"/>
    <w:rsid w:val="008A4937"/>
    <w:rsid w:val="008C111F"/>
    <w:rsid w:val="008C37D7"/>
    <w:rsid w:val="008D3C82"/>
    <w:rsid w:val="008D447E"/>
    <w:rsid w:val="008D7A41"/>
    <w:rsid w:val="008E3680"/>
    <w:rsid w:val="008E5870"/>
    <w:rsid w:val="008E6EDD"/>
    <w:rsid w:val="008F1434"/>
    <w:rsid w:val="008F67C0"/>
    <w:rsid w:val="008F7355"/>
    <w:rsid w:val="009067B7"/>
    <w:rsid w:val="00911ABF"/>
    <w:rsid w:val="00921A4F"/>
    <w:rsid w:val="00930937"/>
    <w:rsid w:val="00933E6C"/>
    <w:rsid w:val="00942160"/>
    <w:rsid w:val="009602C5"/>
    <w:rsid w:val="0096491B"/>
    <w:rsid w:val="00974C21"/>
    <w:rsid w:val="00975AD6"/>
    <w:rsid w:val="00986AF2"/>
    <w:rsid w:val="00994DCE"/>
    <w:rsid w:val="009B0F67"/>
    <w:rsid w:val="009B1AF4"/>
    <w:rsid w:val="009B7F65"/>
    <w:rsid w:val="009C703C"/>
    <w:rsid w:val="009D3022"/>
    <w:rsid w:val="009D3CAA"/>
    <w:rsid w:val="009F4E46"/>
    <w:rsid w:val="009F5B65"/>
    <w:rsid w:val="009F5F2E"/>
    <w:rsid w:val="009F7906"/>
    <w:rsid w:val="00A06225"/>
    <w:rsid w:val="00A1273A"/>
    <w:rsid w:val="00A128E6"/>
    <w:rsid w:val="00A21175"/>
    <w:rsid w:val="00A23680"/>
    <w:rsid w:val="00A309C9"/>
    <w:rsid w:val="00A37C8D"/>
    <w:rsid w:val="00A4348A"/>
    <w:rsid w:val="00A4669C"/>
    <w:rsid w:val="00A5273B"/>
    <w:rsid w:val="00A53A9D"/>
    <w:rsid w:val="00A55FEE"/>
    <w:rsid w:val="00A62C1A"/>
    <w:rsid w:val="00A62F71"/>
    <w:rsid w:val="00A6426D"/>
    <w:rsid w:val="00A650FE"/>
    <w:rsid w:val="00A70622"/>
    <w:rsid w:val="00A70977"/>
    <w:rsid w:val="00A809CE"/>
    <w:rsid w:val="00A8390C"/>
    <w:rsid w:val="00A928BD"/>
    <w:rsid w:val="00A93298"/>
    <w:rsid w:val="00AA4D1C"/>
    <w:rsid w:val="00AB47CB"/>
    <w:rsid w:val="00AC193C"/>
    <w:rsid w:val="00AC4B04"/>
    <w:rsid w:val="00AC5206"/>
    <w:rsid w:val="00AD452B"/>
    <w:rsid w:val="00AE11A5"/>
    <w:rsid w:val="00AE13E2"/>
    <w:rsid w:val="00AF3F87"/>
    <w:rsid w:val="00AF68CC"/>
    <w:rsid w:val="00B032D3"/>
    <w:rsid w:val="00B17BBD"/>
    <w:rsid w:val="00B205AA"/>
    <w:rsid w:val="00B22E84"/>
    <w:rsid w:val="00B25F75"/>
    <w:rsid w:val="00B43E90"/>
    <w:rsid w:val="00B467DC"/>
    <w:rsid w:val="00B56118"/>
    <w:rsid w:val="00B6773F"/>
    <w:rsid w:val="00B801BA"/>
    <w:rsid w:val="00B957BD"/>
    <w:rsid w:val="00BA6BFA"/>
    <w:rsid w:val="00BB69F5"/>
    <w:rsid w:val="00BB7EC3"/>
    <w:rsid w:val="00BC4B9A"/>
    <w:rsid w:val="00BC4F47"/>
    <w:rsid w:val="00BC787A"/>
    <w:rsid w:val="00BD784C"/>
    <w:rsid w:val="00BF4CB6"/>
    <w:rsid w:val="00BF5A5A"/>
    <w:rsid w:val="00C00DA7"/>
    <w:rsid w:val="00C12768"/>
    <w:rsid w:val="00C27B58"/>
    <w:rsid w:val="00C30ADD"/>
    <w:rsid w:val="00C33EAA"/>
    <w:rsid w:val="00C3473C"/>
    <w:rsid w:val="00C35996"/>
    <w:rsid w:val="00C5342C"/>
    <w:rsid w:val="00C6256A"/>
    <w:rsid w:val="00C86F5F"/>
    <w:rsid w:val="00C91449"/>
    <w:rsid w:val="00C92D10"/>
    <w:rsid w:val="00C97E05"/>
    <w:rsid w:val="00CB131F"/>
    <w:rsid w:val="00CE10C4"/>
    <w:rsid w:val="00CE27B5"/>
    <w:rsid w:val="00D0321E"/>
    <w:rsid w:val="00D1455A"/>
    <w:rsid w:val="00D3280C"/>
    <w:rsid w:val="00D3406A"/>
    <w:rsid w:val="00D469B2"/>
    <w:rsid w:val="00D741EB"/>
    <w:rsid w:val="00D748BF"/>
    <w:rsid w:val="00D84934"/>
    <w:rsid w:val="00D851F8"/>
    <w:rsid w:val="00D91271"/>
    <w:rsid w:val="00DA2CB5"/>
    <w:rsid w:val="00DA48DD"/>
    <w:rsid w:val="00DA4BAC"/>
    <w:rsid w:val="00DD4883"/>
    <w:rsid w:val="00DE6D27"/>
    <w:rsid w:val="00DF0216"/>
    <w:rsid w:val="00DF217D"/>
    <w:rsid w:val="00DF26A7"/>
    <w:rsid w:val="00E00A11"/>
    <w:rsid w:val="00E164B3"/>
    <w:rsid w:val="00E16910"/>
    <w:rsid w:val="00E40322"/>
    <w:rsid w:val="00E4149C"/>
    <w:rsid w:val="00E65E54"/>
    <w:rsid w:val="00E67498"/>
    <w:rsid w:val="00E80155"/>
    <w:rsid w:val="00E848C0"/>
    <w:rsid w:val="00E91B96"/>
    <w:rsid w:val="00E941A1"/>
    <w:rsid w:val="00E95CE3"/>
    <w:rsid w:val="00EA2825"/>
    <w:rsid w:val="00EA3A0A"/>
    <w:rsid w:val="00EB0E5E"/>
    <w:rsid w:val="00EB4AC6"/>
    <w:rsid w:val="00EB5088"/>
    <w:rsid w:val="00EC5DF8"/>
    <w:rsid w:val="00ED1644"/>
    <w:rsid w:val="00ED7595"/>
    <w:rsid w:val="00EF44A0"/>
    <w:rsid w:val="00EF4FED"/>
    <w:rsid w:val="00F050BD"/>
    <w:rsid w:val="00F05657"/>
    <w:rsid w:val="00F25578"/>
    <w:rsid w:val="00F258E5"/>
    <w:rsid w:val="00F300BC"/>
    <w:rsid w:val="00F3334E"/>
    <w:rsid w:val="00F50EC4"/>
    <w:rsid w:val="00F57A6D"/>
    <w:rsid w:val="00F638CC"/>
    <w:rsid w:val="00F63C94"/>
    <w:rsid w:val="00F64CC1"/>
    <w:rsid w:val="00F8247A"/>
    <w:rsid w:val="00F86578"/>
    <w:rsid w:val="00F9629A"/>
    <w:rsid w:val="00FA5883"/>
    <w:rsid w:val="00FA6055"/>
    <w:rsid w:val="00FB322F"/>
    <w:rsid w:val="00FB442F"/>
    <w:rsid w:val="00FC1929"/>
    <w:rsid w:val="00FC5B46"/>
    <w:rsid w:val="00FC5C1A"/>
    <w:rsid w:val="00FE17B5"/>
    <w:rsid w:val="00FF00BD"/>
    <w:rsid w:val="00FF1ED4"/>
    <w:rsid w:val="00FF2801"/>
    <w:rsid w:val="00FF70E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067D33"/>
    <w:rPr>
      <w:sz w:val="24"/>
      <w:szCs w:val="24"/>
    </w:rPr>
  </w:style>
  <w:style w:type="paragraph" w:styleId="Heading1">
    <w:name w:val="heading 1"/>
    <w:basedOn w:val="ListParagraph"/>
    <w:next w:val="Normal"/>
    <w:qFormat/>
    <w:rsid w:val="00067D33"/>
    <w:pPr>
      <w:numPr>
        <w:numId w:val="1"/>
      </w:numPr>
      <w:jc w:val="both"/>
      <w:outlineLvl w:val="0"/>
    </w:pPr>
    <w:rPr>
      <w:rFonts w:ascii="Arial" w:hAnsi="Arial"/>
      <w:b/>
      <w:sz w:val="22"/>
      <w:szCs w:val="22"/>
    </w:rPr>
  </w:style>
  <w:style w:type="paragraph" w:styleId="Heading2">
    <w:name w:val="heading 2"/>
    <w:basedOn w:val="Normal"/>
    <w:next w:val="Normal"/>
    <w:qFormat/>
    <w:rsid w:val="00067D33"/>
    <w:pPr>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character" w:customStyle="1" w:styleId="TabletextChar">
    <w:name w:val="Table text Char"/>
    <w:link w:val="Tabletext"/>
    <w:rsid w:val="00241B6A"/>
    <w:rPr>
      <w:rFonts w:ascii="Arial" w:hAnsi="Arial"/>
      <w:lang w:eastAsia="en-US"/>
    </w:rPr>
  </w:style>
  <w:style w:type="paragraph" w:customStyle="1" w:styleId="PBACheading1">
    <w:name w:val="PBAC heading 1"/>
    <w:qFormat/>
    <w:rsid w:val="00241B6A"/>
    <w:pPr>
      <w:ind w:left="720" w:hanging="720"/>
    </w:pPr>
    <w:rPr>
      <w:rFonts w:ascii="Arial" w:hAnsi="Arial" w:cs="Arial"/>
      <w:snapToGrid w:val="0"/>
      <w:sz w:val="22"/>
      <w:szCs w:val="22"/>
      <w:lang w:eastAsia="en-US"/>
    </w:rPr>
  </w:style>
  <w:style w:type="character" w:customStyle="1" w:styleId="TableText0">
    <w:name w:val="Table Text"/>
    <w:basedOn w:val="DefaultParagraphFont"/>
    <w:uiPriority w:val="4"/>
    <w:qFormat/>
    <w:rsid w:val="00241B6A"/>
    <w:rPr>
      <w:rFonts w:ascii="Arial Narrow" w:hAnsi="Arial Narrow"/>
      <w:sz w:val="20"/>
    </w:rPr>
  </w:style>
  <w:style w:type="paragraph" w:customStyle="1" w:styleId="Table">
    <w:name w:val="Table"/>
    <w:basedOn w:val="Normal"/>
    <w:link w:val="TableChar"/>
    <w:qFormat/>
    <w:rsid w:val="002518C0"/>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2518C0"/>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2518C0"/>
    <w:rPr>
      <w:rFonts w:ascii="Candara" w:hAnsi="Candara"/>
      <w:b/>
      <w:sz w:val="20"/>
      <w:lang w:val="en-AU"/>
    </w:rPr>
  </w:style>
  <w:style w:type="paragraph" w:customStyle="1" w:styleId="TableFooter">
    <w:name w:val="Table Footer"/>
    <w:basedOn w:val="Normal"/>
    <w:qFormat/>
    <w:rsid w:val="002518C0"/>
    <w:pPr>
      <w:widowControl w:val="0"/>
      <w:jc w:val="both"/>
    </w:pPr>
    <w:rPr>
      <w:rFonts w:ascii="Arial Narrow" w:hAnsi="Arial Narrow" w:cs="Arial"/>
      <w:snapToGrid w:val="0"/>
      <w:sz w:val="18"/>
      <w:szCs w:val="20"/>
      <w:lang w:eastAsia="en-US"/>
    </w:rPr>
  </w:style>
  <w:style w:type="paragraph" w:styleId="BodyText">
    <w:name w:val="Body Text"/>
    <w:basedOn w:val="Normal"/>
    <w:link w:val="BodyTextChar"/>
    <w:rsid w:val="00856BD0"/>
    <w:pPr>
      <w:spacing w:after="120"/>
    </w:pPr>
  </w:style>
  <w:style w:type="character" w:customStyle="1" w:styleId="BodyTextChar">
    <w:name w:val="Body Text Char"/>
    <w:basedOn w:val="DefaultParagraphFont"/>
    <w:link w:val="BodyText"/>
    <w:rsid w:val="00856BD0"/>
    <w:rPr>
      <w:sz w:val="24"/>
      <w:szCs w:val="24"/>
    </w:rPr>
  </w:style>
  <w:style w:type="character" w:customStyle="1" w:styleId="ListParagraphChar">
    <w:name w:val="List Paragraph Char"/>
    <w:basedOn w:val="DefaultParagraphFont"/>
    <w:link w:val="ListParagraph"/>
    <w:uiPriority w:val="72"/>
    <w:locked/>
    <w:rsid w:val="00A809CE"/>
    <w:rPr>
      <w:sz w:val="24"/>
      <w:szCs w:val="24"/>
    </w:rPr>
  </w:style>
  <w:style w:type="paragraph" w:styleId="Title">
    <w:name w:val="Title"/>
    <w:basedOn w:val="Normal"/>
    <w:next w:val="Normal"/>
    <w:link w:val="TitleChar"/>
    <w:qFormat/>
    <w:rsid w:val="00067D33"/>
    <w:pPr>
      <w:ind w:left="720" w:hanging="720"/>
      <w:outlineLvl w:val="0"/>
    </w:pPr>
    <w:rPr>
      <w:rFonts w:ascii="Arial" w:hAnsi="Arial"/>
      <w:b/>
      <w:sz w:val="28"/>
      <w:szCs w:val="28"/>
    </w:rPr>
  </w:style>
  <w:style w:type="character" w:customStyle="1" w:styleId="TitleChar">
    <w:name w:val="Title Char"/>
    <w:basedOn w:val="DefaultParagraphFont"/>
    <w:link w:val="Title"/>
    <w:rsid w:val="00067D33"/>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067D33"/>
    <w:rPr>
      <w:sz w:val="24"/>
      <w:szCs w:val="24"/>
    </w:rPr>
  </w:style>
  <w:style w:type="paragraph" w:styleId="Heading1">
    <w:name w:val="heading 1"/>
    <w:basedOn w:val="ListParagraph"/>
    <w:next w:val="Normal"/>
    <w:qFormat/>
    <w:rsid w:val="00067D33"/>
    <w:pPr>
      <w:numPr>
        <w:numId w:val="1"/>
      </w:numPr>
      <w:jc w:val="both"/>
      <w:outlineLvl w:val="0"/>
    </w:pPr>
    <w:rPr>
      <w:rFonts w:ascii="Arial" w:hAnsi="Arial"/>
      <w:b/>
      <w:sz w:val="22"/>
      <w:szCs w:val="22"/>
    </w:rPr>
  </w:style>
  <w:style w:type="paragraph" w:styleId="Heading2">
    <w:name w:val="heading 2"/>
    <w:basedOn w:val="Normal"/>
    <w:next w:val="Normal"/>
    <w:qFormat/>
    <w:rsid w:val="00067D33"/>
    <w:pPr>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character" w:customStyle="1" w:styleId="TabletextChar">
    <w:name w:val="Table text Char"/>
    <w:link w:val="Tabletext"/>
    <w:rsid w:val="00241B6A"/>
    <w:rPr>
      <w:rFonts w:ascii="Arial" w:hAnsi="Arial"/>
      <w:lang w:eastAsia="en-US"/>
    </w:rPr>
  </w:style>
  <w:style w:type="paragraph" w:customStyle="1" w:styleId="PBACheading1">
    <w:name w:val="PBAC heading 1"/>
    <w:qFormat/>
    <w:rsid w:val="00241B6A"/>
    <w:pPr>
      <w:ind w:left="720" w:hanging="720"/>
    </w:pPr>
    <w:rPr>
      <w:rFonts w:ascii="Arial" w:hAnsi="Arial" w:cs="Arial"/>
      <w:snapToGrid w:val="0"/>
      <w:sz w:val="22"/>
      <w:szCs w:val="22"/>
      <w:lang w:eastAsia="en-US"/>
    </w:rPr>
  </w:style>
  <w:style w:type="character" w:customStyle="1" w:styleId="TableText0">
    <w:name w:val="Table Text"/>
    <w:basedOn w:val="DefaultParagraphFont"/>
    <w:uiPriority w:val="4"/>
    <w:qFormat/>
    <w:rsid w:val="00241B6A"/>
    <w:rPr>
      <w:rFonts w:ascii="Arial Narrow" w:hAnsi="Arial Narrow"/>
      <w:sz w:val="20"/>
    </w:rPr>
  </w:style>
  <w:style w:type="paragraph" w:customStyle="1" w:styleId="Table">
    <w:name w:val="Table"/>
    <w:basedOn w:val="Normal"/>
    <w:link w:val="TableChar"/>
    <w:qFormat/>
    <w:rsid w:val="002518C0"/>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2518C0"/>
    <w:rPr>
      <w:rFonts w:ascii="Candara" w:eastAsiaTheme="majorEastAsia" w:hAnsi="Candara" w:cstheme="majorBidi"/>
      <w:szCs w:val="22"/>
      <w:lang w:eastAsia="en-US" w:bidi="en-US"/>
    </w:rPr>
  </w:style>
  <w:style w:type="character" w:customStyle="1" w:styleId="SmallBold">
    <w:name w:val="Small Bold"/>
    <w:basedOn w:val="DefaultParagraphFont"/>
    <w:uiPriority w:val="4"/>
    <w:qFormat/>
    <w:rsid w:val="002518C0"/>
    <w:rPr>
      <w:rFonts w:ascii="Candara" w:hAnsi="Candara"/>
      <w:b/>
      <w:sz w:val="20"/>
      <w:lang w:val="en-AU"/>
    </w:rPr>
  </w:style>
  <w:style w:type="paragraph" w:customStyle="1" w:styleId="TableFooter">
    <w:name w:val="Table Footer"/>
    <w:basedOn w:val="Normal"/>
    <w:qFormat/>
    <w:rsid w:val="002518C0"/>
    <w:pPr>
      <w:widowControl w:val="0"/>
      <w:jc w:val="both"/>
    </w:pPr>
    <w:rPr>
      <w:rFonts w:ascii="Arial Narrow" w:hAnsi="Arial Narrow" w:cs="Arial"/>
      <w:snapToGrid w:val="0"/>
      <w:sz w:val="18"/>
      <w:szCs w:val="20"/>
      <w:lang w:eastAsia="en-US"/>
    </w:rPr>
  </w:style>
  <w:style w:type="paragraph" w:styleId="BodyText">
    <w:name w:val="Body Text"/>
    <w:basedOn w:val="Normal"/>
    <w:link w:val="BodyTextChar"/>
    <w:rsid w:val="00856BD0"/>
    <w:pPr>
      <w:spacing w:after="120"/>
    </w:pPr>
  </w:style>
  <w:style w:type="character" w:customStyle="1" w:styleId="BodyTextChar">
    <w:name w:val="Body Text Char"/>
    <w:basedOn w:val="DefaultParagraphFont"/>
    <w:link w:val="BodyText"/>
    <w:rsid w:val="00856BD0"/>
    <w:rPr>
      <w:sz w:val="24"/>
      <w:szCs w:val="24"/>
    </w:rPr>
  </w:style>
  <w:style w:type="character" w:customStyle="1" w:styleId="ListParagraphChar">
    <w:name w:val="List Paragraph Char"/>
    <w:basedOn w:val="DefaultParagraphFont"/>
    <w:link w:val="ListParagraph"/>
    <w:uiPriority w:val="72"/>
    <w:locked/>
    <w:rsid w:val="00A809CE"/>
    <w:rPr>
      <w:sz w:val="24"/>
      <w:szCs w:val="24"/>
    </w:rPr>
  </w:style>
  <w:style w:type="paragraph" w:styleId="Title">
    <w:name w:val="Title"/>
    <w:basedOn w:val="Normal"/>
    <w:next w:val="Normal"/>
    <w:link w:val="TitleChar"/>
    <w:qFormat/>
    <w:rsid w:val="00067D33"/>
    <w:pPr>
      <w:ind w:left="720" w:hanging="720"/>
      <w:outlineLvl w:val="0"/>
    </w:pPr>
    <w:rPr>
      <w:rFonts w:ascii="Arial" w:hAnsi="Arial"/>
      <w:b/>
      <w:sz w:val="28"/>
      <w:szCs w:val="28"/>
    </w:rPr>
  </w:style>
  <w:style w:type="character" w:customStyle="1" w:styleId="TitleChar">
    <w:name w:val="Title Char"/>
    <w:basedOn w:val="DefaultParagraphFont"/>
    <w:link w:val="Title"/>
    <w:rsid w:val="00067D33"/>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20037935">
      <w:bodyDiv w:val="1"/>
      <w:marLeft w:val="0"/>
      <w:marRight w:val="0"/>
      <w:marTop w:val="0"/>
      <w:marBottom w:val="0"/>
      <w:divBdr>
        <w:top w:val="none" w:sz="0" w:space="0" w:color="auto"/>
        <w:left w:val="none" w:sz="0" w:space="0" w:color="auto"/>
        <w:bottom w:val="none" w:sz="0" w:space="0" w:color="auto"/>
        <w:right w:val="none" w:sz="0" w:space="0" w:color="auto"/>
      </w:divBdr>
    </w:div>
    <w:div w:id="62993718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67412621">
      <w:bodyDiv w:val="1"/>
      <w:marLeft w:val="0"/>
      <w:marRight w:val="0"/>
      <w:marTop w:val="0"/>
      <w:marBottom w:val="0"/>
      <w:divBdr>
        <w:top w:val="none" w:sz="0" w:space="0" w:color="auto"/>
        <w:left w:val="none" w:sz="0" w:space="0" w:color="auto"/>
        <w:bottom w:val="none" w:sz="0" w:space="0" w:color="auto"/>
        <w:right w:val="none" w:sz="0" w:space="0" w:color="auto"/>
      </w:divBdr>
    </w:div>
    <w:div w:id="1090390782">
      <w:bodyDiv w:val="1"/>
      <w:marLeft w:val="0"/>
      <w:marRight w:val="0"/>
      <w:marTop w:val="0"/>
      <w:marBottom w:val="0"/>
      <w:divBdr>
        <w:top w:val="none" w:sz="0" w:space="0" w:color="auto"/>
        <w:left w:val="none" w:sz="0" w:space="0" w:color="auto"/>
        <w:bottom w:val="none" w:sz="0" w:space="0" w:color="auto"/>
        <w:right w:val="none" w:sz="0" w:space="0" w:color="auto"/>
      </w:divBdr>
    </w:div>
    <w:div w:id="1284922166">
      <w:bodyDiv w:val="1"/>
      <w:marLeft w:val="0"/>
      <w:marRight w:val="0"/>
      <w:marTop w:val="0"/>
      <w:marBottom w:val="0"/>
      <w:divBdr>
        <w:top w:val="none" w:sz="0" w:space="0" w:color="auto"/>
        <w:left w:val="none" w:sz="0" w:space="0" w:color="auto"/>
        <w:bottom w:val="none" w:sz="0" w:space="0" w:color="auto"/>
        <w:right w:val="none" w:sz="0" w:space="0" w:color="auto"/>
      </w:divBdr>
    </w:div>
    <w:div w:id="1336759772">
      <w:bodyDiv w:val="1"/>
      <w:marLeft w:val="0"/>
      <w:marRight w:val="0"/>
      <w:marTop w:val="0"/>
      <w:marBottom w:val="0"/>
      <w:divBdr>
        <w:top w:val="none" w:sz="0" w:space="0" w:color="auto"/>
        <w:left w:val="none" w:sz="0" w:space="0" w:color="auto"/>
        <w:bottom w:val="none" w:sz="0" w:space="0" w:color="auto"/>
        <w:right w:val="none" w:sz="0" w:space="0" w:color="auto"/>
      </w:divBdr>
    </w:div>
    <w:div w:id="1348093724">
      <w:bodyDiv w:val="1"/>
      <w:marLeft w:val="0"/>
      <w:marRight w:val="0"/>
      <w:marTop w:val="0"/>
      <w:marBottom w:val="0"/>
      <w:divBdr>
        <w:top w:val="none" w:sz="0" w:space="0" w:color="auto"/>
        <w:left w:val="none" w:sz="0" w:space="0" w:color="auto"/>
        <w:bottom w:val="none" w:sz="0" w:space="0" w:color="auto"/>
        <w:right w:val="none" w:sz="0" w:space="0" w:color="auto"/>
      </w:divBdr>
    </w:div>
    <w:div w:id="1579244383">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61215042">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752B6-AE90-45BF-A6B3-E7B313C83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2289</Words>
  <Characters>13822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2016-06-07T04:13:00Z</dcterms:created>
  <dcterms:modified xsi:type="dcterms:W3CDTF">2016-06-22T04:39:00Z</dcterms:modified>
</cp:coreProperties>
</file>