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728B5" w:rsidRPr="00A24579" w:rsidRDefault="000F08A0" w:rsidP="00CA52CF">
      <w:pPr>
        <w:pStyle w:val="Title"/>
      </w:pPr>
      <w:r w:rsidRPr="000F08A0">
        <w:t>14.03</w:t>
      </w:r>
      <w:r w:rsidR="004C7D28">
        <w:tab/>
      </w:r>
      <w:r w:rsidR="00CE7E6C">
        <w:t xml:space="preserve"> </w:t>
      </w:r>
      <w:r w:rsidR="00AE253E" w:rsidRPr="000F08A0">
        <w:t>EXENATIDE</w:t>
      </w:r>
      <w:r w:rsidR="00CA52CF">
        <w:t xml:space="preserve"> </w:t>
      </w:r>
      <w:r w:rsidR="00CA52CF">
        <w:br/>
      </w:r>
      <w:r w:rsidR="00CA4A9F" w:rsidRPr="00CA4A9F">
        <w:t>Injection 2 mg per dose pre-filled pen</w:t>
      </w:r>
      <w:r w:rsidR="00CA4A9F">
        <w:t>,</w:t>
      </w:r>
      <w:r w:rsidR="00CA52CF">
        <w:t xml:space="preserve"> </w:t>
      </w:r>
      <w:r w:rsidR="00CF3B44">
        <w:t>4</w:t>
      </w:r>
      <w:r w:rsidR="00CA52CF">
        <w:br/>
      </w:r>
      <w:r w:rsidR="00AE253E" w:rsidRPr="000F08A0">
        <w:t>Bydureon</w:t>
      </w:r>
      <w:r w:rsidR="006728B5" w:rsidRPr="000F08A0">
        <w:t xml:space="preserve">®, </w:t>
      </w:r>
      <w:r w:rsidR="00AE253E" w:rsidRPr="000F08A0">
        <w:t>AstraZeneca</w:t>
      </w:r>
      <w:r w:rsidR="006728B5" w:rsidRPr="000F08A0">
        <w:t xml:space="preserve"> Pty Ltd</w:t>
      </w:r>
    </w:p>
    <w:p w:rsidR="006728B5" w:rsidRDefault="006728B5" w:rsidP="006728B5">
      <w:pPr>
        <w:widowControl w:val="0"/>
        <w:tabs>
          <w:tab w:val="right" w:pos="8669"/>
        </w:tabs>
        <w:rPr>
          <w:rFonts w:ascii="Arial" w:hAnsi="Arial" w:cs="Arial"/>
          <w:b/>
        </w:rPr>
      </w:pPr>
    </w:p>
    <w:p w:rsidR="000F08A0" w:rsidRDefault="000F08A0" w:rsidP="006728B5">
      <w:pPr>
        <w:widowControl w:val="0"/>
        <w:tabs>
          <w:tab w:val="right" w:pos="8669"/>
        </w:tabs>
        <w:rPr>
          <w:rFonts w:ascii="Arial" w:hAnsi="Arial" w:cs="Arial"/>
          <w:b/>
        </w:rPr>
      </w:pPr>
    </w:p>
    <w:p w:rsidR="006457A7" w:rsidRPr="00A24579" w:rsidRDefault="006457A7" w:rsidP="00A24579">
      <w:pPr>
        <w:pStyle w:val="Heading1"/>
        <w:numPr>
          <w:ilvl w:val="0"/>
          <w:numId w:val="4"/>
        </w:numPr>
      </w:pPr>
      <w:r w:rsidRPr="00A24579">
        <w:t xml:space="preserve">Purpose of </w:t>
      </w:r>
      <w:r w:rsidR="00A24579" w:rsidRPr="00A24579">
        <w:t>A</w:t>
      </w:r>
      <w:r w:rsidRPr="00A24579">
        <w:t>pplication</w:t>
      </w:r>
    </w:p>
    <w:p w:rsidR="006457A7" w:rsidRDefault="006457A7" w:rsidP="00C66D28">
      <w:pPr>
        <w:jc w:val="both"/>
        <w:rPr>
          <w:rFonts w:ascii="Arial" w:hAnsi="Arial" w:cs="Arial"/>
          <w:snapToGrid w:val="0"/>
          <w:sz w:val="22"/>
          <w:lang w:eastAsia="en-US"/>
        </w:rPr>
      </w:pPr>
    </w:p>
    <w:p w:rsidR="006457A7" w:rsidRPr="00CE0ABA" w:rsidRDefault="00B50465" w:rsidP="00C66D28">
      <w:pPr>
        <w:pStyle w:val="ListParagraph"/>
        <w:numPr>
          <w:ilvl w:val="1"/>
          <w:numId w:val="4"/>
        </w:numPr>
        <w:jc w:val="both"/>
        <w:rPr>
          <w:rFonts w:ascii="Arial" w:hAnsi="Arial" w:cs="Arial"/>
          <w:snapToGrid w:val="0"/>
          <w:sz w:val="22"/>
          <w:lang w:eastAsia="en-US"/>
        </w:rPr>
      </w:pPr>
      <w:r>
        <w:rPr>
          <w:rFonts w:ascii="Arial" w:hAnsi="Arial" w:cs="Arial"/>
          <w:snapToGrid w:val="0"/>
          <w:sz w:val="22"/>
          <w:lang w:eastAsia="en-US"/>
        </w:rPr>
        <w:t>The</w:t>
      </w:r>
      <w:r w:rsidR="00C82960">
        <w:rPr>
          <w:rFonts w:ascii="Arial" w:hAnsi="Arial" w:cs="Arial"/>
          <w:snapToGrid w:val="0"/>
          <w:sz w:val="22"/>
          <w:lang w:eastAsia="en-US"/>
        </w:rPr>
        <w:t xml:space="preserve"> submission requested </w:t>
      </w:r>
      <w:r w:rsidR="00FA5435">
        <w:rPr>
          <w:rFonts w:ascii="Arial" w:hAnsi="Arial" w:cs="Arial"/>
          <w:snapToGrid w:val="0"/>
          <w:sz w:val="22"/>
          <w:lang w:eastAsia="en-US"/>
        </w:rPr>
        <w:t xml:space="preserve">that </w:t>
      </w:r>
      <w:r w:rsidR="00CE0ABA">
        <w:rPr>
          <w:rFonts w:ascii="Arial" w:hAnsi="Arial" w:cs="Arial"/>
          <w:snapToGrid w:val="0"/>
          <w:sz w:val="22"/>
          <w:lang w:eastAsia="en-US"/>
        </w:rPr>
        <w:t xml:space="preserve">the July 2015 PBAC recommendation </w:t>
      </w:r>
      <w:r w:rsidR="00FA5435">
        <w:rPr>
          <w:rFonts w:ascii="Arial" w:hAnsi="Arial" w:cs="Arial"/>
          <w:snapToGrid w:val="0"/>
          <w:sz w:val="22"/>
          <w:lang w:eastAsia="en-US"/>
        </w:rPr>
        <w:t xml:space="preserve">to list </w:t>
      </w:r>
      <w:r w:rsidR="00CE0ABA">
        <w:rPr>
          <w:rFonts w:ascii="Arial" w:hAnsi="Arial" w:cs="Arial"/>
          <w:snapToGrid w:val="0"/>
          <w:sz w:val="22"/>
          <w:lang w:eastAsia="en-US"/>
        </w:rPr>
        <w:t xml:space="preserve">the single dose tray </w:t>
      </w:r>
      <w:r w:rsidR="00FA5435">
        <w:rPr>
          <w:rFonts w:ascii="Arial" w:hAnsi="Arial" w:cs="Arial"/>
          <w:snapToGrid w:val="0"/>
          <w:sz w:val="22"/>
          <w:lang w:eastAsia="en-US"/>
        </w:rPr>
        <w:t xml:space="preserve">presentation of exenatide once weekly be applied </w:t>
      </w:r>
      <w:r w:rsidR="00CE0ABA">
        <w:rPr>
          <w:rFonts w:ascii="Arial" w:hAnsi="Arial" w:cs="Arial"/>
          <w:snapToGrid w:val="0"/>
          <w:sz w:val="22"/>
          <w:lang w:eastAsia="en-US"/>
        </w:rPr>
        <w:t>to the dual chamber pen presentation.</w:t>
      </w:r>
    </w:p>
    <w:p w:rsidR="006457A7" w:rsidRDefault="006457A7" w:rsidP="006457A7">
      <w:pPr>
        <w:rPr>
          <w:rFonts w:ascii="Arial" w:hAnsi="Arial" w:cs="Arial"/>
          <w:b/>
          <w:sz w:val="22"/>
          <w:szCs w:val="22"/>
        </w:rPr>
      </w:pPr>
    </w:p>
    <w:p w:rsidR="000A2E52" w:rsidRPr="00596402" w:rsidRDefault="000A2E52" w:rsidP="006457A7">
      <w:pPr>
        <w:rPr>
          <w:rFonts w:ascii="Arial" w:hAnsi="Arial" w:cs="Arial"/>
          <w:b/>
          <w:sz w:val="22"/>
          <w:szCs w:val="22"/>
        </w:rPr>
      </w:pPr>
    </w:p>
    <w:p w:rsidR="006457A7" w:rsidRDefault="000F08A0" w:rsidP="00A24579">
      <w:pPr>
        <w:pStyle w:val="Heading1"/>
      </w:pPr>
      <w:r>
        <w:t>Requested Listing</w:t>
      </w:r>
    </w:p>
    <w:p w:rsidR="006C634D" w:rsidRDefault="006C634D" w:rsidP="006C634D">
      <w:pPr>
        <w:jc w:val="both"/>
        <w:rPr>
          <w:rFonts w:ascii="Arial" w:hAnsi="Arial" w:cs="Arial"/>
          <w:snapToGrid w:val="0"/>
          <w:sz w:val="22"/>
          <w:lang w:eastAsia="en-US"/>
        </w:rPr>
      </w:pPr>
    </w:p>
    <w:p w:rsidR="009B6A38" w:rsidRPr="002D62D1" w:rsidRDefault="006C634D" w:rsidP="009B6A38">
      <w:pPr>
        <w:pStyle w:val="ListParagraph"/>
        <w:numPr>
          <w:ilvl w:val="1"/>
          <w:numId w:val="5"/>
        </w:numPr>
        <w:jc w:val="both"/>
        <w:rPr>
          <w:rFonts w:ascii="Arial" w:hAnsi="Arial"/>
          <w:sz w:val="22"/>
          <w:szCs w:val="22"/>
        </w:rPr>
      </w:pPr>
      <w:r>
        <w:rPr>
          <w:rFonts w:ascii="Arial" w:hAnsi="Arial" w:cs="Arial"/>
          <w:snapToGrid w:val="0"/>
          <w:sz w:val="22"/>
          <w:lang w:eastAsia="en-US"/>
        </w:rPr>
        <w:t>The minor submission requested</w:t>
      </w:r>
      <w:r w:rsidR="00434307">
        <w:rPr>
          <w:rFonts w:ascii="Arial" w:hAnsi="Arial" w:cs="Arial"/>
          <w:snapToGrid w:val="0"/>
          <w:sz w:val="22"/>
          <w:lang w:eastAsia="en-US"/>
        </w:rPr>
        <w:t xml:space="preserve"> the</w:t>
      </w:r>
      <w:r>
        <w:rPr>
          <w:rFonts w:ascii="Arial" w:hAnsi="Arial" w:cs="Arial"/>
          <w:snapToGrid w:val="0"/>
          <w:sz w:val="22"/>
          <w:lang w:eastAsia="en-US"/>
        </w:rPr>
        <w:t xml:space="preserve"> same Section 85 Authority Required listing</w:t>
      </w:r>
      <w:r w:rsidR="00434307">
        <w:rPr>
          <w:rFonts w:ascii="Arial" w:hAnsi="Arial" w:cs="Arial"/>
          <w:snapToGrid w:val="0"/>
          <w:sz w:val="22"/>
          <w:lang w:eastAsia="en-US"/>
        </w:rPr>
        <w:t>s</w:t>
      </w:r>
      <w:r>
        <w:rPr>
          <w:rFonts w:ascii="Arial" w:hAnsi="Arial" w:cs="Arial"/>
          <w:snapToGrid w:val="0"/>
          <w:sz w:val="22"/>
          <w:lang w:eastAsia="en-US"/>
        </w:rPr>
        <w:t xml:space="preserve"> </w:t>
      </w:r>
      <w:r w:rsidR="00E4755D">
        <w:rPr>
          <w:rFonts w:ascii="Arial" w:hAnsi="Arial" w:cs="Arial"/>
          <w:snapToGrid w:val="0"/>
          <w:sz w:val="22"/>
          <w:lang w:eastAsia="en-US"/>
        </w:rPr>
        <w:t xml:space="preserve">for dual and triple therapy (with metformin and/or a sulfonylurea) </w:t>
      </w:r>
      <w:r>
        <w:rPr>
          <w:rFonts w:ascii="Arial" w:hAnsi="Arial" w:cs="Arial"/>
          <w:snapToGrid w:val="0"/>
          <w:sz w:val="22"/>
          <w:lang w:eastAsia="en-US"/>
        </w:rPr>
        <w:t xml:space="preserve">as </w:t>
      </w:r>
      <w:r w:rsidR="004222F8">
        <w:rPr>
          <w:rFonts w:ascii="Arial" w:hAnsi="Arial" w:cs="Arial"/>
          <w:sz w:val="22"/>
          <w:szCs w:val="22"/>
        </w:rPr>
        <w:t>recommended in</w:t>
      </w:r>
      <w:r w:rsidR="00E4755D">
        <w:rPr>
          <w:rFonts w:ascii="Arial" w:hAnsi="Arial" w:cs="Arial"/>
          <w:snapToGrid w:val="0"/>
          <w:sz w:val="22"/>
          <w:lang w:eastAsia="en-US"/>
        </w:rPr>
        <w:t xml:space="preserve"> the </w:t>
      </w:r>
      <w:r w:rsidR="00324FD8">
        <w:rPr>
          <w:rFonts w:ascii="Arial" w:hAnsi="Arial" w:cs="Arial"/>
          <w:sz w:val="22"/>
          <w:szCs w:val="22"/>
        </w:rPr>
        <w:t>July 2015 Public Summary Document (PSD)</w:t>
      </w:r>
      <w:r w:rsidR="007C2713" w:rsidRPr="001C7823">
        <w:rPr>
          <w:rFonts w:ascii="Arial" w:hAnsi="Arial" w:cs="Arial"/>
          <w:sz w:val="22"/>
          <w:szCs w:val="22"/>
        </w:rPr>
        <w:t>.</w:t>
      </w:r>
    </w:p>
    <w:p w:rsidR="000A2E52" w:rsidRDefault="000A2E52" w:rsidP="006457A7">
      <w:pPr>
        <w:pStyle w:val="ListParagraph"/>
        <w:jc w:val="both"/>
        <w:rPr>
          <w:rFonts w:ascii="Arial" w:hAnsi="Arial"/>
          <w:b/>
          <w:sz w:val="22"/>
          <w:szCs w:val="22"/>
        </w:rPr>
      </w:pPr>
    </w:p>
    <w:p w:rsidR="004C7D28" w:rsidRPr="002D1FDC" w:rsidRDefault="004C7D28" w:rsidP="004C7D28">
      <w:pPr>
        <w:widowControl w:val="0"/>
        <w:ind w:left="709"/>
        <w:contextualSpacing/>
        <w:jc w:val="both"/>
        <w:rPr>
          <w:rFonts w:ascii="Arial" w:hAnsi="Arial" w:cs="Arial"/>
          <w:i/>
          <w:snapToGrid w:val="0"/>
          <w:sz w:val="22"/>
          <w:szCs w:val="22"/>
          <w:lang w:eastAsia="en-US"/>
        </w:rPr>
      </w:pPr>
      <w:r w:rsidRPr="00DA2812">
        <w:rPr>
          <w:rFonts w:ascii="Arial" w:hAnsi="Arial" w:cs="Arial"/>
          <w:i/>
          <w:snapToGrid w:val="0"/>
          <w:sz w:val="22"/>
          <w:szCs w:val="22"/>
          <w:lang w:eastAsia="en-US"/>
        </w:rPr>
        <w:t>For more deta</w:t>
      </w:r>
      <w:r w:rsidR="00CA4A9F">
        <w:rPr>
          <w:rFonts w:ascii="Arial" w:hAnsi="Arial" w:cs="Arial"/>
          <w:i/>
          <w:snapToGrid w:val="0"/>
          <w:sz w:val="22"/>
          <w:szCs w:val="22"/>
          <w:lang w:eastAsia="en-US"/>
        </w:rPr>
        <w:t>il on PBAC’s view, see section 5</w:t>
      </w:r>
      <w:r w:rsidRPr="00DA2812">
        <w:rPr>
          <w:rFonts w:ascii="Arial" w:hAnsi="Arial" w:cs="Arial"/>
          <w:i/>
          <w:snapToGrid w:val="0"/>
          <w:sz w:val="22"/>
          <w:szCs w:val="22"/>
          <w:lang w:eastAsia="en-US"/>
        </w:rPr>
        <w:t xml:space="preserve"> “PBAC outcome”</w:t>
      </w:r>
    </w:p>
    <w:p w:rsidR="004C7D28" w:rsidRDefault="004C7D28" w:rsidP="006457A7">
      <w:pPr>
        <w:pStyle w:val="ListParagraph"/>
        <w:jc w:val="both"/>
        <w:rPr>
          <w:rFonts w:ascii="Arial" w:hAnsi="Arial"/>
          <w:b/>
          <w:sz w:val="22"/>
          <w:szCs w:val="22"/>
        </w:rPr>
      </w:pPr>
    </w:p>
    <w:p w:rsidR="000F08A0" w:rsidRDefault="000F08A0" w:rsidP="006457A7">
      <w:pPr>
        <w:pStyle w:val="ListParagraph"/>
        <w:jc w:val="both"/>
        <w:rPr>
          <w:rFonts w:ascii="Arial" w:hAnsi="Arial"/>
          <w:b/>
          <w:sz w:val="22"/>
          <w:szCs w:val="22"/>
        </w:rPr>
      </w:pPr>
    </w:p>
    <w:p w:rsidR="006728B5" w:rsidRPr="006457A7" w:rsidRDefault="006728B5" w:rsidP="00A24579">
      <w:pPr>
        <w:pStyle w:val="Heading1"/>
      </w:pPr>
      <w:r w:rsidRPr="006457A7">
        <w:t>Background</w:t>
      </w:r>
    </w:p>
    <w:p w:rsidR="00E5696B" w:rsidRDefault="00E5696B" w:rsidP="00E5696B">
      <w:pPr>
        <w:pStyle w:val="ListParagraph"/>
        <w:rPr>
          <w:rFonts w:ascii="Arial" w:hAnsi="Arial" w:cs="Arial"/>
          <w:snapToGrid w:val="0"/>
          <w:sz w:val="22"/>
          <w:lang w:eastAsia="en-US"/>
        </w:rPr>
      </w:pPr>
    </w:p>
    <w:p w:rsidR="009B6A38" w:rsidRPr="006716DB" w:rsidRDefault="009B6A38" w:rsidP="001C7823">
      <w:pPr>
        <w:pStyle w:val="ListParagraph"/>
        <w:numPr>
          <w:ilvl w:val="1"/>
          <w:numId w:val="5"/>
        </w:numPr>
        <w:jc w:val="both"/>
        <w:rPr>
          <w:rFonts w:ascii="Arial" w:hAnsi="Arial" w:cs="Arial"/>
          <w:sz w:val="22"/>
          <w:szCs w:val="22"/>
        </w:rPr>
      </w:pPr>
      <w:r w:rsidRPr="006716DB">
        <w:rPr>
          <w:rFonts w:ascii="Arial" w:hAnsi="Arial" w:cs="Arial"/>
          <w:snapToGrid w:val="0"/>
          <w:sz w:val="22"/>
          <w:szCs w:val="22"/>
          <w:lang w:eastAsia="en-US"/>
        </w:rPr>
        <w:t xml:space="preserve">Exenatide 2 mg powder for injection once weekly </w:t>
      </w:r>
      <w:r w:rsidR="00FA5435" w:rsidRPr="006716DB">
        <w:rPr>
          <w:rFonts w:ascii="Arial" w:hAnsi="Arial" w:cs="Arial"/>
          <w:snapToGrid w:val="0"/>
          <w:sz w:val="22"/>
          <w:szCs w:val="22"/>
          <w:lang w:eastAsia="en-US"/>
        </w:rPr>
        <w:t xml:space="preserve">(presented in a single dose tray) </w:t>
      </w:r>
      <w:r w:rsidRPr="006716DB">
        <w:rPr>
          <w:rFonts w:ascii="Arial" w:hAnsi="Arial" w:cs="Arial"/>
          <w:snapToGrid w:val="0"/>
          <w:sz w:val="22"/>
          <w:szCs w:val="22"/>
          <w:lang w:eastAsia="en-US"/>
        </w:rPr>
        <w:t>was TGA registered on 20 December 2012 for the treatment of T</w:t>
      </w:r>
      <w:r w:rsidR="00586DA3" w:rsidRPr="006716DB">
        <w:rPr>
          <w:rFonts w:ascii="Arial" w:hAnsi="Arial" w:cs="Arial"/>
          <w:snapToGrid w:val="0"/>
          <w:sz w:val="22"/>
          <w:szCs w:val="22"/>
          <w:lang w:eastAsia="en-US"/>
        </w:rPr>
        <w:t xml:space="preserve">ype </w:t>
      </w:r>
      <w:r w:rsidRPr="006716DB">
        <w:rPr>
          <w:rFonts w:ascii="Arial" w:hAnsi="Arial" w:cs="Arial"/>
          <w:snapToGrid w:val="0"/>
          <w:sz w:val="22"/>
          <w:szCs w:val="22"/>
          <w:lang w:eastAsia="en-US"/>
        </w:rPr>
        <w:t>2</w:t>
      </w:r>
      <w:r w:rsidR="00586DA3" w:rsidRPr="006716DB">
        <w:rPr>
          <w:rFonts w:ascii="Arial" w:hAnsi="Arial" w:cs="Arial"/>
          <w:snapToGrid w:val="0"/>
          <w:sz w:val="22"/>
          <w:szCs w:val="22"/>
          <w:lang w:eastAsia="en-US"/>
        </w:rPr>
        <w:t xml:space="preserve"> diabetes mellitus</w:t>
      </w:r>
      <w:r w:rsidRPr="006716DB">
        <w:rPr>
          <w:rFonts w:ascii="Arial" w:hAnsi="Arial" w:cs="Arial"/>
          <w:snapToGrid w:val="0"/>
          <w:sz w:val="22"/>
          <w:szCs w:val="22"/>
          <w:lang w:eastAsia="en-US"/>
        </w:rPr>
        <w:t xml:space="preserve"> in combination with metformin, sulfonylureas or metformin and a sulfonylurea, in patients who have not achieved adequate glycaemic control.</w:t>
      </w:r>
      <w:r w:rsidR="00292729" w:rsidRPr="006716DB">
        <w:rPr>
          <w:rFonts w:ascii="Arial" w:hAnsi="Arial" w:cs="Arial"/>
          <w:snapToGrid w:val="0"/>
          <w:sz w:val="22"/>
          <w:szCs w:val="22"/>
          <w:lang w:eastAsia="en-US"/>
        </w:rPr>
        <w:t xml:space="preserve"> The dual chamber pen, which contains the same active ingredient as the </w:t>
      </w:r>
      <w:r w:rsidR="00FA5435" w:rsidRPr="006716DB">
        <w:rPr>
          <w:rFonts w:ascii="Arial" w:hAnsi="Arial" w:cs="Arial"/>
          <w:snapToGrid w:val="0"/>
          <w:sz w:val="22"/>
          <w:szCs w:val="22"/>
          <w:lang w:eastAsia="en-US"/>
        </w:rPr>
        <w:t>single dose tray, was TGA registered from 25 June 2015.</w:t>
      </w:r>
    </w:p>
    <w:p w:rsidR="009B6A38" w:rsidRPr="000F08A0" w:rsidRDefault="009B6A38" w:rsidP="001C7823">
      <w:pPr>
        <w:pStyle w:val="ListParagraph"/>
        <w:jc w:val="both"/>
        <w:rPr>
          <w:rFonts w:ascii="Arial" w:hAnsi="Arial" w:cs="Arial"/>
          <w:sz w:val="22"/>
          <w:szCs w:val="22"/>
        </w:rPr>
      </w:pPr>
    </w:p>
    <w:p w:rsidR="009B6A38" w:rsidRPr="000F08A0" w:rsidRDefault="009B6A38" w:rsidP="001C7823">
      <w:pPr>
        <w:pStyle w:val="ListParagraph"/>
        <w:numPr>
          <w:ilvl w:val="1"/>
          <w:numId w:val="5"/>
        </w:numPr>
        <w:jc w:val="both"/>
        <w:rPr>
          <w:rFonts w:ascii="Arial" w:hAnsi="Arial" w:cs="Arial"/>
          <w:sz w:val="22"/>
          <w:szCs w:val="22"/>
        </w:rPr>
      </w:pPr>
      <w:r w:rsidRPr="000F08A0">
        <w:rPr>
          <w:rFonts w:ascii="Arial" w:hAnsi="Arial" w:cs="Arial"/>
          <w:snapToGrid w:val="0"/>
          <w:sz w:val="22"/>
          <w:szCs w:val="22"/>
          <w:lang w:eastAsia="en-US"/>
        </w:rPr>
        <w:t xml:space="preserve">At its November 2013 meeting, the PBAC recommended the listing </w:t>
      </w:r>
      <w:r w:rsidR="00FA5435" w:rsidRPr="000F08A0">
        <w:rPr>
          <w:rFonts w:ascii="Arial" w:hAnsi="Arial" w:cs="Arial"/>
          <w:snapToGrid w:val="0"/>
          <w:sz w:val="22"/>
          <w:szCs w:val="22"/>
          <w:lang w:eastAsia="en-US"/>
        </w:rPr>
        <w:t xml:space="preserve">of </w:t>
      </w:r>
      <w:r w:rsidRPr="000F08A0">
        <w:rPr>
          <w:rFonts w:ascii="Arial" w:hAnsi="Arial" w:cs="Arial"/>
          <w:snapToGrid w:val="0"/>
          <w:sz w:val="22"/>
          <w:szCs w:val="22"/>
          <w:lang w:eastAsia="en-US"/>
        </w:rPr>
        <w:t xml:space="preserve">exenatide 2 mg once weekly as an Authority Required (Streamlined) benefit for dual combination therapy with metformin or a sulfonylurea and triple combination therapy with metformin and a sulfonylurea in patients </w:t>
      </w:r>
      <w:r w:rsidR="00CA4A9F">
        <w:rPr>
          <w:rFonts w:ascii="Arial" w:hAnsi="Arial" w:cs="Arial"/>
          <w:snapToGrid w:val="0"/>
          <w:sz w:val="22"/>
          <w:szCs w:val="22"/>
          <w:lang w:eastAsia="en-US"/>
        </w:rPr>
        <w:t>with type 2 diabetes, on a cost</w:t>
      </w:r>
      <w:r w:rsidR="00CA4A9F">
        <w:rPr>
          <w:rFonts w:ascii="Arial" w:hAnsi="Arial" w:cs="Arial"/>
          <w:snapToGrid w:val="0"/>
          <w:sz w:val="22"/>
          <w:szCs w:val="22"/>
          <w:lang w:eastAsia="en-US"/>
        </w:rPr>
        <w:noBreakHyphen/>
      </w:r>
      <w:r w:rsidRPr="000F08A0">
        <w:rPr>
          <w:rFonts w:ascii="Arial" w:hAnsi="Arial" w:cs="Arial"/>
          <w:snapToGrid w:val="0"/>
          <w:sz w:val="22"/>
          <w:szCs w:val="22"/>
          <w:lang w:eastAsia="en-US"/>
        </w:rPr>
        <w:t>minimisation basis with exenatide 10 mcg twice daily</w:t>
      </w:r>
      <w:r w:rsidR="00FA5435" w:rsidRPr="000F08A0">
        <w:rPr>
          <w:rFonts w:ascii="Arial" w:hAnsi="Arial" w:cs="Arial"/>
          <w:snapToGrid w:val="0"/>
          <w:sz w:val="22"/>
          <w:szCs w:val="22"/>
          <w:lang w:eastAsia="en-US"/>
        </w:rPr>
        <w:t>.</w:t>
      </w:r>
    </w:p>
    <w:p w:rsidR="00FA5435" w:rsidRPr="000F08A0" w:rsidRDefault="00FA5435" w:rsidP="001C7823">
      <w:pPr>
        <w:pStyle w:val="ListParagraph"/>
        <w:jc w:val="both"/>
        <w:rPr>
          <w:rFonts w:ascii="Arial" w:hAnsi="Arial" w:cs="Arial"/>
          <w:sz w:val="22"/>
          <w:szCs w:val="22"/>
        </w:rPr>
      </w:pPr>
    </w:p>
    <w:p w:rsidR="00FA5435" w:rsidRPr="000F08A0" w:rsidRDefault="00FA5435" w:rsidP="001C7823">
      <w:pPr>
        <w:pStyle w:val="ListParagraph"/>
        <w:numPr>
          <w:ilvl w:val="1"/>
          <w:numId w:val="5"/>
        </w:numPr>
        <w:jc w:val="both"/>
        <w:rPr>
          <w:rFonts w:ascii="Arial" w:hAnsi="Arial" w:cs="Arial"/>
          <w:sz w:val="22"/>
          <w:szCs w:val="22"/>
        </w:rPr>
      </w:pPr>
      <w:r w:rsidRPr="000F08A0">
        <w:rPr>
          <w:rFonts w:ascii="Arial" w:hAnsi="Arial" w:cs="Arial"/>
          <w:snapToGrid w:val="0"/>
          <w:sz w:val="22"/>
          <w:szCs w:val="22"/>
          <w:lang w:eastAsia="en-US"/>
        </w:rPr>
        <w:t>At its July 2015 meeting, the PBAC re-endorsed its November 2013 recommendation (of cost-minimisation with a partial cost offset for reduced needle use) and recommended a further small price advantage for exenatide 2 mg once weekly on the basis of potential health benefits from likely improved adherence by a small number of high clinical need populations.</w:t>
      </w:r>
    </w:p>
    <w:p w:rsidR="001C5B2C" w:rsidRPr="000F08A0" w:rsidRDefault="001C5B2C" w:rsidP="001C7823">
      <w:pPr>
        <w:pStyle w:val="ListParagraph"/>
        <w:jc w:val="both"/>
        <w:rPr>
          <w:rFonts w:ascii="Arial" w:hAnsi="Arial" w:cs="Arial"/>
          <w:snapToGrid w:val="0"/>
          <w:sz w:val="22"/>
          <w:szCs w:val="22"/>
          <w:lang w:eastAsia="en-US"/>
        </w:rPr>
      </w:pPr>
    </w:p>
    <w:p w:rsidR="001C5B2C" w:rsidRPr="000F08A0" w:rsidRDefault="001C5B2C" w:rsidP="001C7823">
      <w:pPr>
        <w:pStyle w:val="ListParagraph"/>
        <w:numPr>
          <w:ilvl w:val="1"/>
          <w:numId w:val="5"/>
        </w:numPr>
        <w:jc w:val="both"/>
        <w:rPr>
          <w:rFonts w:ascii="Arial" w:hAnsi="Arial" w:cs="Arial"/>
          <w:sz w:val="22"/>
          <w:szCs w:val="22"/>
        </w:rPr>
      </w:pPr>
      <w:r w:rsidRPr="000F08A0">
        <w:rPr>
          <w:rFonts w:ascii="Arial" w:hAnsi="Arial" w:cs="Arial"/>
          <w:snapToGrid w:val="0"/>
          <w:sz w:val="22"/>
          <w:szCs w:val="22"/>
          <w:lang w:eastAsia="en-US"/>
        </w:rPr>
        <w:t xml:space="preserve">This was the fifth submission to the PBAC for exenatide 2 mg once weekly. Previous submissions were considered in July 2011, </w:t>
      </w:r>
      <w:r w:rsidR="00FA5435" w:rsidRPr="000F08A0">
        <w:rPr>
          <w:rFonts w:ascii="Arial" w:hAnsi="Arial" w:cs="Arial"/>
          <w:snapToGrid w:val="0"/>
          <w:sz w:val="22"/>
          <w:szCs w:val="22"/>
          <w:lang w:eastAsia="en-US"/>
        </w:rPr>
        <w:t xml:space="preserve">July 2013, </w:t>
      </w:r>
      <w:r w:rsidRPr="000F08A0">
        <w:rPr>
          <w:rFonts w:ascii="Arial" w:hAnsi="Arial" w:cs="Arial"/>
          <w:snapToGrid w:val="0"/>
          <w:sz w:val="22"/>
          <w:szCs w:val="22"/>
          <w:lang w:eastAsia="en-US"/>
        </w:rPr>
        <w:t xml:space="preserve">November 2013 </w:t>
      </w:r>
      <w:r w:rsidR="00FA5435" w:rsidRPr="000F08A0">
        <w:rPr>
          <w:rFonts w:ascii="Arial" w:hAnsi="Arial" w:cs="Arial"/>
          <w:snapToGrid w:val="0"/>
          <w:sz w:val="22"/>
          <w:szCs w:val="22"/>
          <w:lang w:eastAsia="en-US"/>
        </w:rPr>
        <w:t>and July 2015</w:t>
      </w:r>
      <w:r w:rsidRPr="000F08A0">
        <w:rPr>
          <w:rFonts w:ascii="Arial" w:hAnsi="Arial" w:cs="Arial"/>
          <w:snapToGrid w:val="0"/>
          <w:sz w:val="22"/>
          <w:szCs w:val="22"/>
          <w:lang w:eastAsia="en-US"/>
        </w:rPr>
        <w:t>.</w:t>
      </w:r>
    </w:p>
    <w:p w:rsidR="00416D8E" w:rsidRDefault="00416D8E" w:rsidP="001C5B2C">
      <w:pPr>
        <w:pStyle w:val="BodyText"/>
        <w:widowControl/>
        <w:ind w:left="720"/>
        <w:jc w:val="both"/>
      </w:pPr>
      <w:r>
        <w:br w:type="page"/>
      </w:r>
    </w:p>
    <w:p w:rsidR="006728B5" w:rsidRPr="005C20AB" w:rsidRDefault="006728B5" w:rsidP="00A24579">
      <w:pPr>
        <w:pStyle w:val="Heading1"/>
        <w:rPr>
          <w:rFonts w:cs="Arial"/>
          <w:snapToGrid w:val="0"/>
          <w:lang w:eastAsia="en-US"/>
        </w:rPr>
      </w:pPr>
      <w:r w:rsidRPr="005C20AB">
        <w:lastRenderedPageBreak/>
        <w:t>Pricing considerations</w:t>
      </w:r>
    </w:p>
    <w:p w:rsidR="006728B5" w:rsidRPr="006457A7" w:rsidRDefault="006728B5" w:rsidP="001C7823">
      <w:pPr>
        <w:pStyle w:val="ListParagraph"/>
        <w:keepNext/>
        <w:jc w:val="both"/>
        <w:rPr>
          <w:rFonts w:ascii="Arial" w:hAnsi="Arial"/>
          <w:b/>
          <w:sz w:val="22"/>
          <w:szCs w:val="22"/>
        </w:rPr>
      </w:pPr>
    </w:p>
    <w:p w:rsidR="005C20AB" w:rsidRDefault="00AA28AD" w:rsidP="001C7823">
      <w:pPr>
        <w:pStyle w:val="ListParagraph"/>
        <w:numPr>
          <w:ilvl w:val="1"/>
          <w:numId w:val="5"/>
        </w:numPr>
        <w:jc w:val="both"/>
        <w:rPr>
          <w:rFonts w:ascii="Arial" w:hAnsi="Arial" w:cs="Arial"/>
          <w:snapToGrid w:val="0"/>
          <w:sz w:val="22"/>
          <w:lang w:eastAsia="en-US"/>
        </w:rPr>
      </w:pPr>
      <w:r>
        <w:rPr>
          <w:rFonts w:ascii="Arial" w:hAnsi="Arial" w:cs="Arial"/>
          <w:snapToGrid w:val="0"/>
          <w:sz w:val="22"/>
          <w:lang w:eastAsia="en-US"/>
        </w:rPr>
        <w:t xml:space="preserve">The price </w:t>
      </w:r>
      <w:r w:rsidR="00A868FB">
        <w:rPr>
          <w:rFonts w:ascii="Arial" w:hAnsi="Arial" w:cs="Arial"/>
          <w:snapToGrid w:val="0"/>
          <w:sz w:val="22"/>
          <w:lang w:eastAsia="en-US"/>
        </w:rPr>
        <w:t xml:space="preserve">of </w:t>
      </w:r>
      <w:r>
        <w:rPr>
          <w:rFonts w:ascii="Arial" w:hAnsi="Arial" w:cs="Arial"/>
          <w:snapToGrid w:val="0"/>
          <w:sz w:val="22"/>
          <w:lang w:eastAsia="en-US"/>
        </w:rPr>
        <w:t xml:space="preserve">exenatide once weekly </w:t>
      </w:r>
      <w:r w:rsidR="005B46AB">
        <w:rPr>
          <w:rFonts w:ascii="Arial" w:hAnsi="Arial" w:cs="Arial"/>
          <w:snapToGrid w:val="0"/>
          <w:sz w:val="22"/>
          <w:lang w:eastAsia="en-US"/>
        </w:rPr>
        <w:t xml:space="preserve">is currently being negotiated </w:t>
      </w:r>
      <w:r>
        <w:rPr>
          <w:rFonts w:ascii="Arial" w:hAnsi="Arial" w:cs="Arial"/>
          <w:snapToGrid w:val="0"/>
          <w:sz w:val="22"/>
          <w:lang w:eastAsia="en-US"/>
        </w:rPr>
        <w:t xml:space="preserve">between the </w:t>
      </w:r>
      <w:r w:rsidR="005B46AB">
        <w:rPr>
          <w:rFonts w:ascii="Arial" w:hAnsi="Arial" w:cs="Arial"/>
          <w:snapToGrid w:val="0"/>
          <w:sz w:val="22"/>
          <w:lang w:eastAsia="en-US"/>
        </w:rPr>
        <w:t>Department</w:t>
      </w:r>
      <w:r w:rsidR="008E753A">
        <w:rPr>
          <w:rFonts w:ascii="Arial" w:hAnsi="Arial" w:cs="Arial"/>
          <w:snapToGrid w:val="0"/>
          <w:sz w:val="22"/>
          <w:lang w:eastAsia="en-US"/>
        </w:rPr>
        <w:t xml:space="preserve"> and the sponsor</w:t>
      </w:r>
      <w:r>
        <w:rPr>
          <w:rFonts w:ascii="Arial" w:hAnsi="Arial" w:cs="Arial"/>
          <w:snapToGrid w:val="0"/>
          <w:sz w:val="22"/>
          <w:lang w:eastAsia="en-US"/>
        </w:rPr>
        <w:t xml:space="preserve"> in line with the July 2015 PBAC recommendation</w:t>
      </w:r>
      <w:r w:rsidR="005B46AB">
        <w:rPr>
          <w:rFonts w:ascii="Arial" w:hAnsi="Arial" w:cs="Arial"/>
          <w:snapToGrid w:val="0"/>
          <w:sz w:val="22"/>
          <w:lang w:eastAsia="en-US"/>
        </w:rPr>
        <w:t>.</w:t>
      </w:r>
      <w:r>
        <w:rPr>
          <w:rFonts w:ascii="Arial" w:hAnsi="Arial" w:cs="Arial"/>
          <w:snapToGrid w:val="0"/>
          <w:sz w:val="22"/>
          <w:lang w:eastAsia="en-US"/>
        </w:rPr>
        <w:t xml:space="preserve"> The sponsor requested that </w:t>
      </w:r>
      <w:r w:rsidR="008E753A">
        <w:rPr>
          <w:rFonts w:ascii="Arial" w:hAnsi="Arial" w:cs="Arial"/>
          <w:snapToGrid w:val="0"/>
          <w:sz w:val="22"/>
          <w:lang w:eastAsia="en-US"/>
        </w:rPr>
        <w:t xml:space="preserve">this </w:t>
      </w:r>
      <w:r>
        <w:rPr>
          <w:rFonts w:ascii="Arial" w:hAnsi="Arial" w:cs="Arial"/>
          <w:snapToGrid w:val="0"/>
          <w:sz w:val="22"/>
          <w:lang w:eastAsia="en-US"/>
        </w:rPr>
        <w:t>price apply to the dual chamber pen instead of the single dose tray presentation.</w:t>
      </w:r>
    </w:p>
    <w:p w:rsidR="004C7D28" w:rsidRPr="009630D9" w:rsidRDefault="004C7D28" w:rsidP="00DA2812">
      <w:pPr>
        <w:spacing w:after="200" w:line="276" w:lineRule="auto"/>
        <w:rPr>
          <w:rFonts w:ascii="Arial Narrow" w:hAnsi="Arial Narrow"/>
          <w:sz w:val="22"/>
          <w:szCs w:val="22"/>
        </w:rPr>
      </w:pPr>
    </w:p>
    <w:p w:rsidR="006716DB" w:rsidRPr="00E57281" w:rsidRDefault="004C7D28" w:rsidP="00A24579">
      <w:pPr>
        <w:pStyle w:val="Heading1"/>
      </w:pPr>
      <w:r w:rsidRPr="00E57281">
        <w:t>PBAC Outcome</w:t>
      </w:r>
    </w:p>
    <w:p w:rsidR="004C7D28" w:rsidRPr="00E57281" w:rsidRDefault="004C7D28" w:rsidP="004C7D28">
      <w:pPr>
        <w:contextualSpacing/>
        <w:rPr>
          <w:rFonts w:ascii="Arial" w:hAnsi="Arial" w:cs="Arial"/>
          <w:b/>
          <w:bCs/>
          <w:sz w:val="22"/>
          <w:szCs w:val="22"/>
          <w:lang w:val="en-GB"/>
        </w:rPr>
      </w:pPr>
    </w:p>
    <w:p w:rsidR="006716DB" w:rsidRDefault="006716DB" w:rsidP="004C7D28">
      <w:pPr>
        <w:widowControl w:val="0"/>
        <w:numPr>
          <w:ilvl w:val="1"/>
          <w:numId w:val="5"/>
        </w:numPr>
        <w:contextualSpacing/>
        <w:jc w:val="both"/>
        <w:rPr>
          <w:rFonts w:ascii="Arial" w:hAnsi="Arial" w:cs="Arial"/>
          <w:bCs/>
          <w:sz w:val="22"/>
          <w:szCs w:val="22"/>
          <w:lang w:val="en-GB"/>
        </w:rPr>
      </w:pPr>
      <w:r w:rsidRPr="00E57281">
        <w:rPr>
          <w:rFonts w:ascii="Arial" w:hAnsi="Arial" w:cs="Arial"/>
          <w:bCs/>
          <w:sz w:val="22"/>
          <w:szCs w:val="22"/>
          <w:lang w:val="en-GB"/>
        </w:rPr>
        <w:t xml:space="preserve">The PBAC recommended </w:t>
      </w:r>
      <w:r w:rsidR="00CA4A9F">
        <w:rPr>
          <w:rFonts w:ascii="Arial" w:hAnsi="Arial" w:cs="Arial"/>
          <w:sz w:val="22"/>
          <w:szCs w:val="22"/>
        </w:rPr>
        <w:t xml:space="preserve">exenatide </w:t>
      </w:r>
      <w:r w:rsidR="00CA4A9F" w:rsidRPr="00CA4A9F">
        <w:rPr>
          <w:rFonts w:ascii="Arial" w:hAnsi="Arial" w:cs="Arial"/>
          <w:sz w:val="22"/>
          <w:szCs w:val="22"/>
        </w:rPr>
        <w:t>- Injection 2 mg per dose pre-filled pen</w:t>
      </w:r>
      <w:r w:rsidR="00E57281" w:rsidRPr="00E57281">
        <w:rPr>
          <w:rFonts w:ascii="Arial" w:hAnsi="Arial" w:cs="Arial"/>
          <w:bCs/>
          <w:sz w:val="22"/>
          <w:szCs w:val="22"/>
          <w:lang w:val="en-GB"/>
        </w:rPr>
        <w:t xml:space="preserve"> </w:t>
      </w:r>
      <w:r w:rsidRPr="00E57281">
        <w:rPr>
          <w:rFonts w:ascii="Arial" w:hAnsi="Arial" w:cs="Arial"/>
          <w:bCs/>
          <w:sz w:val="22"/>
          <w:szCs w:val="22"/>
          <w:lang w:val="en-GB"/>
        </w:rPr>
        <w:t xml:space="preserve">as an Authority Required (Streamlined) benefit for </w:t>
      </w:r>
      <w:r w:rsidR="00862686">
        <w:rPr>
          <w:rFonts w:ascii="Arial" w:hAnsi="Arial" w:cs="Arial"/>
          <w:bCs/>
          <w:sz w:val="22"/>
          <w:szCs w:val="22"/>
          <w:lang w:val="en-GB"/>
        </w:rPr>
        <w:t>the treatment of type 2</w:t>
      </w:r>
      <w:r w:rsidR="00E57281" w:rsidRPr="00E57281">
        <w:rPr>
          <w:rFonts w:ascii="Arial" w:hAnsi="Arial" w:cs="Arial"/>
          <w:bCs/>
          <w:sz w:val="22"/>
          <w:szCs w:val="22"/>
          <w:lang w:val="en-GB"/>
        </w:rPr>
        <w:t xml:space="preserve"> </w:t>
      </w:r>
      <w:r w:rsidR="00E57281">
        <w:rPr>
          <w:rFonts w:ascii="Arial" w:hAnsi="Arial" w:cs="Arial"/>
          <w:bCs/>
          <w:sz w:val="22"/>
          <w:szCs w:val="22"/>
          <w:lang w:val="en-GB"/>
        </w:rPr>
        <w:t>diabetes mellitus (T2DM)</w:t>
      </w:r>
      <w:r w:rsidR="00C84128">
        <w:rPr>
          <w:rFonts w:ascii="Arial" w:hAnsi="Arial" w:cs="Arial"/>
          <w:bCs/>
          <w:sz w:val="22"/>
          <w:szCs w:val="22"/>
          <w:lang w:val="en-GB"/>
        </w:rPr>
        <w:t>, under the same circumstances and</w:t>
      </w:r>
      <w:r w:rsidR="00E57281">
        <w:rPr>
          <w:rFonts w:ascii="Arial" w:hAnsi="Arial" w:cs="Arial"/>
          <w:bCs/>
          <w:sz w:val="22"/>
          <w:szCs w:val="22"/>
          <w:lang w:val="en-GB"/>
        </w:rPr>
        <w:t xml:space="preserve"> on the </w:t>
      </w:r>
      <w:r w:rsidR="0042103E">
        <w:rPr>
          <w:rFonts w:ascii="Arial" w:hAnsi="Arial" w:cs="Arial"/>
          <w:bCs/>
          <w:sz w:val="22"/>
          <w:szCs w:val="22"/>
          <w:lang w:val="en-GB"/>
        </w:rPr>
        <w:t xml:space="preserve">same </w:t>
      </w:r>
      <w:r w:rsidR="00E57281">
        <w:rPr>
          <w:rFonts w:ascii="Arial" w:hAnsi="Arial" w:cs="Arial"/>
          <w:bCs/>
          <w:sz w:val="22"/>
          <w:szCs w:val="22"/>
          <w:lang w:val="en-GB"/>
        </w:rPr>
        <w:t xml:space="preserve">basis as </w:t>
      </w:r>
      <w:r w:rsidR="0042103E">
        <w:rPr>
          <w:rFonts w:ascii="Arial" w:hAnsi="Arial" w:cs="Arial"/>
          <w:bCs/>
          <w:sz w:val="22"/>
          <w:szCs w:val="22"/>
          <w:lang w:val="en-GB"/>
        </w:rPr>
        <w:t xml:space="preserve">the </w:t>
      </w:r>
      <w:r w:rsidR="00694387">
        <w:rPr>
          <w:rFonts w:ascii="Arial" w:hAnsi="Arial" w:cs="Arial"/>
          <w:bCs/>
          <w:sz w:val="22"/>
          <w:szCs w:val="22"/>
          <w:lang w:val="en-GB"/>
        </w:rPr>
        <w:t xml:space="preserve">recommendation for </w:t>
      </w:r>
      <w:r w:rsidR="0042103E">
        <w:rPr>
          <w:rFonts w:ascii="Arial" w:hAnsi="Arial" w:cs="Arial"/>
          <w:bCs/>
          <w:sz w:val="22"/>
          <w:szCs w:val="22"/>
          <w:lang w:val="en-GB"/>
        </w:rPr>
        <w:t xml:space="preserve">exenatide 2 mg single dose tray presentation. </w:t>
      </w:r>
    </w:p>
    <w:p w:rsidR="00C84128" w:rsidRPr="00E57281" w:rsidRDefault="00C84128" w:rsidP="00C84128">
      <w:pPr>
        <w:widowControl w:val="0"/>
        <w:ind w:left="720"/>
        <w:contextualSpacing/>
        <w:jc w:val="both"/>
        <w:rPr>
          <w:rFonts w:ascii="Arial" w:hAnsi="Arial" w:cs="Arial"/>
          <w:bCs/>
          <w:sz w:val="22"/>
          <w:szCs w:val="22"/>
          <w:lang w:val="en-GB"/>
        </w:rPr>
      </w:pPr>
    </w:p>
    <w:p w:rsidR="00C84128" w:rsidRDefault="0042103E" w:rsidP="004C7D28">
      <w:pPr>
        <w:widowControl w:val="0"/>
        <w:numPr>
          <w:ilvl w:val="1"/>
          <w:numId w:val="5"/>
        </w:numPr>
        <w:contextualSpacing/>
        <w:jc w:val="both"/>
        <w:rPr>
          <w:rFonts w:ascii="Arial" w:hAnsi="Arial" w:cs="Arial"/>
          <w:bCs/>
          <w:sz w:val="22"/>
          <w:szCs w:val="22"/>
          <w:lang w:val="en-GB"/>
        </w:rPr>
      </w:pPr>
      <w:r>
        <w:rPr>
          <w:rFonts w:ascii="Arial" w:hAnsi="Arial" w:cs="Arial"/>
          <w:bCs/>
          <w:sz w:val="22"/>
          <w:szCs w:val="22"/>
          <w:lang w:val="en-GB"/>
        </w:rPr>
        <w:t>At its July 2015  meeting</w:t>
      </w:r>
      <w:r w:rsidR="00ED05B0">
        <w:rPr>
          <w:rFonts w:ascii="Arial" w:hAnsi="Arial" w:cs="Arial"/>
          <w:bCs/>
          <w:sz w:val="22"/>
          <w:szCs w:val="22"/>
          <w:lang w:val="en-GB"/>
        </w:rPr>
        <w:t xml:space="preserve">, </w:t>
      </w:r>
      <w:r>
        <w:rPr>
          <w:rFonts w:ascii="Arial" w:hAnsi="Arial" w:cs="Arial"/>
          <w:bCs/>
          <w:sz w:val="22"/>
          <w:szCs w:val="22"/>
          <w:lang w:val="en-GB"/>
        </w:rPr>
        <w:t xml:space="preserve"> the PBAC </w:t>
      </w:r>
      <w:r w:rsidR="00ED05B0">
        <w:rPr>
          <w:rFonts w:ascii="Arial" w:hAnsi="Arial" w:cs="Arial"/>
          <w:bCs/>
          <w:sz w:val="22"/>
          <w:szCs w:val="22"/>
          <w:lang w:val="en-GB"/>
        </w:rPr>
        <w:t xml:space="preserve">re-endorsed its November 2013 </w:t>
      </w:r>
      <w:r w:rsidR="00C84128">
        <w:rPr>
          <w:rFonts w:ascii="Arial" w:hAnsi="Arial" w:cs="Arial"/>
          <w:bCs/>
          <w:sz w:val="22"/>
          <w:szCs w:val="22"/>
          <w:lang w:val="en-GB"/>
        </w:rPr>
        <w:t xml:space="preserve">recommendation (of cost-minimisation basis with a partial cost offset for reduce needle use) and had </w:t>
      </w:r>
      <w:r>
        <w:rPr>
          <w:rFonts w:ascii="Arial" w:hAnsi="Arial" w:cs="Arial"/>
          <w:bCs/>
          <w:sz w:val="22"/>
          <w:szCs w:val="22"/>
          <w:lang w:val="en-GB"/>
        </w:rPr>
        <w:t xml:space="preserve">recommended exenatide 2 mg once weekly </w:t>
      </w:r>
      <w:r w:rsidR="00C84128">
        <w:rPr>
          <w:rFonts w:ascii="Arial" w:hAnsi="Arial" w:cs="Arial"/>
          <w:bCs/>
          <w:sz w:val="22"/>
          <w:szCs w:val="22"/>
          <w:lang w:val="en-GB"/>
        </w:rPr>
        <w:t xml:space="preserve">presentation </w:t>
      </w:r>
      <w:r w:rsidR="00ED05B0">
        <w:rPr>
          <w:rFonts w:ascii="Arial" w:hAnsi="Arial" w:cs="Arial"/>
          <w:bCs/>
          <w:sz w:val="22"/>
          <w:szCs w:val="22"/>
          <w:lang w:val="en-GB"/>
        </w:rPr>
        <w:t xml:space="preserve">on </w:t>
      </w:r>
      <w:r w:rsidR="00C84128">
        <w:rPr>
          <w:rFonts w:ascii="Arial" w:hAnsi="Arial" w:cs="Arial"/>
          <w:bCs/>
          <w:sz w:val="22"/>
          <w:szCs w:val="22"/>
          <w:lang w:val="en-GB"/>
        </w:rPr>
        <w:t xml:space="preserve">the basis of potential health benefits from likely improved adherence by a small number of high clinical need populations. </w:t>
      </w:r>
    </w:p>
    <w:p w:rsidR="00342A34" w:rsidRDefault="00342A34" w:rsidP="00342A34">
      <w:pPr>
        <w:widowControl w:val="0"/>
        <w:ind w:left="720"/>
        <w:contextualSpacing/>
        <w:jc w:val="both"/>
        <w:rPr>
          <w:rFonts w:ascii="Arial" w:hAnsi="Arial" w:cs="Arial"/>
          <w:bCs/>
          <w:sz w:val="22"/>
          <w:szCs w:val="22"/>
          <w:lang w:val="en-GB"/>
        </w:rPr>
      </w:pPr>
    </w:p>
    <w:p w:rsidR="006716DB" w:rsidRPr="00342A34" w:rsidRDefault="00342A34" w:rsidP="004C7D28">
      <w:pPr>
        <w:widowControl w:val="0"/>
        <w:numPr>
          <w:ilvl w:val="1"/>
          <w:numId w:val="5"/>
        </w:numPr>
        <w:contextualSpacing/>
        <w:jc w:val="both"/>
        <w:rPr>
          <w:rFonts w:ascii="Arial" w:hAnsi="Arial" w:cs="Arial"/>
          <w:bCs/>
          <w:sz w:val="22"/>
          <w:szCs w:val="22"/>
          <w:lang w:val="en-GB"/>
        </w:rPr>
      </w:pPr>
      <w:r w:rsidRPr="00342A34">
        <w:rPr>
          <w:rFonts w:ascii="Arial" w:hAnsi="Arial" w:cs="Arial"/>
          <w:bCs/>
          <w:sz w:val="22"/>
          <w:szCs w:val="22"/>
          <w:lang w:val="en-GB"/>
        </w:rPr>
        <w:t>The PBAC noted that the requested restriction was in line with that recommended in November 2013 and in July 2015.</w:t>
      </w:r>
    </w:p>
    <w:p w:rsidR="00342A34" w:rsidRPr="00342A34" w:rsidRDefault="00342A34" w:rsidP="00342A34">
      <w:pPr>
        <w:widowControl w:val="0"/>
        <w:contextualSpacing/>
        <w:jc w:val="both"/>
        <w:rPr>
          <w:rFonts w:ascii="Arial" w:hAnsi="Arial" w:cs="Arial"/>
          <w:bCs/>
          <w:sz w:val="22"/>
          <w:szCs w:val="22"/>
          <w:lang w:val="en-GB"/>
        </w:rPr>
      </w:pPr>
    </w:p>
    <w:p w:rsidR="004C7D28" w:rsidRPr="0001757A" w:rsidRDefault="00342A34" w:rsidP="00342A34">
      <w:pPr>
        <w:widowControl w:val="0"/>
        <w:numPr>
          <w:ilvl w:val="1"/>
          <w:numId w:val="5"/>
        </w:numPr>
        <w:contextualSpacing/>
        <w:jc w:val="both"/>
        <w:rPr>
          <w:rFonts w:ascii="Arial" w:hAnsi="Arial" w:cs="Arial"/>
          <w:b/>
          <w:sz w:val="22"/>
          <w:szCs w:val="22"/>
          <w:lang w:val="en-GB"/>
        </w:rPr>
      </w:pPr>
      <w:r w:rsidRPr="00342A34">
        <w:rPr>
          <w:rFonts w:ascii="Arial" w:hAnsi="Arial" w:cs="Arial"/>
          <w:bCs/>
          <w:sz w:val="22"/>
          <w:szCs w:val="22"/>
          <w:lang w:val="en-GB"/>
        </w:rPr>
        <w:t xml:space="preserve">The PBAC </w:t>
      </w:r>
      <w:r>
        <w:rPr>
          <w:rFonts w:ascii="Arial" w:hAnsi="Arial" w:cs="Arial"/>
          <w:bCs/>
          <w:sz w:val="22"/>
          <w:szCs w:val="22"/>
          <w:lang w:val="en-GB"/>
        </w:rPr>
        <w:t>advised</w:t>
      </w:r>
      <w:r w:rsidRPr="00342A34">
        <w:rPr>
          <w:rFonts w:ascii="Arial" w:hAnsi="Arial" w:cs="Arial"/>
          <w:bCs/>
          <w:sz w:val="22"/>
          <w:szCs w:val="22"/>
          <w:lang w:val="en-GB"/>
        </w:rPr>
        <w:t xml:space="preserve"> that the Early Supply Rule should apply to exenatide once weekly.</w:t>
      </w:r>
    </w:p>
    <w:p w:rsidR="0001757A" w:rsidRPr="00342A34" w:rsidRDefault="0001757A" w:rsidP="0001757A">
      <w:pPr>
        <w:widowControl w:val="0"/>
        <w:contextualSpacing/>
        <w:jc w:val="both"/>
        <w:rPr>
          <w:rFonts w:ascii="Arial" w:hAnsi="Arial" w:cs="Arial"/>
          <w:b/>
          <w:sz w:val="22"/>
          <w:szCs w:val="22"/>
          <w:lang w:val="en-GB"/>
        </w:rPr>
      </w:pPr>
    </w:p>
    <w:p w:rsidR="00342A34" w:rsidRPr="00342A34" w:rsidRDefault="00342A34" w:rsidP="00342A34">
      <w:pPr>
        <w:widowControl w:val="0"/>
        <w:numPr>
          <w:ilvl w:val="1"/>
          <w:numId w:val="5"/>
        </w:numPr>
        <w:contextualSpacing/>
        <w:jc w:val="both"/>
        <w:rPr>
          <w:rFonts w:ascii="Arial" w:hAnsi="Arial" w:cs="Arial"/>
          <w:sz w:val="22"/>
          <w:szCs w:val="22"/>
          <w:lang w:val="en-GB"/>
        </w:rPr>
      </w:pPr>
      <w:r w:rsidRPr="00342A34">
        <w:rPr>
          <w:rFonts w:ascii="Arial" w:hAnsi="Arial" w:cs="Arial"/>
          <w:sz w:val="22"/>
          <w:szCs w:val="22"/>
          <w:lang w:val="en-GB"/>
        </w:rPr>
        <w:t xml:space="preserve">The PBAC </w:t>
      </w:r>
      <w:r>
        <w:rPr>
          <w:rFonts w:ascii="Arial" w:hAnsi="Arial" w:cs="Arial"/>
          <w:sz w:val="22"/>
          <w:szCs w:val="22"/>
          <w:lang w:val="en-GB"/>
        </w:rPr>
        <w:t>advised</w:t>
      </w:r>
      <w:r w:rsidRPr="00342A34">
        <w:rPr>
          <w:rFonts w:ascii="Arial" w:hAnsi="Arial" w:cs="Arial"/>
          <w:sz w:val="22"/>
          <w:szCs w:val="22"/>
          <w:lang w:val="en-GB"/>
        </w:rPr>
        <w:t xml:space="preserve"> that exenatide once weekly was</w:t>
      </w:r>
      <w:r w:rsidR="0001757A">
        <w:rPr>
          <w:rFonts w:ascii="Arial" w:hAnsi="Arial" w:cs="Arial"/>
          <w:sz w:val="22"/>
          <w:szCs w:val="22"/>
          <w:lang w:val="en-GB"/>
        </w:rPr>
        <w:t xml:space="preserve"> suitable for prescribing by nurse practitioners under collaborative arrangements.</w:t>
      </w:r>
    </w:p>
    <w:p w:rsidR="004C7D28" w:rsidRPr="00342A34" w:rsidRDefault="004C7D28" w:rsidP="004C7D28">
      <w:pPr>
        <w:rPr>
          <w:rFonts w:ascii="Arial" w:hAnsi="Arial" w:cs="Arial"/>
          <w:b/>
          <w:bCs/>
          <w:sz w:val="22"/>
          <w:szCs w:val="22"/>
          <w:lang w:val="en-GB"/>
        </w:rPr>
      </w:pPr>
    </w:p>
    <w:p w:rsidR="00342A34" w:rsidRPr="00342A34" w:rsidRDefault="00342A34" w:rsidP="004C7D28">
      <w:pPr>
        <w:rPr>
          <w:rFonts w:ascii="Arial" w:hAnsi="Arial" w:cs="Arial"/>
          <w:b/>
          <w:bCs/>
          <w:sz w:val="22"/>
          <w:szCs w:val="22"/>
          <w:lang w:val="en-GB"/>
        </w:rPr>
      </w:pPr>
    </w:p>
    <w:p w:rsidR="004C7D28" w:rsidRPr="00342A34" w:rsidRDefault="004C7D28" w:rsidP="004C7D28">
      <w:pPr>
        <w:rPr>
          <w:rFonts w:ascii="Arial" w:hAnsi="Arial" w:cs="Arial"/>
          <w:b/>
          <w:bCs/>
          <w:sz w:val="22"/>
          <w:szCs w:val="22"/>
          <w:lang w:val="en-GB"/>
        </w:rPr>
      </w:pPr>
      <w:r w:rsidRPr="00342A34">
        <w:rPr>
          <w:rFonts w:ascii="Arial" w:hAnsi="Arial" w:cs="Arial"/>
          <w:b/>
          <w:bCs/>
          <w:sz w:val="22"/>
          <w:szCs w:val="22"/>
          <w:lang w:val="en-GB"/>
        </w:rPr>
        <w:t>Outcome:</w:t>
      </w:r>
    </w:p>
    <w:p w:rsidR="004C7D28" w:rsidRPr="00342A34" w:rsidRDefault="004C7D28" w:rsidP="004C7D28">
      <w:pPr>
        <w:rPr>
          <w:rFonts w:ascii="Arial" w:hAnsi="Arial" w:cs="Arial"/>
          <w:bCs/>
          <w:sz w:val="22"/>
          <w:szCs w:val="22"/>
          <w:lang w:val="en-GB"/>
        </w:rPr>
      </w:pPr>
      <w:r w:rsidRPr="00342A34">
        <w:rPr>
          <w:rFonts w:ascii="Arial" w:hAnsi="Arial" w:cs="Arial"/>
          <w:bCs/>
          <w:sz w:val="22"/>
          <w:szCs w:val="22"/>
          <w:lang w:val="en-GB"/>
        </w:rPr>
        <w:t xml:space="preserve">Recommended </w:t>
      </w:r>
    </w:p>
    <w:p w:rsidR="00DA2812" w:rsidRPr="00342A34" w:rsidRDefault="00DA2812" w:rsidP="004C7D28">
      <w:pPr>
        <w:rPr>
          <w:rFonts w:ascii="Arial" w:hAnsi="Arial" w:cs="Arial"/>
          <w:bCs/>
          <w:sz w:val="22"/>
          <w:szCs w:val="22"/>
        </w:rPr>
      </w:pPr>
    </w:p>
    <w:p w:rsidR="004C7D28" w:rsidRPr="00342A34" w:rsidRDefault="004C7D28" w:rsidP="00A24579">
      <w:pPr>
        <w:pStyle w:val="Heading1"/>
        <w:rPr>
          <w:i/>
          <w:lang w:val="en-GB"/>
        </w:rPr>
      </w:pPr>
      <w:r w:rsidRPr="00342A34">
        <w:rPr>
          <w:lang w:val="en-GB"/>
        </w:rPr>
        <w:t>Recommended listing</w:t>
      </w:r>
    </w:p>
    <w:p w:rsidR="004C7D28" w:rsidRPr="00342A34" w:rsidRDefault="004C7D28" w:rsidP="004C7D28">
      <w:pPr>
        <w:rPr>
          <w:rFonts w:ascii="Arial" w:hAnsi="Arial" w:cs="Arial"/>
          <w:b/>
          <w:bCs/>
          <w:i/>
          <w:sz w:val="22"/>
          <w:szCs w:val="22"/>
          <w:lang w:val="en-GB"/>
        </w:rPr>
      </w:pPr>
    </w:p>
    <w:p w:rsidR="004C7D28" w:rsidRPr="00342A34" w:rsidRDefault="0001757A" w:rsidP="004C7D28">
      <w:pPr>
        <w:widowControl w:val="0"/>
        <w:numPr>
          <w:ilvl w:val="1"/>
          <w:numId w:val="5"/>
        </w:numPr>
        <w:contextualSpacing/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Recommended listing as follows:</w:t>
      </w:r>
    </w:p>
    <w:p w:rsidR="004C7D28" w:rsidRDefault="004C7D28" w:rsidP="004C7D28">
      <w:pPr>
        <w:pStyle w:val="ListParagraph"/>
        <w:ind w:left="360"/>
        <w:rPr>
          <w:rFonts w:ascii="Arial" w:hAnsi="Arial" w:cs="Arial"/>
          <w:sz w:val="22"/>
          <w:szCs w:val="22"/>
        </w:rPr>
      </w:pPr>
    </w:p>
    <w:tbl>
      <w:tblPr>
        <w:tblW w:w="8363" w:type="dxa"/>
        <w:tblInd w:w="959" w:type="dxa"/>
        <w:tblLayout w:type="fixed"/>
        <w:tblLook w:val="0000" w:firstRow="0" w:lastRow="0" w:firstColumn="0" w:lastColumn="0" w:noHBand="0" w:noVBand="0"/>
      </w:tblPr>
      <w:tblGrid>
        <w:gridCol w:w="1843"/>
        <w:gridCol w:w="1134"/>
        <w:gridCol w:w="567"/>
        <w:gridCol w:w="567"/>
        <w:gridCol w:w="1559"/>
        <w:gridCol w:w="1276"/>
        <w:gridCol w:w="1417"/>
      </w:tblGrid>
      <w:tr w:rsidR="00416D8E" w:rsidRPr="00260CE3" w:rsidTr="00F41C4A">
        <w:trPr>
          <w:gridAfter w:val="1"/>
          <w:wAfter w:w="1417" w:type="dxa"/>
          <w:cantSplit/>
          <w:trHeight w:val="471"/>
        </w:trPr>
        <w:tc>
          <w:tcPr>
            <w:tcW w:w="2977" w:type="dxa"/>
            <w:gridSpan w:val="2"/>
            <w:tcBorders>
              <w:bottom w:val="single" w:sz="4" w:space="0" w:color="auto"/>
            </w:tcBorders>
          </w:tcPr>
          <w:p w:rsidR="00416D8E" w:rsidRPr="00260CE3" w:rsidRDefault="00416D8E" w:rsidP="00F41C4A">
            <w:pPr>
              <w:keepNext/>
              <w:ind w:left="-108"/>
              <w:rPr>
                <w:rFonts w:ascii="Arial Narrow" w:hAnsi="Arial Narrow"/>
                <w:sz w:val="20"/>
                <w:szCs w:val="20"/>
              </w:rPr>
            </w:pPr>
            <w:r w:rsidRPr="00260CE3">
              <w:rPr>
                <w:rFonts w:ascii="Arial Narrow" w:hAnsi="Arial Narrow"/>
                <w:sz w:val="20"/>
                <w:szCs w:val="20"/>
              </w:rPr>
              <w:t>Name, Restriction,</w:t>
            </w:r>
          </w:p>
          <w:p w:rsidR="00416D8E" w:rsidRPr="00260CE3" w:rsidRDefault="00416D8E" w:rsidP="00F41C4A">
            <w:pPr>
              <w:keepNext/>
              <w:ind w:left="-108"/>
              <w:rPr>
                <w:rFonts w:ascii="Arial Narrow" w:hAnsi="Arial Narrow"/>
                <w:sz w:val="20"/>
                <w:szCs w:val="20"/>
              </w:rPr>
            </w:pPr>
            <w:r w:rsidRPr="00260CE3">
              <w:rPr>
                <w:rFonts w:ascii="Arial Narrow" w:hAnsi="Arial Narrow"/>
                <w:sz w:val="20"/>
                <w:szCs w:val="20"/>
              </w:rPr>
              <w:t>Manner of administration and form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416D8E" w:rsidRPr="00260CE3" w:rsidRDefault="00416D8E" w:rsidP="00F41C4A">
            <w:pPr>
              <w:keepNext/>
              <w:ind w:left="-108"/>
              <w:rPr>
                <w:rFonts w:ascii="Arial Narrow" w:hAnsi="Arial Narrow"/>
                <w:sz w:val="20"/>
                <w:szCs w:val="20"/>
              </w:rPr>
            </w:pPr>
            <w:r w:rsidRPr="00260CE3">
              <w:rPr>
                <w:rFonts w:ascii="Arial Narrow" w:hAnsi="Arial Narrow"/>
                <w:sz w:val="20"/>
                <w:szCs w:val="20"/>
              </w:rPr>
              <w:t>Max.</w:t>
            </w:r>
          </w:p>
          <w:p w:rsidR="00416D8E" w:rsidRPr="00260CE3" w:rsidRDefault="00416D8E" w:rsidP="00F41C4A">
            <w:pPr>
              <w:keepNext/>
              <w:ind w:left="-108"/>
              <w:rPr>
                <w:rFonts w:ascii="Arial Narrow" w:hAnsi="Arial Narrow"/>
                <w:sz w:val="20"/>
                <w:szCs w:val="20"/>
              </w:rPr>
            </w:pPr>
            <w:r w:rsidRPr="00260CE3">
              <w:rPr>
                <w:rFonts w:ascii="Arial Narrow" w:hAnsi="Arial Narrow"/>
                <w:sz w:val="20"/>
                <w:szCs w:val="20"/>
              </w:rPr>
              <w:t>Qty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416D8E" w:rsidRPr="00260CE3" w:rsidRDefault="00416D8E" w:rsidP="00F41C4A">
            <w:pPr>
              <w:keepNext/>
              <w:ind w:left="-108"/>
              <w:rPr>
                <w:rFonts w:ascii="Arial Narrow" w:hAnsi="Arial Narrow"/>
                <w:sz w:val="20"/>
                <w:szCs w:val="20"/>
              </w:rPr>
            </w:pPr>
            <w:r w:rsidRPr="00260CE3">
              <w:rPr>
                <w:rFonts w:ascii="Arial Narrow" w:hAnsi="Arial Narrow"/>
                <w:sz w:val="20"/>
                <w:szCs w:val="20"/>
              </w:rPr>
              <w:t>№.of</w:t>
            </w:r>
          </w:p>
          <w:p w:rsidR="00416D8E" w:rsidRPr="00260CE3" w:rsidRDefault="00416D8E" w:rsidP="00F41C4A">
            <w:pPr>
              <w:keepNext/>
              <w:ind w:left="-108"/>
              <w:rPr>
                <w:rFonts w:ascii="Arial Narrow" w:hAnsi="Arial Narrow"/>
                <w:sz w:val="20"/>
                <w:szCs w:val="20"/>
              </w:rPr>
            </w:pPr>
            <w:r w:rsidRPr="00260CE3">
              <w:rPr>
                <w:rFonts w:ascii="Arial Narrow" w:hAnsi="Arial Narrow"/>
                <w:sz w:val="20"/>
                <w:szCs w:val="20"/>
              </w:rPr>
              <w:t>Rpts</w:t>
            </w:r>
          </w:p>
        </w:tc>
        <w:tc>
          <w:tcPr>
            <w:tcW w:w="2835" w:type="dxa"/>
            <w:gridSpan w:val="2"/>
            <w:tcBorders>
              <w:bottom w:val="single" w:sz="4" w:space="0" w:color="auto"/>
            </w:tcBorders>
          </w:tcPr>
          <w:p w:rsidR="00416D8E" w:rsidRPr="00260CE3" w:rsidRDefault="00416D8E" w:rsidP="00F41C4A">
            <w:pPr>
              <w:keepNext/>
              <w:rPr>
                <w:rFonts w:ascii="Arial Narrow" w:hAnsi="Arial Narrow"/>
                <w:sz w:val="20"/>
                <w:szCs w:val="20"/>
                <w:lang w:val="fr-FR"/>
              </w:rPr>
            </w:pPr>
            <w:r w:rsidRPr="00260CE3">
              <w:rPr>
                <w:rFonts w:ascii="Arial Narrow" w:hAnsi="Arial Narrow"/>
                <w:sz w:val="20"/>
                <w:szCs w:val="20"/>
              </w:rPr>
              <w:t>Proprietary Name and Manufacturer</w:t>
            </w:r>
          </w:p>
        </w:tc>
      </w:tr>
      <w:tr w:rsidR="00416D8E" w:rsidRPr="00260CE3" w:rsidTr="00F41C4A">
        <w:trPr>
          <w:gridAfter w:val="1"/>
          <w:wAfter w:w="1417" w:type="dxa"/>
          <w:cantSplit/>
          <w:trHeight w:val="288"/>
        </w:trPr>
        <w:tc>
          <w:tcPr>
            <w:tcW w:w="2977" w:type="dxa"/>
            <w:gridSpan w:val="2"/>
            <w:tcBorders>
              <w:top w:val="single" w:sz="4" w:space="0" w:color="auto"/>
            </w:tcBorders>
          </w:tcPr>
          <w:p w:rsidR="00416D8E" w:rsidRPr="003464EE" w:rsidRDefault="00416D8E" w:rsidP="00F41C4A">
            <w:pPr>
              <w:keepNext/>
              <w:ind w:left="-108"/>
              <w:rPr>
                <w:rFonts w:ascii="Arial Narrow" w:hAnsi="Arial Narrow"/>
                <w:smallCaps/>
                <w:sz w:val="20"/>
                <w:szCs w:val="20"/>
              </w:rPr>
            </w:pPr>
            <w:r w:rsidRPr="007358CA">
              <w:rPr>
                <w:rFonts w:ascii="Arial Narrow" w:hAnsi="Arial Narrow"/>
                <w:smallCaps/>
                <w:sz w:val="20"/>
                <w:szCs w:val="20"/>
              </w:rPr>
              <w:t>EXENATIDE</w:t>
            </w:r>
          </w:p>
        </w:tc>
        <w:tc>
          <w:tcPr>
            <w:tcW w:w="567" w:type="dxa"/>
            <w:tcBorders>
              <w:top w:val="single" w:sz="4" w:space="0" w:color="auto"/>
            </w:tcBorders>
          </w:tcPr>
          <w:p w:rsidR="00416D8E" w:rsidRPr="00260CE3" w:rsidRDefault="00416D8E" w:rsidP="00F41C4A">
            <w:pPr>
              <w:keepNext/>
              <w:ind w:left="-108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</w:tcBorders>
          </w:tcPr>
          <w:p w:rsidR="00416D8E" w:rsidRPr="00260CE3" w:rsidRDefault="00416D8E" w:rsidP="00F41C4A">
            <w:pPr>
              <w:keepNext/>
              <w:ind w:left="-108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416D8E" w:rsidRPr="00260CE3" w:rsidRDefault="00416D8E" w:rsidP="00F41C4A">
            <w:pPr>
              <w:keepNext/>
              <w:rPr>
                <w:rFonts w:ascii="Arial Narrow" w:hAnsi="Arial Narrow"/>
                <w:sz w:val="20"/>
                <w:szCs w:val="20"/>
              </w:rPr>
            </w:pPr>
            <w:r w:rsidRPr="007358CA">
              <w:rPr>
                <w:rFonts w:ascii="Arial Narrow" w:hAnsi="Arial Narrow"/>
                <w:sz w:val="20"/>
                <w:szCs w:val="20"/>
              </w:rPr>
              <w:t>Bydureon®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416D8E" w:rsidRPr="00260CE3" w:rsidRDefault="00416D8E" w:rsidP="00F41C4A">
            <w:pPr>
              <w:keepNext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AstraZeneca</w:t>
            </w:r>
          </w:p>
        </w:tc>
      </w:tr>
      <w:tr w:rsidR="00416D8E" w:rsidRPr="00260CE3" w:rsidTr="00F41C4A">
        <w:trPr>
          <w:gridAfter w:val="1"/>
          <w:wAfter w:w="1417" w:type="dxa"/>
          <w:cantSplit/>
          <w:trHeight w:val="855"/>
        </w:trPr>
        <w:tc>
          <w:tcPr>
            <w:tcW w:w="2977" w:type="dxa"/>
            <w:gridSpan w:val="2"/>
          </w:tcPr>
          <w:p w:rsidR="00416D8E" w:rsidRPr="007358CA" w:rsidRDefault="00416D8E" w:rsidP="00DA2812">
            <w:pPr>
              <w:keepNext/>
              <w:ind w:left="-108" w:right="175"/>
              <w:rPr>
                <w:rFonts w:ascii="Arial Narrow" w:hAnsi="Arial Narrow"/>
                <w:smallCaps/>
                <w:sz w:val="20"/>
                <w:szCs w:val="20"/>
              </w:rPr>
            </w:pPr>
            <w:r w:rsidRPr="007358CA">
              <w:rPr>
                <w:rFonts w:ascii="Arial Narrow" w:hAnsi="Arial Narrow"/>
                <w:sz w:val="20"/>
                <w:szCs w:val="20"/>
              </w:rPr>
              <w:t>exenatide 2</w:t>
            </w:r>
            <w:r>
              <w:rPr>
                <w:rFonts w:ascii="Arial Narrow" w:hAnsi="Arial Narrow"/>
                <w:sz w:val="20"/>
                <w:szCs w:val="20"/>
              </w:rPr>
              <w:t> </w:t>
            </w:r>
            <w:r w:rsidRPr="007358CA">
              <w:rPr>
                <w:rFonts w:ascii="Arial Narrow" w:hAnsi="Arial Narrow"/>
                <w:sz w:val="20"/>
                <w:szCs w:val="20"/>
              </w:rPr>
              <w:t xml:space="preserve">mg </w:t>
            </w:r>
            <w:r>
              <w:rPr>
                <w:rFonts w:ascii="Arial Narrow" w:hAnsi="Arial Narrow"/>
                <w:sz w:val="20"/>
                <w:szCs w:val="20"/>
              </w:rPr>
              <w:t>powder for injection, pre-filed pen</w:t>
            </w:r>
            <w:r w:rsidR="00CF3B44">
              <w:rPr>
                <w:rFonts w:ascii="Arial Narrow" w:hAnsi="Arial Narrow"/>
                <w:sz w:val="20"/>
                <w:szCs w:val="20"/>
              </w:rPr>
              <w:t>, 4</w:t>
            </w:r>
            <w:bookmarkStart w:id="0" w:name="_GoBack"/>
            <w:bookmarkEnd w:id="0"/>
          </w:p>
        </w:tc>
        <w:tc>
          <w:tcPr>
            <w:tcW w:w="567" w:type="dxa"/>
          </w:tcPr>
          <w:p w:rsidR="00416D8E" w:rsidRPr="00260CE3" w:rsidRDefault="00416D8E" w:rsidP="00F41C4A">
            <w:pPr>
              <w:keepNext/>
              <w:ind w:left="-108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1</w:t>
            </w:r>
          </w:p>
        </w:tc>
        <w:tc>
          <w:tcPr>
            <w:tcW w:w="567" w:type="dxa"/>
          </w:tcPr>
          <w:p w:rsidR="00416D8E" w:rsidRPr="00260CE3" w:rsidRDefault="00416D8E" w:rsidP="00F41C4A">
            <w:pPr>
              <w:keepNext/>
              <w:ind w:left="-108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5</w:t>
            </w:r>
          </w:p>
        </w:tc>
        <w:tc>
          <w:tcPr>
            <w:tcW w:w="1559" w:type="dxa"/>
          </w:tcPr>
          <w:p w:rsidR="00416D8E" w:rsidRPr="007358CA" w:rsidRDefault="00416D8E" w:rsidP="00F41C4A">
            <w:pPr>
              <w:keepNext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276" w:type="dxa"/>
          </w:tcPr>
          <w:p w:rsidR="00416D8E" w:rsidRDefault="00416D8E" w:rsidP="00F41C4A">
            <w:pPr>
              <w:keepNext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DA2812" w:rsidRPr="00260CE3" w:rsidTr="00F41C4A">
        <w:trPr>
          <w:cantSplit/>
          <w:trHeight w:val="360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812" w:rsidRPr="00260CE3" w:rsidRDefault="00DA2812" w:rsidP="00F41C4A">
            <w:pPr>
              <w:rPr>
                <w:rFonts w:ascii="Arial Narrow" w:hAnsi="Arial Narrow"/>
                <w:b/>
                <w:sz w:val="20"/>
                <w:szCs w:val="20"/>
              </w:rPr>
            </w:pPr>
            <w:r w:rsidRPr="00260CE3">
              <w:rPr>
                <w:rFonts w:ascii="Arial Narrow" w:hAnsi="Arial Narrow"/>
                <w:b/>
                <w:sz w:val="20"/>
                <w:szCs w:val="20"/>
              </w:rPr>
              <w:t xml:space="preserve">Category / </w:t>
            </w:r>
          </w:p>
          <w:p w:rsidR="00DA2812" w:rsidRPr="00260CE3" w:rsidRDefault="00DA2812" w:rsidP="00F41C4A">
            <w:pPr>
              <w:rPr>
                <w:rFonts w:ascii="Arial Narrow" w:hAnsi="Arial Narrow"/>
                <w:b/>
                <w:sz w:val="20"/>
                <w:szCs w:val="20"/>
              </w:rPr>
            </w:pPr>
            <w:r w:rsidRPr="00260CE3">
              <w:rPr>
                <w:rFonts w:ascii="Arial Narrow" w:hAnsi="Arial Narrow"/>
                <w:b/>
                <w:sz w:val="20"/>
                <w:szCs w:val="20"/>
              </w:rPr>
              <w:t>Program</w:t>
            </w:r>
          </w:p>
        </w:tc>
        <w:tc>
          <w:tcPr>
            <w:tcW w:w="652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812" w:rsidRPr="00260CE3" w:rsidRDefault="00DA2812" w:rsidP="00F41C4A">
            <w:pPr>
              <w:rPr>
                <w:rFonts w:ascii="Arial Narrow" w:hAnsi="Arial Narrow"/>
                <w:sz w:val="20"/>
                <w:szCs w:val="20"/>
              </w:rPr>
            </w:pPr>
            <w:r w:rsidRPr="00260CE3">
              <w:rPr>
                <w:rFonts w:ascii="Arial Narrow" w:hAnsi="Arial Narrow"/>
                <w:sz w:val="20"/>
                <w:szCs w:val="20"/>
              </w:rPr>
              <w:t>GENERAL – General Schedule (Code GE)</w:t>
            </w:r>
          </w:p>
        </w:tc>
      </w:tr>
      <w:tr w:rsidR="00DA2812" w:rsidRPr="00260CE3" w:rsidTr="00F41C4A">
        <w:trPr>
          <w:cantSplit/>
          <w:trHeight w:val="360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812" w:rsidRPr="00260CE3" w:rsidRDefault="00DA2812" w:rsidP="00F41C4A">
            <w:pPr>
              <w:rPr>
                <w:rFonts w:ascii="Arial Narrow" w:hAnsi="Arial Narrow"/>
                <w:b/>
                <w:sz w:val="20"/>
                <w:szCs w:val="20"/>
              </w:rPr>
            </w:pPr>
            <w:r w:rsidRPr="00260CE3">
              <w:rPr>
                <w:rFonts w:ascii="Arial Narrow" w:hAnsi="Arial Narrow"/>
                <w:b/>
                <w:sz w:val="20"/>
                <w:szCs w:val="20"/>
              </w:rPr>
              <w:t>Prescriber type:</w:t>
            </w:r>
          </w:p>
        </w:tc>
        <w:tc>
          <w:tcPr>
            <w:tcW w:w="652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812" w:rsidRPr="00260CE3" w:rsidRDefault="00DA2812" w:rsidP="00F41C4A">
            <w:pPr>
              <w:rPr>
                <w:rFonts w:ascii="Arial Narrow" w:hAnsi="Arial Narrow"/>
                <w:sz w:val="20"/>
                <w:szCs w:val="20"/>
              </w:rPr>
            </w:pPr>
            <w:r w:rsidRPr="00260CE3"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60CE3">
              <w:rPr>
                <w:rFonts w:ascii="Arial Narrow" w:hAnsi="Arial Narrow"/>
                <w:sz w:val="20"/>
                <w:szCs w:val="20"/>
              </w:rPr>
              <w:instrText xml:space="preserve"> FORMCHECKBOX </w:instrText>
            </w:r>
            <w:r w:rsidR="00692C86">
              <w:rPr>
                <w:rFonts w:ascii="Arial Narrow" w:hAnsi="Arial Narrow"/>
                <w:sz w:val="20"/>
                <w:szCs w:val="20"/>
              </w:rPr>
            </w:r>
            <w:r w:rsidR="00692C86"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 w:rsidRPr="00260CE3">
              <w:rPr>
                <w:rFonts w:ascii="Arial Narrow" w:hAnsi="Arial Narrow"/>
                <w:sz w:val="20"/>
                <w:szCs w:val="20"/>
              </w:rPr>
              <w:fldChar w:fldCharType="end"/>
            </w:r>
            <w:r w:rsidRPr="00260CE3">
              <w:rPr>
                <w:rFonts w:ascii="Arial Narrow" w:hAnsi="Arial Narrow"/>
                <w:sz w:val="20"/>
                <w:szCs w:val="20"/>
              </w:rPr>
              <w:t xml:space="preserve">Dental  </w:t>
            </w:r>
            <w:r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rPr>
                <w:rFonts w:ascii="Arial Narrow" w:hAnsi="Arial Narrow"/>
                <w:sz w:val="20"/>
                <w:szCs w:val="20"/>
              </w:rPr>
              <w:instrText xml:space="preserve"> FORMCHECKBOX </w:instrText>
            </w:r>
            <w:r w:rsidR="00692C86">
              <w:rPr>
                <w:rFonts w:ascii="Arial Narrow" w:hAnsi="Arial Narrow"/>
                <w:sz w:val="20"/>
                <w:szCs w:val="20"/>
              </w:rPr>
            </w:r>
            <w:r w:rsidR="00692C86"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>
              <w:rPr>
                <w:rFonts w:ascii="Arial Narrow" w:hAnsi="Arial Narrow"/>
                <w:sz w:val="20"/>
                <w:szCs w:val="20"/>
              </w:rPr>
              <w:fldChar w:fldCharType="end"/>
            </w:r>
            <w:r w:rsidRPr="00260CE3">
              <w:rPr>
                <w:rFonts w:ascii="Arial Narrow" w:hAnsi="Arial Narrow"/>
                <w:sz w:val="20"/>
                <w:szCs w:val="20"/>
              </w:rPr>
              <w:t xml:space="preserve">Medical Practitioners  </w:t>
            </w:r>
            <w:r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bookmarkStart w:id="1" w:name="Check3"/>
            <w:r>
              <w:rPr>
                <w:rFonts w:ascii="Arial Narrow" w:hAnsi="Arial Narrow"/>
                <w:sz w:val="20"/>
                <w:szCs w:val="20"/>
              </w:rPr>
              <w:instrText xml:space="preserve"> FORMCHECKBOX </w:instrText>
            </w:r>
            <w:r w:rsidR="00692C86">
              <w:rPr>
                <w:rFonts w:ascii="Arial Narrow" w:hAnsi="Arial Narrow"/>
                <w:sz w:val="20"/>
                <w:szCs w:val="20"/>
              </w:rPr>
            </w:r>
            <w:r w:rsidR="00692C86"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>
              <w:rPr>
                <w:rFonts w:ascii="Arial Narrow" w:hAnsi="Arial Narrow"/>
                <w:sz w:val="20"/>
                <w:szCs w:val="20"/>
              </w:rPr>
              <w:fldChar w:fldCharType="end"/>
            </w:r>
            <w:bookmarkEnd w:id="1"/>
            <w:r w:rsidRPr="00260CE3">
              <w:rPr>
                <w:rFonts w:ascii="Arial Narrow" w:hAnsi="Arial Narrow"/>
                <w:sz w:val="20"/>
                <w:szCs w:val="20"/>
              </w:rPr>
              <w:t xml:space="preserve">Nurse practitioners  </w:t>
            </w:r>
            <w:r w:rsidRPr="00260CE3"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60CE3">
              <w:rPr>
                <w:rFonts w:ascii="Arial Narrow" w:hAnsi="Arial Narrow"/>
                <w:sz w:val="20"/>
                <w:szCs w:val="20"/>
              </w:rPr>
              <w:instrText xml:space="preserve"> FORMCHECKBOX </w:instrText>
            </w:r>
            <w:r w:rsidR="00692C86">
              <w:rPr>
                <w:rFonts w:ascii="Arial Narrow" w:hAnsi="Arial Narrow"/>
                <w:sz w:val="20"/>
                <w:szCs w:val="20"/>
              </w:rPr>
            </w:r>
            <w:r w:rsidR="00692C86"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 w:rsidRPr="00260CE3">
              <w:rPr>
                <w:rFonts w:ascii="Arial Narrow" w:hAnsi="Arial Narrow"/>
                <w:sz w:val="20"/>
                <w:szCs w:val="20"/>
              </w:rPr>
              <w:fldChar w:fldCharType="end"/>
            </w:r>
            <w:r w:rsidRPr="00260CE3">
              <w:rPr>
                <w:rFonts w:ascii="Arial Narrow" w:hAnsi="Arial Narrow"/>
                <w:sz w:val="20"/>
                <w:szCs w:val="20"/>
              </w:rPr>
              <w:t>Optometrists</w:t>
            </w:r>
          </w:p>
          <w:p w:rsidR="00DA2812" w:rsidRPr="00260CE3" w:rsidRDefault="00DA2812" w:rsidP="00F41C4A">
            <w:pPr>
              <w:rPr>
                <w:rFonts w:ascii="Arial Narrow" w:hAnsi="Arial Narrow"/>
                <w:sz w:val="20"/>
                <w:szCs w:val="20"/>
              </w:rPr>
            </w:pPr>
            <w:r w:rsidRPr="00260CE3"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60CE3">
              <w:rPr>
                <w:rFonts w:ascii="Arial Narrow" w:hAnsi="Arial Narrow"/>
                <w:sz w:val="20"/>
                <w:szCs w:val="20"/>
              </w:rPr>
              <w:instrText xml:space="preserve"> FORMCHECKBOX </w:instrText>
            </w:r>
            <w:r w:rsidR="00692C86">
              <w:rPr>
                <w:rFonts w:ascii="Arial Narrow" w:hAnsi="Arial Narrow"/>
                <w:sz w:val="20"/>
                <w:szCs w:val="20"/>
              </w:rPr>
            </w:r>
            <w:r w:rsidR="00692C86"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 w:rsidRPr="00260CE3">
              <w:rPr>
                <w:rFonts w:ascii="Arial Narrow" w:hAnsi="Arial Narrow"/>
                <w:sz w:val="20"/>
                <w:szCs w:val="20"/>
              </w:rPr>
              <w:fldChar w:fldCharType="end"/>
            </w:r>
            <w:r w:rsidRPr="00260CE3">
              <w:rPr>
                <w:rFonts w:ascii="Arial Narrow" w:hAnsi="Arial Narrow"/>
                <w:sz w:val="20"/>
                <w:szCs w:val="20"/>
              </w:rPr>
              <w:t>Midwives</w:t>
            </w:r>
          </w:p>
        </w:tc>
      </w:tr>
      <w:tr w:rsidR="00DA2812" w:rsidRPr="00260CE3" w:rsidTr="00F41C4A">
        <w:trPr>
          <w:cantSplit/>
          <w:trHeight w:val="360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812" w:rsidRPr="00260CE3" w:rsidRDefault="00DA2812" w:rsidP="00F41C4A">
            <w:pPr>
              <w:rPr>
                <w:rFonts w:ascii="Arial Narrow" w:hAnsi="Arial Narrow"/>
                <w:b/>
                <w:sz w:val="20"/>
                <w:szCs w:val="20"/>
              </w:rPr>
            </w:pPr>
            <w:r w:rsidRPr="00260CE3">
              <w:rPr>
                <w:rFonts w:ascii="Arial Narrow" w:hAnsi="Arial Narrow"/>
                <w:b/>
                <w:sz w:val="20"/>
                <w:szCs w:val="20"/>
              </w:rPr>
              <w:t>Condition:</w:t>
            </w:r>
          </w:p>
        </w:tc>
        <w:tc>
          <w:tcPr>
            <w:tcW w:w="652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812" w:rsidRPr="00127720" w:rsidRDefault="00DA2812" w:rsidP="00F41C4A">
            <w:pPr>
              <w:rPr>
                <w:rFonts w:ascii="Arial Narrow" w:hAnsi="Arial Narrow"/>
                <w:sz w:val="20"/>
                <w:szCs w:val="20"/>
              </w:rPr>
            </w:pPr>
            <w:r w:rsidRPr="00127720">
              <w:rPr>
                <w:rFonts w:ascii="Arial Narrow" w:hAnsi="Arial Narrow"/>
                <w:sz w:val="20"/>
                <w:szCs w:val="20"/>
              </w:rPr>
              <w:t>Diabetes mellitus type 2</w:t>
            </w:r>
          </w:p>
        </w:tc>
      </w:tr>
      <w:tr w:rsidR="00DA2812" w:rsidRPr="00260CE3" w:rsidTr="00F41C4A">
        <w:trPr>
          <w:cantSplit/>
          <w:trHeight w:val="360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812" w:rsidRPr="00260CE3" w:rsidRDefault="00DA2812" w:rsidP="00F41C4A">
            <w:pPr>
              <w:rPr>
                <w:rFonts w:ascii="Arial Narrow" w:hAnsi="Arial Narrow"/>
                <w:b/>
                <w:sz w:val="20"/>
                <w:szCs w:val="20"/>
              </w:rPr>
            </w:pPr>
            <w:r w:rsidRPr="00260CE3">
              <w:rPr>
                <w:rFonts w:ascii="Arial Narrow" w:hAnsi="Arial Narrow"/>
                <w:b/>
                <w:sz w:val="20"/>
                <w:szCs w:val="20"/>
              </w:rPr>
              <w:t>PBS Indication:</w:t>
            </w:r>
          </w:p>
        </w:tc>
        <w:tc>
          <w:tcPr>
            <w:tcW w:w="652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812" w:rsidRPr="00127720" w:rsidRDefault="00DA2812" w:rsidP="00F41C4A">
            <w:pPr>
              <w:rPr>
                <w:rFonts w:ascii="Arial Narrow" w:hAnsi="Arial Narrow"/>
                <w:sz w:val="20"/>
                <w:szCs w:val="20"/>
              </w:rPr>
            </w:pPr>
            <w:r w:rsidRPr="00127720">
              <w:rPr>
                <w:rFonts w:ascii="Arial Narrow" w:hAnsi="Arial Narrow"/>
                <w:sz w:val="20"/>
                <w:szCs w:val="20"/>
              </w:rPr>
              <w:t>Diabetes mellitus type 2</w:t>
            </w:r>
          </w:p>
        </w:tc>
      </w:tr>
      <w:tr w:rsidR="00DA2812" w:rsidRPr="00260CE3" w:rsidTr="00F41C4A">
        <w:trPr>
          <w:cantSplit/>
          <w:trHeight w:val="360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812" w:rsidRPr="004E7E1F" w:rsidRDefault="00DA2812" w:rsidP="00F41C4A">
            <w:pPr>
              <w:rPr>
                <w:rFonts w:ascii="Arial Narrow" w:hAnsi="Arial Narrow"/>
                <w:b/>
                <w:sz w:val="20"/>
                <w:szCs w:val="20"/>
              </w:rPr>
            </w:pPr>
            <w:r w:rsidRPr="00260CE3">
              <w:rPr>
                <w:rFonts w:ascii="Arial Narrow" w:hAnsi="Arial Narrow"/>
                <w:b/>
                <w:sz w:val="20"/>
                <w:szCs w:val="20"/>
              </w:rPr>
              <w:lastRenderedPageBreak/>
              <w:t>Restriction</w:t>
            </w:r>
            <w:r>
              <w:rPr>
                <w:rFonts w:ascii="Arial Narrow" w:hAnsi="Arial Narrow"/>
                <w:b/>
                <w:sz w:val="20"/>
                <w:szCs w:val="20"/>
              </w:rPr>
              <w:t xml:space="preserve"> Level / Method</w:t>
            </w:r>
            <w:r w:rsidRPr="00260CE3">
              <w:rPr>
                <w:rFonts w:ascii="Arial Narrow" w:hAnsi="Arial Narrow"/>
                <w:b/>
                <w:sz w:val="20"/>
                <w:szCs w:val="20"/>
              </w:rPr>
              <w:t>:</w:t>
            </w:r>
          </w:p>
        </w:tc>
        <w:tc>
          <w:tcPr>
            <w:tcW w:w="652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812" w:rsidRPr="00106BCF" w:rsidRDefault="00DA2812" w:rsidP="00F41C4A">
            <w:pPr>
              <w:rPr>
                <w:rFonts w:ascii="Arial Narrow" w:hAnsi="Arial Narrow"/>
                <w:sz w:val="20"/>
                <w:szCs w:val="20"/>
              </w:rPr>
            </w:pPr>
            <w:r w:rsidRPr="00106BCF"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06BCF">
              <w:rPr>
                <w:rFonts w:ascii="Arial Narrow" w:hAnsi="Arial Narrow"/>
                <w:sz w:val="20"/>
                <w:szCs w:val="20"/>
              </w:rPr>
              <w:instrText xml:space="preserve"> FORMCHECKBOX </w:instrText>
            </w:r>
            <w:r w:rsidR="00692C86">
              <w:rPr>
                <w:rFonts w:ascii="Arial Narrow" w:hAnsi="Arial Narrow"/>
                <w:sz w:val="20"/>
                <w:szCs w:val="20"/>
              </w:rPr>
            </w:r>
            <w:r w:rsidR="00692C86"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 w:rsidRPr="00106BCF">
              <w:rPr>
                <w:rFonts w:ascii="Arial Narrow" w:hAnsi="Arial Narrow"/>
                <w:sz w:val="20"/>
                <w:szCs w:val="20"/>
              </w:rPr>
              <w:fldChar w:fldCharType="end"/>
            </w:r>
            <w:r w:rsidRPr="00106BCF">
              <w:rPr>
                <w:rFonts w:ascii="Arial Narrow" w:hAnsi="Arial Narrow"/>
                <w:sz w:val="20"/>
                <w:szCs w:val="20"/>
              </w:rPr>
              <w:t>Restricted benefit</w:t>
            </w:r>
          </w:p>
          <w:p w:rsidR="00DA2812" w:rsidRPr="00106BCF" w:rsidRDefault="00DA2812" w:rsidP="00F41C4A">
            <w:pPr>
              <w:rPr>
                <w:rFonts w:ascii="Arial Narrow" w:hAnsi="Arial Narrow"/>
                <w:sz w:val="20"/>
                <w:szCs w:val="20"/>
              </w:rPr>
            </w:pPr>
            <w:r w:rsidRPr="00106BCF"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06BCF">
              <w:rPr>
                <w:rFonts w:ascii="Arial Narrow" w:hAnsi="Arial Narrow"/>
                <w:sz w:val="20"/>
                <w:szCs w:val="20"/>
              </w:rPr>
              <w:instrText xml:space="preserve"> FORMCHECKBOX </w:instrText>
            </w:r>
            <w:r w:rsidR="00692C86">
              <w:rPr>
                <w:rFonts w:ascii="Arial Narrow" w:hAnsi="Arial Narrow"/>
                <w:sz w:val="20"/>
                <w:szCs w:val="20"/>
              </w:rPr>
            </w:r>
            <w:r w:rsidR="00692C86"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 w:rsidRPr="00106BCF">
              <w:rPr>
                <w:rFonts w:ascii="Arial Narrow" w:hAnsi="Arial Narrow"/>
                <w:sz w:val="20"/>
                <w:szCs w:val="20"/>
              </w:rPr>
              <w:fldChar w:fldCharType="end"/>
            </w:r>
            <w:r w:rsidRPr="00106BCF">
              <w:rPr>
                <w:rFonts w:ascii="Arial Narrow" w:hAnsi="Arial Narrow"/>
                <w:sz w:val="20"/>
                <w:szCs w:val="20"/>
              </w:rPr>
              <w:t>Authority Required - In Writing</w:t>
            </w:r>
          </w:p>
          <w:p w:rsidR="00DA2812" w:rsidRPr="00106BCF" w:rsidRDefault="00DA2812" w:rsidP="00F41C4A">
            <w:pPr>
              <w:rPr>
                <w:rFonts w:ascii="Arial Narrow" w:hAnsi="Arial Narrow"/>
                <w:sz w:val="20"/>
                <w:szCs w:val="20"/>
              </w:rPr>
            </w:pPr>
            <w:r w:rsidRPr="00106BCF"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06BCF">
              <w:rPr>
                <w:rFonts w:ascii="Arial Narrow" w:hAnsi="Arial Narrow"/>
                <w:sz w:val="20"/>
                <w:szCs w:val="20"/>
              </w:rPr>
              <w:instrText xml:space="preserve"> FORMCHECKBOX </w:instrText>
            </w:r>
            <w:r w:rsidR="00692C86">
              <w:rPr>
                <w:rFonts w:ascii="Arial Narrow" w:hAnsi="Arial Narrow"/>
                <w:sz w:val="20"/>
                <w:szCs w:val="20"/>
              </w:rPr>
            </w:r>
            <w:r w:rsidR="00692C86"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 w:rsidRPr="00106BCF">
              <w:rPr>
                <w:rFonts w:ascii="Arial Narrow" w:hAnsi="Arial Narrow"/>
                <w:sz w:val="20"/>
                <w:szCs w:val="20"/>
              </w:rPr>
              <w:fldChar w:fldCharType="end"/>
            </w:r>
            <w:r w:rsidRPr="00106BCF">
              <w:rPr>
                <w:rFonts w:ascii="Arial Narrow" w:hAnsi="Arial Narrow"/>
                <w:sz w:val="20"/>
                <w:szCs w:val="20"/>
              </w:rPr>
              <w:t>Authority Required - Telephone</w:t>
            </w:r>
          </w:p>
          <w:p w:rsidR="00DA2812" w:rsidRPr="00106BCF" w:rsidRDefault="00DA2812" w:rsidP="00F41C4A">
            <w:pPr>
              <w:rPr>
                <w:rFonts w:ascii="Arial Narrow" w:hAnsi="Arial Narrow"/>
                <w:sz w:val="20"/>
                <w:szCs w:val="20"/>
              </w:rPr>
            </w:pPr>
            <w:r w:rsidRPr="00106BCF"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06BCF">
              <w:rPr>
                <w:rFonts w:ascii="Arial Narrow" w:hAnsi="Arial Narrow"/>
                <w:sz w:val="20"/>
                <w:szCs w:val="20"/>
              </w:rPr>
              <w:instrText xml:space="preserve"> FORMCHECKBOX </w:instrText>
            </w:r>
            <w:r w:rsidR="00692C86">
              <w:rPr>
                <w:rFonts w:ascii="Arial Narrow" w:hAnsi="Arial Narrow"/>
                <w:sz w:val="20"/>
                <w:szCs w:val="20"/>
              </w:rPr>
            </w:r>
            <w:r w:rsidR="00692C86"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 w:rsidRPr="00106BCF">
              <w:rPr>
                <w:rFonts w:ascii="Arial Narrow" w:hAnsi="Arial Narrow"/>
                <w:sz w:val="20"/>
                <w:szCs w:val="20"/>
              </w:rPr>
              <w:fldChar w:fldCharType="end"/>
            </w:r>
            <w:r w:rsidRPr="00106BCF">
              <w:rPr>
                <w:rFonts w:ascii="Arial Narrow" w:hAnsi="Arial Narrow"/>
                <w:sz w:val="20"/>
                <w:szCs w:val="20"/>
              </w:rPr>
              <w:t>Authority Required – Emergency</w:t>
            </w:r>
          </w:p>
          <w:p w:rsidR="00DA2812" w:rsidRPr="00106BCF" w:rsidRDefault="00DA2812" w:rsidP="00F41C4A">
            <w:pPr>
              <w:rPr>
                <w:rFonts w:ascii="Arial Narrow" w:hAnsi="Arial Narrow"/>
                <w:sz w:val="20"/>
                <w:szCs w:val="20"/>
              </w:rPr>
            </w:pPr>
            <w:r w:rsidRPr="00106BCF"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06BCF">
              <w:rPr>
                <w:rFonts w:ascii="Arial Narrow" w:hAnsi="Arial Narrow"/>
                <w:sz w:val="20"/>
                <w:szCs w:val="20"/>
              </w:rPr>
              <w:instrText xml:space="preserve"> FORMCHECKBOX </w:instrText>
            </w:r>
            <w:r w:rsidR="00692C86">
              <w:rPr>
                <w:rFonts w:ascii="Arial Narrow" w:hAnsi="Arial Narrow"/>
                <w:sz w:val="20"/>
                <w:szCs w:val="20"/>
              </w:rPr>
            </w:r>
            <w:r w:rsidR="00692C86"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 w:rsidRPr="00106BCF">
              <w:rPr>
                <w:rFonts w:ascii="Arial Narrow" w:hAnsi="Arial Narrow"/>
                <w:sz w:val="20"/>
                <w:szCs w:val="20"/>
              </w:rPr>
              <w:fldChar w:fldCharType="end"/>
            </w:r>
            <w:r w:rsidRPr="00106BCF">
              <w:rPr>
                <w:rFonts w:ascii="Arial Narrow" w:hAnsi="Arial Narrow"/>
                <w:sz w:val="20"/>
                <w:szCs w:val="20"/>
              </w:rPr>
              <w:t>Authority Required - Electronic</w:t>
            </w:r>
          </w:p>
          <w:p w:rsidR="00DA2812" w:rsidRPr="00260CE3" w:rsidRDefault="00DA2812" w:rsidP="00F41C4A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bookmarkStart w:id="2" w:name="Check5"/>
            <w:r>
              <w:rPr>
                <w:rFonts w:ascii="Arial Narrow" w:hAnsi="Arial Narrow"/>
                <w:sz w:val="20"/>
                <w:szCs w:val="20"/>
              </w:rPr>
              <w:instrText xml:space="preserve"> FORMCHECKBOX </w:instrText>
            </w:r>
            <w:r w:rsidR="00692C86">
              <w:rPr>
                <w:rFonts w:ascii="Arial Narrow" w:hAnsi="Arial Narrow"/>
                <w:sz w:val="20"/>
                <w:szCs w:val="20"/>
              </w:rPr>
            </w:r>
            <w:r w:rsidR="00692C86"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>
              <w:rPr>
                <w:rFonts w:ascii="Arial Narrow" w:hAnsi="Arial Narrow"/>
                <w:sz w:val="20"/>
                <w:szCs w:val="20"/>
              </w:rPr>
              <w:fldChar w:fldCharType="end"/>
            </w:r>
            <w:bookmarkEnd w:id="2"/>
            <w:r w:rsidRPr="00106BCF">
              <w:rPr>
                <w:rFonts w:ascii="Arial Narrow" w:hAnsi="Arial Narrow"/>
                <w:sz w:val="20"/>
                <w:szCs w:val="20"/>
              </w:rPr>
              <w:t>Streamlined</w:t>
            </w:r>
          </w:p>
        </w:tc>
      </w:tr>
      <w:tr w:rsidR="00DA2812" w:rsidRPr="00260CE3" w:rsidTr="00F41C4A">
        <w:trPr>
          <w:cantSplit/>
          <w:trHeight w:val="360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812" w:rsidRPr="004E7E1F" w:rsidRDefault="00DA2812" w:rsidP="00F41C4A">
            <w:pPr>
              <w:rPr>
                <w:rFonts w:ascii="Arial Narrow" w:hAnsi="Arial Narrow"/>
                <w:b/>
                <w:sz w:val="20"/>
                <w:szCs w:val="20"/>
              </w:rPr>
            </w:pPr>
            <w:r w:rsidRPr="00260CE3">
              <w:rPr>
                <w:rFonts w:ascii="Arial Narrow" w:hAnsi="Arial Narrow"/>
                <w:b/>
                <w:sz w:val="20"/>
                <w:szCs w:val="20"/>
              </w:rPr>
              <w:t>Clinical criteria:</w:t>
            </w:r>
          </w:p>
        </w:tc>
        <w:tc>
          <w:tcPr>
            <w:tcW w:w="652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812" w:rsidRPr="004E7E1F" w:rsidRDefault="00DA2812" w:rsidP="00F41C4A">
            <w:pPr>
              <w:rPr>
                <w:rFonts w:ascii="Arial Narrow" w:hAnsi="Arial Narrow"/>
                <w:sz w:val="20"/>
                <w:szCs w:val="20"/>
              </w:rPr>
            </w:pPr>
            <w:r w:rsidRPr="004E7E1F">
              <w:rPr>
                <w:rFonts w:ascii="Arial Narrow" w:hAnsi="Arial Narrow"/>
                <w:sz w:val="20"/>
                <w:szCs w:val="20"/>
              </w:rPr>
              <w:t>The treatment must be in combination with metformin; OR</w:t>
            </w:r>
          </w:p>
          <w:p w:rsidR="00DA2812" w:rsidRPr="004E7E1F" w:rsidRDefault="00DA2812" w:rsidP="00F41C4A">
            <w:pPr>
              <w:rPr>
                <w:rFonts w:ascii="Arial Narrow" w:hAnsi="Arial Narrow"/>
                <w:sz w:val="20"/>
                <w:szCs w:val="20"/>
              </w:rPr>
            </w:pPr>
            <w:r w:rsidRPr="004E7E1F">
              <w:rPr>
                <w:rFonts w:ascii="Arial Narrow" w:hAnsi="Arial Narrow"/>
                <w:sz w:val="20"/>
                <w:szCs w:val="20"/>
              </w:rPr>
              <w:t>The treatment must be in combination with a sulfonylurea.</w:t>
            </w:r>
          </w:p>
          <w:p w:rsidR="00DA2812" w:rsidRPr="004E7E1F" w:rsidRDefault="00DA2812" w:rsidP="00F41C4A">
            <w:pPr>
              <w:rPr>
                <w:rFonts w:ascii="Arial Narrow" w:hAnsi="Arial Narrow"/>
                <w:sz w:val="20"/>
                <w:szCs w:val="20"/>
              </w:rPr>
            </w:pPr>
          </w:p>
          <w:p w:rsidR="00DA2812" w:rsidRPr="004E7E1F" w:rsidRDefault="00DA2812" w:rsidP="00F41C4A">
            <w:pPr>
              <w:rPr>
                <w:rFonts w:ascii="Arial Narrow" w:hAnsi="Arial Narrow"/>
                <w:sz w:val="20"/>
                <w:szCs w:val="20"/>
              </w:rPr>
            </w:pPr>
            <w:r w:rsidRPr="004E7E1F">
              <w:rPr>
                <w:rFonts w:ascii="Arial Narrow" w:hAnsi="Arial Narrow"/>
                <w:sz w:val="20"/>
                <w:szCs w:val="20"/>
              </w:rPr>
              <w:t>AND</w:t>
            </w:r>
          </w:p>
          <w:p w:rsidR="00DA2812" w:rsidRPr="004E7E1F" w:rsidRDefault="00DA2812" w:rsidP="00F41C4A">
            <w:pPr>
              <w:rPr>
                <w:rFonts w:ascii="Arial Narrow" w:hAnsi="Arial Narrow"/>
                <w:sz w:val="20"/>
                <w:szCs w:val="20"/>
              </w:rPr>
            </w:pPr>
          </w:p>
          <w:p w:rsidR="00DA2812" w:rsidRPr="004E7E1F" w:rsidRDefault="00DA2812" w:rsidP="00F41C4A">
            <w:pPr>
              <w:rPr>
                <w:rFonts w:ascii="Arial Narrow" w:hAnsi="Arial Narrow"/>
                <w:sz w:val="20"/>
                <w:szCs w:val="20"/>
              </w:rPr>
            </w:pPr>
            <w:r w:rsidRPr="004E7E1F">
              <w:rPr>
                <w:rFonts w:ascii="Arial Narrow" w:hAnsi="Arial Narrow"/>
                <w:sz w:val="20"/>
                <w:szCs w:val="20"/>
              </w:rPr>
              <w:t>Patient must have a contraindication to a combination of metformin and a sulfonylurea; OR</w:t>
            </w:r>
          </w:p>
          <w:p w:rsidR="00DA2812" w:rsidRPr="004E7E1F" w:rsidRDefault="00DA2812" w:rsidP="00F41C4A">
            <w:pPr>
              <w:rPr>
                <w:rFonts w:ascii="Arial Narrow" w:hAnsi="Arial Narrow"/>
                <w:sz w:val="20"/>
                <w:szCs w:val="20"/>
              </w:rPr>
            </w:pPr>
            <w:r w:rsidRPr="004E7E1F">
              <w:rPr>
                <w:rFonts w:ascii="Arial Narrow" w:hAnsi="Arial Narrow"/>
                <w:sz w:val="20"/>
                <w:szCs w:val="20"/>
              </w:rPr>
              <w:t>Patient must not have tolerated a combination of metformin and a sulfonylurea.</w:t>
            </w:r>
          </w:p>
          <w:p w:rsidR="00DA2812" w:rsidRPr="004E7E1F" w:rsidRDefault="00DA2812" w:rsidP="00F41C4A">
            <w:pPr>
              <w:rPr>
                <w:rFonts w:ascii="Arial Narrow" w:hAnsi="Arial Narrow"/>
                <w:sz w:val="20"/>
                <w:szCs w:val="20"/>
              </w:rPr>
            </w:pPr>
          </w:p>
          <w:p w:rsidR="00DA2812" w:rsidRPr="004E7E1F" w:rsidRDefault="00DA2812" w:rsidP="00F41C4A">
            <w:pPr>
              <w:rPr>
                <w:rFonts w:ascii="Arial Narrow" w:hAnsi="Arial Narrow"/>
                <w:sz w:val="20"/>
                <w:szCs w:val="20"/>
              </w:rPr>
            </w:pPr>
            <w:r w:rsidRPr="004E7E1F">
              <w:rPr>
                <w:rFonts w:ascii="Arial Narrow" w:hAnsi="Arial Narrow"/>
                <w:sz w:val="20"/>
                <w:szCs w:val="20"/>
              </w:rPr>
              <w:t>AND</w:t>
            </w:r>
          </w:p>
          <w:p w:rsidR="00DA2812" w:rsidRPr="004E7E1F" w:rsidRDefault="00DA2812" w:rsidP="00F41C4A">
            <w:pPr>
              <w:rPr>
                <w:rFonts w:ascii="Arial Narrow" w:hAnsi="Arial Narrow"/>
                <w:sz w:val="20"/>
                <w:szCs w:val="20"/>
              </w:rPr>
            </w:pPr>
          </w:p>
          <w:p w:rsidR="00DA2812" w:rsidRPr="004E7E1F" w:rsidRDefault="00DA2812" w:rsidP="00F41C4A">
            <w:pPr>
              <w:rPr>
                <w:rFonts w:ascii="Arial Narrow" w:hAnsi="Arial Narrow"/>
                <w:sz w:val="20"/>
                <w:szCs w:val="20"/>
              </w:rPr>
            </w:pPr>
            <w:r w:rsidRPr="004E7E1F">
              <w:rPr>
                <w:rFonts w:ascii="Arial Narrow" w:hAnsi="Arial Narrow"/>
                <w:sz w:val="20"/>
                <w:szCs w:val="20"/>
              </w:rPr>
              <w:t>Patient must have, or have had, a HbA1c measurement greater than 7% prior to the initiation of a dipeptidyl peptidase 4 inhibitor (gliptin), a thiazolidinedione (glitazone), a glucagon-like-peptide-1 or a sodium-glucose co-transporter 2 (SGLT2) inhibitor despite treatment with either metformin or a sulfonylurea; OR</w:t>
            </w:r>
          </w:p>
          <w:p w:rsidR="00DA2812" w:rsidRPr="00260CE3" w:rsidRDefault="00DA2812" w:rsidP="00F41C4A">
            <w:pPr>
              <w:rPr>
                <w:rFonts w:ascii="Arial Narrow" w:hAnsi="Arial Narrow"/>
                <w:sz w:val="20"/>
                <w:szCs w:val="20"/>
              </w:rPr>
            </w:pPr>
            <w:r w:rsidRPr="004E7E1F">
              <w:rPr>
                <w:rFonts w:ascii="Arial Narrow" w:hAnsi="Arial Narrow"/>
                <w:sz w:val="20"/>
                <w:szCs w:val="20"/>
              </w:rPr>
              <w:t>Patient must have, or have had, where HbA1c measurement is clinically inappropriate, blood glucose levels greater than 10 mmol per L in more than 20% of tests over a 2 week period prior to initiation with a gliptin, a glitazone, a glucagon-like peptide-1 or an SGLT2 inhibitor despite treatment with either metformin or a sulfonylurea.</w:t>
            </w:r>
          </w:p>
        </w:tc>
      </w:tr>
      <w:tr w:rsidR="00DA2812" w:rsidRPr="00260CE3" w:rsidTr="00F41C4A">
        <w:trPr>
          <w:cantSplit/>
          <w:trHeight w:val="360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812" w:rsidRPr="00260CE3" w:rsidRDefault="00DA2812" w:rsidP="00F41C4A">
            <w:pPr>
              <w:rPr>
                <w:rFonts w:ascii="Arial Narrow" w:hAnsi="Arial Narrow"/>
                <w:sz w:val="20"/>
                <w:szCs w:val="20"/>
              </w:rPr>
            </w:pPr>
            <w:r w:rsidRPr="00260CE3">
              <w:rPr>
                <w:rFonts w:ascii="Arial Narrow" w:hAnsi="Arial Narrow"/>
                <w:b/>
                <w:sz w:val="20"/>
                <w:szCs w:val="20"/>
              </w:rPr>
              <w:t>Prescriber Instructions</w:t>
            </w:r>
            <w:r>
              <w:rPr>
                <w:rFonts w:ascii="Arial Narrow" w:hAnsi="Arial Narrow"/>
                <w:b/>
                <w:sz w:val="20"/>
                <w:szCs w:val="20"/>
              </w:rPr>
              <w:t>:</w:t>
            </w:r>
          </w:p>
        </w:tc>
        <w:tc>
          <w:tcPr>
            <w:tcW w:w="652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812" w:rsidRPr="004E7E1F" w:rsidRDefault="00DA2812" w:rsidP="00F41C4A">
            <w:pPr>
              <w:rPr>
                <w:rFonts w:ascii="Arial Narrow" w:hAnsi="Arial Narrow"/>
                <w:sz w:val="20"/>
                <w:szCs w:val="20"/>
              </w:rPr>
            </w:pPr>
            <w:r w:rsidRPr="004E7E1F">
              <w:rPr>
                <w:rFonts w:ascii="Arial Narrow" w:hAnsi="Arial Narrow"/>
                <w:sz w:val="20"/>
                <w:szCs w:val="20"/>
              </w:rPr>
              <w:t>The date and level of the qualifying HbA1c measurement must be</w:t>
            </w:r>
            <w:r>
              <w:rPr>
                <w:rFonts w:ascii="Arial Narrow" w:hAnsi="Arial Narrow"/>
                <w:sz w:val="20"/>
                <w:szCs w:val="20"/>
              </w:rPr>
              <w:t>,</w:t>
            </w:r>
            <w:r w:rsidRPr="004E7E1F">
              <w:rPr>
                <w:rFonts w:ascii="Arial Narrow" w:hAnsi="Arial Narrow"/>
                <w:sz w:val="20"/>
                <w:szCs w:val="20"/>
              </w:rPr>
              <w:t xml:space="preserve"> or must have been</w:t>
            </w:r>
            <w:r>
              <w:rPr>
                <w:rFonts w:ascii="Arial Narrow" w:hAnsi="Arial Narrow"/>
                <w:sz w:val="20"/>
                <w:szCs w:val="20"/>
              </w:rPr>
              <w:t>,</w:t>
            </w:r>
            <w:r w:rsidRPr="004E7E1F">
              <w:rPr>
                <w:rFonts w:ascii="Arial Narrow" w:hAnsi="Arial Narrow"/>
                <w:sz w:val="20"/>
                <w:szCs w:val="20"/>
              </w:rPr>
              <w:t xml:space="preserve"> documented in the patient’s medical records at the time treatment with a gliptin, a glitazone, a glucagon-like peptide-1 or an SGLT2 inhibitor is initiated. </w:t>
            </w:r>
          </w:p>
          <w:p w:rsidR="00DA2812" w:rsidRPr="004E7E1F" w:rsidRDefault="00DA2812" w:rsidP="00F41C4A">
            <w:pPr>
              <w:rPr>
                <w:rFonts w:ascii="Arial Narrow" w:hAnsi="Arial Narrow"/>
                <w:sz w:val="20"/>
                <w:szCs w:val="20"/>
              </w:rPr>
            </w:pPr>
          </w:p>
          <w:p w:rsidR="00DA2812" w:rsidRPr="004E7E1F" w:rsidRDefault="00DA2812" w:rsidP="00F41C4A">
            <w:pPr>
              <w:rPr>
                <w:rFonts w:ascii="Arial Narrow" w:hAnsi="Arial Narrow"/>
                <w:sz w:val="20"/>
                <w:szCs w:val="20"/>
              </w:rPr>
            </w:pPr>
            <w:r w:rsidRPr="004E7E1F">
              <w:rPr>
                <w:rFonts w:ascii="Arial Narrow" w:hAnsi="Arial Narrow"/>
                <w:sz w:val="20"/>
                <w:szCs w:val="20"/>
              </w:rPr>
              <w:t>The HbA1c must be no more than 4 months old at the time treatment with a gliptin, a glitazone, a glucagon-like peptide-1 or an SGLT2 inhibitor was initiated.</w:t>
            </w:r>
          </w:p>
          <w:p w:rsidR="00DA2812" w:rsidRPr="004E7E1F" w:rsidRDefault="00DA2812" w:rsidP="00F41C4A">
            <w:pPr>
              <w:rPr>
                <w:rFonts w:ascii="Arial Narrow" w:hAnsi="Arial Narrow"/>
                <w:sz w:val="20"/>
                <w:szCs w:val="20"/>
              </w:rPr>
            </w:pPr>
          </w:p>
          <w:p w:rsidR="00DA2812" w:rsidRPr="004E7E1F" w:rsidRDefault="00DA2812" w:rsidP="00F41C4A">
            <w:pPr>
              <w:rPr>
                <w:rFonts w:ascii="Arial Narrow" w:hAnsi="Arial Narrow"/>
                <w:sz w:val="20"/>
                <w:szCs w:val="20"/>
              </w:rPr>
            </w:pPr>
            <w:r w:rsidRPr="004E7E1F">
              <w:rPr>
                <w:rFonts w:ascii="Arial Narrow" w:hAnsi="Arial Narrow"/>
                <w:sz w:val="20"/>
                <w:szCs w:val="20"/>
              </w:rPr>
              <w:t>Blood glucose monitoring may be used as an alternative assessment to HbA1c levels in the following circumstances:</w:t>
            </w:r>
          </w:p>
          <w:p w:rsidR="00DA2812" w:rsidRPr="004E7E1F" w:rsidRDefault="00DA2812" w:rsidP="00DA2812">
            <w:pPr>
              <w:numPr>
                <w:ilvl w:val="0"/>
                <w:numId w:val="11"/>
              </w:numPr>
              <w:ind w:left="318" w:hanging="284"/>
              <w:rPr>
                <w:rFonts w:ascii="Arial Narrow" w:hAnsi="Arial Narrow"/>
                <w:sz w:val="20"/>
                <w:szCs w:val="20"/>
              </w:rPr>
            </w:pPr>
            <w:r w:rsidRPr="004E7E1F">
              <w:rPr>
                <w:rFonts w:ascii="Arial Narrow" w:hAnsi="Arial Narrow"/>
                <w:sz w:val="20"/>
                <w:szCs w:val="20"/>
              </w:rPr>
              <w:t>A clinical condition with re</w:t>
            </w:r>
            <w:r>
              <w:rPr>
                <w:rFonts w:ascii="Arial Narrow" w:hAnsi="Arial Narrow"/>
                <w:sz w:val="20"/>
                <w:szCs w:val="20"/>
              </w:rPr>
              <w:t>duced red blood cell survival,</w:t>
            </w:r>
            <w:r w:rsidRPr="004E7E1F">
              <w:rPr>
                <w:rFonts w:ascii="Arial Narrow" w:hAnsi="Arial Narrow"/>
                <w:sz w:val="20"/>
                <w:szCs w:val="20"/>
              </w:rPr>
              <w:t xml:space="preserve"> including haemolytic anaemias and haemoglobinopathies; and/or</w:t>
            </w:r>
          </w:p>
          <w:p w:rsidR="00DA2812" w:rsidRPr="004E7E1F" w:rsidRDefault="00DA2812" w:rsidP="00DA2812">
            <w:pPr>
              <w:numPr>
                <w:ilvl w:val="0"/>
                <w:numId w:val="11"/>
              </w:numPr>
              <w:ind w:left="318" w:hanging="284"/>
              <w:rPr>
                <w:rFonts w:ascii="Arial Narrow" w:hAnsi="Arial Narrow"/>
                <w:sz w:val="20"/>
                <w:szCs w:val="20"/>
              </w:rPr>
            </w:pPr>
            <w:r w:rsidRPr="004E7E1F">
              <w:rPr>
                <w:rFonts w:ascii="Arial Narrow" w:hAnsi="Arial Narrow"/>
                <w:sz w:val="20"/>
                <w:szCs w:val="20"/>
              </w:rPr>
              <w:t>Had red cell transfusion within the previous 3 months</w:t>
            </w:r>
          </w:p>
          <w:p w:rsidR="00DA2812" w:rsidRPr="004E7E1F" w:rsidRDefault="00DA2812" w:rsidP="00F41C4A">
            <w:pPr>
              <w:rPr>
                <w:rFonts w:ascii="Arial Narrow" w:hAnsi="Arial Narrow"/>
                <w:sz w:val="20"/>
                <w:szCs w:val="20"/>
              </w:rPr>
            </w:pPr>
          </w:p>
          <w:p w:rsidR="00DA2812" w:rsidRPr="00260CE3" w:rsidRDefault="00DA2812" w:rsidP="00F41C4A">
            <w:pPr>
              <w:rPr>
                <w:rFonts w:ascii="Arial Narrow" w:hAnsi="Arial Narrow"/>
                <w:sz w:val="20"/>
                <w:szCs w:val="20"/>
              </w:rPr>
            </w:pPr>
            <w:r w:rsidRPr="004E7E1F">
              <w:rPr>
                <w:rFonts w:ascii="Arial Narrow" w:hAnsi="Arial Narrow"/>
                <w:sz w:val="20"/>
                <w:szCs w:val="20"/>
              </w:rPr>
              <w:t>The results of the blood glucose monitoring, which must be no more than 4 months old at the time of initiation of treatment with a gliptin, a glitazone, a glucagon-like peptide-1 or an SGLT2 inhibitor, must be documented in the patient's medical records.</w:t>
            </w:r>
          </w:p>
        </w:tc>
      </w:tr>
      <w:tr w:rsidR="00DA2812" w:rsidRPr="00260CE3" w:rsidTr="00F41C4A">
        <w:trPr>
          <w:cantSplit/>
          <w:trHeight w:val="360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812" w:rsidRPr="004E7E1F" w:rsidRDefault="00DA2812" w:rsidP="00F41C4A">
            <w:pPr>
              <w:rPr>
                <w:rFonts w:ascii="Arial Narrow" w:hAnsi="Arial Narrow"/>
                <w:b/>
                <w:sz w:val="20"/>
                <w:szCs w:val="20"/>
              </w:rPr>
            </w:pPr>
            <w:r w:rsidRPr="00260CE3">
              <w:rPr>
                <w:rFonts w:ascii="Arial Narrow" w:hAnsi="Arial Narrow"/>
                <w:b/>
                <w:sz w:val="20"/>
                <w:szCs w:val="20"/>
              </w:rPr>
              <w:t>Administrative Advice</w:t>
            </w:r>
            <w:r>
              <w:rPr>
                <w:rFonts w:ascii="Arial Narrow" w:hAnsi="Arial Narrow"/>
                <w:b/>
                <w:sz w:val="20"/>
                <w:szCs w:val="20"/>
              </w:rPr>
              <w:t>:</w:t>
            </w:r>
          </w:p>
        </w:tc>
        <w:tc>
          <w:tcPr>
            <w:tcW w:w="652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812" w:rsidRPr="004E7E1F" w:rsidRDefault="00DA2812" w:rsidP="00F41C4A">
            <w:pPr>
              <w:rPr>
                <w:rFonts w:ascii="Arial Narrow" w:hAnsi="Arial Narrow"/>
                <w:sz w:val="20"/>
                <w:szCs w:val="20"/>
              </w:rPr>
            </w:pPr>
            <w:r w:rsidRPr="004E7E1F">
              <w:rPr>
                <w:rFonts w:ascii="Arial Narrow" w:hAnsi="Arial Narrow"/>
                <w:sz w:val="20"/>
                <w:szCs w:val="20"/>
              </w:rPr>
              <w:t>Note:</w:t>
            </w:r>
          </w:p>
          <w:p w:rsidR="00DA2812" w:rsidRPr="00260CE3" w:rsidRDefault="00DA2812" w:rsidP="00F41C4A">
            <w:pPr>
              <w:rPr>
                <w:rFonts w:ascii="Arial Narrow" w:hAnsi="Arial Narrow"/>
                <w:sz w:val="20"/>
                <w:szCs w:val="20"/>
              </w:rPr>
            </w:pPr>
            <w:r w:rsidRPr="004E7E1F">
              <w:rPr>
                <w:rFonts w:ascii="Arial Narrow" w:hAnsi="Arial Narrow"/>
                <w:sz w:val="20"/>
                <w:szCs w:val="20"/>
              </w:rPr>
              <w:t>This drug is not PBS-subsidised for use as monotherapy or in combination with a dipeptidyl peptidase 4 inhibitor (gliptin), a thiazolidinedione (glitazone), an insulin or an SGLT2 inhibitor.</w:t>
            </w:r>
          </w:p>
        </w:tc>
      </w:tr>
    </w:tbl>
    <w:p w:rsidR="00DA2812" w:rsidRDefault="00DA2812" w:rsidP="004C7D28">
      <w:pPr>
        <w:pStyle w:val="ListParagraph"/>
        <w:ind w:left="360"/>
        <w:rPr>
          <w:rFonts w:ascii="Arial" w:hAnsi="Arial" w:cs="Arial"/>
          <w:sz w:val="22"/>
          <w:szCs w:val="22"/>
        </w:rPr>
      </w:pPr>
    </w:p>
    <w:p w:rsidR="00DA2812" w:rsidRDefault="00DA2812" w:rsidP="004C7D28">
      <w:pPr>
        <w:pStyle w:val="ListParagraph"/>
        <w:ind w:left="360"/>
        <w:rPr>
          <w:rFonts w:ascii="Arial" w:hAnsi="Arial" w:cs="Arial"/>
          <w:sz w:val="22"/>
          <w:szCs w:val="22"/>
        </w:rPr>
      </w:pPr>
    </w:p>
    <w:tbl>
      <w:tblPr>
        <w:tblW w:w="8363" w:type="dxa"/>
        <w:tblInd w:w="959" w:type="dxa"/>
        <w:tblLayout w:type="fixed"/>
        <w:tblLook w:val="0000" w:firstRow="0" w:lastRow="0" w:firstColumn="0" w:lastColumn="0" w:noHBand="0" w:noVBand="0"/>
      </w:tblPr>
      <w:tblGrid>
        <w:gridCol w:w="1843"/>
        <w:gridCol w:w="6520"/>
      </w:tblGrid>
      <w:tr w:rsidR="00DA2812" w:rsidRPr="00260CE3" w:rsidTr="00F41C4A">
        <w:trPr>
          <w:cantSplit/>
          <w:trHeight w:val="360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812" w:rsidRPr="00260CE3" w:rsidRDefault="00DA2812" w:rsidP="00F41C4A">
            <w:pPr>
              <w:rPr>
                <w:rFonts w:ascii="Arial Narrow" w:hAnsi="Arial Narrow"/>
                <w:b/>
                <w:sz w:val="20"/>
                <w:szCs w:val="20"/>
              </w:rPr>
            </w:pPr>
            <w:r w:rsidRPr="00260CE3">
              <w:rPr>
                <w:rFonts w:ascii="Arial Narrow" w:hAnsi="Arial Narrow"/>
                <w:b/>
                <w:sz w:val="20"/>
                <w:szCs w:val="20"/>
              </w:rPr>
              <w:t xml:space="preserve">Category / </w:t>
            </w:r>
          </w:p>
          <w:p w:rsidR="00DA2812" w:rsidRPr="00260CE3" w:rsidRDefault="00DA2812" w:rsidP="00F41C4A">
            <w:pPr>
              <w:rPr>
                <w:rFonts w:ascii="Arial Narrow" w:hAnsi="Arial Narrow"/>
                <w:b/>
                <w:sz w:val="20"/>
                <w:szCs w:val="20"/>
              </w:rPr>
            </w:pPr>
            <w:r w:rsidRPr="00260CE3">
              <w:rPr>
                <w:rFonts w:ascii="Arial Narrow" w:hAnsi="Arial Narrow"/>
                <w:b/>
                <w:sz w:val="20"/>
                <w:szCs w:val="20"/>
              </w:rPr>
              <w:t>Program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812" w:rsidRPr="00260CE3" w:rsidRDefault="00DA2812" w:rsidP="00F41C4A">
            <w:pPr>
              <w:rPr>
                <w:rFonts w:ascii="Arial Narrow" w:hAnsi="Arial Narrow"/>
                <w:sz w:val="20"/>
                <w:szCs w:val="20"/>
              </w:rPr>
            </w:pPr>
            <w:r w:rsidRPr="00260CE3">
              <w:rPr>
                <w:rFonts w:ascii="Arial Narrow" w:hAnsi="Arial Narrow"/>
                <w:sz w:val="20"/>
                <w:szCs w:val="20"/>
              </w:rPr>
              <w:t>GENERAL – General Schedule (Code GE)</w:t>
            </w:r>
          </w:p>
        </w:tc>
      </w:tr>
      <w:tr w:rsidR="00DA2812" w:rsidRPr="00260CE3" w:rsidTr="00F41C4A">
        <w:trPr>
          <w:cantSplit/>
          <w:trHeight w:val="360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812" w:rsidRPr="00260CE3" w:rsidRDefault="00DA2812" w:rsidP="00F41C4A">
            <w:pPr>
              <w:rPr>
                <w:rFonts w:ascii="Arial Narrow" w:hAnsi="Arial Narrow"/>
                <w:b/>
                <w:sz w:val="20"/>
                <w:szCs w:val="20"/>
              </w:rPr>
            </w:pPr>
            <w:r w:rsidRPr="00260CE3">
              <w:rPr>
                <w:rFonts w:ascii="Arial Narrow" w:hAnsi="Arial Narrow"/>
                <w:b/>
                <w:sz w:val="20"/>
                <w:szCs w:val="20"/>
              </w:rPr>
              <w:t>Prescriber type: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812" w:rsidRPr="00260CE3" w:rsidRDefault="00DA2812" w:rsidP="00F41C4A">
            <w:pPr>
              <w:rPr>
                <w:rFonts w:ascii="Arial Narrow" w:hAnsi="Arial Narrow"/>
                <w:sz w:val="20"/>
                <w:szCs w:val="20"/>
              </w:rPr>
            </w:pPr>
            <w:r w:rsidRPr="00260CE3"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60CE3">
              <w:rPr>
                <w:rFonts w:ascii="Arial Narrow" w:hAnsi="Arial Narrow"/>
                <w:sz w:val="20"/>
                <w:szCs w:val="20"/>
              </w:rPr>
              <w:instrText xml:space="preserve"> FORMCHECKBOX </w:instrText>
            </w:r>
            <w:r w:rsidR="00692C86">
              <w:rPr>
                <w:rFonts w:ascii="Arial Narrow" w:hAnsi="Arial Narrow"/>
                <w:sz w:val="20"/>
                <w:szCs w:val="20"/>
              </w:rPr>
            </w:r>
            <w:r w:rsidR="00692C86"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 w:rsidRPr="00260CE3">
              <w:rPr>
                <w:rFonts w:ascii="Arial Narrow" w:hAnsi="Arial Narrow"/>
                <w:sz w:val="20"/>
                <w:szCs w:val="20"/>
              </w:rPr>
              <w:fldChar w:fldCharType="end"/>
            </w:r>
            <w:r w:rsidRPr="00260CE3">
              <w:rPr>
                <w:rFonts w:ascii="Arial Narrow" w:hAnsi="Arial Narrow"/>
                <w:sz w:val="20"/>
                <w:szCs w:val="20"/>
              </w:rPr>
              <w:t xml:space="preserve">Dental  </w:t>
            </w:r>
            <w:r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rPr>
                <w:rFonts w:ascii="Arial Narrow" w:hAnsi="Arial Narrow"/>
                <w:sz w:val="20"/>
                <w:szCs w:val="20"/>
              </w:rPr>
              <w:instrText xml:space="preserve"> FORMCHECKBOX </w:instrText>
            </w:r>
            <w:r w:rsidR="00692C86">
              <w:rPr>
                <w:rFonts w:ascii="Arial Narrow" w:hAnsi="Arial Narrow"/>
                <w:sz w:val="20"/>
                <w:szCs w:val="20"/>
              </w:rPr>
            </w:r>
            <w:r w:rsidR="00692C86"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>
              <w:rPr>
                <w:rFonts w:ascii="Arial Narrow" w:hAnsi="Arial Narrow"/>
                <w:sz w:val="20"/>
                <w:szCs w:val="20"/>
              </w:rPr>
              <w:fldChar w:fldCharType="end"/>
            </w:r>
            <w:r w:rsidRPr="00260CE3">
              <w:rPr>
                <w:rFonts w:ascii="Arial Narrow" w:hAnsi="Arial Narrow"/>
                <w:sz w:val="20"/>
                <w:szCs w:val="20"/>
              </w:rPr>
              <w:t xml:space="preserve">Medical Practitioners  </w:t>
            </w:r>
            <w:r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rPr>
                <w:rFonts w:ascii="Arial Narrow" w:hAnsi="Arial Narrow"/>
                <w:sz w:val="20"/>
                <w:szCs w:val="20"/>
              </w:rPr>
              <w:instrText xml:space="preserve"> FORMCHECKBOX </w:instrText>
            </w:r>
            <w:r w:rsidR="00692C86">
              <w:rPr>
                <w:rFonts w:ascii="Arial Narrow" w:hAnsi="Arial Narrow"/>
                <w:sz w:val="20"/>
                <w:szCs w:val="20"/>
              </w:rPr>
            </w:r>
            <w:r w:rsidR="00692C86"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>
              <w:rPr>
                <w:rFonts w:ascii="Arial Narrow" w:hAnsi="Arial Narrow"/>
                <w:sz w:val="20"/>
                <w:szCs w:val="20"/>
              </w:rPr>
              <w:fldChar w:fldCharType="end"/>
            </w:r>
            <w:r w:rsidRPr="00260CE3">
              <w:rPr>
                <w:rFonts w:ascii="Arial Narrow" w:hAnsi="Arial Narrow"/>
                <w:sz w:val="20"/>
                <w:szCs w:val="20"/>
              </w:rPr>
              <w:t xml:space="preserve">Nurse practitioners  </w:t>
            </w:r>
            <w:r w:rsidRPr="00260CE3"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60CE3">
              <w:rPr>
                <w:rFonts w:ascii="Arial Narrow" w:hAnsi="Arial Narrow"/>
                <w:sz w:val="20"/>
                <w:szCs w:val="20"/>
              </w:rPr>
              <w:instrText xml:space="preserve"> FORMCHECKBOX </w:instrText>
            </w:r>
            <w:r w:rsidR="00692C86">
              <w:rPr>
                <w:rFonts w:ascii="Arial Narrow" w:hAnsi="Arial Narrow"/>
                <w:sz w:val="20"/>
                <w:szCs w:val="20"/>
              </w:rPr>
            </w:r>
            <w:r w:rsidR="00692C86"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 w:rsidRPr="00260CE3">
              <w:rPr>
                <w:rFonts w:ascii="Arial Narrow" w:hAnsi="Arial Narrow"/>
                <w:sz w:val="20"/>
                <w:szCs w:val="20"/>
              </w:rPr>
              <w:fldChar w:fldCharType="end"/>
            </w:r>
            <w:r w:rsidRPr="00260CE3">
              <w:rPr>
                <w:rFonts w:ascii="Arial Narrow" w:hAnsi="Arial Narrow"/>
                <w:sz w:val="20"/>
                <w:szCs w:val="20"/>
              </w:rPr>
              <w:t>Optometrists</w:t>
            </w:r>
          </w:p>
          <w:p w:rsidR="00DA2812" w:rsidRPr="00260CE3" w:rsidRDefault="00DA2812" w:rsidP="00F41C4A">
            <w:pPr>
              <w:rPr>
                <w:rFonts w:ascii="Arial Narrow" w:hAnsi="Arial Narrow"/>
                <w:sz w:val="20"/>
                <w:szCs w:val="20"/>
              </w:rPr>
            </w:pPr>
            <w:r w:rsidRPr="00260CE3"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60CE3">
              <w:rPr>
                <w:rFonts w:ascii="Arial Narrow" w:hAnsi="Arial Narrow"/>
                <w:sz w:val="20"/>
                <w:szCs w:val="20"/>
              </w:rPr>
              <w:instrText xml:space="preserve"> FORMCHECKBOX </w:instrText>
            </w:r>
            <w:r w:rsidR="00692C86">
              <w:rPr>
                <w:rFonts w:ascii="Arial Narrow" w:hAnsi="Arial Narrow"/>
                <w:sz w:val="20"/>
                <w:szCs w:val="20"/>
              </w:rPr>
            </w:r>
            <w:r w:rsidR="00692C86"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 w:rsidRPr="00260CE3">
              <w:rPr>
                <w:rFonts w:ascii="Arial Narrow" w:hAnsi="Arial Narrow"/>
                <w:sz w:val="20"/>
                <w:szCs w:val="20"/>
              </w:rPr>
              <w:fldChar w:fldCharType="end"/>
            </w:r>
            <w:r w:rsidRPr="00260CE3">
              <w:rPr>
                <w:rFonts w:ascii="Arial Narrow" w:hAnsi="Arial Narrow"/>
                <w:sz w:val="20"/>
                <w:szCs w:val="20"/>
              </w:rPr>
              <w:t>Midwives</w:t>
            </w:r>
          </w:p>
        </w:tc>
      </w:tr>
      <w:tr w:rsidR="00DA2812" w:rsidRPr="00260CE3" w:rsidTr="00F41C4A">
        <w:trPr>
          <w:cantSplit/>
          <w:trHeight w:val="360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812" w:rsidRPr="00260CE3" w:rsidRDefault="00DA2812" w:rsidP="00F41C4A">
            <w:pPr>
              <w:rPr>
                <w:rFonts w:ascii="Arial Narrow" w:hAnsi="Arial Narrow"/>
                <w:b/>
                <w:sz w:val="20"/>
                <w:szCs w:val="20"/>
              </w:rPr>
            </w:pPr>
            <w:r w:rsidRPr="00260CE3">
              <w:rPr>
                <w:rFonts w:ascii="Arial Narrow" w:hAnsi="Arial Narrow"/>
                <w:b/>
                <w:sz w:val="20"/>
                <w:szCs w:val="20"/>
              </w:rPr>
              <w:t>Condition: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812" w:rsidRPr="00127720" w:rsidRDefault="00DA2812" w:rsidP="00F41C4A">
            <w:pPr>
              <w:rPr>
                <w:rFonts w:ascii="Arial Narrow" w:hAnsi="Arial Narrow"/>
                <w:sz w:val="20"/>
                <w:szCs w:val="20"/>
              </w:rPr>
            </w:pPr>
            <w:r w:rsidRPr="00127720">
              <w:rPr>
                <w:rFonts w:ascii="Arial Narrow" w:hAnsi="Arial Narrow"/>
                <w:sz w:val="20"/>
                <w:szCs w:val="20"/>
              </w:rPr>
              <w:t>Diabetes mellitus type 2</w:t>
            </w:r>
          </w:p>
        </w:tc>
      </w:tr>
      <w:tr w:rsidR="00DA2812" w:rsidRPr="00260CE3" w:rsidTr="00F41C4A">
        <w:trPr>
          <w:cantSplit/>
          <w:trHeight w:val="360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812" w:rsidRPr="00260CE3" w:rsidRDefault="00DA2812" w:rsidP="00F41C4A">
            <w:pPr>
              <w:rPr>
                <w:rFonts w:ascii="Arial Narrow" w:hAnsi="Arial Narrow"/>
                <w:b/>
                <w:sz w:val="20"/>
                <w:szCs w:val="20"/>
              </w:rPr>
            </w:pPr>
            <w:r w:rsidRPr="00260CE3">
              <w:rPr>
                <w:rFonts w:ascii="Arial Narrow" w:hAnsi="Arial Narrow"/>
                <w:b/>
                <w:sz w:val="20"/>
                <w:szCs w:val="20"/>
              </w:rPr>
              <w:t>PBS Indication: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812" w:rsidRPr="00127720" w:rsidRDefault="00DA2812" w:rsidP="00F41C4A">
            <w:pPr>
              <w:rPr>
                <w:rFonts w:ascii="Arial Narrow" w:hAnsi="Arial Narrow"/>
                <w:sz w:val="20"/>
                <w:szCs w:val="20"/>
              </w:rPr>
            </w:pPr>
            <w:r w:rsidRPr="00127720">
              <w:rPr>
                <w:rFonts w:ascii="Arial Narrow" w:hAnsi="Arial Narrow"/>
                <w:sz w:val="20"/>
                <w:szCs w:val="20"/>
              </w:rPr>
              <w:t>Diabetes mellitus type 2</w:t>
            </w:r>
          </w:p>
        </w:tc>
      </w:tr>
      <w:tr w:rsidR="00DA2812" w:rsidRPr="00260CE3" w:rsidTr="00F41C4A">
        <w:trPr>
          <w:cantSplit/>
          <w:trHeight w:val="360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812" w:rsidRPr="004E7E1F" w:rsidRDefault="00DA2812" w:rsidP="00F41C4A">
            <w:pPr>
              <w:rPr>
                <w:rFonts w:ascii="Arial Narrow" w:hAnsi="Arial Narrow"/>
                <w:b/>
                <w:sz w:val="20"/>
                <w:szCs w:val="20"/>
              </w:rPr>
            </w:pPr>
            <w:r w:rsidRPr="00260CE3">
              <w:rPr>
                <w:rFonts w:ascii="Arial Narrow" w:hAnsi="Arial Narrow"/>
                <w:b/>
                <w:sz w:val="20"/>
                <w:szCs w:val="20"/>
              </w:rPr>
              <w:lastRenderedPageBreak/>
              <w:t>Restriction</w:t>
            </w:r>
            <w:r>
              <w:rPr>
                <w:rFonts w:ascii="Arial Narrow" w:hAnsi="Arial Narrow"/>
                <w:b/>
                <w:sz w:val="20"/>
                <w:szCs w:val="20"/>
              </w:rPr>
              <w:t xml:space="preserve"> Level / Method</w:t>
            </w:r>
            <w:r w:rsidRPr="00260CE3">
              <w:rPr>
                <w:rFonts w:ascii="Arial Narrow" w:hAnsi="Arial Narrow"/>
                <w:b/>
                <w:sz w:val="20"/>
                <w:szCs w:val="20"/>
              </w:rPr>
              <w:t>: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812" w:rsidRPr="00106BCF" w:rsidRDefault="00DA2812" w:rsidP="00F41C4A">
            <w:pPr>
              <w:rPr>
                <w:rFonts w:ascii="Arial Narrow" w:hAnsi="Arial Narrow"/>
                <w:sz w:val="20"/>
                <w:szCs w:val="20"/>
              </w:rPr>
            </w:pPr>
            <w:r w:rsidRPr="00106BCF"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06BCF">
              <w:rPr>
                <w:rFonts w:ascii="Arial Narrow" w:hAnsi="Arial Narrow"/>
                <w:sz w:val="20"/>
                <w:szCs w:val="20"/>
              </w:rPr>
              <w:instrText xml:space="preserve"> FORMCHECKBOX </w:instrText>
            </w:r>
            <w:r w:rsidR="00692C86">
              <w:rPr>
                <w:rFonts w:ascii="Arial Narrow" w:hAnsi="Arial Narrow"/>
                <w:sz w:val="20"/>
                <w:szCs w:val="20"/>
              </w:rPr>
            </w:r>
            <w:r w:rsidR="00692C86"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 w:rsidRPr="00106BCF">
              <w:rPr>
                <w:rFonts w:ascii="Arial Narrow" w:hAnsi="Arial Narrow"/>
                <w:sz w:val="20"/>
                <w:szCs w:val="20"/>
              </w:rPr>
              <w:fldChar w:fldCharType="end"/>
            </w:r>
            <w:r w:rsidRPr="00106BCF">
              <w:rPr>
                <w:rFonts w:ascii="Arial Narrow" w:hAnsi="Arial Narrow"/>
                <w:sz w:val="20"/>
                <w:szCs w:val="20"/>
              </w:rPr>
              <w:t>Restricted benefit</w:t>
            </w:r>
          </w:p>
          <w:p w:rsidR="00DA2812" w:rsidRPr="00106BCF" w:rsidRDefault="00DA2812" w:rsidP="00F41C4A">
            <w:pPr>
              <w:rPr>
                <w:rFonts w:ascii="Arial Narrow" w:hAnsi="Arial Narrow"/>
                <w:sz w:val="20"/>
                <w:szCs w:val="20"/>
              </w:rPr>
            </w:pPr>
            <w:r w:rsidRPr="00106BCF"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06BCF">
              <w:rPr>
                <w:rFonts w:ascii="Arial Narrow" w:hAnsi="Arial Narrow"/>
                <w:sz w:val="20"/>
                <w:szCs w:val="20"/>
              </w:rPr>
              <w:instrText xml:space="preserve"> FORMCHECKBOX </w:instrText>
            </w:r>
            <w:r w:rsidR="00692C86">
              <w:rPr>
                <w:rFonts w:ascii="Arial Narrow" w:hAnsi="Arial Narrow"/>
                <w:sz w:val="20"/>
                <w:szCs w:val="20"/>
              </w:rPr>
            </w:r>
            <w:r w:rsidR="00692C86"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 w:rsidRPr="00106BCF">
              <w:rPr>
                <w:rFonts w:ascii="Arial Narrow" w:hAnsi="Arial Narrow"/>
                <w:sz w:val="20"/>
                <w:szCs w:val="20"/>
              </w:rPr>
              <w:fldChar w:fldCharType="end"/>
            </w:r>
            <w:r w:rsidRPr="00106BCF">
              <w:rPr>
                <w:rFonts w:ascii="Arial Narrow" w:hAnsi="Arial Narrow"/>
                <w:sz w:val="20"/>
                <w:szCs w:val="20"/>
              </w:rPr>
              <w:t>Authority Required - In Writing</w:t>
            </w:r>
          </w:p>
          <w:p w:rsidR="00DA2812" w:rsidRPr="00106BCF" w:rsidRDefault="00DA2812" w:rsidP="00F41C4A">
            <w:pPr>
              <w:rPr>
                <w:rFonts w:ascii="Arial Narrow" w:hAnsi="Arial Narrow"/>
                <w:sz w:val="20"/>
                <w:szCs w:val="20"/>
              </w:rPr>
            </w:pPr>
            <w:r w:rsidRPr="00106BCF"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06BCF">
              <w:rPr>
                <w:rFonts w:ascii="Arial Narrow" w:hAnsi="Arial Narrow"/>
                <w:sz w:val="20"/>
                <w:szCs w:val="20"/>
              </w:rPr>
              <w:instrText xml:space="preserve"> FORMCHECKBOX </w:instrText>
            </w:r>
            <w:r w:rsidR="00692C86">
              <w:rPr>
                <w:rFonts w:ascii="Arial Narrow" w:hAnsi="Arial Narrow"/>
                <w:sz w:val="20"/>
                <w:szCs w:val="20"/>
              </w:rPr>
            </w:r>
            <w:r w:rsidR="00692C86"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 w:rsidRPr="00106BCF">
              <w:rPr>
                <w:rFonts w:ascii="Arial Narrow" w:hAnsi="Arial Narrow"/>
                <w:sz w:val="20"/>
                <w:szCs w:val="20"/>
              </w:rPr>
              <w:fldChar w:fldCharType="end"/>
            </w:r>
            <w:r w:rsidRPr="00106BCF">
              <w:rPr>
                <w:rFonts w:ascii="Arial Narrow" w:hAnsi="Arial Narrow"/>
                <w:sz w:val="20"/>
                <w:szCs w:val="20"/>
              </w:rPr>
              <w:t>Authority Required - Telephone</w:t>
            </w:r>
          </w:p>
          <w:p w:rsidR="00DA2812" w:rsidRPr="00106BCF" w:rsidRDefault="00DA2812" w:rsidP="00F41C4A">
            <w:pPr>
              <w:rPr>
                <w:rFonts w:ascii="Arial Narrow" w:hAnsi="Arial Narrow"/>
                <w:sz w:val="20"/>
                <w:szCs w:val="20"/>
              </w:rPr>
            </w:pPr>
            <w:r w:rsidRPr="00106BCF"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06BCF">
              <w:rPr>
                <w:rFonts w:ascii="Arial Narrow" w:hAnsi="Arial Narrow"/>
                <w:sz w:val="20"/>
                <w:szCs w:val="20"/>
              </w:rPr>
              <w:instrText xml:space="preserve"> FORMCHECKBOX </w:instrText>
            </w:r>
            <w:r w:rsidR="00692C86">
              <w:rPr>
                <w:rFonts w:ascii="Arial Narrow" w:hAnsi="Arial Narrow"/>
                <w:sz w:val="20"/>
                <w:szCs w:val="20"/>
              </w:rPr>
            </w:r>
            <w:r w:rsidR="00692C86"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 w:rsidRPr="00106BCF">
              <w:rPr>
                <w:rFonts w:ascii="Arial Narrow" w:hAnsi="Arial Narrow"/>
                <w:sz w:val="20"/>
                <w:szCs w:val="20"/>
              </w:rPr>
              <w:fldChar w:fldCharType="end"/>
            </w:r>
            <w:r w:rsidRPr="00106BCF">
              <w:rPr>
                <w:rFonts w:ascii="Arial Narrow" w:hAnsi="Arial Narrow"/>
                <w:sz w:val="20"/>
                <w:szCs w:val="20"/>
              </w:rPr>
              <w:t>Authority Required – Emergency</w:t>
            </w:r>
          </w:p>
          <w:p w:rsidR="00DA2812" w:rsidRPr="00106BCF" w:rsidRDefault="00DA2812" w:rsidP="00F41C4A">
            <w:pPr>
              <w:rPr>
                <w:rFonts w:ascii="Arial Narrow" w:hAnsi="Arial Narrow"/>
                <w:sz w:val="20"/>
                <w:szCs w:val="20"/>
              </w:rPr>
            </w:pPr>
            <w:r w:rsidRPr="00106BCF"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06BCF">
              <w:rPr>
                <w:rFonts w:ascii="Arial Narrow" w:hAnsi="Arial Narrow"/>
                <w:sz w:val="20"/>
                <w:szCs w:val="20"/>
              </w:rPr>
              <w:instrText xml:space="preserve"> FORMCHECKBOX </w:instrText>
            </w:r>
            <w:r w:rsidR="00692C86">
              <w:rPr>
                <w:rFonts w:ascii="Arial Narrow" w:hAnsi="Arial Narrow"/>
                <w:sz w:val="20"/>
                <w:szCs w:val="20"/>
              </w:rPr>
            </w:r>
            <w:r w:rsidR="00692C86"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 w:rsidRPr="00106BCF">
              <w:rPr>
                <w:rFonts w:ascii="Arial Narrow" w:hAnsi="Arial Narrow"/>
                <w:sz w:val="20"/>
                <w:szCs w:val="20"/>
              </w:rPr>
              <w:fldChar w:fldCharType="end"/>
            </w:r>
            <w:r w:rsidRPr="00106BCF">
              <w:rPr>
                <w:rFonts w:ascii="Arial Narrow" w:hAnsi="Arial Narrow"/>
                <w:sz w:val="20"/>
                <w:szCs w:val="20"/>
              </w:rPr>
              <w:t>Authority Required - Electronic</w:t>
            </w:r>
          </w:p>
          <w:p w:rsidR="00DA2812" w:rsidRPr="00260CE3" w:rsidRDefault="00DA2812" w:rsidP="00F41C4A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rPr>
                <w:rFonts w:ascii="Arial Narrow" w:hAnsi="Arial Narrow"/>
                <w:sz w:val="20"/>
                <w:szCs w:val="20"/>
              </w:rPr>
              <w:instrText xml:space="preserve"> FORMCHECKBOX </w:instrText>
            </w:r>
            <w:r w:rsidR="00692C86">
              <w:rPr>
                <w:rFonts w:ascii="Arial Narrow" w:hAnsi="Arial Narrow"/>
                <w:sz w:val="20"/>
                <w:szCs w:val="20"/>
              </w:rPr>
            </w:r>
            <w:r w:rsidR="00692C86"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>
              <w:rPr>
                <w:rFonts w:ascii="Arial Narrow" w:hAnsi="Arial Narrow"/>
                <w:sz w:val="20"/>
                <w:szCs w:val="20"/>
              </w:rPr>
              <w:fldChar w:fldCharType="end"/>
            </w:r>
            <w:r w:rsidRPr="00106BCF">
              <w:rPr>
                <w:rFonts w:ascii="Arial Narrow" w:hAnsi="Arial Narrow"/>
                <w:sz w:val="20"/>
                <w:szCs w:val="20"/>
              </w:rPr>
              <w:t>Streamlined</w:t>
            </w:r>
          </w:p>
        </w:tc>
      </w:tr>
      <w:tr w:rsidR="00DA2812" w:rsidRPr="00260CE3" w:rsidTr="00F41C4A">
        <w:trPr>
          <w:cantSplit/>
          <w:trHeight w:val="360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812" w:rsidRPr="004E7E1F" w:rsidRDefault="00DA2812" w:rsidP="00F41C4A">
            <w:pPr>
              <w:rPr>
                <w:rFonts w:ascii="Arial Narrow" w:hAnsi="Arial Narrow"/>
                <w:b/>
                <w:sz w:val="20"/>
                <w:szCs w:val="20"/>
              </w:rPr>
            </w:pPr>
            <w:r w:rsidRPr="00260CE3">
              <w:rPr>
                <w:rFonts w:ascii="Arial Narrow" w:hAnsi="Arial Narrow"/>
                <w:b/>
                <w:sz w:val="20"/>
                <w:szCs w:val="20"/>
              </w:rPr>
              <w:t>Clinical criteria: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812" w:rsidRDefault="00DA2812" w:rsidP="00F41C4A">
            <w:pPr>
              <w:rPr>
                <w:rFonts w:ascii="Arial Narrow" w:hAnsi="Arial Narrow"/>
                <w:sz w:val="20"/>
                <w:szCs w:val="20"/>
              </w:rPr>
            </w:pPr>
            <w:r w:rsidRPr="007358CA">
              <w:rPr>
                <w:rFonts w:ascii="Arial Narrow" w:hAnsi="Arial Narrow"/>
                <w:sz w:val="20"/>
                <w:szCs w:val="20"/>
              </w:rPr>
              <w:t>The treatment must b</w:t>
            </w:r>
            <w:r>
              <w:rPr>
                <w:rFonts w:ascii="Arial Narrow" w:hAnsi="Arial Narrow"/>
                <w:sz w:val="20"/>
                <w:szCs w:val="20"/>
              </w:rPr>
              <w:t>e in combination with metformin,</w:t>
            </w:r>
          </w:p>
          <w:p w:rsidR="00DA2812" w:rsidRDefault="00DA2812" w:rsidP="00F41C4A">
            <w:pPr>
              <w:rPr>
                <w:rFonts w:ascii="Arial Narrow" w:hAnsi="Arial Narrow"/>
                <w:sz w:val="20"/>
                <w:szCs w:val="20"/>
              </w:rPr>
            </w:pPr>
          </w:p>
          <w:p w:rsidR="00DA2812" w:rsidRPr="007358CA" w:rsidRDefault="00DA2812" w:rsidP="00F41C4A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AND</w:t>
            </w:r>
          </w:p>
          <w:p w:rsidR="00DA2812" w:rsidRPr="007358CA" w:rsidRDefault="00DA2812" w:rsidP="00F41C4A">
            <w:pPr>
              <w:rPr>
                <w:rFonts w:ascii="Arial Narrow" w:hAnsi="Arial Narrow"/>
                <w:sz w:val="20"/>
                <w:szCs w:val="20"/>
              </w:rPr>
            </w:pPr>
          </w:p>
          <w:p w:rsidR="00DA2812" w:rsidRPr="007358CA" w:rsidRDefault="00DA2812" w:rsidP="00F41C4A">
            <w:pPr>
              <w:rPr>
                <w:rFonts w:ascii="Arial Narrow" w:hAnsi="Arial Narrow"/>
                <w:sz w:val="20"/>
                <w:szCs w:val="20"/>
              </w:rPr>
            </w:pPr>
            <w:r w:rsidRPr="007358CA">
              <w:rPr>
                <w:rFonts w:ascii="Arial Narrow" w:hAnsi="Arial Narrow"/>
                <w:sz w:val="20"/>
                <w:szCs w:val="20"/>
              </w:rPr>
              <w:t>The treatment must be in combination with a sulfonylurea,</w:t>
            </w:r>
          </w:p>
          <w:p w:rsidR="00DA2812" w:rsidRPr="007358CA" w:rsidRDefault="00DA2812" w:rsidP="00F41C4A">
            <w:pPr>
              <w:rPr>
                <w:rFonts w:ascii="Arial Narrow" w:hAnsi="Arial Narrow"/>
                <w:sz w:val="20"/>
                <w:szCs w:val="20"/>
              </w:rPr>
            </w:pPr>
          </w:p>
          <w:p w:rsidR="00DA2812" w:rsidRPr="007358CA" w:rsidRDefault="00DA2812" w:rsidP="00F41C4A">
            <w:pPr>
              <w:rPr>
                <w:rFonts w:ascii="Arial Narrow" w:hAnsi="Arial Narrow"/>
                <w:sz w:val="20"/>
                <w:szCs w:val="20"/>
              </w:rPr>
            </w:pPr>
            <w:r w:rsidRPr="007358CA">
              <w:rPr>
                <w:rFonts w:ascii="Arial Narrow" w:hAnsi="Arial Narrow"/>
                <w:sz w:val="20"/>
                <w:szCs w:val="20"/>
              </w:rPr>
              <w:t>AND</w:t>
            </w:r>
          </w:p>
          <w:p w:rsidR="00DA2812" w:rsidRPr="007358CA" w:rsidRDefault="00DA2812" w:rsidP="00F41C4A">
            <w:pPr>
              <w:rPr>
                <w:rFonts w:ascii="Arial Narrow" w:hAnsi="Arial Narrow"/>
                <w:sz w:val="20"/>
                <w:szCs w:val="20"/>
              </w:rPr>
            </w:pPr>
          </w:p>
          <w:p w:rsidR="00DA2812" w:rsidRPr="007358CA" w:rsidRDefault="00DA2812" w:rsidP="00F41C4A">
            <w:pPr>
              <w:rPr>
                <w:rFonts w:ascii="Arial Narrow" w:hAnsi="Arial Narrow"/>
                <w:sz w:val="20"/>
                <w:szCs w:val="20"/>
              </w:rPr>
            </w:pPr>
            <w:r w:rsidRPr="007358CA">
              <w:rPr>
                <w:rFonts w:ascii="Arial Narrow" w:hAnsi="Arial Narrow"/>
                <w:sz w:val="20"/>
                <w:szCs w:val="20"/>
              </w:rPr>
              <w:t xml:space="preserve">Patient must have, or have had, a HbA1c measurement greater than 7% prior to the initiation of a dipeptidyl peptidase 4 inhibitor (gliptin), a </w:t>
            </w:r>
            <w:r>
              <w:rPr>
                <w:rFonts w:ascii="Arial Narrow" w:hAnsi="Arial Narrow"/>
                <w:sz w:val="20"/>
                <w:szCs w:val="20"/>
              </w:rPr>
              <w:t xml:space="preserve">thiazolidinedione (glitazone), </w:t>
            </w:r>
            <w:r w:rsidRPr="007358CA">
              <w:rPr>
                <w:rFonts w:ascii="Arial Narrow" w:hAnsi="Arial Narrow"/>
                <w:sz w:val="20"/>
                <w:szCs w:val="20"/>
              </w:rPr>
              <w:t>a glucagon-like-peptide-1 or a sodium-glucose co- transporter 2 (SGLT2) inhibitor despite treatment wi</w:t>
            </w:r>
            <w:r>
              <w:rPr>
                <w:rFonts w:ascii="Arial Narrow" w:hAnsi="Arial Narrow"/>
                <w:sz w:val="20"/>
                <w:szCs w:val="20"/>
              </w:rPr>
              <w:t>th maximally tolerated doses of</w:t>
            </w:r>
            <w:r w:rsidRPr="007358CA">
              <w:rPr>
                <w:rFonts w:ascii="Arial Narrow" w:hAnsi="Arial Narrow"/>
                <w:sz w:val="20"/>
                <w:szCs w:val="20"/>
              </w:rPr>
              <w:t xml:space="preserve"> m</w:t>
            </w:r>
            <w:r>
              <w:rPr>
                <w:rFonts w:ascii="Arial Narrow" w:hAnsi="Arial Narrow"/>
                <w:sz w:val="20"/>
                <w:szCs w:val="20"/>
              </w:rPr>
              <w:t>etformin and a sulfonylurea; OR</w:t>
            </w:r>
          </w:p>
          <w:p w:rsidR="00DA2812" w:rsidRPr="00260CE3" w:rsidRDefault="00DA2812" w:rsidP="00F41C4A">
            <w:pPr>
              <w:rPr>
                <w:rFonts w:ascii="Arial Narrow" w:hAnsi="Arial Narrow"/>
                <w:sz w:val="20"/>
                <w:szCs w:val="20"/>
              </w:rPr>
            </w:pPr>
            <w:r w:rsidRPr="007358CA">
              <w:rPr>
                <w:rFonts w:ascii="Arial Narrow" w:hAnsi="Arial Narrow"/>
                <w:sz w:val="20"/>
                <w:szCs w:val="20"/>
              </w:rPr>
              <w:t>Patient must have, or have had, where HbA1c measurement is clinically inappropriate, blood glucose levels greater than 10 mmol per L in more than 20% of tests over a 2 week period prior to initiatio</w:t>
            </w:r>
            <w:r>
              <w:rPr>
                <w:rFonts w:ascii="Arial Narrow" w:hAnsi="Arial Narrow"/>
                <w:sz w:val="20"/>
                <w:szCs w:val="20"/>
              </w:rPr>
              <w:t xml:space="preserve">n with a gliptin, a glitazone, </w:t>
            </w:r>
            <w:r w:rsidRPr="007358CA">
              <w:rPr>
                <w:rFonts w:ascii="Arial Narrow" w:hAnsi="Arial Narrow"/>
                <w:sz w:val="20"/>
                <w:szCs w:val="20"/>
              </w:rPr>
              <w:t>a glucagon-like peptide-1 or an SGLT2 inhibitor despite treatment with maximally tolerated doses of metformin and a sulfonylurea.</w:t>
            </w:r>
          </w:p>
        </w:tc>
      </w:tr>
      <w:tr w:rsidR="00DA2812" w:rsidRPr="00260CE3" w:rsidTr="00F41C4A">
        <w:trPr>
          <w:cantSplit/>
          <w:trHeight w:val="360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812" w:rsidRPr="00260CE3" w:rsidRDefault="00DA2812" w:rsidP="00F41C4A">
            <w:pPr>
              <w:rPr>
                <w:rFonts w:ascii="Arial Narrow" w:hAnsi="Arial Narrow"/>
                <w:sz w:val="20"/>
                <w:szCs w:val="20"/>
              </w:rPr>
            </w:pPr>
            <w:r w:rsidRPr="00260CE3">
              <w:rPr>
                <w:rFonts w:ascii="Arial Narrow" w:hAnsi="Arial Narrow"/>
                <w:b/>
                <w:sz w:val="20"/>
                <w:szCs w:val="20"/>
              </w:rPr>
              <w:t>Prescriber Instructions</w:t>
            </w:r>
            <w:r>
              <w:rPr>
                <w:rFonts w:ascii="Arial Narrow" w:hAnsi="Arial Narrow"/>
                <w:b/>
                <w:sz w:val="20"/>
                <w:szCs w:val="20"/>
              </w:rPr>
              <w:t>: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812" w:rsidRPr="004E7E1F" w:rsidRDefault="00DA2812" w:rsidP="00F41C4A">
            <w:pPr>
              <w:rPr>
                <w:rFonts w:ascii="Arial Narrow" w:hAnsi="Arial Narrow"/>
                <w:sz w:val="20"/>
                <w:szCs w:val="20"/>
              </w:rPr>
            </w:pPr>
            <w:r w:rsidRPr="004E7E1F">
              <w:rPr>
                <w:rFonts w:ascii="Arial Narrow" w:hAnsi="Arial Narrow"/>
                <w:sz w:val="20"/>
                <w:szCs w:val="20"/>
              </w:rPr>
              <w:t>The date and level of the qualifying HbA1c measurement must be</w:t>
            </w:r>
            <w:r>
              <w:rPr>
                <w:rFonts w:ascii="Arial Narrow" w:hAnsi="Arial Narrow"/>
                <w:sz w:val="20"/>
                <w:szCs w:val="20"/>
              </w:rPr>
              <w:t>,</w:t>
            </w:r>
            <w:r w:rsidRPr="004E7E1F">
              <w:rPr>
                <w:rFonts w:ascii="Arial Narrow" w:hAnsi="Arial Narrow"/>
                <w:sz w:val="20"/>
                <w:szCs w:val="20"/>
              </w:rPr>
              <w:t xml:space="preserve"> or must have been</w:t>
            </w:r>
            <w:r>
              <w:rPr>
                <w:rFonts w:ascii="Arial Narrow" w:hAnsi="Arial Narrow"/>
                <w:sz w:val="20"/>
                <w:szCs w:val="20"/>
              </w:rPr>
              <w:t>,</w:t>
            </w:r>
            <w:r w:rsidRPr="004E7E1F">
              <w:rPr>
                <w:rFonts w:ascii="Arial Narrow" w:hAnsi="Arial Narrow"/>
                <w:sz w:val="20"/>
                <w:szCs w:val="20"/>
              </w:rPr>
              <w:t xml:space="preserve"> documented in the patient’s medical records at the time treatment with a gliptin, a glitazone, a glucagon-like peptide-1 or an SGLT2 inhibitor is initiated. </w:t>
            </w:r>
          </w:p>
          <w:p w:rsidR="00DA2812" w:rsidRPr="004E7E1F" w:rsidRDefault="00DA2812" w:rsidP="00F41C4A">
            <w:pPr>
              <w:rPr>
                <w:rFonts w:ascii="Arial Narrow" w:hAnsi="Arial Narrow"/>
                <w:sz w:val="20"/>
                <w:szCs w:val="20"/>
              </w:rPr>
            </w:pPr>
          </w:p>
          <w:p w:rsidR="00DA2812" w:rsidRPr="004E7E1F" w:rsidRDefault="00DA2812" w:rsidP="00F41C4A">
            <w:pPr>
              <w:rPr>
                <w:rFonts w:ascii="Arial Narrow" w:hAnsi="Arial Narrow"/>
                <w:sz w:val="20"/>
                <w:szCs w:val="20"/>
              </w:rPr>
            </w:pPr>
            <w:r w:rsidRPr="004E7E1F">
              <w:rPr>
                <w:rFonts w:ascii="Arial Narrow" w:hAnsi="Arial Narrow"/>
                <w:sz w:val="20"/>
                <w:szCs w:val="20"/>
              </w:rPr>
              <w:t>The HbA1c must be no more than 4 months old at the time treatment with a gliptin, a glitazone, a glucagon-like peptide-1 or an SGLT2 inhibitor was initiated.</w:t>
            </w:r>
          </w:p>
          <w:p w:rsidR="00DA2812" w:rsidRPr="004E7E1F" w:rsidRDefault="00DA2812" w:rsidP="00F41C4A">
            <w:pPr>
              <w:rPr>
                <w:rFonts w:ascii="Arial Narrow" w:hAnsi="Arial Narrow"/>
                <w:sz w:val="20"/>
                <w:szCs w:val="20"/>
              </w:rPr>
            </w:pPr>
          </w:p>
          <w:p w:rsidR="00DA2812" w:rsidRPr="004E7E1F" w:rsidRDefault="00DA2812" w:rsidP="00F41C4A">
            <w:pPr>
              <w:rPr>
                <w:rFonts w:ascii="Arial Narrow" w:hAnsi="Arial Narrow"/>
                <w:sz w:val="20"/>
                <w:szCs w:val="20"/>
              </w:rPr>
            </w:pPr>
            <w:r w:rsidRPr="004E7E1F">
              <w:rPr>
                <w:rFonts w:ascii="Arial Narrow" w:hAnsi="Arial Narrow"/>
                <w:sz w:val="20"/>
                <w:szCs w:val="20"/>
              </w:rPr>
              <w:t>Blood glucose monitoring may be used as an alternative assessment to HbA1c levels in the following circumstances:</w:t>
            </w:r>
          </w:p>
          <w:p w:rsidR="00DA2812" w:rsidRPr="004E7E1F" w:rsidRDefault="00DA2812" w:rsidP="00DA2812">
            <w:pPr>
              <w:numPr>
                <w:ilvl w:val="0"/>
                <w:numId w:val="12"/>
              </w:numPr>
              <w:ind w:left="318" w:hanging="284"/>
              <w:rPr>
                <w:rFonts w:ascii="Arial Narrow" w:hAnsi="Arial Narrow"/>
                <w:sz w:val="20"/>
                <w:szCs w:val="20"/>
              </w:rPr>
            </w:pPr>
            <w:r w:rsidRPr="004E7E1F">
              <w:rPr>
                <w:rFonts w:ascii="Arial Narrow" w:hAnsi="Arial Narrow"/>
                <w:sz w:val="20"/>
                <w:szCs w:val="20"/>
              </w:rPr>
              <w:t>A clinical condition with r</w:t>
            </w:r>
            <w:r>
              <w:rPr>
                <w:rFonts w:ascii="Arial Narrow" w:hAnsi="Arial Narrow"/>
                <w:sz w:val="20"/>
                <w:szCs w:val="20"/>
              </w:rPr>
              <w:t xml:space="preserve">educed red blood cell survival, </w:t>
            </w:r>
            <w:r w:rsidRPr="004E7E1F">
              <w:rPr>
                <w:rFonts w:ascii="Arial Narrow" w:hAnsi="Arial Narrow"/>
                <w:sz w:val="20"/>
                <w:szCs w:val="20"/>
              </w:rPr>
              <w:t>including haemolytic anaemias and haemoglobinopathies; and/or</w:t>
            </w:r>
          </w:p>
          <w:p w:rsidR="00DA2812" w:rsidRPr="004E7E1F" w:rsidRDefault="00DA2812" w:rsidP="00DA2812">
            <w:pPr>
              <w:numPr>
                <w:ilvl w:val="0"/>
                <w:numId w:val="12"/>
              </w:numPr>
              <w:ind w:left="318" w:hanging="284"/>
              <w:rPr>
                <w:rFonts w:ascii="Arial Narrow" w:hAnsi="Arial Narrow"/>
                <w:sz w:val="20"/>
                <w:szCs w:val="20"/>
              </w:rPr>
            </w:pPr>
            <w:r w:rsidRPr="004E7E1F">
              <w:rPr>
                <w:rFonts w:ascii="Arial Narrow" w:hAnsi="Arial Narrow"/>
                <w:sz w:val="20"/>
                <w:szCs w:val="20"/>
              </w:rPr>
              <w:t>Had red cell transfusion within the previous 3 months</w:t>
            </w:r>
          </w:p>
          <w:p w:rsidR="00DA2812" w:rsidRPr="004E7E1F" w:rsidRDefault="00DA2812" w:rsidP="00F41C4A">
            <w:pPr>
              <w:rPr>
                <w:rFonts w:ascii="Arial Narrow" w:hAnsi="Arial Narrow"/>
                <w:sz w:val="20"/>
                <w:szCs w:val="20"/>
              </w:rPr>
            </w:pPr>
          </w:p>
          <w:p w:rsidR="00DA2812" w:rsidRPr="00260CE3" w:rsidRDefault="00DA2812" w:rsidP="00F41C4A">
            <w:pPr>
              <w:rPr>
                <w:rFonts w:ascii="Arial Narrow" w:hAnsi="Arial Narrow"/>
                <w:sz w:val="20"/>
                <w:szCs w:val="20"/>
              </w:rPr>
            </w:pPr>
            <w:r w:rsidRPr="004E7E1F">
              <w:rPr>
                <w:rFonts w:ascii="Arial Narrow" w:hAnsi="Arial Narrow"/>
                <w:sz w:val="20"/>
                <w:szCs w:val="20"/>
              </w:rPr>
              <w:t>The results of the blood glucose monitoring, which must be no more than 4 months old at the time of initiation of treatment with a gliptin, a glitazone, a glucagon-like peptide-1 or an SGLT2 inhibitor, must be documented in the patient's medical records.</w:t>
            </w:r>
          </w:p>
        </w:tc>
      </w:tr>
      <w:tr w:rsidR="00DA2812" w:rsidRPr="00260CE3" w:rsidTr="00F41C4A">
        <w:trPr>
          <w:cantSplit/>
          <w:trHeight w:val="360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812" w:rsidRPr="004E7E1F" w:rsidRDefault="00DA2812" w:rsidP="00F41C4A">
            <w:pPr>
              <w:rPr>
                <w:rFonts w:ascii="Arial Narrow" w:hAnsi="Arial Narrow"/>
                <w:b/>
                <w:sz w:val="20"/>
                <w:szCs w:val="20"/>
              </w:rPr>
            </w:pPr>
            <w:r w:rsidRPr="00260CE3">
              <w:rPr>
                <w:rFonts w:ascii="Arial Narrow" w:hAnsi="Arial Narrow"/>
                <w:b/>
                <w:sz w:val="20"/>
                <w:szCs w:val="20"/>
              </w:rPr>
              <w:t>Administrative Advice</w:t>
            </w:r>
            <w:r>
              <w:rPr>
                <w:rFonts w:ascii="Arial Narrow" w:hAnsi="Arial Narrow"/>
                <w:b/>
                <w:sz w:val="20"/>
                <w:szCs w:val="20"/>
              </w:rPr>
              <w:t>: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812" w:rsidRPr="004E7E1F" w:rsidRDefault="00DA2812" w:rsidP="00F41C4A">
            <w:pPr>
              <w:rPr>
                <w:rFonts w:ascii="Arial Narrow" w:hAnsi="Arial Narrow"/>
                <w:sz w:val="20"/>
                <w:szCs w:val="20"/>
              </w:rPr>
            </w:pPr>
            <w:r w:rsidRPr="004E7E1F">
              <w:rPr>
                <w:rFonts w:ascii="Arial Narrow" w:hAnsi="Arial Narrow"/>
                <w:sz w:val="20"/>
                <w:szCs w:val="20"/>
              </w:rPr>
              <w:t>Note:</w:t>
            </w:r>
          </w:p>
          <w:p w:rsidR="00DA2812" w:rsidRPr="00260CE3" w:rsidRDefault="00DA2812" w:rsidP="00F41C4A">
            <w:pPr>
              <w:rPr>
                <w:rFonts w:ascii="Arial Narrow" w:hAnsi="Arial Narrow"/>
                <w:sz w:val="20"/>
                <w:szCs w:val="20"/>
              </w:rPr>
            </w:pPr>
            <w:r w:rsidRPr="004E7E1F">
              <w:rPr>
                <w:rFonts w:ascii="Arial Narrow" w:hAnsi="Arial Narrow"/>
                <w:sz w:val="20"/>
                <w:szCs w:val="20"/>
              </w:rPr>
              <w:t>This drug is not PBS-subsidised for use as monotherapy or in combination with a dipeptidyl peptidase 4 inhibitor (gliptin), a thiazolidinedione (glitazone), an insulin or an SGLT2 inhibitor.</w:t>
            </w:r>
          </w:p>
        </w:tc>
      </w:tr>
    </w:tbl>
    <w:p w:rsidR="00DA2812" w:rsidRDefault="00DA2812" w:rsidP="004C7D28">
      <w:pPr>
        <w:pStyle w:val="ListParagraph"/>
        <w:ind w:left="360"/>
        <w:rPr>
          <w:rFonts w:ascii="Arial" w:hAnsi="Arial" w:cs="Arial"/>
          <w:sz w:val="22"/>
          <w:szCs w:val="22"/>
        </w:rPr>
      </w:pPr>
    </w:p>
    <w:p w:rsidR="008F34F4" w:rsidRDefault="008F34F4" w:rsidP="004C7D28">
      <w:pPr>
        <w:pStyle w:val="ListParagraph"/>
        <w:ind w:left="360"/>
        <w:rPr>
          <w:rFonts w:ascii="Arial" w:hAnsi="Arial" w:cs="Arial"/>
          <w:sz w:val="22"/>
          <w:szCs w:val="22"/>
        </w:rPr>
      </w:pPr>
    </w:p>
    <w:p w:rsidR="008F34F4" w:rsidRPr="004304F6" w:rsidRDefault="008F34F4" w:rsidP="008F34F4">
      <w:pPr>
        <w:pStyle w:val="Heading1"/>
        <w:spacing w:after="240"/>
      </w:pPr>
      <w:r w:rsidRPr="004304F6">
        <w:t>Context for Decision</w:t>
      </w:r>
    </w:p>
    <w:p w:rsidR="008F34F4" w:rsidRDefault="008F34F4" w:rsidP="008F34F4">
      <w:pPr>
        <w:ind w:left="720"/>
        <w:jc w:val="both"/>
        <w:rPr>
          <w:rFonts w:ascii="Arial" w:hAnsi="Arial" w:cs="Arial"/>
          <w:sz w:val="22"/>
        </w:rPr>
      </w:pPr>
      <w:r w:rsidRPr="004304F6">
        <w:rPr>
          <w:rFonts w:ascii="Arial" w:hAnsi="Arial" w:cs="Arial"/>
          <w:sz w:val="22"/>
        </w:rPr>
        <w:t>The PBAC helps decide whether and, if so, how medicines should be subsidised in Australia. It considers submissions in this context. A PBAC decision not to recommend listing or not to recommend changing a listing does not represent a final PBAC view about the merits of the medicine. A company can resubmit to the PBAC or seek independent review of the PBAC decision.</w:t>
      </w:r>
    </w:p>
    <w:p w:rsidR="008F34F4" w:rsidRDefault="008F34F4" w:rsidP="008F34F4">
      <w:pPr>
        <w:ind w:left="720"/>
        <w:rPr>
          <w:rFonts w:ascii="Arial" w:hAnsi="Arial" w:cs="Arial"/>
          <w:sz w:val="22"/>
        </w:rPr>
      </w:pPr>
    </w:p>
    <w:p w:rsidR="008F34F4" w:rsidRPr="004304F6" w:rsidRDefault="008F34F4" w:rsidP="008F34F4">
      <w:pPr>
        <w:ind w:left="720"/>
        <w:rPr>
          <w:rFonts w:ascii="Arial" w:hAnsi="Arial" w:cs="Arial"/>
          <w:sz w:val="22"/>
        </w:rPr>
      </w:pPr>
    </w:p>
    <w:p w:rsidR="008F34F4" w:rsidRPr="004304F6" w:rsidRDefault="008F34F4" w:rsidP="008F34F4">
      <w:pPr>
        <w:pStyle w:val="Heading1"/>
        <w:spacing w:after="240"/>
      </w:pPr>
      <w:r w:rsidRPr="004304F6">
        <w:lastRenderedPageBreak/>
        <w:t>Sponsor’s Comment</w:t>
      </w:r>
    </w:p>
    <w:p w:rsidR="008F34F4" w:rsidRDefault="008F34F4" w:rsidP="008F34F4">
      <w:pPr>
        <w:spacing w:after="120"/>
        <w:ind w:left="720"/>
        <w:jc w:val="both"/>
        <w:rPr>
          <w:rFonts w:ascii="Arial" w:hAnsi="Arial" w:cs="Arial"/>
          <w:bCs/>
          <w:sz w:val="22"/>
        </w:rPr>
      </w:pPr>
      <w:r w:rsidRPr="003035CC">
        <w:rPr>
          <w:rFonts w:ascii="Arial" w:hAnsi="Arial" w:cs="Arial"/>
          <w:bCs/>
          <w:sz w:val="22"/>
        </w:rPr>
        <w:t>The sponsor had no comment.</w:t>
      </w:r>
    </w:p>
    <w:p w:rsidR="00591FB4" w:rsidRPr="009F0137" w:rsidRDefault="00591FB4" w:rsidP="009F0137">
      <w:pPr>
        <w:rPr>
          <w:rFonts w:ascii="Arial" w:hAnsi="Arial" w:cs="Arial"/>
          <w:sz w:val="22"/>
          <w:szCs w:val="22"/>
        </w:rPr>
      </w:pPr>
    </w:p>
    <w:sectPr w:rsidR="00591FB4" w:rsidRPr="009F0137" w:rsidSect="000F08A0">
      <w:headerReference w:type="default" r:id="rId8"/>
      <w:footerReference w:type="default" r:id="rId9"/>
      <w:pgSz w:w="11906" w:h="16838"/>
      <w:pgMar w:top="1440" w:right="1440" w:bottom="1440" w:left="1440" w:header="1440" w:footer="14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55220" w:rsidRDefault="00D55220" w:rsidP="00F31FFD">
      <w:r>
        <w:separator/>
      </w:r>
    </w:p>
  </w:endnote>
  <w:endnote w:type="continuationSeparator" w:id="0">
    <w:p w:rsidR="00D55220" w:rsidRDefault="00D55220" w:rsidP="00F31F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Arial" w:hAnsi="Arial" w:cs="Arial"/>
        <w:sz w:val="22"/>
      </w:rPr>
      <w:id w:val="-1342307744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CA4A9F" w:rsidRDefault="00CA4A9F" w:rsidP="00CA4A9F">
        <w:pPr>
          <w:pStyle w:val="Footer"/>
          <w:jc w:val="center"/>
          <w:rPr>
            <w:rFonts w:ascii="Arial" w:hAnsi="Arial" w:cs="Arial"/>
            <w:sz w:val="22"/>
          </w:rPr>
        </w:pPr>
      </w:p>
      <w:p w:rsidR="00342A34" w:rsidRPr="00CA4A9F" w:rsidRDefault="00342A34" w:rsidP="00CA4A9F">
        <w:pPr>
          <w:pStyle w:val="Footer"/>
          <w:jc w:val="center"/>
          <w:rPr>
            <w:rFonts w:ascii="Arial" w:hAnsi="Arial" w:cs="Arial"/>
            <w:sz w:val="22"/>
          </w:rPr>
        </w:pPr>
        <w:r w:rsidRPr="004C7D28">
          <w:rPr>
            <w:rFonts w:ascii="Arial" w:hAnsi="Arial" w:cs="Arial"/>
            <w:sz w:val="22"/>
          </w:rPr>
          <w:fldChar w:fldCharType="begin"/>
        </w:r>
        <w:r w:rsidRPr="004C7D28">
          <w:rPr>
            <w:rFonts w:ascii="Arial" w:hAnsi="Arial" w:cs="Arial"/>
            <w:sz w:val="22"/>
          </w:rPr>
          <w:instrText xml:space="preserve"> PAGE   \* MERGEFORMAT </w:instrText>
        </w:r>
        <w:r w:rsidRPr="004C7D28">
          <w:rPr>
            <w:rFonts w:ascii="Arial" w:hAnsi="Arial" w:cs="Arial"/>
            <w:sz w:val="22"/>
          </w:rPr>
          <w:fldChar w:fldCharType="separate"/>
        </w:r>
        <w:r w:rsidR="00692C86">
          <w:rPr>
            <w:rFonts w:ascii="Arial" w:hAnsi="Arial" w:cs="Arial"/>
            <w:noProof/>
            <w:sz w:val="22"/>
          </w:rPr>
          <w:t>2</w:t>
        </w:r>
        <w:r w:rsidRPr="004C7D28">
          <w:rPr>
            <w:rFonts w:ascii="Arial" w:hAnsi="Arial" w:cs="Arial"/>
            <w:noProof/>
            <w:sz w:val="22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55220" w:rsidRDefault="00D55220" w:rsidP="00F31FFD">
      <w:r>
        <w:separator/>
      </w:r>
    </w:p>
  </w:footnote>
  <w:footnote w:type="continuationSeparator" w:id="0">
    <w:p w:rsidR="00D55220" w:rsidRDefault="00D55220" w:rsidP="00F31FF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24579" w:rsidRPr="00150152" w:rsidRDefault="00A24579" w:rsidP="00A24579">
    <w:pPr>
      <w:pStyle w:val="Header"/>
      <w:ind w:left="360"/>
      <w:jc w:val="center"/>
      <w:rPr>
        <w:rFonts w:ascii="Arial" w:hAnsi="Arial" w:cs="Arial"/>
        <w:i/>
        <w:color w:val="808080"/>
        <w:sz w:val="22"/>
      </w:rPr>
    </w:pPr>
    <w:r>
      <w:rPr>
        <w:rFonts w:ascii="Arial" w:hAnsi="Arial" w:cs="Arial"/>
        <w:i/>
        <w:color w:val="808080"/>
        <w:sz w:val="22"/>
      </w:rPr>
      <w:t>Public Summary Document –</w:t>
    </w:r>
    <w:r w:rsidRPr="00DF217D">
      <w:rPr>
        <w:rFonts w:ascii="Arial" w:hAnsi="Arial" w:cs="Arial"/>
        <w:i/>
        <w:color w:val="808080"/>
        <w:sz w:val="22"/>
      </w:rPr>
      <w:t xml:space="preserve"> </w:t>
    </w:r>
    <w:r>
      <w:rPr>
        <w:rFonts w:ascii="Arial" w:hAnsi="Arial" w:cs="Arial"/>
        <w:i/>
        <w:color w:val="808080"/>
        <w:sz w:val="22"/>
      </w:rPr>
      <w:t xml:space="preserve">March 2016 </w:t>
    </w:r>
    <w:r w:rsidRPr="00DF217D">
      <w:rPr>
        <w:rFonts w:ascii="Arial" w:hAnsi="Arial" w:cs="Arial"/>
        <w:i/>
        <w:color w:val="808080"/>
        <w:sz w:val="22"/>
      </w:rPr>
      <w:t>PBAC</w:t>
    </w:r>
    <w:r>
      <w:rPr>
        <w:rFonts w:ascii="Arial" w:hAnsi="Arial" w:cs="Arial"/>
        <w:i/>
        <w:color w:val="808080"/>
        <w:sz w:val="22"/>
      </w:rPr>
      <w:t xml:space="preserve"> </w:t>
    </w:r>
    <w:r w:rsidRPr="00DF217D">
      <w:rPr>
        <w:rFonts w:ascii="Arial" w:hAnsi="Arial" w:cs="Arial"/>
        <w:i/>
        <w:color w:val="808080"/>
        <w:sz w:val="22"/>
      </w:rPr>
      <w:t>Meeting</w:t>
    </w:r>
  </w:p>
  <w:p w:rsidR="00342A34" w:rsidRDefault="00342A34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8D60B2"/>
    <w:multiLevelType w:val="multilevel"/>
    <w:tmpl w:val="0C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>
    <w:nsid w:val="065222B8"/>
    <w:multiLevelType w:val="multilevel"/>
    <w:tmpl w:val="3CFE62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AAF0EBA"/>
    <w:multiLevelType w:val="multilevel"/>
    <w:tmpl w:val="642C45D8"/>
    <w:lvl w:ilvl="0">
      <w:start w:val="1"/>
      <w:numFmt w:val="decimal"/>
      <w:lvlText w:val="%1"/>
      <w:lvlJc w:val="left"/>
      <w:pPr>
        <w:ind w:left="720" w:hanging="720"/>
      </w:pPr>
      <w:rPr>
        <w:rFonts w:hint="default"/>
        <w:b/>
      </w:rPr>
    </w:lvl>
    <w:lvl w:ilvl="1">
      <w:start w:val="1"/>
      <w:numFmt w:val="bullet"/>
      <w:lvlText w:val=""/>
      <w:lvlJc w:val="left"/>
      <w:pPr>
        <w:ind w:left="720" w:hanging="720"/>
      </w:pPr>
      <w:rPr>
        <w:rFonts w:ascii="Symbol" w:hAnsi="Symbol" w:hint="default"/>
        <w:b w:val="0"/>
        <w:i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">
    <w:nsid w:val="1FCB66FA"/>
    <w:multiLevelType w:val="hybridMultilevel"/>
    <w:tmpl w:val="B7C8EB52"/>
    <w:lvl w:ilvl="0" w:tplc="0C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10458C1"/>
    <w:multiLevelType w:val="multilevel"/>
    <w:tmpl w:val="52945F68"/>
    <w:lvl w:ilvl="0">
      <w:start w:val="1"/>
      <w:numFmt w:val="decimal"/>
      <w:lvlText w:val="%1"/>
      <w:lvlJc w:val="left"/>
      <w:pPr>
        <w:ind w:left="720" w:hanging="720"/>
      </w:pPr>
      <w:rPr>
        <w:rFonts w:hint="default"/>
        <w:b/>
        <w:i w:val="0"/>
      </w:rPr>
    </w:lvl>
    <w:lvl w:ilvl="1">
      <w:start w:val="1"/>
      <w:numFmt w:val="decimal"/>
      <w:lvlText w:val="4.%2"/>
      <w:lvlJc w:val="left"/>
      <w:pPr>
        <w:ind w:left="720" w:hanging="720"/>
      </w:pPr>
      <w:rPr>
        <w:rFonts w:hint="default"/>
        <w:b w:val="0"/>
        <w:i w:val="0"/>
      </w:rPr>
    </w:lvl>
    <w:lvl w:ilvl="2">
      <w:start w:val="1"/>
      <w:numFmt w:val="bullet"/>
      <w:lvlText w:val=""/>
      <w:lvlJc w:val="left"/>
      <w:pPr>
        <w:ind w:left="720" w:hanging="720"/>
      </w:pPr>
      <w:rPr>
        <w:rFonts w:ascii="Symbol" w:hAnsi="Symbol"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">
    <w:nsid w:val="23FB11E2"/>
    <w:multiLevelType w:val="multilevel"/>
    <w:tmpl w:val="0C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6">
    <w:nsid w:val="55031277"/>
    <w:multiLevelType w:val="hybridMultilevel"/>
    <w:tmpl w:val="25882BD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1A709E6"/>
    <w:multiLevelType w:val="hybridMultilevel"/>
    <w:tmpl w:val="B7C8EB52"/>
    <w:lvl w:ilvl="0" w:tplc="0C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A712CBE"/>
    <w:multiLevelType w:val="hybridMultilevel"/>
    <w:tmpl w:val="22E2BAC6"/>
    <w:lvl w:ilvl="0" w:tplc="F3468256">
      <w:start w:val="1"/>
      <w:numFmt w:val="lowerLetter"/>
      <w:lvlText w:val="%1."/>
      <w:lvlJc w:val="left"/>
      <w:pPr>
        <w:ind w:left="720" w:hanging="360"/>
      </w:pPr>
      <w:rPr>
        <w:rFonts w:ascii="Arial" w:eastAsia="Times New Roman" w:hAnsi="Arial" w:cs="Arial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84D033C"/>
    <w:multiLevelType w:val="multilevel"/>
    <w:tmpl w:val="E1503850"/>
    <w:lvl w:ilvl="0">
      <w:start w:val="1"/>
      <w:numFmt w:val="decimal"/>
      <w:pStyle w:val="Heading1"/>
      <w:lvlText w:val="%1"/>
      <w:lvlJc w:val="left"/>
      <w:pPr>
        <w:ind w:left="720" w:hanging="720"/>
      </w:pPr>
      <w:rPr>
        <w:b/>
        <w:i w:val="0"/>
      </w:rPr>
    </w:lvl>
    <w:lvl w:ilvl="1">
      <w:start w:val="1"/>
      <w:numFmt w:val="decimal"/>
      <w:lvlText w:val="%1.%2"/>
      <w:lvlJc w:val="left"/>
      <w:pPr>
        <w:ind w:left="720" w:hanging="720"/>
      </w:pPr>
      <w:rPr>
        <w:b w:val="0"/>
        <w:i w:val="0"/>
      </w:r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1080" w:hanging="108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440" w:hanging="144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800" w:hanging="1800"/>
      </w:pPr>
    </w:lvl>
    <w:lvl w:ilvl="8">
      <w:start w:val="1"/>
      <w:numFmt w:val="decimal"/>
      <w:lvlText w:val="%1.%2.%3.%4.%5.%6.%7.%8.%9"/>
      <w:lvlJc w:val="left"/>
      <w:pPr>
        <w:ind w:left="1800" w:hanging="1800"/>
      </w:pPr>
    </w:lvl>
  </w:abstractNum>
  <w:abstractNum w:abstractNumId="10">
    <w:nsid w:val="7A4C7ECB"/>
    <w:multiLevelType w:val="hybridMultilevel"/>
    <w:tmpl w:val="3238F83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10"/>
  </w:num>
  <w:num w:numId="3">
    <w:abstractNumId w:val="8"/>
  </w:num>
  <w:num w:numId="4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9"/>
  </w:num>
  <w:num w:numId="6">
    <w:abstractNumId w:val="4"/>
  </w:num>
  <w:num w:numId="7">
    <w:abstractNumId w:val="6"/>
  </w:num>
  <w:num w:numId="8">
    <w:abstractNumId w:val="2"/>
  </w:num>
  <w:num w:numId="9">
    <w:abstractNumId w:val="0"/>
  </w:num>
  <w:num w:numId="10">
    <w:abstractNumId w:val="5"/>
  </w:num>
  <w:num w:numId="11">
    <w:abstractNumId w:val="7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defaultTabStop w:val="720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1FFD"/>
    <w:rsid w:val="0001757A"/>
    <w:rsid w:val="00020525"/>
    <w:rsid w:val="00084F00"/>
    <w:rsid w:val="0008572A"/>
    <w:rsid w:val="000A0548"/>
    <w:rsid w:val="000A2E52"/>
    <w:rsid w:val="000F08A0"/>
    <w:rsid w:val="000F30B8"/>
    <w:rsid w:val="00133188"/>
    <w:rsid w:val="00157352"/>
    <w:rsid w:val="00164AC7"/>
    <w:rsid w:val="001B5754"/>
    <w:rsid w:val="001C2E9D"/>
    <w:rsid w:val="001C5B2C"/>
    <w:rsid w:val="001C7823"/>
    <w:rsid w:val="00240747"/>
    <w:rsid w:val="002418BE"/>
    <w:rsid w:val="002755E1"/>
    <w:rsid w:val="00292729"/>
    <w:rsid w:val="002E6EA6"/>
    <w:rsid w:val="002F7F63"/>
    <w:rsid w:val="00324FD8"/>
    <w:rsid w:val="0032562A"/>
    <w:rsid w:val="00335A75"/>
    <w:rsid w:val="00341137"/>
    <w:rsid w:val="00342A34"/>
    <w:rsid w:val="003632FE"/>
    <w:rsid w:val="003633EE"/>
    <w:rsid w:val="003A5C01"/>
    <w:rsid w:val="003D7EC5"/>
    <w:rsid w:val="003F2B73"/>
    <w:rsid w:val="00416D8E"/>
    <w:rsid w:val="0042103E"/>
    <w:rsid w:val="004222F8"/>
    <w:rsid w:val="00422E90"/>
    <w:rsid w:val="00434307"/>
    <w:rsid w:val="00435111"/>
    <w:rsid w:val="00447B31"/>
    <w:rsid w:val="004715AF"/>
    <w:rsid w:val="004810B2"/>
    <w:rsid w:val="004B4720"/>
    <w:rsid w:val="004C5951"/>
    <w:rsid w:val="004C7D28"/>
    <w:rsid w:val="004F691F"/>
    <w:rsid w:val="00586DA3"/>
    <w:rsid w:val="00591FB4"/>
    <w:rsid w:val="00596402"/>
    <w:rsid w:val="005B46AB"/>
    <w:rsid w:val="005C20AB"/>
    <w:rsid w:val="005D6F2A"/>
    <w:rsid w:val="0062562C"/>
    <w:rsid w:val="00630524"/>
    <w:rsid w:val="006457A7"/>
    <w:rsid w:val="006506F7"/>
    <w:rsid w:val="006716DB"/>
    <w:rsid w:val="006728B5"/>
    <w:rsid w:val="0068371B"/>
    <w:rsid w:val="00683AE0"/>
    <w:rsid w:val="00691B26"/>
    <w:rsid w:val="006927A1"/>
    <w:rsid w:val="00692C86"/>
    <w:rsid w:val="00694387"/>
    <w:rsid w:val="006A63F8"/>
    <w:rsid w:val="006C634D"/>
    <w:rsid w:val="00721126"/>
    <w:rsid w:val="0072790A"/>
    <w:rsid w:val="00742323"/>
    <w:rsid w:val="007505AB"/>
    <w:rsid w:val="00794F39"/>
    <w:rsid w:val="00795F43"/>
    <w:rsid w:val="00796FDD"/>
    <w:rsid w:val="007C2713"/>
    <w:rsid w:val="007D6FAF"/>
    <w:rsid w:val="007E7D09"/>
    <w:rsid w:val="007F4E20"/>
    <w:rsid w:val="00807C1E"/>
    <w:rsid w:val="008118D8"/>
    <w:rsid w:val="00816697"/>
    <w:rsid w:val="008169E7"/>
    <w:rsid w:val="008318AD"/>
    <w:rsid w:val="008374A2"/>
    <w:rsid w:val="008423ED"/>
    <w:rsid w:val="00862686"/>
    <w:rsid w:val="00882CE0"/>
    <w:rsid w:val="00894BAB"/>
    <w:rsid w:val="008E753A"/>
    <w:rsid w:val="008F34F4"/>
    <w:rsid w:val="00962146"/>
    <w:rsid w:val="00981BFB"/>
    <w:rsid w:val="009B6A38"/>
    <w:rsid w:val="009D13E2"/>
    <w:rsid w:val="009F0137"/>
    <w:rsid w:val="009F31C4"/>
    <w:rsid w:val="00A24579"/>
    <w:rsid w:val="00A26BBA"/>
    <w:rsid w:val="00A37C93"/>
    <w:rsid w:val="00A84AF5"/>
    <w:rsid w:val="00A868FB"/>
    <w:rsid w:val="00AA0534"/>
    <w:rsid w:val="00AA28AD"/>
    <w:rsid w:val="00AC0B0B"/>
    <w:rsid w:val="00AC0FB4"/>
    <w:rsid w:val="00AD26F3"/>
    <w:rsid w:val="00AD788A"/>
    <w:rsid w:val="00AE253E"/>
    <w:rsid w:val="00AF26FA"/>
    <w:rsid w:val="00AF2A9A"/>
    <w:rsid w:val="00B10A59"/>
    <w:rsid w:val="00B50465"/>
    <w:rsid w:val="00B5188E"/>
    <w:rsid w:val="00C27779"/>
    <w:rsid w:val="00C66D28"/>
    <w:rsid w:val="00C7138F"/>
    <w:rsid w:val="00C82960"/>
    <w:rsid w:val="00C83A63"/>
    <w:rsid w:val="00C84128"/>
    <w:rsid w:val="00C92A68"/>
    <w:rsid w:val="00CA073A"/>
    <w:rsid w:val="00CA4A9F"/>
    <w:rsid w:val="00CA52CF"/>
    <w:rsid w:val="00CB3F81"/>
    <w:rsid w:val="00CD369E"/>
    <w:rsid w:val="00CE0ABA"/>
    <w:rsid w:val="00CE7E6C"/>
    <w:rsid w:val="00CF3B44"/>
    <w:rsid w:val="00D55220"/>
    <w:rsid w:val="00D55507"/>
    <w:rsid w:val="00D901F3"/>
    <w:rsid w:val="00D91B60"/>
    <w:rsid w:val="00DA2812"/>
    <w:rsid w:val="00DA79CB"/>
    <w:rsid w:val="00DB3AE9"/>
    <w:rsid w:val="00DB3FAE"/>
    <w:rsid w:val="00DC3016"/>
    <w:rsid w:val="00DE1071"/>
    <w:rsid w:val="00DE2C6B"/>
    <w:rsid w:val="00DE7ABF"/>
    <w:rsid w:val="00E11217"/>
    <w:rsid w:val="00E22F3C"/>
    <w:rsid w:val="00E4755D"/>
    <w:rsid w:val="00E534C9"/>
    <w:rsid w:val="00E5696B"/>
    <w:rsid w:val="00E57281"/>
    <w:rsid w:val="00E647A1"/>
    <w:rsid w:val="00EA5A8C"/>
    <w:rsid w:val="00EB4993"/>
    <w:rsid w:val="00ED05B0"/>
    <w:rsid w:val="00ED23DD"/>
    <w:rsid w:val="00ED485C"/>
    <w:rsid w:val="00F14E2C"/>
    <w:rsid w:val="00F31FFD"/>
    <w:rsid w:val="00F65E02"/>
    <w:rsid w:val="00F927D5"/>
    <w:rsid w:val="00FA5435"/>
    <w:rsid w:val="00FD68B7"/>
    <w:rsid w:val="00FE4371"/>
    <w:rsid w:val="00FF46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annotation reference" w:uiPriority="0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72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31FFD"/>
    <w:pPr>
      <w:spacing w:after="0" w:line="240" w:lineRule="auto"/>
    </w:pPr>
    <w:rPr>
      <w:rFonts w:eastAsia="Times New Roman" w:cs="Times New Roman"/>
      <w:szCs w:val="24"/>
      <w:lang w:eastAsia="en-AU"/>
    </w:rPr>
  </w:style>
  <w:style w:type="paragraph" w:styleId="Heading1">
    <w:name w:val="heading 1"/>
    <w:basedOn w:val="ListParagraph"/>
    <w:next w:val="Normal"/>
    <w:link w:val="Heading1Char"/>
    <w:qFormat/>
    <w:rsid w:val="00A24579"/>
    <w:pPr>
      <w:numPr>
        <w:numId w:val="5"/>
      </w:numPr>
      <w:jc w:val="both"/>
      <w:outlineLvl w:val="0"/>
    </w:pPr>
    <w:rPr>
      <w:rFonts w:ascii="Arial" w:hAnsi="Arial"/>
      <w:b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aliases w:val="Table Title"/>
    <w:qFormat/>
    <w:rsid w:val="00F31FFD"/>
    <w:rPr>
      <w:sz w:val="16"/>
      <w:szCs w:val="16"/>
    </w:rPr>
  </w:style>
  <w:style w:type="paragraph" w:styleId="CommentText">
    <w:name w:val="annotation text"/>
    <w:basedOn w:val="Normal"/>
    <w:link w:val="CommentTextChar"/>
    <w:rsid w:val="00F31FFD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F31FFD"/>
    <w:rPr>
      <w:rFonts w:eastAsia="Times New Roman" w:cs="Times New Roman"/>
      <w:sz w:val="20"/>
      <w:szCs w:val="20"/>
      <w:lang w:eastAsia="en-AU"/>
    </w:rPr>
  </w:style>
  <w:style w:type="paragraph" w:styleId="NormalWeb">
    <w:name w:val="Normal (Web)"/>
    <w:basedOn w:val="Normal"/>
    <w:uiPriority w:val="99"/>
    <w:unhideWhenUsed/>
    <w:rsid w:val="00F31FFD"/>
    <w:pPr>
      <w:spacing w:before="100" w:beforeAutospacing="1" w:after="100" w:afterAutospacing="1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31FF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31FFD"/>
    <w:rPr>
      <w:rFonts w:ascii="Tahoma" w:eastAsia="Times New Roman" w:hAnsi="Tahoma" w:cs="Tahoma"/>
      <w:sz w:val="16"/>
      <w:szCs w:val="16"/>
      <w:lang w:eastAsia="en-AU"/>
    </w:rPr>
  </w:style>
  <w:style w:type="paragraph" w:styleId="Header">
    <w:name w:val="header"/>
    <w:aliases w:val="Page Header,Header title,he=header,cntr/bld"/>
    <w:basedOn w:val="Normal"/>
    <w:link w:val="HeaderChar"/>
    <w:uiPriority w:val="99"/>
    <w:unhideWhenUsed/>
    <w:rsid w:val="00F31FFD"/>
    <w:pPr>
      <w:tabs>
        <w:tab w:val="center" w:pos="4513"/>
        <w:tab w:val="right" w:pos="9026"/>
      </w:tabs>
    </w:pPr>
  </w:style>
  <w:style w:type="character" w:customStyle="1" w:styleId="HeaderChar">
    <w:name w:val="Header Char"/>
    <w:aliases w:val="Page Header Char,Header title Char,he=header Char,cntr/bld Char"/>
    <w:basedOn w:val="DefaultParagraphFont"/>
    <w:link w:val="Header"/>
    <w:uiPriority w:val="99"/>
    <w:rsid w:val="00F31FFD"/>
    <w:rPr>
      <w:rFonts w:eastAsia="Times New Roman" w:cs="Times New Roman"/>
      <w:szCs w:val="24"/>
      <w:lang w:eastAsia="en-AU"/>
    </w:rPr>
  </w:style>
  <w:style w:type="paragraph" w:styleId="Footer">
    <w:name w:val="footer"/>
    <w:basedOn w:val="Normal"/>
    <w:link w:val="FooterChar"/>
    <w:uiPriority w:val="99"/>
    <w:unhideWhenUsed/>
    <w:rsid w:val="00F31FFD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31FFD"/>
    <w:rPr>
      <w:rFonts w:eastAsia="Times New Roman" w:cs="Times New Roman"/>
      <w:szCs w:val="24"/>
      <w:lang w:eastAsia="en-AU"/>
    </w:rPr>
  </w:style>
  <w:style w:type="character" w:styleId="PageNumber">
    <w:name w:val="page number"/>
    <w:basedOn w:val="DefaultParagraphFont"/>
    <w:rsid w:val="00F31FFD"/>
  </w:style>
  <w:style w:type="paragraph" w:styleId="Caption">
    <w:name w:val="caption"/>
    <w:aliases w:val="Bayer Caption,IB Caption,Medical Caption,CSR Caption"/>
    <w:basedOn w:val="Normal"/>
    <w:next w:val="Normal"/>
    <w:link w:val="CaptionChar"/>
    <w:uiPriority w:val="35"/>
    <w:qFormat/>
    <w:rsid w:val="006728B5"/>
    <w:pPr>
      <w:spacing w:after="200"/>
      <w:jc w:val="both"/>
    </w:pPr>
    <w:rPr>
      <w:rFonts w:ascii="Candara" w:hAnsi="Candara"/>
      <w:b/>
      <w:bCs/>
      <w:szCs w:val="18"/>
      <w:lang w:val="en-US" w:eastAsia="en-US" w:bidi="en-US"/>
    </w:rPr>
  </w:style>
  <w:style w:type="character" w:customStyle="1" w:styleId="CaptionChar">
    <w:name w:val="Caption Char"/>
    <w:aliases w:val="Bayer Caption Char,IB Caption Char,Medical Caption Char,CSR Caption Char"/>
    <w:link w:val="Caption"/>
    <w:uiPriority w:val="35"/>
    <w:rsid w:val="006728B5"/>
    <w:rPr>
      <w:rFonts w:ascii="Candara" w:eastAsia="Times New Roman" w:hAnsi="Candara" w:cs="Times New Roman"/>
      <w:b/>
      <w:bCs/>
      <w:szCs w:val="18"/>
      <w:lang w:val="en-US" w:bidi="en-US"/>
    </w:rPr>
  </w:style>
  <w:style w:type="paragraph" w:styleId="Subtitle">
    <w:name w:val="Subtitle"/>
    <w:basedOn w:val="Normal"/>
    <w:next w:val="Normal"/>
    <w:link w:val="SubtitleChar"/>
    <w:uiPriority w:val="11"/>
    <w:qFormat/>
    <w:rsid w:val="006728B5"/>
    <w:pPr>
      <w:numPr>
        <w:ilvl w:val="1"/>
      </w:numPr>
      <w:spacing w:after="200" w:line="276" w:lineRule="auto"/>
    </w:pPr>
    <w:rPr>
      <w:rFonts w:ascii="Arial Narrow" w:eastAsia="MS Gothic" w:hAnsi="Arial Narrow"/>
      <w:i/>
      <w:iCs/>
      <w:spacing w:val="15"/>
      <w:sz w:val="18"/>
      <w:lang w:eastAsia="en-US"/>
    </w:rPr>
  </w:style>
  <w:style w:type="character" w:customStyle="1" w:styleId="SubtitleChar">
    <w:name w:val="Subtitle Char"/>
    <w:basedOn w:val="DefaultParagraphFont"/>
    <w:link w:val="Subtitle"/>
    <w:uiPriority w:val="11"/>
    <w:rsid w:val="006728B5"/>
    <w:rPr>
      <w:rFonts w:ascii="Arial Narrow" w:eastAsia="MS Gothic" w:hAnsi="Arial Narrow" w:cs="Times New Roman"/>
      <w:i/>
      <w:iCs/>
      <w:spacing w:val="15"/>
      <w:sz w:val="18"/>
      <w:szCs w:val="24"/>
    </w:rPr>
  </w:style>
  <w:style w:type="paragraph" w:styleId="ListParagraph">
    <w:name w:val="List Paragraph"/>
    <w:aliases w:val="BulletPoints"/>
    <w:basedOn w:val="Normal"/>
    <w:link w:val="ListParagraphChar"/>
    <w:uiPriority w:val="72"/>
    <w:qFormat/>
    <w:rsid w:val="006457A7"/>
    <w:pPr>
      <w:ind w:left="720"/>
      <w:contextualSpacing/>
    </w:pPr>
  </w:style>
  <w:style w:type="paragraph" w:customStyle="1" w:styleId="Char">
    <w:name w:val="Char"/>
    <w:basedOn w:val="Normal"/>
    <w:rsid w:val="005B46AB"/>
    <w:pPr>
      <w:spacing w:after="160" w:line="240" w:lineRule="exact"/>
    </w:pPr>
    <w:rPr>
      <w:rFonts w:ascii="Verdana" w:eastAsia="MS Mincho" w:hAnsi="Verdana" w:cs="Verdana"/>
      <w:sz w:val="20"/>
      <w:szCs w:val="20"/>
      <w:lang w:val="en-US" w:eastAsia="en-US"/>
    </w:rPr>
  </w:style>
  <w:style w:type="paragraph" w:styleId="BodyText">
    <w:name w:val="Body Text"/>
    <w:basedOn w:val="Normal"/>
    <w:link w:val="BodyTextChar"/>
    <w:qFormat/>
    <w:rsid w:val="009B6A38"/>
    <w:pPr>
      <w:widowControl w:val="0"/>
    </w:pPr>
    <w:rPr>
      <w:rFonts w:ascii="Arial" w:hAnsi="Arial" w:cs="Arial"/>
      <w:snapToGrid w:val="0"/>
      <w:sz w:val="22"/>
      <w:lang w:eastAsia="en-US"/>
    </w:rPr>
  </w:style>
  <w:style w:type="character" w:customStyle="1" w:styleId="BodyTextChar">
    <w:name w:val="Body Text Char"/>
    <w:basedOn w:val="DefaultParagraphFont"/>
    <w:link w:val="BodyText"/>
    <w:rsid w:val="009B6A38"/>
    <w:rPr>
      <w:rFonts w:ascii="Arial" w:eastAsia="Times New Roman" w:hAnsi="Arial" w:cs="Arial"/>
      <w:snapToGrid w:val="0"/>
      <w:sz w:val="22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506F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506F7"/>
    <w:rPr>
      <w:rFonts w:eastAsia="Times New Roman" w:cs="Times New Roman"/>
      <w:b/>
      <w:bCs/>
      <w:sz w:val="20"/>
      <w:szCs w:val="20"/>
      <w:lang w:eastAsia="en-AU"/>
    </w:rPr>
  </w:style>
  <w:style w:type="paragraph" w:customStyle="1" w:styleId="PBACHeading1">
    <w:name w:val="PBAC Heading 1"/>
    <w:qFormat/>
    <w:rsid w:val="00341137"/>
    <w:pPr>
      <w:spacing w:after="0" w:line="240" w:lineRule="auto"/>
      <w:ind w:left="720" w:hanging="720"/>
    </w:pPr>
    <w:rPr>
      <w:rFonts w:ascii="Arial" w:eastAsia="Times New Roman" w:hAnsi="Arial" w:cs="Arial"/>
      <w:b/>
      <w:snapToGrid w:val="0"/>
      <w:sz w:val="22"/>
    </w:rPr>
  </w:style>
  <w:style w:type="paragraph" w:styleId="NoSpacing">
    <w:name w:val="No Spacing"/>
    <w:basedOn w:val="Normal"/>
    <w:uiPriority w:val="99"/>
    <w:qFormat/>
    <w:rsid w:val="00341137"/>
    <w:pPr>
      <w:jc w:val="both"/>
    </w:pPr>
    <w:rPr>
      <w:rFonts w:ascii="Arial" w:hAnsi="Arial"/>
      <w:sz w:val="22"/>
      <w:szCs w:val="22"/>
    </w:rPr>
  </w:style>
  <w:style w:type="character" w:customStyle="1" w:styleId="ListParagraphChar">
    <w:name w:val="List Paragraph Char"/>
    <w:aliases w:val="BulletPoints Char"/>
    <w:basedOn w:val="DefaultParagraphFont"/>
    <w:link w:val="ListParagraph"/>
    <w:uiPriority w:val="72"/>
    <w:rsid w:val="00341137"/>
    <w:rPr>
      <w:rFonts w:eastAsia="Times New Roman" w:cs="Times New Roman"/>
      <w:szCs w:val="24"/>
      <w:lang w:eastAsia="en-AU"/>
    </w:rPr>
  </w:style>
  <w:style w:type="paragraph" w:customStyle="1" w:styleId="minorovrheadings">
    <w:name w:val="minor ovr headings"/>
    <w:basedOn w:val="Heading1"/>
    <w:link w:val="minorovrheadingsChar"/>
    <w:qFormat/>
    <w:rsid w:val="00341137"/>
    <w:pPr>
      <w:spacing w:before="240" w:after="60"/>
    </w:pPr>
    <w:rPr>
      <w:rFonts w:cs="Arial"/>
      <w:b w:val="0"/>
      <w:kern w:val="28"/>
      <w:szCs w:val="24"/>
    </w:rPr>
  </w:style>
  <w:style w:type="character" w:customStyle="1" w:styleId="minorovrheadingsChar">
    <w:name w:val="minor ovr headings Char"/>
    <w:basedOn w:val="ListParagraphChar"/>
    <w:link w:val="minorovrheadings"/>
    <w:rsid w:val="00341137"/>
    <w:rPr>
      <w:rFonts w:ascii="Arial" w:eastAsia="Times New Roman" w:hAnsi="Arial" w:cs="Arial"/>
      <w:bCs/>
      <w:kern w:val="28"/>
      <w:sz w:val="22"/>
      <w:szCs w:val="24"/>
      <w:lang w:eastAsia="en-AU"/>
    </w:rPr>
  </w:style>
  <w:style w:type="character" w:customStyle="1" w:styleId="Heading1Char">
    <w:name w:val="Heading 1 Char"/>
    <w:basedOn w:val="DefaultParagraphFont"/>
    <w:link w:val="Heading1"/>
    <w:uiPriority w:val="9"/>
    <w:rsid w:val="00A24579"/>
    <w:rPr>
      <w:rFonts w:ascii="Arial" w:eastAsia="Times New Roman" w:hAnsi="Arial" w:cs="Times New Roman"/>
      <w:b/>
      <w:sz w:val="22"/>
      <w:lang w:eastAsia="en-AU"/>
    </w:rPr>
  </w:style>
  <w:style w:type="character" w:styleId="Hyperlink">
    <w:name w:val="Hyperlink"/>
    <w:uiPriority w:val="99"/>
    <w:rsid w:val="004C7D28"/>
    <w:rPr>
      <w:color w:val="0000FF"/>
      <w:u w:val="single"/>
    </w:rPr>
  </w:style>
  <w:style w:type="paragraph" w:styleId="Title">
    <w:name w:val="Title"/>
    <w:basedOn w:val="Normal"/>
    <w:next w:val="Normal"/>
    <w:link w:val="TitleChar"/>
    <w:qFormat/>
    <w:rsid w:val="00A24579"/>
    <w:pPr>
      <w:ind w:left="720" w:hanging="720"/>
      <w:outlineLvl w:val="0"/>
    </w:pPr>
    <w:rPr>
      <w:rFonts w:ascii="Arial" w:hAnsi="Arial"/>
      <w:b/>
      <w:sz w:val="28"/>
      <w:szCs w:val="28"/>
    </w:rPr>
  </w:style>
  <w:style w:type="character" w:customStyle="1" w:styleId="TitleChar">
    <w:name w:val="Title Char"/>
    <w:basedOn w:val="DefaultParagraphFont"/>
    <w:link w:val="Title"/>
    <w:rsid w:val="00A24579"/>
    <w:rPr>
      <w:rFonts w:ascii="Arial" w:eastAsia="Times New Roman" w:hAnsi="Arial" w:cs="Times New Roman"/>
      <w:b/>
      <w:sz w:val="28"/>
      <w:szCs w:val="28"/>
      <w:lang w:eastAsia="en-A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annotation reference" w:uiPriority="0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72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31FFD"/>
    <w:pPr>
      <w:spacing w:after="0" w:line="240" w:lineRule="auto"/>
    </w:pPr>
    <w:rPr>
      <w:rFonts w:eastAsia="Times New Roman" w:cs="Times New Roman"/>
      <w:szCs w:val="24"/>
      <w:lang w:eastAsia="en-AU"/>
    </w:rPr>
  </w:style>
  <w:style w:type="paragraph" w:styleId="Heading1">
    <w:name w:val="heading 1"/>
    <w:basedOn w:val="ListParagraph"/>
    <w:next w:val="Normal"/>
    <w:link w:val="Heading1Char"/>
    <w:qFormat/>
    <w:rsid w:val="00A24579"/>
    <w:pPr>
      <w:numPr>
        <w:numId w:val="5"/>
      </w:numPr>
      <w:jc w:val="both"/>
      <w:outlineLvl w:val="0"/>
    </w:pPr>
    <w:rPr>
      <w:rFonts w:ascii="Arial" w:hAnsi="Arial"/>
      <w:b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aliases w:val="Table Title"/>
    <w:qFormat/>
    <w:rsid w:val="00F31FFD"/>
    <w:rPr>
      <w:sz w:val="16"/>
      <w:szCs w:val="16"/>
    </w:rPr>
  </w:style>
  <w:style w:type="paragraph" w:styleId="CommentText">
    <w:name w:val="annotation text"/>
    <w:basedOn w:val="Normal"/>
    <w:link w:val="CommentTextChar"/>
    <w:rsid w:val="00F31FFD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F31FFD"/>
    <w:rPr>
      <w:rFonts w:eastAsia="Times New Roman" w:cs="Times New Roman"/>
      <w:sz w:val="20"/>
      <w:szCs w:val="20"/>
      <w:lang w:eastAsia="en-AU"/>
    </w:rPr>
  </w:style>
  <w:style w:type="paragraph" w:styleId="NormalWeb">
    <w:name w:val="Normal (Web)"/>
    <w:basedOn w:val="Normal"/>
    <w:uiPriority w:val="99"/>
    <w:unhideWhenUsed/>
    <w:rsid w:val="00F31FFD"/>
    <w:pPr>
      <w:spacing w:before="100" w:beforeAutospacing="1" w:after="100" w:afterAutospacing="1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31FF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31FFD"/>
    <w:rPr>
      <w:rFonts w:ascii="Tahoma" w:eastAsia="Times New Roman" w:hAnsi="Tahoma" w:cs="Tahoma"/>
      <w:sz w:val="16"/>
      <w:szCs w:val="16"/>
      <w:lang w:eastAsia="en-AU"/>
    </w:rPr>
  </w:style>
  <w:style w:type="paragraph" w:styleId="Header">
    <w:name w:val="header"/>
    <w:aliases w:val="Page Header,Header title,he=header,cntr/bld"/>
    <w:basedOn w:val="Normal"/>
    <w:link w:val="HeaderChar"/>
    <w:uiPriority w:val="99"/>
    <w:unhideWhenUsed/>
    <w:rsid w:val="00F31FFD"/>
    <w:pPr>
      <w:tabs>
        <w:tab w:val="center" w:pos="4513"/>
        <w:tab w:val="right" w:pos="9026"/>
      </w:tabs>
    </w:pPr>
  </w:style>
  <w:style w:type="character" w:customStyle="1" w:styleId="HeaderChar">
    <w:name w:val="Header Char"/>
    <w:aliases w:val="Page Header Char,Header title Char,he=header Char,cntr/bld Char"/>
    <w:basedOn w:val="DefaultParagraphFont"/>
    <w:link w:val="Header"/>
    <w:uiPriority w:val="99"/>
    <w:rsid w:val="00F31FFD"/>
    <w:rPr>
      <w:rFonts w:eastAsia="Times New Roman" w:cs="Times New Roman"/>
      <w:szCs w:val="24"/>
      <w:lang w:eastAsia="en-AU"/>
    </w:rPr>
  </w:style>
  <w:style w:type="paragraph" w:styleId="Footer">
    <w:name w:val="footer"/>
    <w:basedOn w:val="Normal"/>
    <w:link w:val="FooterChar"/>
    <w:uiPriority w:val="99"/>
    <w:unhideWhenUsed/>
    <w:rsid w:val="00F31FFD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31FFD"/>
    <w:rPr>
      <w:rFonts w:eastAsia="Times New Roman" w:cs="Times New Roman"/>
      <w:szCs w:val="24"/>
      <w:lang w:eastAsia="en-AU"/>
    </w:rPr>
  </w:style>
  <w:style w:type="character" w:styleId="PageNumber">
    <w:name w:val="page number"/>
    <w:basedOn w:val="DefaultParagraphFont"/>
    <w:rsid w:val="00F31FFD"/>
  </w:style>
  <w:style w:type="paragraph" w:styleId="Caption">
    <w:name w:val="caption"/>
    <w:aliases w:val="Bayer Caption,IB Caption,Medical Caption,CSR Caption"/>
    <w:basedOn w:val="Normal"/>
    <w:next w:val="Normal"/>
    <w:link w:val="CaptionChar"/>
    <w:uiPriority w:val="35"/>
    <w:qFormat/>
    <w:rsid w:val="006728B5"/>
    <w:pPr>
      <w:spacing w:after="200"/>
      <w:jc w:val="both"/>
    </w:pPr>
    <w:rPr>
      <w:rFonts w:ascii="Candara" w:hAnsi="Candara"/>
      <w:b/>
      <w:bCs/>
      <w:szCs w:val="18"/>
      <w:lang w:val="en-US" w:eastAsia="en-US" w:bidi="en-US"/>
    </w:rPr>
  </w:style>
  <w:style w:type="character" w:customStyle="1" w:styleId="CaptionChar">
    <w:name w:val="Caption Char"/>
    <w:aliases w:val="Bayer Caption Char,IB Caption Char,Medical Caption Char,CSR Caption Char"/>
    <w:link w:val="Caption"/>
    <w:uiPriority w:val="35"/>
    <w:rsid w:val="006728B5"/>
    <w:rPr>
      <w:rFonts w:ascii="Candara" w:eastAsia="Times New Roman" w:hAnsi="Candara" w:cs="Times New Roman"/>
      <w:b/>
      <w:bCs/>
      <w:szCs w:val="18"/>
      <w:lang w:val="en-US" w:bidi="en-US"/>
    </w:rPr>
  </w:style>
  <w:style w:type="paragraph" w:styleId="Subtitle">
    <w:name w:val="Subtitle"/>
    <w:basedOn w:val="Normal"/>
    <w:next w:val="Normal"/>
    <w:link w:val="SubtitleChar"/>
    <w:uiPriority w:val="11"/>
    <w:qFormat/>
    <w:rsid w:val="006728B5"/>
    <w:pPr>
      <w:numPr>
        <w:ilvl w:val="1"/>
      </w:numPr>
      <w:spacing w:after="200" w:line="276" w:lineRule="auto"/>
    </w:pPr>
    <w:rPr>
      <w:rFonts w:ascii="Arial Narrow" w:eastAsia="MS Gothic" w:hAnsi="Arial Narrow"/>
      <w:i/>
      <w:iCs/>
      <w:spacing w:val="15"/>
      <w:sz w:val="18"/>
      <w:lang w:eastAsia="en-US"/>
    </w:rPr>
  </w:style>
  <w:style w:type="character" w:customStyle="1" w:styleId="SubtitleChar">
    <w:name w:val="Subtitle Char"/>
    <w:basedOn w:val="DefaultParagraphFont"/>
    <w:link w:val="Subtitle"/>
    <w:uiPriority w:val="11"/>
    <w:rsid w:val="006728B5"/>
    <w:rPr>
      <w:rFonts w:ascii="Arial Narrow" w:eastAsia="MS Gothic" w:hAnsi="Arial Narrow" w:cs="Times New Roman"/>
      <w:i/>
      <w:iCs/>
      <w:spacing w:val="15"/>
      <w:sz w:val="18"/>
      <w:szCs w:val="24"/>
    </w:rPr>
  </w:style>
  <w:style w:type="paragraph" w:styleId="ListParagraph">
    <w:name w:val="List Paragraph"/>
    <w:aliases w:val="BulletPoints"/>
    <w:basedOn w:val="Normal"/>
    <w:link w:val="ListParagraphChar"/>
    <w:uiPriority w:val="72"/>
    <w:qFormat/>
    <w:rsid w:val="006457A7"/>
    <w:pPr>
      <w:ind w:left="720"/>
      <w:contextualSpacing/>
    </w:pPr>
  </w:style>
  <w:style w:type="paragraph" w:customStyle="1" w:styleId="Char">
    <w:name w:val="Char"/>
    <w:basedOn w:val="Normal"/>
    <w:rsid w:val="005B46AB"/>
    <w:pPr>
      <w:spacing w:after="160" w:line="240" w:lineRule="exact"/>
    </w:pPr>
    <w:rPr>
      <w:rFonts w:ascii="Verdana" w:eastAsia="MS Mincho" w:hAnsi="Verdana" w:cs="Verdana"/>
      <w:sz w:val="20"/>
      <w:szCs w:val="20"/>
      <w:lang w:val="en-US" w:eastAsia="en-US"/>
    </w:rPr>
  </w:style>
  <w:style w:type="paragraph" w:styleId="BodyText">
    <w:name w:val="Body Text"/>
    <w:basedOn w:val="Normal"/>
    <w:link w:val="BodyTextChar"/>
    <w:qFormat/>
    <w:rsid w:val="009B6A38"/>
    <w:pPr>
      <w:widowControl w:val="0"/>
    </w:pPr>
    <w:rPr>
      <w:rFonts w:ascii="Arial" w:hAnsi="Arial" w:cs="Arial"/>
      <w:snapToGrid w:val="0"/>
      <w:sz w:val="22"/>
      <w:lang w:eastAsia="en-US"/>
    </w:rPr>
  </w:style>
  <w:style w:type="character" w:customStyle="1" w:styleId="BodyTextChar">
    <w:name w:val="Body Text Char"/>
    <w:basedOn w:val="DefaultParagraphFont"/>
    <w:link w:val="BodyText"/>
    <w:rsid w:val="009B6A38"/>
    <w:rPr>
      <w:rFonts w:ascii="Arial" w:eastAsia="Times New Roman" w:hAnsi="Arial" w:cs="Arial"/>
      <w:snapToGrid w:val="0"/>
      <w:sz w:val="22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506F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506F7"/>
    <w:rPr>
      <w:rFonts w:eastAsia="Times New Roman" w:cs="Times New Roman"/>
      <w:b/>
      <w:bCs/>
      <w:sz w:val="20"/>
      <w:szCs w:val="20"/>
      <w:lang w:eastAsia="en-AU"/>
    </w:rPr>
  </w:style>
  <w:style w:type="paragraph" w:customStyle="1" w:styleId="PBACHeading1">
    <w:name w:val="PBAC Heading 1"/>
    <w:qFormat/>
    <w:rsid w:val="00341137"/>
    <w:pPr>
      <w:spacing w:after="0" w:line="240" w:lineRule="auto"/>
      <w:ind w:left="720" w:hanging="720"/>
    </w:pPr>
    <w:rPr>
      <w:rFonts w:ascii="Arial" w:eastAsia="Times New Roman" w:hAnsi="Arial" w:cs="Arial"/>
      <w:b/>
      <w:snapToGrid w:val="0"/>
      <w:sz w:val="22"/>
    </w:rPr>
  </w:style>
  <w:style w:type="paragraph" w:styleId="NoSpacing">
    <w:name w:val="No Spacing"/>
    <w:basedOn w:val="Normal"/>
    <w:uiPriority w:val="99"/>
    <w:qFormat/>
    <w:rsid w:val="00341137"/>
    <w:pPr>
      <w:jc w:val="both"/>
    </w:pPr>
    <w:rPr>
      <w:rFonts w:ascii="Arial" w:hAnsi="Arial"/>
      <w:sz w:val="22"/>
      <w:szCs w:val="22"/>
    </w:rPr>
  </w:style>
  <w:style w:type="character" w:customStyle="1" w:styleId="ListParagraphChar">
    <w:name w:val="List Paragraph Char"/>
    <w:aliases w:val="BulletPoints Char"/>
    <w:basedOn w:val="DefaultParagraphFont"/>
    <w:link w:val="ListParagraph"/>
    <w:uiPriority w:val="72"/>
    <w:rsid w:val="00341137"/>
    <w:rPr>
      <w:rFonts w:eastAsia="Times New Roman" w:cs="Times New Roman"/>
      <w:szCs w:val="24"/>
      <w:lang w:eastAsia="en-AU"/>
    </w:rPr>
  </w:style>
  <w:style w:type="paragraph" w:customStyle="1" w:styleId="minorovrheadings">
    <w:name w:val="minor ovr headings"/>
    <w:basedOn w:val="Heading1"/>
    <w:link w:val="minorovrheadingsChar"/>
    <w:qFormat/>
    <w:rsid w:val="00341137"/>
    <w:pPr>
      <w:spacing w:before="240" w:after="60"/>
    </w:pPr>
    <w:rPr>
      <w:rFonts w:cs="Arial"/>
      <w:b w:val="0"/>
      <w:kern w:val="28"/>
      <w:szCs w:val="24"/>
    </w:rPr>
  </w:style>
  <w:style w:type="character" w:customStyle="1" w:styleId="minorovrheadingsChar">
    <w:name w:val="minor ovr headings Char"/>
    <w:basedOn w:val="ListParagraphChar"/>
    <w:link w:val="minorovrheadings"/>
    <w:rsid w:val="00341137"/>
    <w:rPr>
      <w:rFonts w:ascii="Arial" w:eastAsia="Times New Roman" w:hAnsi="Arial" w:cs="Arial"/>
      <w:bCs/>
      <w:kern w:val="28"/>
      <w:sz w:val="22"/>
      <w:szCs w:val="24"/>
      <w:lang w:eastAsia="en-AU"/>
    </w:rPr>
  </w:style>
  <w:style w:type="character" w:customStyle="1" w:styleId="Heading1Char">
    <w:name w:val="Heading 1 Char"/>
    <w:basedOn w:val="DefaultParagraphFont"/>
    <w:link w:val="Heading1"/>
    <w:uiPriority w:val="9"/>
    <w:rsid w:val="00A24579"/>
    <w:rPr>
      <w:rFonts w:ascii="Arial" w:eastAsia="Times New Roman" w:hAnsi="Arial" w:cs="Times New Roman"/>
      <w:b/>
      <w:sz w:val="22"/>
      <w:lang w:eastAsia="en-AU"/>
    </w:rPr>
  </w:style>
  <w:style w:type="character" w:styleId="Hyperlink">
    <w:name w:val="Hyperlink"/>
    <w:uiPriority w:val="99"/>
    <w:rsid w:val="004C7D28"/>
    <w:rPr>
      <w:color w:val="0000FF"/>
      <w:u w:val="single"/>
    </w:rPr>
  </w:style>
  <w:style w:type="paragraph" w:styleId="Title">
    <w:name w:val="Title"/>
    <w:basedOn w:val="Normal"/>
    <w:next w:val="Normal"/>
    <w:link w:val="TitleChar"/>
    <w:qFormat/>
    <w:rsid w:val="00A24579"/>
    <w:pPr>
      <w:ind w:left="720" w:hanging="720"/>
      <w:outlineLvl w:val="0"/>
    </w:pPr>
    <w:rPr>
      <w:rFonts w:ascii="Arial" w:hAnsi="Arial"/>
      <w:b/>
      <w:sz w:val="28"/>
      <w:szCs w:val="28"/>
    </w:rPr>
  </w:style>
  <w:style w:type="character" w:customStyle="1" w:styleId="TitleChar">
    <w:name w:val="Title Char"/>
    <w:basedOn w:val="DefaultParagraphFont"/>
    <w:link w:val="Title"/>
    <w:rsid w:val="00A24579"/>
    <w:rPr>
      <w:rFonts w:ascii="Arial" w:eastAsia="Times New Roman" w:hAnsi="Arial" w:cs="Times New Roman"/>
      <w:b/>
      <w:sz w:val="28"/>
      <w:szCs w:val="28"/>
      <w:lang w:eastAsia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219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7459844">
          <w:marLeft w:val="0"/>
          <w:marRight w:val="0"/>
          <w:marTop w:val="24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437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61953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55610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37850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16483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903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7292004">
          <w:marLeft w:val="0"/>
          <w:marRight w:val="0"/>
          <w:marTop w:val="24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1232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96998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23766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43816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18208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9158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1159983">
          <w:marLeft w:val="0"/>
          <w:marRight w:val="0"/>
          <w:marTop w:val="24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4167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8668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86688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32157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055686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1530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2421397">
          <w:marLeft w:val="0"/>
          <w:marRight w:val="0"/>
          <w:marTop w:val="24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0573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99429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48724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57008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23513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3472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9153765">
          <w:marLeft w:val="0"/>
          <w:marRight w:val="0"/>
          <w:marTop w:val="24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4095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34602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24778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12016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135425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5977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194114">
          <w:marLeft w:val="0"/>
          <w:marRight w:val="0"/>
          <w:marTop w:val="24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1534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7312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22731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73186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43663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236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0276240">
          <w:marLeft w:val="0"/>
          <w:marRight w:val="0"/>
          <w:marTop w:val="24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8010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84635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61612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56835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04494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0035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7795341">
          <w:marLeft w:val="0"/>
          <w:marRight w:val="0"/>
          <w:marTop w:val="24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9068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12781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88646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93249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5193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1396</Words>
  <Characters>7962</Characters>
  <Application>Microsoft Office Word</Application>
  <DocSecurity>0</DocSecurity>
  <Lines>66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9340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2016-06-07T04:25:00Z</dcterms:created>
  <dcterms:modified xsi:type="dcterms:W3CDTF">2016-06-22T00:13:00Z</dcterms:modified>
</cp:coreProperties>
</file>