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04" w:rsidRPr="008C7AEB" w:rsidRDefault="00B50A04" w:rsidP="00B54755">
      <w:pPr>
        <w:pStyle w:val="Title"/>
        <w:jc w:val="left"/>
      </w:pPr>
      <w:bookmarkStart w:id="0" w:name="_Toc441050657"/>
      <w:r w:rsidRPr="008C7AEB">
        <w:t>6.03</w:t>
      </w:r>
      <w:r w:rsidR="00163204" w:rsidRPr="008C7AEB">
        <w:tab/>
        <w:t>DENOSUMAB,</w:t>
      </w:r>
      <w:r w:rsidR="00B54755">
        <w:br/>
      </w:r>
      <w:r w:rsidR="00163204" w:rsidRPr="008C7AEB">
        <w:t>120</w:t>
      </w:r>
      <w:r w:rsidR="00E2799C" w:rsidRPr="008C7AEB">
        <w:t> </w:t>
      </w:r>
      <w:r w:rsidR="00163204" w:rsidRPr="008C7AEB">
        <w:t xml:space="preserve">mg/1.7mL </w:t>
      </w:r>
      <w:r w:rsidR="00163204" w:rsidRPr="00B54755">
        <w:t>injection</w:t>
      </w:r>
      <w:r w:rsidR="00163204" w:rsidRPr="008C7AEB">
        <w:t>,</w:t>
      </w:r>
      <w:r w:rsidR="00B54755">
        <w:br/>
      </w:r>
      <w:r w:rsidR="00163204" w:rsidRPr="008C7AEB">
        <w:t>Xgeva</w:t>
      </w:r>
      <w:r w:rsidR="00163204" w:rsidRPr="008C7AEB">
        <w:rPr>
          <w:vertAlign w:val="superscript"/>
        </w:rPr>
        <w:t>®</w:t>
      </w:r>
      <w:r w:rsidR="00163204" w:rsidRPr="008C7AEB">
        <w:t>,</w:t>
      </w:r>
      <w:r w:rsidR="00B54755">
        <w:br/>
      </w:r>
      <w:r w:rsidR="00163204" w:rsidRPr="008C7AEB">
        <w:t>Amgen.</w:t>
      </w:r>
      <w:bookmarkEnd w:id="0"/>
    </w:p>
    <w:p w:rsidR="00811E7B" w:rsidRPr="008C7AEB" w:rsidRDefault="00811E7B" w:rsidP="00163204">
      <w:pPr>
        <w:pStyle w:val="BodyText"/>
      </w:pPr>
    </w:p>
    <w:p w:rsidR="009879D1" w:rsidRPr="008C7AEB" w:rsidRDefault="009879D1" w:rsidP="00B54755">
      <w:pPr>
        <w:pStyle w:val="BodyText"/>
      </w:pPr>
      <w:bookmarkStart w:id="1" w:name="_Toc441050659"/>
    </w:p>
    <w:p w:rsidR="00163204" w:rsidRPr="00B54755" w:rsidRDefault="00163204" w:rsidP="00B54755">
      <w:pPr>
        <w:pStyle w:val="PBACHeading1"/>
      </w:pPr>
      <w:r w:rsidRPr="00B54755">
        <w:t>Purpose of Application</w:t>
      </w:r>
      <w:bookmarkEnd w:id="1"/>
    </w:p>
    <w:p w:rsidR="00163204" w:rsidRPr="008C7AEB" w:rsidRDefault="00163204" w:rsidP="00163204">
      <w:pPr>
        <w:rPr>
          <w:szCs w:val="22"/>
        </w:rPr>
      </w:pPr>
    </w:p>
    <w:p w:rsidR="00163204" w:rsidRPr="008C7AEB" w:rsidRDefault="00163204" w:rsidP="00163204">
      <w:pPr>
        <w:pStyle w:val="ListParagraph"/>
        <w:widowControl/>
        <w:numPr>
          <w:ilvl w:val="1"/>
          <w:numId w:val="6"/>
        </w:numPr>
        <w:rPr>
          <w:szCs w:val="22"/>
        </w:rPr>
      </w:pPr>
      <w:r w:rsidRPr="008C7AEB">
        <w:t xml:space="preserve">The submission requested an Authority Required (Streamlined) listing for denosumab for treatment of hypercalcaemia of malignancy that </w:t>
      </w:r>
      <w:r w:rsidR="00FB4A2B" w:rsidRPr="008C7AEB">
        <w:t>wa</w:t>
      </w:r>
      <w:r w:rsidRPr="008C7AEB">
        <w:t>s refractory to intravenous bisphosphonate.</w:t>
      </w:r>
    </w:p>
    <w:p w:rsidR="00163204" w:rsidRPr="008C7AEB" w:rsidRDefault="00163204" w:rsidP="00163204"/>
    <w:p w:rsidR="00163204" w:rsidRPr="008C7AEB" w:rsidRDefault="00163204" w:rsidP="00163204"/>
    <w:p w:rsidR="00163204" w:rsidRPr="008C7AEB" w:rsidRDefault="00163204" w:rsidP="00B54755">
      <w:pPr>
        <w:pStyle w:val="PBACHeading1"/>
      </w:pPr>
      <w:bookmarkStart w:id="2" w:name="_Toc441050660"/>
      <w:r w:rsidRPr="008C7AEB">
        <w:t>Requested listing</w:t>
      </w:r>
      <w:bookmarkEnd w:id="2"/>
    </w:p>
    <w:p w:rsidR="005C7CE7" w:rsidRPr="008C7AEB" w:rsidRDefault="005C7CE7" w:rsidP="005C7CE7">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5C7CE7" w:rsidRPr="008C7AEB" w:rsidTr="00520AFD">
        <w:trPr>
          <w:cantSplit/>
          <w:trHeight w:val="471"/>
        </w:trPr>
        <w:tc>
          <w:tcPr>
            <w:tcW w:w="3261" w:type="dxa"/>
            <w:gridSpan w:val="2"/>
            <w:tcBorders>
              <w:bottom w:val="single" w:sz="4" w:space="0" w:color="auto"/>
            </w:tcBorders>
          </w:tcPr>
          <w:p w:rsidR="005C7CE7" w:rsidRPr="008C7AEB" w:rsidRDefault="005C7CE7" w:rsidP="00520AFD">
            <w:pPr>
              <w:keepNext/>
              <w:ind w:left="-108"/>
              <w:rPr>
                <w:rFonts w:ascii="Arial Narrow" w:hAnsi="Arial Narrow"/>
                <w:sz w:val="20"/>
              </w:rPr>
            </w:pPr>
            <w:r w:rsidRPr="008C7AEB">
              <w:rPr>
                <w:rFonts w:ascii="Arial Narrow" w:hAnsi="Arial Narrow"/>
                <w:sz w:val="20"/>
              </w:rPr>
              <w:t>Name, Restriction,</w:t>
            </w:r>
          </w:p>
          <w:p w:rsidR="005C7CE7" w:rsidRPr="008C7AEB" w:rsidRDefault="005C7CE7" w:rsidP="00520AFD">
            <w:pPr>
              <w:keepNext/>
              <w:ind w:left="-108"/>
              <w:rPr>
                <w:rFonts w:ascii="Arial Narrow" w:hAnsi="Arial Narrow"/>
                <w:sz w:val="20"/>
              </w:rPr>
            </w:pPr>
            <w:r w:rsidRPr="008C7AEB">
              <w:rPr>
                <w:rFonts w:ascii="Arial Narrow" w:hAnsi="Arial Narrow"/>
                <w:sz w:val="20"/>
              </w:rPr>
              <w:t>Manner of administration and form</w:t>
            </w:r>
          </w:p>
        </w:tc>
        <w:tc>
          <w:tcPr>
            <w:tcW w:w="567" w:type="dxa"/>
            <w:tcBorders>
              <w:bottom w:val="single" w:sz="4" w:space="0" w:color="auto"/>
            </w:tcBorders>
          </w:tcPr>
          <w:p w:rsidR="005C7CE7" w:rsidRPr="008C7AEB" w:rsidRDefault="005C7CE7" w:rsidP="00520AFD">
            <w:pPr>
              <w:keepNext/>
              <w:ind w:left="-108"/>
              <w:rPr>
                <w:rFonts w:ascii="Arial Narrow" w:hAnsi="Arial Narrow"/>
                <w:sz w:val="20"/>
              </w:rPr>
            </w:pPr>
            <w:r w:rsidRPr="008C7AEB">
              <w:rPr>
                <w:rFonts w:ascii="Arial Narrow" w:hAnsi="Arial Narrow"/>
                <w:sz w:val="20"/>
              </w:rPr>
              <w:t>Max.</w:t>
            </w:r>
          </w:p>
          <w:p w:rsidR="005C7CE7" w:rsidRPr="008C7AEB" w:rsidRDefault="005C7CE7" w:rsidP="00520AFD">
            <w:pPr>
              <w:keepNext/>
              <w:ind w:left="-108"/>
              <w:rPr>
                <w:rFonts w:ascii="Arial Narrow" w:hAnsi="Arial Narrow"/>
                <w:sz w:val="20"/>
              </w:rPr>
            </w:pPr>
            <w:r w:rsidRPr="008C7AEB">
              <w:rPr>
                <w:rFonts w:ascii="Arial Narrow" w:hAnsi="Arial Narrow"/>
                <w:sz w:val="20"/>
              </w:rPr>
              <w:t>Qty</w:t>
            </w:r>
          </w:p>
        </w:tc>
        <w:tc>
          <w:tcPr>
            <w:tcW w:w="850" w:type="dxa"/>
            <w:tcBorders>
              <w:bottom w:val="single" w:sz="4" w:space="0" w:color="auto"/>
            </w:tcBorders>
          </w:tcPr>
          <w:p w:rsidR="005C7CE7" w:rsidRPr="008C7AEB" w:rsidRDefault="005C7CE7" w:rsidP="00520AFD">
            <w:pPr>
              <w:keepNext/>
              <w:ind w:left="-108"/>
              <w:rPr>
                <w:rFonts w:ascii="Arial Narrow" w:hAnsi="Arial Narrow"/>
                <w:sz w:val="20"/>
              </w:rPr>
            </w:pPr>
            <w:r w:rsidRPr="008C7AEB">
              <w:rPr>
                <w:rFonts w:ascii="Arial Narrow" w:hAnsi="Arial Narrow"/>
                <w:sz w:val="20"/>
              </w:rPr>
              <w:t>№.of</w:t>
            </w:r>
          </w:p>
          <w:p w:rsidR="005C7CE7" w:rsidRPr="008C7AEB" w:rsidRDefault="005C7CE7" w:rsidP="00520AFD">
            <w:pPr>
              <w:keepNext/>
              <w:ind w:left="-108"/>
              <w:rPr>
                <w:rFonts w:ascii="Arial Narrow" w:hAnsi="Arial Narrow"/>
                <w:sz w:val="20"/>
              </w:rPr>
            </w:pPr>
            <w:r w:rsidRPr="008C7AEB">
              <w:rPr>
                <w:rFonts w:ascii="Arial Narrow" w:hAnsi="Arial Narrow"/>
                <w:sz w:val="20"/>
              </w:rPr>
              <w:t>Rpts</w:t>
            </w:r>
          </w:p>
        </w:tc>
        <w:tc>
          <w:tcPr>
            <w:tcW w:w="1701" w:type="dxa"/>
            <w:tcBorders>
              <w:bottom w:val="single" w:sz="4" w:space="0" w:color="auto"/>
            </w:tcBorders>
          </w:tcPr>
          <w:p w:rsidR="005C7CE7" w:rsidRPr="008C7AEB" w:rsidRDefault="005C7CE7" w:rsidP="00520AFD">
            <w:pPr>
              <w:keepNext/>
              <w:ind w:left="-108"/>
              <w:rPr>
                <w:rFonts w:ascii="Arial Narrow" w:hAnsi="Arial Narrow"/>
                <w:sz w:val="20"/>
              </w:rPr>
            </w:pPr>
            <w:r w:rsidRPr="008C7AEB">
              <w:rPr>
                <w:rFonts w:ascii="Arial Narrow" w:hAnsi="Arial Narrow"/>
                <w:sz w:val="20"/>
              </w:rPr>
              <w:t>Dispensed Price for Max. Qty</w:t>
            </w:r>
          </w:p>
        </w:tc>
        <w:tc>
          <w:tcPr>
            <w:tcW w:w="2835" w:type="dxa"/>
            <w:gridSpan w:val="2"/>
            <w:tcBorders>
              <w:bottom w:val="single" w:sz="4" w:space="0" w:color="auto"/>
            </w:tcBorders>
          </w:tcPr>
          <w:p w:rsidR="005C7CE7" w:rsidRPr="008C7AEB" w:rsidRDefault="005C7CE7" w:rsidP="00520AFD">
            <w:pPr>
              <w:keepNext/>
              <w:rPr>
                <w:rFonts w:ascii="Arial Narrow" w:hAnsi="Arial Narrow"/>
                <w:sz w:val="20"/>
              </w:rPr>
            </w:pPr>
            <w:r w:rsidRPr="008C7AEB">
              <w:rPr>
                <w:rFonts w:ascii="Arial Narrow" w:hAnsi="Arial Narrow"/>
                <w:sz w:val="20"/>
              </w:rPr>
              <w:t>Proprietary Name and Manufacturer</w:t>
            </w:r>
          </w:p>
        </w:tc>
      </w:tr>
      <w:tr w:rsidR="005C7CE7" w:rsidRPr="008C7AEB" w:rsidTr="00520AFD">
        <w:trPr>
          <w:cantSplit/>
          <w:trHeight w:val="577"/>
        </w:trPr>
        <w:tc>
          <w:tcPr>
            <w:tcW w:w="3261" w:type="dxa"/>
            <w:gridSpan w:val="2"/>
          </w:tcPr>
          <w:p w:rsidR="00CC7E74" w:rsidRDefault="005C7CE7" w:rsidP="00CC7E74">
            <w:pPr>
              <w:keepNext/>
              <w:ind w:left="-108"/>
              <w:rPr>
                <w:rFonts w:ascii="Arial Narrow" w:hAnsi="Arial Narrow"/>
                <w:sz w:val="20"/>
              </w:rPr>
            </w:pPr>
            <w:r w:rsidRPr="008C7AEB">
              <w:rPr>
                <w:rFonts w:ascii="Arial Narrow" w:hAnsi="Arial Narrow"/>
                <w:smallCaps/>
                <w:sz w:val="20"/>
              </w:rPr>
              <w:t>DENOSUMAB</w:t>
            </w:r>
          </w:p>
          <w:p w:rsidR="005C7CE7" w:rsidRPr="00CC7E74" w:rsidRDefault="005C7CE7" w:rsidP="00CC7E74">
            <w:pPr>
              <w:keepNext/>
              <w:ind w:left="-108"/>
              <w:rPr>
                <w:rFonts w:ascii="Arial Narrow" w:hAnsi="Arial Narrow"/>
                <w:sz w:val="20"/>
              </w:rPr>
            </w:pPr>
            <w:r w:rsidRPr="008C7AEB">
              <w:rPr>
                <w:sz w:val="20"/>
              </w:rPr>
              <w:t>120</w:t>
            </w:r>
            <w:r w:rsidR="00E2799C" w:rsidRPr="008C7AEB">
              <w:rPr>
                <w:sz w:val="20"/>
              </w:rPr>
              <w:t> </w:t>
            </w:r>
            <w:r w:rsidRPr="008C7AEB">
              <w:rPr>
                <w:sz w:val="20"/>
              </w:rPr>
              <w:t>mg/1.7 mL injection, 1 x 1.7mL vial</w:t>
            </w:r>
          </w:p>
          <w:p w:rsidR="009879D1" w:rsidRPr="008C7AEB" w:rsidRDefault="009879D1" w:rsidP="005C7CE7">
            <w:pPr>
              <w:rPr>
                <w:sz w:val="20"/>
              </w:rPr>
            </w:pPr>
          </w:p>
          <w:p w:rsidR="009879D1" w:rsidRPr="008C7AEB" w:rsidRDefault="009879D1" w:rsidP="009879D1">
            <w:pPr>
              <w:rPr>
                <w:rFonts w:ascii="Arial Narrow" w:hAnsi="Arial Narrow"/>
                <w:sz w:val="20"/>
              </w:rPr>
            </w:pPr>
          </w:p>
        </w:tc>
        <w:tc>
          <w:tcPr>
            <w:tcW w:w="567" w:type="dxa"/>
          </w:tcPr>
          <w:p w:rsidR="005C7CE7" w:rsidRPr="008C7AEB" w:rsidRDefault="005C7CE7" w:rsidP="00520AFD">
            <w:pPr>
              <w:keepNext/>
              <w:ind w:left="-108"/>
              <w:rPr>
                <w:rFonts w:ascii="Arial Narrow" w:hAnsi="Arial Narrow"/>
                <w:sz w:val="20"/>
              </w:rPr>
            </w:pPr>
          </w:p>
          <w:p w:rsidR="005C7CE7" w:rsidRPr="008C7AEB" w:rsidRDefault="005C7CE7" w:rsidP="00520AFD">
            <w:pPr>
              <w:keepNext/>
              <w:ind w:left="-108"/>
              <w:rPr>
                <w:rFonts w:ascii="Arial Narrow" w:hAnsi="Arial Narrow"/>
                <w:sz w:val="20"/>
              </w:rPr>
            </w:pPr>
            <w:r w:rsidRPr="008C7AEB">
              <w:rPr>
                <w:rFonts w:ascii="Arial Narrow" w:hAnsi="Arial Narrow"/>
                <w:sz w:val="20"/>
              </w:rPr>
              <w:t>1</w:t>
            </w:r>
          </w:p>
        </w:tc>
        <w:tc>
          <w:tcPr>
            <w:tcW w:w="850" w:type="dxa"/>
          </w:tcPr>
          <w:p w:rsidR="005C7CE7" w:rsidRPr="008C7AEB" w:rsidRDefault="005C7CE7" w:rsidP="00520AFD">
            <w:pPr>
              <w:keepNext/>
              <w:ind w:left="-108"/>
              <w:rPr>
                <w:rFonts w:ascii="Arial Narrow" w:hAnsi="Arial Narrow"/>
                <w:sz w:val="20"/>
              </w:rPr>
            </w:pPr>
          </w:p>
          <w:p w:rsidR="005C7CE7" w:rsidRPr="008C7AEB" w:rsidRDefault="005C7CE7" w:rsidP="00520AFD">
            <w:pPr>
              <w:keepNext/>
              <w:ind w:left="-108"/>
              <w:rPr>
                <w:rFonts w:ascii="Arial Narrow" w:hAnsi="Arial Narrow"/>
                <w:sz w:val="20"/>
              </w:rPr>
            </w:pPr>
            <w:r w:rsidRPr="008C7AEB">
              <w:rPr>
                <w:rFonts w:ascii="Arial Narrow" w:hAnsi="Arial Narrow"/>
                <w:sz w:val="20"/>
              </w:rPr>
              <w:t>5</w:t>
            </w:r>
          </w:p>
        </w:tc>
        <w:tc>
          <w:tcPr>
            <w:tcW w:w="1701" w:type="dxa"/>
          </w:tcPr>
          <w:p w:rsidR="005C7CE7" w:rsidRPr="008C7AEB" w:rsidRDefault="005C7CE7" w:rsidP="00520AFD">
            <w:pPr>
              <w:keepNext/>
              <w:ind w:left="-108"/>
              <w:rPr>
                <w:rFonts w:ascii="Arial Narrow" w:hAnsi="Arial Narrow"/>
                <w:sz w:val="20"/>
              </w:rPr>
            </w:pPr>
          </w:p>
          <w:p w:rsidR="005C7CE7" w:rsidRPr="008C7AEB" w:rsidRDefault="005C7CE7" w:rsidP="00520AFD">
            <w:pPr>
              <w:keepNext/>
              <w:ind w:left="-108"/>
              <w:rPr>
                <w:rFonts w:ascii="Arial Narrow" w:hAnsi="Arial Narrow"/>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1559" w:type="dxa"/>
          </w:tcPr>
          <w:p w:rsidR="005C7CE7" w:rsidRPr="008C7AEB" w:rsidRDefault="005C7CE7" w:rsidP="00520AFD">
            <w:pPr>
              <w:keepNext/>
              <w:rPr>
                <w:rFonts w:ascii="Arial Narrow" w:hAnsi="Arial Narrow"/>
                <w:sz w:val="20"/>
              </w:rPr>
            </w:pPr>
          </w:p>
          <w:p w:rsidR="005C7CE7" w:rsidRPr="008C7AEB" w:rsidRDefault="005C7CE7" w:rsidP="00520AFD">
            <w:pPr>
              <w:keepNext/>
              <w:rPr>
                <w:rFonts w:ascii="Arial Narrow" w:hAnsi="Arial Narrow"/>
                <w:sz w:val="20"/>
              </w:rPr>
            </w:pPr>
            <w:r w:rsidRPr="008C7AEB">
              <w:rPr>
                <w:rFonts w:ascii="Arial Narrow" w:hAnsi="Arial Narrow"/>
                <w:sz w:val="20"/>
              </w:rPr>
              <w:t>Xgeva</w:t>
            </w:r>
          </w:p>
        </w:tc>
        <w:tc>
          <w:tcPr>
            <w:tcW w:w="1276" w:type="dxa"/>
          </w:tcPr>
          <w:p w:rsidR="005C7CE7" w:rsidRPr="008C7AEB" w:rsidRDefault="005C7CE7" w:rsidP="00520AFD">
            <w:pPr>
              <w:keepNext/>
              <w:rPr>
                <w:rFonts w:ascii="Arial Narrow" w:hAnsi="Arial Narrow"/>
                <w:sz w:val="20"/>
              </w:rPr>
            </w:pPr>
          </w:p>
          <w:p w:rsidR="005C7CE7" w:rsidRPr="008C7AEB" w:rsidRDefault="005C7CE7" w:rsidP="00520AFD">
            <w:pPr>
              <w:keepNext/>
              <w:rPr>
                <w:rFonts w:ascii="Arial Narrow" w:hAnsi="Arial Narrow"/>
                <w:sz w:val="20"/>
              </w:rPr>
            </w:pPr>
            <w:r w:rsidRPr="008C7AEB">
              <w:rPr>
                <w:rFonts w:ascii="Arial Narrow" w:hAnsi="Arial Narrow"/>
                <w:sz w:val="20"/>
              </w:rPr>
              <w:t>AN</w:t>
            </w: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 xml:space="preserve">Category / </w:t>
            </w:r>
          </w:p>
          <w:p w:rsidR="005C7CE7" w:rsidRPr="008C7AEB" w:rsidRDefault="005C7CE7" w:rsidP="00520AFD">
            <w:pPr>
              <w:rPr>
                <w:rFonts w:ascii="Arial Narrow" w:hAnsi="Arial Narrow"/>
                <w:b/>
                <w:sz w:val="20"/>
              </w:rPr>
            </w:pPr>
            <w:r w:rsidRPr="008C7AEB">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t>GENERAL – General Schedule (Code GE)</w:t>
            </w:r>
          </w:p>
        </w:tc>
      </w:tr>
      <w:tr w:rsidR="005C7CE7" w:rsidRPr="008C7AEB" w:rsidTr="00520AFD">
        <w:trPr>
          <w:cantSplit/>
          <w:trHeight w:val="556"/>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Prescriber type:</w:t>
            </w:r>
          </w:p>
          <w:p w:rsidR="005C7CE7" w:rsidRPr="008C7AEB" w:rsidRDefault="005C7CE7" w:rsidP="00520AF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1"/>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 xml:space="preserve">Dental  </w:t>
            </w:r>
            <w:r w:rsidRPr="008C7AEB">
              <w:rPr>
                <w:rFonts w:ascii="Arial Narrow" w:hAnsi="Arial Narrow"/>
                <w:sz w:val="20"/>
              </w:rPr>
              <w:fldChar w:fldCharType="begin">
                <w:ffData>
                  <w:name w:val=""/>
                  <w:enabled/>
                  <w:calcOnExit w:val="0"/>
                  <w:checkBox>
                    <w:sizeAuto/>
                    <w:default w:val="1"/>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 xml:space="preserve">Medical Practitioners  </w:t>
            </w:r>
            <w:r w:rsidRPr="008C7AEB">
              <w:rPr>
                <w:rFonts w:ascii="Arial Narrow" w:hAnsi="Arial Narrow"/>
                <w:sz w:val="20"/>
              </w:rPr>
              <w:fldChar w:fldCharType="begin">
                <w:ffData>
                  <w:name w:val="Check3"/>
                  <w:enabled/>
                  <w:calcOnExit w:val="0"/>
                  <w:checkBox>
                    <w:sizeAuto/>
                    <w:default w:val="0"/>
                  </w:checkBox>
                </w:ffData>
              </w:fldChar>
            </w:r>
            <w:r w:rsidRPr="008C7AEB">
              <w:rPr>
                <w:rFonts w:ascii="Arial Narrow" w:hAnsi="Arial Narrow"/>
                <w:sz w:val="20"/>
              </w:rPr>
              <w:instrText xml:space="preserve"> </w:instrText>
            </w:r>
            <w:bookmarkStart w:id="3" w:name="Check3"/>
            <w:r w:rsidRPr="008C7AEB">
              <w:rPr>
                <w:rFonts w:ascii="Arial Narrow" w:hAnsi="Arial Narrow"/>
                <w:sz w:val="20"/>
              </w:rPr>
              <w:instrText xml:space="preserve">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bookmarkEnd w:id="3"/>
            <w:r w:rsidRPr="008C7AEB">
              <w:rPr>
                <w:rFonts w:ascii="Arial Narrow" w:hAnsi="Arial Narrow"/>
                <w:strike/>
                <w:sz w:val="20"/>
              </w:rPr>
              <w:t>Nurse practitioners</w:t>
            </w:r>
            <w:r w:rsidRPr="008C7AEB">
              <w:rPr>
                <w:rFonts w:ascii="Arial Narrow" w:hAnsi="Arial Narrow"/>
                <w:sz w:val="20"/>
              </w:rPr>
              <w:t xml:space="preserve">  </w:t>
            </w:r>
            <w:r w:rsidRPr="008C7AEB">
              <w:rPr>
                <w:rFonts w:ascii="Arial Narrow" w:hAnsi="Arial Narrow"/>
                <w:sz w:val="20"/>
              </w:rPr>
              <w:fldChar w:fldCharType="begin">
                <w:ffData>
                  <w:name w:val=""/>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Optometrists</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5"/>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Midwives</w:t>
            </w: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t>Hypercalcaemia of malignancy</w:t>
            </w: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t>Hypercalcaemia of malignancy</w:t>
            </w: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Restriction Level / Method:</w:t>
            </w:r>
          </w:p>
          <w:p w:rsidR="005C7CE7" w:rsidRPr="008C7AEB" w:rsidRDefault="005C7CE7" w:rsidP="00520AFD">
            <w:pPr>
              <w:rPr>
                <w:rFonts w:ascii="Arial Narrow" w:hAnsi="Arial Narrow"/>
                <w:i/>
                <w:sz w:val="20"/>
                <w:highlight w:val="yellow"/>
              </w:rPr>
            </w:pPr>
          </w:p>
          <w:p w:rsidR="005C7CE7" w:rsidRPr="008C7AEB" w:rsidRDefault="005C7CE7" w:rsidP="00520AF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1"/>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Restricted benefit</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Authority Required - In Writing</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3"/>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Authority Required - Telephone</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Authority Required – Emergency</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5"/>
                  <w:enabled/>
                  <w:calcOnExit w:val="0"/>
                  <w:checkBox>
                    <w:sizeAuto/>
                    <w:default w:val="0"/>
                  </w:checkBox>
                </w:ffData>
              </w:fldChar>
            </w:r>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r w:rsidRPr="008C7AEB">
              <w:rPr>
                <w:rFonts w:ascii="Arial Narrow" w:hAnsi="Arial Narrow"/>
                <w:sz w:val="20"/>
              </w:rPr>
              <w:t>Authority Required - Electronic</w:t>
            </w:r>
          </w:p>
          <w:p w:rsidR="005C7CE7" w:rsidRPr="008C7AEB" w:rsidRDefault="005C7CE7" w:rsidP="00520AFD">
            <w:pPr>
              <w:rPr>
                <w:rFonts w:ascii="Arial Narrow" w:hAnsi="Arial Narrow"/>
                <w:sz w:val="20"/>
              </w:rPr>
            </w:pPr>
            <w:r w:rsidRPr="008C7AEB">
              <w:rPr>
                <w:rFonts w:ascii="Arial Narrow" w:hAnsi="Arial Narrow"/>
                <w:sz w:val="20"/>
              </w:rPr>
              <w:fldChar w:fldCharType="begin">
                <w:ffData>
                  <w:name w:val="Check5"/>
                  <w:enabled/>
                  <w:calcOnExit w:val="0"/>
                  <w:checkBox>
                    <w:sizeAuto/>
                    <w:default w:val="1"/>
                  </w:checkBox>
                </w:ffData>
              </w:fldChar>
            </w:r>
            <w:bookmarkStart w:id="4" w:name="Check5"/>
            <w:r w:rsidRPr="008C7AEB">
              <w:rPr>
                <w:rFonts w:ascii="Arial Narrow" w:hAnsi="Arial Narrow"/>
                <w:sz w:val="20"/>
              </w:rPr>
              <w:instrText xml:space="preserve"> FORMCHECKBOX </w:instrText>
            </w:r>
            <w:r w:rsidR="004B6B76">
              <w:rPr>
                <w:rFonts w:ascii="Arial Narrow" w:hAnsi="Arial Narrow"/>
                <w:sz w:val="20"/>
              </w:rPr>
            </w:r>
            <w:r w:rsidR="004B6B76">
              <w:rPr>
                <w:rFonts w:ascii="Arial Narrow" w:hAnsi="Arial Narrow"/>
                <w:sz w:val="20"/>
              </w:rPr>
              <w:fldChar w:fldCharType="separate"/>
            </w:r>
            <w:r w:rsidRPr="008C7AEB">
              <w:rPr>
                <w:rFonts w:ascii="Arial Narrow" w:hAnsi="Arial Narrow"/>
                <w:sz w:val="20"/>
              </w:rPr>
              <w:fldChar w:fldCharType="end"/>
            </w:r>
            <w:bookmarkEnd w:id="4"/>
            <w:r w:rsidRPr="008C7AEB">
              <w:rPr>
                <w:rFonts w:ascii="Arial Narrow" w:hAnsi="Arial Narrow"/>
                <w:sz w:val="20"/>
              </w:rPr>
              <w:t>Streamlined</w:t>
            </w: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sz w:val="20"/>
              </w:rPr>
            </w:pPr>
            <w:r w:rsidRPr="008C7AEB">
              <w:rPr>
                <w:rFonts w:ascii="Arial Narrow" w:hAnsi="Arial Narrow"/>
                <w:sz w:val="20"/>
              </w:rPr>
              <w:t xml:space="preserve">The condition must be refractory to treatment with an intravenous bisphosphonate. </w:t>
            </w:r>
          </w:p>
          <w:p w:rsidR="005C7CE7" w:rsidRPr="008C7AEB" w:rsidRDefault="005C7CE7" w:rsidP="00520AFD">
            <w:pPr>
              <w:rPr>
                <w:rFonts w:ascii="Arial Narrow" w:hAnsi="Arial Narrow"/>
                <w:sz w:val="20"/>
              </w:rPr>
            </w:pPr>
          </w:p>
        </w:tc>
      </w:tr>
      <w:tr w:rsidR="005C7CE7" w:rsidRPr="008C7AEB" w:rsidTr="00520A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7CE7" w:rsidRPr="008C7AEB" w:rsidRDefault="005C7CE7" w:rsidP="00520AFD">
            <w:pPr>
              <w:rPr>
                <w:rFonts w:ascii="Arial Narrow" w:hAnsi="Arial Narrow"/>
                <w:b/>
                <w:sz w:val="20"/>
              </w:rPr>
            </w:pPr>
            <w:r w:rsidRPr="008C7AEB">
              <w:rPr>
                <w:rFonts w:ascii="Arial Narrow" w:hAnsi="Arial Narrow"/>
                <w:b/>
                <w:sz w:val="20"/>
              </w:rPr>
              <w:t>Administrative Advice</w:t>
            </w:r>
          </w:p>
          <w:p w:rsidR="005C7CE7" w:rsidRPr="008C7AEB" w:rsidRDefault="005C7CE7" w:rsidP="00520AFD">
            <w:pPr>
              <w:rPr>
                <w:rFonts w:ascii="Arial Narrow" w:hAnsi="Arial Narrow"/>
                <w:i/>
                <w:sz w:val="20"/>
              </w:rPr>
            </w:pPr>
          </w:p>
          <w:p w:rsidR="005C7CE7" w:rsidRPr="008C7AEB" w:rsidRDefault="005C7CE7" w:rsidP="00520AF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5C7CE7" w:rsidRPr="008C7AEB" w:rsidRDefault="005C7CE7" w:rsidP="00520AFD">
            <w:pPr>
              <w:tabs>
                <w:tab w:val="num" w:pos="720"/>
              </w:tabs>
              <w:rPr>
                <w:rFonts w:ascii="Arial Narrow" w:hAnsi="Arial Narrow"/>
                <w:i/>
                <w:sz w:val="20"/>
              </w:rPr>
            </w:pPr>
            <w:r w:rsidRPr="008C7AEB">
              <w:rPr>
                <w:rFonts w:ascii="Arial Narrow" w:hAnsi="Arial Narrow"/>
                <w:i/>
                <w:sz w:val="20"/>
              </w:rPr>
              <w:t>A patient is considered refractory to Intravenous (IV) bisphosphonates if their corrected serum calcium (CSC) level is not lowered to ≤11.5</w:t>
            </w:r>
            <w:r w:rsidR="00E2799C" w:rsidRPr="008C7AEB">
              <w:rPr>
                <w:rFonts w:ascii="Arial Narrow" w:hAnsi="Arial Narrow"/>
                <w:i/>
                <w:sz w:val="20"/>
              </w:rPr>
              <w:t> </w:t>
            </w:r>
            <w:r w:rsidRPr="008C7AEB">
              <w:rPr>
                <w:rFonts w:ascii="Arial Narrow" w:hAnsi="Arial Narrow"/>
                <w:i/>
                <w:sz w:val="20"/>
              </w:rPr>
              <w:t>mg/dL following treatment with an IV bisphosphonate.</w:t>
            </w:r>
          </w:p>
        </w:tc>
      </w:tr>
    </w:tbl>
    <w:p w:rsidR="00895F09" w:rsidRDefault="00895F09" w:rsidP="00163204"/>
    <w:p w:rsidR="00895F09" w:rsidRDefault="00895F09">
      <w:pPr>
        <w:widowControl/>
        <w:jc w:val="left"/>
      </w:pPr>
      <w:r>
        <w:br w:type="page"/>
      </w:r>
    </w:p>
    <w:p w:rsidR="00163204" w:rsidRPr="008C7AEB" w:rsidRDefault="00163204" w:rsidP="00163204"/>
    <w:p w:rsidR="005B0841" w:rsidRPr="008C7AEB" w:rsidRDefault="005B0841" w:rsidP="00163204">
      <w:pPr>
        <w:pStyle w:val="ListParagraph"/>
        <w:widowControl/>
        <w:numPr>
          <w:ilvl w:val="1"/>
          <w:numId w:val="6"/>
        </w:numPr>
        <w:rPr>
          <w:szCs w:val="22"/>
        </w:rPr>
      </w:pPr>
      <w:r w:rsidRPr="008C7AEB">
        <w:rPr>
          <w:szCs w:val="22"/>
        </w:rPr>
        <w:t>The Pre-PBAC response clarified that the corrected serum calcium level should be presented in SI units rather than conventional units i.e. 2.9</w:t>
      </w:r>
      <w:r w:rsidR="00E2799C" w:rsidRPr="008C7AEB">
        <w:rPr>
          <w:szCs w:val="22"/>
        </w:rPr>
        <w:t> </w:t>
      </w:r>
      <w:r w:rsidRPr="008C7AEB">
        <w:rPr>
          <w:szCs w:val="22"/>
        </w:rPr>
        <w:t>mmol/L rather than 11.5</w:t>
      </w:r>
      <w:r w:rsidR="00E2799C" w:rsidRPr="008C7AEB">
        <w:rPr>
          <w:szCs w:val="22"/>
        </w:rPr>
        <w:t> </w:t>
      </w:r>
      <w:r w:rsidRPr="008C7AEB">
        <w:rPr>
          <w:szCs w:val="22"/>
        </w:rPr>
        <w:t xml:space="preserve">mg/dL. </w:t>
      </w:r>
    </w:p>
    <w:p w:rsidR="005B0841" w:rsidRPr="008C7AEB" w:rsidRDefault="005B0841" w:rsidP="005B0841">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The listing was requested on a cost-effectiveness basis compared to zoledronic acid.</w:t>
      </w:r>
    </w:p>
    <w:p w:rsidR="00B22C45" w:rsidRPr="008C7AEB" w:rsidRDefault="00B22C45" w:rsidP="00B22C45">
      <w:pPr>
        <w:pStyle w:val="ListParagraph"/>
        <w:widowControl/>
        <w:rPr>
          <w:szCs w:val="22"/>
        </w:rPr>
      </w:pPr>
    </w:p>
    <w:p w:rsidR="00B22C45" w:rsidRPr="008C7AEB" w:rsidRDefault="00B22C45" w:rsidP="00F01DB2">
      <w:pPr>
        <w:pStyle w:val="ListParagraph"/>
        <w:ind w:left="709"/>
        <w:rPr>
          <w:i/>
          <w:szCs w:val="22"/>
        </w:rPr>
      </w:pPr>
      <w:r w:rsidRPr="008C7AEB">
        <w:rPr>
          <w:i/>
          <w:szCs w:val="22"/>
        </w:rPr>
        <w:t>For more detail on PBAC’s view, see section 7 “PBAC outcome”</w:t>
      </w:r>
    </w:p>
    <w:p w:rsidR="00B22C45" w:rsidRPr="008C7AEB" w:rsidRDefault="00B22C45" w:rsidP="00B22C45">
      <w:pPr>
        <w:pStyle w:val="ListParagraph"/>
        <w:widowControl/>
      </w:pPr>
    </w:p>
    <w:p w:rsidR="00163204" w:rsidRPr="008C7AEB" w:rsidRDefault="00163204" w:rsidP="00163204"/>
    <w:p w:rsidR="00163204" w:rsidRPr="008C7AEB" w:rsidRDefault="00163204" w:rsidP="00B54755">
      <w:pPr>
        <w:pStyle w:val="PBACHeading1"/>
      </w:pPr>
      <w:bookmarkStart w:id="5" w:name="_Toc441050661"/>
      <w:r w:rsidRPr="008C7AEB">
        <w:t>Background</w:t>
      </w:r>
      <w:bookmarkEnd w:id="5"/>
    </w:p>
    <w:p w:rsidR="00163204" w:rsidRPr="008C7AEB" w:rsidRDefault="00163204" w:rsidP="00163204">
      <w:pPr>
        <w:rPr>
          <w:szCs w:val="22"/>
        </w:rPr>
      </w:pPr>
    </w:p>
    <w:p w:rsidR="00163204" w:rsidRPr="008C7AEB" w:rsidRDefault="00163204" w:rsidP="008C7AEB">
      <w:pPr>
        <w:pStyle w:val="ListParagraph"/>
        <w:widowControl/>
        <w:numPr>
          <w:ilvl w:val="1"/>
          <w:numId w:val="6"/>
        </w:numPr>
        <w:rPr>
          <w:szCs w:val="22"/>
        </w:rPr>
      </w:pPr>
      <w:r w:rsidRPr="008C7AEB">
        <w:t xml:space="preserve">Denosumab was approved for registration by the TGA for the treatment of hypercalcaemia of malignancy that is refractory to intravenous bisphosphonate on 22 July 2015.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Denosumab has not previously been considered by the PBAC for the treatment of hypercalcaemia of malignancy.</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t>Administration is via a subcutaneous injection of 120</w:t>
      </w:r>
      <w:r w:rsidR="00E2799C" w:rsidRPr="008C7AEB">
        <w:t> </w:t>
      </w:r>
      <w:r w:rsidRPr="008C7AEB">
        <w:t>mg on days 1, 8 and 15 (loading doses) in the initial 4-week period followed by 120</w:t>
      </w:r>
      <w:r w:rsidR="00E2799C" w:rsidRPr="008C7AEB">
        <w:t> </w:t>
      </w:r>
      <w:r w:rsidRPr="008C7AEB">
        <w:t>mg every 4 weeks.</w:t>
      </w:r>
    </w:p>
    <w:p w:rsidR="00163204" w:rsidRPr="008C7AEB" w:rsidRDefault="00163204" w:rsidP="00163204">
      <w:bookmarkStart w:id="6" w:name="_GoBack"/>
      <w:bookmarkEnd w:id="6"/>
    </w:p>
    <w:p w:rsidR="00163204" w:rsidRPr="008C7AEB" w:rsidRDefault="00163204" w:rsidP="00B54755">
      <w:pPr>
        <w:pStyle w:val="PBACHeading1"/>
      </w:pPr>
      <w:bookmarkStart w:id="7" w:name="_Toc441050662"/>
      <w:r w:rsidRPr="008C7AEB">
        <w:t>Clinical place for the proposed therapy</w:t>
      </w:r>
      <w:bookmarkEnd w:id="7"/>
    </w:p>
    <w:p w:rsidR="00163204" w:rsidRPr="008C7AEB" w:rsidRDefault="00163204" w:rsidP="00163204">
      <w:pPr>
        <w:rPr>
          <w:szCs w:val="22"/>
        </w:rPr>
      </w:pPr>
    </w:p>
    <w:p w:rsidR="00163204" w:rsidRPr="008C7AEB" w:rsidRDefault="00163204" w:rsidP="00163204">
      <w:pPr>
        <w:pStyle w:val="ListParagraph"/>
        <w:widowControl/>
        <w:numPr>
          <w:ilvl w:val="1"/>
          <w:numId w:val="6"/>
        </w:numPr>
        <w:rPr>
          <w:szCs w:val="22"/>
        </w:rPr>
      </w:pPr>
      <w:r w:rsidRPr="008C7AEB">
        <w:rPr>
          <w:szCs w:val="22"/>
        </w:rPr>
        <w:t xml:space="preserve">Hypercalcaemia of malignancy is a rare complication associated with advanced cancer characterised by elevated serum calcium levels (measured by albumin-corrected serum calcium). The excessive release of calcium is primarily a result of increased bone resorption due to the cancer cytokine environment. Clinical manifestations range from asymptomatic in mild hypercalcaemia to coma or death in severe cases. Treatment is aimed at reduction of serum calcium and severe cases are usually managed in an acute, emergency setting using intravenous fluid rehydration and intravenous bisphosphonates.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proposed treatment algorithm appeared to be broadly consistent with published literature for the treatment of severe hypercalcaemia of malignancy in an acute, emergency setting. It was unclear from the algorithm how patients who have mild to moderate hypercalcaemia or who are asymptomatic would be managed.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Typically, first-line treatment for severe cases include</w:t>
      </w:r>
      <w:r w:rsidR="00FB4A2B" w:rsidRPr="008C7AEB">
        <w:rPr>
          <w:szCs w:val="22"/>
        </w:rPr>
        <w:t>d</w:t>
      </w:r>
      <w:r w:rsidRPr="008C7AEB">
        <w:rPr>
          <w:szCs w:val="22"/>
        </w:rPr>
        <w:t xml:space="preserve"> an intravenous bisphosphonate. The use of intravenous bisphosphonates </w:t>
      </w:r>
      <w:r w:rsidR="00FB4A2B" w:rsidRPr="008C7AEB">
        <w:rPr>
          <w:szCs w:val="22"/>
        </w:rPr>
        <w:t>wa</w:t>
      </w:r>
      <w:r w:rsidRPr="008C7AEB">
        <w:rPr>
          <w:szCs w:val="22"/>
        </w:rPr>
        <w:t xml:space="preserve">s less clear in a non-acute setting. The recommended dosing regimen for intravenous bisphosphonates </w:t>
      </w:r>
      <w:r w:rsidR="00FB4A2B" w:rsidRPr="008C7AEB">
        <w:rPr>
          <w:szCs w:val="22"/>
        </w:rPr>
        <w:t>wa</w:t>
      </w:r>
      <w:r w:rsidRPr="008C7AEB">
        <w:rPr>
          <w:szCs w:val="22"/>
        </w:rPr>
        <w:t xml:space="preserve">s a single dose infusion with repeat doses should patients relapse. This </w:t>
      </w:r>
      <w:r w:rsidR="00FB4A2B" w:rsidRPr="008C7AEB">
        <w:rPr>
          <w:szCs w:val="22"/>
        </w:rPr>
        <w:t>wa</w:t>
      </w:r>
      <w:r w:rsidRPr="008C7AEB">
        <w:rPr>
          <w:szCs w:val="22"/>
        </w:rPr>
        <w:t>s in contrast to denosumab, with the product information recommending regular dosing every 4 weeks. Following initial treatment, the treatment goals o</w:t>
      </w:r>
      <w:r w:rsidR="009879D1" w:rsidRPr="008C7AEB">
        <w:rPr>
          <w:szCs w:val="22"/>
        </w:rPr>
        <w:t xml:space="preserve">f denosumab and zoledronic acid </w:t>
      </w:r>
      <w:r w:rsidR="00FB4A2B" w:rsidRPr="008C7AEB">
        <w:rPr>
          <w:szCs w:val="22"/>
        </w:rPr>
        <w:t>we</w:t>
      </w:r>
      <w:r w:rsidRPr="008C7AEB">
        <w:rPr>
          <w:szCs w:val="22"/>
        </w:rPr>
        <w:t>re inconsistent (maintenance versus episodic treatment, respectively). The complexity of the proposed denosumab listing (with its alternative dosing regimen and mode of administration) and how it may affect the clinical algorithm was unclear.</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submission positioned denosumab as an alternative therapy in patients who are refractory to initial intravenous bisphosphonate treatment. The proposed current therapy for retreatment was an intravenous bisphosphonate such as pamidronate or </w:t>
      </w:r>
      <w:r w:rsidRPr="008C7AEB">
        <w:rPr>
          <w:szCs w:val="22"/>
        </w:rPr>
        <w:lastRenderedPageBreak/>
        <w:t>zoledronic acid (4</w:t>
      </w:r>
      <w:r w:rsidR="00E2799C" w:rsidRPr="008C7AEB">
        <w:rPr>
          <w:szCs w:val="22"/>
        </w:rPr>
        <w:t> </w:t>
      </w:r>
      <w:r w:rsidRPr="008C7AEB">
        <w:rPr>
          <w:szCs w:val="22"/>
        </w:rPr>
        <w:t>mg and 8</w:t>
      </w:r>
      <w:r w:rsidR="00E2799C" w:rsidRPr="008C7AEB">
        <w:rPr>
          <w:szCs w:val="22"/>
        </w:rPr>
        <w:t> </w:t>
      </w:r>
      <w:r w:rsidRPr="008C7AEB">
        <w:rPr>
          <w:szCs w:val="22"/>
        </w:rPr>
        <w:t>mg). The zoledronic acid product information states that doses should not exceed 4</w:t>
      </w:r>
      <w:r w:rsidR="00E2799C" w:rsidRPr="008C7AEB">
        <w:rPr>
          <w:szCs w:val="22"/>
        </w:rPr>
        <w:t> </w:t>
      </w:r>
      <w:r w:rsidRPr="008C7AEB">
        <w:rPr>
          <w:szCs w:val="22"/>
        </w:rPr>
        <w:t>mg due to safety concerns such as increased risk of renal impairment.</w:t>
      </w:r>
    </w:p>
    <w:p w:rsidR="00B22C45" w:rsidRPr="008C7AEB" w:rsidRDefault="00B22C45" w:rsidP="00B22C45">
      <w:pPr>
        <w:pStyle w:val="ListParagraph"/>
        <w:widowControl/>
        <w:rPr>
          <w:szCs w:val="22"/>
        </w:rPr>
      </w:pPr>
    </w:p>
    <w:p w:rsidR="00B22C45" w:rsidRPr="008C7AEB" w:rsidRDefault="00B22C45" w:rsidP="00F01DB2">
      <w:pPr>
        <w:pStyle w:val="ListParagraph"/>
        <w:ind w:left="709"/>
        <w:rPr>
          <w:i/>
          <w:szCs w:val="22"/>
        </w:rPr>
      </w:pPr>
      <w:r w:rsidRPr="008C7AEB">
        <w:rPr>
          <w:i/>
          <w:szCs w:val="22"/>
        </w:rPr>
        <w:t>For more detail on PBAC’s view, see section 7 “PBAC outcome”</w:t>
      </w:r>
    </w:p>
    <w:p w:rsidR="00B22C45" w:rsidRPr="008C7AEB" w:rsidRDefault="00B22C45" w:rsidP="00B22C45">
      <w:pPr>
        <w:pStyle w:val="ListParagraph"/>
        <w:widowControl/>
      </w:pPr>
    </w:p>
    <w:p w:rsidR="00163204" w:rsidRPr="008C7AEB" w:rsidRDefault="00163204" w:rsidP="00163204">
      <w:pPr>
        <w:pStyle w:val="Header"/>
        <w:rPr>
          <w:szCs w:val="22"/>
        </w:rPr>
      </w:pPr>
    </w:p>
    <w:p w:rsidR="00163204" w:rsidRPr="008C7AEB" w:rsidRDefault="00163204" w:rsidP="00B54755">
      <w:pPr>
        <w:pStyle w:val="PBACHeading1"/>
      </w:pPr>
      <w:bookmarkStart w:id="8" w:name="_Toc441050663"/>
      <w:r w:rsidRPr="008C7AEB">
        <w:t>Comparator</w:t>
      </w:r>
      <w:bookmarkEnd w:id="8"/>
    </w:p>
    <w:p w:rsidR="00163204" w:rsidRPr="008C7AEB" w:rsidRDefault="00163204" w:rsidP="00163204"/>
    <w:p w:rsidR="00163204" w:rsidRPr="008C7AEB" w:rsidRDefault="00163204" w:rsidP="00163204">
      <w:pPr>
        <w:pStyle w:val="ListParagraph"/>
        <w:widowControl/>
        <w:numPr>
          <w:ilvl w:val="1"/>
          <w:numId w:val="6"/>
        </w:numPr>
        <w:rPr>
          <w:szCs w:val="22"/>
        </w:rPr>
      </w:pPr>
      <w:r w:rsidRPr="008C7AEB">
        <w:t>Zoledronic acid</w:t>
      </w:r>
      <w:r w:rsidR="00723DE8" w:rsidRPr="008C7AEB">
        <w:t>.</w:t>
      </w:r>
      <w:r w:rsidRPr="008C7AEB">
        <w:t xml:space="preserve"> This was the appropriate comparator.</w:t>
      </w:r>
    </w:p>
    <w:p w:rsidR="00B22C45" w:rsidRPr="008C7AEB" w:rsidRDefault="00B22C45" w:rsidP="00B22C45">
      <w:pPr>
        <w:pStyle w:val="ListParagraph"/>
        <w:widowControl/>
        <w:rPr>
          <w:szCs w:val="22"/>
        </w:rPr>
      </w:pPr>
    </w:p>
    <w:p w:rsidR="00B22C45" w:rsidRPr="008C7AEB" w:rsidRDefault="00B22C45" w:rsidP="00F01DB2">
      <w:pPr>
        <w:pStyle w:val="ListParagraph"/>
        <w:ind w:left="709"/>
        <w:rPr>
          <w:i/>
          <w:szCs w:val="22"/>
        </w:rPr>
      </w:pPr>
      <w:r w:rsidRPr="008C7AEB">
        <w:rPr>
          <w:i/>
          <w:szCs w:val="22"/>
        </w:rPr>
        <w:t>For more detail on PBAC’s view, see section 7 “PBAC outcome”</w:t>
      </w:r>
    </w:p>
    <w:p w:rsidR="00B22C45" w:rsidRPr="008C7AEB" w:rsidRDefault="00B22C45" w:rsidP="00B22C45">
      <w:pPr>
        <w:pStyle w:val="ListParagraph"/>
        <w:widowControl/>
      </w:pPr>
    </w:p>
    <w:p w:rsidR="00163204" w:rsidRPr="008C7AEB" w:rsidRDefault="00163204" w:rsidP="00163204">
      <w:pPr>
        <w:pStyle w:val="ListParagraph"/>
        <w:widowControl/>
        <w:rPr>
          <w:szCs w:val="22"/>
        </w:rPr>
      </w:pPr>
    </w:p>
    <w:p w:rsidR="00163204" w:rsidRPr="008C7AEB" w:rsidRDefault="00163204" w:rsidP="00B54755">
      <w:pPr>
        <w:pStyle w:val="PBACHeading1"/>
      </w:pPr>
      <w:bookmarkStart w:id="9" w:name="_Toc392858193"/>
      <w:bookmarkStart w:id="10" w:name="_Toc441050664"/>
      <w:r w:rsidRPr="008C7AEB">
        <w:t>Consideration of the evidence</w:t>
      </w:r>
      <w:bookmarkEnd w:id="9"/>
      <w:bookmarkEnd w:id="10"/>
    </w:p>
    <w:p w:rsidR="000624B2" w:rsidRPr="008C7AEB" w:rsidRDefault="000624B2" w:rsidP="002714A2"/>
    <w:p w:rsidR="002714A2" w:rsidRPr="008C7AEB" w:rsidRDefault="002714A2" w:rsidP="000624B2">
      <w:pPr>
        <w:pStyle w:val="Heading2"/>
        <w:rPr>
          <w:i/>
        </w:rPr>
      </w:pPr>
      <w:r w:rsidRPr="008C7AEB">
        <w:rPr>
          <w:i/>
        </w:rPr>
        <w:t>Sponsor hearing</w:t>
      </w:r>
    </w:p>
    <w:p w:rsidR="000624B2" w:rsidRPr="008C7AEB" w:rsidRDefault="000624B2" w:rsidP="002714A2"/>
    <w:p w:rsidR="002714A2" w:rsidRPr="008C7AEB" w:rsidRDefault="002714A2" w:rsidP="002714A2">
      <w:pPr>
        <w:pStyle w:val="ListParagraph"/>
        <w:widowControl/>
        <w:numPr>
          <w:ilvl w:val="1"/>
          <w:numId w:val="6"/>
        </w:numPr>
      </w:pPr>
      <w:r w:rsidRPr="008C7AEB">
        <w:t>There was no hearing for this item.</w:t>
      </w:r>
    </w:p>
    <w:p w:rsidR="002714A2" w:rsidRPr="008C7AEB" w:rsidRDefault="002714A2" w:rsidP="002714A2"/>
    <w:p w:rsidR="002714A2" w:rsidRPr="008C7AEB" w:rsidRDefault="002714A2" w:rsidP="000624B2">
      <w:pPr>
        <w:pStyle w:val="Heading2"/>
        <w:rPr>
          <w:i/>
        </w:rPr>
      </w:pPr>
      <w:r w:rsidRPr="008C7AEB">
        <w:rPr>
          <w:i/>
        </w:rPr>
        <w:t>Consumer comments</w:t>
      </w:r>
    </w:p>
    <w:p w:rsidR="000624B2" w:rsidRPr="008C7AEB" w:rsidRDefault="000624B2" w:rsidP="002714A2"/>
    <w:p w:rsidR="00B22C45" w:rsidRPr="008C7AEB" w:rsidRDefault="002714A2" w:rsidP="000624B2">
      <w:pPr>
        <w:pStyle w:val="ListParagraph"/>
        <w:widowControl/>
        <w:numPr>
          <w:ilvl w:val="1"/>
          <w:numId w:val="6"/>
        </w:numPr>
      </w:pPr>
      <w:r w:rsidRPr="008C7AEB">
        <w:t>The PBAC noted that no consumer comments were received for this item.</w:t>
      </w:r>
    </w:p>
    <w:p w:rsidR="00B22C45" w:rsidRPr="008C7AEB" w:rsidRDefault="00B22C45" w:rsidP="00B22C45"/>
    <w:p w:rsidR="00163204" w:rsidRPr="008C7AEB" w:rsidRDefault="00163204" w:rsidP="00163204">
      <w:pPr>
        <w:pStyle w:val="Heading2"/>
        <w:rPr>
          <w:i/>
        </w:rPr>
      </w:pPr>
      <w:bookmarkStart w:id="11" w:name="_Toc392858194"/>
      <w:bookmarkStart w:id="12" w:name="_Toc441050665"/>
      <w:r w:rsidRPr="008C7AEB">
        <w:rPr>
          <w:i/>
        </w:rPr>
        <w:t>Clinical trials</w:t>
      </w:r>
      <w:bookmarkEnd w:id="11"/>
      <w:bookmarkEnd w:id="12"/>
    </w:p>
    <w:p w:rsidR="00163204" w:rsidRPr="008C7AEB" w:rsidRDefault="00163204" w:rsidP="00163204">
      <w:pPr>
        <w:rPr>
          <w:szCs w:val="22"/>
        </w:rPr>
      </w:pPr>
    </w:p>
    <w:p w:rsidR="00483330" w:rsidRPr="008C7AEB" w:rsidRDefault="00163204" w:rsidP="00B22C45">
      <w:pPr>
        <w:pStyle w:val="ListParagraph"/>
        <w:widowControl/>
        <w:numPr>
          <w:ilvl w:val="1"/>
          <w:numId w:val="6"/>
        </w:numPr>
        <w:rPr>
          <w:szCs w:val="22"/>
        </w:rPr>
      </w:pPr>
      <w:r w:rsidRPr="008C7AEB">
        <w:t xml:space="preserve">The submission was based on a naïve indirect comparison between a single-arm denosumab observational study and a pooled subgroup analysis of zoledronic acid 8mg retreatment from two randomised controlled trials.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submission also presented a supportive comparison of denosumab and zoledronic acid for the prevention of hypercalcaemia of malignancy based on a retrospective, pooled analysis of two randomised controlled trials. </w:t>
      </w:r>
    </w:p>
    <w:p w:rsidR="00163204" w:rsidRPr="008C7AEB" w:rsidRDefault="00163204" w:rsidP="00163204">
      <w:pPr>
        <w:pStyle w:val="ListParagraph"/>
        <w:widowControl/>
        <w:rPr>
          <w:szCs w:val="22"/>
        </w:rPr>
      </w:pPr>
    </w:p>
    <w:p w:rsidR="00163204" w:rsidRPr="008C7AEB" w:rsidRDefault="00723DE8" w:rsidP="00163204">
      <w:pPr>
        <w:pStyle w:val="ListParagraph"/>
        <w:widowControl/>
        <w:numPr>
          <w:ilvl w:val="1"/>
          <w:numId w:val="6"/>
        </w:numPr>
        <w:rPr>
          <w:szCs w:val="22"/>
        </w:rPr>
      </w:pPr>
      <w:r w:rsidRPr="008C7AEB">
        <w:t>No data were available to support</w:t>
      </w:r>
      <w:r w:rsidR="00163204" w:rsidRPr="008C7AEB">
        <w:t xml:space="preserve"> a comparison of zoledronic acid 4</w:t>
      </w:r>
      <w:r w:rsidR="00E2799C" w:rsidRPr="008C7AEB">
        <w:t> </w:t>
      </w:r>
      <w:r w:rsidR="00163204" w:rsidRPr="008C7AEB">
        <w:t xml:space="preserve">mg with denosumab for retreatment of hypercalcaemia of malignancy. </w:t>
      </w:r>
    </w:p>
    <w:p w:rsidR="00163204" w:rsidRPr="008C7AEB" w:rsidRDefault="00163204" w:rsidP="00B54755">
      <w:pPr>
        <w:pStyle w:val="BodyText"/>
      </w:pPr>
    </w:p>
    <w:p w:rsidR="00B54755" w:rsidRDefault="00B54755" w:rsidP="00163204">
      <w:pPr>
        <w:ind w:firstLine="720"/>
        <w:rPr>
          <w:rStyle w:val="CommentReference"/>
        </w:rPr>
      </w:pPr>
      <w:r>
        <w:rPr>
          <w:rStyle w:val="CommentReference"/>
        </w:rPr>
        <w:br w:type="page"/>
      </w:r>
    </w:p>
    <w:p w:rsidR="00163204" w:rsidRPr="008C7AEB" w:rsidRDefault="00163204" w:rsidP="00163204">
      <w:pPr>
        <w:ind w:firstLine="720"/>
        <w:rPr>
          <w:rStyle w:val="CommentReference"/>
        </w:rPr>
      </w:pPr>
      <w:r w:rsidRPr="008C7AEB">
        <w:rPr>
          <w:rStyle w:val="CommentReference"/>
        </w:rPr>
        <w:lastRenderedPageBreak/>
        <w:t>Table 1: Studies and pooled analyses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45"/>
        <w:gridCol w:w="5261"/>
        <w:gridCol w:w="2069"/>
      </w:tblGrid>
      <w:tr w:rsidR="00163204" w:rsidRPr="008C7AEB" w:rsidTr="00723DE8">
        <w:trPr>
          <w:cantSplit/>
        </w:trPr>
        <w:tc>
          <w:tcPr>
            <w:tcW w:w="624" w:type="pct"/>
          </w:tcPr>
          <w:p w:rsidR="00163204" w:rsidRPr="008C7AEB" w:rsidRDefault="00163204" w:rsidP="00723DE8">
            <w:pPr>
              <w:jc w:val="left"/>
              <w:rPr>
                <w:rFonts w:ascii="Arial Narrow" w:hAnsi="Arial Narrow"/>
                <w:b/>
                <w:sz w:val="20"/>
              </w:rPr>
            </w:pPr>
            <w:r w:rsidRPr="008C7AEB">
              <w:rPr>
                <w:rFonts w:ascii="Arial Narrow" w:hAnsi="Arial Narrow"/>
                <w:b/>
                <w:sz w:val="20"/>
              </w:rPr>
              <w:t>Trial ID</w:t>
            </w:r>
          </w:p>
        </w:tc>
        <w:tc>
          <w:tcPr>
            <w:tcW w:w="3141" w:type="pct"/>
          </w:tcPr>
          <w:p w:rsidR="00163204" w:rsidRPr="008C7AEB" w:rsidRDefault="00163204" w:rsidP="00723DE8">
            <w:pPr>
              <w:jc w:val="center"/>
              <w:rPr>
                <w:rFonts w:ascii="Arial Narrow" w:hAnsi="Arial Narrow"/>
                <w:b/>
                <w:sz w:val="20"/>
              </w:rPr>
            </w:pPr>
            <w:r w:rsidRPr="008C7AEB">
              <w:rPr>
                <w:rFonts w:ascii="Arial Narrow" w:hAnsi="Arial Narrow"/>
                <w:b/>
                <w:sz w:val="20"/>
              </w:rPr>
              <w:t>Protocol title/ Publication title</w:t>
            </w:r>
          </w:p>
        </w:tc>
        <w:tc>
          <w:tcPr>
            <w:tcW w:w="1235" w:type="pct"/>
          </w:tcPr>
          <w:p w:rsidR="00163204" w:rsidRPr="008C7AEB" w:rsidRDefault="00163204" w:rsidP="00723DE8">
            <w:pPr>
              <w:jc w:val="center"/>
              <w:rPr>
                <w:rFonts w:ascii="Arial Narrow" w:hAnsi="Arial Narrow"/>
                <w:b/>
                <w:sz w:val="20"/>
              </w:rPr>
            </w:pPr>
            <w:r w:rsidRPr="008C7AEB">
              <w:rPr>
                <w:rFonts w:ascii="Arial Narrow" w:hAnsi="Arial Narrow"/>
                <w:b/>
                <w:sz w:val="20"/>
              </w:rPr>
              <w:t>Publication citation</w:t>
            </w:r>
          </w:p>
        </w:tc>
      </w:tr>
      <w:tr w:rsidR="00163204" w:rsidRPr="008C7AEB" w:rsidTr="00723DE8">
        <w:trPr>
          <w:cantSplit/>
        </w:trPr>
        <w:tc>
          <w:tcPr>
            <w:tcW w:w="5000" w:type="pct"/>
            <w:gridSpan w:val="3"/>
          </w:tcPr>
          <w:p w:rsidR="00163204" w:rsidRPr="008C7AEB" w:rsidRDefault="00163204" w:rsidP="00723DE8">
            <w:pPr>
              <w:jc w:val="left"/>
              <w:rPr>
                <w:rFonts w:ascii="Arial Narrow" w:hAnsi="Arial Narrow"/>
                <w:b/>
                <w:sz w:val="20"/>
              </w:rPr>
            </w:pPr>
            <w:r w:rsidRPr="008C7AEB">
              <w:rPr>
                <w:rFonts w:ascii="Arial Narrow" w:hAnsi="Arial Narrow"/>
                <w:b/>
                <w:sz w:val="20"/>
              </w:rPr>
              <w:t>Treatment of hypercalcaemia of malignancy</w:t>
            </w:r>
          </w:p>
        </w:tc>
      </w:tr>
      <w:tr w:rsidR="00163204" w:rsidRPr="008C7AEB" w:rsidTr="00723DE8">
        <w:trPr>
          <w:cantSplit/>
        </w:trPr>
        <w:tc>
          <w:tcPr>
            <w:tcW w:w="5000" w:type="pct"/>
            <w:gridSpan w:val="3"/>
          </w:tcPr>
          <w:p w:rsidR="00163204" w:rsidRPr="008C7AEB" w:rsidRDefault="00163204" w:rsidP="00723DE8">
            <w:pPr>
              <w:jc w:val="left"/>
              <w:rPr>
                <w:rFonts w:ascii="Arial Narrow" w:hAnsi="Arial Narrow"/>
                <w:i/>
                <w:sz w:val="20"/>
              </w:rPr>
            </w:pPr>
            <w:r w:rsidRPr="008C7AEB">
              <w:rPr>
                <w:rFonts w:ascii="Arial Narrow" w:hAnsi="Arial Narrow"/>
                <w:i/>
                <w:sz w:val="20"/>
              </w:rPr>
              <w:t xml:space="preserve">Denosumab single arm observational study </w:t>
            </w:r>
          </w:p>
        </w:tc>
      </w:tr>
      <w:tr w:rsidR="00163204" w:rsidRPr="008C7AEB" w:rsidTr="00723DE8">
        <w:trPr>
          <w:cantSplit/>
          <w:trHeight w:val="510"/>
        </w:trPr>
        <w:tc>
          <w:tcPr>
            <w:tcW w:w="624" w:type="pct"/>
            <w:vMerge w:val="restart"/>
          </w:tcPr>
          <w:p w:rsidR="00163204" w:rsidRPr="008C7AEB" w:rsidRDefault="00163204" w:rsidP="00723DE8">
            <w:pPr>
              <w:jc w:val="left"/>
              <w:rPr>
                <w:rFonts w:ascii="Arial Narrow" w:hAnsi="Arial Narrow"/>
                <w:sz w:val="20"/>
              </w:rPr>
            </w:pPr>
            <w:r w:rsidRPr="008C7AEB">
              <w:rPr>
                <w:rFonts w:ascii="Arial Narrow" w:hAnsi="Arial Narrow"/>
                <w:sz w:val="20"/>
              </w:rPr>
              <w:t>Study 315</w:t>
            </w:r>
          </w:p>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sz w:val="20"/>
              </w:rPr>
            </w:pPr>
            <w:r w:rsidRPr="008C7AEB">
              <w:rPr>
                <w:rFonts w:ascii="Arial Narrow" w:hAnsi="Arial Narrow"/>
                <w:sz w:val="20"/>
              </w:rPr>
              <w:t>A Single-arm, Multicenter, Proof-of-concept Study of Denosumab in the Treatment of Hypercalcemia of Malignancy in Subjects with Elevated Serum Calcium Despite Recent Treatment with Intravenous (IV) Bisphosphonates</w:t>
            </w: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Internal study report</w:t>
            </w:r>
          </w:p>
          <w:p w:rsidR="00163204" w:rsidRPr="008C7AEB" w:rsidRDefault="00163204" w:rsidP="00723DE8">
            <w:pPr>
              <w:jc w:val="left"/>
              <w:rPr>
                <w:rFonts w:ascii="Arial Narrow" w:hAnsi="Arial Narrow"/>
                <w:sz w:val="20"/>
              </w:rPr>
            </w:pPr>
          </w:p>
          <w:p w:rsidR="00163204" w:rsidRPr="008C7AEB" w:rsidRDefault="00163204" w:rsidP="00723DE8">
            <w:pPr>
              <w:jc w:val="left"/>
              <w:rPr>
                <w:rFonts w:ascii="Arial Narrow" w:hAnsi="Arial Narrow"/>
                <w:sz w:val="20"/>
              </w:rPr>
            </w:pPr>
          </w:p>
        </w:tc>
      </w:tr>
      <w:tr w:rsidR="00163204" w:rsidRPr="008C7AEB" w:rsidTr="00723DE8">
        <w:trPr>
          <w:cantSplit/>
          <w:trHeight w:val="510"/>
        </w:trPr>
        <w:tc>
          <w:tcPr>
            <w:tcW w:w="624" w:type="pct"/>
            <w:vMerge/>
          </w:tcPr>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sz w:val="20"/>
              </w:rPr>
            </w:pPr>
            <w:r w:rsidRPr="008C7AEB">
              <w:rPr>
                <w:rFonts w:ascii="Arial Narrow" w:hAnsi="Arial Narrow"/>
                <w:sz w:val="20"/>
              </w:rPr>
              <w:t>Hu et al (2014). Denosumab for treatment of hypercalcemia of malignancy</w:t>
            </w:r>
          </w:p>
          <w:p w:rsidR="00163204" w:rsidRPr="008C7AEB" w:rsidRDefault="00163204" w:rsidP="00723DE8">
            <w:pPr>
              <w:rPr>
                <w:rFonts w:ascii="Arial Narrow" w:hAnsi="Arial Narrow"/>
                <w:sz w:val="20"/>
              </w:rPr>
            </w:pP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Journal of Clinical Endocrinology &amp; Metabolism, 99:3144-3152</w:t>
            </w:r>
          </w:p>
        </w:tc>
      </w:tr>
      <w:tr w:rsidR="00163204" w:rsidRPr="008C7AEB" w:rsidTr="00723DE8">
        <w:trPr>
          <w:cantSplit/>
          <w:trHeight w:val="510"/>
        </w:trPr>
        <w:tc>
          <w:tcPr>
            <w:tcW w:w="624" w:type="pct"/>
            <w:vMerge/>
          </w:tcPr>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sz w:val="20"/>
              </w:rPr>
            </w:pPr>
            <w:r w:rsidRPr="008C7AEB">
              <w:rPr>
                <w:rFonts w:ascii="Arial Narrow" w:hAnsi="Arial Narrow"/>
                <w:sz w:val="20"/>
              </w:rPr>
              <w:t>Hu et al (2013). Denosumab for patients with persistent or relapsed hypercalcemia of malignancy despite recent bisphosphonate treatment</w:t>
            </w: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Journal of the National Cancer Institute, 105 (18):1417-20</w:t>
            </w:r>
          </w:p>
        </w:tc>
      </w:tr>
      <w:tr w:rsidR="00163204" w:rsidRPr="008C7AEB" w:rsidTr="00723DE8">
        <w:trPr>
          <w:cantSplit/>
          <w:trHeight w:val="243"/>
        </w:trPr>
        <w:tc>
          <w:tcPr>
            <w:tcW w:w="5000" w:type="pct"/>
            <w:gridSpan w:val="3"/>
          </w:tcPr>
          <w:p w:rsidR="00163204" w:rsidRPr="008C7AEB" w:rsidRDefault="00163204" w:rsidP="00723DE8">
            <w:pPr>
              <w:jc w:val="left"/>
              <w:rPr>
                <w:rFonts w:ascii="Arial Narrow" w:hAnsi="Arial Narrow"/>
                <w:b/>
                <w:sz w:val="20"/>
              </w:rPr>
            </w:pPr>
            <w:r w:rsidRPr="008C7AEB">
              <w:rPr>
                <w:rFonts w:ascii="Arial Narrow" w:hAnsi="Arial Narrow"/>
                <w:b/>
                <w:sz w:val="20"/>
              </w:rPr>
              <w:t>Main comparator</w:t>
            </w:r>
          </w:p>
        </w:tc>
      </w:tr>
      <w:tr w:rsidR="00163204" w:rsidRPr="008C7AEB" w:rsidTr="00723DE8">
        <w:trPr>
          <w:cantSplit/>
          <w:trHeight w:val="197"/>
        </w:trPr>
        <w:tc>
          <w:tcPr>
            <w:tcW w:w="5000" w:type="pct"/>
            <w:gridSpan w:val="3"/>
          </w:tcPr>
          <w:p w:rsidR="00163204" w:rsidRPr="008C7AEB" w:rsidRDefault="00163204" w:rsidP="00723DE8">
            <w:pPr>
              <w:tabs>
                <w:tab w:val="left" w:pos="480"/>
              </w:tabs>
              <w:jc w:val="left"/>
              <w:rPr>
                <w:rFonts w:ascii="Arial Narrow" w:hAnsi="Arial Narrow"/>
                <w:i/>
                <w:sz w:val="20"/>
              </w:rPr>
            </w:pPr>
            <w:r w:rsidRPr="008C7AEB">
              <w:rPr>
                <w:rFonts w:ascii="Arial Narrow" w:hAnsi="Arial Narrow"/>
                <w:i/>
                <w:sz w:val="20"/>
              </w:rPr>
              <w:t xml:space="preserve">Zoledronic acid pooled analysis of 2 randomised trials </w:t>
            </w:r>
          </w:p>
        </w:tc>
      </w:tr>
      <w:tr w:rsidR="00163204" w:rsidRPr="008C7AEB" w:rsidTr="00723DE8">
        <w:trPr>
          <w:cantSplit/>
          <w:trHeight w:val="535"/>
        </w:trPr>
        <w:tc>
          <w:tcPr>
            <w:tcW w:w="624" w:type="pct"/>
            <w:vMerge w:val="restart"/>
          </w:tcPr>
          <w:p w:rsidR="00163204" w:rsidRPr="008C7AEB" w:rsidRDefault="00163204" w:rsidP="00723DE8">
            <w:pPr>
              <w:jc w:val="left"/>
              <w:rPr>
                <w:rFonts w:ascii="Arial Narrow" w:hAnsi="Arial Narrow"/>
                <w:sz w:val="20"/>
              </w:rPr>
            </w:pPr>
            <w:r w:rsidRPr="008C7AEB">
              <w:rPr>
                <w:rFonts w:ascii="Arial Narrow" w:hAnsi="Arial Narrow"/>
                <w:sz w:val="20"/>
              </w:rPr>
              <w:t>Major 2001</w:t>
            </w:r>
          </w:p>
          <w:p w:rsidR="00163204" w:rsidRPr="008C7AEB" w:rsidRDefault="00163204" w:rsidP="00723DE8">
            <w:pPr>
              <w:jc w:val="left"/>
              <w:rPr>
                <w:rFonts w:ascii="Arial Narrow" w:hAnsi="Arial Narrow"/>
                <w:sz w:val="20"/>
              </w:rPr>
            </w:pPr>
            <w:r w:rsidRPr="008C7AEB">
              <w:rPr>
                <w:rFonts w:ascii="Arial Narrow" w:hAnsi="Arial Narrow"/>
                <w:sz w:val="20"/>
              </w:rPr>
              <w:t>(overall and retreatment phase)</w:t>
            </w:r>
          </w:p>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sz w:val="20"/>
              </w:rPr>
            </w:pPr>
            <w:r w:rsidRPr="008C7AEB">
              <w:rPr>
                <w:rFonts w:ascii="Arial Narrow" w:hAnsi="Arial Narrow"/>
                <w:sz w:val="20"/>
              </w:rPr>
              <w:t>Major P et al (2001). Zoledronic acid is superior to pamidronate in the treatment of hypercalcemia of malignancy: a pooled analysis of two randomised, controlled clinical trials</w:t>
            </w: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Journal of Clinical Oncology, 9(2):558-67</w:t>
            </w:r>
          </w:p>
          <w:p w:rsidR="00163204" w:rsidRPr="008C7AEB" w:rsidRDefault="00163204" w:rsidP="00723DE8">
            <w:pPr>
              <w:jc w:val="left"/>
              <w:rPr>
                <w:rFonts w:ascii="Arial Narrow" w:hAnsi="Arial Narrow"/>
                <w:b/>
                <w:sz w:val="20"/>
              </w:rPr>
            </w:pPr>
          </w:p>
        </w:tc>
      </w:tr>
      <w:tr w:rsidR="00163204" w:rsidRPr="008C7AEB" w:rsidTr="00723DE8">
        <w:trPr>
          <w:cantSplit/>
          <w:trHeight w:val="535"/>
        </w:trPr>
        <w:tc>
          <w:tcPr>
            <w:tcW w:w="624" w:type="pct"/>
            <w:vMerge/>
          </w:tcPr>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sz w:val="20"/>
              </w:rPr>
            </w:pPr>
            <w:r w:rsidRPr="008C7AEB">
              <w:rPr>
                <w:rFonts w:ascii="Arial Narrow" w:hAnsi="Arial Narrow"/>
                <w:sz w:val="20"/>
              </w:rPr>
              <w:t>Major P and Coleman R (2001). Zoledronic acid in the treatment of hypercalcemia of malignancy: Results of the international clinical development program</w:t>
            </w: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Seminars in Oncology, 28 (suppl6):17-24</w:t>
            </w:r>
          </w:p>
          <w:p w:rsidR="00163204" w:rsidRPr="008C7AEB" w:rsidRDefault="00163204" w:rsidP="00723DE8">
            <w:pPr>
              <w:jc w:val="left"/>
              <w:rPr>
                <w:rFonts w:ascii="Arial Narrow" w:hAnsi="Arial Narrow"/>
                <w:sz w:val="20"/>
              </w:rPr>
            </w:pPr>
          </w:p>
        </w:tc>
      </w:tr>
      <w:tr w:rsidR="00163204" w:rsidRPr="008C7AEB" w:rsidTr="00723DE8">
        <w:trPr>
          <w:cantSplit/>
        </w:trPr>
        <w:tc>
          <w:tcPr>
            <w:tcW w:w="5000" w:type="pct"/>
            <w:gridSpan w:val="3"/>
          </w:tcPr>
          <w:p w:rsidR="00163204" w:rsidRPr="008C7AEB" w:rsidRDefault="00163204" w:rsidP="00723DE8">
            <w:pPr>
              <w:jc w:val="left"/>
              <w:rPr>
                <w:rFonts w:ascii="Arial Narrow" w:hAnsi="Arial Narrow"/>
                <w:b/>
                <w:sz w:val="20"/>
              </w:rPr>
            </w:pPr>
            <w:r w:rsidRPr="008C7AEB">
              <w:rPr>
                <w:rFonts w:ascii="Arial Narrow" w:hAnsi="Arial Narrow"/>
                <w:b/>
                <w:sz w:val="20"/>
              </w:rPr>
              <w:t>Prevention of hypercalcaemia of malignancy (supportive analysis)</w:t>
            </w:r>
          </w:p>
        </w:tc>
      </w:tr>
      <w:tr w:rsidR="00163204" w:rsidRPr="008C7AEB" w:rsidTr="00723DE8">
        <w:trPr>
          <w:cantSplit/>
        </w:trPr>
        <w:tc>
          <w:tcPr>
            <w:tcW w:w="5000" w:type="pct"/>
            <w:gridSpan w:val="3"/>
          </w:tcPr>
          <w:p w:rsidR="00163204" w:rsidRPr="008C7AEB" w:rsidRDefault="00163204" w:rsidP="00723DE8">
            <w:pPr>
              <w:jc w:val="left"/>
              <w:rPr>
                <w:rFonts w:ascii="Arial Narrow" w:hAnsi="Arial Narrow"/>
                <w:i/>
                <w:sz w:val="20"/>
              </w:rPr>
            </w:pPr>
            <w:r w:rsidRPr="008C7AEB">
              <w:rPr>
                <w:rFonts w:ascii="Arial Narrow" w:hAnsi="Arial Narrow"/>
                <w:i/>
                <w:sz w:val="20"/>
              </w:rPr>
              <w:t>Denosumab pooled analysis of 2 randomised trials</w:t>
            </w:r>
          </w:p>
        </w:tc>
      </w:tr>
      <w:tr w:rsidR="00163204" w:rsidRPr="008C7AEB" w:rsidTr="00723DE8">
        <w:trPr>
          <w:cantSplit/>
        </w:trPr>
        <w:tc>
          <w:tcPr>
            <w:tcW w:w="624" w:type="pct"/>
          </w:tcPr>
          <w:p w:rsidR="00163204" w:rsidRPr="008C7AEB" w:rsidRDefault="00163204" w:rsidP="00723DE8">
            <w:pPr>
              <w:jc w:val="left"/>
              <w:rPr>
                <w:rFonts w:ascii="Arial Narrow" w:hAnsi="Arial Narrow"/>
                <w:sz w:val="20"/>
              </w:rPr>
            </w:pPr>
            <w:r w:rsidRPr="008C7AEB">
              <w:rPr>
                <w:rFonts w:ascii="Arial Narrow" w:hAnsi="Arial Narrow"/>
                <w:sz w:val="20"/>
              </w:rPr>
              <w:t>Diel 2015</w:t>
            </w:r>
          </w:p>
          <w:p w:rsidR="00163204" w:rsidRPr="008C7AEB" w:rsidRDefault="00163204" w:rsidP="00723DE8">
            <w:pPr>
              <w:jc w:val="left"/>
              <w:rPr>
                <w:rFonts w:ascii="Arial Narrow" w:hAnsi="Arial Narrow"/>
                <w:sz w:val="20"/>
              </w:rPr>
            </w:pPr>
          </w:p>
          <w:p w:rsidR="00163204" w:rsidRPr="008C7AEB" w:rsidRDefault="00163204" w:rsidP="00723DE8">
            <w:pPr>
              <w:jc w:val="left"/>
              <w:rPr>
                <w:rFonts w:ascii="Arial Narrow" w:hAnsi="Arial Narrow"/>
                <w:sz w:val="20"/>
              </w:rPr>
            </w:pPr>
          </w:p>
        </w:tc>
        <w:tc>
          <w:tcPr>
            <w:tcW w:w="3141" w:type="pct"/>
          </w:tcPr>
          <w:p w:rsidR="00163204" w:rsidRPr="008C7AEB" w:rsidRDefault="00163204" w:rsidP="00723DE8">
            <w:pPr>
              <w:rPr>
                <w:rFonts w:ascii="Arial Narrow" w:hAnsi="Arial Narrow"/>
                <w:b/>
                <w:sz w:val="20"/>
              </w:rPr>
            </w:pPr>
            <w:r w:rsidRPr="008C7AEB">
              <w:rPr>
                <w:rFonts w:ascii="Arial Narrow" w:hAnsi="Arial Narrow" w:cs="AdvEPSTIM"/>
                <w:sz w:val="20"/>
                <w:szCs w:val="34"/>
                <w:lang w:eastAsia="en-AU"/>
              </w:rPr>
              <w:t>Diel et al (2015). The role of denosumab in the prevention of hypercalcaemia of malignancy in cancer patients with metastatic bone disease</w:t>
            </w:r>
          </w:p>
        </w:tc>
        <w:tc>
          <w:tcPr>
            <w:tcW w:w="1235" w:type="pct"/>
          </w:tcPr>
          <w:p w:rsidR="00163204" w:rsidRPr="008C7AEB" w:rsidRDefault="00163204" w:rsidP="00723DE8">
            <w:pPr>
              <w:jc w:val="left"/>
              <w:rPr>
                <w:rFonts w:ascii="Arial Narrow" w:hAnsi="Arial Narrow"/>
                <w:sz w:val="20"/>
              </w:rPr>
            </w:pPr>
            <w:r w:rsidRPr="008C7AEB">
              <w:rPr>
                <w:rFonts w:ascii="Arial Narrow" w:hAnsi="Arial Narrow"/>
                <w:sz w:val="20"/>
              </w:rPr>
              <w:t>European Journal of Cancer, 51(11):1467-75</w:t>
            </w:r>
          </w:p>
          <w:p w:rsidR="00163204" w:rsidRPr="008C7AEB" w:rsidRDefault="00163204" w:rsidP="00723DE8">
            <w:pPr>
              <w:jc w:val="left"/>
              <w:rPr>
                <w:rFonts w:ascii="Arial Narrow" w:hAnsi="Arial Narrow"/>
                <w:sz w:val="20"/>
              </w:rPr>
            </w:pPr>
          </w:p>
        </w:tc>
      </w:tr>
    </w:tbl>
    <w:p w:rsidR="00163204" w:rsidRPr="008C7AEB" w:rsidRDefault="00163204" w:rsidP="00163204">
      <w:pPr>
        <w:pStyle w:val="TableFooter"/>
        <w:ind w:left="720"/>
      </w:pPr>
      <w:r w:rsidRPr="008C7AEB">
        <w:t>Source: Table B.2-2 (p13) of the submission</w:t>
      </w:r>
    </w:p>
    <w:p w:rsidR="00B54755" w:rsidRDefault="00B54755" w:rsidP="00163204">
      <w:pPr>
        <w:widowControl/>
        <w:rPr>
          <w:szCs w:val="22"/>
        </w:rPr>
      </w:pPr>
      <w:r>
        <w:rPr>
          <w:szCs w:val="22"/>
        </w:rPr>
        <w:br w:type="page"/>
      </w:r>
    </w:p>
    <w:p w:rsidR="00163204" w:rsidRPr="008C7AEB" w:rsidRDefault="00163204" w:rsidP="00163204">
      <w:pPr>
        <w:pStyle w:val="ListParagraph"/>
        <w:widowControl/>
        <w:numPr>
          <w:ilvl w:val="1"/>
          <w:numId w:val="6"/>
        </w:numPr>
      </w:pPr>
      <w:r w:rsidRPr="008C7AEB">
        <w:rPr>
          <w:szCs w:val="22"/>
        </w:rPr>
        <w:lastRenderedPageBreak/>
        <w:t>The key features of the studies are summarised in the table below.</w:t>
      </w:r>
    </w:p>
    <w:p w:rsidR="00163204" w:rsidRPr="008C7AEB" w:rsidRDefault="00163204" w:rsidP="00163204">
      <w:pPr>
        <w:ind w:firstLine="720"/>
        <w:rPr>
          <w:rStyle w:val="CommentReference"/>
        </w:rPr>
      </w:pPr>
    </w:p>
    <w:p w:rsidR="00163204" w:rsidRPr="008C7AEB" w:rsidRDefault="00163204" w:rsidP="00163204">
      <w:pPr>
        <w:ind w:firstLine="720"/>
        <w:rPr>
          <w:rStyle w:val="CommentReference"/>
        </w:rPr>
      </w:pPr>
      <w:r w:rsidRPr="008C7AEB">
        <w:rPr>
          <w:rStyle w:val="CommentReference"/>
        </w:rPr>
        <w:t>Table 2: Key features of the included evidence – indirect comparison</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3"/>
        <w:gridCol w:w="535"/>
        <w:gridCol w:w="1454"/>
        <w:gridCol w:w="1712"/>
        <w:gridCol w:w="928"/>
        <w:gridCol w:w="1642"/>
        <w:gridCol w:w="1094"/>
      </w:tblGrid>
      <w:tr w:rsidR="00163204" w:rsidRPr="008C7AEB" w:rsidTr="00723DE8">
        <w:trPr>
          <w:tblHeader/>
        </w:trPr>
        <w:tc>
          <w:tcPr>
            <w:tcW w:w="604" w:type="pct"/>
            <w:shd w:val="clear" w:color="auto" w:fill="auto"/>
            <w:vAlign w:val="center"/>
          </w:tcPr>
          <w:p w:rsidR="00163204" w:rsidRPr="008C7AEB" w:rsidRDefault="00163204" w:rsidP="00723DE8">
            <w:pPr>
              <w:jc w:val="left"/>
              <w:rPr>
                <w:rFonts w:ascii="Arial Narrow" w:hAnsi="Arial Narrow"/>
                <w:b/>
                <w:sz w:val="20"/>
                <w:szCs w:val="16"/>
              </w:rPr>
            </w:pPr>
            <w:r w:rsidRPr="008C7AEB">
              <w:rPr>
                <w:rFonts w:ascii="Arial Narrow" w:hAnsi="Arial Narrow"/>
                <w:b/>
                <w:sz w:val="20"/>
                <w:szCs w:val="16"/>
              </w:rPr>
              <w:t>Trial</w:t>
            </w:r>
          </w:p>
        </w:tc>
        <w:tc>
          <w:tcPr>
            <w:tcW w:w="319" w:type="pct"/>
            <w:shd w:val="clear" w:color="auto" w:fill="auto"/>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N</w:t>
            </w:r>
          </w:p>
        </w:tc>
        <w:tc>
          <w:tcPr>
            <w:tcW w:w="868" w:type="pct"/>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Design</w:t>
            </w:r>
          </w:p>
        </w:tc>
        <w:tc>
          <w:tcPr>
            <w:tcW w:w="1022" w:type="pct"/>
            <w:shd w:val="clear" w:color="auto" w:fill="auto"/>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Dosing regimen</w:t>
            </w:r>
          </w:p>
        </w:tc>
        <w:tc>
          <w:tcPr>
            <w:tcW w:w="554" w:type="pct"/>
            <w:shd w:val="clear" w:color="auto" w:fill="auto"/>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Risk of bias</w:t>
            </w:r>
          </w:p>
        </w:tc>
        <w:tc>
          <w:tcPr>
            <w:tcW w:w="980" w:type="pct"/>
            <w:shd w:val="clear" w:color="auto" w:fill="auto"/>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Patient population</w:t>
            </w:r>
          </w:p>
        </w:tc>
        <w:tc>
          <w:tcPr>
            <w:tcW w:w="653" w:type="pct"/>
            <w:shd w:val="clear" w:color="auto" w:fill="auto"/>
            <w:vAlign w:val="center"/>
          </w:tcPr>
          <w:p w:rsidR="00163204" w:rsidRPr="008C7AEB" w:rsidRDefault="00163204" w:rsidP="00723DE8">
            <w:pPr>
              <w:jc w:val="center"/>
              <w:rPr>
                <w:rFonts w:ascii="Arial Narrow" w:hAnsi="Arial Narrow"/>
                <w:b/>
                <w:sz w:val="20"/>
                <w:szCs w:val="16"/>
              </w:rPr>
            </w:pPr>
            <w:r w:rsidRPr="008C7AEB">
              <w:rPr>
                <w:rFonts w:ascii="Arial Narrow" w:hAnsi="Arial Narrow"/>
                <w:b/>
                <w:sz w:val="20"/>
                <w:szCs w:val="16"/>
              </w:rPr>
              <w:t>Outcome(s)</w:t>
            </w:r>
          </w:p>
        </w:tc>
      </w:tr>
      <w:tr w:rsidR="00163204" w:rsidRPr="008C7AEB" w:rsidTr="00723DE8">
        <w:tc>
          <w:tcPr>
            <w:tcW w:w="5000" w:type="pct"/>
            <w:gridSpan w:val="7"/>
          </w:tcPr>
          <w:p w:rsidR="00163204" w:rsidRPr="008C7AEB" w:rsidRDefault="00163204" w:rsidP="00723DE8">
            <w:pPr>
              <w:jc w:val="left"/>
              <w:rPr>
                <w:rFonts w:ascii="Arial Narrow" w:hAnsi="Arial Narrow"/>
                <w:b/>
                <w:sz w:val="20"/>
                <w:szCs w:val="16"/>
              </w:rPr>
            </w:pPr>
            <w:r w:rsidRPr="008C7AEB">
              <w:rPr>
                <w:rFonts w:ascii="Arial Narrow" w:hAnsi="Arial Narrow"/>
                <w:b/>
                <w:sz w:val="20"/>
                <w:szCs w:val="16"/>
              </w:rPr>
              <w:t xml:space="preserve">Treatment of hypercalcaemia of malignancy </w:t>
            </w:r>
          </w:p>
        </w:tc>
      </w:tr>
      <w:tr w:rsidR="00163204" w:rsidRPr="008C7AEB" w:rsidTr="00723DE8">
        <w:tc>
          <w:tcPr>
            <w:tcW w:w="604"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Study 315</w:t>
            </w:r>
          </w:p>
        </w:tc>
        <w:tc>
          <w:tcPr>
            <w:tcW w:w="319"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33</w:t>
            </w:r>
          </w:p>
        </w:tc>
        <w:tc>
          <w:tcPr>
            <w:tcW w:w="868" w:type="pct"/>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Open-label, single arm, multi-centre observational study</w:t>
            </w:r>
          </w:p>
        </w:tc>
        <w:tc>
          <w:tcPr>
            <w:tcW w:w="1022"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Denosumab 120</w:t>
            </w:r>
            <w:r w:rsidR="00E2799C" w:rsidRPr="008C7AEB">
              <w:rPr>
                <w:rFonts w:ascii="Arial Narrow" w:hAnsi="Arial Narrow"/>
                <w:sz w:val="20"/>
                <w:szCs w:val="16"/>
              </w:rPr>
              <w:t> </w:t>
            </w:r>
            <w:r w:rsidRPr="008C7AEB">
              <w:rPr>
                <w:rFonts w:ascii="Arial Narrow" w:hAnsi="Arial Narrow"/>
                <w:sz w:val="20"/>
                <w:szCs w:val="16"/>
              </w:rPr>
              <w:t>mg on day 1, 8, 15 (loading doses) in initial 4 weeks then 120</w:t>
            </w:r>
            <w:r w:rsidR="00E2799C" w:rsidRPr="008C7AEB">
              <w:rPr>
                <w:rFonts w:ascii="Arial Narrow" w:hAnsi="Arial Narrow"/>
                <w:sz w:val="20"/>
                <w:szCs w:val="16"/>
              </w:rPr>
              <w:t> </w:t>
            </w:r>
            <w:r w:rsidRPr="008C7AEB">
              <w:rPr>
                <w:rFonts w:ascii="Arial Narrow" w:hAnsi="Arial Narrow"/>
                <w:sz w:val="20"/>
                <w:szCs w:val="16"/>
              </w:rPr>
              <w:t>mg every 4 weeks thereafter</w:t>
            </w:r>
          </w:p>
        </w:tc>
        <w:tc>
          <w:tcPr>
            <w:tcW w:w="554"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High</w:t>
            </w:r>
          </w:p>
        </w:tc>
        <w:tc>
          <w:tcPr>
            <w:tcW w:w="980"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 HCM</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CSC&gt;3.1</w:t>
            </w:r>
            <w:r w:rsidR="00E2799C" w:rsidRPr="008C7AEB">
              <w:rPr>
                <w:rFonts w:ascii="Arial Narrow" w:hAnsi="Arial Narrow"/>
                <w:sz w:val="20"/>
                <w:szCs w:val="16"/>
              </w:rPr>
              <w:t> </w:t>
            </w:r>
            <w:r w:rsidRPr="008C7AEB">
              <w:rPr>
                <w:rFonts w:ascii="Arial Narrow" w:hAnsi="Arial Narrow"/>
                <w:sz w:val="20"/>
                <w:szCs w:val="16"/>
              </w:rPr>
              <w:t>mmol/L</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Recently received IV bisphosphonate and refractory/relapsed</w:t>
            </w:r>
          </w:p>
        </w:tc>
        <w:tc>
          <w:tcPr>
            <w:tcW w:w="653"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Response rate and duration</w:t>
            </w:r>
          </w:p>
        </w:tc>
      </w:tr>
      <w:tr w:rsidR="00163204" w:rsidRPr="008C7AEB" w:rsidTr="00723DE8">
        <w:tc>
          <w:tcPr>
            <w:tcW w:w="604"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Major 2001 (overall)</w:t>
            </w:r>
          </w:p>
        </w:tc>
        <w:tc>
          <w:tcPr>
            <w:tcW w:w="319"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287</w:t>
            </w:r>
          </w:p>
        </w:tc>
        <w:tc>
          <w:tcPr>
            <w:tcW w:w="868" w:type="pct"/>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Pooled analysis of 2 double-blinded, double-dummy, multi-centre RCTs</w:t>
            </w:r>
          </w:p>
        </w:tc>
        <w:tc>
          <w:tcPr>
            <w:tcW w:w="1022"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Single dose zoledronic acid 4</w:t>
            </w:r>
            <w:r w:rsidR="00E2799C" w:rsidRPr="008C7AEB">
              <w:rPr>
                <w:rFonts w:ascii="Arial Narrow" w:hAnsi="Arial Narrow"/>
                <w:sz w:val="20"/>
                <w:szCs w:val="16"/>
              </w:rPr>
              <w:t> </w:t>
            </w:r>
            <w:r w:rsidRPr="008C7AEB">
              <w:rPr>
                <w:rFonts w:ascii="Arial Narrow" w:hAnsi="Arial Narrow"/>
                <w:sz w:val="20"/>
                <w:szCs w:val="16"/>
              </w:rPr>
              <w:t>mg vs Single dose zoledronic acid 8</w:t>
            </w:r>
            <w:r w:rsidR="00E2799C" w:rsidRPr="008C7AEB">
              <w:rPr>
                <w:rFonts w:ascii="Arial Narrow" w:hAnsi="Arial Narrow"/>
                <w:sz w:val="20"/>
                <w:szCs w:val="16"/>
              </w:rPr>
              <w:t> </w:t>
            </w:r>
            <w:r w:rsidRPr="008C7AEB">
              <w:rPr>
                <w:rFonts w:ascii="Arial Narrow" w:hAnsi="Arial Narrow"/>
                <w:sz w:val="20"/>
                <w:szCs w:val="16"/>
              </w:rPr>
              <w:t>mg vs Single dose pamidronate 90</w:t>
            </w:r>
            <w:r w:rsidR="00E2799C" w:rsidRPr="008C7AEB">
              <w:rPr>
                <w:rFonts w:ascii="Arial Narrow" w:hAnsi="Arial Narrow"/>
                <w:sz w:val="20"/>
                <w:szCs w:val="16"/>
              </w:rPr>
              <w:t> </w:t>
            </w:r>
            <w:r w:rsidRPr="008C7AEB">
              <w:rPr>
                <w:rFonts w:ascii="Arial Narrow" w:hAnsi="Arial Narrow"/>
                <w:sz w:val="20"/>
                <w:szCs w:val="16"/>
              </w:rPr>
              <w:t>mg</w:t>
            </w:r>
          </w:p>
        </w:tc>
        <w:tc>
          <w:tcPr>
            <w:tcW w:w="554"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Unclear</w:t>
            </w:r>
          </w:p>
        </w:tc>
        <w:tc>
          <w:tcPr>
            <w:tcW w:w="980"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 HCM</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CSC≥3.0</w:t>
            </w:r>
            <w:r w:rsidR="00E2799C" w:rsidRPr="008C7AEB">
              <w:rPr>
                <w:rFonts w:ascii="Arial Narrow" w:hAnsi="Arial Narrow"/>
                <w:sz w:val="20"/>
                <w:szCs w:val="16"/>
              </w:rPr>
              <w:t> </w:t>
            </w:r>
            <w:r w:rsidRPr="008C7AEB">
              <w:rPr>
                <w:rFonts w:ascii="Arial Narrow" w:hAnsi="Arial Narrow"/>
                <w:sz w:val="20"/>
                <w:szCs w:val="16"/>
              </w:rPr>
              <w:t>mmol/L</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Have not recently received IV bisphosphonate</w:t>
            </w:r>
          </w:p>
        </w:tc>
        <w:tc>
          <w:tcPr>
            <w:tcW w:w="653"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Response rate and duration</w:t>
            </w:r>
          </w:p>
        </w:tc>
      </w:tr>
      <w:tr w:rsidR="00163204" w:rsidRPr="008C7AEB" w:rsidTr="00723DE8">
        <w:tc>
          <w:tcPr>
            <w:tcW w:w="604"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Major 2001 (retreatment)</w:t>
            </w:r>
          </w:p>
        </w:tc>
        <w:tc>
          <w:tcPr>
            <w:tcW w:w="319"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69</w:t>
            </w:r>
            <w:r w:rsidRPr="008C7AEB">
              <w:rPr>
                <w:rFonts w:ascii="Arial Narrow" w:hAnsi="Arial Narrow"/>
                <w:sz w:val="20"/>
                <w:szCs w:val="16"/>
                <w:vertAlign w:val="superscript"/>
              </w:rPr>
              <w:t>a</w:t>
            </w:r>
          </w:p>
        </w:tc>
        <w:tc>
          <w:tcPr>
            <w:tcW w:w="868" w:type="pct"/>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Pooled subgroup analysis of 2 double-blinded, double-dummy, multi-centre RCTs</w:t>
            </w:r>
          </w:p>
        </w:tc>
        <w:tc>
          <w:tcPr>
            <w:tcW w:w="1022"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Single dose zoledronic acid 8</w:t>
            </w:r>
            <w:r w:rsidR="00E2799C" w:rsidRPr="008C7AEB">
              <w:rPr>
                <w:rFonts w:ascii="Arial Narrow" w:hAnsi="Arial Narrow"/>
                <w:sz w:val="20"/>
                <w:szCs w:val="16"/>
              </w:rPr>
              <w:t> </w:t>
            </w:r>
            <w:r w:rsidRPr="008C7AEB">
              <w:rPr>
                <w:rFonts w:ascii="Arial Narrow" w:hAnsi="Arial Narrow"/>
                <w:sz w:val="20"/>
                <w:szCs w:val="16"/>
              </w:rPr>
              <w:t>mg</w:t>
            </w:r>
          </w:p>
        </w:tc>
        <w:tc>
          <w:tcPr>
            <w:tcW w:w="554"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High</w:t>
            </w:r>
          </w:p>
        </w:tc>
        <w:tc>
          <w:tcPr>
            <w:tcW w:w="980"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 HCM</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Refractory or relapsed after single dose IV bisphosphonate</w:t>
            </w:r>
          </w:p>
        </w:tc>
        <w:tc>
          <w:tcPr>
            <w:tcW w:w="653"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Response rate and duration</w:t>
            </w:r>
          </w:p>
        </w:tc>
      </w:tr>
      <w:tr w:rsidR="00163204" w:rsidRPr="008C7AEB" w:rsidTr="00723DE8">
        <w:tc>
          <w:tcPr>
            <w:tcW w:w="5000" w:type="pct"/>
            <w:gridSpan w:val="7"/>
          </w:tcPr>
          <w:p w:rsidR="00163204" w:rsidRPr="008C7AEB" w:rsidRDefault="00163204" w:rsidP="00723DE8">
            <w:pPr>
              <w:jc w:val="left"/>
              <w:rPr>
                <w:rFonts w:ascii="Arial Narrow" w:hAnsi="Arial Narrow"/>
                <w:b/>
                <w:sz w:val="20"/>
                <w:szCs w:val="16"/>
              </w:rPr>
            </w:pPr>
            <w:r w:rsidRPr="008C7AEB">
              <w:rPr>
                <w:rFonts w:ascii="Arial Narrow" w:hAnsi="Arial Narrow"/>
                <w:b/>
                <w:sz w:val="20"/>
                <w:szCs w:val="16"/>
              </w:rPr>
              <w:t>Prevention of hypercalcaemia of malignancy (supportive analysis)</w:t>
            </w:r>
          </w:p>
        </w:tc>
      </w:tr>
      <w:tr w:rsidR="00163204" w:rsidRPr="008C7AEB" w:rsidTr="00723DE8">
        <w:tc>
          <w:tcPr>
            <w:tcW w:w="604" w:type="pct"/>
            <w:shd w:val="clear" w:color="auto" w:fill="auto"/>
            <w:vAlign w:val="center"/>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Diel 2015</w:t>
            </w:r>
          </w:p>
        </w:tc>
        <w:tc>
          <w:tcPr>
            <w:tcW w:w="319"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3822</w:t>
            </w:r>
          </w:p>
        </w:tc>
        <w:tc>
          <w:tcPr>
            <w:tcW w:w="868" w:type="pct"/>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Retrospective pooled analysis of 2 double-blinded, multi-centre RCTs</w:t>
            </w:r>
          </w:p>
        </w:tc>
        <w:tc>
          <w:tcPr>
            <w:tcW w:w="1022"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Denosumab 120</w:t>
            </w:r>
            <w:r w:rsidR="00E2799C" w:rsidRPr="008C7AEB">
              <w:rPr>
                <w:rFonts w:ascii="Arial Narrow" w:hAnsi="Arial Narrow"/>
                <w:sz w:val="20"/>
                <w:szCs w:val="16"/>
              </w:rPr>
              <w:t> </w:t>
            </w:r>
            <w:r w:rsidRPr="008C7AEB">
              <w:rPr>
                <w:rFonts w:ascii="Arial Narrow" w:hAnsi="Arial Narrow"/>
                <w:sz w:val="20"/>
                <w:szCs w:val="16"/>
              </w:rPr>
              <w:t>mg every 4 weeks vs zoledronic acid 4</w:t>
            </w:r>
            <w:r w:rsidR="00E2799C" w:rsidRPr="008C7AEB">
              <w:rPr>
                <w:rFonts w:ascii="Arial Narrow" w:hAnsi="Arial Narrow"/>
                <w:sz w:val="20"/>
                <w:szCs w:val="16"/>
              </w:rPr>
              <w:t> </w:t>
            </w:r>
            <w:r w:rsidRPr="008C7AEB">
              <w:rPr>
                <w:rFonts w:ascii="Arial Narrow" w:hAnsi="Arial Narrow"/>
                <w:sz w:val="20"/>
                <w:szCs w:val="16"/>
              </w:rPr>
              <w:t>mg every 4 weeks</w:t>
            </w:r>
          </w:p>
        </w:tc>
        <w:tc>
          <w:tcPr>
            <w:tcW w:w="554"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High</w:t>
            </w:r>
          </w:p>
        </w:tc>
        <w:tc>
          <w:tcPr>
            <w:tcW w:w="980" w:type="pct"/>
            <w:shd w:val="clear" w:color="auto" w:fill="auto"/>
          </w:tcPr>
          <w:p w:rsidR="00163204" w:rsidRPr="008C7AEB" w:rsidRDefault="00163204" w:rsidP="00723DE8">
            <w:pPr>
              <w:jc w:val="left"/>
              <w:rPr>
                <w:rFonts w:ascii="Arial Narrow" w:hAnsi="Arial Narrow"/>
                <w:sz w:val="20"/>
                <w:szCs w:val="16"/>
              </w:rPr>
            </w:pPr>
            <w:r w:rsidRPr="008C7AEB">
              <w:rPr>
                <w:rFonts w:ascii="Arial Narrow" w:hAnsi="Arial Narrow"/>
                <w:sz w:val="20"/>
                <w:szCs w:val="16"/>
              </w:rPr>
              <w:t>- Not previously diagnosed with HCM</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CSC between 2.0-2.9mmol/L</w:t>
            </w:r>
          </w:p>
          <w:p w:rsidR="00163204" w:rsidRPr="008C7AEB" w:rsidRDefault="00163204" w:rsidP="00723DE8">
            <w:pPr>
              <w:jc w:val="left"/>
              <w:rPr>
                <w:rFonts w:ascii="Arial Narrow" w:hAnsi="Arial Narrow"/>
                <w:sz w:val="20"/>
                <w:szCs w:val="16"/>
              </w:rPr>
            </w:pPr>
            <w:r w:rsidRPr="008C7AEB">
              <w:rPr>
                <w:rFonts w:ascii="Arial Narrow" w:hAnsi="Arial Narrow"/>
                <w:sz w:val="20"/>
                <w:szCs w:val="16"/>
              </w:rPr>
              <w:t xml:space="preserve">- Not previously received IV bisphosphonates </w:t>
            </w:r>
          </w:p>
        </w:tc>
        <w:tc>
          <w:tcPr>
            <w:tcW w:w="653" w:type="pct"/>
            <w:shd w:val="clear" w:color="auto" w:fill="auto"/>
            <w:vAlign w:val="center"/>
          </w:tcPr>
          <w:p w:rsidR="00163204" w:rsidRPr="008C7AEB" w:rsidRDefault="00163204" w:rsidP="00723DE8">
            <w:pPr>
              <w:jc w:val="center"/>
              <w:rPr>
                <w:rFonts w:ascii="Arial Narrow" w:hAnsi="Arial Narrow"/>
                <w:sz w:val="20"/>
                <w:szCs w:val="16"/>
              </w:rPr>
            </w:pPr>
            <w:r w:rsidRPr="008C7AEB">
              <w:rPr>
                <w:rFonts w:ascii="Arial Narrow" w:hAnsi="Arial Narrow"/>
                <w:sz w:val="20"/>
                <w:szCs w:val="16"/>
              </w:rPr>
              <w:t>Incidence of HCM and time to HCM</w:t>
            </w:r>
          </w:p>
        </w:tc>
      </w:tr>
    </w:tbl>
    <w:p w:rsidR="00163204" w:rsidRPr="008C7AEB" w:rsidRDefault="00163204" w:rsidP="00163204">
      <w:pPr>
        <w:pStyle w:val="TableFooter"/>
        <w:ind w:left="720"/>
        <w:rPr>
          <w:szCs w:val="18"/>
        </w:rPr>
      </w:pPr>
      <w:r w:rsidRPr="008C7AEB">
        <w:rPr>
          <w:szCs w:val="18"/>
        </w:rPr>
        <w:t>Source: Table B.2-3 (p13) of submission, Study 315 clinical study report (p3), Major 2001 and Major and Coleman 2001 publications</w:t>
      </w:r>
    </w:p>
    <w:p w:rsidR="00163204" w:rsidRPr="008C7AEB" w:rsidRDefault="00163204" w:rsidP="00163204">
      <w:pPr>
        <w:pStyle w:val="TableFooter"/>
        <w:ind w:firstLine="720"/>
        <w:rPr>
          <w:szCs w:val="18"/>
        </w:rPr>
      </w:pPr>
      <w:r w:rsidRPr="008C7AEB">
        <w:rPr>
          <w:szCs w:val="18"/>
        </w:rPr>
        <w:t>Abbreviations: CSC=corrected serum calcium; HCM=hypercalcaemia of malignancy; RCT=randomised controlled trial</w:t>
      </w:r>
    </w:p>
    <w:p w:rsidR="00163204" w:rsidRPr="008C7AEB" w:rsidRDefault="00163204" w:rsidP="00163204">
      <w:pPr>
        <w:pStyle w:val="TableFooter"/>
        <w:ind w:left="720"/>
      </w:pPr>
      <w:r w:rsidRPr="008C7AEB">
        <w:rPr>
          <w:szCs w:val="18"/>
          <w:vertAlign w:val="superscript"/>
        </w:rPr>
        <w:t>a</w:t>
      </w:r>
      <w:r w:rsidRPr="008C7AEB">
        <w:rPr>
          <w:szCs w:val="18"/>
        </w:rPr>
        <w:t>Patients not achieving a response to initial treatment (relapsed/refractory) received retreatment with zoledronic acid 8mg: 22  refractory, 47 relapsed</w:t>
      </w:r>
    </w:p>
    <w:p w:rsidR="00163204" w:rsidRPr="008C7AEB" w:rsidRDefault="00163204" w:rsidP="00163204">
      <w:pPr>
        <w:rPr>
          <w:szCs w:val="22"/>
        </w:rPr>
      </w:pPr>
    </w:p>
    <w:p w:rsidR="00B54755" w:rsidRDefault="00B54755" w:rsidP="00163204">
      <w:pPr>
        <w:pStyle w:val="Heading2"/>
        <w:keepNext/>
        <w:keepLines/>
        <w:rPr>
          <w:i/>
        </w:rPr>
      </w:pPr>
      <w:bookmarkStart w:id="13" w:name="_Toc441050666"/>
      <w:r>
        <w:rPr>
          <w:i/>
        </w:rPr>
        <w:br w:type="page"/>
      </w:r>
    </w:p>
    <w:p w:rsidR="00163204" w:rsidRPr="008C7AEB" w:rsidRDefault="00163204" w:rsidP="00163204">
      <w:pPr>
        <w:pStyle w:val="Heading2"/>
        <w:keepNext/>
        <w:keepLines/>
        <w:rPr>
          <w:i/>
        </w:rPr>
      </w:pPr>
      <w:r w:rsidRPr="008C7AEB">
        <w:rPr>
          <w:i/>
        </w:rPr>
        <w:lastRenderedPageBreak/>
        <w:t>Comparative effectiveness</w:t>
      </w:r>
      <w:bookmarkEnd w:id="13"/>
    </w:p>
    <w:p w:rsidR="00163204" w:rsidRPr="008C7AEB" w:rsidRDefault="00163204" w:rsidP="00163204">
      <w:pPr>
        <w:keepNext/>
        <w:keepLines/>
      </w:pPr>
    </w:p>
    <w:p w:rsidR="00163204" w:rsidRPr="008C7AEB" w:rsidRDefault="00163204" w:rsidP="00163204">
      <w:pPr>
        <w:pStyle w:val="ListParagraph"/>
        <w:keepNext/>
        <w:keepLines/>
        <w:widowControl/>
        <w:numPr>
          <w:ilvl w:val="1"/>
          <w:numId w:val="6"/>
        </w:numPr>
        <w:rPr>
          <w:rStyle w:val="CommentReference"/>
          <w:rFonts w:ascii="Arial" w:hAnsi="Arial"/>
          <w:b w:val="0"/>
          <w:sz w:val="22"/>
          <w:szCs w:val="22"/>
        </w:rPr>
      </w:pPr>
      <w:r w:rsidRPr="008C7AEB">
        <w:rPr>
          <w:rStyle w:val="CommentReference"/>
        </w:rPr>
        <w:t>Table 3: Summary of results in Study 315 and Major 2001</w:t>
      </w:r>
    </w:p>
    <w:tbl>
      <w:tblPr>
        <w:tblStyle w:val="TableGrid"/>
        <w:tblW w:w="0" w:type="auto"/>
        <w:tblInd w:w="704" w:type="dxa"/>
        <w:tblLayout w:type="fixed"/>
        <w:tblLook w:val="04A0" w:firstRow="1" w:lastRow="0" w:firstColumn="1" w:lastColumn="0" w:noHBand="0" w:noVBand="1"/>
        <w:tblCaption w:val="Summary of results in Study 315 and Major 2001"/>
      </w:tblPr>
      <w:tblGrid>
        <w:gridCol w:w="2410"/>
        <w:gridCol w:w="1276"/>
        <w:gridCol w:w="1134"/>
        <w:gridCol w:w="1134"/>
        <w:gridCol w:w="1134"/>
        <w:gridCol w:w="1225"/>
      </w:tblGrid>
      <w:tr w:rsidR="00163204" w:rsidRPr="008C7AEB" w:rsidTr="00E3598A">
        <w:trPr>
          <w:tblHeader/>
        </w:trPr>
        <w:tc>
          <w:tcPr>
            <w:tcW w:w="2410" w:type="dxa"/>
            <w:vMerge w:val="restart"/>
            <w:vAlign w:val="center"/>
          </w:tcPr>
          <w:p w:rsidR="00163204" w:rsidRPr="008C7AEB" w:rsidRDefault="00163204" w:rsidP="00723DE8">
            <w:pPr>
              <w:keepNext/>
              <w:keepLines/>
              <w:jc w:val="left"/>
              <w:rPr>
                <w:rFonts w:ascii="Arial Narrow" w:hAnsi="Arial Narrow"/>
                <w:b/>
              </w:rPr>
            </w:pPr>
            <w:r w:rsidRPr="008C7AEB">
              <w:rPr>
                <w:rFonts w:ascii="Arial Narrow" w:hAnsi="Arial Narrow"/>
                <w:b/>
                <w:sz w:val="20"/>
              </w:rPr>
              <w:t>Outcomes</w:t>
            </w:r>
          </w:p>
        </w:tc>
        <w:tc>
          <w:tcPr>
            <w:tcW w:w="1276"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Study 315</w:t>
            </w:r>
          </w:p>
        </w:tc>
        <w:tc>
          <w:tcPr>
            <w:tcW w:w="2268" w:type="dxa"/>
            <w:gridSpan w:val="2"/>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Major 2001</w:t>
            </w:r>
          </w:p>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(overall)</w:t>
            </w:r>
          </w:p>
        </w:tc>
        <w:tc>
          <w:tcPr>
            <w:tcW w:w="2359" w:type="dxa"/>
            <w:gridSpan w:val="2"/>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Major 2001</w:t>
            </w:r>
          </w:p>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(retreatment phase)</w:t>
            </w:r>
          </w:p>
        </w:tc>
      </w:tr>
      <w:tr w:rsidR="00163204" w:rsidRPr="008C7AEB" w:rsidTr="00E3598A">
        <w:trPr>
          <w:trHeight w:val="872"/>
          <w:tblHeader/>
        </w:trPr>
        <w:tc>
          <w:tcPr>
            <w:tcW w:w="2410" w:type="dxa"/>
            <w:vMerge/>
            <w:vAlign w:val="center"/>
          </w:tcPr>
          <w:p w:rsidR="00163204" w:rsidRPr="008C7AEB" w:rsidRDefault="00163204" w:rsidP="00723DE8">
            <w:pPr>
              <w:keepNext/>
              <w:keepLines/>
              <w:rPr>
                <w:rFonts w:ascii="Arial Narrow" w:hAnsi="Arial Narrow"/>
                <w:sz w:val="20"/>
              </w:rPr>
            </w:pPr>
          </w:p>
        </w:tc>
        <w:tc>
          <w:tcPr>
            <w:tcW w:w="1276"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 xml:space="preserve">Denosumab (refractory/ relapsed) </w:t>
            </w:r>
          </w:p>
        </w:tc>
        <w:tc>
          <w:tcPr>
            <w:tcW w:w="1134"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Zoledronic acid 4</w:t>
            </w:r>
            <w:r w:rsidR="00E2799C" w:rsidRPr="008C7AEB">
              <w:rPr>
                <w:rFonts w:ascii="Arial Narrow" w:hAnsi="Arial Narrow"/>
                <w:b/>
                <w:sz w:val="20"/>
              </w:rPr>
              <w:t> </w:t>
            </w:r>
            <w:r w:rsidRPr="008C7AEB">
              <w:rPr>
                <w:rFonts w:ascii="Arial Narrow" w:hAnsi="Arial Narrow"/>
                <w:b/>
                <w:sz w:val="20"/>
              </w:rPr>
              <w:t>mg</w:t>
            </w:r>
          </w:p>
        </w:tc>
        <w:tc>
          <w:tcPr>
            <w:tcW w:w="1134"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Zoledronic acid 8</w:t>
            </w:r>
            <w:r w:rsidR="00E2799C" w:rsidRPr="008C7AEB">
              <w:rPr>
                <w:rFonts w:ascii="Arial Narrow" w:hAnsi="Arial Narrow"/>
                <w:b/>
                <w:sz w:val="20"/>
              </w:rPr>
              <w:t> </w:t>
            </w:r>
            <w:r w:rsidRPr="008C7AEB">
              <w:rPr>
                <w:rFonts w:ascii="Arial Narrow" w:hAnsi="Arial Narrow"/>
                <w:b/>
                <w:sz w:val="20"/>
              </w:rPr>
              <w:t>mg</w:t>
            </w:r>
          </w:p>
        </w:tc>
        <w:tc>
          <w:tcPr>
            <w:tcW w:w="1134"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Zoledronic acid 8</w:t>
            </w:r>
            <w:r w:rsidR="00E2799C" w:rsidRPr="008C7AEB">
              <w:rPr>
                <w:rFonts w:ascii="Arial Narrow" w:hAnsi="Arial Narrow"/>
                <w:b/>
                <w:sz w:val="20"/>
              </w:rPr>
              <w:t> </w:t>
            </w:r>
            <w:r w:rsidRPr="008C7AEB">
              <w:rPr>
                <w:rFonts w:ascii="Arial Narrow" w:hAnsi="Arial Narrow"/>
                <w:b/>
                <w:sz w:val="20"/>
              </w:rPr>
              <w:t>mg</w:t>
            </w:r>
          </w:p>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(refractory /relapsed)</w:t>
            </w:r>
          </w:p>
        </w:tc>
        <w:tc>
          <w:tcPr>
            <w:tcW w:w="1225" w:type="dxa"/>
            <w:vAlign w:val="center"/>
          </w:tcPr>
          <w:p w:rsidR="00163204" w:rsidRPr="008C7AEB" w:rsidRDefault="00163204" w:rsidP="00723DE8">
            <w:pPr>
              <w:keepNext/>
              <w:keepLines/>
              <w:jc w:val="center"/>
              <w:rPr>
                <w:rFonts w:ascii="Arial Narrow" w:hAnsi="Arial Narrow"/>
                <w:b/>
                <w:sz w:val="20"/>
              </w:rPr>
            </w:pPr>
            <w:r w:rsidRPr="008C7AEB">
              <w:rPr>
                <w:rFonts w:ascii="Arial Narrow" w:hAnsi="Arial Narrow"/>
                <w:b/>
                <w:sz w:val="20"/>
              </w:rPr>
              <w:t>Zoledronic acid 8</w:t>
            </w:r>
            <w:r w:rsidR="00E2799C" w:rsidRPr="008C7AEB">
              <w:rPr>
                <w:rFonts w:ascii="Arial Narrow" w:hAnsi="Arial Narrow"/>
                <w:b/>
                <w:sz w:val="20"/>
              </w:rPr>
              <w:t> </w:t>
            </w:r>
            <w:r w:rsidRPr="008C7AEB">
              <w:rPr>
                <w:rFonts w:ascii="Arial Narrow" w:hAnsi="Arial Narrow"/>
                <w:b/>
                <w:sz w:val="20"/>
              </w:rPr>
              <w:t>mg (refractory only)</w:t>
            </w:r>
          </w:p>
        </w:tc>
      </w:tr>
      <w:tr w:rsidR="00163204" w:rsidRPr="008C7AEB" w:rsidTr="00723DE8">
        <w:tc>
          <w:tcPr>
            <w:tcW w:w="2410" w:type="dxa"/>
            <w:vAlign w:val="center"/>
          </w:tcPr>
          <w:p w:rsidR="00163204" w:rsidRPr="008C7AEB" w:rsidRDefault="00163204" w:rsidP="00723DE8">
            <w:pPr>
              <w:keepNext/>
              <w:keepLines/>
              <w:jc w:val="left"/>
            </w:pPr>
            <w:r w:rsidRPr="008C7AEB">
              <w:rPr>
                <w:rFonts w:ascii="Arial Narrow" w:hAnsi="Arial Narrow"/>
                <w:sz w:val="20"/>
              </w:rPr>
              <w:t>Proportion of patients with a complete response (CSC ≤2.7</w:t>
            </w:r>
            <w:r w:rsidR="00E2799C" w:rsidRPr="008C7AEB">
              <w:rPr>
                <w:rFonts w:ascii="Arial Narrow" w:hAnsi="Arial Narrow"/>
                <w:sz w:val="20"/>
              </w:rPr>
              <w:t> </w:t>
            </w:r>
            <w:r w:rsidRPr="008C7AEB">
              <w:rPr>
                <w:rFonts w:ascii="Arial Narrow" w:hAnsi="Arial Narrow"/>
                <w:sz w:val="20"/>
              </w:rPr>
              <w:t>mmol/L) by day 10, n/N (%)</w:t>
            </w:r>
          </w:p>
        </w:tc>
        <w:tc>
          <w:tcPr>
            <w:tcW w:w="1276" w:type="dxa"/>
            <w:vAlign w:val="center"/>
          </w:tcPr>
          <w:p w:rsidR="009A0605" w:rsidRPr="008C7AEB" w:rsidRDefault="00163204" w:rsidP="009A0605">
            <w:pPr>
              <w:keepNext/>
              <w:keepLines/>
              <w:jc w:val="center"/>
              <w:rPr>
                <w:rFonts w:ascii="Arial Narrow" w:hAnsi="Arial Narrow"/>
                <w:sz w:val="20"/>
              </w:rPr>
            </w:pPr>
            <w:r w:rsidRPr="008C7AEB">
              <w:rPr>
                <w:rFonts w:ascii="Arial Narrow" w:hAnsi="Arial Narrow"/>
                <w:sz w:val="20"/>
              </w:rPr>
              <w:t>12/33 (36)</w:t>
            </w:r>
            <w:r w:rsidR="009A0605" w:rsidRPr="008C7AEB">
              <w:rPr>
                <w:rFonts w:ascii="Arial Narrow" w:hAnsi="Arial Narrow"/>
                <w:sz w:val="20"/>
              </w:rPr>
              <w:t xml:space="preserve"> </w:t>
            </w:r>
          </w:p>
          <w:p w:rsidR="009A0605" w:rsidRPr="008C7AEB" w:rsidRDefault="009A0605" w:rsidP="009A0605">
            <w:pPr>
              <w:keepNext/>
              <w:keepLines/>
              <w:jc w:val="center"/>
              <w:rPr>
                <w:rFonts w:ascii="Arial Narrow" w:hAnsi="Arial Narrow"/>
                <w:i/>
                <w:sz w:val="20"/>
              </w:rPr>
            </w:pPr>
            <w:r w:rsidRPr="008C7AEB">
              <w:rPr>
                <w:rFonts w:ascii="Arial Narrow" w:hAnsi="Arial Narrow"/>
                <w:i/>
                <w:sz w:val="20"/>
              </w:rPr>
              <w:t xml:space="preserve">95%CI </w:t>
            </w:r>
          </w:p>
          <w:p w:rsidR="00163204" w:rsidRPr="008C7AEB" w:rsidRDefault="009A0605" w:rsidP="009A0605">
            <w:pPr>
              <w:keepNext/>
              <w:keepLines/>
              <w:jc w:val="center"/>
              <w:rPr>
                <w:rFonts w:ascii="Arial Narrow" w:hAnsi="Arial Narrow"/>
                <w:sz w:val="20"/>
              </w:rPr>
            </w:pPr>
            <w:r w:rsidRPr="008C7AEB">
              <w:rPr>
                <w:rFonts w:ascii="Arial Narrow" w:hAnsi="Arial Narrow"/>
                <w:i/>
                <w:sz w:val="20"/>
              </w:rPr>
              <w:t>0.20-0.55</w:t>
            </w:r>
          </w:p>
        </w:tc>
        <w:tc>
          <w:tcPr>
            <w:tcW w:w="1134" w:type="dxa"/>
            <w:vAlign w:val="center"/>
          </w:tcPr>
          <w:p w:rsidR="00163204" w:rsidRPr="008C7AEB" w:rsidRDefault="00163204" w:rsidP="00723DE8">
            <w:pPr>
              <w:keepNext/>
              <w:keepLines/>
              <w:jc w:val="center"/>
              <w:rPr>
                <w:rFonts w:ascii="Arial Narrow" w:hAnsi="Arial Narrow"/>
                <w:sz w:val="20"/>
              </w:rPr>
            </w:pPr>
            <w:r w:rsidRPr="008C7AEB">
              <w:rPr>
                <w:rFonts w:ascii="Arial Narrow" w:hAnsi="Arial Narrow"/>
                <w:sz w:val="20"/>
              </w:rPr>
              <w:t>76/88 (86)</w:t>
            </w:r>
          </w:p>
        </w:tc>
        <w:tc>
          <w:tcPr>
            <w:tcW w:w="1134" w:type="dxa"/>
            <w:vAlign w:val="center"/>
          </w:tcPr>
          <w:p w:rsidR="00163204" w:rsidRPr="008C7AEB" w:rsidRDefault="00163204" w:rsidP="00723DE8">
            <w:pPr>
              <w:keepNext/>
              <w:keepLines/>
              <w:jc w:val="center"/>
              <w:rPr>
                <w:rFonts w:ascii="Arial Narrow" w:hAnsi="Arial Narrow"/>
                <w:sz w:val="20"/>
              </w:rPr>
            </w:pPr>
            <w:r w:rsidRPr="008C7AEB">
              <w:rPr>
                <w:rFonts w:ascii="Arial Narrow" w:hAnsi="Arial Narrow"/>
                <w:sz w:val="20"/>
              </w:rPr>
              <w:t>78/90 (87)</w:t>
            </w:r>
          </w:p>
        </w:tc>
        <w:tc>
          <w:tcPr>
            <w:tcW w:w="1134" w:type="dxa"/>
            <w:vAlign w:val="center"/>
          </w:tcPr>
          <w:p w:rsidR="009A0605" w:rsidRPr="008C7AEB" w:rsidRDefault="00163204" w:rsidP="009A0605">
            <w:pPr>
              <w:keepNext/>
              <w:keepLines/>
              <w:jc w:val="center"/>
              <w:rPr>
                <w:rFonts w:ascii="Arial Narrow" w:hAnsi="Arial Narrow"/>
                <w:sz w:val="20"/>
              </w:rPr>
            </w:pPr>
            <w:r w:rsidRPr="008C7AEB">
              <w:rPr>
                <w:rFonts w:ascii="Arial Narrow" w:hAnsi="Arial Narrow"/>
                <w:sz w:val="20"/>
              </w:rPr>
              <w:t>36/69 (52)</w:t>
            </w:r>
            <w:r w:rsidR="009A0605" w:rsidRPr="008C7AEB">
              <w:t xml:space="preserve"> </w:t>
            </w:r>
          </w:p>
          <w:p w:rsidR="009A0605" w:rsidRPr="008C7AEB" w:rsidRDefault="009A0605" w:rsidP="009A0605">
            <w:pPr>
              <w:keepNext/>
              <w:keepLines/>
              <w:jc w:val="center"/>
              <w:rPr>
                <w:rFonts w:ascii="Arial Narrow" w:hAnsi="Arial Narrow"/>
                <w:i/>
                <w:sz w:val="20"/>
              </w:rPr>
            </w:pPr>
            <w:r w:rsidRPr="008C7AEB">
              <w:rPr>
                <w:rFonts w:ascii="Arial Narrow" w:hAnsi="Arial Narrow"/>
                <w:i/>
                <w:sz w:val="20"/>
              </w:rPr>
              <w:t xml:space="preserve">95%CI  </w:t>
            </w:r>
          </w:p>
          <w:p w:rsidR="00163204" w:rsidRPr="008C7AEB" w:rsidRDefault="009A0605" w:rsidP="009A0605">
            <w:pPr>
              <w:keepNext/>
              <w:keepLines/>
              <w:jc w:val="center"/>
              <w:rPr>
                <w:rFonts w:ascii="Arial Narrow" w:hAnsi="Arial Narrow"/>
                <w:sz w:val="20"/>
              </w:rPr>
            </w:pPr>
            <w:r w:rsidRPr="008C7AEB">
              <w:rPr>
                <w:rFonts w:ascii="Arial Narrow" w:hAnsi="Arial Narrow"/>
                <w:i/>
                <w:sz w:val="20"/>
              </w:rPr>
              <w:t>0.40-0.64</w:t>
            </w:r>
          </w:p>
        </w:tc>
        <w:tc>
          <w:tcPr>
            <w:tcW w:w="1225" w:type="dxa"/>
            <w:vAlign w:val="center"/>
          </w:tcPr>
          <w:p w:rsidR="00163204" w:rsidRPr="008C7AEB" w:rsidRDefault="00163204" w:rsidP="00723DE8">
            <w:pPr>
              <w:keepNext/>
              <w:keepLines/>
              <w:jc w:val="center"/>
              <w:rPr>
                <w:rFonts w:ascii="Arial Narrow" w:hAnsi="Arial Narrow"/>
                <w:sz w:val="20"/>
              </w:rPr>
            </w:pPr>
          </w:p>
          <w:p w:rsidR="00163204" w:rsidRPr="008C7AEB" w:rsidRDefault="00163204" w:rsidP="00723DE8">
            <w:pPr>
              <w:keepNext/>
              <w:keepLines/>
              <w:jc w:val="center"/>
              <w:rPr>
                <w:rFonts w:ascii="Arial Narrow" w:hAnsi="Arial Narrow"/>
                <w:sz w:val="20"/>
              </w:rPr>
            </w:pPr>
            <w:r w:rsidRPr="008C7AEB">
              <w:rPr>
                <w:rFonts w:ascii="Arial Narrow" w:hAnsi="Arial Narrow"/>
                <w:sz w:val="20"/>
              </w:rPr>
              <w:t>NR</w:t>
            </w:r>
          </w:p>
          <w:p w:rsidR="00163204" w:rsidRPr="008C7AEB" w:rsidRDefault="00163204" w:rsidP="00723DE8">
            <w:pPr>
              <w:keepNext/>
              <w:keepLines/>
              <w:rPr>
                <w:rFonts w:ascii="Arial Narrow" w:hAnsi="Arial Narrow"/>
                <w:sz w:val="20"/>
              </w:rPr>
            </w:pPr>
          </w:p>
        </w:tc>
      </w:tr>
      <w:tr w:rsidR="00163204" w:rsidRPr="008C7AEB" w:rsidTr="00E02349">
        <w:tc>
          <w:tcPr>
            <w:tcW w:w="2410" w:type="dxa"/>
            <w:vAlign w:val="center"/>
          </w:tcPr>
          <w:p w:rsidR="00163204" w:rsidRPr="008C7AEB" w:rsidRDefault="00163204" w:rsidP="00723DE8">
            <w:pPr>
              <w:jc w:val="left"/>
              <w:rPr>
                <w:rFonts w:ascii="Arial Narrow" w:hAnsi="Arial Narrow"/>
                <w:sz w:val="20"/>
              </w:rPr>
            </w:pPr>
            <w:r w:rsidRPr="008C7AEB">
              <w:rPr>
                <w:rFonts w:ascii="Arial Narrow" w:hAnsi="Arial Narrow"/>
                <w:sz w:val="20"/>
              </w:rPr>
              <w:t>Proportion of patients with a complete response (CSC ≤2.7</w:t>
            </w:r>
            <w:r w:rsidR="00E2799C" w:rsidRPr="008C7AEB">
              <w:rPr>
                <w:rFonts w:ascii="Arial Narrow" w:hAnsi="Arial Narrow"/>
                <w:sz w:val="20"/>
              </w:rPr>
              <w:t> </w:t>
            </w:r>
            <w:r w:rsidRPr="008C7AEB">
              <w:rPr>
                <w:rFonts w:ascii="Arial Narrow" w:hAnsi="Arial Narrow"/>
                <w:sz w:val="20"/>
              </w:rPr>
              <w:t>mmol/L) over study duration, n/N (%)</w:t>
            </w:r>
          </w:p>
        </w:tc>
        <w:tc>
          <w:tcPr>
            <w:tcW w:w="1276" w:type="dxa"/>
            <w:shd w:val="clear" w:color="auto" w:fill="auto"/>
            <w:vAlign w:val="center"/>
          </w:tcPr>
          <w:p w:rsidR="009A0605" w:rsidRPr="008C7AEB" w:rsidRDefault="00163204" w:rsidP="009A0605">
            <w:pPr>
              <w:jc w:val="center"/>
              <w:rPr>
                <w:rFonts w:ascii="Arial Narrow" w:hAnsi="Arial Narrow"/>
                <w:sz w:val="20"/>
              </w:rPr>
            </w:pPr>
            <w:r w:rsidRPr="008C7AEB">
              <w:rPr>
                <w:rFonts w:ascii="Arial Narrow" w:hAnsi="Arial Narrow"/>
                <w:sz w:val="20"/>
              </w:rPr>
              <w:t>21/33 (64)</w:t>
            </w:r>
            <w:r w:rsidR="009A0605" w:rsidRPr="008C7AEB">
              <w:rPr>
                <w:rFonts w:ascii="Arial Narrow" w:hAnsi="Arial Narrow"/>
                <w:sz w:val="20"/>
              </w:rPr>
              <w:t xml:space="preserve"> </w:t>
            </w:r>
          </w:p>
          <w:p w:rsidR="009A0605" w:rsidRPr="008C7AEB" w:rsidRDefault="009A0605" w:rsidP="009A0605">
            <w:pPr>
              <w:jc w:val="center"/>
              <w:rPr>
                <w:rFonts w:ascii="Arial Narrow" w:hAnsi="Arial Narrow"/>
                <w:i/>
                <w:sz w:val="20"/>
              </w:rPr>
            </w:pPr>
            <w:r w:rsidRPr="008C7AEB">
              <w:rPr>
                <w:rFonts w:ascii="Arial Narrow" w:hAnsi="Arial Narrow"/>
                <w:i/>
                <w:sz w:val="20"/>
              </w:rPr>
              <w:t>95%CI</w:t>
            </w:r>
          </w:p>
          <w:p w:rsidR="00163204" w:rsidRPr="008C7AEB" w:rsidRDefault="009A0605" w:rsidP="009A0605">
            <w:pPr>
              <w:jc w:val="center"/>
              <w:rPr>
                <w:rFonts w:ascii="Arial Narrow" w:hAnsi="Arial Narrow"/>
                <w:sz w:val="20"/>
              </w:rPr>
            </w:pPr>
            <w:r w:rsidRPr="008C7AEB">
              <w:rPr>
                <w:rFonts w:ascii="Arial Narrow" w:hAnsi="Arial Narrow"/>
                <w:i/>
                <w:sz w:val="20"/>
              </w:rPr>
              <w:t>0.45-0.80</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225"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r>
      <w:tr w:rsidR="00163204" w:rsidRPr="008C7AEB" w:rsidTr="00E02349">
        <w:tc>
          <w:tcPr>
            <w:tcW w:w="2410" w:type="dxa"/>
            <w:vAlign w:val="center"/>
          </w:tcPr>
          <w:p w:rsidR="00163204" w:rsidRPr="008C7AEB" w:rsidRDefault="00163204" w:rsidP="00723DE8">
            <w:pPr>
              <w:jc w:val="left"/>
              <w:rPr>
                <w:rFonts w:ascii="Arial Narrow" w:hAnsi="Arial Narrow"/>
                <w:sz w:val="20"/>
              </w:rPr>
            </w:pPr>
            <w:r w:rsidRPr="008C7AEB">
              <w:rPr>
                <w:rFonts w:ascii="Arial Narrow" w:hAnsi="Arial Narrow"/>
                <w:sz w:val="20"/>
              </w:rPr>
              <w:t>Proportion of patients with any response (CSC ≤2.9</w:t>
            </w:r>
            <w:r w:rsidR="00E2799C" w:rsidRPr="008C7AEB">
              <w:rPr>
                <w:rFonts w:ascii="Arial Narrow" w:hAnsi="Arial Narrow"/>
                <w:sz w:val="20"/>
              </w:rPr>
              <w:t> </w:t>
            </w:r>
            <w:r w:rsidRPr="008C7AEB">
              <w:rPr>
                <w:rFonts w:ascii="Arial Narrow" w:hAnsi="Arial Narrow"/>
                <w:sz w:val="20"/>
              </w:rPr>
              <w:t>mmol/L), %</w:t>
            </w:r>
          </w:p>
        </w:tc>
        <w:tc>
          <w:tcPr>
            <w:tcW w:w="1276" w:type="dxa"/>
            <w:vAlign w:val="center"/>
          </w:tcPr>
          <w:p w:rsidR="009A0605" w:rsidRPr="008C7AEB" w:rsidRDefault="00163204" w:rsidP="009A0605">
            <w:pPr>
              <w:jc w:val="center"/>
              <w:rPr>
                <w:rFonts w:ascii="Arial Narrow" w:hAnsi="Arial Narrow"/>
                <w:sz w:val="20"/>
              </w:rPr>
            </w:pPr>
            <w:r w:rsidRPr="008C7AEB">
              <w:rPr>
                <w:rFonts w:ascii="Arial Narrow" w:hAnsi="Arial Narrow"/>
                <w:sz w:val="20"/>
              </w:rPr>
              <w:t>70</w:t>
            </w:r>
          </w:p>
          <w:p w:rsidR="009A0605" w:rsidRPr="008C7AEB" w:rsidRDefault="009A0605" w:rsidP="009A0605">
            <w:pPr>
              <w:jc w:val="center"/>
              <w:rPr>
                <w:rFonts w:ascii="Arial Narrow" w:hAnsi="Arial Narrow"/>
                <w:i/>
                <w:sz w:val="20"/>
              </w:rPr>
            </w:pPr>
            <w:r w:rsidRPr="008C7AEB">
              <w:rPr>
                <w:rFonts w:ascii="Arial Narrow" w:hAnsi="Arial Narrow"/>
                <w:i/>
                <w:sz w:val="20"/>
              </w:rPr>
              <w:t>95% CI</w:t>
            </w:r>
          </w:p>
          <w:p w:rsidR="009A0605" w:rsidRPr="008C7AEB" w:rsidRDefault="009A0605" w:rsidP="009A0605">
            <w:pPr>
              <w:jc w:val="center"/>
              <w:rPr>
                <w:rFonts w:ascii="Arial Narrow" w:hAnsi="Arial Narrow"/>
                <w:i/>
                <w:sz w:val="20"/>
              </w:rPr>
            </w:pPr>
            <w:r w:rsidRPr="008C7AEB">
              <w:rPr>
                <w:rFonts w:ascii="Arial Narrow" w:hAnsi="Arial Narrow"/>
                <w:i/>
                <w:sz w:val="20"/>
              </w:rPr>
              <w:t>0.51-0.84</w:t>
            </w:r>
          </w:p>
          <w:p w:rsidR="00163204" w:rsidRPr="008C7AEB" w:rsidRDefault="00163204" w:rsidP="00723DE8">
            <w:pPr>
              <w:jc w:val="center"/>
              <w:rPr>
                <w:rFonts w:ascii="Arial Narrow" w:hAnsi="Arial Narrow"/>
                <w:sz w:val="20"/>
              </w:rPr>
            </w:pPr>
          </w:p>
          <w:p w:rsidR="00163204" w:rsidRPr="008C7AEB" w:rsidRDefault="00163204" w:rsidP="00723DE8">
            <w:pPr>
              <w:jc w:val="center"/>
              <w:rPr>
                <w:rFonts w:ascii="Arial Narrow" w:hAnsi="Arial Narrow"/>
                <w:sz w:val="20"/>
              </w:rPr>
            </w:pPr>
            <w:r w:rsidRPr="008C7AEB">
              <w:rPr>
                <w:rFonts w:ascii="Arial Narrow" w:hAnsi="Arial Narrow"/>
                <w:sz w:val="20"/>
              </w:rPr>
              <w:t>(max follow-up 57 days)</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225" w:type="dxa"/>
            <w:shd w:val="clear" w:color="auto" w:fill="auto"/>
            <w:vAlign w:val="center"/>
          </w:tcPr>
          <w:p w:rsidR="009A0605" w:rsidRPr="008C7AEB" w:rsidRDefault="00163204" w:rsidP="009A0605">
            <w:pPr>
              <w:jc w:val="center"/>
              <w:rPr>
                <w:rFonts w:ascii="Arial Narrow" w:hAnsi="Arial Narrow"/>
                <w:sz w:val="20"/>
              </w:rPr>
            </w:pPr>
            <w:r w:rsidRPr="008C7AEB">
              <w:rPr>
                <w:rFonts w:ascii="Arial Narrow" w:hAnsi="Arial Narrow"/>
                <w:sz w:val="20"/>
              </w:rPr>
              <w:t xml:space="preserve">23 </w:t>
            </w:r>
          </w:p>
          <w:p w:rsidR="009A0605" w:rsidRPr="008C7AEB" w:rsidRDefault="009A0605" w:rsidP="009A0605">
            <w:pPr>
              <w:jc w:val="center"/>
              <w:rPr>
                <w:rFonts w:ascii="Arial Narrow" w:hAnsi="Arial Narrow"/>
                <w:i/>
                <w:sz w:val="20"/>
              </w:rPr>
            </w:pPr>
            <w:r w:rsidRPr="008C7AEB">
              <w:rPr>
                <w:rFonts w:ascii="Arial Narrow" w:hAnsi="Arial Narrow"/>
                <w:i/>
                <w:sz w:val="20"/>
              </w:rPr>
              <w:t>If 5/22 then</w:t>
            </w:r>
          </w:p>
          <w:p w:rsidR="009A0605" w:rsidRPr="008C7AEB" w:rsidRDefault="009A0605" w:rsidP="009A0605">
            <w:pPr>
              <w:jc w:val="center"/>
              <w:rPr>
                <w:rFonts w:ascii="Arial Narrow" w:hAnsi="Arial Narrow"/>
                <w:i/>
                <w:sz w:val="20"/>
              </w:rPr>
            </w:pPr>
            <w:r w:rsidRPr="008C7AEB">
              <w:rPr>
                <w:rFonts w:ascii="Arial Narrow" w:hAnsi="Arial Narrow"/>
                <w:i/>
                <w:sz w:val="20"/>
              </w:rPr>
              <w:t>95%CI 0.08-0.45</w:t>
            </w:r>
          </w:p>
          <w:p w:rsidR="00163204" w:rsidRPr="008C7AEB" w:rsidRDefault="00163204" w:rsidP="00723DE8">
            <w:pPr>
              <w:jc w:val="center"/>
              <w:rPr>
                <w:rFonts w:ascii="Arial Narrow" w:hAnsi="Arial Narrow"/>
                <w:sz w:val="20"/>
              </w:rPr>
            </w:pPr>
          </w:p>
          <w:p w:rsidR="00163204" w:rsidRPr="008C7AEB" w:rsidRDefault="00163204" w:rsidP="00723DE8">
            <w:pPr>
              <w:jc w:val="center"/>
              <w:rPr>
                <w:rFonts w:ascii="Arial Narrow" w:hAnsi="Arial Narrow"/>
                <w:sz w:val="20"/>
              </w:rPr>
            </w:pPr>
            <w:r w:rsidRPr="008C7AEB">
              <w:rPr>
                <w:rFonts w:ascii="Arial Narrow" w:hAnsi="Arial Narrow"/>
                <w:sz w:val="20"/>
              </w:rPr>
              <w:t>(max follow-up 28 days)</w:t>
            </w:r>
          </w:p>
        </w:tc>
      </w:tr>
      <w:tr w:rsidR="00163204" w:rsidRPr="008C7AEB" w:rsidTr="00E02349">
        <w:trPr>
          <w:trHeight w:val="50"/>
        </w:trPr>
        <w:tc>
          <w:tcPr>
            <w:tcW w:w="2410" w:type="dxa"/>
            <w:tcBorders>
              <w:bottom w:val="single" w:sz="4" w:space="0" w:color="auto"/>
            </w:tcBorders>
            <w:vAlign w:val="center"/>
          </w:tcPr>
          <w:p w:rsidR="00163204" w:rsidRPr="008C7AEB" w:rsidRDefault="00163204" w:rsidP="00723DE8">
            <w:pPr>
              <w:jc w:val="left"/>
            </w:pPr>
            <w:r w:rsidRPr="008C7AEB">
              <w:rPr>
                <w:rFonts w:ascii="Arial Narrow" w:hAnsi="Arial Narrow"/>
                <w:sz w:val="20"/>
              </w:rPr>
              <w:t>Duration of complete response, median, days</w:t>
            </w:r>
          </w:p>
        </w:tc>
        <w:tc>
          <w:tcPr>
            <w:tcW w:w="1276" w:type="dxa"/>
            <w:tcBorders>
              <w:bottom w:val="single" w:sz="4" w:space="0" w:color="auto"/>
            </w:tcBorders>
            <w:vAlign w:val="center"/>
          </w:tcPr>
          <w:p w:rsidR="00163204" w:rsidRPr="008C7AEB" w:rsidRDefault="00163204" w:rsidP="00723DE8">
            <w:pPr>
              <w:jc w:val="center"/>
              <w:rPr>
                <w:rFonts w:ascii="Arial Narrow" w:hAnsi="Arial Narrow"/>
                <w:sz w:val="20"/>
                <w:vertAlign w:val="superscript"/>
              </w:rPr>
            </w:pPr>
            <w:r w:rsidRPr="008C7AEB">
              <w:rPr>
                <w:rFonts w:ascii="Arial Narrow" w:hAnsi="Arial Narrow"/>
                <w:sz w:val="20"/>
              </w:rPr>
              <w:t>11.5</w:t>
            </w:r>
            <w:r w:rsidRPr="008C7AEB">
              <w:rPr>
                <w:rFonts w:ascii="Arial Narrow" w:hAnsi="Arial Narrow"/>
                <w:sz w:val="20"/>
                <w:vertAlign w:val="superscript"/>
              </w:rPr>
              <w:t>a</w:t>
            </w:r>
          </w:p>
          <w:p w:rsidR="00163204" w:rsidRPr="008C7AEB" w:rsidRDefault="00163204" w:rsidP="00723DE8">
            <w:pPr>
              <w:jc w:val="center"/>
              <w:rPr>
                <w:rFonts w:ascii="Arial Narrow" w:hAnsi="Arial Narrow"/>
                <w:sz w:val="20"/>
              </w:rPr>
            </w:pPr>
            <w:r w:rsidRPr="008C7AEB">
              <w:rPr>
                <w:rFonts w:ascii="Arial Narrow" w:hAnsi="Arial Narrow"/>
                <w:sz w:val="20"/>
              </w:rPr>
              <w:t>(max follow-up 57 days)</w:t>
            </w:r>
          </w:p>
        </w:tc>
        <w:tc>
          <w:tcPr>
            <w:tcW w:w="1134" w:type="dxa"/>
            <w:tcBorders>
              <w:bottom w:val="single" w:sz="4" w:space="0" w:color="auto"/>
            </w:tcBorders>
            <w:vAlign w:val="center"/>
          </w:tcPr>
          <w:p w:rsidR="00163204" w:rsidRPr="008C7AEB" w:rsidRDefault="00163204" w:rsidP="00723DE8">
            <w:pPr>
              <w:jc w:val="center"/>
              <w:rPr>
                <w:rFonts w:ascii="Arial Narrow" w:hAnsi="Arial Narrow"/>
                <w:sz w:val="20"/>
              </w:rPr>
            </w:pPr>
            <w:r w:rsidRPr="008C7AEB">
              <w:rPr>
                <w:rFonts w:ascii="Arial Narrow" w:hAnsi="Arial Narrow"/>
                <w:sz w:val="20"/>
              </w:rPr>
              <w:t xml:space="preserve">32.0 </w:t>
            </w:r>
          </w:p>
          <w:p w:rsidR="00163204" w:rsidRPr="008C7AEB" w:rsidRDefault="00163204" w:rsidP="00723DE8">
            <w:pPr>
              <w:jc w:val="center"/>
              <w:rPr>
                <w:rFonts w:ascii="Arial Narrow" w:hAnsi="Arial Narrow"/>
                <w:sz w:val="20"/>
              </w:rPr>
            </w:pPr>
            <w:r w:rsidRPr="008C7AEB">
              <w:rPr>
                <w:rFonts w:ascii="Arial Narrow" w:hAnsi="Arial Narrow"/>
                <w:sz w:val="20"/>
              </w:rPr>
              <w:t>(max follow- up 56 days)</w:t>
            </w:r>
            <w:r w:rsidRPr="008C7AEB">
              <w:rPr>
                <w:rFonts w:ascii="Arial Narrow" w:hAnsi="Arial Narrow"/>
                <w:sz w:val="20"/>
                <w:vertAlign w:val="superscript"/>
              </w:rPr>
              <w:t>b</w:t>
            </w:r>
          </w:p>
        </w:tc>
        <w:tc>
          <w:tcPr>
            <w:tcW w:w="1134" w:type="dxa"/>
            <w:tcBorders>
              <w:bottom w:val="single" w:sz="4" w:space="0" w:color="auto"/>
            </w:tcBorders>
            <w:vAlign w:val="center"/>
          </w:tcPr>
          <w:p w:rsidR="00163204" w:rsidRPr="008C7AEB" w:rsidRDefault="00163204" w:rsidP="00723DE8">
            <w:pPr>
              <w:jc w:val="center"/>
              <w:rPr>
                <w:rFonts w:ascii="Arial Narrow" w:hAnsi="Arial Narrow"/>
                <w:sz w:val="20"/>
              </w:rPr>
            </w:pPr>
            <w:r w:rsidRPr="008C7AEB">
              <w:rPr>
                <w:rFonts w:ascii="Arial Narrow" w:hAnsi="Arial Narrow"/>
                <w:sz w:val="20"/>
              </w:rPr>
              <w:t xml:space="preserve">43.0 </w:t>
            </w:r>
          </w:p>
          <w:p w:rsidR="00163204" w:rsidRPr="008C7AEB" w:rsidRDefault="00163204" w:rsidP="00723DE8">
            <w:pPr>
              <w:jc w:val="center"/>
              <w:rPr>
                <w:rFonts w:ascii="Arial Narrow" w:hAnsi="Arial Narrow"/>
                <w:sz w:val="20"/>
              </w:rPr>
            </w:pPr>
            <w:r w:rsidRPr="008C7AEB">
              <w:rPr>
                <w:rFonts w:ascii="Arial Narrow" w:hAnsi="Arial Narrow"/>
                <w:sz w:val="20"/>
              </w:rPr>
              <w:t>(max follow- up 56 days)</w:t>
            </w:r>
            <w:r w:rsidRPr="008C7AEB">
              <w:rPr>
                <w:rFonts w:ascii="Arial Narrow" w:hAnsi="Arial Narrow"/>
                <w:sz w:val="20"/>
                <w:vertAlign w:val="superscript"/>
              </w:rPr>
              <w:t>b</w:t>
            </w:r>
          </w:p>
        </w:tc>
        <w:tc>
          <w:tcPr>
            <w:tcW w:w="1134" w:type="dxa"/>
            <w:tcBorders>
              <w:bottom w:val="single" w:sz="4" w:space="0" w:color="auto"/>
            </w:tcBorders>
            <w:shd w:val="clear" w:color="auto" w:fill="auto"/>
            <w:vAlign w:val="center"/>
          </w:tcPr>
          <w:p w:rsidR="00163204" w:rsidRPr="008C7AEB" w:rsidRDefault="00163204" w:rsidP="00723DE8">
            <w:pPr>
              <w:jc w:val="center"/>
              <w:rPr>
                <w:rFonts w:ascii="Arial Narrow" w:hAnsi="Arial Narrow"/>
                <w:sz w:val="20"/>
              </w:rPr>
            </w:pPr>
            <w:r w:rsidRPr="008C7AEB">
              <w:rPr>
                <w:rFonts w:ascii="Arial Narrow" w:hAnsi="Arial Narrow"/>
                <w:sz w:val="20"/>
              </w:rPr>
              <w:t>10.5</w:t>
            </w:r>
          </w:p>
          <w:p w:rsidR="00163204" w:rsidRPr="008C7AEB" w:rsidRDefault="00163204" w:rsidP="00723DE8">
            <w:pPr>
              <w:jc w:val="center"/>
              <w:rPr>
                <w:rFonts w:ascii="Arial Narrow" w:hAnsi="Arial Narrow"/>
                <w:sz w:val="20"/>
              </w:rPr>
            </w:pPr>
            <w:r w:rsidRPr="008C7AEB">
              <w:rPr>
                <w:rFonts w:ascii="Arial Narrow" w:hAnsi="Arial Narrow"/>
                <w:sz w:val="20"/>
              </w:rPr>
              <w:t>(max follow-up 28 days)</w:t>
            </w:r>
          </w:p>
        </w:tc>
        <w:tc>
          <w:tcPr>
            <w:tcW w:w="1225" w:type="dxa"/>
            <w:tcBorders>
              <w:bottom w:val="single" w:sz="4" w:space="0" w:color="auto"/>
            </w:tcBorders>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r>
      <w:tr w:rsidR="00163204" w:rsidRPr="008C7AEB" w:rsidTr="00E02349">
        <w:tc>
          <w:tcPr>
            <w:tcW w:w="2410" w:type="dxa"/>
            <w:vAlign w:val="center"/>
          </w:tcPr>
          <w:p w:rsidR="00163204" w:rsidRPr="008C7AEB" w:rsidRDefault="00163204" w:rsidP="00723DE8">
            <w:pPr>
              <w:jc w:val="left"/>
              <w:rPr>
                <w:rFonts w:ascii="Arial Narrow" w:hAnsi="Arial Narrow"/>
                <w:sz w:val="20"/>
              </w:rPr>
            </w:pPr>
            <w:r w:rsidRPr="008C7AEB">
              <w:rPr>
                <w:rFonts w:ascii="Arial Narrow" w:hAnsi="Arial Narrow"/>
                <w:sz w:val="20"/>
              </w:rPr>
              <w:t>Duration of complete response, mean, days</w:t>
            </w:r>
          </w:p>
        </w:tc>
        <w:tc>
          <w:tcPr>
            <w:tcW w:w="1276" w:type="dxa"/>
            <w:shd w:val="clear" w:color="auto" w:fill="auto"/>
            <w:vAlign w:val="center"/>
          </w:tcPr>
          <w:p w:rsidR="00163204" w:rsidRPr="008C7AEB" w:rsidRDefault="00163204" w:rsidP="00723DE8">
            <w:pPr>
              <w:jc w:val="center"/>
              <w:rPr>
                <w:rFonts w:ascii="Arial Narrow" w:hAnsi="Arial Narrow"/>
                <w:sz w:val="20"/>
              </w:rPr>
            </w:pPr>
            <w:r w:rsidRPr="008C7AEB">
              <w:rPr>
                <w:rFonts w:ascii="Arial Narrow" w:hAnsi="Arial Narrow"/>
                <w:sz w:val="20"/>
              </w:rPr>
              <w:t xml:space="preserve">50.6 </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134"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c>
          <w:tcPr>
            <w:tcW w:w="1225" w:type="dxa"/>
            <w:vAlign w:val="center"/>
          </w:tcPr>
          <w:p w:rsidR="00163204" w:rsidRPr="008C7AEB" w:rsidRDefault="00163204" w:rsidP="00723DE8">
            <w:pPr>
              <w:jc w:val="center"/>
              <w:rPr>
                <w:rFonts w:ascii="Arial Narrow" w:hAnsi="Arial Narrow"/>
                <w:sz w:val="20"/>
              </w:rPr>
            </w:pPr>
            <w:r w:rsidRPr="008C7AEB">
              <w:rPr>
                <w:rFonts w:ascii="Arial Narrow" w:hAnsi="Arial Narrow"/>
                <w:sz w:val="20"/>
              </w:rPr>
              <w:t>NR</w:t>
            </w:r>
          </w:p>
        </w:tc>
      </w:tr>
    </w:tbl>
    <w:p w:rsidR="00163204" w:rsidRPr="008C7AEB" w:rsidRDefault="00163204" w:rsidP="00163204">
      <w:pPr>
        <w:pStyle w:val="TableFooter"/>
        <w:ind w:firstLine="720"/>
      </w:pPr>
      <w:r w:rsidRPr="008C7AEB">
        <w:t>Source: Study 315 clinical study report (pp74, 75, 76, 163), Major 2001 and Major and Coleman 2001 publications</w:t>
      </w:r>
    </w:p>
    <w:p w:rsidR="00163204" w:rsidRPr="008C7AEB" w:rsidRDefault="00163204" w:rsidP="00163204">
      <w:pPr>
        <w:pStyle w:val="TableFooter"/>
        <w:ind w:firstLine="720"/>
      </w:pPr>
      <w:r w:rsidRPr="008C7AEB">
        <w:t xml:space="preserve">Abbreviations: CSC=corrected serum calcium; NR=not reported </w:t>
      </w:r>
    </w:p>
    <w:p w:rsidR="00163204" w:rsidRPr="008C7AEB" w:rsidRDefault="00163204" w:rsidP="00163204">
      <w:pPr>
        <w:pStyle w:val="TableFooter"/>
        <w:ind w:left="720"/>
      </w:pPr>
      <w:r w:rsidRPr="008C7AEB">
        <w:rPr>
          <w:vertAlign w:val="superscript"/>
        </w:rPr>
        <w:t>a</w:t>
      </w:r>
      <w:r w:rsidRPr="008C7AEB">
        <w:t>Median from summary statistics Table 14-4.6.2 (p163), Study 315 clinical study report</w:t>
      </w:r>
    </w:p>
    <w:p w:rsidR="00163204" w:rsidRPr="008C7AEB" w:rsidRDefault="00163204" w:rsidP="00163204">
      <w:pPr>
        <w:pStyle w:val="TableFooter"/>
        <w:ind w:left="720"/>
      </w:pPr>
      <w:r w:rsidRPr="008C7AEB">
        <w:rPr>
          <w:vertAlign w:val="superscript"/>
        </w:rPr>
        <w:t>b</w:t>
      </w:r>
      <w:r w:rsidRPr="008C7AEB">
        <w:t xml:space="preserve">During 56 day follow-up, patients who relapsed or were refractory entered the retreatment phase. Patients were retreated with zoledronic acid 8mg and followed-up for 28 days. </w:t>
      </w:r>
    </w:p>
    <w:p w:rsidR="00163204" w:rsidRPr="008C7AEB" w:rsidRDefault="00163204" w:rsidP="00163204">
      <w:pPr>
        <w:pStyle w:val="TableFooter"/>
        <w:ind w:firstLine="720"/>
      </w:pPr>
      <w:r w:rsidRPr="008C7AEB">
        <w:t>Note: Shaded values were used in the economic evaluation</w:t>
      </w:r>
      <w:r w:rsidR="009A0605" w:rsidRPr="008C7AEB">
        <w:t xml:space="preserve">, </w:t>
      </w:r>
      <w:r w:rsidR="009A0605" w:rsidRPr="008C7AEB">
        <w:rPr>
          <w:i/>
        </w:rPr>
        <w:t>95% CI c</w:t>
      </w:r>
      <w:r w:rsidR="00B14DA5" w:rsidRPr="008C7AEB">
        <w:rPr>
          <w:i/>
        </w:rPr>
        <w:t>alculated</w:t>
      </w:r>
      <w:r w:rsidR="009A0605" w:rsidRPr="008C7AEB">
        <w:rPr>
          <w:i/>
        </w:rPr>
        <w:t xml:space="preserve"> during evaluation</w:t>
      </w:r>
      <w:r w:rsidR="009A0605" w:rsidRPr="008C7AEB">
        <w:t>.</w:t>
      </w:r>
    </w:p>
    <w:p w:rsidR="00163204" w:rsidRPr="008C7AEB" w:rsidRDefault="00163204" w:rsidP="00163204">
      <w:pPr>
        <w:pStyle w:val="TableFooter"/>
        <w:rPr>
          <w:rFonts w:ascii="Arial" w:hAnsi="Arial"/>
          <w:sz w:val="22"/>
        </w:rPr>
      </w:pPr>
    </w:p>
    <w:p w:rsidR="00163204" w:rsidRPr="008C7AEB" w:rsidRDefault="00163204" w:rsidP="00163204">
      <w:pPr>
        <w:pStyle w:val="ListParagraph"/>
        <w:widowControl/>
        <w:numPr>
          <w:ilvl w:val="1"/>
          <w:numId w:val="6"/>
        </w:numPr>
        <w:rPr>
          <w:szCs w:val="22"/>
        </w:rPr>
      </w:pPr>
      <w:r w:rsidRPr="008C7AEB">
        <w:rPr>
          <w:szCs w:val="22"/>
        </w:rPr>
        <w:t xml:space="preserve">The submission claimed higher response rates with denosumab compared to zoledronic acid in </w:t>
      </w:r>
      <w:r w:rsidR="009879D1" w:rsidRPr="008C7AEB">
        <w:rPr>
          <w:szCs w:val="22"/>
        </w:rPr>
        <w:t>patients</w:t>
      </w:r>
      <w:r w:rsidRPr="008C7AEB">
        <w:rPr>
          <w:szCs w:val="22"/>
        </w:rPr>
        <w:t xml:space="preserve"> refractory to bisphosphonate treatment. Although a higher proportion of refractory/relapsing patients treated with denosumab achieved any response at any time (70%) compared with refractory patients treated with zoledronic acid 8mg (23%), there were higher complete response rates in patients receiving zoledronic acid compared with denosumab. The median durations of response for denosumab and zoledronic acid 8mg (retreatment) were similar.</w:t>
      </w:r>
    </w:p>
    <w:p w:rsidR="00483330" w:rsidRPr="008C7AEB" w:rsidRDefault="00483330" w:rsidP="00483330">
      <w:pPr>
        <w:pStyle w:val="ListParagraph"/>
        <w:widowControl/>
        <w:rPr>
          <w:szCs w:val="22"/>
        </w:rPr>
      </w:pPr>
    </w:p>
    <w:p w:rsidR="00546FD3" w:rsidRPr="008C7AEB" w:rsidRDefault="00483330" w:rsidP="00546FD3">
      <w:pPr>
        <w:pStyle w:val="ListParagraph"/>
        <w:widowControl/>
        <w:numPr>
          <w:ilvl w:val="1"/>
          <w:numId w:val="6"/>
        </w:numPr>
        <w:spacing w:line="276" w:lineRule="auto"/>
      </w:pPr>
      <w:r w:rsidRPr="008C7AEB">
        <w:rPr>
          <w:szCs w:val="22"/>
        </w:rPr>
        <w:t xml:space="preserve">The </w:t>
      </w:r>
      <w:r w:rsidR="00254ED4" w:rsidRPr="008C7AEB">
        <w:rPr>
          <w:szCs w:val="22"/>
        </w:rPr>
        <w:t>total</w:t>
      </w:r>
      <w:r w:rsidRPr="008C7AEB">
        <w:rPr>
          <w:szCs w:val="22"/>
        </w:rPr>
        <w:t xml:space="preserve"> population from Major/Major-Coleman (N=287), </w:t>
      </w:r>
      <w:r w:rsidR="00C84916" w:rsidRPr="008C7AEB">
        <w:rPr>
          <w:szCs w:val="22"/>
        </w:rPr>
        <w:t>was</w:t>
      </w:r>
      <w:r w:rsidRPr="008C7AEB">
        <w:rPr>
          <w:szCs w:val="22"/>
        </w:rPr>
        <w:t xml:space="preserve"> bisphosphonate naïve and </w:t>
      </w:r>
      <w:r w:rsidR="00C84916" w:rsidRPr="008C7AEB">
        <w:rPr>
          <w:szCs w:val="22"/>
        </w:rPr>
        <w:t xml:space="preserve">therefore </w:t>
      </w:r>
      <w:r w:rsidRPr="008C7AEB">
        <w:rPr>
          <w:szCs w:val="22"/>
        </w:rPr>
        <w:t xml:space="preserve">not </w:t>
      </w:r>
      <w:r w:rsidR="00C84916" w:rsidRPr="008C7AEB">
        <w:rPr>
          <w:szCs w:val="22"/>
        </w:rPr>
        <w:t>representative of the requested PBS population (patients refractory to IV bisphosphonates).</w:t>
      </w:r>
      <w:r w:rsidRPr="008C7AEB">
        <w:rPr>
          <w:szCs w:val="22"/>
        </w:rPr>
        <w:t xml:space="preserve"> A subgroup from the Major/Major-Coleman study was re-treated in a second round of therapy (N=69), and this may be considered similar to the Study 315 population. This group included both refractory and relapsed patients. </w:t>
      </w:r>
      <w:r w:rsidR="008C7AEB" w:rsidRPr="008C7AEB">
        <w:rPr>
          <w:szCs w:val="22"/>
        </w:rPr>
        <w:t>Nonetheless,</w:t>
      </w:r>
      <w:r w:rsidRPr="008C7AEB">
        <w:rPr>
          <w:szCs w:val="22"/>
        </w:rPr>
        <w:t xml:space="preserve"> </w:t>
      </w:r>
      <w:r w:rsidR="00B14DA5" w:rsidRPr="008C7AEB">
        <w:rPr>
          <w:szCs w:val="22"/>
        </w:rPr>
        <w:t>there is</w:t>
      </w:r>
      <w:r w:rsidRPr="008C7AEB">
        <w:rPr>
          <w:szCs w:val="22"/>
        </w:rPr>
        <w:t xml:space="preserve"> outcome data for this </w:t>
      </w:r>
      <w:r w:rsidR="008C7AEB" w:rsidRPr="008C7AEB">
        <w:rPr>
          <w:szCs w:val="22"/>
        </w:rPr>
        <w:t>group that</w:t>
      </w:r>
      <w:r w:rsidRPr="008C7AEB">
        <w:rPr>
          <w:szCs w:val="22"/>
        </w:rPr>
        <w:t xml:space="preserve"> </w:t>
      </w:r>
      <w:r w:rsidR="00793E1C" w:rsidRPr="008C7AEB">
        <w:rPr>
          <w:szCs w:val="22"/>
        </w:rPr>
        <w:t xml:space="preserve">were </w:t>
      </w:r>
      <w:r w:rsidRPr="008C7AEB">
        <w:rPr>
          <w:szCs w:val="22"/>
        </w:rPr>
        <w:t>compatible with Study 315 (complete response at day 10 and duration of complete response).</w:t>
      </w:r>
    </w:p>
    <w:p w:rsidR="00546FD3" w:rsidRPr="008C7AEB" w:rsidRDefault="00546FD3" w:rsidP="00546FD3">
      <w:pPr>
        <w:pStyle w:val="ListParagraph"/>
        <w:widowControl/>
        <w:spacing w:line="276" w:lineRule="auto"/>
      </w:pPr>
    </w:p>
    <w:p w:rsidR="00546FD3" w:rsidRPr="00B54755" w:rsidRDefault="00546FD3" w:rsidP="00546FD3">
      <w:pPr>
        <w:pStyle w:val="ListParagraph"/>
        <w:widowControl/>
        <w:numPr>
          <w:ilvl w:val="1"/>
          <w:numId w:val="6"/>
        </w:numPr>
        <w:spacing w:line="276" w:lineRule="auto"/>
      </w:pPr>
      <w:r w:rsidRPr="008C7AEB">
        <w:rPr>
          <w:szCs w:val="22"/>
        </w:rPr>
        <w:t xml:space="preserve">The submission (p 19) incorrectly assumes a sub-population of the re-treated population of Major </w:t>
      </w:r>
      <w:r w:rsidRPr="008C7AEB">
        <w:rPr>
          <w:i/>
          <w:szCs w:val="22"/>
        </w:rPr>
        <w:t>et al</w:t>
      </w:r>
      <w:r w:rsidRPr="008C7AEB">
        <w:rPr>
          <w:szCs w:val="22"/>
        </w:rPr>
        <w:t xml:space="preserve"> (2001) is a homogeneous refractory population: “In Major </w:t>
      </w:r>
      <w:r w:rsidRPr="008C7AEB">
        <w:rPr>
          <w:i/>
          <w:szCs w:val="22"/>
        </w:rPr>
        <w:t xml:space="preserve">et </w:t>
      </w:r>
      <w:r w:rsidRPr="008C7AEB">
        <w:rPr>
          <w:i/>
          <w:szCs w:val="22"/>
        </w:rPr>
        <w:lastRenderedPageBreak/>
        <w:t>al</w:t>
      </w:r>
      <w:r w:rsidRPr="008C7AEB">
        <w:rPr>
          <w:szCs w:val="22"/>
        </w:rPr>
        <w:t xml:space="preserve">, 69 patients who were refractory to or relapsed after one dose of zoledronic acid or pamidronate, the complete response rate to retreatment with zoledronic acid 8 mg was 52% (Major </w:t>
      </w:r>
      <w:r w:rsidRPr="008C7AEB">
        <w:rPr>
          <w:i/>
          <w:szCs w:val="22"/>
        </w:rPr>
        <w:t>et al</w:t>
      </w:r>
      <w:r w:rsidRPr="008C7AEB">
        <w:rPr>
          <w:szCs w:val="22"/>
        </w:rPr>
        <w:t xml:space="preserve">, page 562).  The median duration of response was 10.5 days (Major </w:t>
      </w:r>
      <w:r w:rsidRPr="008C7AEB">
        <w:rPr>
          <w:i/>
          <w:szCs w:val="22"/>
        </w:rPr>
        <w:t>et al</w:t>
      </w:r>
      <w:r w:rsidRPr="008C7AEB">
        <w:rPr>
          <w:szCs w:val="22"/>
        </w:rPr>
        <w:t xml:space="preserve">, page 562).  In the subgroup of 22 refractory patients, the response rate was 23% (Major and Coleman, page 21).  The duration of response in the refractory subgroup </w:t>
      </w:r>
      <w:r w:rsidR="00D66D68" w:rsidRPr="008C7AEB">
        <w:rPr>
          <w:szCs w:val="22"/>
        </w:rPr>
        <w:t>wa</w:t>
      </w:r>
      <w:r w:rsidRPr="008C7AEB">
        <w:rPr>
          <w:szCs w:val="22"/>
        </w:rPr>
        <w:t xml:space="preserve">s not reported.”  However (Major and Coleman, p 21) defines the </w:t>
      </w:r>
      <w:r w:rsidR="008C7AEB" w:rsidRPr="008C7AEB">
        <w:rPr>
          <w:szCs w:val="22"/>
        </w:rPr>
        <w:t>refractory</w:t>
      </w:r>
      <w:r w:rsidRPr="008C7AEB">
        <w:rPr>
          <w:szCs w:val="22"/>
        </w:rPr>
        <w:t xml:space="preserve"> </w:t>
      </w:r>
      <w:r w:rsidR="00254ED4" w:rsidRPr="008C7AEB">
        <w:rPr>
          <w:szCs w:val="22"/>
        </w:rPr>
        <w:t>patients</w:t>
      </w:r>
      <w:r w:rsidRPr="008C7AEB">
        <w:rPr>
          <w:szCs w:val="22"/>
        </w:rPr>
        <w:t xml:space="preserve"> as “Retreatment was successful in normalizing CSC in more than half (52.2%) of these patients. While the majority (68%) of the 69 retreated patients had experienced a CR after initial treatment with zoledronic acid or pamidronate, 22 </w:t>
      </w:r>
      <w:r w:rsidRPr="00B54755">
        <w:rPr>
          <w:szCs w:val="22"/>
        </w:rPr>
        <w:t>patients had had refractory hypercalcemia (N = 6), a partial response (N = 13), or were unclassified (N = 3) after initial treatment. The response rate to retreatment was 23% in these 22 patients.</w:t>
      </w:r>
      <w:r w:rsidR="00C84916" w:rsidRPr="00B54755">
        <w:rPr>
          <w:szCs w:val="22"/>
        </w:rPr>
        <w:t>”</w:t>
      </w:r>
    </w:p>
    <w:p w:rsidR="009879D1" w:rsidRPr="008C7AEB" w:rsidRDefault="009879D1" w:rsidP="009879D1">
      <w:pPr>
        <w:pStyle w:val="ListParagraph"/>
        <w:widowControl/>
        <w:spacing w:line="276" w:lineRule="auto"/>
      </w:pPr>
    </w:p>
    <w:p w:rsidR="00546FD3" w:rsidRPr="008C7AEB" w:rsidRDefault="00546FD3" w:rsidP="00B14DA5">
      <w:pPr>
        <w:pStyle w:val="ListParagraph"/>
        <w:widowControl/>
        <w:numPr>
          <w:ilvl w:val="1"/>
          <w:numId w:val="6"/>
        </w:numPr>
        <w:spacing w:line="276" w:lineRule="auto"/>
      </w:pPr>
      <w:r w:rsidRPr="008C7AEB">
        <w:t xml:space="preserve">The 23% response rate figure is key to all subsequent analyses, however the actual response rate of true refractory </w:t>
      </w:r>
      <w:r w:rsidR="00FA1D3C" w:rsidRPr="008C7AEB">
        <w:t>hypercalcaemia</w:t>
      </w:r>
      <w:r w:rsidRPr="008C7AEB">
        <w:t xml:space="preserve"> patients (N=6) from Major and Coleman is unknown.  The analyses that follow are therefore </w:t>
      </w:r>
      <w:r w:rsidR="00B14DA5" w:rsidRPr="008C7AEB">
        <w:t>not informative to decision making for the requested PBS population</w:t>
      </w:r>
      <w:r w:rsidRPr="008C7AEB">
        <w:t>.</w:t>
      </w:r>
    </w:p>
    <w:p w:rsidR="005B0841" w:rsidRPr="008C7AEB" w:rsidRDefault="005B0841" w:rsidP="005B0841">
      <w:pPr>
        <w:pStyle w:val="ListParagraph"/>
      </w:pPr>
    </w:p>
    <w:p w:rsidR="008734A4" w:rsidRPr="008C7AEB" w:rsidRDefault="005B0841" w:rsidP="008734A4">
      <w:pPr>
        <w:pStyle w:val="ListParagraph"/>
        <w:widowControl/>
        <w:numPr>
          <w:ilvl w:val="1"/>
          <w:numId w:val="6"/>
        </w:numPr>
        <w:spacing w:line="276" w:lineRule="auto"/>
      </w:pPr>
      <w:r w:rsidRPr="008C7AEB">
        <w:t>The Pre-PBAC response</w:t>
      </w:r>
      <w:r w:rsidR="008734A4" w:rsidRPr="008C7AEB">
        <w:t xml:space="preserve"> (page 1)</w:t>
      </w:r>
      <w:r w:rsidRPr="008C7AEB">
        <w:t xml:space="preserve"> accepted </w:t>
      </w:r>
      <w:r w:rsidR="008734A4" w:rsidRPr="008C7AEB">
        <w:t xml:space="preserve">the above interpretation of the data from Major </w:t>
      </w:r>
      <w:r w:rsidR="008734A4" w:rsidRPr="008C7AEB">
        <w:rPr>
          <w:i/>
        </w:rPr>
        <w:t>et al</w:t>
      </w:r>
      <w:r w:rsidR="008734A4" w:rsidRPr="008C7AEB">
        <w:t>, stating that subset of 22 patients from Major and Coleman is mainly a mix of patients who did not respond or only partially responded to zoledronic acid.  The response argued that the subgroup is most, but not 100%, representative of the proposed PBS population.</w:t>
      </w:r>
    </w:p>
    <w:p w:rsidR="00163204" w:rsidRPr="008C7AEB" w:rsidRDefault="00163204" w:rsidP="00B14DA5">
      <w:pPr>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Dosing regimens and treatment durations in each study suggested different treatment goals between Study 315 and Major </w:t>
      </w:r>
      <w:r w:rsidR="00FA1D3C" w:rsidRPr="008C7AEB">
        <w:rPr>
          <w:szCs w:val="22"/>
        </w:rPr>
        <w:t>2001,</w:t>
      </w:r>
      <w:r w:rsidRPr="008C7AEB">
        <w:rPr>
          <w:szCs w:val="22"/>
        </w:rPr>
        <w:t xml:space="preserve"> (multiple regular doses for maintenance vs single dose for episodic treatment). Response rates were likely to favour denosumab given the observed increased response with </w:t>
      </w:r>
      <w:r w:rsidR="00AC338C" w:rsidRPr="008C7AEB">
        <w:rPr>
          <w:szCs w:val="22"/>
        </w:rPr>
        <w:t>increased number of</w:t>
      </w:r>
      <w:r w:rsidRPr="008C7AEB">
        <w:rPr>
          <w:szCs w:val="22"/>
        </w:rPr>
        <w:t xml:space="preserve"> doses that suggested a possible dose-response relationship between denosumab and treatment effect.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Patient populations between the studies were not directly comparable. Study 315 enrolled patients who were heavily treatment-experienced with prior intravenous bisphosphonate therapy. In contrast, patients in Major 2001 were naïve to bisphosphonate treatment or received a single dose prior to retreatment. Treatment experience may have had an impact on response rates, with results favouring zoledronic acid.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different definitions of treatment failure in both studies favoured denosumab, given patients had longer time frames for response. Follow-up periods were also longer for patients in Study 315 compared with Major 2001, which biased the duration of response in favour of denosumab. </w:t>
      </w:r>
    </w:p>
    <w:p w:rsidR="00163204" w:rsidRPr="008C7AEB" w:rsidRDefault="00163204" w:rsidP="00163204">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t>The studies were not sufficiently comparable in terms of study design, patient populations, dosing regimens, treatment intent and outcome definitions to justify an indirect comparison.</w:t>
      </w:r>
    </w:p>
    <w:p w:rsidR="008734A4" w:rsidRPr="008C7AEB" w:rsidRDefault="008734A4" w:rsidP="008734A4">
      <w:pPr>
        <w:pStyle w:val="ListParagraph"/>
        <w:rPr>
          <w:szCs w:val="22"/>
        </w:rPr>
      </w:pPr>
    </w:p>
    <w:p w:rsidR="008734A4" w:rsidRPr="008C7AEB" w:rsidRDefault="008734A4" w:rsidP="00163204">
      <w:pPr>
        <w:pStyle w:val="ListParagraph"/>
        <w:widowControl/>
        <w:numPr>
          <w:ilvl w:val="1"/>
          <w:numId w:val="6"/>
        </w:numPr>
        <w:rPr>
          <w:szCs w:val="22"/>
        </w:rPr>
      </w:pPr>
      <w:r w:rsidRPr="008C7AEB">
        <w:rPr>
          <w:szCs w:val="22"/>
        </w:rPr>
        <w:lastRenderedPageBreak/>
        <w:t xml:space="preserve">The Pre-PBAC response acknowledged that the lack of comparative data made </w:t>
      </w:r>
      <w:r w:rsidR="002714A2" w:rsidRPr="008C7AEB">
        <w:rPr>
          <w:szCs w:val="22"/>
        </w:rPr>
        <w:t xml:space="preserve">an economic comparison of denosumab and zoledronic acid challenging. The response presented an incremental efficacy and cost </w:t>
      </w:r>
      <w:r w:rsidR="00FA1D3C" w:rsidRPr="008C7AEB">
        <w:rPr>
          <w:szCs w:val="22"/>
        </w:rPr>
        <w:t>comparison that it asserted supported the claim that denosumab</w:t>
      </w:r>
      <w:r w:rsidR="002714A2" w:rsidRPr="008C7AEB">
        <w:rPr>
          <w:szCs w:val="22"/>
        </w:rPr>
        <w:t xml:space="preserve"> is more effective and cheaper than zoledronic acid 8 mg. This is summarised below in table </w:t>
      </w:r>
      <w:r w:rsidR="00E2799C" w:rsidRPr="008C7AEB">
        <w:rPr>
          <w:szCs w:val="22"/>
        </w:rPr>
        <w:t>4</w:t>
      </w:r>
      <w:r w:rsidR="002714A2" w:rsidRPr="008C7AEB">
        <w:rPr>
          <w:szCs w:val="22"/>
        </w:rPr>
        <w:t>.</w:t>
      </w:r>
    </w:p>
    <w:p w:rsidR="00163204" w:rsidRPr="008C7AEB" w:rsidRDefault="00163204" w:rsidP="00163204">
      <w:pPr>
        <w:widowControl/>
        <w:rPr>
          <w:szCs w:val="22"/>
        </w:rPr>
      </w:pPr>
    </w:p>
    <w:p w:rsidR="009879D1" w:rsidRPr="008C7AEB" w:rsidRDefault="002714A2" w:rsidP="00B54755">
      <w:pPr>
        <w:rPr>
          <w:i/>
        </w:rPr>
      </w:pPr>
      <w:bookmarkStart w:id="14" w:name="_Toc441050667"/>
      <w:r w:rsidRPr="008C7AEB">
        <w:rPr>
          <w:rStyle w:val="CommentReference"/>
        </w:rPr>
        <w:tab/>
        <w:t xml:space="preserve">Table 4: Incremental efficacy and cost comparison </w:t>
      </w:r>
    </w:p>
    <w:tbl>
      <w:tblPr>
        <w:tblStyle w:val="TableGrid"/>
        <w:tblW w:w="8363" w:type="dxa"/>
        <w:tblInd w:w="817" w:type="dxa"/>
        <w:tblLook w:val="04A0" w:firstRow="1" w:lastRow="0" w:firstColumn="1" w:lastColumn="0" w:noHBand="0" w:noVBand="1"/>
        <w:tblCaption w:val="Incremental efficacy and cost comparison "/>
      </w:tblPr>
      <w:tblGrid>
        <w:gridCol w:w="1646"/>
        <w:gridCol w:w="2464"/>
        <w:gridCol w:w="1702"/>
        <w:gridCol w:w="2551"/>
      </w:tblGrid>
      <w:tr w:rsidR="002714A2" w:rsidRPr="008C7AEB" w:rsidTr="00E3598A">
        <w:trPr>
          <w:tblHeader/>
        </w:trPr>
        <w:tc>
          <w:tcPr>
            <w:tcW w:w="1646" w:type="dxa"/>
          </w:tcPr>
          <w:p w:rsidR="002714A2" w:rsidRPr="008C7AEB" w:rsidRDefault="002714A2" w:rsidP="00FB4A2B">
            <w:pPr>
              <w:spacing w:line="276" w:lineRule="auto"/>
              <w:rPr>
                <w:rFonts w:ascii="Arial Narrow" w:hAnsi="Arial Narrow"/>
                <w:bCs/>
                <w:sz w:val="20"/>
              </w:rPr>
            </w:pPr>
          </w:p>
        </w:tc>
        <w:tc>
          <w:tcPr>
            <w:tcW w:w="2464" w:type="dxa"/>
          </w:tcPr>
          <w:p w:rsidR="002714A2" w:rsidRPr="008C7AEB" w:rsidRDefault="002714A2" w:rsidP="00FB4A2B">
            <w:pPr>
              <w:spacing w:line="276" w:lineRule="auto"/>
              <w:rPr>
                <w:rFonts w:ascii="Arial Narrow" w:hAnsi="Arial Narrow"/>
                <w:b/>
                <w:bCs/>
                <w:sz w:val="20"/>
              </w:rPr>
            </w:pPr>
            <w:r w:rsidRPr="008C7AEB">
              <w:rPr>
                <w:rFonts w:ascii="Arial Narrow" w:hAnsi="Arial Narrow"/>
                <w:b/>
                <w:bCs/>
                <w:sz w:val="20"/>
              </w:rPr>
              <w:t>Zoledronic acid 4</w:t>
            </w:r>
            <w:r w:rsidR="00E2799C" w:rsidRPr="008C7AEB">
              <w:rPr>
                <w:rFonts w:ascii="Arial Narrow" w:hAnsi="Arial Narrow"/>
                <w:b/>
                <w:bCs/>
                <w:sz w:val="20"/>
              </w:rPr>
              <w:t> </w:t>
            </w:r>
            <w:r w:rsidRPr="008C7AEB">
              <w:rPr>
                <w:rFonts w:ascii="Arial Narrow" w:hAnsi="Arial Narrow"/>
                <w:b/>
                <w:bCs/>
                <w:sz w:val="20"/>
              </w:rPr>
              <w:t>mg vs pamidronate 90</w:t>
            </w:r>
            <w:r w:rsidR="00E2799C" w:rsidRPr="008C7AEB">
              <w:rPr>
                <w:rFonts w:ascii="Arial Narrow" w:hAnsi="Arial Narrow"/>
                <w:b/>
                <w:bCs/>
                <w:sz w:val="20"/>
              </w:rPr>
              <w:t> </w:t>
            </w:r>
            <w:r w:rsidRPr="008C7AEB">
              <w:rPr>
                <w:rFonts w:ascii="Arial Narrow" w:hAnsi="Arial Narrow"/>
                <w:b/>
                <w:bCs/>
                <w:sz w:val="20"/>
              </w:rPr>
              <w:t>mg (2003 costs)</w:t>
            </w:r>
          </w:p>
        </w:tc>
        <w:tc>
          <w:tcPr>
            <w:tcW w:w="1702" w:type="dxa"/>
          </w:tcPr>
          <w:p w:rsidR="002714A2" w:rsidRPr="008C7AEB" w:rsidRDefault="002714A2" w:rsidP="00FB4A2B">
            <w:pPr>
              <w:spacing w:line="276" w:lineRule="auto"/>
              <w:rPr>
                <w:rFonts w:ascii="Arial Narrow" w:hAnsi="Arial Narrow"/>
                <w:b/>
                <w:bCs/>
                <w:sz w:val="20"/>
              </w:rPr>
            </w:pPr>
            <w:r w:rsidRPr="008C7AEB">
              <w:rPr>
                <w:rFonts w:ascii="Arial Narrow" w:hAnsi="Arial Narrow"/>
                <w:b/>
                <w:bCs/>
                <w:sz w:val="20"/>
              </w:rPr>
              <w:t>Denosumab vs zoledronic 4</w:t>
            </w:r>
            <w:r w:rsidR="00E2799C" w:rsidRPr="008C7AEB">
              <w:rPr>
                <w:rFonts w:ascii="Arial Narrow" w:hAnsi="Arial Narrow"/>
                <w:b/>
                <w:bCs/>
                <w:sz w:val="20"/>
              </w:rPr>
              <w:t> </w:t>
            </w:r>
            <w:r w:rsidRPr="008C7AEB">
              <w:rPr>
                <w:rFonts w:ascii="Arial Narrow" w:hAnsi="Arial Narrow"/>
                <w:b/>
                <w:bCs/>
                <w:sz w:val="20"/>
              </w:rPr>
              <w:t>mg (current costs)</w:t>
            </w:r>
          </w:p>
        </w:tc>
        <w:tc>
          <w:tcPr>
            <w:tcW w:w="2551" w:type="dxa"/>
          </w:tcPr>
          <w:p w:rsidR="002714A2" w:rsidRPr="008C7AEB" w:rsidRDefault="002714A2" w:rsidP="00FB4A2B">
            <w:pPr>
              <w:spacing w:line="276" w:lineRule="auto"/>
              <w:rPr>
                <w:rFonts w:ascii="Arial Narrow" w:hAnsi="Arial Narrow"/>
                <w:b/>
                <w:bCs/>
                <w:sz w:val="20"/>
              </w:rPr>
            </w:pPr>
            <w:r w:rsidRPr="008C7AEB">
              <w:rPr>
                <w:rFonts w:ascii="Arial Narrow" w:hAnsi="Arial Narrow"/>
                <w:b/>
                <w:bCs/>
                <w:sz w:val="20"/>
              </w:rPr>
              <w:t>Denosumab vs zoledronic 8</w:t>
            </w:r>
            <w:r w:rsidR="00E2799C" w:rsidRPr="008C7AEB">
              <w:rPr>
                <w:rFonts w:ascii="Arial Narrow" w:hAnsi="Arial Narrow"/>
                <w:b/>
                <w:bCs/>
                <w:sz w:val="20"/>
              </w:rPr>
              <w:t> </w:t>
            </w:r>
            <w:r w:rsidRPr="008C7AEB">
              <w:rPr>
                <w:rFonts w:ascii="Arial Narrow" w:hAnsi="Arial Narrow"/>
                <w:b/>
                <w:bCs/>
                <w:sz w:val="20"/>
              </w:rPr>
              <w:t>mg (current costs)</w:t>
            </w:r>
          </w:p>
        </w:tc>
      </w:tr>
      <w:tr w:rsidR="002714A2" w:rsidRPr="008C7AEB" w:rsidTr="00E3598A">
        <w:tc>
          <w:tcPr>
            <w:tcW w:w="1646" w:type="dxa"/>
          </w:tcPr>
          <w:p w:rsidR="002714A2" w:rsidRPr="008C7AEB" w:rsidRDefault="002714A2" w:rsidP="00FB4A2B">
            <w:pPr>
              <w:spacing w:line="276" w:lineRule="auto"/>
              <w:rPr>
                <w:rFonts w:ascii="Arial Narrow" w:hAnsi="Arial Narrow"/>
                <w:b/>
                <w:bCs/>
                <w:sz w:val="20"/>
              </w:rPr>
            </w:pPr>
            <w:r w:rsidRPr="008C7AEB">
              <w:rPr>
                <w:rFonts w:ascii="Arial Narrow" w:hAnsi="Arial Narrow"/>
                <w:b/>
                <w:bCs/>
                <w:sz w:val="20"/>
              </w:rPr>
              <w:t>Percentage of patients with complete response</w:t>
            </w:r>
          </w:p>
        </w:tc>
        <w:tc>
          <w:tcPr>
            <w:tcW w:w="2464"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88%</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P = 64.9%</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23.1.%</w:t>
            </w:r>
          </w:p>
        </w:tc>
        <w:tc>
          <w:tcPr>
            <w:tcW w:w="1702"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23% (max.)</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D = 64%</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41% (min.)</w:t>
            </w:r>
          </w:p>
        </w:tc>
        <w:tc>
          <w:tcPr>
            <w:tcW w:w="2551"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23% (max.)</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D = 64%</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41% (min.)</w:t>
            </w:r>
          </w:p>
        </w:tc>
      </w:tr>
      <w:tr w:rsidR="002714A2" w:rsidRPr="008C7AEB" w:rsidTr="00E3598A">
        <w:tc>
          <w:tcPr>
            <w:tcW w:w="1646" w:type="dxa"/>
          </w:tcPr>
          <w:p w:rsidR="002714A2" w:rsidRPr="008C7AEB" w:rsidRDefault="002714A2" w:rsidP="00FB4A2B">
            <w:pPr>
              <w:spacing w:line="276" w:lineRule="auto"/>
              <w:rPr>
                <w:rFonts w:ascii="Arial Narrow" w:hAnsi="Arial Narrow"/>
                <w:b/>
                <w:bCs/>
                <w:sz w:val="20"/>
              </w:rPr>
            </w:pPr>
            <w:r w:rsidRPr="008C7AEB">
              <w:rPr>
                <w:rFonts w:ascii="Arial Narrow" w:hAnsi="Arial Narrow"/>
                <w:b/>
                <w:bCs/>
                <w:sz w:val="20"/>
              </w:rPr>
              <w:t>Cost per dose</w:t>
            </w:r>
          </w:p>
        </w:tc>
        <w:tc>
          <w:tcPr>
            <w:tcW w:w="2464"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w:t>
            </w:r>
            <w:r w:rsidR="007110DB">
              <w:rPr>
                <w:rFonts w:ascii="Arial Narrow" w:hAnsi="Arial Narrow"/>
                <w:bCs/>
                <w:noProof/>
                <w:color w:val="000000"/>
                <w:sz w:val="20"/>
                <w:highlight w:val="black"/>
              </w:rPr>
              <w:t>''''''''''</w:t>
            </w:r>
            <w:r w:rsidRPr="008C7AEB">
              <w:rPr>
                <w:rFonts w:ascii="Arial Narrow" w:hAnsi="Arial Narrow"/>
                <w:bCs/>
                <w:sz w:val="20"/>
              </w:rPr>
              <w:t xml:space="preserve"> + $</w:t>
            </w:r>
            <w:r w:rsidR="007110DB">
              <w:rPr>
                <w:rFonts w:ascii="Arial Narrow" w:hAnsi="Arial Narrow"/>
                <w:bCs/>
                <w:noProof/>
                <w:color w:val="000000"/>
                <w:sz w:val="20"/>
                <w:highlight w:val="black"/>
              </w:rPr>
              <w:t>'''''</w:t>
            </w:r>
            <w:r w:rsidRPr="008C7AEB">
              <w:rPr>
                <w:rFonts w:ascii="Arial Narrow" w:hAnsi="Arial Narrow"/>
                <w:bCs/>
                <w:sz w:val="20"/>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P = $</w:t>
            </w:r>
            <w:r w:rsidR="007110DB">
              <w:rPr>
                <w:rFonts w:ascii="Arial Narrow" w:hAnsi="Arial Narrow"/>
                <w:bCs/>
                <w:noProof/>
                <w:color w:val="000000"/>
                <w:sz w:val="20"/>
                <w:highlight w:val="black"/>
              </w:rPr>
              <w:t>'''''''''''''''</w:t>
            </w:r>
            <w:r w:rsidRPr="008C7AEB">
              <w:rPr>
                <w:rFonts w:ascii="Arial Narrow" w:hAnsi="Arial Narrow"/>
                <w:bCs/>
                <w:sz w:val="20"/>
              </w:rPr>
              <w:t xml:space="preserve"> + $</w:t>
            </w:r>
            <w:r w:rsidR="007110DB">
              <w:rPr>
                <w:rFonts w:ascii="Arial Narrow" w:hAnsi="Arial Narrow"/>
                <w:bCs/>
                <w:noProof/>
                <w:color w:val="000000"/>
                <w:sz w:val="20"/>
                <w:highlight w:val="black"/>
              </w:rPr>
              <w:t>''''''</w:t>
            </w:r>
            <w:r w:rsidRPr="008C7AEB">
              <w:rPr>
                <w:rFonts w:ascii="Arial Narrow" w:hAnsi="Arial Narrow"/>
                <w:bCs/>
                <w:sz w:val="20"/>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w:t>
            </w:r>
            <w:r w:rsidR="007110DB">
              <w:rPr>
                <w:rFonts w:ascii="Arial Narrow" w:hAnsi="Arial Narrow"/>
                <w:bCs/>
                <w:noProof/>
                <w:color w:val="000000"/>
                <w:sz w:val="20"/>
                <w:highlight w:val="black"/>
              </w:rPr>
              <w:t>''''''''''''''''''</w:t>
            </w:r>
          </w:p>
        </w:tc>
        <w:tc>
          <w:tcPr>
            <w:tcW w:w="1702"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w:t>
            </w:r>
            <w:r w:rsidR="007110DB">
              <w:rPr>
                <w:rFonts w:ascii="Arial Narrow" w:hAnsi="Arial Narrow"/>
                <w:bCs/>
                <w:noProof/>
                <w:color w:val="000000"/>
                <w:sz w:val="20"/>
                <w:highlight w:val="black"/>
              </w:rPr>
              <w:t>''''''''''''''''''</w:t>
            </w:r>
            <w:r w:rsidRPr="008C7AEB">
              <w:rPr>
                <w:rFonts w:ascii="Arial Narrow" w:hAnsi="Arial Narrow"/>
                <w:bCs/>
                <w:sz w:val="20"/>
              </w:rPr>
              <w:t xml:space="preserve"> + $</w:t>
            </w:r>
            <w:r w:rsidR="007110DB">
              <w:rPr>
                <w:rFonts w:ascii="Arial Narrow" w:hAnsi="Arial Narrow"/>
                <w:bCs/>
                <w:noProof/>
                <w:color w:val="000000"/>
                <w:sz w:val="20"/>
                <w:highlight w:val="black"/>
              </w:rPr>
              <w:t>''''''</w:t>
            </w:r>
            <w:r w:rsidRPr="008C7AEB">
              <w:rPr>
                <w:rFonts w:ascii="Arial Narrow" w:hAnsi="Arial Narrow"/>
                <w:bCs/>
                <w:sz w:val="20"/>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D = $</w:t>
            </w:r>
            <w:r w:rsidR="007110DB">
              <w:rPr>
                <w:rFonts w:ascii="Arial Narrow" w:hAnsi="Arial Narrow"/>
                <w:bCs/>
                <w:noProof/>
                <w:color w:val="000000"/>
                <w:sz w:val="20"/>
                <w:highlight w:val="black"/>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w:t>
            </w:r>
            <w:r w:rsidR="007110DB">
              <w:rPr>
                <w:rFonts w:ascii="Arial Narrow" w:hAnsi="Arial Narrow"/>
                <w:bCs/>
                <w:noProof/>
                <w:color w:val="000000"/>
                <w:sz w:val="20"/>
                <w:highlight w:val="black"/>
              </w:rPr>
              <w:t>'''''''''''''''''</w:t>
            </w:r>
          </w:p>
        </w:tc>
        <w:tc>
          <w:tcPr>
            <w:tcW w:w="2551" w:type="dxa"/>
          </w:tcPr>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Z = $</w:t>
            </w:r>
            <w:r w:rsidR="007110DB">
              <w:rPr>
                <w:rFonts w:ascii="Arial Narrow" w:hAnsi="Arial Narrow"/>
                <w:bCs/>
                <w:noProof/>
                <w:color w:val="000000"/>
                <w:sz w:val="20"/>
                <w:highlight w:val="black"/>
              </w:rPr>
              <w:t>''''''''''''''''''</w:t>
            </w:r>
            <w:r w:rsidRPr="008C7AEB">
              <w:rPr>
                <w:rFonts w:ascii="Arial Narrow" w:hAnsi="Arial Narrow"/>
                <w:bCs/>
                <w:sz w:val="20"/>
              </w:rPr>
              <w:t xml:space="preserve"> + $</w:t>
            </w:r>
            <w:r w:rsidR="007110DB">
              <w:rPr>
                <w:rFonts w:ascii="Arial Narrow" w:hAnsi="Arial Narrow"/>
                <w:bCs/>
                <w:noProof/>
                <w:color w:val="000000"/>
                <w:sz w:val="20"/>
                <w:highlight w:val="black"/>
              </w:rPr>
              <w:t>''''''</w:t>
            </w:r>
            <w:r w:rsidRPr="008C7AEB">
              <w:rPr>
                <w:rFonts w:ascii="Arial Narrow" w:hAnsi="Arial Narrow"/>
                <w:bCs/>
                <w:sz w:val="20"/>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t>D = $</w:t>
            </w:r>
            <w:r w:rsidR="007110DB">
              <w:rPr>
                <w:rFonts w:ascii="Arial Narrow" w:hAnsi="Arial Narrow"/>
                <w:bCs/>
                <w:noProof/>
                <w:color w:val="000000"/>
                <w:sz w:val="20"/>
                <w:highlight w:val="black"/>
              </w:rPr>
              <w:t>'''''''''''''''''</w:t>
            </w:r>
          </w:p>
          <w:p w:rsidR="002714A2" w:rsidRPr="008C7AEB" w:rsidRDefault="002714A2" w:rsidP="00FB4A2B">
            <w:pPr>
              <w:spacing w:line="276" w:lineRule="auto"/>
              <w:rPr>
                <w:rFonts w:ascii="Arial Narrow" w:hAnsi="Arial Narrow"/>
                <w:bCs/>
                <w:sz w:val="20"/>
              </w:rPr>
            </w:pPr>
            <w:r w:rsidRPr="008C7AEB">
              <w:rPr>
                <w:rFonts w:ascii="Arial Narrow" w:hAnsi="Arial Narrow"/>
                <w:bCs/>
                <w:sz w:val="20"/>
              </w:rPr>
              <w:sym w:font="Symbol" w:char="F044"/>
            </w:r>
            <w:r w:rsidRPr="008C7AEB">
              <w:rPr>
                <w:rFonts w:ascii="Arial Narrow" w:hAnsi="Arial Narrow"/>
                <w:bCs/>
                <w:sz w:val="20"/>
              </w:rPr>
              <w:t xml:space="preserve"> = -$</w:t>
            </w:r>
            <w:r w:rsidR="007110DB">
              <w:rPr>
                <w:rFonts w:ascii="Arial Narrow" w:hAnsi="Arial Narrow"/>
                <w:bCs/>
                <w:noProof/>
                <w:color w:val="000000"/>
                <w:sz w:val="20"/>
                <w:highlight w:val="black"/>
              </w:rPr>
              <w:t>''''''''''''''''</w:t>
            </w:r>
          </w:p>
        </w:tc>
      </w:tr>
    </w:tbl>
    <w:p w:rsidR="009879D1" w:rsidRPr="00B54755" w:rsidRDefault="002714A2" w:rsidP="00B54755">
      <w:pPr>
        <w:rPr>
          <w:rFonts w:ascii="Arial Narrow" w:hAnsi="Arial Narrow"/>
          <w:b/>
          <w:i/>
          <w:sz w:val="20"/>
        </w:rPr>
      </w:pPr>
      <w:r w:rsidRPr="00B54755">
        <w:rPr>
          <w:rFonts w:ascii="Arial Narrow" w:hAnsi="Arial Narrow"/>
          <w:i/>
          <w:sz w:val="20"/>
        </w:rPr>
        <w:tab/>
      </w:r>
      <w:r w:rsidRPr="00B54755">
        <w:rPr>
          <w:rFonts w:ascii="Arial Narrow" w:hAnsi="Arial Narrow"/>
          <w:sz w:val="20"/>
        </w:rPr>
        <w:t xml:space="preserve">Source: Table 2 (p2) of the Pre-PBAC response </w:t>
      </w:r>
    </w:p>
    <w:p w:rsidR="009879D1" w:rsidRPr="008C7AEB" w:rsidRDefault="009879D1" w:rsidP="00B54755">
      <w:pPr>
        <w:pStyle w:val="BodyText"/>
      </w:pPr>
    </w:p>
    <w:p w:rsidR="00163204" w:rsidRPr="008C7AEB" w:rsidRDefault="00163204" w:rsidP="00163204">
      <w:pPr>
        <w:pStyle w:val="Heading2"/>
        <w:rPr>
          <w:i/>
        </w:rPr>
      </w:pPr>
      <w:r w:rsidRPr="008C7AEB">
        <w:rPr>
          <w:i/>
        </w:rPr>
        <w:t>Comparative harms</w:t>
      </w:r>
      <w:bookmarkEnd w:id="14"/>
    </w:p>
    <w:p w:rsidR="00163204" w:rsidRPr="008C7AEB" w:rsidRDefault="00163204" w:rsidP="00163204"/>
    <w:p w:rsidR="00163204" w:rsidRPr="008C7AEB" w:rsidRDefault="00163204" w:rsidP="002714A2">
      <w:pPr>
        <w:pStyle w:val="ListParagraph"/>
        <w:widowControl/>
        <w:rPr>
          <w:rStyle w:val="CommentReference"/>
          <w:rFonts w:ascii="Arial" w:hAnsi="Arial"/>
          <w:b w:val="0"/>
          <w:sz w:val="22"/>
          <w:szCs w:val="22"/>
        </w:rPr>
      </w:pPr>
      <w:r w:rsidRPr="008C7AEB">
        <w:rPr>
          <w:rStyle w:val="CommentReference"/>
        </w:rPr>
        <w:t xml:space="preserve">Table </w:t>
      </w:r>
      <w:r w:rsidR="002714A2" w:rsidRPr="008C7AEB">
        <w:rPr>
          <w:rStyle w:val="CommentReference"/>
        </w:rPr>
        <w:t>5</w:t>
      </w:r>
      <w:r w:rsidRPr="008C7AEB">
        <w:rPr>
          <w:rStyle w:val="CommentReference"/>
        </w:rPr>
        <w:t>: Overall summary of adverse events in included studies</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1418"/>
        <w:gridCol w:w="1439"/>
        <w:gridCol w:w="1398"/>
        <w:gridCol w:w="1462"/>
      </w:tblGrid>
      <w:tr w:rsidR="00163204" w:rsidRPr="008C7AEB" w:rsidTr="00723DE8">
        <w:trPr>
          <w:cantSplit/>
          <w:trHeight w:val="177"/>
          <w:tblHeader/>
        </w:trPr>
        <w:tc>
          <w:tcPr>
            <w:tcW w:w="1646" w:type="pct"/>
            <w:vMerge w:val="restart"/>
            <w:shd w:val="clear" w:color="auto" w:fill="auto"/>
            <w:vAlign w:val="center"/>
          </w:tcPr>
          <w:p w:rsidR="00163204" w:rsidRPr="008C7AEB" w:rsidRDefault="00163204" w:rsidP="00723DE8">
            <w:pPr>
              <w:pStyle w:val="PBACTableTextBoldCentered"/>
              <w:spacing w:before="0" w:after="0"/>
              <w:jc w:val="left"/>
              <w:rPr>
                <w:rFonts w:ascii="Arial Narrow" w:hAnsi="Arial Narrow"/>
                <w:lang w:val="en-AU"/>
              </w:rPr>
            </w:pPr>
            <w:r w:rsidRPr="008C7AEB">
              <w:rPr>
                <w:rFonts w:ascii="Arial Narrow" w:hAnsi="Arial Narrow"/>
                <w:lang w:val="en-AU"/>
              </w:rPr>
              <w:t>Summary of adverse events,</w:t>
            </w:r>
          </w:p>
          <w:p w:rsidR="00163204" w:rsidRPr="008C7AEB" w:rsidRDefault="00163204" w:rsidP="00723DE8">
            <w:pPr>
              <w:pStyle w:val="PBACTableTextBoldCentered"/>
              <w:spacing w:before="0" w:after="0"/>
              <w:jc w:val="left"/>
              <w:rPr>
                <w:rFonts w:ascii="Arial Narrow" w:hAnsi="Arial Narrow"/>
                <w:lang w:val="en-AU"/>
              </w:rPr>
            </w:pPr>
            <w:r w:rsidRPr="008C7AEB">
              <w:rPr>
                <w:rFonts w:ascii="Arial Narrow" w:hAnsi="Arial Narrow"/>
                <w:lang w:val="en-AU"/>
              </w:rPr>
              <w:t>n (%)</w:t>
            </w:r>
          </w:p>
        </w:tc>
        <w:tc>
          <w:tcPr>
            <w:tcW w:w="832" w:type="pct"/>
            <w:shd w:val="clear" w:color="auto" w:fill="auto"/>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Study 315</w:t>
            </w:r>
          </w:p>
        </w:tc>
        <w:tc>
          <w:tcPr>
            <w:tcW w:w="1664" w:type="pct"/>
            <w:gridSpan w:val="2"/>
            <w:shd w:val="clear" w:color="auto" w:fill="auto"/>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Major 2001</w:t>
            </w:r>
          </w:p>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(overall)</w:t>
            </w:r>
          </w:p>
        </w:tc>
        <w:tc>
          <w:tcPr>
            <w:tcW w:w="858" w:type="pct"/>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Major 2001 (retreatment)</w:t>
            </w:r>
          </w:p>
        </w:tc>
      </w:tr>
      <w:tr w:rsidR="00163204" w:rsidRPr="008C7AEB" w:rsidTr="00723DE8">
        <w:trPr>
          <w:cantSplit/>
          <w:trHeight w:val="177"/>
          <w:tblHeader/>
        </w:trPr>
        <w:tc>
          <w:tcPr>
            <w:tcW w:w="1646" w:type="pct"/>
            <w:vMerge/>
            <w:shd w:val="clear" w:color="auto" w:fill="auto"/>
            <w:vAlign w:val="center"/>
          </w:tcPr>
          <w:p w:rsidR="00163204" w:rsidRPr="008C7AEB" w:rsidRDefault="00163204" w:rsidP="00723DE8">
            <w:pPr>
              <w:pStyle w:val="PBACTableTextBoldCentered"/>
              <w:spacing w:before="0" w:after="0"/>
              <w:jc w:val="left"/>
              <w:rPr>
                <w:rFonts w:ascii="Arial Narrow" w:hAnsi="Arial Narrow"/>
                <w:lang w:val="en-AU"/>
              </w:rPr>
            </w:pPr>
          </w:p>
        </w:tc>
        <w:tc>
          <w:tcPr>
            <w:tcW w:w="832" w:type="pct"/>
            <w:shd w:val="clear" w:color="auto" w:fill="auto"/>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Denosumab 120</w:t>
            </w:r>
            <w:r w:rsidR="00E2799C" w:rsidRPr="008C7AEB">
              <w:rPr>
                <w:rFonts w:ascii="Arial Narrow" w:hAnsi="Arial Narrow"/>
                <w:lang w:val="en-AU"/>
              </w:rPr>
              <w:t> </w:t>
            </w:r>
            <w:r w:rsidRPr="008C7AEB">
              <w:rPr>
                <w:rFonts w:ascii="Arial Narrow" w:hAnsi="Arial Narrow"/>
                <w:lang w:val="en-AU"/>
              </w:rPr>
              <w:t>mg</w:t>
            </w:r>
          </w:p>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N=33</w:t>
            </w:r>
          </w:p>
        </w:tc>
        <w:tc>
          <w:tcPr>
            <w:tcW w:w="844" w:type="pct"/>
            <w:shd w:val="clear" w:color="auto" w:fill="auto"/>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Zoledronic acid 4</w:t>
            </w:r>
            <w:r w:rsidR="00E2799C" w:rsidRPr="008C7AEB">
              <w:rPr>
                <w:rFonts w:ascii="Arial Narrow" w:hAnsi="Arial Narrow"/>
                <w:lang w:val="en-AU"/>
              </w:rPr>
              <w:t> </w:t>
            </w:r>
            <w:r w:rsidRPr="008C7AEB">
              <w:rPr>
                <w:rFonts w:ascii="Arial Narrow" w:hAnsi="Arial Narrow"/>
                <w:lang w:val="en-AU"/>
              </w:rPr>
              <w:t>mg</w:t>
            </w:r>
          </w:p>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N=86</w:t>
            </w:r>
          </w:p>
        </w:tc>
        <w:tc>
          <w:tcPr>
            <w:tcW w:w="820" w:type="pct"/>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Zoledronic acid 8</w:t>
            </w:r>
            <w:r w:rsidR="00E2799C" w:rsidRPr="008C7AEB">
              <w:rPr>
                <w:rFonts w:ascii="Arial Narrow" w:hAnsi="Arial Narrow"/>
                <w:lang w:val="en-AU"/>
              </w:rPr>
              <w:t> </w:t>
            </w:r>
            <w:r w:rsidRPr="008C7AEB">
              <w:rPr>
                <w:rFonts w:ascii="Arial Narrow" w:hAnsi="Arial Narrow"/>
                <w:lang w:val="en-AU"/>
              </w:rPr>
              <w:t>mg</w:t>
            </w:r>
          </w:p>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N=98</w:t>
            </w:r>
          </w:p>
        </w:tc>
        <w:tc>
          <w:tcPr>
            <w:tcW w:w="858" w:type="pct"/>
            <w:vAlign w:val="center"/>
          </w:tcPr>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Zoledronic acid 8</w:t>
            </w:r>
            <w:r w:rsidR="00E2799C" w:rsidRPr="008C7AEB">
              <w:rPr>
                <w:rFonts w:ascii="Arial Narrow" w:hAnsi="Arial Narrow"/>
                <w:lang w:val="en-AU"/>
              </w:rPr>
              <w:t> </w:t>
            </w:r>
            <w:r w:rsidRPr="008C7AEB">
              <w:rPr>
                <w:rFonts w:ascii="Arial Narrow" w:hAnsi="Arial Narrow"/>
                <w:lang w:val="en-AU"/>
              </w:rPr>
              <w:t>mg</w:t>
            </w:r>
          </w:p>
          <w:p w:rsidR="00163204" w:rsidRPr="008C7AEB" w:rsidRDefault="00163204" w:rsidP="00723DE8">
            <w:pPr>
              <w:pStyle w:val="PBACTableTextBoldCentered"/>
              <w:spacing w:before="0" w:after="0"/>
              <w:rPr>
                <w:rFonts w:ascii="Arial Narrow" w:hAnsi="Arial Narrow"/>
                <w:lang w:val="en-AU"/>
              </w:rPr>
            </w:pPr>
            <w:r w:rsidRPr="008C7AEB">
              <w:rPr>
                <w:rFonts w:ascii="Arial Narrow" w:hAnsi="Arial Narrow"/>
                <w:lang w:val="en-AU"/>
              </w:rPr>
              <w:t>N=70</w:t>
            </w:r>
          </w:p>
        </w:tc>
      </w:tr>
      <w:tr w:rsidR="00163204" w:rsidRPr="008C7AEB" w:rsidTr="00723DE8">
        <w:trPr>
          <w:cantSplit/>
          <w:trHeight w:val="173"/>
        </w:trPr>
        <w:tc>
          <w:tcPr>
            <w:tcW w:w="1646" w:type="pct"/>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Adverse event</w:t>
            </w:r>
          </w:p>
        </w:tc>
        <w:tc>
          <w:tcPr>
            <w:tcW w:w="832" w:type="pct"/>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32 (97.0)</w:t>
            </w:r>
          </w:p>
        </w:tc>
        <w:tc>
          <w:tcPr>
            <w:tcW w:w="844"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81 (94.2)</w:t>
            </w:r>
          </w:p>
        </w:tc>
        <w:tc>
          <w:tcPr>
            <w:tcW w:w="820" w:type="pct"/>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94 (95.9)</w:t>
            </w:r>
          </w:p>
        </w:tc>
        <w:tc>
          <w:tcPr>
            <w:tcW w:w="858"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50 (71.4)</w:t>
            </w:r>
          </w:p>
        </w:tc>
      </w:tr>
      <w:tr w:rsidR="00163204" w:rsidRPr="008C7AEB" w:rsidTr="00723DE8">
        <w:trPr>
          <w:cantSplit/>
          <w:trHeight w:val="219"/>
        </w:trPr>
        <w:tc>
          <w:tcPr>
            <w:tcW w:w="1646" w:type="pct"/>
            <w:tcBorders>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Treatment-related adverse event</w:t>
            </w:r>
          </w:p>
        </w:tc>
        <w:tc>
          <w:tcPr>
            <w:tcW w:w="832" w:type="pct"/>
            <w:tcBorders>
              <w:bottom w:val="nil"/>
            </w:tcBorders>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13 (39.4)</w:t>
            </w:r>
          </w:p>
        </w:tc>
        <w:tc>
          <w:tcPr>
            <w:tcW w:w="844" w:type="pct"/>
            <w:tcBorders>
              <w:bottom w:val="nil"/>
            </w:tcBorders>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Borders>
              <w:bottom w:val="nil"/>
            </w:tcBorders>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tcBorders>
              <w:bottom w:val="nil"/>
            </w:tcBorders>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6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Hypocalcaemia</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(9.1)</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5 (5.8)</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6 (6.1)</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 (1.4)</w:t>
            </w:r>
          </w:p>
        </w:tc>
      </w:tr>
      <w:tr w:rsidR="00163204" w:rsidRPr="008C7AEB" w:rsidTr="00723DE8">
        <w:trPr>
          <w:cantSplit/>
          <w:trHeight w:val="147"/>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Hypophosphataemia</w:t>
            </w:r>
          </w:p>
        </w:tc>
        <w:tc>
          <w:tcPr>
            <w:tcW w:w="832" w:type="pct"/>
            <w:tcBorders>
              <w:top w:val="nil"/>
              <w:bottom w:val="nil"/>
            </w:tcBorders>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4 (12.1)</w:t>
            </w:r>
          </w:p>
        </w:tc>
        <w:tc>
          <w:tcPr>
            <w:tcW w:w="844" w:type="pct"/>
            <w:tcBorders>
              <w:top w:val="nil"/>
              <w:bottom w:val="nil"/>
            </w:tcBorders>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(3.5)</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(3.1)</w:t>
            </w:r>
          </w:p>
        </w:tc>
        <w:tc>
          <w:tcPr>
            <w:tcW w:w="858" w:type="pct"/>
            <w:tcBorders>
              <w:top w:val="nil"/>
              <w:bottom w:val="nil"/>
            </w:tcBorders>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0</w:t>
            </w:r>
          </w:p>
        </w:tc>
      </w:tr>
      <w:tr w:rsidR="00163204" w:rsidRPr="008C7AEB" w:rsidTr="00723DE8">
        <w:trPr>
          <w:cantSplit/>
          <w:trHeight w:val="11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Nausea</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4 (12.1)</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 (1.2)</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(3.1)</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0</w:t>
            </w:r>
          </w:p>
        </w:tc>
      </w:tr>
      <w:tr w:rsidR="00163204" w:rsidRPr="008C7AEB" w:rsidTr="00723DE8">
        <w:trPr>
          <w:cantSplit/>
          <w:trHeight w:val="6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Peripheral oedema</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(9.1)</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6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Serum creatinine Grade 3 or more</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2 (2.3)</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 (3.1)</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 (1.5)</w:t>
            </w:r>
          </w:p>
        </w:tc>
      </w:tr>
      <w:tr w:rsidR="00163204" w:rsidRPr="008C7AEB" w:rsidTr="00723DE8">
        <w:trPr>
          <w:cantSplit/>
          <w:trHeight w:val="6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Fever</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6 (7.0)</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10 (10.2)</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2 (2.9)</w:t>
            </w:r>
          </w:p>
        </w:tc>
      </w:tr>
      <w:tr w:rsidR="00163204" w:rsidRPr="008C7AEB" w:rsidTr="00723DE8">
        <w:trPr>
          <w:cantSplit/>
          <w:trHeight w:val="60"/>
        </w:trPr>
        <w:tc>
          <w:tcPr>
            <w:tcW w:w="1646" w:type="pct"/>
            <w:tcBorders>
              <w:top w:val="nil"/>
              <w:bottom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Colitis</w:t>
            </w:r>
          </w:p>
        </w:tc>
        <w:tc>
          <w:tcPr>
            <w:tcW w:w="832" w:type="pct"/>
            <w:tcBorders>
              <w:top w:val="nil"/>
              <w:bottom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 (3.0)</w:t>
            </w:r>
          </w:p>
        </w:tc>
        <w:tc>
          <w:tcPr>
            <w:tcW w:w="844"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tcBorders>
              <w:top w:val="nil"/>
              <w:bottom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60"/>
        </w:trPr>
        <w:tc>
          <w:tcPr>
            <w:tcW w:w="1646" w:type="pct"/>
            <w:tcBorders>
              <w:top w:val="nil"/>
            </w:tcBorders>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 Cardiac arrest</w:t>
            </w:r>
          </w:p>
        </w:tc>
        <w:tc>
          <w:tcPr>
            <w:tcW w:w="832" w:type="pct"/>
            <w:tcBorders>
              <w:top w:val="nil"/>
            </w:tcBorders>
            <w:shd w:val="clear" w:color="auto" w:fill="auto"/>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1 (3.0)</w:t>
            </w:r>
          </w:p>
        </w:tc>
        <w:tc>
          <w:tcPr>
            <w:tcW w:w="844" w:type="pct"/>
            <w:tcBorders>
              <w:top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Borders>
              <w:top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tcBorders>
              <w:top w:val="nil"/>
            </w:tcBorders>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60"/>
        </w:trPr>
        <w:tc>
          <w:tcPr>
            <w:tcW w:w="1646" w:type="pct"/>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Serious adverse event</w:t>
            </w:r>
          </w:p>
        </w:tc>
        <w:tc>
          <w:tcPr>
            <w:tcW w:w="832" w:type="pct"/>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30 (90.9)</w:t>
            </w:r>
          </w:p>
        </w:tc>
        <w:tc>
          <w:tcPr>
            <w:tcW w:w="844"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60"/>
        </w:trPr>
        <w:tc>
          <w:tcPr>
            <w:tcW w:w="1646" w:type="pct"/>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Adverse event leading to trial discontinuation</w:t>
            </w:r>
          </w:p>
        </w:tc>
        <w:tc>
          <w:tcPr>
            <w:tcW w:w="832" w:type="pct"/>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8 (24.2)</w:t>
            </w:r>
          </w:p>
        </w:tc>
        <w:tc>
          <w:tcPr>
            <w:tcW w:w="844"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r w:rsidR="00163204" w:rsidRPr="008C7AEB" w:rsidTr="00723DE8">
        <w:trPr>
          <w:cantSplit/>
          <w:trHeight w:val="74"/>
        </w:trPr>
        <w:tc>
          <w:tcPr>
            <w:tcW w:w="1646" w:type="pct"/>
            <w:shd w:val="clear" w:color="auto" w:fill="auto"/>
            <w:vAlign w:val="center"/>
          </w:tcPr>
          <w:p w:rsidR="00163204" w:rsidRPr="008C7AEB" w:rsidRDefault="00163204" w:rsidP="00723DE8">
            <w:pPr>
              <w:pStyle w:val="PBACTableText"/>
              <w:spacing w:before="0" w:after="0"/>
              <w:rPr>
                <w:rFonts w:ascii="Arial Narrow" w:hAnsi="Arial Narrow"/>
                <w:lang w:val="en-AU"/>
              </w:rPr>
            </w:pPr>
            <w:r w:rsidRPr="008C7AEB">
              <w:rPr>
                <w:rFonts w:ascii="Arial Narrow" w:hAnsi="Arial Narrow"/>
                <w:lang w:val="en-AU"/>
              </w:rPr>
              <w:t>Deaths</w:t>
            </w:r>
          </w:p>
        </w:tc>
        <w:tc>
          <w:tcPr>
            <w:tcW w:w="832" w:type="pct"/>
            <w:shd w:val="clear" w:color="auto" w:fill="auto"/>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26 (78.8)</w:t>
            </w:r>
          </w:p>
        </w:tc>
        <w:tc>
          <w:tcPr>
            <w:tcW w:w="844"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20" w:type="pct"/>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c>
          <w:tcPr>
            <w:tcW w:w="858" w:type="pct"/>
            <w:vAlign w:val="center"/>
          </w:tcPr>
          <w:p w:rsidR="00163204" w:rsidRPr="008C7AEB" w:rsidRDefault="00163204" w:rsidP="00723DE8">
            <w:pPr>
              <w:pStyle w:val="PBACTableText"/>
              <w:spacing w:before="0" w:after="0"/>
              <w:jc w:val="center"/>
              <w:rPr>
                <w:rFonts w:ascii="Arial Narrow" w:hAnsi="Arial Narrow"/>
                <w:lang w:val="en-AU"/>
              </w:rPr>
            </w:pPr>
            <w:r w:rsidRPr="008C7AEB">
              <w:rPr>
                <w:rFonts w:ascii="Arial Narrow" w:hAnsi="Arial Narrow"/>
                <w:lang w:val="en-AU"/>
              </w:rPr>
              <w:t>NR</w:t>
            </w:r>
          </w:p>
        </w:tc>
      </w:tr>
    </w:tbl>
    <w:p w:rsidR="00163204" w:rsidRPr="008C7AEB" w:rsidRDefault="00163204" w:rsidP="00163204">
      <w:pPr>
        <w:pStyle w:val="TableFooter"/>
        <w:ind w:left="720"/>
      </w:pPr>
      <w:r w:rsidRPr="008C7AEB">
        <w:t>Source: Table B.6-2 (p22) of the submission, Table 14-6.6.2 (p486) of Study 315 clinical study report, TGA clinical evaluation report (pp19-27), Major 2001 and Major and Coleman 2001 publications</w:t>
      </w:r>
    </w:p>
    <w:p w:rsidR="00163204" w:rsidRPr="008C7AEB" w:rsidRDefault="00163204" w:rsidP="00163204">
      <w:pPr>
        <w:pStyle w:val="TableFooter"/>
        <w:ind w:firstLine="720"/>
      </w:pPr>
      <w:r w:rsidRPr="008C7AEB">
        <w:t>Abbreviations: NR=not reported</w:t>
      </w:r>
    </w:p>
    <w:p w:rsidR="00163204" w:rsidRPr="008C7AEB" w:rsidRDefault="00163204" w:rsidP="00163204">
      <w:pPr>
        <w:pStyle w:val="ListParagraph"/>
        <w:ind w:left="0"/>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most common treatment-related adverse events for denosumab were </w:t>
      </w:r>
      <w:r w:rsidR="005602DE" w:rsidRPr="008C7AEB">
        <w:rPr>
          <w:szCs w:val="22"/>
        </w:rPr>
        <w:t>hypophosphatemia</w:t>
      </w:r>
      <w:r w:rsidRPr="008C7AEB">
        <w:rPr>
          <w:szCs w:val="22"/>
        </w:rPr>
        <w:t>, nausea and peripheral oedema. Serious adverse events that occurred most frequently were neoplasms (52% related to underlying cancer), hypercalcaemia, dyspnoea, diarrhoea and tachycardia. Two serious adverse events considered by the investigator to be possibly related to denosumab were cardiac arrest (with fatal outcome) and colitis (with pre-existing Clostridium difficile infection). All other deaths and serious adverse events were not considered to be treatment-related by the investigator.</w:t>
      </w:r>
    </w:p>
    <w:p w:rsidR="00163204" w:rsidRPr="008C7AEB" w:rsidRDefault="00163204" w:rsidP="00163204">
      <w:pPr>
        <w:pStyle w:val="ListParagraph"/>
        <w:ind w:left="0"/>
        <w:rPr>
          <w:szCs w:val="22"/>
        </w:rPr>
      </w:pPr>
    </w:p>
    <w:p w:rsidR="00163204" w:rsidRPr="008C7AEB" w:rsidRDefault="00163204" w:rsidP="00163204">
      <w:pPr>
        <w:pStyle w:val="ListParagraph"/>
        <w:widowControl/>
        <w:numPr>
          <w:ilvl w:val="1"/>
          <w:numId w:val="6"/>
        </w:numPr>
      </w:pPr>
      <w:r w:rsidRPr="008C7AEB">
        <w:rPr>
          <w:szCs w:val="22"/>
        </w:rPr>
        <w:t>There were insufficient data from the naïve indirect comparison to justify the submission’s claim of similar comparative safety between denosumab and zoledronic acid.</w:t>
      </w:r>
    </w:p>
    <w:p w:rsidR="00EA0FE9" w:rsidRPr="008C7AEB" w:rsidRDefault="00EA0FE9" w:rsidP="00EA0FE9">
      <w:pPr>
        <w:widowControl/>
        <w:jc w:val="left"/>
        <w:rPr>
          <w:szCs w:val="22"/>
        </w:rPr>
      </w:pPr>
      <w:bookmarkStart w:id="15" w:name="_Toc441050668"/>
    </w:p>
    <w:p w:rsidR="00163204" w:rsidRPr="008C7AEB" w:rsidRDefault="00163204" w:rsidP="00EA0FE9">
      <w:pPr>
        <w:widowControl/>
        <w:jc w:val="left"/>
        <w:rPr>
          <w:b/>
          <w:szCs w:val="22"/>
        </w:rPr>
      </w:pPr>
      <w:r w:rsidRPr="008C7AEB">
        <w:rPr>
          <w:b/>
          <w:i/>
        </w:rPr>
        <w:t>Benefits/harms</w:t>
      </w:r>
      <w:bookmarkEnd w:id="15"/>
    </w:p>
    <w:p w:rsidR="00163204" w:rsidRPr="008C7AEB" w:rsidRDefault="00163204" w:rsidP="00163204">
      <w:pPr>
        <w:pStyle w:val="ListParagraph"/>
        <w:ind w:left="0"/>
        <w:rPr>
          <w:szCs w:val="22"/>
        </w:rPr>
      </w:pPr>
    </w:p>
    <w:p w:rsidR="00163204" w:rsidRPr="008C7AEB" w:rsidRDefault="00163204" w:rsidP="00163204">
      <w:pPr>
        <w:pStyle w:val="ListParagraph"/>
        <w:widowControl/>
        <w:numPr>
          <w:ilvl w:val="1"/>
          <w:numId w:val="6"/>
        </w:numPr>
      </w:pPr>
      <w:r w:rsidRPr="008C7AEB">
        <w:t>There was insufficient information from the naïve indirect comparison to quantify the benefits and harms of denosumab compared to zoledronic acid in absolute terms.</w:t>
      </w:r>
    </w:p>
    <w:p w:rsidR="00163204" w:rsidRPr="008C7AEB" w:rsidRDefault="00163204" w:rsidP="00163204"/>
    <w:p w:rsidR="00163204" w:rsidRPr="008C7AEB" w:rsidRDefault="00163204" w:rsidP="00163204">
      <w:pPr>
        <w:pStyle w:val="Heading2"/>
        <w:rPr>
          <w:i/>
        </w:rPr>
      </w:pPr>
      <w:bookmarkStart w:id="16" w:name="_Toc441050669"/>
      <w:r w:rsidRPr="008C7AEB">
        <w:rPr>
          <w:i/>
        </w:rPr>
        <w:t>Clinical claim</w:t>
      </w:r>
      <w:bookmarkEnd w:id="16"/>
    </w:p>
    <w:p w:rsidR="00163204" w:rsidRPr="008C7AEB" w:rsidRDefault="00163204" w:rsidP="00163204">
      <w:pPr>
        <w:ind w:left="720" w:hanging="720"/>
        <w:rPr>
          <w:szCs w:val="22"/>
        </w:rPr>
      </w:pPr>
    </w:p>
    <w:p w:rsidR="00163204" w:rsidRPr="008C7AEB" w:rsidRDefault="00163204" w:rsidP="00163204">
      <w:pPr>
        <w:pStyle w:val="ListParagraph"/>
        <w:widowControl/>
        <w:numPr>
          <w:ilvl w:val="1"/>
          <w:numId w:val="6"/>
        </w:numPr>
        <w:rPr>
          <w:szCs w:val="22"/>
        </w:rPr>
      </w:pPr>
      <w:r w:rsidRPr="008C7AEB">
        <w:rPr>
          <w:szCs w:val="22"/>
        </w:rPr>
        <w:t>The submission described denosumab as superior in terms of comparative effectiveness and similar in terms of comparative safety compared with zoledronic acid. This claim was not adequately supported:</w:t>
      </w:r>
      <w:r w:rsidRPr="008C7AEB" w:rsidDel="00E0380F">
        <w:rPr>
          <w:szCs w:val="22"/>
        </w:rPr>
        <w:t xml:space="preserve"> </w:t>
      </w:r>
    </w:p>
    <w:p w:rsidR="00163204" w:rsidRPr="008C7AEB" w:rsidRDefault="00163204" w:rsidP="00163204">
      <w:pPr>
        <w:pStyle w:val="ListParagraph"/>
        <w:widowControl/>
        <w:numPr>
          <w:ilvl w:val="0"/>
          <w:numId w:val="22"/>
        </w:numPr>
        <w:ind w:left="1077" w:hanging="357"/>
      </w:pPr>
      <w:r w:rsidRPr="008C7AEB">
        <w:t xml:space="preserve">it </w:t>
      </w:r>
      <w:r w:rsidR="00E2799C" w:rsidRPr="008C7AEB">
        <w:t>wa</w:t>
      </w:r>
      <w:r w:rsidRPr="008C7AEB">
        <w:t>s difficult to draw reliable conclusions regarding the relative efficacy of denosumab and zoledronic acid given the uncertainties and discrepancies in the clinical evidence (high risk of bias, different treatment goals, limited applicability and exchangeability of patient populations and non-comparable outcomes).</w:t>
      </w:r>
    </w:p>
    <w:p w:rsidR="00163204" w:rsidRPr="008C7AEB" w:rsidRDefault="00163204" w:rsidP="00163204">
      <w:pPr>
        <w:pStyle w:val="ListParagraph"/>
        <w:numPr>
          <w:ilvl w:val="0"/>
          <w:numId w:val="12"/>
        </w:numPr>
      </w:pPr>
      <w:r w:rsidRPr="008C7AEB">
        <w:t xml:space="preserve">the clinical importance of the ‘complete response’ and ‘duration of response’ efficacy outcomes and whether there </w:t>
      </w:r>
      <w:r w:rsidR="00E2799C" w:rsidRPr="008C7AEB">
        <w:t>wa</w:t>
      </w:r>
      <w:r w:rsidRPr="008C7AEB">
        <w:t>s an association with patient-relevant outcomes was unclear.</w:t>
      </w:r>
    </w:p>
    <w:p w:rsidR="00163204" w:rsidRPr="008C7AEB" w:rsidRDefault="00163204" w:rsidP="00163204">
      <w:pPr>
        <w:pStyle w:val="ListParagraph"/>
        <w:numPr>
          <w:ilvl w:val="0"/>
          <w:numId w:val="12"/>
        </w:numPr>
      </w:pPr>
      <w:r w:rsidRPr="008C7AEB">
        <w:t xml:space="preserve">it may not </w:t>
      </w:r>
      <w:r w:rsidR="00E2799C" w:rsidRPr="008C7AEB">
        <w:t xml:space="preserve">have </w:t>
      </w:r>
      <w:r w:rsidRPr="008C7AEB">
        <w:t>be</w:t>
      </w:r>
      <w:r w:rsidR="00E2799C" w:rsidRPr="008C7AEB">
        <w:t>en</w:t>
      </w:r>
      <w:r w:rsidRPr="008C7AEB">
        <w:t xml:space="preserve"> reasonable to use zoledronic acid 8</w:t>
      </w:r>
      <w:r w:rsidR="00E2799C" w:rsidRPr="008C7AEB">
        <w:t> </w:t>
      </w:r>
      <w:r w:rsidRPr="008C7AEB">
        <w:t>mg retreatment as a comparator as doses above 4</w:t>
      </w:r>
      <w:r w:rsidR="00E2799C" w:rsidRPr="008C7AEB">
        <w:t> </w:t>
      </w:r>
      <w:r w:rsidRPr="008C7AEB">
        <w:t>mg are not recommended due to safety concerns.</w:t>
      </w:r>
    </w:p>
    <w:p w:rsidR="00B22C45" w:rsidRPr="008C7AEB" w:rsidRDefault="00B22C45" w:rsidP="00B22C45">
      <w:pPr>
        <w:widowControl/>
        <w:rPr>
          <w:szCs w:val="22"/>
        </w:rPr>
      </w:pPr>
    </w:p>
    <w:p w:rsidR="00B22C45" w:rsidRPr="008C7AEB" w:rsidRDefault="00B22C45" w:rsidP="00B22C45">
      <w:pPr>
        <w:pStyle w:val="ListParagraph"/>
        <w:widowControl/>
        <w:numPr>
          <w:ilvl w:val="1"/>
          <w:numId w:val="6"/>
        </w:numPr>
        <w:jc w:val="left"/>
        <w:rPr>
          <w:bCs/>
        </w:rPr>
      </w:pPr>
      <w:r w:rsidRPr="008C7AEB">
        <w:rPr>
          <w:bCs/>
          <w:szCs w:val="22"/>
        </w:rPr>
        <w:t>The PBAC considered that the claim of superior comparative effectiveness was not adequately supported by the data.</w:t>
      </w:r>
    </w:p>
    <w:p w:rsidR="00B22C45" w:rsidRPr="008C7AEB" w:rsidRDefault="00B22C45" w:rsidP="00B22C45">
      <w:pPr>
        <w:pStyle w:val="ListParagraph"/>
        <w:widowControl/>
        <w:jc w:val="left"/>
        <w:rPr>
          <w:bCs/>
          <w:szCs w:val="22"/>
        </w:rPr>
      </w:pPr>
    </w:p>
    <w:p w:rsidR="00B22C45" w:rsidRPr="008C7AEB" w:rsidRDefault="00B22C45" w:rsidP="00B22C45">
      <w:pPr>
        <w:pStyle w:val="ListParagraph"/>
        <w:widowControl/>
        <w:numPr>
          <w:ilvl w:val="1"/>
          <w:numId w:val="6"/>
        </w:numPr>
        <w:rPr>
          <w:szCs w:val="22"/>
        </w:rPr>
      </w:pPr>
      <w:r w:rsidRPr="008C7AEB">
        <w:rPr>
          <w:szCs w:val="22"/>
        </w:rPr>
        <w:t>The PBAC considered that the claim of non-inferior comparative safety was not adequately supported by the data.</w:t>
      </w:r>
    </w:p>
    <w:p w:rsidR="00163204" w:rsidRPr="008C7AEB" w:rsidRDefault="00163204" w:rsidP="00163204">
      <w:pPr>
        <w:rPr>
          <w:szCs w:val="22"/>
        </w:rPr>
      </w:pPr>
    </w:p>
    <w:p w:rsidR="00163204" w:rsidRPr="008C7AEB" w:rsidRDefault="00163204" w:rsidP="00163204">
      <w:pPr>
        <w:pStyle w:val="Heading2"/>
        <w:rPr>
          <w:i/>
        </w:rPr>
      </w:pPr>
      <w:bookmarkStart w:id="17" w:name="_Toc441050670"/>
      <w:r w:rsidRPr="008C7AEB">
        <w:rPr>
          <w:i/>
        </w:rPr>
        <w:t>Economic analysis</w:t>
      </w:r>
      <w:bookmarkEnd w:id="17"/>
      <w:r w:rsidRPr="008C7AEB">
        <w:rPr>
          <w:i/>
        </w:rPr>
        <w:t xml:space="preserve"> </w:t>
      </w:r>
    </w:p>
    <w:p w:rsidR="00163204" w:rsidRPr="008C7AEB" w:rsidRDefault="00163204" w:rsidP="00163204">
      <w:pPr>
        <w:ind w:left="720" w:hanging="720"/>
        <w:rPr>
          <w:szCs w:val="22"/>
        </w:rPr>
      </w:pPr>
    </w:p>
    <w:p w:rsidR="00163204" w:rsidRPr="008C7AEB" w:rsidRDefault="00163204" w:rsidP="00163204">
      <w:pPr>
        <w:pStyle w:val="ListParagraph"/>
        <w:widowControl/>
        <w:numPr>
          <w:ilvl w:val="1"/>
          <w:numId w:val="6"/>
        </w:numPr>
        <w:rPr>
          <w:szCs w:val="22"/>
        </w:rPr>
      </w:pPr>
      <w:r w:rsidRPr="008C7AEB">
        <w:rPr>
          <w:szCs w:val="22"/>
        </w:rPr>
        <w:t xml:space="preserve">The submission presented a trial-based cost-effectiveness analysis, based on a naïve indirect comparison between </w:t>
      </w:r>
      <w:r w:rsidR="00811E7B" w:rsidRPr="008C7AEB">
        <w:rPr>
          <w:szCs w:val="22"/>
        </w:rPr>
        <w:t xml:space="preserve">the </w:t>
      </w:r>
      <w:r w:rsidRPr="008C7AEB">
        <w:rPr>
          <w:szCs w:val="22"/>
        </w:rPr>
        <w:t xml:space="preserve">included studies (Study 315 and refractory subset of Major 2001 pooled subgroup analysis). The cost-effectiveness analysis presented an ‘incremental drug cost per day of response’. </w:t>
      </w:r>
    </w:p>
    <w:p w:rsidR="001003CB" w:rsidRPr="008C7AEB" w:rsidRDefault="001003CB" w:rsidP="001003CB">
      <w:pPr>
        <w:pStyle w:val="ListParagraph"/>
        <w:widowControl/>
        <w:rPr>
          <w:szCs w:val="22"/>
        </w:rPr>
      </w:pPr>
    </w:p>
    <w:p w:rsidR="00163204" w:rsidRPr="008C7AEB" w:rsidRDefault="001003CB" w:rsidP="00811E7B">
      <w:pPr>
        <w:pStyle w:val="ListParagraph"/>
        <w:widowControl/>
        <w:numPr>
          <w:ilvl w:val="1"/>
          <w:numId w:val="6"/>
        </w:numPr>
        <w:rPr>
          <w:szCs w:val="22"/>
        </w:rPr>
      </w:pPr>
      <w:r w:rsidRPr="008C7AEB">
        <w:rPr>
          <w:szCs w:val="22"/>
        </w:rPr>
        <w:t>The submission compared denosumab with two dose strengths of zoledronic acid (4</w:t>
      </w:r>
      <w:r w:rsidR="00E2799C" w:rsidRPr="008C7AEB">
        <w:rPr>
          <w:szCs w:val="22"/>
        </w:rPr>
        <w:t> </w:t>
      </w:r>
      <w:r w:rsidRPr="008C7AEB">
        <w:rPr>
          <w:szCs w:val="22"/>
        </w:rPr>
        <w:t>mg or 8</w:t>
      </w:r>
      <w:r w:rsidR="00E2799C" w:rsidRPr="008C7AEB">
        <w:rPr>
          <w:szCs w:val="22"/>
        </w:rPr>
        <w:t> </w:t>
      </w:r>
      <w:r w:rsidRPr="008C7AEB">
        <w:rPr>
          <w:szCs w:val="22"/>
        </w:rPr>
        <w:t>mg). It is unlikely that zoledronic acid 8</w:t>
      </w:r>
      <w:r w:rsidR="00E2799C" w:rsidRPr="008C7AEB">
        <w:rPr>
          <w:szCs w:val="22"/>
        </w:rPr>
        <w:t> </w:t>
      </w:r>
      <w:r w:rsidRPr="008C7AEB">
        <w:rPr>
          <w:szCs w:val="22"/>
        </w:rPr>
        <w:t xml:space="preserve">mg would be used in practice due to safety concerns and was excluded from the main analysis. </w:t>
      </w:r>
      <w:r w:rsidR="00254ED4" w:rsidRPr="008C7AEB">
        <w:rPr>
          <w:szCs w:val="22"/>
        </w:rPr>
        <w:t>The ESC noted that some patients that were refractory may be treated with higher the 4 mg doses of zoledronic acid however, the number of patients possibly treated as such was unknown.</w:t>
      </w:r>
    </w:p>
    <w:p w:rsidR="00163204" w:rsidRPr="008C7AEB" w:rsidRDefault="00163204" w:rsidP="00163204">
      <w:pPr>
        <w:pStyle w:val="TableFooter"/>
        <w:rPr>
          <w:rFonts w:ascii="Arial" w:hAnsi="Arial"/>
          <w:sz w:val="22"/>
        </w:rPr>
      </w:pPr>
    </w:p>
    <w:p w:rsidR="00163204" w:rsidRPr="008C7AEB" w:rsidRDefault="00426983" w:rsidP="00163204">
      <w:pPr>
        <w:pStyle w:val="ListParagraph"/>
        <w:widowControl/>
        <w:numPr>
          <w:ilvl w:val="1"/>
          <w:numId w:val="6"/>
        </w:numPr>
        <w:rPr>
          <w:szCs w:val="22"/>
        </w:rPr>
      </w:pPr>
      <w:r w:rsidRPr="008C7AEB">
        <w:rPr>
          <w:szCs w:val="22"/>
        </w:rPr>
        <w:t>The drug costs for zoledronic acid were updated during the evaluation d</w:t>
      </w:r>
      <w:r w:rsidR="00163204" w:rsidRPr="008C7AEB">
        <w:rPr>
          <w:szCs w:val="22"/>
        </w:rPr>
        <w:t>ue to generic availability from 1 December 2015</w:t>
      </w:r>
      <w:r w:rsidR="00811E7B" w:rsidRPr="008C7AEB">
        <w:rPr>
          <w:szCs w:val="22"/>
        </w:rPr>
        <w:t>.</w:t>
      </w:r>
    </w:p>
    <w:p w:rsidR="00163204" w:rsidRPr="008C7AEB" w:rsidRDefault="00163204" w:rsidP="00163204">
      <w:pPr>
        <w:pStyle w:val="ListParagraph"/>
        <w:widowControl/>
        <w:rPr>
          <w:szCs w:val="22"/>
        </w:rPr>
      </w:pPr>
    </w:p>
    <w:p w:rsidR="00163204" w:rsidRPr="008C7AEB" w:rsidRDefault="00163204" w:rsidP="00163204">
      <w:pPr>
        <w:pStyle w:val="ListParagraph"/>
        <w:numPr>
          <w:ilvl w:val="1"/>
          <w:numId w:val="6"/>
        </w:numPr>
        <w:rPr>
          <w:szCs w:val="22"/>
        </w:rPr>
      </w:pPr>
      <w:r w:rsidRPr="008C7AEB">
        <w:rPr>
          <w:szCs w:val="22"/>
        </w:rPr>
        <w:t xml:space="preserve">The numbers of doses of denosumab (4.8) and zoledronic acid (1) were based on the mean number of doses in the included studies. It was unclear if this would reflect clinical practice. </w:t>
      </w:r>
    </w:p>
    <w:p w:rsidR="00163204" w:rsidRPr="008C7AEB" w:rsidRDefault="00163204" w:rsidP="00F9255A">
      <w:pPr>
        <w:pStyle w:val="TableFooter"/>
      </w:pPr>
    </w:p>
    <w:p w:rsidR="00163204" w:rsidRPr="008C7AEB" w:rsidRDefault="00163204" w:rsidP="00163204">
      <w:pPr>
        <w:pStyle w:val="ListParagraph"/>
        <w:widowControl/>
        <w:numPr>
          <w:ilvl w:val="1"/>
          <w:numId w:val="6"/>
        </w:numPr>
        <w:rPr>
          <w:i/>
          <w:szCs w:val="22"/>
        </w:rPr>
      </w:pPr>
      <w:r w:rsidRPr="008C7AEB">
        <w:rPr>
          <w:szCs w:val="22"/>
        </w:rPr>
        <w:lastRenderedPageBreak/>
        <w:t>The parameters used in the cost-effectiveness analysis were inconsistent and non-comparable in terms of patient populations, outcome definitions and follow-up durations in each study. The proportions used in the analysis were based on different outcome definitions in each study (i.e. any response versus complete response) and lengths of follow-up. A median value was used for zoledronic as opposed a mean value for denosumab (10.5 days vs 50.6 days respectively). Lower median values were reported in Study 315 (11.5 and 34 days).</w:t>
      </w:r>
      <w:r w:rsidR="00A06EF8" w:rsidRPr="008C7AEB">
        <w:rPr>
          <w:szCs w:val="22"/>
        </w:rPr>
        <w:t xml:space="preserve"> Use of median values for denosumab </w:t>
      </w:r>
      <w:r w:rsidR="00520AFD" w:rsidRPr="008C7AEB">
        <w:rPr>
          <w:szCs w:val="22"/>
        </w:rPr>
        <w:t xml:space="preserve">would reduce the incremental benefit to 5 days and </w:t>
      </w:r>
      <w:r w:rsidR="00A06EF8" w:rsidRPr="008C7AEB">
        <w:rPr>
          <w:szCs w:val="22"/>
        </w:rPr>
        <w:t>would</w:t>
      </w:r>
      <w:r w:rsidR="00520AFD" w:rsidRPr="008C7AEB">
        <w:rPr>
          <w:szCs w:val="22"/>
        </w:rPr>
        <w:t xml:space="preserve"> consequently</w:t>
      </w:r>
      <w:r w:rsidR="00A06EF8" w:rsidRPr="008C7AEB">
        <w:rPr>
          <w:szCs w:val="22"/>
        </w:rPr>
        <w:t xml:space="preserve"> </w:t>
      </w:r>
      <w:r w:rsidR="006A6B97" w:rsidRPr="008C7AEB">
        <w:rPr>
          <w:szCs w:val="22"/>
        </w:rPr>
        <w:t>increase the incremental cost/day</w:t>
      </w:r>
      <w:r w:rsidR="00520AFD" w:rsidRPr="008C7AEB">
        <w:rPr>
          <w:szCs w:val="22"/>
        </w:rPr>
        <w:t xml:space="preserve"> (see Table </w:t>
      </w:r>
      <w:r w:rsidR="00795DB6" w:rsidRPr="008C7AEB">
        <w:rPr>
          <w:szCs w:val="22"/>
        </w:rPr>
        <w:t xml:space="preserve">6 </w:t>
      </w:r>
      <w:r w:rsidR="00520AFD" w:rsidRPr="008C7AEB">
        <w:rPr>
          <w:szCs w:val="22"/>
        </w:rPr>
        <w:t>below)</w:t>
      </w:r>
      <w:r w:rsidR="006A6B97" w:rsidRPr="008C7AEB">
        <w:rPr>
          <w:szCs w:val="22"/>
        </w:rPr>
        <w:t>.</w:t>
      </w:r>
    </w:p>
    <w:p w:rsidR="00163204" w:rsidRPr="008C7AEB" w:rsidRDefault="00163204" w:rsidP="00163204">
      <w:pPr>
        <w:pStyle w:val="ListParagraph"/>
        <w:widowControl/>
        <w:rPr>
          <w:i/>
          <w:szCs w:val="22"/>
        </w:rPr>
      </w:pPr>
    </w:p>
    <w:p w:rsidR="00163204" w:rsidRPr="008C7AEB" w:rsidRDefault="00F9255A" w:rsidP="00426983">
      <w:pPr>
        <w:pStyle w:val="ListParagraph"/>
        <w:keepNext/>
        <w:widowControl/>
        <w:numPr>
          <w:ilvl w:val="1"/>
          <w:numId w:val="6"/>
        </w:numPr>
        <w:rPr>
          <w:i/>
          <w:szCs w:val="22"/>
        </w:rPr>
      </w:pPr>
      <w:r w:rsidRPr="008C7AEB">
        <w:rPr>
          <w:rStyle w:val="CommentReference"/>
        </w:rPr>
        <w:t xml:space="preserve">Table </w:t>
      </w:r>
      <w:r w:rsidR="00BC59FD" w:rsidRPr="008C7AEB">
        <w:rPr>
          <w:rStyle w:val="CommentReference"/>
        </w:rPr>
        <w:t>6</w:t>
      </w:r>
      <w:r w:rsidR="00163204" w:rsidRPr="008C7AEB">
        <w:rPr>
          <w:rStyle w:val="CommentReference"/>
        </w:rPr>
        <w:t>: Results of trial-based cost-effectiveness analysis</w:t>
      </w:r>
    </w:p>
    <w:tbl>
      <w:tblPr>
        <w:tblStyle w:val="TableGrid"/>
        <w:tblW w:w="8363" w:type="dxa"/>
        <w:tblInd w:w="704" w:type="dxa"/>
        <w:tblLook w:val="04A0" w:firstRow="1" w:lastRow="0" w:firstColumn="1" w:lastColumn="0" w:noHBand="0" w:noVBand="1"/>
        <w:tblCaption w:val="Results of trial-based cost-effectiveness analysis"/>
      </w:tblPr>
      <w:tblGrid>
        <w:gridCol w:w="4536"/>
        <w:gridCol w:w="1275"/>
        <w:gridCol w:w="1276"/>
        <w:gridCol w:w="1276"/>
      </w:tblGrid>
      <w:tr w:rsidR="00163204" w:rsidRPr="008C7AEB" w:rsidTr="00E3598A">
        <w:trPr>
          <w:tblHeader/>
        </w:trPr>
        <w:tc>
          <w:tcPr>
            <w:tcW w:w="4536" w:type="dxa"/>
          </w:tcPr>
          <w:p w:rsidR="00163204" w:rsidRPr="008C7AEB" w:rsidRDefault="00163204" w:rsidP="00426983">
            <w:pPr>
              <w:pStyle w:val="BodyText"/>
              <w:keepNext/>
              <w:rPr>
                <w:rFonts w:ascii="Arial Narrow" w:hAnsi="Arial Narrow"/>
                <w:sz w:val="20"/>
              </w:rPr>
            </w:pPr>
          </w:p>
        </w:tc>
        <w:tc>
          <w:tcPr>
            <w:tcW w:w="1275" w:type="dxa"/>
          </w:tcPr>
          <w:p w:rsidR="00163204" w:rsidRPr="008C7AEB" w:rsidRDefault="00163204" w:rsidP="00426983">
            <w:pPr>
              <w:pStyle w:val="BodyText"/>
              <w:keepNext/>
              <w:rPr>
                <w:rFonts w:ascii="Arial Narrow" w:hAnsi="Arial Narrow"/>
                <w:b/>
                <w:sz w:val="20"/>
              </w:rPr>
            </w:pPr>
            <w:r w:rsidRPr="008C7AEB">
              <w:rPr>
                <w:rFonts w:ascii="Arial Narrow" w:hAnsi="Arial Narrow"/>
                <w:b/>
                <w:sz w:val="20"/>
              </w:rPr>
              <w:t>Incremental cost</w:t>
            </w:r>
          </w:p>
        </w:tc>
        <w:tc>
          <w:tcPr>
            <w:tcW w:w="1276" w:type="dxa"/>
          </w:tcPr>
          <w:p w:rsidR="00163204" w:rsidRPr="008C7AEB" w:rsidRDefault="00163204" w:rsidP="00426983">
            <w:pPr>
              <w:pStyle w:val="BodyText"/>
              <w:keepNext/>
              <w:rPr>
                <w:rFonts w:ascii="Arial Narrow" w:hAnsi="Arial Narrow"/>
                <w:b/>
                <w:sz w:val="20"/>
              </w:rPr>
            </w:pPr>
            <w:r w:rsidRPr="008C7AEB">
              <w:rPr>
                <w:rFonts w:ascii="Arial Narrow" w:hAnsi="Arial Narrow"/>
                <w:b/>
                <w:sz w:val="20"/>
              </w:rPr>
              <w:t>Incremental benefit (days of response)</w:t>
            </w:r>
          </w:p>
        </w:tc>
        <w:tc>
          <w:tcPr>
            <w:tcW w:w="1276" w:type="dxa"/>
          </w:tcPr>
          <w:p w:rsidR="00163204" w:rsidRPr="008C7AEB" w:rsidRDefault="00163204" w:rsidP="00426983">
            <w:pPr>
              <w:pStyle w:val="BodyText"/>
              <w:keepNext/>
              <w:rPr>
                <w:rFonts w:ascii="Arial Narrow" w:hAnsi="Arial Narrow"/>
                <w:b/>
                <w:sz w:val="20"/>
              </w:rPr>
            </w:pPr>
            <w:r w:rsidRPr="008C7AEB">
              <w:rPr>
                <w:rFonts w:ascii="Arial Narrow" w:hAnsi="Arial Narrow"/>
                <w:b/>
                <w:sz w:val="20"/>
              </w:rPr>
              <w:t>Incremental cost per day of response</w:t>
            </w:r>
          </w:p>
        </w:tc>
      </w:tr>
      <w:tr w:rsidR="00163204" w:rsidRPr="008C7AEB" w:rsidTr="00723DE8">
        <w:tc>
          <w:tcPr>
            <w:tcW w:w="8363" w:type="dxa"/>
            <w:gridSpan w:val="4"/>
          </w:tcPr>
          <w:p w:rsidR="00163204" w:rsidRPr="008C7AEB" w:rsidRDefault="00163204" w:rsidP="00723DE8">
            <w:pPr>
              <w:pStyle w:val="BodyText"/>
              <w:rPr>
                <w:rFonts w:ascii="Arial Narrow" w:hAnsi="Arial Narrow"/>
                <w:b/>
                <w:sz w:val="20"/>
              </w:rPr>
            </w:pPr>
            <w:r w:rsidRPr="008C7AEB">
              <w:rPr>
                <w:rFonts w:ascii="Arial Narrow" w:hAnsi="Arial Narrow"/>
                <w:b/>
                <w:sz w:val="20"/>
              </w:rPr>
              <w:t xml:space="preserve">Base case </w:t>
            </w:r>
          </w:p>
        </w:tc>
      </w:tr>
      <w:tr w:rsidR="00163204" w:rsidRPr="008C7AEB" w:rsidTr="00723DE8">
        <w:tc>
          <w:tcPr>
            <w:tcW w:w="4536" w:type="dxa"/>
          </w:tcPr>
          <w:p w:rsidR="00163204" w:rsidRPr="008C7AEB" w:rsidRDefault="00163204" w:rsidP="00723DE8">
            <w:pPr>
              <w:pStyle w:val="BodyText"/>
              <w:rPr>
                <w:rFonts w:ascii="Arial Narrow" w:hAnsi="Arial Narrow"/>
                <w:sz w:val="20"/>
              </w:rPr>
            </w:pPr>
            <w:r w:rsidRPr="008C7AEB">
              <w:rPr>
                <w:rFonts w:ascii="Arial Narrow" w:hAnsi="Arial Narrow"/>
                <w:sz w:val="20"/>
              </w:rPr>
              <w:t>Denosumab vs zoledronic acid 4mg</w:t>
            </w:r>
          </w:p>
        </w:tc>
        <w:tc>
          <w:tcPr>
            <w:tcW w:w="1275" w:type="dxa"/>
          </w:tcPr>
          <w:p w:rsidR="00163204" w:rsidRPr="008C7AEB" w:rsidRDefault="00163204" w:rsidP="00723DE8">
            <w:pPr>
              <w:pStyle w:val="BodyText"/>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1276" w:type="dxa"/>
          </w:tcPr>
          <w:p w:rsidR="00163204" w:rsidRPr="008C7AEB" w:rsidRDefault="00163204" w:rsidP="00723DE8">
            <w:pPr>
              <w:pStyle w:val="BodyText"/>
              <w:jc w:val="center"/>
              <w:rPr>
                <w:rFonts w:ascii="Arial Narrow" w:hAnsi="Arial Narrow"/>
                <w:sz w:val="20"/>
              </w:rPr>
            </w:pPr>
            <w:r w:rsidRPr="008C7AEB">
              <w:rPr>
                <w:rFonts w:ascii="Arial Narrow" w:hAnsi="Arial Narrow"/>
                <w:sz w:val="20"/>
              </w:rPr>
              <w:t>30</w:t>
            </w:r>
          </w:p>
        </w:tc>
        <w:tc>
          <w:tcPr>
            <w:tcW w:w="1276" w:type="dxa"/>
          </w:tcPr>
          <w:p w:rsidR="00163204" w:rsidRPr="008C7AEB" w:rsidRDefault="00163204" w:rsidP="00723DE8">
            <w:pPr>
              <w:pStyle w:val="BodyText"/>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r>
      <w:tr w:rsidR="006A6B97" w:rsidRPr="008C7AEB" w:rsidTr="00413097">
        <w:tc>
          <w:tcPr>
            <w:tcW w:w="8363" w:type="dxa"/>
            <w:gridSpan w:val="4"/>
          </w:tcPr>
          <w:p w:rsidR="006A6B97" w:rsidRPr="008C7AEB" w:rsidRDefault="006A6B97" w:rsidP="006A6B97">
            <w:pPr>
              <w:pStyle w:val="BodyText"/>
              <w:rPr>
                <w:rFonts w:ascii="Arial Narrow" w:hAnsi="Arial Narrow"/>
                <w:i/>
                <w:sz w:val="20"/>
              </w:rPr>
            </w:pPr>
            <w:r w:rsidRPr="008C7AEB">
              <w:rPr>
                <w:rFonts w:ascii="Arial Narrow" w:hAnsi="Arial Narrow"/>
                <w:i/>
                <w:sz w:val="20"/>
              </w:rPr>
              <w:t>Use of median CR values for both denosumab and zoledronic acid (10.5 vs 11.5)</w:t>
            </w:r>
          </w:p>
        </w:tc>
      </w:tr>
      <w:tr w:rsidR="006A6B97" w:rsidRPr="008C7AEB" w:rsidTr="00723DE8">
        <w:tc>
          <w:tcPr>
            <w:tcW w:w="4536" w:type="dxa"/>
          </w:tcPr>
          <w:p w:rsidR="006A6B97" w:rsidRPr="008C7AEB" w:rsidRDefault="006A6B97" w:rsidP="006A6B97">
            <w:pPr>
              <w:pStyle w:val="BodyText"/>
              <w:tabs>
                <w:tab w:val="left" w:pos="1410"/>
              </w:tabs>
              <w:rPr>
                <w:rFonts w:ascii="Arial Narrow" w:hAnsi="Arial Narrow"/>
                <w:i/>
                <w:sz w:val="20"/>
              </w:rPr>
            </w:pPr>
            <w:r w:rsidRPr="008C7AEB">
              <w:rPr>
                <w:rFonts w:ascii="Arial Narrow" w:hAnsi="Arial Narrow"/>
                <w:i/>
                <w:sz w:val="20"/>
              </w:rPr>
              <w:t>Denosumab vs zoledronic acid 4mg</w:t>
            </w:r>
          </w:p>
        </w:tc>
        <w:tc>
          <w:tcPr>
            <w:tcW w:w="1275" w:type="dxa"/>
          </w:tcPr>
          <w:p w:rsidR="006A6B97" w:rsidRPr="008C7AEB" w:rsidRDefault="006A6B97" w:rsidP="00723DE8">
            <w:pPr>
              <w:pStyle w:val="BodyText"/>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1276" w:type="dxa"/>
          </w:tcPr>
          <w:p w:rsidR="006A6B97" w:rsidRPr="008C7AEB" w:rsidRDefault="00520AFD" w:rsidP="00723DE8">
            <w:pPr>
              <w:pStyle w:val="BodyText"/>
              <w:jc w:val="center"/>
              <w:rPr>
                <w:rFonts w:ascii="Arial Narrow" w:hAnsi="Arial Narrow"/>
                <w:i/>
                <w:sz w:val="20"/>
              </w:rPr>
            </w:pPr>
            <w:r w:rsidRPr="008C7AEB">
              <w:rPr>
                <w:rFonts w:ascii="Arial Narrow" w:hAnsi="Arial Narrow"/>
                <w:i/>
                <w:sz w:val="20"/>
              </w:rPr>
              <w:t>5</w:t>
            </w:r>
          </w:p>
        </w:tc>
        <w:tc>
          <w:tcPr>
            <w:tcW w:w="1276" w:type="dxa"/>
          </w:tcPr>
          <w:p w:rsidR="006A6B97" w:rsidRPr="008C7AEB" w:rsidRDefault="006A6B97" w:rsidP="00723DE8">
            <w:pPr>
              <w:pStyle w:val="BodyText"/>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r>
    </w:tbl>
    <w:p w:rsidR="00163204" w:rsidRPr="008C7AEB" w:rsidRDefault="00163204" w:rsidP="00163204">
      <w:pPr>
        <w:pStyle w:val="TableFooter"/>
        <w:ind w:firstLine="720"/>
      </w:pPr>
      <w:r w:rsidRPr="008C7AEB">
        <w:t>Source: Table D.4-1 (p28) of the submission</w:t>
      </w:r>
    </w:p>
    <w:p w:rsidR="00163204" w:rsidRPr="008C7AEB" w:rsidRDefault="00163204" w:rsidP="00163204">
      <w:pPr>
        <w:pStyle w:val="TableFooter"/>
        <w:ind w:firstLine="720"/>
        <w:rPr>
          <w:i/>
        </w:rPr>
      </w:pPr>
      <w:r w:rsidRPr="008C7AEB">
        <w:rPr>
          <w:i/>
        </w:rPr>
        <w:t>Values in italics were recalculated using 1 December 2015 PBS prices for zoledronic acid 4</w:t>
      </w:r>
      <w:r w:rsidR="00795DB6" w:rsidRPr="008C7AEB">
        <w:rPr>
          <w:i/>
        </w:rPr>
        <w:t> </w:t>
      </w:r>
      <w:r w:rsidRPr="008C7AEB">
        <w:rPr>
          <w:i/>
        </w:rPr>
        <w:t>mg</w:t>
      </w:r>
    </w:p>
    <w:p w:rsidR="00163204" w:rsidRPr="008C7AEB" w:rsidRDefault="00163204" w:rsidP="00163204">
      <w:pPr>
        <w:pStyle w:val="TableFooter"/>
        <w:ind w:firstLine="720"/>
        <w:rPr>
          <w:rFonts w:ascii="Arial" w:hAnsi="Arial"/>
          <w:i/>
          <w:sz w:val="22"/>
        </w:rPr>
      </w:pPr>
    </w:p>
    <w:p w:rsidR="00163204" w:rsidRPr="008C7AEB" w:rsidRDefault="00163204" w:rsidP="00163204">
      <w:pPr>
        <w:pStyle w:val="ListParagraph"/>
        <w:widowControl/>
        <w:numPr>
          <w:ilvl w:val="1"/>
          <w:numId w:val="6"/>
        </w:numPr>
        <w:rPr>
          <w:szCs w:val="22"/>
        </w:rPr>
      </w:pPr>
      <w:r w:rsidRPr="008C7AEB">
        <w:rPr>
          <w:szCs w:val="22"/>
        </w:rPr>
        <w:t>The result from the analysis was uninformative given the difficulty in interpreting ‘incremental cost per day of response’.</w:t>
      </w:r>
    </w:p>
    <w:p w:rsidR="00163204" w:rsidRPr="008C7AEB" w:rsidRDefault="00163204" w:rsidP="00163204">
      <w:pPr>
        <w:pStyle w:val="ListParagraph"/>
        <w:widowControl/>
        <w:rPr>
          <w:i/>
          <w:szCs w:val="22"/>
        </w:rPr>
      </w:pPr>
    </w:p>
    <w:p w:rsidR="00163204" w:rsidRPr="008C7AEB" w:rsidRDefault="00163204" w:rsidP="00163204">
      <w:pPr>
        <w:pStyle w:val="ListParagraph"/>
        <w:widowControl/>
        <w:numPr>
          <w:ilvl w:val="1"/>
          <w:numId w:val="6"/>
        </w:numPr>
      </w:pPr>
      <w:r w:rsidRPr="008C7AEB">
        <w:rPr>
          <w:szCs w:val="22"/>
        </w:rPr>
        <w:t>The submission acknowledged the inability to construct a robust economic model given the limited clinical evidence available. The cost-effectiveness analysis was unreliable and uninformative due to clinical uncertainties and lack of robustness.</w:t>
      </w:r>
    </w:p>
    <w:p w:rsidR="00163204" w:rsidRPr="008C7AEB" w:rsidRDefault="00163204" w:rsidP="00163204">
      <w:pPr>
        <w:pStyle w:val="ListParagraph"/>
        <w:widowControl/>
        <w:rPr>
          <w:szCs w:val="22"/>
        </w:rPr>
      </w:pPr>
    </w:p>
    <w:p w:rsidR="00163204" w:rsidRPr="008C7AEB" w:rsidRDefault="00163204" w:rsidP="00163204">
      <w:pPr>
        <w:pStyle w:val="Heading2"/>
        <w:rPr>
          <w:i/>
          <w:szCs w:val="22"/>
        </w:rPr>
      </w:pPr>
      <w:bookmarkStart w:id="18" w:name="_Toc441050671"/>
      <w:r w:rsidRPr="008C7AEB">
        <w:rPr>
          <w:i/>
        </w:rPr>
        <w:t>Denosumab cost/patient/course: $</w:t>
      </w:r>
      <w:bookmarkEnd w:id="18"/>
      <w:r w:rsidR="007110DB">
        <w:rPr>
          <w:i/>
          <w:noProof/>
          <w:color w:val="000000"/>
          <w:highlight w:val="black"/>
        </w:rPr>
        <w:t>''''''''''''''''</w:t>
      </w:r>
    </w:p>
    <w:p w:rsidR="00163204" w:rsidRPr="008C7AEB" w:rsidRDefault="00163204" w:rsidP="00163204">
      <w:pPr>
        <w:widowControl/>
        <w:rPr>
          <w:szCs w:val="22"/>
        </w:rPr>
      </w:pPr>
    </w:p>
    <w:p w:rsidR="00163204" w:rsidRPr="008C7AEB" w:rsidRDefault="00163204" w:rsidP="00163204">
      <w:pPr>
        <w:pStyle w:val="ListParagraph"/>
        <w:widowControl/>
        <w:numPr>
          <w:ilvl w:val="1"/>
          <w:numId w:val="6"/>
        </w:numPr>
        <w:rPr>
          <w:szCs w:val="22"/>
        </w:rPr>
      </w:pPr>
      <w:r w:rsidRPr="008C7AEB">
        <w:rPr>
          <w:szCs w:val="22"/>
        </w:rPr>
        <w:t>The estimated cost of denosumab assumed 5 scripts of denosumab at $</w:t>
      </w:r>
      <w:r w:rsidR="007110DB">
        <w:rPr>
          <w:noProof/>
          <w:color w:val="000000"/>
          <w:szCs w:val="22"/>
          <w:highlight w:val="black"/>
        </w:rPr>
        <w:t>''''''''''''''''''</w:t>
      </w:r>
      <w:r w:rsidRPr="008C7AEB">
        <w:rPr>
          <w:szCs w:val="22"/>
        </w:rPr>
        <w:t xml:space="preserve"> per script. The comparative cost of zoledronic acid was $</w:t>
      </w:r>
      <w:r w:rsidR="007110DB">
        <w:rPr>
          <w:noProof/>
          <w:color w:val="000000"/>
          <w:szCs w:val="22"/>
          <w:highlight w:val="black"/>
        </w:rPr>
        <w:t>'''''''''''''''</w:t>
      </w:r>
      <w:r w:rsidRPr="008C7AEB">
        <w:rPr>
          <w:szCs w:val="22"/>
        </w:rPr>
        <w:t>, assuming 1 script of zoledronic acid 4</w:t>
      </w:r>
      <w:r w:rsidR="00795DB6" w:rsidRPr="008C7AEB">
        <w:rPr>
          <w:szCs w:val="22"/>
        </w:rPr>
        <w:t> </w:t>
      </w:r>
      <w:r w:rsidRPr="008C7AEB">
        <w:rPr>
          <w:szCs w:val="22"/>
        </w:rPr>
        <w:t>mg (50:50 mix of public and private hospital administration) per course of therapy.</w:t>
      </w:r>
    </w:p>
    <w:p w:rsidR="00163204" w:rsidRPr="008C7AEB" w:rsidRDefault="00163204" w:rsidP="00163204">
      <w:pPr>
        <w:rPr>
          <w:szCs w:val="22"/>
        </w:rPr>
      </w:pPr>
    </w:p>
    <w:p w:rsidR="00163204" w:rsidRPr="008C7AEB" w:rsidRDefault="00163204" w:rsidP="00163204">
      <w:pPr>
        <w:pStyle w:val="Heading2"/>
        <w:rPr>
          <w:i/>
        </w:rPr>
      </w:pPr>
      <w:bookmarkStart w:id="19" w:name="_Toc441050672"/>
      <w:r w:rsidRPr="008C7AEB">
        <w:rPr>
          <w:i/>
        </w:rPr>
        <w:t>Estimated PBS usage &amp; financial implications</w:t>
      </w:r>
      <w:bookmarkEnd w:id="19"/>
    </w:p>
    <w:p w:rsidR="00163204" w:rsidRPr="008C7AEB" w:rsidRDefault="00163204" w:rsidP="00163204">
      <w:pPr>
        <w:ind w:left="720" w:hanging="720"/>
        <w:rPr>
          <w:b/>
          <w:i/>
          <w:szCs w:val="22"/>
        </w:rPr>
      </w:pPr>
    </w:p>
    <w:p w:rsidR="00163204" w:rsidRPr="008C7AEB" w:rsidRDefault="00163204" w:rsidP="00163204">
      <w:pPr>
        <w:pStyle w:val="ListParagraph"/>
        <w:widowControl/>
        <w:numPr>
          <w:ilvl w:val="1"/>
          <w:numId w:val="6"/>
        </w:numPr>
        <w:rPr>
          <w:szCs w:val="22"/>
        </w:rPr>
      </w:pPr>
      <w:r w:rsidRPr="008C7AEB">
        <w:t>The submission used a market share approach to estimate the utilisation and financial implications of listing denosumab. Key sources used were the 10% Medicare sample including Authority indications of use to estimate the number of patients receiving treatment for hypercalcaemia of malignancy; the AIHW Australian Cancer Incidence and Mortality books to estimate the annual growth of patients with hypercalcaemia of malignancy; and the Major 2001 study to estimate the proportion of refractory patients.</w:t>
      </w:r>
    </w:p>
    <w:p w:rsidR="001D4331" w:rsidRPr="008C7AEB" w:rsidRDefault="001D4331" w:rsidP="001D4331">
      <w:pPr>
        <w:pStyle w:val="ListParagraph"/>
        <w:widowControl/>
        <w:rPr>
          <w:szCs w:val="22"/>
        </w:rPr>
      </w:pPr>
    </w:p>
    <w:p w:rsidR="001D4331" w:rsidRPr="008C7AEB" w:rsidRDefault="001D4331" w:rsidP="001D4331">
      <w:pPr>
        <w:pStyle w:val="ListParagraph"/>
        <w:widowControl/>
        <w:numPr>
          <w:ilvl w:val="1"/>
          <w:numId w:val="6"/>
        </w:numPr>
        <w:rPr>
          <w:szCs w:val="22"/>
        </w:rPr>
      </w:pPr>
      <w:r w:rsidRPr="008C7AEB">
        <w:t>The submissi</w:t>
      </w:r>
      <w:r w:rsidR="004E037C" w:rsidRPr="008C7AEB">
        <w:t>on was not considered by DUSC. H</w:t>
      </w:r>
      <w:r w:rsidRPr="008C7AEB">
        <w:t xml:space="preserve">owever, </w:t>
      </w:r>
      <w:r w:rsidRPr="008C7AEB">
        <w:rPr>
          <w:iCs/>
        </w:rPr>
        <w:t xml:space="preserve">the DUSC Secretariat provided updated estimates of expected patients with hypercalcaemia of malignancy based on available PBS patient </w:t>
      </w:r>
      <w:r w:rsidR="00FA1D3C" w:rsidRPr="008C7AEB">
        <w:rPr>
          <w:iCs/>
        </w:rPr>
        <w:t>data that</w:t>
      </w:r>
      <w:r w:rsidRPr="008C7AEB">
        <w:rPr>
          <w:iCs/>
        </w:rPr>
        <w:t xml:space="preserve"> </w:t>
      </w:r>
      <w:r w:rsidR="004E037C" w:rsidRPr="008C7AEB">
        <w:rPr>
          <w:iCs/>
        </w:rPr>
        <w:t>w</w:t>
      </w:r>
      <w:r w:rsidR="001466AC" w:rsidRPr="008C7AEB">
        <w:rPr>
          <w:iCs/>
        </w:rPr>
        <w:t>ere</w:t>
      </w:r>
      <w:r w:rsidR="008D6F7F" w:rsidRPr="008C7AEB">
        <w:rPr>
          <w:iCs/>
        </w:rPr>
        <w:t xml:space="preserve"> incorporated in</w:t>
      </w:r>
      <w:r w:rsidRPr="008C7AEB">
        <w:rPr>
          <w:iCs/>
        </w:rPr>
        <w:t xml:space="preserve"> the estimated use and financial implications</w:t>
      </w:r>
      <w:r w:rsidRPr="008C7AEB">
        <w:t>.</w:t>
      </w:r>
    </w:p>
    <w:p w:rsidR="00BC5BD2" w:rsidRDefault="00BC5BD2">
      <w:pPr>
        <w:widowControl/>
        <w:jc w:val="left"/>
        <w:rPr>
          <w:szCs w:val="22"/>
        </w:rPr>
      </w:pPr>
      <w:r>
        <w:rPr>
          <w:szCs w:val="22"/>
        </w:rPr>
        <w:br w:type="page"/>
      </w:r>
    </w:p>
    <w:p w:rsidR="002E5A7F" w:rsidRPr="008C7AEB" w:rsidRDefault="002E5A7F" w:rsidP="003E658F">
      <w:pPr>
        <w:widowControl/>
        <w:jc w:val="left"/>
        <w:rPr>
          <w:szCs w:val="22"/>
        </w:rPr>
      </w:pPr>
    </w:p>
    <w:p w:rsidR="00163204" w:rsidRPr="008C7AEB" w:rsidRDefault="00163204" w:rsidP="00426983">
      <w:pPr>
        <w:pStyle w:val="ListParagraph"/>
        <w:numPr>
          <w:ilvl w:val="1"/>
          <w:numId w:val="6"/>
        </w:numPr>
        <w:rPr>
          <w:rStyle w:val="CommentReference"/>
          <w:rFonts w:ascii="Arial" w:hAnsi="Arial"/>
          <w:b w:val="0"/>
          <w:sz w:val="22"/>
          <w:szCs w:val="22"/>
        </w:rPr>
      </w:pPr>
      <w:r w:rsidRPr="008C7AEB">
        <w:rPr>
          <w:rStyle w:val="CommentReference"/>
        </w:rPr>
        <w:t xml:space="preserve">Table </w:t>
      </w:r>
      <w:r w:rsidR="00BC59FD" w:rsidRPr="008C7AEB">
        <w:rPr>
          <w:rStyle w:val="CommentReference"/>
        </w:rPr>
        <w:t>7</w:t>
      </w:r>
      <w:r w:rsidRPr="008C7AEB">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2"/>
        <w:gridCol w:w="998"/>
        <w:gridCol w:w="998"/>
        <w:gridCol w:w="997"/>
        <w:gridCol w:w="997"/>
        <w:gridCol w:w="965"/>
      </w:tblGrid>
      <w:tr w:rsidR="00163204" w:rsidRPr="008C7AEB" w:rsidTr="00723DE8">
        <w:trPr>
          <w:tblHeader/>
        </w:trPr>
        <w:tc>
          <w:tcPr>
            <w:tcW w:w="2033" w:type="pct"/>
            <w:shd w:val="clear" w:color="auto" w:fill="auto"/>
            <w:vAlign w:val="center"/>
          </w:tcPr>
          <w:p w:rsidR="00163204" w:rsidRPr="008C7AEB" w:rsidRDefault="00163204" w:rsidP="00426983">
            <w:pPr>
              <w:tabs>
                <w:tab w:val="left" w:pos="142"/>
              </w:tabs>
              <w:jc w:val="left"/>
              <w:rPr>
                <w:rFonts w:ascii="Arial Narrow" w:hAnsi="Arial Narrow"/>
                <w:b/>
                <w:sz w:val="20"/>
              </w:rPr>
            </w:pPr>
          </w:p>
        </w:tc>
        <w:tc>
          <w:tcPr>
            <w:tcW w:w="599" w:type="pct"/>
            <w:shd w:val="clear" w:color="auto" w:fill="auto"/>
            <w:vAlign w:val="center"/>
          </w:tcPr>
          <w:p w:rsidR="00163204" w:rsidRPr="008C7AEB" w:rsidRDefault="00163204" w:rsidP="00426983">
            <w:pPr>
              <w:jc w:val="center"/>
              <w:rPr>
                <w:rFonts w:ascii="Arial Narrow" w:hAnsi="Arial Narrow"/>
                <w:b/>
                <w:sz w:val="20"/>
              </w:rPr>
            </w:pPr>
            <w:r w:rsidRPr="008C7AEB">
              <w:rPr>
                <w:rFonts w:ascii="Arial Narrow" w:hAnsi="Arial Narrow"/>
                <w:b/>
                <w:sz w:val="20"/>
              </w:rPr>
              <w:t>Year 1</w:t>
            </w:r>
          </w:p>
        </w:tc>
        <w:tc>
          <w:tcPr>
            <w:tcW w:w="599" w:type="pct"/>
            <w:shd w:val="clear" w:color="auto" w:fill="auto"/>
            <w:vAlign w:val="center"/>
          </w:tcPr>
          <w:p w:rsidR="00163204" w:rsidRPr="008C7AEB" w:rsidRDefault="00163204" w:rsidP="00426983">
            <w:pPr>
              <w:jc w:val="center"/>
              <w:rPr>
                <w:rFonts w:ascii="Arial Narrow" w:hAnsi="Arial Narrow"/>
                <w:b/>
                <w:sz w:val="20"/>
              </w:rPr>
            </w:pPr>
            <w:r w:rsidRPr="008C7AEB">
              <w:rPr>
                <w:rFonts w:ascii="Arial Narrow" w:hAnsi="Arial Narrow"/>
                <w:b/>
                <w:sz w:val="20"/>
              </w:rPr>
              <w:t>Year 2</w:t>
            </w:r>
          </w:p>
        </w:tc>
        <w:tc>
          <w:tcPr>
            <w:tcW w:w="598" w:type="pct"/>
            <w:shd w:val="clear" w:color="auto" w:fill="auto"/>
            <w:vAlign w:val="center"/>
          </w:tcPr>
          <w:p w:rsidR="00163204" w:rsidRPr="008C7AEB" w:rsidRDefault="00163204" w:rsidP="00426983">
            <w:pPr>
              <w:jc w:val="center"/>
              <w:rPr>
                <w:rFonts w:ascii="Arial Narrow" w:hAnsi="Arial Narrow"/>
                <w:b/>
                <w:sz w:val="20"/>
              </w:rPr>
            </w:pPr>
            <w:r w:rsidRPr="008C7AEB">
              <w:rPr>
                <w:rFonts w:ascii="Arial Narrow" w:hAnsi="Arial Narrow"/>
                <w:b/>
                <w:sz w:val="20"/>
              </w:rPr>
              <w:t>Year 3</w:t>
            </w:r>
          </w:p>
        </w:tc>
        <w:tc>
          <w:tcPr>
            <w:tcW w:w="598" w:type="pct"/>
            <w:shd w:val="clear" w:color="auto" w:fill="auto"/>
            <w:vAlign w:val="center"/>
          </w:tcPr>
          <w:p w:rsidR="00163204" w:rsidRPr="008C7AEB" w:rsidRDefault="00163204" w:rsidP="00426983">
            <w:pPr>
              <w:jc w:val="center"/>
              <w:rPr>
                <w:rFonts w:ascii="Arial Narrow" w:hAnsi="Arial Narrow"/>
                <w:b/>
                <w:sz w:val="20"/>
              </w:rPr>
            </w:pPr>
            <w:r w:rsidRPr="008C7AEB">
              <w:rPr>
                <w:rFonts w:ascii="Arial Narrow" w:hAnsi="Arial Narrow"/>
                <w:b/>
                <w:sz w:val="20"/>
              </w:rPr>
              <w:t>Year 4</w:t>
            </w:r>
          </w:p>
        </w:tc>
        <w:tc>
          <w:tcPr>
            <w:tcW w:w="573" w:type="pct"/>
            <w:shd w:val="clear" w:color="auto" w:fill="auto"/>
            <w:vAlign w:val="center"/>
          </w:tcPr>
          <w:p w:rsidR="00163204" w:rsidRPr="008C7AEB" w:rsidRDefault="00163204" w:rsidP="00426983">
            <w:pPr>
              <w:jc w:val="center"/>
              <w:rPr>
                <w:rFonts w:ascii="Arial Narrow" w:hAnsi="Arial Narrow"/>
                <w:b/>
                <w:sz w:val="20"/>
              </w:rPr>
            </w:pPr>
            <w:r w:rsidRPr="008C7AEB">
              <w:rPr>
                <w:rFonts w:ascii="Arial Narrow" w:hAnsi="Arial Narrow"/>
                <w:b/>
                <w:sz w:val="20"/>
              </w:rPr>
              <w:t>Year 5</w:t>
            </w:r>
          </w:p>
        </w:tc>
      </w:tr>
      <w:tr w:rsidR="00163204" w:rsidRPr="008C7AEB" w:rsidTr="00723DE8">
        <w:tc>
          <w:tcPr>
            <w:tcW w:w="5000" w:type="pct"/>
            <w:gridSpan w:val="6"/>
            <w:shd w:val="clear" w:color="auto" w:fill="auto"/>
            <w:vAlign w:val="center"/>
          </w:tcPr>
          <w:p w:rsidR="00163204" w:rsidRPr="008C7AEB" w:rsidRDefault="00163204" w:rsidP="00426983">
            <w:pPr>
              <w:jc w:val="left"/>
              <w:rPr>
                <w:rFonts w:ascii="Arial Narrow" w:hAnsi="Arial Narrow"/>
                <w:b/>
                <w:bCs/>
                <w:color w:val="000000"/>
                <w:sz w:val="20"/>
              </w:rPr>
            </w:pPr>
            <w:r w:rsidRPr="008C7AEB">
              <w:rPr>
                <w:rFonts w:ascii="Arial Narrow" w:hAnsi="Arial Narrow"/>
                <w:b/>
                <w:bCs/>
                <w:color w:val="000000"/>
                <w:sz w:val="20"/>
              </w:rPr>
              <w:t>Estimated extent of use</w:t>
            </w:r>
            <w:r w:rsidR="00C330B5" w:rsidRPr="008C7AEB">
              <w:rPr>
                <w:rFonts w:ascii="Arial Narrow" w:hAnsi="Arial Narrow"/>
                <w:b/>
                <w:bCs/>
                <w:color w:val="000000"/>
                <w:sz w:val="20"/>
              </w:rPr>
              <w:t xml:space="preserve"> (submission estimates)</w:t>
            </w:r>
          </w:p>
        </w:tc>
      </w:tr>
      <w:tr w:rsidR="00163204" w:rsidRPr="008C7AEB" w:rsidTr="00723DE8">
        <w:tc>
          <w:tcPr>
            <w:tcW w:w="2033" w:type="pct"/>
            <w:shd w:val="clear" w:color="auto" w:fill="auto"/>
            <w:vAlign w:val="center"/>
          </w:tcPr>
          <w:p w:rsidR="00163204" w:rsidRPr="008C7AEB" w:rsidRDefault="00163204" w:rsidP="00426983">
            <w:pPr>
              <w:tabs>
                <w:tab w:val="left" w:pos="142"/>
              </w:tabs>
              <w:jc w:val="left"/>
              <w:rPr>
                <w:rFonts w:ascii="Arial Narrow" w:hAnsi="Arial Narrow"/>
                <w:sz w:val="20"/>
              </w:rPr>
            </w:pPr>
            <w:r w:rsidRPr="008C7AEB">
              <w:rPr>
                <w:rFonts w:ascii="Arial Narrow" w:hAnsi="Arial Narrow"/>
                <w:sz w:val="20"/>
              </w:rPr>
              <w:t>Number of patients on bisphosphonates for HCM</w:t>
            </w:r>
          </w:p>
        </w:tc>
        <w:tc>
          <w:tcPr>
            <w:tcW w:w="599" w:type="pct"/>
            <w:shd w:val="clear" w:color="auto" w:fill="auto"/>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9" w:type="pct"/>
            <w:shd w:val="clear" w:color="auto" w:fill="auto"/>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8" w:type="pct"/>
            <w:shd w:val="clear" w:color="auto" w:fill="auto"/>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8" w:type="pct"/>
            <w:shd w:val="clear" w:color="auto" w:fill="auto"/>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73" w:type="pct"/>
            <w:shd w:val="clear" w:color="auto" w:fill="auto"/>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163204" w:rsidRPr="008C7AEB" w:rsidTr="00723DE8">
        <w:tc>
          <w:tcPr>
            <w:tcW w:w="2033" w:type="pct"/>
            <w:shd w:val="clear" w:color="auto" w:fill="auto"/>
            <w:vAlign w:val="center"/>
          </w:tcPr>
          <w:p w:rsidR="00163204" w:rsidRPr="008C7AEB" w:rsidRDefault="00163204" w:rsidP="00426983">
            <w:pPr>
              <w:tabs>
                <w:tab w:val="left" w:pos="142"/>
              </w:tabs>
              <w:jc w:val="left"/>
              <w:rPr>
                <w:rFonts w:ascii="Arial Narrow" w:hAnsi="Arial Narrow"/>
                <w:sz w:val="20"/>
              </w:rPr>
            </w:pPr>
            <w:r w:rsidRPr="008C7AEB">
              <w:rPr>
                <w:rFonts w:ascii="Arial Narrow" w:hAnsi="Arial Narrow"/>
                <w:sz w:val="20"/>
              </w:rPr>
              <w:t>Number of refractory HCM patients (32%)</w:t>
            </w:r>
          </w:p>
        </w:tc>
        <w:tc>
          <w:tcPr>
            <w:tcW w:w="599" w:type="pct"/>
            <w:tcBorders>
              <w:top w:val="single" w:sz="4" w:space="0" w:color="auto"/>
              <w:bottom w:val="nil"/>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9" w:type="pct"/>
            <w:tcBorders>
              <w:top w:val="single" w:sz="4" w:space="0" w:color="auto"/>
              <w:bottom w:val="nil"/>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top w:val="single" w:sz="4" w:space="0" w:color="auto"/>
              <w:bottom w:val="nil"/>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top w:val="single" w:sz="4" w:space="0" w:color="auto"/>
              <w:bottom w:val="nil"/>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73" w:type="pct"/>
            <w:tcBorders>
              <w:top w:val="single" w:sz="4" w:space="0" w:color="auto"/>
              <w:bottom w:val="nil"/>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163204" w:rsidRPr="008C7AEB" w:rsidTr="00723DE8">
        <w:tc>
          <w:tcPr>
            <w:tcW w:w="2033" w:type="pct"/>
            <w:shd w:val="clear" w:color="auto" w:fill="auto"/>
            <w:vAlign w:val="center"/>
          </w:tcPr>
          <w:p w:rsidR="00163204" w:rsidRPr="008C7AEB" w:rsidRDefault="00163204" w:rsidP="00426983">
            <w:pPr>
              <w:tabs>
                <w:tab w:val="left" w:pos="142"/>
              </w:tabs>
              <w:jc w:val="left"/>
              <w:rPr>
                <w:rFonts w:ascii="Arial Narrow" w:hAnsi="Arial Narrow"/>
                <w:sz w:val="20"/>
              </w:rPr>
            </w:pPr>
            <w:r w:rsidRPr="008C7AEB">
              <w:rPr>
                <w:rFonts w:ascii="Arial Narrow" w:hAnsi="Arial Narrow"/>
                <w:sz w:val="20"/>
              </w:rPr>
              <w:t>Scripts</w:t>
            </w:r>
            <w:r w:rsidRPr="008C7AEB">
              <w:rPr>
                <w:rFonts w:ascii="Arial Narrow" w:hAnsi="Arial Narrow"/>
                <w:sz w:val="20"/>
                <w:vertAlign w:val="superscript"/>
              </w:rPr>
              <w:t>a</w:t>
            </w:r>
          </w:p>
        </w:tc>
        <w:tc>
          <w:tcPr>
            <w:tcW w:w="599" w:type="pct"/>
            <w:tcBorders>
              <w:bottom w:val="single" w:sz="4" w:space="0" w:color="auto"/>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9" w:type="pct"/>
            <w:tcBorders>
              <w:bottom w:val="single" w:sz="4" w:space="0" w:color="auto"/>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bottom w:val="single" w:sz="4" w:space="0" w:color="auto"/>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bottom w:val="single" w:sz="4" w:space="0" w:color="auto"/>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73" w:type="pct"/>
            <w:tcBorders>
              <w:bottom w:val="single" w:sz="4" w:space="0" w:color="auto"/>
            </w:tcBorders>
            <w:vAlign w:val="center"/>
          </w:tcPr>
          <w:p w:rsidR="00163204" w:rsidRPr="007110DB" w:rsidRDefault="007110DB" w:rsidP="00426983">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163204" w:rsidRPr="008C7AEB" w:rsidTr="00723DE8">
        <w:tc>
          <w:tcPr>
            <w:tcW w:w="2033" w:type="pct"/>
            <w:tcBorders>
              <w:bottom w:val="double" w:sz="4" w:space="0" w:color="auto"/>
            </w:tcBorders>
            <w:shd w:val="clear" w:color="auto" w:fill="auto"/>
            <w:vAlign w:val="center"/>
          </w:tcPr>
          <w:p w:rsidR="00163204" w:rsidRPr="008C7AEB" w:rsidRDefault="00163204" w:rsidP="00426983">
            <w:pPr>
              <w:tabs>
                <w:tab w:val="left" w:pos="142"/>
              </w:tabs>
              <w:jc w:val="left"/>
              <w:rPr>
                <w:rFonts w:ascii="Arial Narrow" w:hAnsi="Arial Narrow"/>
                <w:sz w:val="20"/>
                <w:szCs w:val="19"/>
              </w:rPr>
            </w:pPr>
            <w:r w:rsidRPr="008C7AEB">
              <w:rPr>
                <w:rFonts w:ascii="Arial Narrow" w:hAnsi="Arial Narrow"/>
                <w:sz w:val="20"/>
                <w:szCs w:val="19"/>
              </w:rPr>
              <w:t xml:space="preserve">Net cost of denosumab to PBS/RPBS </w:t>
            </w:r>
          </w:p>
          <w:p w:rsidR="00163204" w:rsidRPr="008C7AEB" w:rsidRDefault="00163204" w:rsidP="00426983">
            <w:pPr>
              <w:tabs>
                <w:tab w:val="left" w:pos="142"/>
              </w:tabs>
              <w:jc w:val="left"/>
              <w:rPr>
                <w:rFonts w:ascii="Arial Narrow" w:hAnsi="Arial Narrow"/>
                <w:sz w:val="20"/>
              </w:rPr>
            </w:pPr>
            <w:r w:rsidRPr="008C7AEB">
              <w:rPr>
                <w:rFonts w:ascii="Arial Narrow" w:hAnsi="Arial Narrow"/>
                <w:sz w:val="20"/>
                <w:szCs w:val="19"/>
              </w:rPr>
              <w:t>(less patient co-payment</w:t>
            </w:r>
            <w:r w:rsidRPr="008C7AEB">
              <w:rPr>
                <w:rFonts w:ascii="Arial Narrow" w:hAnsi="Arial Narrow"/>
                <w:sz w:val="20"/>
                <w:szCs w:val="19"/>
                <w:vertAlign w:val="superscript"/>
              </w:rPr>
              <w:t>b</w:t>
            </w:r>
            <w:r w:rsidRPr="008C7AEB">
              <w:rPr>
                <w:rFonts w:ascii="Arial Narrow" w:hAnsi="Arial Narrow"/>
                <w:sz w:val="20"/>
                <w:szCs w:val="19"/>
              </w:rPr>
              <w:t>)</w:t>
            </w:r>
          </w:p>
        </w:tc>
        <w:tc>
          <w:tcPr>
            <w:tcW w:w="599" w:type="pct"/>
            <w:tcBorders>
              <w:bottom w:val="double" w:sz="4" w:space="0" w:color="auto"/>
            </w:tcBorders>
            <w:vAlign w:val="center"/>
          </w:tcPr>
          <w:p w:rsidR="00163204" w:rsidRPr="008C7AEB" w:rsidRDefault="00163204" w:rsidP="00426983">
            <w:pPr>
              <w:jc w:val="center"/>
              <w:rPr>
                <w:rFonts w:ascii="Arial Narrow" w:hAnsi="Arial Narrow"/>
                <w:bCs/>
                <w:color w:val="000000"/>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9" w:type="pct"/>
            <w:tcBorders>
              <w:bottom w:val="double" w:sz="4" w:space="0" w:color="auto"/>
            </w:tcBorders>
            <w:vAlign w:val="center"/>
          </w:tcPr>
          <w:p w:rsidR="00163204" w:rsidRPr="008C7AEB" w:rsidRDefault="00163204" w:rsidP="00426983">
            <w:pPr>
              <w:jc w:val="center"/>
              <w:rPr>
                <w:rFonts w:ascii="Arial Narrow" w:hAnsi="Arial Narrow"/>
                <w:bCs/>
                <w:color w:val="000000"/>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8" w:type="pct"/>
            <w:tcBorders>
              <w:bottom w:val="double" w:sz="4" w:space="0" w:color="auto"/>
            </w:tcBorders>
            <w:vAlign w:val="center"/>
          </w:tcPr>
          <w:p w:rsidR="00163204" w:rsidRPr="008C7AEB" w:rsidRDefault="00163204" w:rsidP="00426983">
            <w:pPr>
              <w:jc w:val="center"/>
              <w:rPr>
                <w:rFonts w:ascii="Arial Narrow" w:hAnsi="Arial Narrow"/>
                <w:bCs/>
                <w:color w:val="000000"/>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8" w:type="pct"/>
            <w:tcBorders>
              <w:bottom w:val="double" w:sz="4" w:space="0" w:color="auto"/>
            </w:tcBorders>
            <w:vAlign w:val="center"/>
          </w:tcPr>
          <w:p w:rsidR="00163204" w:rsidRPr="008C7AEB" w:rsidRDefault="00163204" w:rsidP="00426983">
            <w:pPr>
              <w:jc w:val="center"/>
              <w:rPr>
                <w:rFonts w:ascii="Arial Narrow" w:hAnsi="Arial Narrow"/>
                <w:bCs/>
                <w:color w:val="000000"/>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73" w:type="pct"/>
            <w:tcBorders>
              <w:bottom w:val="double" w:sz="4" w:space="0" w:color="auto"/>
            </w:tcBorders>
            <w:vAlign w:val="center"/>
          </w:tcPr>
          <w:p w:rsidR="00163204" w:rsidRPr="008C7AEB" w:rsidRDefault="00163204" w:rsidP="00426983">
            <w:pPr>
              <w:jc w:val="center"/>
              <w:rPr>
                <w:rFonts w:ascii="Arial Narrow" w:hAnsi="Arial Narrow"/>
                <w:bCs/>
                <w:color w:val="000000"/>
                <w:sz w:val="20"/>
              </w:rPr>
            </w:pPr>
            <w:r w:rsidRPr="008C7AEB">
              <w:rPr>
                <w:rFonts w:ascii="Arial Narrow" w:hAnsi="Arial Narrow"/>
                <w:sz w:val="20"/>
              </w:rPr>
              <w:t>$</w:t>
            </w:r>
            <w:r w:rsidR="007110DB">
              <w:rPr>
                <w:rFonts w:ascii="Arial Narrow" w:hAnsi="Arial Narrow"/>
                <w:noProof/>
                <w:color w:val="000000"/>
                <w:sz w:val="20"/>
                <w:highlight w:val="black"/>
              </w:rPr>
              <w:t>'''''''''''''''''''''''</w:t>
            </w:r>
          </w:p>
        </w:tc>
      </w:tr>
      <w:tr w:rsidR="00163204" w:rsidRPr="008C7AEB" w:rsidTr="00C330B5">
        <w:tc>
          <w:tcPr>
            <w:tcW w:w="2033" w:type="pct"/>
            <w:tcBorders>
              <w:top w:val="single" w:sz="4" w:space="0" w:color="auto"/>
            </w:tcBorders>
            <w:shd w:val="clear" w:color="auto" w:fill="auto"/>
            <w:vAlign w:val="center"/>
          </w:tcPr>
          <w:p w:rsidR="00163204" w:rsidRPr="008C7AEB" w:rsidRDefault="00163204" w:rsidP="00426983">
            <w:pPr>
              <w:tabs>
                <w:tab w:val="left" w:pos="142"/>
              </w:tabs>
              <w:jc w:val="left"/>
              <w:rPr>
                <w:rFonts w:ascii="Arial Narrow" w:hAnsi="Arial Narrow"/>
                <w:i/>
                <w:sz w:val="19"/>
                <w:szCs w:val="19"/>
                <w:highlight w:val="yellow"/>
                <w:vertAlign w:val="superscript"/>
              </w:rPr>
            </w:pPr>
            <w:r w:rsidRPr="008C7AEB">
              <w:rPr>
                <w:rFonts w:ascii="Arial Narrow" w:hAnsi="Arial Narrow"/>
                <w:sz w:val="20"/>
              </w:rPr>
              <w:t xml:space="preserve">Net cost with 50:50 mix of zoledronic </w:t>
            </w:r>
            <w:r w:rsidR="00345C5A" w:rsidRPr="008C7AEB">
              <w:rPr>
                <w:rFonts w:ascii="Arial Narrow" w:hAnsi="Arial Narrow"/>
                <w:sz w:val="20"/>
              </w:rPr>
              <w:t xml:space="preserve">acid </w:t>
            </w:r>
            <w:r w:rsidRPr="008C7AEB">
              <w:rPr>
                <w:rFonts w:ascii="Arial Narrow" w:hAnsi="Arial Narrow"/>
                <w:sz w:val="20"/>
              </w:rPr>
              <w:t>4</w:t>
            </w:r>
            <w:r w:rsidR="0006313B" w:rsidRPr="008C7AEB">
              <w:rPr>
                <w:rFonts w:ascii="Arial Narrow" w:hAnsi="Arial Narrow"/>
                <w:sz w:val="20"/>
              </w:rPr>
              <w:t> </w:t>
            </w:r>
            <w:r w:rsidRPr="008C7AEB">
              <w:rPr>
                <w:rFonts w:ascii="Arial Narrow" w:hAnsi="Arial Narrow"/>
                <w:sz w:val="20"/>
              </w:rPr>
              <w:t>mg and 8</w:t>
            </w:r>
            <w:r w:rsidR="0006313B" w:rsidRPr="008C7AEB">
              <w:rPr>
                <w:rFonts w:ascii="Arial Narrow" w:hAnsi="Arial Narrow"/>
                <w:sz w:val="20"/>
              </w:rPr>
              <w:t> </w:t>
            </w:r>
            <w:r w:rsidRPr="008C7AEB">
              <w:rPr>
                <w:rFonts w:ascii="Arial Narrow" w:hAnsi="Arial Narrow"/>
                <w:sz w:val="20"/>
              </w:rPr>
              <w:t xml:space="preserve">mg offset </w:t>
            </w:r>
            <w:r w:rsidRPr="008C7AEB">
              <w:rPr>
                <w:rFonts w:ascii="Arial Narrow" w:hAnsi="Arial Narrow"/>
                <w:i/>
                <w:sz w:val="20"/>
              </w:rPr>
              <w:t>(Average cost: $</w:t>
            </w:r>
            <w:r w:rsidR="007110DB">
              <w:rPr>
                <w:rFonts w:ascii="Arial Narrow" w:hAnsi="Arial Narrow"/>
                <w:i/>
                <w:noProof/>
                <w:color w:val="000000"/>
                <w:sz w:val="20"/>
                <w:highlight w:val="black"/>
              </w:rPr>
              <w:t>'''''''''''''''''</w:t>
            </w:r>
            <w:r w:rsidRPr="008C7AEB">
              <w:rPr>
                <w:rFonts w:ascii="Arial Narrow" w:hAnsi="Arial Narrow"/>
                <w:i/>
                <w:sz w:val="20"/>
              </w:rPr>
              <w:t>)</w:t>
            </w:r>
            <w:r w:rsidRPr="008C7AEB">
              <w:rPr>
                <w:rFonts w:ascii="Arial Narrow" w:hAnsi="Arial Narrow"/>
                <w:i/>
                <w:sz w:val="20"/>
                <w:vertAlign w:val="superscript"/>
              </w:rPr>
              <w:t>c</w:t>
            </w:r>
          </w:p>
        </w:tc>
        <w:tc>
          <w:tcPr>
            <w:tcW w:w="599" w:type="pct"/>
            <w:tcBorders>
              <w:top w:val="single" w:sz="4" w:space="0" w:color="auto"/>
            </w:tcBorders>
            <w:vAlign w:val="center"/>
          </w:tcPr>
          <w:p w:rsidR="00163204" w:rsidRPr="008C7AEB" w:rsidRDefault="00163204" w:rsidP="00426983">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9" w:type="pct"/>
            <w:tcBorders>
              <w:top w:val="single" w:sz="4" w:space="0" w:color="auto"/>
            </w:tcBorders>
            <w:vAlign w:val="center"/>
          </w:tcPr>
          <w:p w:rsidR="00163204" w:rsidRPr="008C7AEB" w:rsidRDefault="00163204" w:rsidP="00426983">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163204" w:rsidRPr="008C7AEB" w:rsidRDefault="00163204" w:rsidP="00426983">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163204" w:rsidRPr="008C7AEB" w:rsidRDefault="00163204" w:rsidP="00426983">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73" w:type="pct"/>
            <w:tcBorders>
              <w:top w:val="single" w:sz="4" w:space="0" w:color="auto"/>
            </w:tcBorders>
            <w:vAlign w:val="center"/>
          </w:tcPr>
          <w:p w:rsidR="00163204" w:rsidRPr="008C7AEB" w:rsidRDefault="00163204" w:rsidP="00426983">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r>
      <w:tr w:rsidR="00C330B5" w:rsidRPr="008C7AEB" w:rsidTr="00C330B5">
        <w:tc>
          <w:tcPr>
            <w:tcW w:w="5000" w:type="pct"/>
            <w:gridSpan w:val="6"/>
            <w:tcBorders>
              <w:top w:val="single" w:sz="4" w:space="0" w:color="auto"/>
            </w:tcBorders>
            <w:shd w:val="clear" w:color="auto" w:fill="auto"/>
            <w:vAlign w:val="center"/>
          </w:tcPr>
          <w:p w:rsidR="00C330B5" w:rsidRPr="008C7AEB" w:rsidRDefault="00C330B5" w:rsidP="00C330B5">
            <w:pPr>
              <w:jc w:val="left"/>
              <w:rPr>
                <w:rFonts w:ascii="Arial Narrow" w:hAnsi="Arial Narrow"/>
                <w:i/>
                <w:sz w:val="20"/>
              </w:rPr>
            </w:pPr>
            <w:r w:rsidRPr="008C7AEB">
              <w:rPr>
                <w:rFonts w:ascii="Arial Narrow" w:hAnsi="Arial Narrow"/>
                <w:b/>
                <w:bCs/>
                <w:color w:val="000000"/>
                <w:sz w:val="20"/>
              </w:rPr>
              <w:t>Estimated extent of use (DUSC Secretariat estimates)</w:t>
            </w:r>
          </w:p>
        </w:tc>
      </w:tr>
      <w:tr w:rsidR="00C330B5" w:rsidRPr="008C7AEB" w:rsidTr="00C330B5">
        <w:tc>
          <w:tcPr>
            <w:tcW w:w="2033" w:type="pct"/>
            <w:tcBorders>
              <w:top w:val="single" w:sz="4" w:space="0" w:color="auto"/>
            </w:tcBorders>
            <w:shd w:val="clear" w:color="auto" w:fill="auto"/>
            <w:vAlign w:val="center"/>
          </w:tcPr>
          <w:p w:rsidR="00C330B5" w:rsidRPr="008C7AEB" w:rsidRDefault="00C330B5" w:rsidP="00C330B5">
            <w:pPr>
              <w:tabs>
                <w:tab w:val="left" w:pos="142"/>
              </w:tabs>
              <w:jc w:val="left"/>
              <w:rPr>
                <w:rFonts w:ascii="Arial Narrow" w:hAnsi="Arial Narrow"/>
                <w:sz w:val="20"/>
              </w:rPr>
            </w:pPr>
            <w:r w:rsidRPr="008C7AEB">
              <w:rPr>
                <w:rFonts w:ascii="Arial Narrow" w:hAnsi="Arial Narrow"/>
                <w:sz w:val="20"/>
              </w:rPr>
              <w:t>Number of patients on bisphosphonates for HCM</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73"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r>
      <w:tr w:rsidR="00C330B5" w:rsidRPr="008C7AEB" w:rsidTr="00C330B5">
        <w:tc>
          <w:tcPr>
            <w:tcW w:w="2033" w:type="pct"/>
            <w:tcBorders>
              <w:top w:val="single" w:sz="4" w:space="0" w:color="auto"/>
            </w:tcBorders>
            <w:shd w:val="clear" w:color="auto" w:fill="auto"/>
            <w:vAlign w:val="center"/>
          </w:tcPr>
          <w:p w:rsidR="00C330B5" w:rsidRPr="008C7AEB" w:rsidRDefault="00C330B5" w:rsidP="00C330B5">
            <w:pPr>
              <w:tabs>
                <w:tab w:val="left" w:pos="142"/>
              </w:tabs>
              <w:jc w:val="left"/>
              <w:rPr>
                <w:rFonts w:ascii="Arial Narrow" w:hAnsi="Arial Narrow"/>
                <w:sz w:val="20"/>
              </w:rPr>
            </w:pPr>
            <w:r w:rsidRPr="008C7AEB">
              <w:rPr>
                <w:rFonts w:ascii="Arial Narrow" w:hAnsi="Arial Narrow"/>
                <w:sz w:val="20"/>
              </w:rPr>
              <w:t>Number of refractory HCM patients (32%)</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73"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r>
      <w:tr w:rsidR="00C330B5" w:rsidRPr="008C7AEB" w:rsidTr="00C330B5">
        <w:tc>
          <w:tcPr>
            <w:tcW w:w="2033" w:type="pct"/>
            <w:tcBorders>
              <w:top w:val="single" w:sz="4" w:space="0" w:color="auto"/>
            </w:tcBorders>
            <w:shd w:val="clear" w:color="auto" w:fill="auto"/>
            <w:vAlign w:val="center"/>
          </w:tcPr>
          <w:p w:rsidR="00C330B5" w:rsidRPr="008C7AEB" w:rsidRDefault="00C330B5" w:rsidP="00C330B5">
            <w:pPr>
              <w:tabs>
                <w:tab w:val="left" w:pos="142"/>
              </w:tabs>
              <w:jc w:val="left"/>
              <w:rPr>
                <w:rFonts w:ascii="Arial Narrow" w:hAnsi="Arial Narrow"/>
                <w:sz w:val="20"/>
              </w:rPr>
            </w:pPr>
            <w:r w:rsidRPr="008C7AEB">
              <w:rPr>
                <w:rFonts w:ascii="Arial Narrow" w:hAnsi="Arial Narrow"/>
                <w:sz w:val="20"/>
              </w:rPr>
              <w:t>Scripts</w:t>
            </w:r>
            <w:r w:rsidRPr="008C7AEB">
              <w:rPr>
                <w:rFonts w:ascii="Arial Narrow" w:hAnsi="Arial Narrow"/>
                <w:sz w:val="20"/>
                <w:vertAlign w:val="superscript"/>
              </w:rPr>
              <w:t>a</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c>
          <w:tcPr>
            <w:tcW w:w="573" w:type="pct"/>
            <w:tcBorders>
              <w:top w:val="single" w:sz="4" w:space="0" w:color="auto"/>
            </w:tcBorders>
            <w:vAlign w:val="center"/>
          </w:tcPr>
          <w:p w:rsidR="00C330B5" w:rsidRPr="007110DB" w:rsidRDefault="007110DB" w:rsidP="00C330B5">
            <w:pPr>
              <w:jc w:val="center"/>
              <w:rPr>
                <w:rFonts w:ascii="Arial Narrow" w:hAnsi="Arial Narrow"/>
                <w:sz w:val="20"/>
                <w:highlight w:val="black"/>
              </w:rPr>
            </w:pPr>
            <w:r>
              <w:rPr>
                <w:rFonts w:ascii="Arial Narrow" w:hAnsi="Arial Narrow"/>
                <w:noProof/>
                <w:color w:val="000000"/>
                <w:sz w:val="20"/>
                <w:highlight w:val="black"/>
              </w:rPr>
              <w:t>'''''''''''''</w:t>
            </w:r>
          </w:p>
        </w:tc>
      </w:tr>
      <w:tr w:rsidR="00C330B5" w:rsidRPr="008C7AEB" w:rsidTr="00C330B5">
        <w:tc>
          <w:tcPr>
            <w:tcW w:w="2033" w:type="pct"/>
            <w:tcBorders>
              <w:top w:val="single" w:sz="4" w:space="0" w:color="auto"/>
            </w:tcBorders>
            <w:shd w:val="clear" w:color="auto" w:fill="auto"/>
            <w:vAlign w:val="center"/>
          </w:tcPr>
          <w:p w:rsidR="00C330B5" w:rsidRPr="008C7AEB" w:rsidRDefault="00C330B5" w:rsidP="00C330B5">
            <w:pPr>
              <w:tabs>
                <w:tab w:val="left" w:pos="142"/>
              </w:tabs>
              <w:jc w:val="left"/>
              <w:rPr>
                <w:rFonts w:ascii="Arial Narrow" w:hAnsi="Arial Narrow"/>
                <w:sz w:val="20"/>
                <w:szCs w:val="19"/>
              </w:rPr>
            </w:pPr>
            <w:r w:rsidRPr="008C7AEB">
              <w:rPr>
                <w:rFonts w:ascii="Arial Narrow" w:hAnsi="Arial Narrow"/>
                <w:sz w:val="20"/>
                <w:szCs w:val="19"/>
              </w:rPr>
              <w:t xml:space="preserve">Net cost of denosumab to PBS/RPBS </w:t>
            </w:r>
          </w:p>
          <w:p w:rsidR="00C330B5" w:rsidRPr="008C7AEB" w:rsidRDefault="00C330B5" w:rsidP="00C330B5">
            <w:pPr>
              <w:tabs>
                <w:tab w:val="left" w:pos="142"/>
              </w:tabs>
              <w:jc w:val="left"/>
              <w:rPr>
                <w:rFonts w:ascii="Arial Narrow" w:hAnsi="Arial Narrow"/>
                <w:sz w:val="20"/>
              </w:rPr>
            </w:pPr>
            <w:r w:rsidRPr="008C7AEB">
              <w:rPr>
                <w:rFonts w:ascii="Arial Narrow" w:hAnsi="Arial Narrow"/>
                <w:sz w:val="20"/>
                <w:szCs w:val="19"/>
              </w:rPr>
              <w:t>(less patient co-payment</w:t>
            </w:r>
            <w:r w:rsidRPr="008C7AEB">
              <w:rPr>
                <w:rFonts w:ascii="Arial Narrow" w:hAnsi="Arial Narrow"/>
                <w:sz w:val="20"/>
                <w:szCs w:val="19"/>
                <w:vertAlign w:val="superscript"/>
              </w:rPr>
              <w:t>b</w:t>
            </w:r>
            <w:r w:rsidRPr="008C7AEB">
              <w:rPr>
                <w:rFonts w:ascii="Arial Narrow" w:hAnsi="Arial Narrow"/>
                <w:sz w:val="20"/>
                <w:szCs w:val="19"/>
              </w:rPr>
              <w:t>)</w:t>
            </w:r>
          </w:p>
        </w:tc>
        <w:tc>
          <w:tcPr>
            <w:tcW w:w="599" w:type="pct"/>
            <w:tcBorders>
              <w:top w:val="single" w:sz="4" w:space="0" w:color="auto"/>
            </w:tcBorders>
            <w:vAlign w:val="center"/>
          </w:tcPr>
          <w:p w:rsidR="00C330B5" w:rsidRPr="008C7AEB" w:rsidRDefault="00DB3100" w:rsidP="00C330B5">
            <w:pPr>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9" w:type="pct"/>
            <w:tcBorders>
              <w:top w:val="single" w:sz="4" w:space="0" w:color="auto"/>
            </w:tcBorders>
            <w:vAlign w:val="center"/>
          </w:tcPr>
          <w:p w:rsidR="00C330B5" w:rsidRPr="008C7AEB" w:rsidRDefault="00DB3100" w:rsidP="00C330B5">
            <w:pPr>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C330B5" w:rsidRPr="008C7AEB" w:rsidRDefault="00DB3100" w:rsidP="00C330B5">
            <w:pPr>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C330B5" w:rsidRPr="008C7AEB" w:rsidRDefault="00DB3100" w:rsidP="00C330B5">
            <w:pPr>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73" w:type="pct"/>
            <w:tcBorders>
              <w:top w:val="single" w:sz="4" w:space="0" w:color="auto"/>
            </w:tcBorders>
            <w:vAlign w:val="center"/>
          </w:tcPr>
          <w:p w:rsidR="00C330B5" w:rsidRPr="008C7AEB" w:rsidRDefault="00DB3100" w:rsidP="00C330B5">
            <w:pPr>
              <w:jc w:val="center"/>
              <w:rPr>
                <w:rFonts w:ascii="Arial Narrow" w:hAnsi="Arial Narrow"/>
                <w:i/>
                <w:sz w:val="20"/>
              </w:rPr>
            </w:pPr>
            <w:r w:rsidRPr="008C7AEB">
              <w:rPr>
                <w:rFonts w:ascii="Arial Narrow" w:hAnsi="Arial Narrow"/>
                <w:i/>
                <w:sz w:val="20"/>
              </w:rPr>
              <w:t>$</w:t>
            </w:r>
            <w:r w:rsidR="007110DB">
              <w:rPr>
                <w:rFonts w:ascii="Arial Narrow" w:hAnsi="Arial Narrow"/>
                <w:i/>
                <w:noProof/>
                <w:color w:val="000000"/>
                <w:sz w:val="20"/>
                <w:highlight w:val="black"/>
              </w:rPr>
              <w:t>''''''''''''''''''''''''''</w:t>
            </w:r>
          </w:p>
        </w:tc>
      </w:tr>
      <w:tr w:rsidR="00C330B5" w:rsidRPr="008C7AEB" w:rsidTr="00C330B5">
        <w:tc>
          <w:tcPr>
            <w:tcW w:w="2033" w:type="pct"/>
            <w:tcBorders>
              <w:top w:val="single" w:sz="4" w:space="0" w:color="auto"/>
            </w:tcBorders>
            <w:shd w:val="clear" w:color="auto" w:fill="auto"/>
            <w:vAlign w:val="center"/>
          </w:tcPr>
          <w:p w:rsidR="00C330B5" w:rsidRPr="008C7AEB" w:rsidRDefault="00C330B5" w:rsidP="00C330B5">
            <w:pPr>
              <w:tabs>
                <w:tab w:val="left" w:pos="142"/>
              </w:tabs>
              <w:jc w:val="left"/>
              <w:rPr>
                <w:rFonts w:ascii="Arial Narrow" w:hAnsi="Arial Narrow"/>
                <w:sz w:val="20"/>
              </w:rPr>
            </w:pPr>
            <w:r w:rsidRPr="008C7AEB">
              <w:rPr>
                <w:rFonts w:ascii="Arial Narrow" w:hAnsi="Arial Narrow"/>
                <w:sz w:val="20"/>
              </w:rPr>
              <w:t>Net cost with 50:50 mix of zoledronic acid 4</w:t>
            </w:r>
            <w:r w:rsidR="0006313B" w:rsidRPr="008C7AEB">
              <w:rPr>
                <w:rFonts w:ascii="Arial Narrow" w:hAnsi="Arial Narrow"/>
                <w:sz w:val="20"/>
              </w:rPr>
              <w:t> </w:t>
            </w:r>
            <w:r w:rsidRPr="008C7AEB">
              <w:rPr>
                <w:rFonts w:ascii="Arial Narrow" w:hAnsi="Arial Narrow"/>
                <w:sz w:val="20"/>
              </w:rPr>
              <w:t>mg and 8</w:t>
            </w:r>
            <w:r w:rsidR="0006313B" w:rsidRPr="008C7AEB">
              <w:rPr>
                <w:rFonts w:ascii="Arial Narrow" w:hAnsi="Arial Narrow"/>
                <w:sz w:val="20"/>
              </w:rPr>
              <w:t> </w:t>
            </w:r>
            <w:r w:rsidRPr="008C7AEB">
              <w:rPr>
                <w:rFonts w:ascii="Arial Narrow" w:hAnsi="Arial Narrow"/>
                <w:sz w:val="20"/>
              </w:rPr>
              <w:t xml:space="preserve">mg offset </w:t>
            </w:r>
            <w:r w:rsidRPr="008C7AEB">
              <w:rPr>
                <w:rFonts w:ascii="Arial Narrow" w:hAnsi="Arial Narrow"/>
                <w:i/>
                <w:sz w:val="20"/>
              </w:rPr>
              <w:t>(Average cost: $</w:t>
            </w:r>
            <w:r w:rsidR="007110DB">
              <w:rPr>
                <w:rFonts w:ascii="Arial Narrow" w:hAnsi="Arial Narrow"/>
                <w:i/>
                <w:noProof/>
                <w:color w:val="000000"/>
                <w:sz w:val="20"/>
                <w:highlight w:val="black"/>
              </w:rPr>
              <w:t>'''''''''''''''</w:t>
            </w:r>
            <w:r w:rsidRPr="008C7AEB">
              <w:rPr>
                <w:rFonts w:ascii="Arial Narrow" w:hAnsi="Arial Narrow"/>
                <w:i/>
                <w:sz w:val="20"/>
              </w:rPr>
              <w:t>)</w:t>
            </w:r>
            <w:r w:rsidRPr="008C7AEB">
              <w:rPr>
                <w:rFonts w:ascii="Arial Narrow" w:hAnsi="Arial Narrow"/>
                <w:i/>
                <w:sz w:val="20"/>
                <w:vertAlign w:val="superscript"/>
              </w:rPr>
              <w:t>c</w:t>
            </w:r>
          </w:p>
        </w:tc>
        <w:tc>
          <w:tcPr>
            <w:tcW w:w="599" w:type="pct"/>
            <w:tcBorders>
              <w:top w:val="single" w:sz="4" w:space="0" w:color="auto"/>
            </w:tcBorders>
            <w:vAlign w:val="center"/>
          </w:tcPr>
          <w:p w:rsidR="00C330B5" w:rsidRPr="008C7AEB" w:rsidRDefault="00DB3100" w:rsidP="00C330B5">
            <w:pPr>
              <w:jc w:val="center"/>
              <w:rPr>
                <w:rFonts w:ascii="Arial Narrow" w:hAnsi="Arial Narrow"/>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9" w:type="pct"/>
            <w:tcBorders>
              <w:top w:val="single" w:sz="4" w:space="0" w:color="auto"/>
            </w:tcBorders>
            <w:vAlign w:val="center"/>
          </w:tcPr>
          <w:p w:rsidR="00C330B5" w:rsidRPr="008C7AEB" w:rsidRDefault="00DB3100" w:rsidP="00C330B5">
            <w:pPr>
              <w:jc w:val="center"/>
              <w:rPr>
                <w:rFonts w:ascii="Arial Narrow" w:hAnsi="Arial Narrow"/>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C330B5" w:rsidRPr="008C7AEB" w:rsidRDefault="00DB3100" w:rsidP="00C330B5">
            <w:pPr>
              <w:jc w:val="center"/>
              <w:rPr>
                <w:rFonts w:ascii="Arial Narrow" w:hAnsi="Arial Narrow"/>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tcBorders>
              <w:top w:val="single" w:sz="4" w:space="0" w:color="auto"/>
            </w:tcBorders>
            <w:vAlign w:val="center"/>
          </w:tcPr>
          <w:p w:rsidR="00C330B5" w:rsidRPr="008C7AEB" w:rsidRDefault="00DB3100" w:rsidP="00C330B5">
            <w:pPr>
              <w:jc w:val="center"/>
              <w:rPr>
                <w:rFonts w:ascii="Arial Narrow" w:hAnsi="Arial Narrow"/>
                <w:sz w:val="20"/>
              </w:rPr>
            </w:pPr>
            <w:r w:rsidRPr="008C7AEB">
              <w:rPr>
                <w:rFonts w:ascii="Arial Narrow" w:hAnsi="Arial Narrow"/>
                <w:i/>
                <w:sz w:val="20"/>
              </w:rPr>
              <w:t>$</w:t>
            </w:r>
            <w:r w:rsidR="007110DB">
              <w:rPr>
                <w:rFonts w:ascii="Arial Narrow" w:hAnsi="Arial Narrow"/>
                <w:i/>
                <w:noProof/>
                <w:color w:val="000000"/>
                <w:sz w:val="20"/>
                <w:highlight w:val="black"/>
              </w:rPr>
              <w:t>'''''''''''''''''''</w:t>
            </w:r>
          </w:p>
        </w:tc>
        <w:tc>
          <w:tcPr>
            <w:tcW w:w="573" w:type="pct"/>
            <w:tcBorders>
              <w:top w:val="single" w:sz="4" w:space="0" w:color="auto"/>
            </w:tcBorders>
            <w:vAlign w:val="center"/>
          </w:tcPr>
          <w:p w:rsidR="00C330B5" w:rsidRPr="008C7AEB" w:rsidRDefault="00DB3100" w:rsidP="00C330B5">
            <w:pPr>
              <w:jc w:val="center"/>
              <w:rPr>
                <w:rFonts w:ascii="Arial Narrow" w:hAnsi="Arial Narrow"/>
                <w:sz w:val="20"/>
              </w:rPr>
            </w:pPr>
            <w:r w:rsidRPr="008C7AEB">
              <w:rPr>
                <w:rFonts w:ascii="Arial Narrow" w:hAnsi="Arial Narrow"/>
                <w:i/>
                <w:sz w:val="20"/>
              </w:rPr>
              <w:t>$</w:t>
            </w:r>
            <w:r w:rsidR="007110DB">
              <w:rPr>
                <w:rFonts w:ascii="Arial Narrow" w:hAnsi="Arial Narrow"/>
                <w:i/>
                <w:noProof/>
                <w:color w:val="000000"/>
                <w:sz w:val="20"/>
                <w:highlight w:val="black"/>
              </w:rPr>
              <w:t>'''''''''''''''''''''</w:t>
            </w:r>
          </w:p>
        </w:tc>
      </w:tr>
      <w:tr w:rsidR="002D7AB9" w:rsidRPr="008C7AEB" w:rsidTr="00B82E63">
        <w:tc>
          <w:tcPr>
            <w:tcW w:w="2033" w:type="pct"/>
            <w:tcBorders>
              <w:top w:val="single" w:sz="4" w:space="0" w:color="auto"/>
            </w:tcBorders>
            <w:shd w:val="clear" w:color="auto" w:fill="auto"/>
          </w:tcPr>
          <w:p w:rsidR="002D7AB9" w:rsidRPr="008C7AEB" w:rsidRDefault="00257271" w:rsidP="0006313B">
            <w:pPr>
              <w:tabs>
                <w:tab w:val="left" w:pos="142"/>
              </w:tabs>
              <w:jc w:val="left"/>
              <w:rPr>
                <w:rFonts w:ascii="Arial Narrow" w:hAnsi="Arial Narrow"/>
                <w:sz w:val="20"/>
              </w:rPr>
            </w:pPr>
            <w:r>
              <w:rPr>
                <w:rFonts w:ascii="Arial Narrow" w:hAnsi="Arial Narrow"/>
                <w:sz w:val="20"/>
              </w:rPr>
              <w:t>Error addressed in</w:t>
            </w:r>
            <w:r w:rsidRPr="008C7AEB">
              <w:rPr>
                <w:rFonts w:ascii="Arial Narrow" w:hAnsi="Arial Narrow"/>
                <w:sz w:val="20"/>
              </w:rPr>
              <w:t xml:space="preserve"> </w:t>
            </w:r>
            <w:r w:rsidR="002D7AB9" w:rsidRPr="008C7AEB">
              <w:rPr>
                <w:rFonts w:ascii="Arial Narrow" w:hAnsi="Arial Narrow"/>
                <w:sz w:val="20"/>
              </w:rPr>
              <w:t>PSCR (net cost with 50:50 mix of zoledronic acid 4</w:t>
            </w:r>
            <w:r w:rsidR="0006313B" w:rsidRPr="008C7AEB">
              <w:rPr>
                <w:rFonts w:ascii="Arial Narrow" w:hAnsi="Arial Narrow"/>
                <w:sz w:val="20"/>
              </w:rPr>
              <w:t> </w:t>
            </w:r>
            <w:r w:rsidR="002D7AB9" w:rsidRPr="008C7AEB">
              <w:rPr>
                <w:rFonts w:ascii="Arial Narrow" w:hAnsi="Arial Narrow"/>
                <w:sz w:val="20"/>
              </w:rPr>
              <w:t>mg and 8</w:t>
            </w:r>
            <w:r w:rsidR="0006313B" w:rsidRPr="008C7AEB">
              <w:rPr>
                <w:rFonts w:ascii="Arial Narrow" w:hAnsi="Arial Narrow"/>
                <w:sz w:val="20"/>
              </w:rPr>
              <w:t> </w:t>
            </w:r>
            <w:r w:rsidR="002D7AB9" w:rsidRPr="008C7AEB">
              <w:rPr>
                <w:rFonts w:ascii="Arial Narrow" w:hAnsi="Arial Narrow"/>
                <w:sz w:val="20"/>
              </w:rPr>
              <w:t>mg offset)</w:t>
            </w:r>
          </w:p>
        </w:tc>
        <w:tc>
          <w:tcPr>
            <w:tcW w:w="599" w:type="pct"/>
            <w:tcBorders>
              <w:top w:val="single" w:sz="4" w:space="0" w:color="auto"/>
            </w:tcBorders>
          </w:tcPr>
          <w:p w:rsidR="002D7AB9" w:rsidRPr="008C7AEB" w:rsidRDefault="002D7AB9" w:rsidP="00C330B5">
            <w:pPr>
              <w:jc w:val="center"/>
              <w:rPr>
                <w:rFonts w:ascii="Arial Narrow" w:hAnsi="Arial Narrow"/>
                <w:i/>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9" w:type="pct"/>
            <w:tcBorders>
              <w:top w:val="single" w:sz="4" w:space="0" w:color="auto"/>
            </w:tcBorders>
          </w:tcPr>
          <w:p w:rsidR="002D7AB9" w:rsidRPr="008C7AEB" w:rsidRDefault="002D7AB9" w:rsidP="00C330B5">
            <w:pPr>
              <w:jc w:val="center"/>
              <w:rPr>
                <w:rFonts w:ascii="Arial Narrow" w:hAnsi="Arial Narrow"/>
                <w:i/>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8" w:type="pct"/>
            <w:tcBorders>
              <w:top w:val="single" w:sz="4" w:space="0" w:color="auto"/>
            </w:tcBorders>
          </w:tcPr>
          <w:p w:rsidR="002D7AB9" w:rsidRPr="008C7AEB" w:rsidRDefault="002D7AB9" w:rsidP="00C330B5">
            <w:pPr>
              <w:jc w:val="center"/>
              <w:rPr>
                <w:rFonts w:ascii="Arial Narrow" w:hAnsi="Arial Narrow"/>
                <w:i/>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98" w:type="pct"/>
            <w:tcBorders>
              <w:top w:val="single" w:sz="4" w:space="0" w:color="auto"/>
            </w:tcBorders>
          </w:tcPr>
          <w:p w:rsidR="002D7AB9" w:rsidRPr="008C7AEB" w:rsidRDefault="002D7AB9" w:rsidP="00C330B5">
            <w:pPr>
              <w:jc w:val="center"/>
              <w:rPr>
                <w:rFonts w:ascii="Arial Narrow" w:hAnsi="Arial Narrow"/>
                <w:i/>
                <w:sz w:val="20"/>
              </w:rPr>
            </w:pPr>
            <w:r w:rsidRPr="008C7AEB">
              <w:rPr>
                <w:rFonts w:ascii="Arial Narrow" w:hAnsi="Arial Narrow"/>
                <w:sz w:val="20"/>
              </w:rPr>
              <w:t>$</w:t>
            </w:r>
            <w:r w:rsidR="007110DB">
              <w:rPr>
                <w:rFonts w:ascii="Arial Narrow" w:hAnsi="Arial Narrow"/>
                <w:noProof/>
                <w:color w:val="000000"/>
                <w:sz w:val="20"/>
                <w:highlight w:val="black"/>
              </w:rPr>
              <w:t>'''''''''''''''''''''</w:t>
            </w:r>
          </w:p>
        </w:tc>
        <w:tc>
          <w:tcPr>
            <w:tcW w:w="573" w:type="pct"/>
            <w:tcBorders>
              <w:top w:val="single" w:sz="4" w:space="0" w:color="auto"/>
            </w:tcBorders>
          </w:tcPr>
          <w:p w:rsidR="002D7AB9" w:rsidRPr="008C7AEB" w:rsidRDefault="002D7AB9" w:rsidP="00C330B5">
            <w:pPr>
              <w:jc w:val="center"/>
              <w:rPr>
                <w:rFonts w:ascii="Arial Narrow" w:hAnsi="Arial Narrow"/>
                <w:i/>
                <w:sz w:val="20"/>
              </w:rPr>
            </w:pPr>
            <w:r w:rsidRPr="008C7AEB">
              <w:rPr>
                <w:rFonts w:ascii="Arial Narrow" w:hAnsi="Arial Narrow"/>
                <w:sz w:val="20"/>
              </w:rPr>
              <w:t>$</w:t>
            </w:r>
            <w:r w:rsidR="007110DB">
              <w:rPr>
                <w:rFonts w:ascii="Arial Narrow" w:hAnsi="Arial Narrow"/>
                <w:noProof/>
                <w:color w:val="000000"/>
                <w:sz w:val="20"/>
                <w:highlight w:val="black"/>
              </w:rPr>
              <w:t>''''''''''''''''''</w:t>
            </w:r>
          </w:p>
        </w:tc>
      </w:tr>
      <w:tr w:rsidR="00C330B5" w:rsidRPr="008C7AEB" w:rsidTr="00723DE8">
        <w:tc>
          <w:tcPr>
            <w:tcW w:w="5000" w:type="pct"/>
            <w:gridSpan w:val="6"/>
            <w:shd w:val="clear" w:color="auto" w:fill="auto"/>
            <w:vAlign w:val="center"/>
          </w:tcPr>
          <w:p w:rsidR="00C330B5" w:rsidRPr="008C7AEB" w:rsidRDefault="00C330B5" w:rsidP="00C330B5">
            <w:pPr>
              <w:jc w:val="left"/>
              <w:rPr>
                <w:rFonts w:ascii="Arial Narrow" w:hAnsi="Arial Narrow"/>
                <w:i/>
                <w:sz w:val="20"/>
              </w:rPr>
            </w:pPr>
            <w:r w:rsidRPr="008C7AEB">
              <w:rPr>
                <w:rFonts w:ascii="Arial Narrow" w:hAnsi="Arial Narrow"/>
                <w:b/>
                <w:sz w:val="20"/>
              </w:rPr>
              <w:t>Sensitivity analysis</w:t>
            </w:r>
          </w:p>
        </w:tc>
      </w:tr>
      <w:tr w:rsidR="00C330B5" w:rsidRPr="008C7AEB" w:rsidTr="00723DE8">
        <w:tc>
          <w:tcPr>
            <w:tcW w:w="2033" w:type="pct"/>
            <w:shd w:val="clear" w:color="auto" w:fill="auto"/>
            <w:vAlign w:val="center"/>
          </w:tcPr>
          <w:p w:rsidR="00C330B5" w:rsidRPr="008C7AEB" w:rsidRDefault="00C330B5" w:rsidP="00C330B5">
            <w:pPr>
              <w:jc w:val="left"/>
              <w:rPr>
                <w:rFonts w:ascii="Arial Narrow" w:hAnsi="Arial Narrow"/>
                <w:sz w:val="20"/>
              </w:rPr>
            </w:pPr>
            <w:r w:rsidRPr="008C7AEB">
              <w:rPr>
                <w:rFonts w:ascii="Arial Narrow" w:hAnsi="Arial Narrow"/>
                <w:sz w:val="20"/>
              </w:rPr>
              <w:t>Net cost with zoledronic acid 4</w:t>
            </w:r>
            <w:r w:rsidR="0006313B" w:rsidRPr="008C7AEB">
              <w:rPr>
                <w:rFonts w:ascii="Arial Narrow" w:hAnsi="Arial Narrow"/>
                <w:sz w:val="20"/>
              </w:rPr>
              <w:t> </w:t>
            </w:r>
            <w:r w:rsidRPr="008C7AEB">
              <w:rPr>
                <w:rFonts w:ascii="Arial Narrow" w:hAnsi="Arial Narrow"/>
                <w:sz w:val="20"/>
              </w:rPr>
              <w:t>mg offset</w:t>
            </w:r>
          </w:p>
          <w:p w:rsidR="00C330B5" w:rsidRPr="008C7AEB" w:rsidRDefault="00C330B5" w:rsidP="00C330B5">
            <w:pPr>
              <w:tabs>
                <w:tab w:val="left" w:pos="142"/>
              </w:tabs>
              <w:jc w:val="left"/>
              <w:rPr>
                <w:rFonts w:ascii="Arial Narrow" w:hAnsi="Arial Narrow"/>
                <w:sz w:val="20"/>
              </w:rPr>
            </w:pPr>
            <w:r w:rsidRPr="008C7AEB">
              <w:rPr>
                <w:rFonts w:ascii="Arial Narrow" w:hAnsi="Arial Narrow"/>
                <w:i/>
                <w:sz w:val="20"/>
              </w:rPr>
              <w:t>(Average cost: $</w:t>
            </w:r>
            <w:r w:rsidR="007110DB">
              <w:rPr>
                <w:rFonts w:ascii="Arial Narrow" w:hAnsi="Arial Narrow"/>
                <w:i/>
                <w:noProof/>
                <w:color w:val="000000"/>
                <w:sz w:val="20"/>
                <w:highlight w:val="black"/>
              </w:rPr>
              <w:t>'''''''''''''''''</w:t>
            </w:r>
            <w:r w:rsidRPr="008C7AEB">
              <w:rPr>
                <w:rFonts w:ascii="Arial Narrow" w:hAnsi="Arial Narrow"/>
                <w:i/>
                <w:sz w:val="20"/>
              </w:rPr>
              <w:t>)</w:t>
            </w:r>
            <w:r w:rsidRPr="008C7AEB">
              <w:rPr>
                <w:rFonts w:ascii="Arial Narrow" w:hAnsi="Arial Narrow"/>
                <w:i/>
                <w:sz w:val="20"/>
                <w:vertAlign w:val="superscript"/>
              </w:rPr>
              <w:t>c</w:t>
            </w:r>
          </w:p>
        </w:tc>
        <w:tc>
          <w:tcPr>
            <w:tcW w:w="599" w:type="pct"/>
            <w:vAlign w:val="center"/>
          </w:tcPr>
          <w:p w:rsidR="00C330B5" w:rsidRPr="008C7AEB" w:rsidRDefault="00C330B5" w:rsidP="00C330B5">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9" w:type="pct"/>
            <w:vAlign w:val="center"/>
          </w:tcPr>
          <w:p w:rsidR="00C330B5" w:rsidRPr="008C7AEB" w:rsidRDefault="00C330B5" w:rsidP="00C330B5">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vAlign w:val="center"/>
          </w:tcPr>
          <w:p w:rsidR="00C330B5" w:rsidRPr="008C7AEB" w:rsidRDefault="00C330B5" w:rsidP="00C330B5">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98" w:type="pct"/>
            <w:vAlign w:val="center"/>
          </w:tcPr>
          <w:p w:rsidR="00C330B5" w:rsidRPr="008C7AEB" w:rsidRDefault="00C330B5" w:rsidP="00C330B5">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c>
          <w:tcPr>
            <w:tcW w:w="573" w:type="pct"/>
            <w:vAlign w:val="center"/>
          </w:tcPr>
          <w:p w:rsidR="00C330B5" w:rsidRPr="008C7AEB" w:rsidRDefault="00C330B5" w:rsidP="00C330B5">
            <w:pPr>
              <w:jc w:val="center"/>
              <w:rPr>
                <w:rFonts w:ascii="Arial Narrow" w:hAnsi="Arial Narrow"/>
                <w:sz w:val="20"/>
                <w:highlight w:val="yellow"/>
              </w:rPr>
            </w:pPr>
            <w:r w:rsidRPr="008C7AEB">
              <w:rPr>
                <w:rFonts w:ascii="Arial Narrow" w:hAnsi="Arial Narrow"/>
                <w:i/>
                <w:sz w:val="20"/>
              </w:rPr>
              <w:t>$</w:t>
            </w:r>
            <w:r w:rsidR="007110DB">
              <w:rPr>
                <w:rFonts w:ascii="Arial Narrow" w:hAnsi="Arial Narrow"/>
                <w:i/>
                <w:noProof/>
                <w:color w:val="000000"/>
                <w:sz w:val="20"/>
                <w:highlight w:val="black"/>
              </w:rPr>
              <w:t>''''''''''''''''''''''''</w:t>
            </w:r>
          </w:p>
        </w:tc>
      </w:tr>
    </w:tbl>
    <w:p w:rsidR="00163204" w:rsidRPr="008C7AEB" w:rsidRDefault="00163204" w:rsidP="00345C5A">
      <w:pPr>
        <w:pStyle w:val="TableFooter"/>
        <w:ind w:firstLine="720"/>
      </w:pPr>
      <w:r w:rsidRPr="008C7AEB">
        <w:rPr>
          <w:vertAlign w:val="superscript"/>
        </w:rPr>
        <w:t>a</w:t>
      </w:r>
      <w:r w:rsidRPr="008C7AEB">
        <w:t xml:space="preserve">Assuming 5 scripts per patient as estimated in </w:t>
      </w:r>
      <w:r w:rsidR="00AE4613" w:rsidRPr="008C7AEB">
        <w:t>the submission</w:t>
      </w:r>
    </w:p>
    <w:p w:rsidR="00163204" w:rsidRPr="008C7AEB" w:rsidRDefault="00163204" w:rsidP="00426983">
      <w:pPr>
        <w:pStyle w:val="TableFooter"/>
        <w:ind w:left="720"/>
      </w:pPr>
      <w:r w:rsidRPr="008C7AEB">
        <w:rPr>
          <w:vertAlign w:val="superscript"/>
        </w:rPr>
        <w:t>b</w:t>
      </w:r>
      <w:r w:rsidR="00AE4613" w:rsidRPr="008C7AEB">
        <w:t>Assuming p</w:t>
      </w:r>
      <w:r w:rsidRPr="008C7AEB">
        <w:t>atient co-payments were only from denosumab scripts</w:t>
      </w:r>
    </w:p>
    <w:p w:rsidR="00AE4613" w:rsidRPr="008C7AEB" w:rsidRDefault="00AE4613" w:rsidP="00426983">
      <w:pPr>
        <w:pStyle w:val="TableFooter"/>
        <w:ind w:left="720"/>
      </w:pPr>
      <w:r w:rsidRPr="008C7AEB">
        <w:rPr>
          <w:vertAlign w:val="superscript"/>
        </w:rPr>
        <w:t>c</w:t>
      </w:r>
      <w:r w:rsidRPr="008C7AEB">
        <w:t>Average cost calculated assuming 50:50 mix of public and private hospital administration</w:t>
      </w:r>
    </w:p>
    <w:p w:rsidR="00163204" w:rsidRPr="008C7AEB" w:rsidRDefault="00163204" w:rsidP="00426983">
      <w:pPr>
        <w:pStyle w:val="TableFooter"/>
        <w:ind w:left="720"/>
      </w:pPr>
      <w:r w:rsidRPr="008C7AEB">
        <w:t>Source: Table E.2-2, E.3-1, E.4-1, E.6-1 (pp31-32) of the submission and compiled during the evalu</w:t>
      </w:r>
      <w:r w:rsidR="00616592" w:rsidRPr="008C7AEB">
        <w:t>a</w:t>
      </w:r>
      <w:r w:rsidRPr="008C7AEB">
        <w:t>tion</w:t>
      </w:r>
    </w:p>
    <w:p w:rsidR="00163204" w:rsidRPr="008C7AEB" w:rsidRDefault="00163204" w:rsidP="00426983">
      <w:pPr>
        <w:pStyle w:val="TableFooter"/>
        <w:ind w:left="720"/>
        <w:rPr>
          <w:i/>
        </w:rPr>
      </w:pPr>
      <w:r w:rsidRPr="008C7AEB">
        <w:rPr>
          <w:i/>
        </w:rPr>
        <w:t>Estimates in italics were recalculated using December 2015 PBS prices for zoledronic acid 4mg</w:t>
      </w:r>
    </w:p>
    <w:p w:rsidR="00163204" w:rsidRPr="008C7AEB" w:rsidRDefault="00163204" w:rsidP="00163204">
      <w:pPr>
        <w:widowControl/>
        <w:rPr>
          <w:szCs w:val="22"/>
        </w:rPr>
      </w:pPr>
    </w:p>
    <w:p w:rsidR="000624B2" w:rsidRDefault="00BC5BD2" w:rsidP="000624B2">
      <w:pPr>
        <w:pStyle w:val="ListParagraph"/>
        <w:widowControl/>
        <w:rPr>
          <w:szCs w:val="22"/>
        </w:rPr>
      </w:pPr>
      <w:r>
        <w:rPr>
          <w:szCs w:val="22"/>
        </w:rPr>
        <w:t>The redacted table above shows that in year 5, the estimated number of scripts was less than 10,000 and the net cost to PBS would be less than $10 million.</w:t>
      </w:r>
    </w:p>
    <w:p w:rsidR="00BC5BD2" w:rsidRPr="008C7AEB" w:rsidRDefault="00BC5BD2" w:rsidP="000624B2">
      <w:pPr>
        <w:pStyle w:val="ListParagraph"/>
        <w:widowControl/>
        <w:rPr>
          <w:szCs w:val="22"/>
        </w:rPr>
      </w:pPr>
    </w:p>
    <w:p w:rsidR="00163204" w:rsidRPr="008C7AEB" w:rsidRDefault="00163204" w:rsidP="00163204">
      <w:pPr>
        <w:pStyle w:val="ListParagraph"/>
        <w:widowControl/>
        <w:numPr>
          <w:ilvl w:val="1"/>
          <w:numId w:val="6"/>
        </w:numPr>
        <w:rPr>
          <w:szCs w:val="22"/>
        </w:rPr>
      </w:pPr>
      <w:r w:rsidRPr="008C7AEB">
        <w:t xml:space="preserve">The </w:t>
      </w:r>
      <w:r w:rsidR="00986A12">
        <w:t xml:space="preserve">PSCR </w:t>
      </w:r>
      <w:r w:rsidR="00462A42">
        <w:t xml:space="preserve">revised </w:t>
      </w:r>
      <w:r w:rsidRPr="008C7AEB">
        <w:t xml:space="preserve">net cost of listing denosumab on the PBS was estimated to be up to </w:t>
      </w:r>
      <w:r w:rsidR="00E814DC">
        <w:t xml:space="preserve">less than $10 </w:t>
      </w:r>
      <w:r w:rsidRPr="008C7AEB">
        <w:t>million in the fifth year of listing, including all cost offsets proposed in the submission. The estimated utilisation and financial implications of listing denosumab on the PBS were highly uncertain due to the following issues:</w:t>
      </w:r>
    </w:p>
    <w:p w:rsidR="00163204" w:rsidRPr="008C7AEB" w:rsidRDefault="00163204" w:rsidP="00163204">
      <w:pPr>
        <w:pStyle w:val="ListParagraph"/>
        <w:numPr>
          <w:ilvl w:val="0"/>
          <w:numId w:val="15"/>
        </w:numPr>
        <w:ind w:left="1080"/>
      </w:pPr>
      <w:r w:rsidRPr="008C7AEB">
        <w:t>Given the limitations of the 10% Medicare sample in estimating the total patient population with hypercalcaemia of malignancy, an epidemiological approach may have been more appropriate. Denosumab may be used in settings different to zoledronic acid (due to differences mode of administration, dosing regimen and renal restrictions).</w:t>
      </w:r>
    </w:p>
    <w:p w:rsidR="00163204" w:rsidRPr="008C7AEB" w:rsidRDefault="00163204" w:rsidP="00163204">
      <w:pPr>
        <w:pStyle w:val="ListParagraph"/>
        <w:numPr>
          <w:ilvl w:val="0"/>
          <w:numId w:val="15"/>
        </w:numPr>
        <w:ind w:left="1080"/>
      </w:pPr>
      <w:r w:rsidRPr="008C7AEB">
        <w:t>The average cost of zoledronic acid based on a 50:50 mix of 4mg and 8mg is unlikely to represent utilisation in practice as doses above 4mg are not recommended.</w:t>
      </w:r>
    </w:p>
    <w:p w:rsidR="00163204" w:rsidRPr="008C7AEB" w:rsidRDefault="00163204" w:rsidP="00163204">
      <w:pPr>
        <w:pStyle w:val="ListParagraph"/>
        <w:numPr>
          <w:ilvl w:val="0"/>
          <w:numId w:val="15"/>
        </w:numPr>
        <w:ind w:left="1080"/>
      </w:pPr>
      <w:r w:rsidRPr="008C7AEB">
        <w:t xml:space="preserve">The number of denosumab scripts per patient, based on Study 315 may not represent the number of prescriptions per year of treatment. </w:t>
      </w:r>
    </w:p>
    <w:p w:rsidR="00163204" w:rsidRPr="008C7AEB" w:rsidRDefault="00163204" w:rsidP="00163204">
      <w:pPr>
        <w:pStyle w:val="ListParagraph"/>
        <w:numPr>
          <w:ilvl w:val="0"/>
          <w:numId w:val="15"/>
        </w:numPr>
        <w:ind w:left="1080"/>
      </w:pPr>
      <w:r w:rsidRPr="008C7AEB">
        <w:t>Cost offsets from zoledronic acid substitution were based on an assumption of two prescriptions per substituted patient, which was inconsistent with the assumption of one dose in the economic evaluation.</w:t>
      </w:r>
    </w:p>
    <w:p w:rsidR="00163204" w:rsidRPr="008C7AEB" w:rsidRDefault="00163204" w:rsidP="00163204">
      <w:pPr>
        <w:pStyle w:val="ListParagraph"/>
        <w:numPr>
          <w:ilvl w:val="0"/>
          <w:numId w:val="15"/>
        </w:numPr>
        <w:ind w:left="1080"/>
      </w:pPr>
      <w:r w:rsidRPr="008C7AEB">
        <w:lastRenderedPageBreak/>
        <w:t>The proportion of refractory patients (32%) based on the refractory rate in Major 2001 may not reflect the proportion of patients who would qualify for retreatment in practice.</w:t>
      </w:r>
    </w:p>
    <w:p w:rsidR="00163204" w:rsidRPr="008C7AEB" w:rsidRDefault="00163204" w:rsidP="00163204">
      <w:pPr>
        <w:pStyle w:val="ListParagraph"/>
        <w:numPr>
          <w:ilvl w:val="0"/>
          <w:numId w:val="15"/>
        </w:numPr>
        <w:ind w:left="1080"/>
      </w:pPr>
      <w:r w:rsidRPr="008C7AEB">
        <w:t>It was unclear whether a co-payment offset would be applicable should primary access to denosumab occur in a public hospital setting.</w:t>
      </w:r>
    </w:p>
    <w:p w:rsidR="00163204" w:rsidRPr="008C7AEB" w:rsidRDefault="00163204" w:rsidP="00163204">
      <w:pPr>
        <w:pStyle w:val="ListParagraph"/>
        <w:numPr>
          <w:ilvl w:val="0"/>
          <w:numId w:val="15"/>
        </w:numPr>
        <w:ind w:left="1080"/>
      </w:pPr>
      <w:r w:rsidRPr="008C7AEB">
        <w:t>There could be potential for market growth as denosumab has an alternative dosing regimen to currently listed treatments, no restrictions on use in renal impairment and can be administered outside of a hospital setting.</w:t>
      </w:r>
    </w:p>
    <w:p w:rsidR="00163204" w:rsidRPr="008C7AEB" w:rsidRDefault="00163204" w:rsidP="00163204">
      <w:pPr>
        <w:pStyle w:val="ListParagraph"/>
        <w:ind w:left="1080"/>
        <w:rPr>
          <w:i/>
        </w:rPr>
      </w:pPr>
    </w:p>
    <w:p w:rsidR="00163204" w:rsidRPr="008C7AEB" w:rsidRDefault="00163204" w:rsidP="00163204">
      <w:pPr>
        <w:pStyle w:val="ListParagraph"/>
        <w:widowControl/>
        <w:numPr>
          <w:ilvl w:val="1"/>
          <w:numId w:val="6"/>
        </w:numPr>
        <w:rPr>
          <w:szCs w:val="22"/>
        </w:rPr>
      </w:pPr>
      <w:r w:rsidRPr="008C7AEB">
        <w:rPr>
          <w:szCs w:val="22"/>
        </w:rPr>
        <w:t>The submission did not provide an estimate for the potential affects to the MBS or other government health budgets but suggested that any additional cost to the PBS would be offset by savings in the avoidance of the day admission required for intravenous zoledronic acid administration. The submission did not consider the potential costs to the MBS for denosumab administration (5 doses).</w:t>
      </w:r>
    </w:p>
    <w:p w:rsidR="00163204" w:rsidRPr="008C7AEB" w:rsidRDefault="00163204" w:rsidP="00163204">
      <w:pPr>
        <w:pStyle w:val="ListParagraph"/>
        <w:widowControl/>
        <w:rPr>
          <w:szCs w:val="22"/>
        </w:rPr>
      </w:pPr>
    </w:p>
    <w:p w:rsidR="00163204" w:rsidRPr="008C7AEB" w:rsidRDefault="00163204" w:rsidP="00163204">
      <w:pPr>
        <w:pStyle w:val="Heading2"/>
        <w:rPr>
          <w:i/>
          <w:szCs w:val="22"/>
        </w:rPr>
      </w:pPr>
      <w:bookmarkStart w:id="20" w:name="_Toc441050673"/>
      <w:r w:rsidRPr="008C7AEB">
        <w:rPr>
          <w:i/>
        </w:rPr>
        <w:t>Financial Management – Risk Sharing Arrangements</w:t>
      </w:r>
      <w:bookmarkEnd w:id="20"/>
    </w:p>
    <w:p w:rsidR="00163204" w:rsidRPr="008C7AEB" w:rsidRDefault="00163204" w:rsidP="00163204">
      <w:pPr>
        <w:widowControl/>
        <w:rPr>
          <w:szCs w:val="22"/>
        </w:rPr>
      </w:pPr>
    </w:p>
    <w:p w:rsidR="00B54755" w:rsidRPr="00B54755" w:rsidRDefault="00163204" w:rsidP="002A464D">
      <w:pPr>
        <w:pStyle w:val="ListParagraph"/>
        <w:widowControl/>
        <w:numPr>
          <w:ilvl w:val="1"/>
          <w:numId w:val="6"/>
        </w:numPr>
        <w:rPr>
          <w:i/>
          <w:szCs w:val="22"/>
        </w:rPr>
      </w:pPr>
      <w:r w:rsidRPr="00B54755">
        <w:rPr>
          <w:szCs w:val="22"/>
        </w:rPr>
        <w:t xml:space="preserve">The submission claimed that a </w:t>
      </w:r>
      <w:r w:rsidR="00FA1D3C" w:rsidRPr="00B54755">
        <w:rPr>
          <w:szCs w:val="22"/>
        </w:rPr>
        <w:t xml:space="preserve">Risk Share Arrangement </w:t>
      </w:r>
      <w:r w:rsidRPr="00B54755">
        <w:rPr>
          <w:szCs w:val="22"/>
        </w:rPr>
        <w:t>was unnecessary for the indication of treatment o</w:t>
      </w:r>
      <w:r w:rsidR="00CC7E74" w:rsidRPr="00B54755">
        <w:rPr>
          <w:szCs w:val="22"/>
        </w:rPr>
        <w:t>f hypercalcaemia of malignancy.</w:t>
      </w:r>
    </w:p>
    <w:p w:rsidR="00B54755" w:rsidRPr="00B54755" w:rsidRDefault="00B54755" w:rsidP="00B54755">
      <w:pPr>
        <w:pStyle w:val="ListParagraph"/>
        <w:widowControl/>
        <w:rPr>
          <w:i/>
          <w:szCs w:val="22"/>
        </w:rPr>
      </w:pPr>
    </w:p>
    <w:p w:rsidR="00B22C45" w:rsidRPr="00B54755" w:rsidRDefault="00B22C45" w:rsidP="00B54755">
      <w:pPr>
        <w:pStyle w:val="ListParagraph"/>
        <w:widowControl/>
        <w:rPr>
          <w:i/>
          <w:szCs w:val="22"/>
        </w:rPr>
      </w:pPr>
      <w:r w:rsidRPr="00B54755">
        <w:rPr>
          <w:i/>
          <w:szCs w:val="22"/>
        </w:rPr>
        <w:t>For more detail on PBAC’s view, see section 7 “PBAC outcome”</w:t>
      </w:r>
    </w:p>
    <w:p w:rsidR="00B22C45" w:rsidRPr="008C7AEB" w:rsidRDefault="00B22C45" w:rsidP="00B22C45">
      <w:pPr>
        <w:widowControl/>
        <w:rPr>
          <w:b/>
        </w:rPr>
      </w:pPr>
    </w:p>
    <w:p w:rsidR="00B22C45" w:rsidRPr="008C7AEB" w:rsidRDefault="00B22C45" w:rsidP="00B22C45">
      <w:pPr>
        <w:spacing w:line="276" w:lineRule="auto"/>
        <w:ind w:left="709"/>
        <w:rPr>
          <w:b/>
          <w:bCs/>
          <w:szCs w:val="22"/>
        </w:rPr>
      </w:pPr>
    </w:p>
    <w:p w:rsidR="00B22C45" w:rsidRPr="008C7AEB" w:rsidRDefault="00B22C45" w:rsidP="00B54755">
      <w:pPr>
        <w:pStyle w:val="PBACHeading1"/>
      </w:pPr>
      <w:r w:rsidRPr="008C7AEB">
        <w:t>PBAC Outcome</w:t>
      </w:r>
    </w:p>
    <w:p w:rsidR="00B22C45" w:rsidRPr="008C7AEB" w:rsidRDefault="00B22C45" w:rsidP="00B22C45">
      <w:pPr>
        <w:contextualSpacing/>
        <w:rPr>
          <w:b/>
          <w:bCs/>
          <w:szCs w:val="22"/>
          <w:highlight w:val="yellow"/>
        </w:rPr>
      </w:pPr>
    </w:p>
    <w:p w:rsidR="00B22C45" w:rsidRPr="008C7AEB" w:rsidRDefault="00B22C45" w:rsidP="00B22C45">
      <w:pPr>
        <w:ind w:left="720"/>
        <w:contextualSpacing/>
        <w:rPr>
          <w:bCs/>
          <w:szCs w:val="22"/>
          <w:highlight w:val="yellow"/>
        </w:rPr>
      </w:pPr>
    </w:p>
    <w:p w:rsidR="00C44F7B" w:rsidRPr="008C7AEB" w:rsidRDefault="00C44F7B" w:rsidP="00B22C45">
      <w:pPr>
        <w:numPr>
          <w:ilvl w:val="1"/>
          <w:numId w:val="6"/>
        </w:numPr>
        <w:contextualSpacing/>
        <w:rPr>
          <w:bCs/>
          <w:szCs w:val="22"/>
        </w:rPr>
      </w:pPr>
      <w:r w:rsidRPr="008C7AEB">
        <w:rPr>
          <w:bCs/>
          <w:szCs w:val="22"/>
        </w:rPr>
        <w:t>The PBAC did not recommend the PBS listing of denosumab for</w:t>
      </w:r>
      <w:r w:rsidR="0035365E">
        <w:rPr>
          <w:bCs/>
          <w:szCs w:val="22"/>
        </w:rPr>
        <w:t xml:space="preserve"> </w:t>
      </w:r>
      <w:r w:rsidR="0035365E" w:rsidRPr="008C7AEB">
        <w:rPr>
          <w:bCs/>
          <w:szCs w:val="22"/>
        </w:rPr>
        <w:t>hypercalcaemia</w:t>
      </w:r>
      <w:r w:rsidR="0035365E">
        <w:rPr>
          <w:bCs/>
          <w:szCs w:val="22"/>
        </w:rPr>
        <w:t xml:space="preserve"> of</w:t>
      </w:r>
      <w:r w:rsidRPr="008C7AEB">
        <w:rPr>
          <w:bCs/>
          <w:szCs w:val="22"/>
        </w:rPr>
        <w:t xml:space="preserve"> malignancy </w:t>
      </w:r>
      <w:r w:rsidR="00FA1D3C" w:rsidRPr="008C7AEB">
        <w:rPr>
          <w:bCs/>
          <w:szCs w:val="22"/>
        </w:rPr>
        <w:t>based on</w:t>
      </w:r>
      <w:r w:rsidRPr="008C7AEB">
        <w:rPr>
          <w:bCs/>
          <w:szCs w:val="22"/>
        </w:rPr>
        <w:t xml:space="preserve"> low quality clinical </w:t>
      </w:r>
      <w:r w:rsidR="00FA1D3C" w:rsidRPr="008C7AEB">
        <w:rPr>
          <w:bCs/>
          <w:szCs w:val="22"/>
        </w:rPr>
        <w:t>data that</w:t>
      </w:r>
      <w:r w:rsidR="00F87A46" w:rsidRPr="008C7AEB">
        <w:rPr>
          <w:bCs/>
          <w:szCs w:val="22"/>
        </w:rPr>
        <w:t xml:space="preserve"> did not support the claim of superior efficacy,</w:t>
      </w:r>
      <w:r w:rsidRPr="008C7AEB">
        <w:rPr>
          <w:bCs/>
          <w:szCs w:val="22"/>
        </w:rPr>
        <w:t xml:space="preserve"> and </w:t>
      </w:r>
      <w:r w:rsidR="0006313B" w:rsidRPr="008C7AEB">
        <w:rPr>
          <w:bCs/>
          <w:szCs w:val="22"/>
        </w:rPr>
        <w:t>the lack of a</w:t>
      </w:r>
      <w:r w:rsidRPr="008C7AEB">
        <w:rPr>
          <w:bCs/>
          <w:szCs w:val="22"/>
        </w:rPr>
        <w:t xml:space="preserve"> clear clinical place</w:t>
      </w:r>
      <w:r w:rsidR="0006313B" w:rsidRPr="008C7AEB">
        <w:rPr>
          <w:bCs/>
          <w:szCs w:val="22"/>
        </w:rPr>
        <w:t xml:space="preserve"> for denosumab</w:t>
      </w:r>
      <w:r w:rsidRPr="008C7AEB">
        <w:rPr>
          <w:bCs/>
          <w:szCs w:val="22"/>
        </w:rPr>
        <w:t>.</w:t>
      </w:r>
    </w:p>
    <w:p w:rsidR="00840448" w:rsidRPr="008C7AEB" w:rsidRDefault="00840448" w:rsidP="00F87A46">
      <w:pPr>
        <w:contextualSpacing/>
        <w:rPr>
          <w:bCs/>
          <w:szCs w:val="22"/>
        </w:rPr>
      </w:pPr>
    </w:p>
    <w:p w:rsidR="00840448" w:rsidRPr="008C7AEB" w:rsidRDefault="00C44F7B" w:rsidP="00B22C45">
      <w:pPr>
        <w:numPr>
          <w:ilvl w:val="1"/>
          <w:numId w:val="6"/>
        </w:numPr>
        <w:contextualSpacing/>
        <w:rPr>
          <w:bCs/>
          <w:szCs w:val="22"/>
        </w:rPr>
      </w:pPr>
      <w:r w:rsidRPr="008C7AEB">
        <w:rPr>
          <w:bCs/>
          <w:szCs w:val="22"/>
        </w:rPr>
        <w:t>The PBAC a</w:t>
      </w:r>
      <w:r w:rsidR="00840448" w:rsidRPr="008C7AEB">
        <w:rPr>
          <w:bCs/>
          <w:szCs w:val="22"/>
        </w:rPr>
        <w:t xml:space="preserve">ccepted </w:t>
      </w:r>
      <w:r w:rsidRPr="008C7AEB">
        <w:rPr>
          <w:bCs/>
          <w:szCs w:val="22"/>
        </w:rPr>
        <w:t xml:space="preserve">that </w:t>
      </w:r>
      <w:r w:rsidR="00840448" w:rsidRPr="008C7AEB">
        <w:rPr>
          <w:bCs/>
          <w:szCs w:val="22"/>
        </w:rPr>
        <w:t>zoledronic was an appropriate comparator</w:t>
      </w:r>
      <w:r w:rsidRPr="008C7AEB">
        <w:rPr>
          <w:bCs/>
          <w:szCs w:val="22"/>
        </w:rPr>
        <w:t xml:space="preserve">, however also </w:t>
      </w:r>
      <w:r w:rsidR="00840448" w:rsidRPr="008C7AEB">
        <w:rPr>
          <w:bCs/>
          <w:szCs w:val="22"/>
        </w:rPr>
        <w:t>noted that pamidronate is also PBS-listed for hypercalcaemia of malignancy</w:t>
      </w:r>
      <w:r w:rsidRPr="008C7AEB">
        <w:rPr>
          <w:bCs/>
          <w:szCs w:val="22"/>
        </w:rPr>
        <w:t>. The PBAC</w:t>
      </w:r>
      <w:r w:rsidR="00840448" w:rsidRPr="008C7AEB">
        <w:rPr>
          <w:bCs/>
          <w:szCs w:val="22"/>
        </w:rPr>
        <w:t xml:space="preserve"> considered that </w:t>
      </w:r>
      <w:r w:rsidRPr="008C7AEB">
        <w:rPr>
          <w:bCs/>
          <w:szCs w:val="22"/>
        </w:rPr>
        <w:t xml:space="preserve">as </w:t>
      </w:r>
      <w:r w:rsidR="00840448" w:rsidRPr="008C7AEB">
        <w:rPr>
          <w:bCs/>
          <w:szCs w:val="22"/>
        </w:rPr>
        <w:t>pami</w:t>
      </w:r>
      <w:r w:rsidRPr="008C7AEB">
        <w:rPr>
          <w:bCs/>
          <w:szCs w:val="22"/>
        </w:rPr>
        <w:t>dronate would also be replaced i</w:t>
      </w:r>
      <w:r w:rsidR="00840448" w:rsidRPr="008C7AEB">
        <w:rPr>
          <w:bCs/>
          <w:szCs w:val="22"/>
        </w:rPr>
        <w:t xml:space="preserve">n practice, </w:t>
      </w:r>
      <w:r w:rsidRPr="008C7AEB">
        <w:rPr>
          <w:bCs/>
          <w:szCs w:val="22"/>
        </w:rPr>
        <w:t>albeit to a lesser extent, it was also a</w:t>
      </w:r>
      <w:r w:rsidR="00840448" w:rsidRPr="008C7AEB">
        <w:rPr>
          <w:bCs/>
          <w:szCs w:val="22"/>
        </w:rPr>
        <w:t xml:space="preserve"> relevant comparator. </w:t>
      </w:r>
    </w:p>
    <w:p w:rsidR="00B23DF6" w:rsidRPr="008C7AEB" w:rsidRDefault="00B23DF6" w:rsidP="00B23DF6">
      <w:pPr>
        <w:pStyle w:val="ListParagraph"/>
        <w:rPr>
          <w:bCs/>
          <w:szCs w:val="22"/>
        </w:rPr>
      </w:pPr>
    </w:p>
    <w:p w:rsidR="00B23DF6" w:rsidRPr="008C7AEB" w:rsidRDefault="00B23DF6" w:rsidP="00B23DF6">
      <w:pPr>
        <w:numPr>
          <w:ilvl w:val="1"/>
          <w:numId w:val="6"/>
        </w:numPr>
        <w:contextualSpacing/>
        <w:rPr>
          <w:bCs/>
          <w:szCs w:val="22"/>
        </w:rPr>
      </w:pPr>
      <w:r w:rsidRPr="008C7AEB">
        <w:rPr>
          <w:bCs/>
          <w:szCs w:val="22"/>
        </w:rPr>
        <w:t xml:space="preserve">PBAC noted that the listing of denosumab would impact the clinical treatment algorithm and treatment setting, given its alternative treatment goal and administration outside of a hospital setting, however considered that the benefit of this impact had not been justified by the submission. </w:t>
      </w:r>
    </w:p>
    <w:p w:rsidR="0084658D" w:rsidRPr="008C7AEB" w:rsidRDefault="0084658D" w:rsidP="0084658D">
      <w:pPr>
        <w:pStyle w:val="ListParagraph"/>
        <w:rPr>
          <w:bCs/>
          <w:szCs w:val="22"/>
        </w:rPr>
      </w:pPr>
    </w:p>
    <w:p w:rsidR="0084658D" w:rsidRPr="008C7AEB" w:rsidRDefault="00F87A46" w:rsidP="0084658D">
      <w:pPr>
        <w:numPr>
          <w:ilvl w:val="1"/>
          <w:numId w:val="6"/>
        </w:numPr>
        <w:contextualSpacing/>
        <w:rPr>
          <w:bCs/>
          <w:szCs w:val="22"/>
        </w:rPr>
      </w:pPr>
      <w:r w:rsidRPr="008C7AEB">
        <w:rPr>
          <w:bCs/>
          <w:szCs w:val="22"/>
        </w:rPr>
        <w:t xml:space="preserve">The PBAC considered that the clinical place for denosumab had not been clearly defined, </w:t>
      </w:r>
      <w:r w:rsidR="00B23DF6" w:rsidRPr="008C7AEB">
        <w:rPr>
          <w:bCs/>
          <w:szCs w:val="22"/>
        </w:rPr>
        <w:t>particularly in the context of refractory and relapsed</w:t>
      </w:r>
      <w:r w:rsidR="00141C64" w:rsidRPr="008C7AEB">
        <w:rPr>
          <w:bCs/>
          <w:szCs w:val="22"/>
        </w:rPr>
        <w:t xml:space="preserve"> patients</w:t>
      </w:r>
      <w:r w:rsidR="0084658D" w:rsidRPr="008C7AEB">
        <w:rPr>
          <w:bCs/>
          <w:szCs w:val="22"/>
        </w:rPr>
        <w:t xml:space="preserve">, where patients who initially </w:t>
      </w:r>
      <w:r w:rsidR="003E0B10" w:rsidRPr="008C7AEB">
        <w:rPr>
          <w:bCs/>
          <w:szCs w:val="22"/>
        </w:rPr>
        <w:t>respond to treatment with intravenous</w:t>
      </w:r>
      <w:r w:rsidR="0084658D" w:rsidRPr="008C7AEB">
        <w:rPr>
          <w:bCs/>
          <w:szCs w:val="22"/>
        </w:rPr>
        <w:t xml:space="preserve"> bisphosphonates are likely to relapse</w:t>
      </w:r>
      <w:r w:rsidRPr="008C7AEB">
        <w:rPr>
          <w:bCs/>
          <w:szCs w:val="22"/>
        </w:rPr>
        <w:t xml:space="preserve">, and </w:t>
      </w:r>
      <w:r w:rsidR="0084658D" w:rsidRPr="008C7AEB">
        <w:rPr>
          <w:bCs/>
          <w:szCs w:val="22"/>
        </w:rPr>
        <w:t>considered there was potential for use of denosumab in this patient group.</w:t>
      </w:r>
      <w:r w:rsidRPr="008C7AEB">
        <w:rPr>
          <w:bCs/>
          <w:szCs w:val="22"/>
        </w:rPr>
        <w:t xml:space="preserve"> The</w:t>
      </w:r>
      <w:r w:rsidR="0084658D" w:rsidRPr="008C7AEB">
        <w:rPr>
          <w:bCs/>
          <w:szCs w:val="22"/>
        </w:rPr>
        <w:t xml:space="preserve"> PBAC </w:t>
      </w:r>
      <w:r w:rsidRPr="008C7AEB">
        <w:rPr>
          <w:bCs/>
          <w:szCs w:val="22"/>
        </w:rPr>
        <w:t>also considered that</w:t>
      </w:r>
      <w:r w:rsidR="0084658D" w:rsidRPr="008C7AEB">
        <w:rPr>
          <w:bCs/>
          <w:szCs w:val="22"/>
        </w:rPr>
        <w:t xml:space="preserve"> there was a high likelihood of </w:t>
      </w:r>
      <w:r w:rsidRPr="008C7AEB">
        <w:rPr>
          <w:bCs/>
          <w:szCs w:val="22"/>
        </w:rPr>
        <w:t>ongoing denosumab use</w:t>
      </w:r>
      <w:r w:rsidR="0084658D" w:rsidRPr="008C7AEB">
        <w:rPr>
          <w:bCs/>
          <w:szCs w:val="22"/>
        </w:rPr>
        <w:t xml:space="preserve"> in patients once they present with malignant hypercalcaemia, when</w:t>
      </w:r>
      <w:r w:rsidRPr="008C7AEB">
        <w:rPr>
          <w:bCs/>
          <w:szCs w:val="22"/>
        </w:rPr>
        <w:t xml:space="preserve"> they are</w:t>
      </w:r>
      <w:r w:rsidR="0084658D" w:rsidRPr="008C7AEB">
        <w:rPr>
          <w:bCs/>
          <w:szCs w:val="22"/>
        </w:rPr>
        <w:t xml:space="preserve"> still responsive to bisphosphonates, and/or where hypercal</w:t>
      </w:r>
      <w:r w:rsidRPr="008C7AEB">
        <w:rPr>
          <w:bCs/>
          <w:szCs w:val="22"/>
        </w:rPr>
        <w:t>c</w:t>
      </w:r>
      <w:r w:rsidR="0084658D" w:rsidRPr="008C7AEB">
        <w:rPr>
          <w:bCs/>
          <w:szCs w:val="22"/>
        </w:rPr>
        <w:t xml:space="preserve">aemia would be well controlled by </w:t>
      </w:r>
      <w:r w:rsidRPr="008C7AEB">
        <w:rPr>
          <w:bCs/>
          <w:szCs w:val="22"/>
        </w:rPr>
        <w:t xml:space="preserve">the </w:t>
      </w:r>
      <w:r w:rsidR="0084658D" w:rsidRPr="008C7AEB">
        <w:rPr>
          <w:bCs/>
          <w:szCs w:val="22"/>
        </w:rPr>
        <w:t xml:space="preserve">specific treatment </w:t>
      </w:r>
      <w:r w:rsidRPr="008C7AEB">
        <w:rPr>
          <w:bCs/>
          <w:szCs w:val="22"/>
        </w:rPr>
        <w:t>targeting the</w:t>
      </w:r>
      <w:r w:rsidR="0084658D" w:rsidRPr="008C7AEB">
        <w:rPr>
          <w:bCs/>
          <w:szCs w:val="22"/>
        </w:rPr>
        <w:t xml:space="preserve"> underlying condition.</w:t>
      </w:r>
    </w:p>
    <w:p w:rsidR="0084658D" w:rsidRPr="008C7AEB" w:rsidRDefault="0084658D" w:rsidP="0084658D">
      <w:pPr>
        <w:pStyle w:val="ListParagraph"/>
        <w:rPr>
          <w:bCs/>
          <w:szCs w:val="22"/>
        </w:rPr>
      </w:pPr>
    </w:p>
    <w:p w:rsidR="003E0B10" w:rsidRPr="008C7AEB" w:rsidRDefault="003E0B10" w:rsidP="003E0B10">
      <w:pPr>
        <w:numPr>
          <w:ilvl w:val="1"/>
          <w:numId w:val="6"/>
        </w:numPr>
        <w:contextualSpacing/>
        <w:rPr>
          <w:szCs w:val="22"/>
        </w:rPr>
      </w:pPr>
      <w:r w:rsidRPr="008C7AEB">
        <w:rPr>
          <w:bCs/>
          <w:szCs w:val="22"/>
        </w:rPr>
        <w:t>The PBAC noted the submission</w:t>
      </w:r>
      <w:r w:rsidR="00B23DF6" w:rsidRPr="008C7AEB">
        <w:rPr>
          <w:bCs/>
          <w:szCs w:val="22"/>
        </w:rPr>
        <w:t>’s claim of superior efficacy and non-inferior safety</w:t>
      </w:r>
      <w:r w:rsidRPr="008C7AEB">
        <w:rPr>
          <w:bCs/>
          <w:szCs w:val="22"/>
        </w:rPr>
        <w:t xml:space="preserve"> was based </w:t>
      </w:r>
      <w:r w:rsidRPr="008C7AEB">
        <w:t xml:space="preserve">on a naïve indirect comparison between a single-arm denosumab </w:t>
      </w:r>
      <w:r w:rsidRPr="008C7AEB">
        <w:lastRenderedPageBreak/>
        <w:t>observational study (Study 315) and a pooled subgroup analysis of zoledronic acid 8</w:t>
      </w:r>
      <w:r w:rsidR="004A10D5" w:rsidRPr="008C7AEB">
        <w:t> </w:t>
      </w:r>
      <w:r w:rsidRPr="008C7AEB">
        <w:t xml:space="preserve">mg retreatment from two randomised controlled trials (Major 2001), which were conducted more than 10 years apart. </w:t>
      </w:r>
      <w:r w:rsidRPr="008C7AEB">
        <w:rPr>
          <w:szCs w:val="22"/>
        </w:rPr>
        <w:t xml:space="preserve"> While difficult to compare across studies given the lack of data in both studies, the PBAC considered that there were similarities between the 33 patients in Study 315 and the 69 patients with relapsed or refractory HCM in Major:</w:t>
      </w:r>
    </w:p>
    <w:p w:rsidR="003E0B10" w:rsidRPr="008C7AEB" w:rsidRDefault="003E0B10" w:rsidP="003E0B10">
      <w:pPr>
        <w:pStyle w:val="ListParagraph"/>
        <w:widowControl/>
        <w:numPr>
          <w:ilvl w:val="0"/>
          <w:numId w:val="29"/>
        </w:numPr>
        <w:ind w:left="1276" w:hanging="425"/>
        <w:rPr>
          <w:szCs w:val="22"/>
        </w:rPr>
      </w:pPr>
      <w:r w:rsidRPr="008C7AEB">
        <w:rPr>
          <w:szCs w:val="22"/>
        </w:rPr>
        <w:t>the mix of different malignancies was similar, although patients in Study 315 were heavily pre-treated; and</w:t>
      </w:r>
    </w:p>
    <w:p w:rsidR="003E0B10" w:rsidRPr="008C7AEB" w:rsidRDefault="003E0B10" w:rsidP="003E0B10">
      <w:pPr>
        <w:pStyle w:val="ListParagraph"/>
        <w:widowControl/>
        <w:numPr>
          <w:ilvl w:val="0"/>
          <w:numId w:val="29"/>
        </w:numPr>
        <w:ind w:left="1276" w:hanging="425"/>
        <w:rPr>
          <w:szCs w:val="22"/>
        </w:rPr>
      </w:pPr>
      <w:r w:rsidRPr="008C7AEB">
        <w:rPr>
          <w:szCs w:val="22"/>
        </w:rPr>
        <w:t>refractoriness was defined as minimal response by day 7 in Major, and approximately 1/3 patients fell into that category; while in Study 315, 25% of patients had last received a bisphosphonate in the previous 8 – &lt;13 days, a group most analogous to the refractory group in Major.</w:t>
      </w:r>
    </w:p>
    <w:p w:rsidR="004B44B7" w:rsidRPr="008C7AEB" w:rsidRDefault="004B44B7" w:rsidP="004B44B7">
      <w:pPr>
        <w:ind w:left="720"/>
        <w:contextualSpacing/>
        <w:rPr>
          <w:bCs/>
          <w:szCs w:val="22"/>
        </w:rPr>
      </w:pPr>
    </w:p>
    <w:p w:rsidR="00B23DF6" w:rsidRPr="008C7AEB" w:rsidRDefault="00B23DF6" w:rsidP="00B23DF6">
      <w:pPr>
        <w:numPr>
          <w:ilvl w:val="1"/>
          <w:numId w:val="6"/>
        </w:numPr>
        <w:contextualSpacing/>
        <w:rPr>
          <w:bCs/>
          <w:szCs w:val="22"/>
        </w:rPr>
      </w:pPr>
      <w:r w:rsidRPr="008C7AEB">
        <w:rPr>
          <w:bCs/>
          <w:szCs w:val="22"/>
        </w:rPr>
        <w:t>The PBAC considered that the clinical data was of low quality with respect to comparative efficacy and safety, and did not form an adequate basis to support the clinical claim of superior efficacy</w:t>
      </w:r>
      <w:r w:rsidR="004A10D5" w:rsidRPr="008C7AEB">
        <w:rPr>
          <w:bCs/>
          <w:szCs w:val="22"/>
        </w:rPr>
        <w:t xml:space="preserve"> and non-inferior safety</w:t>
      </w:r>
      <w:r w:rsidRPr="008C7AEB">
        <w:rPr>
          <w:bCs/>
          <w:szCs w:val="22"/>
        </w:rPr>
        <w:t>. Based on the evidence,</w:t>
      </w:r>
      <w:r w:rsidR="006C38A6" w:rsidRPr="008C7AEB">
        <w:rPr>
          <w:bCs/>
          <w:szCs w:val="22"/>
        </w:rPr>
        <w:t xml:space="preserve"> the PBAC considered that denosumab </w:t>
      </w:r>
      <w:r w:rsidR="00CD07FE">
        <w:rPr>
          <w:bCs/>
          <w:szCs w:val="22"/>
        </w:rPr>
        <w:t>is likely to be effective</w:t>
      </w:r>
      <w:r w:rsidR="006C38A6" w:rsidRPr="008C7AEB">
        <w:rPr>
          <w:bCs/>
          <w:szCs w:val="22"/>
        </w:rPr>
        <w:t xml:space="preserve"> in patients who ha</w:t>
      </w:r>
      <w:r w:rsidR="009372DB">
        <w:rPr>
          <w:bCs/>
          <w:szCs w:val="22"/>
        </w:rPr>
        <w:t>ve</w:t>
      </w:r>
      <w:r w:rsidR="006C38A6" w:rsidRPr="008C7AEB">
        <w:rPr>
          <w:bCs/>
          <w:szCs w:val="22"/>
        </w:rPr>
        <w:t xml:space="preserve"> previously received bisphosphonates for malignant hypercalcaemia. The PBAC did not consid</w:t>
      </w:r>
      <w:r w:rsidR="00F87A46" w:rsidRPr="008C7AEB">
        <w:rPr>
          <w:bCs/>
          <w:szCs w:val="22"/>
        </w:rPr>
        <w:t>er the data in this clinical set</w:t>
      </w:r>
      <w:r w:rsidR="006C38A6" w:rsidRPr="008C7AEB">
        <w:rPr>
          <w:bCs/>
          <w:szCs w:val="22"/>
        </w:rPr>
        <w:t>ting allow</w:t>
      </w:r>
      <w:r w:rsidR="004A10D5" w:rsidRPr="008C7AEB">
        <w:rPr>
          <w:bCs/>
          <w:szCs w:val="22"/>
        </w:rPr>
        <w:t>ed</w:t>
      </w:r>
      <w:r w:rsidR="006C38A6" w:rsidRPr="008C7AEB">
        <w:rPr>
          <w:bCs/>
          <w:szCs w:val="22"/>
        </w:rPr>
        <w:t xml:space="preserve"> conclusions to be drawn about the relative benefit/harm of denosumab compared to zoledronic acid. </w:t>
      </w:r>
      <w:r w:rsidRPr="008C7AEB">
        <w:rPr>
          <w:bCs/>
          <w:szCs w:val="22"/>
        </w:rPr>
        <w:t xml:space="preserve">The PBAC also noted that denosumab </w:t>
      </w:r>
      <w:r w:rsidR="004A10D5" w:rsidRPr="008C7AEB">
        <w:rPr>
          <w:bCs/>
          <w:szCs w:val="22"/>
        </w:rPr>
        <w:t>wa</w:t>
      </w:r>
      <w:r w:rsidRPr="008C7AEB">
        <w:rPr>
          <w:bCs/>
          <w:szCs w:val="22"/>
        </w:rPr>
        <w:t xml:space="preserve">s proposed as ongoing therapy, whereas zoledronic acid </w:t>
      </w:r>
      <w:r w:rsidR="004A10D5" w:rsidRPr="008C7AEB">
        <w:rPr>
          <w:bCs/>
          <w:szCs w:val="22"/>
        </w:rPr>
        <w:t>wa</w:t>
      </w:r>
      <w:r w:rsidRPr="008C7AEB">
        <w:rPr>
          <w:bCs/>
          <w:szCs w:val="22"/>
        </w:rPr>
        <w:t xml:space="preserve">s episodic, </w:t>
      </w:r>
      <w:r w:rsidR="004A10D5" w:rsidRPr="008C7AEB">
        <w:rPr>
          <w:bCs/>
          <w:szCs w:val="22"/>
        </w:rPr>
        <w:t>this</w:t>
      </w:r>
      <w:r w:rsidRPr="008C7AEB">
        <w:rPr>
          <w:bCs/>
          <w:szCs w:val="22"/>
        </w:rPr>
        <w:t xml:space="preserve"> further exacerbate</w:t>
      </w:r>
      <w:r w:rsidR="004A10D5" w:rsidRPr="008C7AEB">
        <w:rPr>
          <w:bCs/>
          <w:szCs w:val="22"/>
        </w:rPr>
        <w:t>d</w:t>
      </w:r>
      <w:r w:rsidRPr="008C7AEB">
        <w:rPr>
          <w:bCs/>
          <w:szCs w:val="22"/>
        </w:rPr>
        <w:t xml:space="preserve"> the difficulty of comparison</w:t>
      </w:r>
      <w:r w:rsidR="004A10D5" w:rsidRPr="008C7AEB">
        <w:rPr>
          <w:bCs/>
          <w:szCs w:val="22"/>
        </w:rPr>
        <w:t xml:space="preserve"> between treatments</w:t>
      </w:r>
      <w:r w:rsidRPr="008C7AEB">
        <w:rPr>
          <w:bCs/>
          <w:szCs w:val="22"/>
        </w:rPr>
        <w:t xml:space="preserve">. </w:t>
      </w:r>
    </w:p>
    <w:p w:rsidR="004B44B7" w:rsidRPr="008C7AEB" w:rsidRDefault="004B44B7" w:rsidP="00B23DF6">
      <w:pPr>
        <w:rPr>
          <w:bCs/>
          <w:szCs w:val="22"/>
        </w:rPr>
      </w:pPr>
    </w:p>
    <w:p w:rsidR="006C38A6" w:rsidRPr="008C7AEB" w:rsidRDefault="006C38A6" w:rsidP="00B22C45">
      <w:pPr>
        <w:numPr>
          <w:ilvl w:val="1"/>
          <w:numId w:val="6"/>
        </w:numPr>
        <w:contextualSpacing/>
        <w:rPr>
          <w:bCs/>
          <w:szCs w:val="22"/>
        </w:rPr>
      </w:pPr>
      <w:r w:rsidRPr="008C7AEB">
        <w:rPr>
          <w:bCs/>
          <w:szCs w:val="22"/>
        </w:rPr>
        <w:t>The PBAC considered that the values selected for use in the econ</w:t>
      </w:r>
      <w:r w:rsidR="00B23DF6" w:rsidRPr="008C7AEB">
        <w:rPr>
          <w:bCs/>
          <w:szCs w:val="22"/>
        </w:rPr>
        <w:t xml:space="preserve">omic model were not </w:t>
      </w:r>
      <w:r w:rsidR="00FA1D3C" w:rsidRPr="008C7AEB">
        <w:rPr>
          <w:bCs/>
          <w:szCs w:val="22"/>
        </w:rPr>
        <w:t>justified,</w:t>
      </w:r>
      <w:r w:rsidR="00B23DF6" w:rsidRPr="008C7AEB">
        <w:rPr>
          <w:bCs/>
          <w:szCs w:val="22"/>
        </w:rPr>
        <w:t xml:space="preserve"> as t</w:t>
      </w:r>
      <w:r w:rsidRPr="008C7AEB">
        <w:rPr>
          <w:bCs/>
          <w:szCs w:val="22"/>
        </w:rPr>
        <w:t xml:space="preserve">he data did not support superior efficacy for denosumab over zoledronic acid. </w:t>
      </w:r>
      <w:r w:rsidR="003E0B10" w:rsidRPr="008C7AEB">
        <w:rPr>
          <w:bCs/>
          <w:szCs w:val="22"/>
        </w:rPr>
        <w:t>T</w:t>
      </w:r>
      <w:r w:rsidR="00F87A46" w:rsidRPr="008C7AEB">
        <w:rPr>
          <w:bCs/>
          <w:szCs w:val="22"/>
        </w:rPr>
        <w:t xml:space="preserve">he PBAC </w:t>
      </w:r>
      <w:r w:rsidR="003E0B10" w:rsidRPr="008C7AEB">
        <w:rPr>
          <w:bCs/>
          <w:szCs w:val="22"/>
        </w:rPr>
        <w:t xml:space="preserve">also </w:t>
      </w:r>
      <w:r w:rsidR="00F87A46" w:rsidRPr="008C7AEB">
        <w:rPr>
          <w:bCs/>
          <w:szCs w:val="22"/>
        </w:rPr>
        <w:t xml:space="preserve">noted the incremental efficacy and cost comparison presented in the Pre-PBAC response, however considered that this comparison was not informative as it </w:t>
      </w:r>
      <w:r w:rsidR="00B23DF6" w:rsidRPr="008C7AEB">
        <w:rPr>
          <w:bCs/>
          <w:szCs w:val="22"/>
        </w:rPr>
        <w:t>also did not</w:t>
      </w:r>
      <w:r w:rsidR="004A10D5" w:rsidRPr="008C7AEB">
        <w:rPr>
          <w:bCs/>
          <w:szCs w:val="22"/>
        </w:rPr>
        <w:t xml:space="preserve"> provide new data to</w:t>
      </w:r>
      <w:r w:rsidR="00B23DF6" w:rsidRPr="008C7AEB">
        <w:rPr>
          <w:bCs/>
          <w:szCs w:val="22"/>
        </w:rPr>
        <w:t xml:space="preserve"> support</w:t>
      </w:r>
      <w:r w:rsidR="00F87A46" w:rsidRPr="008C7AEB">
        <w:rPr>
          <w:bCs/>
          <w:szCs w:val="22"/>
        </w:rPr>
        <w:t xml:space="preserve"> greater efficacy.</w:t>
      </w:r>
    </w:p>
    <w:p w:rsidR="006C38A6" w:rsidRPr="008C7AEB" w:rsidRDefault="006C38A6" w:rsidP="006C38A6">
      <w:pPr>
        <w:pStyle w:val="ListParagraph"/>
        <w:rPr>
          <w:bCs/>
          <w:szCs w:val="22"/>
        </w:rPr>
      </w:pPr>
    </w:p>
    <w:p w:rsidR="00840448" w:rsidRPr="008C7AEB" w:rsidRDefault="004B44B7" w:rsidP="00840448">
      <w:pPr>
        <w:numPr>
          <w:ilvl w:val="1"/>
          <w:numId w:val="6"/>
        </w:numPr>
        <w:contextualSpacing/>
        <w:rPr>
          <w:bCs/>
          <w:szCs w:val="22"/>
        </w:rPr>
      </w:pPr>
      <w:r w:rsidRPr="008C7AEB">
        <w:rPr>
          <w:bCs/>
          <w:szCs w:val="22"/>
        </w:rPr>
        <w:t xml:space="preserve">PBAC noted that </w:t>
      </w:r>
      <w:r w:rsidR="00840448" w:rsidRPr="008C7AEB">
        <w:rPr>
          <w:bCs/>
          <w:szCs w:val="22"/>
        </w:rPr>
        <w:t>the lack of comparative clinical data made an economic comparison between denosumab and zoledronic acid challenging, and further noted that no further head to head trials of denosumab and zoledronic acid were</w:t>
      </w:r>
      <w:r w:rsidR="00B23DF6" w:rsidRPr="008C7AEB">
        <w:rPr>
          <w:bCs/>
          <w:szCs w:val="22"/>
        </w:rPr>
        <w:t xml:space="preserve"> planned. In this context t</w:t>
      </w:r>
      <w:r w:rsidR="00F87A46" w:rsidRPr="008C7AEB">
        <w:rPr>
          <w:bCs/>
          <w:szCs w:val="22"/>
        </w:rPr>
        <w:t xml:space="preserve">he PBAC </w:t>
      </w:r>
      <w:r w:rsidR="003E0B10" w:rsidRPr="008C7AEB">
        <w:rPr>
          <w:bCs/>
          <w:szCs w:val="22"/>
        </w:rPr>
        <w:t xml:space="preserve">considered that a future </w:t>
      </w:r>
      <w:r w:rsidR="00B23DF6" w:rsidRPr="008C7AEB">
        <w:rPr>
          <w:bCs/>
          <w:szCs w:val="22"/>
        </w:rPr>
        <w:t xml:space="preserve">major </w:t>
      </w:r>
      <w:r w:rsidR="003E0B10" w:rsidRPr="008C7AEB">
        <w:rPr>
          <w:bCs/>
          <w:szCs w:val="22"/>
        </w:rPr>
        <w:t>submission should include a cost-minimisation analysis between denosumab and bisphosphonates</w:t>
      </w:r>
      <w:r w:rsidR="001628E6" w:rsidRPr="008C7AEB">
        <w:rPr>
          <w:bCs/>
          <w:szCs w:val="22"/>
        </w:rPr>
        <w:t xml:space="preserve"> and </w:t>
      </w:r>
      <w:r w:rsidR="00654777" w:rsidRPr="008C7AEB">
        <w:rPr>
          <w:bCs/>
          <w:szCs w:val="22"/>
        </w:rPr>
        <w:t xml:space="preserve">further </w:t>
      </w:r>
      <w:r w:rsidR="001628E6" w:rsidRPr="008C7AEB">
        <w:rPr>
          <w:bCs/>
          <w:szCs w:val="22"/>
        </w:rPr>
        <w:t>identify the patient group for which PBS listing is sought</w:t>
      </w:r>
      <w:r w:rsidR="003E0B10" w:rsidRPr="008C7AEB">
        <w:rPr>
          <w:bCs/>
          <w:szCs w:val="22"/>
        </w:rPr>
        <w:t xml:space="preserve">. </w:t>
      </w:r>
      <w:r w:rsidR="00CD07FE">
        <w:rPr>
          <w:bCs/>
          <w:szCs w:val="22"/>
        </w:rPr>
        <w:t xml:space="preserve">It was noted that bisphosphonates are contraindicated in patients with a GFR &lt; 30ml/min. </w:t>
      </w:r>
    </w:p>
    <w:p w:rsidR="00B22C45" w:rsidRPr="008C7AEB" w:rsidRDefault="00B22C45" w:rsidP="00B22C45">
      <w:pPr>
        <w:ind w:left="720"/>
        <w:contextualSpacing/>
        <w:rPr>
          <w:bCs/>
          <w:szCs w:val="22"/>
        </w:rPr>
      </w:pPr>
    </w:p>
    <w:p w:rsidR="00B22C45" w:rsidRPr="008C7AEB" w:rsidRDefault="00B22C45" w:rsidP="00F87A46">
      <w:pPr>
        <w:numPr>
          <w:ilvl w:val="1"/>
          <w:numId w:val="6"/>
        </w:numPr>
        <w:contextualSpacing/>
        <w:rPr>
          <w:bCs/>
          <w:i/>
          <w:szCs w:val="22"/>
        </w:rPr>
      </w:pPr>
      <w:r w:rsidRPr="008C7AEB">
        <w:rPr>
          <w:bCs/>
          <w:szCs w:val="22"/>
        </w:rPr>
        <w:t xml:space="preserve">The PBAC noted that this submission is eligible for an Independent Review. </w:t>
      </w:r>
    </w:p>
    <w:p w:rsidR="00B22C45" w:rsidRPr="008C7AEB" w:rsidRDefault="00B22C45" w:rsidP="00B22C45">
      <w:pPr>
        <w:contextualSpacing/>
        <w:rPr>
          <w:b/>
          <w:bCs/>
          <w:szCs w:val="22"/>
        </w:rPr>
      </w:pPr>
    </w:p>
    <w:p w:rsidR="00B22C45" w:rsidRPr="008C7AEB" w:rsidRDefault="00B22C45" w:rsidP="00B22C45">
      <w:pPr>
        <w:rPr>
          <w:b/>
          <w:bCs/>
          <w:szCs w:val="22"/>
        </w:rPr>
      </w:pPr>
      <w:r w:rsidRPr="008C7AEB">
        <w:rPr>
          <w:b/>
          <w:bCs/>
          <w:szCs w:val="22"/>
        </w:rPr>
        <w:t>Outcome:</w:t>
      </w:r>
    </w:p>
    <w:p w:rsidR="00B22C45" w:rsidRPr="008C7AEB" w:rsidRDefault="00B22C45" w:rsidP="00B22C45">
      <w:pPr>
        <w:rPr>
          <w:bCs/>
          <w:szCs w:val="22"/>
        </w:rPr>
      </w:pPr>
      <w:r w:rsidRPr="008C7AEB">
        <w:rPr>
          <w:bCs/>
          <w:szCs w:val="22"/>
        </w:rPr>
        <w:t>Rejected</w:t>
      </w:r>
    </w:p>
    <w:p w:rsidR="00B22C45" w:rsidRPr="008C7AEB" w:rsidRDefault="00B22C45" w:rsidP="00B22C45">
      <w:pPr>
        <w:rPr>
          <w:bCs/>
          <w:szCs w:val="22"/>
          <w:highlight w:val="yellow"/>
        </w:rPr>
      </w:pPr>
    </w:p>
    <w:p w:rsidR="00B22C45" w:rsidRPr="008C7AEB" w:rsidRDefault="00B22C45" w:rsidP="00B22C45">
      <w:pPr>
        <w:rPr>
          <w:b/>
          <w:bCs/>
          <w:szCs w:val="22"/>
          <w:highlight w:val="yellow"/>
        </w:rPr>
      </w:pPr>
    </w:p>
    <w:p w:rsidR="001529B6" w:rsidRDefault="001529B6" w:rsidP="001529B6">
      <w:pPr>
        <w:pStyle w:val="PBACHeading1"/>
      </w:pPr>
      <w:r w:rsidRPr="00632206">
        <w:t>Context for Decision</w:t>
      </w:r>
    </w:p>
    <w:p w:rsidR="001529B6" w:rsidRDefault="001529B6" w:rsidP="001529B6">
      <w:pPr>
        <w:ind w:left="720"/>
      </w:pPr>
    </w:p>
    <w:p w:rsidR="001529B6" w:rsidRDefault="001529B6" w:rsidP="001529B6">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529B6" w:rsidRDefault="001529B6" w:rsidP="001529B6">
      <w:pPr>
        <w:ind w:left="720"/>
      </w:pPr>
    </w:p>
    <w:p w:rsidR="001529B6" w:rsidRDefault="001529B6" w:rsidP="001529B6">
      <w:pPr>
        <w:pStyle w:val="PBACHeading1"/>
      </w:pPr>
      <w:r w:rsidRPr="00451386">
        <w:lastRenderedPageBreak/>
        <w:t>Sponsor’s Comment</w:t>
      </w:r>
    </w:p>
    <w:p w:rsidR="001529B6" w:rsidRDefault="001529B6" w:rsidP="001529B6">
      <w:pPr>
        <w:ind w:left="720"/>
        <w:rPr>
          <w:bCs/>
          <w:highlight w:val="yellow"/>
          <w:lang w:val="en-GB"/>
        </w:rPr>
      </w:pPr>
    </w:p>
    <w:p w:rsidR="001529B6" w:rsidRPr="00B86357" w:rsidRDefault="00B86357" w:rsidP="00B86357">
      <w:pPr>
        <w:spacing w:after="120"/>
        <w:ind w:left="720"/>
      </w:pPr>
      <w:r w:rsidRPr="00B86357">
        <w:t xml:space="preserve">Amgen intends to address the issues raised by the PBAC in a resubmission to enable PBS listing of denosumab for this small population with limited treatment options and high clinical need. </w:t>
      </w:r>
    </w:p>
    <w:p w:rsidR="00B22C45" w:rsidRPr="008C7AEB" w:rsidRDefault="00B22C45" w:rsidP="00B22C45">
      <w:pPr>
        <w:rPr>
          <w:b/>
          <w:bCs/>
          <w:szCs w:val="22"/>
          <w:highlight w:val="yellow"/>
        </w:rPr>
      </w:pPr>
    </w:p>
    <w:sectPr w:rsidR="00B22C45" w:rsidRPr="008C7AEB" w:rsidSect="008114A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DB" w:rsidRDefault="007110DB" w:rsidP="00124A51">
      <w:r>
        <w:separator/>
      </w:r>
    </w:p>
  </w:endnote>
  <w:endnote w:type="continuationSeparator" w:id="0">
    <w:p w:rsidR="007110DB" w:rsidRDefault="007110D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 w:name="AdvEPSTI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B" w:rsidRDefault="00711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83217"/>
      <w:docPartObj>
        <w:docPartGallery w:val="Page Numbers (Bottom of Page)"/>
        <w:docPartUnique/>
      </w:docPartObj>
    </w:sdtPr>
    <w:sdtEndPr>
      <w:rPr>
        <w:noProof/>
      </w:rPr>
    </w:sdtEndPr>
    <w:sdtContent>
      <w:p w:rsidR="00B54755" w:rsidRDefault="00B54755">
        <w:pPr>
          <w:pStyle w:val="Footer"/>
          <w:jc w:val="center"/>
        </w:pPr>
        <w:r>
          <w:fldChar w:fldCharType="begin"/>
        </w:r>
        <w:r>
          <w:instrText xml:space="preserve"> PAGE   \* MERGEFORMAT </w:instrText>
        </w:r>
        <w:r>
          <w:fldChar w:fldCharType="separate"/>
        </w:r>
        <w:r w:rsidR="004B6B7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B" w:rsidRDefault="00711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DB" w:rsidRDefault="007110DB" w:rsidP="00124A51">
      <w:r>
        <w:separator/>
      </w:r>
    </w:p>
  </w:footnote>
  <w:footnote w:type="continuationSeparator" w:id="0">
    <w:p w:rsidR="007110DB" w:rsidRDefault="007110D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B" w:rsidRDefault="00711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55" w:rsidRDefault="001529B6" w:rsidP="00B54755">
    <w:pPr>
      <w:pStyle w:val="Header"/>
      <w:jc w:val="center"/>
      <w:rPr>
        <w:i/>
        <w:color w:val="808080"/>
      </w:rPr>
    </w:pPr>
    <w:r>
      <w:rPr>
        <w:i/>
        <w:color w:val="808080"/>
      </w:rPr>
      <w:t>Public Summary Document</w:t>
    </w:r>
    <w:r w:rsidR="00B54755" w:rsidRPr="00DF217D">
      <w:rPr>
        <w:i/>
        <w:color w:val="808080"/>
      </w:rPr>
      <w:t xml:space="preserve"> – </w:t>
    </w:r>
    <w:r w:rsidR="00B54755">
      <w:rPr>
        <w:i/>
        <w:color w:val="808080"/>
      </w:rPr>
      <w:t xml:space="preserve">March 2016 </w:t>
    </w:r>
    <w:r w:rsidR="00B54755" w:rsidRPr="00DF217D">
      <w:rPr>
        <w:i/>
        <w:color w:val="808080"/>
      </w:rPr>
      <w:t>PBAC</w:t>
    </w:r>
    <w:r w:rsidR="00B54755">
      <w:rPr>
        <w:i/>
        <w:color w:val="808080"/>
      </w:rPr>
      <w:t xml:space="preserve"> Meeting</w:t>
    </w:r>
  </w:p>
  <w:p w:rsidR="0029549A" w:rsidRDefault="00295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B" w:rsidRDefault="00711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15FF5"/>
    <w:multiLevelType w:val="hybridMultilevel"/>
    <w:tmpl w:val="F93A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C5671"/>
    <w:multiLevelType w:val="hybridMultilevel"/>
    <w:tmpl w:val="FD6A9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0015B2"/>
    <w:multiLevelType w:val="hybridMultilevel"/>
    <w:tmpl w:val="0A603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CC4410"/>
    <w:multiLevelType w:val="hybridMultilevel"/>
    <w:tmpl w:val="C676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D57B97"/>
    <w:multiLevelType w:val="hybridMultilevel"/>
    <w:tmpl w:val="38162B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66E0487"/>
    <w:multiLevelType w:val="hybridMultilevel"/>
    <w:tmpl w:val="8FDC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331F8F"/>
    <w:multiLevelType w:val="hybridMultilevel"/>
    <w:tmpl w:val="BD04B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86579C"/>
    <w:multiLevelType w:val="hybridMultilevel"/>
    <w:tmpl w:val="816A5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6E30D0"/>
    <w:multiLevelType w:val="hybridMultilevel"/>
    <w:tmpl w:val="D06EC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7C34E2"/>
    <w:multiLevelType w:val="hybridMultilevel"/>
    <w:tmpl w:val="7FA2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2C0130A"/>
    <w:multiLevelType w:val="hybridMultilevel"/>
    <w:tmpl w:val="8F10C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60965D8"/>
    <w:multiLevelType w:val="hybridMultilevel"/>
    <w:tmpl w:val="9EC8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D42942"/>
    <w:multiLevelType w:val="hybridMultilevel"/>
    <w:tmpl w:val="1C38F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94668F3"/>
    <w:multiLevelType w:val="hybridMultilevel"/>
    <w:tmpl w:val="219E1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D0403A0"/>
    <w:multiLevelType w:val="hybridMultilevel"/>
    <w:tmpl w:val="7C74D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75773650"/>
    <w:multiLevelType w:val="hybridMultilevel"/>
    <w:tmpl w:val="DA940620"/>
    <w:lvl w:ilvl="0" w:tplc="07EAD85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7C648EC"/>
    <w:multiLevelType w:val="hybridMultilevel"/>
    <w:tmpl w:val="814A8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2E5E04"/>
    <w:multiLevelType w:val="hybridMultilevel"/>
    <w:tmpl w:val="1604FB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84D033C"/>
    <w:multiLevelType w:val="multilevel"/>
    <w:tmpl w:val="92C6241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386D7A"/>
    <w:multiLevelType w:val="hybridMultilevel"/>
    <w:tmpl w:val="860C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6"/>
  </w:num>
  <w:num w:numId="4">
    <w:abstractNumId w:val="13"/>
  </w:num>
  <w:num w:numId="5">
    <w:abstractNumId w:val="2"/>
  </w:num>
  <w:num w:numId="6">
    <w:abstractNumId w:val="26"/>
  </w:num>
  <w:num w:numId="7">
    <w:abstractNumId w:val="24"/>
  </w:num>
  <w:num w:numId="8">
    <w:abstractNumId w:val="9"/>
  </w:num>
  <w:num w:numId="9">
    <w:abstractNumId w:val="27"/>
  </w:num>
  <w:num w:numId="10">
    <w:abstractNumId w:val="12"/>
  </w:num>
  <w:num w:numId="11">
    <w:abstractNumId w:val="1"/>
  </w:num>
  <w:num w:numId="12">
    <w:abstractNumId w:val="22"/>
  </w:num>
  <w:num w:numId="13">
    <w:abstractNumId w:val="25"/>
  </w:num>
  <w:num w:numId="14">
    <w:abstractNumId w:val="11"/>
  </w:num>
  <w:num w:numId="15">
    <w:abstractNumId w:val="5"/>
  </w:num>
  <w:num w:numId="16">
    <w:abstractNumId w:val="21"/>
  </w:num>
  <w:num w:numId="17">
    <w:abstractNumId w:val="6"/>
  </w:num>
  <w:num w:numId="18">
    <w:abstractNumId w:val="10"/>
  </w:num>
  <w:num w:numId="19">
    <w:abstractNumId w:val="18"/>
  </w:num>
  <w:num w:numId="20">
    <w:abstractNumId w:val="3"/>
  </w:num>
  <w:num w:numId="21">
    <w:abstractNumId w:val="15"/>
  </w:num>
  <w:num w:numId="22">
    <w:abstractNumId w:val="7"/>
  </w:num>
  <w:num w:numId="23">
    <w:abstractNumId w:val="20"/>
  </w:num>
  <w:num w:numId="24">
    <w:abstractNumId w:val="26"/>
  </w:num>
  <w:num w:numId="25">
    <w:abstractNumId w:val="17"/>
  </w:num>
  <w:num w:numId="26">
    <w:abstractNumId w:val="4"/>
  </w:num>
  <w:num w:numId="27">
    <w:abstractNumId w:val="0"/>
  </w:num>
  <w:num w:numId="28">
    <w:abstractNumId w:val="8"/>
  </w:num>
  <w:num w:numId="29">
    <w:abstractNumId w:val="2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Goon">
    <w15:presenceInfo w15:providerId="AD" w15:userId="S-1-5-21-1451058757-1749049392-1947940980-366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E32"/>
    <w:rsid w:val="00002E36"/>
    <w:rsid w:val="00003499"/>
    <w:rsid w:val="00013247"/>
    <w:rsid w:val="00013A88"/>
    <w:rsid w:val="00015886"/>
    <w:rsid w:val="000162EF"/>
    <w:rsid w:val="00016D41"/>
    <w:rsid w:val="00016F76"/>
    <w:rsid w:val="00020EEF"/>
    <w:rsid w:val="00021111"/>
    <w:rsid w:val="0002225F"/>
    <w:rsid w:val="000231F1"/>
    <w:rsid w:val="00023763"/>
    <w:rsid w:val="0003422C"/>
    <w:rsid w:val="00040363"/>
    <w:rsid w:val="00040895"/>
    <w:rsid w:val="000417EB"/>
    <w:rsid w:val="00042358"/>
    <w:rsid w:val="00043758"/>
    <w:rsid w:val="00043C37"/>
    <w:rsid w:val="000441C1"/>
    <w:rsid w:val="000443EB"/>
    <w:rsid w:val="00044783"/>
    <w:rsid w:val="000447C2"/>
    <w:rsid w:val="00044E16"/>
    <w:rsid w:val="00044EF2"/>
    <w:rsid w:val="00050C55"/>
    <w:rsid w:val="0005251F"/>
    <w:rsid w:val="000546D7"/>
    <w:rsid w:val="000624B2"/>
    <w:rsid w:val="00062F8D"/>
    <w:rsid w:val="0006313B"/>
    <w:rsid w:val="00063D24"/>
    <w:rsid w:val="00066FF2"/>
    <w:rsid w:val="000679D9"/>
    <w:rsid w:val="00070515"/>
    <w:rsid w:val="00071248"/>
    <w:rsid w:val="00071339"/>
    <w:rsid w:val="00071814"/>
    <w:rsid w:val="000720B9"/>
    <w:rsid w:val="00073F82"/>
    <w:rsid w:val="00076916"/>
    <w:rsid w:val="00080EB0"/>
    <w:rsid w:val="000812CA"/>
    <w:rsid w:val="00081661"/>
    <w:rsid w:val="00081837"/>
    <w:rsid w:val="00084DDF"/>
    <w:rsid w:val="00087D5B"/>
    <w:rsid w:val="00090C7E"/>
    <w:rsid w:val="00092C36"/>
    <w:rsid w:val="0009326D"/>
    <w:rsid w:val="00094FF6"/>
    <w:rsid w:val="00096393"/>
    <w:rsid w:val="00097CA3"/>
    <w:rsid w:val="000A23E2"/>
    <w:rsid w:val="000A28DB"/>
    <w:rsid w:val="000A76F0"/>
    <w:rsid w:val="000B39E7"/>
    <w:rsid w:val="000B447C"/>
    <w:rsid w:val="000B44B2"/>
    <w:rsid w:val="000B7F2B"/>
    <w:rsid w:val="000C06CC"/>
    <w:rsid w:val="000C0D76"/>
    <w:rsid w:val="000C0E66"/>
    <w:rsid w:val="000C3FDF"/>
    <w:rsid w:val="000C4A16"/>
    <w:rsid w:val="000C65C6"/>
    <w:rsid w:val="000D17EF"/>
    <w:rsid w:val="000D1BFC"/>
    <w:rsid w:val="000D4211"/>
    <w:rsid w:val="000D6412"/>
    <w:rsid w:val="000D7296"/>
    <w:rsid w:val="000E3749"/>
    <w:rsid w:val="000E41A1"/>
    <w:rsid w:val="000E504A"/>
    <w:rsid w:val="000E703D"/>
    <w:rsid w:val="000F4BB8"/>
    <w:rsid w:val="000F6AE8"/>
    <w:rsid w:val="000F7127"/>
    <w:rsid w:val="001001A4"/>
    <w:rsid w:val="001003CB"/>
    <w:rsid w:val="00100F8A"/>
    <w:rsid w:val="00103D9B"/>
    <w:rsid w:val="00104FE7"/>
    <w:rsid w:val="0010536B"/>
    <w:rsid w:val="00105800"/>
    <w:rsid w:val="0011032E"/>
    <w:rsid w:val="0011348B"/>
    <w:rsid w:val="0011377A"/>
    <w:rsid w:val="00121799"/>
    <w:rsid w:val="001222FC"/>
    <w:rsid w:val="00124A51"/>
    <w:rsid w:val="00124C3D"/>
    <w:rsid w:val="00126621"/>
    <w:rsid w:val="001279FA"/>
    <w:rsid w:val="00127B39"/>
    <w:rsid w:val="001301E9"/>
    <w:rsid w:val="0013091B"/>
    <w:rsid w:val="0013162C"/>
    <w:rsid w:val="00131908"/>
    <w:rsid w:val="00133BE8"/>
    <w:rsid w:val="0013490A"/>
    <w:rsid w:val="00137645"/>
    <w:rsid w:val="0014015A"/>
    <w:rsid w:val="00140E99"/>
    <w:rsid w:val="00141C64"/>
    <w:rsid w:val="001430FB"/>
    <w:rsid w:val="00143641"/>
    <w:rsid w:val="00145540"/>
    <w:rsid w:val="001456B0"/>
    <w:rsid w:val="001466AC"/>
    <w:rsid w:val="001507FA"/>
    <w:rsid w:val="0015106E"/>
    <w:rsid w:val="00151758"/>
    <w:rsid w:val="00152514"/>
    <w:rsid w:val="001529B6"/>
    <w:rsid w:val="00152EA1"/>
    <w:rsid w:val="00157130"/>
    <w:rsid w:val="0015796D"/>
    <w:rsid w:val="00157AF0"/>
    <w:rsid w:val="00161C43"/>
    <w:rsid w:val="0016282D"/>
    <w:rsid w:val="001628E6"/>
    <w:rsid w:val="00162913"/>
    <w:rsid w:val="00162AB0"/>
    <w:rsid w:val="00163204"/>
    <w:rsid w:val="00163EFF"/>
    <w:rsid w:val="00164A6F"/>
    <w:rsid w:val="00165C03"/>
    <w:rsid w:val="001661FB"/>
    <w:rsid w:val="00170195"/>
    <w:rsid w:val="0017474C"/>
    <w:rsid w:val="0017774D"/>
    <w:rsid w:val="00177B0D"/>
    <w:rsid w:val="001812A2"/>
    <w:rsid w:val="0018412F"/>
    <w:rsid w:val="00186B25"/>
    <w:rsid w:val="0018752F"/>
    <w:rsid w:val="001905C8"/>
    <w:rsid w:val="001917F2"/>
    <w:rsid w:val="00191C9C"/>
    <w:rsid w:val="00192537"/>
    <w:rsid w:val="00194991"/>
    <w:rsid w:val="00195222"/>
    <w:rsid w:val="00195705"/>
    <w:rsid w:val="00195C96"/>
    <w:rsid w:val="001975D8"/>
    <w:rsid w:val="001A0060"/>
    <w:rsid w:val="001A0F35"/>
    <w:rsid w:val="001A4BF5"/>
    <w:rsid w:val="001A571E"/>
    <w:rsid w:val="001A66C1"/>
    <w:rsid w:val="001B28B4"/>
    <w:rsid w:val="001B3443"/>
    <w:rsid w:val="001C3A70"/>
    <w:rsid w:val="001C5CFD"/>
    <w:rsid w:val="001C6B7E"/>
    <w:rsid w:val="001C6E66"/>
    <w:rsid w:val="001D178A"/>
    <w:rsid w:val="001D1855"/>
    <w:rsid w:val="001D3083"/>
    <w:rsid w:val="001D4331"/>
    <w:rsid w:val="001D4B30"/>
    <w:rsid w:val="001D6FF1"/>
    <w:rsid w:val="001E0C54"/>
    <w:rsid w:val="001E1282"/>
    <w:rsid w:val="001E238E"/>
    <w:rsid w:val="001E2B1E"/>
    <w:rsid w:val="001E52EB"/>
    <w:rsid w:val="001E5C9B"/>
    <w:rsid w:val="001E6E10"/>
    <w:rsid w:val="001E6EE4"/>
    <w:rsid w:val="001E740C"/>
    <w:rsid w:val="001E7BD5"/>
    <w:rsid w:val="001F0625"/>
    <w:rsid w:val="001F1235"/>
    <w:rsid w:val="001F1CB3"/>
    <w:rsid w:val="001F3E96"/>
    <w:rsid w:val="001F5D3E"/>
    <w:rsid w:val="001F6806"/>
    <w:rsid w:val="001F6BE7"/>
    <w:rsid w:val="001F7361"/>
    <w:rsid w:val="001F7A21"/>
    <w:rsid w:val="00202FA8"/>
    <w:rsid w:val="0020385F"/>
    <w:rsid w:val="00205C60"/>
    <w:rsid w:val="00207021"/>
    <w:rsid w:val="00207D00"/>
    <w:rsid w:val="0021012A"/>
    <w:rsid w:val="002105C1"/>
    <w:rsid w:val="00210689"/>
    <w:rsid w:val="0021224E"/>
    <w:rsid w:val="00214070"/>
    <w:rsid w:val="00215FE9"/>
    <w:rsid w:val="00221ACB"/>
    <w:rsid w:val="00221DAA"/>
    <w:rsid w:val="00223B49"/>
    <w:rsid w:val="00224113"/>
    <w:rsid w:val="00224DD4"/>
    <w:rsid w:val="00226535"/>
    <w:rsid w:val="002309CC"/>
    <w:rsid w:val="00241F7F"/>
    <w:rsid w:val="00246C03"/>
    <w:rsid w:val="002516F2"/>
    <w:rsid w:val="00251CA7"/>
    <w:rsid w:val="00254DCF"/>
    <w:rsid w:val="00254ED4"/>
    <w:rsid w:val="0025534B"/>
    <w:rsid w:val="00255BB7"/>
    <w:rsid w:val="00257271"/>
    <w:rsid w:val="00262A87"/>
    <w:rsid w:val="002633D6"/>
    <w:rsid w:val="00263694"/>
    <w:rsid w:val="00264D67"/>
    <w:rsid w:val="00266436"/>
    <w:rsid w:val="002671BA"/>
    <w:rsid w:val="00270DB7"/>
    <w:rsid w:val="002714A2"/>
    <w:rsid w:val="00275C5A"/>
    <w:rsid w:val="00281014"/>
    <w:rsid w:val="002827A3"/>
    <w:rsid w:val="00284CCD"/>
    <w:rsid w:val="00286129"/>
    <w:rsid w:val="00286DA1"/>
    <w:rsid w:val="00287624"/>
    <w:rsid w:val="00287A55"/>
    <w:rsid w:val="002945EE"/>
    <w:rsid w:val="0029549A"/>
    <w:rsid w:val="00297688"/>
    <w:rsid w:val="002A14AB"/>
    <w:rsid w:val="002A3F48"/>
    <w:rsid w:val="002A464D"/>
    <w:rsid w:val="002A510D"/>
    <w:rsid w:val="002A5F66"/>
    <w:rsid w:val="002A62E3"/>
    <w:rsid w:val="002A74F8"/>
    <w:rsid w:val="002B1C1F"/>
    <w:rsid w:val="002B38D5"/>
    <w:rsid w:val="002B432F"/>
    <w:rsid w:val="002B6103"/>
    <w:rsid w:val="002B6448"/>
    <w:rsid w:val="002B6CCE"/>
    <w:rsid w:val="002C0DCE"/>
    <w:rsid w:val="002C1DB2"/>
    <w:rsid w:val="002C2775"/>
    <w:rsid w:val="002C27C1"/>
    <w:rsid w:val="002C39DD"/>
    <w:rsid w:val="002C6A4B"/>
    <w:rsid w:val="002C741E"/>
    <w:rsid w:val="002C7619"/>
    <w:rsid w:val="002D0489"/>
    <w:rsid w:val="002D4F6B"/>
    <w:rsid w:val="002D5BA7"/>
    <w:rsid w:val="002D5C86"/>
    <w:rsid w:val="002D6D24"/>
    <w:rsid w:val="002D7AB9"/>
    <w:rsid w:val="002E0214"/>
    <w:rsid w:val="002E4E18"/>
    <w:rsid w:val="002E51A0"/>
    <w:rsid w:val="002E5A7F"/>
    <w:rsid w:val="002E68C7"/>
    <w:rsid w:val="002F2A25"/>
    <w:rsid w:val="002F6715"/>
    <w:rsid w:val="00301017"/>
    <w:rsid w:val="00303A64"/>
    <w:rsid w:val="00304EAF"/>
    <w:rsid w:val="00306DF7"/>
    <w:rsid w:val="0030786C"/>
    <w:rsid w:val="0031031A"/>
    <w:rsid w:val="00310981"/>
    <w:rsid w:val="003120B5"/>
    <w:rsid w:val="003137D4"/>
    <w:rsid w:val="00315498"/>
    <w:rsid w:val="00315638"/>
    <w:rsid w:val="00322F1C"/>
    <w:rsid w:val="003264C3"/>
    <w:rsid w:val="003269C2"/>
    <w:rsid w:val="00326C1A"/>
    <w:rsid w:val="00327916"/>
    <w:rsid w:val="00332442"/>
    <w:rsid w:val="00332E5F"/>
    <w:rsid w:val="00333650"/>
    <w:rsid w:val="0033478A"/>
    <w:rsid w:val="00334FFD"/>
    <w:rsid w:val="00336502"/>
    <w:rsid w:val="003366C9"/>
    <w:rsid w:val="003371B0"/>
    <w:rsid w:val="003376A2"/>
    <w:rsid w:val="00337A4F"/>
    <w:rsid w:val="00344C0E"/>
    <w:rsid w:val="00345C5A"/>
    <w:rsid w:val="0034642D"/>
    <w:rsid w:val="0034716D"/>
    <w:rsid w:val="00351C01"/>
    <w:rsid w:val="0035365E"/>
    <w:rsid w:val="0035620E"/>
    <w:rsid w:val="00360276"/>
    <w:rsid w:val="003673B5"/>
    <w:rsid w:val="003707F6"/>
    <w:rsid w:val="003712A3"/>
    <w:rsid w:val="00373F55"/>
    <w:rsid w:val="003755F1"/>
    <w:rsid w:val="003801DC"/>
    <w:rsid w:val="0038339D"/>
    <w:rsid w:val="0038365C"/>
    <w:rsid w:val="003862A2"/>
    <w:rsid w:val="00386F92"/>
    <w:rsid w:val="0039067B"/>
    <w:rsid w:val="00393C1E"/>
    <w:rsid w:val="003952FA"/>
    <w:rsid w:val="003955FF"/>
    <w:rsid w:val="00396FD0"/>
    <w:rsid w:val="003A0DB4"/>
    <w:rsid w:val="003A1008"/>
    <w:rsid w:val="003A1A7A"/>
    <w:rsid w:val="003B0F3D"/>
    <w:rsid w:val="003B2ACE"/>
    <w:rsid w:val="003B492E"/>
    <w:rsid w:val="003B6B27"/>
    <w:rsid w:val="003B75F3"/>
    <w:rsid w:val="003C388B"/>
    <w:rsid w:val="003C4AF4"/>
    <w:rsid w:val="003C6F6E"/>
    <w:rsid w:val="003D1828"/>
    <w:rsid w:val="003D2422"/>
    <w:rsid w:val="003D4A9A"/>
    <w:rsid w:val="003D537E"/>
    <w:rsid w:val="003D6A15"/>
    <w:rsid w:val="003D7534"/>
    <w:rsid w:val="003E04C9"/>
    <w:rsid w:val="003E0B10"/>
    <w:rsid w:val="003E299E"/>
    <w:rsid w:val="003E2BFD"/>
    <w:rsid w:val="003E317B"/>
    <w:rsid w:val="003E4A70"/>
    <w:rsid w:val="003E658F"/>
    <w:rsid w:val="003F1B73"/>
    <w:rsid w:val="003F35F9"/>
    <w:rsid w:val="003F3CBB"/>
    <w:rsid w:val="003F4156"/>
    <w:rsid w:val="003F788E"/>
    <w:rsid w:val="00405E09"/>
    <w:rsid w:val="00405F22"/>
    <w:rsid w:val="00410708"/>
    <w:rsid w:val="00410EC7"/>
    <w:rsid w:val="00413097"/>
    <w:rsid w:val="00413A29"/>
    <w:rsid w:val="00414476"/>
    <w:rsid w:val="00414E7D"/>
    <w:rsid w:val="00420B9F"/>
    <w:rsid w:val="004250FC"/>
    <w:rsid w:val="00426866"/>
    <w:rsid w:val="00426983"/>
    <w:rsid w:val="004319F8"/>
    <w:rsid w:val="00433044"/>
    <w:rsid w:val="004342A5"/>
    <w:rsid w:val="00436005"/>
    <w:rsid w:val="00440B55"/>
    <w:rsid w:val="00441CEB"/>
    <w:rsid w:val="0044204D"/>
    <w:rsid w:val="004439BB"/>
    <w:rsid w:val="004443A7"/>
    <w:rsid w:val="00445CFC"/>
    <w:rsid w:val="0044647C"/>
    <w:rsid w:val="004464EB"/>
    <w:rsid w:val="00452228"/>
    <w:rsid w:val="00454DCC"/>
    <w:rsid w:val="00454F26"/>
    <w:rsid w:val="00455D45"/>
    <w:rsid w:val="00456587"/>
    <w:rsid w:val="004570AA"/>
    <w:rsid w:val="0045732B"/>
    <w:rsid w:val="00457893"/>
    <w:rsid w:val="00460872"/>
    <w:rsid w:val="00460E10"/>
    <w:rsid w:val="00461B0A"/>
    <w:rsid w:val="00461C4E"/>
    <w:rsid w:val="00462A42"/>
    <w:rsid w:val="00462BB4"/>
    <w:rsid w:val="00464595"/>
    <w:rsid w:val="0047080A"/>
    <w:rsid w:val="004730B0"/>
    <w:rsid w:val="0047423E"/>
    <w:rsid w:val="004742A3"/>
    <w:rsid w:val="00476823"/>
    <w:rsid w:val="00480ABD"/>
    <w:rsid w:val="00480CF2"/>
    <w:rsid w:val="00482FE0"/>
    <w:rsid w:val="00483330"/>
    <w:rsid w:val="0048534A"/>
    <w:rsid w:val="004867E2"/>
    <w:rsid w:val="00487A84"/>
    <w:rsid w:val="0049022C"/>
    <w:rsid w:val="00491B3A"/>
    <w:rsid w:val="00492CFD"/>
    <w:rsid w:val="004930FA"/>
    <w:rsid w:val="00493858"/>
    <w:rsid w:val="00493C59"/>
    <w:rsid w:val="0049422A"/>
    <w:rsid w:val="00495B75"/>
    <w:rsid w:val="00495E72"/>
    <w:rsid w:val="004962D2"/>
    <w:rsid w:val="004A0DA1"/>
    <w:rsid w:val="004A10D5"/>
    <w:rsid w:val="004A1AEE"/>
    <w:rsid w:val="004A2423"/>
    <w:rsid w:val="004A2539"/>
    <w:rsid w:val="004A6597"/>
    <w:rsid w:val="004B1CB4"/>
    <w:rsid w:val="004B24AF"/>
    <w:rsid w:val="004B2F18"/>
    <w:rsid w:val="004B3DDB"/>
    <w:rsid w:val="004B44B7"/>
    <w:rsid w:val="004B44FD"/>
    <w:rsid w:val="004B5CFC"/>
    <w:rsid w:val="004B62C2"/>
    <w:rsid w:val="004B6B76"/>
    <w:rsid w:val="004C31AB"/>
    <w:rsid w:val="004C3629"/>
    <w:rsid w:val="004C4AED"/>
    <w:rsid w:val="004D50B2"/>
    <w:rsid w:val="004D5EF4"/>
    <w:rsid w:val="004E037C"/>
    <w:rsid w:val="004E0EB8"/>
    <w:rsid w:val="004E2ADC"/>
    <w:rsid w:val="004E2B37"/>
    <w:rsid w:val="004E43B2"/>
    <w:rsid w:val="004E6114"/>
    <w:rsid w:val="004E7CB6"/>
    <w:rsid w:val="004F1D02"/>
    <w:rsid w:val="004F2679"/>
    <w:rsid w:val="004F33F1"/>
    <w:rsid w:val="004F6AB0"/>
    <w:rsid w:val="004F6AC1"/>
    <w:rsid w:val="004F7251"/>
    <w:rsid w:val="004F7865"/>
    <w:rsid w:val="00500863"/>
    <w:rsid w:val="0050166F"/>
    <w:rsid w:val="0050195A"/>
    <w:rsid w:val="00501C17"/>
    <w:rsid w:val="00506928"/>
    <w:rsid w:val="00511022"/>
    <w:rsid w:val="005120C7"/>
    <w:rsid w:val="00512657"/>
    <w:rsid w:val="005152B5"/>
    <w:rsid w:val="005172FF"/>
    <w:rsid w:val="00520AFD"/>
    <w:rsid w:val="00521319"/>
    <w:rsid w:val="00523C28"/>
    <w:rsid w:val="00531DA0"/>
    <w:rsid w:val="00533098"/>
    <w:rsid w:val="00533D4D"/>
    <w:rsid w:val="0053505C"/>
    <w:rsid w:val="0053773F"/>
    <w:rsid w:val="00540AC0"/>
    <w:rsid w:val="00540CFA"/>
    <w:rsid w:val="005453F2"/>
    <w:rsid w:val="00546FD3"/>
    <w:rsid w:val="00547345"/>
    <w:rsid w:val="00550CD7"/>
    <w:rsid w:val="005514E5"/>
    <w:rsid w:val="00551B62"/>
    <w:rsid w:val="00552BD3"/>
    <w:rsid w:val="0055331D"/>
    <w:rsid w:val="00555033"/>
    <w:rsid w:val="00555109"/>
    <w:rsid w:val="005602DE"/>
    <w:rsid w:val="005605A7"/>
    <w:rsid w:val="00560D5A"/>
    <w:rsid w:val="00563926"/>
    <w:rsid w:val="00564F3A"/>
    <w:rsid w:val="00565963"/>
    <w:rsid w:val="0056685B"/>
    <w:rsid w:val="0056696F"/>
    <w:rsid w:val="00570B97"/>
    <w:rsid w:val="005732B2"/>
    <w:rsid w:val="0057395F"/>
    <w:rsid w:val="0057521D"/>
    <w:rsid w:val="00575D8D"/>
    <w:rsid w:val="00576972"/>
    <w:rsid w:val="00577957"/>
    <w:rsid w:val="00580BA9"/>
    <w:rsid w:val="00583699"/>
    <w:rsid w:val="00587124"/>
    <w:rsid w:val="00590085"/>
    <w:rsid w:val="00593504"/>
    <w:rsid w:val="00593B4C"/>
    <w:rsid w:val="005940BF"/>
    <w:rsid w:val="005962B8"/>
    <w:rsid w:val="005967A2"/>
    <w:rsid w:val="005A27D4"/>
    <w:rsid w:val="005A2946"/>
    <w:rsid w:val="005A3023"/>
    <w:rsid w:val="005A3E21"/>
    <w:rsid w:val="005A5F96"/>
    <w:rsid w:val="005A609E"/>
    <w:rsid w:val="005A725A"/>
    <w:rsid w:val="005B0040"/>
    <w:rsid w:val="005B0841"/>
    <w:rsid w:val="005B2652"/>
    <w:rsid w:val="005B424D"/>
    <w:rsid w:val="005B5857"/>
    <w:rsid w:val="005C01FD"/>
    <w:rsid w:val="005C1B83"/>
    <w:rsid w:val="005C2769"/>
    <w:rsid w:val="005C346B"/>
    <w:rsid w:val="005C427D"/>
    <w:rsid w:val="005C486B"/>
    <w:rsid w:val="005C4E4A"/>
    <w:rsid w:val="005C7853"/>
    <w:rsid w:val="005C7CE7"/>
    <w:rsid w:val="005D044D"/>
    <w:rsid w:val="005D06D6"/>
    <w:rsid w:val="005D1402"/>
    <w:rsid w:val="005D18AD"/>
    <w:rsid w:val="005D29E5"/>
    <w:rsid w:val="005D485A"/>
    <w:rsid w:val="005D4EC2"/>
    <w:rsid w:val="005E7157"/>
    <w:rsid w:val="005E73C0"/>
    <w:rsid w:val="005F19B5"/>
    <w:rsid w:val="005F2198"/>
    <w:rsid w:val="005F2706"/>
    <w:rsid w:val="005F6A8F"/>
    <w:rsid w:val="005F7491"/>
    <w:rsid w:val="00605C3F"/>
    <w:rsid w:val="00607669"/>
    <w:rsid w:val="0060790C"/>
    <w:rsid w:val="0061287F"/>
    <w:rsid w:val="00612F97"/>
    <w:rsid w:val="006158EA"/>
    <w:rsid w:val="00615FF8"/>
    <w:rsid w:val="00616151"/>
    <w:rsid w:val="00616592"/>
    <w:rsid w:val="00616802"/>
    <w:rsid w:val="0061766A"/>
    <w:rsid w:val="00617E12"/>
    <w:rsid w:val="00617FCF"/>
    <w:rsid w:val="00621477"/>
    <w:rsid w:val="006228C5"/>
    <w:rsid w:val="00623185"/>
    <w:rsid w:val="0062353A"/>
    <w:rsid w:val="0062367A"/>
    <w:rsid w:val="006245DE"/>
    <w:rsid w:val="00630CEB"/>
    <w:rsid w:val="00631D6B"/>
    <w:rsid w:val="0063479F"/>
    <w:rsid w:val="006364A1"/>
    <w:rsid w:val="00637BFD"/>
    <w:rsid w:val="00637CB6"/>
    <w:rsid w:val="00640F41"/>
    <w:rsid w:val="00643BC4"/>
    <w:rsid w:val="006460A6"/>
    <w:rsid w:val="006471CC"/>
    <w:rsid w:val="0065079F"/>
    <w:rsid w:val="00651632"/>
    <w:rsid w:val="00652282"/>
    <w:rsid w:val="00654777"/>
    <w:rsid w:val="00656453"/>
    <w:rsid w:val="00657D7F"/>
    <w:rsid w:val="00663BD8"/>
    <w:rsid w:val="00665F7B"/>
    <w:rsid w:val="006742AE"/>
    <w:rsid w:val="00674E42"/>
    <w:rsid w:val="00675551"/>
    <w:rsid w:val="00682112"/>
    <w:rsid w:val="00684B64"/>
    <w:rsid w:val="006872BA"/>
    <w:rsid w:val="006917D7"/>
    <w:rsid w:val="00694F44"/>
    <w:rsid w:val="006A10E2"/>
    <w:rsid w:val="006A2FEF"/>
    <w:rsid w:val="006A3BEA"/>
    <w:rsid w:val="006A4D5D"/>
    <w:rsid w:val="006A585E"/>
    <w:rsid w:val="006A6B97"/>
    <w:rsid w:val="006B1BFB"/>
    <w:rsid w:val="006B1CB6"/>
    <w:rsid w:val="006B6D83"/>
    <w:rsid w:val="006B7880"/>
    <w:rsid w:val="006C1197"/>
    <w:rsid w:val="006C23FE"/>
    <w:rsid w:val="006C2A8E"/>
    <w:rsid w:val="006C2CAC"/>
    <w:rsid w:val="006C38A6"/>
    <w:rsid w:val="006C7673"/>
    <w:rsid w:val="006D2503"/>
    <w:rsid w:val="006D29CC"/>
    <w:rsid w:val="006D3C7D"/>
    <w:rsid w:val="006D597E"/>
    <w:rsid w:val="006D5D5F"/>
    <w:rsid w:val="006E1BB4"/>
    <w:rsid w:val="006F275B"/>
    <w:rsid w:val="006F3401"/>
    <w:rsid w:val="006F36D3"/>
    <w:rsid w:val="006F63A5"/>
    <w:rsid w:val="006F6CDE"/>
    <w:rsid w:val="00700FDD"/>
    <w:rsid w:val="0070276E"/>
    <w:rsid w:val="00702F8F"/>
    <w:rsid w:val="00704A02"/>
    <w:rsid w:val="007110DB"/>
    <w:rsid w:val="00711A36"/>
    <w:rsid w:val="00712CBE"/>
    <w:rsid w:val="00716583"/>
    <w:rsid w:val="007170B4"/>
    <w:rsid w:val="007172AD"/>
    <w:rsid w:val="00717A9A"/>
    <w:rsid w:val="00720BAA"/>
    <w:rsid w:val="00721C52"/>
    <w:rsid w:val="00722A3E"/>
    <w:rsid w:val="00723532"/>
    <w:rsid w:val="00723DE8"/>
    <w:rsid w:val="0072416F"/>
    <w:rsid w:val="0072607D"/>
    <w:rsid w:val="00731321"/>
    <w:rsid w:val="00735328"/>
    <w:rsid w:val="00736810"/>
    <w:rsid w:val="0073685B"/>
    <w:rsid w:val="00740CA1"/>
    <w:rsid w:val="007425A2"/>
    <w:rsid w:val="0074446E"/>
    <w:rsid w:val="00750F24"/>
    <w:rsid w:val="00751E5D"/>
    <w:rsid w:val="00753413"/>
    <w:rsid w:val="00763F5A"/>
    <w:rsid w:val="00767CB5"/>
    <w:rsid w:val="00773D7C"/>
    <w:rsid w:val="0077479C"/>
    <w:rsid w:val="007753E8"/>
    <w:rsid w:val="00776A47"/>
    <w:rsid w:val="0077723F"/>
    <w:rsid w:val="00783B00"/>
    <w:rsid w:val="0078410C"/>
    <w:rsid w:val="0078506C"/>
    <w:rsid w:val="007909A9"/>
    <w:rsid w:val="00793E1C"/>
    <w:rsid w:val="007940C6"/>
    <w:rsid w:val="00794DB3"/>
    <w:rsid w:val="00795DB6"/>
    <w:rsid w:val="00796B61"/>
    <w:rsid w:val="007A008E"/>
    <w:rsid w:val="007A0793"/>
    <w:rsid w:val="007A0A12"/>
    <w:rsid w:val="007A0E94"/>
    <w:rsid w:val="007A35D9"/>
    <w:rsid w:val="007A4478"/>
    <w:rsid w:val="007A7C73"/>
    <w:rsid w:val="007B0B50"/>
    <w:rsid w:val="007B251D"/>
    <w:rsid w:val="007B46A8"/>
    <w:rsid w:val="007B77D1"/>
    <w:rsid w:val="007C1C84"/>
    <w:rsid w:val="007C28E4"/>
    <w:rsid w:val="007C3049"/>
    <w:rsid w:val="007C361D"/>
    <w:rsid w:val="007C58DA"/>
    <w:rsid w:val="007D07DD"/>
    <w:rsid w:val="007D0B38"/>
    <w:rsid w:val="007D118C"/>
    <w:rsid w:val="007D1C0B"/>
    <w:rsid w:val="007D5004"/>
    <w:rsid w:val="007D7B26"/>
    <w:rsid w:val="007E20A4"/>
    <w:rsid w:val="007E3174"/>
    <w:rsid w:val="007E321D"/>
    <w:rsid w:val="007E75EA"/>
    <w:rsid w:val="007F1017"/>
    <w:rsid w:val="007F111C"/>
    <w:rsid w:val="007F4A3F"/>
    <w:rsid w:val="007F5727"/>
    <w:rsid w:val="007F6A56"/>
    <w:rsid w:val="007F6E74"/>
    <w:rsid w:val="007F78C8"/>
    <w:rsid w:val="00800588"/>
    <w:rsid w:val="00805142"/>
    <w:rsid w:val="00806007"/>
    <w:rsid w:val="00807A8B"/>
    <w:rsid w:val="0081057D"/>
    <w:rsid w:val="008114AB"/>
    <w:rsid w:val="00811E7B"/>
    <w:rsid w:val="00812149"/>
    <w:rsid w:val="00812C0D"/>
    <w:rsid w:val="00814999"/>
    <w:rsid w:val="00816243"/>
    <w:rsid w:val="008166EF"/>
    <w:rsid w:val="00817DFF"/>
    <w:rsid w:val="008264EB"/>
    <w:rsid w:val="00833B05"/>
    <w:rsid w:val="0083519D"/>
    <w:rsid w:val="00835D07"/>
    <w:rsid w:val="00836EE6"/>
    <w:rsid w:val="00840448"/>
    <w:rsid w:val="00840CA2"/>
    <w:rsid w:val="008441AC"/>
    <w:rsid w:val="00846244"/>
    <w:rsid w:val="0084658D"/>
    <w:rsid w:val="008512EC"/>
    <w:rsid w:val="00856BA1"/>
    <w:rsid w:val="00856E9A"/>
    <w:rsid w:val="00862502"/>
    <w:rsid w:val="00863A3E"/>
    <w:rsid w:val="00866B0A"/>
    <w:rsid w:val="00866EDF"/>
    <w:rsid w:val="0087155F"/>
    <w:rsid w:val="00872B4B"/>
    <w:rsid w:val="008734A4"/>
    <w:rsid w:val="008744F1"/>
    <w:rsid w:val="00882874"/>
    <w:rsid w:val="00883787"/>
    <w:rsid w:val="008849D6"/>
    <w:rsid w:val="00894463"/>
    <w:rsid w:val="00894489"/>
    <w:rsid w:val="008951EC"/>
    <w:rsid w:val="00895F09"/>
    <w:rsid w:val="008963A5"/>
    <w:rsid w:val="008A0944"/>
    <w:rsid w:val="008A1669"/>
    <w:rsid w:val="008A3C3E"/>
    <w:rsid w:val="008A55AE"/>
    <w:rsid w:val="008A79DE"/>
    <w:rsid w:val="008A7A53"/>
    <w:rsid w:val="008A7FBA"/>
    <w:rsid w:val="008B025C"/>
    <w:rsid w:val="008B3797"/>
    <w:rsid w:val="008B3EC1"/>
    <w:rsid w:val="008B7D7E"/>
    <w:rsid w:val="008C0A85"/>
    <w:rsid w:val="008C3A38"/>
    <w:rsid w:val="008C57B8"/>
    <w:rsid w:val="008C6D4F"/>
    <w:rsid w:val="008C7AEB"/>
    <w:rsid w:val="008C7ECB"/>
    <w:rsid w:val="008D19A8"/>
    <w:rsid w:val="008D45D9"/>
    <w:rsid w:val="008D6F7F"/>
    <w:rsid w:val="008E1B9E"/>
    <w:rsid w:val="008E1F39"/>
    <w:rsid w:val="008E46FC"/>
    <w:rsid w:val="008E4E76"/>
    <w:rsid w:val="008E5002"/>
    <w:rsid w:val="008E7E54"/>
    <w:rsid w:val="008F120A"/>
    <w:rsid w:val="008F48EB"/>
    <w:rsid w:val="008F4F0B"/>
    <w:rsid w:val="008F5D3A"/>
    <w:rsid w:val="008F6671"/>
    <w:rsid w:val="008F66E4"/>
    <w:rsid w:val="008F6A99"/>
    <w:rsid w:val="008F7E0E"/>
    <w:rsid w:val="0090064D"/>
    <w:rsid w:val="00900ADF"/>
    <w:rsid w:val="009035D5"/>
    <w:rsid w:val="00904470"/>
    <w:rsid w:val="00904B0E"/>
    <w:rsid w:val="009062A5"/>
    <w:rsid w:val="0090715E"/>
    <w:rsid w:val="00911272"/>
    <w:rsid w:val="009140F9"/>
    <w:rsid w:val="009169D4"/>
    <w:rsid w:val="00917336"/>
    <w:rsid w:val="0092051F"/>
    <w:rsid w:val="009259B8"/>
    <w:rsid w:val="00931470"/>
    <w:rsid w:val="0093204A"/>
    <w:rsid w:val="009372DB"/>
    <w:rsid w:val="00941065"/>
    <w:rsid w:val="00944238"/>
    <w:rsid w:val="00945651"/>
    <w:rsid w:val="00947492"/>
    <w:rsid w:val="00950EEA"/>
    <w:rsid w:val="009532C1"/>
    <w:rsid w:val="009556C8"/>
    <w:rsid w:val="00955A03"/>
    <w:rsid w:val="00956698"/>
    <w:rsid w:val="009611E4"/>
    <w:rsid w:val="00962718"/>
    <w:rsid w:val="00962CB9"/>
    <w:rsid w:val="00963279"/>
    <w:rsid w:val="00964312"/>
    <w:rsid w:val="009643BD"/>
    <w:rsid w:val="009654B3"/>
    <w:rsid w:val="00972F65"/>
    <w:rsid w:val="00974830"/>
    <w:rsid w:val="0097672A"/>
    <w:rsid w:val="009800FE"/>
    <w:rsid w:val="0098220F"/>
    <w:rsid w:val="00983E57"/>
    <w:rsid w:val="009865FD"/>
    <w:rsid w:val="00986A12"/>
    <w:rsid w:val="009879D1"/>
    <w:rsid w:val="0099073F"/>
    <w:rsid w:val="0099136F"/>
    <w:rsid w:val="00996B1A"/>
    <w:rsid w:val="009A0605"/>
    <w:rsid w:val="009A38A6"/>
    <w:rsid w:val="009A3D7B"/>
    <w:rsid w:val="009A7335"/>
    <w:rsid w:val="009B3E26"/>
    <w:rsid w:val="009B5CBF"/>
    <w:rsid w:val="009C082E"/>
    <w:rsid w:val="009C0A09"/>
    <w:rsid w:val="009C0E00"/>
    <w:rsid w:val="009C412D"/>
    <w:rsid w:val="009C7162"/>
    <w:rsid w:val="009D0A3C"/>
    <w:rsid w:val="009D0FC1"/>
    <w:rsid w:val="009D3CAF"/>
    <w:rsid w:val="009D426C"/>
    <w:rsid w:val="009D4680"/>
    <w:rsid w:val="009D4B7F"/>
    <w:rsid w:val="009D5B91"/>
    <w:rsid w:val="009D601D"/>
    <w:rsid w:val="009E0941"/>
    <w:rsid w:val="009E4C07"/>
    <w:rsid w:val="009E60EE"/>
    <w:rsid w:val="009F1AA9"/>
    <w:rsid w:val="009F2697"/>
    <w:rsid w:val="009F3B2A"/>
    <w:rsid w:val="009F6C45"/>
    <w:rsid w:val="009F6E8A"/>
    <w:rsid w:val="009F74F5"/>
    <w:rsid w:val="00A03D43"/>
    <w:rsid w:val="00A04380"/>
    <w:rsid w:val="00A06527"/>
    <w:rsid w:val="00A06EF8"/>
    <w:rsid w:val="00A07130"/>
    <w:rsid w:val="00A13948"/>
    <w:rsid w:val="00A2119D"/>
    <w:rsid w:val="00A24FA2"/>
    <w:rsid w:val="00A2781B"/>
    <w:rsid w:val="00A27AEC"/>
    <w:rsid w:val="00A27B42"/>
    <w:rsid w:val="00A27C28"/>
    <w:rsid w:val="00A33B62"/>
    <w:rsid w:val="00A359B2"/>
    <w:rsid w:val="00A35D16"/>
    <w:rsid w:val="00A373F2"/>
    <w:rsid w:val="00A37A6E"/>
    <w:rsid w:val="00A37E46"/>
    <w:rsid w:val="00A425BD"/>
    <w:rsid w:val="00A43BB4"/>
    <w:rsid w:val="00A43C59"/>
    <w:rsid w:val="00A469A5"/>
    <w:rsid w:val="00A50ECD"/>
    <w:rsid w:val="00A513AB"/>
    <w:rsid w:val="00A52111"/>
    <w:rsid w:val="00A52729"/>
    <w:rsid w:val="00A53675"/>
    <w:rsid w:val="00A56B6A"/>
    <w:rsid w:val="00A578DC"/>
    <w:rsid w:val="00A611D3"/>
    <w:rsid w:val="00A63E82"/>
    <w:rsid w:val="00A65698"/>
    <w:rsid w:val="00A6725B"/>
    <w:rsid w:val="00A70109"/>
    <w:rsid w:val="00A7366F"/>
    <w:rsid w:val="00A7412B"/>
    <w:rsid w:val="00A757A8"/>
    <w:rsid w:val="00A77FD2"/>
    <w:rsid w:val="00A80985"/>
    <w:rsid w:val="00A8124D"/>
    <w:rsid w:val="00A82E89"/>
    <w:rsid w:val="00A85763"/>
    <w:rsid w:val="00A86E8B"/>
    <w:rsid w:val="00A90A6E"/>
    <w:rsid w:val="00A90B14"/>
    <w:rsid w:val="00A9125D"/>
    <w:rsid w:val="00A91D43"/>
    <w:rsid w:val="00A93072"/>
    <w:rsid w:val="00A93A01"/>
    <w:rsid w:val="00A959D8"/>
    <w:rsid w:val="00AA1EA9"/>
    <w:rsid w:val="00AA4531"/>
    <w:rsid w:val="00AA6619"/>
    <w:rsid w:val="00AA6D89"/>
    <w:rsid w:val="00AA7003"/>
    <w:rsid w:val="00AB042A"/>
    <w:rsid w:val="00AB16AE"/>
    <w:rsid w:val="00AB1E59"/>
    <w:rsid w:val="00AB1EBC"/>
    <w:rsid w:val="00AB2D34"/>
    <w:rsid w:val="00AB3405"/>
    <w:rsid w:val="00AB3430"/>
    <w:rsid w:val="00AB685C"/>
    <w:rsid w:val="00AB7CFA"/>
    <w:rsid w:val="00AC29BE"/>
    <w:rsid w:val="00AC2E6B"/>
    <w:rsid w:val="00AC338C"/>
    <w:rsid w:val="00AC6274"/>
    <w:rsid w:val="00AD41EC"/>
    <w:rsid w:val="00AD5410"/>
    <w:rsid w:val="00AE4613"/>
    <w:rsid w:val="00AE7DAB"/>
    <w:rsid w:val="00AF35CB"/>
    <w:rsid w:val="00AF3A8F"/>
    <w:rsid w:val="00AF6BE1"/>
    <w:rsid w:val="00B028A1"/>
    <w:rsid w:val="00B10A96"/>
    <w:rsid w:val="00B14DA5"/>
    <w:rsid w:val="00B15872"/>
    <w:rsid w:val="00B15E58"/>
    <w:rsid w:val="00B20123"/>
    <w:rsid w:val="00B22985"/>
    <w:rsid w:val="00B22C45"/>
    <w:rsid w:val="00B23DF6"/>
    <w:rsid w:val="00B24FAD"/>
    <w:rsid w:val="00B27838"/>
    <w:rsid w:val="00B33D20"/>
    <w:rsid w:val="00B34EEA"/>
    <w:rsid w:val="00B365BC"/>
    <w:rsid w:val="00B4103A"/>
    <w:rsid w:val="00B42851"/>
    <w:rsid w:val="00B44B58"/>
    <w:rsid w:val="00B454E1"/>
    <w:rsid w:val="00B45BF8"/>
    <w:rsid w:val="00B50A04"/>
    <w:rsid w:val="00B50DB8"/>
    <w:rsid w:val="00B53905"/>
    <w:rsid w:val="00B53CD8"/>
    <w:rsid w:val="00B54755"/>
    <w:rsid w:val="00B54B5B"/>
    <w:rsid w:val="00B54EE5"/>
    <w:rsid w:val="00B5562E"/>
    <w:rsid w:val="00B562A5"/>
    <w:rsid w:val="00B57000"/>
    <w:rsid w:val="00B60939"/>
    <w:rsid w:val="00B60AFD"/>
    <w:rsid w:val="00B610CC"/>
    <w:rsid w:val="00B610E1"/>
    <w:rsid w:val="00B62577"/>
    <w:rsid w:val="00B62715"/>
    <w:rsid w:val="00B65DEA"/>
    <w:rsid w:val="00B70C4B"/>
    <w:rsid w:val="00B72484"/>
    <w:rsid w:val="00B72926"/>
    <w:rsid w:val="00B7689F"/>
    <w:rsid w:val="00B77F94"/>
    <w:rsid w:val="00B802C4"/>
    <w:rsid w:val="00B81790"/>
    <w:rsid w:val="00B818A4"/>
    <w:rsid w:val="00B82E63"/>
    <w:rsid w:val="00B848C4"/>
    <w:rsid w:val="00B84EDE"/>
    <w:rsid w:val="00B85E7D"/>
    <w:rsid w:val="00B86357"/>
    <w:rsid w:val="00B8649C"/>
    <w:rsid w:val="00B87B82"/>
    <w:rsid w:val="00B91DFD"/>
    <w:rsid w:val="00B92D0B"/>
    <w:rsid w:val="00B932A4"/>
    <w:rsid w:val="00B94945"/>
    <w:rsid w:val="00B9561C"/>
    <w:rsid w:val="00BA30AF"/>
    <w:rsid w:val="00BA5D6D"/>
    <w:rsid w:val="00BB1628"/>
    <w:rsid w:val="00BB20A7"/>
    <w:rsid w:val="00BB7405"/>
    <w:rsid w:val="00BC17AF"/>
    <w:rsid w:val="00BC2493"/>
    <w:rsid w:val="00BC59FD"/>
    <w:rsid w:val="00BC5BD2"/>
    <w:rsid w:val="00BC5F32"/>
    <w:rsid w:val="00BC7316"/>
    <w:rsid w:val="00BD172F"/>
    <w:rsid w:val="00BD6CF3"/>
    <w:rsid w:val="00BE2180"/>
    <w:rsid w:val="00BE2956"/>
    <w:rsid w:val="00BE4275"/>
    <w:rsid w:val="00BE42DD"/>
    <w:rsid w:val="00BE47F3"/>
    <w:rsid w:val="00BF0866"/>
    <w:rsid w:val="00BF10E8"/>
    <w:rsid w:val="00BF2433"/>
    <w:rsid w:val="00BF61C9"/>
    <w:rsid w:val="00BF76EC"/>
    <w:rsid w:val="00C01D0D"/>
    <w:rsid w:val="00C022B7"/>
    <w:rsid w:val="00C07F71"/>
    <w:rsid w:val="00C13B60"/>
    <w:rsid w:val="00C162ED"/>
    <w:rsid w:val="00C210E0"/>
    <w:rsid w:val="00C21AA7"/>
    <w:rsid w:val="00C22440"/>
    <w:rsid w:val="00C2389A"/>
    <w:rsid w:val="00C25418"/>
    <w:rsid w:val="00C25D9C"/>
    <w:rsid w:val="00C31649"/>
    <w:rsid w:val="00C31F53"/>
    <w:rsid w:val="00C330B5"/>
    <w:rsid w:val="00C359F9"/>
    <w:rsid w:val="00C40385"/>
    <w:rsid w:val="00C43FE9"/>
    <w:rsid w:val="00C44F7B"/>
    <w:rsid w:val="00C51D22"/>
    <w:rsid w:val="00C60471"/>
    <w:rsid w:val="00C63125"/>
    <w:rsid w:val="00C6452D"/>
    <w:rsid w:val="00C65576"/>
    <w:rsid w:val="00C66165"/>
    <w:rsid w:val="00C701B3"/>
    <w:rsid w:val="00C70727"/>
    <w:rsid w:val="00C70C01"/>
    <w:rsid w:val="00C71EB3"/>
    <w:rsid w:val="00C724C1"/>
    <w:rsid w:val="00C726F3"/>
    <w:rsid w:val="00C727EE"/>
    <w:rsid w:val="00C750C8"/>
    <w:rsid w:val="00C8213F"/>
    <w:rsid w:val="00C83297"/>
    <w:rsid w:val="00C84916"/>
    <w:rsid w:val="00C8504C"/>
    <w:rsid w:val="00C85376"/>
    <w:rsid w:val="00C8797A"/>
    <w:rsid w:val="00C91447"/>
    <w:rsid w:val="00C938CF"/>
    <w:rsid w:val="00C94B40"/>
    <w:rsid w:val="00C96289"/>
    <w:rsid w:val="00C96D45"/>
    <w:rsid w:val="00CA5245"/>
    <w:rsid w:val="00CA7B09"/>
    <w:rsid w:val="00CA7FD6"/>
    <w:rsid w:val="00CB3A85"/>
    <w:rsid w:val="00CB5B1A"/>
    <w:rsid w:val="00CB5F45"/>
    <w:rsid w:val="00CC2116"/>
    <w:rsid w:val="00CC282D"/>
    <w:rsid w:val="00CC7E74"/>
    <w:rsid w:val="00CD07FE"/>
    <w:rsid w:val="00CD2CFC"/>
    <w:rsid w:val="00CD2E3D"/>
    <w:rsid w:val="00CD6ADC"/>
    <w:rsid w:val="00CD7C97"/>
    <w:rsid w:val="00CE008F"/>
    <w:rsid w:val="00CE0CE7"/>
    <w:rsid w:val="00CE2F4F"/>
    <w:rsid w:val="00CE426C"/>
    <w:rsid w:val="00CE5510"/>
    <w:rsid w:val="00CE5AE2"/>
    <w:rsid w:val="00CE60E0"/>
    <w:rsid w:val="00CE6274"/>
    <w:rsid w:val="00CF456B"/>
    <w:rsid w:val="00CF4BAF"/>
    <w:rsid w:val="00CF4C23"/>
    <w:rsid w:val="00CF5A22"/>
    <w:rsid w:val="00CF72F1"/>
    <w:rsid w:val="00D00C73"/>
    <w:rsid w:val="00D01D94"/>
    <w:rsid w:val="00D0262E"/>
    <w:rsid w:val="00D03C1C"/>
    <w:rsid w:val="00D03C4B"/>
    <w:rsid w:val="00D06B4F"/>
    <w:rsid w:val="00D110BD"/>
    <w:rsid w:val="00D1566E"/>
    <w:rsid w:val="00D1721B"/>
    <w:rsid w:val="00D17D6C"/>
    <w:rsid w:val="00D20E87"/>
    <w:rsid w:val="00D21002"/>
    <w:rsid w:val="00D22A97"/>
    <w:rsid w:val="00D2509D"/>
    <w:rsid w:val="00D26356"/>
    <w:rsid w:val="00D27FE1"/>
    <w:rsid w:val="00D313B3"/>
    <w:rsid w:val="00D316B7"/>
    <w:rsid w:val="00D357FF"/>
    <w:rsid w:val="00D377FB"/>
    <w:rsid w:val="00D42B60"/>
    <w:rsid w:val="00D43542"/>
    <w:rsid w:val="00D45DBB"/>
    <w:rsid w:val="00D45E59"/>
    <w:rsid w:val="00D50E88"/>
    <w:rsid w:val="00D51A10"/>
    <w:rsid w:val="00D554F4"/>
    <w:rsid w:val="00D55E7B"/>
    <w:rsid w:val="00D56A70"/>
    <w:rsid w:val="00D64F71"/>
    <w:rsid w:val="00D66D1F"/>
    <w:rsid w:val="00D66D68"/>
    <w:rsid w:val="00D676D8"/>
    <w:rsid w:val="00D70614"/>
    <w:rsid w:val="00D706E2"/>
    <w:rsid w:val="00D71319"/>
    <w:rsid w:val="00D74552"/>
    <w:rsid w:val="00D76208"/>
    <w:rsid w:val="00D76A44"/>
    <w:rsid w:val="00D772CC"/>
    <w:rsid w:val="00D77358"/>
    <w:rsid w:val="00D854AA"/>
    <w:rsid w:val="00D9013F"/>
    <w:rsid w:val="00D91B02"/>
    <w:rsid w:val="00D92960"/>
    <w:rsid w:val="00D93753"/>
    <w:rsid w:val="00DA1077"/>
    <w:rsid w:val="00DA4648"/>
    <w:rsid w:val="00DA6974"/>
    <w:rsid w:val="00DA77A5"/>
    <w:rsid w:val="00DB1775"/>
    <w:rsid w:val="00DB3100"/>
    <w:rsid w:val="00DB342D"/>
    <w:rsid w:val="00DB34F9"/>
    <w:rsid w:val="00DB476B"/>
    <w:rsid w:val="00DC09B3"/>
    <w:rsid w:val="00DC1C5B"/>
    <w:rsid w:val="00DC5501"/>
    <w:rsid w:val="00DC651B"/>
    <w:rsid w:val="00DD0057"/>
    <w:rsid w:val="00DD0551"/>
    <w:rsid w:val="00DD3717"/>
    <w:rsid w:val="00DD3F28"/>
    <w:rsid w:val="00DD4537"/>
    <w:rsid w:val="00DD4E15"/>
    <w:rsid w:val="00DE01FA"/>
    <w:rsid w:val="00DE396D"/>
    <w:rsid w:val="00DE4019"/>
    <w:rsid w:val="00DE4FCB"/>
    <w:rsid w:val="00DF0BAE"/>
    <w:rsid w:val="00DF4B5F"/>
    <w:rsid w:val="00DF56EB"/>
    <w:rsid w:val="00DF5D2B"/>
    <w:rsid w:val="00E01A07"/>
    <w:rsid w:val="00E01CD3"/>
    <w:rsid w:val="00E02349"/>
    <w:rsid w:val="00E027F6"/>
    <w:rsid w:val="00E06742"/>
    <w:rsid w:val="00E10149"/>
    <w:rsid w:val="00E1484E"/>
    <w:rsid w:val="00E151A4"/>
    <w:rsid w:val="00E153F4"/>
    <w:rsid w:val="00E1550E"/>
    <w:rsid w:val="00E16177"/>
    <w:rsid w:val="00E16372"/>
    <w:rsid w:val="00E17586"/>
    <w:rsid w:val="00E20ED6"/>
    <w:rsid w:val="00E21358"/>
    <w:rsid w:val="00E2249B"/>
    <w:rsid w:val="00E22A0D"/>
    <w:rsid w:val="00E22B27"/>
    <w:rsid w:val="00E2771E"/>
    <w:rsid w:val="00E2799C"/>
    <w:rsid w:val="00E31F8A"/>
    <w:rsid w:val="00E3598A"/>
    <w:rsid w:val="00E35CD6"/>
    <w:rsid w:val="00E37569"/>
    <w:rsid w:val="00E41D37"/>
    <w:rsid w:val="00E41DE5"/>
    <w:rsid w:val="00E41E30"/>
    <w:rsid w:val="00E430B1"/>
    <w:rsid w:val="00E43D70"/>
    <w:rsid w:val="00E44D6B"/>
    <w:rsid w:val="00E47B2C"/>
    <w:rsid w:val="00E506AD"/>
    <w:rsid w:val="00E50B9D"/>
    <w:rsid w:val="00E50D5A"/>
    <w:rsid w:val="00E512D5"/>
    <w:rsid w:val="00E51560"/>
    <w:rsid w:val="00E52390"/>
    <w:rsid w:val="00E524CF"/>
    <w:rsid w:val="00E53B27"/>
    <w:rsid w:val="00E53D9C"/>
    <w:rsid w:val="00E55301"/>
    <w:rsid w:val="00E55424"/>
    <w:rsid w:val="00E556E7"/>
    <w:rsid w:val="00E55BB5"/>
    <w:rsid w:val="00E62BE9"/>
    <w:rsid w:val="00E65E79"/>
    <w:rsid w:val="00E672FF"/>
    <w:rsid w:val="00E67416"/>
    <w:rsid w:val="00E6761D"/>
    <w:rsid w:val="00E718B6"/>
    <w:rsid w:val="00E73581"/>
    <w:rsid w:val="00E7504D"/>
    <w:rsid w:val="00E800ED"/>
    <w:rsid w:val="00E814DC"/>
    <w:rsid w:val="00E83BDF"/>
    <w:rsid w:val="00E83CFF"/>
    <w:rsid w:val="00E85AA9"/>
    <w:rsid w:val="00E90A08"/>
    <w:rsid w:val="00E91C42"/>
    <w:rsid w:val="00E93300"/>
    <w:rsid w:val="00E955CA"/>
    <w:rsid w:val="00E96CCC"/>
    <w:rsid w:val="00E96D4E"/>
    <w:rsid w:val="00EA0FE9"/>
    <w:rsid w:val="00EA2539"/>
    <w:rsid w:val="00EA3864"/>
    <w:rsid w:val="00EA7C54"/>
    <w:rsid w:val="00EA7CBE"/>
    <w:rsid w:val="00EB15B6"/>
    <w:rsid w:val="00EB325B"/>
    <w:rsid w:val="00EB3D17"/>
    <w:rsid w:val="00EB4916"/>
    <w:rsid w:val="00EB5EB0"/>
    <w:rsid w:val="00EB79DA"/>
    <w:rsid w:val="00EC00C9"/>
    <w:rsid w:val="00EC7BBB"/>
    <w:rsid w:val="00EC7FDD"/>
    <w:rsid w:val="00ED0519"/>
    <w:rsid w:val="00ED12B7"/>
    <w:rsid w:val="00ED253C"/>
    <w:rsid w:val="00ED3ACC"/>
    <w:rsid w:val="00ED629F"/>
    <w:rsid w:val="00ED69E7"/>
    <w:rsid w:val="00ED7635"/>
    <w:rsid w:val="00EE0297"/>
    <w:rsid w:val="00EE07D3"/>
    <w:rsid w:val="00EE2C52"/>
    <w:rsid w:val="00EE55A1"/>
    <w:rsid w:val="00EF17DD"/>
    <w:rsid w:val="00EF4C35"/>
    <w:rsid w:val="00F00E74"/>
    <w:rsid w:val="00F01DB2"/>
    <w:rsid w:val="00F023A5"/>
    <w:rsid w:val="00F028D5"/>
    <w:rsid w:val="00F03B25"/>
    <w:rsid w:val="00F04822"/>
    <w:rsid w:val="00F058AD"/>
    <w:rsid w:val="00F067A2"/>
    <w:rsid w:val="00F07E05"/>
    <w:rsid w:val="00F163B0"/>
    <w:rsid w:val="00F16911"/>
    <w:rsid w:val="00F21272"/>
    <w:rsid w:val="00F22400"/>
    <w:rsid w:val="00F24837"/>
    <w:rsid w:val="00F2575F"/>
    <w:rsid w:val="00F2668A"/>
    <w:rsid w:val="00F2729A"/>
    <w:rsid w:val="00F30BCD"/>
    <w:rsid w:val="00F31D98"/>
    <w:rsid w:val="00F326C8"/>
    <w:rsid w:val="00F33DE9"/>
    <w:rsid w:val="00F3619A"/>
    <w:rsid w:val="00F3700A"/>
    <w:rsid w:val="00F43186"/>
    <w:rsid w:val="00F46272"/>
    <w:rsid w:val="00F469F5"/>
    <w:rsid w:val="00F46CB6"/>
    <w:rsid w:val="00F470B6"/>
    <w:rsid w:val="00F50302"/>
    <w:rsid w:val="00F50C98"/>
    <w:rsid w:val="00F55018"/>
    <w:rsid w:val="00F5558C"/>
    <w:rsid w:val="00F55E73"/>
    <w:rsid w:val="00F56E13"/>
    <w:rsid w:val="00F60092"/>
    <w:rsid w:val="00F614E8"/>
    <w:rsid w:val="00F61D3D"/>
    <w:rsid w:val="00F6390A"/>
    <w:rsid w:val="00F6675B"/>
    <w:rsid w:val="00F6798C"/>
    <w:rsid w:val="00F70705"/>
    <w:rsid w:val="00F77A6E"/>
    <w:rsid w:val="00F80E5D"/>
    <w:rsid w:val="00F81716"/>
    <w:rsid w:val="00F8281A"/>
    <w:rsid w:val="00F84B79"/>
    <w:rsid w:val="00F851CE"/>
    <w:rsid w:val="00F87A46"/>
    <w:rsid w:val="00F87C7F"/>
    <w:rsid w:val="00F90B8B"/>
    <w:rsid w:val="00F91ECA"/>
    <w:rsid w:val="00F9255A"/>
    <w:rsid w:val="00F9632A"/>
    <w:rsid w:val="00F97A78"/>
    <w:rsid w:val="00F97B5D"/>
    <w:rsid w:val="00FA1CCE"/>
    <w:rsid w:val="00FA1D3C"/>
    <w:rsid w:val="00FA24E7"/>
    <w:rsid w:val="00FA5495"/>
    <w:rsid w:val="00FB08AC"/>
    <w:rsid w:val="00FB2FCB"/>
    <w:rsid w:val="00FB42A8"/>
    <w:rsid w:val="00FB4A2B"/>
    <w:rsid w:val="00FB6AB8"/>
    <w:rsid w:val="00FB6E03"/>
    <w:rsid w:val="00FC1074"/>
    <w:rsid w:val="00FC1884"/>
    <w:rsid w:val="00FC1B87"/>
    <w:rsid w:val="00FC2DC2"/>
    <w:rsid w:val="00FC49B1"/>
    <w:rsid w:val="00FD2100"/>
    <w:rsid w:val="00FD446D"/>
    <w:rsid w:val="00FD4717"/>
    <w:rsid w:val="00FD51D2"/>
    <w:rsid w:val="00FE0091"/>
    <w:rsid w:val="00FE54E2"/>
    <w:rsid w:val="00FE7546"/>
    <w:rsid w:val="00FF06CE"/>
    <w:rsid w:val="00FF3165"/>
    <w:rsid w:val="00FF3DCF"/>
    <w:rsid w:val="00FF5AA3"/>
    <w:rsid w:val="00FF5C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42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B54755"/>
    <w:rPr>
      <w:caps w:val="0"/>
      <w:sz w:val="28"/>
    </w:rPr>
  </w:style>
  <w:style w:type="character" w:customStyle="1" w:styleId="TitleChar">
    <w:name w:val="Title Char"/>
    <w:basedOn w:val="DefaultParagraphFont"/>
    <w:link w:val="Title"/>
    <w:rsid w:val="00B54755"/>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54755"/>
    <w:pPr>
      <w:numPr>
        <w:numId w:val="6"/>
      </w:numPr>
      <w:outlineLvl w:val="0"/>
    </w:pPr>
    <w:rPr>
      <w:rFonts w:ascii="Arial" w:hAnsi="Arial" w:cs="Arial"/>
      <w:b/>
      <w:snapToGrid w:val="0"/>
      <w:sz w:val="22"/>
      <w:szCs w:val="22"/>
      <w:lang w:eastAsia="en-US"/>
    </w:rPr>
  </w:style>
  <w:style w:type="character" w:styleId="PlaceholderText">
    <w:name w:val="Placeholder Text"/>
    <w:basedOn w:val="DefaultParagraphFont"/>
    <w:uiPriority w:val="99"/>
    <w:semiHidden/>
    <w:rsid w:val="008D45D9"/>
    <w:rPr>
      <w:color w:val="808080"/>
    </w:rPr>
  </w:style>
  <w:style w:type="paragraph" w:customStyle="1" w:styleId="COMtbl-HEADLeftAligned">
    <w:name w:val="COMtbl-HEAD Left Aligned"/>
    <w:basedOn w:val="Normal"/>
    <w:qFormat/>
    <w:rsid w:val="008C6D4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8C6D4F"/>
    <w:pPr>
      <w:jc w:val="center"/>
    </w:pPr>
  </w:style>
  <w:style w:type="paragraph" w:customStyle="1" w:styleId="COMtbl-textLeftAligned">
    <w:name w:val="COMtbl-text Left Aligned"/>
    <w:basedOn w:val="COMtbl-HEADLeftAligned"/>
    <w:qFormat/>
    <w:rsid w:val="008C6D4F"/>
    <w:rPr>
      <w:b w:val="0"/>
    </w:rPr>
  </w:style>
  <w:style w:type="paragraph" w:customStyle="1" w:styleId="COMtbl-textCentred">
    <w:name w:val="COMtbl-text Centred"/>
    <w:basedOn w:val="COMtbl-HEADCentred"/>
    <w:qFormat/>
    <w:rsid w:val="008C6D4F"/>
    <w:rPr>
      <w:b w:val="0"/>
    </w:rPr>
  </w:style>
  <w:style w:type="paragraph" w:customStyle="1" w:styleId="PBACTableText">
    <w:name w:val="PBAC Table Text"/>
    <w:basedOn w:val="Normal"/>
    <w:link w:val="PBACTableTextChar"/>
    <w:qFormat/>
    <w:rsid w:val="0050166F"/>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50166F"/>
    <w:rPr>
      <w:rFonts w:ascii="News Gothic MT" w:eastAsia="MS Mincho" w:hAnsi="News Gothic MT"/>
      <w:lang w:val="en-US" w:eastAsia="en-US"/>
    </w:rPr>
  </w:style>
  <w:style w:type="paragraph" w:customStyle="1" w:styleId="PBACTableTextBoldCentered">
    <w:name w:val="PBAC Table Text + Bold + Centered"/>
    <w:basedOn w:val="Normal"/>
    <w:rsid w:val="0050166F"/>
    <w:pPr>
      <w:keepNext/>
      <w:widowControl/>
      <w:spacing w:before="40" w:after="40"/>
      <w:jc w:val="center"/>
    </w:pPr>
    <w:rPr>
      <w:rFonts w:ascii="News Gothic MT" w:eastAsia="MS Mincho" w:hAnsi="News Gothic MT" w:cs="Times New Roman"/>
      <w:b/>
      <w:bCs/>
      <w:snapToGrid/>
      <w:sz w:val="20"/>
      <w:lang w:val="en-US"/>
    </w:rPr>
  </w:style>
  <w:style w:type="character" w:customStyle="1" w:styleId="ListParagraphChar">
    <w:name w:val="List Paragraph Char"/>
    <w:aliases w:val="BulletPoints Char"/>
    <w:link w:val="ListParagraph"/>
    <w:uiPriority w:val="72"/>
    <w:rsid w:val="00B22C4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42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B54755"/>
    <w:rPr>
      <w:caps w:val="0"/>
      <w:sz w:val="28"/>
    </w:rPr>
  </w:style>
  <w:style w:type="character" w:customStyle="1" w:styleId="TitleChar">
    <w:name w:val="Title Char"/>
    <w:basedOn w:val="DefaultParagraphFont"/>
    <w:link w:val="Title"/>
    <w:rsid w:val="00B54755"/>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54755"/>
    <w:pPr>
      <w:numPr>
        <w:numId w:val="6"/>
      </w:numPr>
      <w:outlineLvl w:val="0"/>
    </w:pPr>
    <w:rPr>
      <w:rFonts w:ascii="Arial" w:hAnsi="Arial" w:cs="Arial"/>
      <w:b/>
      <w:snapToGrid w:val="0"/>
      <w:sz w:val="22"/>
      <w:szCs w:val="22"/>
      <w:lang w:eastAsia="en-US"/>
    </w:rPr>
  </w:style>
  <w:style w:type="character" w:styleId="PlaceholderText">
    <w:name w:val="Placeholder Text"/>
    <w:basedOn w:val="DefaultParagraphFont"/>
    <w:uiPriority w:val="99"/>
    <w:semiHidden/>
    <w:rsid w:val="008D45D9"/>
    <w:rPr>
      <w:color w:val="808080"/>
    </w:rPr>
  </w:style>
  <w:style w:type="paragraph" w:customStyle="1" w:styleId="COMtbl-HEADLeftAligned">
    <w:name w:val="COMtbl-HEAD Left Aligned"/>
    <w:basedOn w:val="Normal"/>
    <w:qFormat/>
    <w:rsid w:val="008C6D4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8C6D4F"/>
    <w:pPr>
      <w:jc w:val="center"/>
    </w:pPr>
  </w:style>
  <w:style w:type="paragraph" w:customStyle="1" w:styleId="COMtbl-textLeftAligned">
    <w:name w:val="COMtbl-text Left Aligned"/>
    <w:basedOn w:val="COMtbl-HEADLeftAligned"/>
    <w:qFormat/>
    <w:rsid w:val="008C6D4F"/>
    <w:rPr>
      <w:b w:val="0"/>
    </w:rPr>
  </w:style>
  <w:style w:type="paragraph" w:customStyle="1" w:styleId="COMtbl-textCentred">
    <w:name w:val="COMtbl-text Centred"/>
    <w:basedOn w:val="COMtbl-HEADCentred"/>
    <w:qFormat/>
    <w:rsid w:val="008C6D4F"/>
    <w:rPr>
      <w:b w:val="0"/>
    </w:rPr>
  </w:style>
  <w:style w:type="paragraph" w:customStyle="1" w:styleId="PBACTableText">
    <w:name w:val="PBAC Table Text"/>
    <w:basedOn w:val="Normal"/>
    <w:link w:val="PBACTableTextChar"/>
    <w:qFormat/>
    <w:rsid w:val="0050166F"/>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50166F"/>
    <w:rPr>
      <w:rFonts w:ascii="News Gothic MT" w:eastAsia="MS Mincho" w:hAnsi="News Gothic MT"/>
      <w:lang w:val="en-US" w:eastAsia="en-US"/>
    </w:rPr>
  </w:style>
  <w:style w:type="paragraph" w:customStyle="1" w:styleId="PBACTableTextBoldCentered">
    <w:name w:val="PBAC Table Text + Bold + Centered"/>
    <w:basedOn w:val="Normal"/>
    <w:rsid w:val="0050166F"/>
    <w:pPr>
      <w:keepNext/>
      <w:widowControl/>
      <w:spacing w:before="40" w:after="40"/>
      <w:jc w:val="center"/>
    </w:pPr>
    <w:rPr>
      <w:rFonts w:ascii="News Gothic MT" w:eastAsia="MS Mincho" w:hAnsi="News Gothic MT" w:cs="Times New Roman"/>
      <w:b/>
      <w:bCs/>
      <w:snapToGrid/>
      <w:sz w:val="20"/>
      <w:lang w:val="en-US"/>
    </w:rPr>
  </w:style>
  <w:style w:type="character" w:customStyle="1" w:styleId="ListParagraphChar">
    <w:name w:val="List Paragraph Char"/>
    <w:aliases w:val="BulletPoints Char"/>
    <w:link w:val="ListParagraph"/>
    <w:uiPriority w:val="72"/>
    <w:rsid w:val="00B22C4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0775">
      <w:bodyDiv w:val="1"/>
      <w:marLeft w:val="0"/>
      <w:marRight w:val="0"/>
      <w:marTop w:val="0"/>
      <w:marBottom w:val="0"/>
      <w:divBdr>
        <w:top w:val="none" w:sz="0" w:space="0" w:color="auto"/>
        <w:left w:val="none" w:sz="0" w:space="0" w:color="auto"/>
        <w:bottom w:val="none" w:sz="0" w:space="0" w:color="auto"/>
        <w:right w:val="none" w:sz="0" w:space="0" w:color="auto"/>
      </w:divBdr>
    </w:div>
    <w:div w:id="200480088">
      <w:bodyDiv w:val="1"/>
      <w:marLeft w:val="0"/>
      <w:marRight w:val="0"/>
      <w:marTop w:val="0"/>
      <w:marBottom w:val="0"/>
      <w:divBdr>
        <w:top w:val="none" w:sz="0" w:space="0" w:color="auto"/>
        <w:left w:val="none" w:sz="0" w:space="0" w:color="auto"/>
        <w:bottom w:val="none" w:sz="0" w:space="0" w:color="auto"/>
        <w:right w:val="none" w:sz="0" w:space="0" w:color="auto"/>
      </w:divBdr>
    </w:div>
    <w:div w:id="1467774378">
      <w:bodyDiv w:val="1"/>
      <w:marLeft w:val="0"/>
      <w:marRight w:val="0"/>
      <w:marTop w:val="0"/>
      <w:marBottom w:val="0"/>
      <w:divBdr>
        <w:top w:val="none" w:sz="0" w:space="0" w:color="auto"/>
        <w:left w:val="none" w:sz="0" w:space="0" w:color="auto"/>
        <w:bottom w:val="none" w:sz="0" w:space="0" w:color="auto"/>
        <w:right w:val="none" w:sz="0" w:space="0" w:color="auto"/>
      </w:divBdr>
    </w:div>
    <w:div w:id="18701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B4D-5E14-482C-816E-93CD0FB4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4755</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2016-06-17T01:27:00Z</dcterms:created>
  <dcterms:modified xsi:type="dcterms:W3CDTF">2016-06-22T04:29:00Z</dcterms:modified>
</cp:coreProperties>
</file>