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C27C38" w:rsidRDefault="00E8495A" w:rsidP="00C27C38">
      <w:pPr>
        <w:pStyle w:val="Title"/>
      </w:pPr>
      <w:bookmarkStart w:id="0" w:name="_Toc440982662"/>
      <w:r w:rsidRPr="00C27C38">
        <w:t>5.01</w:t>
      </w:r>
      <w:r w:rsidR="00B60939" w:rsidRPr="00C27C38">
        <w:tab/>
      </w:r>
      <w:r w:rsidR="00C27C38" w:rsidRPr="00C27C38">
        <w:t>VEMURAFENIB</w:t>
      </w:r>
      <w:r w:rsidR="006A3F4C" w:rsidRPr="00C27C38">
        <w:t xml:space="preserve">, </w:t>
      </w:r>
      <w:r w:rsidR="003F76AA" w:rsidRPr="00C27C38">
        <w:t xml:space="preserve">tablet 240 mg, Zelboraf® </w:t>
      </w:r>
      <w:r w:rsidR="006A3F4C" w:rsidRPr="00C27C38">
        <w:t xml:space="preserve">+ </w:t>
      </w:r>
      <w:r w:rsidR="00C27C38" w:rsidRPr="00C27C38">
        <w:t>COBIMETINIB</w:t>
      </w:r>
      <w:r w:rsidR="006A3F4C" w:rsidRPr="00C27C38">
        <w:t xml:space="preserve">, </w:t>
      </w:r>
      <w:r w:rsidR="003F76AA" w:rsidRPr="00C27C38">
        <w:t>tablet 20 mg, Cotellic®, Roche Products Pty Ltd</w:t>
      </w:r>
      <w:bookmarkEnd w:id="0"/>
    </w:p>
    <w:p w:rsidR="00433044" w:rsidRDefault="00433044" w:rsidP="00281014">
      <w:pPr>
        <w:pStyle w:val="BodyText"/>
      </w:pPr>
    </w:p>
    <w:p w:rsidR="00943EE6" w:rsidRPr="00452F75" w:rsidRDefault="00943EE6" w:rsidP="00281014">
      <w:pPr>
        <w:pStyle w:val="BodyText"/>
      </w:pPr>
    </w:p>
    <w:p w:rsidR="00B50DB8" w:rsidRPr="00C27C38" w:rsidRDefault="00B50DB8" w:rsidP="00C27C38">
      <w:pPr>
        <w:pStyle w:val="Heading1"/>
      </w:pPr>
      <w:bookmarkStart w:id="1" w:name="_Toc440982664"/>
      <w:r w:rsidRPr="00C27C38">
        <w:t>Purpose of Application</w:t>
      </w:r>
      <w:bookmarkEnd w:id="1"/>
    </w:p>
    <w:p w:rsidR="00B60939" w:rsidRPr="00452F75" w:rsidRDefault="00B60939" w:rsidP="00B60939">
      <w:pPr>
        <w:rPr>
          <w:szCs w:val="22"/>
        </w:rPr>
      </w:pPr>
    </w:p>
    <w:p w:rsidR="002C2775" w:rsidRPr="00452F75" w:rsidRDefault="00B23CB9" w:rsidP="00654033">
      <w:pPr>
        <w:pStyle w:val="ListParagraph"/>
      </w:pPr>
      <w:r w:rsidRPr="00452F75">
        <w:t>Authority Required (streamlined)</w:t>
      </w:r>
      <w:r w:rsidR="00626CB1" w:rsidRPr="00452F75">
        <w:t xml:space="preserve"> listing</w:t>
      </w:r>
      <w:r w:rsidRPr="00452F75">
        <w:t xml:space="preserve"> for vemurafenib </w:t>
      </w:r>
      <w:r w:rsidR="00626CB1" w:rsidRPr="00452F75">
        <w:t xml:space="preserve">in combination with cobimetinib for the treatment of </w:t>
      </w:r>
      <w:r w:rsidR="00626CB1" w:rsidRPr="00C7226A">
        <w:rPr>
          <w:i/>
        </w:rPr>
        <w:t>BRAF</w:t>
      </w:r>
      <w:r w:rsidR="00626CB1" w:rsidRPr="00452F75">
        <w:t xml:space="preserve"> V600 mutation positive unresectable or metastatic melanoma.</w:t>
      </w:r>
    </w:p>
    <w:p w:rsidR="00F172BE" w:rsidRPr="00452F75" w:rsidRDefault="00F172BE" w:rsidP="00F172BE"/>
    <w:p w:rsidR="004E43B2" w:rsidRPr="00452F75" w:rsidRDefault="004E43B2" w:rsidP="004B1CB4"/>
    <w:p w:rsidR="00B50DB8" w:rsidRPr="00452F75" w:rsidRDefault="00B50DB8" w:rsidP="00C27C38">
      <w:pPr>
        <w:pStyle w:val="Heading1"/>
      </w:pPr>
      <w:bookmarkStart w:id="2" w:name="_Toc440982665"/>
      <w:r w:rsidRPr="00452F75">
        <w:t>Requested listing</w:t>
      </w:r>
      <w:bookmarkEnd w:id="2"/>
    </w:p>
    <w:p w:rsidR="00B60939" w:rsidRPr="00452F75" w:rsidRDefault="00B60939" w:rsidP="004B1CB4"/>
    <w:p w:rsidR="00873AFB" w:rsidRPr="00452F75" w:rsidRDefault="00906E51" w:rsidP="00654033">
      <w:pPr>
        <w:pStyle w:val="ListParagraph"/>
      </w:pPr>
      <w:r w:rsidRPr="002574A0">
        <w:t>Suggestions and additions proposed by the Secretariat to the requested listing are added in italics and suggested deletions are crossed out with strikethrough</w:t>
      </w:r>
      <w:r w:rsidR="00873AFB" w:rsidRPr="00452F75">
        <w:t>.</w:t>
      </w:r>
    </w:p>
    <w:p w:rsidR="00617E12" w:rsidRPr="00452F75" w:rsidRDefault="00617E12" w:rsidP="00617E12"/>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0C50D0" w:rsidRPr="00452F75" w:rsidTr="00943EE6">
        <w:trPr>
          <w:cantSplit/>
          <w:trHeight w:val="471"/>
        </w:trPr>
        <w:tc>
          <w:tcPr>
            <w:tcW w:w="2552" w:type="dxa"/>
            <w:gridSpan w:val="2"/>
            <w:tcBorders>
              <w:bottom w:val="single" w:sz="4" w:space="0" w:color="auto"/>
            </w:tcBorders>
          </w:tcPr>
          <w:p w:rsidR="000C50D0" w:rsidRPr="00452F75" w:rsidRDefault="000C50D0" w:rsidP="000C50D0">
            <w:pPr>
              <w:keepNext/>
              <w:ind w:left="-108"/>
              <w:rPr>
                <w:rFonts w:ascii="Arial Narrow" w:hAnsi="Arial Narrow"/>
                <w:sz w:val="20"/>
              </w:rPr>
            </w:pPr>
            <w:r w:rsidRPr="00452F75">
              <w:rPr>
                <w:rFonts w:ascii="Arial Narrow" w:hAnsi="Arial Narrow"/>
                <w:sz w:val="20"/>
              </w:rPr>
              <w:t>Name, Restriction,</w:t>
            </w:r>
          </w:p>
          <w:p w:rsidR="000C50D0" w:rsidRPr="00452F75" w:rsidRDefault="000C50D0" w:rsidP="000C50D0">
            <w:pPr>
              <w:keepNext/>
              <w:ind w:left="-108"/>
              <w:rPr>
                <w:rFonts w:ascii="Arial Narrow" w:hAnsi="Arial Narrow"/>
                <w:sz w:val="20"/>
              </w:rPr>
            </w:pPr>
            <w:r w:rsidRPr="00452F75">
              <w:rPr>
                <w:rFonts w:ascii="Arial Narrow" w:hAnsi="Arial Narrow"/>
                <w:sz w:val="20"/>
              </w:rPr>
              <w:t>Manner of administration and form</w:t>
            </w:r>
          </w:p>
        </w:tc>
        <w:tc>
          <w:tcPr>
            <w:tcW w:w="567" w:type="dxa"/>
            <w:tcBorders>
              <w:bottom w:val="single" w:sz="4" w:space="0" w:color="auto"/>
            </w:tcBorders>
          </w:tcPr>
          <w:p w:rsidR="000C50D0" w:rsidRPr="00452F75" w:rsidRDefault="000C50D0" w:rsidP="000C50D0">
            <w:pPr>
              <w:keepNext/>
              <w:ind w:left="-108"/>
              <w:rPr>
                <w:rFonts w:ascii="Arial Narrow" w:hAnsi="Arial Narrow"/>
                <w:sz w:val="20"/>
              </w:rPr>
            </w:pPr>
            <w:r w:rsidRPr="00452F75">
              <w:rPr>
                <w:rFonts w:ascii="Arial Narrow" w:hAnsi="Arial Narrow"/>
                <w:sz w:val="20"/>
              </w:rPr>
              <w:t>Max.</w:t>
            </w:r>
          </w:p>
          <w:p w:rsidR="000C50D0" w:rsidRPr="00452F75" w:rsidRDefault="000C50D0" w:rsidP="000C50D0">
            <w:pPr>
              <w:keepNext/>
              <w:ind w:left="-108"/>
              <w:rPr>
                <w:rFonts w:ascii="Arial Narrow" w:hAnsi="Arial Narrow"/>
                <w:sz w:val="20"/>
              </w:rPr>
            </w:pPr>
            <w:r w:rsidRPr="00452F75">
              <w:rPr>
                <w:rFonts w:ascii="Arial Narrow" w:hAnsi="Arial Narrow"/>
                <w:sz w:val="20"/>
              </w:rPr>
              <w:t>Qty</w:t>
            </w:r>
          </w:p>
        </w:tc>
        <w:tc>
          <w:tcPr>
            <w:tcW w:w="850" w:type="dxa"/>
            <w:tcBorders>
              <w:bottom w:val="single" w:sz="4" w:space="0" w:color="auto"/>
            </w:tcBorders>
          </w:tcPr>
          <w:p w:rsidR="000C50D0" w:rsidRPr="00452F75" w:rsidRDefault="000C50D0" w:rsidP="000C50D0">
            <w:pPr>
              <w:keepNext/>
              <w:ind w:left="-108"/>
              <w:rPr>
                <w:rFonts w:ascii="Arial Narrow" w:hAnsi="Arial Narrow"/>
                <w:sz w:val="20"/>
              </w:rPr>
            </w:pPr>
            <w:r w:rsidRPr="00452F75">
              <w:rPr>
                <w:rFonts w:ascii="Arial Narrow" w:hAnsi="Arial Narrow"/>
                <w:sz w:val="20"/>
              </w:rPr>
              <w:t>№.of</w:t>
            </w:r>
          </w:p>
          <w:p w:rsidR="000C50D0" w:rsidRPr="00452F75" w:rsidRDefault="000C50D0" w:rsidP="000C50D0">
            <w:pPr>
              <w:keepNext/>
              <w:ind w:left="-108"/>
              <w:rPr>
                <w:rFonts w:ascii="Arial Narrow" w:hAnsi="Arial Narrow"/>
                <w:sz w:val="20"/>
              </w:rPr>
            </w:pPr>
            <w:r w:rsidRPr="00452F75">
              <w:rPr>
                <w:rFonts w:ascii="Arial Narrow" w:hAnsi="Arial Narrow"/>
                <w:sz w:val="20"/>
              </w:rPr>
              <w:t>Rpts</w:t>
            </w:r>
          </w:p>
        </w:tc>
        <w:tc>
          <w:tcPr>
            <w:tcW w:w="1701" w:type="dxa"/>
            <w:tcBorders>
              <w:bottom w:val="single" w:sz="4" w:space="0" w:color="auto"/>
            </w:tcBorders>
          </w:tcPr>
          <w:p w:rsidR="000C50D0" w:rsidRPr="00452F75" w:rsidRDefault="000C50D0" w:rsidP="000C50D0">
            <w:pPr>
              <w:keepNext/>
              <w:ind w:left="-108"/>
              <w:rPr>
                <w:rFonts w:ascii="Arial Narrow" w:hAnsi="Arial Narrow"/>
                <w:sz w:val="20"/>
              </w:rPr>
            </w:pPr>
            <w:r w:rsidRPr="00452F75">
              <w:rPr>
                <w:rFonts w:ascii="Arial Narrow" w:hAnsi="Arial Narrow"/>
                <w:sz w:val="20"/>
              </w:rPr>
              <w:t>Dispensed Price for Max. Qty</w:t>
            </w:r>
          </w:p>
        </w:tc>
        <w:tc>
          <w:tcPr>
            <w:tcW w:w="2835" w:type="dxa"/>
            <w:gridSpan w:val="2"/>
            <w:tcBorders>
              <w:bottom w:val="single" w:sz="4" w:space="0" w:color="auto"/>
            </w:tcBorders>
          </w:tcPr>
          <w:p w:rsidR="000C50D0" w:rsidRPr="00452F75" w:rsidRDefault="000C50D0" w:rsidP="000C50D0">
            <w:pPr>
              <w:keepNext/>
              <w:rPr>
                <w:rFonts w:ascii="Arial Narrow" w:hAnsi="Arial Narrow"/>
                <w:sz w:val="20"/>
                <w:lang w:val="fr-FR"/>
              </w:rPr>
            </w:pPr>
            <w:r w:rsidRPr="00452F75">
              <w:rPr>
                <w:rFonts w:ascii="Arial Narrow" w:hAnsi="Arial Narrow"/>
                <w:sz w:val="20"/>
              </w:rPr>
              <w:t>Proprietary Name and Manufacturer</w:t>
            </w:r>
          </w:p>
        </w:tc>
      </w:tr>
      <w:tr w:rsidR="000C50D0" w:rsidRPr="00452F75" w:rsidTr="00943EE6">
        <w:trPr>
          <w:cantSplit/>
          <w:trHeight w:val="577"/>
        </w:trPr>
        <w:tc>
          <w:tcPr>
            <w:tcW w:w="2552" w:type="dxa"/>
            <w:gridSpan w:val="2"/>
          </w:tcPr>
          <w:p w:rsidR="000C50D0" w:rsidRPr="00452F75" w:rsidRDefault="000C50D0" w:rsidP="000C50D0">
            <w:pPr>
              <w:keepNext/>
              <w:ind w:left="-108"/>
              <w:rPr>
                <w:rFonts w:ascii="Arial Narrow" w:hAnsi="Arial Narrow"/>
                <w:sz w:val="20"/>
              </w:rPr>
            </w:pPr>
            <w:r w:rsidRPr="00452F75">
              <w:rPr>
                <w:rFonts w:ascii="Arial Narrow" w:hAnsi="Arial Narrow"/>
                <w:smallCaps/>
                <w:sz w:val="20"/>
              </w:rPr>
              <w:t>vemurafenib</w:t>
            </w:r>
          </w:p>
          <w:p w:rsidR="000C50D0" w:rsidRPr="00452F75" w:rsidRDefault="000C50D0" w:rsidP="000C50D0">
            <w:pPr>
              <w:keepNext/>
              <w:ind w:left="-108"/>
              <w:rPr>
                <w:rFonts w:ascii="Arial Narrow" w:hAnsi="Arial Narrow"/>
                <w:sz w:val="20"/>
              </w:rPr>
            </w:pPr>
            <w:r w:rsidRPr="00452F75">
              <w:rPr>
                <w:rFonts w:ascii="Arial Narrow" w:hAnsi="Arial Narrow"/>
                <w:sz w:val="20"/>
              </w:rPr>
              <w:t>240 mg tablet, 56</w:t>
            </w:r>
          </w:p>
        </w:tc>
        <w:tc>
          <w:tcPr>
            <w:tcW w:w="567" w:type="dxa"/>
          </w:tcPr>
          <w:p w:rsidR="000C50D0" w:rsidRPr="00452F75" w:rsidRDefault="000C50D0" w:rsidP="000C50D0">
            <w:pPr>
              <w:keepNext/>
              <w:ind w:left="-108"/>
              <w:rPr>
                <w:rFonts w:ascii="Arial Narrow" w:hAnsi="Arial Narrow"/>
                <w:sz w:val="20"/>
              </w:rPr>
            </w:pPr>
          </w:p>
          <w:p w:rsidR="000C50D0" w:rsidRPr="00452F75" w:rsidRDefault="000C50D0" w:rsidP="000C50D0">
            <w:pPr>
              <w:keepNext/>
              <w:ind w:left="-108"/>
              <w:rPr>
                <w:rFonts w:ascii="Arial Narrow" w:hAnsi="Arial Narrow"/>
                <w:sz w:val="20"/>
              </w:rPr>
            </w:pPr>
            <w:r w:rsidRPr="00452F75">
              <w:rPr>
                <w:rFonts w:ascii="Arial Narrow" w:hAnsi="Arial Narrow"/>
                <w:sz w:val="20"/>
              </w:rPr>
              <w:t>4</w:t>
            </w:r>
          </w:p>
        </w:tc>
        <w:tc>
          <w:tcPr>
            <w:tcW w:w="850" w:type="dxa"/>
          </w:tcPr>
          <w:p w:rsidR="000C50D0" w:rsidRPr="00452F75" w:rsidRDefault="000C50D0" w:rsidP="000C50D0">
            <w:pPr>
              <w:keepNext/>
              <w:ind w:left="-108"/>
              <w:rPr>
                <w:rFonts w:ascii="Arial Narrow" w:hAnsi="Arial Narrow"/>
                <w:sz w:val="20"/>
              </w:rPr>
            </w:pPr>
          </w:p>
          <w:p w:rsidR="000C50D0" w:rsidRPr="00452F75" w:rsidRDefault="000C50D0" w:rsidP="000C50D0">
            <w:pPr>
              <w:keepNext/>
              <w:ind w:left="-108"/>
              <w:rPr>
                <w:rFonts w:ascii="Arial Narrow" w:hAnsi="Arial Narrow"/>
                <w:sz w:val="20"/>
              </w:rPr>
            </w:pPr>
            <w:r w:rsidRPr="00452F75">
              <w:rPr>
                <w:rFonts w:ascii="Arial Narrow" w:hAnsi="Arial Narrow"/>
                <w:sz w:val="20"/>
              </w:rPr>
              <w:t>3</w:t>
            </w:r>
          </w:p>
        </w:tc>
        <w:tc>
          <w:tcPr>
            <w:tcW w:w="1701" w:type="dxa"/>
          </w:tcPr>
          <w:p w:rsidR="000C50D0" w:rsidRPr="00452F75" w:rsidRDefault="000C50D0" w:rsidP="000C50D0">
            <w:pPr>
              <w:keepNext/>
              <w:ind w:left="-108"/>
              <w:rPr>
                <w:rFonts w:ascii="Arial Narrow" w:hAnsi="Arial Narrow"/>
                <w:sz w:val="20"/>
              </w:rPr>
            </w:pPr>
          </w:p>
          <w:p w:rsidR="000C50D0" w:rsidRPr="00452F75" w:rsidRDefault="000C50D0" w:rsidP="000C50D0">
            <w:pPr>
              <w:keepNext/>
              <w:ind w:left="-108"/>
              <w:rPr>
                <w:rFonts w:ascii="Arial Narrow" w:hAnsi="Arial Narrow"/>
                <w:sz w:val="20"/>
              </w:rPr>
            </w:pPr>
            <w:r w:rsidRPr="00452F75">
              <w:rPr>
                <w:rFonts w:ascii="Arial Narrow" w:hAnsi="Arial Narrow"/>
                <w:sz w:val="20"/>
              </w:rPr>
              <w:t>$</w:t>
            </w:r>
            <w:r w:rsidR="00A7393F">
              <w:rPr>
                <w:rFonts w:ascii="Arial Narrow" w:hAnsi="Arial Narrow"/>
                <w:noProof/>
                <w:color w:val="000000"/>
                <w:sz w:val="20"/>
                <w:highlight w:val="black"/>
              </w:rPr>
              <w:t>''''''''''''''''''''''</w:t>
            </w:r>
          </w:p>
        </w:tc>
        <w:tc>
          <w:tcPr>
            <w:tcW w:w="1559" w:type="dxa"/>
          </w:tcPr>
          <w:p w:rsidR="000C50D0" w:rsidRPr="00452F75" w:rsidRDefault="000C50D0" w:rsidP="000C50D0">
            <w:pPr>
              <w:rPr>
                <w:rFonts w:ascii="Arial Narrow" w:hAnsi="Arial Narrow"/>
                <w:sz w:val="20"/>
              </w:rPr>
            </w:pPr>
          </w:p>
          <w:p w:rsidR="000C50D0" w:rsidRPr="00452F75" w:rsidRDefault="000C50D0" w:rsidP="000C50D0">
            <w:pPr>
              <w:rPr>
                <w:rFonts w:ascii="Arial Narrow" w:hAnsi="Arial Narrow"/>
                <w:sz w:val="20"/>
              </w:rPr>
            </w:pPr>
            <w:r w:rsidRPr="00452F75">
              <w:rPr>
                <w:rFonts w:ascii="Arial Narrow" w:hAnsi="Arial Narrow"/>
                <w:sz w:val="20"/>
              </w:rPr>
              <w:t>ZELBORAF</w:t>
            </w:r>
          </w:p>
        </w:tc>
        <w:tc>
          <w:tcPr>
            <w:tcW w:w="1276" w:type="dxa"/>
          </w:tcPr>
          <w:p w:rsidR="000C50D0" w:rsidRPr="00452F75" w:rsidRDefault="000C50D0" w:rsidP="000C50D0">
            <w:pPr>
              <w:rPr>
                <w:rFonts w:ascii="Arial Narrow" w:hAnsi="Arial Narrow"/>
                <w:sz w:val="20"/>
              </w:rPr>
            </w:pPr>
            <w:r w:rsidRPr="00452F75">
              <w:rPr>
                <w:rFonts w:ascii="Arial Narrow" w:hAnsi="Arial Narrow"/>
                <w:sz w:val="20"/>
              </w:rPr>
              <w:t>Roche Products Pty Limited</w:t>
            </w:r>
          </w:p>
        </w:tc>
      </w:tr>
      <w:tr w:rsidR="000C50D0" w:rsidRPr="00452F75" w:rsidTr="00943EE6">
        <w:trPr>
          <w:cantSplit/>
          <w:trHeight w:val="360"/>
        </w:trPr>
        <w:tc>
          <w:tcPr>
            <w:tcW w:w="8505" w:type="dxa"/>
            <w:gridSpan w:val="7"/>
            <w:tcBorders>
              <w:bottom w:val="single" w:sz="4" w:space="0" w:color="auto"/>
            </w:tcBorders>
          </w:tcPr>
          <w:p w:rsidR="000C50D0" w:rsidRPr="00452F75" w:rsidRDefault="000C50D0" w:rsidP="000C50D0">
            <w:pPr>
              <w:rPr>
                <w:rFonts w:ascii="Arial Narrow" w:hAnsi="Arial Narrow"/>
                <w:sz w:val="20"/>
              </w:rPr>
            </w:pP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b/>
                <w:sz w:val="20"/>
              </w:rPr>
            </w:pPr>
            <w:r w:rsidRPr="00452F75">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t>GENERAL – General Schedule (Code GE)</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Dental  </w:t>
            </w:r>
            <w:r w:rsidRPr="00452F75">
              <w:rPr>
                <w:rFonts w:ascii="Arial Narrow" w:hAnsi="Arial Narrow"/>
                <w:sz w:val="20"/>
              </w:rPr>
              <w:fldChar w:fldCharType="begin">
                <w:ffData>
                  <w:name w:val=""/>
                  <w:enabled/>
                  <w:calcOnExit w:val="0"/>
                  <w:checkBox>
                    <w:sizeAuto/>
                    <w:default w:val="1"/>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Medical Practitioners  </w:t>
            </w: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Nurse practitioners  </w:t>
            </w: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Optometrists</w:t>
            </w:r>
          </w:p>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Midwives</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b/>
                <w:sz w:val="20"/>
              </w:rPr>
            </w:pPr>
            <w:r w:rsidRPr="00452F75">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t>Unresectable Stage III or Stage IV</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b/>
                <w:sz w:val="20"/>
              </w:rPr>
            </w:pPr>
            <w:r w:rsidRPr="00452F75">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t>Malignant melanoma</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b/>
                <w:sz w:val="20"/>
              </w:rPr>
            </w:pPr>
            <w:r w:rsidRPr="00452F75">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t>Unresectable Stage III or Stage IV malignant melanoma</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b/>
                <w:sz w:val="20"/>
              </w:rPr>
            </w:pPr>
            <w:r w:rsidRPr="00452F75">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t>Initial</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943EE6">
            <w:pPr>
              <w:jc w:val="left"/>
              <w:rPr>
                <w:rFonts w:ascii="Arial Narrow" w:hAnsi="Arial Narrow"/>
                <w:sz w:val="20"/>
              </w:rPr>
            </w:pPr>
            <w:r w:rsidRPr="00452F75">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Restricted benefit</w:t>
            </w:r>
          </w:p>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In Writing</w:t>
            </w:r>
          </w:p>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Telephone</w:t>
            </w:r>
          </w:p>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Authority Required </w:t>
            </w:r>
            <w:r w:rsidR="00943EE6" w:rsidRPr="00452F75">
              <w:rPr>
                <w:rFonts w:ascii="Arial Narrow" w:hAnsi="Arial Narrow"/>
                <w:sz w:val="20"/>
              </w:rPr>
              <w:t>-</w:t>
            </w:r>
            <w:r w:rsidRPr="00452F75">
              <w:rPr>
                <w:rFonts w:ascii="Arial Narrow" w:hAnsi="Arial Narrow"/>
                <w:sz w:val="20"/>
              </w:rPr>
              <w:t xml:space="preserve"> Emergency</w:t>
            </w:r>
          </w:p>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Electronic</w:t>
            </w:r>
          </w:p>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Check5"/>
                  <w:enabled/>
                  <w:calcOnExit w:val="0"/>
                  <w:checkBox>
                    <w:sizeAuto/>
                    <w:default w:val="1"/>
                  </w:checkBox>
                </w:ffData>
              </w:fldChar>
            </w:r>
            <w:bookmarkStart w:id="3" w:name="Check5"/>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bookmarkEnd w:id="3"/>
            <w:r w:rsidRPr="00452F75">
              <w:rPr>
                <w:rFonts w:ascii="Arial Narrow" w:hAnsi="Arial Narrow"/>
                <w:sz w:val="20"/>
              </w:rPr>
              <w:t>Streamlined</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t xml:space="preserve">The condition must be positive for a </w:t>
            </w:r>
            <w:r w:rsidRPr="009544E5">
              <w:rPr>
                <w:rFonts w:ascii="Arial Narrow" w:hAnsi="Arial Narrow"/>
                <w:i/>
                <w:sz w:val="20"/>
              </w:rPr>
              <w:t>BRAF</w:t>
            </w:r>
            <w:r w:rsidRPr="00452F75">
              <w:rPr>
                <w:rFonts w:ascii="Arial Narrow" w:hAnsi="Arial Narrow"/>
                <w:sz w:val="20"/>
              </w:rPr>
              <w:t xml:space="preserve"> V600 mutation,</w:t>
            </w:r>
          </w:p>
          <w:p w:rsidR="000C50D0" w:rsidRPr="00452F75" w:rsidRDefault="000C50D0" w:rsidP="000C50D0">
            <w:pPr>
              <w:rPr>
                <w:rFonts w:ascii="Arial Narrow" w:hAnsi="Arial Narrow"/>
                <w:sz w:val="20"/>
              </w:rPr>
            </w:pPr>
            <w:r w:rsidRPr="00452F75">
              <w:rPr>
                <w:rFonts w:ascii="Arial Narrow" w:hAnsi="Arial Narrow"/>
                <w:sz w:val="20"/>
              </w:rPr>
              <w:t>AND</w:t>
            </w:r>
          </w:p>
          <w:p w:rsidR="000C50D0" w:rsidRPr="00452F75" w:rsidRDefault="000C50D0" w:rsidP="000C50D0">
            <w:pPr>
              <w:rPr>
                <w:rFonts w:ascii="Arial Narrow" w:hAnsi="Arial Narrow"/>
                <w:sz w:val="20"/>
              </w:rPr>
            </w:pPr>
            <w:r w:rsidRPr="00452F75">
              <w:rPr>
                <w:rFonts w:ascii="Arial Narrow" w:hAnsi="Arial Narrow"/>
                <w:sz w:val="20"/>
              </w:rPr>
              <w:t>Patient must be receiving PBS subsidised cobimetinib concomitantly for this condition,</w:t>
            </w:r>
          </w:p>
          <w:p w:rsidR="000C50D0" w:rsidRPr="00452F75" w:rsidRDefault="000C50D0" w:rsidP="000C50D0">
            <w:pPr>
              <w:rPr>
                <w:rFonts w:ascii="Arial Narrow" w:hAnsi="Arial Narrow"/>
                <w:sz w:val="20"/>
              </w:rPr>
            </w:pPr>
            <w:r w:rsidRPr="00452F75">
              <w:rPr>
                <w:rFonts w:ascii="Arial Narrow" w:hAnsi="Arial Narrow"/>
                <w:sz w:val="20"/>
              </w:rPr>
              <w:t>AND</w:t>
            </w:r>
          </w:p>
          <w:p w:rsidR="000C50D0" w:rsidRPr="00452F75" w:rsidRDefault="000C50D0" w:rsidP="000C50D0">
            <w:pPr>
              <w:rPr>
                <w:rFonts w:ascii="Arial Narrow" w:hAnsi="Arial Narrow"/>
                <w:sz w:val="20"/>
              </w:rPr>
            </w:pPr>
            <w:r w:rsidRPr="00452F75">
              <w:rPr>
                <w:rFonts w:ascii="Arial Narrow" w:hAnsi="Arial Narrow"/>
                <w:sz w:val="20"/>
              </w:rPr>
              <w:t>The condition must not have been treated previously with PBS subsidised therapy,</w:t>
            </w:r>
            <w:r w:rsidR="00943EE6">
              <w:rPr>
                <w:rFonts w:ascii="Arial Narrow" w:hAnsi="Arial Narrow"/>
                <w:sz w:val="20"/>
              </w:rPr>
              <w:t xml:space="preserve"> </w:t>
            </w:r>
            <w:r w:rsidRPr="00452F75">
              <w:rPr>
                <w:rFonts w:ascii="Arial Narrow" w:hAnsi="Arial Narrow"/>
                <w:sz w:val="20"/>
              </w:rPr>
              <w:t>OR</w:t>
            </w:r>
          </w:p>
          <w:p w:rsidR="000C50D0" w:rsidRPr="00452F75" w:rsidRDefault="000C50D0" w:rsidP="000C50D0">
            <w:pPr>
              <w:rPr>
                <w:rFonts w:ascii="Arial Narrow" w:hAnsi="Arial Narrow"/>
                <w:sz w:val="20"/>
              </w:rPr>
            </w:pPr>
            <w:r w:rsidRPr="00452F75">
              <w:rPr>
                <w:rFonts w:ascii="Arial Narrow" w:hAnsi="Arial Narrow"/>
                <w:sz w:val="20"/>
              </w:rPr>
              <w:t xml:space="preserve">Patient must have developed intolerance to another </w:t>
            </w:r>
            <w:r w:rsidRPr="009544E5">
              <w:rPr>
                <w:rFonts w:ascii="Arial Narrow" w:hAnsi="Arial Narrow"/>
                <w:i/>
                <w:sz w:val="20"/>
              </w:rPr>
              <w:t>BRAF</w:t>
            </w:r>
            <w:r w:rsidRPr="00452F75">
              <w:rPr>
                <w:rFonts w:ascii="Arial Narrow" w:hAnsi="Arial Narrow"/>
                <w:sz w:val="20"/>
              </w:rPr>
              <w:t xml:space="preserve"> inhibitor of a severity necessitating permanent treatment withdrawal,</w:t>
            </w:r>
          </w:p>
          <w:p w:rsidR="000C50D0" w:rsidRPr="00452F75" w:rsidRDefault="000C50D0" w:rsidP="000C50D0">
            <w:pPr>
              <w:rPr>
                <w:rFonts w:ascii="Arial Narrow" w:hAnsi="Arial Narrow"/>
                <w:sz w:val="20"/>
              </w:rPr>
            </w:pPr>
            <w:r w:rsidRPr="00452F75">
              <w:rPr>
                <w:rFonts w:ascii="Arial Narrow" w:hAnsi="Arial Narrow"/>
                <w:sz w:val="20"/>
              </w:rPr>
              <w:t>AND</w:t>
            </w:r>
          </w:p>
          <w:p w:rsidR="000C50D0" w:rsidRPr="00452F75" w:rsidRDefault="000C50D0" w:rsidP="000C50D0">
            <w:pPr>
              <w:rPr>
                <w:rFonts w:ascii="Arial Narrow" w:hAnsi="Arial Narrow"/>
                <w:sz w:val="20"/>
              </w:rPr>
            </w:pPr>
            <w:r w:rsidRPr="00452F75">
              <w:rPr>
                <w:rFonts w:ascii="Arial Narrow" w:hAnsi="Arial Narrow"/>
                <w:sz w:val="20"/>
              </w:rPr>
              <w:t>Patient must have a WHO performance status of 2 or less.</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b/>
                <w:sz w:val="20"/>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t xml:space="preserve">A patient who has had progressive disease when treated with another </w:t>
            </w:r>
            <w:r w:rsidRPr="009544E5">
              <w:rPr>
                <w:rFonts w:ascii="Arial Narrow" w:hAnsi="Arial Narrow"/>
                <w:i/>
                <w:sz w:val="20"/>
              </w:rPr>
              <w:t>BRAF</w:t>
            </w:r>
            <w:r w:rsidRPr="00452F75">
              <w:rPr>
                <w:rFonts w:ascii="Arial Narrow" w:hAnsi="Arial Narrow"/>
                <w:sz w:val="20"/>
              </w:rPr>
              <w:t xml:space="preserve"> inhibitor is not eligible to receive PBS-subsidised treatment with this drug.</w:t>
            </w:r>
          </w:p>
          <w:p w:rsidR="000C50D0" w:rsidRPr="00452F75" w:rsidRDefault="000C50D0" w:rsidP="000C50D0">
            <w:pPr>
              <w:rPr>
                <w:rFonts w:ascii="Arial Narrow" w:hAnsi="Arial Narrow"/>
                <w:sz w:val="20"/>
              </w:rPr>
            </w:pPr>
          </w:p>
          <w:p w:rsidR="000C50D0" w:rsidRPr="00452F75" w:rsidRDefault="000C50D0" w:rsidP="000C50D0">
            <w:pPr>
              <w:rPr>
                <w:rFonts w:ascii="Arial Narrow" w:hAnsi="Arial Narrow"/>
                <w:sz w:val="20"/>
              </w:rPr>
            </w:pPr>
            <w:r w:rsidRPr="00452F75">
              <w:rPr>
                <w:rFonts w:ascii="Arial Narrow" w:hAnsi="Arial Narrow"/>
                <w:sz w:val="20"/>
              </w:rPr>
              <w:t>No increase in the maximum quantity or number of units may be authorised.</w:t>
            </w:r>
          </w:p>
          <w:p w:rsidR="000C50D0" w:rsidRPr="00452F75" w:rsidRDefault="000C50D0" w:rsidP="000C50D0">
            <w:pPr>
              <w:rPr>
                <w:rFonts w:ascii="Arial Narrow" w:hAnsi="Arial Narrow"/>
                <w:sz w:val="20"/>
              </w:rPr>
            </w:pPr>
          </w:p>
          <w:p w:rsidR="000C50D0" w:rsidRPr="00452F75" w:rsidRDefault="000C50D0" w:rsidP="000C50D0">
            <w:pPr>
              <w:rPr>
                <w:rFonts w:ascii="Arial Narrow" w:hAnsi="Arial Narrow"/>
                <w:sz w:val="20"/>
              </w:rPr>
            </w:pPr>
            <w:r w:rsidRPr="00452F75">
              <w:rPr>
                <w:rFonts w:ascii="Arial Narrow" w:hAnsi="Arial Narrow"/>
                <w:sz w:val="20"/>
              </w:rPr>
              <w:t>No increase in the maximum number of repeats may be authorised.</w:t>
            </w:r>
          </w:p>
          <w:p w:rsidR="000C50D0" w:rsidRPr="00452F75" w:rsidRDefault="000C50D0" w:rsidP="000C50D0">
            <w:pPr>
              <w:rPr>
                <w:rFonts w:ascii="Arial Narrow" w:hAnsi="Arial Narrow"/>
                <w:sz w:val="20"/>
              </w:rPr>
            </w:pPr>
          </w:p>
          <w:p w:rsidR="000C50D0" w:rsidRPr="00452F75" w:rsidRDefault="000C50D0" w:rsidP="000C50D0">
            <w:pPr>
              <w:rPr>
                <w:rFonts w:ascii="Arial Narrow" w:hAnsi="Arial Narrow"/>
                <w:sz w:val="20"/>
              </w:rPr>
            </w:pPr>
            <w:r w:rsidRPr="00452F75">
              <w:rPr>
                <w:rFonts w:ascii="Arial Narrow" w:hAnsi="Arial Narrow"/>
                <w:sz w:val="20"/>
              </w:rPr>
              <w:t>Special Pricing Arrangements apply.</w:t>
            </w:r>
          </w:p>
        </w:tc>
      </w:tr>
    </w:tbl>
    <w:p w:rsidR="000C50D0" w:rsidRPr="00452F75" w:rsidRDefault="000C50D0" w:rsidP="000C50D0">
      <w:pPr>
        <w:rPr>
          <w:szCs w:val="22"/>
        </w:rPr>
      </w:pPr>
    </w:p>
    <w:p w:rsidR="00B7251C" w:rsidRPr="00452F75" w:rsidRDefault="00B7251C" w:rsidP="000C50D0">
      <w:pPr>
        <w:rPr>
          <w:szCs w:val="22"/>
        </w:rPr>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0C50D0" w:rsidRPr="00452F75" w:rsidTr="00943EE6">
        <w:trPr>
          <w:cantSplit/>
          <w:trHeight w:val="471"/>
        </w:trPr>
        <w:tc>
          <w:tcPr>
            <w:tcW w:w="2552" w:type="dxa"/>
            <w:gridSpan w:val="2"/>
            <w:tcBorders>
              <w:bottom w:val="single" w:sz="4" w:space="0" w:color="auto"/>
            </w:tcBorders>
          </w:tcPr>
          <w:p w:rsidR="000C50D0" w:rsidRPr="00452F75" w:rsidRDefault="000C50D0" w:rsidP="000C50D0">
            <w:pPr>
              <w:keepNext/>
              <w:ind w:left="-108"/>
              <w:rPr>
                <w:rFonts w:ascii="Arial Narrow" w:hAnsi="Arial Narrow"/>
                <w:sz w:val="20"/>
              </w:rPr>
            </w:pPr>
            <w:r w:rsidRPr="00452F75">
              <w:rPr>
                <w:rFonts w:ascii="Arial Narrow" w:hAnsi="Arial Narrow"/>
                <w:sz w:val="20"/>
              </w:rPr>
              <w:t>Name, Restriction,</w:t>
            </w:r>
          </w:p>
          <w:p w:rsidR="000C50D0" w:rsidRPr="00452F75" w:rsidRDefault="000C50D0" w:rsidP="000C50D0">
            <w:pPr>
              <w:keepNext/>
              <w:ind w:left="-108"/>
              <w:rPr>
                <w:rFonts w:ascii="Arial Narrow" w:hAnsi="Arial Narrow"/>
                <w:sz w:val="20"/>
              </w:rPr>
            </w:pPr>
            <w:r w:rsidRPr="00452F75">
              <w:rPr>
                <w:rFonts w:ascii="Arial Narrow" w:hAnsi="Arial Narrow"/>
                <w:sz w:val="20"/>
              </w:rPr>
              <w:t>Manner of administration and form</w:t>
            </w:r>
          </w:p>
        </w:tc>
        <w:tc>
          <w:tcPr>
            <w:tcW w:w="567" w:type="dxa"/>
            <w:tcBorders>
              <w:bottom w:val="single" w:sz="4" w:space="0" w:color="auto"/>
            </w:tcBorders>
          </w:tcPr>
          <w:p w:rsidR="000C50D0" w:rsidRPr="00452F75" w:rsidRDefault="000C50D0" w:rsidP="000C50D0">
            <w:pPr>
              <w:keepNext/>
              <w:ind w:left="-108"/>
              <w:rPr>
                <w:rFonts w:ascii="Arial Narrow" w:hAnsi="Arial Narrow"/>
                <w:sz w:val="20"/>
              </w:rPr>
            </w:pPr>
            <w:r w:rsidRPr="00452F75">
              <w:rPr>
                <w:rFonts w:ascii="Arial Narrow" w:hAnsi="Arial Narrow"/>
                <w:sz w:val="20"/>
              </w:rPr>
              <w:t>Max.</w:t>
            </w:r>
          </w:p>
          <w:p w:rsidR="000C50D0" w:rsidRPr="00452F75" w:rsidRDefault="000C50D0" w:rsidP="000C50D0">
            <w:pPr>
              <w:keepNext/>
              <w:ind w:left="-108"/>
              <w:rPr>
                <w:rFonts w:ascii="Arial Narrow" w:hAnsi="Arial Narrow"/>
                <w:sz w:val="20"/>
              </w:rPr>
            </w:pPr>
            <w:r w:rsidRPr="00452F75">
              <w:rPr>
                <w:rFonts w:ascii="Arial Narrow" w:hAnsi="Arial Narrow"/>
                <w:sz w:val="20"/>
              </w:rPr>
              <w:t>Qty</w:t>
            </w:r>
          </w:p>
        </w:tc>
        <w:tc>
          <w:tcPr>
            <w:tcW w:w="850" w:type="dxa"/>
            <w:tcBorders>
              <w:bottom w:val="single" w:sz="4" w:space="0" w:color="auto"/>
            </w:tcBorders>
          </w:tcPr>
          <w:p w:rsidR="000C50D0" w:rsidRPr="00452F75" w:rsidRDefault="000C50D0" w:rsidP="000C50D0">
            <w:pPr>
              <w:keepNext/>
              <w:ind w:left="-108"/>
              <w:rPr>
                <w:rFonts w:ascii="Arial Narrow" w:hAnsi="Arial Narrow"/>
                <w:sz w:val="20"/>
              </w:rPr>
            </w:pPr>
            <w:r w:rsidRPr="00452F75">
              <w:rPr>
                <w:rFonts w:ascii="Arial Narrow" w:hAnsi="Arial Narrow"/>
                <w:sz w:val="20"/>
              </w:rPr>
              <w:t>№.of</w:t>
            </w:r>
          </w:p>
          <w:p w:rsidR="000C50D0" w:rsidRPr="00452F75" w:rsidRDefault="000C50D0" w:rsidP="000C50D0">
            <w:pPr>
              <w:keepNext/>
              <w:ind w:left="-108"/>
              <w:rPr>
                <w:rFonts w:ascii="Arial Narrow" w:hAnsi="Arial Narrow"/>
                <w:sz w:val="20"/>
              </w:rPr>
            </w:pPr>
            <w:r w:rsidRPr="00452F75">
              <w:rPr>
                <w:rFonts w:ascii="Arial Narrow" w:hAnsi="Arial Narrow"/>
                <w:sz w:val="20"/>
              </w:rPr>
              <w:t>Rpts</w:t>
            </w:r>
          </w:p>
        </w:tc>
        <w:tc>
          <w:tcPr>
            <w:tcW w:w="1701" w:type="dxa"/>
            <w:tcBorders>
              <w:bottom w:val="single" w:sz="4" w:space="0" w:color="auto"/>
            </w:tcBorders>
          </w:tcPr>
          <w:p w:rsidR="000C50D0" w:rsidRPr="00452F75" w:rsidRDefault="000C50D0" w:rsidP="000C50D0">
            <w:pPr>
              <w:keepNext/>
              <w:ind w:left="-108"/>
              <w:rPr>
                <w:rFonts w:ascii="Arial Narrow" w:hAnsi="Arial Narrow"/>
                <w:sz w:val="20"/>
              </w:rPr>
            </w:pPr>
            <w:r w:rsidRPr="00452F75">
              <w:rPr>
                <w:rFonts w:ascii="Arial Narrow" w:hAnsi="Arial Narrow"/>
                <w:sz w:val="20"/>
              </w:rPr>
              <w:t>Dispensed Price for Max. Qty</w:t>
            </w:r>
          </w:p>
        </w:tc>
        <w:tc>
          <w:tcPr>
            <w:tcW w:w="2835" w:type="dxa"/>
            <w:gridSpan w:val="2"/>
            <w:tcBorders>
              <w:bottom w:val="single" w:sz="4" w:space="0" w:color="auto"/>
            </w:tcBorders>
          </w:tcPr>
          <w:p w:rsidR="000C50D0" w:rsidRPr="00452F75" w:rsidRDefault="000C50D0" w:rsidP="000C50D0">
            <w:pPr>
              <w:keepNext/>
              <w:rPr>
                <w:rFonts w:ascii="Arial Narrow" w:hAnsi="Arial Narrow"/>
                <w:sz w:val="20"/>
                <w:lang w:val="fr-FR"/>
              </w:rPr>
            </w:pPr>
            <w:r w:rsidRPr="00452F75">
              <w:rPr>
                <w:rFonts w:ascii="Arial Narrow" w:hAnsi="Arial Narrow"/>
                <w:sz w:val="20"/>
              </w:rPr>
              <w:t>Proprietary Name and Manufacturer</w:t>
            </w:r>
          </w:p>
        </w:tc>
      </w:tr>
      <w:tr w:rsidR="000C50D0" w:rsidRPr="00452F75" w:rsidTr="00943EE6">
        <w:trPr>
          <w:cantSplit/>
          <w:trHeight w:val="577"/>
        </w:trPr>
        <w:tc>
          <w:tcPr>
            <w:tcW w:w="2552" w:type="dxa"/>
            <w:gridSpan w:val="2"/>
          </w:tcPr>
          <w:p w:rsidR="000C50D0" w:rsidRPr="00452F75" w:rsidRDefault="000C50D0" w:rsidP="000C50D0">
            <w:pPr>
              <w:keepNext/>
              <w:ind w:left="-108"/>
              <w:rPr>
                <w:rFonts w:ascii="Arial Narrow" w:hAnsi="Arial Narrow"/>
                <w:sz w:val="20"/>
              </w:rPr>
            </w:pPr>
            <w:r w:rsidRPr="00452F75">
              <w:rPr>
                <w:rFonts w:ascii="Arial Narrow" w:hAnsi="Arial Narrow"/>
                <w:smallCaps/>
                <w:sz w:val="20"/>
              </w:rPr>
              <w:t>vemurafenib</w:t>
            </w:r>
          </w:p>
          <w:p w:rsidR="000C50D0" w:rsidRPr="00452F75" w:rsidRDefault="000C50D0" w:rsidP="000C50D0">
            <w:pPr>
              <w:keepNext/>
              <w:ind w:left="-108"/>
              <w:rPr>
                <w:rFonts w:ascii="Arial Narrow" w:hAnsi="Arial Narrow"/>
                <w:sz w:val="20"/>
              </w:rPr>
            </w:pPr>
            <w:r w:rsidRPr="00452F75">
              <w:rPr>
                <w:rFonts w:ascii="Arial Narrow" w:hAnsi="Arial Narrow"/>
                <w:sz w:val="20"/>
              </w:rPr>
              <w:t>240 mg tablet, 56</w:t>
            </w:r>
          </w:p>
        </w:tc>
        <w:tc>
          <w:tcPr>
            <w:tcW w:w="567" w:type="dxa"/>
          </w:tcPr>
          <w:p w:rsidR="000C50D0" w:rsidRPr="00452F75" w:rsidRDefault="000C50D0" w:rsidP="000C50D0">
            <w:pPr>
              <w:keepNext/>
              <w:ind w:left="-108"/>
              <w:rPr>
                <w:rFonts w:ascii="Arial Narrow" w:hAnsi="Arial Narrow"/>
                <w:sz w:val="20"/>
              </w:rPr>
            </w:pPr>
          </w:p>
          <w:p w:rsidR="000C50D0" w:rsidRPr="00452F75" w:rsidRDefault="000C50D0" w:rsidP="000C50D0">
            <w:pPr>
              <w:keepNext/>
              <w:ind w:left="-108"/>
              <w:rPr>
                <w:rFonts w:ascii="Arial Narrow" w:hAnsi="Arial Narrow"/>
                <w:sz w:val="20"/>
              </w:rPr>
            </w:pPr>
            <w:r w:rsidRPr="00452F75">
              <w:rPr>
                <w:rFonts w:ascii="Arial Narrow" w:hAnsi="Arial Narrow"/>
                <w:sz w:val="20"/>
              </w:rPr>
              <w:t>4</w:t>
            </w:r>
          </w:p>
        </w:tc>
        <w:tc>
          <w:tcPr>
            <w:tcW w:w="850" w:type="dxa"/>
          </w:tcPr>
          <w:p w:rsidR="000C50D0" w:rsidRPr="00452F75" w:rsidRDefault="000C50D0" w:rsidP="000C50D0">
            <w:pPr>
              <w:keepNext/>
              <w:ind w:left="-108"/>
              <w:rPr>
                <w:rFonts w:ascii="Arial Narrow" w:hAnsi="Arial Narrow"/>
                <w:sz w:val="20"/>
              </w:rPr>
            </w:pPr>
          </w:p>
          <w:p w:rsidR="000C50D0" w:rsidRPr="00452F75" w:rsidRDefault="000C50D0" w:rsidP="000C50D0">
            <w:pPr>
              <w:keepNext/>
              <w:ind w:left="-108"/>
              <w:rPr>
                <w:rFonts w:ascii="Arial Narrow" w:hAnsi="Arial Narrow"/>
                <w:sz w:val="20"/>
              </w:rPr>
            </w:pPr>
            <w:r w:rsidRPr="00452F75">
              <w:rPr>
                <w:rFonts w:ascii="Arial Narrow" w:hAnsi="Arial Narrow"/>
                <w:sz w:val="20"/>
              </w:rPr>
              <w:t>5</w:t>
            </w:r>
          </w:p>
        </w:tc>
        <w:tc>
          <w:tcPr>
            <w:tcW w:w="1701" w:type="dxa"/>
          </w:tcPr>
          <w:p w:rsidR="000C50D0" w:rsidRPr="00452F75" w:rsidRDefault="000C50D0" w:rsidP="000C50D0">
            <w:pPr>
              <w:keepNext/>
              <w:ind w:left="-108"/>
              <w:rPr>
                <w:rFonts w:ascii="Arial Narrow" w:hAnsi="Arial Narrow"/>
                <w:sz w:val="20"/>
              </w:rPr>
            </w:pPr>
          </w:p>
          <w:p w:rsidR="000C50D0" w:rsidRPr="00452F75" w:rsidRDefault="000C50D0" w:rsidP="000C50D0">
            <w:pPr>
              <w:keepNext/>
              <w:ind w:left="-108"/>
              <w:rPr>
                <w:rFonts w:ascii="Arial Narrow" w:hAnsi="Arial Narrow"/>
                <w:sz w:val="20"/>
              </w:rPr>
            </w:pPr>
            <w:r w:rsidRPr="00452F75">
              <w:rPr>
                <w:rFonts w:ascii="Arial Narrow" w:hAnsi="Arial Narrow"/>
                <w:sz w:val="20"/>
              </w:rPr>
              <w:t>$</w:t>
            </w:r>
            <w:r w:rsidR="00A7393F">
              <w:rPr>
                <w:rFonts w:ascii="Arial Narrow" w:hAnsi="Arial Narrow"/>
                <w:noProof/>
                <w:color w:val="000000"/>
                <w:sz w:val="20"/>
                <w:highlight w:val="black"/>
              </w:rPr>
              <w:t>''''''''''''''''''''</w:t>
            </w:r>
          </w:p>
        </w:tc>
        <w:tc>
          <w:tcPr>
            <w:tcW w:w="1559" w:type="dxa"/>
          </w:tcPr>
          <w:p w:rsidR="000C50D0" w:rsidRPr="00452F75" w:rsidRDefault="000C50D0" w:rsidP="000C50D0">
            <w:pPr>
              <w:rPr>
                <w:rFonts w:ascii="Arial Narrow" w:hAnsi="Arial Narrow"/>
                <w:sz w:val="20"/>
              </w:rPr>
            </w:pPr>
          </w:p>
          <w:p w:rsidR="000C50D0" w:rsidRPr="00452F75" w:rsidRDefault="000C50D0" w:rsidP="000C50D0">
            <w:pPr>
              <w:rPr>
                <w:rFonts w:ascii="Arial Narrow" w:hAnsi="Arial Narrow"/>
                <w:sz w:val="20"/>
              </w:rPr>
            </w:pPr>
            <w:r w:rsidRPr="00452F75">
              <w:rPr>
                <w:rFonts w:ascii="Arial Narrow" w:hAnsi="Arial Narrow"/>
                <w:sz w:val="20"/>
              </w:rPr>
              <w:t>ZELBORAF</w:t>
            </w:r>
          </w:p>
        </w:tc>
        <w:tc>
          <w:tcPr>
            <w:tcW w:w="1276" w:type="dxa"/>
          </w:tcPr>
          <w:p w:rsidR="000C50D0" w:rsidRPr="00452F75" w:rsidRDefault="000C50D0" w:rsidP="000C50D0">
            <w:pPr>
              <w:rPr>
                <w:rFonts w:ascii="Arial Narrow" w:hAnsi="Arial Narrow"/>
                <w:sz w:val="20"/>
              </w:rPr>
            </w:pPr>
            <w:r w:rsidRPr="00452F75">
              <w:rPr>
                <w:rFonts w:ascii="Arial Narrow" w:hAnsi="Arial Narrow"/>
                <w:sz w:val="20"/>
              </w:rPr>
              <w:t>Roche Products Pty Limited</w:t>
            </w:r>
          </w:p>
        </w:tc>
      </w:tr>
      <w:tr w:rsidR="000C50D0" w:rsidRPr="00452F75" w:rsidTr="00943EE6">
        <w:trPr>
          <w:cantSplit/>
          <w:trHeight w:val="360"/>
        </w:trPr>
        <w:tc>
          <w:tcPr>
            <w:tcW w:w="8505" w:type="dxa"/>
            <w:gridSpan w:val="7"/>
            <w:tcBorders>
              <w:bottom w:val="single" w:sz="4" w:space="0" w:color="auto"/>
            </w:tcBorders>
          </w:tcPr>
          <w:p w:rsidR="000C50D0" w:rsidRPr="00452F75" w:rsidRDefault="000C50D0" w:rsidP="000C50D0">
            <w:pPr>
              <w:rPr>
                <w:rFonts w:ascii="Arial Narrow" w:hAnsi="Arial Narrow"/>
                <w:sz w:val="20"/>
              </w:rPr>
            </w:pP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b/>
                <w:sz w:val="20"/>
              </w:rPr>
            </w:pPr>
            <w:r w:rsidRPr="00452F75">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t>GENERAL – General Schedule (Code GE)</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Dental  </w:t>
            </w:r>
            <w:r w:rsidRPr="00452F75">
              <w:rPr>
                <w:rFonts w:ascii="Arial Narrow" w:hAnsi="Arial Narrow"/>
                <w:sz w:val="20"/>
              </w:rPr>
              <w:fldChar w:fldCharType="begin">
                <w:ffData>
                  <w:name w:val=""/>
                  <w:enabled/>
                  <w:calcOnExit w:val="0"/>
                  <w:checkBox>
                    <w:sizeAuto/>
                    <w:default w:val="1"/>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Medical Practitioners  </w:t>
            </w: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Nurse practitioners  </w:t>
            </w: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Optometrists</w:t>
            </w:r>
          </w:p>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Midwives</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b/>
                <w:sz w:val="20"/>
              </w:rPr>
            </w:pPr>
            <w:r w:rsidRPr="00452F75">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t>Unresectable Stage III or Stage IV</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b/>
                <w:sz w:val="20"/>
              </w:rPr>
            </w:pPr>
            <w:r w:rsidRPr="00452F75">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t>Malignant melanoma</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b/>
                <w:sz w:val="20"/>
              </w:rPr>
            </w:pPr>
            <w:r w:rsidRPr="00452F75">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t>Unresectable Stage III or Stage IV malignant melanoma</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b/>
                <w:sz w:val="20"/>
              </w:rPr>
            </w:pPr>
            <w:r w:rsidRPr="00452F75">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t>Continuing</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943EE6">
            <w:pPr>
              <w:jc w:val="left"/>
              <w:rPr>
                <w:rFonts w:ascii="Arial Narrow" w:hAnsi="Arial Narrow"/>
                <w:sz w:val="20"/>
              </w:rPr>
            </w:pPr>
            <w:r w:rsidRPr="00452F75">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Restricted benefit</w:t>
            </w:r>
          </w:p>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In Writing</w:t>
            </w:r>
          </w:p>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Telephone</w:t>
            </w:r>
          </w:p>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Authority Required </w:t>
            </w:r>
            <w:r w:rsidR="00943EE6" w:rsidRPr="00452F75">
              <w:rPr>
                <w:rFonts w:ascii="Arial Narrow" w:hAnsi="Arial Narrow"/>
                <w:sz w:val="20"/>
              </w:rPr>
              <w:t>-</w:t>
            </w:r>
            <w:r w:rsidRPr="00452F75">
              <w:rPr>
                <w:rFonts w:ascii="Arial Narrow" w:hAnsi="Arial Narrow"/>
                <w:sz w:val="20"/>
              </w:rPr>
              <w:t xml:space="preserve"> Emergency</w:t>
            </w:r>
          </w:p>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Electronic</w:t>
            </w:r>
          </w:p>
          <w:p w:rsidR="000C50D0" w:rsidRPr="00452F75" w:rsidRDefault="000C50D0" w:rsidP="000C50D0">
            <w:pPr>
              <w:rPr>
                <w:rFonts w:ascii="Arial Narrow" w:hAnsi="Arial Narrow"/>
                <w:sz w:val="20"/>
              </w:rPr>
            </w:pPr>
            <w:r w:rsidRPr="00452F75">
              <w:rPr>
                <w:rFonts w:ascii="Arial Narrow" w:hAnsi="Arial Narrow"/>
                <w:sz w:val="20"/>
              </w:rPr>
              <w:fldChar w:fldCharType="begin">
                <w:ffData>
                  <w:name w:val="Check5"/>
                  <w:enabled/>
                  <w:calcOnExit w:val="0"/>
                  <w:checkBox>
                    <w:sizeAuto/>
                    <w:default w:val="1"/>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Streamlined</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t>Patient must have previously been issued with an authority prescription for this drug,</w:t>
            </w:r>
          </w:p>
          <w:p w:rsidR="000C50D0" w:rsidRPr="00452F75" w:rsidRDefault="000C50D0" w:rsidP="000C50D0">
            <w:pPr>
              <w:rPr>
                <w:rFonts w:ascii="Arial Narrow" w:hAnsi="Arial Narrow"/>
                <w:sz w:val="20"/>
              </w:rPr>
            </w:pPr>
            <w:r w:rsidRPr="00452F75">
              <w:rPr>
                <w:rFonts w:ascii="Arial Narrow" w:hAnsi="Arial Narrow"/>
                <w:sz w:val="20"/>
              </w:rPr>
              <w:t>AND</w:t>
            </w:r>
          </w:p>
          <w:p w:rsidR="000C50D0" w:rsidRPr="00452F75" w:rsidRDefault="000C50D0" w:rsidP="000C50D0">
            <w:pPr>
              <w:rPr>
                <w:rFonts w:ascii="Arial Narrow" w:hAnsi="Arial Narrow"/>
                <w:sz w:val="20"/>
              </w:rPr>
            </w:pPr>
            <w:r w:rsidRPr="00452F75">
              <w:rPr>
                <w:rFonts w:ascii="Arial Narrow" w:hAnsi="Arial Narrow"/>
                <w:sz w:val="20"/>
              </w:rPr>
              <w:t>Patient must have stable or responding disease.</w:t>
            </w:r>
          </w:p>
        </w:tc>
      </w:tr>
      <w:tr w:rsidR="000C50D0"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0C50D0" w:rsidRPr="00452F75" w:rsidRDefault="000C50D0" w:rsidP="000C50D0">
            <w:pPr>
              <w:rPr>
                <w:rFonts w:ascii="Arial Narrow" w:hAnsi="Arial Narrow"/>
                <w:sz w:val="20"/>
              </w:rPr>
            </w:pPr>
            <w:r w:rsidRPr="00452F75">
              <w:rPr>
                <w:rFonts w:ascii="Arial Narrow" w:hAnsi="Arial Narrow"/>
                <w:sz w:val="20"/>
              </w:rPr>
              <w:t>A patient who has had progressive disease when treated with this drug is no longer eligible for PBS subsidised treatment with this drug.</w:t>
            </w:r>
          </w:p>
          <w:p w:rsidR="000C50D0" w:rsidRPr="00452F75" w:rsidRDefault="000C50D0" w:rsidP="000C50D0">
            <w:pPr>
              <w:rPr>
                <w:rFonts w:ascii="Arial Narrow" w:hAnsi="Arial Narrow"/>
                <w:sz w:val="20"/>
              </w:rPr>
            </w:pPr>
          </w:p>
          <w:p w:rsidR="000C50D0" w:rsidRPr="00452F75" w:rsidRDefault="000C50D0" w:rsidP="000C50D0">
            <w:pPr>
              <w:rPr>
                <w:rFonts w:ascii="Arial Narrow" w:hAnsi="Arial Narrow"/>
                <w:sz w:val="20"/>
              </w:rPr>
            </w:pPr>
            <w:r w:rsidRPr="00452F75">
              <w:rPr>
                <w:rFonts w:ascii="Arial Narrow" w:hAnsi="Arial Narrow"/>
                <w:sz w:val="20"/>
              </w:rPr>
              <w:t>No increase in the maximum quantity or number of units may be authorised.</w:t>
            </w:r>
          </w:p>
          <w:p w:rsidR="000C50D0" w:rsidRPr="00452F75" w:rsidRDefault="000C50D0" w:rsidP="000C50D0">
            <w:pPr>
              <w:rPr>
                <w:rFonts w:ascii="Arial Narrow" w:hAnsi="Arial Narrow"/>
                <w:sz w:val="20"/>
              </w:rPr>
            </w:pPr>
          </w:p>
          <w:p w:rsidR="000C50D0" w:rsidRPr="00452F75" w:rsidRDefault="000C50D0" w:rsidP="000C50D0">
            <w:pPr>
              <w:rPr>
                <w:rFonts w:ascii="Arial Narrow" w:hAnsi="Arial Narrow"/>
                <w:sz w:val="20"/>
              </w:rPr>
            </w:pPr>
            <w:r w:rsidRPr="00452F75">
              <w:rPr>
                <w:rFonts w:ascii="Arial Narrow" w:hAnsi="Arial Narrow"/>
                <w:sz w:val="20"/>
              </w:rPr>
              <w:t>No increase in the maximum number of repeats may be authorised.</w:t>
            </w:r>
          </w:p>
          <w:p w:rsidR="000C50D0" w:rsidRPr="00452F75" w:rsidRDefault="000C50D0" w:rsidP="000C50D0">
            <w:pPr>
              <w:rPr>
                <w:rFonts w:ascii="Arial Narrow" w:hAnsi="Arial Narrow"/>
                <w:sz w:val="20"/>
              </w:rPr>
            </w:pPr>
          </w:p>
          <w:p w:rsidR="000C50D0" w:rsidRPr="00452F75" w:rsidRDefault="000C50D0" w:rsidP="000C50D0">
            <w:pPr>
              <w:rPr>
                <w:rFonts w:ascii="Arial Narrow" w:hAnsi="Arial Narrow"/>
                <w:sz w:val="20"/>
              </w:rPr>
            </w:pPr>
            <w:r w:rsidRPr="00452F75">
              <w:rPr>
                <w:rFonts w:ascii="Arial Narrow" w:hAnsi="Arial Narrow"/>
                <w:sz w:val="20"/>
              </w:rPr>
              <w:t>Special Pricing Arrangements apply.</w:t>
            </w:r>
          </w:p>
        </w:tc>
      </w:tr>
    </w:tbl>
    <w:p w:rsidR="00186AD2" w:rsidRPr="00452F75" w:rsidRDefault="00186AD2" w:rsidP="00B23CB9"/>
    <w:p w:rsidR="00B7251C" w:rsidRPr="00452F75" w:rsidRDefault="00B7251C" w:rsidP="00B23CB9"/>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B7251C" w:rsidRPr="00452F75" w:rsidTr="00943EE6">
        <w:trPr>
          <w:cantSplit/>
          <w:trHeight w:val="471"/>
        </w:trPr>
        <w:tc>
          <w:tcPr>
            <w:tcW w:w="2552" w:type="dxa"/>
            <w:gridSpan w:val="2"/>
            <w:tcBorders>
              <w:bottom w:val="single" w:sz="4" w:space="0" w:color="auto"/>
            </w:tcBorders>
          </w:tcPr>
          <w:p w:rsidR="00B7251C" w:rsidRPr="00452F75" w:rsidRDefault="00B7251C" w:rsidP="00452F75">
            <w:pPr>
              <w:keepNext/>
              <w:ind w:left="-108"/>
              <w:rPr>
                <w:rFonts w:ascii="Arial Narrow" w:hAnsi="Arial Narrow"/>
                <w:sz w:val="20"/>
              </w:rPr>
            </w:pPr>
            <w:r w:rsidRPr="00452F75">
              <w:rPr>
                <w:rFonts w:ascii="Arial Narrow" w:hAnsi="Arial Narrow"/>
                <w:sz w:val="20"/>
              </w:rPr>
              <w:t>Name, Restriction,</w:t>
            </w:r>
          </w:p>
          <w:p w:rsidR="00B7251C" w:rsidRPr="00452F75" w:rsidRDefault="00B7251C" w:rsidP="00452F75">
            <w:pPr>
              <w:keepNext/>
              <w:ind w:left="-108"/>
              <w:rPr>
                <w:rFonts w:ascii="Arial Narrow" w:hAnsi="Arial Narrow"/>
                <w:sz w:val="20"/>
              </w:rPr>
            </w:pPr>
            <w:r w:rsidRPr="00452F75">
              <w:rPr>
                <w:rFonts w:ascii="Arial Narrow" w:hAnsi="Arial Narrow"/>
                <w:sz w:val="20"/>
              </w:rPr>
              <w:t>Manner of administration and form</w:t>
            </w:r>
          </w:p>
        </w:tc>
        <w:tc>
          <w:tcPr>
            <w:tcW w:w="567" w:type="dxa"/>
            <w:tcBorders>
              <w:bottom w:val="single" w:sz="4" w:space="0" w:color="auto"/>
            </w:tcBorders>
          </w:tcPr>
          <w:p w:rsidR="00B7251C" w:rsidRPr="00452F75" w:rsidRDefault="00B7251C" w:rsidP="00452F75">
            <w:pPr>
              <w:keepNext/>
              <w:ind w:left="-108"/>
              <w:rPr>
                <w:rFonts w:ascii="Arial Narrow" w:hAnsi="Arial Narrow"/>
                <w:sz w:val="20"/>
              </w:rPr>
            </w:pPr>
            <w:r w:rsidRPr="00452F75">
              <w:rPr>
                <w:rFonts w:ascii="Arial Narrow" w:hAnsi="Arial Narrow"/>
                <w:sz w:val="20"/>
              </w:rPr>
              <w:t>Max.</w:t>
            </w:r>
          </w:p>
          <w:p w:rsidR="00B7251C" w:rsidRPr="00452F75" w:rsidRDefault="00B7251C" w:rsidP="00452F75">
            <w:pPr>
              <w:keepNext/>
              <w:ind w:left="-108"/>
              <w:rPr>
                <w:rFonts w:ascii="Arial Narrow" w:hAnsi="Arial Narrow"/>
                <w:sz w:val="20"/>
              </w:rPr>
            </w:pPr>
            <w:r w:rsidRPr="00452F75">
              <w:rPr>
                <w:rFonts w:ascii="Arial Narrow" w:hAnsi="Arial Narrow"/>
                <w:sz w:val="20"/>
              </w:rPr>
              <w:t>Qty</w:t>
            </w:r>
          </w:p>
        </w:tc>
        <w:tc>
          <w:tcPr>
            <w:tcW w:w="850" w:type="dxa"/>
            <w:tcBorders>
              <w:bottom w:val="single" w:sz="4" w:space="0" w:color="auto"/>
            </w:tcBorders>
          </w:tcPr>
          <w:p w:rsidR="00B7251C" w:rsidRPr="00452F75" w:rsidRDefault="00B7251C" w:rsidP="00452F75">
            <w:pPr>
              <w:keepNext/>
              <w:ind w:left="-108"/>
              <w:rPr>
                <w:rFonts w:ascii="Arial Narrow" w:hAnsi="Arial Narrow"/>
                <w:sz w:val="20"/>
              </w:rPr>
            </w:pPr>
            <w:r w:rsidRPr="00452F75">
              <w:rPr>
                <w:rFonts w:ascii="Arial Narrow" w:hAnsi="Arial Narrow"/>
                <w:sz w:val="20"/>
              </w:rPr>
              <w:t>№.of</w:t>
            </w:r>
          </w:p>
          <w:p w:rsidR="00B7251C" w:rsidRPr="00452F75" w:rsidRDefault="00B7251C" w:rsidP="00452F75">
            <w:pPr>
              <w:keepNext/>
              <w:ind w:left="-108"/>
              <w:rPr>
                <w:rFonts w:ascii="Arial Narrow" w:hAnsi="Arial Narrow"/>
                <w:sz w:val="20"/>
              </w:rPr>
            </w:pPr>
            <w:r w:rsidRPr="00452F75">
              <w:rPr>
                <w:rFonts w:ascii="Arial Narrow" w:hAnsi="Arial Narrow"/>
                <w:sz w:val="20"/>
              </w:rPr>
              <w:t>Rpts</w:t>
            </w:r>
          </w:p>
        </w:tc>
        <w:tc>
          <w:tcPr>
            <w:tcW w:w="1701" w:type="dxa"/>
            <w:tcBorders>
              <w:bottom w:val="single" w:sz="4" w:space="0" w:color="auto"/>
            </w:tcBorders>
          </w:tcPr>
          <w:p w:rsidR="00B7251C" w:rsidRPr="00452F75" w:rsidRDefault="00B7251C" w:rsidP="00452F75">
            <w:pPr>
              <w:keepNext/>
              <w:ind w:left="-108"/>
              <w:rPr>
                <w:rFonts w:ascii="Arial Narrow" w:hAnsi="Arial Narrow"/>
                <w:sz w:val="20"/>
              </w:rPr>
            </w:pPr>
            <w:r w:rsidRPr="00452F75">
              <w:rPr>
                <w:rFonts w:ascii="Arial Narrow" w:hAnsi="Arial Narrow"/>
                <w:sz w:val="20"/>
              </w:rPr>
              <w:t>Dispensed Price for Max. Qty</w:t>
            </w:r>
          </w:p>
        </w:tc>
        <w:tc>
          <w:tcPr>
            <w:tcW w:w="2835" w:type="dxa"/>
            <w:gridSpan w:val="2"/>
            <w:tcBorders>
              <w:bottom w:val="single" w:sz="4" w:space="0" w:color="auto"/>
            </w:tcBorders>
          </w:tcPr>
          <w:p w:rsidR="00B7251C" w:rsidRPr="00452F75" w:rsidRDefault="00B7251C" w:rsidP="00452F75">
            <w:pPr>
              <w:keepNext/>
              <w:rPr>
                <w:rFonts w:ascii="Arial Narrow" w:hAnsi="Arial Narrow"/>
                <w:sz w:val="20"/>
              </w:rPr>
            </w:pPr>
            <w:r w:rsidRPr="00452F75">
              <w:rPr>
                <w:rFonts w:ascii="Arial Narrow" w:hAnsi="Arial Narrow"/>
                <w:sz w:val="20"/>
              </w:rPr>
              <w:t>Proprietary Name and Manufacturer</w:t>
            </w:r>
          </w:p>
        </w:tc>
      </w:tr>
      <w:tr w:rsidR="00B7251C" w:rsidRPr="00452F75" w:rsidTr="00943EE6">
        <w:trPr>
          <w:cantSplit/>
          <w:trHeight w:val="577"/>
        </w:trPr>
        <w:tc>
          <w:tcPr>
            <w:tcW w:w="2552" w:type="dxa"/>
            <w:gridSpan w:val="2"/>
          </w:tcPr>
          <w:p w:rsidR="00B7251C" w:rsidRPr="00452F75" w:rsidRDefault="00B7251C" w:rsidP="00452F75">
            <w:pPr>
              <w:keepNext/>
              <w:ind w:left="-108"/>
              <w:rPr>
                <w:rFonts w:ascii="Arial Narrow" w:hAnsi="Arial Narrow"/>
                <w:sz w:val="20"/>
              </w:rPr>
            </w:pPr>
            <w:r w:rsidRPr="00452F75">
              <w:rPr>
                <w:rFonts w:ascii="Arial Narrow" w:hAnsi="Arial Narrow"/>
                <w:smallCaps/>
                <w:sz w:val="20"/>
              </w:rPr>
              <w:t>Cobimetinib</w:t>
            </w:r>
          </w:p>
          <w:p w:rsidR="00B7251C" w:rsidRPr="00452F75" w:rsidRDefault="00B7251C" w:rsidP="00452F75">
            <w:pPr>
              <w:keepNext/>
              <w:ind w:left="-108"/>
              <w:rPr>
                <w:rFonts w:ascii="Arial Narrow" w:hAnsi="Arial Narrow"/>
                <w:sz w:val="20"/>
              </w:rPr>
            </w:pPr>
            <w:r w:rsidRPr="00452F75">
              <w:rPr>
                <w:rFonts w:ascii="Arial Narrow" w:hAnsi="Arial Narrow"/>
                <w:sz w:val="20"/>
              </w:rPr>
              <w:t>20 mg tablet, 63</w:t>
            </w:r>
          </w:p>
        </w:tc>
        <w:tc>
          <w:tcPr>
            <w:tcW w:w="567" w:type="dxa"/>
          </w:tcPr>
          <w:p w:rsidR="00B7251C" w:rsidRPr="00452F75" w:rsidRDefault="00B7251C" w:rsidP="00452F75">
            <w:pPr>
              <w:keepNext/>
              <w:ind w:left="-108"/>
              <w:rPr>
                <w:rFonts w:ascii="Arial Narrow" w:hAnsi="Arial Narrow"/>
                <w:sz w:val="20"/>
              </w:rPr>
            </w:pPr>
          </w:p>
          <w:p w:rsidR="00B7251C" w:rsidRPr="00452F75" w:rsidRDefault="00B7251C" w:rsidP="00452F75">
            <w:pPr>
              <w:keepNext/>
              <w:ind w:left="-108"/>
              <w:rPr>
                <w:rFonts w:ascii="Arial Narrow" w:hAnsi="Arial Narrow"/>
                <w:sz w:val="20"/>
              </w:rPr>
            </w:pPr>
            <w:r w:rsidRPr="00452F75">
              <w:rPr>
                <w:rFonts w:ascii="Arial Narrow" w:hAnsi="Arial Narrow"/>
                <w:sz w:val="20"/>
              </w:rPr>
              <w:t>1</w:t>
            </w:r>
          </w:p>
        </w:tc>
        <w:tc>
          <w:tcPr>
            <w:tcW w:w="850" w:type="dxa"/>
          </w:tcPr>
          <w:p w:rsidR="00B7251C" w:rsidRPr="00452F75" w:rsidRDefault="00B7251C" w:rsidP="00452F75">
            <w:pPr>
              <w:keepNext/>
              <w:ind w:left="-108"/>
              <w:rPr>
                <w:rFonts w:ascii="Arial Narrow" w:hAnsi="Arial Narrow"/>
                <w:sz w:val="20"/>
              </w:rPr>
            </w:pPr>
          </w:p>
          <w:p w:rsidR="00B7251C" w:rsidRPr="00452F75" w:rsidRDefault="00B7251C" w:rsidP="00452F75">
            <w:pPr>
              <w:keepNext/>
              <w:ind w:left="-108"/>
              <w:rPr>
                <w:rFonts w:ascii="Arial Narrow" w:hAnsi="Arial Narrow"/>
                <w:sz w:val="20"/>
              </w:rPr>
            </w:pPr>
            <w:r w:rsidRPr="00452F75">
              <w:rPr>
                <w:rFonts w:ascii="Arial Narrow" w:hAnsi="Arial Narrow"/>
                <w:sz w:val="20"/>
              </w:rPr>
              <w:t>3</w:t>
            </w:r>
          </w:p>
        </w:tc>
        <w:tc>
          <w:tcPr>
            <w:tcW w:w="1701" w:type="dxa"/>
          </w:tcPr>
          <w:p w:rsidR="00B7251C" w:rsidRPr="00452F75" w:rsidRDefault="00B7251C" w:rsidP="00452F75">
            <w:pPr>
              <w:keepNext/>
              <w:ind w:left="-108"/>
              <w:rPr>
                <w:rFonts w:ascii="Arial Narrow" w:hAnsi="Arial Narrow"/>
                <w:sz w:val="20"/>
              </w:rPr>
            </w:pPr>
          </w:p>
          <w:p w:rsidR="00B7251C" w:rsidRPr="00452F75" w:rsidRDefault="00B7251C" w:rsidP="00452F75">
            <w:pPr>
              <w:keepNext/>
              <w:ind w:left="-108"/>
              <w:rPr>
                <w:rFonts w:ascii="Arial Narrow" w:hAnsi="Arial Narrow"/>
                <w:sz w:val="20"/>
              </w:rPr>
            </w:pPr>
            <w:r w:rsidRPr="00452F75">
              <w:rPr>
                <w:rFonts w:ascii="Arial Narrow" w:hAnsi="Arial Narrow"/>
                <w:sz w:val="20"/>
              </w:rPr>
              <w:t>$</w:t>
            </w:r>
            <w:r w:rsidR="00A7393F">
              <w:rPr>
                <w:rFonts w:ascii="Arial Narrow" w:hAnsi="Arial Narrow"/>
                <w:noProof/>
                <w:color w:val="000000"/>
                <w:sz w:val="20"/>
                <w:highlight w:val="black"/>
              </w:rPr>
              <w:t>'''''''''''''''''''''</w:t>
            </w:r>
          </w:p>
        </w:tc>
        <w:tc>
          <w:tcPr>
            <w:tcW w:w="1559" w:type="dxa"/>
          </w:tcPr>
          <w:p w:rsidR="00B7251C" w:rsidRPr="00452F75" w:rsidRDefault="00B7251C" w:rsidP="00452F75">
            <w:pPr>
              <w:rPr>
                <w:rFonts w:ascii="Arial Narrow" w:hAnsi="Arial Narrow"/>
                <w:sz w:val="20"/>
              </w:rPr>
            </w:pPr>
          </w:p>
          <w:p w:rsidR="00B7251C" w:rsidRPr="00452F75" w:rsidRDefault="00B7251C" w:rsidP="00452F75">
            <w:pPr>
              <w:rPr>
                <w:rFonts w:ascii="Arial Narrow" w:hAnsi="Arial Narrow"/>
                <w:sz w:val="20"/>
              </w:rPr>
            </w:pPr>
            <w:r w:rsidRPr="00452F75">
              <w:rPr>
                <w:rFonts w:ascii="Arial Narrow" w:hAnsi="Arial Narrow"/>
                <w:sz w:val="20"/>
              </w:rPr>
              <w:t>COTELLIC</w:t>
            </w:r>
          </w:p>
        </w:tc>
        <w:tc>
          <w:tcPr>
            <w:tcW w:w="1276" w:type="dxa"/>
          </w:tcPr>
          <w:p w:rsidR="00B7251C" w:rsidRPr="00452F75" w:rsidRDefault="00B7251C" w:rsidP="00452F75">
            <w:pPr>
              <w:rPr>
                <w:rFonts w:ascii="Arial Narrow" w:hAnsi="Arial Narrow"/>
                <w:sz w:val="20"/>
              </w:rPr>
            </w:pPr>
            <w:r w:rsidRPr="00452F75">
              <w:rPr>
                <w:rFonts w:ascii="Arial Narrow" w:hAnsi="Arial Narrow"/>
                <w:sz w:val="20"/>
              </w:rPr>
              <w:t>Roche Products Pty Limited</w:t>
            </w:r>
          </w:p>
        </w:tc>
      </w:tr>
      <w:tr w:rsidR="00B7251C" w:rsidRPr="00452F75" w:rsidTr="00943EE6">
        <w:trPr>
          <w:cantSplit/>
          <w:trHeight w:val="360"/>
        </w:trPr>
        <w:tc>
          <w:tcPr>
            <w:tcW w:w="8505" w:type="dxa"/>
            <w:gridSpan w:val="7"/>
            <w:tcBorders>
              <w:bottom w:val="single" w:sz="4" w:space="0" w:color="auto"/>
            </w:tcBorders>
          </w:tcPr>
          <w:p w:rsidR="00B7251C" w:rsidRPr="00452F75" w:rsidRDefault="00B7251C" w:rsidP="00452F75">
            <w:pPr>
              <w:rPr>
                <w:rFonts w:ascii="Arial Narrow" w:hAnsi="Arial Narrow"/>
                <w:sz w:val="20"/>
              </w:rPr>
            </w:pP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b/>
                <w:sz w:val="20"/>
              </w:rPr>
            </w:pPr>
            <w:r w:rsidRPr="00452F75">
              <w:rPr>
                <w:rFonts w:ascii="Arial Narrow" w:hAnsi="Arial Narrow"/>
                <w:b/>
                <w:sz w:val="20"/>
              </w:rPr>
              <w:lastRenderedPageBreak/>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t>GENERAL – General Schedule (Code GE)</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Dental  </w:t>
            </w:r>
            <w:r w:rsidRPr="00452F75">
              <w:rPr>
                <w:rFonts w:ascii="Arial Narrow" w:hAnsi="Arial Narrow"/>
                <w:sz w:val="20"/>
              </w:rPr>
              <w:fldChar w:fldCharType="begin">
                <w:ffData>
                  <w:name w:val=""/>
                  <w:enabled/>
                  <w:calcOnExit w:val="0"/>
                  <w:checkBox>
                    <w:sizeAuto/>
                    <w:default w:val="1"/>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Medical Practitioners  </w:t>
            </w: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Nurse practitioners  </w:t>
            </w: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Optometrists</w:t>
            </w:r>
          </w:p>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Midwives</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b/>
                <w:sz w:val="20"/>
              </w:rPr>
            </w:pPr>
            <w:r w:rsidRPr="00452F75">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t>Unresectable Stage III or Stage IV</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b/>
                <w:sz w:val="20"/>
              </w:rPr>
            </w:pPr>
            <w:r w:rsidRPr="00452F75">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t>Malignant melanoma</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b/>
                <w:sz w:val="20"/>
              </w:rPr>
            </w:pPr>
            <w:r w:rsidRPr="00452F75">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t>Unresectable Stage III or Stage IV malignant melanoma</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b/>
                <w:sz w:val="20"/>
              </w:rPr>
            </w:pPr>
            <w:r w:rsidRPr="00452F75">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t>Initial</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943EE6">
            <w:pPr>
              <w:jc w:val="left"/>
              <w:rPr>
                <w:rFonts w:ascii="Arial Narrow" w:hAnsi="Arial Narrow"/>
                <w:sz w:val="20"/>
              </w:rPr>
            </w:pPr>
            <w:r w:rsidRPr="00452F75">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Restricted benefit</w:t>
            </w:r>
          </w:p>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In Writing</w:t>
            </w:r>
          </w:p>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Telephone</w:t>
            </w:r>
          </w:p>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Emergency</w:t>
            </w:r>
          </w:p>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Electronic</w:t>
            </w:r>
          </w:p>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Check5"/>
                  <w:enabled/>
                  <w:calcOnExit w:val="0"/>
                  <w:checkBox>
                    <w:sizeAuto/>
                    <w:default w:val="1"/>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Streamlined</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t>Patient must be receiving PBS subsidised vemurafenib concomitantly for this condition,</w:t>
            </w:r>
          </w:p>
          <w:p w:rsidR="00B7251C" w:rsidRPr="00452F75" w:rsidRDefault="00B7251C" w:rsidP="00452F75">
            <w:pPr>
              <w:rPr>
                <w:rFonts w:ascii="Arial Narrow" w:hAnsi="Arial Narrow"/>
                <w:sz w:val="20"/>
              </w:rPr>
            </w:pPr>
            <w:r w:rsidRPr="00452F75">
              <w:rPr>
                <w:rFonts w:ascii="Arial Narrow" w:hAnsi="Arial Narrow"/>
                <w:sz w:val="20"/>
              </w:rPr>
              <w:t>AND</w:t>
            </w:r>
          </w:p>
          <w:p w:rsidR="00B7251C" w:rsidRPr="00452F75" w:rsidRDefault="00B7251C" w:rsidP="00452F75">
            <w:pPr>
              <w:rPr>
                <w:rFonts w:ascii="Arial Narrow" w:hAnsi="Arial Narrow"/>
                <w:sz w:val="20"/>
              </w:rPr>
            </w:pPr>
            <w:r w:rsidRPr="00452F75">
              <w:rPr>
                <w:rFonts w:ascii="Arial Narrow" w:hAnsi="Arial Narrow"/>
                <w:sz w:val="20"/>
              </w:rPr>
              <w:t xml:space="preserve">Patient must not have had progressive disease when treated with a </w:t>
            </w:r>
            <w:r w:rsidRPr="009544E5">
              <w:rPr>
                <w:rFonts w:ascii="Arial Narrow" w:hAnsi="Arial Narrow"/>
                <w:i/>
                <w:sz w:val="20"/>
              </w:rPr>
              <w:t>BRAF</w:t>
            </w:r>
            <w:r w:rsidRPr="00452F75">
              <w:rPr>
                <w:rFonts w:ascii="Arial Narrow" w:hAnsi="Arial Narrow"/>
                <w:sz w:val="20"/>
              </w:rPr>
              <w:t xml:space="preserve"> inhibitor.</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t>No increase in the maximum quantity or number of units may be authorised.</w:t>
            </w:r>
          </w:p>
          <w:p w:rsidR="00B7251C" w:rsidRPr="00452F75" w:rsidRDefault="00B7251C" w:rsidP="00452F75">
            <w:pPr>
              <w:rPr>
                <w:rFonts w:ascii="Arial Narrow" w:hAnsi="Arial Narrow"/>
                <w:sz w:val="20"/>
              </w:rPr>
            </w:pPr>
          </w:p>
          <w:p w:rsidR="00B7251C" w:rsidRPr="00452F75" w:rsidRDefault="00B7251C" w:rsidP="00452F75">
            <w:pPr>
              <w:rPr>
                <w:rFonts w:ascii="Arial Narrow" w:hAnsi="Arial Narrow"/>
                <w:sz w:val="20"/>
              </w:rPr>
            </w:pPr>
            <w:r w:rsidRPr="00452F75">
              <w:rPr>
                <w:rFonts w:ascii="Arial Narrow" w:hAnsi="Arial Narrow"/>
                <w:sz w:val="20"/>
              </w:rPr>
              <w:t>No increase in the maximum number of repeats may be authorised.</w:t>
            </w:r>
          </w:p>
          <w:p w:rsidR="00B7251C" w:rsidRPr="00452F75" w:rsidRDefault="00B7251C" w:rsidP="00452F75">
            <w:pPr>
              <w:rPr>
                <w:rFonts w:ascii="Arial Narrow" w:hAnsi="Arial Narrow"/>
                <w:sz w:val="20"/>
              </w:rPr>
            </w:pPr>
          </w:p>
          <w:p w:rsidR="00B7251C" w:rsidRPr="00452F75" w:rsidRDefault="00B7251C" w:rsidP="00452F75">
            <w:pPr>
              <w:rPr>
                <w:rFonts w:ascii="Arial Narrow" w:hAnsi="Arial Narrow"/>
                <w:sz w:val="20"/>
              </w:rPr>
            </w:pPr>
            <w:r w:rsidRPr="00452F75">
              <w:rPr>
                <w:rFonts w:ascii="Arial Narrow" w:hAnsi="Arial Narrow"/>
                <w:sz w:val="20"/>
              </w:rPr>
              <w:t>Special Pricing Arrangements apply.</w:t>
            </w:r>
          </w:p>
        </w:tc>
      </w:tr>
    </w:tbl>
    <w:p w:rsidR="00B2018D" w:rsidRPr="00452F75" w:rsidRDefault="00B2018D" w:rsidP="00B7251C">
      <w:pPr>
        <w:rPr>
          <w:szCs w:val="22"/>
        </w:rPr>
      </w:pPr>
    </w:p>
    <w:p w:rsidR="00B2018D" w:rsidRPr="00452F75" w:rsidRDefault="00B2018D">
      <w:pPr>
        <w:widowControl/>
        <w:jc w:val="left"/>
        <w:rPr>
          <w:szCs w:val="22"/>
        </w:rPr>
      </w:pPr>
      <w:r w:rsidRPr="00452F75">
        <w:rPr>
          <w:szCs w:val="22"/>
        </w:rPr>
        <w:br w:type="page"/>
      </w:r>
    </w:p>
    <w:p w:rsidR="00B2018D" w:rsidRPr="00452F75" w:rsidRDefault="00B2018D" w:rsidP="00B7251C">
      <w:pPr>
        <w:rPr>
          <w:szCs w:val="22"/>
        </w:rPr>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B7251C" w:rsidRPr="00452F75" w:rsidTr="00943EE6">
        <w:trPr>
          <w:cantSplit/>
          <w:trHeight w:val="471"/>
        </w:trPr>
        <w:tc>
          <w:tcPr>
            <w:tcW w:w="2552" w:type="dxa"/>
            <w:gridSpan w:val="2"/>
            <w:tcBorders>
              <w:bottom w:val="single" w:sz="4" w:space="0" w:color="auto"/>
            </w:tcBorders>
          </w:tcPr>
          <w:p w:rsidR="00B7251C" w:rsidRPr="00452F75" w:rsidRDefault="00B7251C" w:rsidP="00452F75">
            <w:pPr>
              <w:keepNext/>
              <w:ind w:left="-108"/>
              <w:rPr>
                <w:rFonts w:ascii="Arial Narrow" w:hAnsi="Arial Narrow"/>
                <w:sz w:val="20"/>
              </w:rPr>
            </w:pPr>
            <w:r w:rsidRPr="00452F75">
              <w:rPr>
                <w:rFonts w:ascii="Arial Narrow" w:hAnsi="Arial Narrow"/>
                <w:sz w:val="20"/>
              </w:rPr>
              <w:t>Name, Restriction,</w:t>
            </w:r>
          </w:p>
          <w:p w:rsidR="00B7251C" w:rsidRPr="00452F75" w:rsidRDefault="00B7251C" w:rsidP="00452F75">
            <w:pPr>
              <w:keepNext/>
              <w:ind w:left="-108"/>
              <w:rPr>
                <w:rFonts w:ascii="Arial Narrow" w:hAnsi="Arial Narrow"/>
                <w:sz w:val="20"/>
              </w:rPr>
            </w:pPr>
            <w:r w:rsidRPr="00452F75">
              <w:rPr>
                <w:rFonts w:ascii="Arial Narrow" w:hAnsi="Arial Narrow"/>
                <w:sz w:val="20"/>
              </w:rPr>
              <w:t>Manner of administration and form</w:t>
            </w:r>
          </w:p>
        </w:tc>
        <w:tc>
          <w:tcPr>
            <w:tcW w:w="567" w:type="dxa"/>
            <w:tcBorders>
              <w:bottom w:val="single" w:sz="4" w:space="0" w:color="auto"/>
            </w:tcBorders>
          </w:tcPr>
          <w:p w:rsidR="00B7251C" w:rsidRPr="00452F75" w:rsidRDefault="00B7251C" w:rsidP="00452F75">
            <w:pPr>
              <w:keepNext/>
              <w:ind w:left="-108"/>
              <w:rPr>
                <w:rFonts w:ascii="Arial Narrow" w:hAnsi="Arial Narrow"/>
                <w:sz w:val="20"/>
              </w:rPr>
            </w:pPr>
            <w:r w:rsidRPr="00452F75">
              <w:rPr>
                <w:rFonts w:ascii="Arial Narrow" w:hAnsi="Arial Narrow"/>
                <w:sz w:val="20"/>
              </w:rPr>
              <w:t>Max.</w:t>
            </w:r>
          </w:p>
          <w:p w:rsidR="00B7251C" w:rsidRPr="00452F75" w:rsidRDefault="00B7251C" w:rsidP="00452F75">
            <w:pPr>
              <w:keepNext/>
              <w:ind w:left="-108"/>
              <w:rPr>
                <w:rFonts w:ascii="Arial Narrow" w:hAnsi="Arial Narrow"/>
                <w:sz w:val="20"/>
              </w:rPr>
            </w:pPr>
            <w:r w:rsidRPr="00452F75">
              <w:rPr>
                <w:rFonts w:ascii="Arial Narrow" w:hAnsi="Arial Narrow"/>
                <w:sz w:val="20"/>
              </w:rPr>
              <w:t>Qty</w:t>
            </w:r>
          </w:p>
        </w:tc>
        <w:tc>
          <w:tcPr>
            <w:tcW w:w="850" w:type="dxa"/>
            <w:tcBorders>
              <w:bottom w:val="single" w:sz="4" w:space="0" w:color="auto"/>
            </w:tcBorders>
          </w:tcPr>
          <w:p w:rsidR="00B7251C" w:rsidRPr="00452F75" w:rsidRDefault="00B7251C" w:rsidP="00452F75">
            <w:pPr>
              <w:keepNext/>
              <w:ind w:left="-108"/>
              <w:rPr>
                <w:rFonts w:ascii="Arial Narrow" w:hAnsi="Arial Narrow"/>
                <w:sz w:val="20"/>
              </w:rPr>
            </w:pPr>
            <w:r w:rsidRPr="00452F75">
              <w:rPr>
                <w:rFonts w:ascii="Arial Narrow" w:hAnsi="Arial Narrow"/>
                <w:sz w:val="20"/>
              </w:rPr>
              <w:t>№.of</w:t>
            </w:r>
          </w:p>
          <w:p w:rsidR="00B7251C" w:rsidRPr="00452F75" w:rsidRDefault="00B7251C" w:rsidP="00452F75">
            <w:pPr>
              <w:keepNext/>
              <w:ind w:left="-108"/>
              <w:rPr>
                <w:rFonts w:ascii="Arial Narrow" w:hAnsi="Arial Narrow"/>
                <w:sz w:val="20"/>
              </w:rPr>
            </w:pPr>
            <w:r w:rsidRPr="00452F75">
              <w:rPr>
                <w:rFonts w:ascii="Arial Narrow" w:hAnsi="Arial Narrow"/>
                <w:sz w:val="20"/>
              </w:rPr>
              <w:t>Rpts</w:t>
            </w:r>
          </w:p>
        </w:tc>
        <w:tc>
          <w:tcPr>
            <w:tcW w:w="1701" w:type="dxa"/>
            <w:tcBorders>
              <w:bottom w:val="single" w:sz="4" w:space="0" w:color="auto"/>
            </w:tcBorders>
          </w:tcPr>
          <w:p w:rsidR="00B7251C" w:rsidRPr="00452F75" w:rsidRDefault="00B7251C" w:rsidP="00452F75">
            <w:pPr>
              <w:keepNext/>
              <w:ind w:left="-108"/>
              <w:rPr>
                <w:rFonts w:ascii="Arial Narrow" w:hAnsi="Arial Narrow"/>
                <w:sz w:val="20"/>
              </w:rPr>
            </w:pPr>
            <w:r w:rsidRPr="00452F75">
              <w:rPr>
                <w:rFonts w:ascii="Arial Narrow" w:hAnsi="Arial Narrow"/>
                <w:sz w:val="20"/>
              </w:rPr>
              <w:t>Dispensed Price for Max. Qty</w:t>
            </w:r>
          </w:p>
        </w:tc>
        <w:tc>
          <w:tcPr>
            <w:tcW w:w="2835" w:type="dxa"/>
            <w:gridSpan w:val="2"/>
            <w:tcBorders>
              <w:bottom w:val="single" w:sz="4" w:space="0" w:color="auto"/>
            </w:tcBorders>
          </w:tcPr>
          <w:p w:rsidR="00B7251C" w:rsidRPr="00452F75" w:rsidRDefault="00B7251C" w:rsidP="00452F75">
            <w:pPr>
              <w:keepNext/>
              <w:rPr>
                <w:rFonts w:ascii="Arial Narrow" w:hAnsi="Arial Narrow"/>
                <w:sz w:val="20"/>
              </w:rPr>
            </w:pPr>
            <w:r w:rsidRPr="00452F75">
              <w:rPr>
                <w:rFonts w:ascii="Arial Narrow" w:hAnsi="Arial Narrow"/>
                <w:sz w:val="20"/>
              </w:rPr>
              <w:t>Proprietary Name and Manufacturer</w:t>
            </w:r>
          </w:p>
        </w:tc>
      </w:tr>
      <w:tr w:rsidR="00B7251C" w:rsidRPr="00452F75" w:rsidTr="00943EE6">
        <w:trPr>
          <w:cantSplit/>
          <w:trHeight w:val="577"/>
        </w:trPr>
        <w:tc>
          <w:tcPr>
            <w:tcW w:w="2552" w:type="dxa"/>
            <w:gridSpan w:val="2"/>
          </w:tcPr>
          <w:p w:rsidR="00B7251C" w:rsidRPr="00452F75" w:rsidRDefault="00B7251C" w:rsidP="00452F75">
            <w:pPr>
              <w:keepNext/>
              <w:ind w:left="-108"/>
              <w:rPr>
                <w:rFonts w:ascii="Arial Narrow" w:hAnsi="Arial Narrow"/>
                <w:sz w:val="20"/>
              </w:rPr>
            </w:pPr>
            <w:r w:rsidRPr="00452F75">
              <w:rPr>
                <w:rFonts w:ascii="Arial Narrow" w:hAnsi="Arial Narrow"/>
                <w:smallCaps/>
                <w:sz w:val="20"/>
              </w:rPr>
              <w:t>Cobimetinib</w:t>
            </w:r>
          </w:p>
          <w:p w:rsidR="00B7251C" w:rsidRPr="00452F75" w:rsidRDefault="00B7251C" w:rsidP="00452F75">
            <w:pPr>
              <w:keepNext/>
              <w:ind w:left="-108"/>
              <w:rPr>
                <w:rFonts w:ascii="Arial Narrow" w:hAnsi="Arial Narrow"/>
                <w:sz w:val="20"/>
              </w:rPr>
            </w:pPr>
            <w:r w:rsidRPr="00452F75">
              <w:rPr>
                <w:rFonts w:ascii="Arial Narrow" w:hAnsi="Arial Narrow"/>
                <w:sz w:val="20"/>
              </w:rPr>
              <w:t>20 mg tablet, 63</w:t>
            </w:r>
          </w:p>
        </w:tc>
        <w:tc>
          <w:tcPr>
            <w:tcW w:w="567" w:type="dxa"/>
          </w:tcPr>
          <w:p w:rsidR="00B7251C" w:rsidRPr="00452F75" w:rsidRDefault="00B7251C" w:rsidP="00452F75">
            <w:pPr>
              <w:keepNext/>
              <w:ind w:left="-108"/>
              <w:rPr>
                <w:rFonts w:ascii="Arial Narrow" w:hAnsi="Arial Narrow"/>
                <w:sz w:val="20"/>
              </w:rPr>
            </w:pPr>
          </w:p>
          <w:p w:rsidR="00B7251C" w:rsidRPr="00452F75" w:rsidRDefault="00B7251C" w:rsidP="00452F75">
            <w:pPr>
              <w:keepNext/>
              <w:ind w:left="-108"/>
              <w:rPr>
                <w:rFonts w:ascii="Arial Narrow" w:hAnsi="Arial Narrow"/>
                <w:sz w:val="20"/>
              </w:rPr>
            </w:pPr>
            <w:r w:rsidRPr="00452F75">
              <w:rPr>
                <w:rFonts w:ascii="Arial Narrow" w:hAnsi="Arial Narrow"/>
                <w:sz w:val="20"/>
              </w:rPr>
              <w:t>1</w:t>
            </w:r>
          </w:p>
        </w:tc>
        <w:tc>
          <w:tcPr>
            <w:tcW w:w="850" w:type="dxa"/>
          </w:tcPr>
          <w:p w:rsidR="00B7251C" w:rsidRPr="00452F75" w:rsidRDefault="00B7251C" w:rsidP="00452F75">
            <w:pPr>
              <w:keepNext/>
              <w:ind w:left="-108"/>
              <w:rPr>
                <w:rFonts w:ascii="Arial Narrow" w:hAnsi="Arial Narrow"/>
                <w:sz w:val="20"/>
              </w:rPr>
            </w:pPr>
          </w:p>
          <w:p w:rsidR="00B7251C" w:rsidRPr="00452F75" w:rsidRDefault="00B7251C" w:rsidP="00452F75">
            <w:pPr>
              <w:keepNext/>
              <w:ind w:left="-108"/>
              <w:rPr>
                <w:rFonts w:ascii="Arial Narrow" w:hAnsi="Arial Narrow"/>
                <w:sz w:val="20"/>
              </w:rPr>
            </w:pPr>
            <w:r w:rsidRPr="00452F75">
              <w:rPr>
                <w:rFonts w:ascii="Arial Narrow" w:hAnsi="Arial Narrow"/>
                <w:sz w:val="20"/>
              </w:rPr>
              <w:t>5</w:t>
            </w:r>
          </w:p>
        </w:tc>
        <w:tc>
          <w:tcPr>
            <w:tcW w:w="1701" w:type="dxa"/>
          </w:tcPr>
          <w:p w:rsidR="00B7251C" w:rsidRPr="00452F75" w:rsidRDefault="00B7251C" w:rsidP="00452F75">
            <w:pPr>
              <w:keepNext/>
              <w:ind w:left="-108"/>
              <w:rPr>
                <w:rFonts w:ascii="Arial Narrow" w:hAnsi="Arial Narrow"/>
                <w:sz w:val="20"/>
              </w:rPr>
            </w:pPr>
          </w:p>
          <w:p w:rsidR="00B7251C" w:rsidRPr="00452F75" w:rsidRDefault="00B7251C" w:rsidP="00452F75">
            <w:pPr>
              <w:keepNext/>
              <w:ind w:left="-108"/>
              <w:rPr>
                <w:rFonts w:ascii="Arial Narrow" w:hAnsi="Arial Narrow"/>
                <w:sz w:val="20"/>
              </w:rPr>
            </w:pPr>
            <w:r w:rsidRPr="00452F75">
              <w:rPr>
                <w:rFonts w:ascii="Arial Narrow" w:hAnsi="Arial Narrow"/>
                <w:sz w:val="20"/>
              </w:rPr>
              <w:t>$</w:t>
            </w:r>
            <w:r w:rsidR="00A7393F">
              <w:rPr>
                <w:rFonts w:ascii="Arial Narrow" w:hAnsi="Arial Narrow"/>
                <w:noProof/>
                <w:color w:val="000000"/>
                <w:sz w:val="20"/>
                <w:highlight w:val="black"/>
              </w:rPr>
              <w:t>'''''''''''''''''''''''</w:t>
            </w:r>
          </w:p>
        </w:tc>
        <w:tc>
          <w:tcPr>
            <w:tcW w:w="1559" w:type="dxa"/>
          </w:tcPr>
          <w:p w:rsidR="00B7251C" w:rsidRPr="00452F75" w:rsidRDefault="00B7251C" w:rsidP="00452F75">
            <w:pPr>
              <w:rPr>
                <w:rFonts w:ascii="Arial Narrow" w:hAnsi="Arial Narrow"/>
                <w:sz w:val="20"/>
              </w:rPr>
            </w:pPr>
          </w:p>
          <w:p w:rsidR="00B7251C" w:rsidRPr="00452F75" w:rsidRDefault="00B7251C" w:rsidP="00452F75">
            <w:pPr>
              <w:rPr>
                <w:rFonts w:ascii="Arial Narrow" w:hAnsi="Arial Narrow"/>
                <w:sz w:val="20"/>
              </w:rPr>
            </w:pPr>
            <w:r w:rsidRPr="00452F75">
              <w:rPr>
                <w:rFonts w:ascii="Arial Narrow" w:hAnsi="Arial Narrow"/>
                <w:sz w:val="20"/>
              </w:rPr>
              <w:t>COTELLIC</w:t>
            </w:r>
          </w:p>
        </w:tc>
        <w:tc>
          <w:tcPr>
            <w:tcW w:w="1276" w:type="dxa"/>
          </w:tcPr>
          <w:p w:rsidR="00B7251C" w:rsidRPr="00452F75" w:rsidRDefault="00B7251C" w:rsidP="00452F75">
            <w:pPr>
              <w:rPr>
                <w:rFonts w:ascii="Arial Narrow" w:hAnsi="Arial Narrow"/>
                <w:sz w:val="20"/>
              </w:rPr>
            </w:pPr>
            <w:r w:rsidRPr="00452F75">
              <w:rPr>
                <w:rFonts w:ascii="Arial Narrow" w:hAnsi="Arial Narrow"/>
                <w:sz w:val="20"/>
              </w:rPr>
              <w:t>Roche Products Pty Limited</w:t>
            </w:r>
          </w:p>
        </w:tc>
      </w:tr>
      <w:tr w:rsidR="00B7251C" w:rsidRPr="00452F75" w:rsidTr="00943EE6">
        <w:trPr>
          <w:cantSplit/>
          <w:trHeight w:val="360"/>
        </w:trPr>
        <w:tc>
          <w:tcPr>
            <w:tcW w:w="8505" w:type="dxa"/>
            <w:gridSpan w:val="7"/>
            <w:tcBorders>
              <w:bottom w:val="single" w:sz="4" w:space="0" w:color="auto"/>
            </w:tcBorders>
          </w:tcPr>
          <w:p w:rsidR="00B7251C" w:rsidRPr="00452F75" w:rsidRDefault="00B7251C" w:rsidP="00452F75">
            <w:pPr>
              <w:rPr>
                <w:rFonts w:ascii="Arial Narrow" w:hAnsi="Arial Narrow"/>
                <w:sz w:val="20"/>
              </w:rPr>
            </w:pP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b/>
                <w:sz w:val="20"/>
              </w:rPr>
            </w:pPr>
            <w:r w:rsidRPr="00452F75">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t>GENERAL – General Schedule (Code GE)</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Dental  </w:t>
            </w:r>
            <w:r w:rsidRPr="00452F75">
              <w:rPr>
                <w:rFonts w:ascii="Arial Narrow" w:hAnsi="Arial Narrow"/>
                <w:sz w:val="20"/>
              </w:rPr>
              <w:fldChar w:fldCharType="begin">
                <w:ffData>
                  <w:name w:val=""/>
                  <w:enabled/>
                  <w:calcOnExit w:val="0"/>
                  <w:checkBox>
                    <w:sizeAuto/>
                    <w:default w:val="1"/>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Medical Practitioners  </w:t>
            </w: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Nurse practitioners  </w:t>
            </w: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Optometrists</w:t>
            </w:r>
          </w:p>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Midwives</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b/>
                <w:sz w:val="20"/>
              </w:rPr>
            </w:pPr>
            <w:r w:rsidRPr="00452F75">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t>Unresectable Stage III or Stage IV</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b/>
                <w:sz w:val="20"/>
              </w:rPr>
            </w:pPr>
            <w:r w:rsidRPr="00452F75">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t>Malignant melanoma</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b/>
                <w:sz w:val="20"/>
              </w:rPr>
            </w:pPr>
            <w:r w:rsidRPr="00452F75">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t>Unresectable Stage III or Stage IV malignant melanoma</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b/>
                <w:sz w:val="20"/>
              </w:rPr>
            </w:pPr>
            <w:r w:rsidRPr="00452F75">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t>Continuing</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Restricted benefit</w:t>
            </w:r>
          </w:p>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In Writing</w:t>
            </w:r>
          </w:p>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Telephone</w:t>
            </w:r>
          </w:p>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Emergency</w:t>
            </w:r>
          </w:p>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Electronic</w:t>
            </w:r>
          </w:p>
          <w:p w:rsidR="00B7251C" w:rsidRPr="00452F75" w:rsidRDefault="00B7251C" w:rsidP="00452F75">
            <w:pPr>
              <w:rPr>
                <w:rFonts w:ascii="Arial Narrow" w:hAnsi="Arial Narrow"/>
                <w:sz w:val="20"/>
              </w:rPr>
            </w:pPr>
            <w:r w:rsidRPr="00452F75">
              <w:rPr>
                <w:rFonts w:ascii="Arial Narrow" w:hAnsi="Arial Narrow"/>
                <w:sz w:val="20"/>
              </w:rPr>
              <w:fldChar w:fldCharType="begin">
                <w:ffData>
                  <w:name w:val="Check5"/>
                  <w:enabled/>
                  <w:calcOnExit w:val="0"/>
                  <w:checkBox>
                    <w:sizeAuto/>
                    <w:default w:val="1"/>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Streamlined</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t>Patient must have previously been issued with an authority prescription for this drug,</w:t>
            </w:r>
          </w:p>
          <w:p w:rsidR="00B7251C" w:rsidRPr="00452F75" w:rsidRDefault="00B7251C" w:rsidP="00452F75">
            <w:pPr>
              <w:rPr>
                <w:rFonts w:ascii="Arial Narrow" w:hAnsi="Arial Narrow"/>
                <w:sz w:val="20"/>
              </w:rPr>
            </w:pPr>
            <w:r w:rsidRPr="00452F75">
              <w:rPr>
                <w:rFonts w:ascii="Arial Narrow" w:hAnsi="Arial Narrow"/>
                <w:sz w:val="20"/>
              </w:rPr>
              <w:t>AND</w:t>
            </w:r>
          </w:p>
          <w:p w:rsidR="00B7251C" w:rsidRPr="00452F75" w:rsidRDefault="00B7251C" w:rsidP="00452F75">
            <w:pPr>
              <w:rPr>
                <w:rFonts w:ascii="Arial Narrow" w:hAnsi="Arial Narrow"/>
                <w:sz w:val="20"/>
              </w:rPr>
            </w:pPr>
            <w:r w:rsidRPr="00452F75">
              <w:rPr>
                <w:rFonts w:ascii="Arial Narrow" w:hAnsi="Arial Narrow"/>
                <w:sz w:val="20"/>
              </w:rPr>
              <w:t>Patient must be receiving PBS-subsidised vemurafenib concomitantly for this condition,</w:t>
            </w:r>
          </w:p>
          <w:p w:rsidR="00B7251C" w:rsidRPr="00452F75" w:rsidRDefault="00B7251C" w:rsidP="00452F75">
            <w:pPr>
              <w:rPr>
                <w:rFonts w:ascii="Arial Narrow" w:hAnsi="Arial Narrow"/>
                <w:sz w:val="20"/>
              </w:rPr>
            </w:pPr>
            <w:r w:rsidRPr="00452F75">
              <w:rPr>
                <w:rFonts w:ascii="Arial Narrow" w:hAnsi="Arial Narrow"/>
                <w:sz w:val="20"/>
              </w:rPr>
              <w:t>AND</w:t>
            </w:r>
          </w:p>
          <w:p w:rsidR="00B7251C" w:rsidRPr="00452F75" w:rsidRDefault="00B7251C" w:rsidP="00452F75">
            <w:pPr>
              <w:rPr>
                <w:rFonts w:ascii="Arial Narrow" w:hAnsi="Arial Narrow"/>
                <w:sz w:val="20"/>
              </w:rPr>
            </w:pPr>
            <w:r w:rsidRPr="00452F75">
              <w:rPr>
                <w:rFonts w:ascii="Arial Narrow" w:hAnsi="Arial Narrow"/>
                <w:sz w:val="20"/>
              </w:rPr>
              <w:t>Patient must have stable or responding disease.</w:t>
            </w:r>
          </w:p>
        </w:tc>
      </w:tr>
      <w:tr w:rsidR="00B7251C" w:rsidRPr="00452F75" w:rsidTr="00943EE6">
        <w:trPr>
          <w:cantSplit/>
          <w:trHeight w:val="360"/>
        </w:trPr>
        <w:tc>
          <w:tcPr>
            <w:tcW w:w="2126" w:type="dxa"/>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B7251C" w:rsidRPr="00452F75" w:rsidRDefault="00B7251C" w:rsidP="00452F75">
            <w:pPr>
              <w:rPr>
                <w:rFonts w:ascii="Arial Narrow" w:hAnsi="Arial Narrow"/>
                <w:sz w:val="20"/>
              </w:rPr>
            </w:pPr>
            <w:r w:rsidRPr="00452F75">
              <w:rPr>
                <w:rFonts w:ascii="Arial Narrow" w:hAnsi="Arial Narrow"/>
                <w:sz w:val="20"/>
              </w:rPr>
              <w:t>A patient who has had progressive disease when treated with this drug is no longer eligible for PBS subsidised treatment with this drug.</w:t>
            </w:r>
          </w:p>
          <w:p w:rsidR="00B7251C" w:rsidRPr="00452F75" w:rsidRDefault="00B7251C" w:rsidP="00452F75">
            <w:pPr>
              <w:rPr>
                <w:rFonts w:ascii="Arial Narrow" w:hAnsi="Arial Narrow"/>
                <w:sz w:val="20"/>
              </w:rPr>
            </w:pPr>
          </w:p>
          <w:p w:rsidR="00B7251C" w:rsidRPr="00452F75" w:rsidRDefault="00B7251C" w:rsidP="00452F75">
            <w:pPr>
              <w:rPr>
                <w:rFonts w:ascii="Arial Narrow" w:hAnsi="Arial Narrow"/>
                <w:sz w:val="20"/>
              </w:rPr>
            </w:pPr>
            <w:r w:rsidRPr="00452F75">
              <w:rPr>
                <w:rFonts w:ascii="Arial Narrow" w:hAnsi="Arial Narrow"/>
                <w:sz w:val="20"/>
              </w:rPr>
              <w:t>No increase in the maximum quantity or number of units may be authorised.</w:t>
            </w:r>
          </w:p>
          <w:p w:rsidR="00B7251C" w:rsidRPr="00452F75" w:rsidRDefault="00B7251C" w:rsidP="00452F75">
            <w:pPr>
              <w:rPr>
                <w:rFonts w:ascii="Arial Narrow" w:hAnsi="Arial Narrow"/>
                <w:sz w:val="20"/>
              </w:rPr>
            </w:pPr>
          </w:p>
          <w:p w:rsidR="00B7251C" w:rsidRPr="00452F75" w:rsidRDefault="00B7251C" w:rsidP="00452F75">
            <w:pPr>
              <w:rPr>
                <w:rFonts w:ascii="Arial Narrow" w:hAnsi="Arial Narrow"/>
                <w:sz w:val="20"/>
              </w:rPr>
            </w:pPr>
            <w:r w:rsidRPr="00452F75">
              <w:rPr>
                <w:rFonts w:ascii="Arial Narrow" w:hAnsi="Arial Narrow"/>
                <w:sz w:val="20"/>
              </w:rPr>
              <w:t>No increase in the maximum number of repeats may be authorised.</w:t>
            </w:r>
          </w:p>
          <w:p w:rsidR="00B7251C" w:rsidRPr="00452F75" w:rsidRDefault="00B7251C" w:rsidP="00452F75">
            <w:pPr>
              <w:rPr>
                <w:rFonts w:ascii="Arial Narrow" w:hAnsi="Arial Narrow"/>
                <w:sz w:val="20"/>
              </w:rPr>
            </w:pPr>
          </w:p>
          <w:p w:rsidR="00B7251C" w:rsidRPr="00452F75" w:rsidRDefault="00B7251C" w:rsidP="00452F75">
            <w:pPr>
              <w:rPr>
                <w:rFonts w:ascii="Arial Narrow" w:hAnsi="Arial Narrow"/>
                <w:sz w:val="20"/>
              </w:rPr>
            </w:pPr>
            <w:r w:rsidRPr="00452F75">
              <w:rPr>
                <w:rFonts w:ascii="Arial Narrow" w:hAnsi="Arial Narrow"/>
                <w:sz w:val="20"/>
              </w:rPr>
              <w:t>Special Pricing Arrangements apply.</w:t>
            </w:r>
          </w:p>
        </w:tc>
      </w:tr>
    </w:tbl>
    <w:p w:rsidR="00B7251C" w:rsidRDefault="00B7251C" w:rsidP="00B7251C">
      <w:pPr>
        <w:pStyle w:val="BodyText"/>
        <w:rPr>
          <w:b/>
        </w:rPr>
      </w:pPr>
    </w:p>
    <w:p w:rsidR="00906E51" w:rsidRDefault="00906E51" w:rsidP="00906E51">
      <w:pPr>
        <w:pStyle w:val="ListParagraph"/>
      </w:pPr>
      <w:r w:rsidRPr="00735CC6">
        <w:t>The requested listing of</w:t>
      </w:r>
      <w:r>
        <w:t xml:space="preserve"> </w:t>
      </w:r>
      <w:r w:rsidRPr="00452F75">
        <w:t xml:space="preserve">vemurafenib </w:t>
      </w:r>
      <w:r>
        <w:t>+</w:t>
      </w:r>
      <w:r w:rsidRPr="00452F75">
        <w:t xml:space="preserve"> cobimetinib</w:t>
      </w:r>
      <w:r w:rsidRPr="00735CC6">
        <w:t xml:space="preserve"> administered concomitantly is based on cost-minimisation analysis compared with </w:t>
      </w:r>
      <w:r w:rsidRPr="00452F75">
        <w:t>dabrafenib + trametinib</w:t>
      </w:r>
      <w:r w:rsidR="004204E5">
        <w:t xml:space="preserve"> administered concomitantly.</w:t>
      </w:r>
    </w:p>
    <w:p w:rsidR="00906E51" w:rsidRDefault="00906E51" w:rsidP="004204E5">
      <w:pPr>
        <w:snapToGrid w:val="0"/>
      </w:pPr>
    </w:p>
    <w:p w:rsidR="00906E51" w:rsidRPr="00735CC6" w:rsidRDefault="004204E5" w:rsidP="00351DE8">
      <w:pPr>
        <w:pStyle w:val="ListParagraph"/>
        <w:snapToGrid w:val="0"/>
      </w:pPr>
      <w:r>
        <w:t>On a pragmatic basis, the listing of</w:t>
      </w:r>
      <w:r w:rsidR="00906E51">
        <w:t xml:space="preserve"> </w:t>
      </w:r>
      <w:r w:rsidR="00906E51" w:rsidRPr="00906E51">
        <w:t xml:space="preserve">vemurafenib + cobimetinib </w:t>
      </w:r>
      <w:r>
        <w:t>was also requested to follow</w:t>
      </w:r>
      <w:r w:rsidR="00906E51" w:rsidRPr="00906E51">
        <w:t xml:space="preserve"> progression on immunotherapy</w:t>
      </w:r>
      <w:r>
        <w:t xml:space="preserve">, in </w:t>
      </w:r>
      <w:r w:rsidRPr="00906E51">
        <w:t>the eve</w:t>
      </w:r>
      <w:r w:rsidR="00943EE6">
        <w:t>nt that immunotherapies are PBS</w:t>
      </w:r>
      <w:r w:rsidR="00943EE6">
        <w:noBreakHyphen/>
      </w:r>
      <w:r w:rsidRPr="00906E51">
        <w:t xml:space="preserve">listed for previously untreated </w:t>
      </w:r>
      <w:r w:rsidRPr="009544E5">
        <w:rPr>
          <w:i/>
        </w:rPr>
        <w:t>BRAF</w:t>
      </w:r>
      <w:r w:rsidRPr="00906E51">
        <w:t xml:space="preserve"> V600 positive patients</w:t>
      </w:r>
      <w:r w:rsidR="00906E51">
        <w:t>.</w:t>
      </w:r>
    </w:p>
    <w:p w:rsidR="00906E51" w:rsidRPr="00735CC6" w:rsidRDefault="00906E51" w:rsidP="004204E5">
      <w:pPr>
        <w:snapToGrid w:val="0"/>
      </w:pPr>
    </w:p>
    <w:p w:rsidR="00934B3B" w:rsidRDefault="00211700" w:rsidP="00934B3B">
      <w:pPr>
        <w:ind w:left="709"/>
        <w:contextualSpacing/>
        <w:rPr>
          <w:i/>
          <w:szCs w:val="22"/>
        </w:rPr>
      </w:pPr>
      <w:r w:rsidRPr="00351DE8">
        <w:rPr>
          <w:i/>
          <w:szCs w:val="22"/>
        </w:rPr>
        <w:t>For more detail on PBAC’s view, see section 7 “PBAC outcome”</w:t>
      </w:r>
      <w:r w:rsidR="004204E5">
        <w:rPr>
          <w:i/>
          <w:szCs w:val="22"/>
        </w:rPr>
        <w:t>.</w:t>
      </w:r>
    </w:p>
    <w:p w:rsidR="00934B3B" w:rsidRPr="00934B3B" w:rsidRDefault="00934B3B" w:rsidP="00934B3B">
      <w:pPr>
        <w:ind w:left="709"/>
        <w:contextualSpacing/>
        <w:rPr>
          <w:i/>
          <w:szCs w:val="22"/>
        </w:rPr>
      </w:pPr>
    </w:p>
    <w:p w:rsidR="00B23CB9" w:rsidRPr="00452F75" w:rsidRDefault="00B23CB9" w:rsidP="00C27C38">
      <w:pPr>
        <w:pStyle w:val="Heading1"/>
      </w:pPr>
      <w:bookmarkStart w:id="4" w:name="_Toc440982666"/>
      <w:r w:rsidRPr="00452F75">
        <w:t>Background</w:t>
      </w:r>
      <w:bookmarkEnd w:id="4"/>
    </w:p>
    <w:p w:rsidR="000C50D0" w:rsidRPr="00452F75" w:rsidRDefault="000C50D0" w:rsidP="00943EE6">
      <w:pPr>
        <w:keepNext/>
      </w:pPr>
    </w:p>
    <w:p w:rsidR="000C50D0" w:rsidRPr="00452F75" w:rsidRDefault="000C50D0" w:rsidP="000C50D0">
      <w:pPr>
        <w:pStyle w:val="ListParagraph"/>
      </w:pPr>
      <w:r w:rsidRPr="00452F75">
        <w:t xml:space="preserve">An application was filed with the TGA in May 2015 for the use of cobimetinib in combination with vemurafenib, for the treatment of patients with </w:t>
      </w:r>
      <w:r w:rsidRPr="009544E5">
        <w:rPr>
          <w:i/>
        </w:rPr>
        <w:t>BRAF</w:t>
      </w:r>
      <w:r w:rsidRPr="00452F75">
        <w:t xml:space="preserve"> V600 mutation </w:t>
      </w:r>
      <w:r w:rsidRPr="00452F75">
        <w:lastRenderedPageBreak/>
        <w:t>positive unres</w:t>
      </w:r>
      <w:r w:rsidR="00943EE6">
        <w:t>ectable or metastatic melanoma.</w:t>
      </w:r>
      <w:r w:rsidRPr="00452F75">
        <w:t xml:space="preserve"> The TGA delegate’s </w:t>
      </w:r>
      <w:r w:rsidR="00F76027" w:rsidRPr="00452F75">
        <w:t>overview</w:t>
      </w:r>
      <w:r w:rsidRPr="00452F75">
        <w:t xml:space="preserve"> </w:t>
      </w:r>
      <w:r w:rsidR="00F76027">
        <w:t>was available</w:t>
      </w:r>
      <w:r w:rsidRPr="00452F75">
        <w:t xml:space="preserve"> at the time of PBAC</w:t>
      </w:r>
      <w:r w:rsidR="00F76027">
        <w:t xml:space="preserve"> for</w:t>
      </w:r>
      <w:r w:rsidRPr="00452F75">
        <w:t xml:space="preserve"> consideration</w:t>
      </w:r>
      <w:r w:rsidR="00943EE6">
        <w:t>.</w:t>
      </w:r>
      <w:r w:rsidR="00F76027">
        <w:t xml:space="preserve"> </w:t>
      </w:r>
      <w:r w:rsidR="004204E5">
        <w:t>T</w:t>
      </w:r>
      <w:r w:rsidR="00F76027">
        <w:t xml:space="preserve">he overview indicated that </w:t>
      </w:r>
      <w:r w:rsidRPr="00452F75">
        <w:t>consideration at the ACPM meeting in April 2016</w:t>
      </w:r>
      <w:r w:rsidR="00F76027">
        <w:t xml:space="preserve"> was not required to register cobimetinib</w:t>
      </w:r>
      <w:r w:rsidRPr="00452F75">
        <w:t>.</w:t>
      </w:r>
    </w:p>
    <w:p w:rsidR="00FD2B43" w:rsidRPr="00452F75" w:rsidRDefault="00FD2B43" w:rsidP="00B7251C">
      <w:pPr>
        <w:rPr>
          <w:highlight w:val="yellow"/>
        </w:rPr>
      </w:pPr>
    </w:p>
    <w:p w:rsidR="00F55201" w:rsidRPr="00452F75" w:rsidRDefault="00F55201" w:rsidP="00654033">
      <w:pPr>
        <w:pStyle w:val="ListParagraph"/>
      </w:pPr>
      <w:r w:rsidRPr="00452F75">
        <w:t xml:space="preserve">This </w:t>
      </w:r>
      <w:r w:rsidR="00F76027">
        <w:t>wa</w:t>
      </w:r>
      <w:r w:rsidRPr="00452F75">
        <w:t xml:space="preserve">s the first consideration by the PBAC of vemurafenib + cobimetinib for the treatment of </w:t>
      </w:r>
      <w:r w:rsidRPr="009544E5">
        <w:rPr>
          <w:i/>
        </w:rPr>
        <w:t>BRAF</w:t>
      </w:r>
      <w:r w:rsidRPr="00452F75">
        <w:t xml:space="preserve"> V600 mutation positive unresectable or metastatic melanoma.</w:t>
      </w:r>
    </w:p>
    <w:p w:rsidR="00F55201" w:rsidRPr="00452F75" w:rsidRDefault="00F55201" w:rsidP="00F55201"/>
    <w:p w:rsidR="003F5896" w:rsidRPr="00452F75" w:rsidRDefault="00CA5D56" w:rsidP="00654033">
      <w:pPr>
        <w:pStyle w:val="ListParagraph"/>
      </w:pPr>
      <w:r w:rsidRPr="00452F75">
        <w:t>Two previous submissions for vemurafenib monotherapy treatment of unresectable or metastatic melanoma were deferred by the PBAC in July 2012 and March 2013.</w:t>
      </w:r>
    </w:p>
    <w:p w:rsidR="00280603" w:rsidRPr="00452F75" w:rsidRDefault="00280603" w:rsidP="00F55D9A"/>
    <w:p w:rsidR="00280603" w:rsidRPr="00452F75" w:rsidRDefault="00171A6D" w:rsidP="00654033">
      <w:pPr>
        <w:pStyle w:val="ListParagraph"/>
      </w:pPr>
      <w:r w:rsidRPr="00452F75">
        <w:t xml:space="preserve">A coordinated application to MSAC to request an amendment to include vemurafenib in the existing MBS item descriptor (73336) for </w:t>
      </w:r>
      <w:r w:rsidRPr="009544E5">
        <w:rPr>
          <w:i/>
        </w:rPr>
        <w:t>BRAF</w:t>
      </w:r>
      <w:r w:rsidRPr="00452F75">
        <w:t xml:space="preserve"> testing is being undertaken by the sponsor.</w:t>
      </w:r>
    </w:p>
    <w:p w:rsidR="00F97A78" w:rsidRPr="00452F75" w:rsidRDefault="00F97A78" w:rsidP="00A35D16">
      <w:pPr>
        <w:widowControl/>
        <w:rPr>
          <w:szCs w:val="22"/>
        </w:rPr>
      </w:pPr>
    </w:p>
    <w:p w:rsidR="00211700" w:rsidRPr="00211700" w:rsidRDefault="00211700" w:rsidP="00D41261">
      <w:pPr>
        <w:ind w:left="709"/>
        <w:contextualSpacing/>
        <w:rPr>
          <w:i/>
          <w:szCs w:val="22"/>
        </w:rPr>
      </w:pPr>
      <w:r w:rsidRPr="00DD5772">
        <w:rPr>
          <w:i/>
          <w:szCs w:val="22"/>
        </w:rPr>
        <w:t>For more detail on PBAC’s view, see section 7 “PBAC outcome”</w:t>
      </w:r>
      <w:r w:rsidR="004204E5" w:rsidRPr="00DD5772">
        <w:rPr>
          <w:i/>
          <w:szCs w:val="22"/>
        </w:rPr>
        <w:t>.</w:t>
      </w:r>
    </w:p>
    <w:p w:rsidR="004E43B2" w:rsidRDefault="004E43B2" w:rsidP="004B1CB4"/>
    <w:p w:rsidR="00211700" w:rsidRPr="00452F75" w:rsidRDefault="00211700" w:rsidP="004B1CB4"/>
    <w:p w:rsidR="00B50DB8" w:rsidRPr="00452F75" w:rsidRDefault="00503643" w:rsidP="00C27C38">
      <w:pPr>
        <w:pStyle w:val="Heading1"/>
      </w:pPr>
      <w:bookmarkStart w:id="5" w:name="_Toc440982667"/>
      <w:r w:rsidRPr="00452F75">
        <w:t>Clinical place for the proposed therapy</w:t>
      </w:r>
      <w:bookmarkEnd w:id="5"/>
    </w:p>
    <w:p w:rsidR="00503643" w:rsidRPr="00452F75" w:rsidRDefault="00503643" w:rsidP="00503643">
      <w:pPr>
        <w:widowControl/>
        <w:rPr>
          <w:szCs w:val="22"/>
        </w:rPr>
      </w:pPr>
    </w:p>
    <w:p w:rsidR="00F76027" w:rsidRDefault="00B315FE" w:rsidP="00654033">
      <w:pPr>
        <w:pStyle w:val="ListParagraph"/>
      </w:pPr>
      <w:r w:rsidRPr="00452F75">
        <w:t>The submission place</w:t>
      </w:r>
      <w:r w:rsidR="00590198" w:rsidRPr="00452F75">
        <w:t>d</w:t>
      </w:r>
      <w:r w:rsidRPr="00452F75">
        <w:t xml:space="preserve"> vemurafenib + cobimetinib as a first-line treatment option for </w:t>
      </w:r>
      <w:r w:rsidRPr="009544E5">
        <w:rPr>
          <w:i/>
        </w:rPr>
        <w:t>BRAF</w:t>
      </w:r>
      <w:r w:rsidRPr="00452F75">
        <w:t xml:space="preserve"> positive patients alongside dabrafenib + trametinib.</w:t>
      </w:r>
      <w:r w:rsidR="00B63FB1" w:rsidRPr="00452F75">
        <w:t xml:space="preserve"> </w:t>
      </w:r>
      <w:r w:rsidRPr="00452F75">
        <w:t xml:space="preserve"> </w:t>
      </w:r>
      <w:r w:rsidR="0091347E">
        <w:t xml:space="preserve">The </w:t>
      </w:r>
      <w:r w:rsidR="004204E5">
        <w:t>PBAC accepted this positioning.</w:t>
      </w:r>
    </w:p>
    <w:p w:rsidR="0091347E" w:rsidRDefault="0091347E" w:rsidP="004204E5"/>
    <w:p w:rsidR="00503643" w:rsidRPr="00452F75" w:rsidRDefault="0091347E" w:rsidP="00654033">
      <w:pPr>
        <w:pStyle w:val="ListParagraph"/>
      </w:pPr>
      <w:r>
        <w:t>T</w:t>
      </w:r>
      <w:r w:rsidR="00B315FE" w:rsidRPr="00452F75">
        <w:t>he submission present</w:t>
      </w:r>
      <w:r w:rsidR="00590198" w:rsidRPr="00452F75">
        <w:t>ed</w:t>
      </w:r>
      <w:r w:rsidR="00B315FE" w:rsidRPr="00452F75">
        <w:t xml:space="preserve"> an alternative treatment algorithm in which first-line treatment for </w:t>
      </w:r>
      <w:r w:rsidR="00B315FE" w:rsidRPr="009544E5">
        <w:rPr>
          <w:i/>
        </w:rPr>
        <w:t>BRAF</w:t>
      </w:r>
      <w:r w:rsidR="00B315FE" w:rsidRPr="00452F75">
        <w:t xml:space="preserve"> positive patients includes PD-1 inhibitors, BRAF + MEK inhibitors along with nivolumab + ipilimumab</w:t>
      </w:r>
      <w:r w:rsidR="004204E5">
        <w:t>,</w:t>
      </w:r>
      <w:r w:rsidR="00B315FE" w:rsidRPr="00452F75">
        <w:t xml:space="preserve"> and best supportive care.</w:t>
      </w:r>
      <w:r>
        <w:t xml:space="preserve">  The PBAC did not accept this alternative </w:t>
      </w:r>
      <w:r w:rsidRPr="00452F75">
        <w:t>treatment algorithm</w:t>
      </w:r>
      <w:r>
        <w:t>.</w:t>
      </w:r>
    </w:p>
    <w:p w:rsidR="00B60939" w:rsidRDefault="00B60939" w:rsidP="004B1CB4"/>
    <w:p w:rsidR="00211700" w:rsidRPr="00211700" w:rsidRDefault="00211700" w:rsidP="00D41261">
      <w:pPr>
        <w:ind w:left="709"/>
        <w:contextualSpacing/>
        <w:rPr>
          <w:i/>
          <w:szCs w:val="22"/>
        </w:rPr>
      </w:pPr>
      <w:r w:rsidRPr="00DD5772">
        <w:rPr>
          <w:i/>
          <w:szCs w:val="22"/>
        </w:rPr>
        <w:t>For more detail on PBAC’s view, see section 7 “PBAC outcome”</w:t>
      </w:r>
      <w:r w:rsidR="004204E5" w:rsidRPr="00DD5772">
        <w:rPr>
          <w:i/>
          <w:szCs w:val="22"/>
        </w:rPr>
        <w:t>.</w:t>
      </w:r>
    </w:p>
    <w:p w:rsidR="00211700" w:rsidRPr="00452F75" w:rsidRDefault="00211700" w:rsidP="004B1CB4"/>
    <w:p w:rsidR="00E55BB5" w:rsidRPr="00452F75" w:rsidRDefault="00E55BB5" w:rsidP="00B60939">
      <w:pPr>
        <w:pStyle w:val="Header"/>
        <w:rPr>
          <w:szCs w:val="22"/>
        </w:rPr>
      </w:pPr>
    </w:p>
    <w:p w:rsidR="00B50DB8" w:rsidRPr="00452F75" w:rsidRDefault="00B50DB8" w:rsidP="00C27C38">
      <w:pPr>
        <w:pStyle w:val="Heading1"/>
      </w:pPr>
      <w:bookmarkStart w:id="6" w:name="_Toc440982668"/>
      <w:r w:rsidRPr="00452F75">
        <w:t>Comparator</w:t>
      </w:r>
      <w:bookmarkEnd w:id="6"/>
    </w:p>
    <w:p w:rsidR="00B60939" w:rsidRPr="00452F75" w:rsidRDefault="00B60939" w:rsidP="004B1CB4"/>
    <w:p w:rsidR="00F36869" w:rsidRPr="0091347E" w:rsidRDefault="00B315FE" w:rsidP="0091347E">
      <w:pPr>
        <w:pStyle w:val="ListParagraph"/>
      </w:pPr>
      <w:r w:rsidRPr="00452F75">
        <w:t xml:space="preserve">The </w:t>
      </w:r>
      <w:r w:rsidR="00A81AE0" w:rsidRPr="00452F75">
        <w:t xml:space="preserve">nominated </w:t>
      </w:r>
      <w:r w:rsidRPr="00452F75">
        <w:t xml:space="preserve">comparator </w:t>
      </w:r>
      <w:r w:rsidR="00A81AE0" w:rsidRPr="00452F75">
        <w:t>wa</w:t>
      </w:r>
      <w:r w:rsidRPr="00452F75">
        <w:t>s combination therapy with dabrafenib + trametinib.  This is the appropriate comparator given the current</w:t>
      </w:r>
      <w:r w:rsidR="00590198" w:rsidRPr="00452F75">
        <w:t xml:space="preserve"> treatment</w:t>
      </w:r>
      <w:r w:rsidRPr="00452F75">
        <w:t xml:space="preserve"> algorithm, although this algorithm is still evolving. </w:t>
      </w:r>
      <w:r w:rsidR="007C22A9" w:rsidRPr="00452F75">
        <w:t xml:space="preserve"> </w:t>
      </w:r>
      <w:r w:rsidRPr="00452F75">
        <w:t xml:space="preserve">The submission </w:t>
      </w:r>
      <w:r w:rsidR="00F36869" w:rsidRPr="00452F75">
        <w:t>did</w:t>
      </w:r>
      <w:r w:rsidRPr="00452F75">
        <w:t xml:space="preserve"> not consider a secondary comparison against the PD-1 inhibitors, nivolumab or pembrolizumab</w:t>
      </w:r>
      <w:r w:rsidR="00F36869" w:rsidRPr="00452F75">
        <w:t>,</w:t>
      </w:r>
      <w:r w:rsidRPr="00452F75">
        <w:t xml:space="preserve"> but in </w:t>
      </w:r>
      <w:r w:rsidR="00A81AE0" w:rsidRPr="00452F75">
        <w:t xml:space="preserve">its </w:t>
      </w:r>
      <w:r w:rsidRPr="00452F75">
        <w:t>Section F</w:t>
      </w:r>
      <w:r w:rsidR="00A81AE0" w:rsidRPr="00452F75">
        <w:t>,</w:t>
      </w:r>
      <w:r w:rsidRPr="00452F75">
        <w:t xml:space="preserve"> the submission </w:t>
      </w:r>
      <w:r w:rsidR="00A81AE0" w:rsidRPr="00452F75">
        <w:t>also</w:t>
      </w:r>
      <w:r w:rsidRPr="00452F75">
        <w:t xml:space="preserve"> request</w:t>
      </w:r>
      <w:r w:rsidR="00A81AE0" w:rsidRPr="00452F75">
        <w:t>ed</w:t>
      </w:r>
      <w:r w:rsidRPr="00452F75">
        <w:t xml:space="preserve"> a modification to the proposed listing </w:t>
      </w:r>
      <w:r w:rsidR="00F36869" w:rsidRPr="00452F75">
        <w:t xml:space="preserve">which would </w:t>
      </w:r>
      <w:r w:rsidR="00897B72" w:rsidRPr="00452F75">
        <w:t xml:space="preserve">put </w:t>
      </w:r>
      <w:r w:rsidR="007C22A9" w:rsidRPr="00452F75">
        <w:t xml:space="preserve">vemurafenib + cobimetinib alongside PD-1 inhibitors as a first-line treatment option for </w:t>
      </w:r>
      <w:r w:rsidR="007C22A9" w:rsidRPr="009544E5">
        <w:rPr>
          <w:i/>
        </w:rPr>
        <w:t>BRAF</w:t>
      </w:r>
      <w:r w:rsidR="007C22A9" w:rsidRPr="00452F75">
        <w:t xml:space="preserve"> mutation positive patients. </w:t>
      </w:r>
      <w:r w:rsidR="00A81AE0" w:rsidRPr="00452F75">
        <w:t xml:space="preserve"> </w:t>
      </w:r>
      <w:r w:rsidR="00DF6DD6" w:rsidRPr="0091347E">
        <w:t xml:space="preserve">ESC </w:t>
      </w:r>
      <w:r w:rsidR="00B7251C" w:rsidRPr="0091347E">
        <w:t xml:space="preserve">advised that the main clinical uncertainty with the immunotherapies related to the </w:t>
      </w:r>
      <w:r w:rsidR="005348CF" w:rsidRPr="0091347E">
        <w:t>sequencing of genetically targeted treatment and immunotherapy</w:t>
      </w:r>
      <w:r w:rsidR="00DF6DD6" w:rsidRPr="0091347E">
        <w:t>.</w:t>
      </w:r>
      <w:r w:rsidR="0091347E">
        <w:t xml:space="preserve">  The PBAC r</w:t>
      </w:r>
      <w:r w:rsidR="0091347E" w:rsidRPr="0091347E">
        <w:t>eject</w:t>
      </w:r>
      <w:r w:rsidR="0091347E">
        <w:t>ed</w:t>
      </w:r>
      <w:r w:rsidR="0091347E" w:rsidRPr="0091347E">
        <w:t xml:space="preserve"> the </w:t>
      </w:r>
      <w:r w:rsidR="002D1376">
        <w:t xml:space="preserve">request for this </w:t>
      </w:r>
      <w:r w:rsidR="0091347E" w:rsidRPr="0091347E">
        <w:t>addi</w:t>
      </w:r>
      <w:r w:rsidR="002D1376">
        <w:t xml:space="preserve">tional </w:t>
      </w:r>
      <w:r w:rsidR="0091347E" w:rsidRPr="0091347E">
        <w:t xml:space="preserve">restriction where </w:t>
      </w:r>
      <w:r w:rsidR="0091347E">
        <w:t xml:space="preserve">the </w:t>
      </w:r>
      <w:r w:rsidR="0091347E" w:rsidRPr="0091347E">
        <w:t>comb</w:t>
      </w:r>
      <w:r w:rsidR="0091347E">
        <w:t>ination of</w:t>
      </w:r>
      <w:r w:rsidR="0091347E" w:rsidRPr="0091347E">
        <w:t xml:space="preserve"> BRAF/MEK </w:t>
      </w:r>
      <w:r w:rsidR="0091347E" w:rsidRPr="00452F75">
        <w:t>inhibitors</w:t>
      </w:r>
      <w:r w:rsidR="0091347E" w:rsidRPr="0091347E">
        <w:t xml:space="preserve"> follows PD1 inhibitors</w:t>
      </w:r>
      <w:r w:rsidR="0091347E">
        <w:t>.</w:t>
      </w:r>
    </w:p>
    <w:p w:rsidR="002C2775" w:rsidRDefault="002C2775" w:rsidP="00496601"/>
    <w:p w:rsidR="00211700" w:rsidRPr="00365313" w:rsidRDefault="00211700" w:rsidP="00D41261">
      <w:pPr>
        <w:ind w:left="709"/>
        <w:contextualSpacing/>
        <w:rPr>
          <w:i/>
          <w:szCs w:val="22"/>
        </w:rPr>
      </w:pPr>
      <w:r w:rsidRPr="00365313">
        <w:rPr>
          <w:i/>
          <w:szCs w:val="22"/>
        </w:rPr>
        <w:t>For more detail on PBAC’s view, see section 7 “PBAC outcome”</w:t>
      </w:r>
      <w:r w:rsidR="002D1376">
        <w:rPr>
          <w:i/>
          <w:szCs w:val="22"/>
        </w:rPr>
        <w:t>.</w:t>
      </w:r>
    </w:p>
    <w:p w:rsidR="00211700" w:rsidRDefault="00211700" w:rsidP="00211700">
      <w:pPr>
        <w:pStyle w:val="PBACHeading1"/>
        <w:numPr>
          <w:ilvl w:val="0"/>
          <w:numId w:val="0"/>
        </w:numPr>
      </w:pPr>
      <w:bookmarkStart w:id="7" w:name="_Toc440982669"/>
    </w:p>
    <w:p w:rsidR="00211700" w:rsidRDefault="00211700" w:rsidP="002D1376">
      <w:pPr>
        <w:pStyle w:val="PBACHeading1"/>
        <w:numPr>
          <w:ilvl w:val="0"/>
          <w:numId w:val="0"/>
        </w:numPr>
        <w:ind w:left="720" w:hanging="720"/>
      </w:pPr>
    </w:p>
    <w:p w:rsidR="00B50DB8" w:rsidRDefault="00BD6CF3" w:rsidP="00C27C38">
      <w:pPr>
        <w:pStyle w:val="Heading1"/>
      </w:pPr>
      <w:r w:rsidRPr="00452F75">
        <w:t>C</w:t>
      </w:r>
      <w:r w:rsidR="00B50DB8" w:rsidRPr="00452F75">
        <w:t>onsideration of the evidence</w:t>
      </w:r>
      <w:bookmarkEnd w:id="7"/>
    </w:p>
    <w:p w:rsidR="00211700" w:rsidRDefault="00211700" w:rsidP="002D1376">
      <w:pPr>
        <w:pStyle w:val="PBACHeading1"/>
        <w:numPr>
          <w:ilvl w:val="0"/>
          <w:numId w:val="0"/>
        </w:numPr>
        <w:rPr>
          <w:b w:val="0"/>
        </w:rPr>
      </w:pPr>
    </w:p>
    <w:p w:rsidR="00943EE6" w:rsidRPr="00943EE6" w:rsidRDefault="00943EE6" w:rsidP="00C27C38">
      <w:pPr>
        <w:pStyle w:val="Heading2"/>
      </w:pPr>
      <w:r w:rsidRPr="00943EE6">
        <w:lastRenderedPageBreak/>
        <w:t>Sponsor hearing</w:t>
      </w:r>
    </w:p>
    <w:p w:rsidR="00943EE6" w:rsidRPr="0091347E" w:rsidRDefault="00943EE6" w:rsidP="002D1376">
      <w:pPr>
        <w:pStyle w:val="PBACHeading1"/>
        <w:numPr>
          <w:ilvl w:val="0"/>
          <w:numId w:val="0"/>
        </w:numPr>
        <w:rPr>
          <w:b w:val="0"/>
        </w:rPr>
      </w:pPr>
    </w:p>
    <w:p w:rsidR="0091347E" w:rsidRPr="002D1376" w:rsidRDefault="0091347E" w:rsidP="002D1376">
      <w:pPr>
        <w:pStyle w:val="ListParagraph"/>
        <w:jc w:val="left"/>
        <w:rPr>
          <w:bCs/>
        </w:rPr>
      </w:pPr>
      <w:r w:rsidRPr="0091347E">
        <w:t>Ther</w:t>
      </w:r>
      <w:r w:rsidR="002D1376">
        <w:t>e was no hearing for this item.</w:t>
      </w:r>
    </w:p>
    <w:p w:rsidR="002D1376" w:rsidRDefault="002D1376" w:rsidP="002D1376">
      <w:pPr>
        <w:pStyle w:val="PBACHeading1"/>
        <w:numPr>
          <w:ilvl w:val="0"/>
          <w:numId w:val="0"/>
        </w:numPr>
        <w:rPr>
          <w:bCs/>
        </w:rPr>
      </w:pPr>
    </w:p>
    <w:p w:rsidR="00943EE6" w:rsidRPr="00943EE6" w:rsidRDefault="00943EE6" w:rsidP="00C27C38">
      <w:pPr>
        <w:pStyle w:val="Heading2"/>
      </w:pPr>
      <w:r w:rsidRPr="00943EE6">
        <w:t>Consumer comments</w:t>
      </w:r>
    </w:p>
    <w:p w:rsidR="00943EE6" w:rsidRPr="002D1376" w:rsidRDefault="00943EE6" w:rsidP="002D1376">
      <w:pPr>
        <w:pStyle w:val="PBACHeading1"/>
        <w:numPr>
          <w:ilvl w:val="0"/>
          <w:numId w:val="0"/>
        </w:numPr>
        <w:rPr>
          <w:bCs/>
        </w:rPr>
      </w:pPr>
    </w:p>
    <w:p w:rsidR="0091347E" w:rsidRPr="0091347E" w:rsidRDefault="0091347E" w:rsidP="002D1376">
      <w:pPr>
        <w:pStyle w:val="ListParagraph"/>
        <w:jc w:val="left"/>
        <w:rPr>
          <w:bCs/>
        </w:rPr>
      </w:pPr>
      <w:r w:rsidRPr="0091347E">
        <w:rPr>
          <w:bCs/>
        </w:rPr>
        <w:t>The PBAC noted that no consumer comments were received for this item.</w:t>
      </w:r>
    </w:p>
    <w:p w:rsidR="00211700" w:rsidRPr="00452F75" w:rsidRDefault="00211700" w:rsidP="004B1CB4"/>
    <w:p w:rsidR="00B60939" w:rsidRPr="00C27C38" w:rsidRDefault="00B60939" w:rsidP="00C27C38">
      <w:pPr>
        <w:pStyle w:val="Heading2"/>
      </w:pPr>
      <w:bookmarkStart w:id="8" w:name="_Toc440982670"/>
      <w:r w:rsidRPr="00C27C38">
        <w:t>Clinical trials</w:t>
      </w:r>
      <w:bookmarkEnd w:id="8"/>
    </w:p>
    <w:p w:rsidR="00B60939" w:rsidRPr="00452F75" w:rsidRDefault="00B60939" w:rsidP="00B60939">
      <w:pPr>
        <w:rPr>
          <w:szCs w:val="22"/>
        </w:rPr>
      </w:pPr>
    </w:p>
    <w:p w:rsidR="0091347E" w:rsidRDefault="00C8387A" w:rsidP="00F82C79">
      <w:pPr>
        <w:pStyle w:val="ListParagraph"/>
      </w:pPr>
      <w:r w:rsidRPr="00452F75">
        <w:t>With no head-to-head trials comparing vemurafenib + cobimetinib to dabrafenib + trametinib, the submission was based on an indirect comparison using the coBRIM trial for vemurafenib + cobimetinib (n=</w:t>
      </w:r>
      <w:r w:rsidR="00312870" w:rsidRPr="00452F75">
        <w:t>495</w:t>
      </w:r>
      <w:r w:rsidRPr="00452F75">
        <w:t>) and the COMBI-D (n=</w:t>
      </w:r>
      <w:r w:rsidR="00312870" w:rsidRPr="00452F75">
        <w:t>225</w:t>
      </w:r>
      <w:r w:rsidRPr="00452F75">
        <w:t>) and COMBI-V (n=</w:t>
      </w:r>
      <w:r w:rsidR="00312870" w:rsidRPr="00452F75">
        <w:t>310</w:t>
      </w:r>
      <w:r w:rsidRPr="00452F75">
        <w:t>) trials for dabrafenib + trametinib.</w:t>
      </w:r>
    </w:p>
    <w:p w:rsidR="00186AD2" w:rsidRPr="00452F75" w:rsidRDefault="00186AD2" w:rsidP="002D1376"/>
    <w:p w:rsidR="00862502" w:rsidRPr="00452F75" w:rsidRDefault="00862502" w:rsidP="00186AD2">
      <w:pPr>
        <w:pStyle w:val="ListParagraph"/>
      </w:pPr>
      <w:r w:rsidRPr="00452F75">
        <w:t>Details of the trials presented in the submission ar</w:t>
      </w:r>
      <w:r w:rsidR="0091347E">
        <w:t>e provided in T</w:t>
      </w:r>
      <w:r w:rsidR="00B63FB1" w:rsidRPr="00452F75">
        <w:t xml:space="preserve">able </w:t>
      </w:r>
      <w:r w:rsidR="0091347E">
        <w:t xml:space="preserve">1 </w:t>
      </w:r>
      <w:r w:rsidR="00B63FB1" w:rsidRPr="00452F75">
        <w:t>below.</w:t>
      </w:r>
    </w:p>
    <w:p w:rsidR="00186AD2" w:rsidRPr="00452F75" w:rsidRDefault="00186AD2" w:rsidP="005348CF"/>
    <w:p w:rsidR="00396AA6" w:rsidRPr="00452F75" w:rsidRDefault="00396AA6" w:rsidP="00943EE6">
      <w:pPr>
        <w:keepNext/>
        <w:ind w:left="709"/>
        <w:rPr>
          <w:rFonts w:ascii="Arial Narrow" w:hAnsi="Arial Narrow"/>
          <w:b/>
          <w:sz w:val="20"/>
          <w:szCs w:val="16"/>
        </w:rPr>
      </w:pPr>
      <w:r w:rsidRPr="00452F75">
        <w:rPr>
          <w:rFonts w:ascii="Arial Narrow" w:hAnsi="Arial Narrow"/>
          <w:b/>
          <w:sz w:val="20"/>
          <w:szCs w:val="16"/>
        </w:rPr>
        <w:lastRenderedPageBreak/>
        <w:t>Table 1: Trials and associated reports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19"/>
        <w:gridCol w:w="4508"/>
        <w:gridCol w:w="1676"/>
        <w:gridCol w:w="1161"/>
      </w:tblGrid>
      <w:tr w:rsidR="00396AA6" w:rsidRPr="00452F75" w:rsidTr="00673E88">
        <w:trPr>
          <w:tblHeader/>
        </w:trPr>
        <w:tc>
          <w:tcPr>
            <w:tcW w:w="609" w:type="pct"/>
          </w:tcPr>
          <w:p w:rsidR="00396AA6" w:rsidRPr="00452F75" w:rsidRDefault="00396AA6" w:rsidP="00943EE6">
            <w:pPr>
              <w:keepNext/>
              <w:jc w:val="left"/>
              <w:rPr>
                <w:rFonts w:ascii="Arial Narrow" w:hAnsi="Arial Narrow"/>
                <w:b/>
                <w:sz w:val="20"/>
              </w:rPr>
            </w:pPr>
            <w:r w:rsidRPr="00452F75">
              <w:rPr>
                <w:rFonts w:ascii="Arial Narrow" w:hAnsi="Arial Narrow"/>
                <w:b/>
                <w:sz w:val="20"/>
              </w:rPr>
              <w:t>Trial ID</w:t>
            </w:r>
          </w:p>
        </w:tc>
        <w:tc>
          <w:tcPr>
            <w:tcW w:w="2695" w:type="pct"/>
          </w:tcPr>
          <w:p w:rsidR="00396AA6" w:rsidRPr="00452F75" w:rsidRDefault="00396AA6" w:rsidP="00943EE6">
            <w:pPr>
              <w:keepNext/>
              <w:jc w:val="center"/>
              <w:rPr>
                <w:rFonts w:ascii="Arial Narrow" w:hAnsi="Arial Narrow"/>
                <w:b/>
                <w:sz w:val="20"/>
              </w:rPr>
            </w:pPr>
            <w:r w:rsidRPr="00452F75">
              <w:rPr>
                <w:rFonts w:ascii="Arial Narrow" w:hAnsi="Arial Narrow"/>
                <w:b/>
                <w:sz w:val="20"/>
              </w:rPr>
              <w:t>Protocol title/ Publication title</w:t>
            </w:r>
          </w:p>
        </w:tc>
        <w:tc>
          <w:tcPr>
            <w:tcW w:w="1002" w:type="pct"/>
          </w:tcPr>
          <w:p w:rsidR="00396AA6" w:rsidRPr="00452F75" w:rsidRDefault="00396AA6" w:rsidP="00943EE6">
            <w:pPr>
              <w:keepNext/>
              <w:jc w:val="center"/>
              <w:rPr>
                <w:rFonts w:ascii="Arial Narrow" w:hAnsi="Arial Narrow"/>
                <w:b/>
                <w:sz w:val="20"/>
              </w:rPr>
            </w:pPr>
            <w:r w:rsidRPr="00452F75">
              <w:rPr>
                <w:rFonts w:ascii="Arial Narrow" w:hAnsi="Arial Narrow"/>
                <w:b/>
                <w:sz w:val="20"/>
              </w:rPr>
              <w:t>Publication citation</w:t>
            </w:r>
          </w:p>
        </w:tc>
        <w:tc>
          <w:tcPr>
            <w:tcW w:w="694" w:type="pct"/>
          </w:tcPr>
          <w:p w:rsidR="00396AA6" w:rsidRPr="00452F75" w:rsidRDefault="00396AA6" w:rsidP="00943EE6">
            <w:pPr>
              <w:keepNext/>
              <w:jc w:val="center"/>
              <w:rPr>
                <w:rFonts w:ascii="Arial Narrow" w:hAnsi="Arial Narrow"/>
                <w:b/>
                <w:sz w:val="20"/>
              </w:rPr>
            </w:pPr>
            <w:r w:rsidRPr="00452F75">
              <w:rPr>
                <w:rFonts w:ascii="Arial Narrow" w:hAnsi="Arial Narrow"/>
                <w:b/>
                <w:sz w:val="20"/>
              </w:rPr>
              <w:t>Comparable</w:t>
            </w:r>
          </w:p>
        </w:tc>
      </w:tr>
      <w:tr w:rsidR="00396AA6" w:rsidRPr="00452F75" w:rsidTr="00910E5F">
        <w:tc>
          <w:tcPr>
            <w:tcW w:w="5000" w:type="pct"/>
            <w:gridSpan w:val="4"/>
          </w:tcPr>
          <w:p w:rsidR="00396AA6" w:rsidRPr="00452F75" w:rsidRDefault="00396AA6" w:rsidP="00943EE6">
            <w:pPr>
              <w:keepNext/>
              <w:jc w:val="left"/>
              <w:rPr>
                <w:rFonts w:ascii="Arial Narrow" w:hAnsi="Arial Narrow"/>
                <w:b/>
                <w:sz w:val="20"/>
              </w:rPr>
            </w:pPr>
            <w:r w:rsidRPr="00452F75">
              <w:rPr>
                <w:rFonts w:ascii="Arial Narrow" w:hAnsi="Arial Narrow"/>
                <w:b/>
                <w:sz w:val="20"/>
              </w:rPr>
              <w:t>Vemurafenib + cobimetinib trial</w:t>
            </w:r>
          </w:p>
        </w:tc>
      </w:tr>
      <w:tr w:rsidR="00396AA6" w:rsidRPr="00452F75" w:rsidTr="00910E5F">
        <w:tc>
          <w:tcPr>
            <w:tcW w:w="609" w:type="pct"/>
            <w:vMerge w:val="restart"/>
            <w:vAlign w:val="center"/>
          </w:tcPr>
          <w:p w:rsidR="00396AA6" w:rsidRPr="00452F75" w:rsidRDefault="00396AA6" w:rsidP="00943EE6">
            <w:pPr>
              <w:keepNext/>
              <w:jc w:val="left"/>
              <w:rPr>
                <w:rFonts w:ascii="Arial Narrow" w:hAnsi="Arial Narrow"/>
                <w:sz w:val="20"/>
              </w:rPr>
            </w:pPr>
            <w:r w:rsidRPr="00452F75">
              <w:rPr>
                <w:rFonts w:ascii="Arial Narrow" w:hAnsi="Arial Narrow"/>
                <w:sz w:val="20"/>
              </w:rPr>
              <w:t>coBRIM</w:t>
            </w:r>
          </w:p>
        </w:tc>
        <w:tc>
          <w:tcPr>
            <w:tcW w:w="2695" w:type="pct"/>
          </w:tcPr>
          <w:p w:rsidR="00396AA6" w:rsidRPr="00452F75" w:rsidRDefault="00396AA6" w:rsidP="00943EE6">
            <w:pPr>
              <w:keepNext/>
              <w:autoSpaceDE w:val="0"/>
              <w:autoSpaceDN w:val="0"/>
              <w:adjustRightInd w:val="0"/>
              <w:rPr>
                <w:rFonts w:ascii="Arial Narrow" w:hAnsi="Arial Narrow"/>
                <w:bCs/>
                <w:sz w:val="20"/>
              </w:rPr>
            </w:pPr>
            <w:r w:rsidRPr="00452F75">
              <w:rPr>
                <w:rFonts w:ascii="Arial Narrow" w:hAnsi="Arial Narrow"/>
                <w:bCs/>
                <w:sz w:val="20"/>
              </w:rPr>
              <w:t xml:space="preserve">Clinical study report GO28141 – A Phase III double-blind, placebo controlled study of vemurafenib versus vemurafenib plus GDC-0973 in previously untreated </w:t>
            </w:r>
            <w:r w:rsidRPr="009544E5">
              <w:rPr>
                <w:rFonts w:ascii="Arial Narrow" w:hAnsi="Arial Narrow"/>
                <w:bCs/>
                <w:i/>
                <w:sz w:val="20"/>
              </w:rPr>
              <w:t>BRAF</w:t>
            </w:r>
            <w:r w:rsidRPr="00452F75">
              <w:rPr>
                <w:rFonts w:ascii="Arial Narrow" w:hAnsi="Arial Narrow"/>
                <w:bCs/>
                <w:sz w:val="20"/>
              </w:rPr>
              <w:t>600-mutation positive patients with unresectable locally advanced or metastatic melanoma.</w:t>
            </w:r>
          </w:p>
        </w:tc>
        <w:tc>
          <w:tcPr>
            <w:tcW w:w="1002" w:type="pct"/>
          </w:tcPr>
          <w:p w:rsidR="00396AA6" w:rsidRPr="00452F75" w:rsidRDefault="00396AA6" w:rsidP="00943EE6">
            <w:pPr>
              <w:keepNext/>
              <w:jc w:val="left"/>
              <w:rPr>
                <w:rFonts w:ascii="Arial Narrow" w:hAnsi="Arial Narrow" w:cs="Segoe UI"/>
                <w:sz w:val="20"/>
              </w:rPr>
            </w:pPr>
            <w:r w:rsidRPr="00452F75">
              <w:rPr>
                <w:rFonts w:ascii="Arial Narrow" w:hAnsi="Arial Narrow" w:cs="Segoe UI"/>
                <w:sz w:val="20"/>
              </w:rPr>
              <w:t>Genentech Inc November 2014</w:t>
            </w:r>
          </w:p>
        </w:tc>
        <w:tc>
          <w:tcPr>
            <w:tcW w:w="694" w:type="pct"/>
            <w:vMerge w:val="restart"/>
            <w:vAlign w:val="center"/>
          </w:tcPr>
          <w:p w:rsidR="00396AA6" w:rsidRPr="00452F75" w:rsidRDefault="00396AA6" w:rsidP="00943EE6">
            <w:pPr>
              <w:keepNext/>
              <w:jc w:val="center"/>
              <w:rPr>
                <w:rFonts w:ascii="Arial Narrow" w:hAnsi="Arial Narrow" w:cs="Segoe UI"/>
                <w:sz w:val="20"/>
              </w:rPr>
            </w:pPr>
            <w:r w:rsidRPr="00452F75">
              <w:rPr>
                <w:rFonts w:ascii="Arial Narrow" w:hAnsi="Arial Narrow" w:cs="Segoe UI"/>
                <w:sz w:val="20"/>
              </w:rPr>
              <w:t>Yes</w:t>
            </w:r>
          </w:p>
        </w:tc>
      </w:tr>
      <w:tr w:rsidR="00396AA6" w:rsidRPr="00452F75" w:rsidTr="00910E5F">
        <w:tc>
          <w:tcPr>
            <w:tcW w:w="609" w:type="pct"/>
            <w:vMerge/>
          </w:tcPr>
          <w:p w:rsidR="00396AA6" w:rsidRPr="00452F75" w:rsidRDefault="00396AA6" w:rsidP="00943EE6">
            <w:pPr>
              <w:keepNext/>
              <w:jc w:val="left"/>
              <w:rPr>
                <w:rFonts w:ascii="Arial Narrow" w:hAnsi="Arial Narrow"/>
                <w:sz w:val="20"/>
              </w:rPr>
            </w:pPr>
          </w:p>
        </w:tc>
        <w:tc>
          <w:tcPr>
            <w:tcW w:w="2695" w:type="pct"/>
          </w:tcPr>
          <w:p w:rsidR="00396AA6" w:rsidRPr="00452F75" w:rsidRDefault="00396AA6" w:rsidP="00943EE6">
            <w:pPr>
              <w:keepNext/>
              <w:autoSpaceDE w:val="0"/>
              <w:autoSpaceDN w:val="0"/>
              <w:adjustRightInd w:val="0"/>
              <w:rPr>
                <w:rFonts w:ascii="Calibri" w:hAnsi="Calibri" w:cs="Segoe UI"/>
                <w:sz w:val="20"/>
              </w:rPr>
            </w:pPr>
            <w:r w:rsidRPr="00452F75">
              <w:rPr>
                <w:rFonts w:ascii="Arial Narrow" w:hAnsi="Arial Narrow"/>
                <w:bCs/>
                <w:sz w:val="20"/>
              </w:rPr>
              <w:t xml:space="preserve">Larkin J, Ascierto PA, Dreno B, et al. Combined vemurafenib and cobimetinib in </w:t>
            </w:r>
            <w:r w:rsidRPr="009544E5">
              <w:rPr>
                <w:rFonts w:ascii="Arial Narrow" w:hAnsi="Arial Narrow"/>
                <w:bCs/>
                <w:i/>
                <w:sz w:val="20"/>
              </w:rPr>
              <w:t>BRAF</w:t>
            </w:r>
            <w:r w:rsidRPr="00452F75">
              <w:rPr>
                <w:rFonts w:ascii="Arial Narrow" w:hAnsi="Arial Narrow"/>
                <w:bCs/>
                <w:sz w:val="20"/>
              </w:rPr>
              <w:t>-mutated melanoma</w:t>
            </w:r>
          </w:p>
        </w:tc>
        <w:tc>
          <w:tcPr>
            <w:tcW w:w="1002" w:type="pct"/>
          </w:tcPr>
          <w:p w:rsidR="00396AA6" w:rsidRPr="00452F75" w:rsidRDefault="00396AA6" w:rsidP="00943EE6">
            <w:pPr>
              <w:keepNext/>
              <w:jc w:val="left"/>
              <w:rPr>
                <w:rFonts w:ascii="Arial Narrow" w:hAnsi="Arial Narrow"/>
                <w:sz w:val="20"/>
              </w:rPr>
            </w:pPr>
            <w:r w:rsidRPr="00452F75">
              <w:rPr>
                <w:rFonts w:ascii="Arial Narrow" w:hAnsi="Arial Narrow"/>
                <w:sz w:val="20"/>
              </w:rPr>
              <w:t>NEJM 2014; 371(20):1867-76</w:t>
            </w:r>
          </w:p>
        </w:tc>
        <w:tc>
          <w:tcPr>
            <w:tcW w:w="694" w:type="pct"/>
            <w:vMerge/>
            <w:vAlign w:val="center"/>
          </w:tcPr>
          <w:p w:rsidR="00396AA6" w:rsidRPr="00452F75" w:rsidRDefault="00396AA6" w:rsidP="00943EE6">
            <w:pPr>
              <w:keepNext/>
              <w:jc w:val="center"/>
              <w:rPr>
                <w:rFonts w:ascii="Arial Narrow" w:hAnsi="Arial Narrow" w:cs="Segoe UI"/>
                <w:sz w:val="20"/>
              </w:rPr>
            </w:pPr>
          </w:p>
        </w:tc>
      </w:tr>
      <w:tr w:rsidR="00396AA6" w:rsidRPr="00452F75" w:rsidTr="00910E5F">
        <w:tc>
          <w:tcPr>
            <w:tcW w:w="609" w:type="pct"/>
            <w:vMerge/>
          </w:tcPr>
          <w:p w:rsidR="00396AA6" w:rsidRPr="00452F75" w:rsidRDefault="00396AA6" w:rsidP="00943EE6">
            <w:pPr>
              <w:keepNext/>
              <w:jc w:val="left"/>
              <w:rPr>
                <w:rFonts w:ascii="Arial Narrow" w:hAnsi="Arial Narrow"/>
                <w:sz w:val="20"/>
              </w:rPr>
            </w:pPr>
          </w:p>
        </w:tc>
        <w:tc>
          <w:tcPr>
            <w:tcW w:w="2695" w:type="pct"/>
          </w:tcPr>
          <w:p w:rsidR="00396AA6" w:rsidRPr="00452F75" w:rsidRDefault="00396AA6" w:rsidP="00943EE6">
            <w:pPr>
              <w:keepNext/>
              <w:jc w:val="left"/>
              <w:rPr>
                <w:rFonts w:ascii="Arial Narrow" w:hAnsi="Arial Narrow"/>
                <w:sz w:val="20"/>
              </w:rPr>
            </w:pPr>
            <w:r w:rsidRPr="00452F75">
              <w:rPr>
                <w:rFonts w:ascii="Arial Narrow" w:hAnsi="Arial Narrow"/>
                <w:bCs/>
                <w:sz w:val="20"/>
              </w:rPr>
              <w:t xml:space="preserve">Larkin J, Yan Y, McArthur GA et al. </w:t>
            </w:r>
            <w:r w:rsidRPr="00452F75">
              <w:rPr>
                <w:rFonts w:ascii="Arial Narrow" w:hAnsi="Arial Narrow" w:cs="Times"/>
                <w:snapToGrid/>
                <w:color w:val="000000"/>
                <w:sz w:val="20"/>
                <w:lang w:eastAsia="en-AU"/>
              </w:rPr>
              <w:t xml:space="preserve">Update of progression-free survival (PFS) and correlative biomarker analysis from coBRIM: Phase III study of cobimetinib (cobi) plus vemurafenib (vem) in advanced </w:t>
            </w:r>
            <w:r w:rsidRPr="009544E5">
              <w:rPr>
                <w:rFonts w:ascii="Arial Narrow" w:hAnsi="Arial Narrow" w:cs="Times"/>
                <w:i/>
                <w:snapToGrid/>
                <w:color w:val="000000"/>
                <w:sz w:val="20"/>
                <w:lang w:eastAsia="en-AU"/>
              </w:rPr>
              <w:t>BRAF</w:t>
            </w:r>
            <w:r w:rsidRPr="00452F75">
              <w:rPr>
                <w:rFonts w:ascii="Arial Narrow" w:hAnsi="Arial Narrow" w:cs="Times"/>
                <w:snapToGrid/>
                <w:color w:val="000000"/>
                <w:sz w:val="20"/>
                <w:lang w:eastAsia="en-AU"/>
              </w:rPr>
              <w:t>-mutated melanoma.</w:t>
            </w:r>
          </w:p>
        </w:tc>
        <w:tc>
          <w:tcPr>
            <w:tcW w:w="1002" w:type="pct"/>
          </w:tcPr>
          <w:p w:rsidR="00396AA6" w:rsidRPr="00452F75" w:rsidRDefault="00396AA6" w:rsidP="00943EE6">
            <w:pPr>
              <w:keepNext/>
              <w:jc w:val="left"/>
              <w:rPr>
                <w:rFonts w:ascii="Arial Narrow" w:hAnsi="Arial Narrow"/>
                <w:sz w:val="20"/>
              </w:rPr>
            </w:pPr>
            <w:r w:rsidRPr="00452F75">
              <w:rPr>
                <w:rFonts w:ascii="Arial Narrow" w:hAnsi="Arial Narrow" w:cs="Times"/>
                <w:snapToGrid/>
                <w:color w:val="000000"/>
                <w:sz w:val="20"/>
                <w:lang w:eastAsia="en-AU"/>
              </w:rPr>
              <w:t>J Clin Oncol 33, 2015 (suppl; abstr 9006)</w:t>
            </w:r>
          </w:p>
        </w:tc>
        <w:tc>
          <w:tcPr>
            <w:tcW w:w="694" w:type="pct"/>
            <w:vMerge/>
            <w:vAlign w:val="center"/>
          </w:tcPr>
          <w:p w:rsidR="00396AA6" w:rsidRPr="00452F75" w:rsidRDefault="00396AA6" w:rsidP="00943EE6">
            <w:pPr>
              <w:keepNext/>
              <w:jc w:val="center"/>
              <w:rPr>
                <w:rFonts w:ascii="Arial Narrow" w:hAnsi="Arial Narrow"/>
                <w:sz w:val="20"/>
              </w:rPr>
            </w:pPr>
          </w:p>
        </w:tc>
      </w:tr>
      <w:tr w:rsidR="00053F08" w:rsidRPr="00452F75" w:rsidTr="00053F08">
        <w:tc>
          <w:tcPr>
            <w:tcW w:w="5000" w:type="pct"/>
            <w:gridSpan w:val="4"/>
          </w:tcPr>
          <w:p w:rsidR="00053F08" w:rsidRPr="00452F75" w:rsidRDefault="00053F08" w:rsidP="00943EE6">
            <w:pPr>
              <w:keepNext/>
              <w:jc w:val="left"/>
              <w:rPr>
                <w:rFonts w:ascii="Arial Narrow" w:hAnsi="Arial Narrow"/>
                <w:b/>
                <w:sz w:val="20"/>
              </w:rPr>
            </w:pPr>
            <w:r w:rsidRPr="00452F75">
              <w:rPr>
                <w:rFonts w:ascii="Arial Narrow" w:hAnsi="Arial Narrow"/>
                <w:b/>
                <w:sz w:val="20"/>
              </w:rPr>
              <w:t>Dabrafenib + trametinib trials</w:t>
            </w:r>
          </w:p>
        </w:tc>
      </w:tr>
      <w:tr w:rsidR="00396AA6" w:rsidRPr="00452F75" w:rsidTr="00910E5F">
        <w:trPr>
          <w:trHeight w:val="70"/>
        </w:trPr>
        <w:tc>
          <w:tcPr>
            <w:tcW w:w="609" w:type="pct"/>
            <w:vMerge w:val="restart"/>
            <w:vAlign w:val="center"/>
          </w:tcPr>
          <w:p w:rsidR="00396AA6" w:rsidRPr="00452F75" w:rsidRDefault="00396AA6" w:rsidP="00943EE6">
            <w:pPr>
              <w:keepNext/>
              <w:jc w:val="left"/>
              <w:rPr>
                <w:rFonts w:ascii="Arial Narrow" w:hAnsi="Arial Narrow"/>
                <w:sz w:val="20"/>
              </w:rPr>
            </w:pPr>
            <w:r w:rsidRPr="00452F75">
              <w:rPr>
                <w:rFonts w:ascii="Arial Narrow" w:hAnsi="Arial Narrow"/>
                <w:sz w:val="20"/>
              </w:rPr>
              <w:t>COMBI-D</w:t>
            </w:r>
          </w:p>
        </w:tc>
        <w:tc>
          <w:tcPr>
            <w:tcW w:w="2695" w:type="pct"/>
          </w:tcPr>
          <w:p w:rsidR="00396AA6" w:rsidRPr="00452F75" w:rsidRDefault="00396AA6" w:rsidP="00943EE6">
            <w:pPr>
              <w:keepNext/>
              <w:jc w:val="left"/>
              <w:rPr>
                <w:rFonts w:ascii="Arial Narrow" w:hAnsi="Arial Narrow"/>
                <w:sz w:val="20"/>
              </w:rPr>
            </w:pPr>
            <w:r w:rsidRPr="00452F75">
              <w:rPr>
                <w:rFonts w:ascii="Arial Narrow" w:hAnsi="Arial Narrow"/>
                <w:sz w:val="20"/>
              </w:rPr>
              <w:t>Clinical study protocol - A phase III, randomised, double-blinded study comparing the combi</w:t>
            </w:r>
            <w:r w:rsidR="00EB008C" w:rsidRPr="00452F75">
              <w:rPr>
                <w:rFonts w:ascii="Arial Narrow" w:hAnsi="Arial Narrow"/>
                <w:sz w:val="20"/>
              </w:rPr>
              <w:t>nation of the BRAF inhibitor, d</w:t>
            </w:r>
            <w:r w:rsidRPr="00452F75">
              <w:rPr>
                <w:rFonts w:ascii="Arial Narrow" w:hAnsi="Arial Narrow"/>
                <w:sz w:val="20"/>
              </w:rPr>
              <w:t xml:space="preserve">abrafenib and the MEK inhibitor, trametinib to dabrafenib and placebo as first-line therapy in subjects with unresectable (Stage IIIc) or metastatic (Stage IV) </w:t>
            </w:r>
            <w:r w:rsidRPr="009544E5">
              <w:rPr>
                <w:rFonts w:ascii="Arial Narrow" w:hAnsi="Arial Narrow"/>
                <w:i/>
                <w:sz w:val="20"/>
              </w:rPr>
              <w:t>BRAF</w:t>
            </w:r>
            <w:r w:rsidRPr="00452F75">
              <w:rPr>
                <w:rFonts w:ascii="Arial Narrow" w:hAnsi="Arial Narrow"/>
                <w:sz w:val="20"/>
              </w:rPr>
              <w:t xml:space="preserve"> V600E/K mutation-positive cutaneous melanoma.</w:t>
            </w:r>
          </w:p>
        </w:tc>
        <w:tc>
          <w:tcPr>
            <w:tcW w:w="1002" w:type="pct"/>
          </w:tcPr>
          <w:p w:rsidR="00396AA6" w:rsidRPr="00452F75" w:rsidRDefault="00396AA6" w:rsidP="00943EE6">
            <w:pPr>
              <w:keepNext/>
              <w:jc w:val="left"/>
              <w:rPr>
                <w:rFonts w:ascii="Arial Narrow" w:hAnsi="Arial Narrow"/>
                <w:sz w:val="20"/>
              </w:rPr>
            </w:pPr>
            <w:r w:rsidRPr="00452F75">
              <w:rPr>
                <w:rFonts w:ascii="Arial Narrow" w:hAnsi="Arial Narrow"/>
                <w:iCs/>
                <w:sz w:val="20"/>
              </w:rPr>
              <w:t>GSK February 2012</w:t>
            </w:r>
          </w:p>
        </w:tc>
        <w:tc>
          <w:tcPr>
            <w:tcW w:w="694" w:type="pct"/>
            <w:vMerge w:val="restart"/>
            <w:vAlign w:val="center"/>
          </w:tcPr>
          <w:p w:rsidR="00396AA6" w:rsidRPr="00452F75" w:rsidRDefault="00396AA6" w:rsidP="00943EE6">
            <w:pPr>
              <w:keepNext/>
              <w:jc w:val="center"/>
              <w:rPr>
                <w:rFonts w:ascii="Arial Narrow" w:hAnsi="Arial Narrow"/>
                <w:sz w:val="20"/>
              </w:rPr>
            </w:pPr>
            <w:r w:rsidRPr="00452F75">
              <w:rPr>
                <w:rFonts w:ascii="Arial Narrow" w:hAnsi="Arial Narrow"/>
                <w:sz w:val="20"/>
              </w:rPr>
              <w:t>Yes</w:t>
            </w:r>
          </w:p>
        </w:tc>
      </w:tr>
      <w:tr w:rsidR="00396AA6" w:rsidRPr="00452F75" w:rsidTr="00910E5F">
        <w:tc>
          <w:tcPr>
            <w:tcW w:w="609" w:type="pct"/>
            <w:vMerge/>
          </w:tcPr>
          <w:p w:rsidR="00396AA6" w:rsidRPr="00452F75" w:rsidRDefault="00396AA6" w:rsidP="00943EE6">
            <w:pPr>
              <w:keepNext/>
              <w:jc w:val="left"/>
              <w:rPr>
                <w:rFonts w:ascii="Arial Narrow" w:hAnsi="Arial Narrow"/>
                <w:sz w:val="20"/>
              </w:rPr>
            </w:pPr>
          </w:p>
        </w:tc>
        <w:tc>
          <w:tcPr>
            <w:tcW w:w="2695" w:type="pct"/>
          </w:tcPr>
          <w:p w:rsidR="00396AA6" w:rsidRPr="00452F75" w:rsidRDefault="00396AA6" w:rsidP="00943EE6">
            <w:pPr>
              <w:keepNext/>
              <w:jc w:val="left"/>
              <w:rPr>
                <w:rFonts w:ascii="Arial Narrow" w:hAnsi="Arial Narrow"/>
                <w:sz w:val="20"/>
              </w:rPr>
            </w:pPr>
            <w:r w:rsidRPr="00452F75">
              <w:rPr>
                <w:rFonts w:ascii="Arial Narrow" w:hAnsi="Arial Narrow"/>
                <w:sz w:val="20"/>
              </w:rPr>
              <w:t>Long GV, Stroyakovskiy D, Gogas H, et al. Combined BRAF and MEK inhibition versus BRAF inhibition alone in melanoma.</w:t>
            </w:r>
          </w:p>
        </w:tc>
        <w:tc>
          <w:tcPr>
            <w:tcW w:w="1002" w:type="pct"/>
          </w:tcPr>
          <w:p w:rsidR="00396AA6" w:rsidRPr="00452F75" w:rsidRDefault="00396AA6" w:rsidP="00943EE6">
            <w:pPr>
              <w:keepNext/>
              <w:jc w:val="left"/>
              <w:rPr>
                <w:rFonts w:ascii="Arial Narrow" w:hAnsi="Arial Narrow"/>
                <w:sz w:val="20"/>
              </w:rPr>
            </w:pPr>
            <w:r w:rsidRPr="00452F75">
              <w:rPr>
                <w:rFonts w:ascii="Arial Narrow" w:hAnsi="Arial Narrow"/>
                <w:sz w:val="20"/>
              </w:rPr>
              <w:t>NEJM 2014; 371(20):1877-88</w:t>
            </w:r>
          </w:p>
        </w:tc>
        <w:tc>
          <w:tcPr>
            <w:tcW w:w="694" w:type="pct"/>
            <w:vMerge/>
            <w:vAlign w:val="center"/>
          </w:tcPr>
          <w:p w:rsidR="00396AA6" w:rsidRPr="00452F75" w:rsidRDefault="00396AA6" w:rsidP="00943EE6">
            <w:pPr>
              <w:keepNext/>
              <w:jc w:val="center"/>
              <w:rPr>
                <w:rFonts w:ascii="Arial Narrow" w:hAnsi="Arial Narrow"/>
                <w:sz w:val="20"/>
              </w:rPr>
            </w:pPr>
          </w:p>
        </w:tc>
      </w:tr>
      <w:tr w:rsidR="00396AA6" w:rsidRPr="00452F75" w:rsidTr="00910E5F">
        <w:tc>
          <w:tcPr>
            <w:tcW w:w="609" w:type="pct"/>
            <w:vMerge/>
          </w:tcPr>
          <w:p w:rsidR="00396AA6" w:rsidRPr="00452F75" w:rsidRDefault="00396AA6" w:rsidP="00943EE6">
            <w:pPr>
              <w:keepNext/>
              <w:jc w:val="left"/>
              <w:rPr>
                <w:rFonts w:ascii="Arial Narrow" w:hAnsi="Arial Narrow"/>
                <w:sz w:val="20"/>
              </w:rPr>
            </w:pPr>
          </w:p>
        </w:tc>
        <w:tc>
          <w:tcPr>
            <w:tcW w:w="2695" w:type="pct"/>
          </w:tcPr>
          <w:p w:rsidR="00396AA6" w:rsidRPr="00452F75" w:rsidRDefault="00396AA6" w:rsidP="00943EE6">
            <w:pPr>
              <w:keepNext/>
              <w:jc w:val="left"/>
              <w:rPr>
                <w:rFonts w:ascii="Arial Narrow" w:hAnsi="Arial Narrow"/>
                <w:sz w:val="20"/>
              </w:rPr>
            </w:pPr>
            <w:r w:rsidRPr="00452F75">
              <w:rPr>
                <w:rFonts w:ascii="Arial Narrow" w:hAnsi="Arial Narrow"/>
                <w:sz w:val="20"/>
              </w:rPr>
              <w:t xml:space="preserve">Long GV, Stroyakovskiy DL et al. Dabrafenib and trametinib versus dabrafenib and placebo for Val600 </w:t>
            </w:r>
            <w:r w:rsidRPr="009544E5">
              <w:rPr>
                <w:rFonts w:ascii="Arial Narrow" w:hAnsi="Arial Narrow"/>
                <w:i/>
                <w:sz w:val="20"/>
              </w:rPr>
              <w:t>BRAF</w:t>
            </w:r>
            <w:r w:rsidRPr="00452F75">
              <w:rPr>
                <w:rFonts w:ascii="Arial Narrow" w:hAnsi="Arial Narrow"/>
                <w:sz w:val="20"/>
              </w:rPr>
              <w:t>-mutant melanoma: a multicentre, double-blind, phase 3 randomised controlled trial.</w:t>
            </w:r>
          </w:p>
        </w:tc>
        <w:tc>
          <w:tcPr>
            <w:tcW w:w="1002" w:type="pct"/>
          </w:tcPr>
          <w:p w:rsidR="00396AA6" w:rsidRPr="00452F75" w:rsidRDefault="00396AA6" w:rsidP="00943EE6">
            <w:pPr>
              <w:keepNext/>
              <w:jc w:val="left"/>
              <w:rPr>
                <w:rFonts w:ascii="Arial Narrow" w:hAnsi="Arial Narrow"/>
                <w:sz w:val="20"/>
              </w:rPr>
            </w:pPr>
            <w:r w:rsidRPr="00452F75">
              <w:rPr>
                <w:rFonts w:ascii="Arial Narrow" w:hAnsi="Arial Narrow"/>
                <w:sz w:val="20"/>
              </w:rPr>
              <w:t>The Lancet 2015; 386: 444–51</w:t>
            </w:r>
          </w:p>
        </w:tc>
        <w:tc>
          <w:tcPr>
            <w:tcW w:w="694" w:type="pct"/>
            <w:vMerge/>
            <w:vAlign w:val="center"/>
          </w:tcPr>
          <w:p w:rsidR="00396AA6" w:rsidRPr="00452F75" w:rsidRDefault="00396AA6" w:rsidP="00943EE6">
            <w:pPr>
              <w:keepNext/>
              <w:jc w:val="center"/>
              <w:rPr>
                <w:rFonts w:ascii="Arial Narrow" w:hAnsi="Arial Narrow"/>
                <w:sz w:val="20"/>
              </w:rPr>
            </w:pPr>
          </w:p>
        </w:tc>
      </w:tr>
      <w:tr w:rsidR="00396AA6" w:rsidRPr="00452F75" w:rsidTr="00910E5F">
        <w:tc>
          <w:tcPr>
            <w:tcW w:w="609" w:type="pct"/>
            <w:vMerge/>
          </w:tcPr>
          <w:p w:rsidR="00396AA6" w:rsidRPr="00452F75" w:rsidRDefault="00396AA6" w:rsidP="00943EE6">
            <w:pPr>
              <w:keepNext/>
              <w:jc w:val="left"/>
              <w:rPr>
                <w:rFonts w:ascii="Arial Narrow" w:hAnsi="Arial Narrow"/>
                <w:sz w:val="20"/>
              </w:rPr>
            </w:pPr>
          </w:p>
        </w:tc>
        <w:tc>
          <w:tcPr>
            <w:tcW w:w="2695" w:type="pct"/>
          </w:tcPr>
          <w:p w:rsidR="00396AA6" w:rsidRPr="00452F75" w:rsidRDefault="00396AA6" w:rsidP="00943EE6">
            <w:pPr>
              <w:keepNext/>
              <w:jc w:val="left"/>
              <w:rPr>
                <w:rFonts w:ascii="Arial Narrow" w:hAnsi="Arial Narrow"/>
                <w:sz w:val="20"/>
              </w:rPr>
            </w:pPr>
            <w:r w:rsidRPr="00452F75">
              <w:rPr>
                <w:rFonts w:ascii="Arial Narrow" w:hAnsi="Arial Narrow"/>
                <w:sz w:val="20"/>
              </w:rPr>
              <w:t xml:space="preserve">Long GV, Stroyakovskiy DL. COMBI-d: A randomized, double-blinded, Phase III study comparing the combination of dabrafenib and trametinib to dabrafenib and trametinib placebo as first-line therapy in patients (pts) with unresectable or metastatic </w:t>
            </w:r>
            <w:r w:rsidRPr="009544E5">
              <w:rPr>
                <w:rFonts w:ascii="Arial Narrow" w:hAnsi="Arial Narrow"/>
                <w:i/>
                <w:sz w:val="20"/>
              </w:rPr>
              <w:t>BRAF</w:t>
            </w:r>
            <w:r w:rsidRPr="00452F75">
              <w:rPr>
                <w:rFonts w:ascii="Arial Narrow" w:hAnsi="Arial Narrow"/>
                <w:sz w:val="20"/>
              </w:rPr>
              <w:t>V600E/K mutation-positive cutaneous melanoma</w:t>
            </w:r>
          </w:p>
        </w:tc>
        <w:tc>
          <w:tcPr>
            <w:tcW w:w="1002" w:type="pct"/>
          </w:tcPr>
          <w:p w:rsidR="00396AA6" w:rsidRPr="00452F75" w:rsidRDefault="00396AA6" w:rsidP="00943EE6">
            <w:pPr>
              <w:keepNext/>
              <w:jc w:val="left"/>
              <w:rPr>
                <w:rFonts w:ascii="Arial Narrow" w:hAnsi="Arial Narrow"/>
                <w:sz w:val="20"/>
              </w:rPr>
            </w:pPr>
            <w:r w:rsidRPr="00452F75">
              <w:rPr>
                <w:rFonts w:ascii="Arial Narrow" w:hAnsi="Arial Narrow"/>
                <w:sz w:val="20"/>
              </w:rPr>
              <w:t>J Clin Oncol 32:5s, 2014 (suppl; abstr 9011)</w:t>
            </w:r>
          </w:p>
        </w:tc>
        <w:tc>
          <w:tcPr>
            <w:tcW w:w="694" w:type="pct"/>
            <w:vMerge/>
            <w:vAlign w:val="center"/>
          </w:tcPr>
          <w:p w:rsidR="00396AA6" w:rsidRPr="00452F75" w:rsidRDefault="00396AA6" w:rsidP="00943EE6">
            <w:pPr>
              <w:keepNext/>
              <w:jc w:val="center"/>
              <w:rPr>
                <w:rFonts w:ascii="Arial Narrow" w:hAnsi="Arial Narrow"/>
                <w:sz w:val="20"/>
              </w:rPr>
            </w:pPr>
          </w:p>
        </w:tc>
      </w:tr>
      <w:tr w:rsidR="00396AA6" w:rsidRPr="00452F75" w:rsidTr="00910E5F">
        <w:tc>
          <w:tcPr>
            <w:tcW w:w="609" w:type="pct"/>
            <w:vMerge w:val="restart"/>
            <w:vAlign w:val="center"/>
          </w:tcPr>
          <w:p w:rsidR="00396AA6" w:rsidRPr="00452F75" w:rsidRDefault="00396AA6" w:rsidP="00943EE6">
            <w:pPr>
              <w:keepNext/>
              <w:rPr>
                <w:rFonts w:ascii="Arial Narrow" w:hAnsi="Arial Narrow"/>
                <w:sz w:val="20"/>
              </w:rPr>
            </w:pPr>
            <w:r w:rsidRPr="00452F75">
              <w:rPr>
                <w:rFonts w:ascii="Arial Narrow" w:hAnsi="Arial Narrow"/>
                <w:sz w:val="20"/>
              </w:rPr>
              <w:t>COMBI-V</w:t>
            </w:r>
          </w:p>
        </w:tc>
        <w:tc>
          <w:tcPr>
            <w:tcW w:w="2695" w:type="pct"/>
          </w:tcPr>
          <w:p w:rsidR="00396AA6" w:rsidRPr="00452F75" w:rsidRDefault="00396AA6" w:rsidP="00943EE6">
            <w:pPr>
              <w:keepNext/>
              <w:jc w:val="left"/>
              <w:rPr>
                <w:rFonts w:ascii="Arial Narrow" w:hAnsi="Arial Narrow"/>
                <w:sz w:val="20"/>
              </w:rPr>
            </w:pPr>
            <w:r w:rsidRPr="00452F75">
              <w:rPr>
                <w:rFonts w:ascii="Arial Narrow" w:hAnsi="Arial Narrow"/>
                <w:bCs/>
                <w:sz w:val="20"/>
              </w:rPr>
              <w:t xml:space="preserve">Clinical study protocol - A phase III, randomised, open- label study comparing the combination of the BRAF inhibitor, dabrafenib and the MEK inhibitor, trametinib to the BRAF inhibitor vemurafenib in subjects with unresectable (Stage IIIc) or metastatic (Stage IV) </w:t>
            </w:r>
            <w:r w:rsidRPr="009544E5">
              <w:rPr>
                <w:rFonts w:ascii="Arial Narrow" w:hAnsi="Arial Narrow"/>
                <w:bCs/>
                <w:i/>
                <w:sz w:val="20"/>
              </w:rPr>
              <w:t>BRAF</w:t>
            </w:r>
            <w:r w:rsidRPr="00452F75">
              <w:rPr>
                <w:rFonts w:ascii="Arial Narrow" w:hAnsi="Arial Narrow"/>
                <w:bCs/>
                <w:sz w:val="20"/>
              </w:rPr>
              <w:t xml:space="preserve"> V600E/K mutation-positive cutaneous melanoma.</w:t>
            </w:r>
          </w:p>
        </w:tc>
        <w:tc>
          <w:tcPr>
            <w:tcW w:w="1002" w:type="pct"/>
          </w:tcPr>
          <w:p w:rsidR="00396AA6" w:rsidRPr="00452F75" w:rsidRDefault="00396AA6" w:rsidP="00943EE6">
            <w:pPr>
              <w:keepNext/>
              <w:jc w:val="left"/>
              <w:rPr>
                <w:rFonts w:ascii="Arial Narrow" w:hAnsi="Arial Narrow"/>
                <w:sz w:val="20"/>
              </w:rPr>
            </w:pPr>
            <w:r w:rsidRPr="00452F75">
              <w:rPr>
                <w:rFonts w:ascii="Arial Narrow" w:hAnsi="Arial Narrow"/>
                <w:sz w:val="20"/>
              </w:rPr>
              <w:t>GSK March 2012</w:t>
            </w:r>
          </w:p>
        </w:tc>
        <w:tc>
          <w:tcPr>
            <w:tcW w:w="694" w:type="pct"/>
            <w:vMerge w:val="restart"/>
            <w:vAlign w:val="center"/>
          </w:tcPr>
          <w:p w:rsidR="00396AA6" w:rsidRPr="00452F75" w:rsidRDefault="00396AA6" w:rsidP="00943EE6">
            <w:pPr>
              <w:keepNext/>
              <w:jc w:val="center"/>
              <w:rPr>
                <w:rFonts w:ascii="Arial Narrow" w:hAnsi="Arial Narrow"/>
                <w:sz w:val="20"/>
              </w:rPr>
            </w:pPr>
            <w:r w:rsidRPr="00452F75">
              <w:rPr>
                <w:rFonts w:ascii="Arial Narrow" w:hAnsi="Arial Narrow"/>
                <w:sz w:val="20"/>
              </w:rPr>
              <w:t>Yes</w:t>
            </w:r>
          </w:p>
        </w:tc>
      </w:tr>
      <w:tr w:rsidR="00396AA6" w:rsidRPr="00452F75" w:rsidTr="00910E5F">
        <w:tc>
          <w:tcPr>
            <w:tcW w:w="609" w:type="pct"/>
            <w:vMerge/>
          </w:tcPr>
          <w:p w:rsidR="00396AA6" w:rsidRPr="00452F75" w:rsidRDefault="00396AA6" w:rsidP="00943EE6">
            <w:pPr>
              <w:keepNext/>
              <w:jc w:val="left"/>
              <w:rPr>
                <w:rFonts w:ascii="Arial Narrow" w:hAnsi="Arial Narrow"/>
                <w:sz w:val="20"/>
              </w:rPr>
            </w:pPr>
          </w:p>
        </w:tc>
        <w:tc>
          <w:tcPr>
            <w:tcW w:w="2695" w:type="pct"/>
          </w:tcPr>
          <w:p w:rsidR="00396AA6" w:rsidRPr="00452F75" w:rsidRDefault="00396AA6" w:rsidP="00943EE6">
            <w:pPr>
              <w:keepNext/>
              <w:contextualSpacing/>
              <w:jc w:val="left"/>
              <w:rPr>
                <w:rFonts w:ascii="Arial Narrow" w:hAnsi="Arial Narrow"/>
                <w:bCs/>
                <w:sz w:val="20"/>
              </w:rPr>
            </w:pPr>
            <w:r w:rsidRPr="00452F75">
              <w:rPr>
                <w:rFonts w:ascii="Arial Narrow" w:hAnsi="Arial Narrow"/>
                <w:bCs/>
                <w:sz w:val="20"/>
              </w:rPr>
              <w:t>Robert C, Karaszewska B, Schachter J, et al. Improved overall survival in melanoma with combined dabrafenib and trametinib.</w:t>
            </w:r>
          </w:p>
        </w:tc>
        <w:tc>
          <w:tcPr>
            <w:tcW w:w="1002" w:type="pct"/>
          </w:tcPr>
          <w:p w:rsidR="00396AA6" w:rsidRPr="00452F75" w:rsidRDefault="00396AA6" w:rsidP="00943EE6">
            <w:pPr>
              <w:keepNext/>
              <w:contextualSpacing/>
              <w:jc w:val="left"/>
              <w:rPr>
                <w:rFonts w:ascii="Arial Narrow" w:hAnsi="Arial Narrow"/>
                <w:sz w:val="20"/>
              </w:rPr>
            </w:pPr>
            <w:r w:rsidRPr="00452F75">
              <w:rPr>
                <w:rFonts w:ascii="Arial Narrow" w:hAnsi="Arial Narrow"/>
                <w:sz w:val="20"/>
              </w:rPr>
              <w:t>NEJM 2015; 372(1):30-9</w:t>
            </w:r>
          </w:p>
        </w:tc>
        <w:tc>
          <w:tcPr>
            <w:tcW w:w="694" w:type="pct"/>
            <w:vMerge/>
          </w:tcPr>
          <w:p w:rsidR="00396AA6" w:rsidRPr="00452F75" w:rsidRDefault="00396AA6" w:rsidP="00943EE6">
            <w:pPr>
              <w:keepNext/>
              <w:jc w:val="center"/>
              <w:rPr>
                <w:rFonts w:ascii="Arial Narrow" w:hAnsi="Arial Narrow"/>
                <w:sz w:val="20"/>
              </w:rPr>
            </w:pPr>
          </w:p>
        </w:tc>
      </w:tr>
      <w:tr w:rsidR="00396AA6" w:rsidRPr="00452F75" w:rsidTr="00910E5F">
        <w:tc>
          <w:tcPr>
            <w:tcW w:w="609" w:type="pct"/>
            <w:vMerge/>
          </w:tcPr>
          <w:p w:rsidR="00396AA6" w:rsidRPr="00452F75" w:rsidRDefault="00396AA6" w:rsidP="00943EE6">
            <w:pPr>
              <w:keepNext/>
              <w:jc w:val="left"/>
              <w:rPr>
                <w:rFonts w:ascii="Arial Narrow" w:hAnsi="Arial Narrow"/>
                <w:sz w:val="20"/>
              </w:rPr>
            </w:pPr>
          </w:p>
        </w:tc>
        <w:tc>
          <w:tcPr>
            <w:tcW w:w="2695" w:type="pct"/>
          </w:tcPr>
          <w:p w:rsidR="00396AA6" w:rsidRPr="00452F75" w:rsidRDefault="00396AA6" w:rsidP="00943EE6">
            <w:pPr>
              <w:keepNext/>
              <w:jc w:val="left"/>
              <w:rPr>
                <w:rFonts w:ascii="Arial Narrow" w:hAnsi="Arial Narrow"/>
                <w:iCs/>
                <w:sz w:val="20"/>
              </w:rPr>
            </w:pPr>
            <w:r w:rsidRPr="00452F75">
              <w:rPr>
                <w:rFonts w:ascii="Arial Narrow" w:hAnsi="Arial Narrow"/>
                <w:bCs/>
                <w:sz w:val="20"/>
              </w:rPr>
              <w:t>Grob JJ, Amonkar M et al.</w:t>
            </w:r>
            <w:r w:rsidRPr="00452F75">
              <w:t xml:space="preserve"> </w:t>
            </w:r>
            <w:r w:rsidRPr="00452F75">
              <w:rPr>
                <w:rFonts w:ascii="Arial Narrow" w:hAnsi="Arial Narrow"/>
                <w:bCs/>
                <w:sz w:val="20"/>
              </w:rPr>
              <w:t xml:space="preserve">COMBI-v: health-related quality of life (HRQoL) impact of the combination of dabrafenib and trametinib (D+T) vs vemurafenib (V) in patients with </w:t>
            </w:r>
            <w:r w:rsidRPr="009544E5">
              <w:rPr>
                <w:rFonts w:ascii="Arial Narrow" w:hAnsi="Arial Narrow"/>
                <w:bCs/>
                <w:i/>
                <w:sz w:val="20"/>
              </w:rPr>
              <w:t>BRAF</w:t>
            </w:r>
            <w:r w:rsidRPr="00452F75">
              <w:rPr>
                <w:rFonts w:ascii="Arial Narrow" w:hAnsi="Arial Narrow"/>
                <w:bCs/>
                <w:sz w:val="20"/>
              </w:rPr>
              <w:t xml:space="preserve"> V600 metastatic melanoma (MM).</w:t>
            </w:r>
          </w:p>
        </w:tc>
        <w:tc>
          <w:tcPr>
            <w:tcW w:w="1002" w:type="pct"/>
          </w:tcPr>
          <w:p w:rsidR="00396AA6" w:rsidRPr="00452F75" w:rsidRDefault="00396AA6" w:rsidP="00943EE6">
            <w:pPr>
              <w:keepNext/>
              <w:jc w:val="left"/>
              <w:rPr>
                <w:rFonts w:ascii="Arial Narrow" w:hAnsi="Arial Narrow"/>
                <w:sz w:val="20"/>
                <w:u w:val="single"/>
              </w:rPr>
            </w:pPr>
            <w:r w:rsidRPr="00452F75">
              <w:rPr>
                <w:rFonts w:ascii="Arial Narrow" w:hAnsi="Arial Narrow"/>
                <w:sz w:val="20"/>
              </w:rPr>
              <w:t>European Cancer Congress 2015, (abstr 3345)</w:t>
            </w:r>
          </w:p>
        </w:tc>
        <w:tc>
          <w:tcPr>
            <w:tcW w:w="694" w:type="pct"/>
            <w:vMerge/>
          </w:tcPr>
          <w:p w:rsidR="00396AA6" w:rsidRPr="00452F75" w:rsidRDefault="00396AA6" w:rsidP="00943EE6">
            <w:pPr>
              <w:keepNext/>
              <w:jc w:val="center"/>
              <w:rPr>
                <w:rFonts w:ascii="Arial Narrow" w:hAnsi="Arial Narrow"/>
                <w:sz w:val="20"/>
              </w:rPr>
            </w:pPr>
          </w:p>
        </w:tc>
      </w:tr>
    </w:tbl>
    <w:p w:rsidR="00186AD2" w:rsidRPr="00452F75" w:rsidRDefault="00396AA6" w:rsidP="00396AA6">
      <w:pPr>
        <w:pStyle w:val="TableFooter"/>
        <w:ind w:left="709"/>
      </w:pPr>
      <w:r w:rsidRPr="00452F75">
        <w:t>Source: Table B.2.5 of Section B-ICRT of the submission and literature provided by the submission</w:t>
      </w:r>
      <w:r w:rsidR="00015E5C" w:rsidRPr="00452F75">
        <w:t>.</w:t>
      </w:r>
    </w:p>
    <w:p w:rsidR="00943EE6" w:rsidRDefault="00943EE6" w:rsidP="00943EE6">
      <w:pPr>
        <w:pStyle w:val="ListParagraph"/>
        <w:numPr>
          <w:ilvl w:val="0"/>
          <w:numId w:val="0"/>
        </w:numPr>
        <w:ind w:left="720"/>
      </w:pPr>
    </w:p>
    <w:p w:rsidR="00020A9A" w:rsidRDefault="008F120A" w:rsidP="00186AD2">
      <w:pPr>
        <w:pStyle w:val="ListParagraph"/>
      </w:pPr>
      <w:r w:rsidRPr="00452F75">
        <w:t xml:space="preserve">The key features of the </w:t>
      </w:r>
      <w:r w:rsidR="00B21632" w:rsidRPr="00452F75">
        <w:t>randomised trials included in the indirect comparison</w:t>
      </w:r>
      <w:r w:rsidRPr="00452F75">
        <w:t xml:space="preserve"> are summarised in </w:t>
      </w:r>
      <w:r w:rsidR="00471985" w:rsidRPr="00452F75">
        <w:t>Table 2</w:t>
      </w:r>
      <w:r w:rsidR="00B63FB1" w:rsidRPr="00452F75">
        <w:t>.</w:t>
      </w:r>
    </w:p>
    <w:p w:rsidR="00020A9A" w:rsidRDefault="00020A9A">
      <w:pPr>
        <w:widowControl/>
        <w:jc w:val="left"/>
        <w:rPr>
          <w:szCs w:val="22"/>
        </w:rPr>
      </w:pPr>
      <w:r>
        <w:br w:type="page"/>
      </w:r>
    </w:p>
    <w:p w:rsidR="00862502" w:rsidRPr="00452F75" w:rsidRDefault="00862502" w:rsidP="00020A9A">
      <w:pPr>
        <w:pStyle w:val="ListParagraph"/>
        <w:numPr>
          <w:ilvl w:val="0"/>
          <w:numId w:val="0"/>
        </w:numPr>
        <w:ind w:left="720"/>
      </w:pPr>
    </w:p>
    <w:p w:rsidR="00471985" w:rsidRPr="00452F75" w:rsidRDefault="00471985" w:rsidP="00471985"/>
    <w:p w:rsidR="007E7129" w:rsidRPr="00452F75" w:rsidRDefault="007E7129" w:rsidP="00992344">
      <w:pPr>
        <w:keepNext/>
        <w:ind w:left="709"/>
        <w:rPr>
          <w:rFonts w:ascii="Arial Narrow" w:hAnsi="Arial Narrow"/>
          <w:b/>
          <w:sz w:val="20"/>
        </w:rPr>
      </w:pPr>
      <w:r w:rsidRPr="00452F75">
        <w:rPr>
          <w:rFonts w:ascii="Arial Narrow" w:hAnsi="Arial Narrow"/>
          <w:b/>
          <w:sz w:val="20"/>
        </w:rPr>
        <w:t xml:space="preserve">Table </w:t>
      </w:r>
      <w:r w:rsidR="00992344" w:rsidRPr="00452F75">
        <w:rPr>
          <w:rFonts w:ascii="Arial Narrow" w:hAnsi="Arial Narrow"/>
          <w:b/>
          <w:sz w:val="20"/>
        </w:rPr>
        <w:t>2</w:t>
      </w:r>
      <w:r w:rsidRPr="00452F75">
        <w:rPr>
          <w:rFonts w:ascii="Arial Narrow" w:hAnsi="Arial Narrow"/>
          <w:b/>
          <w:sz w:val="20"/>
        </w:rPr>
        <w:t xml:space="preserve">: </w:t>
      </w:r>
      <w:r w:rsidR="00992344" w:rsidRPr="00452F75">
        <w:rPr>
          <w:rStyle w:val="CommentReference"/>
        </w:rPr>
        <w:t>Key features of the included evidence</w:t>
      </w:r>
    </w:p>
    <w:tbl>
      <w:tblPr>
        <w:tblW w:w="458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8"/>
        <w:gridCol w:w="993"/>
        <w:gridCol w:w="850"/>
        <w:gridCol w:w="1382"/>
        <w:gridCol w:w="1134"/>
        <w:gridCol w:w="1597"/>
        <w:gridCol w:w="692"/>
        <w:gridCol w:w="839"/>
      </w:tblGrid>
      <w:tr w:rsidR="00992344" w:rsidRPr="00452F75" w:rsidTr="00053F08">
        <w:trPr>
          <w:cantSplit/>
        </w:trPr>
        <w:tc>
          <w:tcPr>
            <w:tcW w:w="509"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753D17">
            <w:pPr>
              <w:pStyle w:val="TableHeading"/>
              <w:keepNext w:val="0"/>
              <w:widowControl w:val="0"/>
              <w:spacing w:before="0" w:after="0"/>
              <w:rPr>
                <w:rFonts w:cs="Arial"/>
              </w:rPr>
            </w:pPr>
            <w:r w:rsidRPr="00452F75">
              <w:rPr>
                <w:rFonts w:cs="Arial"/>
              </w:rPr>
              <w:t>Trial ID</w:t>
            </w:r>
          </w:p>
        </w:tc>
        <w:tc>
          <w:tcPr>
            <w:tcW w:w="596"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753D17">
            <w:pPr>
              <w:pStyle w:val="TableHeading"/>
              <w:keepNext w:val="0"/>
              <w:widowControl w:val="0"/>
              <w:spacing w:before="0" w:after="0"/>
              <w:jc w:val="center"/>
              <w:rPr>
                <w:rFonts w:cs="Arial"/>
              </w:rPr>
            </w:pPr>
            <w:r w:rsidRPr="00452F75">
              <w:rPr>
                <w:rFonts w:cs="Arial"/>
              </w:rPr>
              <w:t>Trial design</w:t>
            </w:r>
            <w:r w:rsidR="00C85F65" w:rsidRPr="00452F75">
              <w:rPr>
                <w:rFonts w:cs="Arial"/>
              </w:rPr>
              <w:t xml:space="preserve"> /N</w:t>
            </w:r>
          </w:p>
        </w:tc>
        <w:tc>
          <w:tcPr>
            <w:tcW w:w="510"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753D17">
            <w:pPr>
              <w:pStyle w:val="TableHeading"/>
              <w:keepNext w:val="0"/>
              <w:widowControl w:val="0"/>
              <w:spacing w:before="0" w:after="0"/>
              <w:jc w:val="center"/>
              <w:rPr>
                <w:rFonts w:cs="Arial"/>
              </w:rPr>
            </w:pPr>
            <w:r w:rsidRPr="00452F75">
              <w:rPr>
                <w:rFonts w:cs="Arial"/>
              </w:rPr>
              <w:t>Primary outcome</w:t>
            </w:r>
          </w:p>
        </w:tc>
        <w:tc>
          <w:tcPr>
            <w:tcW w:w="829"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753D17">
            <w:pPr>
              <w:pStyle w:val="TableHeading"/>
              <w:keepNext w:val="0"/>
              <w:widowControl w:val="0"/>
              <w:spacing w:before="0" w:after="0"/>
              <w:jc w:val="center"/>
              <w:rPr>
                <w:rFonts w:cs="Arial"/>
              </w:rPr>
            </w:pPr>
            <w:r w:rsidRPr="00452F75">
              <w:rPr>
                <w:rFonts w:cs="Arial"/>
              </w:rPr>
              <w:t>Vemurafenib+ cobimetinib</w:t>
            </w:r>
          </w:p>
        </w:tc>
        <w:tc>
          <w:tcPr>
            <w:tcW w:w="680"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753D17">
            <w:pPr>
              <w:pStyle w:val="TableHeading"/>
              <w:keepNext w:val="0"/>
              <w:widowControl w:val="0"/>
              <w:spacing w:before="0" w:after="0"/>
              <w:jc w:val="center"/>
              <w:rPr>
                <w:rFonts w:cs="Arial"/>
              </w:rPr>
            </w:pPr>
            <w:r w:rsidRPr="00452F75">
              <w:rPr>
                <w:rFonts w:cs="Arial"/>
              </w:rPr>
              <w:t>Common reference</w:t>
            </w:r>
          </w:p>
        </w:tc>
        <w:tc>
          <w:tcPr>
            <w:tcW w:w="958"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753D17">
            <w:pPr>
              <w:pStyle w:val="TableHeading"/>
              <w:keepNext w:val="0"/>
              <w:widowControl w:val="0"/>
              <w:spacing w:before="0" w:after="0"/>
              <w:jc w:val="center"/>
              <w:rPr>
                <w:rFonts w:cs="Arial"/>
              </w:rPr>
            </w:pPr>
            <w:r w:rsidRPr="00452F75">
              <w:rPr>
                <w:rFonts w:cs="Arial"/>
              </w:rPr>
              <w:t>Dabrafenib+ trametinib</w:t>
            </w:r>
          </w:p>
        </w:tc>
        <w:tc>
          <w:tcPr>
            <w:tcW w:w="415"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753D17">
            <w:pPr>
              <w:pStyle w:val="TableHeading"/>
              <w:keepNext w:val="0"/>
              <w:widowControl w:val="0"/>
              <w:spacing w:before="0" w:after="0"/>
              <w:jc w:val="center"/>
              <w:rPr>
                <w:rFonts w:cs="Arial"/>
              </w:rPr>
            </w:pPr>
            <w:r w:rsidRPr="00452F75">
              <w:rPr>
                <w:rFonts w:cs="Arial"/>
              </w:rPr>
              <w:t>Risk of bias</w:t>
            </w:r>
          </w:p>
        </w:tc>
        <w:tc>
          <w:tcPr>
            <w:tcW w:w="503"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753D17">
            <w:pPr>
              <w:pStyle w:val="TableHeading"/>
              <w:keepNext w:val="0"/>
              <w:widowControl w:val="0"/>
              <w:spacing w:before="0" w:after="0"/>
              <w:jc w:val="center"/>
              <w:rPr>
                <w:rFonts w:cs="Arial"/>
              </w:rPr>
            </w:pPr>
            <w:r w:rsidRPr="00452F75">
              <w:rPr>
                <w:rFonts w:cs="Arial"/>
              </w:rPr>
              <w:t>Used in the CMA</w:t>
            </w:r>
          </w:p>
        </w:tc>
      </w:tr>
      <w:tr w:rsidR="00992344" w:rsidRPr="00452F75" w:rsidTr="00992344">
        <w:trPr>
          <w:cantSplit/>
        </w:trPr>
        <w:tc>
          <w:tcPr>
            <w:tcW w:w="5000" w:type="pct"/>
            <w:gridSpan w:val="8"/>
            <w:tcBorders>
              <w:top w:val="single" w:sz="4" w:space="0" w:color="auto"/>
              <w:left w:val="single" w:sz="4" w:space="0" w:color="auto"/>
              <w:bottom w:val="single" w:sz="4" w:space="0" w:color="auto"/>
              <w:right w:val="single" w:sz="4" w:space="0" w:color="auto"/>
            </w:tcBorders>
            <w:vAlign w:val="center"/>
          </w:tcPr>
          <w:p w:rsidR="00992344" w:rsidRPr="00452F75" w:rsidRDefault="00992344" w:rsidP="00992344">
            <w:pPr>
              <w:pStyle w:val="TableHeading"/>
              <w:keepNext w:val="0"/>
              <w:widowControl w:val="0"/>
              <w:spacing w:before="0" w:after="0"/>
              <w:rPr>
                <w:rFonts w:cs="Arial"/>
              </w:rPr>
            </w:pPr>
            <w:r w:rsidRPr="00452F75">
              <w:rPr>
                <w:rFonts w:cs="Arial"/>
              </w:rPr>
              <w:t>Proposed combination – vemurafenib + cobimetinib</w:t>
            </w:r>
          </w:p>
        </w:tc>
      </w:tr>
      <w:tr w:rsidR="00992344" w:rsidRPr="00452F75" w:rsidTr="00053F08">
        <w:trPr>
          <w:cantSplit/>
        </w:trPr>
        <w:tc>
          <w:tcPr>
            <w:tcW w:w="509"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rPr>
                <w:rFonts w:cs="Arial"/>
                <w:b w:val="0"/>
              </w:rPr>
            </w:pPr>
            <w:r w:rsidRPr="00452F75">
              <w:rPr>
                <w:rFonts w:cs="Arial"/>
                <w:b w:val="0"/>
              </w:rPr>
              <w:t>CoBRIM</w:t>
            </w:r>
            <w:r w:rsidRPr="00452F75">
              <w:rPr>
                <w:rFonts w:cs="Times New Roman"/>
                <w:b w:val="0"/>
                <w:vertAlign w:val="superscript"/>
              </w:rPr>
              <w:t>a</w:t>
            </w:r>
          </w:p>
        </w:tc>
        <w:tc>
          <w:tcPr>
            <w:tcW w:w="596"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b w:val="0"/>
                <w:lang w:eastAsia="en-AU"/>
              </w:rPr>
              <w:t>R, DB, MC, phase III</w:t>
            </w:r>
            <w:r w:rsidRPr="00452F75">
              <w:rPr>
                <w:rFonts w:cs="Arial"/>
                <w:b w:val="0"/>
              </w:rPr>
              <w:t xml:space="preserve"> </w:t>
            </w:r>
          </w:p>
          <w:p w:rsidR="00C85F65" w:rsidRPr="00452F75" w:rsidRDefault="00C85F65" w:rsidP="0075294E">
            <w:pPr>
              <w:pStyle w:val="TableHeading"/>
              <w:keepNext w:val="0"/>
              <w:widowControl w:val="0"/>
              <w:spacing w:before="0" w:after="0"/>
              <w:jc w:val="center"/>
              <w:rPr>
                <w:rFonts w:cs="Arial"/>
                <w:b w:val="0"/>
              </w:rPr>
            </w:pPr>
            <w:r w:rsidRPr="00452F75">
              <w:rPr>
                <w:rFonts w:cs="Arial"/>
                <w:b w:val="0"/>
              </w:rPr>
              <w:t>N=495</w:t>
            </w:r>
            <w:r w:rsidR="00673E88" w:rsidRPr="00452F75">
              <w:rPr>
                <w:rFonts w:cs="Arial"/>
                <w:b w:val="0"/>
              </w:rPr>
              <w:t xml:space="preserve"> </w:t>
            </w:r>
          </w:p>
        </w:tc>
        <w:tc>
          <w:tcPr>
            <w:tcW w:w="510"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rFonts w:cs="Arial"/>
                <w:b w:val="0"/>
              </w:rPr>
              <w:t>PFS</w:t>
            </w:r>
          </w:p>
        </w:tc>
        <w:tc>
          <w:tcPr>
            <w:tcW w:w="829"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rFonts w:cs="Arial"/>
                <w:b w:val="0"/>
              </w:rPr>
              <w:t>Vem 96</w:t>
            </w:r>
            <w:r w:rsidR="00595C52" w:rsidRPr="00452F75">
              <w:rPr>
                <w:rFonts w:cs="Arial"/>
                <w:b w:val="0"/>
              </w:rPr>
              <w:t>0 mg</w:t>
            </w:r>
            <w:r w:rsidRPr="00452F75">
              <w:rPr>
                <w:rFonts w:cs="Arial"/>
                <w:b w:val="0"/>
              </w:rPr>
              <w:t xml:space="preserve"> BD days 1-28 of each 28 day cycle</w:t>
            </w:r>
          </w:p>
          <w:p w:rsidR="00992344" w:rsidRPr="00452F75" w:rsidRDefault="00992344" w:rsidP="00375A44">
            <w:pPr>
              <w:pStyle w:val="TableHeading"/>
              <w:keepNext w:val="0"/>
              <w:widowControl w:val="0"/>
              <w:spacing w:before="0" w:after="0"/>
              <w:jc w:val="center"/>
              <w:rPr>
                <w:rFonts w:cs="Arial"/>
                <w:b w:val="0"/>
              </w:rPr>
            </w:pPr>
            <w:r w:rsidRPr="00452F75">
              <w:rPr>
                <w:rFonts w:cs="Arial"/>
                <w:b w:val="0"/>
              </w:rPr>
              <w:t>+</w:t>
            </w:r>
          </w:p>
          <w:p w:rsidR="00992344" w:rsidRPr="00452F75" w:rsidRDefault="00992344" w:rsidP="00375A44">
            <w:pPr>
              <w:pStyle w:val="TableHeading"/>
              <w:keepNext w:val="0"/>
              <w:widowControl w:val="0"/>
              <w:spacing w:before="0" w:after="0"/>
              <w:jc w:val="center"/>
              <w:rPr>
                <w:rFonts w:cs="Arial"/>
                <w:b w:val="0"/>
              </w:rPr>
            </w:pPr>
            <w:r w:rsidRPr="00452F75">
              <w:rPr>
                <w:rFonts w:cs="Arial"/>
                <w:b w:val="0"/>
              </w:rPr>
              <w:t>cobi 6</w:t>
            </w:r>
            <w:r w:rsidR="00595C52" w:rsidRPr="00452F75">
              <w:rPr>
                <w:rFonts w:cs="Arial"/>
                <w:b w:val="0"/>
              </w:rPr>
              <w:t>0 mg</w:t>
            </w:r>
            <w:r w:rsidRPr="00452F75">
              <w:rPr>
                <w:rFonts w:cs="Arial"/>
                <w:b w:val="0"/>
              </w:rPr>
              <w:t xml:space="preserve"> QD days 1-21 of each cycle</w:t>
            </w:r>
          </w:p>
        </w:tc>
        <w:tc>
          <w:tcPr>
            <w:tcW w:w="680"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rFonts w:cs="Arial"/>
                <w:b w:val="0"/>
              </w:rPr>
              <w:t>Plb + vem 96</w:t>
            </w:r>
            <w:r w:rsidR="00595C52" w:rsidRPr="00452F75">
              <w:rPr>
                <w:rFonts w:cs="Arial"/>
                <w:b w:val="0"/>
              </w:rPr>
              <w:t>0 mg</w:t>
            </w:r>
            <w:r w:rsidRPr="00452F75">
              <w:rPr>
                <w:rFonts w:cs="Arial"/>
                <w:b w:val="0"/>
              </w:rPr>
              <w:t xml:space="preserve"> BD on days 1-28 of each 28 day cycle</w:t>
            </w:r>
          </w:p>
        </w:tc>
        <w:tc>
          <w:tcPr>
            <w:tcW w:w="958"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rFonts w:cs="Arial"/>
                <w:b w:val="0"/>
              </w:rPr>
              <w:t>NA</w:t>
            </w:r>
          </w:p>
        </w:tc>
        <w:tc>
          <w:tcPr>
            <w:tcW w:w="415"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rFonts w:cs="Arial"/>
                <w:b w:val="0"/>
              </w:rPr>
              <w:t>Low</w:t>
            </w:r>
          </w:p>
        </w:tc>
        <w:tc>
          <w:tcPr>
            <w:tcW w:w="503"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rFonts w:cs="Arial"/>
                <w:b w:val="0"/>
              </w:rPr>
              <w:t>Yes</w:t>
            </w:r>
          </w:p>
        </w:tc>
      </w:tr>
      <w:tr w:rsidR="00992344" w:rsidRPr="00452F75" w:rsidTr="00992344">
        <w:trPr>
          <w:cantSplit/>
        </w:trPr>
        <w:tc>
          <w:tcPr>
            <w:tcW w:w="5000" w:type="pct"/>
            <w:gridSpan w:val="8"/>
            <w:tcBorders>
              <w:top w:val="single" w:sz="4" w:space="0" w:color="auto"/>
              <w:left w:val="single" w:sz="4" w:space="0" w:color="auto"/>
              <w:bottom w:val="single" w:sz="4" w:space="0" w:color="auto"/>
              <w:right w:val="single" w:sz="4" w:space="0" w:color="auto"/>
            </w:tcBorders>
            <w:vAlign w:val="center"/>
          </w:tcPr>
          <w:p w:rsidR="00992344" w:rsidRPr="00452F75" w:rsidRDefault="00992344" w:rsidP="00992344">
            <w:pPr>
              <w:pStyle w:val="TableHeading"/>
              <w:keepNext w:val="0"/>
              <w:widowControl w:val="0"/>
              <w:spacing w:before="0" w:after="0"/>
              <w:rPr>
                <w:rFonts w:cs="Arial"/>
              </w:rPr>
            </w:pPr>
            <w:r w:rsidRPr="00452F75">
              <w:t>Main comparator – dabrafenib + trametinib</w:t>
            </w:r>
          </w:p>
        </w:tc>
      </w:tr>
      <w:tr w:rsidR="00992344" w:rsidRPr="00452F75" w:rsidTr="00053F08">
        <w:trPr>
          <w:cantSplit/>
        </w:trPr>
        <w:tc>
          <w:tcPr>
            <w:tcW w:w="509"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rPr>
                <w:rFonts w:cs="Arial"/>
                <w:b w:val="0"/>
              </w:rPr>
            </w:pPr>
            <w:r w:rsidRPr="00452F75">
              <w:rPr>
                <w:rFonts w:cs="Arial"/>
                <w:b w:val="0"/>
              </w:rPr>
              <w:t>COMBI-D</w:t>
            </w:r>
            <w:r w:rsidRPr="00452F75">
              <w:rPr>
                <w:rFonts w:cs="Times New Roman"/>
                <w:b w:val="0"/>
                <w:vertAlign w:val="superscript"/>
              </w:rPr>
              <w:t>a</w:t>
            </w:r>
          </w:p>
        </w:tc>
        <w:tc>
          <w:tcPr>
            <w:tcW w:w="596"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75294E">
            <w:pPr>
              <w:pStyle w:val="TableHeading"/>
              <w:keepNext w:val="0"/>
              <w:widowControl w:val="0"/>
              <w:spacing w:before="0" w:after="0"/>
              <w:jc w:val="center"/>
              <w:rPr>
                <w:rFonts w:cs="Arial"/>
                <w:b w:val="0"/>
              </w:rPr>
            </w:pPr>
            <w:r w:rsidRPr="00452F75">
              <w:rPr>
                <w:rFonts w:cs="Arial"/>
                <w:b w:val="0"/>
              </w:rPr>
              <w:t>R, DB, MC, phase III</w:t>
            </w:r>
            <w:r w:rsidR="00C85F65" w:rsidRPr="00452F75">
              <w:rPr>
                <w:rFonts w:cs="Arial"/>
                <w:b w:val="0"/>
              </w:rPr>
              <w:t xml:space="preserve"> N=</w:t>
            </w:r>
            <w:r w:rsidR="00665753" w:rsidRPr="00452F75">
              <w:rPr>
                <w:rFonts w:cs="Arial"/>
                <w:b w:val="0"/>
              </w:rPr>
              <w:t>423</w:t>
            </w:r>
            <w:r w:rsidR="00673E88" w:rsidRPr="00452F75">
              <w:rPr>
                <w:rFonts w:cs="Arial"/>
                <w:b w:val="0"/>
              </w:rPr>
              <w:t xml:space="preserve"> </w:t>
            </w:r>
          </w:p>
        </w:tc>
        <w:tc>
          <w:tcPr>
            <w:tcW w:w="510"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053F08">
            <w:pPr>
              <w:pStyle w:val="TableHeading"/>
              <w:keepNext w:val="0"/>
              <w:widowControl w:val="0"/>
              <w:spacing w:before="0" w:after="0"/>
              <w:jc w:val="center"/>
              <w:rPr>
                <w:rFonts w:cs="Arial"/>
                <w:b w:val="0"/>
              </w:rPr>
            </w:pPr>
            <w:r w:rsidRPr="00452F75">
              <w:rPr>
                <w:rFonts w:cs="Arial"/>
                <w:b w:val="0"/>
              </w:rPr>
              <w:t>PFS</w:t>
            </w:r>
          </w:p>
        </w:tc>
        <w:tc>
          <w:tcPr>
            <w:tcW w:w="829"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rFonts w:cs="Arial"/>
                <w:b w:val="0"/>
              </w:rPr>
              <w:t>NA</w:t>
            </w:r>
          </w:p>
        </w:tc>
        <w:tc>
          <w:tcPr>
            <w:tcW w:w="680"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rFonts w:cs="Arial"/>
                <w:b w:val="0"/>
              </w:rPr>
              <w:t>Plb + dabra 15</w:t>
            </w:r>
            <w:r w:rsidR="00595C52" w:rsidRPr="00452F75">
              <w:rPr>
                <w:rFonts w:cs="Arial"/>
                <w:b w:val="0"/>
              </w:rPr>
              <w:t>0 mg</w:t>
            </w:r>
            <w:r w:rsidRPr="00452F75">
              <w:rPr>
                <w:rFonts w:cs="Arial"/>
                <w:b w:val="0"/>
              </w:rPr>
              <w:t xml:space="preserve"> BD</w:t>
            </w:r>
          </w:p>
        </w:tc>
        <w:tc>
          <w:tcPr>
            <w:tcW w:w="958"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spacing w:before="0" w:after="0"/>
              <w:jc w:val="center"/>
              <w:rPr>
                <w:rFonts w:cs="Arial"/>
                <w:b w:val="0"/>
              </w:rPr>
            </w:pPr>
            <w:r w:rsidRPr="00452F75">
              <w:rPr>
                <w:rFonts w:cs="Arial"/>
                <w:b w:val="0"/>
              </w:rPr>
              <w:t>Dabra15</w:t>
            </w:r>
            <w:r w:rsidR="00595C52" w:rsidRPr="00452F75">
              <w:rPr>
                <w:rFonts w:cs="Arial"/>
                <w:b w:val="0"/>
              </w:rPr>
              <w:t>0 mg</w:t>
            </w:r>
            <w:r w:rsidRPr="00452F75">
              <w:rPr>
                <w:rFonts w:cs="Arial"/>
                <w:b w:val="0"/>
              </w:rPr>
              <w:t xml:space="preserve"> BD</w:t>
            </w:r>
          </w:p>
          <w:p w:rsidR="00992344" w:rsidRPr="00452F75" w:rsidRDefault="00992344" w:rsidP="00375A44">
            <w:pPr>
              <w:pStyle w:val="TableHeading"/>
              <w:spacing w:before="0" w:after="0"/>
              <w:jc w:val="center"/>
              <w:rPr>
                <w:rFonts w:cs="Arial"/>
                <w:b w:val="0"/>
              </w:rPr>
            </w:pPr>
            <w:r w:rsidRPr="00452F75">
              <w:rPr>
                <w:rFonts w:cs="Arial"/>
                <w:b w:val="0"/>
              </w:rPr>
              <w:t>+ tram 2</w:t>
            </w:r>
            <w:r w:rsidR="00053F08" w:rsidRPr="00452F75">
              <w:rPr>
                <w:rFonts w:cs="Arial"/>
                <w:b w:val="0"/>
              </w:rPr>
              <w:t> </w:t>
            </w:r>
            <w:r w:rsidRPr="00452F75">
              <w:rPr>
                <w:rFonts w:cs="Arial"/>
                <w:b w:val="0"/>
              </w:rPr>
              <w:t>mg QD</w:t>
            </w:r>
          </w:p>
        </w:tc>
        <w:tc>
          <w:tcPr>
            <w:tcW w:w="415"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rFonts w:cs="Arial"/>
                <w:b w:val="0"/>
              </w:rPr>
              <w:t>Low</w:t>
            </w:r>
          </w:p>
        </w:tc>
        <w:tc>
          <w:tcPr>
            <w:tcW w:w="503"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rFonts w:cs="Arial"/>
                <w:b w:val="0"/>
              </w:rPr>
              <w:t>Yes</w:t>
            </w:r>
          </w:p>
        </w:tc>
      </w:tr>
      <w:tr w:rsidR="00992344" w:rsidRPr="00452F75" w:rsidTr="00053F08">
        <w:trPr>
          <w:cantSplit/>
        </w:trPr>
        <w:tc>
          <w:tcPr>
            <w:tcW w:w="509"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rPr>
                <w:rFonts w:cs="Arial"/>
                <w:b w:val="0"/>
              </w:rPr>
            </w:pPr>
            <w:r w:rsidRPr="00452F75">
              <w:rPr>
                <w:rFonts w:cs="Arial"/>
                <w:b w:val="0"/>
              </w:rPr>
              <w:t>COMBI-V</w:t>
            </w:r>
          </w:p>
        </w:tc>
        <w:tc>
          <w:tcPr>
            <w:tcW w:w="596"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75294E">
            <w:pPr>
              <w:pStyle w:val="TableHeading"/>
              <w:keepNext w:val="0"/>
              <w:widowControl w:val="0"/>
              <w:spacing w:before="0" w:after="0"/>
              <w:jc w:val="center"/>
              <w:rPr>
                <w:rFonts w:cs="Arial"/>
                <w:b w:val="0"/>
              </w:rPr>
            </w:pPr>
            <w:r w:rsidRPr="00452F75">
              <w:rPr>
                <w:rFonts w:cs="Arial"/>
                <w:b w:val="0"/>
              </w:rPr>
              <w:t>R, OL, MC, phase III</w:t>
            </w:r>
            <w:r w:rsidR="00C85F65" w:rsidRPr="00452F75">
              <w:rPr>
                <w:rFonts w:cs="Arial"/>
                <w:b w:val="0"/>
              </w:rPr>
              <w:t xml:space="preserve"> N=</w:t>
            </w:r>
            <w:r w:rsidR="00665753" w:rsidRPr="00452F75">
              <w:rPr>
                <w:rFonts w:cs="Arial"/>
                <w:b w:val="0"/>
              </w:rPr>
              <w:t>704</w:t>
            </w:r>
            <w:r w:rsidR="00673E88" w:rsidRPr="00452F75">
              <w:rPr>
                <w:rFonts w:cs="Arial"/>
                <w:b w:val="0"/>
              </w:rPr>
              <w:t xml:space="preserve"> </w:t>
            </w:r>
          </w:p>
        </w:tc>
        <w:tc>
          <w:tcPr>
            <w:tcW w:w="510"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rFonts w:cs="Arial"/>
                <w:b w:val="0"/>
              </w:rPr>
              <w:t>OS</w:t>
            </w:r>
          </w:p>
        </w:tc>
        <w:tc>
          <w:tcPr>
            <w:tcW w:w="829"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rFonts w:cs="Arial"/>
                <w:b w:val="0"/>
              </w:rPr>
              <w:t>NA</w:t>
            </w:r>
          </w:p>
        </w:tc>
        <w:tc>
          <w:tcPr>
            <w:tcW w:w="680"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rFonts w:cs="Arial"/>
                <w:b w:val="0"/>
              </w:rPr>
              <w:t>Vem 96</w:t>
            </w:r>
            <w:r w:rsidR="00595C52" w:rsidRPr="00452F75">
              <w:rPr>
                <w:rFonts w:cs="Arial"/>
                <w:b w:val="0"/>
              </w:rPr>
              <w:t>0 mg</w:t>
            </w:r>
            <w:r w:rsidRPr="00452F75">
              <w:rPr>
                <w:rFonts w:cs="Arial"/>
                <w:b w:val="0"/>
              </w:rPr>
              <w:t xml:space="preserve"> BD</w:t>
            </w:r>
          </w:p>
        </w:tc>
        <w:tc>
          <w:tcPr>
            <w:tcW w:w="958"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spacing w:before="0" w:after="0"/>
              <w:jc w:val="center"/>
              <w:rPr>
                <w:rFonts w:cs="Arial"/>
                <w:b w:val="0"/>
              </w:rPr>
            </w:pPr>
            <w:r w:rsidRPr="00452F75">
              <w:rPr>
                <w:rFonts w:cs="Arial"/>
                <w:b w:val="0"/>
              </w:rPr>
              <w:t>Dabra 15</w:t>
            </w:r>
            <w:r w:rsidR="00595C52" w:rsidRPr="00452F75">
              <w:rPr>
                <w:rFonts w:cs="Arial"/>
                <w:b w:val="0"/>
              </w:rPr>
              <w:t>0 mg</w:t>
            </w:r>
            <w:r w:rsidRPr="00452F75">
              <w:rPr>
                <w:rFonts w:cs="Arial"/>
                <w:b w:val="0"/>
              </w:rPr>
              <w:t xml:space="preserve"> BD</w:t>
            </w:r>
          </w:p>
          <w:p w:rsidR="00992344" w:rsidRPr="00452F75" w:rsidRDefault="00992344" w:rsidP="00375A44">
            <w:pPr>
              <w:pStyle w:val="TableHeading"/>
              <w:spacing w:before="0" w:after="0"/>
              <w:jc w:val="center"/>
              <w:rPr>
                <w:rFonts w:cs="Arial"/>
                <w:b w:val="0"/>
              </w:rPr>
            </w:pPr>
            <w:r w:rsidRPr="00452F75">
              <w:rPr>
                <w:rFonts w:cs="Arial"/>
                <w:b w:val="0"/>
              </w:rPr>
              <w:t xml:space="preserve">+ tram </w:t>
            </w:r>
            <w:r w:rsidR="00053F08" w:rsidRPr="00452F75">
              <w:rPr>
                <w:rFonts w:cs="Arial"/>
                <w:b w:val="0"/>
              </w:rPr>
              <w:t>2 </w:t>
            </w:r>
            <w:r w:rsidRPr="00452F75">
              <w:rPr>
                <w:rFonts w:cs="Arial"/>
                <w:b w:val="0"/>
              </w:rPr>
              <w:t>mg QD</w:t>
            </w:r>
          </w:p>
        </w:tc>
        <w:tc>
          <w:tcPr>
            <w:tcW w:w="415"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rFonts w:cs="Arial"/>
                <w:b w:val="0"/>
              </w:rPr>
              <w:t>Low</w:t>
            </w:r>
          </w:p>
        </w:tc>
        <w:tc>
          <w:tcPr>
            <w:tcW w:w="503" w:type="pct"/>
            <w:tcBorders>
              <w:top w:val="single" w:sz="4" w:space="0" w:color="auto"/>
              <w:left w:val="single" w:sz="4" w:space="0" w:color="auto"/>
              <w:bottom w:val="single" w:sz="4" w:space="0" w:color="auto"/>
              <w:right w:val="single" w:sz="4" w:space="0" w:color="auto"/>
            </w:tcBorders>
            <w:vAlign w:val="center"/>
          </w:tcPr>
          <w:p w:rsidR="00992344" w:rsidRPr="00452F75" w:rsidRDefault="00992344" w:rsidP="00375A44">
            <w:pPr>
              <w:pStyle w:val="TableHeading"/>
              <w:keepNext w:val="0"/>
              <w:widowControl w:val="0"/>
              <w:spacing w:before="0" w:after="0"/>
              <w:jc w:val="center"/>
              <w:rPr>
                <w:rFonts w:cs="Arial"/>
                <w:b w:val="0"/>
              </w:rPr>
            </w:pPr>
            <w:r w:rsidRPr="00452F75">
              <w:rPr>
                <w:rFonts w:cs="Arial"/>
                <w:b w:val="0"/>
              </w:rPr>
              <w:t>Yes</w:t>
            </w:r>
          </w:p>
        </w:tc>
      </w:tr>
    </w:tbl>
    <w:p w:rsidR="00BF15DF" w:rsidRPr="00452F75" w:rsidRDefault="00BF15DF" w:rsidP="007E7129">
      <w:pPr>
        <w:ind w:left="709"/>
        <w:rPr>
          <w:rFonts w:ascii="Arial Narrow" w:hAnsi="Arial Narrow" w:cs="Times New Roman"/>
          <w:sz w:val="18"/>
          <w:szCs w:val="18"/>
        </w:rPr>
      </w:pPr>
      <w:r w:rsidRPr="00452F75">
        <w:rPr>
          <w:rFonts w:ascii="Arial Narrow" w:hAnsi="Arial Narrow"/>
          <w:sz w:val="18"/>
        </w:rPr>
        <w:t>Source: Table B.2.5, p7, Section B-ICRT of the submission and related text.</w:t>
      </w:r>
    </w:p>
    <w:p w:rsidR="007E7129" w:rsidRPr="00452F75" w:rsidRDefault="007E7129" w:rsidP="007E7129">
      <w:pPr>
        <w:ind w:left="709"/>
        <w:rPr>
          <w:rFonts w:ascii="Arial Narrow" w:hAnsi="Arial Narrow"/>
          <w:sz w:val="18"/>
        </w:rPr>
      </w:pPr>
      <w:r w:rsidRPr="00452F75">
        <w:rPr>
          <w:rFonts w:ascii="Arial Narrow" w:hAnsi="Arial Narrow" w:cs="Times New Roman"/>
          <w:sz w:val="18"/>
          <w:szCs w:val="18"/>
          <w:vertAlign w:val="superscript"/>
        </w:rPr>
        <w:t>a</w:t>
      </w:r>
      <w:r w:rsidRPr="00452F75">
        <w:rPr>
          <w:rFonts w:ascii="Arial Narrow" w:hAnsi="Arial Narrow"/>
          <w:sz w:val="18"/>
        </w:rPr>
        <w:t xml:space="preserve"> cross</w:t>
      </w:r>
      <w:r w:rsidR="00015E5C" w:rsidRPr="00452F75">
        <w:rPr>
          <w:rFonts w:ascii="Arial Narrow" w:hAnsi="Arial Narrow"/>
          <w:sz w:val="18"/>
        </w:rPr>
        <w:t>-</w:t>
      </w:r>
      <w:r w:rsidRPr="00452F75">
        <w:rPr>
          <w:rFonts w:ascii="Arial Narrow" w:hAnsi="Arial Narrow"/>
          <w:sz w:val="18"/>
        </w:rPr>
        <w:t>over not permitted</w:t>
      </w:r>
    </w:p>
    <w:p w:rsidR="007E7129" w:rsidRPr="00452F75" w:rsidRDefault="007E7129" w:rsidP="007E7129">
      <w:pPr>
        <w:ind w:left="709"/>
        <w:rPr>
          <w:rFonts w:ascii="Arial Narrow" w:hAnsi="Arial Narrow"/>
          <w:sz w:val="18"/>
        </w:rPr>
      </w:pPr>
      <w:r w:rsidRPr="00452F75">
        <w:rPr>
          <w:rFonts w:ascii="Arial Narrow" w:hAnsi="Arial Narrow"/>
          <w:sz w:val="18"/>
        </w:rPr>
        <w:t xml:space="preserve">BD=twice daily; </w:t>
      </w:r>
      <w:r w:rsidR="005F4787">
        <w:rPr>
          <w:rFonts w:ascii="Arial Narrow" w:hAnsi="Arial Narrow"/>
          <w:sz w:val="18"/>
        </w:rPr>
        <w:t xml:space="preserve">CMA=cost-minimisation analysis; </w:t>
      </w:r>
      <w:r w:rsidR="00992344" w:rsidRPr="00452F75">
        <w:rPr>
          <w:rFonts w:ascii="Arial Narrow" w:hAnsi="Arial Narrow"/>
          <w:sz w:val="18"/>
        </w:rPr>
        <w:t xml:space="preserve">cobi=cobimetinib; dabra=dabrafenib; </w:t>
      </w:r>
      <w:r w:rsidRPr="00452F75">
        <w:rPr>
          <w:rFonts w:ascii="Arial Narrow" w:hAnsi="Arial Narrow"/>
          <w:sz w:val="18"/>
        </w:rPr>
        <w:t xml:space="preserve">DB=double-blind; </w:t>
      </w:r>
      <w:r w:rsidR="00C2374D" w:rsidRPr="00452F75">
        <w:rPr>
          <w:rFonts w:ascii="Arial Narrow" w:hAnsi="Arial Narrow"/>
          <w:sz w:val="18"/>
        </w:rPr>
        <w:t xml:space="preserve">MC=multi-centre; </w:t>
      </w:r>
      <w:r w:rsidRPr="00452F75">
        <w:rPr>
          <w:rFonts w:ascii="Arial Narrow" w:hAnsi="Arial Narrow"/>
          <w:sz w:val="18"/>
        </w:rPr>
        <w:t xml:space="preserve">NA=not applicable; OL=open label; OS=overall survival; PFS=progression-free survival; </w:t>
      </w:r>
      <w:r w:rsidR="00992344" w:rsidRPr="00452F75">
        <w:rPr>
          <w:rFonts w:ascii="Arial Narrow" w:hAnsi="Arial Narrow"/>
          <w:sz w:val="18"/>
        </w:rPr>
        <w:t xml:space="preserve">plb=placebo; </w:t>
      </w:r>
      <w:r w:rsidR="00C2374D" w:rsidRPr="00452F75">
        <w:rPr>
          <w:rFonts w:ascii="Arial Narrow" w:hAnsi="Arial Narrow"/>
          <w:sz w:val="18"/>
        </w:rPr>
        <w:t xml:space="preserve">QD=once daily; </w:t>
      </w:r>
      <w:r w:rsidR="00BF15DF" w:rsidRPr="00452F75">
        <w:rPr>
          <w:rFonts w:ascii="Arial Narrow" w:hAnsi="Arial Narrow"/>
          <w:sz w:val="18"/>
        </w:rPr>
        <w:t>R=randomised</w:t>
      </w:r>
      <w:r w:rsidR="00992344" w:rsidRPr="00452F75">
        <w:rPr>
          <w:rFonts w:ascii="Arial Narrow" w:hAnsi="Arial Narrow"/>
          <w:sz w:val="18"/>
        </w:rPr>
        <w:t>; tram=trametinib; vem=vemurafenib</w:t>
      </w:r>
    </w:p>
    <w:p w:rsidR="00471985" w:rsidRPr="00452F75" w:rsidRDefault="00471985" w:rsidP="00471985"/>
    <w:p w:rsidR="00471985" w:rsidRPr="00452F75" w:rsidRDefault="000426BB" w:rsidP="00DF6DD6">
      <w:pPr>
        <w:pStyle w:val="ListParagraph"/>
      </w:pPr>
      <w:r w:rsidRPr="00452F75">
        <w:t xml:space="preserve">While the dabrafenib + trametinib COMBI-V trial </w:t>
      </w:r>
      <w:r w:rsidR="001F532B" w:rsidRPr="00452F75">
        <w:t>wa</w:t>
      </w:r>
      <w:r w:rsidRPr="00452F75">
        <w:t>s open-label and therefore at some risk of bias, the objective nature of the outcomes plus the use of independent review minimised the impact of any such bias.  The COMBI-V trial also allowed cross-over, which the submission acknowledged may bias results.</w:t>
      </w:r>
      <w:r w:rsidR="001F532B" w:rsidRPr="00452F75">
        <w:t xml:space="preserve">  The November 2014 PSD for trametinib</w:t>
      </w:r>
      <w:r w:rsidR="00162A8E" w:rsidRPr="00452F75">
        <w:t xml:space="preserve"> (paragraph 6.5)</w:t>
      </w:r>
      <w:r w:rsidR="001F532B" w:rsidRPr="00452F75">
        <w:t xml:space="preserve"> identified COMBI-V as having a low risk of bias</w:t>
      </w:r>
      <w:r w:rsidR="008D555B" w:rsidRPr="00452F75">
        <w:t xml:space="preserve"> and while the possibility of cross-over may have favoured vemurafenib + cobimetinib</w:t>
      </w:r>
      <w:r w:rsidR="00053F08" w:rsidRPr="00452F75">
        <w:t>,</w:t>
      </w:r>
      <w:r w:rsidR="00792409" w:rsidRPr="00452F75">
        <w:t xml:space="preserve"> it is difficult</w:t>
      </w:r>
      <w:r w:rsidR="008E08D0" w:rsidRPr="00452F75">
        <w:t xml:space="preserve"> to determine the potential impact of this on the results.</w:t>
      </w:r>
      <w:r w:rsidR="00DF6DD6" w:rsidRPr="00452F75">
        <w:t xml:space="preserve"> </w:t>
      </w:r>
      <w:r w:rsidR="00307627" w:rsidRPr="00452F75">
        <w:t xml:space="preserve">The </w:t>
      </w:r>
      <w:r w:rsidR="00DF6DD6" w:rsidRPr="00452F75">
        <w:t>ESC noted that very few individuals switched to the combination in COMBI-V.</w:t>
      </w:r>
    </w:p>
    <w:p w:rsidR="008D555B" w:rsidRPr="00452F75" w:rsidRDefault="008D555B" w:rsidP="008D555B"/>
    <w:p w:rsidR="008D555B" w:rsidRPr="00452F75" w:rsidRDefault="008D555B" w:rsidP="00654033">
      <w:pPr>
        <w:pStyle w:val="ListParagraph"/>
      </w:pPr>
      <w:r w:rsidRPr="00452F75">
        <w:t xml:space="preserve">Although the risk of bias within each trial can be considered low, there </w:t>
      </w:r>
      <w:r w:rsidR="000472B0" w:rsidRPr="00452F75">
        <w:t>wa</w:t>
      </w:r>
      <w:r w:rsidRPr="00452F75">
        <w:t xml:space="preserve">s some </w:t>
      </w:r>
      <w:r w:rsidR="000472B0" w:rsidRPr="00452F75">
        <w:t>potential for bias in the indirect comparison, given issues with exchangeability of the trials (see ‘Comparative effectiveness below’ for further detail).</w:t>
      </w:r>
    </w:p>
    <w:p w:rsidR="00186AD2" w:rsidRPr="00452F75" w:rsidRDefault="00186AD2" w:rsidP="00C27C38"/>
    <w:p w:rsidR="00B60939" w:rsidRPr="00C27C38" w:rsidRDefault="00B60939" w:rsidP="00C27C38">
      <w:pPr>
        <w:pStyle w:val="Heading2"/>
      </w:pPr>
      <w:bookmarkStart w:id="9" w:name="_Toc440982671"/>
      <w:r w:rsidRPr="00C27C38">
        <w:t>Comparative effectiveness</w:t>
      </w:r>
      <w:bookmarkEnd w:id="9"/>
    </w:p>
    <w:p w:rsidR="00B60939" w:rsidRPr="00452F75" w:rsidRDefault="00B60939" w:rsidP="00B60939">
      <w:pPr>
        <w:rPr>
          <w:szCs w:val="22"/>
        </w:rPr>
      </w:pPr>
    </w:p>
    <w:p w:rsidR="002C2775" w:rsidRPr="00452F75" w:rsidRDefault="00E05F4F" w:rsidP="00654033">
      <w:pPr>
        <w:pStyle w:val="ListParagraph"/>
      </w:pPr>
      <w:r w:rsidRPr="00452F75">
        <w:t xml:space="preserve">Table </w:t>
      </w:r>
      <w:r w:rsidR="00BB5AF7" w:rsidRPr="00452F75">
        <w:t>3</w:t>
      </w:r>
      <w:r w:rsidRPr="00452F75">
        <w:t xml:space="preserve"> provides the median PFS and OS results from </w:t>
      </w:r>
      <w:r w:rsidR="002D1376">
        <w:t xml:space="preserve">each of </w:t>
      </w:r>
      <w:r w:rsidRPr="00452F75">
        <w:t>the trials</w:t>
      </w:r>
      <w:r w:rsidR="002D1376">
        <w:t xml:space="preserve">. </w:t>
      </w:r>
      <w:r w:rsidRPr="00452F75">
        <w:t xml:space="preserve"> Table </w:t>
      </w:r>
      <w:r w:rsidR="00BB5AF7" w:rsidRPr="00452F75">
        <w:t>4</w:t>
      </w:r>
      <w:r w:rsidRPr="00452F75">
        <w:t xml:space="preserve"> provides the results of the indirect comparison.</w:t>
      </w:r>
    </w:p>
    <w:p w:rsidR="00D152E7" w:rsidRPr="00452F75" w:rsidRDefault="00D152E7" w:rsidP="00D152E7">
      <w:pPr>
        <w:widowControl/>
        <w:rPr>
          <w:szCs w:val="22"/>
        </w:rPr>
      </w:pPr>
    </w:p>
    <w:p w:rsidR="00B2018D" w:rsidRPr="00452F75" w:rsidRDefault="00B2018D">
      <w:pPr>
        <w:widowControl/>
        <w:jc w:val="left"/>
        <w:rPr>
          <w:rStyle w:val="CommentReference"/>
        </w:rPr>
      </w:pPr>
      <w:r w:rsidRPr="00452F75">
        <w:rPr>
          <w:rStyle w:val="CommentReference"/>
        </w:rPr>
        <w:br w:type="page"/>
      </w:r>
    </w:p>
    <w:p w:rsidR="00AE0D48" w:rsidRPr="00452F75" w:rsidRDefault="00AE0D48" w:rsidP="00A525E7">
      <w:pPr>
        <w:keepNext/>
        <w:ind w:left="709"/>
      </w:pPr>
      <w:r w:rsidRPr="00452F75">
        <w:rPr>
          <w:rStyle w:val="CommentReference"/>
        </w:rPr>
        <w:lastRenderedPageBreak/>
        <w:t xml:space="preserve">Table </w:t>
      </w:r>
      <w:r w:rsidR="00BB5AF7" w:rsidRPr="00452F75">
        <w:rPr>
          <w:rStyle w:val="CommentReference"/>
        </w:rPr>
        <w:t>3</w:t>
      </w:r>
      <w:r w:rsidRPr="00452F75">
        <w:rPr>
          <w:rStyle w:val="CommentReference"/>
        </w:rPr>
        <w:t>: Median duration of PFS</w:t>
      </w:r>
      <w:r w:rsidR="00FC545D" w:rsidRPr="00452F75">
        <w:rPr>
          <w:rStyle w:val="CommentReference"/>
        </w:rPr>
        <w:t xml:space="preserve"> and OS</w:t>
      </w:r>
      <w:r w:rsidRPr="00452F75">
        <w:rPr>
          <w:rStyle w:val="CommentReference"/>
        </w:rPr>
        <w:t xml:space="preserve"> in the trials included in the indirect comparison</w:t>
      </w:r>
    </w:p>
    <w:tbl>
      <w:tblPr>
        <w:tblStyle w:val="TableGrid"/>
        <w:tblW w:w="8364" w:type="dxa"/>
        <w:tblInd w:w="817" w:type="dxa"/>
        <w:tblLook w:val="04A0" w:firstRow="1" w:lastRow="0" w:firstColumn="1" w:lastColumn="0" w:noHBand="0" w:noVBand="1"/>
        <w:tblCaption w:val="Table 3: Median duration of PFS and OS in the trials included in the indirect comparison"/>
      </w:tblPr>
      <w:tblGrid>
        <w:gridCol w:w="1276"/>
        <w:gridCol w:w="2410"/>
        <w:gridCol w:w="2268"/>
        <w:gridCol w:w="2410"/>
      </w:tblGrid>
      <w:tr w:rsidR="00AE0D48" w:rsidRPr="00452F75" w:rsidTr="00854590">
        <w:trPr>
          <w:tblHeader/>
        </w:trPr>
        <w:tc>
          <w:tcPr>
            <w:tcW w:w="1276" w:type="dxa"/>
            <w:vAlign w:val="center"/>
          </w:tcPr>
          <w:p w:rsidR="00AE0D48" w:rsidRPr="00452F75" w:rsidRDefault="00FC545D" w:rsidP="00AE0D48">
            <w:pPr>
              <w:jc w:val="left"/>
              <w:rPr>
                <w:rFonts w:ascii="Arial Narrow" w:hAnsi="Arial Narrow"/>
                <w:b/>
                <w:sz w:val="20"/>
              </w:rPr>
            </w:pPr>
            <w:r w:rsidRPr="00452F75">
              <w:rPr>
                <w:rFonts w:ascii="Arial Narrow" w:hAnsi="Arial Narrow"/>
                <w:b/>
                <w:sz w:val="20"/>
              </w:rPr>
              <w:t>Trial</w:t>
            </w:r>
          </w:p>
        </w:tc>
        <w:tc>
          <w:tcPr>
            <w:tcW w:w="2410" w:type="dxa"/>
            <w:vAlign w:val="center"/>
          </w:tcPr>
          <w:p w:rsidR="00AE0D48" w:rsidRPr="00452F75" w:rsidRDefault="00AE0D48" w:rsidP="00AE0D48">
            <w:pPr>
              <w:jc w:val="center"/>
              <w:rPr>
                <w:rFonts w:ascii="Arial Narrow" w:hAnsi="Arial Narrow"/>
                <w:sz w:val="20"/>
              </w:rPr>
            </w:pPr>
            <w:r w:rsidRPr="00452F75">
              <w:rPr>
                <w:rFonts w:ascii="Arial Narrow" w:hAnsi="Arial Narrow"/>
                <w:b/>
                <w:sz w:val="20"/>
              </w:rPr>
              <w:t>Combination therapy</w:t>
            </w:r>
          </w:p>
        </w:tc>
        <w:tc>
          <w:tcPr>
            <w:tcW w:w="2268" w:type="dxa"/>
            <w:vAlign w:val="center"/>
          </w:tcPr>
          <w:p w:rsidR="00AE0D48" w:rsidRPr="00452F75" w:rsidRDefault="00AE0D48" w:rsidP="00AE0D48">
            <w:pPr>
              <w:jc w:val="center"/>
              <w:rPr>
                <w:rFonts w:ascii="Arial Narrow" w:hAnsi="Arial Narrow"/>
                <w:sz w:val="20"/>
              </w:rPr>
            </w:pPr>
            <w:r w:rsidRPr="00452F75">
              <w:rPr>
                <w:rFonts w:ascii="Arial Narrow" w:hAnsi="Arial Narrow"/>
                <w:b/>
                <w:sz w:val="20"/>
              </w:rPr>
              <w:t>BRAF inhibitor</w:t>
            </w:r>
          </w:p>
        </w:tc>
        <w:tc>
          <w:tcPr>
            <w:tcW w:w="2410" w:type="dxa"/>
            <w:vAlign w:val="center"/>
          </w:tcPr>
          <w:p w:rsidR="00AE0D48" w:rsidRPr="00452F75" w:rsidRDefault="00AE0D48" w:rsidP="00AE0D48">
            <w:pPr>
              <w:jc w:val="center"/>
              <w:rPr>
                <w:rFonts w:ascii="Arial Narrow" w:hAnsi="Arial Narrow"/>
                <w:b/>
                <w:sz w:val="20"/>
              </w:rPr>
            </w:pPr>
            <w:r w:rsidRPr="00452F75">
              <w:rPr>
                <w:rFonts w:ascii="Arial Narrow" w:hAnsi="Arial Narrow"/>
                <w:b/>
                <w:sz w:val="20"/>
              </w:rPr>
              <w:t>Absolute difference</w:t>
            </w:r>
          </w:p>
        </w:tc>
      </w:tr>
      <w:tr w:rsidR="00FC545D" w:rsidRPr="00452F75" w:rsidTr="00D21201">
        <w:tc>
          <w:tcPr>
            <w:tcW w:w="8364" w:type="dxa"/>
            <w:gridSpan w:val="4"/>
            <w:vAlign w:val="center"/>
          </w:tcPr>
          <w:p w:rsidR="00FC545D" w:rsidRPr="00452F75" w:rsidRDefault="00FC545D" w:rsidP="00FC545D">
            <w:pPr>
              <w:jc w:val="left"/>
              <w:rPr>
                <w:rFonts w:ascii="Arial Narrow" w:hAnsi="Arial Narrow"/>
                <w:b/>
                <w:sz w:val="20"/>
              </w:rPr>
            </w:pPr>
            <w:r w:rsidRPr="00452F75">
              <w:rPr>
                <w:rFonts w:ascii="Arial Narrow" w:hAnsi="Arial Narrow"/>
                <w:b/>
                <w:sz w:val="20"/>
              </w:rPr>
              <w:t>Progression-free survival - median months</w:t>
            </w:r>
          </w:p>
        </w:tc>
      </w:tr>
      <w:tr w:rsidR="00FC545D" w:rsidRPr="00452F75" w:rsidTr="00AE0D48">
        <w:tc>
          <w:tcPr>
            <w:tcW w:w="1276" w:type="dxa"/>
            <w:vAlign w:val="center"/>
          </w:tcPr>
          <w:p w:rsidR="00FC545D" w:rsidRPr="00452F75" w:rsidRDefault="00FC545D" w:rsidP="00AE0D48">
            <w:pPr>
              <w:jc w:val="left"/>
              <w:rPr>
                <w:rFonts w:ascii="Arial Narrow" w:hAnsi="Arial Narrow"/>
                <w:sz w:val="20"/>
              </w:rPr>
            </w:pPr>
            <w:r w:rsidRPr="00452F75">
              <w:rPr>
                <w:rFonts w:ascii="Arial Narrow" w:hAnsi="Arial Narrow"/>
                <w:sz w:val="20"/>
              </w:rPr>
              <w:t>coBRIM</w:t>
            </w:r>
          </w:p>
        </w:tc>
        <w:tc>
          <w:tcPr>
            <w:tcW w:w="2410" w:type="dxa"/>
          </w:tcPr>
          <w:p w:rsidR="00FC545D" w:rsidRPr="00452F75" w:rsidRDefault="00FC545D" w:rsidP="00AE0D48">
            <w:pPr>
              <w:jc w:val="center"/>
              <w:rPr>
                <w:rFonts w:ascii="Arial Narrow" w:hAnsi="Arial Narrow"/>
                <w:sz w:val="20"/>
              </w:rPr>
            </w:pPr>
            <w:r w:rsidRPr="00452F75">
              <w:rPr>
                <w:rFonts w:ascii="Arial Narrow" w:hAnsi="Arial Narrow"/>
                <w:sz w:val="20"/>
              </w:rPr>
              <w:t>12.3</w:t>
            </w:r>
          </w:p>
        </w:tc>
        <w:tc>
          <w:tcPr>
            <w:tcW w:w="2268" w:type="dxa"/>
          </w:tcPr>
          <w:p w:rsidR="00FC545D" w:rsidRPr="00452F75" w:rsidRDefault="00FC545D" w:rsidP="00AE0D48">
            <w:pPr>
              <w:jc w:val="center"/>
              <w:rPr>
                <w:rFonts w:ascii="Arial Narrow" w:hAnsi="Arial Narrow"/>
                <w:sz w:val="20"/>
              </w:rPr>
            </w:pPr>
            <w:r w:rsidRPr="00452F75">
              <w:rPr>
                <w:rFonts w:ascii="Arial Narrow" w:hAnsi="Arial Narrow"/>
                <w:sz w:val="20"/>
              </w:rPr>
              <w:t>7.2</w:t>
            </w:r>
          </w:p>
        </w:tc>
        <w:tc>
          <w:tcPr>
            <w:tcW w:w="2410" w:type="dxa"/>
          </w:tcPr>
          <w:p w:rsidR="00FC545D" w:rsidRPr="00452F75" w:rsidRDefault="00FC545D" w:rsidP="00AE0D48">
            <w:pPr>
              <w:jc w:val="center"/>
              <w:rPr>
                <w:rFonts w:ascii="Arial Narrow" w:hAnsi="Arial Narrow"/>
                <w:sz w:val="20"/>
              </w:rPr>
            </w:pPr>
            <w:r w:rsidRPr="00452F75">
              <w:rPr>
                <w:rFonts w:ascii="Arial Narrow" w:hAnsi="Arial Narrow"/>
                <w:sz w:val="20"/>
              </w:rPr>
              <w:t>5.1 months</w:t>
            </w:r>
          </w:p>
        </w:tc>
      </w:tr>
      <w:tr w:rsidR="00FC545D" w:rsidRPr="00452F75" w:rsidTr="00AE0D48">
        <w:tc>
          <w:tcPr>
            <w:tcW w:w="1276" w:type="dxa"/>
            <w:vAlign w:val="center"/>
          </w:tcPr>
          <w:p w:rsidR="00FC545D" w:rsidRPr="00452F75" w:rsidRDefault="00FC545D" w:rsidP="00AE0D48">
            <w:pPr>
              <w:jc w:val="left"/>
              <w:rPr>
                <w:rFonts w:ascii="Arial Narrow" w:hAnsi="Arial Narrow"/>
                <w:sz w:val="20"/>
              </w:rPr>
            </w:pPr>
            <w:r w:rsidRPr="00452F75">
              <w:rPr>
                <w:rFonts w:ascii="Arial Narrow" w:hAnsi="Arial Narrow"/>
                <w:sz w:val="20"/>
              </w:rPr>
              <w:t>COMBI-D</w:t>
            </w:r>
          </w:p>
        </w:tc>
        <w:tc>
          <w:tcPr>
            <w:tcW w:w="2410" w:type="dxa"/>
          </w:tcPr>
          <w:p w:rsidR="00FC545D" w:rsidRPr="00452F75" w:rsidRDefault="00FC545D" w:rsidP="00AE0D48">
            <w:pPr>
              <w:jc w:val="center"/>
              <w:rPr>
                <w:rFonts w:ascii="Arial Narrow" w:hAnsi="Arial Narrow"/>
                <w:sz w:val="20"/>
              </w:rPr>
            </w:pPr>
            <w:r w:rsidRPr="00452F75">
              <w:rPr>
                <w:rFonts w:ascii="Arial Narrow" w:hAnsi="Arial Narrow"/>
                <w:sz w:val="20"/>
              </w:rPr>
              <w:t>11.0</w:t>
            </w:r>
          </w:p>
        </w:tc>
        <w:tc>
          <w:tcPr>
            <w:tcW w:w="2268" w:type="dxa"/>
          </w:tcPr>
          <w:p w:rsidR="00FC545D" w:rsidRPr="00452F75" w:rsidRDefault="00FC545D" w:rsidP="00AE0D48">
            <w:pPr>
              <w:jc w:val="center"/>
              <w:rPr>
                <w:rFonts w:ascii="Arial Narrow" w:hAnsi="Arial Narrow"/>
                <w:sz w:val="20"/>
              </w:rPr>
            </w:pPr>
            <w:r w:rsidRPr="00452F75">
              <w:rPr>
                <w:rFonts w:ascii="Arial Narrow" w:hAnsi="Arial Narrow"/>
                <w:sz w:val="20"/>
              </w:rPr>
              <w:t>8.8</w:t>
            </w:r>
          </w:p>
        </w:tc>
        <w:tc>
          <w:tcPr>
            <w:tcW w:w="2410" w:type="dxa"/>
          </w:tcPr>
          <w:p w:rsidR="00FC545D" w:rsidRPr="00452F75" w:rsidRDefault="00FC545D" w:rsidP="00AE0D48">
            <w:pPr>
              <w:jc w:val="center"/>
              <w:rPr>
                <w:rFonts w:ascii="Arial Narrow" w:hAnsi="Arial Narrow"/>
                <w:sz w:val="20"/>
              </w:rPr>
            </w:pPr>
            <w:r w:rsidRPr="00452F75">
              <w:rPr>
                <w:rFonts w:ascii="Arial Narrow" w:hAnsi="Arial Narrow"/>
                <w:sz w:val="20"/>
              </w:rPr>
              <w:t>2.2 months</w:t>
            </w:r>
          </w:p>
        </w:tc>
      </w:tr>
      <w:tr w:rsidR="00FC545D" w:rsidRPr="00452F75" w:rsidTr="00AE0D48">
        <w:tc>
          <w:tcPr>
            <w:tcW w:w="1276" w:type="dxa"/>
            <w:vAlign w:val="center"/>
          </w:tcPr>
          <w:p w:rsidR="00FC545D" w:rsidRPr="00452F75" w:rsidRDefault="00FC545D" w:rsidP="00AE0D48">
            <w:pPr>
              <w:jc w:val="left"/>
              <w:rPr>
                <w:rFonts w:ascii="Arial Narrow" w:hAnsi="Arial Narrow"/>
                <w:sz w:val="20"/>
              </w:rPr>
            </w:pPr>
            <w:r w:rsidRPr="00452F75">
              <w:rPr>
                <w:rFonts w:ascii="Arial Narrow" w:hAnsi="Arial Narrow"/>
                <w:sz w:val="20"/>
              </w:rPr>
              <w:t>COMBI-V</w:t>
            </w:r>
          </w:p>
        </w:tc>
        <w:tc>
          <w:tcPr>
            <w:tcW w:w="2410" w:type="dxa"/>
          </w:tcPr>
          <w:p w:rsidR="00FC545D" w:rsidRPr="00452F75" w:rsidRDefault="00FC545D" w:rsidP="00AE0D48">
            <w:pPr>
              <w:jc w:val="center"/>
              <w:rPr>
                <w:rFonts w:ascii="Arial Narrow" w:hAnsi="Arial Narrow"/>
                <w:sz w:val="20"/>
              </w:rPr>
            </w:pPr>
            <w:r w:rsidRPr="00452F75">
              <w:rPr>
                <w:rFonts w:ascii="Arial Narrow" w:hAnsi="Arial Narrow"/>
                <w:sz w:val="20"/>
              </w:rPr>
              <w:t>12.6</w:t>
            </w:r>
          </w:p>
        </w:tc>
        <w:tc>
          <w:tcPr>
            <w:tcW w:w="2268" w:type="dxa"/>
          </w:tcPr>
          <w:p w:rsidR="00FC545D" w:rsidRPr="00452F75" w:rsidRDefault="00FC545D" w:rsidP="00AE0D48">
            <w:pPr>
              <w:jc w:val="center"/>
              <w:rPr>
                <w:rFonts w:ascii="Arial Narrow" w:hAnsi="Arial Narrow"/>
                <w:sz w:val="20"/>
              </w:rPr>
            </w:pPr>
            <w:r w:rsidRPr="00452F75">
              <w:rPr>
                <w:rFonts w:ascii="Arial Narrow" w:hAnsi="Arial Narrow"/>
                <w:sz w:val="20"/>
              </w:rPr>
              <w:t>7.3</w:t>
            </w:r>
          </w:p>
        </w:tc>
        <w:tc>
          <w:tcPr>
            <w:tcW w:w="2410" w:type="dxa"/>
          </w:tcPr>
          <w:p w:rsidR="00FC545D" w:rsidRPr="00452F75" w:rsidRDefault="00FC545D" w:rsidP="00AE0D48">
            <w:pPr>
              <w:jc w:val="center"/>
              <w:rPr>
                <w:rFonts w:ascii="Arial Narrow" w:hAnsi="Arial Narrow"/>
                <w:sz w:val="20"/>
              </w:rPr>
            </w:pPr>
            <w:r w:rsidRPr="00452F75">
              <w:rPr>
                <w:rFonts w:ascii="Arial Narrow" w:hAnsi="Arial Narrow"/>
                <w:sz w:val="20"/>
              </w:rPr>
              <w:t>5.3 months</w:t>
            </w:r>
          </w:p>
        </w:tc>
      </w:tr>
      <w:tr w:rsidR="00FC545D" w:rsidRPr="00452F75" w:rsidTr="00D21201">
        <w:tc>
          <w:tcPr>
            <w:tcW w:w="8364" w:type="dxa"/>
            <w:gridSpan w:val="4"/>
            <w:vAlign w:val="center"/>
          </w:tcPr>
          <w:p w:rsidR="00FC545D" w:rsidRPr="00452F75" w:rsidRDefault="00FC545D" w:rsidP="00FC545D">
            <w:pPr>
              <w:jc w:val="left"/>
              <w:rPr>
                <w:rFonts w:ascii="Arial Narrow" w:hAnsi="Arial Narrow"/>
                <w:b/>
                <w:sz w:val="20"/>
              </w:rPr>
            </w:pPr>
            <w:r w:rsidRPr="00452F75">
              <w:rPr>
                <w:rFonts w:ascii="Arial Narrow" w:hAnsi="Arial Narrow"/>
                <w:b/>
                <w:sz w:val="20"/>
              </w:rPr>
              <w:t>Overall survival - median months</w:t>
            </w:r>
          </w:p>
        </w:tc>
      </w:tr>
      <w:tr w:rsidR="00FC545D" w:rsidRPr="00452F75" w:rsidTr="00AE0D48">
        <w:tc>
          <w:tcPr>
            <w:tcW w:w="1276" w:type="dxa"/>
            <w:vAlign w:val="center"/>
          </w:tcPr>
          <w:p w:rsidR="00FC545D" w:rsidRPr="00452F75" w:rsidRDefault="00FC545D" w:rsidP="00AE0D48">
            <w:pPr>
              <w:jc w:val="left"/>
              <w:rPr>
                <w:rFonts w:ascii="Arial Narrow" w:hAnsi="Arial Narrow"/>
                <w:sz w:val="20"/>
              </w:rPr>
            </w:pPr>
            <w:r w:rsidRPr="00452F75">
              <w:rPr>
                <w:rFonts w:ascii="Arial Narrow" w:hAnsi="Arial Narrow"/>
                <w:sz w:val="20"/>
              </w:rPr>
              <w:t>coBRIM</w:t>
            </w:r>
          </w:p>
        </w:tc>
        <w:tc>
          <w:tcPr>
            <w:tcW w:w="2410" w:type="dxa"/>
          </w:tcPr>
          <w:p w:rsidR="00FC545D" w:rsidRPr="00452F75" w:rsidRDefault="00FC545D" w:rsidP="00AE0D48">
            <w:pPr>
              <w:jc w:val="center"/>
              <w:rPr>
                <w:rFonts w:ascii="Arial Narrow" w:hAnsi="Arial Narrow"/>
                <w:sz w:val="20"/>
              </w:rPr>
            </w:pPr>
            <w:r w:rsidRPr="00452F75">
              <w:rPr>
                <w:rFonts w:ascii="Arial Narrow" w:hAnsi="Arial Narrow"/>
                <w:sz w:val="20"/>
              </w:rPr>
              <w:t>22.3</w:t>
            </w:r>
          </w:p>
        </w:tc>
        <w:tc>
          <w:tcPr>
            <w:tcW w:w="2268" w:type="dxa"/>
          </w:tcPr>
          <w:p w:rsidR="00FC545D" w:rsidRPr="00452F75" w:rsidRDefault="00FC545D" w:rsidP="00AE0D48">
            <w:pPr>
              <w:jc w:val="center"/>
              <w:rPr>
                <w:rFonts w:ascii="Arial Narrow" w:hAnsi="Arial Narrow"/>
                <w:sz w:val="20"/>
              </w:rPr>
            </w:pPr>
            <w:r w:rsidRPr="00452F75">
              <w:rPr>
                <w:rFonts w:ascii="Arial Narrow" w:hAnsi="Arial Narrow"/>
                <w:sz w:val="20"/>
              </w:rPr>
              <w:t>17.4</w:t>
            </w:r>
          </w:p>
        </w:tc>
        <w:tc>
          <w:tcPr>
            <w:tcW w:w="2410" w:type="dxa"/>
          </w:tcPr>
          <w:p w:rsidR="00FC545D" w:rsidRPr="00452F75" w:rsidRDefault="00FC545D" w:rsidP="00AE0D48">
            <w:pPr>
              <w:jc w:val="center"/>
              <w:rPr>
                <w:rFonts w:ascii="Arial Narrow" w:hAnsi="Arial Narrow"/>
                <w:sz w:val="20"/>
              </w:rPr>
            </w:pPr>
            <w:r w:rsidRPr="00452F75">
              <w:rPr>
                <w:rFonts w:ascii="Arial Narrow" w:hAnsi="Arial Narrow"/>
                <w:sz w:val="20"/>
              </w:rPr>
              <w:t>4.9 months</w:t>
            </w:r>
          </w:p>
        </w:tc>
      </w:tr>
      <w:tr w:rsidR="00FC545D" w:rsidRPr="00452F75" w:rsidTr="00AE0D48">
        <w:tc>
          <w:tcPr>
            <w:tcW w:w="1276" w:type="dxa"/>
            <w:vAlign w:val="center"/>
          </w:tcPr>
          <w:p w:rsidR="00FC545D" w:rsidRPr="00452F75" w:rsidRDefault="00FC545D" w:rsidP="00AE0D48">
            <w:pPr>
              <w:jc w:val="left"/>
              <w:rPr>
                <w:rFonts w:ascii="Arial Narrow" w:hAnsi="Arial Narrow"/>
                <w:sz w:val="20"/>
              </w:rPr>
            </w:pPr>
            <w:r w:rsidRPr="00452F75">
              <w:rPr>
                <w:rFonts w:ascii="Arial Narrow" w:hAnsi="Arial Narrow"/>
                <w:sz w:val="20"/>
              </w:rPr>
              <w:t>COMBI-D</w:t>
            </w:r>
          </w:p>
        </w:tc>
        <w:tc>
          <w:tcPr>
            <w:tcW w:w="2410" w:type="dxa"/>
          </w:tcPr>
          <w:p w:rsidR="00FC545D" w:rsidRPr="00452F75" w:rsidRDefault="00FC545D" w:rsidP="00AE0D48">
            <w:pPr>
              <w:jc w:val="center"/>
              <w:rPr>
                <w:rFonts w:ascii="Arial Narrow" w:hAnsi="Arial Narrow"/>
                <w:sz w:val="20"/>
              </w:rPr>
            </w:pPr>
            <w:r w:rsidRPr="00452F75">
              <w:rPr>
                <w:rFonts w:ascii="Arial Narrow" w:hAnsi="Arial Narrow"/>
                <w:sz w:val="20"/>
              </w:rPr>
              <w:t>25.1</w:t>
            </w:r>
          </w:p>
        </w:tc>
        <w:tc>
          <w:tcPr>
            <w:tcW w:w="2268" w:type="dxa"/>
          </w:tcPr>
          <w:p w:rsidR="00FC545D" w:rsidRPr="00452F75" w:rsidRDefault="00FC545D" w:rsidP="00AE0D48">
            <w:pPr>
              <w:jc w:val="center"/>
              <w:rPr>
                <w:rFonts w:ascii="Arial Narrow" w:hAnsi="Arial Narrow"/>
                <w:sz w:val="20"/>
              </w:rPr>
            </w:pPr>
            <w:r w:rsidRPr="00452F75">
              <w:rPr>
                <w:rFonts w:ascii="Arial Narrow" w:hAnsi="Arial Narrow"/>
                <w:sz w:val="20"/>
              </w:rPr>
              <w:t>18.7</w:t>
            </w:r>
          </w:p>
        </w:tc>
        <w:tc>
          <w:tcPr>
            <w:tcW w:w="2410" w:type="dxa"/>
          </w:tcPr>
          <w:p w:rsidR="00FC545D" w:rsidRPr="00452F75" w:rsidRDefault="00FC545D" w:rsidP="00AE0D48">
            <w:pPr>
              <w:jc w:val="center"/>
              <w:rPr>
                <w:rFonts w:ascii="Arial Narrow" w:hAnsi="Arial Narrow"/>
                <w:sz w:val="20"/>
              </w:rPr>
            </w:pPr>
            <w:r w:rsidRPr="00452F75">
              <w:rPr>
                <w:rFonts w:ascii="Arial Narrow" w:hAnsi="Arial Narrow"/>
                <w:sz w:val="20"/>
              </w:rPr>
              <w:t>6.4 months</w:t>
            </w:r>
          </w:p>
        </w:tc>
      </w:tr>
      <w:tr w:rsidR="00FC545D" w:rsidRPr="00452F75" w:rsidTr="00AE0D48">
        <w:tc>
          <w:tcPr>
            <w:tcW w:w="1276" w:type="dxa"/>
            <w:vAlign w:val="center"/>
          </w:tcPr>
          <w:p w:rsidR="00FC545D" w:rsidRPr="00452F75" w:rsidRDefault="00FC545D" w:rsidP="00AE0D48">
            <w:pPr>
              <w:jc w:val="left"/>
              <w:rPr>
                <w:rFonts w:ascii="Arial Narrow" w:hAnsi="Arial Narrow"/>
                <w:sz w:val="20"/>
              </w:rPr>
            </w:pPr>
            <w:r w:rsidRPr="00452F75">
              <w:rPr>
                <w:rFonts w:ascii="Arial Narrow" w:hAnsi="Arial Narrow"/>
                <w:sz w:val="20"/>
              </w:rPr>
              <w:t>COMBI-V</w:t>
            </w:r>
          </w:p>
        </w:tc>
        <w:tc>
          <w:tcPr>
            <w:tcW w:w="2410" w:type="dxa"/>
          </w:tcPr>
          <w:p w:rsidR="00FC545D" w:rsidRPr="00452F75" w:rsidRDefault="00FC545D" w:rsidP="00AE0D48">
            <w:pPr>
              <w:jc w:val="center"/>
              <w:rPr>
                <w:rFonts w:ascii="Arial Narrow" w:hAnsi="Arial Narrow"/>
                <w:sz w:val="20"/>
              </w:rPr>
            </w:pPr>
            <w:r w:rsidRPr="00452F75">
              <w:rPr>
                <w:rFonts w:ascii="Arial Narrow" w:hAnsi="Arial Narrow"/>
                <w:sz w:val="20"/>
              </w:rPr>
              <w:t>25.6</w:t>
            </w:r>
          </w:p>
        </w:tc>
        <w:tc>
          <w:tcPr>
            <w:tcW w:w="2268" w:type="dxa"/>
          </w:tcPr>
          <w:p w:rsidR="00FC545D" w:rsidRPr="00452F75" w:rsidRDefault="00FC545D" w:rsidP="00AE0D48">
            <w:pPr>
              <w:jc w:val="center"/>
              <w:rPr>
                <w:rFonts w:ascii="Arial Narrow" w:hAnsi="Arial Narrow"/>
                <w:sz w:val="20"/>
              </w:rPr>
            </w:pPr>
            <w:r w:rsidRPr="00452F75">
              <w:rPr>
                <w:rFonts w:ascii="Arial Narrow" w:hAnsi="Arial Narrow"/>
                <w:sz w:val="20"/>
              </w:rPr>
              <w:t>18.0</w:t>
            </w:r>
          </w:p>
        </w:tc>
        <w:tc>
          <w:tcPr>
            <w:tcW w:w="2410" w:type="dxa"/>
          </w:tcPr>
          <w:p w:rsidR="00FC545D" w:rsidRPr="00452F75" w:rsidRDefault="00FC545D" w:rsidP="00AE0D48">
            <w:pPr>
              <w:jc w:val="center"/>
              <w:rPr>
                <w:rFonts w:ascii="Arial Narrow" w:hAnsi="Arial Narrow"/>
                <w:sz w:val="20"/>
              </w:rPr>
            </w:pPr>
            <w:r w:rsidRPr="00452F75">
              <w:rPr>
                <w:rFonts w:ascii="Arial Narrow" w:hAnsi="Arial Narrow"/>
                <w:sz w:val="20"/>
              </w:rPr>
              <w:t>7.6 months</w:t>
            </w:r>
          </w:p>
        </w:tc>
      </w:tr>
    </w:tbl>
    <w:p w:rsidR="00AE0D48" w:rsidRPr="00452F75" w:rsidRDefault="00AE0D48" w:rsidP="00FC545D">
      <w:pPr>
        <w:pStyle w:val="TableFooter"/>
        <w:ind w:left="709"/>
        <w:rPr>
          <w:szCs w:val="22"/>
        </w:rPr>
      </w:pPr>
      <w:r w:rsidRPr="00452F75">
        <w:t xml:space="preserve">Source: </w:t>
      </w:r>
      <w:r w:rsidR="00015E5C" w:rsidRPr="00452F75">
        <w:t>c</w:t>
      </w:r>
      <w:r w:rsidRPr="00452F75">
        <w:t>ompiled during the evaluation</w:t>
      </w:r>
      <w:r w:rsidR="00015E5C" w:rsidRPr="00452F75">
        <w:t>.</w:t>
      </w:r>
    </w:p>
    <w:p w:rsidR="00AE0D48" w:rsidRPr="00452F75" w:rsidRDefault="00AE0D48" w:rsidP="00D152E7">
      <w:pPr>
        <w:widowControl/>
        <w:rPr>
          <w:szCs w:val="22"/>
        </w:rPr>
      </w:pPr>
    </w:p>
    <w:p w:rsidR="00D152E7" w:rsidRPr="00452F75" w:rsidRDefault="00D152E7" w:rsidP="00D152E7">
      <w:pPr>
        <w:keepNext/>
        <w:ind w:firstLine="720"/>
        <w:rPr>
          <w:rStyle w:val="CommentReference"/>
        </w:rPr>
      </w:pPr>
      <w:r w:rsidRPr="00452F75">
        <w:rPr>
          <w:rStyle w:val="CommentReference"/>
        </w:rPr>
        <w:t xml:space="preserve">Table </w:t>
      </w:r>
      <w:r w:rsidR="00BB5AF7" w:rsidRPr="00452F75">
        <w:rPr>
          <w:rStyle w:val="CommentReference"/>
        </w:rPr>
        <w:t>4</w:t>
      </w:r>
      <w:r w:rsidRPr="00452F75">
        <w:rPr>
          <w:rStyle w:val="CommentReference"/>
        </w:rPr>
        <w:t xml:space="preserve">: Indirect comparison - PFS </w:t>
      </w:r>
      <w:r w:rsidR="006027F0" w:rsidRPr="00452F75">
        <w:rPr>
          <w:rStyle w:val="CommentReference"/>
        </w:rPr>
        <w:t>and OS</w:t>
      </w:r>
    </w:p>
    <w:tbl>
      <w:tblPr>
        <w:tblW w:w="4706"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992"/>
        <w:gridCol w:w="992"/>
        <w:gridCol w:w="992"/>
        <w:gridCol w:w="1259"/>
        <w:gridCol w:w="1105"/>
        <w:gridCol w:w="1335"/>
        <w:gridCol w:w="991"/>
      </w:tblGrid>
      <w:tr w:rsidR="00D152E7" w:rsidRPr="00452F75" w:rsidTr="008D008B">
        <w:trPr>
          <w:tblHeader/>
        </w:trPr>
        <w:tc>
          <w:tcPr>
            <w:tcW w:w="840" w:type="dxa"/>
            <w:vMerge w:val="restart"/>
            <w:tcMar>
              <w:right w:w="28" w:type="dxa"/>
            </w:tcMar>
            <w:vAlign w:val="center"/>
          </w:tcPr>
          <w:p w:rsidR="00D152E7" w:rsidRPr="00452F75" w:rsidRDefault="00015E5C" w:rsidP="007710BA">
            <w:pPr>
              <w:pStyle w:val="TableText0"/>
              <w:spacing w:before="0" w:after="0"/>
              <w:contextualSpacing/>
              <w:rPr>
                <w:b/>
              </w:rPr>
            </w:pPr>
            <w:r w:rsidRPr="00452F75">
              <w:rPr>
                <w:b/>
              </w:rPr>
              <w:t>Trial</w:t>
            </w:r>
          </w:p>
        </w:tc>
        <w:tc>
          <w:tcPr>
            <w:tcW w:w="2976" w:type="dxa"/>
            <w:gridSpan w:val="3"/>
            <w:tcBorders>
              <w:left w:val="nil"/>
              <w:bottom w:val="single" w:sz="4" w:space="0" w:color="auto"/>
              <w:right w:val="single" w:sz="4" w:space="0" w:color="auto"/>
            </w:tcBorders>
            <w:vAlign w:val="center"/>
          </w:tcPr>
          <w:p w:rsidR="00D152E7" w:rsidRPr="00452F75" w:rsidRDefault="00D152E7" w:rsidP="007710BA">
            <w:pPr>
              <w:pStyle w:val="TableText0"/>
              <w:spacing w:before="0" w:after="0"/>
              <w:contextualSpacing/>
              <w:jc w:val="center"/>
              <w:rPr>
                <w:b/>
              </w:rPr>
            </w:pPr>
            <w:r w:rsidRPr="00452F75">
              <w:rPr>
                <w:b/>
              </w:rPr>
              <w:t>coBRIM: vemurafenib + cobimetinib</w:t>
            </w:r>
          </w:p>
        </w:tc>
        <w:tc>
          <w:tcPr>
            <w:tcW w:w="3699" w:type="dxa"/>
            <w:gridSpan w:val="3"/>
            <w:tcBorders>
              <w:left w:val="single" w:sz="4" w:space="0" w:color="auto"/>
              <w:bottom w:val="single" w:sz="4" w:space="0" w:color="auto"/>
            </w:tcBorders>
            <w:vAlign w:val="center"/>
          </w:tcPr>
          <w:p w:rsidR="00D152E7" w:rsidRPr="00452F75" w:rsidRDefault="00D152E7" w:rsidP="007710BA">
            <w:pPr>
              <w:pStyle w:val="TableText0"/>
              <w:spacing w:before="0" w:after="0"/>
              <w:contextualSpacing/>
              <w:jc w:val="center"/>
              <w:rPr>
                <w:b/>
              </w:rPr>
            </w:pPr>
            <w:r w:rsidRPr="00452F75">
              <w:rPr>
                <w:b/>
              </w:rPr>
              <w:t>COMBI-D/COMBi-V: dabrafenib + trametinib</w:t>
            </w:r>
          </w:p>
        </w:tc>
        <w:tc>
          <w:tcPr>
            <w:tcW w:w="991" w:type="dxa"/>
            <w:vMerge w:val="restart"/>
            <w:tcBorders>
              <w:bottom w:val="single" w:sz="4" w:space="0" w:color="auto"/>
            </w:tcBorders>
            <w:vAlign w:val="center"/>
          </w:tcPr>
          <w:p w:rsidR="00D152E7" w:rsidRPr="00452F75" w:rsidRDefault="00D152E7" w:rsidP="004941B2">
            <w:pPr>
              <w:pStyle w:val="TableText0"/>
              <w:spacing w:before="0" w:after="0"/>
              <w:contextualSpacing/>
              <w:jc w:val="center"/>
            </w:pPr>
            <w:r w:rsidRPr="00452F75">
              <w:rPr>
                <w:b/>
              </w:rPr>
              <w:t>Indirect HR</w:t>
            </w:r>
            <w:r w:rsidRPr="00452F75">
              <w:rPr>
                <w:b/>
              </w:rPr>
              <w:br/>
              <w:t>(95% CI)</w:t>
            </w:r>
          </w:p>
        </w:tc>
      </w:tr>
      <w:tr w:rsidR="00D152E7" w:rsidRPr="00452F75" w:rsidTr="008D008B">
        <w:trPr>
          <w:tblHeader/>
        </w:trPr>
        <w:tc>
          <w:tcPr>
            <w:tcW w:w="840" w:type="dxa"/>
            <w:vMerge/>
            <w:tcMar>
              <w:right w:w="28" w:type="dxa"/>
            </w:tcMar>
            <w:vAlign w:val="center"/>
          </w:tcPr>
          <w:p w:rsidR="00D152E7" w:rsidRPr="00452F75" w:rsidRDefault="00D152E7" w:rsidP="007710BA">
            <w:pPr>
              <w:pStyle w:val="TableText0"/>
              <w:spacing w:before="0" w:after="0"/>
              <w:contextualSpacing/>
              <w:jc w:val="center"/>
            </w:pPr>
          </w:p>
        </w:tc>
        <w:tc>
          <w:tcPr>
            <w:tcW w:w="992" w:type="dxa"/>
            <w:tcBorders>
              <w:bottom w:val="single" w:sz="4" w:space="0" w:color="auto"/>
              <w:right w:val="single" w:sz="4" w:space="0" w:color="auto"/>
            </w:tcBorders>
            <w:vAlign w:val="center"/>
          </w:tcPr>
          <w:p w:rsidR="00D152E7" w:rsidRPr="00452F75" w:rsidRDefault="00D152E7" w:rsidP="007710BA">
            <w:pPr>
              <w:pStyle w:val="TableText0"/>
              <w:spacing w:before="0" w:after="0"/>
              <w:contextualSpacing/>
              <w:jc w:val="center"/>
              <w:rPr>
                <w:b/>
              </w:rPr>
            </w:pPr>
            <w:r w:rsidRPr="00452F75">
              <w:rPr>
                <w:b/>
              </w:rPr>
              <w:t>HR (95% CI)</w:t>
            </w:r>
          </w:p>
        </w:tc>
        <w:tc>
          <w:tcPr>
            <w:tcW w:w="992" w:type="dxa"/>
            <w:tcBorders>
              <w:left w:val="single" w:sz="4" w:space="0" w:color="auto"/>
              <w:bottom w:val="single" w:sz="4" w:space="0" w:color="auto"/>
              <w:right w:val="single" w:sz="4" w:space="0" w:color="auto"/>
            </w:tcBorders>
            <w:vAlign w:val="center"/>
          </w:tcPr>
          <w:p w:rsidR="00D152E7" w:rsidRPr="00452F75" w:rsidRDefault="00FF5383" w:rsidP="007710BA">
            <w:pPr>
              <w:pStyle w:val="TableText0"/>
              <w:spacing w:before="0" w:after="0"/>
              <w:contextualSpacing/>
              <w:jc w:val="center"/>
              <w:rPr>
                <w:b/>
              </w:rPr>
            </w:pPr>
            <w:r w:rsidRPr="00452F75">
              <w:rPr>
                <w:b/>
              </w:rPr>
              <w:t>V</w:t>
            </w:r>
            <w:r w:rsidR="00D152E7" w:rsidRPr="00452F75">
              <w:rPr>
                <w:b/>
              </w:rPr>
              <w:t>em + cobi</w:t>
            </w:r>
            <w:r w:rsidR="00D152E7" w:rsidRPr="00452F75">
              <w:rPr>
                <w:b/>
              </w:rPr>
              <w:br/>
            </w:r>
            <w:r w:rsidR="00D152E7" w:rsidRPr="00452F75">
              <w:rPr>
                <w:b/>
                <w:iCs/>
              </w:rPr>
              <w:t>n</w:t>
            </w:r>
            <w:r w:rsidR="00D152E7" w:rsidRPr="00452F75">
              <w:rPr>
                <w:b/>
              </w:rPr>
              <w:t>/</w:t>
            </w:r>
            <w:r w:rsidR="00D152E7" w:rsidRPr="00452F75">
              <w:rPr>
                <w:b/>
                <w:iCs/>
              </w:rPr>
              <w:t>N</w:t>
            </w:r>
            <w:r w:rsidR="00D152E7" w:rsidRPr="00452F75">
              <w:rPr>
                <w:b/>
                <w:iCs/>
                <w:vertAlign w:val="superscript"/>
              </w:rPr>
              <w:t>a</w:t>
            </w:r>
            <w:r w:rsidR="00D152E7" w:rsidRPr="00452F75">
              <w:rPr>
                <w:b/>
              </w:rPr>
              <w:t xml:space="preserve"> (%)</w:t>
            </w:r>
          </w:p>
        </w:tc>
        <w:tc>
          <w:tcPr>
            <w:tcW w:w="992" w:type="dxa"/>
            <w:tcBorders>
              <w:left w:val="single" w:sz="4" w:space="0" w:color="auto"/>
              <w:bottom w:val="single" w:sz="4" w:space="0" w:color="auto"/>
              <w:right w:val="single" w:sz="4" w:space="0" w:color="auto"/>
            </w:tcBorders>
            <w:vAlign w:val="center"/>
          </w:tcPr>
          <w:p w:rsidR="00D152E7" w:rsidRPr="00452F75" w:rsidRDefault="00D152E7" w:rsidP="007710BA">
            <w:pPr>
              <w:pStyle w:val="TableText0"/>
              <w:spacing w:before="0" w:after="0"/>
              <w:contextualSpacing/>
              <w:jc w:val="center"/>
              <w:rPr>
                <w:b/>
              </w:rPr>
            </w:pPr>
            <w:r w:rsidRPr="00452F75">
              <w:rPr>
                <w:b/>
              </w:rPr>
              <w:t xml:space="preserve">BRAF inhibitor </w:t>
            </w:r>
            <w:r w:rsidRPr="00452F75">
              <w:rPr>
                <w:b/>
              </w:rPr>
              <w:br/>
            </w:r>
            <w:r w:rsidRPr="00452F75">
              <w:rPr>
                <w:b/>
                <w:iCs/>
              </w:rPr>
              <w:t>n</w:t>
            </w:r>
            <w:r w:rsidRPr="00452F75">
              <w:rPr>
                <w:b/>
              </w:rPr>
              <w:t>/</w:t>
            </w:r>
            <w:r w:rsidRPr="00452F75">
              <w:rPr>
                <w:b/>
                <w:iCs/>
              </w:rPr>
              <w:t>N</w:t>
            </w:r>
            <w:r w:rsidRPr="00452F75">
              <w:rPr>
                <w:b/>
                <w:iCs/>
                <w:vertAlign w:val="superscript"/>
              </w:rPr>
              <w:t>a</w:t>
            </w:r>
            <w:r w:rsidRPr="00452F75">
              <w:rPr>
                <w:b/>
              </w:rPr>
              <w:t xml:space="preserve"> (%)</w:t>
            </w:r>
          </w:p>
        </w:tc>
        <w:tc>
          <w:tcPr>
            <w:tcW w:w="1259" w:type="dxa"/>
            <w:tcBorders>
              <w:left w:val="single" w:sz="4" w:space="0" w:color="auto"/>
              <w:bottom w:val="single" w:sz="4" w:space="0" w:color="auto"/>
              <w:right w:val="single" w:sz="4" w:space="0" w:color="auto"/>
            </w:tcBorders>
            <w:vAlign w:val="center"/>
          </w:tcPr>
          <w:p w:rsidR="00D152E7" w:rsidRPr="00452F75" w:rsidRDefault="00D152E7" w:rsidP="007710BA">
            <w:pPr>
              <w:pStyle w:val="TableText0"/>
              <w:spacing w:before="0" w:after="0"/>
              <w:contextualSpacing/>
              <w:jc w:val="center"/>
              <w:rPr>
                <w:b/>
              </w:rPr>
            </w:pPr>
            <w:r w:rsidRPr="00452F75">
              <w:rPr>
                <w:b/>
              </w:rPr>
              <w:t xml:space="preserve">BRAF inhibitor </w:t>
            </w:r>
            <w:r w:rsidRPr="00452F75">
              <w:rPr>
                <w:b/>
              </w:rPr>
              <w:br/>
            </w:r>
            <w:r w:rsidRPr="00452F75">
              <w:rPr>
                <w:b/>
                <w:iCs/>
              </w:rPr>
              <w:t>n</w:t>
            </w:r>
            <w:r w:rsidRPr="00452F75">
              <w:rPr>
                <w:b/>
              </w:rPr>
              <w:t>/</w:t>
            </w:r>
            <w:r w:rsidRPr="00452F75">
              <w:rPr>
                <w:b/>
                <w:iCs/>
              </w:rPr>
              <w:t>N</w:t>
            </w:r>
            <w:r w:rsidRPr="00452F75">
              <w:rPr>
                <w:b/>
                <w:iCs/>
                <w:vertAlign w:val="superscript"/>
              </w:rPr>
              <w:t>a</w:t>
            </w:r>
            <w:r w:rsidRPr="00452F75">
              <w:rPr>
                <w:b/>
              </w:rPr>
              <w:t xml:space="preserve"> (%)</w:t>
            </w:r>
          </w:p>
        </w:tc>
        <w:tc>
          <w:tcPr>
            <w:tcW w:w="1105" w:type="dxa"/>
            <w:tcBorders>
              <w:left w:val="single" w:sz="4" w:space="0" w:color="auto"/>
              <w:bottom w:val="single" w:sz="4" w:space="0" w:color="auto"/>
              <w:right w:val="single" w:sz="4" w:space="0" w:color="auto"/>
            </w:tcBorders>
            <w:vAlign w:val="center"/>
          </w:tcPr>
          <w:p w:rsidR="00D152E7" w:rsidRPr="00452F75" w:rsidRDefault="00FF5383" w:rsidP="007710BA">
            <w:pPr>
              <w:pStyle w:val="TableText0"/>
              <w:spacing w:before="0" w:after="0"/>
              <w:contextualSpacing/>
              <w:jc w:val="center"/>
              <w:rPr>
                <w:b/>
              </w:rPr>
            </w:pPr>
            <w:r w:rsidRPr="00452F75">
              <w:rPr>
                <w:b/>
              </w:rPr>
              <w:t>D</w:t>
            </w:r>
            <w:r w:rsidR="00D152E7" w:rsidRPr="00452F75">
              <w:rPr>
                <w:b/>
              </w:rPr>
              <w:t>abra + tram</w:t>
            </w:r>
            <w:r w:rsidR="00D152E7" w:rsidRPr="00452F75">
              <w:rPr>
                <w:b/>
              </w:rPr>
              <w:br/>
            </w:r>
            <w:r w:rsidR="00D152E7" w:rsidRPr="00452F75">
              <w:rPr>
                <w:b/>
                <w:iCs/>
              </w:rPr>
              <w:t>n</w:t>
            </w:r>
            <w:r w:rsidR="00D152E7" w:rsidRPr="00452F75">
              <w:rPr>
                <w:b/>
              </w:rPr>
              <w:t>/</w:t>
            </w:r>
            <w:r w:rsidR="00D152E7" w:rsidRPr="00452F75">
              <w:rPr>
                <w:b/>
                <w:iCs/>
              </w:rPr>
              <w:t>N</w:t>
            </w:r>
            <w:r w:rsidR="00D152E7" w:rsidRPr="00452F75">
              <w:rPr>
                <w:b/>
                <w:iCs/>
                <w:vertAlign w:val="superscript"/>
              </w:rPr>
              <w:t>a</w:t>
            </w:r>
            <w:r w:rsidR="00D152E7" w:rsidRPr="00452F75">
              <w:rPr>
                <w:b/>
              </w:rPr>
              <w:t xml:space="preserve"> (%)</w:t>
            </w:r>
          </w:p>
        </w:tc>
        <w:tc>
          <w:tcPr>
            <w:tcW w:w="1335" w:type="dxa"/>
            <w:tcBorders>
              <w:left w:val="single" w:sz="4" w:space="0" w:color="auto"/>
              <w:bottom w:val="single" w:sz="4" w:space="0" w:color="auto"/>
              <w:right w:val="single" w:sz="4" w:space="0" w:color="auto"/>
            </w:tcBorders>
            <w:vAlign w:val="center"/>
          </w:tcPr>
          <w:p w:rsidR="00D152E7" w:rsidRPr="00452F75" w:rsidRDefault="00D152E7" w:rsidP="007710BA">
            <w:pPr>
              <w:pStyle w:val="TableText0"/>
              <w:spacing w:before="0" w:after="0"/>
              <w:contextualSpacing/>
              <w:jc w:val="center"/>
              <w:rPr>
                <w:b/>
              </w:rPr>
            </w:pPr>
            <w:r w:rsidRPr="00452F75">
              <w:rPr>
                <w:b/>
              </w:rPr>
              <w:t>HR (95% CI)</w:t>
            </w:r>
          </w:p>
        </w:tc>
        <w:tc>
          <w:tcPr>
            <w:tcW w:w="991" w:type="dxa"/>
            <w:vMerge/>
            <w:tcBorders>
              <w:left w:val="single" w:sz="4" w:space="0" w:color="auto"/>
              <w:bottom w:val="single" w:sz="4" w:space="0" w:color="auto"/>
            </w:tcBorders>
            <w:vAlign w:val="center"/>
          </w:tcPr>
          <w:p w:rsidR="00D152E7" w:rsidRPr="00452F75" w:rsidRDefault="00D152E7" w:rsidP="007710BA">
            <w:pPr>
              <w:pStyle w:val="TableText0"/>
              <w:spacing w:before="0" w:after="0"/>
              <w:contextualSpacing/>
              <w:jc w:val="center"/>
            </w:pPr>
          </w:p>
        </w:tc>
      </w:tr>
      <w:tr w:rsidR="00D21201" w:rsidRPr="00452F75" w:rsidTr="00D21201">
        <w:trPr>
          <w:tblHeader/>
        </w:trPr>
        <w:tc>
          <w:tcPr>
            <w:tcW w:w="8506" w:type="dxa"/>
            <w:gridSpan w:val="8"/>
            <w:tcMar>
              <w:right w:w="28" w:type="dxa"/>
            </w:tcMar>
            <w:vAlign w:val="center"/>
          </w:tcPr>
          <w:p w:rsidR="00D21201" w:rsidRPr="00452F75" w:rsidRDefault="00D21201" w:rsidP="00D21201">
            <w:pPr>
              <w:pStyle w:val="TableText0"/>
              <w:spacing w:before="0" w:after="0"/>
              <w:contextualSpacing/>
              <w:rPr>
                <w:b/>
              </w:rPr>
            </w:pPr>
            <w:r w:rsidRPr="00452F75">
              <w:rPr>
                <w:b/>
              </w:rPr>
              <w:t>Progression-free survival</w:t>
            </w:r>
          </w:p>
        </w:tc>
      </w:tr>
      <w:tr w:rsidR="008D008B" w:rsidRPr="00452F75" w:rsidTr="008D008B">
        <w:trPr>
          <w:tblHeader/>
        </w:trPr>
        <w:tc>
          <w:tcPr>
            <w:tcW w:w="840" w:type="dxa"/>
            <w:tcMar>
              <w:right w:w="28" w:type="dxa"/>
            </w:tcMar>
            <w:vAlign w:val="center"/>
          </w:tcPr>
          <w:p w:rsidR="008D008B" w:rsidRPr="00452F75" w:rsidRDefault="008D008B" w:rsidP="007710BA">
            <w:pPr>
              <w:pStyle w:val="TableText0"/>
              <w:spacing w:before="0" w:after="0"/>
              <w:contextualSpacing/>
            </w:pPr>
            <w:r w:rsidRPr="00452F75">
              <w:t>coBRIM</w:t>
            </w:r>
          </w:p>
        </w:tc>
        <w:tc>
          <w:tcPr>
            <w:tcW w:w="992" w:type="dxa"/>
            <w:tcBorders>
              <w:top w:val="single" w:sz="4" w:space="0" w:color="auto"/>
              <w:bottom w:val="single" w:sz="4" w:space="0" w:color="auto"/>
              <w:right w:val="single" w:sz="4" w:space="0" w:color="auto"/>
            </w:tcBorders>
            <w:vAlign w:val="center"/>
          </w:tcPr>
          <w:p w:rsidR="008D008B" w:rsidRPr="00A11FA5" w:rsidRDefault="00015E5C" w:rsidP="00D21201">
            <w:pPr>
              <w:pStyle w:val="TableText0"/>
              <w:spacing w:before="0" w:after="0"/>
              <w:contextualSpacing/>
              <w:jc w:val="center"/>
            </w:pPr>
            <w:r w:rsidRPr="00A11FA5">
              <w:t>0.58</w:t>
            </w:r>
          </w:p>
          <w:p w:rsidR="008D008B" w:rsidRPr="00A11FA5" w:rsidRDefault="008D008B" w:rsidP="007710BA">
            <w:pPr>
              <w:pStyle w:val="TableText0"/>
              <w:spacing w:before="0" w:after="0"/>
              <w:contextualSpacing/>
              <w:jc w:val="center"/>
            </w:pPr>
            <w:r w:rsidRPr="00A11FA5">
              <w:t>(0.46, 0.72)</w:t>
            </w: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143/247 (58%)</w:t>
            </w: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180/248 (73%)</w:t>
            </w:r>
          </w:p>
        </w:tc>
        <w:tc>
          <w:tcPr>
            <w:tcW w:w="1259"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110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133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991" w:type="dxa"/>
            <w:vMerge w:val="restart"/>
            <w:tcBorders>
              <w:top w:val="single" w:sz="4" w:space="0" w:color="auto"/>
              <w:left w:val="single" w:sz="4" w:space="0" w:color="auto"/>
            </w:tcBorders>
            <w:vAlign w:val="center"/>
          </w:tcPr>
          <w:p w:rsidR="008D008B" w:rsidRPr="00A11FA5" w:rsidRDefault="008D008B" w:rsidP="007710BA">
            <w:pPr>
              <w:pStyle w:val="TableText0"/>
              <w:spacing w:before="0" w:after="0"/>
              <w:contextualSpacing/>
              <w:jc w:val="center"/>
            </w:pPr>
          </w:p>
        </w:tc>
      </w:tr>
      <w:tr w:rsidR="008D008B" w:rsidRPr="00452F75" w:rsidTr="008D008B">
        <w:trPr>
          <w:tblHeader/>
        </w:trPr>
        <w:tc>
          <w:tcPr>
            <w:tcW w:w="840" w:type="dxa"/>
            <w:tcMar>
              <w:right w:w="28" w:type="dxa"/>
            </w:tcMar>
            <w:vAlign w:val="center"/>
          </w:tcPr>
          <w:p w:rsidR="008D008B" w:rsidRPr="00452F75" w:rsidRDefault="008D008B" w:rsidP="007710BA">
            <w:pPr>
              <w:pStyle w:val="TableText0"/>
              <w:spacing w:before="0" w:after="0"/>
              <w:contextualSpacing/>
            </w:pPr>
            <w:r w:rsidRPr="00452F75">
              <w:t>COMBI-D</w:t>
            </w:r>
          </w:p>
        </w:tc>
        <w:tc>
          <w:tcPr>
            <w:tcW w:w="992" w:type="dxa"/>
            <w:tcBorders>
              <w:top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1259"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8D008B">
            <w:pPr>
              <w:pStyle w:val="TableText0"/>
              <w:spacing w:before="0" w:after="0"/>
              <w:contextualSpacing/>
              <w:jc w:val="center"/>
            </w:pPr>
            <w:r w:rsidRPr="00A11FA5">
              <w:t>162/212 (76%)</w:t>
            </w:r>
          </w:p>
        </w:tc>
        <w:tc>
          <w:tcPr>
            <w:tcW w:w="110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139/211 (66%)</w:t>
            </w:r>
          </w:p>
        </w:tc>
        <w:tc>
          <w:tcPr>
            <w:tcW w:w="133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0.67 (0.53, 0.84)</w:t>
            </w:r>
          </w:p>
        </w:tc>
        <w:tc>
          <w:tcPr>
            <w:tcW w:w="991" w:type="dxa"/>
            <w:vMerge/>
            <w:tcBorders>
              <w:left w:val="single" w:sz="4" w:space="0" w:color="auto"/>
            </w:tcBorders>
            <w:vAlign w:val="center"/>
          </w:tcPr>
          <w:p w:rsidR="008D008B" w:rsidRPr="00A11FA5" w:rsidRDefault="008D008B" w:rsidP="007710BA">
            <w:pPr>
              <w:pStyle w:val="TableText0"/>
              <w:spacing w:before="0" w:after="0"/>
              <w:contextualSpacing/>
              <w:jc w:val="center"/>
            </w:pPr>
          </w:p>
        </w:tc>
      </w:tr>
      <w:tr w:rsidR="008D008B" w:rsidRPr="00452F75" w:rsidTr="008D008B">
        <w:trPr>
          <w:tblHeader/>
        </w:trPr>
        <w:tc>
          <w:tcPr>
            <w:tcW w:w="840" w:type="dxa"/>
            <w:tcMar>
              <w:right w:w="28" w:type="dxa"/>
            </w:tcMar>
            <w:vAlign w:val="center"/>
          </w:tcPr>
          <w:p w:rsidR="008D008B" w:rsidRPr="00452F75" w:rsidRDefault="008D008B" w:rsidP="007710BA">
            <w:pPr>
              <w:pStyle w:val="TableText0"/>
              <w:spacing w:before="0" w:after="0"/>
              <w:contextualSpacing/>
            </w:pPr>
            <w:r w:rsidRPr="00452F75">
              <w:t>COMBI-V</w:t>
            </w:r>
          </w:p>
        </w:tc>
        <w:tc>
          <w:tcPr>
            <w:tcW w:w="992" w:type="dxa"/>
            <w:tcBorders>
              <w:top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1259"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 xml:space="preserve">NR/352 </w:t>
            </w:r>
          </w:p>
        </w:tc>
        <w:tc>
          <w:tcPr>
            <w:tcW w:w="110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 xml:space="preserve">NR/352 </w:t>
            </w:r>
          </w:p>
        </w:tc>
        <w:tc>
          <w:tcPr>
            <w:tcW w:w="133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0.61 (0.51, 0.73)</w:t>
            </w:r>
          </w:p>
        </w:tc>
        <w:tc>
          <w:tcPr>
            <w:tcW w:w="991" w:type="dxa"/>
            <w:vMerge/>
            <w:tcBorders>
              <w:left w:val="single" w:sz="4" w:space="0" w:color="auto"/>
            </w:tcBorders>
            <w:vAlign w:val="center"/>
          </w:tcPr>
          <w:p w:rsidR="008D008B" w:rsidRPr="00A11FA5" w:rsidRDefault="008D008B" w:rsidP="007710BA">
            <w:pPr>
              <w:pStyle w:val="TableText0"/>
              <w:spacing w:before="0" w:after="0"/>
              <w:contextualSpacing/>
              <w:jc w:val="center"/>
            </w:pPr>
          </w:p>
        </w:tc>
      </w:tr>
      <w:tr w:rsidR="008D008B" w:rsidRPr="00452F75" w:rsidTr="008D008B">
        <w:trPr>
          <w:tblHeader/>
        </w:trPr>
        <w:tc>
          <w:tcPr>
            <w:tcW w:w="840" w:type="dxa"/>
            <w:tcMar>
              <w:right w:w="28" w:type="dxa"/>
            </w:tcMar>
            <w:vAlign w:val="center"/>
          </w:tcPr>
          <w:p w:rsidR="008D008B" w:rsidRPr="00452F75" w:rsidRDefault="008D008B" w:rsidP="007710BA">
            <w:pPr>
              <w:pStyle w:val="TableText0"/>
              <w:spacing w:before="0" w:after="0"/>
              <w:contextualSpacing/>
            </w:pPr>
            <w:r w:rsidRPr="00452F75">
              <w:t>Pooled</w:t>
            </w:r>
          </w:p>
        </w:tc>
        <w:tc>
          <w:tcPr>
            <w:tcW w:w="992" w:type="dxa"/>
            <w:tcBorders>
              <w:top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1259"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110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133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0.63 (0.55, 0.73)</w:t>
            </w:r>
          </w:p>
        </w:tc>
        <w:tc>
          <w:tcPr>
            <w:tcW w:w="991" w:type="dxa"/>
            <w:vMerge/>
            <w:tcBorders>
              <w:left w:val="single" w:sz="4" w:space="0" w:color="auto"/>
            </w:tcBorders>
            <w:vAlign w:val="center"/>
          </w:tcPr>
          <w:p w:rsidR="008D008B" w:rsidRPr="00A11FA5" w:rsidRDefault="008D008B" w:rsidP="007710BA">
            <w:pPr>
              <w:pStyle w:val="TableText0"/>
              <w:spacing w:before="0" w:after="0"/>
              <w:contextualSpacing/>
              <w:jc w:val="center"/>
            </w:pPr>
          </w:p>
        </w:tc>
      </w:tr>
      <w:tr w:rsidR="00D21201" w:rsidRPr="00B7685D" w:rsidTr="00D21201">
        <w:trPr>
          <w:tblHeader/>
        </w:trPr>
        <w:tc>
          <w:tcPr>
            <w:tcW w:w="7515" w:type="dxa"/>
            <w:gridSpan w:val="7"/>
            <w:tcBorders>
              <w:right w:val="single" w:sz="4" w:space="0" w:color="auto"/>
            </w:tcBorders>
            <w:tcMar>
              <w:right w:w="28" w:type="dxa"/>
            </w:tcMar>
            <w:vAlign w:val="center"/>
          </w:tcPr>
          <w:p w:rsidR="00D21201" w:rsidRPr="00A11FA5" w:rsidRDefault="00D21201" w:rsidP="00D21201">
            <w:pPr>
              <w:pStyle w:val="TableText0"/>
              <w:spacing w:before="0" w:after="0"/>
              <w:contextualSpacing/>
              <w:rPr>
                <w:b/>
              </w:rPr>
            </w:pPr>
            <w:r w:rsidRPr="00A11FA5">
              <w:rPr>
                <w:b/>
              </w:rPr>
              <w:t>Indirect comparison</w:t>
            </w:r>
            <w:r w:rsidR="008D008B" w:rsidRPr="00A11FA5">
              <w:rPr>
                <w:b/>
              </w:rPr>
              <w:t xml:space="preserve"> </w:t>
            </w:r>
            <w:r w:rsidR="00FB6E5E" w:rsidRPr="00A11FA5">
              <w:rPr>
                <w:b/>
              </w:rPr>
              <w:t>–</w:t>
            </w:r>
            <w:r w:rsidR="008D008B" w:rsidRPr="00A11FA5">
              <w:rPr>
                <w:b/>
              </w:rPr>
              <w:t xml:space="preserve"> PFS</w:t>
            </w:r>
          </w:p>
        </w:tc>
        <w:tc>
          <w:tcPr>
            <w:tcW w:w="991" w:type="dxa"/>
            <w:tcBorders>
              <w:top w:val="single" w:sz="4" w:space="0" w:color="auto"/>
              <w:left w:val="single" w:sz="4" w:space="0" w:color="auto"/>
            </w:tcBorders>
            <w:vAlign w:val="center"/>
          </w:tcPr>
          <w:p w:rsidR="00015E5C" w:rsidRPr="00A11FA5" w:rsidRDefault="00015E5C" w:rsidP="00015E5C">
            <w:pPr>
              <w:pStyle w:val="TableText0"/>
              <w:spacing w:before="0" w:after="0"/>
              <w:contextualSpacing/>
              <w:jc w:val="center"/>
            </w:pPr>
            <w:r w:rsidRPr="00A11FA5">
              <w:t>0.92</w:t>
            </w:r>
          </w:p>
          <w:p w:rsidR="00D21201" w:rsidRPr="00A11FA5" w:rsidRDefault="00D21201" w:rsidP="00015E5C">
            <w:pPr>
              <w:pStyle w:val="TableText0"/>
              <w:spacing w:before="0" w:after="0"/>
              <w:contextualSpacing/>
              <w:jc w:val="center"/>
            </w:pPr>
            <w:r w:rsidRPr="00A11FA5">
              <w:t>(0.71,</w:t>
            </w:r>
            <w:r w:rsidR="00015E5C" w:rsidRPr="00A11FA5">
              <w:t xml:space="preserve"> </w:t>
            </w:r>
            <w:r w:rsidRPr="00A11FA5">
              <w:t>1.20)</w:t>
            </w:r>
          </w:p>
        </w:tc>
      </w:tr>
      <w:tr w:rsidR="00D21201" w:rsidRPr="00452F75" w:rsidTr="00D21201">
        <w:trPr>
          <w:tblHeader/>
        </w:trPr>
        <w:tc>
          <w:tcPr>
            <w:tcW w:w="8506" w:type="dxa"/>
            <w:gridSpan w:val="8"/>
            <w:tcMar>
              <w:right w:w="28" w:type="dxa"/>
            </w:tcMar>
            <w:vAlign w:val="center"/>
          </w:tcPr>
          <w:p w:rsidR="00D21201" w:rsidRPr="00A11FA5" w:rsidRDefault="00D21201" w:rsidP="00D21201">
            <w:pPr>
              <w:pStyle w:val="TableText0"/>
              <w:spacing w:before="0" w:after="0"/>
              <w:contextualSpacing/>
              <w:rPr>
                <w:b/>
              </w:rPr>
            </w:pPr>
            <w:r w:rsidRPr="00A11FA5">
              <w:rPr>
                <w:b/>
              </w:rPr>
              <w:t>Overall survival</w:t>
            </w:r>
          </w:p>
        </w:tc>
      </w:tr>
      <w:tr w:rsidR="008D008B" w:rsidRPr="00452F75" w:rsidTr="008D008B">
        <w:trPr>
          <w:tblHeader/>
        </w:trPr>
        <w:tc>
          <w:tcPr>
            <w:tcW w:w="840" w:type="dxa"/>
            <w:tcMar>
              <w:right w:w="28" w:type="dxa"/>
            </w:tcMar>
            <w:vAlign w:val="center"/>
          </w:tcPr>
          <w:p w:rsidR="008D008B" w:rsidRPr="00452F75" w:rsidRDefault="008D008B" w:rsidP="007710BA">
            <w:pPr>
              <w:pStyle w:val="TableText0"/>
              <w:spacing w:before="0" w:after="0"/>
              <w:contextualSpacing/>
            </w:pPr>
            <w:r w:rsidRPr="00452F75">
              <w:t>coBRIM</w:t>
            </w:r>
          </w:p>
        </w:tc>
        <w:tc>
          <w:tcPr>
            <w:tcW w:w="992" w:type="dxa"/>
            <w:tcBorders>
              <w:top w:val="single" w:sz="4" w:space="0" w:color="auto"/>
              <w:bottom w:val="single" w:sz="4" w:space="0" w:color="auto"/>
              <w:right w:val="single" w:sz="4" w:space="0" w:color="auto"/>
            </w:tcBorders>
            <w:vAlign w:val="center"/>
          </w:tcPr>
          <w:p w:rsidR="008D008B" w:rsidRPr="00A11FA5" w:rsidRDefault="008D008B" w:rsidP="00D21201">
            <w:pPr>
              <w:pStyle w:val="TableText0"/>
              <w:spacing w:before="0" w:after="0"/>
              <w:contextualSpacing/>
              <w:jc w:val="center"/>
            </w:pPr>
            <w:r w:rsidRPr="00A11FA5">
              <w:t>0.70</w:t>
            </w:r>
          </w:p>
          <w:p w:rsidR="008D008B" w:rsidRPr="00A11FA5" w:rsidRDefault="008D008B" w:rsidP="007710BA">
            <w:pPr>
              <w:pStyle w:val="TableText0"/>
              <w:spacing w:before="0" w:after="0"/>
              <w:contextualSpacing/>
              <w:jc w:val="center"/>
            </w:pPr>
            <w:r w:rsidRPr="00A11FA5">
              <w:t>(0.55, 0.90)</w:t>
            </w: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114/247</w:t>
            </w:r>
            <w:r w:rsidRPr="00A11FA5">
              <w:br/>
              <w:t>(46%)</w:t>
            </w: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141/248</w:t>
            </w:r>
            <w:r w:rsidRPr="00A11FA5">
              <w:br/>
              <w:t>(57%)</w:t>
            </w:r>
          </w:p>
        </w:tc>
        <w:tc>
          <w:tcPr>
            <w:tcW w:w="1259"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110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133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991" w:type="dxa"/>
            <w:vMerge w:val="restart"/>
            <w:tcBorders>
              <w:top w:val="single" w:sz="4" w:space="0" w:color="auto"/>
              <w:left w:val="single" w:sz="4" w:space="0" w:color="auto"/>
            </w:tcBorders>
            <w:vAlign w:val="center"/>
          </w:tcPr>
          <w:p w:rsidR="008D008B" w:rsidRPr="00A11FA5" w:rsidRDefault="008D008B" w:rsidP="007710BA">
            <w:pPr>
              <w:pStyle w:val="TableText0"/>
              <w:spacing w:before="0" w:after="0"/>
              <w:contextualSpacing/>
              <w:jc w:val="center"/>
            </w:pPr>
          </w:p>
        </w:tc>
      </w:tr>
      <w:tr w:rsidR="008D008B" w:rsidRPr="00452F75" w:rsidTr="008D008B">
        <w:trPr>
          <w:tblHeader/>
        </w:trPr>
        <w:tc>
          <w:tcPr>
            <w:tcW w:w="840" w:type="dxa"/>
            <w:tcMar>
              <w:right w:w="28" w:type="dxa"/>
            </w:tcMar>
            <w:vAlign w:val="center"/>
          </w:tcPr>
          <w:p w:rsidR="008D008B" w:rsidRPr="00452F75" w:rsidRDefault="008D008B" w:rsidP="007710BA">
            <w:pPr>
              <w:pStyle w:val="TableText0"/>
              <w:spacing w:before="0" w:after="0"/>
              <w:contextualSpacing/>
            </w:pPr>
            <w:r w:rsidRPr="00452F75">
              <w:t>COMBI-D</w:t>
            </w:r>
          </w:p>
        </w:tc>
        <w:tc>
          <w:tcPr>
            <w:tcW w:w="992" w:type="dxa"/>
            <w:tcBorders>
              <w:top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1259"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123/212 (58%)</w:t>
            </w:r>
          </w:p>
        </w:tc>
        <w:tc>
          <w:tcPr>
            <w:tcW w:w="110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99/211</w:t>
            </w:r>
            <w:r w:rsidR="00015E5C" w:rsidRPr="00A11FA5">
              <w:t xml:space="preserve"> </w:t>
            </w:r>
            <w:r w:rsidRPr="00A11FA5">
              <w:t>(47%)</w:t>
            </w:r>
          </w:p>
        </w:tc>
        <w:tc>
          <w:tcPr>
            <w:tcW w:w="133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0.71 (0.55, 0.92)</w:t>
            </w:r>
          </w:p>
        </w:tc>
        <w:tc>
          <w:tcPr>
            <w:tcW w:w="991" w:type="dxa"/>
            <w:vMerge/>
            <w:tcBorders>
              <w:left w:val="single" w:sz="4" w:space="0" w:color="auto"/>
            </w:tcBorders>
            <w:vAlign w:val="center"/>
          </w:tcPr>
          <w:p w:rsidR="008D008B" w:rsidRPr="00A11FA5" w:rsidRDefault="008D008B" w:rsidP="007710BA">
            <w:pPr>
              <w:pStyle w:val="TableText0"/>
              <w:spacing w:before="0" w:after="0"/>
              <w:contextualSpacing/>
              <w:jc w:val="center"/>
            </w:pPr>
          </w:p>
        </w:tc>
      </w:tr>
      <w:tr w:rsidR="008D008B" w:rsidRPr="00452F75" w:rsidTr="008D008B">
        <w:trPr>
          <w:tblHeader/>
        </w:trPr>
        <w:tc>
          <w:tcPr>
            <w:tcW w:w="840" w:type="dxa"/>
            <w:tcMar>
              <w:right w:w="28" w:type="dxa"/>
            </w:tcMar>
            <w:vAlign w:val="center"/>
          </w:tcPr>
          <w:p w:rsidR="008D008B" w:rsidRPr="00452F75" w:rsidRDefault="008D008B" w:rsidP="007710BA">
            <w:pPr>
              <w:pStyle w:val="TableText0"/>
              <w:spacing w:before="0" w:after="0"/>
              <w:contextualSpacing/>
            </w:pPr>
            <w:r w:rsidRPr="00452F75">
              <w:t>COMBI-V</w:t>
            </w:r>
          </w:p>
        </w:tc>
        <w:tc>
          <w:tcPr>
            <w:tcW w:w="992" w:type="dxa"/>
            <w:tcBorders>
              <w:top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1259"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218/352 (62%)</w:t>
            </w:r>
          </w:p>
        </w:tc>
        <w:tc>
          <w:tcPr>
            <w:tcW w:w="110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172/352</w:t>
            </w:r>
            <w:r w:rsidR="00015E5C" w:rsidRPr="00A11FA5">
              <w:t xml:space="preserve"> </w:t>
            </w:r>
            <w:r w:rsidRPr="00A11FA5">
              <w:t>(49%)</w:t>
            </w:r>
          </w:p>
        </w:tc>
        <w:tc>
          <w:tcPr>
            <w:tcW w:w="133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0.66 (0.53, 0.81)</w:t>
            </w:r>
          </w:p>
        </w:tc>
        <w:tc>
          <w:tcPr>
            <w:tcW w:w="991" w:type="dxa"/>
            <w:vMerge/>
            <w:tcBorders>
              <w:left w:val="single" w:sz="4" w:space="0" w:color="auto"/>
            </w:tcBorders>
            <w:vAlign w:val="center"/>
          </w:tcPr>
          <w:p w:rsidR="008D008B" w:rsidRPr="00A11FA5" w:rsidRDefault="008D008B" w:rsidP="007710BA">
            <w:pPr>
              <w:pStyle w:val="TableText0"/>
              <w:spacing w:before="0" w:after="0"/>
              <w:contextualSpacing/>
              <w:jc w:val="center"/>
            </w:pPr>
          </w:p>
        </w:tc>
      </w:tr>
      <w:tr w:rsidR="008D008B" w:rsidRPr="00452F75" w:rsidTr="008D008B">
        <w:trPr>
          <w:tblHeader/>
        </w:trPr>
        <w:tc>
          <w:tcPr>
            <w:tcW w:w="840" w:type="dxa"/>
            <w:tcMar>
              <w:right w:w="28" w:type="dxa"/>
            </w:tcMar>
            <w:vAlign w:val="center"/>
          </w:tcPr>
          <w:p w:rsidR="008D008B" w:rsidRPr="00452F75" w:rsidRDefault="008D008B" w:rsidP="007710BA">
            <w:pPr>
              <w:pStyle w:val="TableText0"/>
              <w:spacing w:before="0" w:after="0"/>
              <w:contextualSpacing/>
            </w:pPr>
            <w:r w:rsidRPr="00452F75">
              <w:t>Pooled</w:t>
            </w:r>
          </w:p>
        </w:tc>
        <w:tc>
          <w:tcPr>
            <w:tcW w:w="992" w:type="dxa"/>
            <w:tcBorders>
              <w:top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p>
        </w:tc>
        <w:tc>
          <w:tcPr>
            <w:tcW w:w="1259"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341/564 (60%)</w:t>
            </w:r>
          </w:p>
        </w:tc>
        <w:tc>
          <w:tcPr>
            <w:tcW w:w="110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271/563</w:t>
            </w:r>
            <w:r w:rsidR="00015E5C" w:rsidRPr="00A11FA5">
              <w:t xml:space="preserve"> </w:t>
            </w:r>
            <w:r w:rsidRPr="00A11FA5">
              <w:t>(48%)</w:t>
            </w:r>
          </w:p>
        </w:tc>
        <w:tc>
          <w:tcPr>
            <w:tcW w:w="1335" w:type="dxa"/>
            <w:tcBorders>
              <w:top w:val="single" w:sz="4" w:space="0" w:color="auto"/>
              <w:left w:val="single" w:sz="4" w:space="0" w:color="auto"/>
              <w:bottom w:val="single" w:sz="4" w:space="0" w:color="auto"/>
              <w:right w:val="single" w:sz="4" w:space="0" w:color="auto"/>
            </w:tcBorders>
            <w:vAlign w:val="center"/>
          </w:tcPr>
          <w:p w:rsidR="008D008B" w:rsidRPr="00A11FA5" w:rsidRDefault="008D008B" w:rsidP="007710BA">
            <w:pPr>
              <w:pStyle w:val="TableText0"/>
              <w:spacing w:before="0" w:after="0"/>
              <w:contextualSpacing/>
              <w:jc w:val="center"/>
            </w:pPr>
            <w:r w:rsidRPr="00A11FA5">
              <w:t>0.68 (0.58, 0.80)</w:t>
            </w:r>
          </w:p>
        </w:tc>
        <w:tc>
          <w:tcPr>
            <w:tcW w:w="991" w:type="dxa"/>
            <w:vMerge/>
            <w:tcBorders>
              <w:left w:val="single" w:sz="4" w:space="0" w:color="auto"/>
            </w:tcBorders>
            <w:vAlign w:val="center"/>
          </w:tcPr>
          <w:p w:rsidR="008D008B" w:rsidRPr="00A11FA5" w:rsidRDefault="008D008B" w:rsidP="007710BA">
            <w:pPr>
              <w:pStyle w:val="TableText0"/>
              <w:spacing w:before="0" w:after="0"/>
              <w:contextualSpacing/>
              <w:jc w:val="center"/>
            </w:pPr>
          </w:p>
        </w:tc>
      </w:tr>
      <w:tr w:rsidR="00D21201" w:rsidRPr="00452F75" w:rsidTr="00D21201">
        <w:tc>
          <w:tcPr>
            <w:tcW w:w="7515" w:type="dxa"/>
            <w:gridSpan w:val="7"/>
            <w:tcBorders>
              <w:right w:val="single" w:sz="4" w:space="0" w:color="auto"/>
            </w:tcBorders>
            <w:tcMar>
              <w:right w:w="28" w:type="dxa"/>
            </w:tcMar>
            <w:vAlign w:val="center"/>
          </w:tcPr>
          <w:p w:rsidR="00D21201" w:rsidRPr="00A11FA5" w:rsidRDefault="00D21201" w:rsidP="007710BA">
            <w:pPr>
              <w:pStyle w:val="TableText0"/>
              <w:spacing w:before="0" w:after="0"/>
              <w:contextualSpacing/>
              <w:rPr>
                <w:b/>
              </w:rPr>
            </w:pPr>
            <w:r w:rsidRPr="00A11FA5">
              <w:rPr>
                <w:b/>
              </w:rPr>
              <w:t>Indirect comparison</w:t>
            </w:r>
            <w:r w:rsidR="008D008B" w:rsidRPr="00A11FA5">
              <w:rPr>
                <w:b/>
              </w:rPr>
              <w:t xml:space="preserve"> </w:t>
            </w:r>
            <w:r w:rsidR="00FB6E5E" w:rsidRPr="00A11FA5">
              <w:rPr>
                <w:b/>
              </w:rPr>
              <w:t>–</w:t>
            </w:r>
            <w:r w:rsidR="008D008B" w:rsidRPr="00A11FA5">
              <w:rPr>
                <w:b/>
              </w:rPr>
              <w:t xml:space="preserve"> OS</w:t>
            </w:r>
          </w:p>
        </w:tc>
        <w:tc>
          <w:tcPr>
            <w:tcW w:w="991" w:type="dxa"/>
            <w:tcBorders>
              <w:top w:val="single" w:sz="4" w:space="0" w:color="auto"/>
              <w:left w:val="single" w:sz="4" w:space="0" w:color="auto"/>
            </w:tcBorders>
            <w:vAlign w:val="center"/>
          </w:tcPr>
          <w:p w:rsidR="00D21201" w:rsidRPr="00A11FA5" w:rsidRDefault="00015E5C" w:rsidP="007710BA">
            <w:pPr>
              <w:pStyle w:val="TableText0"/>
              <w:spacing w:before="0" w:after="0"/>
              <w:contextualSpacing/>
              <w:jc w:val="center"/>
            </w:pPr>
            <w:r w:rsidRPr="00A11FA5">
              <w:t>1.03</w:t>
            </w:r>
          </w:p>
          <w:p w:rsidR="00D21201" w:rsidRPr="00A11FA5" w:rsidRDefault="00D21201" w:rsidP="007710BA">
            <w:pPr>
              <w:pStyle w:val="TableText0"/>
              <w:spacing w:before="0" w:after="0"/>
              <w:contextualSpacing/>
              <w:jc w:val="center"/>
            </w:pPr>
            <w:r w:rsidRPr="00A11FA5">
              <w:t>(0.77, 1.38)</w:t>
            </w:r>
            <w:bookmarkStart w:id="10" w:name="_GoBack"/>
            <w:bookmarkEnd w:id="10"/>
          </w:p>
        </w:tc>
      </w:tr>
    </w:tbl>
    <w:p w:rsidR="00D152E7" w:rsidRPr="00452F75" w:rsidRDefault="00D152E7" w:rsidP="00D152E7">
      <w:pPr>
        <w:pStyle w:val="TableFooter"/>
        <w:ind w:left="720"/>
      </w:pPr>
      <w:r w:rsidRPr="00452F75">
        <w:t xml:space="preserve">Source: Table B.6.1, p.31 </w:t>
      </w:r>
      <w:r w:rsidR="008D008B" w:rsidRPr="00452F75">
        <w:t xml:space="preserve">and Table B.6.2, p34 </w:t>
      </w:r>
      <w:r w:rsidRPr="00452F75">
        <w:t>of Section B-ICRT of the submission</w:t>
      </w:r>
      <w:r w:rsidR="00015E5C" w:rsidRPr="00452F75">
        <w:t>.</w:t>
      </w:r>
    </w:p>
    <w:p w:rsidR="00D152E7" w:rsidRPr="00452F75" w:rsidRDefault="00D152E7" w:rsidP="00D152E7">
      <w:pPr>
        <w:pStyle w:val="TableFooter"/>
        <w:tabs>
          <w:tab w:val="left" w:pos="851"/>
        </w:tabs>
        <w:ind w:left="720"/>
      </w:pPr>
      <w:r w:rsidRPr="00452F75">
        <w:rPr>
          <w:vertAlign w:val="superscript"/>
        </w:rPr>
        <w:t>a</w:t>
      </w:r>
      <w:r w:rsidRPr="00452F75">
        <w:tab/>
        <w:t>n/N=Progressed or died/total N</w:t>
      </w:r>
    </w:p>
    <w:p w:rsidR="00D152E7" w:rsidRPr="00452F75" w:rsidRDefault="00D152E7" w:rsidP="00D152E7">
      <w:pPr>
        <w:pStyle w:val="TableFooter"/>
        <w:ind w:left="709"/>
        <w:rPr>
          <w:szCs w:val="22"/>
        </w:rPr>
      </w:pPr>
      <w:r w:rsidRPr="00452F75">
        <w:t>cobi=cobimetinib; dabra=dabrafenib; HR=hazard ratio;</w:t>
      </w:r>
      <w:r w:rsidRPr="00452F75" w:rsidDel="00281C12">
        <w:t xml:space="preserve"> </w:t>
      </w:r>
      <w:r w:rsidRPr="00452F75">
        <w:t>NR=not reported; tram=trametinib; vem=vemurafenib</w:t>
      </w:r>
    </w:p>
    <w:p w:rsidR="00D152E7" w:rsidRPr="00452F75" w:rsidRDefault="00D152E7" w:rsidP="00D152E7">
      <w:pPr>
        <w:widowControl/>
        <w:rPr>
          <w:szCs w:val="22"/>
        </w:rPr>
      </w:pPr>
    </w:p>
    <w:p w:rsidR="00D152E7" w:rsidRPr="00452F75" w:rsidRDefault="00561454" w:rsidP="00654033">
      <w:pPr>
        <w:pStyle w:val="ListParagraph"/>
      </w:pPr>
      <w:r w:rsidRPr="00452F75">
        <w:t>The results of the indirect comparison demonstrated no statistically significant difference between vemurafenib + cobimetinib and dabrafenib + trametinib for both PFS and OS.</w:t>
      </w:r>
    </w:p>
    <w:p w:rsidR="00541642" w:rsidRPr="00452F75" w:rsidRDefault="00541642" w:rsidP="00541642"/>
    <w:p w:rsidR="00541642" w:rsidRPr="00452F75" w:rsidRDefault="00541642" w:rsidP="00654033">
      <w:pPr>
        <w:pStyle w:val="ListParagraph"/>
      </w:pPr>
      <w:r w:rsidRPr="00452F75">
        <w:t xml:space="preserve">The results of the indirect comparison </w:t>
      </w:r>
      <w:r w:rsidR="002D1376">
        <w:t>were</w:t>
      </w:r>
      <w:r w:rsidRPr="00452F75">
        <w:t xml:space="preserve"> interpreted </w:t>
      </w:r>
      <w:r w:rsidR="00015E5C" w:rsidRPr="00452F75">
        <w:t xml:space="preserve">cautiously </w:t>
      </w:r>
      <w:r w:rsidR="00EB3CB0">
        <w:t>(see “clinical claim” below).</w:t>
      </w:r>
    </w:p>
    <w:p w:rsidR="00B60939" w:rsidRPr="00452F75" w:rsidRDefault="00B60939" w:rsidP="00B60939">
      <w:pPr>
        <w:rPr>
          <w:szCs w:val="22"/>
        </w:rPr>
      </w:pPr>
    </w:p>
    <w:p w:rsidR="00B60939" w:rsidRPr="00C27C38" w:rsidRDefault="00B60939" w:rsidP="00C27C38">
      <w:pPr>
        <w:pStyle w:val="Heading2"/>
      </w:pPr>
      <w:bookmarkStart w:id="11" w:name="_Toc440982672"/>
      <w:r w:rsidRPr="00C27C38">
        <w:t>Comparative harms</w:t>
      </w:r>
      <w:bookmarkEnd w:id="11"/>
    </w:p>
    <w:p w:rsidR="00B60939" w:rsidRPr="00452F75" w:rsidRDefault="00B60939" w:rsidP="00B60939">
      <w:pPr>
        <w:ind w:left="720" w:hanging="720"/>
        <w:rPr>
          <w:szCs w:val="22"/>
        </w:rPr>
      </w:pPr>
    </w:p>
    <w:p w:rsidR="00B60939" w:rsidRPr="00452F75" w:rsidRDefault="00805522" w:rsidP="00654033">
      <w:pPr>
        <w:pStyle w:val="ListParagraph"/>
      </w:pPr>
      <w:r w:rsidRPr="00452F75">
        <w:t xml:space="preserve">The submission provided detailed safety outcomes from the </w:t>
      </w:r>
      <w:r w:rsidR="00AD4E08" w:rsidRPr="00452F75">
        <w:t>coBRIM</w:t>
      </w:r>
      <w:r w:rsidRPr="00452F75">
        <w:t>, COMBI-</w:t>
      </w:r>
      <w:r w:rsidR="00AD4E08" w:rsidRPr="00452F75">
        <w:t>D</w:t>
      </w:r>
      <w:r w:rsidRPr="00452F75">
        <w:t xml:space="preserve"> and COMBI-</w:t>
      </w:r>
      <w:r w:rsidR="00AD4E08" w:rsidRPr="00452F75">
        <w:t>V</w:t>
      </w:r>
      <w:r w:rsidRPr="00452F75">
        <w:t xml:space="preserve"> trials, but did not provide any statistical comparisons of safety data</w:t>
      </w:r>
      <w:r w:rsidR="00AD4E08" w:rsidRPr="00452F75">
        <w:t xml:space="preserve"> </w:t>
      </w:r>
      <w:r w:rsidR="001D6451" w:rsidRPr="00452F75">
        <w:t>given differences in outcomes measured across the trials and limited availability of safety data for the COMBI-D and COMBI-V trials</w:t>
      </w:r>
      <w:r w:rsidRPr="00452F75">
        <w:t xml:space="preserve">.  </w:t>
      </w:r>
      <w:r w:rsidR="00B77287" w:rsidRPr="00452F75">
        <w:t xml:space="preserve">Table </w:t>
      </w:r>
      <w:r w:rsidR="00BB5AF7" w:rsidRPr="00452F75">
        <w:t>5</w:t>
      </w:r>
      <w:r w:rsidR="00B77287" w:rsidRPr="00452F75">
        <w:t xml:space="preserve"> below provides a summary of key adverse events for the combination therapy groups across the vemurafenib + cobimetinib trial and the two dabrafenib + trametinib trials.</w:t>
      </w:r>
    </w:p>
    <w:p w:rsidR="00AA2523" w:rsidRPr="00452F75" w:rsidRDefault="00AA2523" w:rsidP="00AA2523"/>
    <w:p w:rsidR="00AA2523" w:rsidRPr="00452F75" w:rsidRDefault="00AA2523" w:rsidP="00AA2523">
      <w:pPr>
        <w:keepNext/>
        <w:ind w:left="709"/>
        <w:rPr>
          <w:rFonts w:ascii="Arial Narrow" w:hAnsi="Arial Narrow"/>
          <w:b/>
          <w:sz w:val="20"/>
        </w:rPr>
      </w:pPr>
      <w:r w:rsidRPr="00452F75">
        <w:rPr>
          <w:rFonts w:ascii="Arial Narrow" w:hAnsi="Arial Narrow"/>
          <w:b/>
          <w:sz w:val="20"/>
        </w:rPr>
        <w:lastRenderedPageBreak/>
        <w:t xml:space="preserve">Table </w:t>
      </w:r>
      <w:r w:rsidR="00BB5AF7" w:rsidRPr="00452F75">
        <w:rPr>
          <w:rFonts w:ascii="Arial Narrow" w:hAnsi="Arial Narrow"/>
          <w:b/>
          <w:sz w:val="20"/>
        </w:rPr>
        <w:t>5</w:t>
      </w:r>
      <w:r w:rsidRPr="00452F75">
        <w:rPr>
          <w:rFonts w:ascii="Arial Narrow" w:hAnsi="Arial Narrow"/>
          <w:b/>
          <w:sz w:val="20"/>
        </w:rPr>
        <w:t>: Summary of adverse events in the vemurafenib + cobimetinib trial and the dabrafenib + trametinib trials</w:t>
      </w:r>
    </w:p>
    <w:tbl>
      <w:tblPr>
        <w:tblStyle w:val="TableGrid"/>
        <w:tblW w:w="8363" w:type="dxa"/>
        <w:tblInd w:w="817" w:type="dxa"/>
        <w:tblLook w:val="04A0" w:firstRow="1" w:lastRow="0" w:firstColumn="1" w:lastColumn="0" w:noHBand="0" w:noVBand="1"/>
        <w:tblCaption w:val="Table 5: Summary of adverse events in the vemurafenib + cobimetinib trial and the dabrafenib + trametinib trials"/>
      </w:tblPr>
      <w:tblGrid>
        <w:gridCol w:w="2835"/>
        <w:gridCol w:w="2835"/>
        <w:gridCol w:w="2693"/>
      </w:tblGrid>
      <w:tr w:rsidR="00AA2523" w:rsidRPr="00452F75" w:rsidTr="00AA2523">
        <w:trPr>
          <w:tblHeader/>
        </w:trPr>
        <w:tc>
          <w:tcPr>
            <w:tcW w:w="2835" w:type="dxa"/>
            <w:vAlign w:val="center"/>
          </w:tcPr>
          <w:p w:rsidR="00AA2523" w:rsidRPr="00452F75" w:rsidRDefault="00AA2523" w:rsidP="00AD4E08">
            <w:pPr>
              <w:keepNext/>
              <w:tabs>
                <w:tab w:val="left" w:pos="176"/>
              </w:tabs>
              <w:jc w:val="left"/>
              <w:rPr>
                <w:rFonts w:ascii="Arial Narrow" w:hAnsi="Arial Narrow"/>
                <w:b/>
                <w:sz w:val="20"/>
              </w:rPr>
            </w:pPr>
            <w:r w:rsidRPr="00452F75">
              <w:rPr>
                <w:rFonts w:ascii="Arial Narrow" w:hAnsi="Arial Narrow"/>
                <w:b/>
                <w:sz w:val="20"/>
              </w:rPr>
              <w:t>Adverse event</w:t>
            </w:r>
          </w:p>
        </w:tc>
        <w:tc>
          <w:tcPr>
            <w:tcW w:w="2835" w:type="dxa"/>
            <w:vAlign w:val="center"/>
          </w:tcPr>
          <w:p w:rsidR="00AA2523" w:rsidRPr="00452F75" w:rsidRDefault="00AA2523" w:rsidP="00AD4E08">
            <w:pPr>
              <w:keepNext/>
              <w:jc w:val="center"/>
              <w:rPr>
                <w:rFonts w:ascii="Arial Narrow" w:hAnsi="Arial Narrow"/>
                <w:b/>
                <w:sz w:val="20"/>
              </w:rPr>
            </w:pPr>
            <w:r w:rsidRPr="00452F75">
              <w:rPr>
                <w:rFonts w:ascii="Arial Narrow" w:hAnsi="Arial Narrow"/>
                <w:b/>
                <w:sz w:val="20"/>
              </w:rPr>
              <w:t xml:space="preserve">coBRIM: </w:t>
            </w:r>
          </w:p>
          <w:p w:rsidR="00AA2523" w:rsidRPr="00452F75" w:rsidRDefault="00AA2523" w:rsidP="00AD4E08">
            <w:pPr>
              <w:keepNext/>
              <w:jc w:val="center"/>
              <w:rPr>
                <w:rFonts w:ascii="Arial Narrow" w:hAnsi="Arial Narrow"/>
                <w:b/>
                <w:sz w:val="20"/>
              </w:rPr>
            </w:pPr>
            <w:r w:rsidRPr="00452F75">
              <w:rPr>
                <w:rFonts w:ascii="Arial Narrow" w:hAnsi="Arial Narrow"/>
                <w:b/>
                <w:sz w:val="20"/>
              </w:rPr>
              <w:t>vemurafenib + cobimetinib N=254</w:t>
            </w:r>
          </w:p>
        </w:tc>
        <w:tc>
          <w:tcPr>
            <w:tcW w:w="2693" w:type="dxa"/>
            <w:vAlign w:val="center"/>
          </w:tcPr>
          <w:p w:rsidR="00AA2523" w:rsidRPr="00452F75" w:rsidRDefault="00AA2523" w:rsidP="00AD4E08">
            <w:pPr>
              <w:keepNext/>
              <w:jc w:val="center"/>
              <w:rPr>
                <w:rFonts w:ascii="Arial Narrow" w:hAnsi="Arial Narrow"/>
                <w:b/>
                <w:sz w:val="20"/>
              </w:rPr>
            </w:pPr>
            <w:r w:rsidRPr="00452F75">
              <w:rPr>
                <w:rFonts w:ascii="Arial Narrow" w:hAnsi="Arial Narrow"/>
                <w:b/>
                <w:sz w:val="20"/>
              </w:rPr>
              <w:t xml:space="preserve">COMBI-D/COMBI-V: </w:t>
            </w:r>
          </w:p>
          <w:p w:rsidR="00AA2523" w:rsidRPr="00452F75" w:rsidRDefault="00AA2523" w:rsidP="00AD4E08">
            <w:pPr>
              <w:keepNext/>
              <w:jc w:val="center"/>
              <w:rPr>
                <w:rFonts w:ascii="Arial Narrow" w:hAnsi="Arial Narrow"/>
                <w:b/>
                <w:sz w:val="20"/>
              </w:rPr>
            </w:pPr>
            <w:r w:rsidRPr="00452F75">
              <w:rPr>
                <w:rFonts w:ascii="Arial Narrow" w:hAnsi="Arial Narrow"/>
                <w:b/>
                <w:sz w:val="20"/>
              </w:rPr>
              <w:t>dabrafenib + trametinib N=559</w:t>
            </w:r>
          </w:p>
        </w:tc>
      </w:tr>
      <w:tr w:rsidR="00AA2523" w:rsidRPr="00452F75" w:rsidTr="00AA2523">
        <w:tc>
          <w:tcPr>
            <w:tcW w:w="2835" w:type="dxa"/>
          </w:tcPr>
          <w:p w:rsidR="00AA2523" w:rsidRPr="00452F75" w:rsidRDefault="00AA2523" w:rsidP="00AD4E08">
            <w:pPr>
              <w:tabs>
                <w:tab w:val="left" w:pos="176"/>
              </w:tabs>
              <w:jc w:val="left"/>
              <w:rPr>
                <w:rFonts w:ascii="Arial Narrow" w:hAnsi="Arial Narrow"/>
                <w:sz w:val="20"/>
              </w:rPr>
            </w:pPr>
            <w:r w:rsidRPr="00452F75">
              <w:rPr>
                <w:rFonts w:ascii="Arial Narrow" w:hAnsi="Arial Narrow"/>
                <w:sz w:val="20"/>
              </w:rPr>
              <w:t>Any AE</w:t>
            </w:r>
          </w:p>
        </w:tc>
        <w:tc>
          <w:tcPr>
            <w:tcW w:w="2835" w:type="dxa"/>
          </w:tcPr>
          <w:p w:rsidR="00AA2523" w:rsidRPr="00452F75" w:rsidRDefault="00AA2523" w:rsidP="00AD4E08">
            <w:pPr>
              <w:jc w:val="center"/>
              <w:rPr>
                <w:rFonts w:ascii="Arial Narrow" w:hAnsi="Arial Narrow"/>
                <w:sz w:val="20"/>
              </w:rPr>
            </w:pPr>
            <w:r w:rsidRPr="00452F75">
              <w:rPr>
                <w:rFonts w:ascii="Arial Narrow" w:hAnsi="Arial Narrow"/>
                <w:sz w:val="20"/>
              </w:rPr>
              <w:t>250 (98%)</w:t>
            </w:r>
          </w:p>
        </w:tc>
        <w:tc>
          <w:tcPr>
            <w:tcW w:w="2693" w:type="dxa"/>
          </w:tcPr>
          <w:p w:rsidR="00AA2523" w:rsidRPr="00452F75" w:rsidRDefault="00AA2523" w:rsidP="00AD4E08">
            <w:pPr>
              <w:jc w:val="center"/>
              <w:rPr>
                <w:rFonts w:ascii="Arial Narrow" w:hAnsi="Arial Narrow"/>
                <w:sz w:val="20"/>
              </w:rPr>
            </w:pPr>
            <w:r w:rsidRPr="00452F75">
              <w:rPr>
                <w:rFonts w:ascii="Arial Narrow" w:hAnsi="Arial Narrow"/>
                <w:sz w:val="20"/>
              </w:rPr>
              <w:t>542 (97%)</w:t>
            </w:r>
          </w:p>
        </w:tc>
      </w:tr>
      <w:tr w:rsidR="00AA2523" w:rsidRPr="00452F75" w:rsidTr="00AA2523">
        <w:tc>
          <w:tcPr>
            <w:tcW w:w="2835" w:type="dxa"/>
          </w:tcPr>
          <w:p w:rsidR="00AA2523" w:rsidRPr="00452F75" w:rsidRDefault="00AA2523" w:rsidP="00AD4E08">
            <w:pPr>
              <w:tabs>
                <w:tab w:val="left" w:pos="176"/>
              </w:tabs>
              <w:jc w:val="left"/>
              <w:rPr>
                <w:rFonts w:ascii="Arial Narrow" w:hAnsi="Arial Narrow"/>
                <w:sz w:val="20"/>
              </w:rPr>
            </w:pPr>
            <w:r w:rsidRPr="00452F75">
              <w:rPr>
                <w:rFonts w:ascii="Arial Narrow" w:hAnsi="Arial Narrow"/>
                <w:sz w:val="20"/>
              </w:rPr>
              <w:t>Treatment-related AEs</w:t>
            </w:r>
          </w:p>
        </w:tc>
        <w:tc>
          <w:tcPr>
            <w:tcW w:w="2835" w:type="dxa"/>
          </w:tcPr>
          <w:p w:rsidR="00AA2523" w:rsidRPr="00452F75" w:rsidRDefault="00AA2523" w:rsidP="00AD4E08">
            <w:pPr>
              <w:jc w:val="center"/>
              <w:rPr>
                <w:rFonts w:ascii="Arial Narrow" w:hAnsi="Arial Narrow"/>
                <w:sz w:val="20"/>
              </w:rPr>
            </w:pPr>
            <w:r w:rsidRPr="00452F75">
              <w:rPr>
                <w:rFonts w:ascii="Arial Narrow" w:hAnsi="Arial Narrow"/>
                <w:sz w:val="20"/>
              </w:rPr>
              <w:t>NR</w:t>
            </w:r>
          </w:p>
        </w:tc>
        <w:tc>
          <w:tcPr>
            <w:tcW w:w="2693" w:type="dxa"/>
          </w:tcPr>
          <w:p w:rsidR="00AA2523" w:rsidRPr="00452F75" w:rsidRDefault="00AA2523" w:rsidP="00AD4E08">
            <w:pPr>
              <w:jc w:val="center"/>
              <w:rPr>
                <w:rFonts w:ascii="Arial Narrow" w:hAnsi="Arial Narrow"/>
                <w:sz w:val="20"/>
              </w:rPr>
            </w:pPr>
            <w:r w:rsidRPr="00452F75">
              <w:rPr>
                <w:rFonts w:ascii="Arial Narrow" w:hAnsi="Arial Narrow"/>
                <w:sz w:val="20"/>
              </w:rPr>
              <w:t>498 (89%)</w:t>
            </w:r>
          </w:p>
        </w:tc>
      </w:tr>
      <w:tr w:rsidR="00AA2523" w:rsidRPr="00452F75" w:rsidTr="00AA2523">
        <w:tc>
          <w:tcPr>
            <w:tcW w:w="2835" w:type="dxa"/>
          </w:tcPr>
          <w:p w:rsidR="00AA2523" w:rsidRPr="00452F75" w:rsidRDefault="00AA2523" w:rsidP="00AD4E08">
            <w:pPr>
              <w:tabs>
                <w:tab w:val="left" w:pos="176"/>
              </w:tabs>
              <w:jc w:val="left"/>
              <w:rPr>
                <w:rFonts w:ascii="Arial Narrow" w:hAnsi="Arial Narrow"/>
                <w:sz w:val="20"/>
              </w:rPr>
            </w:pPr>
            <w:r w:rsidRPr="00452F75">
              <w:rPr>
                <w:rFonts w:ascii="Arial Narrow" w:hAnsi="Arial Narrow"/>
                <w:sz w:val="20"/>
              </w:rPr>
              <w:t>Grade ≥3 AEs</w:t>
            </w:r>
            <w:r w:rsidRPr="00452F75">
              <w:rPr>
                <w:rFonts w:ascii="Arial Narrow" w:hAnsi="Arial Narrow"/>
                <w:sz w:val="20"/>
                <w:vertAlign w:val="superscript"/>
              </w:rPr>
              <w:t>a</w:t>
            </w:r>
          </w:p>
        </w:tc>
        <w:tc>
          <w:tcPr>
            <w:tcW w:w="2835" w:type="dxa"/>
          </w:tcPr>
          <w:p w:rsidR="00AA2523" w:rsidRPr="00452F75" w:rsidRDefault="00AA2523" w:rsidP="00AD4E08">
            <w:pPr>
              <w:jc w:val="center"/>
              <w:rPr>
                <w:rFonts w:ascii="Arial Narrow" w:hAnsi="Arial Narrow"/>
                <w:sz w:val="20"/>
              </w:rPr>
            </w:pPr>
            <w:r w:rsidRPr="00452F75">
              <w:rPr>
                <w:rFonts w:ascii="Arial Narrow" w:hAnsi="Arial Narrow"/>
                <w:sz w:val="20"/>
              </w:rPr>
              <w:t>165 (65%)</w:t>
            </w:r>
          </w:p>
        </w:tc>
        <w:tc>
          <w:tcPr>
            <w:tcW w:w="2693" w:type="dxa"/>
          </w:tcPr>
          <w:p w:rsidR="00AA2523" w:rsidRPr="00452F75" w:rsidRDefault="00AA2523" w:rsidP="00AD4E08">
            <w:pPr>
              <w:jc w:val="center"/>
              <w:rPr>
                <w:rFonts w:ascii="Arial Narrow" w:hAnsi="Arial Narrow"/>
                <w:sz w:val="20"/>
              </w:rPr>
            </w:pPr>
            <w:r w:rsidRPr="00452F75">
              <w:rPr>
                <w:rFonts w:ascii="Arial Narrow" w:hAnsi="Arial Narrow"/>
                <w:sz w:val="20"/>
              </w:rPr>
              <w:t>240 (43%)</w:t>
            </w:r>
          </w:p>
        </w:tc>
      </w:tr>
      <w:tr w:rsidR="00AA2523" w:rsidRPr="00452F75" w:rsidTr="00AA2523">
        <w:tc>
          <w:tcPr>
            <w:tcW w:w="2835" w:type="dxa"/>
          </w:tcPr>
          <w:p w:rsidR="00AA2523" w:rsidRPr="00452F75" w:rsidRDefault="00AA2523" w:rsidP="00AD4E08">
            <w:pPr>
              <w:tabs>
                <w:tab w:val="left" w:pos="176"/>
              </w:tabs>
              <w:jc w:val="left"/>
              <w:rPr>
                <w:rFonts w:ascii="Arial Narrow" w:hAnsi="Arial Narrow"/>
                <w:sz w:val="20"/>
              </w:rPr>
            </w:pPr>
            <w:r w:rsidRPr="00452F75">
              <w:rPr>
                <w:rFonts w:ascii="Arial Narrow" w:hAnsi="Arial Narrow"/>
                <w:sz w:val="20"/>
              </w:rPr>
              <w:t>Serious AEs</w:t>
            </w:r>
            <w:r w:rsidRPr="00452F75">
              <w:rPr>
                <w:rFonts w:ascii="Arial Narrow" w:hAnsi="Arial Narrow"/>
                <w:sz w:val="20"/>
                <w:vertAlign w:val="superscript"/>
              </w:rPr>
              <w:t>b</w:t>
            </w:r>
          </w:p>
        </w:tc>
        <w:tc>
          <w:tcPr>
            <w:tcW w:w="2835" w:type="dxa"/>
          </w:tcPr>
          <w:p w:rsidR="00AA2523" w:rsidRPr="00452F75" w:rsidRDefault="00AA2523" w:rsidP="00AD4E08">
            <w:pPr>
              <w:jc w:val="center"/>
              <w:rPr>
                <w:rFonts w:ascii="Arial Narrow" w:hAnsi="Arial Narrow"/>
                <w:sz w:val="20"/>
              </w:rPr>
            </w:pPr>
            <w:r w:rsidRPr="00452F75">
              <w:rPr>
                <w:rFonts w:ascii="Arial Narrow" w:hAnsi="Arial Narrow"/>
                <w:sz w:val="20"/>
              </w:rPr>
              <w:t>75 (30%)</w:t>
            </w:r>
          </w:p>
        </w:tc>
        <w:tc>
          <w:tcPr>
            <w:tcW w:w="2693" w:type="dxa"/>
          </w:tcPr>
          <w:p w:rsidR="00AA2523" w:rsidRPr="00452F75" w:rsidRDefault="00AA2523" w:rsidP="00AD4E08">
            <w:pPr>
              <w:jc w:val="center"/>
              <w:rPr>
                <w:rFonts w:ascii="Arial Narrow" w:hAnsi="Arial Narrow"/>
                <w:sz w:val="20"/>
              </w:rPr>
            </w:pPr>
            <w:r w:rsidRPr="00452F75">
              <w:rPr>
                <w:rFonts w:ascii="Arial Narrow" w:hAnsi="Arial Narrow"/>
                <w:sz w:val="20"/>
              </w:rPr>
              <w:t>195 (35%)</w:t>
            </w:r>
          </w:p>
        </w:tc>
      </w:tr>
      <w:tr w:rsidR="00AA2523" w:rsidRPr="00452F75" w:rsidTr="00AA2523">
        <w:tc>
          <w:tcPr>
            <w:tcW w:w="2835" w:type="dxa"/>
          </w:tcPr>
          <w:p w:rsidR="00AA2523" w:rsidRPr="00452F75" w:rsidRDefault="00AA2523" w:rsidP="00AD4E08">
            <w:pPr>
              <w:tabs>
                <w:tab w:val="left" w:pos="176"/>
              </w:tabs>
              <w:jc w:val="left"/>
              <w:rPr>
                <w:rFonts w:ascii="Arial Narrow" w:hAnsi="Arial Narrow"/>
                <w:sz w:val="20"/>
              </w:rPr>
            </w:pPr>
            <w:r w:rsidRPr="00452F75">
              <w:rPr>
                <w:rFonts w:ascii="Arial Narrow" w:hAnsi="Arial Narrow"/>
                <w:sz w:val="20"/>
              </w:rPr>
              <w:t>Treatment-related serious AEs</w:t>
            </w:r>
          </w:p>
        </w:tc>
        <w:tc>
          <w:tcPr>
            <w:tcW w:w="2835" w:type="dxa"/>
          </w:tcPr>
          <w:p w:rsidR="00AA2523" w:rsidRPr="00452F75" w:rsidRDefault="00AA2523" w:rsidP="00AD4E08">
            <w:pPr>
              <w:jc w:val="center"/>
              <w:rPr>
                <w:rFonts w:ascii="Arial Narrow" w:hAnsi="Arial Narrow"/>
                <w:sz w:val="20"/>
              </w:rPr>
            </w:pPr>
            <w:r w:rsidRPr="00452F75">
              <w:rPr>
                <w:rFonts w:ascii="Arial Narrow" w:hAnsi="Arial Narrow"/>
                <w:sz w:val="20"/>
              </w:rPr>
              <w:t>46</w:t>
            </w:r>
            <w:r w:rsidRPr="00452F75">
              <w:rPr>
                <w:rFonts w:ascii="Arial Narrow" w:hAnsi="Arial Narrow"/>
                <w:sz w:val="20"/>
                <w:vertAlign w:val="superscript"/>
              </w:rPr>
              <w:t>c</w:t>
            </w:r>
            <w:r w:rsidRPr="00452F75">
              <w:rPr>
                <w:rFonts w:ascii="Arial Narrow" w:hAnsi="Arial Narrow"/>
                <w:sz w:val="20"/>
              </w:rPr>
              <w:t xml:space="preserve"> (18%)</w:t>
            </w:r>
            <w:r w:rsidRPr="00452F75">
              <w:rPr>
                <w:rFonts w:ascii="Arial Narrow" w:hAnsi="Arial Narrow"/>
                <w:sz w:val="20"/>
                <w:vertAlign w:val="superscript"/>
              </w:rPr>
              <w:t>d</w:t>
            </w:r>
          </w:p>
        </w:tc>
        <w:tc>
          <w:tcPr>
            <w:tcW w:w="2693" w:type="dxa"/>
          </w:tcPr>
          <w:p w:rsidR="00AA2523" w:rsidRPr="00452F75" w:rsidRDefault="00AA2523" w:rsidP="00AD4E08">
            <w:pPr>
              <w:jc w:val="center"/>
              <w:rPr>
                <w:rFonts w:ascii="Arial Narrow" w:hAnsi="Arial Narrow"/>
                <w:sz w:val="20"/>
              </w:rPr>
            </w:pPr>
            <w:r w:rsidRPr="00452F75">
              <w:rPr>
                <w:rFonts w:ascii="Arial Narrow" w:hAnsi="Arial Narrow"/>
                <w:sz w:val="20"/>
              </w:rPr>
              <w:t>273</w:t>
            </w:r>
            <w:r w:rsidRPr="00452F75">
              <w:rPr>
                <w:rFonts w:ascii="Arial Narrow" w:hAnsi="Arial Narrow"/>
                <w:sz w:val="20"/>
                <w:vertAlign w:val="superscript"/>
              </w:rPr>
              <w:t>c</w:t>
            </w:r>
            <w:r w:rsidRPr="00452F75">
              <w:rPr>
                <w:rFonts w:ascii="Arial Narrow" w:hAnsi="Arial Narrow"/>
                <w:sz w:val="20"/>
              </w:rPr>
              <w:t xml:space="preserve"> (67%)</w:t>
            </w:r>
            <w:r w:rsidRPr="00452F75">
              <w:rPr>
                <w:rFonts w:ascii="Arial Narrow" w:hAnsi="Arial Narrow"/>
                <w:sz w:val="20"/>
                <w:vertAlign w:val="superscript"/>
              </w:rPr>
              <w:t>d</w:t>
            </w:r>
          </w:p>
        </w:tc>
      </w:tr>
      <w:tr w:rsidR="00AA2523" w:rsidRPr="00452F75" w:rsidTr="00AA2523">
        <w:tc>
          <w:tcPr>
            <w:tcW w:w="2835" w:type="dxa"/>
          </w:tcPr>
          <w:p w:rsidR="00AA2523" w:rsidRPr="00452F75" w:rsidRDefault="00AA2523" w:rsidP="00AD4E08">
            <w:pPr>
              <w:tabs>
                <w:tab w:val="left" w:pos="176"/>
              </w:tabs>
              <w:jc w:val="left"/>
              <w:rPr>
                <w:rFonts w:ascii="Arial Narrow" w:hAnsi="Arial Narrow"/>
                <w:sz w:val="20"/>
              </w:rPr>
            </w:pPr>
            <w:r w:rsidRPr="00452F75">
              <w:rPr>
                <w:rFonts w:ascii="Arial Narrow" w:hAnsi="Arial Narrow"/>
                <w:sz w:val="20"/>
              </w:rPr>
              <w:t>AEs leading to discontinuation</w:t>
            </w:r>
          </w:p>
        </w:tc>
        <w:tc>
          <w:tcPr>
            <w:tcW w:w="2835" w:type="dxa"/>
          </w:tcPr>
          <w:p w:rsidR="00AA2523" w:rsidRPr="00452F75" w:rsidRDefault="00AA2523" w:rsidP="00AD4E08">
            <w:pPr>
              <w:jc w:val="center"/>
              <w:rPr>
                <w:rFonts w:ascii="Arial Narrow" w:hAnsi="Arial Narrow"/>
                <w:sz w:val="20"/>
              </w:rPr>
            </w:pPr>
            <w:r w:rsidRPr="00452F75">
              <w:rPr>
                <w:rFonts w:ascii="Arial Narrow" w:hAnsi="Arial Narrow"/>
                <w:sz w:val="20"/>
              </w:rPr>
              <w:t>49 (19%)</w:t>
            </w:r>
          </w:p>
        </w:tc>
        <w:tc>
          <w:tcPr>
            <w:tcW w:w="2693" w:type="dxa"/>
          </w:tcPr>
          <w:p w:rsidR="00AA2523" w:rsidRPr="00452F75" w:rsidRDefault="00AA2523" w:rsidP="00AD4E08">
            <w:pPr>
              <w:jc w:val="center"/>
              <w:rPr>
                <w:rFonts w:ascii="Arial Narrow" w:hAnsi="Arial Narrow"/>
                <w:sz w:val="20"/>
              </w:rPr>
            </w:pPr>
            <w:r w:rsidRPr="00452F75">
              <w:rPr>
                <w:rFonts w:ascii="Arial Narrow" w:hAnsi="Arial Narrow"/>
                <w:sz w:val="20"/>
              </w:rPr>
              <w:t>65 (12%)</w:t>
            </w:r>
          </w:p>
        </w:tc>
      </w:tr>
      <w:tr w:rsidR="00AA2523" w:rsidRPr="00452F75" w:rsidTr="00AA2523">
        <w:tc>
          <w:tcPr>
            <w:tcW w:w="2835" w:type="dxa"/>
          </w:tcPr>
          <w:p w:rsidR="00AA2523" w:rsidRPr="00452F75" w:rsidRDefault="00AA2523" w:rsidP="00AD4E08">
            <w:pPr>
              <w:tabs>
                <w:tab w:val="left" w:pos="176"/>
              </w:tabs>
              <w:jc w:val="left"/>
              <w:rPr>
                <w:rFonts w:ascii="Arial Narrow" w:hAnsi="Arial Narrow"/>
                <w:sz w:val="20"/>
              </w:rPr>
            </w:pPr>
            <w:r w:rsidRPr="00452F75">
              <w:rPr>
                <w:rFonts w:ascii="Arial Narrow" w:hAnsi="Arial Narrow"/>
                <w:sz w:val="20"/>
              </w:rPr>
              <w:t>AEs leading to dose modification</w:t>
            </w:r>
          </w:p>
        </w:tc>
        <w:tc>
          <w:tcPr>
            <w:tcW w:w="2835" w:type="dxa"/>
          </w:tcPr>
          <w:p w:rsidR="00AA2523" w:rsidRPr="00452F75" w:rsidRDefault="00AA2523" w:rsidP="00AD4E08">
            <w:pPr>
              <w:jc w:val="center"/>
              <w:rPr>
                <w:rFonts w:ascii="Arial Narrow" w:hAnsi="Arial Narrow"/>
                <w:sz w:val="20"/>
              </w:rPr>
            </w:pPr>
            <w:r w:rsidRPr="00452F75">
              <w:rPr>
                <w:rFonts w:ascii="Arial Narrow" w:hAnsi="Arial Narrow"/>
                <w:sz w:val="20"/>
              </w:rPr>
              <w:t>246 (97%)</w:t>
            </w:r>
          </w:p>
        </w:tc>
        <w:tc>
          <w:tcPr>
            <w:tcW w:w="2693" w:type="dxa"/>
          </w:tcPr>
          <w:p w:rsidR="00AA2523" w:rsidRPr="00452F75" w:rsidRDefault="00AA2523" w:rsidP="00AD4E08">
            <w:pPr>
              <w:jc w:val="center"/>
              <w:rPr>
                <w:rFonts w:ascii="Arial Narrow" w:hAnsi="Arial Narrow"/>
                <w:sz w:val="20"/>
              </w:rPr>
            </w:pPr>
            <w:r w:rsidRPr="00452F75">
              <w:rPr>
                <w:rFonts w:ascii="Arial Narrow" w:hAnsi="Arial Narrow"/>
                <w:sz w:val="20"/>
              </w:rPr>
              <w:t>261 (47%)</w:t>
            </w:r>
          </w:p>
        </w:tc>
      </w:tr>
      <w:tr w:rsidR="00AA2523" w:rsidRPr="00452F75" w:rsidTr="00AA2523">
        <w:tc>
          <w:tcPr>
            <w:tcW w:w="2835" w:type="dxa"/>
          </w:tcPr>
          <w:p w:rsidR="00AA2523" w:rsidRPr="00452F75" w:rsidRDefault="00AA2523" w:rsidP="00AD4E08">
            <w:pPr>
              <w:tabs>
                <w:tab w:val="left" w:pos="176"/>
              </w:tabs>
              <w:jc w:val="left"/>
              <w:rPr>
                <w:rFonts w:ascii="Arial Narrow" w:hAnsi="Arial Narrow"/>
                <w:sz w:val="20"/>
              </w:rPr>
            </w:pPr>
            <w:r w:rsidRPr="00452F75">
              <w:rPr>
                <w:rFonts w:ascii="Arial Narrow" w:hAnsi="Arial Narrow"/>
                <w:sz w:val="20"/>
              </w:rPr>
              <w:t>AEs leading to death</w:t>
            </w:r>
          </w:p>
        </w:tc>
        <w:tc>
          <w:tcPr>
            <w:tcW w:w="2835" w:type="dxa"/>
          </w:tcPr>
          <w:p w:rsidR="00AA2523" w:rsidRPr="00452F75" w:rsidRDefault="00AA2523" w:rsidP="00AD4E08">
            <w:pPr>
              <w:jc w:val="center"/>
              <w:rPr>
                <w:rFonts w:ascii="Arial Narrow" w:hAnsi="Arial Narrow"/>
                <w:sz w:val="20"/>
              </w:rPr>
            </w:pPr>
            <w:r w:rsidRPr="00452F75">
              <w:rPr>
                <w:rFonts w:ascii="Arial Narrow" w:hAnsi="Arial Narrow"/>
                <w:sz w:val="20"/>
              </w:rPr>
              <w:t>6 (2%)</w:t>
            </w:r>
          </w:p>
        </w:tc>
        <w:tc>
          <w:tcPr>
            <w:tcW w:w="2693" w:type="dxa"/>
          </w:tcPr>
          <w:p w:rsidR="00AA2523" w:rsidRPr="00452F75" w:rsidRDefault="00AA2523" w:rsidP="00AD4E08">
            <w:pPr>
              <w:jc w:val="center"/>
              <w:rPr>
                <w:rFonts w:ascii="Arial Narrow" w:hAnsi="Arial Narrow"/>
                <w:sz w:val="20"/>
              </w:rPr>
            </w:pPr>
            <w:r w:rsidRPr="00452F75">
              <w:rPr>
                <w:rFonts w:ascii="Arial Narrow" w:hAnsi="Arial Narrow"/>
                <w:sz w:val="20"/>
              </w:rPr>
              <w:t>6 (1%)</w:t>
            </w:r>
          </w:p>
        </w:tc>
      </w:tr>
      <w:tr w:rsidR="00AA2523" w:rsidRPr="00452F75" w:rsidTr="00AA2523">
        <w:tc>
          <w:tcPr>
            <w:tcW w:w="2835" w:type="dxa"/>
          </w:tcPr>
          <w:p w:rsidR="00AA2523" w:rsidRPr="00452F75" w:rsidRDefault="00AA2523" w:rsidP="00AD4E08">
            <w:pPr>
              <w:tabs>
                <w:tab w:val="left" w:pos="176"/>
              </w:tabs>
              <w:jc w:val="left"/>
              <w:rPr>
                <w:rFonts w:ascii="Arial Narrow" w:hAnsi="Arial Narrow"/>
                <w:sz w:val="20"/>
              </w:rPr>
            </w:pPr>
            <w:r w:rsidRPr="00452F75">
              <w:rPr>
                <w:rFonts w:ascii="Arial Narrow" w:hAnsi="Arial Narrow"/>
                <w:sz w:val="20"/>
              </w:rPr>
              <w:t>Treatment-related deaths</w:t>
            </w:r>
          </w:p>
        </w:tc>
        <w:tc>
          <w:tcPr>
            <w:tcW w:w="2835" w:type="dxa"/>
          </w:tcPr>
          <w:p w:rsidR="00AA2523" w:rsidRPr="00452F75" w:rsidRDefault="00AA2523" w:rsidP="00AD4E08">
            <w:pPr>
              <w:jc w:val="center"/>
              <w:rPr>
                <w:rFonts w:ascii="Arial Narrow" w:hAnsi="Arial Narrow"/>
                <w:sz w:val="20"/>
              </w:rPr>
            </w:pPr>
            <w:r w:rsidRPr="00452F75">
              <w:rPr>
                <w:rFonts w:ascii="Arial Narrow" w:hAnsi="Arial Narrow"/>
                <w:sz w:val="20"/>
              </w:rPr>
              <w:t>1 (&lt;1%)</w:t>
            </w:r>
          </w:p>
        </w:tc>
        <w:tc>
          <w:tcPr>
            <w:tcW w:w="2693" w:type="dxa"/>
          </w:tcPr>
          <w:p w:rsidR="00AA2523" w:rsidRPr="00452F75" w:rsidRDefault="00AA2523" w:rsidP="00AD4E08">
            <w:pPr>
              <w:jc w:val="center"/>
              <w:rPr>
                <w:rFonts w:ascii="Arial Narrow" w:hAnsi="Arial Narrow"/>
                <w:sz w:val="20"/>
              </w:rPr>
            </w:pPr>
            <w:r w:rsidRPr="00452F75">
              <w:rPr>
                <w:rFonts w:ascii="Arial Narrow" w:hAnsi="Arial Narrow"/>
                <w:sz w:val="20"/>
              </w:rPr>
              <w:t>0 (0%)</w:t>
            </w:r>
          </w:p>
        </w:tc>
      </w:tr>
      <w:tr w:rsidR="00EB3CB0" w:rsidRPr="00452F75" w:rsidTr="00AA2523">
        <w:tc>
          <w:tcPr>
            <w:tcW w:w="2835" w:type="dxa"/>
          </w:tcPr>
          <w:p w:rsidR="00EB3CB0" w:rsidRPr="00452F75" w:rsidRDefault="00EB3CB0" w:rsidP="00AD4E08">
            <w:pPr>
              <w:tabs>
                <w:tab w:val="left" w:pos="176"/>
              </w:tabs>
              <w:jc w:val="left"/>
              <w:rPr>
                <w:rFonts w:ascii="Arial Narrow" w:hAnsi="Arial Narrow"/>
                <w:sz w:val="20"/>
              </w:rPr>
            </w:pPr>
            <w:r>
              <w:rPr>
                <w:rFonts w:ascii="Arial Narrow" w:hAnsi="Arial Narrow"/>
                <w:sz w:val="20"/>
              </w:rPr>
              <w:t>Diarrhoea</w:t>
            </w:r>
            <w:r w:rsidRPr="00EB3CB0">
              <w:rPr>
                <w:rFonts w:ascii="Arial Narrow" w:hAnsi="Arial Narrow"/>
                <w:sz w:val="20"/>
                <w:vertAlign w:val="superscript"/>
              </w:rPr>
              <w:t>e</w:t>
            </w:r>
          </w:p>
        </w:tc>
        <w:tc>
          <w:tcPr>
            <w:tcW w:w="2835" w:type="dxa"/>
          </w:tcPr>
          <w:p w:rsidR="00EB3CB0" w:rsidRPr="00452F75" w:rsidRDefault="00EB3CB0" w:rsidP="00AD4E08">
            <w:pPr>
              <w:jc w:val="center"/>
              <w:rPr>
                <w:rFonts w:ascii="Arial Narrow" w:hAnsi="Arial Narrow"/>
                <w:sz w:val="20"/>
              </w:rPr>
            </w:pPr>
            <w:r>
              <w:rPr>
                <w:rFonts w:ascii="Arial Narrow" w:hAnsi="Arial Narrow"/>
                <w:sz w:val="20"/>
              </w:rPr>
              <w:t>145 (57%)</w:t>
            </w:r>
          </w:p>
        </w:tc>
        <w:tc>
          <w:tcPr>
            <w:tcW w:w="2693" w:type="dxa"/>
          </w:tcPr>
          <w:p w:rsidR="00EB3CB0" w:rsidRPr="00452F75" w:rsidRDefault="00EB3CB0" w:rsidP="00AD4E08">
            <w:pPr>
              <w:jc w:val="center"/>
              <w:rPr>
                <w:rFonts w:ascii="Arial Narrow" w:hAnsi="Arial Narrow"/>
                <w:sz w:val="20"/>
              </w:rPr>
            </w:pPr>
            <w:r>
              <w:rPr>
                <w:rFonts w:ascii="Arial Narrow" w:hAnsi="Arial Narrow"/>
                <w:sz w:val="20"/>
              </w:rPr>
              <w:t>162 (29%)</w:t>
            </w:r>
          </w:p>
        </w:tc>
      </w:tr>
    </w:tbl>
    <w:p w:rsidR="00AA2523" w:rsidRPr="00452F75" w:rsidRDefault="00AA2523" w:rsidP="00AA2523">
      <w:pPr>
        <w:pStyle w:val="TableFooter"/>
        <w:tabs>
          <w:tab w:val="left" w:pos="851"/>
        </w:tabs>
        <w:ind w:left="709"/>
      </w:pPr>
      <w:r w:rsidRPr="00452F75">
        <w:t>Source: Table B.6.12, p47 of Section B-ICRT of the submission</w:t>
      </w:r>
      <w:r w:rsidR="00A525E7" w:rsidRPr="00452F75">
        <w:t>.</w:t>
      </w:r>
    </w:p>
    <w:p w:rsidR="00AA2523" w:rsidRPr="00452F75" w:rsidRDefault="00AA2523" w:rsidP="00AA2523">
      <w:pPr>
        <w:pStyle w:val="TableFooter"/>
        <w:tabs>
          <w:tab w:val="left" w:pos="851"/>
        </w:tabs>
        <w:ind w:left="709"/>
        <w:rPr>
          <w:szCs w:val="18"/>
        </w:rPr>
      </w:pPr>
      <w:r w:rsidRPr="00452F75">
        <w:rPr>
          <w:szCs w:val="18"/>
          <w:vertAlign w:val="superscript"/>
        </w:rPr>
        <w:t>a</w:t>
      </w:r>
      <w:r w:rsidRPr="00452F75">
        <w:rPr>
          <w:szCs w:val="18"/>
        </w:rPr>
        <w:tab/>
        <w:t>In coBRIM</w:t>
      </w:r>
      <w:r w:rsidR="00A525E7" w:rsidRPr="00452F75">
        <w:rPr>
          <w:szCs w:val="18"/>
        </w:rPr>
        <w:t>,</w:t>
      </w:r>
      <w:r w:rsidRPr="00452F75">
        <w:rPr>
          <w:szCs w:val="18"/>
        </w:rPr>
        <w:t xml:space="preserve"> AEs Grade ≥3 were reported if occurring in at least 2% of patients.  In COMBI-D and COMBI-V</w:t>
      </w:r>
      <w:r w:rsidR="00A525E7" w:rsidRPr="00452F75">
        <w:rPr>
          <w:szCs w:val="18"/>
        </w:rPr>
        <w:t>,</w:t>
      </w:r>
      <w:r w:rsidRPr="00452F75">
        <w:rPr>
          <w:szCs w:val="18"/>
        </w:rPr>
        <w:t xml:space="preserve"> Grade ≥3 AEs that occurred in at least 10% of patients were reported.</w:t>
      </w:r>
    </w:p>
    <w:p w:rsidR="00AA2523" w:rsidRPr="00452F75" w:rsidRDefault="00AA2523" w:rsidP="00AA2523">
      <w:pPr>
        <w:tabs>
          <w:tab w:val="left" w:pos="851"/>
        </w:tabs>
        <w:ind w:left="709"/>
        <w:rPr>
          <w:rFonts w:ascii="Arial Narrow" w:hAnsi="Arial Narrow"/>
          <w:sz w:val="18"/>
          <w:szCs w:val="18"/>
        </w:rPr>
      </w:pPr>
      <w:r w:rsidRPr="00452F75">
        <w:rPr>
          <w:rFonts w:ascii="Arial Narrow" w:hAnsi="Arial Narrow"/>
          <w:sz w:val="18"/>
          <w:szCs w:val="18"/>
          <w:vertAlign w:val="superscript"/>
        </w:rPr>
        <w:t>b</w:t>
      </w:r>
      <w:r w:rsidRPr="00452F75">
        <w:rPr>
          <w:rFonts w:ascii="Arial Narrow" w:hAnsi="Arial Narrow"/>
          <w:sz w:val="18"/>
          <w:szCs w:val="18"/>
        </w:rPr>
        <w:tab/>
        <w:t>The protocol definition of serious adverse events differs across the coBRIM and COMBI trials.  The specific events listed here occurred in ≥1% of patients.</w:t>
      </w:r>
    </w:p>
    <w:p w:rsidR="00AA2523" w:rsidRPr="00452F75" w:rsidRDefault="00AA2523" w:rsidP="00AA2523">
      <w:pPr>
        <w:tabs>
          <w:tab w:val="left" w:pos="142"/>
          <w:tab w:val="left" w:pos="851"/>
        </w:tabs>
        <w:ind w:left="709"/>
        <w:rPr>
          <w:rFonts w:ascii="Arial Narrow" w:hAnsi="Arial Narrow"/>
          <w:sz w:val="18"/>
          <w:szCs w:val="18"/>
        </w:rPr>
      </w:pPr>
      <w:r w:rsidRPr="00452F75">
        <w:rPr>
          <w:rFonts w:ascii="Arial Narrow" w:hAnsi="Arial Narrow"/>
          <w:sz w:val="18"/>
          <w:szCs w:val="18"/>
          <w:vertAlign w:val="superscript"/>
        </w:rPr>
        <w:t>c</w:t>
      </w:r>
      <w:r w:rsidRPr="00452F75">
        <w:rPr>
          <w:rFonts w:ascii="Arial Narrow" w:hAnsi="Arial Narrow"/>
          <w:sz w:val="18"/>
          <w:szCs w:val="18"/>
        </w:rPr>
        <w:tab/>
        <w:t>Number of serious AEs instead of number of patients</w:t>
      </w:r>
      <w:r w:rsidR="00A525E7" w:rsidRPr="00452F75">
        <w:rPr>
          <w:rFonts w:ascii="Arial Narrow" w:hAnsi="Arial Narrow"/>
          <w:sz w:val="18"/>
          <w:szCs w:val="18"/>
        </w:rPr>
        <w:t xml:space="preserve"> with serious AEs</w:t>
      </w:r>
    </w:p>
    <w:p w:rsidR="00AA2523" w:rsidRDefault="00AA2523" w:rsidP="00AA2523">
      <w:pPr>
        <w:tabs>
          <w:tab w:val="left" w:pos="142"/>
          <w:tab w:val="left" w:pos="851"/>
        </w:tabs>
        <w:ind w:left="709"/>
        <w:rPr>
          <w:rFonts w:ascii="Arial Narrow" w:hAnsi="Arial Narrow"/>
          <w:sz w:val="18"/>
          <w:szCs w:val="18"/>
        </w:rPr>
      </w:pPr>
      <w:r w:rsidRPr="00452F75">
        <w:rPr>
          <w:rFonts w:ascii="Arial Narrow" w:hAnsi="Arial Narrow"/>
          <w:sz w:val="18"/>
          <w:szCs w:val="18"/>
          <w:vertAlign w:val="superscript"/>
        </w:rPr>
        <w:t>d</w:t>
      </w:r>
      <w:r w:rsidRPr="00452F75">
        <w:rPr>
          <w:rFonts w:ascii="Arial Narrow" w:hAnsi="Arial Narrow"/>
          <w:sz w:val="18"/>
          <w:szCs w:val="18"/>
        </w:rPr>
        <w:tab/>
        <w:t>Proportion of all serious AEs</w:t>
      </w:r>
    </w:p>
    <w:p w:rsidR="00EB3CB0" w:rsidRPr="00452F75" w:rsidRDefault="00EB3CB0" w:rsidP="00AA2523">
      <w:pPr>
        <w:tabs>
          <w:tab w:val="left" w:pos="142"/>
          <w:tab w:val="left" w:pos="851"/>
        </w:tabs>
        <w:ind w:left="709"/>
        <w:rPr>
          <w:rFonts w:ascii="Arial Narrow" w:hAnsi="Arial Narrow"/>
          <w:sz w:val="18"/>
          <w:szCs w:val="18"/>
        </w:rPr>
      </w:pPr>
      <w:r w:rsidRPr="00EB3CB0">
        <w:rPr>
          <w:rFonts w:ascii="Arial Narrow" w:hAnsi="Arial Narrow"/>
          <w:sz w:val="18"/>
          <w:szCs w:val="18"/>
          <w:vertAlign w:val="superscript"/>
        </w:rPr>
        <w:t>e</w:t>
      </w:r>
      <w:r>
        <w:rPr>
          <w:rFonts w:ascii="Arial Narrow" w:hAnsi="Arial Narrow"/>
          <w:sz w:val="18"/>
          <w:szCs w:val="18"/>
        </w:rPr>
        <w:tab/>
        <w:t>Patient numbers calculated during the evaluation from proportions of patients with diarrhoea provided in the submission.</w:t>
      </w:r>
    </w:p>
    <w:p w:rsidR="00AA2523" w:rsidRPr="00452F75" w:rsidRDefault="00AA2523" w:rsidP="00AA2523">
      <w:pPr>
        <w:tabs>
          <w:tab w:val="left" w:pos="851"/>
        </w:tabs>
        <w:ind w:left="709"/>
        <w:rPr>
          <w:rFonts w:ascii="Arial Narrow" w:hAnsi="Arial Narrow"/>
          <w:sz w:val="18"/>
          <w:szCs w:val="18"/>
        </w:rPr>
      </w:pPr>
      <w:r w:rsidRPr="00452F75">
        <w:rPr>
          <w:rFonts w:ascii="Arial Narrow" w:hAnsi="Arial Narrow"/>
          <w:sz w:val="18"/>
          <w:szCs w:val="18"/>
        </w:rPr>
        <w:t>AE=adverse event</w:t>
      </w:r>
    </w:p>
    <w:p w:rsidR="00AA2523" w:rsidRPr="00452F75" w:rsidRDefault="00AA2523" w:rsidP="00AA2523"/>
    <w:p w:rsidR="00AA2523" w:rsidRPr="00452F75" w:rsidRDefault="00AD4E08" w:rsidP="00654033">
      <w:pPr>
        <w:pStyle w:val="ListParagraph"/>
      </w:pPr>
      <w:r w:rsidRPr="00452F75">
        <w:t>The submission conclude</w:t>
      </w:r>
      <w:r w:rsidR="00B77287" w:rsidRPr="00452F75">
        <w:t>d</w:t>
      </w:r>
      <w:r w:rsidRPr="00452F75">
        <w:t xml:space="preserve"> that the safety profile of vemurafenib + cobimetinib</w:t>
      </w:r>
      <w:r w:rsidR="00B77287" w:rsidRPr="00452F75">
        <w:t>, while different from that of dabrafenib + trametinib,</w:t>
      </w:r>
      <w:r w:rsidRPr="00452F75">
        <w:t xml:space="preserve"> is tolerable and manageable.</w:t>
      </w:r>
      <w:r w:rsidR="00B77287" w:rsidRPr="00452F75">
        <w:t xml:space="preserve">  The submission concluded that it was therefore not necessary to include the cost of AEs in the cost-minimisation analysis or the financial estimates. </w:t>
      </w:r>
      <w:r w:rsidRPr="00452F75">
        <w:t xml:space="preserve"> This conclusion though is by</w:t>
      </w:r>
      <w:r w:rsidR="00B77287" w:rsidRPr="00452F75">
        <w:t xml:space="preserve"> assertion and is not supported by quantitative evidence</w:t>
      </w:r>
      <w:r w:rsidRPr="00452F75">
        <w:t>.</w:t>
      </w:r>
      <w:r w:rsidR="008A0682" w:rsidRPr="00452F75">
        <w:t xml:space="preserve">  The results summarised in the table above indicate the following:</w:t>
      </w:r>
    </w:p>
    <w:p w:rsidR="008A0682" w:rsidRPr="00452F75" w:rsidRDefault="008A0682" w:rsidP="00351DE8">
      <w:pPr>
        <w:pStyle w:val="ListParagraph"/>
        <w:numPr>
          <w:ilvl w:val="0"/>
          <w:numId w:val="6"/>
        </w:numPr>
        <w:ind w:left="993" w:hanging="284"/>
      </w:pPr>
      <w:r w:rsidRPr="00452F75">
        <w:t>There was a muchgreater proportion of patients in the coBRIM trial with Grade ≥3 AEs (65%) than those in the COMBI-D and COMBI-V trials (43%).  The submission notes that Grade ≥3 AEs were assessed differently across the trials - at least 2% of patients in coBRIM and at least 10% of patients in COMBI-D and COMBI-V.  The submission suggest</w:t>
      </w:r>
      <w:r w:rsidR="00027AAE" w:rsidRPr="00452F75">
        <w:t>ed</w:t>
      </w:r>
      <w:r w:rsidRPr="00452F75">
        <w:t xml:space="preserve"> this comparison is likely to underestimate the toxicity of dabrafenib + trametinib.  This cannot be determined without availability of the relevant data.</w:t>
      </w:r>
      <w:r w:rsidR="00027AAE" w:rsidRPr="00452F75">
        <w:t xml:space="preserve">  </w:t>
      </w:r>
      <w:r w:rsidR="00977BD7" w:rsidRPr="00452F75">
        <w:t>T</w:t>
      </w:r>
      <w:r w:rsidR="00027AAE" w:rsidRPr="00452F75">
        <w:t>he submission’s discussion of treatment and management of Grade ≥3 AEs provide</w:t>
      </w:r>
      <w:r w:rsidR="00977BD7" w:rsidRPr="00452F75">
        <w:t>d</w:t>
      </w:r>
      <w:r w:rsidR="00027AAE" w:rsidRPr="00452F75">
        <w:t xml:space="preserve"> limited data and d</w:t>
      </w:r>
      <w:r w:rsidR="00977BD7" w:rsidRPr="00452F75">
        <w:t>id</w:t>
      </w:r>
      <w:r w:rsidR="00027AAE" w:rsidRPr="00452F75">
        <w:t xml:space="preserve"> not strongly support the assertion of no additional costs associated with the use of vemurafenib + cobimetinib.</w:t>
      </w:r>
    </w:p>
    <w:p w:rsidR="008A0682" w:rsidRPr="00452F75" w:rsidRDefault="008A0682" w:rsidP="00351DE8">
      <w:pPr>
        <w:pStyle w:val="ListParagraph"/>
        <w:numPr>
          <w:ilvl w:val="0"/>
          <w:numId w:val="6"/>
        </w:numPr>
        <w:ind w:left="993" w:hanging="284"/>
      </w:pPr>
      <w:r w:rsidRPr="00452F75">
        <w:t>A greater proportion of patients in coBRIM discontinued treatment due to AEs (19%) compared to patients in COMBI-D and COMBI-V (12%).  A greater proportion of patients in coBRIM (97%) experienced AEs leading to dose modification compared to patients in COMBI-D and COMBI-V (47%).  These results reflect the potential impact of AEs on patient compliance with treatment.  The submission did not provide any analyses of coBRIM data focusing on patients who discontinued treatment due to AEs or modified their dose - it would be informative to see what impact this had on the efficacy outcomes.</w:t>
      </w:r>
    </w:p>
    <w:p w:rsidR="007B3917" w:rsidRPr="00452F75" w:rsidRDefault="007B3917" w:rsidP="00FC1884"/>
    <w:p w:rsidR="00B60939" w:rsidRPr="00C27C38" w:rsidRDefault="00B60939" w:rsidP="00C27C38">
      <w:pPr>
        <w:pStyle w:val="Heading2"/>
      </w:pPr>
      <w:bookmarkStart w:id="12" w:name="_Toc440982674"/>
      <w:r w:rsidRPr="00C27C38">
        <w:t>Clinical claim</w:t>
      </w:r>
      <w:bookmarkEnd w:id="12"/>
    </w:p>
    <w:p w:rsidR="0092752A" w:rsidRPr="00452F75" w:rsidRDefault="0092752A" w:rsidP="00943EE6">
      <w:pPr>
        <w:keepNext/>
      </w:pPr>
    </w:p>
    <w:p w:rsidR="004445E7" w:rsidRPr="00452F75" w:rsidRDefault="004445E7" w:rsidP="00654033">
      <w:pPr>
        <w:pStyle w:val="ListParagraph"/>
      </w:pPr>
      <w:r w:rsidRPr="00452F75">
        <w:t xml:space="preserve">The submission described vemurafenib + cobimetinib as clinically non-inferior to dabrafenib + trametinib.  In terms of comparative safety, the submission stated that </w:t>
      </w:r>
      <w:r w:rsidRPr="00452F75">
        <w:lastRenderedPageBreak/>
        <w:t>while the safety profile of vemurafenib + cobimetinib is different to dabrafenib + trametinib, the AE profile is manageable with no additional cost implications.</w:t>
      </w:r>
    </w:p>
    <w:p w:rsidR="0092752A" w:rsidRPr="00452F75" w:rsidRDefault="0092752A" w:rsidP="0095205F"/>
    <w:p w:rsidR="00B60939" w:rsidRPr="00452F75" w:rsidRDefault="00D96B4E" w:rsidP="00654033">
      <w:pPr>
        <w:pStyle w:val="ListParagraph"/>
      </w:pPr>
      <w:r w:rsidRPr="00452F75">
        <w:t>The claim of non-inferior comparative effectiveness was partially supported, for the following reasons:</w:t>
      </w:r>
    </w:p>
    <w:p w:rsidR="00D96B4E" w:rsidRPr="00452F75" w:rsidRDefault="00D96B4E" w:rsidP="00351DE8">
      <w:pPr>
        <w:pStyle w:val="ListParagraph"/>
        <w:numPr>
          <w:ilvl w:val="0"/>
          <w:numId w:val="5"/>
        </w:numPr>
        <w:ind w:left="1134" w:hanging="425"/>
      </w:pPr>
      <w:r w:rsidRPr="00452F75">
        <w:t>While the indirect comparisons demonstrated no statistically significant differences between vemurafenib + cobimetinib compared to dabrafe</w:t>
      </w:r>
      <w:r w:rsidR="00445AEE" w:rsidRPr="00452F75">
        <w:t>n</w:t>
      </w:r>
      <w:r w:rsidRPr="00452F75">
        <w:t>ib and trametinib for PFS and OS, there was no discussion or establishment of an appropriate non-inferiority margin by the submission.  Consideration of the applicability of a non-inferiority margin would have been beneficial, particularly given the variability in the indirect comparison results, where the OS results favoured dabrafenib + trametinib.</w:t>
      </w:r>
    </w:p>
    <w:p w:rsidR="009F0659" w:rsidRPr="00452F75" w:rsidRDefault="009F0659" w:rsidP="00351DE8">
      <w:pPr>
        <w:pStyle w:val="ListParagraph"/>
        <w:numPr>
          <w:ilvl w:val="0"/>
          <w:numId w:val="5"/>
        </w:numPr>
        <w:ind w:left="1134" w:hanging="425"/>
      </w:pPr>
      <w:r w:rsidRPr="00452F75">
        <w:t xml:space="preserve">Results of the indirect comparisons revealed </w:t>
      </w:r>
      <w:r w:rsidR="005348CF" w:rsidRPr="00452F75">
        <w:t xml:space="preserve">a small numerical trend favouring </w:t>
      </w:r>
      <w:r w:rsidRPr="00452F75">
        <w:t xml:space="preserve">vemurafenib + cobimetinib for PFS, </w:t>
      </w:r>
      <w:r w:rsidR="005348CF" w:rsidRPr="00452F75">
        <w:t xml:space="preserve">and a small numerical trend favouring </w:t>
      </w:r>
      <w:r w:rsidRPr="00452F75">
        <w:t>dabrafenib + trametinib</w:t>
      </w:r>
      <w:r w:rsidR="005348CF" w:rsidRPr="00452F75">
        <w:t xml:space="preserve"> for OS</w:t>
      </w:r>
      <w:r w:rsidRPr="00452F75">
        <w:t>.  The submission suggested this may be due to differences in patient population characteristics, in particular a greater proportion of patients with elevated LDH levels in coBRIM.  However, the submission also claimed that the differences across the trials were minor and would not impact on the outcomes of the indirect comparison.  While the sponsor will not have access to the dabrafenib + trametinib data required to address this issue, ie assessment of OS by LDH level, such an analysis will be required to attribute the observed results to the cited patient characteristics.</w:t>
      </w:r>
      <w:r w:rsidR="005348CF" w:rsidRPr="00452F75">
        <w:t xml:space="preserve"> </w:t>
      </w:r>
      <w:r w:rsidR="00307627" w:rsidRPr="00452F75">
        <w:t xml:space="preserve">The </w:t>
      </w:r>
      <w:r w:rsidR="005348CF" w:rsidRPr="00452F75">
        <w:t xml:space="preserve">ESC noted that the OS </w:t>
      </w:r>
      <w:r w:rsidR="001A2A0F" w:rsidRPr="00452F75">
        <w:t>results were</w:t>
      </w:r>
      <w:r w:rsidR="005348CF" w:rsidRPr="00452F75">
        <w:t xml:space="preserve"> still immature at the time of submission.</w:t>
      </w:r>
    </w:p>
    <w:p w:rsidR="008B2702" w:rsidRPr="00452F75" w:rsidRDefault="008B2702" w:rsidP="00351DE8">
      <w:pPr>
        <w:pStyle w:val="ListParagraph"/>
        <w:numPr>
          <w:ilvl w:val="0"/>
          <w:numId w:val="5"/>
        </w:numPr>
        <w:ind w:left="1134" w:hanging="425"/>
      </w:pPr>
      <w:r w:rsidRPr="00452F75">
        <w:t xml:space="preserve">The trial exchangeability issues (LDH levels, exclusion due to brain metastases) and the ability of monotherapy patients in the COMBI-V trial to cross-over to dabrafenib + trametinib therapy </w:t>
      </w:r>
      <w:r w:rsidR="001140DB" w:rsidRPr="00452F75">
        <w:t xml:space="preserve">suggested there is a potential for bias in the analyses and consequently </w:t>
      </w:r>
      <w:r w:rsidRPr="00452F75">
        <w:t>the results of the indirect comparisons</w:t>
      </w:r>
      <w:r w:rsidR="009F0659" w:rsidRPr="00452F75">
        <w:t xml:space="preserve"> should be interpreted with caution.</w:t>
      </w:r>
      <w:r w:rsidR="00710EA1" w:rsidRPr="00452F75">
        <w:t xml:space="preserve"> This was not considered to be a major issue by </w:t>
      </w:r>
      <w:r w:rsidR="00307627" w:rsidRPr="00452F75">
        <w:t xml:space="preserve">the </w:t>
      </w:r>
      <w:r w:rsidR="00710EA1" w:rsidRPr="00452F75">
        <w:t>ESC.</w:t>
      </w:r>
    </w:p>
    <w:p w:rsidR="003E2750" w:rsidRPr="00452F75" w:rsidRDefault="003E2750" w:rsidP="00351DE8">
      <w:pPr>
        <w:pStyle w:val="ListParagraph"/>
        <w:numPr>
          <w:ilvl w:val="0"/>
          <w:numId w:val="5"/>
        </w:numPr>
        <w:ind w:left="1134" w:hanging="425"/>
      </w:pPr>
      <w:r w:rsidRPr="00A85D6C">
        <w:t>ESC also noted that the Pre-Sub-Committee Response (PSCR) demonstrated that the 95% confidence intervals were narrower, and the lower 95% confidence limits were more supportive, for this comparison of the combinations than were generated in the evidence for the comparison of dabrafenib and vemurafenib alone previously accepted by the PBAC as supporting a non-inferiority conclusion.</w:t>
      </w:r>
    </w:p>
    <w:p w:rsidR="008B2702" w:rsidRPr="00452F75" w:rsidRDefault="008B2702" w:rsidP="008B2702"/>
    <w:p w:rsidR="00D96B4E" w:rsidRPr="00452F75" w:rsidRDefault="009F0659" w:rsidP="00654033">
      <w:pPr>
        <w:pStyle w:val="ListParagraph"/>
      </w:pPr>
      <w:r w:rsidRPr="00452F75">
        <w:t>The differences in safety data across the trials make clear conclusions on comparative safety difficult given the potential biases associated with any statistical comparisons.  However, there were some indications of inferior safety with vemurafenib + cobimetinib.  While the submission acknowledged the differences in adverse events between the two combinations, its claim that the AE profile is manageable with no additional cost implications wa</w:t>
      </w:r>
      <w:r w:rsidR="0071435E" w:rsidRPr="00452F75">
        <w:t>s not strongly supported</w:t>
      </w:r>
      <w:r w:rsidRPr="00452F75">
        <w:t>.</w:t>
      </w:r>
    </w:p>
    <w:p w:rsidR="00D96B4E" w:rsidRPr="00452F75" w:rsidRDefault="00D96B4E" w:rsidP="00D96B4E"/>
    <w:p w:rsidR="00D96B4E" w:rsidRPr="00452F75" w:rsidRDefault="002923B7" w:rsidP="00654033">
      <w:pPr>
        <w:pStyle w:val="ListParagraph"/>
      </w:pPr>
      <w:r>
        <w:t>T</w:t>
      </w:r>
      <w:r w:rsidR="00777DC9" w:rsidRPr="00452F75">
        <w:t>he submission stated that</w:t>
      </w:r>
      <w:r w:rsidR="003D5AC5" w:rsidRPr="00452F75">
        <w:t>,</w:t>
      </w:r>
      <w:r w:rsidR="00777DC9" w:rsidRPr="00452F75">
        <w:t xml:space="preserve"> should immunotherapies become PBS listed for use in previously untreated </w:t>
      </w:r>
      <w:r w:rsidR="00777DC9" w:rsidRPr="009544E5">
        <w:rPr>
          <w:i/>
        </w:rPr>
        <w:t>BRAF</w:t>
      </w:r>
      <w:r w:rsidR="00777DC9" w:rsidRPr="00452F75">
        <w:t xml:space="preserve"> V600 mutation positive patients, it is proposed that vemurafenib + cobimetinib be made available following progression on immunotherapy.  The evidence provided in support of this request is limited and does not adequately address the use of vemurafenib + cobimetinib following progression on immunotherapy.  The submission also did not consider a comparison versus PD-1 inhibitors such as pembrolizumab and nivolumab, which would be informative should </w:t>
      </w:r>
      <w:r w:rsidR="00777DC9" w:rsidRPr="00452F75">
        <w:lastRenderedPageBreak/>
        <w:t xml:space="preserve">immunotherapies be recommended for use in previously untreated </w:t>
      </w:r>
      <w:r w:rsidR="00777DC9" w:rsidRPr="009544E5">
        <w:rPr>
          <w:i/>
        </w:rPr>
        <w:t>BRAF</w:t>
      </w:r>
      <w:r w:rsidR="00777DC9" w:rsidRPr="00452F75">
        <w:t xml:space="preserve"> mutation positive patients.</w:t>
      </w:r>
      <w:r w:rsidR="00710EA1" w:rsidRPr="00452F75">
        <w:t xml:space="preserve"> </w:t>
      </w:r>
      <w:r w:rsidR="009544E5">
        <w:t xml:space="preserve"> </w:t>
      </w:r>
      <w:r w:rsidR="00307627" w:rsidRPr="00452F75">
        <w:t xml:space="preserve">The </w:t>
      </w:r>
      <w:r w:rsidR="00710EA1" w:rsidRPr="00452F75">
        <w:t>ESC noted that the treatment algorithm for melanoma is still evolving.</w:t>
      </w:r>
    </w:p>
    <w:p w:rsidR="00F82C79" w:rsidRPr="00C6129A" w:rsidRDefault="00F82C79" w:rsidP="00F82C79">
      <w:pPr>
        <w:widowControl/>
        <w:rPr>
          <w:szCs w:val="22"/>
        </w:rPr>
      </w:pPr>
    </w:p>
    <w:p w:rsidR="00F82C79" w:rsidRPr="002923B7" w:rsidRDefault="00F82C79" w:rsidP="00F82C79">
      <w:pPr>
        <w:pStyle w:val="ListParagraph"/>
        <w:jc w:val="left"/>
        <w:rPr>
          <w:bCs/>
        </w:rPr>
      </w:pPr>
      <w:r w:rsidRPr="002923B7">
        <w:rPr>
          <w:bCs/>
        </w:rPr>
        <w:t>The PBAC considered that the claim of non-inferior comparati</w:t>
      </w:r>
      <w:r w:rsidR="002923B7" w:rsidRPr="002923B7">
        <w:rPr>
          <w:bCs/>
        </w:rPr>
        <w:t>ve effectiveness was reasonable</w:t>
      </w:r>
      <w:r w:rsidRPr="002923B7">
        <w:rPr>
          <w:bCs/>
        </w:rPr>
        <w:t>.</w:t>
      </w:r>
    </w:p>
    <w:p w:rsidR="00F82C79" w:rsidRPr="005F4787" w:rsidRDefault="00F82C79" w:rsidP="005F4787">
      <w:pPr>
        <w:jc w:val="left"/>
        <w:rPr>
          <w:bCs/>
        </w:rPr>
      </w:pPr>
    </w:p>
    <w:p w:rsidR="00F82C79" w:rsidRPr="002923B7" w:rsidRDefault="00F82C79" w:rsidP="002923B7">
      <w:pPr>
        <w:pStyle w:val="ListParagraph"/>
      </w:pPr>
      <w:r w:rsidRPr="002923B7">
        <w:t xml:space="preserve">The PBAC considered that the claim of </w:t>
      </w:r>
      <w:r w:rsidR="002923B7" w:rsidRPr="002923B7">
        <w:t>non-inferior</w:t>
      </w:r>
      <w:r w:rsidRPr="002923B7">
        <w:t xml:space="preserve"> comparative safety was </w:t>
      </w:r>
      <w:r w:rsidR="005F4787">
        <w:t xml:space="preserve">weakly </w:t>
      </w:r>
      <w:r w:rsidRPr="002923B7">
        <w:t>supported by the data</w:t>
      </w:r>
      <w:r w:rsidR="009544E5">
        <w:t>, and PBAC also concluded that the toxicity profiles were different.  For example, the trend to increased frequency of diarrhoea with vemurafenib + cobimetinib was considered against the fact</w:t>
      </w:r>
      <w:r w:rsidR="009544E5">
        <w:rPr>
          <w:bCs/>
          <w:lang w:val="en-GB"/>
        </w:rPr>
        <w:t xml:space="preserve"> that uncontrolled pyrexia has emerged as an issue with dabrafenib + trametinib</w:t>
      </w:r>
      <w:r w:rsidRPr="002923B7">
        <w:t>.</w:t>
      </w:r>
    </w:p>
    <w:p w:rsidR="00B60939" w:rsidRPr="00452F75" w:rsidRDefault="00B60939" w:rsidP="00B60939">
      <w:pPr>
        <w:ind w:left="720" w:hanging="720"/>
        <w:rPr>
          <w:szCs w:val="22"/>
        </w:rPr>
      </w:pPr>
    </w:p>
    <w:p w:rsidR="00B60939" w:rsidRPr="00C27C38" w:rsidRDefault="00B60939" w:rsidP="00C27C38">
      <w:pPr>
        <w:pStyle w:val="Heading2"/>
      </w:pPr>
      <w:bookmarkStart w:id="13" w:name="_Toc440982675"/>
      <w:r w:rsidRPr="00C27C38">
        <w:t>Economic analysis</w:t>
      </w:r>
      <w:bookmarkEnd w:id="13"/>
    </w:p>
    <w:p w:rsidR="00B60939" w:rsidRPr="00452F75" w:rsidRDefault="00B60939" w:rsidP="00B60939">
      <w:pPr>
        <w:ind w:left="720" w:hanging="720"/>
        <w:rPr>
          <w:szCs w:val="22"/>
        </w:rPr>
      </w:pPr>
    </w:p>
    <w:p w:rsidR="00B60939" w:rsidRPr="00452F75" w:rsidRDefault="005F7006" w:rsidP="00654033">
      <w:pPr>
        <w:pStyle w:val="ListParagraph"/>
      </w:pPr>
      <w:r w:rsidRPr="00452F75">
        <w:t>The submission presented a cost-minimisation analysis based on the indirect comparison of vemurafenib + cobimetinib compared to dabrafenib + trametinib.</w:t>
      </w:r>
    </w:p>
    <w:p w:rsidR="005F7006" w:rsidRPr="00452F75" w:rsidRDefault="005F7006" w:rsidP="005F7006">
      <w:pPr>
        <w:widowControl/>
        <w:rPr>
          <w:szCs w:val="22"/>
        </w:rPr>
      </w:pPr>
    </w:p>
    <w:p w:rsidR="005F7006" w:rsidRPr="00452F75" w:rsidRDefault="00A81AE0" w:rsidP="00654033">
      <w:pPr>
        <w:pStyle w:val="ListParagraph"/>
      </w:pPr>
      <w:r w:rsidRPr="00452F75">
        <w:t>The equi-effective doses we</w:t>
      </w:r>
      <w:r w:rsidR="005F7006" w:rsidRPr="00452F75">
        <w:t xml:space="preserve">re estimated as: vemurafenib </w:t>
      </w:r>
      <w:r w:rsidR="00D73870" w:rsidRPr="00452F75">
        <w:t>96</w:t>
      </w:r>
      <w:r w:rsidR="00595C52" w:rsidRPr="00452F75">
        <w:t>0 mg</w:t>
      </w:r>
      <w:r w:rsidR="00D73870" w:rsidRPr="00452F75">
        <w:t xml:space="preserve"> twice daily + cobimetinib 6</w:t>
      </w:r>
      <w:r w:rsidR="00595C52" w:rsidRPr="00452F75">
        <w:t>0 mg</w:t>
      </w:r>
      <w:r w:rsidR="005F7006" w:rsidRPr="00452F75">
        <w:t xml:space="preserve"> once daily (Days 1−21 of each 28 cycle) </w:t>
      </w:r>
      <w:r w:rsidR="00E84A10" w:rsidRPr="00452F75">
        <w:t>and</w:t>
      </w:r>
      <w:r w:rsidR="005F7006" w:rsidRPr="00452F75">
        <w:t xml:space="preserve"> </w:t>
      </w:r>
      <w:r w:rsidR="00D73870" w:rsidRPr="00452F75">
        <w:t>d</w:t>
      </w:r>
      <w:r w:rsidR="005F7006" w:rsidRPr="00452F75">
        <w:t xml:space="preserve">abrafenib </w:t>
      </w:r>
      <w:r w:rsidR="00D73870" w:rsidRPr="00452F75">
        <w:t>15</w:t>
      </w:r>
      <w:r w:rsidR="00595C52" w:rsidRPr="00452F75">
        <w:t>0 mg</w:t>
      </w:r>
      <w:r w:rsidR="00D73870" w:rsidRPr="00452F75">
        <w:t xml:space="preserve"> twice daily + trametinib 2</w:t>
      </w:r>
      <w:r w:rsidR="003D5AC5" w:rsidRPr="00452F75">
        <w:t> </w:t>
      </w:r>
      <w:r w:rsidR="005F7006" w:rsidRPr="00452F75">
        <w:t>mg once daily.</w:t>
      </w:r>
      <w:r w:rsidR="00E84A10" w:rsidRPr="00452F75">
        <w:t xml:space="preserve">  The </w:t>
      </w:r>
      <w:r w:rsidR="005F4787">
        <w:t xml:space="preserve">cost-minimisation approach </w:t>
      </w:r>
      <w:r w:rsidR="002923B7">
        <w:t xml:space="preserve">was based on the published </w:t>
      </w:r>
      <w:r w:rsidR="002923B7" w:rsidRPr="00452F75">
        <w:t xml:space="preserve">approved ex-manufacturer price </w:t>
      </w:r>
      <w:r w:rsidR="002923B7">
        <w:t xml:space="preserve">(AEMP) and </w:t>
      </w:r>
      <w:r w:rsidRPr="00452F75">
        <w:t>wa</w:t>
      </w:r>
      <w:r w:rsidR="00E84A10" w:rsidRPr="00452F75">
        <w:t xml:space="preserve">s derived from </w:t>
      </w:r>
      <w:r w:rsidRPr="00452F75">
        <w:t xml:space="preserve">a </w:t>
      </w:r>
      <w:r w:rsidR="00E84A10" w:rsidRPr="00452F75">
        <w:t>calculation of the equival</w:t>
      </w:r>
      <w:r w:rsidRPr="00452F75">
        <w:t>ent costs per day and reflected</w:t>
      </w:r>
      <w:r w:rsidR="00E84A10" w:rsidRPr="00452F75">
        <w:t xml:space="preserve"> the different periods of supply</w:t>
      </w:r>
      <w:r w:rsidR="005F4787">
        <w:t xml:space="preserve"> per dispensing</w:t>
      </w:r>
      <w:r w:rsidR="00E84A10" w:rsidRPr="00452F75">
        <w:t xml:space="preserve">. Calculations are shown in Table </w:t>
      </w:r>
      <w:r w:rsidR="002E6216">
        <w:t>6</w:t>
      </w:r>
      <w:r w:rsidR="00E84A10" w:rsidRPr="00452F75">
        <w:t>.</w:t>
      </w:r>
    </w:p>
    <w:p w:rsidR="00275C5A" w:rsidRPr="00452F75" w:rsidRDefault="00275C5A" w:rsidP="00275C5A">
      <w:pPr>
        <w:widowControl/>
        <w:rPr>
          <w:szCs w:val="22"/>
        </w:rPr>
      </w:pPr>
    </w:p>
    <w:p w:rsidR="00AC27E4" w:rsidRPr="00452F75" w:rsidRDefault="00AC27E4" w:rsidP="003D5AC5">
      <w:pPr>
        <w:pStyle w:val="TableFooter"/>
        <w:keepNext/>
        <w:ind w:left="709"/>
        <w:rPr>
          <w:rFonts w:ascii="Arial" w:hAnsi="Arial"/>
          <w:sz w:val="22"/>
          <w:szCs w:val="22"/>
        </w:rPr>
      </w:pPr>
      <w:r w:rsidRPr="00452F75">
        <w:rPr>
          <w:rStyle w:val="CommentReference"/>
        </w:rPr>
        <w:t xml:space="preserve">Table </w:t>
      </w:r>
      <w:r w:rsidR="002E6216">
        <w:rPr>
          <w:rStyle w:val="CommentReference"/>
        </w:rPr>
        <w:t>6</w:t>
      </w:r>
      <w:r w:rsidRPr="00452F75">
        <w:rPr>
          <w:rStyle w:val="CommentReference"/>
        </w:rPr>
        <w:t>: C</w:t>
      </w:r>
      <w:r w:rsidR="005F4787">
        <w:rPr>
          <w:rStyle w:val="CommentReference"/>
        </w:rPr>
        <w:t>ost-minimisation</w:t>
      </w:r>
      <w:r w:rsidRPr="00452F75">
        <w:rPr>
          <w:rStyle w:val="CommentReference"/>
        </w:rPr>
        <w:t xml:space="preserve"> of vemurafenib + cobimetinib compared to dabrafenib + trametinib</w:t>
      </w:r>
    </w:p>
    <w:tbl>
      <w:tblPr>
        <w:tblW w:w="4452"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8"/>
        <w:gridCol w:w="1276"/>
        <w:gridCol w:w="1412"/>
        <w:gridCol w:w="2276"/>
      </w:tblGrid>
      <w:tr w:rsidR="00AC27E4" w:rsidRPr="00452F75" w:rsidTr="00AC27E4">
        <w:tc>
          <w:tcPr>
            <w:tcW w:w="861" w:type="pct"/>
            <w:shd w:val="clear" w:color="auto" w:fill="auto"/>
            <w:noWrap/>
            <w:vAlign w:val="center"/>
            <w:hideMark/>
          </w:tcPr>
          <w:p w:rsidR="00AC27E4" w:rsidRPr="00452F75" w:rsidRDefault="00AC27E4" w:rsidP="00E862A4">
            <w:pPr>
              <w:widowControl/>
              <w:jc w:val="left"/>
              <w:rPr>
                <w:rFonts w:ascii="Arial Narrow" w:hAnsi="Arial Narrow" w:cs="Times New Roman"/>
                <w:b/>
                <w:bCs/>
                <w:snapToGrid/>
                <w:color w:val="000000"/>
                <w:sz w:val="20"/>
                <w:lang w:eastAsia="en-AU"/>
              </w:rPr>
            </w:pPr>
            <w:r w:rsidRPr="00452F75">
              <w:rPr>
                <w:rFonts w:ascii="Arial Narrow" w:hAnsi="Arial Narrow" w:cs="Times New Roman"/>
                <w:b/>
                <w:bCs/>
                <w:snapToGrid/>
                <w:color w:val="000000"/>
                <w:sz w:val="20"/>
                <w:lang w:eastAsia="en-AU"/>
              </w:rPr>
              <w:t>Name</w:t>
            </w:r>
          </w:p>
        </w:tc>
        <w:tc>
          <w:tcPr>
            <w:tcW w:w="1122" w:type="pct"/>
            <w:shd w:val="clear" w:color="auto" w:fill="auto"/>
            <w:noWrap/>
            <w:vAlign w:val="center"/>
            <w:hideMark/>
          </w:tcPr>
          <w:p w:rsidR="00AC27E4" w:rsidRPr="00452F75" w:rsidRDefault="00AC27E4" w:rsidP="00E862A4">
            <w:pPr>
              <w:widowControl/>
              <w:jc w:val="center"/>
              <w:rPr>
                <w:rFonts w:ascii="Arial Narrow" w:hAnsi="Arial Narrow" w:cs="Times New Roman"/>
                <w:b/>
                <w:bCs/>
                <w:snapToGrid/>
                <w:color w:val="000000"/>
                <w:sz w:val="20"/>
                <w:lang w:eastAsia="en-AU"/>
              </w:rPr>
            </w:pPr>
            <w:r w:rsidRPr="00452F75">
              <w:rPr>
                <w:rFonts w:ascii="Arial Narrow" w:hAnsi="Arial Narrow" w:cs="Times New Roman"/>
                <w:b/>
                <w:bCs/>
                <w:snapToGrid/>
                <w:color w:val="000000"/>
                <w:sz w:val="20"/>
                <w:lang w:eastAsia="en-AU"/>
              </w:rPr>
              <w:t>Dose</w:t>
            </w:r>
          </w:p>
        </w:tc>
        <w:tc>
          <w:tcPr>
            <w:tcW w:w="775" w:type="pct"/>
            <w:vAlign w:val="center"/>
          </w:tcPr>
          <w:p w:rsidR="00AC27E4" w:rsidRPr="00452F75" w:rsidRDefault="00AC27E4" w:rsidP="00E862A4">
            <w:pPr>
              <w:widowControl/>
              <w:jc w:val="center"/>
              <w:rPr>
                <w:rFonts w:ascii="Arial Narrow" w:hAnsi="Arial Narrow" w:cs="Times New Roman"/>
                <w:b/>
                <w:bCs/>
                <w:snapToGrid/>
                <w:color w:val="000000"/>
                <w:sz w:val="20"/>
                <w:lang w:eastAsia="en-AU"/>
              </w:rPr>
            </w:pPr>
            <w:r w:rsidRPr="00452F75">
              <w:rPr>
                <w:rFonts w:ascii="Arial Narrow" w:hAnsi="Arial Narrow" w:cs="Times New Roman"/>
                <w:b/>
                <w:bCs/>
                <w:snapToGrid/>
                <w:color w:val="000000"/>
                <w:sz w:val="20"/>
                <w:lang w:eastAsia="en-AU"/>
              </w:rPr>
              <w:t>AEMP</w:t>
            </w:r>
          </w:p>
        </w:tc>
        <w:tc>
          <w:tcPr>
            <w:tcW w:w="858" w:type="pct"/>
            <w:shd w:val="clear" w:color="auto" w:fill="auto"/>
            <w:noWrap/>
            <w:vAlign w:val="center"/>
          </w:tcPr>
          <w:p w:rsidR="00AC27E4" w:rsidRPr="00452F75" w:rsidRDefault="00AC27E4" w:rsidP="00E862A4">
            <w:pPr>
              <w:widowControl/>
              <w:jc w:val="center"/>
              <w:rPr>
                <w:rFonts w:ascii="Arial Narrow" w:hAnsi="Arial Narrow" w:cs="Times New Roman"/>
                <w:b/>
                <w:bCs/>
                <w:snapToGrid/>
                <w:color w:val="000000"/>
                <w:sz w:val="20"/>
                <w:lang w:eastAsia="en-AU"/>
              </w:rPr>
            </w:pPr>
            <w:r w:rsidRPr="00452F75">
              <w:rPr>
                <w:rFonts w:ascii="Arial Narrow" w:hAnsi="Arial Narrow" w:cs="Times New Roman"/>
                <w:b/>
                <w:bCs/>
                <w:snapToGrid/>
                <w:color w:val="000000"/>
                <w:sz w:val="20"/>
                <w:lang w:eastAsia="en-AU"/>
              </w:rPr>
              <w:t>Supply period</w:t>
            </w:r>
          </w:p>
        </w:tc>
        <w:tc>
          <w:tcPr>
            <w:tcW w:w="1383" w:type="pct"/>
            <w:shd w:val="clear" w:color="auto" w:fill="auto"/>
            <w:noWrap/>
            <w:vAlign w:val="center"/>
          </w:tcPr>
          <w:p w:rsidR="00AC27E4" w:rsidRPr="00452F75" w:rsidRDefault="00AC27E4" w:rsidP="00E862A4">
            <w:pPr>
              <w:widowControl/>
              <w:jc w:val="center"/>
              <w:rPr>
                <w:rFonts w:ascii="Arial Narrow" w:hAnsi="Arial Narrow" w:cs="Times New Roman"/>
                <w:b/>
                <w:bCs/>
                <w:snapToGrid/>
                <w:color w:val="000000"/>
                <w:sz w:val="20"/>
                <w:lang w:eastAsia="en-AU"/>
              </w:rPr>
            </w:pPr>
            <w:r w:rsidRPr="00452F75">
              <w:rPr>
                <w:rFonts w:ascii="Arial Narrow" w:hAnsi="Arial Narrow" w:cs="Times New Roman"/>
                <w:b/>
                <w:bCs/>
                <w:snapToGrid/>
                <w:color w:val="000000"/>
                <w:sz w:val="20"/>
                <w:lang w:eastAsia="en-AU"/>
              </w:rPr>
              <w:t>Cost per day</w:t>
            </w:r>
          </w:p>
        </w:tc>
      </w:tr>
      <w:tr w:rsidR="00AC27E4" w:rsidRPr="00452F75" w:rsidTr="00AC27E4">
        <w:tc>
          <w:tcPr>
            <w:tcW w:w="861" w:type="pct"/>
            <w:shd w:val="clear" w:color="auto" w:fill="auto"/>
            <w:noWrap/>
            <w:vAlign w:val="center"/>
            <w:hideMark/>
          </w:tcPr>
          <w:p w:rsidR="00AC27E4" w:rsidRPr="00452F75" w:rsidRDefault="00AC27E4" w:rsidP="00E862A4">
            <w:pPr>
              <w:widowControl/>
              <w:jc w:val="left"/>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Vemurafenib</w:t>
            </w:r>
          </w:p>
        </w:tc>
        <w:tc>
          <w:tcPr>
            <w:tcW w:w="1122" w:type="pct"/>
            <w:shd w:val="clear" w:color="auto" w:fill="auto"/>
            <w:noWrap/>
            <w:vAlign w:val="center"/>
            <w:hideMark/>
          </w:tcPr>
          <w:p w:rsidR="00AC27E4" w:rsidRPr="00452F75" w:rsidRDefault="00AC27E4" w:rsidP="00E862A4">
            <w:pPr>
              <w:widowControl/>
              <w:jc w:val="center"/>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96</w:t>
            </w:r>
            <w:r w:rsidR="00595C52" w:rsidRPr="00452F75">
              <w:rPr>
                <w:rFonts w:ascii="Arial Narrow" w:hAnsi="Arial Narrow" w:cs="Times New Roman"/>
                <w:snapToGrid/>
                <w:color w:val="000000"/>
                <w:sz w:val="20"/>
                <w:lang w:eastAsia="en-AU"/>
              </w:rPr>
              <w:t>0 mg</w:t>
            </w:r>
            <w:r w:rsidRPr="00452F75">
              <w:rPr>
                <w:rFonts w:ascii="Arial Narrow" w:hAnsi="Arial Narrow" w:cs="Times New Roman"/>
                <w:snapToGrid/>
                <w:color w:val="000000"/>
                <w:sz w:val="20"/>
                <w:lang w:eastAsia="en-AU"/>
              </w:rPr>
              <w:t>, twice daily</w:t>
            </w:r>
          </w:p>
        </w:tc>
        <w:tc>
          <w:tcPr>
            <w:tcW w:w="775" w:type="pct"/>
          </w:tcPr>
          <w:p w:rsidR="00AC27E4" w:rsidRPr="00452F75" w:rsidRDefault="00AC27E4" w:rsidP="00E862A4">
            <w:pPr>
              <w:widowControl/>
              <w:jc w:val="center"/>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w:t>
            </w:r>
            <w:r w:rsidR="00A7393F">
              <w:rPr>
                <w:rFonts w:ascii="Arial Narrow" w:hAnsi="Arial Narrow" w:cs="Times New Roman"/>
                <w:noProof/>
                <w:snapToGrid/>
                <w:color w:val="000000"/>
                <w:sz w:val="20"/>
                <w:highlight w:val="black"/>
                <w:lang w:eastAsia="en-AU"/>
              </w:rPr>
              <w:t>'''''''''''''''''''</w:t>
            </w:r>
          </w:p>
        </w:tc>
        <w:tc>
          <w:tcPr>
            <w:tcW w:w="858" w:type="pct"/>
            <w:shd w:val="clear" w:color="auto" w:fill="auto"/>
            <w:noWrap/>
            <w:vAlign w:val="center"/>
          </w:tcPr>
          <w:p w:rsidR="00AC27E4" w:rsidRPr="00452F75" w:rsidRDefault="00AC27E4" w:rsidP="00E862A4">
            <w:pPr>
              <w:widowControl/>
              <w:jc w:val="center"/>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28 days</w:t>
            </w:r>
          </w:p>
        </w:tc>
        <w:tc>
          <w:tcPr>
            <w:tcW w:w="1383" w:type="pct"/>
            <w:vMerge w:val="restart"/>
            <w:shd w:val="clear" w:color="auto" w:fill="auto"/>
            <w:noWrap/>
            <w:vAlign w:val="center"/>
          </w:tcPr>
          <w:p w:rsidR="00AC27E4" w:rsidRPr="00A7393F" w:rsidRDefault="00AC27E4" w:rsidP="00E862A4">
            <w:pPr>
              <w:widowControl/>
              <w:jc w:val="center"/>
              <w:rPr>
                <w:rFonts w:ascii="Arial Narrow" w:hAnsi="Arial Narrow" w:cs="Times New Roman"/>
                <w:b/>
                <w:snapToGrid/>
                <w:color w:val="000000"/>
                <w:sz w:val="20"/>
                <w:lang w:eastAsia="en-AU"/>
              </w:rPr>
            </w:pPr>
            <w:r w:rsidRPr="00452F75">
              <w:rPr>
                <w:rFonts w:ascii="Arial Narrow" w:hAnsi="Arial Narrow" w:cs="Times New Roman"/>
                <w:b/>
                <w:snapToGrid/>
                <w:color w:val="000000"/>
                <w:sz w:val="20"/>
                <w:lang w:eastAsia="en-AU"/>
              </w:rPr>
              <w:t>$</w:t>
            </w:r>
            <w:r w:rsidR="00A7393F">
              <w:rPr>
                <w:rFonts w:ascii="Arial Narrow" w:hAnsi="Arial Narrow" w:cs="Times New Roman"/>
                <w:b/>
                <w:noProof/>
                <w:snapToGrid/>
                <w:color w:val="000000"/>
                <w:sz w:val="20"/>
                <w:highlight w:val="black"/>
                <w:lang w:eastAsia="en-AU"/>
              </w:rPr>
              <w:t>''''''''''''''</w:t>
            </w:r>
          </w:p>
          <w:p w:rsidR="00AC27E4" w:rsidRPr="00452F75" w:rsidRDefault="00AC27E4" w:rsidP="00E862A4">
            <w:pPr>
              <w:jc w:val="center"/>
              <w:rPr>
                <w:rFonts w:ascii="Arial Narrow" w:hAnsi="Arial Narrow" w:cs="Times New Roman"/>
                <w:snapToGrid/>
                <w:color w:val="000000"/>
                <w:sz w:val="20"/>
                <w:lang w:eastAsia="en-AU"/>
              </w:rPr>
            </w:pPr>
            <w:r w:rsidRPr="00452F75">
              <w:rPr>
                <w:rFonts w:ascii="Arial Narrow" w:hAnsi="Arial Narrow" w:cs="Times New Roman"/>
                <w:b/>
                <w:snapToGrid/>
                <w:color w:val="000000"/>
                <w:sz w:val="20"/>
                <w:lang w:eastAsia="en-AU"/>
              </w:rPr>
              <w:t>(=$</w:t>
            </w:r>
            <w:r w:rsidR="00A7393F">
              <w:rPr>
                <w:rFonts w:ascii="Arial Narrow" w:hAnsi="Arial Narrow" w:cs="Times New Roman"/>
                <w:b/>
                <w:noProof/>
                <w:snapToGrid/>
                <w:color w:val="000000"/>
                <w:sz w:val="20"/>
                <w:highlight w:val="black"/>
                <w:lang w:eastAsia="en-AU"/>
              </w:rPr>
              <w:t>''''''''''</w:t>
            </w:r>
            <w:r w:rsidRPr="00452F75">
              <w:rPr>
                <w:rFonts w:ascii="Arial Narrow" w:hAnsi="Arial Narrow" w:cs="Times New Roman"/>
                <w:b/>
                <w:snapToGrid/>
                <w:color w:val="000000"/>
                <w:sz w:val="20"/>
                <w:lang w:eastAsia="en-AU"/>
              </w:rPr>
              <w:sym w:font="Symbol" w:char="F0B8"/>
            </w:r>
            <w:r w:rsidRPr="00452F75">
              <w:rPr>
                <w:rFonts w:ascii="Arial Narrow" w:hAnsi="Arial Narrow" w:cs="Times New Roman"/>
                <w:b/>
                <w:snapToGrid/>
                <w:color w:val="000000"/>
                <w:sz w:val="20"/>
                <w:lang w:eastAsia="en-AU"/>
              </w:rPr>
              <w:t>28)</w:t>
            </w:r>
          </w:p>
        </w:tc>
      </w:tr>
      <w:tr w:rsidR="00AC27E4" w:rsidRPr="00452F75" w:rsidTr="00AC27E4">
        <w:tc>
          <w:tcPr>
            <w:tcW w:w="861" w:type="pct"/>
            <w:shd w:val="clear" w:color="auto" w:fill="auto"/>
            <w:noWrap/>
            <w:vAlign w:val="center"/>
            <w:hideMark/>
          </w:tcPr>
          <w:p w:rsidR="00AC27E4" w:rsidRPr="00452F75" w:rsidRDefault="00AC27E4" w:rsidP="00E862A4">
            <w:pPr>
              <w:widowControl/>
              <w:jc w:val="left"/>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Cobimetinib</w:t>
            </w:r>
          </w:p>
        </w:tc>
        <w:tc>
          <w:tcPr>
            <w:tcW w:w="1122" w:type="pct"/>
            <w:shd w:val="clear" w:color="auto" w:fill="auto"/>
            <w:noWrap/>
            <w:vAlign w:val="center"/>
            <w:hideMark/>
          </w:tcPr>
          <w:p w:rsidR="00AC27E4" w:rsidRPr="00452F75" w:rsidRDefault="00AC27E4" w:rsidP="00E862A4">
            <w:pPr>
              <w:widowControl/>
              <w:jc w:val="center"/>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6</w:t>
            </w:r>
            <w:r w:rsidR="00595C52" w:rsidRPr="00452F75">
              <w:rPr>
                <w:rFonts w:ascii="Arial Narrow" w:hAnsi="Arial Narrow" w:cs="Times New Roman"/>
                <w:snapToGrid/>
                <w:color w:val="000000"/>
                <w:sz w:val="20"/>
                <w:lang w:eastAsia="en-AU"/>
              </w:rPr>
              <w:t>0 mg</w:t>
            </w:r>
            <w:r w:rsidRPr="00452F75">
              <w:rPr>
                <w:rFonts w:ascii="Arial Narrow" w:hAnsi="Arial Narrow" w:cs="Times New Roman"/>
                <w:snapToGrid/>
                <w:color w:val="000000"/>
                <w:sz w:val="20"/>
                <w:lang w:eastAsia="en-AU"/>
              </w:rPr>
              <w:t>, once daily</w:t>
            </w:r>
          </w:p>
        </w:tc>
        <w:tc>
          <w:tcPr>
            <w:tcW w:w="775" w:type="pct"/>
          </w:tcPr>
          <w:p w:rsidR="00AC27E4" w:rsidRPr="00452F75" w:rsidRDefault="00AC27E4" w:rsidP="00E862A4">
            <w:pPr>
              <w:widowControl/>
              <w:jc w:val="center"/>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w:t>
            </w:r>
            <w:r w:rsidR="00A7393F">
              <w:rPr>
                <w:rFonts w:ascii="Arial Narrow" w:hAnsi="Arial Narrow" w:cs="Times New Roman"/>
                <w:noProof/>
                <w:snapToGrid/>
                <w:color w:val="000000"/>
                <w:sz w:val="20"/>
                <w:highlight w:val="black"/>
                <w:lang w:eastAsia="en-AU"/>
              </w:rPr>
              <w:t>''''''''''''''''''''</w:t>
            </w:r>
          </w:p>
        </w:tc>
        <w:tc>
          <w:tcPr>
            <w:tcW w:w="858" w:type="pct"/>
            <w:shd w:val="clear" w:color="auto" w:fill="auto"/>
            <w:noWrap/>
            <w:vAlign w:val="center"/>
          </w:tcPr>
          <w:p w:rsidR="00AC27E4" w:rsidRPr="00452F75" w:rsidRDefault="00AC27E4" w:rsidP="00E862A4">
            <w:pPr>
              <w:widowControl/>
              <w:jc w:val="center"/>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28 days</w:t>
            </w:r>
          </w:p>
        </w:tc>
        <w:tc>
          <w:tcPr>
            <w:tcW w:w="1383" w:type="pct"/>
            <w:vMerge/>
            <w:shd w:val="clear" w:color="auto" w:fill="auto"/>
            <w:noWrap/>
            <w:vAlign w:val="center"/>
          </w:tcPr>
          <w:p w:rsidR="00AC27E4" w:rsidRPr="00452F75" w:rsidRDefault="00AC27E4" w:rsidP="00E862A4">
            <w:pPr>
              <w:jc w:val="center"/>
              <w:rPr>
                <w:rFonts w:ascii="Arial Narrow" w:hAnsi="Arial Narrow" w:cs="Times New Roman"/>
                <w:snapToGrid/>
                <w:color w:val="000000"/>
                <w:sz w:val="20"/>
                <w:lang w:eastAsia="en-AU"/>
              </w:rPr>
            </w:pPr>
          </w:p>
        </w:tc>
      </w:tr>
      <w:tr w:rsidR="00AC27E4" w:rsidRPr="00452F75" w:rsidTr="00AC27E4">
        <w:tc>
          <w:tcPr>
            <w:tcW w:w="861" w:type="pct"/>
            <w:shd w:val="clear" w:color="auto" w:fill="auto"/>
            <w:noWrap/>
            <w:vAlign w:val="center"/>
            <w:hideMark/>
          </w:tcPr>
          <w:p w:rsidR="00AC27E4" w:rsidRPr="00452F75" w:rsidRDefault="00AC27E4" w:rsidP="00E862A4">
            <w:pPr>
              <w:widowControl/>
              <w:ind w:firstLine="142"/>
              <w:jc w:val="left"/>
              <w:rPr>
                <w:rFonts w:ascii="Arial Narrow" w:hAnsi="Arial Narrow" w:cs="Times New Roman"/>
                <w:b/>
                <w:snapToGrid/>
                <w:color w:val="000000"/>
                <w:sz w:val="20"/>
                <w:lang w:eastAsia="en-AU"/>
              </w:rPr>
            </w:pPr>
            <w:r w:rsidRPr="00452F75">
              <w:rPr>
                <w:rFonts w:ascii="Arial Narrow" w:hAnsi="Arial Narrow" w:cs="Times New Roman"/>
                <w:b/>
                <w:snapToGrid/>
                <w:color w:val="000000"/>
                <w:sz w:val="20"/>
                <w:lang w:eastAsia="en-AU"/>
              </w:rPr>
              <w:t>Total costs</w:t>
            </w:r>
          </w:p>
        </w:tc>
        <w:tc>
          <w:tcPr>
            <w:tcW w:w="1122" w:type="pct"/>
            <w:shd w:val="clear" w:color="auto" w:fill="auto"/>
            <w:noWrap/>
            <w:vAlign w:val="center"/>
            <w:hideMark/>
          </w:tcPr>
          <w:p w:rsidR="00AC27E4" w:rsidRPr="00452F75" w:rsidRDefault="00AC27E4" w:rsidP="00E862A4">
            <w:pPr>
              <w:widowControl/>
              <w:jc w:val="center"/>
              <w:rPr>
                <w:rFonts w:ascii="Arial Narrow" w:hAnsi="Arial Narrow" w:cs="Times New Roman"/>
                <w:b/>
                <w:snapToGrid/>
                <w:color w:val="000000"/>
                <w:sz w:val="20"/>
                <w:lang w:eastAsia="en-AU"/>
              </w:rPr>
            </w:pPr>
          </w:p>
        </w:tc>
        <w:tc>
          <w:tcPr>
            <w:tcW w:w="775" w:type="pct"/>
          </w:tcPr>
          <w:p w:rsidR="00AC27E4" w:rsidRPr="00452F75" w:rsidRDefault="00AC27E4" w:rsidP="00E862A4">
            <w:pPr>
              <w:widowControl/>
              <w:jc w:val="center"/>
              <w:rPr>
                <w:rFonts w:ascii="Arial Narrow" w:hAnsi="Arial Narrow" w:cs="Times New Roman"/>
                <w:b/>
                <w:snapToGrid/>
                <w:color w:val="000000"/>
                <w:sz w:val="20"/>
                <w:lang w:eastAsia="en-AU"/>
              </w:rPr>
            </w:pPr>
            <w:r w:rsidRPr="00452F75">
              <w:rPr>
                <w:rFonts w:ascii="Arial Narrow" w:hAnsi="Arial Narrow" w:cs="Times New Roman"/>
                <w:b/>
                <w:snapToGrid/>
                <w:color w:val="000000"/>
                <w:sz w:val="20"/>
                <w:lang w:eastAsia="en-AU"/>
              </w:rPr>
              <w:t>$</w:t>
            </w:r>
            <w:r w:rsidR="00A7393F">
              <w:rPr>
                <w:rFonts w:ascii="Arial Narrow" w:hAnsi="Arial Narrow" w:cs="Times New Roman"/>
                <w:b/>
                <w:noProof/>
                <w:snapToGrid/>
                <w:color w:val="000000"/>
                <w:sz w:val="20"/>
                <w:highlight w:val="black"/>
                <w:lang w:eastAsia="en-AU"/>
              </w:rPr>
              <w:t>'''''''''''''''''''</w:t>
            </w:r>
          </w:p>
        </w:tc>
        <w:tc>
          <w:tcPr>
            <w:tcW w:w="858" w:type="pct"/>
            <w:shd w:val="clear" w:color="auto" w:fill="auto"/>
            <w:noWrap/>
            <w:vAlign w:val="center"/>
          </w:tcPr>
          <w:p w:rsidR="00AC27E4" w:rsidRPr="00452F75" w:rsidRDefault="00AC27E4" w:rsidP="00E862A4">
            <w:pPr>
              <w:widowControl/>
              <w:jc w:val="center"/>
              <w:rPr>
                <w:rFonts w:ascii="Arial Narrow" w:hAnsi="Arial Narrow" w:cs="Times New Roman"/>
                <w:b/>
                <w:snapToGrid/>
                <w:color w:val="000000"/>
                <w:sz w:val="20"/>
                <w:lang w:eastAsia="en-AU"/>
              </w:rPr>
            </w:pPr>
          </w:p>
        </w:tc>
        <w:tc>
          <w:tcPr>
            <w:tcW w:w="1383" w:type="pct"/>
            <w:vMerge/>
            <w:shd w:val="clear" w:color="auto" w:fill="auto"/>
            <w:noWrap/>
            <w:vAlign w:val="center"/>
          </w:tcPr>
          <w:p w:rsidR="00AC27E4" w:rsidRPr="00452F75" w:rsidRDefault="00AC27E4" w:rsidP="00E862A4">
            <w:pPr>
              <w:widowControl/>
              <w:jc w:val="center"/>
              <w:rPr>
                <w:rFonts w:ascii="Arial Narrow" w:hAnsi="Arial Narrow" w:cs="Times New Roman"/>
                <w:b/>
                <w:snapToGrid/>
                <w:color w:val="000000"/>
                <w:sz w:val="20"/>
                <w:lang w:eastAsia="en-AU"/>
              </w:rPr>
            </w:pPr>
          </w:p>
        </w:tc>
      </w:tr>
      <w:tr w:rsidR="00AC27E4" w:rsidRPr="00452F75" w:rsidTr="00AC27E4">
        <w:tc>
          <w:tcPr>
            <w:tcW w:w="861" w:type="pct"/>
            <w:shd w:val="clear" w:color="auto" w:fill="auto"/>
            <w:noWrap/>
            <w:vAlign w:val="center"/>
            <w:hideMark/>
          </w:tcPr>
          <w:p w:rsidR="00AC27E4" w:rsidRPr="00452F75" w:rsidRDefault="00AC27E4" w:rsidP="00E862A4">
            <w:pPr>
              <w:widowControl/>
              <w:jc w:val="left"/>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Dabrafenib</w:t>
            </w:r>
          </w:p>
        </w:tc>
        <w:tc>
          <w:tcPr>
            <w:tcW w:w="1122" w:type="pct"/>
            <w:shd w:val="clear" w:color="auto" w:fill="auto"/>
            <w:noWrap/>
            <w:vAlign w:val="center"/>
            <w:hideMark/>
          </w:tcPr>
          <w:p w:rsidR="00AC27E4" w:rsidRPr="00452F75" w:rsidRDefault="00AC27E4" w:rsidP="00E862A4">
            <w:pPr>
              <w:widowControl/>
              <w:jc w:val="center"/>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15</w:t>
            </w:r>
            <w:r w:rsidR="00595C52" w:rsidRPr="00452F75">
              <w:rPr>
                <w:rFonts w:ascii="Arial Narrow" w:hAnsi="Arial Narrow" w:cs="Times New Roman"/>
                <w:snapToGrid/>
                <w:color w:val="000000"/>
                <w:sz w:val="20"/>
                <w:lang w:eastAsia="en-AU"/>
              </w:rPr>
              <w:t>0 mg</w:t>
            </w:r>
            <w:r w:rsidRPr="00452F75">
              <w:rPr>
                <w:rFonts w:ascii="Arial Narrow" w:hAnsi="Arial Narrow" w:cs="Times New Roman"/>
                <w:snapToGrid/>
                <w:color w:val="000000"/>
                <w:sz w:val="20"/>
                <w:lang w:eastAsia="en-AU"/>
              </w:rPr>
              <w:t>, twice daily</w:t>
            </w:r>
          </w:p>
        </w:tc>
        <w:tc>
          <w:tcPr>
            <w:tcW w:w="775" w:type="pct"/>
          </w:tcPr>
          <w:p w:rsidR="00AC27E4" w:rsidRPr="00452F75" w:rsidRDefault="00AC27E4" w:rsidP="00E862A4">
            <w:pPr>
              <w:widowControl/>
              <w:jc w:val="center"/>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w:t>
            </w:r>
            <w:r w:rsidRPr="00042131">
              <w:rPr>
                <w:rFonts w:ascii="Arial Narrow" w:hAnsi="Arial Narrow" w:cs="Times New Roman"/>
                <w:snapToGrid/>
                <w:color w:val="000000"/>
                <w:sz w:val="20"/>
                <w:lang w:eastAsia="en-AU"/>
              </w:rPr>
              <w:t>8,612.17</w:t>
            </w:r>
          </w:p>
        </w:tc>
        <w:tc>
          <w:tcPr>
            <w:tcW w:w="858" w:type="pct"/>
            <w:shd w:val="clear" w:color="auto" w:fill="auto"/>
            <w:noWrap/>
            <w:vAlign w:val="center"/>
          </w:tcPr>
          <w:p w:rsidR="00AC27E4" w:rsidRPr="00452F75" w:rsidRDefault="00AC27E4" w:rsidP="00E862A4">
            <w:pPr>
              <w:widowControl/>
              <w:jc w:val="center"/>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30 days</w:t>
            </w:r>
          </w:p>
        </w:tc>
        <w:tc>
          <w:tcPr>
            <w:tcW w:w="1383" w:type="pct"/>
            <w:vMerge w:val="restart"/>
            <w:shd w:val="clear" w:color="auto" w:fill="auto"/>
            <w:noWrap/>
            <w:vAlign w:val="center"/>
          </w:tcPr>
          <w:p w:rsidR="00AC27E4" w:rsidRPr="00452F75" w:rsidRDefault="00AC27E4" w:rsidP="00E862A4">
            <w:pPr>
              <w:widowControl/>
              <w:jc w:val="center"/>
              <w:rPr>
                <w:rFonts w:ascii="Arial Narrow" w:hAnsi="Arial Narrow" w:cs="Times New Roman"/>
                <w:b/>
                <w:snapToGrid/>
                <w:color w:val="000000"/>
                <w:sz w:val="20"/>
                <w:lang w:eastAsia="en-AU"/>
              </w:rPr>
            </w:pPr>
            <w:r w:rsidRPr="00452F75">
              <w:rPr>
                <w:rFonts w:ascii="Arial Narrow" w:hAnsi="Arial Narrow" w:cs="Times New Roman"/>
                <w:b/>
                <w:snapToGrid/>
                <w:color w:val="000000"/>
                <w:sz w:val="20"/>
                <w:lang w:eastAsia="en-AU"/>
              </w:rPr>
              <w:t>$</w:t>
            </w:r>
            <w:r w:rsidRPr="00042131">
              <w:rPr>
                <w:rFonts w:ascii="Arial Narrow" w:hAnsi="Arial Narrow" w:cs="Times New Roman"/>
                <w:b/>
                <w:snapToGrid/>
                <w:color w:val="000000"/>
                <w:sz w:val="20"/>
                <w:lang w:eastAsia="en-AU"/>
              </w:rPr>
              <w:t>574.14</w:t>
            </w:r>
          </w:p>
          <w:p w:rsidR="00AC27E4" w:rsidRPr="00452F75" w:rsidRDefault="00AC27E4" w:rsidP="00E862A4">
            <w:pPr>
              <w:jc w:val="center"/>
              <w:rPr>
                <w:rFonts w:ascii="Arial Narrow" w:hAnsi="Arial Narrow" w:cs="Times New Roman"/>
                <w:snapToGrid/>
                <w:color w:val="000000"/>
                <w:sz w:val="20"/>
                <w:lang w:eastAsia="en-AU"/>
              </w:rPr>
            </w:pPr>
            <w:r w:rsidRPr="00452F75">
              <w:rPr>
                <w:rFonts w:ascii="Arial Narrow" w:hAnsi="Arial Narrow" w:cs="Times New Roman"/>
                <w:b/>
                <w:snapToGrid/>
                <w:color w:val="000000"/>
                <w:sz w:val="20"/>
                <w:lang w:eastAsia="en-AU"/>
              </w:rPr>
              <w:t>(=$</w:t>
            </w:r>
            <w:r w:rsidRPr="00042131">
              <w:rPr>
                <w:rFonts w:ascii="Arial Narrow" w:hAnsi="Arial Narrow" w:cs="Times New Roman"/>
                <w:b/>
                <w:snapToGrid/>
                <w:color w:val="000000"/>
                <w:sz w:val="20"/>
                <w:lang w:eastAsia="en-AU"/>
              </w:rPr>
              <w:t>17,224.34</w:t>
            </w:r>
            <w:r w:rsidRPr="00452F75">
              <w:rPr>
                <w:rFonts w:ascii="Arial Narrow" w:hAnsi="Arial Narrow" w:cs="Times New Roman"/>
                <w:b/>
                <w:snapToGrid/>
                <w:color w:val="000000"/>
                <w:sz w:val="20"/>
                <w:lang w:eastAsia="en-AU"/>
              </w:rPr>
              <w:sym w:font="Symbol" w:char="F0B8"/>
            </w:r>
            <w:r w:rsidRPr="00452F75">
              <w:rPr>
                <w:rFonts w:ascii="Arial Narrow" w:hAnsi="Arial Narrow" w:cs="Times New Roman"/>
                <w:b/>
                <w:snapToGrid/>
                <w:color w:val="000000"/>
                <w:sz w:val="20"/>
                <w:lang w:eastAsia="en-AU"/>
              </w:rPr>
              <w:t>30)</w:t>
            </w:r>
          </w:p>
        </w:tc>
      </w:tr>
      <w:tr w:rsidR="00AC27E4" w:rsidRPr="00452F75" w:rsidTr="00AC27E4">
        <w:tc>
          <w:tcPr>
            <w:tcW w:w="861" w:type="pct"/>
            <w:shd w:val="clear" w:color="auto" w:fill="auto"/>
            <w:noWrap/>
            <w:vAlign w:val="center"/>
            <w:hideMark/>
          </w:tcPr>
          <w:p w:rsidR="00AC27E4" w:rsidRPr="00452F75" w:rsidRDefault="00AC27E4" w:rsidP="00E862A4">
            <w:pPr>
              <w:widowControl/>
              <w:jc w:val="left"/>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Trametinib</w:t>
            </w:r>
          </w:p>
        </w:tc>
        <w:tc>
          <w:tcPr>
            <w:tcW w:w="1122" w:type="pct"/>
            <w:shd w:val="clear" w:color="auto" w:fill="auto"/>
            <w:noWrap/>
            <w:vAlign w:val="center"/>
            <w:hideMark/>
          </w:tcPr>
          <w:p w:rsidR="00AC27E4" w:rsidRPr="00452F75" w:rsidRDefault="00AC27E4" w:rsidP="00E862A4">
            <w:pPr>
              <w:widowControl/>
              <w:jc w:val="center"/>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2</w:t>
            </w:r>
            <w:r w:rsidR="003D5AC5" w:rsidRPr="00452F75">
              <w:rPr>
                <w:rFonts w:ascii="Arial Narrow" w:hAnsi="Arial Narrow" w:cs="Times New Roman"/>
                <w:snapToGrid/>
                <w:color w:val="000000"/>
                <w:sz w:val="20"/>
                <w:lang w:eastAsia="en-AU"/>
              </w:rPr>
              <w:t> </w:t>
            </w:r>
            <w:r w:rsidRPr="00452F75">
              <w:rPr>
                <w:rFonts w:ascii="Arial Narrow" w:hAnsi="Arial Narrow" w:cs="Times New Roman"/>
                <w:snapToGrid/>
                <w:color w:val="000000"/>
                <w:sz w:val="20"/>
                <w:lang w:eastAsia="en-AU"/>
              </w:rPr>
              <w:t>mg, once daily</w:t>
            </w:r>
          </w:p>
        </w:tc>
        <w:tc>
          <w:tcPr>
            <w:tcW w:w="775" w:type="pct"/>
          </w:tcPr>
          <w:p w:rsidR="00AC27E4" w:rsidRPr="00452F75" w:rsidRDefault="00AC27E4" w:rsidP="00E862A4">
            <w:pPr>
              <w:widowControl/>
              <w:jc w:val="center"/>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w:t>
            </w:r>
            <w:r w:rsidRPr="00042131">
              <w:rPr>
                <w:rFonts w:ascii="Arial Narrow" w:hAnsi="Arial Narrow" w:cs="Times New Roman"/>
                <w:snapToGrid/>
                <w:color w:val="000000"/>
                <w:sz w:val="20"/>
                <w:lang w:eastAsia="en-AU"/>
              </w:rPr>
              <w:t>8,612.17</w:t>
            </w:r>
          </w:p>
        </w:tc>
        <w:tc>
          <w:tcPr>
            <w:tcW w:w="858" w:type="pct"/>
            <w:shd w:val="clear" w:color="auto" w:fill="auto"/>
            <w:noWrap/>
            <w:vAlign w:val="center"/>
          </w:tcPr>
          <w:p w:rsidR="00AC27E4" w:rsidRPr="00452F75" w:rsidRDefault="00AC27E4" w:rsidP="00E862A4">
            <w:pPr>
              <w:widowControl/>
              <w:jc w:val="center"/>
              <w:rPr>
                <w:rFonts w:ascii="Arial Narrow" w:hAnsi="Arial Narrow" w:cs="Times New Roman"/>
                <w:snapToGrid/>
                <w:color w:val="000000"/>
                <w:sz w:val="20"/>
                <w:lang w:eastAsia="en-AU"/>
              </w:rPr>
            </w:pPr>
            <w:r w:rsidRPr="00452F75">
              <w:rPr>
                <w:rFonts w:ascii="Arial Narrow" w:hAnsi="Arial Narrow" w:cs="Times New Roman"/>
                <w:snapToGrid/>
                <w:color w:val="000000"/>
                <w:sz w:val="20"/>
                <w:lang w:eastAsia="en-AU"/>
              </w:rPr>
              <w:t>30 days</w:t>
            </w:r>
          </w:p>
        </w:tc>
        <w:tc>
          <w:tcPr>
            <w:tcW w:w="1383" w:type="pct"/>
            <w:vMerge/>
            <w:shd w:val="clear" w:color="auto" w:fill="auto"/>
            <w:noWrap/>
            <w:vAlign w:val="center"/>
          </w:tcPr>
          <w:p w:rsidR="00AC27E4" w:rsidRPr="00452F75" w:rsidRDefault="00AC27E4" w:rsidP="00E862A4">
            <w:pPr>
              <w:jc w:val="center"/>
              <w:rPr>
                <w:rFonts w:ascii="Arial Narrow" w:hAnsi="Arial Narrow" w:cs="Times New Roman"/>
                <w:snapToGrid/>
                <w:color w:val="000000"/>
                <w:sz w:val="20"/>
                <w:lang w:eastAsia="en-AU"/>
              </w:rPr>
            </w:pPr>
          </w:p>
        </w:tc>
      </w:tr>
      <w:tr w:rsidR="00AC27E4" w:rsidRPr="00452F75" w:rsidTr="00AC27E4">
        <w:tc>
          <w:tcPr>
            <w:tcW w:w="861" w:type="pct"/>
            <w:shd w:val="clear" w:color="auto" w:fill="auto"/>
            <w:noWrap/>
            <w:vAlign w:val="center"/>
          </w:tcPr>
          <w:p w:rsidR="00AC27E4" w:rsidRPr="00452F75" w:rsidRDefault="00AC27E4" w:rsidP="00E862A4">
            <w:pPr>
              <w:widowControl/>
              <w:ind w:firstLine="142"/>
              <w:jc w:val="left"/>
              <w:rPr>
                <w:rFonts w:ascii="Arial Narrow" w:hAnsi="Arial Narrow" w:cs="Times New Roman"/>
                <w:b/>
                <w:snapToGrid/>
                <w:color w:val="000000"/>
                <w:sz w:val="20"/>
                <w:lang w:eastAsia="en-AU"/>
              </w:rPr>
            </w:pPr>
            <w:r w:rsidRPr="00452F75">
              <w:rPr>
                <w:rFonts w:ascii="Arial Narrow" w:hAnsi="Arial Narrow" w:cs="Times New Roman"/>
                <w:b/>
                <w:snapToGrid/>
                <w:color w:val="000000"/>
                <w:sz w:val="20"/>
                <w:lang w:eastAsia="en-AU"/>
              </w:rPr>
              <w:t>Total costs</w:t>
            </w:r>
          </w:p>
        </w:tc>
        <w:tc>
          <w:tcPr>
            <w:tcW w:w="1122" w:type="pct"/>
            <w:shd w:val="clear" w:color="auto" w:fill="auto"/>
            <w:noWrap/>
            <w:vAlign w:val="center"/>
          </w:tcPr>
          <w:p w:rsidR="00AC27E4" w:rsidRPr="00452F75" w:rsidRDefault="00AC27E4" w:rsidP="00E862A4">
            <w:pPr>
              <w:widowControl/>
              <w:jc w:val="center"/>
              <w:rPr>
                <w:rFonts w:ascii="Arial Narrow" w:hAnsi="Arial Narrow" w:cs="Times New Roman"/>
                <w:b/>
                <w:snapToGrid/>
                <w:color w:val="000000"/>
                <w:sz w:val="20"/>
                <w:lang w:eastAsia="en-AU"/>
              </w:rPr>
            </w:pPr>
          </w:p>
        </w:tc>
        <w:tc>
          <w:tcPr>
            <w:tcW w:w="775" w:type="pct"/>
          </w:tcPr>
          <w:p w:rsidR="00AC27E4" w:rsidRPr="00452F75" w:rsidRDefault="00AC27E4" w:rsidP="00E862A4">
            <w:pPr>
              <w:widowControl/>
              <w:jc w:val="center"/>
              <w:rPr>
                <w:rFonts w:ascii="Arial Narrow" w:hAnsi="Arial Narrow" w:cs="Times New Roman"/>
                <w:b/>
                <w:snapToGrid/>
                <w:color w:val="000000"/>
                <w:sz w:val="20"/>
                <w:lang w:eastAsia="en-AU"/>
              </w:rPr>
            </w:pPr>
            <w:r w:rsidRPr="00452F75">
              <w:rPr>
                <w:rFonts w:ascii="Arial Narrow" w:hAnsi="Arial Narrow" w:cs="Times New Roman"/>
                <w:b/>
                <w:snapToGrid/>
                <w:color w:val="000000"/>
                <w:sz w:val="20"/>
                <w:lang w:eastAsia="en-AU"/>
              </w:rPr>
              <w:t>$</w:t>
            </w:r>
            <w:r w:rsidRPr="00042131">
              <w:rPr>
                <w:rFonts w:ascii="Arial Narrow" w:hAnsi="Arial Narrow" w:cs="Times New Roman"/>
                <w:b/>
                <w:snapToGrid/>
                <w:color w:val="000000"/>
                <w:sz w:val="20"/>
                <w:lang w:eastAsia="en-AU"/>
              </w:rPr>
              <w:t>17,224.34</w:t>
            </w:r>
          </w:p>
        </w:tc>
        <w:tc>
          <w:tcPr>
            <w:tcW w:w="858" w:type="pct"/>
            <w:shd w:val="clear" w:color="auto" w:fill="auto"/>
            <w:noWrap/>
            <w:vAlign w:val="center"/>
          </w:tcPr>
          <w:p w:rsidR="00AC27E4" w:rsidRPr="00452F75" w:rsidRDefault="00AC27E4" w:rsidP="00E862A4">
            <w:pPr>
              <w:widowControl/>
              <w:jc w:val="center"/>
              <w:rPr>
                <w:rFonts w:ascii="Arial Narrow" w:hAnsi="Arial Narrow" w:cs="Times New Roman"/>
                <w:b/>
                <w:snapToGrid/>
                <w:color w:val="000000"/>
                <w:sz w:val="20"/>
                <w:lang w:eastAsia="en-AU"/>
              </w:rPr>
            </w:pPr>
          </w:p>
        </w:tc>
        <w:tc>
          <w:tcPr>
            <w:tcW w:w="1383" w:type="pct"/>
            <w:vMerge/>
            <w:shd w:val="clear" w:color="auto" w:fill="auto"/>
            <w:noWrap/>
            <w:vAlign w:val="center"/>
          </w:tcPr>
          <w:p w:rsidR="00AC27E4" w:rsidRPr="00452F75" w:rsidRDefault="00AC27E4" w:rsidP="00E862A4">
            <w:pPr>
              <w:widowControl/>
              <w:jc w:val="center"/>
              <w:rPr>
                <w:rFonts w:ascii="Arial Narrow" w:hAnsi="Arial Narrow" w:cs="Times New Roman"/>
                <w:b/>
                <w:snapToGrid/>
                <w:color w:val="000000"/>
                <w:sz w:val="20"/>
                <w:lang w:eastAsia="en-AU"/>
              </w:rPr>
            </w:pPr>
          </w:p>
        </w:tc>
      </w:tr>
    </w:tbl>
    <w:p w:rsidR="00AC27E4" w:rsidRPr="00452F75" w:rsidRDefault="00AC27E4" w:rsidP="00AC27E4">
      <w:pPr>
        <w:pStyle w:val="TableFooter"/>
        <w:ind w:left="709"/>
      </w:pPr>
      <w:r w:rsidRPr="00452F75">
        <w:t xml:space="preserve">Source: </w:t>
      </w:r>
      <w:r w:rsidR="003D5AC5" w:rsidRPr="00452F75">
        <w:t>a</w:t>
      </w:r>
      <w:r w:rsidRPr="00452F75">
        <w:t>dapted from Excel file “Cost-minimisation analysis”, worksheet “Summary of Costs” accompanying the submission.</w:t>
      </w:r>
    </w:p>
    <w:p w:rsidR="00275C5A" w:rsidRDefault="00AC27E4" w:rsidP="00AC27E4">
      <w:pPr>
        <w:pStyle w:val="TableFooter"/>
        <w:ind w:firstLine="720"/>
      </w:pPr>
      <w:r w:rsidRPr="00452F75">
        <w:t>AEMP=approved ex-manufacturer price</w:t>
      </w:r>
    </w:p>
    <w:p w:rsidR="008E0E0D" w:rsidRDefault="008E0E0D" w:rsidP="00AC27E4">
      <w:pPr>
        <w:pStyle w:val="TableFooter"/>
        <w:ind w:firstLine="720"/>
      </w:pPr>
    </w:p>
    <w:p w:rsidR="008E0E0D" w:rsidRPr="008E0E0D" w:rsidRDefault="008E0E0D" w:rsidP="00AC27E4">
      <w:pPr>
        <w:pStyle w:val="TableFooter"/>
        <w:ind w:firstLine="720"/>
        <w:rPr>
          <w:rFonts w:ascii="Arial" w:hAnsi="Arial"/>
          <w:sz w:val="22"/>
          <w:szCs w:val="22"/>
        </w:rPr>
      </w:pPr>
      <w:r w:rsidRPr="008E0E0D">
        <w:rPr>
          <w:rFonts w:ascii="Arial" w:hAnsi="Arial"/>
          <w:sz w:val="22"/>
          <w:szCs w:val="22"/>
        </w:rPr>
        <w:t xml:space="preserve">The submission was lodged on the basis of price parity, in principle, for the </w:t>
      </w:r>
      <w:r w:rsidRPr="008E0E0D">
        <w:rPr>
          <w:rFonts w:ascii="Arial" w:hAnsi="Arial"/>
          <w:sz w:val="22"/>
          <w:szCs w:val="22"/>
        </w:rPr>
        <w:tab/>
        <w:t>combination therapies.</w:t>
      </w:r>
    </w:p>
    <w:p w:rsidR="00275C5A" w:rsidRPr="00452F75" w:rsidRDefault="00275C5A" w:rsidP="00275C5A">
      <w:pPr>
        <w:widowControl/>
        <w:rPr>
          <w:szCs w:val="22"/>
        </w:rPr>
      </w:pPr>
    </w:p>
    <w:p w:rsidR="00275C5A" w:rsidRPr="00452F75" w:rsidRDefault="005F7006" w:rsidP="00654033">
      <w:pPr>
        <w:pStyle w:val="ListParagraph"/>
      </w:pPr>
      <w:r w:rsidRPr="00452F75">
        <w:t>No concomitant medication costs were analysed.</w:t>
      </w:r>
      <w:r w:rsidR="00A81AE0" w:rsidRPr="00452F75">
        <w:t xml:space="preserve"> </w:t>
      </w:r>
      <w:r w:rsidRPr="00452F75">
        <w:t xml:space="preserve"> The validity of this analysis depends upon acceptance of the assumption that there are no differences in costs arising from very different</w:t>
      </w:r>
      <w:r w:rsidR="009B5755" w:rsidRPr="00452F75">
        <w:t xml:space="preserve"> AE profiles.  This assumption wa</w:t>
      </w:r>
      <w:r w:rsidRPr="00452F75">
        <w:t>s poorly supported.</w:t>
      </w:r>
      <w:r w:rsidR="003641FD">
        <w:t xml:space="preserve"> </w:t>
      </w:r>
      <w:r w:rsidR="005F4787">
        <w:t xml:space="preserve"> </w:t>
      </w:r>
      <w:r w:rsidR="003641FD">
        <w:t>The PBAC noted that it was hard to compare AEs across trials and that there was no accounting for AE in the costing model.</w:t>
      </w:r>
    </w:p>
    <w:p w:rsidR="00C25D9C" w:rsidRPr="00452F75" w:rsidRDefault="00C25D9C" w:rsidP="005F7006">
      <w:pPr>
        <w:widowControl/>
        <w:rPr>
          <w:szCs w:val="22"/>
        </w:rPr>
      </w:pPr>
    </w:p>
    <w:p w:rsidR="0092752A" w:rsidRPr="00C27C38" w:rsidRDefault="005B244D" w:rsidP="00C27C38">
      <w:pPr>
        <w:pStyle w:val="Heading2"/>
      </w:pPr>
      <w:bookmarkStart w:id="14" w:name="_Toc440982676"/>
      <w:r w:rsidRPr="00C27C38">
        <w:t>Drug cost/patient/</w:t>
      </w:r>
      <w:r w:rsidR="00A81AE0" w:rsidRPr="00C27C38">
        <w:t xml:space="preserve">28-day treatment </w:t>
      </w:r>
      <w:r w:rsidR="00B27C8F" w:rsidRPr="00C27C38">
        <w:t>cycle</w:t>
      </w:r>
      <w:r w:rsidRPr="00C27C38">
        <w:t xml:space="preserve">: </w:t>
      </w:r>
      <w:r w:rsidR="00A81AE0" w:rsidRPr="00C27C38">
        <w:t>$</w:t>
      </w:r>
      <w:r w:rsidR="00A7393F">
        <w:rPr>
          <w:noProof/>
          <w:color w:val="000000"/>
          <w:highlight w:val="black"/>
        </w:rPr>
        <w:t>'''''''''''''</w:t>
      </w:r>
      <w:r w:rsidR="00A81AE0" w:rsidRPr="00C27C38">
        <w:t>.</w:t>
      </w:r>
      <w:bookmarkEnd w:id="14"/>
    </w:p>
    <w:p w:rsidR="00C25D9C" w:rsidRPr="00452F75" w:rsidRDefault="00C25D9C" w:rsidP="00A85D6C">
      <w:pPr>
        <w:keepNext/>
        <w:widowControl/>
        <w:rPr>
          <w:szCs w:val="22"/>
        </w:rPr>
      </w:pPr>
    </w:p>
    <w:p w:rsidR="00A86E8B" w:rsidRPr="00452F75" w:rsidRDefault="007B0D92" w:rsidP="00654033">
      <w:pPr>
        <w:pStyle w:val="ListParagraph"/>
      </w:pPr>
      <w:r w:rsidRPr="00452F75">
        <w:t xml:space="preserve">Based on a median duration of treatment in coBRIM of </w:t>
      </w:r>
      <w:r w:rsidR="00A7393F">
        <w:rPr>
          <w:noProof/>
          <w:color w:val="000000"/>
          <w:highlight w:val="black"/>
        </w:rPr>
        <w:t xml:space="preserve">'''''''''''' </w:t>
      </w:r>
      <w:r w:rsidRPr="00452F75">
        <w:t xml:space="preserve">months, the estimated treatment cost </w:t>
      </w:r>
      <w:r w:rsidR="00A81AE0" w:rsidRPr="00452F75">
        <w:t xml:space="preserve">per patient </w:t>
      </w:r>
      <w:r w:rsidRPr="00452F75">
        <w:t xml:space="preserve">is </w:t>
      </w:r>
      <w:r w:rsidR="00A81AE0" w:rsidRPr="00452F75">
        <w:t>would be $</w:t>
      </w:r>
      <w:r w:rsidR="00A7393F">
        <w:rPr>
          <w:noProof/>
          <w:color w:val="000000"/>
          <w:highlight w:val="black"/>
        </w:rPr>
        <w:t>'''''''''''''''''''</w:t>
      </w:r>
      <w:r w:rsidR="00A81AE0" w:rsidRPr="00452F75">
        <w:t>,</w:t>
      </w:r>
      <w:r w:rsidRPr="00452F75">
        <w:t xml:space="preserve"> while the cost </w:t>
      </w:r>
      <w:r w:rsidR="00A81AE0" w:rsidRPr="00452F75">
        <w:t xml:space="preserve">for treatment over a full year </w:t>
      </w:r>
      <w:r w:rsidRPr="00452F75">
        <w:t>would be $</w:t>
      </w:r>
      <w:r w:rsidR="00A7393F">
        <w:rPr>
          <w:noProof/>
          <w:color w:val="000000"/>
          <w:highlight w:val="black"/>
        </w:rPr>
        <w:t>''''''''''''''''''''</w:t>
      </w:r>
      <w:r w:rsidRPr="00452F75">
        <w:t xml:space="preserve"> (=$</w:t>
      </w:r>
      <w:r w:rsidR="00A7393F">
        <w:rPr>
          <w:noProof/>
          <w:color w:val="000000"/>
          <w:highlight w:val="black"/>
        </w:rPr>
        <w:t>''''''''''''''''''</w:t>
      </w:r>
      <w:r w:rsidRPr="00452F75">
        <w:t xml:space="preserve"> × 365.25).</w:t>
      </w:r>
    </w:p>
    <w:p w:rsidR="00B60939" w:rsidRPr="00452F75" w:rsidRDefault="00B60939" w:rsidP="001456B0">
      <w:pPr>
        <w:rPr>
          <w:szCs w:val="22"/>
        </w:rPr>
      </w:pPr>
    </w:p>
    <w:p w:rsidR="004B6124" w:rsidRDefault="004B6124">
      <w:pPr>
        <w:widowControl/>
        <w:jc w:val="left"/>
        <w:rPr>
          <w:b/>
          <w:i/>
        </w:rPr>
      </w:pPr>
      <w:bookmarkStart w:id="15" w:name="_Toc440982677"/>
      <w:r>
        <w:br w:type="page"/>
      </w:r>
    </w:p>
    <w:p w:rsidR="00B60939" w:rsidRPr="00C27C38" w:rsidRDefault="00B60939" w:rsidP="00C27C38">
      <w:pPr>
        <w:pStyle w:val="Heading2"/>
      </w:pPr>
      <w:r w:rsidRPr="00C27C38">
        <w:lastRenderedPageBreak/>
        <w:t>Estimated PBS usage &amp; financial implications</w:t>
      </w:r>
      <w:bookmarkEnd w:id="15"/>
    </w:p>
    <w:p w:rsidR="00B60939" w:rsidRPr="00B71566" w:rsidRDefault="00B60939" w:rsidP="00B60939">
      <w:pPr>
        <w:ind w:left="720" w:hanging="720"/>
        <w:rPr>
          <w:szCs w:val="22"/>
        </w:rPr>
      </w:pPr>
    </w:p>
    <w:p w:rsidR="005B244D" w:rsidRPr="00B71566" w:rsidRDefault="005B244D" w:rsidP="00654033">
      <w:pPr>
        <w:pStyle w:val="ListParagraph"/>
      </w:pPr>
      <w:r w:rsidRPr="00B71566">
        <w:t xml:space="preserve">This submission </w:t>
      </w:r>
      <w:r w:rsidR="009B5593" w:rsidRPr="00B71566">
        <w:t xml:space="preserve">was not </w:t>
      </w:r>
      <w:r w:rsidRPr="00B71566">
        <w:t xml:space="preserve">considered by DUSC, although the October 2015 DUSC report on the use of dabrafenib and ipilimumab </w:t>
      </w:r>
      <w:r w:rsidR="003641FD">
        <w:t>wa</w:t>
      </w:r>
      <w:r w:rsidRPr="00B71566">
        <w:t xml:space="preserve">s relevant to Section E of the submission. </w:t>
      </w:r>
      <w:r w:rsidR="00A81AE0" w:rsidRPr="00B71566">
        <w:t xml:space="preserve"> </w:t>
      </w:r>
      <w:r w:rsidRPr="00B71566">
        <w:t>The submission use</w:t>
      </w:r>
      <w:r w:rsidR="00A81AE0" w:rsidRPr="00B71566">
        <w:t>d</w:t>
      </w:r>
      <w:r w:rsidRPr="00B71566">
        <w:t xml:space="preserve"> a market share approach based upon PBS online data collected for induction therapy with monotherapy dabrafenib.</w:t>
      </w:r>
    </w:p>
    <w:p w:rsidR="006958F3" w:rsidRPr="00B71566" w:rsidRDefault="006958F3" w:rsidP="00152BE9"/>
    <w:p w:rsidR="006958F3" w:rsidRPr="00B71566" w:rsidRDefault="00152BE9" w:rsidP="00654033">
      <w:pPr>
        <w:pStyle w:val="ListParagraph"/>
      </w:pPr>
      <w:r w:rsidRPr="00B71566">
        <w:t xml:space="preserve">The submission indicated that the requested listing was expected to have </w:t>
      </w:r>
      <w:r w:rsidR="00A63E9C">
        <w:t xml:space="preserve">no financial </w:t>
      </w:r>
      <w:r w:rsidRPr="00B71566">
        <w:t>impact as the combination treatments are cost-minimised to one another.  The submission acknowledged that Special Pricing Arrangements apply to dabrafenib + trametinib, but the submission was lodged on the basis of price parity, in principle, for the combination therapies (ie the effective price of the individual components may vary, but the effective combination prices will be aligned).</w:t>
      </w:r>
    </w:p>
    <w:p w:rsidR="00152BE9" w:rsidRPr="00B71566" w:rsidRDefault="00152BE9" w:rsidP="00152BE9"/>
    <w:p w:rsidR="00152BE9" w:rsidRPr="00B71566" w:rsidRDefault="00152BE9" w:rsidP="00654033">
      <w:pPr>
        <w:pStyle w:val="ListParagraph"/>
      </w:pPr>
      <w:r w:rsidRPr="00B71566">
        <w:t xml:space="preserve">Table </w:t>
      </w:r>
      <w:r w:rsidR="002E6216">
        <w:t>7</w:t>
      </w:r>
      <w:r w:rsidRPr="00B71566">
        <w:t xml:space="preserve"> provides a summary of the estimated use of vemurafenib + cobime</w:t>
      </w:r>
      <w:r w:rsidR="00BB5AF7" w:rsidRPr="00B71566">
        <w:t>t</w:t>
      </w:r>
      <w:r w:rsidRPr="00B71566">
        <w:t>inib and the estimated net cost to the PBS/RPBS, based on the published price of dabrafenib + trametinib.</w:t>
      </w:r>
    </w:p>
    <w:p w:rsidR="00C25D9C" w:rsidRPr="00B71566" w:rsidRDefault="00C25D9C" w:rsidP="00C25D9C">
      <w:pPr>
        <w:widowControl/>
        <w:rPr>
          <w:szCs w:val="22"/>
        </w:rPr>
      </w:pPr>
    </w:p>
    <w:p w:rsidR="007710BA" w:rsidRPr="00B71566" w:rsidRDefault="007710BA" w:rsidP="00A93324">
      <w:pPr>
        <w:keepNext/>
        <w:ind w:firstLine="709"/>
        <w:rPr>
          <w:rStyle w:val="CommentReference"/>
        </w:rPr>
      </w:pPr>
      <w:r w:rsidRPr="00B71566">
        <w:rPr>
          <w:rStyle w:val="CommentReference"/>
        </w:rPr>
        <w:t xml:space="preserve">Table </w:t>
      </w:r>
      <w:r w:rsidR="002E6216">
        <w:rPr>
          <w:rStyle w:val="CommentReference"/>
        </w:rPr>
        <w:t>7</w:t>
      </w:r>
      <w:r w:rsidRPr="00B71566">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5"/>
        <w:gridCol w:w="1154"/>
        <w:gridCol w:w="1130"/>
        <w:gridCol w:w="1271"/>
        <w:gridCol w:w="1271"/>
        <w:gridCol w:w="1256"/>
      </w:tblGrid>
      <w:tr w:rsidR="007710BA" w:rsidRPr="00B71566" w:rsidTr="007710BA">
        <w:trPr>
          <w:tblHeader/>
        </w:trPr>
        <w:tc>
          <w:tcPr>
            <w:tcW w:w="1359" w:type="pct"/>
            <w:shd w:val="clear" w:color="auto" w:fill="auto"/>
            <w:vAlign w:val="center"/>
          </w:tcPr>
          <w:p w:rsidR="007710BA" w:rsidRPr="00B71566" w:rsidRDefault="007710BA" w:rsidP="007710BA">
            <w:pPr>
              <w:tabs>
                <w:tab w:val="left" w:pos="142"/>
              </w:tabs>
              <w:jc w:val="left"/>
              <w:rPr>
                <w:rFonts w:ascii="Arial Narrow" w:hAnsi="Arial Narrow"/>
                <w:b/>
                <w:sz w:val="20"/>
              </w:rPr>
            </w:pPr>
          </w:p>
        </w:tc>
        <w:tc>
          <w:tcPr>
            <w:tcW w:w="679" w:type="pct"/>
            <w:shd w:val="clear" w:color="auto" w:fill="auto"/>
            <w:vAlign w:val="center"/>
          </w:tcPr>
          <w:p w:rsidR="007710BA" w:rsidRPr="00B71566" w:rsidRDefault="007710BA" w:rsidP="007710BA">
            <w:pPr>
              <w:jc w:val="center"/>
              <w:rPr>
                <w:rFonts w:ascii="Arial Narrow" w:hAnsi="Arial Narrow"/>
                <w:b/>
                <w:sz w:val="20"/>
              </w:rPr>
            </w:pPr>
            <w:r w:rsidRPr="00B71566">
              <w:rPr>
                <w:rFonts w:ascii="Arial Narrow" w:hAnsi="Arial Narrow"/>
                <w:b/>
                <w:sz w:val="20"/>
              </w:rPr>
              <w:t>Year 1</w:t>
            </w:r>
          </w:p>
        </w:tc>
        <w:tc>
          <w:tcPr>
            <w:tcW w:w="679" w:type="pct"/>
            <w:shd w:val="clear" w:color="auto" w:fill="auto"/>
            <w:vAlign w:val="center"/>
          </w:tcPr>
          <w:p w:rsidR="007710BA" w:rsidRPr="00B71566" w:rsidRDefault="007710BA" w:rsidP="007710BA">
            <w:pPr>
              <w:jc w:val="center"/>
              <w:rPr>
                <w:rFonts w:ascii="Arial Narrow" w:hAnsi="Arial Narrow"/>
                <w:b/>
                <w:sz w:val="20"/>
              </w:rPr>
            </w:pPr>
            <w:r w:rsidRPr="00B71566">
              <w:rPr>
                <w:rFonts w:ascii="Arial Narrow" w:hAnsi="Arial Narrow"/>
                <w:b/>
                <w:sz w:val="20"/>
              </w:rPr>
              <w:t>Year 2</w:t>
            </w:r>
          </w:p>
        </w:tc>
        <w:tc>
          <w:tcPr>
            <w:tcW w:w="764" w:type="pct"/>
            <w:shd w:val="clear" w:color="auto" w:fill="auto"/>
            <w:vAlign w:val="center"/>
          </w:tcPr>
          <w:p w:rsidR="007710BA" w:rsidRPr="00B71566" w:rsidRDefault="007710BA" w:rsidP="007710BA">
            <w:pPr>
              <w:jc w:val="center"/>
              <w:rPr>
                <w:rFonts w:ascii="Arial Narrow" w:hAnsi="Arial Narrow"/>
                <w:b/>
                <w:sz w:val="20"/>
              </w:rPr>
            </w:pPr>
            <w:r w:rsidRPr="00B71566">
              <w:rPr>
                <w:rFonts w:ascii="Arial Narrow" w:hAnsi="Arial Narrow"/>
                <w:b/>
                <w:sz w:val="20"/>
              </w:rPr>
              <w:t>Year 3</w:t>
            </w:r>
          </w:p>
        </w:tc>
        <w:tc>
          <w:tcPr>
            <w:tcW w:w="764" w:type="pct"/>
            <w:shd w:val="clear" w:color="auto" w:fill="auto"/>
            <w:vAlign w:val="center"/>
          </w:tcPr>
          <w:p w:rsidR="007710BA" w:rsidRPr="00B71566" w:rsidRDefault="007710BA" w:rsidP="007710BA">
            <w:pPr>
              <w:jc w:val="center"/>
              <w:rPr>
                <w:rFonts w:ascii="Arial Narrow" w:hAnsi="Arial Narrow"/>
                <w:b/>
                <w:sz w:val="20"/>
              </w:rPr>
            </w:pPr>
            <w:r w:rsidRPr="00B71566">
              <w:rPr>
                <w:rFonts w:ascii="Arial Narrow" w:hAnsi="Arial Narrow"/>
                <w:b/>
                <w:sz w:val="20"/>
              </w:rPr>
              <w:t>Year 4</w:t>
            </w:r>
          </w:p>
        </w:tc>
        <w:tc>
          <w:tcPr>
            <w:tcW w:w="755" w:type="pct"/>
            <w:shd w:val="clear" w:color="auto" w:fill="auto"/>
            <w:vAlign w:val="center"/>
          </w:tcPr>
          <w:p w:rsidR="007710BA" w:rsidRPr="00B71566" w:rsidRDefault="007710BA" w:rsidP="007710BA">
            <w:pPr>
              <w:jc w:val="center"/>
              <w:rPr>
                <w:rFonts w:ascii="Arial Narrow" w:hAnsi="Arial Narrow"/>
                <w:b/>
                <w:sz w:val="20"/>
              </w:rPr>
            </w:pPr>
            <w:r w:rsidRPr="00B71566">
              <w:rPr>
                <w:rFonts w:ascii="Arial Narrow" w:hAnsi="Arial Narrow"/>
                <w:b/>
                <w:sz w:val="20"/>
              </w:rPr>
              <w:t>Year 5</w:t>
            </w:r>
          </w:p>
        </w:tc>
      </w:tr>
      <w:tr w:rsidR="007710BA" w:rsidRPr="00B71566" w:rsidTr="007710BA">
        <w:tc>
          <w:tcPr>
            <w:tcW w:w="5000" w:type="pct"/>
            <w:gridSpan w:val="6"/>
            <w:shd w:val="clear" w:color="auto" w:fill="auto"/>
            <w:vAlign w:val="center"/>
          </w:tcPr>
          <w:p w:rsidR="007710BA" w:rsidRPr="00B71566" w:rsidRDefault="007710BA" w:rsidP="007710BA">
            <w:pPr>
              <w:jc w:val="left"/>
              <w:rPr>
                <w:rFonts w:ascii="Arial Narrow" w:hAnsi="Arial Narrow"/>
                <w:b/>
                <w:bCs/>
                <w:color w:val="000000"/>
                <w:sz w:val="20"/>
              </w:rPr>
            </w:pPr>
            <w:r w:rsidRPr="00B71566">
              <w:rPr>
                <w:rFonts w:ascii="Arial Narrow" w:hAnsi="Arial Narrow"/>
                <w:b/>
                <w:bCs/>
                <w:color w:val="000000"/>
                <w:sz w:val="20"/>
              </w:rPr>
              <w:t>Estimated extent of use</w:t>
            </w:r>
          </w:p>
        </w:tc>
      </w:tr>
      <w:tr w:rsidR="007710BA" w:rsidRPr="00B71566" w:rsidTr="007710BA">
        <w:tc>
          <w:tcPr>
            <w:tcW w:w="1359" w:type="pct"/>
            <w:shd w:val="clear" w:color="auto" w:fill="auto"/>
            <w:vAlign w:val="center"/>
          </w:tcPr>
          <w:p w:rsidR="007710BA" w:rsidRPr="00B71566" w:rsidRDefault="00430CCC" w:rsidP="007710BA">
            <w:pPr>
              <w:tabs>
                <w:tab w:val="left" w:pos="142"/>
              </w:tabs>
              <w:jc w:val="left"/>
              <w:rPr>
                <w:rFonts w:ascii="Arial Narrow" w:hAnsi="Arial Narrow"/>
                <w:sz w:val="20"/>
              </w:rPr>
            </w:pPr>
            <w:r w:rsidRPr="00B71566">
              <w:rPr>
                <w:rFonts w:ascii="Arial Narrow" w:hAnsi="Arial Narrow"/>
                <w:sz w:val="20"/>
              </w:rPr>
              <w:t>Eligible patients</w:t>
            </w:r>
          </w:p>
        </w:tc>
        <w:tc>
          <w:tcPr>
            <w:tcW w:w="679" w:type="pct"/>
            <w:shd w:val="clear" w:color="auto" w:fill="auto"/>
            <w:vAlign w:val="center"/>
          </w:tcPr>
          <w:p w:rsidR="007710BA" w:rsidRPr="00A7393F" w:rsidRDefault="00A7393F" w:rsidP="007710BA">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7710BA" w:rsidRPr="00A7393F" w:rsidRDefault="00A7393F" w:rsidP="007710BA">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7710BA" w:rsidRPr="00A7393F" w:rsidRDefault="00A7393F" w:rsidP="007710BA">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7710BA" w:rsidRPr="00A7393F" w:rsidRDefault="00A7393F" w:rsidP="007710BA">
            <w:pPr>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center"/>
          </w:tcPr>
          <w:p w:rsidR="007710BA" w:rsidRPr="00A7393F" w:rsidRDefault="00A7393F" w:rsidP="007710BA">
            <w:pPr>
              <w:jc w:val="center"/>
              <w:rPr>
                <w:rFonts w:ascii="Arial Narrow" w:hAnsi="Arial Narrow"/>
                <w:sz w:val="20"/>
                <w:highlight w:val="black"/>
              </w:rPr>
            </w:pPr>
            <w:r>
              <w:rPr>
                <w:rFonts w:ascii="Arial Narrow" w:hAnsi="Arial Narrow"/>
                <w:noProof/>
                <w:color w:val="000000"/>
                <w:sz w:val="20"/>
                <w:highlight w:val="black"/>
              </w:rPr>
              <w:t>''''''''''</w:t>
            </w:r>
          </w:p>
        </w:tc>
      </w:tr>
      <w:tr w:rsidR="00430CCC" w:rsidRPr="00B71566" w:rsidTr="007710BA">
        <w:tc>
          <w:tcPr>
            <w:tcW w:w="1359" w:type="pct"/>
            <w:shd w:val="clear" w:color="auto" w:fill="auto"/>
            <w:vAlign w:val="center"/>
          </w:tcPr>
          <w:p w:rsidR="00430CCC" w:rsidRPr="00B71566" w:rsidRDefault="00430CCC" w:rsidP="007710BA">
            <w:pPr>
              <w:tabs>
                <w:tab w:val="left" w:pos="142"/>
              </w:tabs>
              <w:jc w:val="left"/>
              <w:rPr>
                <w:rFonts w:ascii="Arial Narrow" w:hAnsi="Arial Narrow"/>
                <w:sz w:val="20"/>
              </w:rPr>
            </w:pPr>
            <w:r w:rsidRPr="00B71566">
              <w:rPr>
                <w:rFonts w:ascii="Arial Narrow" w:hAnsi="Arial Narrow"/>
                <w:sz w:val="20"/>
              </w:rPr>
              <w:t>Market share</w:t>
            </w:r>
          </w:p>
        </w:tc>
        <w:tc>
          <w:tcPr>
            <w:tcW w:w="679" w:type="pct"/>
            <w:shd w:val="clear" w:color="auto" w:fill="auto"/>
            <w:vAlign w:val="center"/>
          </w:tcPr>
          <w:p w:rsidR="00430CCC" w:rsidRPr="00B71566" w:rsidRDefault="00A7393F" w:rsidP="007710BA">
            <w:pPr>
              <w:jc w:val="center"/>
              <w:rPr>
                <w:rFonts w:ascii="Arial Narrow" w:hAnsi="Arial Narrow"/>
                <w:sz w:val="20"/>
              </w:rPr>
            </w:pPr>
            <w:r>
              <w:rPr>
                <w:rFonts w:ascii="Arial Narrow" w:hAnsi="Arial Narrow"/>
                <w:bCs/>
                <w:noProof/>
                <w:color w:val="000000"/>
                <w:sz w:val="20"/>
                <w:highlight w:val="black"/>
              </w:rPr>
              <w:t>''''''</w:t>
            </w:r>
            <w:r w:rsidR="00430CCC" w:rsidRPr="00B71566">
              <w:rPr>
                <w:rFonts w:ascii="Arial Narrow" w:hAnsi="Arial Narrow"/>
                <w:bCs/>
                <w:color w:val="000000"/>
                <w:sz w:val="20"/>
              </w:rPr>
              <w:t>%</w:t>
            </w:r>
          </w:p>
        </w:tc>
        <w:tc>
          <w:tcPr>
            <w:tcW w:w="679" w:type="pct"/>
            <w:shd w:val="clear" w:color="auto" w:fill="auto"/>
            <w:vAlign w:val="center"/>
          </w:tcPr>
          <w:p w:rsidR="00430CCC" w:rsidRPr="00B71566" w:rsidRDefault="00A7393F" w:rsidP="007710BA">
            <w:pPr>
              <w:jc w:val="center"/>
              <w:rPr>
                <w:rFonts w:ascii="Arial Narrow" w:hAnsi="Arial Narrow"/>
                <w:sz w:val="20"/>
              </w:rPr>
            </w:pPr>
            <w:r>
              <w:rPr>
                <w:rFonts w:ascii="Arial Narrow" w:hAnsi="Arial Narrow"/>
                <w:bCs/>
                <w:noProof/>
                <w:color w:val="000000"/>
                <w:sz w:val="20"/>
                <w:highlight w:val="black"/>
              </w:rPr>
              <w:t>''''''</w:t>
            </w:r>
            <w:r w:rsidR="00430CCC" w:rsidRPr="00B71566">
              <w:rPr>
                <w:rFonts w:ascii="Arial Narrow" w:hAnsi="Arial Narrow"/>
                <w:bCs/>
                <w:color w:val="000000"/>
                <w:sz w:val="20"/>
              </w:rPr>
              <w:t>%</w:t>
            </w:r>
          </w:p>
        </w:tc>
        <w:tc>
          <w:tcPr>
            <w:tcW w:w="764" w:type="pct"/>
            <w:shd w:val="clear" w:color="auto" w:fill="auto"/>
            <w:vAlign w:val="center"/>
          </w:tcPr>
          <w:p w:rsidR="00430CCC" w:rsidRPr="00B71566" w:rsidRDefault="00A7393F" w:rsidP="007710BA">
            <w:pPr>
              <w:jc w:val="center"/>
              <w:rPr>
                <w:rFonts w:ascii="Arial Narrow" w:hAnsi="Arial Narrow"/>
                <w:sz w:val="20"/>
              </w:rPr>
            </w:pPr>
            <w:r>
              <w:rPr>
                <w:rFonts w:ascii="Arial Narrow" w:hAnsi="Arial Narrow"/>
                <w:bCs/>
                <w:noProof/>
                <w:color w:val="000000"/>
                <w:sz w:val="20"/>
                <w:highlight w:val="black"/>
              </w:rPr>
              <w:t>''''''</w:t>
            </w:r>
            <w:r w:rsidR="00430CCC" w:rsidRPr="00B71566">
              <w:rPr>
                <w:rFonts w:ascii="Arial Narrow" w:hAnsi="Arial Narrow"/>
                <w:bCs/>
                <w:color w:val="000000"/>
                <w:sz w:val="20"/>
              </w:rPr>
              <w:t>%</w:t>
            </w:r>
          </w:p>
        </w:tc>
        <w:tc>
          <w:tcPr>
            <w:tcW w:w="764" w:type="pct"/>
            <w:shd w:val="clear" w:color="auto" w:fill="auto"/>
            <w:vAlign w:val="center"/>
          </w:tcPr>
          <w:p w:rsidR="00430CCC" w:rsidRPr="00B71566" w:rsidRDefault="00A7393F" w:rsidP="007710BA">
            <w:pPr>
              <w:jc w:val="center"/>
              <w:rPr>
                <w:rFonts w:ascii="Arial Narrow" w:hAnsi="Arial Narrow"/>
                <w:sz w:val="20"/>
              </w:rPr>
            </w:pPr>
            <w:r>
              <w:rPr>
                <w:rFonts w:ascii="Arial Narrow" w:hAnsi="Arial Narrow"/>
                <w:bCs/>
                <w:noProof/>
                <w:color w:val="000000"/>
                <w:sz w:val="20"/>
                <w:highlight w:val="black"/>
              </w:rPr>
              <w:t>'''''''</w:t>
            </w:r>
            <w:r w:rsidR="00430CCC" w:rsidRPr="00B71566">
              <w:rPr>
                <w:rFonts w:ascii="Arial Narrow" w:hAnsi="Arial Narrow"/>
                <w:bCs/>
                <w:color w:val="000000"/>
                <w:sz w:val="20"/>
              </w:rPr>
              <w:t>%</w:t>
            </w:r>
          </w:p>
        </w:tc>
        <w:tc>
          <w:tcPr>
            <w:tcW w:w="755" w:type="pct"/>
            <w:shd w:val="clear" w:color="auto" w:fill="auto"/>
            <w:vAlign w:val="center"/>
          </w:tcPr>
          <w:p w:rsidR="00430CCC" w:rsidRPr="00B71566" w:rsidRDefault="00A7393F" w:rsidP="007710BA">
            <w:pPr>
              <w:jc w:val="center"/>
              <w:rPr>
                <w:rFonts w:ascii="Arial Narrow" w:hAnsi="Arial Narrow"/>
                <w:sz w:val="20"/>
              </w:rPr>
            </w:pPr>
            <w:r>
              <w:rPr>
                <w:rFonts w:ascii="Arial Narrow" w:hAnsi="Arial Narrow"/>
                <w:bCs/>
                <w:noProof/>
                <w:color w:val="000000"/>
                <w:sz w:val="20"/>
                <w:highlight w:val="black"/>
              </w:rPr>
              <w:t>'''''</w:t>
            </w:r>
            <w:r w:rsidR="00430CCC" w:rsidRPr="00B71566">
              <w:rPr>
                <w:rFonts w:ascii="Arial Narrow" w:hAnsi="Arial Narrow"/>
                <w:bCs/>
                <w:color w:val="000000"/>
                <w:sz w:val="20"/>
              </w:rPr>
              <w:t>%</w:t>
            </w:r>
          </w:p>
        </w:tc>
      </w:tr>
      <w:tr w:rsidR="00430CCC" w:rsidRPr="00B71566" w:rsidTr="007710BA">
        <w:tc>
          <w:tcPr>
            <w:tcW w:w="1359" w:type="pct"/>
            <w:shd w:val="clear" w:color="auto" w:fill="auto"/>
            <w:vAlign w:val="center"/>
          </w:tcPr>
          <w:p w:rsidR="00430CCC" w:rsidRPr="00B71566" w:rsidRDefault="00430CCC" w:rsidP="007710BA">
            <w:pPr>
              <w:tabs>
                <w:tab w:val="left" w:pos="142"/>
              </w:tabs>
              <w:jc w:val="left"/>
              <w:rPr>
                <w:rFonts w:ascii="Arial Narrow" w:hAnsi="Arial Narrow"/>
                <w:sz w:val="20"/>
              </w:rPr>
            </w:pPr>
            <w:r w:rsidRPr="00B71566">
              <w:rPr>
                <w:rFonts w:ascii="Arial Narrow" w:hAnsi="Arial Narrow"/>
                <w:sz w:val="20"/>
              </w:rPr>
              <w:t>Number treated (vem + cobi)</w:t>
            </w:r>
          </w:p>
        </w:tc>
        <w:tc>
          <w:tcPr>
            <w:tcW w:w="679" w:type="pct"/>
            <w:shd w:val="clear" w:color="auto" w:fill="auto"/>
            <w:vAlign w:val="center"/>
          </w:tcPr>
          <w:p w:rsidR="00430CCC" w:rsidRPr="00A7393F" w:rsidRDefault="00A7393F" w:rsidP="007710BA">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430CCC" w:rsidRPr="00A7393F" w:rsidRDefault="00A7393F" w:rsidP="007710BA">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430CCC" w:rsidRPr="00A7393F" w:rsidRDefault="00A7393F" w:rsidP="007710BA">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430CCC" w:rsidRPr="00A7393F" w:rsidRDefault="00A7393F" w:rsidP="007710BA">
            <w:pPr>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center"/>
          </w:tcPr>
          <w:p w:rsidR="00430CCC" w:rsidRPr="00A7393F" w:rsidRDefault="00A7393F" w:rsidP="007710BA">
            <w:pPr>
              <w:jc w:val="center"/>
              <w:rPr>
                <w:rFonts w:ascii="Arial Narrow" w:hAnsi="Arial Narrow"/>
                <w:sz w:val="20"/>
                <w:highlight w:val="black"/>
              </w:rPr>
            </w:pPr>
            <w:r>
              <w:rPr>
                <w:rFonts w:ascii="Arial Narrow" w:hAnsi="Arial Narrow"/>
                <w:noProof/>
                <w:color w:val="000000"/>
                <w:sz w:val="20"/>
                <w:highlight w:val="black"/>
              </w:rPr>
              <w:t>'''''''''</w:t>
            </w:r>
          </w:p>
        </w:tc>
      </w:tr>
      <w:tr w:rsidR="00430CCC" w:rsidRPr="00B71566" w:rsidTr="007710BA">
        <w:tc>
          <w:tcPr>
            <w:tcW w:w="1359" w:type="pct"/>
            <w:shd w:val="clear" w:color="auto" w:fill="auto"/>
            <w:vAlign w:val="center"/>
          </w:tcPr>
          <w:p w:rsidR="00430CCC" w:rsidRPr="00B71566" w:rsidRDefault="00430CCC" w:rsidP="007710BA">
            <w:pPr>
              <w:tabs>
                <w:tab w:val="left" w:pos="142"/>
              </w:tabs>
              <w:jc w:val="left"/>
              <w:rPr>
                <w:rFonts w:ascii="Arial Narrow" w:hAnsi="Arial Narrow"/>
                <w:sz w:val="20"/>
              </w:rPr>
            </w:pPr>
            <w:r w:rsidRPr="00B71566">
              <w:rPr>
                <w:rFonts w:ascii="Arial Narrow" w:hAnsi="Arial Narrow"/>
                <w:sz w:val="20"/>
              </w:rPr>
              <w:t>Scripts</w:t>
            </w:r>
            <w:r w:rsidRPr="00B71566">
              <w:rPr>
                <w:rFonts w:ascii="Arial Narrow" w:hAnsi="Arial Narrow"/>
                <w:sz w:val="20"/>
                <w:vertAlign w:val="superscript"/>
              </w:rPr>
              <w:t>a</w:t>
            </w:r>
          </w:p>
        </w:tc>
        <w:tc>
          <w:tcPr>
            <w:tcW w:w="679" w:type="pct"/>
            <w:shd w:val="clear" w:color="auto" w:fill="auto"/>
          </w:tcPr>
          <w:p w:rsidR="00430CCC" w:rsidRPr="00A7393F" w:rsidRDefault="00A7393F" w:rsidP="007710BA">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tcPr>
          <w:p w:rsidR="00430CCC" w:rsidRPr="00A7393F" w:rsidRDefault="00A7393F" w:rsidP="007710BA">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tcPr>
          <w:p w:rsidR="00430CCC" w:rsidRPr="00A7393F" w:rsidRDefault="00A7393F" w:rsidP="007710BA">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tcPr>
          <w:p w:rsidR="00430CCC" w:rsidRPr="00A7393F" w:rsidRDefault="00A7393F" w:rsidP="007710BA">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tcPr>
          <w:p w:rsidR="00430CCC" w:rsidRPr="00A7393F" w:rsidRDefault="00A7393F" w:rsidP="007710BA">
            <w:pPr>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430CCC" w:rsidRPr="00B71566" w:rsidTr="007710BA">
        <w:tc>
          <w:tcPr>
            <w:tcW w:w="5000" w:type="pct"/>
            <w:gridSpan w:val="6"/>
            <w:shd w:val="clear" w:color="auto" w:fill="auto"/>
            <w:vAlign w:val="center"/>
          </w:tcPr>
          <w:p w:rsidR="00430CCC" w:rsidRPr="00B71566" w:rsidRDefault="00430CCC" w:rsidP="007710BA">
            <w:pPr>
              <w:jc w:val="left"/>
              <w:rPr>
                <w:rFonts w:ascii="Arial Narrow" w:hAnsi="Arial Narrow"/>
                <w:b/>
                <w:bCs/>
                <w:color w:val="000000"/>
                <w:sz w:val="20"/>
              </w:rPr>
            </w:pPr>
            <w:r w:rsidRPr="00B71566">
              <w:rPr>
                <w:rFonts w:ascii="Arial Narrow" w:hAnsi="Arial Narrow"/>
                <w:b/>
                <w:bCs/>
                <w:color w:val="000000"/>
                <w:sz w:val="20"/>
              </w:rPr>
              <w:t>Estimated net cost to PBS/RPBS/MBS</w:t>
            </w:r>
          </w:p>
        </w:tc>
      </w:tr>
      <w:tr w:rsidR="00611B4C" w:rsidRPr="00B71566" w:rsidTr="007710BA">
        <w:tc>
          <w:tcPr>
            <w:tcW w:w="1359" w:type="pct"/>
            <w:shd w:val="clear" w:color="auto" w:fill="auto"/>
            <w:vAlign w:val="center"/>
          </w:tcPr>
          <w:p w:rsidR="00611B4C" w:rsidRPr="00B71566" w:rsidRDefault="00611B4C" w:rsidP="007710BA">
            <w:pPr>
              <w:tabs>
                <w:tab w:val="left" w:pos="142"/>
              </w:tabs>
              <w:jc w:val="left"/>
              <w:rPr>
                <w:rFonts w:ascii="Arial Narrow" w:hAnsi="Arial Narrow" w:cs="Times New Roman"/>
                <w:snapToGrid/>
                <w:sz w:val="20"/>
                <w:lang w:eastAsia="en-AU"/>
              </w:rPr>
            </w:pPr>
            <w:r w:rsidRPr="00B71566">
              <w:rPr>
                <w:rFonts w:ascii="Arial Narrow" w:hAnsi="Arial Narrow" w:cs="Times New Roman"/>
                <w:snapToGrid/>
                <w:sz w:val="20"/>
                <w:lang w:eastAsia="en-AU"/>
              </w:rPr>
              <w:t>Current market dabra + tram</w:t>
            </w:r>
          </w:p>
        </w:tc>
        <w:tc>
          <w:tcPr>
            <w:tcW w:w="679" w:type="pct"/>
            <w:shd w:val="clear" w:color="auto" w:fill="auto"/>
            <w:vAlign w:val="center"/>
          </w:tcPr>
          <w:p w:rsidR="00611B4C" w:rsidRPr="00B71566" w:rsidRDefault="00611B4C" w:rsidP="007710BA">
            <w:pPr>
              <w:jc w:val="center"/>
              <w:rPr>
                <w:rFonts w:ascii="Arial Narrow" w:hAnsi="Arial Narrow" w:cs="Times New Roman"/>
                <w:snapToGrid/>
                <w:sz w:val="20"/>
                <w:lang w:eastAsia="en-AU"/>
              </w:rPr>
            </w:pPr>
            <w:r w:rsidRPr="00B71566">
              <w:rPr>
                <w:rFonts w:ascii="Arial Narrow" w:hAnsi="Arial Narrow" w:cs="Times New Roman"/>
                <w:snapToGrid/>
                <w:sz w:val="20"/>
                <w:lang w:eastAsia="en-AU"/>
              </w:rPr>
              <w:t>$</w:t>
            </w:r>
            <w:r w:rsidR="00A7393F">
              <w:rPr>
                <w:rFonts w:ascii="Arial Narrow" w:hAnsi="Arial Narrow" w:cs="Times New Roman"/>
                <w:noProof/>
                <w:snapToGrid/>
                <w:color w:val="000000"/>
                <w:sz w:val="20"/>
                <w:highlight w:val="black"/>
                <w:lang w:eastAsia="en-AU"/>
              </w:rPr>
              <w:t>''''''''''''''''''''''''''''''''</w:t>
            </w:r>
          </w:p>
        </w:tc>
        <w:tc>
          <w:tcPr>
            <w:tcW w:w="679" w:type="pct"/>
            <w:shd w:val="clear" w:color="auto" w:fill="auto"/>
            <w:vAlign w:val="center"/>
          </w:tcPr>
          <w:p w:rsidR="00611B4C" w:rsidRPr="00B71566" w:rsidRDefault="00611B4C" w:rsidP="007710BA">
            <w:pPr>
              <w:jc w:val="center"/>
              <w:rPr>
                <w:rFonts w:ascii="Arial Narrow" w:hAnsi="Arial Narrow" w:cs="Times New Roman"/>
                <w:snapToGrid/>
                <w:sz w:val="20"/>
                <w:lang w:eastAsia="en-AU"/>
              </w:rPr>
            </w:pPr>
            <w:r w:rsidRPr="00B71566">
              <w:rPr>
                <w:rFonts w:ascii="Arial Narrow" w:hAnsi="Arial Narrow" w:cs="Times New Roman"/>
                <w:snapToGrid/>
                <w:sz w:val="20"/>
                <w:lang w:eastAsia="en-AU"/>
              </w:rPr>
              <w:t>$</w:t>
            </w:r>
            <w:r w:rsidR="00A7393F">
              <w:rPr>
                <w:rFonts w:ascii="Arial Narrow" w:hAnsi="Arial Narrow" w:cs="Times New Roman"/>
                <w:noProof/>
                <w:snapToGrid/>
                <w:color w:val="000000"/>
                <w:sz w:val="20"/>
                <w:highlight w:val="black"/>
                <w:lang w:eastAsia="en-AU"/>
              </w:rPr>
              <w:t>''''''''''''''''''''''''''''</w:t>
            </w:r>
          </w:p>
        </w:tc>
        <w:tc>
          <w:tcPr>
            <w:tcW w:w="764" w:type="pct"/>
            <w:shd w:val="clear" w:color="auto" w:fill="auto"/>
            <w:vAlign w:val="center"/>
          </w:tcPr>
          <w:p w:rsidR="00611B4C" w:rsidRPr="00B71566" w:rsidRDefault="00611B4C" w:rsidP="007710BA">
            <w:pPr>
              <w:jc w:val="center"/>
              <w:rPr>
                <w:rFonts w:ascii="Arial Narrow" w:hAnsi="Arial Narrow" w:cs="Times New Roman"/>
                <w:snapToGrid/>
                <w:sz w:val="20"/>
                <w:lang w:eastAsia="en-AU"/>
              </w:rPr>
            </w:pPr>
            <w:r w:rsidRPr="00B71566">
              <w:rPr>
                <w:rFonts w:ascii="Arial Narrow" w:hAnsi="Arial Narrow" w:cs="Times New Roman"/>
                <w:snapToGrid/>
                <w:sz w:val="20"/>
                <w:lang w:eastAsia="en-AU"/>
              </w:rPr>
              <w:t>$</w:t>
            </w:r>
            <w:r w:rsidR="00A7393F">
              <w:rPr>
                <w:rFonts w:ascii="Arial Narrow" w:hAnsi="Arial Narrow" w:cs="Times New Roman"/>
                <w:noProof/>
                <w:snapToGrid/>
                <w:color w:val="000000"/>
                <w:sz w:val="20"/>
                <w:highlight w:val="black"/>
                <w:lang w:eastAsia="en-AU"/>
              </w:rPr>
              <w:t>'''''''''''''''''''''''''''''''</w:t>
            </w:r>
          </w:p>
        </w:tc>
        <w:tc>
          <w:tcPr>
            <w:tcW w:w="764" w:type="pct"/>
            <w:shd w:val="clear" w:color="auto" w:fill="auto"/>
            <w:vAlign w:val="center"/>
          </w:tcPr>
          <w:p w:rsidR="00611B4C" w:rsidRPr="00B71566" w:rsidRDefault="00611B4C" w:rsidP="007710BA">
            <w:pPr>
              <w:jc w:val="center"/>
              <w:rPr>
                <w:rFonts w:ascii="Arial Narrow" w:hAnsi="Arial Narrow" w:cs="Times New Roman"/>
                <w:snapToGrid/>
                <w:sz w:val="20"/>
                <w:lang w:eastAsia="en-AU"/>
              </w:rPr>
            </w:pPr>
            <w:r w:rsidRPr="00B71566">
              <w:rPr>
                <w:rFonts w:ascii="Arial Narrow" w:hAnsi="Arial Narrow" w:cs="Times New Roman"/>
                <w:snapToGrid/>
                <w:sz w:val="20"/>
                <w:lang w:eastAsia="en-AU"/>
              </w:rPr>
              <w:t>$</w:t>
            </w:r>
            <w:r w:rsidR="00A7393F">
              <w:rPr>
                <w:rFonts w:ascii="Arial Narrow" w:hAnsi="Arial Narrow" w:cs="Times New Roman"/>
                <w:noProof/>
                <w:snapToGrid/>
                <w:color w:val="000000"/>
                <w:sz w:val="20"/>
                <w:highlight w:val="black"/>
                <w:lang w:eastAsia="en-AU"/>
              </w:rPr>
              <w:t>'''''''''''''''''''''''''''</w:t>
            </w:r>
          </w:p>
        </w:tc>
        <w:tc>
          <w:tcPr>
            <w:tcW w:w="755" w:type="pct"/>
            <w:shd w:val="clear" w:color="auto" w:fill="auto"/>
            <w:vAlign w:val="center"/>
          </w:tcPr>
          <w:p w:rsidR="00611B4C" w:rsidRPr="00B71566" w:rsidRDefault="00611B4C" w:rsidP="007710BA">
            <w:pPr>
              <w:jc w:val="center"/>
              <w:rPr>
                <w:rFonts w:ascii="Arial Narrow" w:hAnsi="Arial Narrow" w:cs="Times New Roman"/>
                <w:snapToGrid/>
                <w:sz w:val="20"/>
                <w:lang w:eastAsia="en-AU"/>
              </w:rPr>
            </w:pPr>
            <w:r w:rsidRPr="00B71566">
              <w:rPr>
                <w:rFonts w:ascii="Arial Narrow" w:hAnsi="Arial Narrow" w:cs="Times New Roman"/>
                <w:snapToGrid/>
                <w:sz w:val="20"/>
                <w:lang w:eastAsia="en-AU"/>
              </w:rPr>
              <w:t>$</w:t>
            </w:r>
            <w:r w:rsidR="00A7393F">
              <w:rPr>
                <w:rFonts w:ascii="Arial Narrow" w:hAnsi="Arial Narrow" w:cs="Times New Roman"/>
                <w:noProof/>
                <w:snapToGrid/>
                <w:color w:val="000000"/>
                <w:sz w:val="20"/>
                <w:highlight w:val="black"/>
                <w:lang w:eastAsia="en-AU"/>
              </w:rPr>
              <w:t>'''''''''''''''''''''''''''</w:t>
            </w:r>
          </w:p>
        </w:tc>
      </w:tr>
      <w:tr w:rsidR="00611B4C" w:rsidRPr="00B71566" w:rsidTr="007710BA">
        <w:tc>
          <w:tcPr>
            <w:tcW w:w="1359" w:type="pct"/>
            <w:shd w:val="clear" w:color="auto" w:fill="auto"/>
            <w:vAlign w:val="center"/>
          </w:tcPr>
          <w:p w:rsidR="00611B4C" w:rsidRPr="00B71566" w:rsidRDefault="00611B4C" w:rsidP="007710BA">
            <w:pPr>
              <w:tabs>
                <w:tab w:val="left" w:pos="142"/>
              </w:tabs>
              <w:jc w:val="left"/>
              <w:rPr>
                <w:rFonts w:ascii="Arial Narrow" w:hAnsi="Arial Narrow" w:cs="Times New Roman"/>
                <w:snapToGrid/>
                <w:sz w:val="20"/>
                <w:lang w:eastAsia="en-AU"/>
              </w:rPr>
            </w:pPr>
            <w:r w:rsidRPr="00B71566">
              <w:rPr>
                <w:rFonts w:ascii="Arial Narrow" w:hAnsi="Arial Narrow" w:cs="Times New Roman"/>
                <w:snapToGrid/>
                <w:sz w:val="20"/>
                <w:lang w:eastAsia="en-AU"/>
              </w:rPr>
              <w:tab/>
              <w:t>Future market dabra + tram</w:t>
            </w:r>
          </w:p>
        </w:tc>
        <w:tc>
          <w:tcPr>
            <w:tcW w:w="679" w:type="pct"/>
            <w:shd w:val="clear" w:color="auto" w:fill="auto"/>
            <w:vAlign w:val="center"/>
          </w:tcPr>
          <w:p w:rsidR="00611B4C" w:rsidRPr="00B71566" w:rsidRDefault="00611B4C" w:rsidP="007710BA">
            <w:pPr>
              <w:jc w:val="center"/>
              <w:rPr>
                <w:rFonts w:ascii="Arial Narrow" w:hAnsi="Arial Narrow" w:cs="Times New Roman"/>
                <w:snapToGrid/>
                <w:sz w:val="20"/>
                <w:lang w:eastAsia="en-AU"/>
              </w:rPr>
            </w:pPr>
            <w:r w:rsidRPr="00B71566">
              <w:rPr>
                <w:rFonts w:ascii="Arial Narrow" w:hAnsi="Arial Narrow"/>
                <w:bCs/>
                <w:sz w:val="20"/>
              </w:rPr>
              <w:t>$</w:t>
            </w:r>
            <w:r w:rsidR="00A7393F">
              <w:rPr>
                <w:rFonts w:ascii="Arial Narrow" w:hAnsi="Arial Narrow"/>
                <w:bCs/>
                <w:noProof/>
                <w:color w:val="000000"/>
                <w:sz w:val="20"/>
                <w:highlight w:val="black"/>
              </w:rPr>
              <w:t>''''''''''''''''''''''''''''</w:t>
            </w:r>
          </w:p>
        </w:tc>
        <w:tc>
          <w:tcPr>
            <w:tcW w:w="679" w:type="pct"/>
            <w:shd w:val="clear" w:color="auto" w:fill="auto"/>
            <w:vAlign w:val="center"/>
          </w:tcPr>
          <w:p w:rsidR="00611B4C" w:rsidRPr="00B71566" w:rsidRDefault="00611B4C" w:rsidP="007710BA">
            <w:pPr>
              <w:jc w:val="center"/>
              <w:rPr>
                <w:rFonts w:ascii="Arial Narrow" w:hAnsi="Arial Narrow" w:cs="Times New Roman"/>
                <w:snapToGrid/>
                <w:sz w:val="20"/>
                <w:lang w:eastAsia="en-AU"/>
              </w:rPr>
            </w:pPr>
            <w:r w:rsidRPr="00B71566">
              <w:rPr>
                <w:rFonts w:ascii="Arial Narrow" w:hAnsi="Arial Narrow"/>
                <w:bCs/>
                <w:sz w:val="20"/>
              </w:rPr>
              <w:t>$</w:t>
            </w:r>
            <w:r w:rsidR="00A7393F">
              <w:rPr>
                <w:rFonts w:ascii="Arial Narrow" w:hAnsi="Arial Narrow"/>
                <w:bCs/>
                <w:noProof/>
                <w:color w:val="000000"/>
                <w:sz w:val="20"/>
                <w:highlight w:val="black"/>
              </w:rPr>
              <w:t>'''''''''''''''''''''''''''</w:t>
            </w:r>
          </w:p>
        </w:tc>
        <w:tc>
          <w:tcPr>
            <w:tcW w:w="764" w:type="pct"/>
            <w:shd w:val="clear" w:color="auto" w:fill="auto"/>
            <w:vAlign w:val="center"/>
          </w:tcPr>
          <w:p w:rsidR="00611B4C" w:rsidRPr="00B71566" w:rsidRDefault="00611B4C" w:rsidP="007710BA">
            <w:pPr>
              <w:jc w:val="center"/>
              <w:rPr>
                <w:rFonts w:ascii="Arial Narrow" w:hAnsi="Arial Narrow" w:cs="Times New Roman"/>
                <w:snapToGrid/>
                <w:sz w:val="20"/>
                <w:lang w:eastAsia="en-AU"/>
              </w:rPr>
            </w:pPr>
            <w:r w:rsidRPr="00B71566">
              <w:rPr>
                <w:rFonts w:ascii="Arial Narrow" w:hAnsi="Arial Narrow"/>
                <w:bCs/>
                <w:sz w:val="20"/>
              </w:rPr>
              <w:t>$</w:t>
            </w:r>
            <w:r w:rsidR="00A7393F">
              <w:rPr>
                <w:rFonts w:ascii="Arial Narrow" w:hAnsi="Arial Narrow"/>
                <w:bCs/>
                <w:noProof/>
                <w:color w:val="000000"/>
                <w:sz w:val="20"/>
                <w:highlight w:val="black"/>
              </w:rPr>
              <w:t>'''''''''''''''''''''''''''''</w:t>
            </w:r>
          </w:p>
        </w:tc>
        <w:tc>
          <w:tcPr>
            <w:tcW w:w="764" w:type="pct"/>
            <w:shd w:val="clear" w:color="auto" w:fill="auto"/>
            <w:vAlign w:val="center"/>
          </w:tcPr>
          <w:p w:rsidR="00611B4C" w:rsidRPr="00B71566" w:rsidRDefault="00611B4C" w:rsidP="007710BA">
            <w:pPr>
              <w:jc w:val="center"/>
              <w:rPr>
                <w:rFonts w:ascii="Arial Narrow" w:hAnsi="Arial Narrow" w:cs="Times New Roman"/>
                <w:snapToGrid/>
                <w:sz w:val="20"/>
                <w:lang w:eastAsia="en-AU"/>
              </w:rPr>
            </w:pPr>
            <w:r w:rsidRPr="00B71566">
              <w:rPr>
                <w:rFonts w:ascii="Arial Narrow" w:hAnsi="Arial Narrow"/>
                <w:bCs/>
                <w:sz w:val="20"/>
              </w:rPr>
              <w:t>$</w:t>
            </w:r>
            <w:r w:rsidR="00A7393F">
              <w:rPr>
                <w:rFonts w:ascii="Arial Narrow" w:hAnsi="Arial Narrow"/>
                <w:bCs/>
                <w:noProof/>
                <w:color w:val="000000"/>
                <w:sz w:val="20"/>
                <w:highlight w:val="black"/>
              </w:rPr>
              <w:t>''''''''''''''''''''''''''''''''</w:t>
            </w:r>
          </w:p>
        </w:tc>
        <w:tc>
          <w:tcPr>
            <w:tcW w:w="755" w:type="pct"/>
            <w:shd w:val="clear" w:color="auto" w:fill="auto"/>
            <w:vAlign w:val="center"/>
          </w:tcPr>
          <w:p w:rsidR="00611B4C" w:rsidRPr="00B71566" w:rsidRDefault="00611B4C" w:rsidP="007710BA">
            <w:pPr>
              <w:jc w:val="center"/>
              <w:rPr>
                <w:rFonts w:ascii="Arial Narrow" w:hAnsi="Arial Narrow" w:cs="Times New Roman"/>
                <w:snapToGrid/>
                <w:sz w:val="20"/>
                <w:lang w:eastAsia="en-AU"/>
              </w:rPr>
            </w:pPr>
            <w:r w:rsidRPr="00B71566">
              <w:rPr>
                <w:rFonts w:ascii="Arial Narrow" w:hAnsi="Arial Narrow"/>
                <w:bCs/>
                <w:sz w:val="20"/>
              </w:rPr>
              <w:t>$</w:t>
            </w:r>
            <w:r w:rsidR="00A7393F">
              <w:rPr>
                <w:rFonts w:ascii="Arial Narrow" w:hAnsi="Arial Narrow"/>
                <w:bCs/>
                <w:noProof/>
                <w:color w:val="000000"/>
                <w:sz w:val="20"/>
                <w:highlight w:val="black"/>
              </w:rPr>
              <w:t>'''''''''''''''''''''''''''''</w:t>
            </w:r>
          </w:p>
        </w:tc>
      </w:tr>
      <w:tr w:rsidR="00611B4C" w:rsidRPr="00B71566" w:rsidTr="007710BA">
        <w:tc>
          <w:tcPr>
            <w:tcW w:w="1359" w:type="pct"/>
            <w:shd w:val="clear" w:color="auto" w:fill="auto"/>
            <w:vAlign w:val="center"/>
          </w:tcPr>
          <w:p w:rsidR="00611B4C" w:rsidRPr="00B71566" w:rsidRDefault="00611B4C" w:rsidP="007710BA">
            <w:pPr>
              <w:tabs>
                <w:tab w:val="left" w:pos="142"/>
              </w:tabs>
              <w:jc w:val="left"/>
              <w:rPr>
                <w:rFonts w:ascii="Arial Narrow" w:hAnsi="Arial Narrow"/>
                <w:sz w:val="20"/>
              </w:rPr>
            </w:pPr>
            <w:r w:rsidRPr="00B71566">
              <w:rPr>
                <w:rFonts w:ascii="Arial Narrow" w:hAnsi="Arial Narrow" w:cs="Times New Roman"/>
                <w:snapToGrid/>
                <w:sz w:val="20"/>
                <w:lang w:eastAsia="en-AU"/>
              </w:rPr>
              <w:tab/>
              <w:t>Future market vem + cobi</w:t>
            </w:r>
          </w:p>
        </w:tc>
        <w:tc>
          <w:tcPr>
            <w:tcW w:w="679" w:type="pct"/>
            <w:shd w:val="clear" w:color="auto" w:fill="auto"/>
            <w:vAlign w:val="center"/>
          </w:tcPr>
          <w:p w:rsidR="00611B4C" w:rsidRPr="00B71566" w:rsidRDefault="00611B4C" w:rsidP="007710BA">
            <w:pPr>
              <w:jc w:val="center"/>
              <w:rPr>
                <w:rFonts w:ascii="Arial Narrow" w:hAnsi="Arial Narrow"/>
                <w:bCs/>
                <w:color w:val="000000"/>
                <w:sz w:val="20"/>
              </w:rPr>
            </w:pPr>
            <w:r w:rsidRPr="00B71566">
              <w:rPr>
                <w:rFonts w:ascii="Arial Narrow" w:hAnsi="Arial Narrow"/>
                <w:bCs/>
                <w:sz w:val="20"/>
              </w:rPr>
              <w:t>$</w:t>
            </w:r>
            <w:r w:rsidR="00A7393F">
              <w:rPr>
                <w:rFonts w:ascii="Arial Narrow" w:hAnsi="Arial Narrow"/>
                <w:bCs/>
                <w:noProof/>
                <w:color w:val="000000"/>
                <w:sz w:val="20"/>
                <w:highlight w:val="black"/>
              </w:rPr>
              <w:t>'''''''''''''''''''''''''''''</w:t>
            </w:r>
          </w:p>
        </w:tc>
        <w:tc>
          <w:tcPr>
            <w:tcW w:w="679" w:type="pct"/>
            <w:shd w:val="clear" w:color="auto" w:fill="auto"/>
            <w:vAlign w:val="center"/>
          </w:tcPr>
          <w:p w:rsidR="00611B4C" w:rsidRPr="00B71566" w:rsidRDefault="00611B4C" w:rsidP="007710BA">
            <w:pPr>
              <w:jc w:val="center"/>
              <w:rPr>
                <w:rFonts w:ascii="Arial Narrow" w:hAnsi="Arial Narrow"/>
                <w:bCs/>
                <w:color w:val="000000"/>
                <w:sz w:val="20"/>
              </w:rPr>
            </w:pPr>
            <w:r w:rsidRPr="00B71566">
              <w:rPr>
                <w:rFonts w:ascii="Arial Narrow" w:hAnsi="Arial Narrow"/>
                <w:bCs/>
                <w:sz w:val="20"/>
              </w:rPr>
              <w:t>$</w:t>
            </w:r>
            <w:r w:rsidR="00A7393F">
              <w:rPr>
                <w:rFonts w:ascii="Arial Narrow" w:hAnsi="Arial Narrow"/>
                <w:bCs/>
                <w:noProof/>
                <w:color w:val="000000"/>
                <w:sz w:val="20"/>
                <w:highlight w:val="black"/>
              </w:rPr>
              <w:t>'''''''''''''''''''''''''</w:t>
            </w:r>
          </w:p>
        </w:tc>
        <w:tc>
          <w:tcPr>
            <w:tcW w:w="764" w:type="pct"/>
            <w:shd w:val="clear" w:color="auto" w:fill="auto"/>
            <w:vAlign w:val="center"/>
          </w:tcPr>
          <w:p w:rsidR="00611B4C" w:rsidRPr="00B71566" w:rsidRDefault="00611B4C" w:rsidP="007710BA">
            <w:pPr>
              <w:jc w:val="center"/>
              <w:rPr>
                <w:rFonts w:ascii="Arial Narrow" w:hAnsi="Arial Narrow"/>
                <w:bCs/>
                <w:color w:val="000000"/>
                <w:sz w:val="20"/>
              </w:rPr>
            </w:pPr>
            <w:r w:rsidRPr="00B71566">
              <w:rPr>
                <w:rFonts w:ascii="Arial Narrow" w:hAnsi="Arial Narrow"/>
                <w:bCs/>
                <w:sz w:val="20"/>
              </w:rPr>
              <w:t>$</w:t>
            </w:r>
            <w:r w:rsidR="00A7393F">
              <w:rPr>
                <w:rFonts w:ascii="Arial Narrow" w:hAnsi="Arial Narrow"/>
                <w:bCs/>
                <w:noProof/>
                <w:color w:val="000000"/>
                <w:sz w:val="20"/>
                <w:highlight w:val="black"/>
              </w:rPr>
              <w:t>'''''''''''''''''''''''''</w:t>
            </w:r>
          </w:p>
        </w:tc>
        <w:tc>
          <w:tcPr>
            <w:tcW w:w="764" w:type="pct"/>
            <w:shd w:val="clear" w:color="auto" w:fill="auto"/>
            <w:vAlign w:val="center"/>
          </w:tcPr>
          <w:p w:rsidR="00611B4C" w:rsidRPr="00B71566" w:rsidRDefault="00611B4C" w:rsidP="007710BA">
            <w:pPr>
              <w:jc w:val="center"/>
              <w:rPr>
                <w:rFonts w:ascii="Arial Narrow" w:hAnsi="Arial Narrow"/>
                <w:bCs/>
                <w:color w:val="000000"/>
                <w:sz w:val="20"/>
              </w:rPr>
            </w:pPr>
            <w:r w:rsidRPr="00B71566">
              <w:rPr>
                <w:rFonts w:ascii="Arial Narrow" w:hAnsi="Arial Narrow"/>
                <w:bCs/>
                <w:sz w:val="20"/>
              </w:rPr>
              <w:t>$</w:t>
            </w:r>
            <w:r w:rsidR="00A7393F">
              <w:rPr>
                <w:rFonts w:ascii="Arial Narrow" w:hAnsi="Arial Narrow"/>
                <w:bCs/>
                <w:noProof/>
                <w:color w:val="000000"/>
                <w:sz w:val="20"/>
                <w:highlight w:val="black"/>
              </w:rPr>
              <w:t>'''''''''''''''''''''''''</w:t>
            </w:r>
          </w:p>
        </w:tc>
        <w:tc>
          <w:tcPr>
            <w:tcW w:w="755" w:type="pct"/>
            <w:shd w:val="clear" w:color="auto" w:fill="auto"/>
            <w:vAlign w:val="center"/>
          </w:tcPr>
          <w:p w:rsidR="00611B4C" w:rsidRPr="00B71566" w:rsidRDefault="00611B4C" w:rsidP="007710BA">
            <w:pPr>
              <w:jc w:val="center"/>
              <w:rPr>
                <w:rFonts w:ascii="Arial Narrow" w:hAnsi="Arial Narrow"/>
                <w:bCs/>
                <w:color w:val="000000"/>
                <w:sz w:val="20"/>
              </w:rPr>
            </w:pPr>
            <w:r w:rsidRPr="00B71566">
              <w:rPr>
                <w:rFonts w:ascii="Arial Narrow" w:hAnsi="Arial Narrow"/>
                <w:bCs/>
                <w:sz w:val="20"/>
              </w:rPr>
              <w:t>$</w:t>
            </w:r>
            <w:r w:rsidR="00A7393F">
              <w:rPr>
                <w:rFonts w:ascii="Arial Narrow" w:hAnsi="Arial Narrow"/>
                <w:bCs/>
                <w:noProof/>
                <w:color w:val="000000"/>
                <w:sz w:val="20"/>
                <w:highlight w:val="black"/>
              </w:rPr>
              <w:t>'''''''''''''''''''''''''''''</w:t>
            </w:r>
          </w:p>
        </w:tc>
      </w:tr>
      <w:tr w:rsidR="00611B4C" w:rsidRPr="00B71566" w:rsidTr="007710BA">
        <w:tc>
          <w:tcPr>
            <w:tcW w:w="1359" w:type="pct"/>
            <w:shd w:val="clear" w:color="auto" w:fill="auto"/>
            <w:vAlign w:val="center"/>
          </w:tcPr>
          <w:p w:rsidR="00611B4C" w:rsidRPr="00B71566" w:rsidRDefault="00611B4C" w:rsidP="007710BA">
            <w:pPr>
              <w:tabs>
                <w:tab w:val="left" w:pos="142"/>
              </w:tabs>
              <w:jc w:val="left"/>
              <w:rPr>
                <w:rFonts w:ascii="Arial Narrow" w:hAnsi="Arial Narrow"/>
                <w:sz w:val="20"/>
              </w:rPr>
            </w:pPr>
            <w:r w:rsidRPr="00B71566">
              <w:rPr>
                <w:rFonts w:ascii="Arial Narrow" w:hAnsi="Arial Narrow" w:cs="Times New Roman"/>
                <w:snapToGrid/>
                <w:sz w:val="20"/>
                <w:lang w:eastAsia="en-AU"/>
              </w:rPr>
              <w:t>Total future market</w:t>
            </w:r>
          </w:p>
        </w:tc>
        <w:tc>
          <w:tcPr>
            <w:tcW w:w="679" w:type="pct"/>
            <w:shd w:val="clear" w:color="auto" w:fill="auto"/>
            <w:vAlign w:val="center"/>
          </w:tcPr>
          <w:p w:rsidR="00611B4C" w:rsidRPr="00B71566" w:rsidRDefault="00611B4C" w:rsidP="007710BA">
            <w:pPr>
              <w:jc w:val="center"/>
              <w:rPr>
                <w:rFonts w:ascii="Arial Narrow" w:hAnsi="Arial Narrow"/>
                <w:bCs/>
                <w:color w:val="000000"/>
                <w:sz w:val="20"/>
              </w:rPr>
            </w:pPr>
            <w:r w:rsidRPr="00B71566">
              <w:rPr>
                <w:rFonts w:ascii="Arial Narrow" w:hAnsi="Arial Narrow" w:cs="Times New Roman"/>
                <w:snapToGrid/>
                <w:sz w:val="20"/>
                <w:lang w:eastAsia="en-AU"/>
              </w:rPr>
              <w:t>$</w:t>
            </w:r>
            <w:r w:rsidR="00A7393F">
              <w:rPr>
                <w:rFonts w:ascii="Arial Narrow" w:hAnsi="Arial Narrow" w:cs="Times New Roman"/>
                <w:noProof/>
                <w:snapToGrid/>
                <w:color w:val="000000"/>
                <w:sz w:val="20"/>
                <w:highlight w:val="black"/>
                <w:lang w:eastAsia="en-AU"/>
              </w:rPr>
              <w:t>''''''''''''''''''''''''''''''</w:t>
            </w:r>
          </w:p>
        </w:tc>
        <w:tc>
          <w:tcPr>
            <w:tcW w:w="679" w:type="pct"/>
            <w:shd w:val="clear" w:color="auto" w:fill="auto"/>
            <w:vAlign w:val="center"/>
          </w:tcPr>
          <w:p w:rsidR="00611B4C" w:rsidRPr="00B71566" w:rsidRDefault="00611B4C" w:rsidP="007710BA">
            <w:pPr>
              <w:jc w:val="center"/>
              <w:rPr>
                <w:rFonts w:ascii="Arial Narrow" w:hAnsi="Arial Narrow"/>
                <w:bCs/>
                <w:color w:val="000000"/>
                <w:sz w:val="20"/>
              </w:rPr>
            </w:pPr>
            <w:r w:rsidRPr="00B71566">
              <w:rPr>
                <w:rFonts w:ascii="Arial Narrow" w:hAnsi="Arial Narrow" w:cs="Times New Roman"/>
                <w:snapToGrid/>
                <w:sz w:val="20"/>
                <w:lang w:eastAsia="en-AU"/>
              </w:rPr>
              <w:t>$</w:t>
            </w:r>
            <w:r w:rsidR="00A7393F">
              <w:rPr>
                <w:rFonts w:ascii="Arial Narrow" w:hAnsi="Arial Narrow" w:cs="Times New Roman"/>
                <w:noProof/>
                <w:snapToGrid/>
                <w:color w:val="000000"/>
                <w:sz w:val="20"/>
                <w:highlight w:val="black"/>
                <w:lang w:eastAsia="en-AU"/>
              </w:rPr>
              <w:t>''''''''''''''''''''''''''''''</w:t>
            </w:r>
          </w:p>
        </w:tc>
        <w:tc>
          <w:tcPr>
            <w:tcW w:w="764" w:type="pct"/>
            <w:shd w:val="clear" w:color="auto" w:fill="auto"/>
            <w:vAlign w:val="center"/>
          </w:tcPr>
          <w:p w:rsidR="00611B4C" w:rsidRPr="00B71566" w:rsidRDefault="00611B4C" w:rsidP="007710BA">
            <w:pPr>
              <w:jc w:val="center"/>
              <w:rPr>
                <w:rFonts w:ascii="Arial Narrow" w:hAnsi="Arial Narrow"/>
                <w:bCs/>
                <w:color w:val="000000"/>
                <w:sz w:val="20"/>
              </w:rPr>
            </w:pPr>
            <w:r w:rsidRPr="00B71566">
              <w:rPr>
                <w:rFonts w:ascii="Arial Narrow" w:hAnsi="Arial Narrow" w:cs="Times New Roman"/>
                <w:snapToGrid/>
                <w:sz w:val="20"/>
                <w:lang w:eastAsia="en-AU"/>
              </w:rPr>
              <w:t>$</w:t>
            </w:r>
            <w:r w:rsidR="00A7393F">
              <w:rPr>
                <w:rFonts w:ascii="Arial Narrow" w:hAnsi="Arial Narrow" w:cs="Times New Roman"/>
                <w:noProof/>
                <w:snapToGrid/>
                <w:color w:val="000000"/>
                <w:sz w:val="20"/>
                <w:highlight w:val="black"/>
                <w:lang w:eastAsia="en-AU"/>
              </w:rPr>
              <w:t>'''''''''''''''''''''''''''''''</w:t>
            </w:r>
          </w:p>
        </w:tc>
        <w:tc>
          <w:tcPr>
            <w:tcW w:w="764" w:type="pct"/>
            <w:shd w:val="clear" w:color="auto" w:fill="auto"/>
            <w:vAlign w:val="center"/>
          </w:tcPr>
          <w:p w:rsidR="00611B4C" w:rsidRPr="00B71566" w:rsidRDefault="00611B4C" w:rsidP="007710BA">
            <w:pPr>
              <w:jc w:val="center"/>
              <w:rPr>
                <w:rFonts w:ascii="Arial Narrow" w:hAnsi="Arial Narrow"/>
                <w:bCs/>
                <w:color w:val="000000"/>
                <w:sz w:val="20"/>
              </w:rPr>
            </w:pPr>
            <w:r w:rsidRPr="00B71566">
              <w:rPr>
                <w:rFonts w:ascii="Arial Narrow" w:hAnsi="Arial Narrow" w:cs="Times New Roman"/>
                <w:snapToGrid/>
                <w:sz w:val="20"/>
                <w:lang w:eastAsia="en-AU"/>
              </w:rPr>
              <w:t>$</w:t>
            </w:r>
            <w:r w:rsidR="00A7393F">
              <w:rPr>
                <w:rFonts w:ascii="Arial Narrow" w:hAnsi="Arial Narrow" w:cs="Times New Roman"/>
                <w:noProof/>
                <w:snapToGrid/>
                <w:color w:val="000000"/>
                <w:sz w:val="20"/>
                <w:highlight w:val="black"/>
                <w:lang w:eastAsia="en-AU"/>
              </w:rPr>
              <w:t>'''''''''''''''''''''''''''</w:t>
            </w:r>
          </w:p>
        </w:tc>
        <w:tc>
          <w:tcPr>
            <w:tcW w:w="755" w:type="pct"/>
            <w:shd w:val="clear" w:color="auto" w:fill="auto"/>
            <w:vAlign w:val="center"/>
          </w:tcPr>
          <w:p w:rsidR="00611B4C" w:rsidRPr="00B71566" w:rsidRDefault="00611B4C" w:rsidP="007710BA">
            <w:pPr>
              <w:jc w:val="center"/>
              <w:rPr>
                <w:rFonts w:ascii="Arial Narrow" w:hAnsi="Arial Narrow"/>
                <w:bCs/>
                <w:color w:val="000000"/>
                <w:sz w:val="20"/>
              </w:rPr>
            </w:pPr>
            <w:r w:rsidRPr="00B71566">
              <w:rPr>
                <w:rFonts w:ascii="Arial Narrow" w:hAnsi="Arial Narrow" w:cs="Times New Roman"/>
                <w:snapToGrid/>
                <w:sz w:val="20"/>
                <w:lang w:eastAsia="en-AU"/>
              </w:rPr>
              <w:t>$</w:t>
            </w:r>
            <w:r w:rsidR="00A7393F">
              <w:rPr>
                <w:rFonts w:ascii="Arial Narrow" w:hAnsi="Arial Narrow" w:cs="Times New Roman"/>
                <w:noProof/>
                <w:snapToGrid/>
                <w:color w:val="000000"/>
                <w:sz w:val="20"/>
                <w:highlight w:val="black"/>
                <w:lang w:eastAsia="en-AU"/>
              </w:rPr>
              <w:t>'''''''''''''''''''''''''''</w:t>
            </w:r>
          </w:p>
        </w:tc>
      </w:tr>
      <w:tr w:rsidR="00430CCC" w:rsidRPr="00B71566" w:rsidTr="007710BA">
        <w:tc>
          <w:tcPr>
            <w:tcW w:w="1359" w:type="pct"/>
            <w:shd w:val="clear" w:color="auto" w:fill="auto"/>
            <w:vAlign w:val="center"/>
          </w:tcPr>
          <w:p w:rsidR="00430CCC" w:rsidRPr="00B71566" w:rsidRDefault="00430CCC" w:rsidP="007710BA">
            <w:pPr>
              <w:tabs>
                <w:tab w:val="left" w:pos="142"/>
              </w:tabs>
              <w:jc w:val="left"/>
              <w:rPr>
                <w:rFonts w:ascii="Arial Narrow" w:hAnsi="Arial Narrow"/>
                <w:b/>
                <w:sz w:val="20"/>
              </w:rPr>
            </w:pPr>
            <w:r w:rsidRPr="00B71566">
              <w:rPr>
                <w:rFonts w:ascii="Arial Narrow" w:hAnsi="Arial Narrow"/>
                <w:b/>
                <w:sz w:val="20"/>
              </w:rPr>
              <w:t>Net cost to PBS/RPBS</w:t>
            </w:r>
          </w:p>
        </w:tc>
        <w:tc>
          <w:tcPr>
            <w:tcW w:w="679" w:type="pct"/>
            <w:shd w:val="clear" w:color="auto" w:fill="auto"/>
            <w:vAlign w:val="center"/>
          </w:tcPr>
          <w:p w:rsidR="00430CCC" w:rsidRPr="00B71566" w:rsidRDefault="00430CCC" w:rsidP="007710BA">
            <w:pPr>
              <w:jc w:val="center"/>
              <w:rPr>
                <w:rFonts w:ascii="Arial Narrow" w:hAnsi="Arial Narrow"/>
                <w:b/>
                <w:bCs/>
                <w:color w:val="000000"/>
                <w:sz w:val="20"/>
              </w:rPr>
            </w:pPr>
            <w:r w:rsidRPr="00B71566">
              <w:rPr>
                <w:rFonts w:ascii="Arial Narrow" w:hAnsi="Arial Narrow"/>
                <w:b/>
                <w:bCs/>
                <w:color w:val="000000"/>
                <w:sz w:val="20"/>
              </w:rPr>
              <w:t>-$</w:t>
            </w:r>
            <w:r w:rsidR="00A7393F">
              <w:rPr>
                <w:rFonts w:ascii="Arial Narrow" w:hAnsi="Arial Narrow"/>
                <w:b/>
                <w:bCs/>
                <w:noProof/>
                <w:color w:val="000000"/>
                <w:sz w:val="20"/>
                <w:highlight w:val="black"/>
              </w:rPr>
              <w:t>'''''''''''''''''''</w:t>
            </w:r>
          </w:p>
        </w:tc>
        <w:tc>
          <w:tcPr>
            <w:tcW w:w="679" w:type="pct"/>
            <w:shd w:val="clear" w:color="auto" w:fill="auto"/>
            <w:vAlign w:val="center"/>
          </w:tcPr>
          <w:p w:rsidR="00430CCC" w:rsidRPr="00B71566" w:rsidRDefault="00430CCC" w:rsidP="007710BA">
            <w:pPr>
              <w:jc w:val="center"/>
              <w:rPr>
                <w:rFonts w:ascii="Arial Narrow" w:hAnsi="Arial Narrow"/>
                <w:b/>
                <w:bCs/>
                <w:color w:val="000000"/>
                <w:sz w:val="20"/>
              </w:rPr>
            </w:pPr>
            <w:r w:rsidRPr="00B71566">
              <w:rPr>
                <w:rFonts w:ascii="Arial Narrow" w:hAnsi="Arial Narrow"/>
                <w:b/>
                <w:bCs/>
                <w:color w:val="000000"/>
                <w:sz w:val="20"/>
              </w:rPr>
              <w:t>-$</w:t>
            </w:r>
            <w:r w:rsidR="00A7393F">
              <w:rPr>
                <w:rFonts w:ascii="Arial Narrow" w:hAnsi="Arial Narrow"/>
                <w:b/>
                <w:bCs/>
                <w:noProof/>
                <w:color w:val="000000"/>
                <w:sz w:val="20"/>
                <w:highlight w:val="black"/>
              </w:rPr>
              <w:t>''''''''''''''''''''</w:t>
            </w:r>
          </w:p>
        </w:tc>
        <w:tc>
          <w:tcPr>
            <w:tcW w:w="764" w:type="pct"/>
            <w:shd w:val="clear" w:color="auto" w:fill="auto"/>
            <w:vAlign w:val="center"/>
          </w:tcPr>
          <w:p w:rsidR="00430CCC" w:rsidRPr="00B71566" w:rsidRDefault="00430CCC" w:rsidP="007710BA">
            <w:pPr>
              <w:jc w:val="center"/>
              <w:rPr>
                <w:rFonts w:ascii="Arial Narrow" w:hAnsi="Arial Narrow"/>
                <w:b/>
                <w:bCs/>
                <w:color w:val="000000"/>
                <w:sz w:val="20"/>
              </w:rPr>
            </w:pPr>
            <w:r w:rsidRPr="00B71566">
              <w:rPr>
                <w:rFonts w:ascii="Arial Narrow" w:hAnsi="Arial Narrow"/>
                <w:b/>
                <w:bCs/>
                <w:color w:val="000000"/>
                <w:sz w:val="20"/>
              </w:rPr>
              <w:t>-$</w:t>
            </w:r>
            <w:r w:rsidR="00A7393F">
              <w:rPr>
                <w:rFonts w:ascii="Arial Narrow" w:hAnsi="Arial Narrow"/>
                <w:b/>
                <w:bCs/>
                <w:noProof/>
                <w:color w:val="000000"/>
                <w:sz w:val="20"/>
                <w:highlight w:val="black"/>
              </w:rPr>
              <w:t>''''''''''''''''''</w:t>
            </w:r>
          </w:p>
        </w:tc>
        <w:tc>
          <w:tcPr>
            <w:tcW w:w="764" w:type="pct"/>
            <w:shd w:val="clear" w:color="auto" w:fill="auto"/>
            <w:vAlign w:val="center"/>
          </w:tcPr>
          <w:p w:rsidR="00430CCC" w:rsidRPr="00B71566" w:rsidRDefault="00430CCC" w:rsidP="007710BA">
            <w:pPr>
              <w:jc w:val="center"/>
              <w:rPr>
                <w:rFonts w:ascii="Arial Narrow" w:hAnsi="Arial Narrow"/>
                <w:b/>
                <w:bCs/>
                <w:color w:val="000000"/>
                <w:sz w:val="20"/>
              </w:rPr>
            </w:pPr>
            <w:r w:rsidRPr="00B71566">
              <w:rPr>
                <w:rFonts w:ascii="Arial Narrow" w:hAnsi="Arial Narrow"/>
                <w:b/>
                <w:bCs/>
                <w:color w:val="000000"/>
                <w:sz w:val="20"/>
              </w:rPr>
              <w:t>-$</w:t>
            </w:r>
            <w:r w:rsidR="00A7393F">
              <w:rPr>
                <w:rFonts w:ascii="Arial Narrow" w:hAnsi="Arial Narrow"/>
                <w:b/>
                <w:bCs/>
                <w:noProof/>
                <w:color w:val="000000"/>
                <w:sz w:val="20"/>
                <w:highlight w:val="black"/>
              </w:rPr>
              <w:t>''''''''''''''''''''</w:t>
            </w:r>
          </w:p>
        </w:tc>
        <w:tc>
          <w:tcPr>
            <w:tcW w:w="755" w:type="pct"/>
            <w:shd w:val="clear" w:color="auto" w:fill="auto"/>
            <w:vAlign w:val="center"/>
          </w:tcPr>
          <w:p w:rsidR="00430CCC" w:rsidRPr="00B71566" w:rsidRDefault="00430CCC" w:rsidP="007710BA">
            <w:pPr>
              <w:jc w:val="center"/>
              <w:rPr>
                <w:rFonts w:ascii="Arial Narrow" w:hAnsi="Arial Narrow"/>
                <w:b/>
                <w:bCs/>
                <w:color w:val="000000"/>
                <w:sz w:val="20"/>
              </w:rPr>
            </w:pPr>
            <w:r w:rsidRPr="00B71566">
              <w:rPr>
                <w:rFonts w:ascii="Arial Narrow" w:hAnsi="Arial Narrow"/>
                <w:b/>
                <w:bCs/>
                <w:color w:val="000000"/>
                <w:sz w:val="20"/>
              </w:rPr>
              <w:t>-$</w:t>
            </w:r>
            <w:r w:rsidR="00A7393F">
              <w:rPr>
                <w:rFonts w:ascii="Arial Narrow" w:hAnsi="Arial Narrow"/>
                <w:b/>
                <w:bCs/>
                <w:noProof/>
                <w:color w:val="000000"/>
                <w:sz w:val="20"/>
                <w:highlight w:val="black"/>
              </w:rPr>
              <w:t>'''''''''''''''''''''</w:t>
            </w:r>
          </w:p>
        </w:tc>
      </w:tr>
    </w:tbl>
    <w:p w:rsidR="00430CCC" w:rsidRPr="00B71566" w:rsidRDefault="00430CCC" w:rsidP="00430CCC">
      <w:pPr>
        <w:pStyle w:val="TableFooter"/>
        <w:tabs>
          <w:tab w:val="left" w:pos="851"/>
        </w:tabs>
        <w:ind w:left="851" w:hanging="131"/>
      </w:pPr>
      <w:r w:rsidRPr="00B71566">
        <w:rPr>
          <w:sz w:val="16"/>
          <w:szCs w:val="18"/>
        </w:rPr>
        <w:t xml:space="preserve">Source: </w:t>
      </w:r>
      <w:r w:rsidRPr="00B71566">
        <w:rPr>
          <w:szCs w:val="18"/>
        </w:rPr>
        <w:t>Table E.2.3, p4, Table E.4.1, p10 Section E-MS of the submission</w:t>
      </w:r>
      <w:r w:rsidR="00FF7B3B" w:rsidRPr="00B71566">
        <w:rPr>
          <w:szCs w:val="18"/>
        </w:rPr>
        <w:t xml:space="preserve"> and ‘Financial Cost to PBS’ Excel file</w:t>
      </w:r>
      <w:r w:rsidRPr="00B71566">
        <w:rPr>
          <w:szCs w:val="18"/>
        </w:rPr>
        <w:t>.</w:t>
      </w:r>
    </w:p>
    <w:p w:rsidR="007710BA" w:rsidRPr="00B71566" w:rsidRDefault="007710BA" w:rsidP="00430CCC">
      <w:pPr>
        <w:pStyle w:val="TableFooter"/>
        <w:tabs>
          <w:tab w:val="left" w:pos="851"/>
        </w:tabs>
        <w:ind w:left="851" w:hanging="131"/>
      </w:pPr>
      <w:r w:rsidRPr="00B71566">
        <w:rPr>
          <w:vertAlign w:val="superscript"/>
        </w:rPr>
        <w:t>a</w:t>
      </w:r>
      <w:r w:rsidR="00430CCC" w:rsidRPr="00B71566">
        <w:tab/>
      </w:r>
      <w:r w:rsidRPr="00B71566">
        <w:t xml:space="preserve">Assuming scripts required per year per patient will be as estimated by the submission from the clinical trials (approx. </w:t>
      </w:r>
      <w:r w:rsidR="00A7393F">
        <w:rPr>
          <w:noProof/>
          <w:color w:val="000000"/>
          <w:highlight w:val="black"/>
        </w:rPr>
        <w:t>''''''''''</w:t>
      </w:r>
      <w:r w:rsidRPr="00B71566">
        <w:t xml:space="preserve"> scripts).</w:t>
      </w:r>
    </w:p>
    <w:p w:rsidR="00611B4C" w:rsidRDefault="00611B4C" w:rsidP="00430CCC">
      <w:pPr>
        <w:pStyle w:val="TableFooter"/>
        <w:tabs>
          <w:tab w:val="left" w:pos="851"/>
        </w:tabs>
        <w:ind w:left="851" w:hanging="131"/>
      </w:pPr>
      <w:r w:rsidRPr="00B71566">
        <w:t>cobi=cobimetinib; dabra=dabrafenib; tram=trametinib; vem=vemurafenib</w:t>
      </w:r>
    </w:p>
    <w:p w:rsidR="00042131" w:rsidRDefault="00042131" w:rsidP="00430CCC">
      <w:pPr>
        <w:pStyle w:val="TableFooter"/>
        <w:tabs>
          <w:tab w:val="left" w:pos="851"/>
        </w:tabs>
        <w:ind w:left="851" w:hanging="131"/>
      </w:pPr>
    </w:p>
    <w:p w:rsidR="00042131" w:rsidRPr="00042131" w:rsidRDefault="00042131" w:rsidP="00CB0372">
      <w:pPr>
        <w:pStyle w:val="TableFooter"/>
        <w:tabs>
          <w:tab w:val="left" w:pos="709"/>
        </w:tabs>
        <w:ind w:left="709" w:firstLine="11"/>
        <w:rPr>
          <w:rFonts w:ascii="Arial" w:hAnsi="Arial"/>
          <w:sz w:val="22"/>
          <w:szCs w:val="22"/>
        </w:rPr>
      </w:pPr>
      <w:r w:rsidRPr="00042131">
        <w:rPr>
          <w:rFonts w:ascii="Arial" w:hAnsi="Arial"/>
          <w:sz w:val="22"/>
          <w:szCs w:val="22"/>
        </w:rPr>
        <w:t>The redacted</w:t>
      </w:r>
      <w:r>
        <w:rPr>
          <w:rFonts w:ascii="Arial" w:hAnsi="Arial"/>
          <w:sz w:val="22"/>
          <w:szCs w:val="22"/>
        </w:rPr>
        <w:t xml:space="preserve"> table above shows that at year 5, </w:t>
      </w:r>
      <w:r w:rsidR="00CB0372">
        <w:rPr>
          <w:rFonts w:ascii="Arial" w:hAnsi="Arial"/>
          <w:sz w:val="22"/>
          <w:szCs w:val="22"/>
        </w:rPr>
        <w:t>the estimated number of scripts w</w:t>
      </w:r>
      <w:r w:rsidR="001540FE">
        <w:rPr>
          <w:rFonts w:ascii="Arial" w:hAnsi="Arial"/>
          <w:sz w:val="22"/>
          <w:szCs w:val="22"/>
        </w:rPr>
        <w:t>ould</w:t>
      </w:r>
      <w:r w:rsidR="00692593">
        <w:rPr>
          <w:rFonts w:ascii="Arial" w:hAnsi="Arial"/>
          <w:sz w:val="22"/>
          <w:szCs w:val="22"/>
        </w:rPr>
        <w:t xml:space="preserve"> be</w:t>
      </w:r>
      <w:r w:rsidR="00CB0372">
        <w:rPr>
          <w:rFonts w:ascii="Arial" w:hAnsi="Arial"/>
          <w:sz w:val="22"/>
          <w:szCs w:val="22"/>
        </w:rPr>
        <w:t xml:space="preserve"> less than 10,000 and the net saving to PBS would be less than $10 million.</w:t>
      </w:r>
    </w:p>
    <w:p w:rsidR="00042131" w:rsidRPr="00B71566" w:rsidRDefault="00042131" w:rsidP="00430CCC">
      <w:pPr>
        <w:pStyle w:val="TableFooter"/>
        <w:tabs>
          <w:tab w:val="left" w:pos="851"/>
        </w:tabs>
        <w:ind w:left="851" w:hanging="131"/>
        <w:rPr>
          <w:sz w:val="16"/>
          <w:szCs w:val="18"/>
        </w:rPr>
      </w:pPr>
    </w:p>
    <w:p w:rsidR="00C25D9C" w:rsidRPr="00B71566" w:rsidRDefault="00C25D9C" w:rsidP="00C25D9C">
      <w:pPr>
        <w:widowControl/>
        <w:rPr>
          <w:szCs w:val="22"/>
        </w:rPr>
      </w:pPr>
    </w:p>
    <w:p w:rsidR="00152BE9" w:rsidRPr="00B71566" w:rsidRDefault="00152BE9" w:rsidP="00654033">
      <w:pPr>
        <w:pStyle w:val="ListParagraph"/>
      </w:pPr>
      <w:r w:rsidRPr="00B71566">
        <w:t xml:space="preserve">Although </w:t>
      </w:r>
      <w:r w:rsidR="00A63E9C">
        <w:t xml:space="preserve">no financial </w:t>
      </w:r>
      <w:r w:rsidRPr="00B71566">
        <w:t>impact was predicted by the submission, the financial estimates indicat</w:t>
      </w:r>
      <w:r w:rsidR="00144688" w:rsidRPr="00B71566">
        <w:t>e</w:t>
      </w:r>
      <w:r w:rsidR="005F4787">
        <w:t>d</w:t>
      </w:r>
      <w:r w:rsidR="00144688" w:rsidRPr="00B71566">
        <w:t xml:space="preserve"> </w:t>
      </w:r>
      <w:r w:rsidR="00A63E9C">
        <w:t xml:space="preserve">a </w:t>
      </w:r>
      <w:r w:rsidR="00144688" w:rsidRPr="00B71566">
        <w:t xml:space="preserve">net saving of </w:t>
      </w:r>
      <w:r w:rsidR="00613407">
        <w:t xml:space="preserve">less than $10 million per year </w:t>
      </w:r>
      <w:r w:rsidR="00144688" w:rsidRPr="00B71566">
        <w:t>in the firs</w:t>
      </w:r>
      <w:r w:rsidRPr="00B71566">
        <w:t>t</w:t>
      </w:r>
      <w:r w:rsidR="00144688" w:rsidRPr="00B71566">
        <w:t xml:space="preserve"> yea</w:t>
      </w:r>
      <w:r w:rsidRPr="00B71566">
        <w:t>r</w:t>
      </w:r>
      <w:r w:rsidR="00144688" w:rsidRPr="00B71566">
        <w:t xml:space="preserve"> </w:t>
      </w:r>
      <w:r w:rsidRPr="00B71566">
        <w:t>of listing</w:t>
      </w:r>
      <w:r w:rsidR="00144688" w:rsidRPr="00B71566">
        <w:t>,</w:t>
      </w:r>
      <w:r w:rsidRPr="00B71566">
        <w:t xml:space="preserve"> increasing to over </w:t>
      </w:r>
      <w:r w:rsidR="00613407">
        <w:t>less than $10 million per year</w:t>
      </w:r>
      <w:r w:rsidR="00A63E9C" w:rsidRPr="00B71566">
        <w:t xml:space="preserve"> </w:t>
      </w:r>
      <w:r w:rsidR="00A85D6C">
        <w:t>in year 5.</w:t>
      </w:r>
      <w:r w:rsidRPr="00B71566">
        <w:t xml:space="preserve"> </w:t>
      </w:r>
      <w:r w:rsidR="005F4787">
        <w:t xml:space="preserve">Utilising </w:t>
      </w:r>
      <w:r w:rsidRPr="00B71566">
        <w:t xml:space="preserve">effective </w:t>
      </w:r>
      <w:r w:rsidR="005F4787">
        <w:t>prices decreased</w:t>
      </w:r>
      <w:r w:rsidRPr="00B71566">
        <w:t xml:space="preserve"> the estimated net savings, reflecting only the difference in script numbers due to different pack sizes (28 days for vemurafenib + cobimetinib versus 30 da</w:t>
      </w:r>
      <w:r w:rsidR="009D1C90">
        <w:t>ys for dabrafenib + trametinib)</w:t>
      </w:r>
      <w:r w:rsidR="003641FD">
        <w:t>.</w:t>
      </w:r>
    </w:p>
    <w:p w:rsidR="00152BE9" w:rsidRPr="00B71566" w:rsidRDefault="00152BE9" w:rsidP="00152BE9"/>
    <w:p w:rsidR="00144688" w:rsidRPr="00B71566" w:rsidRDefault="00144688" w:rsidP="00654033">
      <w:pPr>
        <w:pStyle w:val="ListParagraph"/>
      </w:pPr>
      <w:r w:rsidRPr="00B71566">
        <w:t xml:space="preserve">The submission’s estimates </w:t>
      </w:r>
      <w:r w:rsidR="005F4787">
        <w:t>we</w:t>
      </w:r>
      <w:r w:rsidRPr="00B71566">
        <w:t>re not likely to be accurate, fo</w:t>
      </w:r>
      <w:r w:rsidR="00CD5858" w:rsidRPr="00B71566">
        <w:t>r</w:t>
      </w:r>
      <w:r w:rsidRPr="00B71566">
        <w:t xml:space="preserve"> the following reasons:</w:t>
      </w:r>
    </w:p>
    <w:p w:rsidR="00144688" w:rsidRPr="00B71566" w:rsidRDefault="00CD5858" w:rsidP="00351DE8">
      <w:pPr>
        <w:pStyle w:val="ListParagraph"/>
        <w:numPr>
          <w:ilvl w:val="0"/>
          <w:numId w:val="4"/>
        </w:numPr>
        <w:ind w:left="1134" w:hanging="425"/>
      </w:pPr>
      <w:r w:rsidRPr="00B71566">
        <w:t xml:space="preserve">The submission did not include the use of ipilimumab in the determination of market size.  Consequently, the market may be underestimated.  In addition, the forecast market share for vemurafenib + </w:t>
      </w:r>
      <w:r w:rsidR="00F32650" w:rsidRPr="00B71566">
        <w:t>cobimetinib</w:t>
      </w:r>
      <w:r w:rsidRPr="00B71566">
        <w:t xml:space="preserve"> (</w:t>
      </w:r>
      <w:r w:rsidR="00A7393F">
        <w:rPr>
          <w:noProof/>
          <w:color w:val="000000"/>
          <w:highlight w:val="black"/>
        </w:rPr>
        <w:t>''''''</w:t>
      </w:r>
      <w:r w:rsidRPr="00B71566">
        <w:t xml:space="preserve">% in year 1 increasing to a maximum of </w:t>
      </w:r>
      <w:r w:rsidR="00A7393F">
        <w:rPr>
          <w:noProof/>
          <w:color w:val="000000"/>
          <w:highlight w:val="black"/>
        </w:rPr>
        <w:t>'''''''</w:t>
      </w:r>
      <w:r w:rsidRPr="00B71566">
        <w:t>%) may also be an underestimate.</w:t>
      </w:r>
    </w:p>
    <w:p w:rsidR="00CD5858" w:rsidRPr="00B71566" w:rsidRDefault="00BB7F7B" w:rsidP="00351DE8">
      <w:pPr>
        <w:pStyle w:val="ListParagraph"/>
        <w:numPr>
          <w:ilvl w:val="0"/>
          <w:numId w:val="4"/>
        </w:numPr>
        <w:ind w:left="1134" w:hanging="425"/>
      </w:pPr>
      <w:r w:rsidRPr="00B71566">
        <w:lastRenderedPageBreak/>
        <w:t>Given the marked differences between the two combination treatments in their adverse event profiles</w:t>
      </w:r>
      <w:r w:rsidR="00A93324" w:rsidRPr="00B71566">
        <w:t>,</w:t>
      </w:r>
      <w:r w:rsidRPr="00B71566">
        <w:t xml:space="preserve"> the assumption of equivalent cost of managing those events maintained by the submission, and exclusion of those costs from the financial estimates, may not be reasonable.  While the impact of including such costs may not be </w:t>
      </w:r>
      <w:r w:rsidR="00A93324" w:rsidRPr="00B71566">
        <w:t>large</w:t>
      </w:r>
      <w:r w:rsidRPr="00B71566">
        <w:t>, the absence of AE costs means the submission’s estimates are not likely to accurately reflect total cost to the PBS.</w:t>
      </w:r>
    </w:p>
    <w:p w:rsidR="003A12E2" w:rsidRDefault="005C4584" w:rsidP="00351DE8">
      <w:pPr>
        <w:pStyle w:val="ListParagraph"/>
        <w:numPr>
          <w:ilvl w:val="0"/>
          <w:numId w:val="4"/>
        </w:numPr>
        <w:ind w:left="1134" w:hanging="425"/>
      </w:pPr>
      <w:r w:rsidRPr="00B71566">
        <w:t>ESC noted that the PSCR</w:t>
      </w:r>
      <w:r w:rsidR="00307627" w:rsidRPr="00B71566">
        <w:t xml:space="preserve"> (p, 3)</w:t>
      </w:r>
      <w:r w:rsidRPr="00B71566">
        <w:t xml:space="preserve"> include</w:t>
      </w:r>
      <w:r w:rsidR="001A2A0F" w:rsidRPr="00B71566">
        <w:t>d</w:t>
      </w:r>
      <w:r w:rsidRPr="00B71566">
        <w:t xml:space="preserve"> a simple analysis which suggest</w:t>
      </w:r>
      <w:r w:rsidR="001A2A0F" w:rsidRPr="00B71566">
        <w:t>ed</w:t>
      </w:r>
      <w:r w:rsidRPr="00B71566">
        <w:t xml:space="preserve"> that inclusion of AE </w:t>
      </w:r>
      <w:r w:rsidR="001A2A0F" w:rsidRPr="00B71566">
        <w:t xml:space="preserve">would </w:t>
      </w:r>
      <w:r w:rsidRPr="00B71566">
        <w:t>result in a ~ $</w:t>
      </w:r>
      <w:r w:rsidRPr="00FB6E5E">
        <w:t>700</w:t>
      </w:r>
      <w:r w:rsidRPr="00B71566">
        <w:t xml:space="preserve"> cost savings per individual</w:t>
      </w:r>
      <w:r w:rsidR="001A2A0F" w:rsidRPr="00B71566">
        <w:t>, b</w:t>
      </w:r>
      <w:r w:rsidRPr="00B71566">
        <w:t>ased on applying a single cost to serious AE generally (which slightly favour</w:t>
      </w:r>
      <w:r w:rsidR="001A2A0F" w:rsidRPr="00B71566">
        <w:t>s</w:t>
      </w:r>
      <w:r w:rsidRPr="00B71566">
        <w:t xml:space="preserve"> vemurafenib + cobimetinib).</w:t>
      </w:r>
    </w:p>
    <w:p w:rsidR="003A12E2" w:rsidRDefault="003A12E2" w:rsidP="005F4787"/>
    <w:p w:rsidR="003A12E2" w:rsidRPr="00452F75" w:rsidRDefault="003A12E2" w:rsidP="003A12E2">
      <w:pPr>
        <w:pStyle w:val="ListParagraph"/>
      </w:pPr>
      <w:r w:rsidRPr="00452F75">
        <w:t xml:space="preserve">The </w:t>
      </w:r>
      <w:r>
        <w:t xml:space="preserve">PBAC noted the proposed </w:t>
      </w:r>
      <w:r w:rsidR="00A63E9C">
        <w:t xml:space="preserve">nil financial </w:t>
      </w:r>
      <w:r>
        <w:t>impact.</w:t>
      </w:r>
    </w:p>
    <w:p w:rsidR="00576972" w:rsidRPr="00452F75" w:rsidRDefault="00576972" w:rsidP="00576972">
      <w:pPr>
        <w:widowControl/>
        <w:rPr>
          <w:szCs w:val="22"/>
        </w:rPr>
      </w:pPr>
    </w:p>
    <w:p w:rsidR="00576972" w:rsidRPr="00C27C38" w:rsidRDefault="00576972" w:rsidP="00C27C38">
      <w:pPr>
        <w:pStyle w:val="Heading2"/>
      </w:pPr>
      <w:bookmarkStart w:id="16" w:name="_Toc440982678"/>
      <w:r w:rsidRPr="00C27C38">
        <w:t>Financial Management – Risk Sharing Arrangements</w:t>
      </w:r>
      <w:bookmarkEnd w:id="16"/>
    </w:p>
    <w:p w:rsidR="00C25D9C" w:rsidRPr="00452F75" w:rsidRDefault="00C25D9C" w:rsidP="00576972">
      <w:pPr>
        <w:widowControl/>
        <w:rPr>
          <w:szCs w:val="22"/>
        </w:rPr>
      </w:pPr>
    </w:p>
    <w:p w:rsidR="001C46BB" w:rsidRPr="00452F75" w:rsidRDefault="001C46BB" w:rsidP="00654033">
      <w:pPr>
        <w:pStyle w:val="ListParagraph"/>
      </w:pPr>
      <w:r w:rsidRPr="00452F75">
        <w:t xml:space="preserve">The submission acknowledged that Special Pricing Arrangements apply to dabrafenib + trametinib and stated that the submission was lodged on the basis of price parity, in principle, for the combination therapies (ie the effective price of the individual components may vary, but the effective combination prices will be aligned).  The submission also acknowledged that the sponsor would be required to share the existing </w:t>
      </w:r>
      <w:r w:rsidR="009E70FA">
        <w:t xml:space="preserve">Risk Share Arrangement </w:t>
      </w:r>
      <w:r w:rsidRPr="00452F75">
        <w:t>caps under the Deed of Agreement previously agreed to by the sponsor of dabrafenib + trametinib.</w:t>
      </w:r>
    </w:p>
    <w:p w:rsidR="00E862A4" w:rsidRPr="00452F75" w:rsidRDefault="00E862A4" w:rsidP="00E862A4"/>
    <w:p w:rsidR="001C46BB" w:rsidRPr="00452F75" w:rsidRDefault="00365313" w:rsidP="00654033">
      <w:pPr>
        <w:pStyle w:val="ListParagraph"/>
      </w:pPr>
      <w:r>
        <w:t>T</w:t>
      </w:r>
      <w:r w:rsidR="001C46BB" w:rsidRPr="00452F75">
        <w:t>he</w:t>
      </w:r>
      <w:r w:rsidR="00174BFE" w:rsidRPr="00452F75">
        <w:t xml:space="preserve"> submission request</w:t>
      </w:r>
      <w:r w:rsidR="00DF42DD" w:rsidRPr="00452F75">
        <w:t>ed</w:t>
      </w:r>
      <w:r w:rsidR="001C46BB" w:rsidRPr="00452F75">
        <w:t xml:space="preserve"> the PBAC make a ‘</w:t>
      </w:r>
      <w:r w:rsidR="00174BFE" w:rsidRPr="00452F75">
        <w:t>pragmatic</w:t>
      </w:r>
      <w:r w:rsidR="001C46BB" w:rsidRPr="00452F75">
        <w:t xml:space="preserve"> decision’</w:t>
      </w:r>
      <w:r w:rsidR="00174BFE" w:rsidRPr="00452F75">
        <w:t xml:space="preserve"> to recommend a listing that allows for vemurafenib + cobimetinib to be prescribed either first or second line. </w:t>
      </w:r>
      <w:r w:rsidR="00A93324" w:rsidRPr="00452F75">
        <w:t xml:space="preserve"> </w:t>
      </w:r>
      <w:r w:rsidR="00174BFE" w:rsidRPr="00452F75">
        <w:t>This flexibility, it argue</w:t>
      </w:r>
      <w:r w:rsidR="001C46BB" w:rsidRPr="00452F75">
        <w:t>d</w:t>
      </w:r>
      <w:r w:rsidR="00174BFE" w:rsidRPr="00452F75">
        <w:t xml:space="preserve">, </w:t>
      </w:r>
      <w:r w:rsidR="00222AEB">
        <w:t>would be</w:t>
      </w:r>
      <w:r w:rsidR="00174BFE" w:rsidRPr="00452F75">
        <w:t xml:space="preserve"> appropriate in the event that immunotherapies are recommended by the PBAC for previously untreated </w:t>
      </w:r>
      <w:r w:rsidR="00174BFE" w:rsidRPr="009544E5">
        <w:rPr>
          <w:i/>
        </w:rPr>
        <w:t>BRAF</w:t>
      </w:r>
      <w:r w:rsidR="00174BFE" w:rsidRPr="00452F75">
        <w:t xml:space="preserve"> mutation positive patients.</w:t>
      </w:r>
      <w:r w:rsidR="00E32686" w:rsidRPr="00452F75">
        <w:t xml:space="preserve">  The submission provided limited evidence to support the use of vemurafenib + cobimetinib following failure of immunotherapy, and did not provide any comparative evidence </w:t>
      </w:r>
      <w:r w:rsidR="009A4A17" w:rsidRPr="00452F75">
        <w:t xml:space="preserve">against PD-1 inhibitors, which would be alternate treatments should immunotherapies be recommended for use in previously untreated </w:t>
      </w:r>
      <w:r w:rsidR="009A4A17" w:rsidRPr="009544E5">
        <w:rPr>
          <w:i/>
        </w:rPr>
        <w:t>BRAF</w:t>
      </w:r>
      <w:r w:rsidR="009A4A17" w:rsidRPr="00452F75">
        <w:t xml:space="preserve"> mutation positive patients.</w:t>
      </w:r>
      <w:r>
        <w:t xml:space="preserve"> </w:t>
      </w:r>
      <w:r w:rsidR="00222AEB">
        <w:t xml:space="preserve"> </w:t>
      </w:r>
      <w:r>
        <w:t>This proposal was rejected by the PBAC due to the lack of any supporting data.</w:t>
      </w:r>
    </w:p>
    <w:p w:rsidR="00C82946" w:rsidRPr="00452F75" w:rsidRDefault="00C82946" w:rsidP="00C82946"/>
    <w:p w:rsidR="00211700" w:rsidRDefault="00307627" w:rsidP="00211700">
      <w:pPr>
        <w:pStyle w:val="ListParagraph"/>
      </w:pPr>
      <w:r w:rsidRPr="00452F75">
        <w:t xml:space="preserve">The </w:t>
      </w:r>
      <w:r w:rsidR="003F0477" w:rsidRPr="00452F75">
        <w:t xml:space="preserve">ESC advised that the PBAC </w:t>
      </w:r>
      <w:r w:rsidR="00A346EA" w:rsidRPr="00452F75">
        <w:t>consider</w:t>
      </w:r>
      <w:r w:rsidR="003F0477" w:rsidRPr="00452F75">
        <w:t xml:space="preserve"> </w:t>
      </w:r>
      <w:r w:rsidR="001A2A0F" w:rsidRPr="00452F75">
        <w:t>the consequences</w:t>
      </w:r>
      <w:r w:rsidR="000E2DF4" w:rsidRPr="00452F75">
        <w:t xml:space="preserve"> of</w:t>
      </w:r>
      <w:r w:rsidR="001A2A0F" w:rsidRPr="00452F75">
        <w:t xml:space="preserve"> </w:t>
      </w:r>
      <w:r w:rsidR="003F0477" w:rsidRPr="00452F75">
        <w:t>list</w:t>
      </w:r>
      <w:r w:rsidR="001A2A0F" w:rsidRPr="00452F75">
        <w:t>ing</w:t>
      </w:r>
      <w:r w:rsidR="003F0477" w:rsidRPr="00452F75">
        <w:t xml:space="preserve"> a </w:t>
      </w:r>
      <w:r w:rsidR="001A2A0F" w:rsidRPr="00452F75">
        <w:t xml:space="preserve">subsequent medicine (cobimetinib) </w:t>
      </w:r>
      <w:r w:rsidR="003F0477" w:rsidRPr="00452F75">
        <w:t xml:space="preserve">on a </w:t>
      </w:r>
      <w:r w:rsidR="001A2A0F" w:rsidRPr="00452F75">
        <w:t>cost-minimisation</w:t>
      </w:r>
      <w:r w:rsidR="003F0477" w:rsidRPr="00452F75">
        <w:t xml:space="preserve"> basis to a current </w:t>
      </w:r>
      <w:r w:rsidR="00885A49" w:rsidRPr="00452F75">
        <w:t xml:space="preserve">medicine (trametinib) while </w:t>
      </w:r>
      <w:r w:rsidR="003F0477" w:rsidRPr="00452F75">
        <w:t>the MES</w:t>
      </w:r>
      <w:r w:rsidR="00885A49" w:rsidRPr="00452F75">
        <w:t xml:space="preserve"> for the current medicine remains incomplete</w:t>
      </w:r>
      <w:r w:rsidR="003F0477" w:rsidRPr="00452F75">
        <w:t xml:space="preserve">.  It was noted that the </w:t>
      </w:r>
      <w:r w:rsidR="00885A49" w:rsidRPr="00452F75">
        <w:t xml:space="preserve">expected evidence base for trametinib is to be generated from overseas data rather than Australian data, so the proposed listing </w:t>
      </w:r>
      <w:r w:rsidR="00BD2196" w:rsidRPr="00452F75">
        <w:t xml:space="preserve">of cobimetinib </w:t>
      </w:r>
      <w:r w:rsidR="00885A49" w:rsidRPr="00452F75">
        <w:t xml:space="preserve">would not contaminate the evidence generated for the </w:t>
      </w:r>
      <w:r w:rsidR="00BD2196" w:rsidRPr="00452F75">
        <w:t xml:space="preserve">trametinib </w:t>
      </w:r>
      <w:r w:rsidR="00885A49" w:rsidRPr="00452F75">
        <w:t>MES.</w:t>
      </w:r>
      <w:r w:rsidR="00365313">
        <w:t xml:space="preserve"> </w:t>
      </w:r>
      <w:r w:rsidR="00222AEB">
        <w:t xml:space="preserve"> </w:t>
      </w:r>
      <w:r w:rsidR="00365313">
        <w:t>The PBAC consider</w:t>
      </w:r>
      <w:r w:rsidR="00222AEB">
        <w:t>ed</w:t>
      </w:r>
      <w:r w:rsidR="00365313">
        <w:t xml:space="preserve"> that the listing of </w:t>
      </w:r>
      <w:r w:rsidR="00365313" w:rsidRPr="00452F75">
        <w:t>cobimetinib</w:t>
      </w:r>
      <w:r w:rsidR="00365313">
        <w:t xml:space="preserve"> in combination with vemurafenib would </w:t>
      </w:r>
      <w:r w:rsidR="00222AEB">
        <w:t>not generate any concerns for the trametinib MES</w:t>
      </w:r>
      <w:r w:rsidR="00365313">
        <w:t>.</w:t>
      </w:r>
      <w:r w:rsidR="00E20AD6">
        <w:t xml:space="preserve">  However, the PBAC advised that any price consequence for the sponsor of trametinib following the conclusion of the trametinib MES would need to apply to the sponsor of cobimetinib, and also any rebate consequence for the sponsor of cobimetinib</w:t>
      </w:r>
      <w:r w:rsidR="002E6216">
        <w:t>,</w:t>
      </w:r>
      <w:r w:rsidR="00E20AD6">
        <w:t xml:space="preserve"> if cobimetinib is listed before the pricing consequences for the sponsor of trametinib are finalised.</w:t>
      </w:r>
    </w:p>
    <w:p w:rsidR="00211700" w:rsidRDefault="00211700" w:rsidP="00211700"/>
    <w:p w:rsidR="00211700" w:rsidRPr="00211700" w:rsidRDefault="00211700" w:rsidP="00D41261">
      <w:pPr>
        <w:ind w:left="709"/>
        <w:contextualSpacing/>
        <w:rPr>
          <w:i/>
          <w:szCs w:val="22"/>
        </w:rPr>
      </w:pPr>
      <w:r w:rsidRPr="00365313">
        <w:rPr>
          <w:i/>
          <w:szCs w:val="22"/>
        </w:rPr>
        <w:t>For more detail on PBAC’s view, see section 7 “PBAC outcome”</w:t>
      </w:r>
      <w:r w:rsidR="00222AEB">
        <w:rPr>
          <w:i/>
          <w:szCs w:val="22"/>
        </w:rPr>
        <w:t>.</w:t>
      </w:r>
    </w:p>
    <w:p w:rsidR="003A12E2" w:rsidRPr="00222AEB" w:rsidRDefault="003A12E2" w:rsidP="00C27C38"/>
    <w:p w:rsidR="00A9481D" w:rsidRDefault="00A9481D">
      <w:pPr>
        <w:widowControl/>
        <w:jc w:val="left"/>
        <w:rPr>
          <w:b/>
          <w:i/>
        </w:rPr>
      </w:pPr>
      <w:r>
        <w:br w:type="page"/>
      </w:r>
    </w:p>
    <w:p w:rsidR="003A12E2" w:rsidRPr="00C27C38" w:rsidRDefault="003A12E2" w:rsidP="00C27C38">
      <w:pPr>
        <w:pStyle w:val="Heading2"/>
      </w:pPr>
      <w:r w:rsidRPr="00C27C38">
        <w:lastRenderedPageBreak/>
        <w:t>Quality Use of Medicines</w:t>
      </w:r>
    </w:p>
    <w:p w:rsidR="003A12E2" w:rsidRPr="00735CC6" w:rsidRDefault="003A12E2" w:rsidP="003A12E2">
      <w:pPr>
        <w:widowControl/>
        <w:rPr>
          <w:szCs w:val="22"/>
        </w:rPr>
      </w:pPr>
    </w:p>
    <w:p w:rsidR="00211700" w:rsidRPr="00452F75" w:rsidRDefault="003A12E2" w:rsidP="00222AEB">
      <w:pPr>
        <w:pStyle w:val="ListParagraph"/>
      </w:pPr>
      <w:r w:rsidRPr="00735CC6">
        <w:t xml:space="preserve">The </w:t>
      </w:r>
      <w:r>
        <w:t xml:space="preserve">PBAC recommend that </w:t>
      </w:r>
      <w:r w:rsidR="009D1C90">
        <w:t>the use of QUM measures</w:t>
      </w:r>
      <w:r w:rsidR="000F297E">
        <w:t>,</w:t>
      </w:r>
      <w:r w:rsidR="009D1C90">
        <w:t xml:space="preserve"> including education of clinicians of possible AE associated with the use of </w:t>
      </w:r>
      <w:r w:rsidR="000F297E" w:rsidRPr="000F297E">
        <w:t>vemurafenib in combination with cobimetinib</w:t>
      </w:r>
      <w:r w:rsidR="000F297E">
        <w:t xml:space="preserve"> should be undertaken by the sponsor to </w:t>
      </w:r>
      <w:r w:rsidR="000F297E" w:rsidRPr="000F297E">
        <w:t xml:space="preserve">minimise </w:t>
      </w:r>
      <w:r w:rsidR="000F297E">
        <w:t xml:space="preserve">possible </w:t>
      </w:r>
      <w:r w:rsidR="000F297E" w:rsidRPr="000F297E">
        <w:t>harm to patients</w:t>
      </w:r>
      <w:r w:rsidR="009D1C90">
        <w:t>.</w:t>
      </w:r>
    </w:p>
    <w:p w:rsidR="00660833" w:rsidRDefault="00660833" w:rsidP="00660833">
      <w:pPr>
        <w:spacing w:line="276" w:lineRule="auto"/>
        <w:rPr>
          <w:bCs/>
          <w:szCs w:val="22"/>
        </w:rPr>
      </w:pPr>
    </w:p>
    <w:p w:rsidR="00222AEB" w:rsidRPr="00222AEB" w:rsidRDefault="00222AEB" w:rsidP="00660833">
      <w:pPr>
        <w:spacing w:line="276" w:lineRule="auto"/>
        <w:rPr>
          <w:bCs/>
          <w:szCs w:val="22"/>
        </w:rPr>
      </w:pPr>
    </w:p>
    <w:p w:rsidR="00660833" w:rsidRPr="000F297E" w:rsidRDefault="00660833" w:rsidP="00C27C38">
      <w:pPr>
        <w:pStyle w:val="Heading1"/>
        <w:rPr>
          <w:b w:val="0"/>
          <w:bCs/>
        </w:rPr>
      </w:pPr>
      <w:r w:rsidRPr="000F297E">
        <w:rPr>
          <w:bCs/>
        </w:rPr>
        <w:t>PBAC Outcome</w:t>
      </w:r>
    </w:p>
    <w:p w:rsidR="00660833" w:rsidRPr="000F297E" w:rsidRDefault="00660833" w:rsidP="00222AEB">
      <w:pPr>
        <w:contextualSpacing/>
        <w:rPr>
          <w:bCs/>
          <w:szCs w:val="22"/>
          <w:lang w:val="en-GB"/>
        </w:rPr>
      </w:pPr>
    </w:p>
    <w:p w:rsidR="00660833" w:rsidRPr="000F297E" w:rsidRDefault="000F297E" w:rsidP="00660833">
      <w:pPr>
        <w:pStyle w:val="ListParagraph"/>
        <w:rPr>
          <w:bCs/>
          <w:lang w:val="en-GB"/>
        </w:rPr>
      </w:pPr>
      <w:r w:rsidRPr="000F297E">
        <w:rPr>
          <w:lang w:val="en-GB"/>
        </w:rPr>
        <w:t>The PBAC recommended the Authority Required (STREAMLINED) listing of vemurafenib in combination with cobimetinib</w:t>
      </w:r>
      <w:r w:rsidR="00AF52D5">
        <w:rPr>
          <w:lang w:val="en-GB"/>
        </w:rPr>
        <w:t>,</w:t>
      </w:r>
      <w:r w:rsidRPr="000F297E">
        <w:rPr>
          <w:lang w:val="en-GB"/>
        </w:rPr>
        <w:t xml:space="preserve"> </w:t>
      </w:r>
      <w:r w:rsidR="00AF52D5" w:rsidRPr="00452F75">
        <w:t xml:space="preserve">for the treatment of </w:t>
      </w:r>
      <w:r w:rsidR="00AF52D5" w:rsidRPr="009544E5">
        <w:rPr>
          <w:i/>
        </w:rPr>
        <w:t>BRAF</w:t>
      </w:r>
      <w:r w:rsidR="00AF52D5" w:rsidRPr="00452F75">
        <w:t xml:space="preserve"> V600 mutation positive unresectable or metastatic melanoma</w:t>
      </w:r>
      <w:r w:rsidR="00AF52D5">
        <w:t>,</w:t>
      </w:r>
      <w:r w:rsidR="00AF52D5" w:rsidRPr="000F297E">
        <w:rPr>
          <w:lang w:val="en-GB"/>
        </w:rPr>
        <w:t xml:space="preserve"> </w:t>
      </w:r>
      <w:r w:rsidRPr="000F297E">
        <w:rPr>
          <w:lang w:val="en-GB"/>
        </w:rPr>
        <w:t>on a cost-minimisation basis against</w:t>
      </w:r>
      <w:r w:rsidRPr="000F297E">
        <w:t xml:space="preserve"> </w:t>
      </w:r>
      <w:r w:rsidRPr="000F297E">
        <w:rPr>
          <w:bCs/>
          <w:lang w:val="en-GB"/>
        </w:rPr>
        <w:t>dabrafenib + trametinib</w:t>
      </w:r>
      <w:r w:rsidR="00212CC9">
        <w:rPr>
          <w:bCs/>
          <w:lang w:val="en-GB"/>
        </w:rPr>
        <w:t xml:space="preserve"> at an </w:t>
      </w:r>
      <w:r w:rsidR="00212CC9" w:rsidRPr="00452F75">
        <w:t xml:space="preserve">equi-effective dose </w:t>
      </w:r>
      <w:r w:rsidR="00212CC9">
        <w:t>of</w:t>
      </w:r>
      <w:r w:rsidR="00212CC9" w:rsidRPr="00452F75">
        <w:t xml:space="preserve"> vemurafenib 960 mg twice daily + cobimetinib 60 mg once daily (Days 1−21 of each 28 cycle) </w:t>
      </w:r>
      <w:r w:rsidR="00212CC9">
        <w:t>vers</w:t>
      </w:r>
      <w:r w:rsidR="00B4665B">
        <w:t>u</w:t>
      </w:r>
      <w:r w:rsidR="00212CC9">
        <w:t>s</w:t>
      </w:r>
      <w:r w:rsidR="00212CC9" w:rsidRPr="00452F75">
        <w:t xml:space="preserve"> dabrafenib 150 mg twice daily + trametinib 2 mg once daily</w:t>
      </w:r>
      <w:r w:rsidR="00222AEB">
        <w:rPr>
          <w:bCs/>
          <w:lang w:val="en-GB"/>
        </w:rPr>
        <w:t>.</w:t>
      </w:r>
    </w:p>
    <w:p w:rsidR="000F297E" w:rsidRPr="00222AEB" w:rsidRDefault="000F297E" w:rsidP="00222AEB">
      <w:pPr>
        <w:rPr>
          <w:bCs/>
          <w:lang w:val="en-GB"/>
        </w:rPr>
      </w:pPr>
    </w:p>
    <w:p w:rsidR="00212CC9" w:rsidRPr="00207BDD" w:rsidRDefault="00212CC9" w:rsidP="00351DE8">
      <w:pPr>
        <w:numPr>
          <w:ilvl w:val="1"/>
          <w:numId w:val="1"/>
        </w:numPr>
        <w:contextualSpacing/>
        <w:rPr>
          <w:bCs/>
          <w:szCs w:val="22"/>
          <w:lang w:val="en-GB"/>
        </w:rPr>
      </w:pPr>
      <w:r w:rsidRPr="00212CC9">
        <w:t xml:space="preserve">The proposal to use vemurafenib + cobimetinib in </w:t>
      </w:r>
      <w:r w:rsidRPr="009544E5">
        <w:rPr>
          <w:i/>
        </w:rPr>
        <w:t>BRAF</w:t>
      </w:r>
      <w:r w:rsidRPr="00212CC9">
        <w:t xml:space="preserve"> mutation positive patients, following failure of immunotherapy was rejected by the PBAC on the basis that the sponsor failed to provide </w:t>
      </w:r>
      <w:r w:rsidR="00582E4F">
        <w:t xml:space="preserve">sufficient </w:t>
      </w:r>
      <w:r w:rsidRPr="00212CC9">
        <w:t xml:space="preserve">evidence </w:t>
      </w:r>
      <w:r w:rsidR="00582E4F">
        <w:t>of clinical benefit following failure of immunotherapy</w:t>
      </w:r>
      <w:r w:rsidRPr="00212CC9">
        <w:t>.</w:t>
      </w:r>
    </w:p>
    <w:p w:rsidR="00207BDD" w:rsidRPr="00FD5667" w:rsidRDefault="00207BDD" w:rsidP="00222AEB">
      <w:pPr>
        <w:contextualSpacing/>
        <w:rPr>
          <w:bCs/>
          <w:szCs w:val="22"/>
          <w:lang w:val="en-GB"/>
        </w:rPr>
      </w:pPr>
    </w:p>
    <w:p w:rsidR="00FD5667" w:rsidRPr="00212CC9" w:rsidRDefault="00FD5667" w:rsidP="00FD5667">
      <w:pPr>
        <w:pStyle w:val="ListParagraph"/>
        <w:rPr>
          <w:bCs/>
          <w:lang w:val="en-GB"/>
        </w:rPr>
      </w:pPr>
      <w:r>
        <w:t xml:space="preserve">The PBAC considered that </w:t>
      </w:r>
      <w:r w:rsidR="00222AEB">
        <w:t xml:space="preserve">the combined use of </w:t>
      </w:r>
      <w:r w:rsidRPr="000F297E">
        <w:rPr>
          <w:bCs/>
          <w:lang w:val="en-GB"/>
        </w:rPr>
        <w:t>dabrafenib + trametinib</w:t>
      </w:r>
      <w:r>
        <w:rPr>
          <w:bCs/>
          <w:lang w:val="en-GB"/>
        </w:rPr>
        <w:t xml:space="preserve"> w</w:t>
      </w:r>
      <w:r w:rsidR="00222AEB">
        <w:rPr>
          <w:bCs/>
          <w:lang w:val="en-GB"/>
        </w:rPr>
        <w:t>as</w:t>
      </w:r>
      <w:r>
        <w:rPr>
          <w:bCs/>
          <w:lang w:val="en-GB"/>
        </w:rPr>
        <w:t xml:space="preserve"> the appropriate comparator for </w:t>
      </w:r>
      <w:r w:rsidR="00222AEB">
        <w:rPr>
          <w:bCs/>
          <w:lang w:val="en-GB"/>
        </w:rPr>
        <w:t xml:space="preserve">the combined use of </w:t>
      </w:r>
      <w:r w:rsidRPr="00FD5667">
        <w:rPr>
          <w:bCs/>
          <w:szCs w:val="20"/>
          <w:lang w:val="en-GB"/>
        </w:rPr>
        <w:t xml:space="preserve">vemurafenib </w:t>
      </w:r>
      <w:r>
        <w:rPr>
          <w:bCs/>
          <w:szCs w:val="20"/>
          <w:lang w:val="en-GB"/>
        </w:rPr>
        <w:t>+</w:t>
      </w:r>
      <w:r w:rsidRPr="00FD5667">
        <w:rPr>
          <w:bCs/>
          <w:szCs w:val="20"/>
          <w:lang w:val="en-GB"/>
        </w:rPr>
        <w:t xml:space="preserve"> cobimetinib</w:t>
      </w:r>
      <w:r>
        <w:rPr>
          <w:bCs/>
          <w:szCs w:val="20"/>
          <w:lang w:val="en-GB"/>
        </w:rPr>
        <w:t>.</w:t>
      </w:r>
    </w:p>
    <w:p w:rsidR="00660833" w:rsidRPr="003C3927" w:rsidRDefault="00660833" w:rsidP="00222AEB">
      <w:pPr>
        <w:contextualSpacing/>
        <w:rPr>
          <w:bCs/>
          <w:szCs w:val="22"/>
          <w:highlight w:val="yellow"/>
          <w:lang w:val="en-GB"/>
        </w:rPr>
      </w:pPr>
    </w:p>
    <w:p w:rsidR="004B3D51" w:rsidRPr="00FD5667" w:rsidRDefault="00FD5667" w:rsidP="00FD5667">
      <w:pPr>
        <w:pStyle w:val="ListParagraph"/>
      </w:pPr>
      <w:r w:rsidRPr="00FD5667">
        <w:rPr>
          <w:lang w:val="en-GB"/>
        </w:rPr>
        <w:t xml:space="preserve">The PBAC </w:t>
      </w:r>
      <w:r w:rsidRPr="00FD5667">
        <w:t>accepted the</w:t>
      </w:r>
      <w:r w:rsidR="000B4F2D" w:rsidRPr="00FD5667">
        <w:t xml:space="preserve"> clinical non-inferiority of vemurafenib + </w:t>
      </w:r>
      <w:r w:rsidRPr="00FD5667">
        <w:rPr>
          <w:bCs/>
          <w:szCs w:val="20"/>
        </w:rPr>
        <w:t xml:space="preserve">cobimetinib </w:t>
      </w:r>
      <w:r w:rsidR="00B4665B">
        <w:rPr>
          <w:iCs/>
        </w:rPr>
        <w:t>versu</w:t>
      </w:r>
      <w:r w:rsidRPr="00FD5667">
        <w:rPr>
          <w:iCs/>
        </w:rPr>
        <w:t>s</w:t>
      </w:r>
      <w:r w:rsidR="000B4F2D" w:rsidRPr="00FD5667">
        <w:t xml:space="preserve"> dabrafenib and </w:t>
      </w:r>
      <w:r w:rsidRPr="00FD5667">
        <w:t>trametinib</w:t>
      </w:r>
      <w:r>
        <w:t xml:space="preserve"> based on the </w:t>
      </w:r>
      <w:r w:rsidR="00222AEB">
        <w:t xml:space="preserve">results of the indirect comparison, and noting </w:t>
      </w:r>
      <w:r w:rsidR="009E70FA">
        <w:t xml:space="preserve">the </w:t>
      </w:r>
      <w:r w:rsidRPr="00FD5667">
        <w:t>narrower</w:t>
      </w:r>
      <w:r w:rsidR="00290F54">
        <w:t xml:space="preserve"> 95% CI</w:t>
      </w:r>
      <w:r w:rsidR="009E70FA">
        <w:t>s</w:t>
      </w:r>
      <w:r w:rsidRPr="00FD5667">
        <w:t xml:space="preserve"> </w:t>
      </w:r>
      <w:r w:rsidR="00290F54">
        <w:t xml:space="preserve">in the </w:t>
      </w:r>
      <w:r w:rsidR="009E70FA">
        <w:t xml:space="preserve">current indirect comparison </w:t>
      </w:r>
      <w:r w:rsidR="00290F54">
        <w:t xml:space="preserve">for both PFS and OS </w:t>
      </w:r>
      <w:r w:rsidRPr="00FD5667">
        <w:t xml:space="preserve">than for </w:t>
      </w:r>
      <w:r w:rsidR="00290F54">
        <w:t xml:space="preserve">the </w:t>
      </w:r>
      <w:r w:rsidRPr="00FD5667">
        <w:t xml:space="preserve">previous acceptance of non-inferiority of vemurafenib </w:t>
      </w:r>
      <w:r w:rsidR="00B4665B">
        <w:t>versu</w:t>
      </w:r>
      <w:r w:rsidR="00290F54">
        <w:t xml:space="preserve">s </w:t>
      </w:r>
      <w:r w:rsidRPr="00FD5667">
        <w:t>dabrafenib</w:t>
      </w:r>
      <w:r w:rsidR="00290F54">
        <w:t>.</w:t>
      </w:r>
    </w:p>
    <w:p w:rsidR="00660833" w:rsidRPr="003C3927" w:rsidRDefault="00660833" w:rsidP="00222AEB">
      <w:pPr>
        <w:contextualSpacing/>
        <w:rPr>
          <w:bCs/>
          <w:szCs w:val="22"/>
          <w:highlight w:val="yellow"/>
          <w:lang w:val="en-GB"/>
        </w:rPr>
      </w:pPr>
    </w:p>
    <w:p w:rsidR="00660833" w:rsidRPr="00860E42" w:rsidRDefault="00290F54" w:rsidP="00860E42">
      <w:pPr>
        <w:pStyle w:val="ListParagraph"/>
        <w:rPr>
          <w:bCs/>
          <w:lang w:val="en-GB"/>
        </w:rPr>
      </w:pPr>
      <w:r w:rsidRPr="00860E42">
        <w:rPr>
          <w:bCs/>
          <w:lang w:val="en-GB"/>
        </w:rPr>
        <w:t xml:space="preserve">The </w:t>
      </w:r>
      <w:r w:rsidR="00660833" w:rsidRPr="00860E42">
        <w:rPr>
          <w:bCs/>
          <w:lang w:val="en-GB"/>
        </w:rPr>
        <w:t xml:space="preserve">PBAC </w:t>
      </w:r>
      <w:r w:rsidRPr="00860E42">
        <w:rPr>
          <w:bCs/>
          <w:lang w:val="en-GB"/>
        </w:rPr>
        <w:t xml:space="preserve">accepted the </w:t>
      </w:r>
      <w:r w:rsidR="00860E42" w:rsidRPr="00860E42">
        <w:rPr>
          <w:bCs/>
          <w:lang w:val="en-GB"/>
        </w:rPr>
        <w:t>comparative safety non-inferiority of</w:t>
      </w:r>
      <w:r w:rsidR="00B4665B">
        <w:rPr>
          <w:bCs/>
          <w:lang w:val="en-GB"/>
        </w:rPr>
        <w:t xml:space="preserve"> vemurafenib + cobimetinib versu</w:t>
      </w:r>
      <w:r w:rsidR="00860E42" w:rsidRPr="00860E42">
        <w:rPr>
          <w:bCs/>
          <w:lang w:val="en-GB"/>
        </w:rPr>
        <w:t xml:space="preserve">s dabrafenib + trametinib </w:t>
      </w:r>
      <w:r w:rsidR="00222AEB">
        <w:rPr>
          <w:bCs/>
          <w:lang w:val="en-GB"/>
        </w:rPr>
        <w:t xml:space="preserve">overall </w:t>
      </w:r>
      <w:r w:rsidR="00860E42" w:rsidRPr="00860E42">
        <w:rPr>
          <w:bCs/>
          <w:lang w:val="en-GB"/>
        </w:rPr>
        <w:t xml:space="preserve">despite the </w:t>
      </w:r>
      <w:r w:rsidR="00222AEB">
        <w:rPr>
          <w:bCs/>
          <w:lang w:val="en-GB"/>
        </w:rPr>
        <w:t>different safety profiles reported</w:t>
      </w:r>
      <w:r w:rsidR="00860E42" w:rsidRPr="00860E42">
        <w:rPr>
          <w:bCs/>
          <w:lang w:val="en-GB"/>
        </w:rPr>
        <w:t xml:space="preserve">, </w:t>
      </w:r>
      <w:r w:rsidR="002E6216">
        <w:rPr>
          <w:bCs/>
          <w:lang w:val="en-GB"/>
        </w:rPr>
        <w:t xml:space="preserve">including </w:t>
      </w:r>
      <w:r w:rsidR="00860E42" w:rsidRPr="00860E42">
        <w:rPr>
          <w:bCs/>
          <w:lang w:val="en-GB"/>
        </w:rPr>
        <w:t xml:space="preserve">the fact that </w:t>
      </w:r>
      <w:r w:rsidR="009544E5">
        <w:rPr>
          <w:bCs/>
          <w:lang w:val="en-GB"/>
        </w:rPr>
        <w:t>uncontrolled pyrexia has emerged as an issue with dabrafenib + trametinib</w:t>
      </w:r>
      <w:r w:rsidR="00860E42" w:rsidRPr="00860E42">
        <w:rPr>
          <w:bCs/>
          <w:lang w:val="en-GB"/>
        </w:rPr>
        <w:t>.</w:t>
      </w:r>
    </w:p>
    <w:p w:rsidR="00660833" w:rsidRPr="003C3927" w:rsidRDefault="00660833" w:rsidP="00222AEB">
      <w:pPr>
        <w:contextualSpacing/>
        <w:rPr>
          <w:bCs/>
          <w:szCs w:val="22"/>
          <w:highlight w:val="yellow"/>
          <w:lang w:val="en-GB"/>
        </w:rPr>
      </w:pPr>
    </w:p>
    <w:p w:rsidR="00660833" w:rsidRPr="00A4615F" w:rsidRDefault="00A4615F" w:rsidP="00351DE8">
      <w:pPr>
        <w:numPr>
          <w:ilvl w:val="1"/>
          <w:numId w:val="1"/>
        </w:numPr>
        <w:contextualSpacing/>
        <w:rPr>
          <w:bCs/>
          <w:szCs w:val="22"/>
          <w:lang w:val="en-GB"/>
        </w:rPr>
      </w:pPr>
      <w:r w:rsidRPr="00A4615F">
        <w:rPr>
          <w:bCs/>
          <w:szCs w:val="22"/>
          <w:lang w:val="en-GB"/>
        </w:rPr>
        <w:t xml:space="preserve">The PBAC was concerned that the economic modelling did not include any costs due to managing the different AE profile of </w:t>
      </w:r>
      <w:r w:rsidRPr="00A4615F">
        <w:rPr>
          <w:bCs/>
          <w:lang w:val="en-GB"/>
        </w:rPr>
        <w:t>vemurafenib + cobimetinib compared to dabrafenib + trametinib</w:t>
      </w:r>
      <w:r w:rsidR="00222AEB">
        <w:rPr>
          <w:bCs/>
          <w:lang w:val="en-GB"/>
        </w:rPr>
        <w:t>,</w:t>
      </w:r>
      <w:r>
        <w:rPr>
          <w:bCs/>
          <w:lang w:val="en-GB"/>
        </w:rPr>
        <w:t xml:space="preserve"> however the</w:t>
      </w:r>
      <w:r w:rsidR="00222AEB">
        <w:rPr>
          <w:bCs/>
          <w:lang w:val="en-GB"/>
        </w:rPr>
        <w:t xml:space="preserve"> committee</w:t>
      </w:r>
      <w:r>
        <w:rPr>
          <w:bCs/>
          <w:lang w:val="en-GB"/>
        </w:rPr>
        <w:t xml:space="preserve"> did not consider this grounds to reject the listing of </w:t>
      </w:r>
      <w:r w:rsidRPr="00A4615F">
        <w:rPr>
          <w:bCs/>
          <w:lang w:val="en-GB"/>
        </w:rPr>
        <w:t>vemurafenib + cobimetinib</w:t>
      </w:r>
      <w:r w:rsidR="001B44C4">
        <w:rPr>
          <w:bCs/>
          <w:lang w:val="en-GB"/>
        </w:rPr>
        <w:t xml:space="preserve"> on a </w:t>
      </w:r>
      <w:r w:rsidR="005F4787">
        <w:rPr>
          <w:bCs/>
          <w:lang w:val="en-GB"/>
        </w:rPr>
        <w:t xml:space="preserve">cost-minimisation </w:t>
      </w:r>
      <w:r w:rsidR="001B44C4">
        <w:rPr>
          <w:bCs/>
          <w:lang w:val="en-GB"/>
        </w:rPr>
        <w:t>basis</w:t>
      </w:r>
      <w:r w:rsidR="00660833" w:rsidRPr="00A4615F">
        <w:rPr>
          <w:bCs/>
          <w:szCs w:val="22"/>
          <w:lang w:val="en-GB"/>
        </w:rPr>
        <w:t xml:space="preserve">. </w:t>
      </w:r>
    </w:p>
    <w:p w:rsidR="00660833" w:rsidRPr="003C3927" w:rsidRDefault="00660833" w:rsidP="00222AEB">
      <w:pPr>
        <w:contextualSpacing/>
        <w:rPr>
          <w:bCs/>
          <w:szCs w:val="22"/>
          <w:highlight w:val="yellow"/>
          <w:lang w:val="en-GB"/>
        </w:rPr>
      </w:pPr>
    </w:p>
    <w:p w:rsidR="00660833" w:rsidRDefault="00A01F9D" w:rsidP="00484BC2">
      <w:pPr>
        <w:pStyle w:val="ListParagraph"/>
        <w:rPr>
          <w:lang w:val="en-GB"/>
        </w:rPr>
      </w:pPr>
      <w:r w:rsidRPr="00484BC2">
        <w:rPr>
          <w:lang w:val="en-GB"/>
        </w:rPr>
        <w:t>The PBAC noted</w:t>
      </w:r>
      <w:r w:rsidR="00484BC2" w:rsidRPr="00484BC2">
        <w:rPr>
          <w:lang w:val="en-GB"/>
        </w:rPr>
        <w:t xml:space="preserve"> that the sponsor of vemurafenib + cobimetinib w</w:t>
      </w:r>
      <w:r w:rsidR="00222AEB">
        <w:rPr>
          <w:lang w:val="en-GB"/>
        </w:rPr>
        <w:t>ould</w:t>
      </w:r>
      <w:r w:rsidR="00484BC2" w:rsidRPr="00484BC2">
        <w:rPr>
          <w:lang w:val="en-GB"/>
        </w:rPr>
        <w:t xml:space="preserve"> be required to share the </w:t>
      </w:r>
      <w:r w:rsidR="00E20AD6">
        <w:rPr>
          <w:lang w:val="en-GB"/>
        </w:rPr>
        <w:t xml:space="preserve">current </w:t>
      </w:r>
      <w:r w:rsidR="00484BC2" w:rsidRPr="00484BC2">
        <w:rPr>
          <w:lang w:val="en-GB"/>
        </w:rPr>
        <w:t xml:space="preserve">Risk Share Arrangement (RSA) with the sponsor of </w:t>
      </w:r>
      <w:r w:rsidR="00E20AD6">
        <w:rPr>
          <w:lang w:val="en-GB"/>
        </w:rPr>
        <w:t xml:space="preserve">dabrafenib + </w:t>
      </w:r>
      <w:r w:rsidR="00484BC2" w:rsidRPr="00484BC2">
        <w:rPr>
          <w:bCs/>
          <w:szCs w:val="20"/>
          <w:lang w:val="en-GB"/>
        </w:rPr>
        <w:t>trametinib</w:t>
      </w:r>
      <w:r w:rsidR="004B1648">
        <w:rPr>
          <w:bCs/>
        </w:rPr>
        <w:t xml:space="preserve">, to </w:t>
      </w:r>
      <w:r w:rsidR="00A63E9C">
        <w:rPr>
          <w:bCs/>
        </w:rPr>
        <w:t>en</w:t>
      </w:r>
      <w:r w:rsidR="004B1648">
        <w:rPr>
          <w:bCs/>
        </w:rPr>
        <w:t>sure no additional cost to Government beyond current financial caps</w:t>
      </w:r>
      <w:r w:rsidR="004B1648">
        <w:rPr>
          <w:bCs/>
          <w:szCs w:val="20"/>
          <w:lang w:val="en-GB"/>
        </w:rPr>
        <w:t>;</w:t>
      </w:r>
      <w:r w:rsidR="00E20AD6">
        <w:rPr>
          <w:bCs/>
        </w:rPr>
        <w:t xml:space="preserve"> and also any applicable price and rebate consequences following the conclusion of the trametinib MES</w:t>
      </w:r>
      <w:r w:rsidR="004B1648">
        <w:rPr>
          <w:bCs/>
        </w:rPr>
        <w:t xml:space="preserve"> to </w:t>
      </w:r>
      <w:r w:rsidR="00943EE6">
        <w:rPr>
          <w:bCs/>
        </w:rPr>
        <w:t>be applied to the price of cobim</w:t>
      </w:r>
      <w:r w:rsidR="004B1648">
        <w:rPr>
          <w:bCs/>
        </w:rPr>
        <w:t>etinib</w:t>
      </w:r>
      <w:r w:rsidR="00660833" w:rsidRPr="00484BC2">
        <w:rPr>
          <w:lang w:val="en-GB"/>
        </w:rPr>
        <w:t>.</w:t>
      </w:r>
    </w:p>
    <w:p w:rsidR="00484BC2" w:rsidRPr="00222AEB" w:rsidRDefault="00484BC2" w:rsidP="00222AEB">
      <w:pPr>
        <w:rPr>
          <w:lang w:val="en-GB"/>
        </w:rPr>
      </w:pPr>
    </w:p>
    <w:p w:rsidR="00484BC2" w:rsidRPr="00943EE6" w:rsidRDefault="00484BC2" w:rsidP="00A85D6C">
      <w:pPr>
        <w:keepNext/>
        <w:widowControl/>
        <w:numPr>
          <w:ilvl w:val="1"/>
          <w:numId w:val="1"/>
        </w:numPr>
        <w:rPr>
          <w:bCs/>
          <w:szCs w:val="22"/>
          <w:u w:val="single"/>
          <w:lang w:val="en-GB"/>
        </w:rPr>
      </w:pPr>
      <w:r w:rsidRPr="00943EE6">
        <w:rPr>
          <w:bCs/>
          <w:szCs w:val="22"/>
          <w:u w:val="single"/>
        </w:rPr>
        <w:t>Advice to the Minister under section 101 (3BA) of the Act</w:t>
      </w:r>
    </w:p>
    <w:p w:rsidR="00660833" w:rsidRDefault="00484BC2" w:rsidP="00484BC2">
      <w:pPr>
        <w:widowControl/>
        <w:ind w:left="720"/>
      </w:pPr>
      <w:r w:rsidRPr="00A54EE1">
        <w:rPr>
          <w:bCs/>
          <w:szCs w:val="22"/>
        </w:rPr>
        <w:t>The PBAC advised the Minister that</w:t>
      </w:r>
      <w:r w:rsidRPr="00A54EE1">
        <w:rPr>
          <w:bCs/>
          <w:szCs w:val="22"/>
          <w:lang w:val="en-GB"/>
        </w:rPr>
        <w:t xml:space="preserve"> there are no drugs or medicinal preparations that should be treated as interchangeable with </w:t>
      </w:r>
      <w:r w:rsidRPr="00484BC2">
        <w:t xml:space="preserve">vemurafenib + cobimetinib </w:t>
      </w:r>
      <w:r w:rsidR="00222AEB">
        <w:t>on an individual patient basis.</w:t>
      </w:r>
    </w:p>
    <w:p w:rsidR="00484BC2" w:rsidRPr="003C3927" w:rsidRDefault="00484BC2" w:rsidP="00222AEB">
      <w:pPr>
        <w:widowControl/>
        <w:rPr>
          <w:bCs/>
          <w:szCs w:val="22"/>
          <w:highlight w:val="yellow"/>
          <w:lang w:val="en-GB"/>
        </w:rPr>
      </w:pPr>
    </w:p>
    <w:p w:rsidR="00660833" w:rsidRPr="00860E42" w:rsidRDefault="00660833" w:rsidP="00860E42">
      <w:pPr>
        <w:pStyle w:val="ListParagraph"/>
        <w:rPr>
          <w:lang w:val="en-GB"/>
        </w:rPr>
      </w:pPr>
      <w:r w:rsidRPr="00860E42">
        <w:rPr>
          <w:lang w:val="en-GB"/>
        </w:rPr>
        <w:t xml:space="preserve">The PBAC advised that </w:t>
      </w:r>
      <w:r w:rsidR="00E20AD6">
        <w:rPr>
          <w:lang w:val="en-GB"/>
        </w:rPr>
        <w:t xml:space="preserve">the combination of </w:t>
      </w:r>
      <w:r w:rsidR="00860E42" w:rsidRPr="00860E42">
        <w:rPr>
          <w:bCs/>
          <w:lang w:val="en-GB"/>
        </w:rPr>
        <w:t xml:space="preserve">vemurafenib + cobimetinib </w:t>
      </w:r>
      <w:r w:rsidRPr="00860E42">
        <w:rPr>
          <w:lang w:val="en-GB"/>
        </w:rPr>
        <w:t>is not suitable for presc</w:t>
      </w:r>
      <w:r w:rsidR="00E20AD6">
        <w:rPr>
          <w:lang w:val="en-GB"/>
        </w:rPr>
        <w:t>ribing by nurse practitioners.</w:t>
      </w:r>
    </w:p>
    <w:p w:rsidR="00660833" w:rsidRPr="003C3927" w:rsidRDefault="00660833" w:rsidP="00222AEB">
      <w:pPr>
        <w:contextualSpacing/>
        <w:rPr>
          <w:bCs/>
          <w:szCs w:val="22"/>
          <w:highlight w:val="yellow"/>
          <w:lang w:val="en-GB"/>
        </w:rPr>
      </w:pPr>
    </w:p>
    <w:p w:rsidR="00660833" w:rsidRPr="00484BC2" w:rsidRDefault="00660833" w:rsidP="00351DE8">
      <w:pPr>
        <w:numPr>
          <w:ilvl w:val="1"/>
          <w:numId w:val="1"/>
        </w:numPr>
        <w:contextualSpacing/>
        <w:rPr>
          <w:bCs/>
          <w:szCs w:val="22"/>
          <w:lang w:val="en-GB"/>
        </w:rPr>
      </w:pPr>
      <w:r w:rsidRPr="00484BC2">
        <w:rPr>
          <w:bCs/>
          <w:szCs w:val="22"/>
          <w:lang w:val="en-GB"/>
        </w:rPr>
        <w:t xml:space="preserve">The PBAC recommended that the </w:t>
      </w:r>
      <w:r w:rsidR="00484BC2">
        <w:rPr>
          <w:bCs/>
          <w:szCs w:val="22"/>
          <w:lang w:val="en-GB"/>
        </w:rPr>
        <w:t>Early Supply</w:t>
      </w:r>
      <w:r w:rsidR="00E20AD6">
        <w:rPr>
          <w:bCs/>
          <w:szCs w:val="22"/>
          <w:lang w:val="en-GB"/>
        </w:rPr>
        <w:t xml:space="preserve"> Rule should not apply.</w:t>
      </w:r>
    </w:p>
    <w:p w:rsidR="00660833" w:rsidRPr="003C3927" w:rsidRDefault="00660833" w:rsidP="00E20AD6">
      <w:pPr>
        <w:contextualSpacing/>
        <w:rPr>
          <w:bCs/>
          <w:szCs w:val="22"/>
          <w:highlight w:val="yellow"/>
          <w:lang w:val="en-GB"/>
        </w:rPr>
      </w:pPr>
    </w:p>
    <w:p w:rsidR="00660833" w:rsidRDefault="00660833" w:rsidP="00351DE8">
      <w:pPr>
        <w:numPr>
          <w:ilvl w:val="1"/>
          <w:numId w:val="1"/>
        </w:numPr>
        <w:contextualSpacing/>
        <w:rPr>
          <w:bCs/>
          <w:szCs w:val="22"/>
          <w:lang w:val="en-GB"/>
        </w:rPr>
      </w:pPr>
      <w:r w:rsidRPr="00860E42">
        <w:rPr>
          <w:bCs/>
          <w:szCs w:val="22"/>
          <w:lang w:val="en-GB"/>
        </w:rPr>
        <w:t>The P</w:t>
      </w:r>
      <w:r w:rsidR="00860E42" w:rsidRPr="00860E42">
        <w:rPr>
          <w:bCs/>
          <w:szCs w:val="22"/>
          <w:lang w:val="en-GB"/>
        </w:rPr>
        <w:t xml:space="preserve">BAC noted that this submission </w:t>
      </w:r>
      <w:r w:rsidRPr="00860E42">
        <w:rPr>
          <w:bCs/>
          <w:szCs w:val="22"/>
          <w:lang w:val="en-GB"/>
        </w:rPr>
        <w:t>is not eligible for an Independent Review</w:t>
      </w:r>
      <w:r w:rsidR="00860E42" w:rsidRPr="00860E42">
        <w:rPr>
          <w:bCs/>
          <w:szCs w:val="22"/>
          <w:lang w:val="en-GB"/>
        </w:rPr>
        <w:t xml:space="preserve"> as it was a positive recommendation.</w:t>
      </w:r>
    </w:p>
    <w:p w:rsidR="00C7226A" w:rsidRDefault="00C7226A" w:rsidP="00943EE6">
      <w:pPr>
        <w:pStyle w:val="ListParagraph"/>
        <w:numPr>
          <w:ilvl w:val="0"/>
          <w:numId w:val="0"/>
        </w:numPr>
        <w:ind w:left="720"/>
        <w:rPr>
          <w:bCs/>
          <w:lang w:val="en-GB"/>
        </w:rPr>
      </w:pPr>
    </w:p>
    <w:p w:rsidR="00C7226A" w:rsidRPr="00860E42" w:rsidRDefault="00C7226A" w:rsidP="00C7226A">
      <w:pPr>
        <w:pStyle w:val="ListParagraph"/>
        <w:rPr>
          <w:bCs/>
          <w:lang w:val="en-GB"/>
        </w:rPr>
      </w:pPr>
      <w:r w:rsidRPr="00C7226A">
        <w:rPr>
          <w:bCs/>
          <w:lang w:val="en-GB"/>
        </w:rPr>
        <w:t xml:space="preserve">The PBAC noted that any V600 mutation would constitute a </w:t>
      </w:r>
      <w:r w:rsidRPr="00C7226A">
        <w:rPr>
          <w:bCs/>
          <w:i/>
          <w:lang w:val="en-GB"/>
        </w:rPr>
        <w:t>BRAF</w:t>
      </w:r>
      <w:r w:rsidRPr="00C7226A">
        <w:rPr>
          <w:bCs/>
          <w:lang w:val="en-GB"/>
        </w:rPr>
        <w:t xml:space="preserve"> mutation for the purposes of determining eligibility for PBS-subsidised vemurafenib. No particular issue was identified that might be relevant to MSAC deliberations.</w:t>
      </w:r>
    </w:p>
    <w:p w:rsidR="00660833" w:rsidRPr="00E20AD6" w:rsidRDefault="00660833" w:rsidP="00660833">
      <w:pPr>
        <w:rPr>
          <w:szCs w:val="22"/>
          <w:highlight w:val="yellow"/>
          <w:lang w:val="en-GB"/>
        </w:rPr>
      </w:pPr>
    </w:p>
    <w:p w:rsidR="00660833" w:rsidRPr="00E20AD6" w:rsidRDefault="00660833" w:rsidP="00660833">
      <w:pPr>
        <w:rPr>
          <w:bCs/>
          <w:szCs w:val="22"/>
          <w:lang w:val="en-GB"/>
        </w:rPr>
      </w:pPr>
    </w:p>
    <w:p w:rsidR="00660833" w:rsidRPr="00484BC2" w:rsidRDefault="00660833" w:rsidP="00660833">
      <w:pPr>
        <w:rPr>
          <w:b/>
          <w:bCs/>
          <w:szCs w:val="22"/>
          <w:lang w:val="en-GB"/>
        </w:rPr>
      </w:pPr>
      <w:r w:rsidRPr="00484BC2">
        <w:rPr>
          <w:b/>
          <w:bCs/>
          <w:szCs w:val="22"/>
          <w:lang w:val="en-GB"/>
        </w:rPr>
        <w:t>Outcome:</w:t>
      </w:r>
    </w:p>
    <w:p w:rsidR="00660833" w:rsidRPr="00484BC2" w:rsidRDefault="00860E42" w:rsidP="00660833">
      <w:pPr>
        <w:rPr>
          <w:bCs/>
          <w:szCs w:val="22"/>
          <w:lang w:val="en-GB"/>
        </w:rPr>
      </w:pPr>
      <w:r w:rsidRPr="00484BC2">
        <w:rPr>
          <w:bCs/>
          <w:szCs w:val="22"/>
          <w:lang w:val="en-GB"/>
        </w:rPr>
        <w:t>Recommended</w:t>
      </w:r>
    </w:p>
    <w:p w:rsidR="00660833" w:rsidRPr="00484BC2" w:rsidRDefault="00660833" w:rsidP="00660833">
      <w:pPr>
        <w:rPr>
          <w:bCs/>
          <w:szCs w:val="22"/>
          <w:lang w:val="en-GB"/>
        </w:rPr>
      </w:pPr>
    </w:p>
    <w:p w:rsidR="00484BC2" w:rsidRPr="00351DE8" w:rsidRDefault="00484BC2" w:rsidP="00660833">
      <w:pPr>
        <w:rPr>
          <w:bCs/>
          <w:szCs w:val="22"/>
        </w:rPr>
      </w:pPr>
    </w:p>
    <w:p w:rsidR="00660833" w:rsidRPr="009544E5" w:rsidRDefault="00660833" w:rsidP="00C27C38">
      <w:pPr>
        <w:pStyle w:val="Heading1"/>
        <w:rPr>
          <w:b w:val="0"/>
          <w:bCs/>
          <w:lang w:val="en-GB"/>
        </w:rPr>
      </w:pPr>
      <w:r w:rsidRPr="00351DE8">
        <w:rPr>
          <w:bCs/>
          <w:lang w:val="en-GB"/>
        </w:rPr>
        <w:t>Recommended listing</w:t>
      </w:r>
    </w:p>
    <w:p w:rsidR="00660833" w:rsidRPr="009544E5" w:rsidRDefault="00660833" w:rsidP="00660833">
      <w:pPr>
        <w:rPr>
          <w:bCs/>
          <w:szCs w:val="22"/>
          <w:lang w:val="en-GB"/>
        </w:rPr>
      </w:pPr>
    </w:p>
    <w:p w:rsidR="00660833" w:rsidRPr="00943EE6" w:rsidRDefault="00660833" w:rsidP="00943EE6">
      <w:pPr>
        <w:pStyle w:val="ListParagraph"/>
        <w:rPr>
          <w:bCs/>
          <w:lang w:val="en-GB"/>
        </w:rPr>
      </w:pPr>
      <w:r w:rsidRPr="00943EE6">
        <w:rPr>
          <w:bCs/>
          <w:lang w:val="en-GB"/>
        </w:rPr>
        <w:t>Add new item:</w:t>
      </w:r>
    </w:p>
    <w:p w:rsidR="00660833" w:rsidRPr="009544E5" w:rsidRDefault="00660833" w:rsidP="00660833">
      <w:pPr>
        <w:rPr>
          <w:bCs/>
          <w:szCs w:val="22"/>
          <w:highlight w:val="yellow"/>
        </w:rPr>
      </w:pPr>
    </w:p>
    <w:tbl>
      <w:tblPr>
        <w:tblW w:w="9214" w:type="dxa"/>
        <w:tblInd w:w="108" w:type="dxa"/>
        <w:tblLayout w:type="fixed"/>
        <w:tblLook w:val="0000" w:firstRow="0" w:lastRow="0" w:firstColumn="0" w:lastColumn="0" w:noHBand="0" w:noVBand="0"/>
      </w:tblPr>
      <w:tblGrid>
        <w:gridCol w:w="2835"/>
        <w:gridCol w:w="426"/>
        <w:gridCol w:w="567"/>
        <w:gridCol w:w="850"/>
        <w:gridCol w:w="709"/>
        <w:gridCol w:w="1843"/>
        <w:gridCol w:w="1984"/>
      </w:tblGrid>
      <w:tr w:rsidR="00351DE8" w:rsidRPr="00452F75" w:rsidTr="00943EE6">
        <w:trPr>
          <w:cantSplit/>
          <w:trHeight w:val="471"/>
        </w:trPr>
        <w:tc>
          <w:tcPr>
            <w:tcW w:w="3261" w:type="dxa"/>
            <w:gridSpan w:val="2"/>
            <w:tcBorders>
              <w:bottom w:val="single" w:sz="4" w:space="0" w:color="auto"/>
            </w:tcBorders>
          </w:tcPr>
          <w:p w:rsidR="00351DE8" w:rsidRPr="00452F75" w:rsidRDefault="00351DE8" w:rsidP="004204E5">
            <w:pPr>
              <w:keepNext/>
              <w:ind w:left="-108"/>
              <w:rPr>
                <w:rFonts w:ascii="Arial Narrow" w:hAnsi="Arial Narrow"/>
                <w:sz w:val="20"/>
              </w:rPr>
            </w:pPr>
            <w:r w:rsidRPr="00452F75">
              <w:rPr>
                <w:rFonts w:ascii="Arial Narrow" w:hAnsi="Arial Narrow"/>
                <w:sz w:val="20"/>
              </w:rPr>
              <w:t>Name, Restriction,</w:t>
            </w:r>
          </w:p>
          <w:p w:rsidR="00351DE8" w:rsidRPr="00452F75" w:rsidRDefault="00351DE8" w:rsidP="004204E5">
            <w:pPr>
              <w:keepNext/>
              <w:ind w:left="-108"/>
              <w:rPr>
                <w:rFonts w:ascii="Arial Narrow" w:hAnsi="Arial Narrow"/>
                <w:sz w:val="20"/>
              </w:rPr>
            </w:pPr>
            <w:r w:rsidRPr="00452F75">
              <w:rPr>
                <w:rFonts w:ascii="Arial Narrow" w:hAnsi="Arial Narrow"/>
                <w:sz w:val="20"/>
              </w:rPr>
              <w:t>Manner of administration and form</w:t>
            </w:r>
          </w:p>
        </w:tc>
        <w:tc>
          <w:tcPr>
            <w:tcW w:w="567" w:type="dxa"/>
            <w:tcBorders>
              <w:bottom w:val="single" w:sz="4" w:space="0" w:color="auto"/>
            </w:tcBorders>
          </w:tcPr>
          <w:p w:rsidR="00351DE8" w:rsidRPr="00452F75" w:rsidRDefault="00351DE8" w:rsidP="004204E5">
            <w:pPr>
              <w:keepNext/>
              <w:ind w:left="-108"/>
              <w:rPr>
                <w:rFonts w:ascii="Arial Narrow" w:hAnsi="Arial Narrow"/>
                <w:sz w:val="20"/>
              </w:rPr>
            </w:pPr>
            <w:r w:rsidRPr="00452F75">
              <w:rPr>
                <w:rFonts w:ascii="Arial Narrow" w:hAnsi="Arial Narrow"/>
                <w:sz w:val="20"/>
              </w:rPr>
              <w:t>Max.</w:t>
            </w:r>
          </w:p>
          <w:p w:rsidR="00351DE8" w:rsidRPr="00452F75" w:rsidRDefault="00351DE8" w:rsidP="004204E5">
            <w:pPr>
              <w:keepNext/>
              <w:ind w:left="-108"/>
              <w:rPr>
                <w:rFonts w:ascii="Arial Narrow" w:hAnsi="Arial Narrow"/>
                <w:sz w:val="20"/>
              </w:rPr>
            </w:pPr>
            <w:r w:rsidRPr="00452F75">
              <w:rPr>
                <w:rFonts w:ascii="Arial Narrow" w:hAnsi="Arial Narrow"/>
                <w:sz w:val="20"/>
              </w:rPr>
              <w:t>Qty</w:t>
            </w:r>
          </w:p>
        </w:tc>
        <w:tc>
          <w:tcPr>
            <w:tcW w:w="850" w:type="dxa"/>
            <w:tcBorders>
              <w:bottom w:val="single" w:sz="4" w:space="0" w:color="auto"/>
            </w:tcBorders>
          </w:tcPr>
          <w:p w:rsidR="00351DE8" w:rsidRPr="00452F75" w:rsidRDefault="00351DE8" w:rsidP="004204E5">
            <w:pPr>
              <w:keepNext/>
              <w:ind w:left="-108"/>
              <w:rPr>
                <w:rFonts w:ascii="Arial Narrow" w:hAnsi="Arial Narrow"/>
                <w:sz w:val="20"/>
              </w:rPr>
            </w:pPr>
            <w:r w:rsidRPr="00452F75">
              <w:rPr>
                <w:rFonts w:ascii="Arial Narrow" w:hAnsi="Arial Narrow"/>
                <w:sz w:val="20"/>
              </w:rPr>
              <w:t>№.of</w:t>
            </w:r>
          </w:p>
          <w:p w:rsidR="00351DE8" w:rsidRPr="00452F75" w:rsidRDefault="00351DE8" w:rsidP="004204E5">
            <w:pPr>
              <w:keepNext/>
              <w:ind w:left="-108"/>
              <w:rPr>
                <w:rFonts w:ascii="Arial Narrow" w:hAnsi="Arial Narrow"/>
                <w:sz w:val="20"/>
              </w:rPr>
            </w:pPr>
            <w:r w:rsidRPr="00452F75">
              <w:rPr>
                <w:rFonts w:ascii="Arial Narrow" w:hAnsi="Arial Narrow"/>
                <w:sz w:val="20"/>
              </w:rPr>
              <w:t>Rpts</w:t>
            </w:r>
          </w:p>
        </w:tc>
        <w:tc>
          <w:tcPr>
            <w:tcW w:w="709" w:type="dxa"/>
            <w:tcBorders>
              <w:bottom w:val="single" w:sz="4" w:space="0" w:color="auto"/>
            </w:tcBorders>
          </w:tcPr>
          <w:p w:rsidR="00351DE8" w:rsidRPr="00452F75" w:rsidRDefault="00351DE8" w:rsidP="004204E5">
            <w:pPr>
              <w:keepNext/>
              <w:ind w:left="-108"/>
              <w:rPr>
                <w:rFonts w:ascii="Arial Narrow" w:hAnsi="Arial Narrow"/>
                <w:sz w:val="20"/>
              </w:rPr>
            </w:pPr>
          </w:p>
        </w:tc>
        <w:tc>
          <w:tcPr>
            <w:tcW w:w="3827" w:type="dxa"/>
            <w:gridSpan w:val="2"/>
            <w:tcBorders>
              <w:bottom w:val="single" w:sz="4" w:space="0" w:color="auto"/>
            </w:tcBorders>
          </w:tcPr>
          <w:p w:rsidR="00351DE8" w:rsidRPr="00452F75" w:rsidRDefault="00351DE8" w:rsidP="004204E5">
            <w:pPr>
              <w:keepNext/>
              <w:rPr>
                <w:rFonts w:ascii="Arial Narrow" w:hAnsi="Arial Narrow"/>
                <w:sz w:val="20"/>
                <w:lang w:val="fr-FR"/>
              </w:rPr>
            </w:pPr>
            <w:r w:rsidRPr="00452F75">
              <w:rPr>
                <w:rFonts w:ascii="Arial Narrow" w:hAnsi="Arial Narrow"/>
                <w:sz w:val="20"/>
              </w:rPr>
              <w:t>Proprietary Name and Manufacturer</w:t>
            </w:r>
          </w:p>
        </w:tc>
      </w:tr>
      <w:tr w:rsidR="00351DE8" w:rsidRPr="00452F75" w:rsidTr="00943EE6">
        <w:trPr>
          <w:cantSplit/>
          <w:trHeight w:val="577"/>
        </w:trPr>
        <w:tc>
          <w:tcPr>
            <w:tcW w:w="3261" w:type="dxa"/>
            <w:gridSpan w:val="2"/>
          </w:tcPr>
          <w:p w:rsidR="00351DE8" w:rsidRPr="00452F75" w:rsidRDefault="00351DE8" w:rsidP="004204E5">
            <w:pPr>
              <w:keepNext/>
              <w:ind w:left="-108"/>
              <w:rPr>
                <w:rFonts w:ascii="Arial Narrow" w:hAnsi="Arial Narrow"/>
                <w:sz w:val="20"/>
              </w:rPr>
            </w:pPr>
            <w:r w:rsidRPr="00452F75">
              <w:rPr>
                <w:rFonts w:ascii="Arial Narrow" w:hAnsi="Arial Narrow"/>
                <w:smallCaps/>
                <w:sz w:val="20"/>
              </w:rPr>
              <w:t>vemurafenib</w:t>
            </w:r>
          </w:p>
          <w:p w:rsidR="00351DE8" w:rsidRPr="00452F75" w:rsidRDefault="00351DE8" w:rsidP="004204E5">
            <w:pPr>
              <w:keepNext/>
              <w:ind w:left="-108"/>
              <w:rPr>
                <w:rFonts w:ascii="Arial Narrow" w:hAnsi="Arial Narrow"/>
                <w:sz w:val="20"/>
              </w:rPr>
            </w:pPr>
            <w:r w:rsidRPr="00452F75">
              <w:rPr>
                <w:rFonts w:ascii="Arial Narrow" w:hAnsi="Arial Narrow"/>
                <w:sz w:val="20"/>
              </w:rPr>
              <w:t>240 mg tablet, 56</w:t>
            </w:r>
          </w:p>
        </w:tc>
        <w:tc>
          <w:tcPr>
            <w:tcW w:w="567" w:type="dxa"/>
          </w:tcPr>
          <w:p w:rsidR="00351DE8" w:rsidRPr="00452F75" w:rsidRDefault="00351DE8" w:rsidP="004204E5">
            <w:pPr>
              <w:keepNext/>
              <w:ind w:left="-108"/>
              <w:rPr>
                <w:rFonts w:ascii="Arial Narrow" w:hAnsi="Arial Narrow"/>
                <w:sz w:val="20"/>
              </w:rPr>
            </w:pPr>
          </w:p>
          <w:p w:rsidR="00351DE8" w:rsidRPr="00452F75" w:rsidRDefault="00351DE8" w:rsidP="004204E5">
            <w:pPr>
              <w:keepNext/>
              <w:ind w:left="-108"/>
              <w:rPr>
                <w:rFonts w:ascii="Arial Narrow" w:hAnsi="Arial Narrow"/>
                <w:sz w:val="20"/>
              </w:rPr>
            </w:pPr>
            <w:r w:rsidRPr="00452F75">
              <w:rPr>
                <w:rFonts w:ascii="Arial Narrow" w:hAnsi="Arial Narrow"/>
                <w:sz w:val="20"/>
              </w:rPr>
              <w:t>4</w:t>
            </w:r>
          </w:p>
        </w:tc>
        <w:tc>
          <w:tcPr>
            <w:tcW w:w="850" w:type="dxa"/>
          </w:tcPr>
          <w:p w:rsidR="00351DE8" w:rsidRPr="00452F75" w:rsidRDefault="00351DE8" w:rsidP="004204E5">
            <w:pPr>
              <w:keepNext/>
              <w:ind w:left="-108"/>
              <w:rPr>
                <w:rFonts w:ascii="Arial Narrow" w:hAnsi="Arial Narrow"/>
                <w:sz w:val="20"/>
              </w:rPr>
            </w:pPr>
          </w:p>
          <w:p w:rsidR="00351DE8" w:rsidRPr="00452F75" w:rsidRDefault="00351DE8" w:rsidP="004204E5">
            <w:pPr>
              <w:keepNext/>
              <w:ind w:left="-108"/>
              <w:rPr>
                <w:rFonts w:ascii="Arial Narrow" w:hAnsi="Arial Narrow"/>
                <w:sz w:val="20"/>
              </w:rPr>
            </w:pPr>
            <w:r w:rsidRPr="00452F75">
              <w:rPr>
                <w:rFonts w:ascii="Arial Narrow" w:hAnsi="Arial Narrow"/>
                <w:sz w:val="20"/>
              </w:rPr>
              <w:t>3</w:t>
            </w:r>
          </w:p>
        </w:tc>
        <w:tc>
          <w:tcPr>
            <w:tcW w:w="709" w:type="dxa"/>
          </w:tcPr>
          <w:p w:rsidR="00351DE8" w:rsidRPr="00452F75" w:rsidRDefault="00351DE8" w:rsidP="004204E5">
            <w:pPr>
              <w:keepNext/>
              <w:ind w:left="-108"/>
              <w:rPr>
                <w:rFonts w:ascii="Arial Narrow" w:hAnsi="Arial Narrow"/>
                <w:sz w:val="20"/>
              </w:rPr>
            </w:pPr>
          </w:p>
        </w:tc>
        <w:tc>
          <w:tcPr>
            <w:tcW w:w="1843" w:type="dxa"/>
          </w:tcPr>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ZELBORAF</w:t>
            </w:r>
          </w:p>
        </w:tc>
        <w:tc>
          <w:tcPr>
            <w:tcW w:w="1984" w:type="dxa"/>
          </w:tcPr>
          <w:p w:rsidR="00351DE8" w:rsidRPr="00452F75" w:rsidRDefault="00351DE8" w:rsidP="004204E5">
            <w:pPr>
              <w:rPr>
                <w:rFonts w:ascii="Arial Narrow" w:hAnsi="Arial Narrow"/>
                <w:sz w:val="20"/>
              </w:rPr>
            </w:pPr>
            <w:r w:rsidRPr="00452F75">
              <w:rPr>
                <w:rFonts w:ascii="Arial Narrow" w:hAnsi="Arial Narrow"/>
                <w:sz w:val="20"/>
              </w:rPr>
              <w:t>Roche Products Pty Limited</w:t>
            </w:r>
          </w:p>
        </w:tc>
      </w:tr>
      <w:tr w:rsidR="00351DE8" w:rsidRPr="00452F75" w:rsidTr="004204E5">
        <w:trPr>
          <w:cantSplit/>
          <w:trHeight w:val="360"/>
        </w:trPr>
        <w:tc>
          <w:tcPr>
            <w:tcW w:w="9214" w:type="dxa"/>
            <w:gridSpan w:val="7"/>
            <w:tcBorders>
              <w:bottom w:val="single" w:sz="4" w:space="0" w:color="auto"/>
            </w:tcBorders>
          </w:tcPr>
          <w:p w:rsidR="00351DE8" w:rsidRPr="00452F75" w:rsidRDefault="00351DE8" w:rsidP="004204E5">
            <w:pPr>
              <w:rPr>
                <w:rFonts w:ascii="Arial Narrow" w:hAnsi="Arial Narrow"/>
                <w:sz w:val="20"/>
              </w:rPr>
            </w:pP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GENERAL – General Schedule (Code GE)</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Dental  </w:t>
            </w:r>
            <w:r w:rsidRPr="00452F75">
              <w:rPr>
                <w:rFonts w:ascii="Arial Narrow" w:hAnsi="Arial Narrow"/>
                <w:sz w:val="20"/>
              </w:rPr>
              <w:fldChar w:fldCharType="begin">
                <w:ffData>
                  <w:name w:val=""/>
                  <w:enabled/>
                  <w:calcOnExit w:val="0"/>
                  <w:checkBox>
                    <w:sizeAuto/>
                    <w:default w:val="1"/>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Medical Practitioners  </w:t>
            </w: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Nurse practitioners  </w:t>
            </w: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Optometrists</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Midwives</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Unresectable Stage III or Stage IV</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Malignant melanoma</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Unresectable Stage III or Stage IV malignant melanoma</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Initial</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Restricted benefit</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In Writing</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Telephone</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Emergency</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Electronic</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5"/>
                  <w:enabled/>
                  <w:calcOnExit w:val="0"/>
                  <w:checkBox>
                    <w:sizeAuto/>
                    <w:default w:val="1"/>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Streamlined</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lastRenderedPageBreak/>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 xml:space="preserve">The condition must be positive for a </w:t>
            </w:r>
            <w:r w:rsidRPr="009544E5">
              <w:rPr>
                <w:rFonts w:ascii="Arial Narrow" w:hAnsi="Arial Narrow"/>
                <w:i/>
                <w:sz w:val="20"/>
              </w:rPr>
              <w:t>BRAF</w:t>
            </w:r>
            <w:r w:rsidRPr="00452F75">
              <w:rPr>
                <w:rFonts w:ascii="Arial Narrow" w:hAnsi="Arial Narrow"/>
                <w:sz w:val="20"/>
              </w:rPr>
              <w:t xml:space="preserve"> V600 mutation,</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AND</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Patient must be receiving PBS subsidised cobimetinib concomitantly for this condition,</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AND</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The condition must not have been treated previously with PBS subsidised therapy,</w:t>
            </w:r>
          </w:p>
          <w:p w:rsidR="00351DE8" w:rsidRPr="00452F75" w:rsidRDefault="00351DE8" w:rsidP="004204E5">
            <w:pPr>
              <w:rPr>
                <w:rFonts w:ascii="Arial Narrow" w:hAnsi="Arial Narrow"/>
                <w:sz w:val="20"/>
              </w:rPr>
            </w:pPr>
            <w:r w:rsidRPr="00452F75">
              <w:rPr>
                <w:rFonts w:ascii="Arial Narrow" w:hAnsi="Arial Narrow"/>
                <w:sz w:val="20"/>
              </w:rPr>
              <w:t>OR</w:t>
            </w:r>
          </w:p>
          <w:p w:rsidR="00351DE8" w:rsidRPr="00452F75" w:rsidRDefault="00351DE8" w:rsidP="004204E5">
            <w:pPr>
              <w:rPr>
                <w:rFonts w:ascii="Arial Narrow" w:hAnsi="Arial Narrow"/>
                <w:sz w:val="20"/>
              </w:rPr>
            </w:pPr>
            <w:r w:rsidRPr="00452F75">
              <w:rPr>
                <w:rFonts w:ascii="Arial Narrow" w:hAnsi="Arial Narrow"/>
                <w:sz w:val="20"/>
              </w:rPr>
              <w:t xml:space="preserve">Patient must have developed intolerance to another </w:t>
            </w:r>
            <w:r w:rsidR="00582E4F">
              <w:rPr>
                <w:rFonts w:ascii="Arial Narrow" w:hAnsi="Arial Narrow"/>
                <w:sz w:val="20"/>
              </w:rPr>
              <w:t xml:space="preserve">combination </w:t>
            </w:r>
            <w:r w:rsidRPr="00582E4F">
              <w:rPr>
                <w:rFonts w:ascii="Arial Narrow" w:hAnsi="Arial Narrow"/>
                <w:sz w:val="20"/>
              </w:rPr>
              <w:t>BRAF</w:t>
            </w:r>
            <w:r w:rsidR="00582E4F" w:rsidRPr="00582E4F">
              <w:rPr>
                <w:rFonts w:ascii="Arial Narrow" w:hAnsi="Arial Narrow"/>
                <w:sz w:val="20"/>
              </w:rPr>
              <w:t>/MEK</w:t>
            </w:r>
            <w:r w:rsidRPr="00582E4F">
              <w:rPr>
                <w:rFonts w:ascii="Arial Narrow" w:hAnsi="Arial Narrow"/>
                <w:sz w:val="20"/>
              </w:rPr>
              <w:t xml:space="preserve"> </w:t>
            </w:r>
            <w:r w:rsidRPr="00452F75">
              <w:rPr>
                <w:rFonts w:ascii="Arial Narrow" w:hAnsi="Arial Narrow"/>
                <w:sz w:val="20"/>
              </w:rPr>
              <w:t>inhibitor of a severity necessitating permanent treatment withdrawal,</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AND</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Patient must have a WHO performance status of 2 or less.</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A patient who has had progressive disease when treated with another BRAF inhibitor is not eligible to receive PBS-subsidised treatment with this drug.</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No increase in the maximum quantity or number of units may be authorised.</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No increase in the maximum number of repeats may be authorised.</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Special Pricing Arrangements apply.</w:t>
            </w:r>
          </w:p>
        </w:tc>
      </w:tr>
    </w:tbl>
    <w:p w:rsidR="00351DE8" w:rsidRPr="00452F75" w:rsidRDefault="00351DE8" w:rsidP="00351DE8">
      <w:pPr>
        <w:rPr>
          <w:szCs w:val="22"/>
        </w:rPr>
      </w:pPr>
    </w:p>
    <w:p w:rsidR="00351DE8" w:rsidRPr="00452F75" w:rsidRDefault="00351DE8" w:rsidP="00351DE8">
      <w:pPr>
        <w:rPr>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351DE8" w:rsidRPr="00452F75" w:rsidTr="004204E5">
        <w:trPr>
          <w:cantSplit/>
          <w:trHeight w:val="471"/>
        </w:trPr>
        <w:tc>
          <w:tcPr>
            <w:tcW w:w="3261" w:type="dxa"/>
            <w:gridSpan w:val="2"/>
            <w:tcBorders>
              <w:bottom w:val="single" w:sz="4" w:space="0" w:color="auto"/>
            </w:tcBorders>
          </w:tcPr>
          <w:p w:rsidR="00351DE8" w:rsidRPr="00452F75" w:rsidRDefault="00351DE8" w:rsidP="004204E5">
            <w:pPr>
              <w:keepNext/>
              <w:ind w:left="-108"/>
              <w:rPr>
                <w:rFonts w:ascii="Arial Narrow" w:hAnsi="Arial Narrow"/>
                <w:sz w:val="20"/>
              </w:rPr>
            </w:pPr>
            <w:r w:rsidRPr="00452F75">
              <w:rPr>
                <w:rFonts w:ascii="Arial Narrow" w:hAnsi="Arial Narrow"/>
                <w:sz w:val="20"/>
              </w:rPr>
              <w:t>Name, Restriction,</w:t>
            </w:r>
          </w:p>
          <w:p w:rsidR="00351DE8" w:rsidRPr="00452F75" w:rsidRDefault="00351DE8" w:rsidP="004204E5">
            <w:pPr>
              <w:keepNext/>
              <w:ind w:left="-108"/>
              <w:rPr>
                <w:rFonts w:ascii="Arial Narrow" w:hAnsi="Arial Narrow"/>
                <w:sz w:val="20"/>
              </w:rPr>
            </w:pPr>
            <w:r w:rsidRPr="00452F75">
              <w:rPr>
                <w:rFonts w:ascii="Arial Narrow" w:hAnsi="Arial Narrow"/>
                <w:sz w:val="20"/>
              </w:rPr>
              <w:t>Manner of administration and form</w:t>
            </w:r>
          </w:p>
        </w:tc>
        <w:tc>
          <w:tcPr>
            <w:tcW w:w="567" w:type="dxa"/>
            <w:tcBorders>
              <w:bottom w:val="single" w:sz="4" w:space="0" w:color="auto"/>
            </w:tcBorders>
          </w:tcPr>
          <w:p w:rsidR="00351DE8" w:rsidRPr="00452F75" w:rsidRDefault="00351DE8" w:rsidP="004204E5">
            <w:pPr>
              <w:keepNext/>
              <w:ind w:left="-108"/>
              <w:rPr>
                <w:rFonts w:ascii="Arial Narrow" w:hAnsi="Arial Narrow"/>
                <w:sz w:val="20"/>
              </w:rPr>
            </w:pPr>
            <w:r w:rsidRPr="00452F75">
              <w:rPr>
                <w:rFonts w:ascii="Arial Narrow" w:hAnsi="Arial Narrow"/>
                <w:sz w:val="20"/>
              </w:rPr>
              <w:t>Max.</w:t>
            </w:r>
          </w:p>
          <w:p w:rsidR="00351DE8" w:rsidRPr="00452F75" w:rsidRDefault="00351DE8" w:rsidP="004204E5">
            <w:pPr>
              <w:keepNext/>
              <w:ind w:left="-108"/>
              <w:rPr>
                <w:rFonts w:ascii="Arial Narrow" w:hAnsi="Arial Narrow"/>
                <w:sz w:val="20"/>
              </w:rPr>
            </w:pPr>
            <w:r w:rsidRPr="00452F75">
              <w:rPr>
                <w:rFonts w:ascii="Arial Narrow" w:hAnsi="Arial Narrow"/>
                <w:sz w:val="20"/>
              </w:rPr>
              <w:t>Qty</w:t>
            </w:r>
          </w:p>
        </w:tc>
        <w:tc>
          <w:tcPr>
            <w:tcW w:w="850" w:type="dxa"/>
            <w:tcBorders>
              <w:bottom w:val="single" w:sz="4" w:space="0" w:color="auto"/>
            </w:tcBorders>
          </w:tcPr>
          <w:p w:rsidR="00351DE8" w:rsidRPr="00452F75" w:rsidRDefault="00351DE8" w:rsidP="004204E5">
            <w:pPr>
              <w:keepNext/>
              <w:ind w:left="-108"/>
              <w:rPr>
                <w:rFonts w:ascii="Arial Narrow" w:hAnsi="Arial Narrow"/>
                <w:sz w:val="20"/>
              </w:rPr>
            </w:pPr>
            <w:r w:rsidRPr="00452F75">
              <w:rPr>
                <w:rFonts w:ascii="Arial Narrow" w:hAnsi="Arial Narrow"/>
                <w:sz w:val="20"/>
              </w:rPr>
              <w:t>№.of</w:t>
            </w:r>
          </w:p>
          <w:p w:rsidR="00351DE8" w:rsidRPr="00452F75" w:rsidRDefault="00351DE8" w:rsidP="004204E5">
            <w:pPr>
              <w:keepNext/>
              <w:ind w:left="-108"/>
              <w:rPr>
                <w:rFonts w:ascii="Arial Narrow" w:hAnsi="Arial Narrow"/>
                <w:sz w:val="20"/>
              </w:rPr>
            </w:pPr>
            <w:r w:rsidRPr="00452F75">
              <w:rPr>
                <w:rFonts w:ascii="Arial Narrow" w:hAnsi="Arial Narrow"/>
                <w:sz w:val="20"/>
              </w:rPr>
              <w:t>Rpts</w:t>
            </w:r>
          </w:p>
        </w:tc>
        <w:tc>
          <w:tcPr>
            <w:tcW w:w="1701" w:type="dxa"/>
            <w:tcBorders>
              <w:bottom w:val="single" w:sz="4" w:space="0" w:color="auto"/>
            </w:tcBorders>
          </w:tcPr>
          <w:p w:rsidR="00351DE8" w:rsidRPr="00452F75" w:rsidRDefault="00351DE8" w:rsidP="004204E5">
            <w:pPr>
              <w:keepNext/>
              <w:ind w:left="-108"/>
              <w:rPr>
                <w:rFonts w:ascii="Arial Narrow" w:hAnsi="Arial Narrow"/>
                <w:sz w:val="20"/>
              </w:rPr>
            </w:pPr>
          </w:p>
        </w:tc>
        <w:tc>
          <w:tcPr>
            <w:tcW w:w="2835" w:type="dxa"/>
            <w:gridSpan w:val="2"/>
            <w:tcBorders>
              <w:bottom w:val="single" w:sz="4" w:space="0" w:color="auto"/>
            </w:tcBorders>
          </w:tcPr>
          <w:p w:rsidR="00351DE8" w:rsidRPr="00452F75" w:rsidRDefault="00351DE8" w:rsidP="004204E5">
            <w:pPr>
              <w:keepNext/>
              <w:rPr>
                <w:rFonts w:ascii="Arial Narrow" w:hAnsi="Arial Narrow"/>
                <w:sz w:val="20"/>
                <w:lang w:val="fr-FR"/>
              </w:rPr>
            </w:pPr>
            <w:r w:rsidRPr="00452F75">
              <w:rPr>
                <w:rFonts w:ascii="Arial Narrow" w:hAnsi="Arial Narrow"/>
                <w:sz w:val="20"/>
              </w:rPr>
              <w:t>Proprietary Name and Manufacturer</w:t>
            </w:r>
          </w:p>
        </w:tc>
      </w:tr>
      <w:tr w:rsidR="00351DE8" w:rsidRPr="00452F75" w:rsidTr="004204E5">
        <w:trPr>
          <w:cantSplit/>
          <w:trHeight w:val="577"/>
        </w:trPr>
        <w:tc>
          <w:tcPr>
            <w:tcW w:w="3261" w:type="dxa"/>
            <w:gridSpan w:val="2"/>
          </w:tcPr>
          <w:p w:rsidR="00351DE8" w:rsidRPr="00452F75" w:rsidRDefault="00351DE8" w:rsidP="004204E5">
            <w:pPr>
              <w:keepNext/>
              <w:ind w:left="-108"/>
              <w:rPr>
                <w:rFonts w:ascii="Arial Narrow" w:hAnsi="Arial Narrow"/>
                <w:sz w:val="20"/>
              </w:rPr>
            </w:pPr>
            <w:r w:rsidRPr="00452F75">
              <w:rPr>
                <w:rFonts w:ascii="Arial Narrow" w:hAnsi="Arial Narrow"/>
                <w:smallCaps/>
                <w:sz w:val="20"/>
              </w:rPr>
              <w:t>vemurafenib</w:t>
            </w:r>
          </w:p>
          <w:p w:rsidR="00351DE8" w:rsidRPr="00452F75" w:rsidRDefault="00351DE8" w:rsidP="004204E5">
            <w:pPr>
              <w:keepNext/>
              <w:ind w:left="-108"/>
              <w:rPr>
                <w:rFonts w:ascii="Arial Narrow" w:hAnsi="Arial Narrow"/>
                <w:sz w:val="20"/>
              </w:rPr>
            </w:pPr>
            <w:r w:rsidRPr="00452F75">
              <w:rPr>
                <w:rFonts w:ascii="Arial Narrow" w:hAnsi="Arial Narrow"/>
                <w:sz w:val="20"/>
              </w:rPr>
              <w:t>240 mg tablet, 56</w:t>
            </w:r>
          </w:p>
        </w:tc>
        <w:tc>
          <w:tcPr>
            <w:tcW w:w="567" w:type="dxa"/>
          </w:tcPr>
          <w:p w:rsidR="00351DE8" w:rsidRPr="00452F75" w:rsidRDefault="00351DE8" w:rsidP="004204E5">
            <w:pPr>
              <w:keepNext/>
              <w:ind w:left="-108"/>
              <w:rPr>
                <w:rFonts w:ascii="Arial Narrow" w:hAnsi="Arial Narrow"/>
                <w:sz w:val="20"/>
              </w:rPr>
            </w:pPr>
          </w:p>
          <w:p w:rsidR="00351DE8" w:rsidRPr="00452F75" w:rsidRDefault="00351DE8" w:rsidP="004204E5">
            <w:pPr>
              <w:keepNext/>
              <w:ind w:left="-108"/>
              <w:rPr>
                <w:rFonts w:ascii="Arial Narrow" w:hAnsi="Arial Narrow"/>
                <w:sz w:val="20"/>
              </w:rPr>
            </w:pPr>
            <w:r w:rsidRPr="00452F75">
              <w:rPr>
                <w:rFonts w:ascii="Arial Narrow" w:hAnsi="Arial Narrow"/>
                <w:sz w:val="20"/>
              </w:rPr>
              <w:t>4</w:t>
            </w:r>
          </w:p>
        </w:tc>
        <w:tc>
          <w:tcPr>
            <w:tcW w:w="850" w:type="dxa"/>
          </w:tcPr>
          <w:p w:rsidR="00351DE8" w:rsidRPr="00452F75" w:rsidRDefault="00351DE8" w:rsidP="004204E5">
            <w:pPr>
              <w:keepNext/>
              <w:ind w:left="-108"/>
              <w:rPr>
                <w:rFonts w:ascii="Arial Narrow" w:hAnsi="Arial Narrow"/>
                <w:sz w:val="20"/>
              </w:rPr>
            </w:pPr>
          </w:p>
          <w:p w:rsidR="00351DE8" w:rsidRPr="00452F75" w:rsidRDefault="00351DE8" w:rsidP="004204E5">
            <w:pPr>
              <w:keepNext/>
              <w:ind w:left="-108"/>
              <w:rPr>
                <w:rFonts w:ascii="Arial Narrow" w:hAnsi="Arial Narrow"/>
                <w:sz w:val="20"/>
              </w:rPr>
            </w:pPr>
            <w:r w:rsidRPr="00452F75">
              <w:rPr>
                <w:rFonts w:ascii="Arial Narrow" w:hAnsi="Arial Narrow"/>
                <w:sz w:val="20"/>
              </w:rPr>
              <w:t>5</w:t>
            </w:r>
          </w:p>
        </w:tc>
        <w:tc>
          <w:tcPr>
            <w:tcW w:w="1701" w:type="dxa"/>
          </w:tcPr>
          <w:p w:rsidR="00351DE8" w:rsidRPr="00452F75" w:rsidRDefault="00351DE8" w:rsidP="004204E5">
            <w:pPr>
              <w:keepNext/>
              <w:ind w:left="-108"/>
              <w:rPr>
                <w:rFonts w:ascii="Arial Narrow" w:hAnsi="Arial Narrow"/>
                <w:sz w:val="20"/>
              </w:rPr>
            </w:pPr>
          </w:p>
        </w:tc>
        <w:tc>
          <w:tcPr>
            <w:tcW w:w="1559" w:type="dxa"/>
          </w:tcPr>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ZELBORAF</w:t>
            </w:r>
          </w:p>
        </w:tc>
        <w:tc>
          <w:tcPr>
            <w:tcW w:w="1276" w:type="dxa"/>
          </w:tcPr>
          <w:p w:rsidR="00351DE8" w:rsidRPr="00452F75" w:rsidRDefault="00351DE8" w:rsidP="004204E5">
            <w:pPr>
              <w:rPr>
                <w:rFonts w:ascii="Arial Narrow" w:hAnsi="Arial Narrow"/>
                <w:sz w:val="20"/>
              </w:rPr>
            </w:pPr>
            <w:r w:rsidRPr="00452F75">
              <w:rPr>
                <w:rFonts w:ascii="Arial Narrow" w:hAnsi="Arial Narrow"/>
                <w:sz w:val="20"/>
              </w:rPr>
              <w:t>Roche Products Pty Limited</w:t>
            </w:r>
          </w:p>
        </w:tc>
      </w:tr>
      <w:tr w:rsidR="00351DE8" w:rsidRPr="00452F75" w:rsidTr="004204E5">
        <w:trPr>
          <w:cantSplit/>
          <w:trHeight w:val="360"/>
        </w:trPr>
        <w:tc>
          <w:tcPr>
            <w:tcW w:w="9214" w:type="dxa"/>
            <w:gridSpan w:val="7"/>
            <w:tcBorders>
              <w:bottom w:val="single" w:sz="4" w:space="0" w:color="auto"/>
            </w:tcBorders>
          </w:tcPr>
          <w:p w:rsidR="00351DE8" w:rsidRPr="00452F75" w:rsidRDefault="00351DE8" w:rsidP="004204E5">
            <w:pPr>
              <w:rPr>
                <w:rFonts w:ascii="Arial Narrow" w:hAnsi="Arial Narrow"/>
                <w:sz w:val="20"/>
              </w:rPr>
            </w:pP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GENERAL – General Schedule (Code GE)</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Dental  </w:t>
            </w:r>
            <w:r w:rsidRPr="00452F75">
              <w:rPr>
                <w:rFonts w:ascii="Arial Narrow" w:hAnsi="Arial Narrow"/>
                <w:sz w:val="20"/>
              </w:rPr>
              <w:fldChar w:fldCharType="begin">
                <w:ffData>
                  <w:name w:val=""/>
                  <w:enabled/>
                  <w:calcOnExit w:val="0"/>
                  <w:checkBox>
                    <w:sizeAuto/>
                    <w:default w:val="1"/>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Medical Practitioners  </w:t>
            </w: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Nurse practitioners  </w:t>
            </w: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Optometrists</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Midwives</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Unresectable Stage III or Stage IV</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Malignant melanoma</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Unresectable Stage III or Stage IV malignant melanoma</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Continuing</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Restricted benefit</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In Writing</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Telephone</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Emergency</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Electronic</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5"/>
                  <w:enabled/>
                  <w:calcOnExit w:val="0"/>
                  <w:checkBox>
                    <w:sizeAuto/>
                    <w:default w:val="1"/>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Streamlined</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Patient must have previously been issued with an authority prescription for this drug,</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AND</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Patient must have stable or responding disease.</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A patient who has had progressive disease when treated with this drug is no longer eligible for PBS subsidised treatment with this drug.</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No increase in the maximum quantity or number of units may be authorised.</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No increase in the maximum number of repeats may be authorised.</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Special Pricing Arrangements apply.</w:t>
            </w:r>
          </w:p>
        </w:tc>
      </w:tr>
    </w:tbl>
    <w:p w:rsidR="00351DE8" w:rsidRPr="00452F75" w:rsidRDefault="00351DE8" w:rsidP="00351DE8"/>
    <w:p w:rsidR="00351DE8" w:rsidRPr="00452F75" w:rsidRDefault="00351DE8" w:rsidP="00351DE8"/>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351DE8" w:rsidRPr="00452F75" w:rsidTr="004204E5">
        <w:trPr>
          <w:cantSplit/>
          <w:trHeight w:val="471"/>
        </w:trPr>
        <w:tc>
          <w:tcPr>
            <w:tcW w:w="3261" w:type="dxa"/>
            <w:gridSpan w:val="2"/>
            <w:tcBorders>
              <w:bottom w:val="single" w:sz="4" w:space="0" w:color="auto"/>
            </w:tcBorders>
          </w:tcPr>
          <w:p w:rsidR="00351DE8" w:rsidRPr="00452F75" w:rsidRDefault="00351DE8" w:rsidP="004204E5">
            <w:pPr>
              <w:keepNext/>
              <w:ind w:left="-108"/>
              <w:rPr>
                <w:rFonts w:ascii="Arial Narrow" w:hAnsi="Arial Narrow"/>
                <w:sz w:val="20"/>
              </w:rPr>
            </w:pPr>
            <w:r w:rsidRPr="00452F75">
              <w:rPr>
                <w:rFonts w:ascii="Arial Narrow" w:hAnsi="Arial Narrow"/>
                <w:sz w:val="20"/>
              </w:rPr>
              <w:t>Name, Restriction,</w:t>
            </w:r>
          </w:p>
          <w:p w:rsidR="00351DE8" w:rsidRPr="00452F75" w:rsidRDefault="00351DE8" w:rsidP="004204E5">
            <w:pPr>
              <w:keepNext/>
              <w:ind w:left="-108"/>
              <w:rPr>
                <w:rFonts w:ascii="Arial Narrow" w:hAnsi="Arial Narrow"/>
                <w:sz w:val="20"/>
              </w:rPr>
            </w:pPr>
            <w:r w:rsidRPr="00452F75">
              <w:rPr>
                <w:rFonts w:ascii="Arial Narrow" w:hAnsi="Arial Narrow"/>
                <w:sz w:val="20"/>
              </w:rPr>
              <w:t>Manner of administration and form</w:t>
            </w:r>
          </w:p>
        </w:tc>
        <w:tc>
          <w:tcPr>
            <w:tcW w:w="567" w:type="dxa"/>
            <w:tcBorders>
              <w:bottom w:val="single" w:sz="4" w:space="0" w:color="auto"/>
            </w:tcBorders>
          </w:tcPr>
          <w:p w:rsidR="00351DE8" w:rsidRPr="00452F75" w:rsidRDefault="00351DE8" w:rsidP="004204E5">
            <w:pPr>
              <w:keepNext/>
              <w:ind w:left="-108"/>
              <w:rPr>
                <w:rFonts w:ascii="Arial Narrow" w:hAnsi="Arial Narrow"/>
                <w:sz w:val="20"/>
              </w:rPr>
            </w:pPr>
            <w:r w:rsidRPr="00452F75">
              <w:rPr>
                <w:rFonts w:ascii="Arial Narrow" w:hAnsi="Arial Narrow"/>
                <w:sz w:val="20"/>
              </w:rPr>
              <w:t>Max.</w:t>
            </w:r>
          </w:p>
          <w:p w:rsidR="00351DE8" w:rsidRPr="00452F75" w:rsidRDefault="00351DE8" w:rsidP="004204E5">
            <w:pPr>
              <w:keepNext/>
              <w:ind w:left="-108"/>
              <w:rPr>
                <w:rFonts w:ascii="Arial Narrow" w:hAnsi="Arial Narrow"/>
                <w:sz w:val="20"/>
              </w:rPr>
            </w:pPr>
            <w:r w:rsidRPr="00452F75">
              <w:rPr>
                <w:rFonts w:ascii="Arial Narrow" w:hAnsi="Arial Narrow"/>
                <w:sz w:val="20"/>
              </w:rPr>
              <w:t>Qty</w:t>
            </w:r>
          </w:p>
        </w:tc>
        <w:tc>
          <w:tcPr>
            <w:tcW w:w="850" w:type="dxa"/>
            <w:tcBorders>
              <w:bottom w:val="single" w:sz="4" w:space="0" w:color="auto"/>
            </w:tcBorders>
          </w:tcPr>
          <w:p w:rsidR="00351DE8" w:rsidRPr="00452F75" w:rsidRDefault="00351DE8" w:rsidP="004204E5">
            <w:pPr>
              <w:keepNext/>
              <w:ind w:left="-108"/>
              <w:rPr>
                <w:rFonts w:ascii="Arial Narrow" w:hAnsi="Arial Narrow"/>
                <w:sz w:val="20"/>
              </w:rPr>
            </w:pPr>
            <w:r w:rsidRPr="00452F75">
              <w:rPr>
                <w:rFonts w:ascii="Arial Narrow" w:hAnsi="Arial Narrow"/>
                <w:sz w:val="20"/>
              </w:rPr>
              <w:t>№.of</w:t>
            </w:r>
          </w:p>
          <w:p w:rsidR="00351DE8" w:rsidRPr="00452F75" w:rsidRDefault="00351DE8" w:rsidP="004204E5">
            <w:pPr>
              <w:keepNext/>
              <w:ind w:left="-108"/>
              <w:rPr>
                <w:rFonts w:ascii="Arial Narrow" w:hAnsi="Arial Narrow"/>
                <w:sz w:val="20"/>
              </w:rPr>
            </w:pPr>
            <w:r w:rsidRPr="00452F75">
              <w:rPr>
                <w:rFonts w:ascii="Arial Narrow" w:hAnsi="Arial Narrow"/>
                <w:sz w:val="20"/>
              </w:rPr>
              <w:t>Rpts</w:t>
            </w:r>
          </w:p>
        </w:tc>
        <w:tc>
          <w:tcPr>
            <w:tcW w:w="1701" w:type="dxa"/>
            <w:tcBorders>
              <w:bottom w:val="single" w:sz="4" w:space="0" w:color="auto"/>
            </w:tcBorders>
          </w:tcPr>
          <w:p w:rsidR="00351DE8" w:rsidRPr="00452F75" w:rsidRDefault="00351DE8" w:rsidP="004204E5">
            <w:pPr>
              <w:keepNext/>
              <w:ind w:left="-108"/>
              <w:rPr>
                <w:rFonts w:ascii="Arial Narrow" w:hAnsi="Arial Narrow"/>
                <w:sz w:val="20"/>
              </w:rPr>
            </w:pPr>
          </w:p>
        </w:tc>
        <w:tc>
          <w:tcPr>
            <w:tcW w:w="2835" w:type="dxa"/>
            <w:gridSpan w:val="2"/>
            <w:tcBorders>
              <w:bottom w:val="single" w:sz="4" w:space="0" w:color="auto"/>
            </w:tcBorders>
          </w:tcPr>
          <w:p w:rsidR="00351DE8" w:rsidRPr="00452F75" w:rsidRDefault="00351DE8" w:rsidP="004204E5">
            <w:pPr>
              <w:keepNext/>
              <w:rPr>
                <w:rFonts w:ascii="Arial Narrow" w:hAnsi="Arial Narrow"/>
                <w:sz w:val="20"/>
              </w:rPr>
            </w:pPr>
            <w:r w:rsidRPr="00452F75">
              <w:rPr>
                <w:rFonts w:ascii="Arial Narrow" w:hAnsi="Arial Narrow"/>
                <w:sz w:val="20"/>
              </w:rPr>
              <w:t>Proprietary Name and Manufacturer</w:t>
            </w:r>
          </w:p>
        </w:tc>
      </w:tr>
      <w:tr w:rsidR="00351DE8" w:rsidRPr="00452F75" w:rsidTr="004204E5">
        <w:trPr>
          <w:cantSplit/>
          <w:trHeight w:val="577"/>
        </w:trPr>
        <w:tc>
          <w:tcPr>
            <w:tcW w:w="3261" w:type="dxa"/>
            <w:gridSpan w:val="2"/>
          </w:tcPr>
          <w:p w:rsidR="00351DE8" w:rsidRPr="00452F75" w:rsidRDefault="00351DE8" w:rsidP="004204E5">
            <w:pPr>
              <w:keepNext/>
              <w:ind w:left="-108"/>
              <w:rPr>
                <w:rFonts w:ascii="Arial Narrow" w:hAnsi="Arial Narrow"/>
                <w:sz w:val="20"/>
              </w:rPr>
            </w:pPr>
            <w:r w:rsidRPr="00452F75">
              <w:rPr>
                <w:rFonts w:ascii="Arial Narrow" w:hAnsi="Arial Narrow"/>
                <w:smallCaps/>
                <w:sz w:val="20"/>
              </w:rPr>
              <w:t>Cobimetinib</w:t>
            </w:r>
          </w:p>
          <w:p w:rsidR="00351DE8" w:rsidRPr="00452F75" w:rsidRDefault="00351DE8" w:rsidP="004204E5">
            <w:pPr>
              <w:keepNext/>
              <w:ind w:left="-108"/>
              <w:rPr>
                <w:rFonts w:ascii="Arial Narrow" w:hAnsi="Arial Narrow"/>
                <w:sz w:val="20"/>
              </w:rPr>
            </w:pPr>
            <w:r w:rsidRPr="00452F75">
              <w:rPr>
                <w:rFonts w:ascii="Arial Narrow" w:hAnsi="Arial Narrow"/>
                <w:sz w:val="20"/>
              </w:rPr>
              <w:t>20 mg tablet, 63</w:t>
            </w:r>
          </w:p>
        </w:tc>
        <w:tc>
          <w:tcPr>
            <w:tcW w:w="567" w:type="dxa"/>
          </w:tcPr>
          <w:p w:rsidR="00351DE8" w:rsidRPr="00452F75" w:rsidRDefault="00351DE8" w:rsidP="004204E5">
            <w:pPr>
              <w:keepNext/>
              <w:ind w:left="-108"/>
              <w:rPr>
                <w:rFonts w:ascii="Arial Narrow" w:hAnsi="Arial Narrow"/>
                <w:sz w:val="20"/>
              </w:rPr>
            </w:pPr>
          </w:p>
          <w:p w:rsidR="00351DE8" w:rsidRPr="00452F75" w:rsidRDefault="00351DE8" w:rsidP="004204E5">
            <w:pPr>
              <w:keepNext/>
              <w:ind w:left="-108"/>
              <w:rPr>
                <w:rFonts w:ascii="Arial Narrow" w:hAnsi="Arial Narrow"/>
                <w:sz w:val="20"/>
              </w:rPr>
            </w:pPr>
            <w:r w:rsidRPr="00452F75">
              <w:rPr>
                <w:rFonts w:ascii="Arial Narrow" w:hAnsi="Arial Narrow"/>
                <w:sz w:val="20"/>
              </w:rPr>
              <w:t>1</w:t>
            </w:r>
          </w:p>
        </w:tc>
        <w:tc>
          <w:tcPr>
            <w:tcW w:w="850" w:type="dxa"/>
          </w:tcPr>
          <w:p w:rsidR="00351DE8" w:rsidRPr="00452F75" w:rsidRDefault="00351DE8" w:rsidP="004204E5">
            <w:pPr>
              <w:keepNext/>
              <w:ind w:left="-108"/>
              <w:rPr>
                <w:rFonts w:ascii="Arial Narrow" w:hAnsi="Arial Narrow"/>
                <w:sz w:val="20"/>
              </w:rPr>
            </w:pPr>
          </w:p>
          <w:p w:rsidR="00351DE8" w:rsidRPr="00452F75" w:rsidRDefault="00351DE8" w:rsidP="004204E5">
            <w:pPr>
              <w:keepNext/>
              <w:ind w:left="-108"/>
              <w:rPr>
                <w:rFonts w:ascii="Arial Narrow" w:hAnsi="Arial Narrow"/>
                <w:sz w:val="20"/>
              </w:rPr>
            </w:pPr>
            <w:r w:rsidRPr="00452F75">
              <w:rPr>
                <w:rFonts w:ascii="Arial Narrow" w:hAnsi="Arial Narrow"/>
                <w:sz w:val="20"/>
              </w:rPr>
              <w:t>3</w:t>
            </w:r>
          </w:p>
        </w:tc>
        <w:tc>
          <w:tcPr>
            <w:tcW w:w="1701" w:type="dxa"/>
          </w:tcPr>
          <w:p w:rsidR="00351DE8" w:rsidRPr="00452F75" w:rsidRDefault="00351DE8" w:rsidP="004204E5">
            <w:pPr>
              <w:keepNext/>
              <w:ind w:left="-108"/>
              <w:rPr>
                <w:rFonts w:ascii="Arial Narrow" w:hAnsi="Arial Narrow"/>
                <w:sz w:val="20"/>
              </w:rPr>
            </w:pPr>
          </w:p>
        </w:tc>
        <w:tc>
          <w:tcPr>
            <w:tcW w:w="1559" w:type="dxa"/>
          </w:tcPr>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COTELLIC</w:t>
            </w:r>
          </w:p>
        </w:tc>
        <w:tc>
          <w:tcPr>
            <w:tcW w:w="1276" w:type="dxa"/>
          </w:tcPr>
          <w:p w:rsidR="00351DE8" w:rsidRPr="00452F75" w:rsidRDefault="00351DE8" w:rsidP="004204E5">
            <w:pPr>
              <w:rPr>
                <w:rFonts w:ascii="Arial Narrow" w:hAnsi="Arial Narrow"/>
                <w:sz w:val="20"/>
              </w:rPr>
            </w:pPr>
            <w:r w:rsidRPr="00452F75">
              <w:rPr>
                <w:rFonts w:ascii="Arial Narrow" w:hAnsi="Arial Narrow"/>
                <w:sz w:val="20"/>
              </w:rPr>
              <w:t>Roche Products Pty Limited</w:t>
            </w:r>
          </w:p>
        </w:tc>
      </w:tr>
      <w:tr w:rsidR="00351DE8" w:rsidRPr="00452F75" w:rsidTr="004204E5">
        <w:trPr>
          <w:cantSplit/>
          <w:trHeight w:val="360"/>
        </w:trPr>
        <w:tc>
          <w:tcPr>
            <w:tcW w:w="9214" w:type="dxa"/>
            <w:gridSpan w:val="7"/>
            <w:tcBorders>
              <w:bottom w:val="single" w:sz="4" w:space="0" w:color="auto"/>
            </w:tcBorders>
          </w:tcPr>
          <w:p w:rsidR="00351DE8" w:rsidRPr="00452F75" w:rsidRDefault="00351DE8" w:rsidP="004204E5">
            <w:pPr>
              <w:rPr>
                <w:rFonts w:ascii="Arial Narrow" w:hAnsi="Arial Narrow"/>
                <w:sz w:val="20"/>
              </w:rPr>
            </w:pP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GENERAL – General Schedule (Code GE)</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Dental  </w:t>
            </w:r>
            <w:r w:rsidRPr="00452F75">
              <w:rPr>
                <w:rFonts w:ascii="Arial Narrow" w:hAnsi="Arial Narrow"/>
                <w:sz w:val="20"/>
              </w:rPr>
              <w:fldChar w:fldCharType="begin">
                <w:ffData>
                  <w:name w:val=""/>
                  <w:enabled/>
                  <w:calcOnExit w:val="0"/>
                  <w:checkBox>
                    <w:sizeAuto/>
                    <w:default w:val="1"/>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Medical Practitioners  </w:t>
            </w: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Nurse practitioners  </w:t>
            </w: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Optometrists</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Midwives</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Unresectable Stage III or Stage IV</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Malignant melanoma</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Unresectable Stage III or Stage IV malignant melanoma</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Initial</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Restricted benefit</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In Writing</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Telephone</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Emergency</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Electronic</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5"/>
                  <w:enabled/>
                  <w:calcOnExit w:val="0"/>
                  <w:checkBox>
                    <w:sizeAuto/>
                    <w:default w:val="1"/>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Streamlined</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Patient must be receiving PBS subsidised vemurafenib concomitantly for this condition,</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AND</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Patient must not have had progressive disease when treated with a BRAF inhibitor.</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No increase in the maximum quantity or number of units may be authorised.</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No increase in the maximum number of repeats may be authorised.</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Special Pricing Arrangements apply.</w:t>
            </w:r>
          </w:p>
        </w:tc>
      </w:tr>
    </w:tbl>
    <w:p w:rsidR="00351DE8" w:rsidRPr="00452F75" w:rsidRDefault="00351DE8" w:rsidP="00351DE8">
      <w:pPr>
        <w:rPr>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351DE8" w:rsidRPr="00452F75" w:rsidTr="004204E5">
        <w:trPr>
          <w:cantSplit/>
          <w:trHeight w:val="471"/>
        </w:trPr>
        <w:tc>
          <w:tcPr>
            <w:tcW w:w="3261" w:type="dxa"/>
            <w:gridSpan w:val="2"/>
            <w:tcBorders>
              <w:bottom w:val="single" w:sz="4" w:space="0" w:color="auto"/>
            </w:tcBorders>
          </w:tcPr>
          <w:p w:rsidR="00351DE8" w:rsidRPr="00452F75" w:rsidRDefault="00351DE8" w:rsidP="00A85D6C">
            <w:pPr>
              <w:keepNext/>
              <w:ind w:left="-108"/>
              <w:rPr>
                <w:rFonts w:ascii="Arial Narrow" w:hAnsi="Arial Narrow"/>
                <w:sz w:val="20"/>
              </w:rPr>
            </w:pPr>
            <w:r w:rsidRPr="00452F75">
              <w:rPr>
                <w:rFonts w:ascii="Arial Narrow" w:hAnsi="Arial Narrow"/>
                <w:sz w:val="20"/>
              </w:rPr>
              <w:t>Name, Restriction,</w:t>
            </w:r>
          </w:p>
          <w:p w:rsidR="00351DE8" w:rsidRPr="00452F75" w:rsidRDefault="00351DE8" w:rsidP="00A85D6C">
            <w:pPr>
              <w:keepNext/>
              <w:ind w:left="-108"/>
              <w:rPr>
                <w:rFonts w:ascii="Arial Narrow" w:hAnsi="Arial Narrow"/>
                <w:sz w:val="20"/>
              </w:rPr>
            </w:pPr>
            <w:r w:rsidRPr="00452F75">
              <w:rPr>
                <w:rFonts w:ascii="Arial Narrow" w:hAnsi="Arial Narrow"/>
                <w:sz w:val="20"/>
              </w:rPr>
              <w:t>Manner of administration and form</w:t>
            </w:r>
          </w:p>
        </w:tc>
        <w:tc>
          <w:tcPr>
            <w:tcW w:w="567" w:type="dxa"/>
            <w:tcBorders>
              <w:bottom w:val="single" w:sz="4" w:space="0" w:color="auto"/>
            </w:tcBorders>
          </w:tcPr>
          <w:p w:rsidR="00351DE8" w:rsidRPr="00452F75" w:rsidRDefault="00351DE8" w:rsidP="00A85D6C">
            <w:pPr>
              <w:keepNext/>
              <w:ind w:left="-108"/>
              <w:rPr>
                <w:rFonts w:ascii="Arial Narrow" w:hAnsi="Arial Narrow"/>
                <w:sz w:val="20"/>
              </w:rPr>
            </w:pPr>
            <w:r w:rsidRPr="00452F75">
              <w:rPr>
                <w:rFonts w:ascii="Arial Narrow" w:hAnsi="Arial Narrow"/>
                <w:sz w:val="20"/>
              </w:rPr>
              <w:t>Max.</w:t>
            </w:r>
          </w:p>
          <w:p w:rsidR="00351DE8" w:rsidRPr="00452F75" w:rsidRDefault="00351DE8" w:rsidP="00A85D6C">
            <w:pPr>
              <w:keepNext/>
              <w:ind w:left="-108"/>
              <w:rPr>
                <w:rFonts w:ascii="Arial Narrow" w:hAnsi="Arial Narrow"/>
                <w:sz w:val="20"/>
              </w:rPr>
            </w:pPr>
            <w:r w:rsidRPr="00452F75">
              <w:rPr>
                <w:rFonts w:ascii="Arial Narrow" w:hAnsi="Arial Narrow"/>
                <w:sz w:val="20"/>
              </w:rPr>
              <w:t>Qty</w:t>
            </w:r>
          </w:p>
        </w:tc>
        <w:tc>
          <w:tcPr>
            <w:tcW w:w="850" w:type="dxa"/>
            <w:tcBorders>
              <w:bottom w:val="single" w:sz="4" w:space="0" w:color="auto"/>
            </w:tcBorders>
          </w:tcPr>
          <w:p w:rsidR="00351DE8" w:rsidRPr="00452F75" w:rsidRDefault="00351DE8" w:rsidP="00A85D6C">
            <w:pPr>
              <w:keepNext/>
              <w:ind w:left="-108"/>
              <w:rPr>
                <w:rFonts w:ascii="Arial Narrow" w:hAnsi="Arial Narrow"/>
                <w:sz w:val="20"/>
              </w:rPr>
            </w:pPr>
            <w:r w:rsidRPr="00452F75">
              <w:rPr>
                <w:rFonts w:ascii="Arial Narrow" w:hAnsi="Arial Narrow"/>
                <w:sz w:val="20"/>
              </w:rPr>
              <w:t>№.of</w:t>
            </w:r>
          </w:p>
          <w:p w:rsidR="00351DE8" w:rsidRPr="00452F75" w:rsidRDefault="00351DE8" w:rsidP="00A85D6C">
            <w:pPr>
              <w:keepNext/>
              <w:ind w:left="-108"/>
              <w:rPr>
                <w:rFonts w:ascii="Arial Narrow" w:hAnsi="Arial Narrow"/>
                <w:sz w:val="20"/>
              </w:rPr>
            </w:pPr>
            <w:r w:rsidRPr="00452F75">
              <w:rPr>
                <w:rFonts w:ascii="Arial Narrow" w:hAnsi="Arial Narrow"/>
                <w:sz w:val="20"/>
              </w:rPr>
              <w:t>Rpts</w:t>
            </w:r>
          </w:p>
        </w:tc>
        <w:tc>
          <w:tcPr>
            <w:tcW w:w="1701" w:type="dxa"/>
            <w:tcBorders>
              <w:bottom w:val="single" w:sz="4" w:space="0" w:color="auto"/>
            </w:tcBorders>
          </w:tcPr>
          <w:p w:rsidR="00351DE8" w:rsidRPr="00452F75" w:rsidRDefault="00351DE8" w:rsidP="00A85D6C">
            <w:pPr>
              <w:keepNext/>
              <w:ind w:left="-108"/>
              <w:rPr>
                <w:rFonts w:ascii="Arial Narrow" w:hAnsi="Arial Narrow"/>
                <w:sz w:val="20"/>
              </w:rPr>
            </w:pPr>
            <w:r w:rsidRPr="00452F75">
              <w:rPr>
                <w:rFonts w:ascii="Arial Narrow" w:hAnsi="Arial Narrow"/>
                <w:sz w:val="20"/>
              </w:rPr>
              <w:t>Dispensed Price for Max. Qty</w:t>
            </w:r>
          </w:p>
        </w:tc>
        <w:tc>
          <w:tcPr>
            <w:tcW w:w="2835" w:type="dxa"/>
            <w:gridSpan w:val="2"/>
            <w:tcBorders>
              <w:bottom w:val="single" w:sz="4" w:space="0" w:color="auto"/>
            </w:tcBorders>
          </w:tcPr>
          <w:p w:rsidR="00351DE8" w:rsidRPr="00452F75" w:rsidRDefault="00351DE8" w:rsidP="00A85D6C">
            <w:pPr>
              <w:keepNext/>
              <w:rPr>
                <w:rFonts w:ascii="Arial Narrow" w:hAnsi="Arial Narrow"/>
                <w:sz w:val="20"/>
              </w:rPr>
            </w:pPr>
            <w:r w:rsidRPr="00452F75">
              <w:rPr>
                <w:rFonts w:ascii="Arial Narrow" w:hAnsi="Arial Narrow"/>
                <w:sz w:val="20"/>
              </w:rPr>
              <w:t>Proprietary Name and Manufacturer</w:t>
            </w:r>
          </w:p>
        </w:tc>
      </w:tr>
      <w:tr w:rsidR="00351DE8" w:rsidRPr="00452F75" w:rsidTr="004204E5">
        <w:trPr>
          <w:cantSplit/>
          <w:trHeight w:val="577"/>
        </w:trPr>
        <w:tc>
          <w:tcPr>
            <w:tcW w:w="3261" w:type="dxa"/>
            <w:gridSpan w:val="2"/>
          </w:tcPr>
          <w:p w:rsidR="00351DE8" w:rsidRPr="00452F75" w:rsidRDefault="00351DE8" w:rsidP="00A85D6C">
            <w:pPr>
              <w:keepNext/>
              <w:ind w:left="-108"/>
              <w:rPr>
                <w:rFonts w:ascii="Arial Narrow" w:hAnsi="Arial Narrow"/>
                <w:sz w:val="20"/>
              </w:rPr>
            </w:pPr>
            <w:r w:rsidRPr="00452F75">
              <w:rPr>
                <w:rFonts w:ascii="Arial Narrow" w:hAnsi="Arial Narrow"/>
                <w:smallCaps/>
                <w:sz w:val="20"/>
              </w:rPr>
              <w:t>Cobimetinib</w:t>
            </w:r>
          </w:p>
          <w:p w:rsidR="00351DE8" w:rsidRPr="00452F75" w:rsidRDefault="00351DE8" w:rsidP="00A85D6C">
            <w:pPr>
              <w:keepNext/>
              <w:ind w:left="-108"/>
              <w:rPr>
                <w:rFonts w:ascii="Arial Narrow" w:hAnsi="Arial Narrow"/>
                <w:sz w:val="20"/>
              </w:rPr>
            </w:pPr>
            <w:r w:rsidRPr="00452F75">
              <w:rPr>
                <w:rFonts w:ascii="Arial Narrow" w:hAnsi="Arial Narrow"/>
                <w:sz w:val="20"/>
              </w:rPr>
              <w:t>20 mg tablet, 63</w:t>
            </w:r>
          </w:p>
        </w:tc>
        <w:tc>
          <w:tcPr>
            <w:tcW w:w="567" w:type="dxa"/>
          </w:tcPr>
          <w:p w:rsidR="00351DE8" w:rsidRPr="00452F75" w:rsidRDefault="00351DE8" w:rsidP="00A85D6C">
            <w:pPr>
              <w:keepNext/>
              <w:ind w:left="-108"/>
              <w:rPr>
                <w:rFonts w:ascii="Arial Narrow" w:hAnsi="Arial Narrow"/>
                <w:sz w:val="20"/>
              </w:rPr>
            </w:pPr>
          </w:p>
          <w:p w:rsidR="00351DE8" w:rsidRPr="00452F75" w:rsidRDefault="00351DE8" w:rsidP="00A85D6C">
            <w:pPr>
              <w:keepNext/>
              <w:ind w:left="-108"/>
              <w:rPr>
                <w:rFonts w:ascii="Arial Narrow" w:hAnsi="Arial Narrow"/>
                <w:sz w:val="20"/>
              </w:rPr>
            </w:pPr>
            <w:r w:rsidRPr="00452F75">
              <w:rPr>
                <w:rFonts w:ascii="Arial Narrow" w:hAnsi="Arial Narrow"/>
                <w:sz w:val="20"/>
              </w:rPr>
              <w:t>1</w:t>
            </w:r>
          </w:p>
        </w:tc>
        <w:tc>
          <w:tcPr>
            <w:tcW w:w="850" w:type="dxa"/>
          </w:tcPr>
          <w:p w:rsidR="00351DE8" w:rsidRPr="00452F75" w:rsidRDefault="00351DE8" w:rsidP="00A85D6C">
            <w:pPr>
              <w:keepNext/>
              <w:ind w:left="-108"/>
              <w:rPr>
                <w:rFonts w:ascii="Arial Narrow" w:hAnsi="Arial Narrow"/>
                <w:sz w:val="20"/>
              </w:rPr>
            </w:pPr>
          </w:p>
          <w:p w:rsidR="00351DE8" w:rsidRPr="00452F75" w:rsidRDefault="00351DE8" w:rsidP="00A85D6C">
            <w:pPr>
              <w:keepNext/>
              <w:ind w:left="-108"/>
              <w:rPr>
                <w:rFonts w:ascii="Arial Narrow" w:hAnsi="Arial Narrow"/>
                <w:sz w:val="20"/>
              </w:rPr>
            </w:pPr>
            <w:r w:rsidRPr="00452F75">
              <w:rPr>
                <w:rFonts w:ascii="Arial Narrow" w:hAnsi="Arial Narrow"/>
                <w:sz w:val="20"/>
              </w:rPr>
              <w:t>5</w:t>
            </w:r>
          </w:p>
        </w:tc>
        <w:tc>
          <w:tcPr>
            <w:tcW w:w="1701" w:type="dxa"/>
          </w:tcPr>
          <w:p w:rsidR="00351DE8" w:rsidRPr="00452F75" w:rsidRDefault="00351DE8" w:rsidP="00A85D6C">
            <w:pPr>
              <w:keepNext/>
              <w:ind w:left="-108"/>
              <w:rPr>
                <w:rFonts w:ascii="Arial Narrow" w:hAnsi="Arial Narrow"/>
                <w:sz w:val="20"/>
              </w:rPr>
            </w:pPr>
          </w:p>
          <w:p w:rsidR="00351DE8" w:rsidRPr="00452F75" w:rsidRDefault="00351DE8" w:rsidP="00A85D6C">
            <w:pPr>
              <w:keepNext/>
              <w:ind w:left="-108"/>
              <w:rPr>
                <w:rFonts w:ascii="Arial Narrow" w:hAnsi="Arial Narrow"/>
                <w:sz w:val="20"/>
              </w:rPr>
            </w:pPr>
            <w:r w:rsidRPr="00452F75">
              <w:rPr>
                <w:rFonts w:ascii="Arial Narrow" w:hAnsi="Arial Narrow"/>
                <w:sz w:val="20"/>
              </w:rPr>
              <w:t>$</w:t>
            </w:r>
            <w:r w:rsidR="00A7393F">
              <w:rPr>
                <w:rFonts w:ascii="Arial Narrow" w:hAnsi="Arial Narrow"/>
                <w:noProof/>
                <w:color w:val="000000"/>
                <w:sz w:val="20"/>
                <w:highlight w:val="black"/>
              </w:rPr>
              <w:t>''''''''''''''''''''''</w:t>
            </w:r>
          </w:p>
        </w:tc>
        <w:tc>
          <w:tcPr>
            <w:tcW w:w="1559" w:type="dxa"/>
          </w:tcPr>
          <w:p w:rsidR="00351DE8" w:rsidRPr="00452F75" w:rsidRDefault="00351DE8" w:rsidP="00A85D6C">
            <w:pPr>
              <w:keepNext/>
              <w:rPr>
                <w:rFonts w:ascii="Arial Narrow" w:hAnsi="Arial Narrow"/>
                <w:sz w:val="20"/>
              </w:rPr>
            </w:pPr>
          </w:p>
          <w:p w:rsidR="00351DE8" w:rsidRPr="00452F75" w:rsidRDefault="00351DE8" w:rsidP="00A85D6C">
            <w:pPr>
              <w:keepNext/>
              <w:rPr>
                <w:rFonts w:ascii="Arial Narrow" w:hAnsi="Arial Narrow"/>
                <w:sz w:val="20"/>
              </w:rPr>
            </w:pPr>
            <w:r w:rsidRPr="00452F75">
              <w:rPr>
                <w:rFonts w:ascii="Arial Narrow" w:hAnsi="Arial Narrow"/>
                <w:sz w:val="20"/>
              </w:rPr>
              <w:t>COTELLIC</w:t>
            </w:r>
          </w:p>
        </w:tc>
        <w:tc>
          <w:tcPr>
            <w:tcW w:w="1276" w:type="dxa"/>
          </w:tcPr>
          <w:p w:rsidR="00351DE8" w:rsidRPr="00452F75" w:rsidRDefault="00351DE8" w:rsidP="00A85D6C">
            <w:pPr>
              <w:keepNext/>
              <w:rPr>
                <w:rFonts w:ascii="Arial Narrow" w:hAnsi="Arial Narrow"/>
                <w:sz w:val="20"/>
              </w:rPr>
            </w:pPr>
            <w:r w:rsidRPr="00452F75">
              <w:rPr>
                <w:rFonts w:ascii="Arial Narrow" w:hAnsi="Arial Narrow"/>
                <w:sz w:val="20"/>
              </w:rPr>
              <w:t>Roche Products Pty Limited</w:t>
            </w:r>
          </w:p>
        </w:tc>
      </w:tr>
      <w:tr w:rsidR="00351DE8" w:rsidRPr="00452F75" w:rsidTr="004204E5">
        <w:trPr>
          <w:cantSplit/>
          <w:trHeight w:val="360"/>
        </w:trPr>
        <w:tc>
          <w:tcPr>
            <w:tcW w:w="9214" w:type="dxa"/>
            <w:gridSpan w:val="7"/>
            <w:tcBorders>
              <w:bottom w:val="single" w:sz="4" w:space="0" w:color="auto"/>
            </w:tcBorders>
          </w:tcPr>
          <w:p w:rsidR="00351DE8" w:rsidRPr="00452F75" w:rsidRDefault="00351DE8" w:rsidP="00A85D6C">
            <w:pPr>
              <w:keepNext/>
              <w:rPr>
                <w:rFonts w:ascii="Arial Narrow" w:hAnsi="Arial Narrow"/>
                <w:sz w:val="20"/>
              </w:rPr>
            </w:pP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A85D6C">
            <w:pPr>
              <w:keepNext/>
              <w:rPr>
                <w:rFonts w:ascii="Arial Narrow" w:hAnsi="Arial Narrow"/>
                <w:b/>
                <w:sz w:val="20"/>
              </w:rPr>
            </w:pPr>
            <w:r w:rsidRPr="00452F75">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A85D6C">
            <w:pPr>
              <w:keepNext/>
              <w:rPr>
                <w:rFonts w:ascii="Arial Narrow" w:hAnsi="Arial Narrow"/>
                <w:sz w:val="20"/>
              </w:rPr>
            </w:pPr>
            <w:r w:rsidRPr="00452F75">
              <w:rPr>
                <w:rFonts w:ascii="Arial Narrow" w:hAnsi="Arial Narrow"/>
                <w:sz w:val="20"/>
              </w:rPr>
              <w:t>GENERAL – General Schedule (Code GE)</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Dental  </w:t>
            </w:r>
            <w:r w:rsidRPr="00452F75">
              <w:rPr>
                <w:rFonts w:ascii="Arial Narrow" w:hAnsi="Arial Narrow"/>
                <w:sz w:val="20"/>
              </w:rPr>
              <w:fldChar w:fldCharType="begin">
                <w:ffData>
                  <w:name w:val=""/>
                  <w:enabled/>
                  <w:calcOnExit w:val="0"/>
                  <w:checkBox>
                    <w:sizeAuto/>
                    <w:default w:val="1"/>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Medical Practitioners  </w:t>
            </w: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 xml:space="preserve">Nurse practitioners  </w:t>
            </w: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Optometrists</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Midwives</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lastRenderedPageBreak/>
              <w:t>Severity:</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Unresectable Stage III or Stage IV</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Malignant melanoma</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Unresectable Stage III or Stage IV malignant melanoma</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b/>
                <w:sz w:val="20"/>
              </w:rPr>
            </w:pPr>
            <w:r w:rsidRPr="00452F75">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Continuing</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1"/>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Restricted benefit</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In Writing</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3"/>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Telephone</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Emergency</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5"/>
                  <w:enabled/>
                  <w:calcOnExit w:val="0"/>
                  <w:checkBox>
                    <w:sizeAuto/>
                    <w:default w:val="0"/>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Authority Required - Electronic</w:t>
            </w:r>
          </w:p>
          <w:p w:rsidR="00351DE8" w:rsidRPr="00452F75" w:rsidRDefault="00351DE8" w:rsidP="004204E5">
            <w:pPr>
              <w:rPr>
                <w:rFonts w:ascii="Arial Narrow" w:hAnsi="Arial Narrow"/>
                <w:sz w:val="20"/>
              </w:rPr>
            </w:pPr>
            <w:r w:rsidRPr="00452F75">
              <w:rPr>
                <w:rFonts w:ascii="Arial Narrow" w:hAnsi="Arial Narrow"/>
                <w:sz w:val="20"/>
              </w:rPr>
              <w:fldChar w:fldCharType="begin">
                <w:ffData>
                  <w:name w:val="Check5"/>
                  <w:enabled/>
                  <w:calcOnExit w:val="0"/>
                  <w:checkBox>
                    <w:sizeAuto/>
                    <w:default w:val="1"/>
                  </w:checkBox>
                </w:ffData>
              </w:fldChar>
            </w:r>
            <w:r w:rsidRPr="00452F75">
              <w:rPr>
                <w:rFonts w:ascii="Arial Narrow" w:hAnsi="Arial Narrow"/>
                <w:sz w:val="20"/>
              </w:rPr>
              <w:instrText xml:space="preserve"> FORMCHECKBOX </w:instrText>
            </w:r>
            <w:r w:rsidR="004F08BA">
              <w:rPr>
                <w:rFonts w:ascii="Arial Narrow" w:hAnsi="Arial Narrow"/>
                <w:sz w:val="20"/>
              </w:rPr>
            </w:r>
            <w:r w:rsidR="004F08BA">
              <w:rPr>
                <w:rFonts w:ascii="Arial Narrow" w:hAnsi="Arial Narrow"/>
                <w:sz w:val="20"/>
              </w:rPr>
              <w:fldChar w:fldCharType="separate"/>
            </w:r>
            <w:r w:rsidRPr="00452F75">
              <w:rPr>
                <w:rFonts w:ascii="Arial Narrow" w:hAnsi="Arial Narrow"/>
                <w:sz w:val="20"/>
              </w:rPr>
              <w:fldChar w:fldCharType="end"/>
            </w:r>
            <w:r w:rsidRPr="00452F75">
              <w:rPr>
                <w:rFonts w:ascii="Arial Narrow" w:hAnsi="Arial Narrow"/>
                <w:sz w:val="20"/>
              </w:rPr>
              <w:t>Streamlined</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Patient must have previously been issued with an authority prescription for this drug,</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AND</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Patient must be receiving PBS-subsidised vemurafenib concomitantly for this condition,</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AND</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Patient must have stable or responding disease.</w:t>
            </w:r>
          </w:p>
        </w:tc>
      </w:tr>
      <w:tr w:rsidR="00351DE8" w:rsidRPr="00452F75" w:rsidTr="004204E5">
        <w:trPr>
          <w:cantSplit/>
          <w:trHeight w:val="360"/>
        </w:trPr>
        <w:tc>
          <w:tcPr>
            <w:tcW w:w="2835" w:type="dxa"/>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351DE8" w:rsidRPr="00452F75" w:rsidRDefault="00351DE8" w:rsidP="004204E5">
            <w:pPr>
              <w:rPr>
                <w:rFonts w:ascii="Arial Narrow" w:hAnsi="Arial Narrow"/>
                <w:sz w:val="20"/>
              </w:rPr>
            </w:pPr>
            <w:r w:rsidRPr="00452F75">
              <w:rPr>
                <w:rFonts w:ascii="Arial Narrow" w:hAnsi="Arial Narrow"/>
                <w:sz w:val="20"/>
              </w:rPr>
              <w:t>A patient who has had progressive disease when treated with this drug is no longer eligible for PBS subsidised treatment with this drug.</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No increase in the maximum quantity or number of units may be authorised.</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No increase in the maximum number of repeats may be authorised.</w:t>
            </w:r>
          </w:p>
          <w:p w:rsidR="00351DE8" w:rsidRPr="00452F75" w:rsidRDefault="00351DE8" w:rsidP="004204E5">
            <w:pPr>
              <w:rPr>
                <w:rFonts w:ascii="Arial Narrow" w:hAnsi="Arial Narrow"/>
                <w:sz w:val="20"/>
              </w:rPr>
            </w:pPr>
          </w:p>
          <w:p w:rsidR="00351DE8" w:rsidRPr="00452F75" w:rsidRDefault="00351DE8" w:rsidP="004204E5">
            <w:pPr>
              <w:rPr>
                <w:rFonts w:ascii="Arial Narrow" w:hAnsi="Arial Narrow"/>
                <w:sz w:val="20"/>
              </w:rPr>
            </w:pPr>
            <w:r w:rsidRPr="00452F75">
              <w:rPr>
                <w:rFonts w:ascii="Arial Narrow" w:hAnsi="Arial Narrow"/>
                <w:sz w:val="20"/>
              </w:rPr>
              <w:t>Special Pricing Arrangements apply.</w:t>
            </w:r>
          </w:p>
        </w:tc>
      </w:tr>
    </w:tbl>
    <w:p w:rsidR="00660833" w:rsidRDefault="00660833" w:rsidP="00660833">
      <w:pPr>
        <w:pStyle w:val="NoSpacing"/>
        <w:rPr>
          <w:lang w:val="en-GB"/>
        </w:rPr>
      </w:pPr>
    </w:p>
    <w:p w:rsidR="001D0501" w:rsidRPr="00A9453C" w:rsidRDefault="001D0501" w:rsidP="001D0501">
      <w:pPr>
        <w:pStyle w:val="Heading1"/>
        <w:widowControl w:val="0"/>
        <w:numPr>
          <w:ilvl w:val="0"/>
          <w:numId w:val="19"/>
        </w:numPr>
        <w:jc w:val="both"/>
      </w:pPr>
      <w:r w:rsidRPr="004304F6">
        <w:t>Context for Decision</w:t>
      </w:r>
    </w:p>
    <w:p w:rsidR="001D0501" w:rsidRDefault="001D0501" w:rsidP="001D0501">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D0501" w:rsidRPr="004304F6" w:rsidRDefault="001D0501" w:rsidP="001D0501">
      <w:pPr>
        <w:ind w:left="720"/>
      </w:pPr>
    </w:p>
    <w:p w:rsidR="001D0501" w:rsidRDefault="001D0501" w:rsidP="001D0501">
      <w:pPr>
        <w:pStyle w:val="Heading1"/>
        <w:spacing w:after="240"/>
        <w:contextualSpacing/>
        <w:jc w:val="both"/>
      </w:pPr>
      <w:r w:rsidRPr="004304F6">
        <w:t>Sponsor’s Comment</w:t>
      </w:r>
    </w:p>
    <w:p w:rsidR="00042131" w:rsidRDefault="00042131" w:rsidP="00FB6E5E">
      <w:pPr>
        <w:spacing w:after="120"/>
        <w:ind w:firstLine="709"/>
        <w:rPr>
          <w:bCs/>
        </w:rPr>
      </w:pPr>
      <w:r w:rsidRPr="003035CC">
        <w:rPr>
          <w:bCs/>
        </w:rPr>
        <w:t>The sponsor had no comment.</w:t>
      </w:r>
    </w:p>
    <w:p w:rsidR="00042131" w:rsidRPr="00042131" w:rsidRDefault="00042131" w:rsidP="00042131"/>
    <w:p w:rsidR="001D0501" w:rsidRDefault="001D0501" w:rsidP="00660833">
      <w:pPr>
        <w:pStyle w:val="NoSpacing"/>
        <w:rPr>
          <w:lang w:val="en-GB"/>
        </w:rPr>
      </w:pPr>
    </w:p>
    <w:sectPr w:rsidR="001D0501" w:rsidSect="000817D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93F" w:rsidRDefault="00A7393F" w:rsidP="00124A51">
      <w:r>
        <w:separator/>
      </w:r>
    </w:p>
  </w:endnote>
  <w:endnote w:type="continuationSeparator" w:id="0">
    <w:p w:rsidR="00A7393F" w:rsidRDefault="00A7393F"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02D" w:rsidRDefault="009130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293025"/>
      <w:docPartObj>
        <w:docPartGallery w:val="Page Numbers (Bottom of Page)"/>
        <w:docPartUnique/>
      </w:docPartObj>
    </w:sdtPr>
    <w:sdtEndPr>
      <w:rPr>
        <w:noProof/>
      </w:rPr>
    </w:sdtEndPr>
    <w:sdtContent>
      <w:p w:rsidR="0091302D" w:rsidRDefault="0091302D">
        <w:pPr>
          <w:pStyle w:val="Footer"/>
          <w:jc w:val="center"/>
        </w:pPr>
        <w:r>
          <w:fldChar w:fldCharType="begin"/>
        </w:r>
        <w:r>
          <w:instrText xml:space="preserve"> PAGE   \* MERGEFORMAT </w:instrText>
        </w:r>
        <w:r>
          <w:fldChar w:fldCharType="separate"/>
        </w:r>
        <w:r w:rsidR="004F08BA">
          <w:rPr>
            <w:noProof/>
          </w:rPr>
          <w:t>6</w:t>
        </w:r>
        <w:r>
          <w:rPr>
            <w:noProof/>
          </w:rPr>
          <w:fldChar w:fldCharType="end"/>
        </w:r>
      </w:p>
    </w:sdtContent>
  </w:sdt>
  <w:p w:rsidR="0091302D" w:rsidRDefault="009130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02D" w:rsidRDefault="00913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93F" w:rsidRDefault="00A7393F" w:rsidP="00124A51">
      <w:r>
        <w:separator/>
      </w:r>
    </w:p>
  </w:footnote>
  <w:footnote w:type="continuationSeparator" w:id="0">
    <w:p w:rsidR="00A7393F" w:rsidRDefault="00A7393F"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02D" w:rsidRDefault="009130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02D" w:rsidRDefault="0091302D" w:rsidP="00C27C38">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Meeting</w:t>
    </w:r>
  </w:p>
  <w:p w:rsidR="0091302D" w:rsidRDefault="009130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02D" w:rsidRDefault="009130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0835"/>
    <w:multiLevelType w:val="hybridMultilevel"/>
    <w:tmpl w:val="196A41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25432735"/>
    <w:multiLevelType w:val="hybridMultilevel"/>
    <w:tmpl w:val="97122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F24D3A"/>
    <w:multiLevelType w:val="multilevel"/>
    <w:tmpl w:val="F46ECA9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7845F21"/>
    <w:multiLevelType w:val="hybridMultilevel"/>
    <w:tmpl w:val="80500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D00A85"/>
    <w:multiLevelType w:val="hybridMultilevel"/>
    <w:tmpl w:val="2C0882B8"/>
    <w:lvl w:ilvl="0" w:tplc="0C090001">
      <w:start w:val="1"/>
      <w:numFmt w:val="bullet"/>
      <w:lvlText w:val=""/>
      <w:lvlJc w:val="left"/>
      <w:pPr>
        <w:ind w:left="720" w:hanging="360"/>
      </w:pPr>
      <w:rPr>
        <w:rFonts w:ascii="Symbol" w:hAnsi="Symbol" w:hint="default"/>
      </w:rPr>
    </w:lvl>
    <w:lvl w:ilvl="1" w:tplc="43F6C5C2">
      <w:numFmt w:val="bullet"/>
      <w:lvlText w:val="•"/>
      <w:lvlJc w:val="left"/>
      <w:pPr>
        <w:ind w:left="1800" w:hanging="720"/>
      </w:pPr>
      <w:rPr>
        <w:rFonts w:ascii="Arial Narrow" w:eastAsia="Times New Roman" w:hAnsi="Arial Narro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3D70D4C"/>
    <w:multiLevelType w:val="hybridMultilevel"/>
    <w:tmpl w:val="7B2A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B037A8"/>
    <w:multiLevelType w:val="hybridMultilevel"/>
    <w:tmpl w:val="3DC069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C704F98"/>
    <w:multiLevelType w:val="multilevel"/>
    <w:tmpl w:val="6610E1EC"/>
    <w:lvl w:ilvl="0">
      <w:start w:val="8"/>
      <w:numFmt w:val="decimal"/>
      <w:lvlText w:val="%1"/>
      <w:lvlJc w:val="left"/>
      <w:pPr>
        <w:ind w:left="720" w:hanging="720"/>
      </w:pPr>
      <w:rPr>
        <w:rFonts w:hint="default"/>
        <w:b/>
      </w:rPr>
    </w:lvl>
    <w:lvl w:ilvl="1">
      <w:start w:val="1"/>
      <w:numFmt w:val="decimal"/>
      <w:lvlRestart w:val="0"/>
      <w:lvlText w:val="8.%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8145EC3"/>
    <w:multiLevelType w:val="multilevel"/>
    <w:tmpl w:val="F46ECA9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84D033C"/>
    <w:multiLevelType w:val="multilevel"/>
    <w:tmpl w:val="5D9CC6FC"/>
    <w:lvl w:ilvl="0">
      <w:start w:val="1"/>
      <w:numFmt w:val="decimal"/>
      <w:pStyle w:val="PBACHeading1"/>
      <w:lvlText w:val="%1"/>
      <w:lvlJc w:val="left"/>
      <w:pPr>
        <w:ind w:left="720" w:hanging="720"/>
      </w:pPr>
      <w:rPr>
        <w:rFonts w:hint="default"/>
        <w:b/>
      </w:rPr>
    </w:lvl>
    <w:lvl w:ilvl="1">
      <w:start w:val="1"/>
      <w:numFmt w:val="decimal"/>
      <w:pStyle w:val="ListParagraph"/>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ACE7B09"/>
    <w:multiLevelType w:val="hybridMultilevel"/>
    <w:tmpl w:val="9C2E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5"/>
  </w:num>
  <w:num w:numId="5">
    <w:abstractNumId w:val="1"/>
  </w:num>
  <w:num w:numId="6">
    <w:abstractNumId w:val="10"/>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4"/>
  </w:num>
  <w:num w:numId="19">
    <w:abstractNumId w:val="7"/>
  </w:num>
  <w:num w:numId="20">
    <w:abstractNumId w:val="6"/>
  </w:num>
  <w:num w:numId="21">
    <w:abstractNumId w:val="2"/>
  </w:num>
  <w:num w:numId="22">
    <w:abstractNumId w:val="8"/>
  </w:num>
  <w:num w:numId="2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AF6"/>
    <w:rsid w:val="00003499"/>
    <w:rsid w:val="00011F79"/>
    <w:rsid w:val="00013247"/>
    <w:rsid w:val="00015054"/>
    <w:rsid w:val="00015886"/>
    <w:rsid w:val="00015E5C"/>
    <w:rsid w:val="000162EF"/>
    <w:rsid w:val="000173A2"/>
    <w:rsid w:val="00017F85"/>
    <w:rsid w:val="00020A9A"/>
    <w:rsid w:val="00020B16"/>
    <w:rsid w:val="000219A8"/>
    <w:rsid w:val="0002225F"/>
    <w:rsid w:val="00023763"/>
    <w:rsid w:val="0002672B"/>
    <w:rsid w:val="00027AAE"/>
    <w:rsid w:val="00040895"/>
    <w:rsid w:val="00042131"/>
    <w:rsid w:val="000426BB"/>
    <w:rsid w:val="00043C37"/>
    <w:rsid w:val="00044886"/>
    <w:rsid w:val="000458ED"/>
    <w:rsid w:val="000472B0"/>
    <w:rsid w:val="000475B8"/>
    <w:rsid w:val="000476FE"/>
    <w:rsid w:val="00053F08"/>
    <w:rsid w:val="00054616"/>
    <w:rsid w:val="00054621"/>
    <w:rsid w:val="000546D7"/>
    <w:rsid w:val="000566C3"/>
    <w:rsid w:val="00060C52"/>
    <w:rsid w:val="0006249A"/>
    <w:rsid w:val="00065C9B"/>
    <w:rsid w:val="00065F6C"/>
    <w:rsid w:val="00071248"/>
    <w:rsid w:val="000720B9"/>
    <w:rsid w:val="000812CA"/>
    <w:rsid w:val="000817D8"/>
    <w:rsid w:val="00090C7E"/>
    <w:rsid w:val="00093BB9"/>
    <w:rsid w:val="00094A79"/>
    <w:rsid w:val="00096FDD"/>
    <w:rsid w:val="00097BE8"/>
    <w:rsid w:val="000A3C4B"/>
    <w:rsid w:val="000A461F"/>
    <w:rsid w:val="000A4B5B"/>
    <w:rsid w:val="000B0E10"/>
    <w:rsid w:val="000B48AA"/>
    <w:rsid w:val="000B4F2D"/>
    <w:rsid w:val="000B6BA0"/>
    <w:rsid w:val="000C1295"/>
    <w:rsid w:val="000C1A4E"/>
    <w:rsid w:val="000C50D0"/>
    <w:rsid w:val="000C6312"/>
    <w:rsid w:val="000C7898"/>
    <w:rsid w:val="000D1255"/>
    <w:rsid w:val="000D1AED"/>
    <w:rsid w:val="000D1BFC"/>
    <w:rsid w:val="000D5A80"/>
    <w:rsid w:val="000D6608"/>
    <w:rsid w:val="000D67DD"/>
    <w:rsid w:val="000E20B8"/>
    <w:rsid w:val="000E2DF4"/>
    <w:rsid w:val="000E35AE"/>
    <w:rsid w:val="000E515A"/>
    <w:rsid w:val="000E6AB8"/>
    <w:rsid w:val="000F1D18"/>
    <w:rsid w:val="000F297E"/>
    <w:rsid w:val="000F4BB8"/>
    <w:rsid w:val="000F7127"/>
    <w:rsid w:val="00100F8A"/>
    <w:rsid w:val="00104B29"/>
    <w:rsid w:val="00106BA4"/>
    <w:rsid w:val="00107813"/>
    <w:rsid w:val="0011032E"/>
    <w:rsid w:val="00111F21"/>
    <w:rsid w:val="0011340D"/>
    <w:rsid w:val="0011348B"/>
    <w:rsid w:val="001140DB"/>
    <w:rsid w:val="00115ADF"/>
    <w:rsid w:val="00117257"/>
    <w:rsid w:val="00121799"/>
    <w:rsid w:val="001222FC"/>
    <w:rsid w:val="00122BA0"/>
    <w:rsid w:val="00124A51"/>
    <w:rsid w:val="00125E5B"/>
    <w:rsid w:val="00126621"/>
    <w:rsid w:val="00127AD2"/>
    <w:rsid w:val="001301E9"/>
    <w:rsid w:val="001311BE"/>
    <w:rsid w:val="00132A06"/>
    <w:rsid w:val="0013300A"/>
    <w:rsid w:val="00135401"/>
    <w:rsid w:val="00137645"/>
    <w:rsid w:val="00137BF3"/>
    <w:rsid w:val="0014015A"/>
    <w:rsid w:val="00140E99"/>
    <w:rsid w:val="00140FA7"/>
    <w:rsid w:val="00143AD0"/>
    <w:rsid w:val="00143B8A"/>
    <w:rsid w:val="00144688"/>
    <w:rsid w:val="00145540"/>
    <w:rsid w:val="001456B0"/>
    <w:rsid w:val="00146639"/>
    <w:rsid w:val="0014744C"/>
    <w:rsid w:val="00152BE9"/>
    <w:rsid w:val="001540FE"/>
    <w:rsid w:val="00157130"/>
    <w:rsid w:val="00160495"/>
    <w:rsid w:val="00161D4F"/>
    <w:rsid w:val="0016259A"/>
    <w:rsid w:val="00162913"/>
    <w:rsid w:val="00162A8E"/>
    <w:rsid w:val="00163763"/>
    <w:rsid w:val="00163E33"/>
    <w:rsid w:val="00163EFF"/>
    <w:rsid w:val="001643F6"/>
    <w:rsid w:val="001661FB"/>
    <w:rsid w:val="0016724B"/>
    <w:rsid w:val="0017001F"/>
    <w:rsid w:val="0017033D"/>
    <w:rsid w:val="00171A6D"/>
    <w:rsid w:val="001744A8"/>
    <w:rsid w:val="00174BFE"/>
    <w:rsid w:val="0017534C"/>
    <w:rsid w:val="001757FD"/>
    <w:rsid w:val="001820B4"/>
    <w:rsid w:val="00182C7D"/>
    <w:rsid w:val="0018405C"/>
    <w:rsid w:val="00186AD2"/>
    <w:rsid w:val="0018752F"/>
    <w:rsid w:val="00191645"/>
    <w:rsid w:val="001922F2"/>
    <w:rsid w:val="00195095"/>
    <w:rsid w:val="00195222"/>
    <w:rsid w:val="001975AA"/>
    <w:rsid w:val="001975D8"/>
    <w:rsid w:val="001A146B"/>
    <w:rsid w:val="001A1628"/>
    <w:rsid w:val="001A1F4E"/>
    <w:rsid w:val="001A2200"/>
    <w:rsid w:val="001A2A0F"/>
    <w:rsid w:val="001B0B2B"/>
    <w:rsid w:val="001B2F44"/>
    <w:rsid w:val="001B3443"/>
    <w:rsid w:val="001B3F86"/>
    <w:rsid w:val="001B44C4"/>
    <w:rsid w:val="001C2E45"/>
    <w:rsid w:val="001C3868"/>
    <w:rsid w:val="001C46BB"/>
    <w:rsid w:val="001C4A69"/>
    <w:rsid w:val="001C6329"/>
    <w:rsid w:val="001C6E66"/>
    <w:rsid w:val="001D0501"/>
    <w:rsid w:val="001D20A8"/>
    <w:rsid w:val="001D6451"/>
    <w:rsid w:val="001E0C51"/>
    <w:rsid w:val="001E238E"/>
    <w:rsid w:val="001E2B1E"/>
    <w:rsid w:val="001E52EB"/>
    <w:rsid w:val="001E740C"/>
    <w:rsid w:val="001F1235"/>
    <w:rsid w:val="001F1CB3"/>
    <w:rsid w:val="001F532B"/>
    <w:rsid w:val="001F7319"/>
    <w:rsid w:val="001F7361"/>
    <w:rsid w:val="001F7611"/>
    <w:rsid w:val="002020D8"/>
    <w:rsid w:val="0020385F"/>
    <w:rsid w:val="002046BD"/>
    <w:rsid w:val="00207021"/>
    <w:rsid w:val="00207BDD"/>
    <w:rsid w:val="00207D00"/>
    <w:rsid w:val="002105C1"/>
    <w:rsid w:val="00211700"/>
    <w:rsid w:val="002117EA"/>
    <w:rsid w:val="002124F0"/>
    <w:rsid w:val="00212CC9"/>
    <w:rsid w:val="002171F1"/>
    <w:rsid w:val="0022274A"/>
    <w:rsid w:val="00222AEB"/>
    <w:rsid w:val="002234ED"/>
    <w:rsid w:val="00223B49"/>
    <w:rsid w:val="00223C27"/>
    <w:rsid w:val="00224DD4"/>
    <w:rsid w:val="002309CC"/>
    <w:rsid w:val="00230A86"/>
    <w:rsid w:val="002331D5"/>
    <w:rsid w:val="002341BD"/>
    <w:rsid w:val="00237255"/>
    <w:rsid w:val="00237AAA"/>
    <w:rsid w:val="00240E31"/>
    <w:rsid w:val="00240EC1"/>
    <w:rsid w:val="002461A2"/>
    <w:rsid w:val="00247AB9"/>
    <w:rsid w:val="0025146C"/>
    <w:rsid w:val="00253B01"/>
    <w:rsid w:val="00254DCF"/>
    <w:rsid w:val="0025534B"/>
    <w:rsid w:val="00255BB7"/>
    <w:rsid w:val="002576E3"/>
    <w:rsid w:val="00260DC0"/>
    <w:rsid w:val="002612DE"/>
    <w:rsid w:val="00262A87"/>
    <w:rsid w:val="00263DF2"/>
    <w:rsid w:val="0026622C"/>
    <w:rsid w:val="002706B7"/>
    <w:rsid w:val="00271CD5"/>
    <w:rsid w:val="00275344"/>
    <w:rsid w:val="00275C5A"/>
    <w:rsid w:val="00277B68"/>
    <w:rsid w:val="00280603"/>
    <w:rsid w:val="00281014"/>
    <w:rsid w:val="00283C85"/>
    <w:rsid w:val="00287695"/>
    <w:rsid w:val="00290F54"/>
    <w:rsid w:val="002923B7"/>
    <w:rsid w:val="00294071"/>
    <w:rsid w:val="00294ADF"/>
    <w:rsid w:val="00296EBD"/>
    <w:rsid w:val="002977E0"/>
    <w:rsid w:val="00297A01"/>
    <w:rsid w:val="002A0CC7"/>
    <w:rsid w:val="002A14AB"/>
    <w:rsid w:val="002B11FE"/>
    <w:rsid w:val="002B19E0"/>
    <w:rsid w:val="002B1C1F"/>
    <w:rsid w:val="002B20A8"/>
    <w:rsid w:val="002B432F"/>
    <w:rsid w:val="002B5D2C"/>
    <w:rsid w:val="002B6CCE"/>
    <w:rsid w:val="002B7E03"/>
    <w:rsid w:val="002B7F94"/>
    <w:rsid w:val="002C2775"/>
    <w:rsid w:val="002C27C1"/>
    <w:rsid w:val="002D1376"/>
    <w:rsid w:val="002D5992"/>
    <w:rsid w:val="002D7B5C"/>
    <w:rsid w:val="002E3191"/>
    <w:rsid w:val="002E584B"/>
    <w:rsid w:val="002E5D2D"/>
    <w:rsid w:val="002E6216"/>
    <w:rsid w:val="002F1317"/>
    <w:rsid w:val="002F34A4"/>
    <w:rsid w:val="002F4216"/>
    <w:rsid w:val="002F7E59"/>
    <w:rsid w:val="00301017"/>
    <w:rsid w:val="0030231A"/>
    <w:rsid w:val="0030303F"/>
    <w:rsid w:val="00307627"/>
    <w:rsid w:val="0030786C"/>
    <w:rsid w:val="003078FF"/>
    <w:rsid w:val="0031031A"/>
    <w:rsid w:val="00310981"/>
    <w:rsid w:val="00312870"/>
    <w:rsid w:val="00315498"/>
    <w:rsid w:val="00331A2D"/>
    <w:rsid w:val="003366C9"/>
    <w:rsid w:val="003371B0"/>
    <w:rsid w:val="00341482"/>
    <w:rsid w:val="00344104"/>
    <w:rsid w:val="00344476"/>
    <w:rsid w:val="0034756A"/>
    <w:rsid w:val="00347E53"/>
    <w:rsid w:val="00351250"/>
    <w:rsid w:val="00351C2E"/>
    <w:rsid w:val="00351DE8"/>
    <w:rsid w:val="003527F5"/>
    <w:rsid w:val="00353321"/>
    <w:rsid w:val="0035620E"/>
    <w:rsid w:val="003641FD"/>
    <w:rsid w:val="00365313"/>
    <w:rsid w:val="0037416B"/>
    <w:rsid w:val="0037481D"/>
    <w:rsid w:val="00375A44"/>
    <w:rsid w:val="0037606F"/>
    <w:rsid w:val="003769CF"/>
    <w:rsid w:val="003772DA"/>
    <w:rsid w:val="00383110"/>
    <w:rsid w:val="0038365C"/>
    <w:rsid w:val="00391970"/>
    <w:rsid w:val="00395C9C"/>
    <w:rsid w:val="003969A8"/>
    <w:rsid w:val="00396AA6"/>
    <w:rsid w:val="00396FD0"/>
    <w:rsid w:val="003A0C2A"/>
    <w:rsid w:val="003A12E2"/>
    <w:rsid w:val="003A170C"/>
    <w:rsid w:val="003A1A7A"/>
    <w:rsid w:val="003A524F"/>
    <w:rsid w:val="003A7438"/>
    <w:rsid w:val="003A77D7"/>
    <w:rsid w:val="003B2867"/>
    <w:rsid w:val="003B2A49"/>
    <w:rsid w:val="003B404C"/>
    <w:rsid w:val="003B5784"/>
    <w:rsid w:val="003B6D40"/>
    <w:rsid w:val="003C0AE5"/>
    <w:rsid w:val="003C26C8"/>
    <w:rsid w:val="003C5192"/>
    <w:rsid w:val="003C552D"/>
    <w:rsid w:val="003C5932"/>
    <w:rsid w:val="003C7DBD"/>
    <w:rsid w:val="003D0F0C"/>
    <w:rsid w:val="003D1828"/>
    <w:rsid w:val="003D2422"/>
    <w:rsid w:val="003D5AC5"/>
    <w:rsid w:val="003D5BC0"/>
    <w:rsid w:val="003E2750"/>
    <w:rsid w:val="003E4E1C"/>
    <w:rsid w:val="003E68E7"/>
    <w:rsid w:val="003F0477"/>
    <w:rsid w:val="003F4156"/>
    <w:rsid w:val="003F4524"/>
    <w:rsid w:val="003F5896"/>
    <w:rsid w:val="003F7018"/>
    <w:rsid w:val="003F76AA"/>
    <w:rsid w:val="003F7F26"/>
    <w:rsid w:val="00405232"/>
    <w:rsid w:val="00406187"/>
    <w:rsid w:val="00406AA3"/>
    <w:rsid w:val="00410708"/>
    <w:rsid w:val="00410EC7"/>
    <w:rsid w:val="00414476"/>
    <w:rsid w:val="004174CD"/>
    <w:rsid w:val="004204E5"/>
    <w:rsid w:val="00420B9F"/>
    <w:rsid w:val="00421FA1"/>
    <w:rsid w:val="00430951"/>
    <w:rsid w:val="00430CCC"/>
    <w:rsid w:val="004319F8"/>
    <w:rsid w:val="00433044"/>
    <w:rsid w:val="00433143"/>
    <w:rsid w:val="0043414F"/>
    <w:rsid w:val="00434E1A"/>
    <w:rsid w:val="00435EBA"/>
    <w:rsid w:val="00441CA2"/>
    <w:rsid w:val="004443A7"/>
    <w:rsid w:val="004445E7"/>
    <w:rsid w:val="00445AEE"/>
    <w:rsid w:val="004464EB"/>
    <w:rsid w:val="0045016E"/>
    <w:rsid w:val="00452E83"/>
    <w:rsid w:val="00452F75"/>
    <w:rsid w:val="0045303E"/>
    <w:rsid w:val="00455D45"/>
    <w:rsid w:val="00461352"/>
    <w:rsid w:val="00462DDD"/>
    <w:rsid w:val="00464595"/>
    <w:rsid w:val="00466C19"/>
    <w:rsid w:val="004675BE"/>
    <w:rsid w:val="004718A0"/>
    <w:rsid w:val="00471985"/>
    <w:rsid w:val="0047431C"/>
    <w:rsid w:val="00475BC2"/>
    <w:rsid w:val="00476CB3"/>
    <w:rsid w:val="00477483"/>
    <w:rsid w:val="00484BC2"/>
    <w:rsid w:val="00485264"/>
    <w:rsid w:val="004862A0"/>
    <w:rsid w:val="004867E2"/>
    <w:rsid w:val="004871BF"/>
    <w:rsid w:val="00490B99"/>
    <w:rsid w:val="00491B3A"/>
    <w:rsid w:val="00492CFD"/>
    <w:rsid w:val="004941B2"/>
    <w:rsid w:val="004962D2"/>
    <w:rsid w:val="00496601"/>
    <w:rsid w:val="00496711"/>
    <w:rsid w:val="00496EF8"/>
    <w:rsid w:val="00497A58"/>
    <w:rsid w:val="004A0DA1"/>
    <w:rsid w:val="004A10FD"/>
    <w:rsid w:val="004A3500"/>
    <w:rsid w:val="004A6597"/>
    <w:rsid w:val="004A7DA7"/>
    <w:rsid w:val="004B1648"/>
    <w:rsid w:val="004B1CB4"/>
    <w:rsid w:val="004B2F18"/>
    <w:rsid w:val="004B3D51"/>
    <w:rsid w:val="004B3DDB"/>
    <w:rsid w:val="004B44FD"/>
    <w:rsid w:val="004B48F6"/>
    <w:rsid w:val="004B5CFC"/>
    <w:rsid w:val="004B6124"/>
    <w:rsid w:val="004B72D0"/>
    <w:rsid w:val="004B774D"/>
    <w:rsid w:val="004C1050"/>
    <w:rsid w:val="004C14E1"/>
    <w:rsid w:val="004C2895"/>
    <w:rsid w:val="004C3C5A"/>
    <w:rsid w:val="004C4AED"/>
    <w:rsid w:val="004C6571"/>
    <w:rsid w:val="004D07AD"/>
    <w:rsid w:val="004D199D"/>
    <w:rsid w:val="004D700F"/>
    <w:rsid w:val="004E0EB8"/>
    <w:rsid w:val="004E1B55"/>
    <w:rsid w:val="004E2ADC"/>
    <w:rsid w:val="004E3294"/>
    <w:rsid w:val="004E3AB7"/>
    <w:rsid w:val="004E43B2"/>
    <w:rsid w:val="004E7404"/>
    <w:rsid w:val="004E7F1F"/>
    <w:rsid w:val="004F08BA"/>
    <w:rsid w:val="004F0C46"/>
    <w:rsid w:val="004F150A"/>
    <w:rsid w:val="004F188C"/>
    <w:rsid w:val="004F1D02"/>
    <w:rsid w:val="004F1D52"/>
    <w:rsid w:val="004F2679"/>
    <w:rsid w:val="004F7185"/>
    <w:rsid w:val="004F7865"/>
    <w:rsid w:val="0050221B"/>
    <w:rsid w:val="005024B9"/>
    <w:rsid w:val="00503643"/>
    <w:rsid w:val="005039C8"/>
    <w:rsid w:val="00503E2C"/>
    <w:rsid w:val="00506928"/>
    <w:rsid w:val="005073C4"/>
    <w:rsid w:val="005152B5"/>
    <w:rsid w:val="0051724A"/>
    <w:rsid w:val="00521319"/>
    <w:rsid w:val="00523603"/>
    <w:rsid w:val="00523C28"/>
    <w:rsid w:val="005269BC"/>
    <w:rsid w:val="00527C1A"/>
    <w:rsid w:val="00527F40"/>
    <w:rsid w:val="005348CF"/>
    <w:rsid w:val="00540B1B"/>
    <w:rsid w:val="00541642"/>
    <w:rsid w:val="00542C2D"/>
    <w:rsid w:val="00547677"/>
    <w:rsid w:val="005512E7"/>
    <w:rsid w:val="00552BD3"/>
    <w:rsid w:val="005547F2"/>
    <w:rsid w:val="00555109"/>
    <w:rsid w:val="00555507"/>
    <w:rsid w:val="00560FF8"/>
    <w:rsid w:val="00561454"/>
    <w:rsid w:val="0056696F"/>
    <w:rsid w:val="005740F7"/>
    <w:rsid w:val="00575D8D"/>
    <w:rsid w:val="00576972"/>
    <w:rsid w:val="00577343"/>
    <w:rsid w:val="00582E4F"/>
    <w:rsid w:val="00583699"/>
    <w:rsid w:val="00587557"/>
    <w:rsid w:val="00587777"/>
    <w:rsid w:val="00587844"/>
    <w:rsid w:val="005878AB"/>
    <w:rsid w:val="00590198"/>
    <w:rsid w:val="005945A4"/>
    <w:rsid w:val="00595924"/>
    <w:rsid w:val="00595C52"/>
    <w:rsid w:val="00596F2B"/>
    <w:rsid w:val="005A0CB5"/>
    <w:rsid w:val="005A22A6"/>
    <w:rsid w:val="005A63F3"/>
    <w:rsid w:val="005B244D"/>
    <w:rsid w:val="005B2DBD"/>
    <w:rsid w:val="005B406B"/>
    <w:rsid w:val="005B5857"/>
    <w:rsid w:val="005B6958"/>
    <w:rsid w:val="005C04B2"/>
    <w:rsid w:val="005C1B83"/>
    <w:rsid w:val="005C1CBB"/>
    <w:rsid w:val="005C346B"/>
    <w:rsid w:val="005C4584"/>
    <w:rsid w:val="005C4993"/>
    <w:rsid w:val="005D044D"/>
    <w:rsid w:val="005D18AD"/>
    <w:rsid w:val="005D59BE"/>
    <w:rsid w:val="005E161D"/>
    <w:rsid w:val="005E1A35"/>
    <w:rsid w:val="005E56D9"/>
    <w:rsid w:val="005E73C0"/>
    <w:rsid w:val="005F1A43"/>
    <w:rsid w:val="005F2706"/>
    <w:rsid w:val="005F2BC0"/>
    <w:rsid w:val="005F4787"/>
    <w:rsid w:val="005F6A8F"/>
    <w:rsid w:val="005F7006"/>
    <w:rsid w:val="006027F0"/>
    <w:rsid w:val="006038CE"/>
    <w:rsid w:val="00605069"/>
    <w:rsid w:val="00607669"/>
    <w:rsid w:val="00610763"/>
    <w:rsid w:val="00611B4C"/>
    <w:rsid w:val="00612F97"/>
    <w:rsid w:val="00613407"/>
    <w:rsid w:val="00616802"/>
    <w:rsid w:val="00617E12"/>
    <w:rsid w:val="00617FEE"/>
    <w:rsid w:val="00621477"/>
    <w:rsid w:val="006223DE"/>
    <w:rsid w:val="00623337"/>
    <w:rsid w:val="00626CB1"/>
    <w:rsid w:val="00630AF8"/>
    <w:rsid w:val="00631D6B"/>
    <w:rsid w:val="006342CB"/>
    <w:rsid w:val="0063479F"/>
    <w:rsid w:val="006364A1"/>
    <w:rsid w:val="00636F36"/>
    <w:rsid w:val="00637BFD"/>
    <w:rsid w:val="00645661"/>
    <w:rsid w:val="00645AB2"/>
    <w:rsid w:val="006471CC"/>
    <w:rsid w:val="0065079F"/>
    <w:rsid w:val="00653650"/>
    <w:rsid w:val="00654033"/>
    <w:rsid w:val="006579C9"/>
    <w:rsid w:val="00660833"/>
    <w:rsid w:val="00660854"/>
    <w:rsid w:val="00664023"/>
    <w:rsid w:val="00665753"/>
    <w:rsid w:val="0066796A"/>
    <w:rsid w:val="00673E88"/>
    <w:rsid w:val="00674E42"/>
    <w:rsid w:val="006751DC"/>
    <w:rsid w:val="00680059"/>
    <w:rsid w:val="00682112"/>
    <w:rsid w:val="006872BA"/>
    <w:rsid w:val="006917D7"/>
    <w:rsid w:val="00692593"/>
    <w:rsid w:val="00694354"/>
    <w:rsid w:val="00694F44"/>
    <w:rsid w:val="006958F3"/>
    <w:rsid w:val="006A0DD4"/>
    <w:rsid w:val="006A2FB0"/>
    <w:rsid w:val="006A3F4C"/>
    <w:rsid w:val="006A61EA"/>
    <w:rsid w:val="006A62D9"/>
    <w:rsid w:val="006A6A79"/>
    <w:rsid w:val="006B1ACC"/>
    <w:rsid w:val="006B3A1F"/>
    <w:rsid w:val="006C2A8E"/>
    <w:rsid w:val="006C3E8F"/>
    <w:rsid w:val="006C482B"/>
    <w:rsid w:val="006C5205"/>
    <w:rsid w:val="006D1D31"/>
    <w:rsid w:val="006D3C7D"/>
    <w:rsid w:val="006D5D5F"/>
    <w:rsid w:val="006D62E0"/>
    <w:rsid w:val="006D77D8"/>
    <w:rsid w:val="006E08F7"/>
    <w:rsid w:val="006E09FB"/>
    <w:rsid w:val="006E2447"/>
    <w:rsid w:val="006E72FF"/>
    <w:rsid w:val="006F2F15"/>
    <w:rsid w:val="006F4D8A"/>
    <w:rsid w:val="006F63A5"/>
    <w:rsid w:val="006F6BD3"/>
    <w:rsid w:val="006F75BD"/>
    <w:rsid w:val="006F78E1"/>
    <w:rsid w:val="007002CF"/>
    <w:rsid w:val="00700FA5"/>
    <w:rsid w:val="0070276E"/>
    <w:rsid w:val="007029A0"/>
    <w:rsid w:val="00702F8F"/>
    <w:rsid w:val="00705AF1"/>
    <w:rsid w:val="00710EA1"/>
    <w:rsid w:val="00711A36"/>
    <w:rsid w:val="0071435E"/>
    <w:rsid w:val="007172AD"/>
    <w:rsid w:val="0072115F"/>
    <w:rsid w:val="0072416F"/>
    <w:rsid w:val="007253C8"/>
    <w:rsid w:val="00735328"/>
    <w:rsid w:val="007358D1"/>
    <w:rsid w:val="0073685B"/>
    <w:rsid w:val="0074027A"/>
    <w:rsid w:val="00740E5A"/>
    <w:rsid w:val="00743357"/>
    <w:rsid w:val="00743859"/>
    <w:rsid w:val="00745F44"/>
    <w:rsid w:val="007524C4"/>
    <w:rsid w:val="0075294E"/>
    <w:rsid w:val="00753D17"/>
    <w:rsid w:val="00753E57"/>
    <w:rsid w:val="00766763"/>
    <w:rsid w:val="007710BA"/>
    <w:rsid w:val="0077394C"/>
    <w:rsid w:val="00777DC9"/>
    <w:rsid w:val="007804C7"/>
    <w:rsid w:val="00782700"/>
    <w:rsid w:val="007841D1"/>
    <w:rsid w:val="0078447B"/>
    <w:rsid w:val="00786894"/>
    <w:rsid w:val="00790877"/>
    <w:rsid w:val="00792409"/>
    <w:rsid w:val="00795CA9"/>
    <w:rsid w:val="007A04C4"/>
    <w:rsid w:val="007A0A12"/>
    <w:rsid w:val="007A0D1A"/>
    <w:rsid w:val="007A3638"/>
    <w:rsid w:val="007A4854"/>
    <w:rsid w:val="007A5359"/>
    <w:rsid w:val="007A6195"/>
    <w:rsid w:val="007A6F75"/>
    <w:rsid w:val="007B0D92"/>
    <w:rsid w:val="007B251D"/>
    <w:rsid w:val="007B3917"/>
    <w:rsid w:val="007B77D1"/>
    <w:rsid w:val="007C22A9"/>
    <w:rsid w:val="007C361D"/>
    <w:rsid w:val="007C5899"/>
    <w:rsid w:val="007C607B"/>
    <w:rsid w:val="007D004F"/>
    <w:rsid w:val="007D0B38"/>
    <w:rsid w:val="007D4ED1"/>
    <w:rsid w:val="007E0EFB"/>
    <w:rsid w:val="007E5EB4"/>
    <w:rsid w:val="007E7129"/>
    <w:rsid w:val="007E75FF"/>
    <w:rsid w:val="007F006C"/>
    <w:rsid w:val="007F1017"/>
    <w:rsid w:val="007F4A3F"/>
    <w:rsid w:val="008010AE"/>
    <w:rsid w:val="00803A71"/>
    <w:rsid w:val="00804074"/>
    <w:rsid w:val="00804A0F"/>
    <w:rsid w:val="00805142"/>
    <w:rsid w:val="00805352"/>
    <w:rsid w:val="00805522"/>
    <w:rsid w:val="00806744"/>
    <w:rsid w:val="00806ACE"/>
    <w:rsid w:val="00807A8B"/>
    <w:rsid w:val="00810085"/>
    <w:rsid w:val="00810532"/>
    <w:rsid w:val="00810FAD"/>
    <w:rsid w:val="00812149"/>
    <w:rsid w:val="008166EF"/>
    <w:rsid w:val="008211EB"/>
    <w:rsid w:val="00826455"/>
    <w:rsid w:val="008264EB"/>
    <w:rsid w:val="00827B82"/>
    <w:rsid w:val="00832C59"/>
    <w:rsid w:val="00833B05"/>
    <w:rsid w:val="00834202"/>
    <w:rsid w:val="00836411"/>
    <w:rsid w:val="008377E0"/>
    <w:rsid w:val="00840CA2"/>
    <w:rsid w:val="00842DF7"/>
    <w:rsid w:val="008431B0"/>
    <w:rsid w:val="00852931"/>
    <w:rsid w:val="0085437C"/>
    <w:rsid w:val="00854590"/>
    <w:rsid w:val="008560D6"/>
    <w:rsid w:val="008561C6"/>
    <w:rsid w:val="00856E9A"/>
    <w:rsid w:val="00857AF3"/>
    <w:rsid w:val="00860E42"/>
    <w:rsid w:val="00862502"/>
    <w:rsid w:val="008625A6"/>
    <w:rsid w:val="00865A77"/>
    <w:rsid w:val="00870B6B"/>
    <w:rsid w:val="00873711"/>
    <w:rsid w:val="00873889"/>
    <w:rsid w:val="00873AFB"/>
    <w:rsid w:val="00874525"/>
    <w:rsid w:val="00876B6F"/>
    <w:rsid w:val="0087702A"/>
    <w:rsid w:val="00882874"/>
    <w:rsid w:val="00883787"/>
    <w:rsid w:val="008852E8"/>
    <w:rsid w:val="00885A49"/>
    <w:rsid w:val="00894489"/>
    <w:rsid w:val="00895490"/>
    <w:rsid w:val="0089559C"/>
    <w:rsid w:val="008963A5"/>
    <w:rsid w:val="008963BE"/>
    <w:rsid w:val="008968DD"/>
    <w:rsid w:val="00897B72"/>
    <w:rsid w:val="008A0682"/>
    <w:rsid w:val="008A3C3E"/>
    <w:rsid w:val="008A79DE"/>
    <w:rsid w:val="008B086E"/>
    <w:rsid w:val="008B2243"/>
    <w:rsid w:val="008B2702"/>
    <w:rsid w:val="008B2C74"/>
    <w:rsid w:val="008B60AF"/>
    <w:rsid w:val="008B64ED"/>
    <w:rsid w:val="008B7D7E"/>
    <w:rsid w:val="008C23AC"/>
    <w:rsid w:val="008C5269"/>
    <w:rsid w:val="008C624F"/>
    <w:rsid w:val="008C6C11"/>
    <w:rsid w:val="008C7ECB"/>
    <w:rsid w:val="008D008B"/>
    <w:rsid w:val="008D555B"/>
    <w:rsid w:val="008E08D0"/>
    <w:rsid w:val="008E0E0D"/>
    <w:rsid w:val="008E13EC"/>
    <w:rsid w:val="008E1B9E"/>
    <w:rsid w:val="008E3C89"/>
    <w:rsid w:val="008E41B0"/>
    <w:rsid w:val="008E51B7"/>
    <w:rsid w:val="008E7BDF"/>
    <w:rsid w:val="008F120A"/>
    <w:rsid w:val="008F48EB"/>
    <w:rsid w:val="008F4F0B"/>
    <w:rsid w:val="008F6CDF"/>
    <w:rsid w:val="00902FC9"/>
    <w:rsid w:val="00904AE1"/>
    <w:rsid w:val="009062A5"/>
    <w:rsid w:val="00906E51"/>
    <w:rsid w:val="00910E5F"/>
    <w:rsid w:val="00911272"/>
    <w:rsid w:val="009112BB"/>
    <w:rsid w:val="00912F5C"/>
    <w:rsid w:val="0091302D"/>
    <w:rsid w:val="0091347E"/>
    <w:rsid w:val="00914E6F"/>
    <w:rsid w:val="00920152"/>
    <w:rsid w:val="00920251"/>
    <w:rsid w:val="00921F8C"/>
    <w:rsid w:val="00922373"/>
    <w:rsid w:val="00923BFF"/>
    <w:rsid w:val="00925B45"/>
    <w:rsid w:val="0092752A"/>
    <w:rsid w:val="00932337"/>
    <w:rsid w:val="00933654"/>
    <w:rsid w:val="00934B3B"/>
    <w:rsid w:val="00935BA0"/>
    <w:rsid w:val="00937880"/>
    <w:rsid w:val="0094162E"/>
    <w:rsid w:val="00942E13"/>
    <w:rsid w:val="009434E2"/>
    <w:rsid w:val="00943AFC"/>
    <w:rsid w:val="00943EE6"/>
    <w:rsid w:val="00946E92"/>
    <w:rsid w:val="0095205F"/>
    <w:rsid w:val="00952127"/>
    <w:rsid w:val="00952A00"/>
    <w:rsid w:val="00953557"/>
    <w:rsid w:val="009544E5"/>
    <w:rsid w:val="00962CB9"/>
    <w:rsid w:val="00964312"/>
    <w:rsid w:val="009666E4"/>
    <w:rsid w:val="00975A27"/>
    <w:rsid w:val="00977BD7"/>
    <w:rsid w:val="00980DC4"/>
    <w:rsid w:val="00982E4A"/>
    <w:rsid w:val="00982FB2"/>
    <w:rsid w:val="00983E57"/>
    <w:rsid w:val="00991686"/>
    <w:rsid w:val="00992344"/>
    <w:rsid w:val="00996B1A"/>
    <w:rsid w:val="009A08A7"/>
    <w:rsid w:val="009A4A17"/>
    <w:rsid w:val="009A7285"/>
    <w:rsid w:val="009B1792"/>
    <w:rsid w:val="009B3E26"/>
    <w:rsid w:val="009B5593"/>
    <w:rsid w:val="009B56E1"/>
    <w:rsid w:val="009B5755"/>
    <w:rsid w:val="009C09AC"/>
    <w:rsid w:val="009C375C"/>
    <w:rsid w:val="009D1C90"/>
    <w:rsid w:val="009D41E7"/>
    <w:rsid w:val="009D5B91"/>
    <w:rsid w:val="009D60AD"/>
    <w:rsid w:val="009D60FC"/>
    <w:rsid w:val="009D79A6"/>
    <w:rsid w:val="009E190B"/>
    <w:rsid w:val="009E2BBD"/>
    <w:rsid w:val="009E3296"/>
    <w:rsid w:val="009E3672"/>
    <w:rsid w:val="009E3B90"/>
    <w:rsid w:val="009E4C07"/>
    <w:rsid w:val="009E676E"/>
    <w:rsid w:val="009E6DFF"/>
    <w:rsid w:val="009E6EAD"/>
    <w:rsid w:val="009E70FA"/>
    <w:rsid w:val="009F0659"/>
    <w:rsid w:val="009F2F82"/>
    <w:rsid w:val="009F45E2"/>
    <w:rsid w:val="009F7E5A"/>
    <w:rsid w:val="00A01F9D"/>
    <w:rsid w:val="00A02DCE"/>
    <w:rsid w:val="00A03D43"/>
    <w:rsid w:val="00A04380"/>
    <w:rsid w:val="00A112CD"/>
    <w:rsid w:val="00A11FA5"/>
    <w:rsid w:val="00A13948"/>
    <w:rsid w:val="00A1425C"/>
    <w:rsid w:val="00A15601"/>
    <w:rsid w:val="00A2099F"/>
    <w:rsid w:val="00A23BFE"/>
    <w:rsid w:val="00A27AEC"/>
    <w:rsid w:val="00A346EA"/>
    <w:rsid w:val="00A35D16"/>
    <w:rsid w:val="00A35F1E"/>
    <w:rsid w:val="00A37D9D"/>
    <w:rsid w:val="00A40D53"/>
    <w:rsid w:val="00A43502"/>
    <w:rsid w:val="00A43C59"/>
    <w:rsid w:val="00A4615F"/>
    <w:rsid w:val="00A46892"/>
    <w:rsid w:val="00A50ECD"/>
    <w:rsid w:val="00A5205F"/>
    <w:rsid w:val="00A525E7"/>
    <w:rsid w:val="00A52729"/>
    <w:rsid w:val="00A53675"/>
    <w:rsid w:val="00A56264"/>
    <w:rsid w:val="00A56B6A"/>
    <w:rsid w:val="00A578DC"/>
    <w:rsid w:val="00A60D35"/>
    <w:rsid w:val="00A63E9C"/>
    <w:rsid w:val="00A6725B"/>
    <w:rsid w:val="00A715D1"/>
    <w:rsid w:val="00A72101"/>
    <w:rsid w:val="00A7393F"/>
    <w:rsid w:val="00A81AE0"/>
    <w:rsid w:val="00A85D6C"/>
    <w:rsid w:val="00A86E8B"/>
    <w:rsid w:val="00A87991"/>
    <w:rsid w:val="00A90533"/>
    <w:rsid w:val="00A90CFD"/>
    <w:rsid w:val="00A91CA8"/>
    <w:rsid w:val="00A93072"/>
    <w:rsid w:val="00A93324"/>
    <w:rsid w:val="00A944A4"/>
    <w:rsid w:val="00A9481D"/>
    <w:rsid w:val="00A959D8"/>
    <w:rsid w:val="00A97B1D"/>
    <w:rsid w:val="00AA2523"/>
    <w:rsid w:val="00AA67EF"/>
    <w:rsid w:val="00AB042A"/>
    <w:rsid w:val="00AB2D34"/>
    <w:rsid w:val="00AB3430"/>
    <w:rsid w:val="00AB539C"/>
    <w:rsid w:val="00AB5B6C"/>
    <w:rsid w:val="00AB7CFA"/>
    <w:rsid w:val="00AB7D8F"/>
    <w:rsid w:val="00AC27E4"/>
    <w:rsid w:val="00AC5550"/>
    <w:rsid w:val="00AC7939"/>
    <w:rsid w:val="00AD39AE"/>
    <w:rsid w:val="00AD4E08"/>
    <w:rsid w:val="00AD5FAF"/>
    <w:rsid w:val="00AE0D48"/>
    <w:rsid w:val="00AE150A"/>
    <w:rsid w:val="00AE64AA"/>
    <w:rsid w:val="00AF2D54"/>
    <w:rsid w:val="00AF52D5"/>
    <w:rsid w:val="00B01C70"/>
    <w:rsid w:val="00B03133"/>
    <w:rsid w:val="00B061DE"/>
    <w:rsid w:val="00B06B64"/>
    <w:rsid w:val="00B112A7"/>
    <w:rsid w:val="00B14327"/>
    <w:rsid w:val="00B150AA"/>
    <w:rsid w:val="00B155C0"/>
    <w:rsid w:val="00B1570E"/>
    <w:rsid w:val="00B2018D"/>
    <w:rsid w:val="00B21632"/>
    <w:rsid w:val="00B21996"/>
    <w:rsid w:val="00B23CB9"/>
    <w:rsid w:val="00B25717"/>
    <w:rsid w:val="00B27C8F"/>
    <w:rsid w:val="00B30CA5"/>
    <w:rsid w:val="00B315FE"/>
    <w:rsid w:val="00B3317D"/>
    <w:rsid w:val="00B40C73"/>
    <w:rsid w:val="00B41A16"/>
    <w:rsid w:val="00B42851"/>
    <w:rsid w:val="00B43031"/>
    <w:rsid w:val="00B43EAF"/>
    <w:rsid w:val="00B4665B"/>
    <w:rsid w:val="00B50CD7"/>
    <w:rsid w:val="00B50DB8"/>
    <w:rsid w:val="00B523A7"/>
    <w:rsid w:val="00B53905"/>
    <w:rsid w:val="00B54B5B"/>
    <w:rsid w:val="00B5520D"/>
    <w:rsid w:val="00B5562D"/>
    <w:rsid w:val="00B5562E"/>
    <w:rsid w:val="00B560B9"/>
    <w:rsid w:val="00B563F5"/>
    <w:rsid w:val="00B57000"/>
    <w:rsid w:val="00B60939"/>
    <w:rsid w:val="00B60AFD"/>
    <w:rsid w:val="00B62715"/>
    <w:rsid w:val="00B62DCF"/>
    <w:rsid w:val="00B63FB1"/>
    <w:rsid w:val="00B71566"/>
    <w:rsid w:val="00B7251C"/>
    <w:rsid w:val="00B72569"/>
    <w:rsid w:val="00B73169"/>
    <w:rsid w:val="00B73B19"/>
    <w:rsid w:val="00B73D92"/>
    <w:rsid w:val="00B7685D"/>
    <w:rsid w:val="00B771B9"/>
    <w:rsid w:val="00B77287"/>
    <w:rsid w:val="00B818A4"/>
    <w:rsid w:val="00B8649C"/>
    <w:rsid w:val="00B900B4"/>
    <w:rsid w:val="00B92D0B"/>
    <w:rsid w:val="00B93F8B"/>
    <w:rsid w:val="00B94945"/>
    <w:rsid w:val="00B967B8"/>
    <w:rsid w:val="00B9730F"/>
    <w:rsid w:val="00B9761D"/>
    <w:rsid w:val="00BB5AF7"/>
    <w:rsid w:val="00BB7405"/>
    <w:rsid w:val="00BB7F7B"/>
    <w:rsid w:val="00BC0A75"/>
    <w:rsid w:val="00BC1336"/>
    <w:rsid w:val="00BC1DFE"/>
    <w:rsid w:val="00BC6A51"/>
    <w:rsid w:val="00BD092F"/>
    <w:rsid w:val="00BD1F4D"/>
    <w:rsid w:val="00BD2196"/>
    <w:rsid w:val="00BD6CF3"/>
    <w:rsid w:val="00BE1934"/>
    <w:rsid w:val="00BE2180"/>
    <w:rsid w:val="00BE4275"/>
    <w:rsid w:val="00BE4D92"/>
    <w:rsid w:val="00BF15DF"/>
    <w:rsid w:val="00BF2433"/>
    <w:rsid w:val="00BF56AB"/>
    <w:rsid w:val="00BF61C9"/>
    <w:rsid w:val="00BF686B"/>
    <w:rsid w:val="00BF6AD5"/>
    <w:rsid w:val="00C04136"/>
    <w:rsid w:val="00C10FE3"/>
    <w:rsid w:val="00C1450F"/>
    <w:rsid w:val="00C21910"/>
    <w:rsid w:val="00C22498"/>
    <w:rsid w:val="00C2374D"/>
    <w:rsid w:val="00C25418"/>
    <w:rsid w:val="00C25D9C"/>
    <w:rsid w:val="00C27C38"/>
    <w:rsid w:val="00C302FC"/>
    <w:rsid w:val="00C309D2"/>
    <w:rsid w:val="00C31649"/>
    <w:rsid w:val="00C32DDE"/>
    <w:rsid w:val="00C40385"/>
    <w:rsid w:val="00C47955"/>
    <w:rsid w:val="00C5247F"/>
    <w:rsid w:val="00C5466B"/>
    <w:rsid w:val="00C57F70"/>
    <w:rsid w:val="00C61489"/>
    <w:rsid w:val="00C6484E"/>
    <w:rsid w:val="00C65576"/>
    <w:rsid w:val="00C66165"/>
    <w:rsid w:val="00C7226A"/>
    <w:rsid w:val="00C750C8"/>
    <w:rsid w:val="00C76E01"/>
    <w:rsid w:val="00C81886"/>
    <w:rsid w:val="00C8213F"/>
    <w:rsid w:val="00C82630"/>
    <w:rsid w:val="00C82946"/>
    <w:rsid w:val="00C82F13"/>
    <w:rsid w:val="00C8387A"/>
    <w:rsid w:val="00C85F65"/>
    <w:rsid w:val="00C86685"/>
    <w:rsid w:val="00C86C52"/>
    <w:rsid w:val="00C87623"/>
    <w:rsid w:val="00C8797A"/>
    <w:rsid w:val="00C907BA"/>
    <w:rsid w:val="00C935A4"/>
    <w:rsid w:val="00C938CF"/>
    <w:rsid w:val="00CA352C"/>
    <w:rsid w:val="00CA5245"/>
    <w:rsid w:val="00CA5D56"/>
    <w:rsid w:val="00CA7B09"/>
    <w:rsid w:val="00CB0372"/>
    <w:rsid w:val="00CB3948"/>
    <w:rsid w:val="00CB3E3B"/>
    <w:rsid w:val="00CB5B1A"/>
    <w:rsid w:val="00CC1555"/>
    <w:rsid w:val="00CD112B"/>
    <w:rsid w:val="00CD2434"/>
    <w:rsid w:val="00CD4F8F"/>
    <w:rsid w:val="00CD52B1"/>
    <w:rsid w:val="00CD5858"/>
    <w:rsid w:val="00CD6ADC"/>
    <w:rsid w:val="00CE0A9A"/>
    <w:rsid w:val="00CE50AA"/>
    <w:rsid w:val="00CE6274"/>
    <w:rsid w:val="00CE6C64"/>
    <w:rsid w:val="00CE78F1"/>
    <w:rsid w:val="00CF3F50"/>
    <w:rsid w:val="00CF456B"/>
    <w:rsid w:val="00CF5A22"/>
    <w:rsid w:val="00CF6B46"/>
    <w:rsid w:val="00CF74EA"/>
    <w:rsid w:val="00CF7FC4"/>
    <w:rsid w:val="00D018E8"/>
    <w:rsid w:val="00D01CE0"/>
    <w:rsid w:val="00D0262E"/>
    <w:rsid w:val="00D044A3"/>
    <w:rsid w:val="00D05536"/>
    <w:rsid w:val="00D110BD"/>
    <w:rsid w:val="00D115B3"/>
    <w:rsid w:val="00D124B4"/>
    <w:rsid w:val="00D152E7"/>
    <w:rsid w:val="00D15BE3"/>
    <w:rsid w:val="00D17D6C"/>
    <w:rsid w:val="00D21201"/>
    <w:rsid w:val="00D35079"/>
    <w:rsid w:val="00D357FF"/>
    <w:rsid w:val="00D36865"/>
    <w:rsid w:val="00D41261"/>
    <w:rsid w:val="00D44D75"/>
    <w:rsid w:val="00D456B1"/>
    <w:rsid w:val="00D53213"/>
    <w:rsid w:val="00D54F2A"/>
    <w:rsid w:val="00D55A89"/>
    <w:rsid w:val="00D626B6"/>
    <w:rsid w:val="00D73870"/>
    <w:rsid w:val="00D76A44"/>
    <w:rsid w:val="00D8393D"/>
    <w:rsid w:val="00D84668"/>
    <w:rsid w:val="00D90ACE"/>
    <w:rsid w:val="00D93753"/>
    <w:rsid w:val="00D93DD1"/>
    <w:rsid w:val="00D96B4E"/>
    <w:rsid w:val="00DA14F6"/>
    <w:rsid w:val="00DA514B"/>
    <w:rsid w:val="00DA5D47"/>
    <w:rsid w:val="00DA71C5"/>
    <w:rsid w:val="00DA73C5"/>
    <w:rsid w:val="00DA77A5"/>
    <w:rsid w:val="00DB08F3"/>
    <w:rsid w:val="00DB0945"/>
    <w:rsid w:val="00DB59FA"/>
    <w:rsid w:val="00DB5E9F"/>
    <w:rsid w:val="00DC2A41"/>
    <w:rsid w:val="00DC5501"/>
    <w:rsid w:val="00DC7628"/>
    <w:rsid w:val="00DD0D77"/>
    <w:rsid w:val="00DD1FBB"/>
    <w:rsid w:val="00DD39E9"/>
    <w:rsid w:val="00DD3F28"/>
    <w:rsid w:val="00DD4537"/>
    <w:rsid w:val="00DD4E15"/>
    <w:rsid w:val="00DD5772"/>
    <w:rsid w:val="00DE2DA2"/>
    <w:rsid w:val="00DE3F91"/>
    <w:rsid w:val="00DE45D6"/>
    <w:rsid w:val="00DE4FCB"/>
    <w:rsid w:val="00DE6145"/>
    <w:rsid w:val="00DE64BC"/>
    <w:rsid w:val="00DF18FC"/>
    <w:rsid w:val="00DF2DAD"/>
    <w:rsid w:val="00DF42DD"/>
    <w:rsid w:val="00DF4D2F"/>
    <w:rsid w:val="00DF5D2B"/>
    <w:rsid w:val="00DF6DD6"/>
    <w:rsid w:val="00E007C7"/>
    <w:rsid w:val="00E0215E"/>
    <w:rsid w:val="00E04D38"/>
    <w:rsid w:val="00E05F4F"/>
    <w:rsid w:val="00E10149"/>
    <w:rsid w:val="00E11995"/>
    <w:rsid w:val="00E13E91"/>
    <w:rsid w:val="00E14E9D"/>
    <w:rsid w:val="00E153BD"/>
    <w:rsid w:val="00E16372"/>
    <w:rsid w:val="00E20AD6"/>
    <w:rsid w:val="00E20ED6"/>
    <w:rsid w:val="00E21358"/>
    <w:rsid w:val="00E2249B"/>
    <w:rsid w:val="00E22A0D"/>
    <w:rsid w:val="00E232FC"/>
    <w:rsid w:val="00E2493D"/>
    <w:rsid w:val="00E271E9"/>
    <w:rsid w:val="00E2771E"/>
    <w:rsid w:val="00E3131F"/>
    <w:rsid w:val="00E32686"/>
    <w:rsid w:val="00E34196"/>
    <w:rsid w:val="00E3692E"/>
    <w:rsid w:val="00E36EE2"/>
    <w:rsid w:val="00E37569"/>
    <w:rsid w:val="00E417CD"/>
    <w:rsid w:val="00E41E30"/>
    <w:rsid w:val="00E420AA"/>
    <w:rsid w:val="00E43D70"/>
    <w:rsid w:val="00E4679C"/>
    <w:rsid w:val="00E4698F"/>
    <w:rsid w:val="00E46EB1"/>
    <w:rsid w:val="00E47B2C"/>
    <w:rsid w:val="00E47E24"/>
    <w:rsid w:val="00E51560"/>
    <w:rsid w:val="00E52030"/>
    <w:rsid w:val="00E53BC1"/>
    <w:rsid w:val="00E55424"/>
    <w:rsid w:val="00E55BB5"/>
    <w:rsid w:val="00E60720"/>
    <w:rsid w:val="00E6504B"/>
    <w:rsid w:val="00E65E79"/>
    <w:rsid w:val="00E663FF"/>
    <w:rsid w:val="00E67416"/>
    <w:rsid w:val="00E674B6"/>
    <w:rsid w:val="00E71433"/>
    <w:rsid w:val="00E718B6"/>
    <w:rsid w:val="00E7233B"/>
    <w:rsid w:val="00E72B8A"/>
    <w:rsid w:val="00E73581"/>
    <w:rsid w:val="00E73D26"/>
    <w:rsid w:val="00E75D38"/>
    <w:rsid w:val="00E83BDF"/>
    <w:rsid w:val="00E8495A"/>
    <w:rsid w:val="00E84A10"/>
    <w:rsid w:val="00E862A4"/>
    <w:rsid w:val="00E87D0B"/>
    <w:rsid w:val="00E90A44"/>
    <w:rsid w:val="00E9163C"/>
    <w:rsid w:val="00E92A2A"/>
    <w:rsid w:val="00E9311A"/>
    <w:rsid w:val="00E97B31"/>
    <w:rsid w:val="00EA13A2"/>
    <w:rsid w:val="00EA3864"/>
    <w:rsid w:val="00EA5B5B"/>
    <w:rsid w:val="00EA6752"/>
    <w:rsid w:val="00EA753F"/>
    <w:rsid w:val="00EB008C"/>
    <w:rsid w:val="00EB083F"/>
    <w:rsid w:val="00EB15B6"/>
    <w:rsid w:val="00EB3CB0"/>
    <w:rsid w:val="00EB4916"/>
    <w:rsid w:val="00EB4AD8"/>
    <w:rsid w:val="00EB55A8"/>
    <w:rsid w:val="00EC00C9"/>
    <w:rsid w:val="00EC02B3"/>
    <w:rsid w:val="00EC54D4"/>
    <w:rsid w:val="00ED22F3"/>
    <w:rsid w:val="00ED2995"/>
    <w:rsid w:val="00ED61F6"/>
    <w:rsid w:val="00EE07D3"/>
    <w:rsid w:val="00EE278C"/>
    <w:rsid w:val="00EE6BB2"/>
    <w:rsid w:val="00EE7C3A"/>
    <w:rsid w:val="00F067A2"/>
    <w:rsid w:val="00F10FE5"/>
    <w:rsid w:val="00F14086"/>
    <w:rsid w:val="00F16E21"/>
    <w:rsid w:val="00F172BE"/>
    <w:rsid w:val="00F23F88"/>
    <w:rsid w:val="00F24837"/>
    <w:rsid w:val="00F2575F"/>
    <w:rsid w:val="00F32650"/>
    <w:rsid w:val="00F33DE9"/>
    <w:rsid w:val="00F340B5"/>
    <w:rsid w:val="00F3619A"/>
    <w:rsid w:val="00F36869"/>
    <w:rsid w:val="00F407E0"/>
    <w:rsid w:val="00F44E68"/>
    <w:rsid w:val="00F46CB6"/>
    <w:rsid w:val="00F475E4"/>
    <w:rsid w:val="00F52FD4"/>
    <w:rsid w:val="00F53126"/>
    <w:rsid w:val="00F5321C"/>
    <w:rsid w:val="00F54125"/>
    <w:rsid w:val="00F55201"/>
    <w:rsid w:val="00F55D9A"/>
    <w:rsid w:val="00F55E73"/>
    <w:rsid w:val="00F56CB8"/>
    <w:rsid w:val="00F60092"/>
    <w:rsid w:val="00F70042"/>
    <w:rsid w:val="00F70963"/>
    <w:rsid w:val="00F72375"/>
    <w:rsid w:val="00F73E17"/>
    <w:rsid w:val="00F76027"/>
    <w:rsid w:val="00F77013"/>
    <w:rsid w:val="00F80E5D"/>
    <w:rsid w:val="00F82C79"/>
    <w:rsid w:val="00F84DBD"/>
    <w:rsid w:val="00F851CE"/>
    <w:rsid w:val="00F879AA"/>
    <w:rsid w:val="00F91E15"/>
    <w:rsid w:val="00F97A78"/>
    <w:rsid w:val="00FA24E7"/>
    <w:rsid w:val="00FB2FCB"/>
    <w:rsid w:val="00FB4594"/>
    <w:rsid w:val="00FB5419"/>
    <w:rsid w:val="00FB6E5E"/>
    <w:rsid w:val="00FB7526"/>
    <w:rsid w:val="00FC1074"/>
    <w:rsid w:val="00FC1884"/>
    <w:rsid w:val="00FC229F"/>
    <w:rsid w:val="00FC545D"/>
    <w:rsid w:val="00FC5F88"/>
    <w:rsid w:val="00FC6EEF"/>
    <w:rsid w:val="00FD1B4C"/>
    <w:rsid w:val="00FD2100"/>
    <w:rsid w:val="00FD2B43"/>
    <w:rsid w:val="00FD446D"/>
    <w:rsid w:val="00FD5667"/>
    <w:rsid w:val="00FE42C8"/>
    <w:rsid w:val="00FE4673"/>
    <w:rsid w:val="00FF2C18"/>
    <w:rsid w:val="00FF3DCF"/>
    <w:rsid w:val="00FF5383"/>
    <w:rsid w:val="00FF5AA3"/>
    <w:rsid w:val="00FF7B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51DE8"/>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C27C38"/>
    <w:pPr>
      <w:outlineLvl w:val="0"/>
    </w:pPr>
  </w:style>
  <w:style w:type="paragraph" w:styleId="Heading2">
    <w:name w:val="heading 2"/>
    <w:basedOn w:val="Normal"/>
    <w:next w:val="Normal"/>
    <w:link w:val="Heading2Char"/>
    <w:qFormat/>
    <w:rsid w:val="00C27C38"/>
    <w:pPr>
      <w:outlineLvl w:val="1"/>
    </w:pPr>
    <w:rPr>
      <w:b/>
      <w:i/>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C27C38"/>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rsid w:val="00124A51"/>
    <w:rPr>
      <w:b/>
      <w:bCs/>
      <w:snapToGrid w:val="0"/>
      <w:color w:val="4F81BD" w:themeColor="accent1"/>
      <w:sz w:val="18"/>
      <w:szCs w:val="18"/>
      <w:lang w:eastAsia="en-US"/>
    </w:rPr>
  </w:style>
  <w:style w:type="paragraph" w:styleId="Title">
    <w:name w:val="Title"/>
    <w:basedOn w:val="Heading1"/>
    <w:next w:val="Normal"/>
    <w:link w:val="TitleChar"/>
    <w:qFormat/>
    <w:rsid w:val="00C27C38"/>
    <w:pPr>
      <w:numPr>
        <w:numId w:val="0"/>
      </w:numPr>
      <w:ind w:left="720" w:hanging="720"/>
    </w:pPr>
    <w:rPr>
      <w:rFonts w:ascii="Arial Bold" w:hAnsi="Arial Bold"/>
      <w:sz w:val="28"/>
    </w:rPr>
  </w:style>
  <w:style w:type="character" w:customStyle="1" w:styleId="TitleChar">
    <w:name w:val="Title Char"/>
    <w:basedOn w:val="DefaultParagraphFont"/>
    <w:link w:val="Title"/>
    <w:rsid w:val="00C27C38"/>
    <w:rPr>
      <w:rFonts w:ascii="Arial Bold" w:hAnsi="Arial Bold" w:cs="Arial"/>
      <w:b/>
      <w:snapToGrid w:val="0"/>
      <w:sz w:val="28"/>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654033"/>
    <w:pPr>
      <w:widowControl/>
      <w:numPr>
        <w:ilvl w:val="1"/>
        <w:numId w:val="1"/>
      </w:numPr>
      <w:contextualSpacing/>
    </w:pPr>
    <w:rPr>
      <w:szCs w:val="22"/>
    </w:r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character" w:customStyle="1" w:styleId="TableTextChar0">
    <w:name w:val="TableText Char"/>
    <w:basedOn w:val="DefaultParagraphFont"/>
    <w:link w:val="TableText0"/>
    <w:uiPriority w:val="3"/>
    <w:rsid w:val="00790877"/>
    <w:rPr>
      <w:rFonts w:ascii="Arial Narrow" w:hAnsi="Arial Narrow" w:cs="Arial Narrow"/>
      <w:lang w:eastAsia="en-US"/>
    </w:rPr>
  </w:style>
  <w:style w:type="paragraph" w:customStyle="1" w:styleId="PortraitFooter">
    <w:name w:val="Portrait Footer"/>
    <w:basedOn w:val="Footer"/>
    <w:link w:val="PortraitFooterChar"/>
    <w:uiPriority w:val="5"/>
    <w:qFormat/>
    <w:rsid w:val="00F53126"/>
    <w:pPr>
      <w:widowControl/>
      <w:tabs>
        <w:tab w:val="clear" w:pos="4513"/>
        <w:tab w:val="clear" w:pos="9026"/>
        <w:tab w:val="center" w:pos="4820"/>
        <w:tab w:val="right" w:pos="9354"/>
      </w:tabs>
      <w:jc w:val="left"/>
    </w:pPr>
    <w:rPr>
      <w:rFonts w:ascii="Calibri" w:eastAsiaTheme="minorEastAsia" w:hAnsi="Calibri" w:cstheme="minorBidi"/>
      <w:snapToGrid/>
      <w:sz w:val="18"/>
      <w:szCs w:val="18"/>
      <w:lang w:eastAsia="zh-CN"/>
    </w:rPr>
  </w:style>
  <w:style w:type="character" w:customStyle="1" w:styleId="PortraitFooterChar">
    <w:name w:val="Portrait Footer Char"/>
    <w:basedOn w:val="FooterChar"/>
    <w:link w:val="PortraitFooter"/>
    <w:uiPriority w:val="5"/>
    <w:rsid w:val="00F53126"/>
    <w:rPr>
      <w:rFonts w:ascii="Calibri" w:eastAsiaTheme="minorEastAsia" w:hAnsi="Calibri" w:cstheme="minorBidi"/>
      <w:snapToGrid/>
      <w:sz w:val="18"/>
      <w:szCs w:val="18"/>
      <w:lang w:eastAsia="zh-CN"/>
    </w:rPr>
  </w:style>
  <w:style w:type="paragraph" w:customStyle="1" w:styleId="ReferenceList">
    <w:name w:val="ReferenceList"/>
    <w:basedOn w:val="Normal"/>
    <w:link w:val="ReferenceListChar"/>
    <w:uiPriority w:val="9"/>
    <w:rsid w:val="006A0DD4"/>
    <w:pPr>
      <w:widowControl/>
      <w:tabs>
        <w:tab w:val="num" w:pos="567"/>
      </w:tabs>
      <w:spacing w:before="40" w:after="40"/>
      <w:ind w:left="567" w:hanging="567"/>
    </w:pPr>
    <w:rPr>
      <w:rFonts w:ascii="Calibri" w:eastAsia="SimSun" w:hAnsi="Calibri" w:cs="Calibri"/>
      <w:snapToGrid/>
      <w:sz w:val="20"/>
      <w:lang w:eastAsia="zh-CN"/>
    </w:rPr>
  </w:style>
  <w:style w:type="character" w:customStyle="1" w:styleId="ReferenceListChar">
    <w:name w:val="ReferenceList Char"/>
    <w:basedOn w:val="DefaultParagraphFont"/>
    <w:link w:val="ReferenceList"/>
    <w:uiPriority w:val="9"/>
    <w:rsid w:val="006A0DD4"/>
    <w:rPr>
      <w:rFonts w:ascii="Calibri" w:eastAsia="SimSun" w:hAnsi="Calibri" w:cs="Calibri"/>
      <w:lang w:eastAsia="zh-CN"/>
    </w:rPr>
  </w:style>
  <w:style w:type="character" w:customStyle="1" w:styleId="Heading3Char">
    <w:name w:val="Heading 3 Char"/>
    <w:link w:val="Heading3"/>
    <w:rsid w:val="00263DF2"/>
    <w:rPr>
      <w:rFonts w:ascii="Arial" w:hAnsi="Arial" w:cs="Arial"/>
      <w:snapToGrid w:val="0"/>
      <w:sz w:val="22"/>
      <w:u w:val="single"/>
      <w:lang w:eastAsia="en-US"/>
    </w:rPr>
  </w:style>
  <w:style w:type="paragraph" w:styleId="FootnoteText">
    <w:name w:val="footnote text"/>
    <w:basedOn w:val="Normal"/>
    <w:link w:val="FootnoteTextChar"/>
    <w:unhideWhenUsed/>
    <w:rsid w:val="00F23F88"/>
    <w:rPr>
      <w:sz w:val="24"/>
      <w:szCs w:val="24"/>
    </w:rPr>
  </w:style>
  <w:style w:type="character" w:customStyle="1" w:styleId="FootnoteTextChar">
    <w:name w:val="Footnote Text Char"/>
    <w:basedOn w:val="DefaultParagraphFont"/>
    <w:link w:val="FootnoteText"/>
    <w:rsid w:val="00F23F88"/>
    <w:rPr>
      <w:rFonts w:ascii="Arial" w:hAnsi="Arial" w:cs="Arial"/>
      <w:snapToGrid w:val="0"/>
      <w:sz w:val="24"/>
      <w:szCs w:val="24"/>
      <w:lang w:eastAsia="en-US"/>
    </w:rPr>
  </w:style>
  <w:style w:type="character" w:styleId="FootnoteReference">
    <w:name w:val="footnote reference"/>
    <w:basedOn w:val="DefaultParagraphFont"/>
    <w:unhideWhenUsed/>
    <w:rsid w:val="00F23F88"/>
    <w:rPr>
      <w:vertAlign w:val="superscript"/>
    </w:rPr>
  </w:style>
  <w:style w:type="character" w:styleId="FollowedHyperlink">
    <w:name w:val="FollowedHyperlink"/>
    <w:basedOn w:val="DefaultParagraphFont"/>
    <w:semiHidden/>
    <w:unhideWhenUsed/>
    <w:rsid w:val="00E2493D"/>
    <w:rPr>
      <w:color w:val="800080" w:themeColor="followedHyperlink"/>
      <w:u w:val="single"/>
    </w:rPr>
  </w:style>
  <w:style w:type="paragraph" w:customStyle="1" w:styleId="TableNotes">
    <w:name w:val="TableNotes"/>
    <w:basedOn w:val="Normal"/>
    <w:next w:val="Normal"/>
    <w:uiPriority w:val="3"/>
    <w:qFormat/>
    <w:rsid w:val="00617FEE"/>
    <w:pPr>
      <w:widowControl/>
      <w:tabs>
        <w:tab w:val="left" w:pos="1134"/>
      </w:tabs>
      <w:ind w:left="1134" w:hanging="1134"/>
      <w:jc w:val="left"/>
    </w:pPr>
    <w:rPr>
      <w:rFonts w:ascii="Calibri" w:eastAsiaTheme="minorEastAsia" w:hAnsi="Calibri" w:cstheme="minorBidi"/>
      <w:snapToGrid/>
      <w:sz w:val="18"/>
      <w:szCs w:val="18"/>
    </w:rPr>
  </w:style>
  <w:style w:type="paragraph" w:customStyle="1" w:styleId="TableHeadingRow">
    <w:name w:val="TableHeadingRow"/>
    <w:basedOn w:val="Normal"/>
    <w:uiPriority w:val="96"/>
    <w:qFormat/>
    <w:rsid w:val="00B41A16"/>
    <w:pPr>
      <w:keepNext/>
      <w:widowControl/>
      <w:spacing w:before="20" w:after="20"/>
      <w:jc w:val="left"/>
    </w:pPr>
    <w:rPr>
      <w:rFonts w:ascii="Calibri" w:hAnsi="Calibri" w:cstheme="minorHAnsi"/>
      <w:b/>
      <w:snapToGrid/>
      <w:sz w:val="20"/>
    </w:rPr>
  </w:style>
  <w:style w:type="character" w:customStyle="1" w:styleId="Heading1Char">
    <w:name w:val="Heading 1 Char"/>
    <w:basedOn w:val="DefaultParagraphFont"/>
    <w:link w:val="Heading1"/>
    <w:rsid w:val="00C27C38"/>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0303F"/>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34"/>
    <w:rsid w:val="0030303F"/>
    <w:rPr>
      <w:rFonts w:ascii="Arial"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51DE8"/>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C27C38"/>
    <w:pPr>
      <w:outlineLvl w:val="0"/>
    </w:pPr>
  </w:style>
  <w:style w:type="paragraph" w:styleId="Heading2">
    <w:name w:val="heading 2"/>
    <w:basedOn w:val="Normal"/>
    <w:next w:val="Normal"/>
    <w:link w:val="Heading2Char"/>
    <w:qFormat/>
    <w:rsid w:val="00C27C38"/>
    <w:pPr>
      <w:outlineLvl w:val="1"/>
    </w:pPr>
    <w:rPr>
      <w:b/>
      <w:i/>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C27C38"/>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rsid w:val="00124A51"/>
    <w:rPr>
      <w:b/>
      <w:bCs/>
      <w:snapToGrid w:val="0"/>
      <w:color w:val="4F81BD" w:themeColor="accent1"/>
      <w:sz w:val="18"/>
      <w:szCs w:val="18"/>
      <w:lang w:eastAsia="en-US"/>
    </w:rPr>
  </w:style>
  <w:style w:type="paragraph" w:styleId="Title">
    <w:name w:val="Title"/>
    <w:basedOn w:val="Heading1"/>
    <w:next w:val="Normal"/>
    <w:link w:val="TitleChar"/>
    <w:qFormat/>
    <w:rsid w:val="00C27C38"/>
    <w:pPr>
      <w:numPr>
        <w:numId w:val="0"/>
      </w:numPr>
      <w:ind w:left="720" w:hanging="720"/>
    </w:pPr>
    <w:rPr>
      <w:rFonts w:ascii="Arial Bold" w:hAnsi="Arial Bold"/>
      <w:sz w:val="28"/>
    </w:rPr>
  </w:style>
  <w:style w:type="character" w:customStyle="1" w:styleId="TitleChar">
    <w:name w:val="Title Char"/>
    <w:basedOn w:val="DefaultParagraphFont"/>
    <w:link w:val="Title"/>
    <w:rsid w:val="00C27C38"/>
    <w:rPr>
      <w:rFonts w:ascii="Arial Bold" w:hAnsi="Arial Bold" w:cs="Arial"/>
      <w:b/>
      <w:snapToGrid w:val="0"/>
      <w:sz w:val="28"/>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654033"/>
    <w:pPr>
      <w:widowControl/>
      <w:numPr>
        <w:ilvl w:val="1"/>
        <w:numId w:val="1"/>
      </w:numPr>
      <w:contextualSpacing/>
    </w:pPr>
    <w:rPr>
      <w:szCs w:val="22"/>
    </w:r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character" w:customStyle="1" w:styleId="TableTextChar0">
    <w:name w:val="TableText Char"/>
    <w:basedOn w:val="DefaultParagraphFont"/>
    <w:link w:val="TableText0"/>
    <w:uiPriority w:val="3"/>
    <w:rsid w:val="00790877"/>
    <w:rPr>
      <w:rFonts w:ascii="Arial Narrow" w:hAnsi="Arial Narrow" w:cs="Arial Narrow"/>
      <w:lang w:eastAsia="en-US"/>
    </w:rPr>
  </w:style>
  <w:style w:type="paragraph" w:customStyle="1" w:styleId="PortraitFooter">
    <w:name w:val="Portrait Footer"/>
    <w:basedOn w:val="Footer"/>
    <w:link w:val="PortraitFooterChar"/>
    <w:uiPriority w:val="5"/>
    <w:qFormat/>
    <w:rsid w:val="00F53126"/>
    <w:pPr>
      <w:widowControl/>
      <w:tabs>
        <w:tab w:val="clear" w:pos="4513"/>
        <w:tab w:val="clear" w:pos="9026"/>
        <w:tab w:val="center" w:pos="4820"/>
        <w:tab w:val="right" w:pos="9354"/>
      </w:tabs>
      <w:jc w:val="left"/>
    </w:pPr>
    <w:rPr>
      <w:rFonts w:ascii="Calibri" w:eastAsiaTheme="minorEastAsia" w:hAnsi="Calibri" w:cstheme="minorBidi"/>
      <w:snapToGrid/>
      <w:sz w:val="18"/>
      <w:szCs w:val="18"/>
      <w:lang w:eastAsia="zh-CN"/>
    </w:rPr>
  </w:style>
  <w:style w:type="character" w:customStyle="1" w:styleId="PortraitFooterChar">
    <w:name w:val="Portrait Footer Char"/>
    <w:basedOn w:val="FooterChar"/>
    <w:link w:val="PortraitFooter"/>
    <w:uiPriority w:val="5"/>
    <w:rsid w:val="00F53126"/>
    <w:rPr>
      <w:rFonts w:ascii="Calibri" w:eastAsiaTheme="minorEastAsia" w:hAnsi="Calibri" w:cstheme="minorBidi"/>
      <w:snapToGrid/>
      <w:sz w:val="18"/>
      <w:szCs w:val="18"/>
      <w:lang w:eastAsia="zh-CN"/>
    </w:rPr>
  </w:style>
  <w:style w:type="paragraph" w:customStyle="1" w:styleId="ReferenceList">
    <w:name w:val="ReferenceList"/>
    <w:basedOn w:val="Normal"/>
    <w:link w:val="ReferenceListChar"/>
    <w:uiPriority w:val="9"/>
    <w:rsid w:val="006A0DD4"/>
    <w:pPr>
      <w:widowControl/>
      <w:tabs>
        <w:tab w:val="num" w:pos="567"/>
      </w:tabs>
      <w:spacing w:before="40" w:after="40"/>
      <w:ind w:left="567" w:hanging="567"/>
    </w:pPr>
    <w:rPr>
      <w:rFonts w:ascii="Calibri" w:eastAsia="SimSun" w:hAnsi="Calibri" w:cs="Calibri"/>
      <w:snapToGrid/>
      <w:sz w:val="20"/>
      <w:lang w:eastAsia="zh-CN"/>
    </w:rPr>
  </w:style>
  <w:style w:type="character" w:customStyle="1" w:styleId="ReferenceListChar">
    <w:name w:val="ReferenceList Char"/>
    <w:basedOn w:val="DefaultParagraphFont"/>
    <w:link w:val="ReferenceList"/>
    <w:uiPriority w:val="9"/>
    <w:rsid w:val="006A0DD4"/>
    <w:rPr>
      <w:rFonts w:ascii="Calibri" w:eastAsia="SimSun" w:hAnsi="Calibri" w:cs="Calibri"/>
      <w:lang w:eastAsia="zh-CN"/>
    </w:rPr>
  </w:style>
  <w:style w:type="character" w:customStyle="1" w:styleId="Heading3Char">
    <w:name w:val="Heading 3 Char"/>
    <w:link w:val="Heading3"/>
    <w:rsid w:val="00263DF2"/>
    <w:rPr>
      <w:rFonts w:ascii="Arial" w:hAnsi="Arial" w:cs="Arial"/>
      <w:snapToGrid w:val="0"/>
      <w:sz w:val="22"/>
      <w:u w:val="single"/>
      <w:lang w:eastAsia="en-US"/>
    </w:rPr>
  </w:style>
  <w:style w:type="paragraph" w:styleId="FootnoteText">
    <w:name w:val="footnote text"/>
    <w:basedOn w:val="Normal"/>
    <w:link w:val="FootnoteTextChar"/>
    <w:unhideWhenUsed/>
    <w:rsid w:val="00F23F88"/>
    <w:rPr>
      <w:sz w:val="24"/>
      <w:szCs w:val="24"/>
    </w:rPr>
  </w:style>
  <w:style w:type="character" w:customStyle="1" w:styleId="FootnoteTextChar">
    <w:name w:val="Footnote Text Char"/>
    <w:basedOn w:val="DefaultParagraphFont"/>
    <w:link w:val="FootnoteText"/>
    <w:rsid w:val="00F23F88"/>
    <w:rPr>
      <w:rFonts w:ascii="Arial" w:hAnsi="Arial" w:cs="Arial"/>
      <w:snapToGrid w:val="0"/>
      <w:sz w:val="24"/>
      <w:szCs w:val="24"/>
      <w:lang w:eastAsia="en-US"/>
    </w:rPr>
  </w:style>
  <w:style w:type="character" w:styleId="FootnoteReference">
    <w:name w:val="footnote reference"/>
    <w:basedOn w:val="DefaultParagraphFont"/>
    <w:unhideWhenUsed/>
    <w:rsid w:val="00F23F88"/>
    <w:rPr>
      <w:vertAlign w:val="superscript"/>
    </w:rPr>
  </w:style>
  <w:style w:type="character" w:styleId="FollowedHyperlink">
    <w:name w:val="FollowedHyperlink"/>
    <w:basedOn w:val="DefaultParagraphFont"/>
    <w:semiHidden/>
    <w:unhideWhenUsed/>
    <w:rsid w:val="00E2493D"/>
    <w:rPr>
      <w:color w:val="800080" w:themeColor="followedHyperlink"/>
      <w:u w:val="single"/>
    </w:rPr>
  </w:style>
  <w:style w:type="paragraph" w:customStyle="1" w:styleId="TableNotes">
    <w:name w:val="TableNotes"/>
    <w:basedOn w:val="Normal"/>
    <w:next w:val="Normal"/>
    <w:uiPriority w:val="3"/>
    <w:qFormat/>
    <w:rsid w:val="00617FEE"/>
    <w:pPr>
      <w:widowControl/>
      <w:tabs>
        <w:tab w:val="left" w:pos="1134"/>
      </w:tabs>
      <w:ind w:left="1134" w:hanging="1134"/>
      <w:jc w:val="left"/>
    </w:pPr>
    <w:rPr>
      <w:rFonts w:ascii="Calibri" w:eastAsiaTheme="minorEastAsia" w:hAnsi="Calibri" w:cstheme="minorBidi"/>
      <w:snapToGrid/>
      <w:sz w:val="18"/>
      <w:szCs w:val="18"/>
    </w:rPr>
  </w:style>
  <w:style w:type="paragraph" w:customStyle="1" w:styleId="TableHeadingRow">
    <w:name w:val="TableHeadingRow"/>
    <w:basedOn w:val="Normal"/>
    <w:uiPriority w:val="96"/>
    <w:qFormat/>
    <w:rsid w:val="00B41A16"/>
    <w:pPr>
      <w:keepNext/>
      <w:widowControl/>
      <w:spacing w:before="20" w:after="20"/>
      <w:jc w:val="left"/>
    </w:pPr>
    <w:rPr>
      <w:rFonts w:ascii="Calibri" w:hAnsi="Calibri" w:cstheme="minorHAnsi"/>
      <w:b/>
      <w:snapToGrid/>
      <w:sz w:val="20"/>
    </w:rPr>
  </w:style>
  <w:style w:type="character" w:customStyle="1" w:styleId="Heading1Char">
    <w:name w:val="Heading 1 Char"/>
    <w:basedOn w:val="DefaultParagraphFont"/>
    <w:link w:val="Heading1"/>
    <w:rsid w:val="00C27C38"/>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0303F"/>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34"/>
    <w:rsid w:val="0030303F"/>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953240">
      <w:bodyDiv w:val="1"/>
      <w:marLeft w:val="0"/>
      <w:marRight w:val="0"/>
      <w:marTop w:val="0"/>
      <w:marBottom w:val="0"/>
      <w:divBdr>
        <w:top w:val="none" w:sz="0" w:space="0" w:color="auto"/>
        <w:left w:val="none" w:sz="0" w:space="0" w:color="auto"/>
        <w:bottom w:val="none" w:sz="0" w:space="0" w:color="auto"/>
        <w:right w:val="none" w:sz="0" w:space="0" w:color="auto"/>
      </w:divBdr>
      <w:divsChild>
        <w:div w:id="102651465">
          <w:marLeft w:val="547"/>
          <w:marRight w:val="0"/>
          <w:marTop w:val="154"/>
          <w:marBottom w:val="0"/>
          <w:divBdr>
            <w:top w:val="none" w:sz="0" w:space="0" w:color="auto"/>
            <w:left w:val="none" w:sz="0" w:space="0" w:color="auto"/>
            <w:bottom w:val="none" w:sz="0" w:space="0" w:color="auto"/>
            <w:right w:val="none" w:sz="0" w:space="0" w:color="auto"/>
          </w:divBdr>
        </w:div>
      </w:divsChild>
    </w:div>
    <w:div w:id="1595288275">
      <w:bodyDiv w:val="1"/>
      <w:marLeft w:val="0"/>
      <w:marRight w:val="0"/>
      <w:marTop w:val="0"/>
      <w:marBottom w:val="0"/>
      <w:divBdr>
        <w:top w:val="none" w:sz="0" w:space="0" w:color="auto"/>
        <w:left w:val="none" w:sz="0" w:space="0" w:color="auto"/>
        <w:bottom w:val="none" w:sz="0" w:space="0" w:color="auto"/>
        <w:right w:val="none" w:sz="0" w:space="0" w:color="auto"/>
      </w:divBdr>
    </w:div>
    <w:div w:id="189349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C409B-667E-4B2D-99AD-03604391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6034</Words>
  <Characters>37030</Characters>
  <Application>Microsoft Office Word</Application>
  <DocSecurity>0</DocSecurity>
  <Lines>308</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2016-06-20T06:00:00Z</dcterms:created>
  <dcterms:modified xsi:type="dcterms:W3CDTF">2016-06-23T23:24:00Z</dcterms:modified>
</cp:coreProperties>
</file>