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6E" w:rsidRDefault="002E3221" w:rsidP="005B2EF9">
      <w:pPr>
        <w:pStyle w:val="Heading1"/>
        <w:jc w:val="left"/>
        <w:rPr>
          <w:sz w:val="28"/>
        </w:rPr>
      </w:pPr>
      <w:bookmarkStart w:id="0" w:name="_Toc437869729"/>
      <w:bookmarkStart w:id="1" w:name="_Toc441050424"/>
      <w:r w:rsidRPr="009635E0">
        <w:rPr>
          <w:sz w:val="28"/>
        </w:rPr>
        <w:t>6</w:t>
      </w:r>
      <w:r w:rsidR="00433044" w:rsidRPr="009635E0">
        <w:rPr>
          <w:sz w:val="28"/>
        </w:rPr>
        <w:t>.</w:t>
      </w:r>
      <w:r w:rsidRPr="009635E0">
        <w:rPr>
          <w:sz w:val="28"/>
        </w:rPr>
        <w:t>02</w:t>
      </w:r>
      <w:r w:rsidR="00B60939" w:rsidRPr="009635E0">
        <w:rPr>
          <w:sz w:val="28"/>
        </w:rPr>
        <w:tab/>
      </w:r>
      <w:r w:rsidR="008155D5" w:rsidRPr="009635E0">
        <w:rPr>
          <w:sz w:val="28"/>
        </w:rPr>
        <w:t xml:space="preserve">CETUXIMAB, </w:t>
      </w:r>
      <w:r w:rsidR="008155D5" w:rsidRPr="009635E0">
        <w:rPr>
          <w:rFonts w:cs="Arial Bold"/>
          <w:caps w:val="0"/>
          <w:sz w:val="28"/>
        </w:rPr>
        <w:t>solution</w:t>
      </w:r>
      <w:r w:rsidR="005B2EF9">
        <w:rPr>
          <w:rFonts w:cs="Arial Bold"/>
          <w:caps w:val="0"/>
          <w:sz w:val="28"/>
        </w:rPr>
        <w:t xml:space="preserve"> for intravenous (IV) infusion,</w:t>
      </w:r>
      <w:r w:rsidR="005B2EF9">
        <w:rPr>
          <w:rFonts w:cs="Arial Bold"/>
          <w:caps w:val="0"/>
          <w:sz w:val="28"/>
        </w:rPr>
        <w:br/>
      </w:r>
      <w:r w:rsidR="008155D5" w:rsidRPr="009635E0">
        <w:rPr>
          <w:rFonts w:cs="Arial Bold"/>
          <w:caps w:val="0"/>
          <w:sz w:val="28"/>
        </w:rPr>
        <w:t>100 mg in 20 mL &amp; 500 mg in 100 mL,</w:t>
      </w:r>
      <w:r w:rsidR="005B2EF9">
        <w:rPr>
          <w:rFonts w:cs="Arial Bold"/>
          <w:caps w:val="0"/>
          <w:sz w:val="28"/>
        </w:rPr>
        <w:br/>
      </w:r>
      <w:r w:rsidR="008155D5" w:rsidRPr="009635E0">
        <w:rPr>
          <w:rFonts w:cs="Arial Bold"/>
          <w:caps w:val="0"/>
          <w:sz w:val="28"/>
        </w:rPr>
        <w:t>Erbitux</w:t>
      </w:r>
      <w:r w:rsidR="008155D5" w:rsidRPr="009635E0">
        <w:rPr>
          <w:rFonts w:cs="Arial Bold"/>
          <w:caps w:val="0"/>
          <w:sz w:val="28"/>
          <w:vertAlign w:val="superscript"/>
        </w:rPr>
        <w:t>®</w:t>
      </w:r>
      <w:r w:rsidR="008155D5" w:rsidRPr="009635E0">
        <w:rPr>
          <w:rFonts w:cs="Arial Bold"/>
          <w:caps w:val="0"/>
          <w:sz w:val="28"/>
        </w:rPr>
        <w:t xml:space="preserve">, </w:t>
      </w:r>
      <w:r w:rsidR="005B2EF9">
        <w:rPr>
          <w:rFonts w:cs="Arial Bold"/>
          <w:caps w:val="0"/>
          <w:sz w:val="28"/>
        </w:rPr>
        <w:br/>
      </w:r>
      <w:r w:rsidR="008155D5" w:rsidRPr="009635E0">
        <w:rPr>
          <w:rFonts w:cs="Arial Bold"/>
          <w:caps w:val="0"/>
          <w:sz w:val="28"/>
        </w:rPr>
        <w:t>Merck Serono</w:t>
      </w:r>
      <w:r w:rsidR="00A177BC">
        <w:rPr>
          <w:rFonts w:cs="Arial Bold"/>
          <w:caps w:val="0"/>
          <w:sz w:val="28"/>
        </w:rPr>
        <w:t xml:space="preserve"> Australia</w:t>
      </w:r>
      <w:r w:rsidR="008155D5" w:rsidRPr="009635E0">
        <w:rPr>
          <w:rFonts w:cs="Arial Bold"/>
          <w:caps w:val="0"/>
          <w:sz w:val="28"/>
        </w:rPr>
        <w:t xml:space="preserve"> Pty Ltd</w:t>
      </w:r>
      <w:r w:rsidR="008155D5" w:rsidRPr="009635E0">
        <w:rPr>
          <w:sz w:val="28"/>
        </w:rPr>
        <w:t>.</w:t>
      </w:r>
      <w:bookmarkEnd w:id="0"/>
      <w:bookmarkEnd w:id="1"/>
    </w:p>
    <w:p w:rsidR="00B9419B" w:rsidRDefault="00B9419B" w:rsidP="00B9419B"/>
    <w:p w:rsidR="00DE732C" w:rsidRPr="00B9419B" w:rsidRDefault="00DE732C" w:rsidP="00B9419B"/>
    <w:p w:rsidR="00B50DB8" w:rsidRPr="009635E0" w:rsidRDefault="00B50DB8" w:rsidP="00BD6CF3">
      <w:pPr>
        <w:pStyle w:val="PBACHeading1"/>
      </w:pPr>
      <w:bookmarkStart w:id="2" w:name="_Toc437869731"/>
      <w:bookmarkStart w:id="3" w:name="_Toc441050426"/>
      <w:r w:rsidRPr="009635E0">
        <w:t>Purpose of Application</w:t>
      </w:r>
      <w:bookmarkEnd w:id="2"/>
      <w:bookmarkEnd w:id="3"/>
    </w:p>
    <w:p w:rsidR="00B60939" w:rsidRPr="009635E0" w:rsidRDefault="00B60939" w:rsidP="00B60939">
      <w:pPr>
        <w:rPr>
          <w:szCs w:val="22"/>
        </w:rPr>
      </w:pPr>
    </w:p>
    <w:p w:rsidR="002C2775" w:rsidRPr="009635E0" w:rsidRDefault="001E238E" w:rsidP="00B15815">
      <w:pPr>
        <w:pStyle w:val="ListParagraph"/>
        <w:widowControl/>
        <w:numPr>
          <w:ilvl w:val="1"/>
          <w:numId w:val="3"/>
        </w:numPr>
        <w:rPr>
          <w:szCs w:val="22"/>
        </w:rPr>
      </w:pPr>
      <w:r w:rsidRPr="009635E0">
        <w:t>Section 100</w:t>
      </w:r>
      <w:r w:rsidR="0024581D">
        <w:t xml:space="preserve"> (Efficient Funding of Chemotherapy) </w:t>
      </w:r>
      <w:r w:rsidRPr="009635E0">
        <w:t xml:space="preserve">listing for </w:t>
      </w:r>
      <w:r w:rsidR="0024581D">
        <w:t xml:space="preserve">cetuximab, in combination with platinum-based chemotherapy, </w:t>
      </w:r>
      <w:r w:rsidRPr="009635E0">
        <w:t xml:space="preserve">for </w:t>
      </w:r>
      <w:r w:rsidR="00785A5E">
        <w:t xml:space="preserve">the </w:t>
      </w:r>
      <w:r w:rsidRPr="009635E0">
        <w:t xml:space="preserve">treatment of </w:t>
      </w:r>
      <w:r w:rsidR="006C4386">
        <w:t xml:space="preserve">patients </w:t>
      </w:r>
      <w:r w:rsidR="006C4386" w:rsidRPr="009635E0">
        <w:t xml:space="preserve">with previously untreated </w:t>
      </w:r>
      <w:r w:rsidR="0024581D" w:rsidRPr="009635E0">
        <w:t xml:space="preserve">metastatic and/or recurrent squamous cell carcinoma (SCC) of the oral cavity </w:t>
      </w:r>
      <w:r w:rsidR="00EC7B91">
        <w:t>and</w:t>
      </w:r>
      <w:r w:rsidR="0024581D" w:rsidRPr="009635E0">
        <w:t xml:space="preserve"> </w:t>
      </w:r>
      <w:r w:rsidR="00731538">
        <w:t>with</w:t>
      </w:r>
      <w:r w:rsidR="00B62F60">
        <w:t xml:space="preserve"> </w:t>
      </w:r>
      <w:r w:rsidR="0024581D" w:rsidRPr="009635E0">
        <w:t xml:space="preserve">a </w:t>
      </w:r>
      <w:r w:rsidR="000D0A8C" w:rsidRPr="000D0A8C">
        <w:t xml:space="preserve">World Health Organization </w:t>
      </w:r>
      <w:r w:rsidR="000D0A8C">
        <w:t>(</w:t>
      </w:r>
      <w:r w:rsidR="0024581D" w:rsidRPr="009635E0">
        <w:t>WHO</w:t>
      </w:r>
      <w:r w:rsidR="000D0A8C">
        <w:t>)</w:t>
      </w:r>
      <w:r w:rsidR="0024581D" w:rsidRPr="009635E0">
        <w:t xml:space="preserve"> performance status of 0 or 1</w:t>
      </w:r>
      <w:r w:rsidRPr="009635E0">
        <w:t>.</w:t>
      </w:r>
    </w:p>
    <w:p w:rsidR="004E43B2" w:rsidRDefault="004E43B2" w:rsidP="004B1CB4"/>
    <w:p w:rsidR="00DE732C" w:rsidRPr="009635E0" w:rsidRDefault="00DE732C" w:rsidP="004B1CB4"/>
    <w:p w:rsidR="00B50DB8" w:rsidRPr="009635E0" w:rsidRDefault="00B50DB8" w:rsidP="00BD6CF3">
      <w:pPr>
        <w:pStyle w:val="PBACHeading1"/>
      </w:pPr>
      <w:bookmarkStart w:id="4" w:name="_Toc437869732"/>
      <w:bookmarkStart w:id="5" w:name="_Toc441050427"/>
      <w:r w:rsidRPr="009635E0">
        <w:t>Requested listing</w:t>
      </w:r>
      <w:bookmarkEnd w:id="4"/>
      <w:bookmarkEnd w:id="5"/>
    </w:p>
    <w:p w:rsidR="00B60939" w:rsidRPr="009635E0" w:rsidRDefault="00B60939" w:rsidP="004B1CB4"/>
    <w:p w:rsidR="008A32C6" w:rsidRPr="001F0A7F" w:rsidRDefault="009344CE" w:rsidP="00B15815">
      <w:pPr>
        <w:pStyle w:val="ListParagraph"/>
        <w:widowControl/>
        <w:numPr>
          <w:ilvl w:val="1"/>
          <w:numId w:val="3"/>
        </w:numPr>
        <w:rPr>
          <w:szCs w:val="22"/>
        </w:rPr>
      </w:pPr>
      <w:r w:rsidRPr="001F0A7F">
        <w:rPr>
          <w:rFonts w:eastAsia="SimSun"/>
          <w:iCs/>
          <w:color w:val="000000"/>
          <w:szCs w:val="22"/>
        </w:rPr>
        <w:t>Suggestions and additions proposed by the Secretariat to the requested listing are added in italics and suggested deletions are crossed out with strikethrough. The ESC recommended that the following note should also apply to the continuing criteria: “No increase in the maximum number of repeats may be authorised.”</w:t>
      </w:r>
      <w:r w:rsidR="00DF2A27" w:rsidRPr="001F0A7F">
        <w:rPr>
          <w:rFonts w:eastAsia="SimSun"/>
          <w:iCs/>
          <w:color w:val="000000"/>
          <w:szCs w:val="22"/>
        </w:rPr>
        <w:t xml:space="preserve"> </w:t>
      </w:r>
      <w:r w:rsidR="00DF2A27" w:rsidRPr="001F0A7F">
        <w:rPr>
          <w:iCs/>
          <w:szCs w:val="22"/>
        </w:rPr>
        <w:t>The P</w:t>
      </w:r>
      <w:r w:rsidR="00305D7B">
        <w:rPr>
          <w:iCs/>
          <w:szCs w:val="22"/>
        </w:rPr>
        <w:t>re-</w:t>
      </w:r>
      <w:r w:rsidR="00DF2A27" w:rsidRPr="001F0A7F">
        <w:rPr>
          <w:iCs/>
          <w:szCs w:val="22"/>
        </w:rPr>
        <w:t>S</w:t>
      </w:r>
      <w:r w:rsidR="00305D7B">
        <w:rPr>
          <w:iCs/>
          <w:szCs w:val="22"/>
        </w:rPr>
        <w:t>ub-</w:t>
      </w:r>
      <w:r w:rsidR="00DF2A27" w:rsidRPr="001F0A7F">
        <w:rPr>
          <w:iCs/>
          <w:szCs w:val="22"/>
        </w:rPr>
        <w:t>C</w:t>
      </w:r>
      <w:r w:rsidR="00305D7B">
        <w:rPr>
          <w:iCs/>
          <w:szCs w:val="22"/>
        </w:rPr>
        <w:t>ommittee-</w:t>
      </w:r>
      <w:r w:rsidR="00DF2A27" w:rsidRPr="001F0A7F">
        <w:rPr>
          <w:iCs/>
          <w:szCs w:val="22"/>
        </w:rPr>
        <w:t>R</w:t>
      </w:r>
      <w:r w:rsidR="00305D7B">
        <w:rPr>
          <w:iCs/>
          <w:szCs w:val="22"/>
        </w:rPr>
        <w:t>esponse</w:t>
      </w:r>
      <w:r w:rsidR="00DF2A27" w:rsidRPr="001F0A7F">
        <w:rPr>
          <w:iCs/>
          <w:szCs w:val="22"/>
        </w:rPr>
        <w:t xml:space="preserve"> (</w:t>
      </w:r>
      <w:r w:rsidR="00305D7B">
        <w:rPr>
          <w:iCs/>
          <w:szCs w:val="22"/>
        </w:rPr>
        <w:t xml:space="preserve">PSCR, </w:t>
      </w:r>
      <w:r w:rsidR="00DF2A27" w:rsidRPr="001F0A7F">
        <w:rPr>
          <w:iCs/>
          <w:szCs w:val="22"/>
        </w:rPr>
        <w:t>p.3) proposed to remove the clinical criterion of “previously untreated” to provide consistency with the TGA-approved indication.</w:t>
      </w:r>
    </w:p>
    <w:p w:rsidR="008A32C6" w:rsidRPr="00552722" w:rsidRDefault="008A32C6" w:rsidP="008A32C6">
      <w:pPr>
        <w:rPr>
          <w:szCs w:val="22"/>
        </w:rPr>
      </w:pPr>
    </w:p>
    <w:tbl>
      <w:tblPr>
        <w:tblW w:w="8505" w:type="dxa"/>
        <w:tblInd w:w="817" w:type="dxa"/>
        <w:tblLayout w:type="fixed"/>
        <w:tblLook w:val="0000" w:firstRow="0" w:lastRow="0" w:firstColumn="0" w:lastColumn="0" w:noHBand="0" w:noVBand="0"/>
      </w:tblPr>
      <w:tblGrid>
        <w:gridCol w:w="2126"/>
        <w:gridCol w:w="993"/>
        <w:gridCol w:w="850"/>
        <w:gridCol w:w="1701"/>
        <w:gridCol w:w="1559"/>
        <w:gridCol w:w="1276"/>
      </w:tblGrid>
      <w:tr w:rsidR="008A32C6" w:rsidRPr="00260CE3" w:rsidTr="00DE732C">
        <w:trPr>
          <w:cantSplit/>
          <w:trHeight w:val="471"/>
        </w:trPr>
        <w:tc>
          <w:tcPr>
            <w:tcW w:w="2126"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Name, Restriction,</w:t>
            </w:r>
          </w:p>
          <w:p w:rsidR="008A32C6" w:rsidRPr="00260CE3" w:rsidRDefault="008A32C6" w:rsidP="003D363B">
            <w:pPr>
              <w:keepNext/>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Max.</w:t>
            </w:r>
          </w:p>
          <w:p w:rsidR="008A32C6" w:rsidRPr="00260CE3" w:rsidRDefault="008A32C6" w:rsidP="003D363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№.of</w:t>
            </w:r>
          </w:p>
          <w:p w:rsidR="008A32C6" w:rsidRPr="00260CE3" w:rsidRDefault="008A32C6" w:rsidP="003D363B">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8A32C6" w:rsidRPr="00260CE3" w:rsidRDefault="008A32C6" w:rsidP="003D363B">
            <w:pPr>
              <w:keepNext/>
              <w:ind w:left="-108"/>
              <w:rPr>
                <w:rFonts w:ascii="Arial Narrow" w:hAnsi="Arial Narrow"/>
                <w:sz w:val="20"/>
              </w:rPr>
            </w:pPr>
            <w:r w:rsidRPr="00C3790E">
              <w:rPr>
                <w:rFonts w:ascii="Arial Narrow" w:hAnsi="Arial Narrow"/>
                <w:sz w:val="20"/>
              </w:rPr>
              <w:t>Dispensed Price for Max. Amt</w:t>
            </w:r>
          </w:p>
        </w:tc>
        <w:tc>
          <w:tcPr>
            <w:tcW w:w="2835" w:type="dxa"/>
            <w:gridSpan w:val="2"/>
            <w:tcBorders>
              <w:bottom w:val="single" w:sz="4" w:space="0" w:color="auto"/>
            </w:tcBorders>
          </w:tcPr>
          <w:p w:rsidR="008A32C6" w:rsidRPr="00260CE3" w:rsidRDefault="008A32C6" w:rsidP="003D363B">
            <w:pPr>
              <w:keepNext/>
              <w:rPr>
                <w:rFonts w:ascii="Arial Narrow" w:hAnsi="Arial Narrow"/>
                <w:sz w:val="20"/>
                <w:lang w:val="fr-FR"/>
              </w:rPr>
            </w:pPr>
            <w:r w:rsidRPr="00260CE3">
              <w:rPr>
                <w:rFonts w:ascii="Arial Narrow" w:hAnsi="Arial Narrow"/>
                <w:sz w:val="20"/>
              </w:rPr>
              <w:t>Proprietary Name and Manufacturer</w:t>
            </w:r>
          </w:p>
        </w:tc>
      </w:tr>
      <w:tr w:rsidR="008A32C6" w:rsidRPr="00A512F0" w:rsidTr="00DE732C">
        <w:trPr>
          <w:cantSplit/>
          <w:trHeight w:val="577"/>
        </w:trPr>
        <w:tc>
          <w:tcPr>
            <w:tcW w:w="2126" w:type="dxa"/>
          </w:tcPr>
          <w:p w:rsidR="008A32C6" w:rsidRPr="00A512F0" w:rsidRDefault="008A32C6" w:rsidP="003D363B">
            <w:pPr>
              <w:keepNext/>
              <w:spacing w:line="276" w:lineRule="auto"/>
              <w:ind w:left="-108"/>
              <w:rPr>
                <w:rFonts w:ascii="Arial Narrow" w:eastAsia="SimSun" w:hAnsi="Arial Narrow"/>
                <w:sz w:val="20"/>
              </w:rPr>
            </w:pPr>
            <w:r w:rsidRPr="00A512F0">
              <w:rPr>
                <w:rFonts w:ascii="Arial Narrow" w:eastAsia="SimSun" w:hAnsi="Arial Narrow"/>
                <w:smallCaps/>
                <w:sz w:val="20"/>
              </w:rPr>
              <w:t>CETUXIMAB</w:t>
            </w:r>
          </w:p>
          <w:p w:rsidR="008A32C6" w:rsidRPr="00A512F0" w:rsidRDefault="008A32C6" w:rsidP="003D363B">
            <w:pPr>
              <w:keepNext/>
              <w:spacing w:line="276" w:lineRule="auto"/>
              <w:ind w:left="-108"/>
              <w:rPr>
                <w:rFonts w:ascii="Arial Narrow" w:eastAsia="SimSun" w:hAnsi="Arial Narrow"/>
                <w:sz w:val="20"/>
              </w:rPr>
            </w:pPr>
            <w:r w:rsidRPr="00A512F0">
              <w:rPr>
                <w:rFonts w:ascii="Arial Narrow" w:eastAsia="SimSun" w:hAnsi="Arial Narrow"/>
                <w:sz w:val="20"/>
              </w:rPr>
              <w:t>Injection,100 mg/20 mL</w:t>
            </w:r>
          </w:p>
          <w:p w:rsidR="008A32C6" w:rsidRPr="00A512F0" w:rsidRDefault="008A32C6" w:rsidP="003D363B">
            <w:pPr>
              <w:keepNext/>
              <w:ind w:left="-108"/>
              <w:rPr>
                <w:rFonts w:ascii="Arial Narrow" w:hAnsi="Arial Narrow"/>
                <w:sz w:val="20"/>
              </w:rPr>
            </w:pPr>
            <w:r w:rsidRPr="00A512F0">
              <w:rPr>
                <w:rFonts w:ascii="Arial Narrow" w:eastAsia="SimSun" w:hAnsi="Arial Narrow"/>
                <w:sz w:val="20"/>
              </w:rPr>
              <w:t>Injection, 500 mg/100 mL</w:t>
            </w:r>
          </w:p>
        </w:tc>
        <w:tc>
          <w:tcPr>
            <w:tcW w:w="993" w:type="dxa"/>
          </w:tcPr>
          <w:p w:rsidR="008A32C6" w:rsidRPr="00A512F0" w:rsidRDefault="008A32C6" w:rsidP="003D363B">
            <w:pPr>
              <w:keepNext/>
              <w:ind w:left="-108"/>
              <w:rPr>
                <w:rFonts w:ascii="Arial Narrow" w:hAnsi="Arial Narrow"/>
                <w:sz w:val="20"/>
              </w:rPr>
            </w:pPr>
          </w:p>
          <w:p w:rsidR="008A32C6" w:rsidRPr="00A512F0" w:rsidRDefault="008A32C6" w:rsidP="003D363B">
            <w:pPr>
              <w:keepNext/>
              <w:ind w:left="-108"/>
              <w:rPr>
                <w:rFonts w:ascii="Arial Narrow" w:hAnsi="Arial Narrow"/>
                <w:sz w:val="20"/>
              </w:rPr>
            </w:pPr>
            <w:r w:rsidRPr="00A512F0">
              <w:rPr>
                <w:rFonts w:ascii="Arial Narrow" w:hAnsi="Arial Narrow"/>
                <w:sz w:val="20"/>
              </w:rPr>
              <w:t>880 mg</w:t>
            </w:r>
          </w:p>
        </w:tc>
        <w:tc>
          <w:tcPr>
            <w:tcW w:w="850" w:type="dxa"/>
          </w:tcPr>
          <w:p w:rsidR="008A32C6" w:rsidRPr="00A512F0" w:rsidRDefault="008A32C6" w:rsidP="003D363B">
            <w:pPr>
              <w:keepNext/>
              <w:ind w:left="-108"/>
              <w:rPr>
                <w:rFonts w:ascii="Arial Narrow" w:hAnsi="Arial Narrow"/>
                <w:sz w:val="20"/>
              </w:rPr>
            </w:pPr>
          </w:p>
          <w:p w:rsidR="008A32C6" w:rsidRPr="00A512F0" w:rsidRDefault="008A32C6" w:rsidP="003D363B">
            <w:pPr>
              <w:keepNext/>
              <w:ind w:left="-108"/>
              <w:rPr>
                <w:rFonts w:ascii="Arial Narrow" w:hAnsi="Arial Narrow"/>
                <w:sz w:val="20"/>
              </w:rPr>
            </w:pPr>
            <w:r w:rsidRPr="00A512F0">
              <w:rPr>
                <w:rFonts w:ascii="Arial Narrow" w:hAnsi="Arial Narrow"/>
                <w:sz w:val="20"/>
              </w:rPr>
              <w:t>0</w:t>
            </w:r>
          </w:p>
        </w:tc>
        <w:tc>
          <w:tcPr>
            <w:tcW w:w="1701" w:type="dxa"/>
          </w:tcPr>
          <w:p w:rsidR="008A32C6" w:rsidRPr="00A512F0" w:rsidRDefault="008A32C6" w:rsidP="003D363B">
            <w:pPr>
              <w:keepNext/>
              <w:ind w:left="-108"/>
              <w:rPr>
                <w:rFonts w:ascii="Arial Narrow" w:hAnsi="Arial Narrow"/>
                <w:sz w:val="20"/>
              </w:rPr>
            </w:pPr>
          </w:p>
          <w:p w:rsidR="008A32C6" w:rsidRPr="00C3790E" w:rsidRDefault="008A32C6" w:rsidP="003950EB">
            <w:pPr>
              <w:keepNext/>
              <w:ind w:left="-108"/>
              <w:rPr>
                <w:rFonts w:ascii="Arial Narrow" w:hAnsi="Arial Narrow"/>
                <w:sz w:val="20"/>
                <w:lang w:eastAsia="en-AU"/>
              </w:rPr>
            </w:pPr>
            <w:r w:rsidRPr="00C3790E">
              <w:rPr>
                <w:rFonts w:ascii="Arial Narrow" w:hAnsi="Arial Narrow"/>
                <w:sz w:val="20"/>
                <w:lang w:eastAsia="en-AU"/>
              </w:rPr>
              <w:t>Public: $</w:t>
            </w:r>
            <w:r w:rsidR="00E9019D">
              <w:rPr>
                <w:rFonts w:ascii="Arial Narrow" w:hAnsi="Arial Narrow"/>
                <w:noProof/>
                <w:color w:val="000000"/>
                <w:sz w:val="20"/>
                <w:highlight w:val="black"/>
                <w:lang w:eastAsia="en-AU"/>
              </w:rPr>
              <w:t>''''''''''''''''''''''</w:t>
            </w:r>
            <w:r w:rsidRPr="00C3790E">
              <w:rPr>
                <w:rFonts w:ascii="Arial Narrow" w:hAnsi="Arial Narrow"/>
                <w:sz w:val="20"/>
                <w:lang w:eastAsia="en-AU"/>
              </w:rPr>
              <w:t>*</w:t>
            </w:r>
          </w:p>
          <w:p w:rsidR="008A32C6" w:rsidRPr="00A512F0" w:rsidRDefault="008A32C6" w:rsidP="008A32C6">
            <w:pPr>
              <w:keepNext/>
              <w:ind w:left="-108"/>
              <w:rPr>
                <w:rFonts w:ascii="Arial Narrow" w:hAnsi="Arial Narrow"/>
                <w:sz w:val="20"/>
              </w:rPr>
            </w:pPr>
            <w:r w:rsidRPr="00C3790E">
              <w:rPr>
                <w:rFonts w:ascii="Arial Narrow" w:hAnsi="Arial Narrow"/>
                <w:sz w:val="20"/>
                <w:lang w:eastAsia="en-AU"/>
              </w:rPr>
              <w:t>Private: $</w:t>
            </w:r>
            <w:r w:rsidR="00E9019D">
              <w:rPr>
                <w:rFonts w:ascii="Arial Narrow" w:hAnsi="Arial Narrow"/>
                <w:noProof/>
                <w:color w:val="000000"/>
                <w:sz w:val="20"/>
                <w:highlight w:val="black"/>
                <w:lang w:eastAsia="en-AU"/>
              </w:rPr>
              <w:t>'''''''''''''''''''</w:t>
            </w:r>
            <w:r w:rsidRPr="00C3790E">
              <w:rPr>
                <w:rFonts w:ascii="Arial Narrow" w:hAnsi="Arial Narrow"/>
                <w:sz w:val="20"/>
                <w:lang w:eastAsia="en-AU"/>
              </w:rPr>
              <w:t>*</w:t>
            </w:r>
          </w:p>
        </w:tc>
        <w:tc>
          <w:tcPr>
            <w:tcW w:w="1559" w:type="dxa"/>
          </w:tcPr>
          <w:p w:rsidR="008A32C6" w:rsidRPr="00A512F0" w:rsidRDefault="008A32C6" w:rsidP="003D363B">
            <w:pPr>
              <w:keepNext/>
              <w:rPr>
                <w:rFonts w:ascii="Arial Narrow" w:hAnsi="Arial Narrow"/>
                <w:sz w:val="20"/>
              </w:rPr>
            </w:pPr>
            <w:r w:rsidRPr="00A512F0">
              <w:rPr>
                <w:rFonts w:ascii="Arial Narrow" w:eastAsia="SimSun" w:hAnsi="Arial Narrow"/>
                <w:sz w:val="20"/>
              </w:rPr>
              <w:t>Erbitux</w:t>
            </w:r>
          </w:p>
        </w:tc>
        <w:tc>
          <w:tcPr>
            <w:tcW w:w="1276" w:type="dxa"/>
          </w:tcPr>
          <w:p w:rsidR="008A32C6" w:rsidRPr="00A512F0" w:rsidRDefault="008A32C6" w:rsidP="003D363B">
            <w:pPr>
              <w:keepNext/>
              <w:rPr>
                <w:rFonts w:ascii="Arial Narrow" w:hAnsi="Arial Narrow"/>
                <w:sz w:val="20"/>
              </w:rPr>
            </w:pPr>
            <w:r w:rsidRPr="00A512F0">
              <w:rPr>
                <w:rFonts w:ascii="Arial Narrow" w:hAnsi="Arial Narrow"/>
                <w:sz w:val="20"/>
              </w:rPr>
              <w:t>SG</w:t>
            </w:r>
          </w:p>
        </w:tc>
      </w:tr>
      <w:tr w:rsidR="008A32C6" w:rsidRPr="00260CE3" w:rsidTr="00DE732C">
        <w:trPr>
          <w:cantSplit/>
          <w:trHeight w:val="360"/>
        </w:trPr>
        <w:tc>
          <w:tcPr>
            <w:tcW w:w="8505" w:type="dxa"/>
            <w:gridSpan w:val="6"/>
            <w:tcBorders>
              <w:bottom w:val="single" w:sz="4" w:space="0" w:color="auto"/>
            </w:tcBorders>
          </w:tcPr>
          <w:p w:rsidR="008A32C6" w:rsidRPr="00260CE3" w:rsidRDefault="008A32C6" w:rsidP="003D363B">
            <w:pPr>
              <w:rPr>
                <w:rFonts w:ascii="Arial Narrow" w:hAnsi="Arial Narrow"/>
                <w:sz w:val="20"/>
              </w:rPr>
            </w:pP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8947C9" w:rsidRDefault="008A32C6" w:rsidP="003D363B">
            <w:pPr>
              <w:rPr>
                <w:rFonts w:ascii="Arial Narrow" w:hAnsi="Arial Narrow"/>
                <w:b/>
                <w:sz w:val="20"/>
              </w:rPr>
            </w:pPr>
            <w:r w:rsidRPr="008947C9">
              <w:rPr>
                <w:rFonts w:ascii="Arial Narrow" w:hAnsi="Arial Narrow"/>
                <w:b/>
                <w:sz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A512F0" w:rsidRDefault="008A32C6" w:rsidP="003950EB">
            <w:pPr>
              <w:rPr>
                <w:rFonts w:ascii="Arial Narrow" w:hAnsi="Arial Narrow"/>
                <w:sz w:val="20"/>
                <w:highlight w:val="yellow"/>
              </w:rPr>
            </w:pPr>
            <w:r w:rsidRPr="008947C9">
              <w:rPr>
                <w:rFonts w:ascii="Arial Narrow" w:hAnsi="Arial Narrow"/>
                <w:sz w:val="20"/>
              </w:rPr>
              <w:t>Section 100 – Efficient funding of chemotherapy</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Default="008A32C6" w:rsidP="003D363B">
            <w:pPr>
              <w:rPr>
                <w:rFonts w:ascii="Arial Narrow" w:hAnsi="Arial Narrow"/>
                <w:b/>
                <w:sz w:val="20"/>
              </w:rPr>
            </w:pPr>
            <w:r w:rsidRPr="00260CE3">
              <w:rPr>
                <w:rFonts w:ascii="Arial Narrow" w:hAnsi="Arial Narrow"/>
                <w:b/>
                <w:sz w:val="20"/>
              </w:rPr>
              <w:t>Prescriber type:</w:t>
            </w:r>
          </w:p>
          <w:p w:rsidR="008A32C6" w:rsidRPr="00340D66" w:rsidRDefault="008A32C6" w:rsidP="003D363B">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E93DD8" w:rsidP="003D363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8A32C6">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Pr>
                <w:rFonts w:ascii="Arial Narrow" w:hAnsi="Arial Narrow"/>
                <w:sz w:val="20"/>
              </w:rPr>
              <w:fldChar w:fldCharType="end"/>
            </w:r>
            <w:r w:rsidR="008A32C6"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Optometrists</w:t>
            </w:r>
          </w:p>
          <w:p w:rsidR="008A32C6" w:rsidRPr="00260CE3" w:rsidRDefault="00E93DD8" w:rsidP="003D363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Midwives</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sz w:val="20"/>
              </w:rPr>
            </w:pPr>
            <w:r w:rsidRPr="00BE695C">
              <w:rPr>
                <w:rFonts w:ascii="Arial Narrow" w:hAnsi="Arial Narrow"/>
                <w:sz w:val="20"/>
              </w:rPr>
              <w:t xml:space="preserve">Recurrent </w:t>
            </w:r>
            <w:r w:rsidRPr="00F01C5A">
              <w:rPr>
                <w:rFonts w:ascii="Arial Narrow" w:hAnsi="Arial Narrow"/>
                <w:strike/>
                <w:sz w:val="20"/>
              </w:rPr>
              <w:t>and/</w:t>
            </w:r>
            <w:r w:rsidRPr="00BE695C">
              <w:rPr>
                <w:rFonts w:ascii="Arial Narrow" w:hAnsi="Arial Narrow"/>
                <w:sz w:val="20"/>
              </w:rPr>
              <w:t>or metastatic</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sz w:val="20"/>
              </w:rPr>
            </w:pPr>
            <w:r w:rsidRPr="00BE695C">
              <w:rPr>
                <w:rFonts w:ascii="Arial Narrow" w:hAnsi="Arial Narrow"/>
                <w:sz w:val="20"/>
              </w:rPr>
              <w:t>Squamous cell carcinoma of the head and neck</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BE695C" w:rsidRDefault="008A32C6" w:rsidP="003D363B">
            <w:pPr>
              <w:keepNext/>
              <w:rPr>
                <w:rFonts w:ascii="Arial Narrow" w:hAnsi="Arial Narrow"/>
                <w:sz w:val="20"/>
              </w:rPr>
            </w:pPr>
            <w:r w:rsidRPr="00BE695C">
              <w:rPr>
                <w:rFonts w:ascii="Arial Narrow" w:hAnsi="Arial Narrow"/>
                <w:sz w:val="20"/>
              </w:rPr>
              <w:t xml:space="preserve">Recurrent </w:t>
            </w:r>
            <w:r w:rsidRPr="00F01C5A">
              <w:rPr>
                <w:rFonts w:ascii="Arial Narrow" w:hAnsi="Arial Narrow"/>
                <w:strike/>
                <w:sz w:val="20"/>
              </w:rPr>
              <w:t>and/</w:t>
            </w:r>
            <w:r w:rsidRPr="00BE695C">
              <w:rPr>
                <w:rFonts w:ascii="Arial Narrow" w:hAnsi="Arial Narrow"/>
                <w:sz w:val="20"/>
              </w:rPr>
              <w:t>or metastatic squamous cell carcinoma of the head and neck</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960D93" w:rsidRDefault="008A32C6" w:rsidP="003D363B">
            <w:pPr>
              <w:rPr>
                <w:rFonts w:ascii="Arial Narrow" w:hAnsi="Arial Narrow"/>
                <w:b/>
                <w:sz w:val="20"/>
              </w:rPr>
            </w:pPr>
            <w:r w:rsidRPr="00260CE3">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BE695C" w:rsidRDefault="008A32C6" w:rsidP="003D363B">
            <w:pPr>
              <w:keepNext/>
              <w:rPr>
                <w:rFonts w:ascii="Arial Narrow" w:hAnsi="Arial Narrow"/>
                <w:sz w:val="20"/>
              </w:rPr>
            </w:pPr>
            <w:r w:rsidRPr="00BE695C">
              <w:rPr>
                <w:rFonts w:ascii="Arial Narrow" w:hAnsi="Arial Narrow"/>
                <w:sz w:val="20"/>
              </w:rPr>
              <w:t>Initial treatment</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8947C9" w:rsidRDefault="008A32C6" w:rsidP="003D363B">
            <w:pPr>
              <w:rPr>
                <w:rFonts w:ascii="Arial Narrow" w:hAnsi="Arial Narrow"/>
                <w:b/>
                <w:sz w:val="20"/>
              </w:rPr>
            </w:pPr>
            <w:r w:rsidRPr="008947C9">
              <w:rPr>
                <w:rFonts w:ascii="Arial Narrow" w:hAnsi="Arial Narrow"/>
                <w:b/>
                <w:sz w:val="20"/>
              </w:rPr>
              <w:t>Restriction Level / Method:</w:t>
            </w:r>
          </w:p>
          <w:p w:rsidR="008A32C6" w:rsidRPr="008947C9" w:rsidRDefault="008A32C6" w:rsidP="003D363B">
            <w:pPr>
              <w:rPr>
                <w:rFonts w:ascii="Arial Narrow" w:hAnsi="Arial Narrow"/>
                <w:i/>
                <w:sz w:val="20"/>
              </w:rPr>
            </w:pPr>
          </w:p>
          <w:p w:rsidR="008A32C6" w:rsidRPr="008947C9" w:rsidRDefault="008A32C6" w:rsidP="003D363B">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8947C9" w:rsidRDefault="00E93DD8" w:rsidP="003D363B">
            <w:pPr>
              <w:rPr>
                <w:rFonts w:ascii="Arial Narrow" w:hAnsi="Arial Narrow"/>
                <w:sz w:val="20"/>
              </w:rPr>
            </w:pPr>
            <w:r w:rsidRPr="008947C9">
              <w:rPr>
                <w:rFonts w:ascii="Arial Narrow" w:hAnsi="Arial Narrow"/>
                <w:sz w:val="20"/>
              </w:rPr>
              <w:fldChar w:fldCharType="begin">
                <w:ffData>
                  <w:name w:val="Check1"/>
                  <w:enabled/>
                  <w:calcOnExit w:val="0"/>
                  <w:checkBox>
                    <w:sizeAuto/>
                    <w:default w:val="0"/>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Restricted benefit</w:t>
            </w:r>
          </w:p>
          <w:p w:rsidR="008A32C6" w:rsidRPr="008947C9" w:rsidRDefault="00E93DD8" w:rsidP="003D363B">
            <w:pPr>
              <w:rPr>
                <w:rFonts w:ascii="Arial Narrow" w:hAnsi="Arial Narrow"/>
                <w:sz w:val="20"/>
              </w:rPr>
            </w:pPr>
            <w:r w:rsidRPr="008947C9">
              <w:rPr>
                <w:rFonts w:ascii="Arial Narrow" w:hAnsi="Arial Narrow"/>
                <w:sz w:val="20"/>
              </w:rPr>
              <w:fldChar w:fldCharType="begin">
                <w:ffData>
                  <w:name w:val=""/>
                  <w:enabled/>
                  <w:calcOnExit w:val="0"/>
                  <w:checkBox>
                    <w:sizeAuto/>
                    <w:default w:val="1"/>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Authority Required – In Writing</w:t>
            </w:r>
          </w:p>
          <w:p w:rsidR="008A32C6" w:rsidRPr="008947C9" w:rsidRDefault="00E93DD8" w:rsidP="003D363B">
            <w:pPr>
              <w:rPr>
                <w:rFonts w:ascii="Arial Narrow" w:hAnsi="Arial Narrow"/>
                <w:sz w:val="20"/>
              </w:rPr>
            </w:pPr>
            <w:r w:rsidRPr="008947C9">
              <w:rPr>
                <w:rFonts w:ascii="Arial Narrow" w:hAnsi="Arial Narrow"/>
                <w:sz w:val="20"/>
              </w:rPr>
              <w:fldChar w:fldCharType="begin">
                <w:ffData>
                  <w:name w:val=""/>
                  <w:enabled/>
                  <w:calcOnExit w:val="0"/>
                  <w:checkBox>
                    <w:sizeAuto/>
                    <w:default w:val="1"/>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 xml:space="preserve">Authority Required – Telephone </w:t>
            </w:r>
          </w:p>
          <w:p w:rsidR="008A32C6" w:rsidRPr="008947C9" w:rsidRDefault="00E93DD8" w:rsidP="003D363B">
            <w:pPr>
              <w:rPr>
                <w:rFonts w:ascii="Arial Narrow" w:hAnsi="Arial Narrow"/>
                <w:sz w:val="20"/>
              </w:rPr>
            </w:pPr>
            <w:r w:rsidRPr="008947C9">
              <w:rPr>
                <w:rFonts w:ascii="Arial Narrow" w:hAnsi="Arial Narrow"/>
                <w:sz w:val="20"/>
              </w:rPr>
              <w:fldChar w:fldCharType="begin">
                <w:ffData>
                  <w:name w:val=""/>
                  <w:enabled/>
                  <w:calcOnExit w:val="0"/>
                  <w:checkBox>
                    <w:sizeAuto/>
                    <w:default w:val="1"/>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Authority Required – Emergency</w:t>
            </w:r>
          </w:p>
          <w:p w:rsidR="008A32C6" w:rsidRPr="008947C9" w:rsidRDefault="00E93DD8" w:rsidP="003D363B">
            <w:pPr>
              <w:rPr>
                <w:rFonts w:ascii="Arial Narrow" w:hAnsi="Arial Narrow"/>
                <w:sz w:val="20"/>
              </w:rPr>
            </w:pPr>
            <w:r w:rsidRPr="008947C9">
              <w:rPr>
                <w:rFonts w:ascii="Arial Narrow" w:hAnsi="Arial Narrow"/>
                <w:sz w:val="20"/>
              </w:rPr>
              <w:fldChar w:fldCharType="begin">
                <w:ffData>
                  <w:name w:val=""/>
                  <w:enabled/>
                  <w:calcOnExit w:val="0"/>
                  <w:checkBox>
                    <w:sizeAuto/>
                    <w:default w:val="1"/>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Authority Required – Electronic</w:t>
            </w:r>
          </w:p>
          <w:p w:rsidR="008A32C6" w:rsidRPr="00260CE3" w:rsidRDefault="00E93DD8" w:rsidP="003D363B">
            <w:pPr>
              <w:rPr>
                <w:rFonts w:ascii="Arial Narrow" w:hAnsi="Arial Narrow"/>
                <w:sz w:val="20"/>
              </w:rPr>
            </w:pPr>
            <w:r w:rsidRPr="008947C9">
              <w:rPr>
                <w:rFonts w:ascii="Arial Narrow" w:hAnsi="Arial Narrow"/>
                <w:sz w:val="20"/>
              </w:rPr>
              <w:fldChar w:fldCharType="begin">
                <w:ffData>
                  <w:name w:val=""/>
                  <w:enabled/>
                  <w:calcOnExit w:val="0"/>
                  <w:checkBox>
                    <w:sizeAuto/>
                    <w:default w:val="1"/>
                  </w:checkBox>
                </w:ffData>
              </w:fldChar>
            </w:r>
            <w:r w:rsidR="008A32C6" w:rsidRPr="008947C9">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8947C9">
              <w:rPr>
                <w:rFonts w:ascii="Arial Narrow" w:hAnsi="Arial Narrow"/>
                <w:sz w:val="20"/>
              </w:rPr>
              <w:fldChar w:fldCharType="end"/>
            </w:r>
            <w:r w:rsidR="008A32C6" w:rsidRPr="008947C9">
              <w:rPr>
                <w:rFonts w:ascii="Arial Narrow" w:hAnsi="Arial Narrow"/>
                <w:sz w:val="20"/>
              </w:rPr>
              <w:t>Streamlined</w:t>
            </w:r>
            <w:r w:rsidR="008A32C6">
              <w:rPr>
                <w:rFonts w:ascii="Arial Narrow" w:hAnsi="Arial Narrow"/>
                <w:sz w:val="20"/>
              </w:rPr>
              <w:t xml:space="preserve"> </w:t>
            </w:r>
            <w:r w:rsidR="008A32C6" w:rsidRPr="001077BA">
              <w:rPr>
                <w:rFonts w:ascii="Arial Narrow" w:hAnsi="Arial Narrow"/>
                <w:strike/>
                <w:sz w:val="20"/>
              </w:rPr>
              <w:t>(PUBLIC HOSPITAL ONLY)</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lastRenderedPageBreak/>
              <w:t>Clinical criteria:</w:t>
            </w:r>
          </w:p>
          <w:p w:rsidR="008A32C6" w:rsidRPr="00260CE3" w:rsidRDefault="008A32C6" w:rsidP="003D363B">
            <w:pPr>
              <w:rPr>
                <w:rFonts w:ascii="Arial Narrow" w:hAnsi="Arial Narrow"/>
                <w:i/>
                <w:sz w:val="20"/>
              </w:rPr>
            </w:pPr>
          </w:p>
          <w:p w:rsidR="008A32C6" w:rsidRPr="00260CE3" w:rsidRDefault="008A32C6" w:rsidP="003D363B">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CC3B03" w:rsidRDefault="008A32C6" w:rsidP="003D363B">
            <w:pPr>
              <w:rPr>
                <w:rFonts w:ascii="Arial Narrow" w:hAnsi="Arial Narrow"/>
                <w:sz w:val="20"/>
              </w:rPr>
            </w:pPr>
            <w:r w:rsidRPr="00CC3B03">
              <w:rPr>
                <w:rFonts w:ascii="Arial Narrow" w:hAnsi="Arial Narrow"/>
                <w:sz w:val="20"/>
              </w:rPr>
              <w:t xml:space="preserve">The </w:t>
            </w:r>
            <w:r w:rsidR="00815C4F" w:rsidRPr="00815C4F">
              <w:rPr>
                <w:rFonts w:ascii="Arial Narrow" w:hAnsi="Arial Narrow"/>
                <w:i/>
                <w:sz w:val="20"/>
              </w:rPr>
              <w:t xml:space="preserve">condition </w:t>
            </w:r>
            <w:r w:rsidRPr="00815C4F">
              <w:rPr>
                <w:rFonts w:ascii="Arial Narrow" w:hAnsi="Arial Narrow"/>
                <w:strike/>
                <w:sz w:val="20"/>
              </w:rPr>
              <w:t>cancer</w:t>
            </w:r>
            <w:r w:rsidRPr="00CC3B03">
              <w:rPr>
                <w:rFonts w:ascii="Arial Narrow" w:hAnsi="Arial Narrow"/>
                <w:sz w:val="20"/>
              </w:rPr>
              <w:t xml:space="preserve"> must be located in the oral cavity</w:t>
            </w:r>
          </w:p>
          <w:p w:rsidR="008A32C6" w:rsidRPr="00CC3B03" w:rsidRDefault="008A32C6" w:rsidP="003D363B">
            <w:pPr>
              <w:rPr>
                <w:rFonts w:ascii="Arial Narrow" w:hAnsi="Arial Narrow"/>
                <w:sz w:val="20"/>
              </w:rPr>
            </w:pPr>
          </w:p>
          <w:p w:rsidR="008A32C6" w:rsidRPr="00CC3B03" w:rsidRDefault="008A32C6" w:rsidP="003D363B">
            <w:pPr>
              <w:rPr>
                <w:rFonts w:ascii="Arial Narrow" w:hAnsi="Arial Narrow"/>
                <w:sz w:val="20"/>
              </w:rPr>
            </w:pPr>
            <w:r w:rsidRPr="00CC3B03">
              <w:rPr>
                <w:rFonts w:ascii="Arial Narrow" w:hAnsi="Arial Narrow"/>
                <w:sz w:val="20"/>
              </w:rPr>
              <w:t>AND</w:t>
            </w:r>
          </w:p>
          <w:p w:rsidR="008A32C6" w:rsidRPr="00CC3B03" w:rsidRDefault="008A32C6" w:rsidP="003D363B">
            <w:pPr>
              <w:rPr>
                <w:rFonts w:ascii="Arial Narrow" w:hAnsi="Arial Narrow"/>
                <w:sz w:val="20"/>
              </w:rPr>
            </w:pPr>
          </w:p>
          <w:p w:rsidR="008A32C6" w:rsidRPr="00CC3B03" w:rsidRDefault="008A32C6" w:rsidP="003D363B">
            <w:pPr>
              <w:rPr>
                <w:rFonts w:ascii="Arial Narrow" w:hAnsi="Arial Narrow"/>
                <w:sz w:val="20"/>
              </w:rPr>
            </w:pPr>
            <w:r w:rsidRPr="00CC3B03">
              <w:rPr>
                <w:rFonts w:ascii="Arial Narrow" w:hAnsi="Arial Narrow"/>
                <w:sz w:val="20"/>
              </w:rPr>
              <w:t>Patient must have a WHO performance status of 0 or 1</w:t>
            </w:r>
          </w:p>
          <w:p w:rsidR="008A32C6" w:rsidRPr="00CC3B03" w:rsidRDefault="008A32C6" w:rsidP="003D363B">
            <w:pPr>
              <w:rPr>
                <w:rFonts w:ascii="Arial Narrow" w:hAnsi="Arial Narrow"/>
                <w:sz w:val="20"/>
              </w:rPr>
            </w:pPr>
          </w:p>
          <w:p w:rsidR="008A32C6" w:rsidRPr="00CC3B03" w:rsidRDefault="008A32C6" w:rsidP="003D363B">
            <w:pPr>
              <w:rPr>
                <w:rFonts w:ascii="Arial Narrow" w:hAnsi="Arial Narrow"/>
                <w:sz w:val="20"/>
              </w:rPr>
            </w:pPr>
            <w:r w:rsidRPr="00CC3B03">
              <w:rPr>
                <w:rFonts w:ascii="Arial Narrow" w:hAnsi="Arial Narrow"/>
                <w:sz w:val="20"/>
              </w:rPr>
              <w:t xml:space="preserve">AND </w:t>
            </w:r>
          </w:p>
          <w:p w:rsidR="008A32C6" w:rsidRPr="00CC3B03" w:rsidRDefault="008A32C6" w:rsidP="003D363B">
            <w:pPr>
              <w:rPr>
                <w:rFonts w:ascii="Arial Narrow" w:hAnsi="Arial Narrow"/>
                <w:sz w:val="20"/>
              </w:rPr>
            </w:pPr>
          </w:p>
          <w:p w:rsidR="008A32C6" w:rsidRPr="00CC3B03" w:rsidRDefault="008A32C6" w:rsidP="003D363B">
            <w:pPr>
              <w:rPr>
                <w:rFonts w:ascii="Arial Narrow" w:hAnsi="Arial Narrow"/>
                <w:sz w:val="20"/>
              </w:rPr>
            </w:pPr>
            <w:r w:rsidRPr="00CC3B03">
              <w:rPr>
                <w:rFonts w:ascii="Arial Narrow" w:hAnsi="Arial Narrow"/>
                <w:sz w:val="20"/>
              </w:rPr>
              <w:t>The condition must be previously untreated</w:t>
            </w:r>
          </w:p>
          <w:p w:rsidR="008A32C6" w:rsidRPr="00CC3B03" w:rsidRDefault="008A32C6" w:rsidP="003D363B">
            <w:pPr>
              <w:rPr>
                <w:rFonts w:ascii="Arial Narrow" w:hAnsi="Arial Narrow"/>
                <w:sz w:val="20"/>
              </w:rPr>
            </w:pPr>
          </w:p>
          <w:p w:rsidR="008A32C6" w:rsidRPr="00CC3B03" w:rsidRDefault="008A32C6" w:rsidP="003D363B">
            <w:pPr>
              <w:rPr>
                <w:rFonts w:ascii="Arial Narrow" w:hAnsi="Arial Narrow"/>
                <w:sz w:val="20"/>
              </w:rPr>
            </w:pPr>
            <w:r w:rsidRPr="00CC3B03">
              <w:rPr>
                <w:rFonts w:ascii="Arial Narrow" w:hAnsi="Arial Narrow"/>
                <w:sz w:val="20"/>
              </w:rPr>
              <w:t>AND</w:t>
            </w:r>
          </w:p>
          <w:p w:rsidR="008A32C6" w:rsidRPr="00CC3B03" w:rsidRDefault="008A32C6" w:rsidP="003D363B">
            <w:pPr>
              <w:rPr>
                <w:rFonts w:ascii="Arial Narrow" w:hAnsi="Arial Narrow"/>
                <w:sz w:val="20"/>
              </w:rPr>
            </w:pPr>
          </w:p>
          <w:p w:rsidR="008A32C6" w:rsidRPr="00815C4F" w:rsidRDefault="00815C4F" w:rsidP="003D363B">
            <w:pPr>
              <w:rPr>
                <w:rFonts w:ascii="Arial Narrow" w:hAnsi="Arial Narrow"/>
                <w:strike/>
                <w:sz w:val="20"/>
              </w:rPr>
            </w:pPr>
            <w:r w:rsidRPr="00815C4F">
              <w:rPr>
                <w:rFonts w:ascii="Arial Narrow" w:hAnsi="Arial Narrow"/>
                <w:i/>
                <w:sz w:val="20"/>
              </w:rPr>
              <w:t xml:space="preserve">The treatment must be commenced in combination with platinum-based </w:t>
            </w:r>
            <w:r w:rsidR="00761C6F" w:rsidRPr="00815C4F">
              <w:rPr>
                <w:rFonts w:ascii="Arial Narrow" w:hAnsi="Arial Narrow"/>
                <w:i/>
                <w:sz w:val="20"/>
              </w:rPr>
              <w:t>chemotherapy</w:t>
            </w:r>
            <w:r w:rsidR="00761C6F" w:rsidRPr="00761C6F">
              <w:rPr>
                <w:rFonts w:ascii="Arial Narrow" w:hAnsi="Arial Narrow"/>
                <w:i/>
                <w:strike/>
                <w:sz w:val="20"/>
              </w:rPr>
              <w:t xml:space="preserve"> The</w:t>
            </w:r>
            <w:r w:rsidR="008A32C6" w:rsidRPr="00761C6F">
              <w:rPr>
                <w:rFonts w:ascii="Arial Narrow" w:hAnsi="Arial Narrow"/>
                <w:strike/>
                <w:sz w:val="20"/>
              </w:rPr>
              <w:t xml:space="preserve"> treatment must be in combination with platinum-based chemotherapy</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1077BA" w:rsidRDefault="008A32C6" w:rsidP="003D363B">
            <w:pPr>
              <w:rPr>
                <w:rFonts w:ascii="Arial Narrow" w:hAnsi="Arial Narrow"/>
                <w:b/>
                <w:sz w:val="20"/>
              </w:rPr>
            </w:pPr>
            <w:r w:rsidRPr="00260CE3">
              <w:rPr>
                <w:rFonts w:ascii="Arial Narrow" w:hAnsi="Arial Narrow"/>
                <w:b/>
                <w:sz w:val="20"/>
              </w:rPr>
              <w:t>Definitions</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807107" w:rsidRDefault="008A32C6" w:rsidP="003D363B">
            <w:pPr>
              <w:rPr>
                <w:rFonts w:ascii="Arial Narrow" w:hAnsi="Arial Narrow"/>
                <w:i/>
                <w:sz w:val="20"/>
              </w:rPr>
            </w:pPr>
            <w:r w:rsidRPr="00807107">
              <w:rPr>
                <w:rFonts w:ascii="Arial Narrow" w:hAnsi="Arial Narrow"/>
                <w:i/>
                <w:sz w:val="20"/>
              </w:rPr>
              <w:t>The oral cavity is defined as the vermilion border of the lip, buccal mucosa, alveolar ridge, retromolar trigone, floor of the mouth, hard palate, anterior two-thirds of the tongue.</w:t>
            </w:r>
          </w:p>
        </w:tc>
      </w:tr>
      <w:tr w:rsidR="008A32C6" w:rsidRPr="00260CE3" w:rsidTr="00DE732C">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32C6" w:rsidRPr="001077BA" w:rsidRDefault="008A32C6" w:rsidP="003D363B">
            <w:pPr>
              <w:rPr>
                <w:rFonts w:ascii="Arial Narrow" w:hAnsi="Arial Narrow"/>
                <w:b/>
                <w:sz w:val="20"/>
              </w:rPr>
            </w:pPr>
            <w:r w:rsidRPr="00260CE3">
              <w:rPr>
                <w:rFonts w:ascii="Arial Narrow" w:hAnsi="Arial Narrow"/>
                <w:b/>
                <w:sz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274724" w:rsidRDefault="008A32C6" w:rsidP="003D363B">
            <w:pPr>
              <w:rPr>
                <w:rFonts w:ascii="Arial Narrow" w:hAnsi="Arial Narrow"/>
                <w:sz w:val="20"/>
                <w:u w:val="single"/>
              </w:rPr>
            </w:pPr>
            <w:r w:rsidRPr="00274724">
              <w:rPr>
                <w:rFonts w:ascii="Arial Narrow" w:hAnsi="Arial Narrow"/>
                <w:sz w:val="20"/>
                <w:u w:val="single"/>
              </w:rPr>
              <w:t>Note</w:t>
            </w:r>
          </w:p>
          <w:p w:rsidR="008A32C6" w:rsidRDefault="008A32C6" w:rsidP="003D363B">
            <w:pPr>
              <w:rPr>
                <w:rFonts w:ascii="Arial Narrow" w:hAnsi="Arial Narrow"/>
                <w:sz w:val="20"/>
              </w:rPr>
            </w:pPr>
            <w:r w:rsidRPr="00CC3B03">
              <w:rPr>
                <w:rFonts w:ascii="Arial Narrow" w:hAnsi="Arial Narrow"/>
                <w:sz w:val="20"/>
              </w:rPr>
              <w:t>Special Pricing Arrangements apply</w:t>
            </w:r>
          </w:p>
          <w:p w:rsidR="008A32C6" w:rsidRDefault="008A32C6" w:rsidP="003D363B">
            <w:pPr>
              <w:rPr>
                <w:rFonts w:ascii="Arial Narrow" w:hAnsi="Arial Narrow"/>
                <w:sz w:val="20"/>
              </w:rPr>
            </w:pPr>
          </w:p>
          <w:p w:rsidR="008A32C6" w:rsidRPr="00E4644E" w:rsidRDefault="008A32C6" w:rsidP="003D363B">
            <w:pPr>
              <w:rPr>
                <w:rFonts w:ascii="Arial Narrow" w:hAnsi="Arial Narrow"/>
                <w:i/>
                <w:sz w:val="20"/>
                <w:u w:val="single"/>
              </w:rPr>
            </w:pPr>
            <w:r w:rsidRPr="00E4644E">
              <w:rPr>
                <w:rFonts w:ascii="Arial Narrow" w:hAnsi="Arial Narrow"/>
                <w:i/>
                <w:sz w:val="20"/>
                <w:u w:val="single"/>
              </w:rPr>
              <w:t>Note</w:t>
            </w:r>
          </w:p>
          <w:p w:rsidR="008A32C6" w:rsidRPr="00260CE3" w:rsidRDefault="008A32C6" w:rsidP="003D363B">
            <w:pPr>
              <w:rPr>
                <w:rFonts w:ascii="Arial Narrow" w:hAnsi="Arial Narrow"/>
                <w:sz w:val="20"/>
              </w:rPr>
            </w:pPr>
            <w:r w:rsidRPr="00E4644E">
              <w:rPr>
                <w:rFonts w:ascii="Arial Narrow" w:hAnsi="Arial Narrow"/>
                <w:i/>
                <w:sz w:val="20"/>
                <w:shd w:val="clear" w:color="auto" w:fill="FFFFFF"/>
              </w:rPr>
              <w:t>No increase in the maximum number of repeats may be authorised.</w:t>
            </w:r>
          </w:p>
        </w:tc>
      </w:tr>
    </w:tbl>
    <w:p w:rsidR="008A32C6" w:rsidRDefault="008A32C6" w:rsidP="008A32C6">
      <w:pPr>
        <w:rPr>
          <w:szCs w:val="22"/>
        </w:rPr>
      </w:pPr>
    </w:p>
    <w:p w:rsidR="008A32C6" w:rsidRDefault="008A32C6" w:rsidP="008A32C6">
      <w:pPr>
        <w:rPr>
          <w:szCs w:val="22"/>
        </w:rPr>
      </w:pPr>
    </w:p>
    <w:tbl>
      <w:tblPr>
        <w:tblW w:w="8505" w:type="dxa"/>
        <w:tblInd w:w="817" w:type="dxa"/>
        <w:tblLayout w:type="fixed"/>
        <w:tblLook w:val="0000" w:firstRow="0" w:lastRow="0" w:firstColumn="0" w:lastColumn="0" w:noHBand="0" w:noVBand="0"/>
      </w:tblPr>
      <w:tblGrid>
        <w:gridCol w:w="2126"/>
        <w:gridCol w:w="993"/>
        <w:gridCol w:w="850"/>
        <w:gridCol w:w="1701"/>
        <w:gridCol w:w="1559"/>
        <w:gridCol w:w="1276"/>
      </w:tblGrid>
      <w:tr w:rsidR="008A32C6" w:rsidRPr="00260CE3" w:rsidTr="00DE732C">
        <w:trPr>
          <w:trHeight w:val="471"/>
        </w:trPr>
        <w:tc>
          <w:tcPr>
            <w:tcW w:w="2126"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Name, Restriction,</w:t>
            </w:r>
          </w:p>
          <w:p w:rsidR="008A32C6" w:rsidRPr="00260CE3" w:rsidRDefault="008A32C6" w:rsidP="003D363B">
            <w:pPr>
              <w:keepNext/>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Max.</w:t>
            </w:r>
          </w:p>
          <w:p w:rsidR="008A32C6" w:rsidRPr="00260CE3" w:rsidRDefault="008A32C6" w:rsidP="003D363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8A32C6" w:rsidRPr="00260CE3" w:rsidRDefault="008A32C6" w:rsidP="003D363B">
            <w:pPr>
              <w:keepNext/>
              <w:ind w:left="-108"/>
              <w:rPr>
                <w:rFonts w:ascii="Arial Narrow" w:hAnsi="Arial Narrow"/>
                <w:sz w:val="20"/>
              </w:rPr>
            </w:pPr>
            <w:r w:rsidRPr="00260CE3">
              <w:rPr>
                <w:rFonts w:ascii="Arial Narrow" w:hAnsi="Arial Narrow"/>
                <w:sz w:val="20"/>
              </w:rPr>
              <w:t>№.of</w:t>
            </w:r>
          </w:p>
          <w:p w:rsidR="008A32C6" w:rsidRPr="00260CE3" w:rsidRDefault="008A32C6" w:rsidP="003D363B">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8A32C6" w:rsidRPr="00260CE3" w:rsidRDefault="008A32C6" w:rsidP="003D363B">
            <w:pPr>
              <w:keepNext/>
              <w:ind w:left="-108"/>
              <w:rPr>
                <w:rFonts w:ascii="Arial Narrow" w:hAnsi="Arial Narrow"/>
                <w:sz w:val="20"/>
              </w:rPr>
            </w:pPr>
            <w:r w:rsidRPr="00C3790E">
              <w:rPr>
                <w:rFonts w:ascii="Arial Narrow" w:hAnsi="Arial Narrow"/>
                <w:sz w:val="20"/>
              </w:rPr>
              <w:t>Dispensed Price for Max. Amt</w:t>
            </w:r>
          </w:p>
        </w:tc>
        <w:tc>
          <w:tcPr>
            <w:tcW w:w="2835" w:type="dxa"/>
            <w:gridSpan w:val="2"/>
            <w:tcBorders>
              <w:bottom w:val="single" w:sz="4" w:space="0" w:color="auto"/>
            </w:tcBorders>
          </w:tcPr>
          <w:p w:rsidR="008A32C6" w:rsidRPr="00260CE3" w:rsidRDefault="008A32C6" w:rsidP="003D363B">
            <w:pPr>
              <w:keepNext/>
              <w:rPr>
                <w:rFonts w:ascii="Arial Narrow" w:hAnsi="Arial Narrow"/>
                <w:sz w:val="20"/>
                <w:lang w:val="fr-FR"/>
              </w:rPr>
            </w:pPr>
            <w:r w:rsidRPr="00260CE3">
              <w:rPr>
                <w:rFonts w:ascii="Arial Narrow" w:hAnsi="Arial Narrow"/>
                <w:sz w:val="20"/>
              </w:rPr>
              <w:t>Proprietary Name and Manufacturer</w:t>
            </w:r>
          </w:p>
        </w:tc>
      </w:tr>
      <w:tr w:rsidR="008A32C6" w:rsidRPr="00A512F0" w:rsidTr="00DE732C">
        <w:trPr>
          <w:trHeight w:val="577"/>
        </w:trPr>
        <w:tc>
          <w:tcPr>
            <w:tcW w:w="2126" w:type="dxa"/>
          </w:tcPr>
          <w:p w:rsidR="008A32C6" w:rsidRPr="00A512F0" w:rsidRDefault="008A32C6" w:rsidP="003D363B">
            <w:pPr>
              <w:keepNext/>
              <w:spacing w:line="276" w:lineRule="auto"/>
              <w:ind w:left="-108"/>
              <w:rPr>
                <w:rFonts w:ascii="Arial Narrow" w:eastAsia="SimSun" w:hAnsi="Arial Narrow"/>
                <w:sz w:val="20"/>
              </w:rPr>
            </w:pPr>
            <w:r w:rsidRPr="00A512F0">
              <w:rPr>
                <w:rFonts w:ascii="Arial Narrow" w:eastAsia="SimSun" w:hAnsi="Arial Narrow"/>
                <w:smallCaps/>
                <w:sz w:val="20"/>
              </w:rPr>
              <w:t>CETUXIMAB</w:t>
            </w:r>
          </w:p>
          <w:p w:rsidR="008A32C6" w:rsidRPr="00A512F0" w:rsidRDefault="008A32C6" w:rsidP="003D363B">
            <w:pPr>
              <w:keepNext/>
              <w:spacing w:line="276" w:lineRule="auto"/>
              <w:ind w:left="-108"/>
              <w:rPr>
                <w:rFonts w:ascii="Arial Narrow" w:eastAsia="SimSun" w:hAnsi="Arial Narrow"/>
                <w:sz w:val="20"/>
              </w:rPr>
            </w:pPr>
            <w:r w:rsidRPr="00A512F0">
              <w:rPr>
                <w:rFonts w:ascii="Arial Narrow" w:eastAsia="SimSun" w:hAnsi="Arial Narrow"/>
                <w:sz w:val="20"/>
              </w:rPr>
              <w:t>Injection,100 mg/20 mL</w:t>
            </w:r>
          </w:p>
          <w:p w:rsidR="008A32C6" w:rsidRPr="00A512F0" w:rsidRDefault="008A32C6" w:rsidP="003D363B">
            <w:pPr>
              <w:keepNext/>
              <w:ind w:left="-108"/>
              <w:rPr>
                <w:rFonts w:ascii="Arial Narrow" w:hAnsi="Arial Narrow"/>
                <w:sz w:val="20"/>
              </w:rPr>
            </w:pPr>
            <w:r w:rsidRPr="00A512F0">
              <w:rPr>
                <w:rFonts w:ascii="Arial Narrow" w:eastAsia="SimSun" w:hAnsi="Arial Narrow"/>
                <w:sz w:val="20"/>
              </w:rPr>
              <w:t>Injection, 500 mg/100 mL</w:t>
            </w:r>
          </w:p>
        </w:tc>
        <w:tc>
          <w:tcPr>
            <w:tcW w:w="993" w:type="dxa"/>
          </w:tcPr>
          <w:p w:rsidR="008A32C6" w:rsidRPr="00A512F0" w:rsidRDefault="008A32C6" w:rsidP="003D363B">
            <w:pPr>
              <w:keepNext/>
              <w:ind w:left="-108"/>
              <w:rPr>
                <w:rFonts w:ascii="Arial Narrow" w:hAnsi="Arial Narrow"/>
                <w:sz w:val="20"/>
              </w:rPr>
            </w:pPr>
          </w:p>
          <w:p w:rsidR="008A32C6" w:rsidRPr="00A512F0" w:rsidRDefault="008A32C6" w:rsidP="003D363B">
            <w:pPr>
              <w:keepNext/>
              <w:ind w:left="-108"/>
              <w:rPr>
                <w:rFonts w:ascii="Arial Narrow" w:hAnsi="Arial Narrow"/>
                <w:sz w:val="20"/>
              </w:rPr>
            </w:pPr>
            <w:r>
              <w:rPr>
                <w:rFonts w:ascii="Arial Narrow" w:hAnsi="Arial Narrow"/>
                <w:sz w:val="20"/>
              </w:rPr>
              <w:t>550</w:t>
            </w:r>
            <w:r w:rsidRPr="00A512F0">
              <w:rPr>
                <w:rFonts w:ascii="Arial Narrow" w:hAnsi="Arial Narrow"/>
                <w:sz w:val="20"/>
              </w:rPr>
              <w:t xml:space="preserve"> mg</w:t>
            </w:r>
          </w:p>
        </w:tc>
        <w:tc>
          <w:tcPr>
            <w:tcW w:w="850" w:type="dxa"/>
          </w:tcPr>
          <w:p w:rsidR="008A32C6" w:rsidRPr="00A512F0" w:rsidRDefault="008A32C6" w:rsidP="003D363B">
            <w:pPr>
              <w:keepNext/>
              <w:ind w:left="-108"/>
              <w:rPr>
                <w:rFonts w:ascii="Arial Narrow" w:hAnsi="Arial Narrow"/>
                <w:sz w:val="20"/>
              </w:rPr>
            </w:pPr>
          </w:p>
          <w:p w:rsidR="008A32C6" w:rsidRPr="00114070" w:rsidRDefault="008A32C6" w:rsidP="003D363B">
            <w:pPr>
              <w:keepNext/>
              <w:ind w:left="-108"/>
              <w:rPr>
                <w:rFonts w:ascii="Arial Narrow" w:hAnsi="Arial Narrow"/>
                <w:strike/>
                <w:sz w:val="20"/>
              </w:rPr>
            </w:pPr>
            <w:r w:rsidRPr="00114070">
              <w:rPr>
                <w:rFonts w:ascii="Arial Narrow" w:hAnsi="Arial Narrow"/>
                <w:strike/>
                <w:sz w:val="20"/>
              </w:rPr>
              <w:t>24</w:t>
            </w:r>
            <w:r w:rsidRPr="00114070">
              <w:rPr>
                <w:rFonts w:ascii="Arial Narrow" w:hAnsi="Arial Narrow"/>
                <w:i/>
                <w:sz w:val="20"/>
              </w:rPr>
              <w:t xml:space="preserve"> 22</w:t>
            </w:r>
          </w:p>
        </w:tc>
        <w:tc>
          <w:tcPr>
            <w:tcW w:w="1701" w:type="dxa"/>
          </w:tcPr>
          <w:p w:rsidR="008A32C6" w:rsidRPr="00A512F0" w:rsidRDefault="008A32C6" w:rsidP="003D363B">
            <w:pPr>
              <w:keepNext/>
              <w:ind w:left="-108"/>
              <w:rPr>
                <w:rFonts w:ascii="Arial Narrow" w:hAnsi="Arial Narrow"/>
                <w:sz w:val="20"/>
              </w:rPr>
            </w:pPr>
          </w:p>
          <w:p w:rsidR="008A32C6" w:rsidRPr="00C3790E" w:rsidRDefault="008A32C6" w:rsidP="003950EB">
            <w:pPr>
              <w:keepNext/>
              <w:ind w:left="-108"/>
              <w:rPr>
                <w:rFonts w:ascii="Arial Narrow" w:hAnsi="Arial Narrow"/>
                <w:sz w:val="20"/>
                <w:lang w:eastAsia="en-AU"/>
              </w:rPr>
            </w:pPr>
            <w:r w:rsidRPr="00C3790E">
              <w:rPr>
                <w:rFonts w:ascii="Arial Narrow" w:hAnsi="Arial Narrow"/>
                <w:sz w:val="20"/>
                <w:lang w:eastAsia="en-AU"/>
              </w:rPr>
              <w:t>Public: $</w:t>
            </w:r>
            <w:r w:rsidR="00E9019D">
              <w:rPr>
                <w:rFonts w:ascii="Arial Narrow" w:hAnsi="Arial Narrow"/>
                <w:noProof/>
                <w:color w:val="000000"/>
                <w:sz w:val="20"/>
                <w:highlight w:val="black"/>
                <w:lang w:eastAsia="en-AU"/>
              </w:rPr>
              <w:t>'''''''''''''''''''</w:t>
            </w:r>
            <w:r w:rsidRPr="00C3790E">
              <w:rPr>
                <w:rFonts w:ascii="Arial Narrow" w:hAnsi="Arial Narrow"/>
                <w:sz w:val="20"/>
                <w:lang w:eastAsia="en-AU"/>
              </w:rPr>
              <w:t>*</w:t>
            </w:r>
          </w:p>
          <w:p w:rsidR="008A32C6" w:rsidRPr="00A512F0" w:rsidRDefault="008A32C6" w:rsidP="008A32C6">
            <w:pPr>
              <w:keepNext/>
              <w:ind w:left="-108"/>
              <w:rPr>
                <w:rFonts w:ascii="Arial Narrow" w:hAnsi="Arial Narrow"/>
                <w:sz w:val="20"/>
              </w:rPr>
            </w:pPr>
            <w:r w:rsidRPr="00C3790E">
              <w:rPr>
                <w:rFonts w:ascii="Arial Narrow" w:hAnsi="Arial Narrow"/>
                <w:sz w:val="20"/>
                <w:lang w:eastAsia="en-AU"/>
              </w:rPr>
              <w:t>Private: $</w:t>
            </w:r>
            <w:r w:rsidR="00E9019D">
              <w:rPr>
                <w:rFonts w:ascii="Arial Narrow" w:hAnsi="Arial Narrow"/>
                <w:noProof/>
                <w:color w:val="000000"/>
                <w:sz w:val="20"/>
                <w:highlight w:val="black"/>
                <w:lang w:eastAsia="en-AU"/>
              </w:rPr>
              <w:t>'''''''''''''''''''''''</w:t>
            </w:r>
            <w:r w:rsidRPr="00C3790E">
              <w:rPr>
                <w:rFonts w:ascii="Arial Narrow" w:hAnsi="Arial Narrow"/>
                <w:sz w:val="20"/>
                <w:lang w:eastAsia="en-AU"/>
              </w:rPr>
              <w:t>*</w:t>
            </w:r>
          </w:p>
        </w:tc>
        <w:tc>
          <w:tcPr>
            <w:tcW w:w="1559" w:type="dxa"/>
          </w:tcPr>
          <w:p w:rsidR="008A32C6" w:rsidRPr="00A512F0" w:rsidRDefault="008A32C6" w:rsidP="003D363B">
            <w:pPr>
              <w:keepNext/>
              <w:rPr>
                <w:rFonts w:ascii="Arial Narrow" w:hAnsi="Arial Narrow"/>
                <w:sz w:val="20"/>
              </w:rPr>
            </w:pPr>
            <w:r w:rsidRPr="00A512F0">
              <w:rPr>
                <w:rFonts w:ascii="Arial Narrow" w:eastAsia="SimSun" w:hAnsi="Arial Narrow"/>
                <w:sz w:val="20"/>
              </w:rPr>
              <w:t>Erbitux</w:t>
            </w:r>
          </w:p>
        </w:tc>
        <w:tc>
          <w:tcPr>
            <w:tcW w:w="1276" w:type="dxa"/>
          </w:tcPr>
          <w:p w:rsidR="008A32C6" w:rsidRPr="00A512F0" w:rsidRDefault="008A32C6" w:rsidP="003D363B">
            <w:pPr>
              <w:keepNext/>
              <w:rPr>
                <w:rFonts w:ascii="Arial Narrow" w:hAnsi="Arial Narrow"/>
                <w:sz w:val="20"/>
              </w:rPr>
            </w:pPr>
            <w:r w:rsidRPr="00A512F0">
              <w:rPr>
                <w:rFonts w:ascii="Arial Narrow" w:hAnsi="Arial Narrow"/>
                <w:sz w:val="20"/>
              </w:rPr>
              <w:t>SG</w:t>
            </w:r>
          </w:p>
        </w:tc>
      </w:tr>
      <w:tr w:rsidR="008A32C6" w:rsidRPr="00A512F0" w:rsidTr="00DE732C">
        <w:trPr>
          <w:trHeight w:val="330"/>
        </w:trPr>
        <w:tc>
          <w:tcPr>
            <w:tcW w:w="2126" w:type="dxa"/>
          </w:tcPr>
          <w:p w:rsidR="008A32C6" w:rsidRPr="00A512F0" w:rsidRDefault="008A32C6" w:rsidP="003D363B">
            <w:pPr>
              <w:keepNext/>
              <w:spacing w:line="276" w:lineRule="auto"/>
              <w:ind w:left="-108"/>
              <w:rPr>
                <w:rFonts w:ascii="Arial Narrow" w:eastAsia="SimSun" w:hAnsi="Arial Narrow"/>
                <w:smallCaps/>
                <w:sz w:val="20"/>
              </w:rPr>
            </w:pPr>
          </w:p>
        </w:tc>
        <w:tc>
          <w:tcPr>
            <w:tcW w:w="993" w:type="dxa"/>
          </w:tcPr>
          <w:p w:rsidR="008A32C6" w:rsidRPr="00A512F0" w:rsidRDefault="008A32C6" w:rsidP="003D363B">
            <w:pPr>
              <w:keepNext/>
              <w:ind w:left="-108"/>
              <w:rPr>
                <w:rFonts w:ascii="Arial Narrow" w:hAnsi="Arial Narrow"/>
                <w:sz w:val="20"/>
              </w:rPr>
            </w:pPr>
          </w:p>
        </w:tc>
        <w:tc>
          <w:tcPr>
            <w:tcW w:w="850" w:type="dxa"/>
          </w:tcPr>
          <w:p w:rsidR="008A32C6" w:rsidRPr="00A512F0" w:rsidRDefault="008A32C6" w:rsidP="003D363B">
            <w:pPr>
              <w:keepNext/>
              <w:ind w:left="-108"/>
              <w:rPr>
                <w:rFonts w:ascii="Arial Narrow" w:hAnsi="Arial Narrow"/>
                <w:sz w:val="20"/>
              </w:rPr>
            </w:pPr>
          </w:p>
        </w:tc>
        <w:tc>
          <w:tcPr>
            <w:tcW w:w="1701" w:type="dxa"/>
          </w:tcPr>
          <w:p w:rsidR="008A32C6" w:rsidRPr="00A512F0" w:rsidRDefault="008A32C6" w:rsidP="003D363B">
            <w:pPr>
              <w:keepNext/>
              <w:ind w:left="-108"/>
              <w:rPr>
                <w:rFonts w:ascii="Arial Narrow" w:hAnsi="Arial Narrow"/>
                <w:sz w:val="20"/>
              </w:rPr>
            </w:pPr>
          </w:p>
        </w:tc>
        <w:tc>
          <w:tcPr>
            <w:tcW w:w="1559" w:type="dxa"/>
          </w:tcPr>
          <w:p w:rsidR="008A32C6" w:rsidRPr="00A512F0" w:rsidRDefault="008A32C6" w:rsidP="003D363B">
            <w:pPr>
              <w:keepNext/>
              <w:rPr>
                <w:rFonts w:ascii="Arial Narrow" w:eastAsia="SimSun" w:hAnsi="Arial Narrow"/>
                <w:sz w:val="20"/>
              </w:rPr>
            </w:pPr>
          </w:p>
        </w:tc>
        <w:tc>
          <w:tcPr>
            <w:tcW w:w="1276" w:type="dxa"/>
          </w:tcPr>
          <w:p w:rsidR="008A32C6" w:rsidRPr="00A512F0" w:rsidRDefault="008A32C6" w:rsidP="003D363B">
            <w:pPr>
              <w:keepNext/>
              <w:rPr>
                <w:rFonts w:ascii="Arial Narrow" w:hAnsi="Arial Narrow"/>
                <w:sz w:val="20"/>
              </w:rPr>
            </w:pP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A512F0" w:rsidRDefault="008A32C6" w:rsidP="003950EB">
            <w:pPr>
              <w:rPr>
                <w:rFonts w:ascii="Arial Narrow" w:hAnsi="Arial Narrow"/>
                <w:b/>
                <w:sz w:val="20"/>
                <w:highlight w:val="yellow"/>
              </w:rPr>
            </w:pPr>
            <w:r w:rsidRPr="001077BA">
              <w:rPr>
                <w:rFonts w:ascii="Arial Narrow" w:hAnsi="Arial Narrow"/>
                <w:b/>
                <w:sz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3950EB" w:rsidRDefault="008A32C6" w:rsidP="003D363B">
            <w:pPr>
              <w:rPr>
                <w:rFonts w:ascii="Arial Narrow" w:hAnsi="Arial Narrow"/>
                <w:sz w:val="20"/>
              </w:rPr>
            </w:pPr>
            <w:r w:rsidRPr="001077BA">
              <w:rPr>
                <w:rFonts w:ascii="Arial Narrow" w:hAnsi="Arial Narrow"/>
                <w:sz w:val="20"/>
              </w:rPr>
              <w:t>Section 100 – Efficient funding of chemotherapy</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Default="008A32C6" w:rsidP="003D363B">
            <w:pPr>
              <w:rPr>
                <w:rFonts w:ascii="Arial Narrow" w:hAnsi="Arial Narrow"/>
                <w:b/>
                <w:sz w:val="20"/>
              </w:rPr>
            </w:pPr>
            <w:r w:rsidRPr="00260CE3">
              <w:rPr>
                <w:rFonts w:ascii="Arial Narrow" w:hAnsi="Arial Narrow"/>
                <w:b/>
                <w:sz w:val="20"/>
              </w:rPr>
              <w:t>Prescriber type:</w:t>
            </w:r>
          </w:p>
          <w:p w:rsidR="008A32C6" w:rsidRPr="00340D66" w:rsidRDefault="008A32C6" w:rsidP="003D363B">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E93DD8" w:rsidP="003D363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8A32C6">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Pr>
                <w:rFonts w:ascii="Arial Narrow" w:hAnsi="Arial Narrow"/>
                <w:sz w:val="20"/>
              </w:rPr>
              <w:fldChar w:fldCharType="end"/>
            </w:r>
            <w:r w:rsidR="008A32C6"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Optometrists</w:t>
            </w:r>
          </w:p>
          <w:p w:rsidR="008A32C6" w:rsidRPr="00260CE3" w:rsidRDefault="00E93DD8" w:rsidP="003D363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8A32C6" w:rsidRPr="00260CE3">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260CE3">
              <w:rPr>
                <w:rFonts w:ascii="Arial Narrow" w:hAnsi="Arial Narrow"/>
                <w:sz w:val="20"/>
              </w:rPr>
              <w:fldChar w:fldCharType="end"/>
            </w:r>
            <w:r w:rsidR="008A32C6" w:rsidRPr="00260CE3">
              <w:rPr>
                <w:rFonts w:ascii="Arial Narrow" w:hAnsi="Arial Narrow"/>
                <w:sz w:val="20"/>
              </w:rPr>
              <w:t>Midwives</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sz w:val="20"/>
              </w:rPr>
            </w:pPr>
            <w:r w:rsidRPr="00BE695C">
              <w:rPr>
                <w:rFonts w:ascii="Arial Narrow" w:hAnsi="Arial Narrow"/>
                <w:sz w:val="20"/>
              </w:rPr>
              <w:t xml:space="preserve">Recurrent </w:t>
            </w:r>
            <w:r w:rsidRPr="00F01C5A">
              <w:rPr>
                <w:rFonts w:ascii="Arial Narrow" w:hAnsi="Arial Narrow"/>
                <w:strike/>
                <w:sz w:val="20"/>
              </w:rPr>
              <w:t>and/</w:t>
            </w:r>
            <w:r w:rsidRPr="00BE695C">
              <w:rPr>
                <w:rFonts w:ascii="Arial Narrow" w:hAnsi="Arial Narrow"/>
                <w:sz w:val="20"/>
              </w:rPr>
              <w:t>or metastatic</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sz w:val="20"/>
              </w:rPr>
            </w:pPr>
            <w:r w:rsidRPr="00BE695C">
              <w:rPr>
                <w:rFonts w:ascii="Arial Narrow" w:hAnsi="Arial Narrow"/>
                <w:sz w:val="20"/>
              </w:rPr>
              <w:t>Squamous cell carcinoma of the head and neck</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BE695C" w:rsidRDefault="008A32C6" w:rsidP="003D363B">
            <w:pPr>
              <w:keepNext/>
              <w:rPr>
                <w:rFonts w:ascii="Arial Narrow" w:hAnsi="Arial Narrow"/>
                <w:sz w:val="20"/>
              </w:rPr>
            </w:pPr>
            <w:r w:rsidRPr="00BE695C">
              <w:rPr>
                <w:rFonts w:ascii="Arial Narrow" w:hAnsi="Arial Narrow"/>
                <w:sz w:val="20"/>
              </w:rPr>
              <w:t xml:space="preserve">Recurrent </w:t>
            </w:r>
            <w:r w:rsidRPr="00F01C5A">
              <w:rPr>
                <w:rFonts w:ascii="Arial Narrow" w:hAnsi="Arial Narrow"/>
                <w:strike/>
                <w:sz w:val="20"/>
              </w:rPr>
              <w:t>and/</w:t>
            </w:r>
            <w:r w:rsidRPr="00BE695C">
              <w:rPr>
                <w:rFonts w:ascii="Arial Narrow" w:hAnsi="Arial Narrow"/>
                <w:sz w:val="20"/>
              </w:rPr>
              <w:t>or metastatic squamous cell carcinoma of the head and neck</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960D93" w:rsidRDefault="008A32C6" w:rsidP="003D363B">
            <w:pPr>
              <w:rPr>
                <w:rFonts w:ascii="Arial Narrow" w:hAnsi="Arial Narrow"/>
                <w:b/>
                <w:sz w:val="20"/>
              </w:rPr>
            </w:pPr>
            <w:r w:rsidRPr="00260CE3">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8A32C6" w:rsidRPr="00BE695C" w:rsidRDefault="008A32C6" w:rsidP="003D363B">
            <w:pPr>
              <w:keepNext/>
              <w:rPr>
                <w:rFonts w:ascii="Arial Narrow" w:hAnsi="Arial Narrow"/>
                <w:sz w:val="20"/>
              </w:rPr>
            </w:pPr>
            <w:r>
              <w:rPr>
                <w:rFonts w:ascii="Arial Narrow" w:hAnsi="Arial Narrow"/>
                <w:sz w:val="20"/>
              </w:rPr>
              <w:t>Continuing</w:t>
            </w:r>
            <w:r w:rsidRPr="00BE695C">
              <w:rPr>
                <w:rFonts w:ascii="Arial Narrow" w:hAnsi="Arial Narrow"/>
                <w:sz w:val="20"/>
              </w:rPr>
              <w:t xml:space="preserve"> </w:t>
            </w:r>
            <w:r w:rsidR="003950EB" w:rsidRPr="00BE695C">
              <w:rPr>
                <w:rFonts w:ascii="Arial Narrow" w:hAnsi="Arial Narrow"/>
                <w:sz w:val="20"/>
              </w:rPr>
              <w:t>treatment</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99045C" w:rsidRDefault="008A32C6" w:rsidP="003D363B">
            <w:pPr>
              <w:rPr>
                <w:rFonts w:ascii="Arial Narrow" w:hAnsi="Arial Narrow"/>
                <w:b/>
                <w:sz w:val="20"/>
              </w:rPr>
            </w:pPr>
            <w:r w:rsidRPr="0099045C">
              <w:rPr>
                <w:rFonts w:ascii="Arial Narrow" w:hAnsi="Arial Narrow"/>
                <w:b/>
                <w:sz w:val="20"/>
              </w:rPr>
              <w:t>Restriction Level / Method:</w:t>
            </w:r>
          </w:p>
          <w:p w:rsidR="008A32C6" w:rsidRPr="00960D93" w:rsidRDefault="008A32C6" w:rsidP="003D363B">
            <w:pPr>
              <w:rPr>
                <w:rFonts w:ascii="Arial Narrow" w:hAnsi="Arial Narrow"/>
                <w:i/>
                <w:sz w:val="20"/>
                <w:highlight w:val="yellow"/>
              </w:rPr>
            </w:pPr>
          </w:p>
          <w:p w:rsidR="008A32C6" w:rsidRPr="00960D93" w:rsidRDefault="008A32C6" w:rsidP="003D363B">
            <w:pPr>
              <w:rPr>
                <w:rFonts w:ascii="Arial Narrow" w:hAnsi="Arial Narrow"/>
                <w:i/>
                <w:sz w:val="20"/>
                <w:highlight w:val="yellow"/>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99045C" w:rsidRDefault="00E93DD8" w:rsidP="003D363B">
            <w:pPr>
              <w:rPr>
                <w:rFonts w:ascii="Arial Narrow" w:hAnsi="Arial Narrow"/>
                <w:sz w:val="20"/>
              </w:rPr>
            </w:pPr>
            <w:r w:rsidRPr="0099045C">
              <w:rPr>
                <w:rFonts w:ascii="Arial Narrow" w:hAnsi="Arial Narrow"/>
                <w:sz w:val="20"/>
              </w:rPr>
              <w:fldChar w:fldCharType="begin">
                <w:ffData>
                  <w:name w:val="Check1"/>
                  <w:enabled/>
                  <w:calcOnExit w:val="0"/>
                  <w:checkBox>
                    <w:sizeAuto/>
                    <w:default w:val="0"/>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Restricted benefit</w:t>
            </w:r>
          </w:p>
          <w:p w:rsidR="008A32C6" w:rsidRPr="0099045C" w:rsidRDefault="00E93DD8" w:rsidP="003D363B">
            <w:pPr>
              <w:rPr>
                <w:rFonts w:ascii="Arial Narrow" w:hAnsi="Arial Narrow"/>
                <w:sz w:val="20"/>
              </w:rPr>
            </w:pPr>
            <w:r w:rsidRPr="0099045C">
              <w:rPr>
                <w:rFonts w:ascii="Arial Narrow" w:hAnsi="Arial Narrow"/>
                <w:sz w:val="20"/>
              </w:rPr>
              <w:fldChar w:fldCharType="begin">
                <w:ffData>
                  <w:name w:val=""/>
                  <w:enabled/>
                  <w:calcOnExit w:val="0"/>
                  <w:checkBox>
                    <w:sizeAuto/>
                    <w:default w:val="1"/>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Authority Required – In Writing</w:t>
            </w:r>
          </w:p>
          <w:p w:rsidR="008A32C6" w:rsidRPr="0099045C" w:rsidRDefault="00E93DD8" w:rsidP="003D363B">
            <w:pPr>
              <w:rPr>
                <w:rFonts w:ascii="Arial Narrow" w:hAnsi="Arial Narrow"/>
                <w:sz w:val="20"/>
              </w:rPr>
            </w:pPr>
            <w:r w:rsidRPr="0099045C">
              <w:rPr>
                <w:rFonts w:ascii="Arial Narrow" w:hAnsi="Arial Narrow"/>
                <w:sz w:val="20"/>
              </w:rPr>
              <w:fldChar w:fldCharType="begin">
                <w:ffData>
                  <w:name w:val=""/>
                  <w:enabled/>
                  <w:calcOnExit w:val="0"/>
                  <w:checkBox>
                    <w:sizeAuto/>
                    <w:default w:val="1"/>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 xml:space="preserve">Authority Required – Telephone </w:t>
            </w:r>
          </w:p>
          <w:p w:rsidR="008A32C6" w:rsidRPr="0099045C" w:rsidRDefault="00E93DD8" w:rsidP="003D363B">
            <w:pPr>
              <w:rPr>
                <w:rFonts w:ascii="Arial Narrow" w:hAnsi="Arial Narrow"/>
                <w:sz w:val="20"/>
              </w:rPr>
            </w:pPr>
            <w:r w:rsidRPr="0099045C">
              <w:rPr>
                <w:rFonts w:ascii="Arial Narrow" w:hAnsi="Arial Narrow"/>
                <w:sz w:val="20"/>
              </w:rPr>
              <w:fldChar w:fldCharType="begin">
                <w:ffData>
                  <w:name w:val=""/>
                  <w:enabled/>
                  <w:calcOnExit w:val="0"/>
                  <w:checkBox>
                    <w:sizeAuto/>
                    <w:default w:val="1"/>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Authority Required – Emergency</w:t>
            </w:r>
          </w:p>
          <w:p w:rsidR="008A32C6" w:rsidRPr="0099045C" w:rsidRDefault="00E93DD8" w:rsidP="003D363B">
            <w:pPr>
              <w:rPr>
                <w:rFonts w:ascii="Arial Narrow" w:hAnsi="Arial Narrow"/>
                <w:sz w:val="20"/>
              </w:rPr>
            </w:pPr>
            <w:r w:rsidRPr="0099045C">
              <w:rPr>
                <w:rFonts w:ascii="Arial Narrow" w:hAnsi="Arial Narrow"/>
                <w:sz w:val="20"/>
              </w:rPr>
              <w:fldChar w:fldCharType="begin">
                <w:ffData>
                  <w:name w:val=""/>
                  <w:enabled/>
                  <w:calcOnExit w:val="0"/>
                  <w:checkBox>
                    <w:sizeAuto/>
                    <w:default w:val="1"/>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Authority Required – Electronic</w:t>
            </w:r>
          </w:p>
          <w:p w:rsidR="008A32C6" w:rsidRDefault="00E93DD8" w:rsidP="003D363B">
            <w:pPr>
              <w:rPr>
                <w:rFonts w:ascii="Arial Narrow" w:hAnsi="Arial Narrow"/>
                <w:sz w:val="20"/>
              </w:rPr>
            </w:pPr>
            <w:r w:rsidRPr="0099045C">
              <w:rPr>
                <w:rFonts w:ascii="Arial Narrow" w:hAnsi="Arial Narrow"/>
                <w:sz w:val="20"/>
              </w:rPr>
              <w:fldChar w:fldCharType="begin">
                <w:ffData>
                  <w:name w:val="Check5"/>
                  <w:enabled/>
                  <w:calcOnExit w:val="0"/>
                  <w:checkBox>
                    <w:sizeAuto/>
                    <w:default w:val="1"/>
                  </w:checkBox>
                </w:ffData>
              </w:fldChar>
            </w:r>
            <w:r w:rsidR="008A32C6" w:rsidRPr="0099045C">
              <w:rPr>
                <w:rFonts w:ascii="Arial Narrow" w:hAnsi="Arial Narrow"/>
                <w:sz w:val="20"/>
              </w:rPr>
              <w:instrText xml:space="preserve"> FORMCHECKBOX </w:instrText>
            </w:r>
            <w:r w:rsidR="008A6C06">
              <w:rPr>
                <w:rFonts w:ascii="Arial Narrow" w:hAnsi="Arial Narrow"/>
                <w:sz w:val="20"/>
              </w:rPr>
            </w:r>
            <w:r w:rsidR="008A6C06">
              <w:rPr>
                <w:rFonts w:ascii="Arial Narrow" w:hAnsi="Arial Narrow"/>
                <w:sz w:val="20"/>
              </w:rPr>
              <w:fldChar w:fldCharType="separate"/>
            </w:r>
            <w:r w:rsidRPr="0099045C">
              <w:rPr>
                <w:rFonts w:ascii="Arial Narrow" w:hAnsi="Arial Narrow"/>
                <w:sz w:val="20"/>
              </w:rPr>
              <w:fldChar w:fldCharType="end"/>
            </w:r>
            <w:r w:rsidR="008A32C6" w:rsidRPr="0099045C">
              <w:rPr>
                <w:rFonts w:ascii="Arial Narrow" w:hAnsi="Arial Narrow"/>
                <w:sz w:val="20"/>
              </w:rPr>
              <w:t>Streamlined</w:t>
            </w:r>
          </w:p>
          <w:p w:rsidR="008A32C6" w:rsidRPr="001077BA" w:rsidRDefault="008A32C6" w:rsidP="003D363B">
            <w:pPr>
              <w:rPr>
                <w:rFonts w:ascii="Arial Narrow" w:hAnsi="Arial Narrow"/>
                <w:strike/>
                <w:sz w:val="20"/>
              </w:rPr>
            </w:pPr>
            <w:r w:rsidRPr="001077BA">
              <w:rPr>
                <w:rFonts w:ascii="Arial Narrow" w:hAnsi="Arial Narrow"/>
                <w:strike/>
                <w:sz w:val="20"/>
              </w:rPr>
              <w:t>Section 100 (Efficient Funding of Chemotherapy (EFC))</w:t>
            </w:r>
          </w:p>
          <w:p w:rsidR="008A32C6" w:rsidRPr="001077BA" w:rsidRDefault="008A32C6" w:rsidP="003D363B">
            <w:pPr>
              <w:rPr>
                <w:rFonts w:ascii="Arial Narrow" w:hAnsi="Arial Narrow"/>
                <w:strike/>
                <w:sz w:val="20"/>
              </w:rPr>
            </w:pPr>
            <w:r w:rsidRPr="001077BA">
              <w:rPr>
                <w:rFonts w:ascii="Arial Narrow" w:hAnsi="Arial Narrow"/>
                <w:strike/>
                <w:sz w:val="20"/>
              </w:rPr>
              <w:t>Private Hospital/Private Clinic Authority Required</w:t>
            </w:r>
          </w:p>
          <w:p w:rsidR="008A32C6" w:rsidRPr="00260CE3" w:rsidRDefault="008A32C6" w:rsidP="003D363B">
            <w:pPr>
              <w:rPr>
                <w:rFonts w:ascii="Arial Narrow" w:hAnsi="Arial Narrow"/>
                <w:sz w:val="20"/>
              </w:rPr>
            </w:pPr>
            <w:r w:rsidRPr="001077BA">
              <w:rPr>
                <w:rFonts w:ascii="Arial Narrow" w:hAnsi="Arial Narrow"/>
                <w:strike/>
                <w:sz w:val="20"/>
              </w:rPr>
              <w:t>Public Hospital Authority Required (STREAMLINED)</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260CE3" w:rsidRDefault="008A32C6" w:rsidP="003D363B">
            <w:pPr>
              <w:rPr>
                <w:rFonts w:ascii="Arial Narrow" w:hAnsi="Arial Narrow"/>
                <w:b/>
                <w:sz w:val="20"/>
              </w:rPr>
            </w:pPr>
            <w:r w:rsidRPr="00260CE3">
              <w:rPr>
                <w:rFonts w:ascii="Arial Narrow" w:hAnsi="Arial Narrow"/>
                <w:b/>
                <w:sz w:val="20"/>
              </w:rPr>
              <w:t>Clinical criteria:</w:t>
            </w:r>
          </w:p>
          <w:p w:rsidR="008A32C6" w:rsidRPr="00260CE3" w:rsidRDefault="008A32C6" w:rsidP="003D363B">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435444" w:rsidRDefault="008A32C6" w:rsidP="003D363B">
            <w:pPr>
              <w:keepNext/>
              <w:spacing w:line="276" w:lineRule="auto"/>
              <w:rPr>
                <w:rFonts w:ascii="Arial Narrow" w:eastAsia="SimSun" w:hAnsi="Arial Narrow"/>
                <w:i/>
                <w:sz w:val="20"/>
                <w:szCs w:val="22"/>
              </w:rPr>
            </w:pPr>
            <w:r w:rsidRPr="00435444">
              <w:rPr>
                <w:rFonts w:ascii="Arial Narrow" w:eastAsia="SimSun" w:hAnsi="Arial Narrow"/>
                <w:sz w:val="20"/>
                <w:szCs w:val="22"/>
              </w:rPr>
              <w:t>Patient must have previousl</w:t>
            </w:r>
            <w:r w:rsidRPr="00435444">
              <w:rPr>
                <w:rFonts w:ascii="Arial Narrow" w:eastAsia="SimSun" w:hAnsi="Arial Narrow"/>
                <w:i/>
                <w:sz w:val="20"/>
                <w:szCs w:val="22"/>
              </w:rPr>
              <w:t>y</w:t>
            </w:r>
            <w:r w:rsidRPr="00435444">
              <w:rPr>
                <w:rFonts w:ascii="Arial Narrow" w:eastAsia="SimSun" w:hAnsi="Arial Narrow"/>
                <w:sz w:val="20"/>
                <w:szCs w:val="22"/>
              </w:rPr>
              <w:t xml:space="preserve"> received PBS-subsidised treatment with</w:t>
            </w:r>
            <w:r w:rsidRPr="00435444">
              <w:rPr>
                <w:rFonts w:ascii="Arial Narrow" w:eastAsia="SimSun" w:hAnsi="Arial Narrow"/>
                <w:i/>
                <w:sz w:val="20"/>
                <w:szCs w:val="22"/>
              </w:rPr>
              <w:t xml:space="preserve"> </w:t>
            </w:r>
            <w:r w:rsidRPr="00435444">
              <w:rPr>
                <w:rFonts w:ascii="Arial Narrow" w:eastAsia="SimSun" w:hAnsi="Arial Narrow"/>
                <w:sz w:val="20"/>
                <w:szCs w:val="22"/>
              </w:rPr>
              <w:t>this drug for this condition</w:t>
            </w:r>
          </w:p>
          <w:p w:rsidR="008A32C6" w:rsidRPr="00435444" w:rsidRDefault="008A32C6" w:rsidP="003D363B">
            <w:pPr>
              <w:keepNext/>
              <w:spacing w:line="276" w:lineRule="auto"/>
              <w:rPr>
                <w:rFonts w:ascii="Arial Narrow" w:eastAsia="SimSun" w:hAnsi="Arial Narrow"/>
                <w:sz w:val="20"/>
                <w:szCs w:val="22"/>
              </w:rPr>
            </w:pPr>
          </w:p>
          <w:p w:rsidR="008A32C6" w:rsidRPr="00435444" w:rsidRDefault="008A32C6" w:rsidP="003D363B">
            <w:pPr>
              <w:keepNext/>
              <w:spacing w:line="276" w:lineRule="auto"/>
              <w:rPr>
                <w:rFonts w:ascii="Arial Narrow" w:eastAsia="SimSun" w:hAnsi="Arial Narrow"/>
                <w:sz w:val="20"/>
                <w:szCs w:val="22"/>
              </w:rPr>
            </w:pPr>
            <w:r w:rsidRPr="00435444">
              <w:rPr>
                <w:rFonts w:ascii="Arial Narrow" w:eastAsia="SimSun" w:hAnsi="Arial Narrow"/>
                <w:sz w:val="20"/>
                <w:szCs w:val="22"/>
              </w:rPr>
              <w:t>AND</w:t>
            </w:r>
          </w:p>
          <w:p w:rsidR="008A32C6" w:rsidRPr="00435444" w:rsidRDefault="008A32C6" w:rsidP="003D363B">
            <w:pPr>
              <w:keepNext/>
              <w:spacing w:line="276" w:lineRule="auto"/>
              <w:rPr>
                <w:rFonts w:ascii="Arial Narrow" w:eastAsia="SimSun" w:hAnsi="Arial Narrow"/>
                <w:b/>
                <w:sz w:val="20"/>
                <w:szCs w:val="22"/>
              </w:rPr>
            </w:pPr>
          </w:p>
          <w:p w:rsidR="008A32C6" w:rsidRPr="00435444" w:rsidRDefault="008A32C6" w:rsidP="003D363B">
            <w:pPr>
              <w:rPr>
                <w:rFonts w:ascii="Arial Narrow" w:hAnsi="Arial Narrow"/>
                <w:sz w:val="20"/>
                <w:szCs w:val="22"/>
              </w:rPr>
            </w:pPr>
            <w:r w:rsidRPr="00435444">
              <w:rPr>
                <w:rFonts w:ascii="Arial Narrow" w:eastAsia="SimSun" w:hAnsi="Arial Narrow"/>
                <w:sz w:val="20"/>
                <w:szCs w:val="22"/>
              </w:rPr>
              <w:t>Patient must not have progressive disease</w:t>
            </w:r>
          </w:p>
        </w:tc>
      </w:tr>
      <w:tr w:rsidR="008A32C6" w:rsidRPr="00260CE3" w:rsidTr="00DE732C">
        <w:trPr>
          <w:trHeight w:val="360"/>
        </w:trPr>
        <w:tc>
          <w:tcPr>
            <w:tcW w:w="2126" w:type="dxa"/>
            <w:tcBorders>
              <w:top w:val="single" w:sz="4" w:space="0" w:color="auto"/>
              <w:left w:val="single" w:sz="4" w:space="0" w:color="auto"/>
              <w:bottom w:val="single" w:sz="4" w:space="0" w:color="auto"/>
              <w:right w:val="single" w:sz="4" w:space="0" w:color="auto"/>
            </w:tcBorders>
          </w:tcPr>
          <w:p w:rsidR="008A32C6" w:rsidRPr="00D5678B" w:rsidRDefault="008A32C6" w:rsidP="003D363B">
            <w:pPr>
              <w:rPr>
                <w:rFonts w:ascii="Arial Narrow" w:hAnsi="Arial Narrow"/>
                <w:b/>
                <w:sz w:val="20"/>
              </w:rPr>
            </w:pPr>
            <w:r w:rsidRPr="00260CE3">
              <w:rPr>
                <w:rFonts w:ascii="Arial Narrow" w:hAnsi="Arial Narrow"/>
                <w:b/>
                <w:sz w:val="20"/>
              </w:rPr>
              <w:lastRenderedPageBreak/>
              <w:t>Administrative Advice</w:t>
            </w:r>
          </w:p>
          <w:p w:rsidR="008A32C6" w:rsidRPr="00260CE3" w:rsidRDefault="008A32C6" w:rsidP="003D363B">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A32C6" w:rsidRPr="00D91209" w:rsidRDefault="008A32C6" w:rsidP="003D363B">
            <w:pPr>
              <w:rPr>
                <w:rFonts w:ascii="Arial Narrow" w:hAnsi="Arial Narrow"/>
                <w:sz w:val="20"/>
                <w:szCs w:val="22"/>
              </w:rPr>
            </w:pPr>
            <w:r w:rsidRPr="00D91209">
              <w:rPr>
                <w:rFonts w:ascii="Arial Narrow" w:hAnsi="Arial Narrow"/>
                <w:sz w:val="20"/>
                <w:u w:val="single"/>
              </w:rPr>
              <w:t>Note</w:t>
            </w:r>
          </w:p>
          <w:p w:rsidR="008A32C6" w:rsidRDefault="008A32C6" w:rsidP="003D363B">
            <w:pPr>
              <w:rPr>
                <w:rFonts w:ascii="Arial Narrow" w:hAnsi="Arial Narrow"/>
                <w:sz w:val="20"/>
                <w:szCs w:val="22"/>
              </w:rPr>
            </w:pPr>
            <w:r w:rsidRPr="00E4644E">
              <w:rPr>
                <w:rFonts w:ascii="Arial Narrow" w:hAnsi="Arial Narrow"/>
                <w:sz w:val="20"/>
                <w:szCs w:val="22"/>
              </w:rPr>
              <w:t>Special Pricing Arrangements apply</w:t>
            </w:r>
          </w:p>
          <w:p w:rsidR="009344CE" w:rsidRDefault="009344CE" w:rsidP="003D363B">
            <w:pPr>
              <w:rPr>
                <w:rFonts w:ascii="Arial Narrow" w:hAnsi="Arial Narrow"/>
                <w:sz w:val="20"/>
                <w:szCs w:val="22"/>
              </w:rPr>
            </w:pPr>
          </w:p>
          <w:p w:rsidR="009344CE" w:rsidRPr="00E4644E" w:rsidRDefault="009344CE" w:rsidP="009344CE">
            <w:pPr>
              <w:rPr>
                <w:rFonts w:ascii="Arial Narrow" w:hAnsi="Arial Narrow"/>
                <w:i/>
                <w:sz w:val="20"/>
                <w:u w:val="single"/>
              </w:rPr>
            </w:pPr>
            <w:r w:rsidRPr="00E4644E">
              <w:rPr>
                <w:rFonts w:ascii="Arial Narrow" w:hAnsi="Arial Narrow"/>
                <w:i/>
                <w:sz w:val="20"/>
                <w:u w:val="single"/>
              </w:rPr>
              <w:t>Note</w:t>
            </w:r>
          </w:p>
          <w:p w:rsidR="009344CE" w:rsidRPr="00114070" w:rsidRDefault="009344CE" w:rsidP="009344CE">
            <w:pPr>
              <w:rPr>
                <w:rFonts w:ascii="Arial Narrow" w:hAnsi="Arial Narrow"/>
                <w:sz w:val="20"/>
                <w:szCs w:val="22"/>
              </w:rPr>
            </w:pPr>
            <w:r w:rsidRPr="00E4644E">
              <w:rPr>
                <w:rFonts w:ascii="Arial Narrow" w:hAnsi="Arial Narrow"/>
                <w:i/>
                <w:sz w:val="20"/>
                <w:shd w:val="clear" w:color="auto" w:fill="FFFFFF"/>
              </w:rPr>
              <w:t>No increase in the maximum number of repeats may be authorised.</w:t>
            </w:r>
          </w:p>
        </w:tc>
      </w:tr>
    </w:tbl>
    <w:p w:rsidR="003950EB" w:rsidRPr="00B971A8" w:rsidRDefault="003950EB" w:rsidP="00DE732C">
      <w:pPr>
        <w:ind w:firstLine="720"/>
        <w:rPr>
          <w:rFonts w:ascii="Arial Narrow" w:hAnsi="Arial Narrow"/>
          <w:sz w:val="20"/>
        </w:rPr>
      </w:pPr>
      <w:r w:rsidRPr="00B971A8">
        <w:rPr>
          <w:rFonts w:ascii="Arial Narrow" w:hAnsi="Arial Narrow"/>
          <w:sz w:val="20"/>
        </w:rPr>
        <w:t xml:space="preserve">* This represented the published price. The sponsor proposed a confidential </w:t>
      </w:r>
      <w:r w:rsidR="00E9019D">
        <w:rPr>
          <w:rFonts w:ascii="Arial Narrow" w:hAnsi="Arial Narrow"/>
          <w:noProof/>
          <w:color w:val="000000"/>
          <w:sz w:val="20"/>
          <w:highlight w:val="black"/>
        </w:rPr>
        <w:t>''''''''''''</w:t>
      </w:r>
      <w:r w:rsidRPr="00B971A8">
        <w:rPr>
          <w:rFonts w:ascii="Arial Narrow" w:hAnsi="Arial Narrow"/>
          <w:sz w:val="20"/>
        </w:rPr>
        <w:t>% rebate.</w:t>
      </w:r>
    </w:p>
    <w:p w:rsidR="008A32C6" w:rsidRDefault="008A32C6" w:rsidP="008A32C6"/>
    <w:p w:rsidR="00CF2253" w:rsidRPr="001F0A7F" w:rsidRDefault="00A6641B" w:rsidP="00B15815">
      <w:pPr>
        <w:pStyle w:val="ListParagraph"/>
        <w:widowControl/>
        <w:numPr>
          <w:ilvl w:val="1"/>
          <w:numId w:val="3"/>
        </w:numPr>
        <w:rPr>
          <w:szCs w:val="22"/>
        </w:rPr>
      </w:pPr>
      <w:r w:rsidRPr="001F0A7F">
        <w:rPr>
          <w:szCs w:val="22"/>
        </w:rPr>
        <w:t>L</w:t>
      </w:r>
      <w:r w:rsidR="00B60939" w:rsidRPr="001F0A7F">
        <w:rPr>
          <w:szCs w:val="22"/>
        </w:rPr>
        <w:t xml:space="preserve">isting </w:t>
      </w:r>
      <w:r w:rsidRPr="001F0A7F">
        <w:rPr>
          <w:szCs w:val="22"/>
        </w:rPr>
        <w:t xml:space="preserve">was requested on a </w:t>
      </w:r>
      <w:r w:rsidR="00B60939" w:rsidRPr="001F0A7F">
        <w:rPr>
          <w:szCs w:val="22"/>
        </w:rPr>
        <w:t xml:space="preserve">cost-effectiveness </w:t>
      </w:r>
      <w:r w:rsidRPr="001F0A7F">
        <w:rPr>
          <w:szCs w:val="22"/>
        </w:rPr>
        <w:t xml:space="preserve">basis </w:t>
      </w:r>
      <w:r w:rsidR="00B60939" w:rsidRPr="001F0A7F">
        <w:rPr>
          <w:szCs w:val="22"/>
        </w:rPr>
        <w:t xml:space="preserve">compared with </w:t>
      </w:r>
      <w:r w:rsidR="00DE376B">
        <w:rPr>
          <w:szCs w:val="22"/>
        </w:rPr>
        <w:t xml:space="preserve">a </w:t>
      </w:r>
      <w:r w:rsidR="00B60939" w:rsidRPr="001F0A7F">
        <w:rPr>
          <w:szCs w:val="22"/>
        </w:rPr>
        <w:t>comparator</w:t>
      </w:r>
      <w:r w:rsidR="003D58A6" w:rsidRPr="001F0A7F">
        <w:rPr>
          <w:szCs w:val="22"/>
        </w:rPr>
        <w:t xml:space="preserve"> of platinum-based chemotherapy alone</w:t>
      </w:r>
      <w:r w:rsidR="00B60939" w:rsidRPr="001F0A7F">
        <w:rPr>
          <w:szCs w:val="22"/>
        </w:rPr>
        <w:t>.</w:t>
      </w:r>
    </w:p>
    <w:p w:rsidR="006E50C8" w:rsidRPr="001F0A7F" w:rsidRDefault="006E50C8" w:rsidP="006E50C8">
      <w:pPr>
        <w:pStyle w:val="ListParagraph"/>
        <w:widowControl/>
        <w:rPr>
          <w:szCs w:val="22"/>
        </w:rPr>
      </w:pPr>
    </w:p>
    <w:p w:rsidR="00F05C2C" w:rsidRPr="001F0A7F" w:rsidRDefault="00F05C2C" w:rsidP="00B15815">
      <w:pPr>
        <w:pStyle w:val="ListParagraph"/>
        <w:widowControl/>
        <w:numPr>
          <w:ilvl w:val="1"/>
          <w:numId w:val="3"/>
        </w:numPr>
        <w:rPr>
          <w:szCs w:val="22"/>
        </w:rPr>
      </w:pPr>
      <w:r w:rsidRPr="001F0A7F">
        <w:rPr>
          <w:szCs w:val="22"/>
        </w:rPr>
        <w:t xml:space="preserve">The submission stated that cancers of the oral cavity include cancers of the buccal mucosa, alveolar ridge, retromolar trigone, floor of the mouth, hard palate and the anterior two-thirds of the tongue. The submission stated that cancers of the lip are more likely to be treated with surgery and/or radiation rather than with systemic therapy, and were therefore excluded from further consideration in the submission. </w:t>
      </w:r>
      <w:r w:rsidRPr="001F0A7F">
        <w:rPr>
          <w:iCs/>
          <w:szCs w:val="22"/>
        </w:rPr>
        <w:t>The proposed PBS listing did not define the oral cavity, nor specify if the location in the oral cavity represented the origin site of the primary tumour.</w:t>
      </w:r>
      <w:r w:rsidR="002A28B3" w:rsidRPr="001F0A7F">
        <w:rPr>
          <w:iCs/>
          <w:szCs w:val="22"/>
        </w:rPr>
        <w:t xml:space="preserve"> The PSCR (p</w:t>
      </w:r>
      <w:r w:rsidR="00B612C4" w:rsidRPr="001F0A7F">
        <w:rPr>
          <w:iCs/>
          <w:szCs w:val="22"/>
        </w:rPr>
        <w:t>.</w:t>
      </w:r>
      <w:r w:rsidR="002A28B3" w:rsidRPr="001F0A7F">
        <w:rPr>
          <w:iCs/>
          <w:szCs w:val="22"/>
        </w:rPr>
        <w:t xml:space="preserve">3) stated that feedback from clinicians indicated that differences in the interpretation of the phrase “oral cavity” are unlikely; </w:t>
      </w:r>
      <w:r w:rsidR="00984C25" w:rsidRPr="001F0A7F">
        <w:rPr>
          <w:iCs/>
          <w:szCs w:val="22"/>
        </w:rPr>
        <w:t xml:space="preserve">nonetheless </w:t>
      </w:r>
      <w:r w:rsidR="002A28B3" w:rsidRPr="001F0A7F">
        <w:rPr>
          <w:iCs/>
          <w:szCs w:val="22"/>
        </w:rPr>
        <w:t>the sponsor accept</w:t>
      </w:r>
      <w:r w:rsidR="00257069" w:rsidRPr="001F0A7F">
        <w:rPr>
          <w:iCs/>
          <w:szCs w:val="22"/>
        </w:rPr>
        <w:t>ed</w:t>
      </w:r>
      <w:r w:rsidR="002A28B3" w:rsidRPr="001F0A7F">
        <w:rPr>
          <w:iCs/>
          <w:szCs w:val="22"/>
        </w:rPr>
        <w:t xml:space="preserve"> the proposal to include a definition in the listing proposed by the Secretariat.</w:t>
      </w:r>
    </w:p>
    <w:p w:rsidR="00F05C2C" w:rsidRPr="001F0A7F" w:rsidRDefault="00F05C2C" w:rsidP="00F05C2C">
      <w:pPr>
        <w:widowControl/>
        <w:rPr>
          <w:szCs w:val="22"/>
        </w:rPr>
      </w:pPr>
    </w:p>
    <w:p w:rsidR="006E50C8" w:rsidRPr="001F0A7F" w:rsidRDefault="00105265" w:rsidP="00B15815">
      <w:pPr>
        <w:pStyle w:val="ListParagraph"/>
        <w:widowControl/>
        <w:numPr>
          <w:ilvl w:val="1"/>
          <w:numId w:val="3"/>
        </w:numPr>
        <w:rPr>
          <w:szCs w:val="22"/>
        </w:rPr>
      </w:pPr>
      <w:r w:rsidRPr="001F0A7F">
        <w:rPr>
          <w:szCs w:val="22"/>
        </w:rPr>
        <w:t>The submission provided various arguments to limit use to patients with SCC in the oral cavity</w:t>
      </w:r>
      <w:r w:rsidR="0082694A" w:rsidRPr="001F0A7F">
        <w:rPr>
          <w:szCs w:val="22"/>
        </w:rPr>
        <w:t>, which included</w:t>
      </w:r>
      <w:r w:rsidRPr="001F0A7F">
        <w:rPr>
          <w:szCs w:val="22"/>
        </w:rPr>
        <w:t xml:space="preserve"> additional risk factors for SCC in the oral cavity, </w:t>
      </w:r>
      <w:r w:rsidR="00607CC5" w:rsidRPr="001F0A7F">
        <w:rPr>
          <w:szCs w:val="22"/>
        </w:rPr>
        <w:t xml:space="preserve">a </w:t>
      </w:r>
      <w:r w:rsidRPr="001F0A7F">
        <w:rPr>
          <w:szCs w:val="22"/>
        </w:rPr>
        <w:t xml:space="preserve">higher impact on quality of life, </w:t>
      </w:r>
      <w:r w:rsidR="00F31683" w:rsidRPr="001F0A7F">
        <w:rPr>
          <w:szCs w:val="22"/>
        </w:rPr>
        <w:t>poorer</w:t>
      </w:r>
      <w:r w:rsidRPr="001F0A7F">
        <w:rPr>
          <w:szCs w:val="22"/>
        </w:rPr>
        <w:t xml:space="preserve"> prognosis (disease progression and mortality), limited response to therapies other than cetuximab</w:t>
      </w:r>
      <w:r w:rsidR="00BD3103" w:rsidRPr="001F0A7F">
        <w:rPr>
          <w:szCs w:val="22"/>
        </w:rPr>
        <w:t>,</w:t>
      </w:r>
      <w:r w:rsidRPr="001F0A7F">
        <w:rPr>
          <w:szCs w:val="22"/>
        </w:rPr>
        <w:t xml:space="preserve"> and high response to cetuximab.</w:t>
      </w:r>
    </w:p>
    <w:p w:rsidR="001A1437" w:rsidRDefault="001A1437" w:rsidP="001A1437">
      <w:pPr>
        <w:widowControl/>
        <w:rPr>
          <w:szCs w:val="22"/>
        </w:rPr>
      </w:pPr>
    </w:p>
    <w:p w:rsidR="001A1437" w:rsidRDefault="001A1437" w:rsidP="00CF2241">
      <w:pPr>
        <w:pStyle w:val="ListParagraph"/>
        <w:ind w:left="709"/>
        <w:rPr>
          <w:i/>
          <w:szCs w:val="22"/>
        </w:rPr>
      </w:pPr>
      <w:r w:rsidRPr="00DE376B">
        <w:rPr>
          <w:i/>
          <w:szCs w:val="22"/>
        </w:rPr>
        <w:t>For more detail on PBAC’s view, see section 7 “PBAC outcome”</w:t>
      </w:r>
    </w:p>
    <w:p w:rsidR="00F97A78" w:rsidRDefault="00F97A78" w:rsidP="00A35D16">
      <w:pPr>
        <w:widowControl/>
        <w:rPr>
          <w:szCs w:val="22"/>
        </w:rPr>
      </w:pPr>
    </w:p>
    <w:p w:rsidR="001F0A7F" w:rsidRPr="003D58A6" w:rsidRDefault="001F0A7F" w:rsidP="00A35D16">
      <w:pPr>
        <w:widowControl/>
        <w:rPr>
          <w:szCs w:val="22"/>
        </w:rPr>
      </w:pPr>
    </w:p>
    <w:p w:rsidR="00B50DB8" w:rsidRPr="009635E0" w:rsidRDefault="00B50DB8" w:rsidP="00BD6CF3">
      <w:pPr>
        <w:pStyle w:val="PBACHeading1"/>
      </w:pPr>
      <w:bookmarkStart w:id="6" w:name="_Toc437869733"/>
      <w:bookmarkStart w:id="7" w:name="_Toc441050428"/>
      <w:r w:rsidRPr="009635E0">
        <w:t>Background</w:t>
      </w:r>
      <w:bookmarkEnd w:id="6"/>
      <w:bookmarkEnd w:id="7"/>
    </w:p>
    <w:p w:rsidR="00B60939" w:rsidRPr="009635E0" w:rsidRDefault="00B60939" w:rsidP="00B60939">
      <w:pPr>
        <w:rPr>
          <w:szCs w:val="22"/>
        </w:rPr>
      </w:pPr>
    </w:p>
    <w:p w:rsidR="00BF2113" w:rsidRPr="00DE376B" w:rsidRDefault="00D956F6" w:rsidP="00B15815">
      <w:pPr>
        <w:pStyle w:val="ListParagraph"/>
        <w:widowControl/>
        <w:numPr>
          <w:ilvl w:val="1"/>
          <w:numId w:val="3"/>
        </w:numPr>
        <w:rPr>
          <w:szCs w:val="22"/>
        </w:rPr>
      </w:pPr>
      <w:r w:rsidRPr="00DE376B">
        <w:rPr>
          <w:szCs w:val="22"/>
        </w:rPr>
        <w:t>Cetuximab</w:t>
      </w:r>
      <w:r w:rsidR="00BF2113" w:rsidRPr="00DE376B">
        <w:rPr>
          <w:szCs w:val="22"/>
        </w:rPr>
        <w:t xml:space="preserve"> was approved by the TGA for the treatment of patients with squamous cell cancer of the head and neck in combination with platinum-based chemotherapy for recurrent and/or metastatic disease on 5 January 2010.</w:t>
      </w:r>
    </w:p>
    <w:p w:rsidR="00EA1BDC" w:rsidRPr="00DE376B" w:rsidRDefault="00EA1BDC" w:rsidP="00EA1BDC">
      <w:pPr>
        <w:pStyle w:val="ListParagraph"/>
        <w:widowControl/>
        <w:rPr>
          <w:szCs w:val="22"/>
        </w:rPr>
      </w:pPr>
    </w:p>
    <w:p w:rsidR="00257069" w:rsidRPr="00DE376B" w:rsidRDefault="00AB6B13" w:rsidP="00B15815">
      <w:pPr>
        <w:pStyle w:val="ListParagraph"/>
        <w:numPr>
          <w:ilvl w:val="1"/>
          <w:numId w:val="3"/>
        </w:numPr>
        <w:rPr>
          <w:iCs/>
          <w:szCs w:val="22"/>
        </w:rPr>
      </w:pPr>
      <w:r w:rsidRPr="00DE376B">
        <w:rPr>
          <w:iCs/>
          <w:szCs w:val="22"/>
        </w:rPr>
        <w:t xml:space="preserve">The requested PBS-listing </w:t>
      </w:r>
      <w:r w:rsidR="00CA7430" w:rsidRPr="00DE376B">
        <w:rPr>
          <w:iCs/>
          <w:szCs w:val="22"/>
        </w:rPr>
        <w:t xml:space="preserve">was narrower than the TGA-approved indication as it </w:t>
      </w:r>
      <w:r w:rsidR="00101638" w:rsidRPr="00DE376B">
        <w:rPr>
          <w:iCs/>
          <w:szCs w:val="22"/>
        </w:rPr>
        <w:t xml:space="preserve">limited use to </w:t>
      </w:r>
      <w:r w:rsidRPr="00DE376B">
        <w:rPr>
          <w:iCs/>
          <w:szCs w:val="22"/>
        </w:rPr>
        <w:t>patients with previously untreated</w:t>
      </w:r>
      <w:r w:rsidR="00D719FE" w:rsidRPr="00DE376B">
        <w:rPr>
          <w:iCs/>
          <w:szCs w:val="22"/>
        </w:rPr>
        <w:t xml:space="preserve"> (i.e. first-line treatment</w:t>
      </w:r>
      <w:r w:rsidR="00B21AE6" w:rsidRPr="00DE376B">
        <w:rPr>
          <w:iCs/>
          <w:szCs w:val="22"/>
        </w:rPr>
        <w:t xml:space="preserve"> of</w:t>
      </w:r>
      <w:r w:rsidR="00D719FE" w:rsidRPr="00DE376B">
        <w:rPr>
          <w:iCs/>
          <w:szCs w:val="22"/>
        </w:rPr>
        <w:t>)</w:t>
      </w:r>
      <w:r w:rsidRPr="00DE376B">
        <w:rPr>
          <w:iCs/>
          <w:szCs w:val="22"/>
        </w:rPr>
        <w:t xml:space="preserve"> metastatic and/or recurrent SCC of the oral cavity and with a </w:t>
      </w:r>
      <w:r w:rsidR="00D719FE" w:rsidRPr="00DE376B">
        <w:rPr>
          <w:iCs/>
          <w:szCs w:val="22"/>
        </w:rPr>
        <w:t>WHO</w:t>
      </w:r>
      <w:r w:rsidRPr="00DE376B">
        <w:rPr>
          <w:iCs/>
          <w:szCs w:val="22"/>
        </w:rPr>
        <w:t xml:space="preserve"> performance status of 0 or 1.</w:t>
      </w:r>
      <w:r w:rsidR="00257069" w:rsidRPr="00DE376B">
        <w:rPr>
          <w:iCs/>
          <w:szCs w:val="22"/>
        </w:rPr>
        <w:t xml:space="preserve"> </w:t>
      </w:r>
    </w:p>
    <w:p w:rsidR="002A28B3" w:rsidRPr="00DE376B" w:rsidRDefault="002A28B3" w:rsidP="002A28B3">
      <w:pPr>
        <w:pStyle w:val="ListParagraph"/>
        <w:rPr>
          <w:szCs w:val="22"/>
        </w:rPr>
      </w:pPr>
    </w:p>
    <w:p w:rsidR="00E55BB5" w:rsidRPr="00DE376B" w:rsidRDefault="009B3C49" w:rsidP="00B15815">
      <w:pPr>
        <w:pStyle w:val="ListParagraph"/>
        <w:widowControl/>
        <w:numPr>
          <w:ilvl w:val="1"/>
          <w:numId w:val="3"/>
        </w:numPr>
      </w:pPr>
      <w:r w:rsidRPr="00DE376B">
        <w:rPr>
          <w:szCs w:val="22"/>
        </w:rPr>
        <w:t>This was the first submission to the PBAC for this indication.</w:t>
      </w:r>
    </w:p>
    <w:p w:rsidR="00D11E5A" w:rsidRDefault="00D11E5A" w:rsidP="00D11E5A">
      <w:pPr>
        <w:pStyle w:val="ListParagraph"/>
      </w:pPr>
    </w:p>
    <w:p w:rsidR="00D11E5A" w:rsidRPr="00AB6F0F" w:rsidRDefault="00A30F3C" w:rsidP="00B15815">
      <w:pPr>
        <w:pStyle w:val="ListParagraph"/>
        <w:widowControl/>
        <w:numPr>
          <w:ilvl w:val="1"/>
          <w:numId w:val="3"/>
        </w:numPr>
      </w:pPr>
      <w:r w:rsidRPr="00A30F3C">
        <w:t>Cetuximab, in combination with radiotherapy, is currently PBS-listed for the treatment of patients with Stage III, IVa or IVb squamous cell cancer of the larynx, oropharynx or hypopharynx, who are unable to tolerate or have a contraindication to cisplatin.</w:t>
      </w:r>
    </w:p>
    <w:p w:rsidR="009B3C49" w:rsidRDefault="009B3C49" w:rsidP="009B3C49">
      <w:pPr>
        <w:widowControl/>
      </w:pPr>
    </w:p>
    <w:p w:rsidR="00AA71B3" w:rsidRPr="00AB6F0F" w:rsidRDefault="00AA71B3" w:rsidP="009B3C49">
      <w:pPr>
        <w:widowControl/>
      </w:pPr>
    </w:p>
    <w:p w:rsidR="00B50DB8" w:rsidRPr="00AB6F0F" w:rsidRDefault="00B50DB8" w:rsidP="00BD6CF3">
      <w:pPr>
        <w:pStyle w:val="PBACHeading1"/>
      </w:pPr>
      <w:bookmarkStart w:id="8" w:name="_Toc437869734"/>
      <w:bookmarkStart w:id="9" w:name="_Toc441050429"/>
      <w:r w:rsidRPr="00AB6F0F">
        <w:t>Clinical place for the proposed therapy</w:t>
      </w:r>
      <w:bookmarkEnd w:id="8"/>
      <w:bookmarkEnd w:id="9"/>
    </w:p>
    <w:p w:rsidR="001F0A7F" w:rsidRPr="00722586" w:rsidRDefault="001F0A7F" w:rsidP="00B60939">
      <w:pPr>
        <w:rPr>
          <w:szCs w:val="22"/>
        </w:rPr>
      </w:pPr>
    </w:p>
    <w:p w:rsidR="00B60939" w:rsidRPr="001F0A7F" w:rsidRDefault="000427B5" w:rsidP="00B15815">
      <w:pPr>
        <w:pStyle w:val="ListParagraph"/>
        <w:widowControl/>
        <w:numPr>
          <w:ilvl w:val="1"/>
          <w:numId w:val="3"/>
        </w:numPr>
        <w:rPr>
          <w:szCs w:val="22"/>
        </w:rPr>
      </w:pPr>
      <w:r w:rsidRPr="001F0A7F">
        <w:t>The submission stated that most of the patients with recurrent and/or metastatic SCC of the head and neck are treated with combination chemotherapy, with platinum-</w:t>
      </w:r>
      <w:r w:rsidRPr="001F0A7F">
        <w:lastRenderedPageBreak/>
        <w:t>based chemotherapy the most commonly used.</w:t>
      </w:r>
      <w:r w:rsidR="000D3E78" w:rsidRPr="001F0A7F">
        <w:t xml:space="preserve"> </w:t>
      </w:r>
      <w:r w:rsidR="000D3E78" w:rsidRPr="001F0A7F">
        <w:rPr>
          <w:iCs/>
        </w:rPr>
        <w:t xml:space="preserve">The extent of use of combination chemotherapy relative to the other identified treatment options (particularly best supportive care) was unclear. However, it appeared reasonable to expect </w:t>
      </w:r>
      <w:r w:rsidR="00F90B4D" w:rsidRPr="001F0A7F">
        <w:rPr>
          <w:iCs/>
        </w:rPr>
        <w:t xml:space="preserve">that chemotherapy would be considered in </w:t>
      </w:r>
      <w:r w:rsidR="000D3E78" w:rsidRPr="001F0A7F">
        <w:rPr>
          <w:iCs/>
        </w:rPr>
        <w:t>patients who are unsuitable for other therapies</w:t>
      </w:r>
      <w:r w:rsidR="00840F61" w:rsidRPr="001F0A7F">
        <w:rPr>
          <w:iCs/>
        </w:rPr>
        <w:t>,</w:t>
      </w:r>
      <w:r w:rsidR="000D3E78" w:rsidRPr="001F0A7F">
        <w:rPr>
          <w:iCs/>
        </w:rPr>
        <w:t xml:space="preserve"> but are suitable for systemic therapy.</w:t>
      </w:r>
      <w:r w:rsidR="0017152A" w:rsidRPr="001F0A7F">
        <w:rPr>
          <w:iCs/>
        </w:rPr>
        <w:t xml:space="preserve"> The ESC agreed </w:t>
      </w:r>
      <w:r w:rsidR="002B7EAD" w:rsidRPr="001F0A7F">
        <w:rPr>
          <w:iCs/>
        </w:rPr>
        <w:t>with this view.</w:t>
      </w:r>
    </w:p>
    <w:p w:rsidR="00894489" w:rsidRPr="001F0A7F" w:rsidRDefault="00894489" w:rsidP="00894489">
      <w:pPr>
        <w:widowControl/>
        <w:rPr>
          <w:szCs w:val="22"/>
        </w:rPr>
      </w:pPr>
    </w:p>
    <w:p w:rsidR="00B60939" w:rsidRPr="001F0A7F" w:rsidRDefault="00A17022" w:rsidP="00B15815">
      <w:pPr>
        <w:pStyle w:val="ListParagraph"/>
        <w:widowControl/>
        <w:numPr>
          <w:ilvl w:val="1"/>
          <w:numId w:val="3"/>
        </w:numPr>
        <w:rPr>
          <w:szCs w:val="22"/>
        </w:rPr>
      </w:pPr>
      <w:r w:rsidRPr="001F0A7F">
        <w:rPr>
          <w:szCs w:val="22"/>
        </w:rPr>
        <w:t xml:space="preserve">The submission proposed that </w:t>
      </w:r>
      <w:r w:rsidR="00DE644C" w:rsidRPr="001F0A7F">
        <w:rPr>
          <w:szCs w:val="22"/>
        </w:rPr>
        <w:t xml:space="preserve">cetuximab </w:t>
      </w:r>
      <w:r w:rsidR="00397A57" w:rsidRPr="001F0A7F">
        <w:rPr>
          <w:szCs w:val="22"/>
        </w:rPr>
        <w:t xml:space="preserve">be added to </w:t>
      </w:r>
      <w:r w:rsidR="00603D8C" w:rsidRPr="001F0A7F">
        <w:rPr>
          <w:szCs w:val="22"/>
        </w:rPr>
        <w:t xml:space="preserve">platinum-based chemotherapy among patients with SCC of the head and neck whose primary tumour site </w:t>
      </w:r>
      <w:r w:rsidR="00A60AA2" w:rsidRPr="001F0A7F">
        <w:rPr>
          <w:szCs w:val="22"/>
        </w:rPr>
        <w:t>wa</w:t>
      </w:r>
      <w:r w:rsidR="00603D8C" w:rsidRPr="001F0A7F">
        <w:rPr>
          <w:szCs w:val="22"/>
        </w:rPr>
        <w:t>s the oral cavity</w:t>
      </w:r>
      <w:r w:rsidR="00A60AA2" w:rsidRPr="001F0A7F">
        <w:rPr>
          <w:szCs w:val="22"/>
        </w:rPr>
        <w:t xml:space="preserve"> and for whom systemic therapy wa</w:t>
      </w:r>
      <w:r w:rsidR="00603D8C" w:rsidRPr="001F0A7F">
        <w:rPr>
          <w:szCs w:val="22"/>
        </w:rPr>
        <w:t>s appropriate (represented by those with a WHO performance status of 0 or 1).</w:t>
      </w:r>
    </w:p>
    <w:p w:rsidR="001A1437" w:rsidRDefault="001A1437" w:rsidP="001A1437">
      <w:pPr>
        <w:widowControl/>
        <w:rPr>
          <w:szCs w:val="22"/>
        </w:rPr>
      </w:pPr>
    </w:p>
    <w:p w:rsidR="001A1437" w:rsidRDefault="001A1437" w:rsidP="00CF2241">
      <w:pPr>
        <w:pStyle w:val="ListParagraph"/>
        <w:ind w:left="709"/>
        <w:rPr>
          <w:i/>
          <w:szCs w:val="22"/>
        </w:rPr>
      </w:pPr>
      <w:r w:rsidRPr="00DE376B">
        <w:rPr>
          <w:i/>
          <w:szCs w:val="22"/>
        </w:rPr>
        <w:t>For more detail on PBAC’s view, see section 7 “PBAC outcome”</w:t>
      </w:r>
    </w:p>
    <w:p w:rsidR="001F0A7F" w:rsidRDefault="001F0A7F" w:rsidP="002C2775">
      <w:pPr>
        <w:widowControl/>
        <w:rPr>
          <w:szCs w:val="22"/>
        </w:rPr>
      </w:pPr>
    </w:p>
    <w:p w:rsidR="001A1437" w:rsidRPr="001F0A7F" w:rsidRDefault="001A1437" w:rsidP="002C2775">
      <w:pPr>
        <w:widowControl/>
        <w:rPr>
          <w:szCs w:val="22"/>
        </w:rPr>
      </w:pPr>
    </w:p>
    <w:p w:rsidR="00B50DB8" w:rsidRPr="001F0A7F" w:rsidRDefault="00B50DB8" w:rsidP="00A42205">
      <w:pPr>
        <w:pStyle w:val="PBACHeading1"/>
      </w:pPr>
      <w:bookmarkStart w:id="10" w:name="_Toc441050430"/>
      <w:r w:rsidRPr="001F0A7F">
        <w:t>Comparator</w:t>
      </w:r>
      <w:bookmarkEnd w:id="10"/>
    </w:p>
    <w:p w:rsidR="00B60939" w:rsidRPr="001F0A7F" w:rsidRDefault="00B60939" w:rsidP="004B1CB4"/>
    <w:p w:rsidR="008E68EF" w:rsidRPr="001F0A7F" w:rsidRDefault="00DE376B" w:rsidP="00B15815">
      <w:pPr>
        <w:pStyle w:val="ListParagraph"/>
        <w:widowControl/>
        <w:numPr>
          <w:ilvl w:val="1"/>
          <w:numId w:val="3"/>
        </w:numPr>
        <w:rPr>
          <w:szCs w:val="22"/>
        </w:rPr>
      </w:pPr>
      <w:r>
        <w:t>The submission nominated “n</w:t>
      </w:r>
      <w:r w:rsidR="00B4346D" w:rsidRPr="001F0A7F">
        <w:t>o treatment</w:t>
      </w:r>
      <w:r>
        <w:t>”</w:t>
      </w:r>
      <w:r w:rsidR="005A6EF8" w:rsidRPr="001F0A7F">
        <w:t>, better described as platinum-based chemotherapy alone</w:t>
      </w:r>
      <w:r w:rsidR="00F067A2" w:rsidRPr="001F0A7F">
        <w:t xml:space="preserve">. </w:t>
      </w:r>
      <w:r w:rsidR="006F4B68" w:rsidRPr="001F0A7F">
        <w:t>Cetuximab wa</w:t>
      </w:r>
      <w:r w:rsidR="00B4346D" w:rsidRPr="001F0A7F">
        <w:t>s proposed to be used in combination with platinum-based chemotherapy</w:t>
      </w:r>
      <w:r w:rsidR="00ED21C1" w:rsidRPr="001F0A7F">
        <w:t>, a</w:t>
      </w:r>
      <w:r w:rsidR="006F4B68" w:rsidRPr="001F0A7F">
        <w:t>nd platinum-based chemotherapy wa</w:t>
      </w:r>
      <w:r w:rsidR="00ED21C1" w:rsidRPr="001F0A7F">
        <w:t xml:space="preserve">s the most commonly used </w:t>
      </w:r>
      <w:r w:rsidR="00DB7210" w:rsidRPr="001F0A7F">
        <w:t>regimen</w:t>
      </w:r>
      <w:r w:rsidR="00F067A2" w:rsidRPr="001F0A7F">
        <w:t xml:space="preserve">. </w:t>
      </w:r>
      <w:r w:rsidR="0017152A" w:rsidRPr="001F0A7F">
        <w:t>The ESC agreed that this was the appropriate comparator.</w:t>
      </w:r>
    </w:p>
    <w:p w:rsidR="001A1437" w:rsidRDefault="001A1437" w:rsidP="001A1437">
      <w:pPr>
        <w:widowControl/>
        <w:rPr>
          <w:szCs w:val="22"/>
        </w:rPr>
      </w:pPr>
    </w:p>
    <w:p w:rsidR="001A1437" w:rsidRDefault="001A1437" w:rsidP="00CF2241">
      <w:pPr>
        <w:pStyle w:val="ListParagraph"/>
        <w:ind w:left="709"/>
        <w:rPr>
          <w:i/>
          <w:szCs w:val="22"/>
        </w:rPr>
      </w:pPr>
      <w:r w:rsidRPr="00DE376B">
        <w:rPr>
          <w:i/>
          <w:szCs w:val="22"/>
        </w:rPr>
        <w:t>For more detail on PBAC’s view, see section 7 “PBAC outcome”</w:t>
      </w:r>
    </w:p>
    <w:p w:rsidR="001A1437" w:rsidRDefault="001A1437" w:rsidP="008E68EF">
      <w:pPr>
        <w:pStyle w:val="ListParagraph"/>
        <w:widowControl/>
        <w:rPr>
          <w:szCs w:val="22"/>
        </w:rPr>
      </w:pPr>
    </w:p>
    <w:p w:rsidR="001A1437" w:rsidRPr="008E68EF" w:rsidRDefault="001A1437" w:rsidP="008E68EF">
      <w:pPr>
        <w:pStyle w:val="ListParagraph"/>
        <w:widowControl/>
        <w:rPr>
          <w:szCs w:val="22"/>
        </w:rPr>
      </w:pPr>
    </w:p>
    <w:p w:rsidR="00B50DB8" w:rsidRPr="009635E0" w:rsidRDefault="00BD6CF3" w:rsidP="00BD6CF3">
      <w:pPr>
        <w:pStyle w:val="PBACHeading1"/>
      </w:pPr>
      <w:bookmarkStart w:id="11" w:name="_Toc437869735"/>
      <w:bookmarkStart w:id="12" w:name="_Toc441050431"/>
      <w:r w:rsidRPr="009635E0">
        <w:t>C</w:t>
      </w:r>
      <w:r w:rsidR="00B50DB8" w:rsidRPr="009635E0">
        <w:t>onsideration of the evidence</w:t>
      </w:r>
      <w:bookmarkEnd w:id="11"/>
      <w:bookmarkEnd w:id="12"/>
    </w:p>
    <w:p w:rsidR="001A1437" w:rsidRDefault="001A1437" w:rsidP="001A1437"/>
    <w:p w:rsidR="001A1437" w:rsidRPr="00DE732C" w:rsidRDefault="001A1437" w:rsidP="00DE732C">
      <w:pPr>
        <w:pStyle w:val="Heading2"/>
      </w:pPr>
      <w:r w:rsidRPr="00DE732C">
        <w:t>Sponsor hearing</w:t>
      </w:r>
    </w:p>
    <w:p w:rsidR="001A1437" w:rsidRPr="00EC10C3" w:rsidRDefault="001A1437" w:rsidP="00B15815">
      <w:pPr>
        <w:numPr>
          <w:ilvl w:val="1"/>
          <w:numId w:val="3"/>
        </w:numPr>
        <w:contextualSpacing/>
        <w:rPr>
          <w:bCs/>
          <w:szCs w:val="22"/>
        </w:rPr>
      </w:pPr>
      <w:r w:rsidRPr="00EC10C3">
        <w:rPr>
          <w:bCs/>
          <w:szCs w:val="22"/>
        </w:rPr>
        <w:t>The</w:t>
      </w:r>
      <w:r w:rsidR="00A33BE2">
        <w:rPr>
          <w:bCs/>
          <w:szCs w:val="22"/>
        </w:rPr>
        <w:t xml:space="preserve"> sponsor requested a hearing for this item</w:t>
      </w:r>
      <w:r w:rsidRPr="00EC10C3">
        <w:rPr>
          <w:bCs/>
          <w:szCs w:val="22"/>
        </w:rPr>
        <w:t>.</w:t>
      </w:r>
      <w:r w:rsidR="00DE376B">
        <w:rPr>
          <w:bCs/>
          <w:szCs w:val="22"/>
        </w:rPr>
        <w:t xml:space="preserve"> </w:t>
      </w:r>
      <w:r w:rsidR="00F50691">
        <w:rPr>
          <w:bCs/>
          <w:szCs w:val="22"/>
        </w:rPr>
        <w:t>In lieu of a formal hearing</w:t>
      </w:r>
      <w:r w:rsidR="00DE376B">
        <w:rPr>
          <w:bCs/>
          <w:szCs w:val="22"/>
        </w:rPr>
        <w:t xml:space="preserve">, a clinician’s letter of support was presented to the Committee at the meeting. </w:t>
      </w:r>
      <w:r w:rsidR="00F50691">
        <w:rPr>
          <w:bCs/>
          <w:szCs w:val="22"/>
        </w:rPr>
        <w:t xml:space="preserve">The </w:t>
      </w:r>
      <w:r w:rsidR="002A3259">
        <w:rPr>
          <w:bCs/>
          <w:szCs w:val="22"/>
        </w:rPr>
        <w:t>clinician</w:t>
      </w:r>
      <w:r w:rsidR="00F50691">
        <w:rPr>
          <w:bCs/>
          <w:szCs w:val="22"/>
        </w:rPr>
        <w:t xml:space="preserve"> stated the particularly negative impact of oral cavity cancers on functionality and the limited treatment options currently available to these patients. The clinician also noted the relatively low toxicity of cetuximab compared with other systemic agents. </w:t>
      </w:r>
    </w:p>
    <w:p w:rsidR="003959B5" w:rsidRPr="003A49F2" w:rsidRDefault="003959B5" w:rsidP="00EC10C3">
      <w:pPr>
        <w:rPr>
          <w:bCs/>
          <w:szCs w:val="22"/>
          <w:highlight w:val="yellow"/>
        </w:rPr>
      </w:pPr>
    </w:p>
    <w:p w:rsidR="001A1437" w:rsidRPr="00C41712" w:rsidRDefault="001A1437" w:rsidP="00DE732C">
      <w:pPr>
        <w:pStyle w:val="Heading2"/>
      </w:pPr>
      <w:r w:rsidRPr="00C41712">
        <w:t>Consumer comments</w:t>
      </w:r>
    </w:p>
    <w:p w:rsidR="001A1437" w:rsidRPr="00C41712" w:rsidRDefault="001A1437" w:rsidP="00B15815">
      <w:pPr>
        <w:numPr>
          <w:ilvl w:val="1"/>
          <w:numId w:val="3"/>
        </w:numPr>
        <w:contextualSpacing/>
        <w:rPr>
          <w:bCs/>
          <w:szCs w:val="22"/>
        </w:rPr>
      </w:pPr>
      <w:r w:rsidRPr="00C41712">
        <w:rPr>
          <w:bCs/>
          <w:szCs w:val="22"/>
        </w:rPr>
        <w:t xml:space="preserve">The PBAC noted and welcomed the input from </w:t>
      </w:r>
      <w:r w:rsidR="00C41712" w:rsidRPr="00C41712">
        <w:rPr>
          <w:bCs/>
          <w:szCs w:val="22"/>
        </w:rPr>
        <w:t>Rare Cancers Australia</w:t>
      </w:r>
      <w:r w:rsidRPr="00C41712">
        <w:rPr>
          <w:bCs/>
          <w:szCs w:val="22"/>
        </w:rPr>
        <w:t xml:space="preserve"> via the Consumer Comments facility on the PBS website.</w:t>
      </w:r>
      <w:r w:rsidRPr="00C41712">
        <w:rPr>
          <w:bCs/>
          <w:i/>
          <w:szCs w:val="22"/>
        </w:rPr>
        <w:t xml:space="preserve">  </w:t>
      </w:r>
      <w:r w:rsidRPr="00C41712">
        <w:rPr>
          <w:bCs/>
          <w:szCs w:val="22"/>
        </w:rPr>
        <w:t xml:space="preserve">The comments described </w:t>
      </w:r>
      <w:r w:rsidR="00C41712" w:rsidRPr="00C41712">
        <w:rPr>
          <w:bCs/>
          <w:szCs w:val="22"/>
        </w:rPr>
        <w:t>the impact of head and neck cancers on patients, and stated that the availability of cetuximab would provide hope, time and an effective treatment to these patients.</w:t>
      </w:r>
    </w:p>
    <w:p w:rsidR="00C41712" w:rsidRPr="00C41712" w:rsidRDefault="00C41712" w:rsidP="00C41712">
      <w:pPr>
        <w:ind w:left="720"/>
        <w:contextualSpacing/>
        <w:rPr>
          <w:bCs/>
          <w:szCs w:val="22"/>
          <w:highlight w:val="yellow"/>
        </w:rPr>
      </w:pPr>
    </w:p>
    <w:p w:rsidR="00B60939" w:rsidRPr="009635E0" w:rsidRDefault="00B60939" w:rsidP="00DE732C">
      <w:pPr>
        <w:pStyle w:val="Heading2"/>
      </w:pPr>
      <w:bookmarkStart w:id="13" w:name="_Toc437869736"/>
      <w:bookmarkStart w:id="14" w:name="_Toc441050432"/>
      <w:r w:rsidRPr="009635E0">
        <w:t>Clinical trials</w:t>
      </w:r>
      <w:bookmarkEnd w:id="13"/>
      <w:bookmarkEnd w:id="14"/>
    </w:p>
    <w:p w:rsidR="007F1017" w:rsidRPr="001F0A7F" w:rsidRDefault="00EC5C4D" w:rsidP="00B15815">
      <w:pPr>
        <w:pStyle w:val="ListParagraph"/>
        <w:widowControl/>
        <w:numPr>
          <w:ilvl w:val="1"/>
          <w:numId w:val="3"/>
        </w:numPr>
        <w:rPr>
          <w:szCs w:val="22"/>
        </w:rPr>
      </w:pPr>
      <w:r w:rsidRPr="001F0A7F">
        <w:t xml:space="preserve">The </w:t>
      </w:r>
      <w:r w:rsidR="00B56A43" w:rsidRPr="001F0A7F">
        <w:t xml:space="preserve">submission was based on one open-label head-to-head randomised trial (EXTREME; N=442) comparing cetuximab in addition to cisplatin or carboplatin and 5-flurouracil versus cisplatin or carboplatin and 5-flurouracil. </w:t>
      </w:r>
      <w:r w:rsidR="00AA4662" w:rsidRPr="001F0A7F">
        <w:t xml:space="preserve">The submission presented </w:t>
      </w:r>
      <w:r w:rsidR="00AA4662" w:rsidRPr="001F0A7F">
        <w:rPr>
          <w:iCs/>
        </w:rPr>
        <w:t>post hoc</w:t>
      </w:r>
      <w:r w:rsidR="00AA4662" w:rsidRPr="001F0A7F">
        <w:t xml:space="preserve"> analyses in a subgroup of patients for whom the primary tumour </w:t>
      </w:r>
      <w:r w:rsidR="00E30562" w:rsidRPr="001F0A7F">
        <w:t xml:space="preserve">site of </w:t>
      </w:r>
      <w:r w:rsidR="00C707F6" w:rsidRPr="001F0A7F">
        <w:t xml:space="preserve">origin </w:t>
      </w:r>
      <w:r w:rsidR="00AA4662" w:rsidRPr="001F0A7F">
        <w:t xml:space="preserve">was in the oral cavity and with a Karnofsky Performance Status (KPS) </w:t>
      </w:r>
      <w:r w:rsidR="00766AA4" w:rsidRPr="001F0A7F">
        <w:t>≥</w:t>
      </w:r>
      <w:r w:rsidR="00AA4662" w:rsidRPr="001F0A7F">
        <w:t>80 at baseline (N = 78), which provided the key evidence</w:t>
      </w:r>
      <w:r w:rsidR="00154080" w:rsidRPr="001F0A7F">
        <w:t xml:space="preserve"> for the submission</w:t>
      </w:r>
      <w:r w:rsidR="00AA4662" w:rsidRPr="001F0A7F">
        <w:t>.</w:t>
      </w:r>
    </w:p>
    <w:p w:rsidR="00B10588" w:rsidRPr="001F0A7F" w:rsidRDefault="00B10588" w:rsidP="00B10588">
      <w:pPr>
        <w:pStyle w:val="ListParagraph"/>
        <w:widowControl/>
        <w:rPr>
          <w:szCs w:val="22"/>
        </w:rPr>
      </w:pPr>
    </w:p>
    <w:p w:rsidR="00D91C3B" w:rsidRPr="001F0A7F" w:rsidRDefault="00FA7EDC" w:rsidP="00B15815">
      <w:pPr>
        <w:pStyle w:val="ListParagraph"/>
        <w:widowControl/>
        <w:numPr>
          <w:ilvl w:val="1"/>
          <w:numId w:val="3"/>
        </w:numPr>
        <w:rPr>
          <w:iCs/>
          <w:szCs w:val="22"/>
        </w:rPr>
      </w:pPr>
      <w:r w:rsidRPr="001F0A7F">
        <w:rPr>
          <w:iCs/>
          <w:szCs w:val="22"/>
        </w:rPr>
        <w:lastRenderedPageBreak/>
        <w:t xml:space="preserve">The submission did not specifically present </w:t>
      </w:r>
      <w:r w:rsidR="00FC791C" w:rsidRPr="001F0A7F">
        <w:rPr>
          <w:iCs/>
          <w:szCs w:val="22"/>
        </w:rPr>
        <w:t>information</w:t>
      </w:r>
      <w:r w:rsidRPr="001F0A7F">
        <w:rPr>
          <w:iCs/>
          <w:szCs w:val="22"/>
        </w:rPr>
        <w:t xml:space="preserve"> to justi</w:t>
      </w:r>
      <w:r w:rsidR="004321BD" w:rsidRPr="001F0A7F">
        <w:rPr>
          <w:iCs/>
          <w:szCs w:val="22"/>
        </w:rPr>
        <w:t>fy the post hoc subgroup analyse</w:t>
      </w:r>
      <w:r w:rsidRPr="001F0A7F">
        <w:rPr>
          <w:iCs/>
          <w:szCs w:val="22"/>
        </w:rPr>
        <w:t xml:space="preserve">s. </w:t>
      </w:r>
      <w:r w:rsidR="007F7BDA" w:rsidRPr="001F0A7F">
        <w:rPr>
          <w:iCs/>
          <w:szCs w:val="22"/>
        </w:rPr>
        <w:t>The PSCR (</w:t>
      </w:r>
      <w:r w:rsidR="00837153" w:rsidRPr="001F0A7F">
        <w:rPr>
          <w:iCs/>
        </w:rPr>
        <w:t>pp</w:t>
      </w:r>
      <w:r w:rsidR="00305D7B">
        <w:rPr>
          <w:iCs/>
        </w:rPr>
        <w:t>.</w:t>
      </w:r>
      <w:r w:rsidR="00837153" w:rsidRPr="001F0A7F">
        <w:rPr>
          <w:iCs/>
        </w:rPr>
        <w:t xml:space="preserve"> 1-2 and Table 3</w:t>
      </w:r>
      <w:r w:rsidR="00EE31C9">
        <w:rPr>
          <w:iCs/>
        </w:rPr>
        <w:t>, p. 7</w:t>
      </w:r>
      <w:r w:rsidR="007F7BDA" w:rsidRPr="001F0A7F">
        <w:rPr>
          <w:iCs/>
          <w:szCs w:val="22"/>
        </w:rPr>
        <w:t xml:space="preserve">) </w:t>
      </w:r>
      <w:r w:rsidR="007C1056" w:rsidRPr="001F0A7F">
        <w:rPr>
          <w:iCs/>
        </w:rPr>
        <w:t>provided information in support of the presentation of a subgroup analysis</w:t>
      </w:r>
      <w:r w:rsidR="00EE31C9">
        <w:rPr>
          <w:iCs/>
        </w:rPr>
        <w:t>.</w:t>
      </w:r>
      <w:r w:rsidR="007F7BDA" w:rsidRPr="001F0A7F">
        <w:rPr>
          <w:iCs/>
          <w:szCs w:val="22"/>
        </w:rPr>
        <w:t xml:space="preserve"> </w:t>
      </w:r>
    </w:p>
    <w:p w:rsidR="00A257AF" w:rsidRPr="001F0A7F" w:rsidRDefault="00A257AF" w:rsidP="00DE732C"/>
    <w:p w:rsidR="00D91C3B" w:rsidRPr="001F0A7F" w:rsidRDefault="00121ED7" w:rsidP="00B15815">
      <w:pPr>
        <w:pStyle w:val="ListParagraph"/>
        <w:widowControl/>
        <w:numPr>
          <w:ilvl w:val="1"/>
          <w:numId w:val="3"/>
        </w:numPr>
      </w:pPr>
      <w:r w:rsidRPr="001F0A7F">
        <w:rPr>
          <w:iCs/>
          <w:szCs w:val="22"/>
        </w:rPr>
        <w:t>A</w:t>
      </w:r>
      <w:r w:rsidR="00667FA9" w:rsidRPr="001F0A7F">
        <w:rPr>
          <w:iCs/>
          <w:szCs w:val="22"/>
        </w:rPr>
        <w:t xml:space="preserve"> biologically plausible explanation to support the cla</w:t>
      </w:r>
      <w:r w:rsidR="00EA3020" w:rsidRPr="001F0A7F">
        <w:rPr>
          <w:iCs/>
          <w:szCs w:val="22"/>
        </w:rPr>
        <w:t>im that SCC of the oral cavity we</w:t>
      </w:r>
      <w:r w:rsidR="00667FA9" w:rsidRPr="001F0A7F">
        <w:rPr>
          <w:iCs/>
          <w:szCs w:val="22"/>
        </w:rPr>
        <w:t xml:space="preserve">re more likely to respond to cetuximab therapy compared to SCC of the head and neck at other locations </w:t>
      </w:r>
      <w:r w:rsidR="005B0943" w:rsidRPr="001F0A7F">
        <w:rPr>
          <w:iCs/>
          <w:szCs w:val="22"/>
        </w:rPr>
        <w:t>was</w:t>
      </w:r>
      <w:r w:rsidR="00667FA9" w:rsidRPr="001F0A7F">
        <w:rPr>
          <w:iCs/>
          <w:szCs w:val="22"/>
        </w:rPr>
        <w:t xml:space="preserve"> unclear. </w:t>
      </w:r>
      <w:r w:rsidR="00645117" w:rsidRPr="001F0A7F">
        <w:rPr>
          <w:iCs/>
          <w:szCs w:val="22"/>
        </w:rPr>
        <w:t>The PSCR (</w:t>
      </w:r>
      <w:r w:rsidR="00645117" w:rsidRPr="001F0A7F">
        <w:rPr>
          <w:iCs/>
        </w:rPr>
        <w:t>pp.1-2) presented a range of argume</w:t>
      </w:r>
      <w:r w:rsidR="00055C67" w:rsidRPr="001F0A7F">
        <w:rPr>
          <w:iCs/>
        </w:rPr>
        <w:t>nts for biological plausibility</w:t>
      </w:r>
      <w:r w:rsidR="00903183" w:rsidRPr="001F0A7F">
        <w:rPr>
          <w:iCs/>
        </w:rPr>
        <w:t>, including that shrinkage of tumours in this site may profoundly influence Quality of Life and the nutritional status of the patient.</w:t>
      </w:r>
      <w:r w:rsidR="00645117" w:rsidRPr="001F0A7F">
        <w:rPr>
          <w:iCs/>
        </w:rPr>
        <w:t xml:space="preserve"> </w:t>
      </w:r>
      <w:r w:rsidR="00903183" w:rsidRPr="001F0A7F">
        <w:rPr>
          <w:iCs/>
        </w:rPr>
        <w:t xml:space="preserve"> </w:t>
      </w:r>
      <w:r w:rsidR="00645117" w:rsidRPr="001F0A7F">
        <w:rPr>
          <w:iCs/>
        </w:rPr>
        <w:t xml:space="preserve">The ESC noted that the un-blinded nature of the trial would </w:t>
      </w:r>
      <w:r w:rsidR="00055C67" w:rsidRPr="001F0A7F">
        <w:rPr>
          <w:iCs/>
        </w:rPr>
        <w:t xml:space="preserve">potentially impact upon a subjective endpoint such as Quality of Life, and may therefore indirectly influence related endpoints such as appetite and nutritional status. </w:t>
      </w:r>
      <w:r w:rsidR="00932272" w:rsidRPr="001F0A7F">
        <w:rPr>
          <w:iCs/>
        </w:rPr>
        <w:t>Overall, the ESC considered the PSCR provided limited support for the biological plausibility of the subgroup</w:t>
      </w:r>
      <w:r w:rsidR="007377FC">
        <w:rPr>
          <w:iCs/>
        </w:rPr>
        <w:t>.</w:t>
      </w:r>
    </w:p>
    <w:p w:rsidR="00D91C3B" w:rsidRPr="001F0A7F" w:rsidRDefault="00D91C3B" w:rsidP="00D91C3B">
      <w:pPr>
        <w:pStyle w:val="ListParagraph"/>
        <w:rPr>
          <w:iCs/>
          <w:szCs w:val="22"/>
        </w:rPr>
      </w:pPr>
    </w:p>
    <w:p w:rsidR="00AC402A" w:rsidRPr="001F0A7F" w:rsidRDefault="004C1F4C" w:rsidP="00B15815">
      <w:pPr>
        <w:pStyle w:val="ListParagraph"/>
        <w:widowControl/>
        <w:numPr>
          <w:ilvl w:val="1"/>
          <w:numId w:val="3"/>
        </w:numPr>
      </w:pPr>
      <w:r w:rsidRPr="001F0A7F">
        <w:rPr>
          <w:iCs/>
          <w:szCs w:val="22"/>
        </w:rPr>
        <w:t xml:space="preserve">The </w:t>
      </w:r>
      <w:r w:rsidR="00EF7BDE" w:rsidRPr="001F0A7F">
        <w:rPr>
          <w:iCs/>
          <w:szCs w:val="22"/>
        </w:rPr>
        <w:t>main</w:t>
      </w:r>
      <w:r w:rsidRPr="001F0A7F">
        <w:rPr>
          <w:iCs/>
          <w:szCs w:val="22"/>
        </w:rPr>
        <w:t xml:space="preserve"> publication </w:t>
      </w:r>
      <w:r w:rsidR="00066D82" w:rsidRPr="001F0A7F">
        <w:rPr>
          <w:iCs/>
          <w:szCs w:val="22"/>
        </w:rPr>
        <w:t xml:space="preserve">of the trial </w:t>
      </w:r>
      <w:r w:rsidR="002456C8" w:rsidRPr="001F0A7F">
        <w:rPr>
          <w:iCs/>
          <w:szCs w:val="22"/>
        </w:rPr>
        <w:t>by Vermo</w:t>
      </w:r>
      <w:r w:rsidR="00A70754" w:rsidRPr="001F0A7F">
        <w:rPr>
          <w:iCs/>
          <w:szCs w:val="22"/>
        </w:rPr>
        <w:t>r</w:t>
      </w:r>
      <w:r w:rsidR="002456C8" w:rsidRPr="001F0A7F">
        <w:rPr>
          <w:iCs/>
          <w:szCs w:val="22"/>
        </w:rPr>
        <w:t xml:space="preserve">ken </w:t>
      </w:r>
      <w:r w:rsidR="00F863F8" w:rsidRPr="001F0A7F">
        <w:rPr>
          <w:iCs/>
          <w:szCs w:val="22"/>
        </w:rPr>
        <w:t xml:space="preserve">et al </w:t>
      </w:r>
      <w:r w:rsidR="002456C8" w:rsidRPr="001F0A7F">
        <w:rPr>
          <w:iCs/>
          <w:szCs w:val="22"/>
        </w:rPr>
        <w:t xml:space="preserve">(2008) </w:t>
      </w:r>
      <w:r w:rsidR="00066D82" w:rsidRPr="001F0A7F">
        <w:rPr>
          <w:iCs/>
          <w:szCs w:val="22"/>
        </w:rPr>
        <w:t xml:space="preserve">stated that </w:t>
      </w:r>
      <w:r w:rsidR="009765DC" w:rsidRPr="001F0A7F">
        <w:rPr>
          <w:iCs/>
          <w:szCs w:val="22"/>
        </w:rPr>
        <w:t xml:space="preserve">the significant </w:t>
      </w:r>
      <w:r w:rsidR="009C2D91" w:rsidRPr="001F0A7F">
        <w:rPr>
          <w:iCs/>
          <w:szCs w:val="22"/>
        </w:rPr>
        <w:t>interaction with the primary tumour site</w:t>
      </w:r>
      <w:r w:rsidR="009800C6" w:rsidRPr="001F0A7F">
        <w:rPr>
          <w:iCs/>
          <w:szCs w:val="22"/>
        </w:rPr>
        <w:t xml:space="preserve"> could be due to chance </w:t>
      </w:r>
      <w:r w:rsidR="00CC0A7D" w:rsidRPr="001F0A7F">
        <w:rPr>
          <w:iCs/>
          <w:szCs w:val="22"/>
        </w:rPr>
        <w:t xml:space="preserve">because of </w:t>
      </w:r>
      <w:r w:rsidR="009800C6" w:rsidRPr="001F0A7F">
        <w:rPr>
          <w:iCs/>
          <w:szCs w:val="22"/>
        </w:rPr>
        <w:t>repeated testing.</w:t>
      </w:r>
      <w:r w:rsidR="00A70754" w:rsidRPr="001F0A7F">
        <w:rPr>
          <w:iCs/>
          <w:szCs w:val="22"/>
        </w:rPr>
        <w:t xml:space="preserve"> </w:t>
      </w:r>
      <w:r w:rsidR="00932272" w:rsidRPr="001F0A7F">
        <w:rPr>
          <w:iCs/>
        </w:rPr>
        <w:t>The ESC noted that the main publication of the trial warns against over-interpretation of the subgroup analyses and acknowledges the small proportion of patients in the some subgroups</w:t>
      </w:r>
      <w:r w:rsidR="00D54A3B">
        <w:rPr>
          <w:iCs/>
        </w:rPr>
        <w:t>.</w:t>
      </w:r>
    </w:p>
    <w:p w:rsidR="00862502" w:rsidRPr="001F0A7F" w:rsidRDefault="00862502" w:rsidP="00862502">
      <w:pPr>
        <w:widowControl/>
        <w:rPr>
          <w:szCs w:val="22"/>
        </w:rPr>
      </w:pPr>
    </w:p>
    <w:p w:rsidR="00676CF6" w:rsidRDefault="00932272" w:rsidP="00B15815">
      <w:pPr>
        <w:pStyle w:val="ListParagraph"/>
        <w:widowControl/>
        <w:numPr>
          <w:ilvl w:val="1"/>
          <w:numId w:val="3"/>
        </w:numPr>
      </w:pPr>
      <w:r w:rsidRPr="001F0A7F">
        <w:rPr>
          <w:iCs/>
        </w:rPr>
        <w:t>The</w:t>
      </w:r>
      <w:r w:rsidR="00570007" w:rsidRPr="001F0A7F">
        <w:rPr>
          <w:iCs/>
        </w:rPr>
        <w:t xml:space="preserve"> submission</w:t>
      </w:r>
      <w:r w:rsidR="001D3E7D" w:rsidRPr="001F0A7F">
        <w:rPr>
          <w:iCs/>
        </w:rPr>
        <w:t xml:space="preserve"> </w:t>
      </w:r>
      <w:r w:rsidR="00570007" w:rsidRPr="001F0A7F">
        <w:rPr>
          <w:iCs/>
        </w:rPr>
        <w:t xml:space="preserve">presented a </w:t>
      </w:r>
      <w:r w:rsidR="00570007" w:rsidRPr="001F0A7F">
        <w:t>Bonferroni adjustment for multiplicity of analyses</w:t>
      </w:r>
      <w:r w:rsidR="00384257" w:rsidRPr="001F0A7F">
        <w:t xml:space="preserve"> </w:t>
      </w:r>
      <w:r w:rsidR="00AF338A">
        <w:t>to aid justification of the sub</w:t>
      </w:r>
      <w:r w:rsidR="00384257" w:rsidRPr="001F0A7F">
        <w:t>group selection</w:t>
      </w:r>
      <w:r w:rsidR="00570007" w:rsidRPr="001F0A7F">
        <w:rPr>
          <w:iCs/>
        </w:rPr>
        <w:t xml:space="preserve">. </w:t>
      </w:r>
      <w:r w:rsidR="00615802" w:rsidRPr="001F0A7F">
        <w:t>Given the method of application of the adjusted p-value</w:t>
      </w:r>
      <w:r w:rsidR="00384257" w:rsidRPr="001F0A7F">
        <w:t xml:space="preserve"> (deflating the p-value significance cut-off for the number of multiple comparisons)</w:t>
      </w:r>
      <w:r w:rsidR="00615802" w:rsidRPr="001F0A7F">
        <w:t xml:space="preserve">, arguably every subgroup category would be a separate independent hypothesis (51 subgroup categories were specified in the trial report). Additionally, it was unclear the level at which a Type I error of 0.05 should be preserved (e.g. whether all independent hypothesis testing should be included in the correction for multiple comparisons). The trial report stated that the p-values of the subgroup analyses were purely exploratory. Overall, the post hoc adjustment for multiplicity should be interpreted with caution. Regardless, the pre-specified subgroup of patients whose site of origin of the primary tumour was the oral cavity did not represent the nominated post hoc subgroup used as key evidence to support the requested PBS-listing. </w:t>
      </w:r>
    </w:p>
    <w:p w:rsidR="00676CF6" w:rsidRDefault="00676CF6" w:rsidP="00676CF6">
      <w:pPr>
        <w:pStyle w:val="ListParagraph"/>
      </w:pPr>
    </w:p>
    <w:p w:rsidR="00615802" w:rsidRDefault="00615802" w:rsidP="00B15815">
      <w:pPr>
        <w:pStyle w:val="ListParagraph"/>
        <w:widowControl/>
        <w:numPr>
          <w:ilvl w:val="1"/>
          <w:numId w:val="3"/>
        </w:numPr>
      </w:pPr>
      <w:r w:rsidRPr="001F0A7F">
        <w:t xml:space="preserve">The PSCR </w:t>
      </w:r>
      <w:r w:rsidRPr="001F0A7F">
        <w:rPr>
          <w:iCs/>
        </w:rPr>
        <w:t xml:space="preserve">provided additional </w:t>
      </w:r>
      <w:r w:rsidR="00872D72" w:rsidRPr="001F0A7F">
        <w:rPr>
          <w:iCs/>
        </w:rPr>
        <w:t>explanation</w:t>
      </w:r>
      <w:r w:rsidR="00A45519">
        <w:rPr>
          <w:iCs/>
        </w:rPr>
        <w:t>:</w:t>
      </w:r>
      <w:r w:rsidR="00872D72" w:rsidRPr="001F0A7F">
        <w:rPr>
          <w:iCs/>
        </w:rPr>
        <w:t xml:space="preserve"> </w:t>
      </w:r>
      <w:r w:rsidR="00761CB6">
        <w:rPr>
          <w:iCs/>
        </w:rPr>
        <w:t>“</w:t>
      </w:r>
      <w:r w:rsidR="00872D72" w:rsidRPr="001F0A7F">
        <w:t>Whilst not pre-specified, the submission presented a simple Bonferroni adjustment for multiplicity of analyses. All subgroup analyses, including that for patients with oral cavity tumours, were stipulated in the protocol. A simple post hoc Bonferroni adjustment to the p-value for this subgroup confirms the validity of the 6.6 month survival benefit demonstrated in this group of patients (HR 0.417, p=0.0003). The pre-specified analys</w:t>
      </w:r>
      <w:r w:rsidR="00B9419B">
        <w:t>es included 51 patient subgroup</w:t>
      </w:r>
      <w:r w:rsidR="003A7EFC">
        <w:t>s</w:t>
      </w:r>
      <w:r w:rsidR="00B9419B">
        <w:t>.</w:t>
      </w:r>
      <w:r w:rsidR="00872D72" w:rsidRPr="001F0A7F">
        <w:t xml:space="preserve"> To preserve the probability of a Type 1 error at 0.05 across the 51 subgroups, the overall p-value of 0.05 must be divided by 51 (0.05/51=0.00098). This value can then be used as the p-value for oral cavity. Since the actual p-value for OS in this group was 0.0003, which is less than 0.00098, the HR for mortality in the oral cavity subgroup remained statistically significant even after a Bonferroni adjustment for multiplicity of analyses.</w:t>
      </w:r>
      <w:r w:rsidR="00761CB6">
        <w:t>”</w:t>
      </w:r>
    </w:p>
    <w:p w:rsidR="00F62215" w:rsidRPr="001F0A7F" w:rsidRDefault="00F62215" w:rsidP="00F62215">
      <w:pPr>
        <w:widowControl/>
      </w:pPr>
    </w:p>
    <w:p w:rsidR="003E560E" w:rsidRPr="001F0A7F" w:rsidRDefault="00615802" w:rsidP="00B15815">
      <w:pPr>
        <w:pStyle w:val="ListParagraph"/>
        <w:widowControl/>
        <w:numPr>
          <w:ilvl w:val="1"/>
          <w:numId w:val="3"/>
        </w:numPr>
      </w:pPr>
      <w:r w:rsidRPr="001F0A7F">
        <w:rPr>
          <w:iCs/>
        </w:rPr>
        <w:t xml:space="preserve">However, the ESC </w:t>
      </w:r>
      <w:r w:rsidRPr="001F0A7F">
        <w:t>consider</w:t>
      </w:r>
      <w:r w:rsidR="001D3E7D" w:rsidRPr="001F0A7F">
        <w:t>ed</w:t>
      </w:r>
      <w:r w:rsidRPr="001F0A7F">
        <w:t xml:space="preserve"> th</w:t>
      </w:r>
      <w:r w:rsidR="00384257" w:rsidRPr="001F0A7F">
        <w:t>at whilst the described adjustment is appropriate for correcting comparisons for multiplicity, this is no substitute for a forma</w:t>
      </w:r>
      <w:r w:rsidR="00AF338A">
        <w:t>l test of interaction for a sub</w:t>
      </w:r>
      <w:r w:rsidR="00384257" w:rsidRPr="001F0A7F">
        <w:t>group treatment effect</w:t>
      </w:r>
      <w:r w:rsidR="001D3E7D" w:rsidRPr="001F0A7F">
        <w:t xml:space="preserve">. </w:t>
      </w:r>
      <w:r w:rsidR="003E560E" w:rsidRPr="001F0A7F">
        <w:rPr>
          <w:iCs/>
        </w:rPr>
        <w:t>Th</w:t>
      </w:r>
      <w:r w:rsidR="00384257" w:rsidRPr="001F0A7F">
        <w:rPr>
          <w:iCs/>
        </w:rPr>
        <w:t>us</w:t>
      </w:r>
      <w:r w:rsidR="003E560E" w:rsidRPr="001F0A7F">
        <w:rPr>
          <w:iCs/>
        </w:rPr>
        <w:t xml:space="preserve"> ESC considered that tests of </w:t>
      </w:r>
      <w:r w:rsidR="003E560E" w:rsidRPr="001F0A7F">
        <w:rPr>
          <w:iCs/>
        </w:rPr>
        <w:lastRenderedPageBreak/>
        <w:t>interactions, particularly with the complement (all other patients not in the post hoc subgroup) would be informative for PBAC consideration.</w:t>
      </w:r>
    </w:p>
    <w:p w:rsidR="003E560E" w:rsidRPr="001F0A7F" w:rsidRDefault="003E560E" w:rsidP="003E560E"/>
    <w:p w:rsidR="0003146C" w:rsidRPr="0003146C" w:rsidRDefault="00570007" w:rsidP="00B15815">
      <w:pPr>
        <w:pStyle w:val="ListParagraph"/>
        <w:widowControl/>
        <w:numPr>
          <w:ilvl w:val="1"/>
          <w:numId w:val="3"/>
        </w:numPr>
      </w:pPr>
      <w:r w:rsidRPr="001F0A7F">
        <w:t>In addition, the E</w:t>
      </w:r>
      <w:r w:rsidRPr="001F0A7F">
        <w:rPr>
          <w:iCs/>
        </w:rPr>
        <w:t>SC also noted that the PSCR did not: (i) provide justification for excluding patients with SCC of the head and neck outside the oral cavity, who may also benefit from cetuximab treatment, from PBS-subsidised cetuximab; or (ii) to address the potential equity issues relating to the exclusion of these patients.</w:t>
      </w:r>
    </w:p>
    <w:p w:rsidR="0003146C" w:rsidRPr="0003146C" w:rsidRDefault="0003146C" w:rsidP="0003146C">
      <w:pPr>
        <w:pStyle w:val="ListParagraph"/>
        <w:rPr>
          <w:iCs/>
        </w:rPr>
      </w:pPr>
    </w:p>
    <w:p w:rsidR="00570007" w:rsidRPr="0001468D" w:rsidRDefault="0003146C" w:rsidP="00B15815">
      <w:pPr>
        <w:pStyle w:val="ListParagraph"/>
        <w:widowControl/>
        <w:numPr>
          <w:ilvl w:val="1"/>
          <w:numId w:val="3"/>
        </w:numPr>
      </w:pPr>
      <w:r w:rsidRPr="0001468D">
        <w:rPr>
          <w:iCs/>
        </w:rPr>
        <w:t>The Pre-PBAC Response presented an analysis of the complement of the proposed PBS population</w:t>
      </w:r>
      <w:r w:rsidR="00B04D0E" w:rsidRPr="0001468D">
        <w:rPr>
          <w:iCs/>
        </w:rPr>
        <w:t xml:space="preserve"> (all anatomical sites except oral</w:t>
      </w:r>
      <w:r w:rsidR="00FD47C5" w:rsidRPr="0001468D">
        <w:rPr>
          <w:iCs/>
        </w:rPr>
        <w:t xml:space="preserve"> cavity or Karnofsky Score &lt;80)</w:t>
      </w:r>
      <w:r w:rsidRPr="0001468D">
        <w:rPr>
          <w:iCs/>
        </w:rPr>
        <w:t>. In this analysis, t</w:t>
      </w:r>
      <w:r w:rsidRPr="0001468D">
        <w:rPr>
          <w:iCs/>
          <w:szCs w:val="22"/>
        </w:rPr>
        <w:t>he Hazard Ratio for mortality for the complement population was 0.90 (p=0.3926). Therefore, the sponsor argued, whilst the proposed population for reimbursement demonstrated a statistically significant 65% reduction in the risk of mortality for cetuximab in combination with chemotherapy compared to chemotherapy alone (Hazard Ratio 0.35, p&lt;0.0001), the corresponding reduction in the complement was non-significant. The</w:t>
      </w:r>
      <w:r w:rsidR="00D159F1" w:rsidRPr="0001468D">
        <w:rPr>
          <w:iCs/>
          <w:szCs w:val="22"/>
        </w:rPr>
        <w:t xml:space="preserve"> sponsor claimed that the</w:t>
      </w:r>
      <w:r w:rsidRPr="0001468D">
        <w:rPr>
          <w:iCs/>
          <w:szCs w:val="22"/>
        </w:rPr>
        <w:t xml:space="preserve"> addition of cetuximab to chemotherapy in the proposed PBS population resulted in a statistically and clinically significant additional 7.1 months of overall survival. In contrast, </w:t>
      </w:r>
      <w:r w:rsidR="00D159F1" w:rsidRPr="0001468D">
        <w:rPr>
          <w:iCs/>
          <w:szCs w:val="22"/>
        </w:rPr>
        <w:t xml:space="preserve">the sponsor viewed that </w:t>
      </w:r>
      <w:r w:rsidRPr="0001468D">
        <w:rPr>
          <w:iCs/>
          <w:szCs w:val="22"/>
        </w:rPr>
        <w:t>the result in the complement population was a non-significant trend for an additional two months of survival. The</w:t>
      </w:r>
      <w:r w:rsidR="00C52F89" w:rsidRPr="0001468D">
        <w:rPr>
          <w:iCs/>
          <w:szCs w:val="22"/>
        </w:rPr>
        <w:t xml:space="preserve"> sponsor also noted that the</w:t>
      </w:r>
      <w:r w:rsidRPr="0001468D">
        <w:rPr>
          <w:iCs/>
          <w:szCs w:val="22"/>
        </w:rPr>
        <w:t xml:space="preserve"> formal test of interaction for a subgroup treatment effect between the proposed PBS population and its complement subgroup reached statistical significance (p=0.0013).</w:t>
      </w:r>
    </w:p>
    <w:p w:rsidR="00853618" w:rsidRPr="0001468D" w:rsidRDefault="00853618" w:rsidP="00853618">
      <w:pPr>
        <w:pStyle w:val="ListParagraph"/>
      </w:pPr>
    </w:p>
    <w:p w:rsidR="00853618" w:rsidRPr="0001468D" w:rsidRDefault="00853618" w:rsidP="00B15815">
      <w:pPr>
        <w:pStyle w:val="ListParagraph"/>
        <w:widowControl/>
        <w:numPr>
          <w:ilvl w:val="1"/>
          <w:numId w:val="3"/>
        </w:numPr>
      </w:pPr>
      <w:r w:rsidRPr="0001468D">
        <w:t>The Pre-PBAC Response further suggested that it was appropriate to exclude patients with SCC of the head and neck outside the oral cavity from PBS-subsided treatment “since no statistically significant overall survival benefit was demonstrated in these patients”.</w:t>
      </w:r>
    </w:p>
    <w:p w:rsidR="00570007" w:rsidRPr="001F0A7F" w:rsidRDefault="00570007" w:rsidP="00862502">
      <w:pPr>
        <w:widowControl/>
        <w:rPr>
          <w:szCs w:val="22"/>
        </w:rPr>
      </w:pPr>
    </w:p>
    <w:p w:rsidR="00862502" w:rsidRPr="009635E0" w:rsidRDefault="00862502" w:rsidP="00B15815">
      <w:pPr>
        <w:pStyle w:val="ListParagraph"/>
        <w:widowControl/>
        <w:numPr>
          <w:ilvl w:val="1"/>
          <w:numId w:val="3"/>
        </w:numPr>
        <w:rPr>
          <w:szCs w:val="22"/>
        </w:rPr>
      </w:pPr>
      <w:r w:rsidRPr="001F0A7F">
        <w:rPr>
          <w:szCs w:val="22"/>
        </w:rPr>
        <w:t>Details of the trial presented in the submission</w:t>
      </w:r>
      <w:r w:rsidR="004C17F0" w:rsidRPr="001F0A7F">
        <w:rPr>
          <w:szCs w:val="22"/>
        </w:rPr>
        <w:t xml:space="preserve"> are provided in the following tab</w:t>
      </w:r>
      <w:r w:rsidR="004C17F0">
        <w:rPr>
          <w:szCs w:val="22"/>
        </w:rPr>
        <w:t>le</w:t>
      </w:r>
      <w:r w:rsidRPr="009635E0">
        <w:rPr>
          <w:szCs w:val="22"/>
        </w:rPr>
        <w:t xml:space="preserve">.  </w:t>
      </w:r>
    </w:p>
    <w:p w:rsidR="00996D5B" w:rsidRDefault="00996D5B" w:rsidP="00862502">
      <w:pPr>
        <w:widowControl/>
        <w:rPr>
          <w:szCs w:val="22"/>
        </w:rPr>
      </w:pPr>
      <w:r>
        <w:rPr>
          <w:szCs w:val="22"/>
        </w:rPr>
        <w:br w:type="page"/>
      </w:r>
    </w:p>
    <w:p w:rsidR="00862502" w:rsidRPr="009635E0" w:rsidRDefault="00862502" w:rsidP="00862502">
      <w:pPr>
        <w:widowControl/>
        <w:rPr>
          <w:szCs w:val="22"/>
        </w:rPr>
      </w:pPr>
    </w:p>
    <w:p w:rsidR="008F120A" w:rsidRPr="009635E0" w:rsidRDefault="008F120A" w:rsidP="00FA7457">
      <w:pPr>
        <w:ind w:firstLine="720"/>
        <w:rPr>
          <w:rStyle w:val="CommentReference"/>
        </w:rPr>
      </w:pPr>
      <w:r w:rsidRPr="009635E0">
        <w:rPr>
          <w:rStyle w:val="CommentReference"/>
        </w:rPr>
        <w:t xml:space="preserve">Table </w:t>
      </w:r>
      <w:r w:rsidR="00FA7457">
        <w:rPr>
          <w:rStyle w:val="CommentReference"/>
        </w:rPr>
        <w:t>1</w:t>
      </w:r>
      <w:r w:rsidRPr="009635E0">
        <w:rPr>
          <w:rStyle w:val="CommentReference"/>
        </w:rPr>
        <w:t xml:space="preserve">: Trials and associated </w:t>
      </w:r>
      <w:r w:rsidR="00180986">
        <w:rPr>
          <w:rStyle w:val="CommentReference"/>
        </w:rPr>
        <w:t xml:space="preserve">key </w:t>
      </w:r>
      <w:r w:rsidRPr="009635E0">
        <w:rPr>
          <w:rStyle w:val="CommentReference"/>
        </w:rPr>
        <w:t>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1"/>
        <w:gridCol w:w="5244"/>
        <w:gridCol w:w="2250"/>
      </w:tblGrid>
      <w:tr w:rsidR="008F120A" w:rsidRPr="009635E0" w:rsidTr="0081730C">
        <w:tc>
          <w:tcPr>
            <w:tcW w:w="510" w:type="pct"/>
          </w:tcPr>
          <w:p w:rsidR="008F120A" w:rsidRPr="009635E0" w:rsidRDefault="008F120A" w:rsidP="00925FF1">
            <w:pPr>
              <w:jc w:val="left"/>
              <w:rPr>
                <w:rFonts w:ascii="Arial Narrow" w:hAnsi="Arial Narrow"/>
                <w:b/>
                <w:sz w:val="20"/>
              </w:rPr>
            </w:pPr>
            <w:r w:rsidRPr="009635E0">
              <w:rPr>
                <w:rFonts w:ascii="Arial Narrow" w:hAnsi="Arial Narrow"/>
                <w:b/>
                <w:sz w:val="20"/>
              </w:rPr>
              <w:t>Trial ID</w:t>
            </w:r>
          </w:p>
        </w:tc>
        <w:tc>
          <w:tcPr>
            <w:tcW w:w="3142" w:type="pct"/>
          </w:tcPr>
          <w:p w:rsidR="008F120A" w:rsidRPr="009635E0" w:rsidRDefault="008F120A" w:rsidP="0018752F">
            <w:pPr>
              <w:jc w:val="center"/>
              <w:rPr>
                <w:rFonts w:ascii="Arial Narrow" w:hAnsi="Arial Narrow"/>
                <w:b/>
                <w:sz w:val="20"/>
              </w:rPr>
            </w:pPr>
            <w:r w:rsidRPr="009635E0">
              <w:rPr>
                <w:rFonts w:ascii="Arial Narrow" w:hAnsi="Arial Narrow"/>
                <w:b/>
                <w:sz w:val="20"/>
              </w:rPr>
              <w:t>Protocol title/ Publication title</w:t>
            </w:r>
          </w:p>
        </w:tc>
        <w:tc>
          <w:tcPr>
            <w:tcW w:w="1348" w:type="pct"/>
          </w:tcPr>
          <w:p w:rsidR="008F120A" w:rsidRPr="009635E0" w:rsidRDefault="008F120A" w:rsidP="0018752F">
            <w:pPr>
              <w:jc w:val="center"/>
              <w:rPr>
                <w:rFonts w:ascii="Arial Narrow" w:hAnsi="Arial Narrow"/>
                <w:b/>
                <w:sz w:val="20"/>
              </w:rPr>
            </w:pPr>
            <w:r w:rsidRPr="009635E0">
              <w:rPr>
                <w:rFonts w:ascii="Arial Narrow" w:hAnsi="Arial Narrow"/>
                <w:b/>
                <w:sz w:val="20"/>
              </w:rPr>
              <w:t>Publication citation</w:t>
            </w:r>
          </w:p>
        </w:tc>
      </w:tr>
      <w:tr w:rsidR="008F120A" w:rsidRPr="009635E0" w:rsidTr="00E22A0D">
        <w:tc>
          <w:tcPr>
            <w:tcW w:w="5000" w:type="pct"/>
            <w:gridSpan w:val="3"/>
          </w:tcPr>
          <w:p w:rsidR="008F120A" w:rsidRPr="009635E0" w:rsidRDefault="00460542" w:rsidP="0018752F">
            <w:pPr>
              <w:jc w:val="left"/>
              <w:rPr>
                <w:rFonts w:ascii="Arial Narrow" w:hAnsi="Arial Narrow"/>
                <w:b/>
                <w:sz w:val="20"/>
              </w:rPr>
            </w:pPr>
            <w:r>
              <w:rPr>
                <w:rFonts w:ascii="Arial Narrow" w:hAnsi="Arial Narrow"/>
                <w:b/>
                <w:sz w:val="20"/>
              </w:rPr>
              <w:t>Direct randomised trial</w:t>
            </w:r>
          </w:p>
        </w:tc>
      </w:tr>
      <w:tr w:rsidR="002F7FE4" w:rsidRPr="009635E0" w:rsidTr="0081730C">
        <w:tc>
          <w:tcPr>
            <w:tcW w:w="510" w:type="pct"/>
            <w:vMerge w:val="restart"/>
            <w:vAlign w:val="center"/>
          </w:tcPr>
          <w:p w:rsidR="002F7FE4" w:rsidRPr="009635E0" w:rsidRDefault="002F7FE4" w:rsidP="00925FF1">
            <w:pPr>
              <w:jc w:val="left"/>
              <w:rPr>
                <w:rFonts w:ascii="Arial Narrow" w:hAnsi="Arial Narrow"/>
                <w:sz w:val="20"/>
              </w:rPr>
            </w:pPr>
            <w:r w:rsidRPr="009635E0">
              <w:rPr>
                <w:rFonts w:ascii="Arial Narrow" w:hAnsi="Arial Narrow"/>
                <w:sz w:val="20"/>
              </w:rPr>
              <w:t>EXTREME</w:t>
            </w:r>
          </w:p>
        </w:tc>
        <w:tc>
          <w:tcPr>
            <w:tcW w:w="3142" w:type="pct"/>
            <w:tcBorders>
              <w:bottom w:val="nil"/>
            </w:tcBorders>
          </w:tcPr>
          <w:p w:rsidR="002F7FE4" w:rsidRPr="009635E0" w:rsidRDefault="002F7FE4" w:rsidP="00925FF1">
            <w:pPr>
              <w:jc w:val="left"/>
              <w:rPr>
                <w:rFonts w:ascii="Arial Narrow" w:hAnsi="Arial Narrow"/>
                <w:b/>
                <w:sz w:val="20"/>
              </w:rPr>
            </w:pPr>
            <w:r w:rsidRPr="009635E0">
              <w:rPr>
                <w:rFonts w:ascii="Arial Narrow" w:hAnsi="Arial Narrow"/>
                <w:sz w:val="20"/>
              </w:rPr>
              <w:t>Cetuximab (Erbitux</w:t>
            </w:r>
            <w:r w:rsidRPr="009635E0">
              <w:rPr>
                <w:rFonts w:ascii="Arial Narrow" w:hAnsi="Arial Narrow"/>
                <w:sz w:val="20"/>
                <w:vertAlign w:val="superscript"/>
              </w:rPr>
              <w:t>®</w:t>
            </w:r>
            <w:r w:rsidRPr="009635E0">
              <w:rPr>
                <w:rFonts w:ascii="Arial Narrow" w:hAnsi="Arial Narrow"/>
                <w:sz w:val="20"/>
              </w:rPr>
              <w:t xml:space="preserve">) in combination with cisplatin or carboplatin and 5-fluorouracil in the first-line treatment of subjects with recurrent and/or metastatic squamous cell carcinoma of the head and neck (“EXTREME”) (EMR 62 202-002) </w:t>
            </w:r>
          </w:p>
        </w:tc>
        <w:tc>
          <w:tcPr>
            <w:tcW w:w="1348" w:type="pct"/>
            <w:tcBorders>
              <w:bottom w:val="nil"/>
            </w:tcBorders>
          </w:tcPr>
          <w:p w:rsidR="002F7FE4" w:rsidRPr="009635E0" w:rsidRDefault="002F7FE4" w:rsidP="00925FF1">
            <w:pPr>
              <w:jc w:val="left"/>
              <w:rPr>
                <w:rFonts w:ascii="Arial Narrow" w:hAnsi="Arial Narrow"/>
                <w:b/>
                <w:sz w:val="20"/>
              </w:rPr>
            </w:pPr>
            <w:r w:rsidRPr="009635E0">
              <w:rPr>
                <w:rFonts w:ascii="Arial Narrow" w:hAnsi="Arial Narrow"/>
                <w:sz w:val="20"/>
              </w:rPr>
              <w:t>8 February 2008</w:t>
            </w:r>
          </w:p>
        </w:tc>
      </w:tr>
      <w:tr w:rsidR="002F7FE4" w:rsidRPr="009635E0" w:rsidTr="0081730C">
        <w:tc>
          <w:tcPr>
            <w:tcW w:w="510" w:type="pct"/>
            <w:vMerge/>
            <w:vAlign w:val="center"/>
          </w:tcPr>
          <w:p w:rsidR="002F7FE4" w:rsidRPr="009635E0" w:rsidRDefault="002F7FE4" w:rsidP="00925FF1">
            <w:pPr>
              <w:jc w:val="left"/>
              <w:rPr>
                <w:rFonts w:ascii="Arial Narrow" w:hAnsi="Arial Narrow"/>
                <w:sz w:val="20"/>
              </w:rPr>
            </w:pPr>
          </w:p>
        </w:tc>
        <w:tc>
          <w:tcPr>
            <w:tcW w:w="3142" w:type="pct"/>
            <w:tcBorders>
              <w:top w:val="nil"/>
              <w:bottom w:val="nil"/>
            </w:tcBorders>
          </w:tcPr>
          <w:p w:rsidR="002F7FE4" w:rsidRPr="009635E0" w:rsidRDefault="002F7FE4" w:rsidP="00925FF1">
            <w:pPr>
              <w:jc w:val="left"/>
              <w:rPr>
                <w:rFonts w:ascii="Arial Narrow" w:hAnsi="Arial Narrow"/>
                <w:sz w:val="20"/>
              </w:rPr>
            </w:pPr>
            <w:r w:rsidRPr="009635E0">
              <w:rPr>
                <w:rFonts w:ascii="Arial Narrow" w:hAnsi="Arial Narrow"/>
                <w:sz w:val="20"/>
              </w:rPr>
              <w:t xml:space="preserve">Vermorken JB </w:t>
            </w:r>
            <w:r w:rsidRPr="009635E0">
              <w:rPr>
                <w:rFonts w:ascii="Arial Narrow" w:hAnsi="Arial Narrow"/>
                <w:i/>
                <w:iCs/>
                <w:sz w:val="20"/>
              </w:rPr>
              <w:t>et al.</w:t>
            </w:r>
            <w:r w:rsidRPr="009635E0">
              <w:rPr>
                <w:rFonts w:ascii="Arial Narrow" w:hAnsi="Arial Narrow"/>
                <w:sz w:val="20"/>
              </w:rPr>
              <w:t xml:space="preserve"> Platinum-based chemotherapy plus cetuximab in head and neck cancer.</w:t>
            </w:r>
          </w:p>
        </w:tc>
        <w:tc>
          <w:tcPr>
            <w:tcW w:w="1348" w:type="pct"/>
            <w:tcBorders>
              <w:top w:val="nil"/>
              <w:bottom w:val="nil"/>
            </w:tcBorders>
          </w:tcPr>
          <w:p w:rsidR="002F7FE4" w:rsidRPr="009635E0" w:rsidRDefault="002F7FE4" w:rsidP="00925FF1">
            <w:pPr>
              <w:jc w:val="left"/>
              <w:rPr>
                <w:rFonts w:ascii="Arial Narrow" w:hAnsi="Arial Narrow"/>
                <w:sz w:val="20"/>
              </w:rPr>
            </w:pPr>
            <w:r w:rsidRPr="009635E0">
              <w:rPr>
                <w:rFonts w:ascii="Arial Narrow" w:hAnsi="Arial Narrow"/>
                <w:i/>
                <w:iCs/>
                <w:sz w:val="20"/>
              </w:rPr>
              <w:t>New England Journal of Medicine</w:t>
            </w:r>
            <w:r w:rsidRPr="009635E0">
              <w:rPr>
                <w:rFonts w:ascii="Arial Narrow" w:hAnsi="Arial Narrow"/>
                <w:sz w:val="20"/>
              </w:rPr>
              <w:t xml:space="preserve"> 2008; 359 (11): 1116-27</w:t>
            </w:r>
          </w:p>
        </w:tc>
      </w:tr>
      <w:tr w:rsidR="002F7FE4" w:rsidRPr="009635E0" w:rsidTr="0081730C">
        <w:tc>
          <w:tcPr>
            <w:tcW w:w="510" w:type="pct"/>
            <w:vMerge/>
            <w:vAlign w:val="center"/>
          </w:tcPr>
          <w:p w:rsidR="002F7FE4" w:rsidRPr="009635E0" w:rsidRDefault="002F7FE4" w:rsidP="00925FF1">
            <w:pPr>
              <w:jc w:val="left"/>
              <w:rPr>
                <w:rFonts w:ascii="Arial Narrow" w:hAnsi="Arial Narrow"/>
                <w:sz w:val="20"/>
              </w:rPr>
            </w:pPr>
          </w:p>
        </w:tc>
        <w:tc>
          <w:tcPr>
            <w:tcW w:w="3142" w:type="pct"/>
            <w:tcBorders>
              <w:top w:val="nil"/>
              <w:bottom w:val="nil"/>
            </w:tcBorders>
          </w:tcPr>
          <w:p w:rsidR="002F7FE4" w:rsidRPr="009635E0" w:rsidRDefault="002F7FE4" w:rsidP="00925FF1">
            <w:pPr>
              <w:jc w:val="left"/>
              <w:rPr>
                <w:rFonts w:ascii="Arial Narrow" w:hAnsi="Arial Narrow"/>
                <w:sz w:val="20"/>
              </w:rPr>
            </w:pPr>
            <w:r w:rsidRPr="009635E0">
              <w:rPr>
                <w:rFonts w:ascii="Arial Narrow" w:hAnsi="Arial Narrow"/>
                <w:sz w:val="20"/>
              </w:rPr>
              <w:t xml:space="preserve">Mésia R </w:t>
            </w:r>
            <w:r w:rsidRPr="009635E0">
              <w:rPr>
                <w:rFonts w:ascii="Arial Narrow" w:hAnsi="Arial Narrow"/>
                <w:i/>
                <w:iCs/>
                <w:sz w:val="20"/>
              </w:rPr>
              <w:t>et al.</w:t>
            </w:r>
            <w:r w:rsidRPr="009635E0">
              <w:rPr>
                <w:rFonts w:ascii="Arial Narrow" w:hAnsi="Arial Narrow"/>
                <w:sz w:val="20"/>
              </w:rPr>
              <w:t xml:space="preserve"> Quality of Life of patients receiving platinum-based chemotherapy plus cetuximab first line for recurrent and/or metastatic squamous cell carcinoma of the head and neck.</w:t>
            </w:r>
          </w:p>
        </w:tc>
        <w:tc>
          <w:tcPr>
            <w:tcW w:w="1348" w:type="pct"/>
            <w:tcBorders>
              <w:top w:val="nil"/>
              <w:bottom w:val="nil"/>
            </w:tcBorders>
          </w:tcPr>
          <w:p w:rsidR="002F7FE4" w:rsidRPr="009635E0" w:rsidRDefault="002F7FE4" w:rsidP="00925FF1">
            <w:pPr>
              <w:jc w:val="left"/>
              <w:rPr>
                <w:rFonts w:ascii="Arial Narrow" w:hAnsi="Arial Narrow"/>
                <w:i/>
                <w:iCs/>
                <w:sz w:val="20"/>
              </w:rPr>
            </w:pPr>
            <w:r w:rsidRPr="009635E0">
              <w:rPr>
                <w:rFonts w:ascii="Arial Narrow" w:hAnsi="Arial Narrow"/>
                <w:i/>
                <w:iCs/>
                <w:sz w:val="20"/>
              </w:rPr>
              <w:t>Annals of Oncology</w:t>
            </w:r>
            <w:r w:rsidRPr="009635E0">
              <w:rPr>
                <w:rFonts w:ascii="Arial Narrow" w:hAnsi="Arial Narrow"/>
                <w:sz w:val="20"/>
              </w:rPr>
              <w:t xml:space="preserve"> 2010; 21 (10): 1967-73</w:t>
            </w:r>
          </w:p>
        </w:tc>
      </w:tr>
      <w:tr w:rsidR="002F7FE4" w:rsidRPr="009635E0" w:rsidTr="0081730C">
        <w:tc>
          <w:tcPr>
            <w:tcW w:w="510" w:type="pct"/>
            <w:vMerge/>
            <w:vAlign w:val="center"/>
          </w:tcPr>
          <w:p w:rsidR="002F7FE4" w:rsidRPr="009635E0" w:rsidRDefault="002F7FE4" w:rsidP="006E048C">
            <w:pPr>
              <w:jc w:val="left"/>
              <w:rPr>
                <w:rFonts w:ascii="Arial Narrow" w:hAnsi="Arial Narrow"/>
                <w:sz w:val="20"/>
              </w:rPr>
            </w:pPr>
          </w:p>
        </w:tc>
        <w:tc>
          <w:tcPr>
            <w:tcW w:w="3142" w:type="pct"/>
            <w:tcBorders>
              <w:top w:val="nil"/>
              <w:bottom w:val="nil"/>
            </w:tcBorders>
          </w:tcPr>
          <w:p w:rsidR="002F7FE4" w:rsidRPr="009635E0" w:rsidRDefault="002F7FE4" w:rsidP="006E048C">
            <w:pPr>
              <w:jc w:val="left"/>
              <w:rPr>
                <w:rFonts w:ascii="Arial Narrow" w:hAnsi="Arial Narrow"/>
                <w:sz w:val="20"/>
              </w:rPr>
            </w:pPr>
            <w:r w:rsidRPr="009635E0">
              <w:rPr>
                <w:rFonts w:ascii="Arial Narrow" w:hAnsi="Arial Narrow"/>
                <w:sz w:val="20"/>
              </w:rPr>
              <w:t xml:space="preserve">Licitra L et al. Evaluation of EGFR copy number as a predictive biomarker for the efficacy of cetuximab in combination with chemotherapy in the first-line treatment of recurrent and/or metastatic squamous cell carcinoma of the head and neck: EXTREME study. </w:t>
            </w:r>
          </w:p>
        </w:tc>
        <w:tc>
          <w:tcPr>
            <w:tcW w:w="1348" w:type="pct"/>
            <w:tcBorders>
              <w:top w:val="nil"/>
              <w:bottom w:val="nil"/>
            </w:tcBorders>
          </w:tcPr>
          <w:p w:rsidR="002F7FE4" w:rsidRPr="009635E0" w:rsidRDefault="002F7FE4" w:rsidP="006E048C">
            <w:pPr>
              <w:jc w:val="left"/>
              <w:rPr>
                <w:rFonts w:ascii="Arial Narrow" w:hAnsi="Arial Narrow"/>
                <w:i/>
                <w:iCs/>
                <w:sz w:val="20"/>
              </w:rPr>
            </w:pPr>
            <w:r w:rsidRPr="009635E0">
              <w:rPr>
                <w:rFonts w:ascii="Arial Narrow" w:hAnsi="Arial Narrow"/>
                <w:i/>
                <w:iCs/>
                <w:sz w:val="20"/>
              </w:rPr>
              <w:t>Annals of Oncology</w:t>
            </w:r>
            <w:r w:rsidRPr="009635E0">
              <w:rPr>
                <w:rFonts w:ascii="Arial Narrow" w:hAnsi="Arial Narrow"/>
                <w:sz w:val="20"/>
              </w:rPr>
              <w:t xml:space="preserve"> 2011; 22: 1078-87</w:t>
            </w:r>
          </w:p>
        </w:tc>
      </w:tr>
      <w:tr w:rsidR="002F7FE4" w:rsidRPr="009635E0" w:rsidTr="0081730C">
        <w:tc>
          <w:tcPr>
            <w:tcW w:w="510" w:type="pct"/>
            <w:vMerge/>
            <w:vAlign w:val="center"/>
          </w:tcPr>
          <w:p w:rsidR="002F7FE4" w:rsidRPr="009635E0" w:rsidRDefault="002F7FE4" w:rsidP="006E048C">
            <w:pPr>
              <w:jc w:val="left"/>
              <w:rPr>
                <w:rFonts w:ascii="Arial Narrow" w:hAnsi="Arial Narrow"/>
                <w:sz w:val="20"/>
              </w:rPr>
            </w:pPr>
          </w:p>
        </w:tc>
        <w:tc>
          <w:tcPr>
            <w:tcW w:w="3142" w:type="pct"/>
            <w:tcBorders>
              <w:top w:val="nil"/>
              <w:bottom w:val="nil"/>
            </w:tcBorders>
          </w:tcPr>
          <w:p w:rsidR="002F7FE4" w:rsidRPr="009635E0" w:rsidRDefault="002F7FE4" w:rsidP="006E048C">
            <w:pPr>
              <w:jc w:val="left"/>
              <w:rPr>
                <w:rFonts w:ascii="Arial Narrow" w:hAnsi="Arial Narrow"/>
                <w:sz w:val="20"/>
              </w:rPr>
            </w:pPr>
            <w:r w:rsidRPr="009635E0">
              <w:rPr>
                <w:rFonts w:ascii="Arial Narrow" w:hAnsi="Arial Narrow"/>
                <w:sz w:val="20"/>
              </w:rPr>
              <w:t xml:space="preserve">Licitra L </w:t>
            </w:r>
            <w:r w:rsidRPr="009635E0">
              <w:rPr>
                <w:rFonts w:ascii="Arial Narrow" w:hAnsi="Arial Narrow"/>
                <w:i/>
                <w:iCs/>
                <w:sz w:val="20"/>
              </w:rPr>
              <w:t>et al.</w:t>
            </w:r>
            <w:r w:rsidRPr="009635E0">
              <w:rPr>
                <w:rFonts w:ascii="Arial Narrow" w:hAnsi="Arial Narrow"/>
                <w:sz w:val="20"/>
              </w:rPr>
              <w:t xml:space="preserve"> Predictive value of epidermal growth factor receptor expression for first-line chemotherapy plus cetuximab in patients with head and neck and colorectal cancer: Analysis of data from the EXTREME and CRYSTAL studies. </w:t>
            </w:r>
          </w:p>
        </w:tc>
        <w:tc>
          <w:tcPr>
            <w:tcW w:w="1348" w:type="pct"/>
            <w:tcBorders>
              <w:top w:val="nil"/>
              <w:bottom w:val="nil"/>
            </w:tcBorders>
          </w:tcPr>
          <w:p w:rsidR="002F7FE4" w:rsidRPr="009635E0" w:rsidRDefault="002F7FE4" w:rsidP="006E048C">
            <w:pPr>
              <w:jc w:val="left"/>
              <w:rPr>
                <w:rFonts w:ascii="Arial Narrow" w:hAnsi="Arial Narrow"/>
                <w:i/>
                <w:iCs/>
                <w:sz w:val="20"/>
              </w:rPr>
            </w:pPr>
            <w:r w:rsidRPr="009635E0">
              <w:rPr>
                <w:rFonts w:ascii="Arial Narrow" w:hAnsi="Arial Narrow"/>
                <w:i/>
                <w:iCs/>
                <w:sz w:val="20"/>
              </w:rPr>
              <w:t>European Journal of Cancer</w:t>
            </w:r>
            <w:r w:rsidRPr="009635E0">
              <w:rPr>
                <w:rFonts w:ascii="Arial Narrow" w:hAnsi="Arial Narrow"/>
                <w:sz w:val="20"/>
              </w:rPr>
              <w:t xml:space="preserve"> 2013; 49(6): 1161-8</w:t>
            </w:r>
          </w:p>
        </w:tc>
      </w:tr>
      <w:tr w:rsidR="002F7FE4" w:rsidRPr="009635E0" w:rsidTr="0081730C">
        <w:tc>
          <w:tcPr>
            <w:tcW w:w="510" w:type="pct"/>
            <w:vMerge/>
            <w:vAlign w:val="center"/>
          </w:tcPr>
          <w:p w:rsidR="002F7FE4" w:rsidRPr="009635E0" w:rsidRDefault="002F7FE4" w:rsidP="006E048C">
            <w:pPr>
              <w:jc w:val="left"/>
              <w:rPr>
                <w:rFonts w:ascii="Arial Narrow" w:hAnsi="Arial Narrow"/>
                <w:sz w:val="20"/>
              </w:rPr>
            </w:pPr>
          </w:p>
        </w:tc>
        <w:tc>
          <w:tcPr>
            <w:tcW w:w="3142" w:type="pct"/>
            <w:tcBorders>
              <w:top w:val="nil"/>
              <w:bottom w:val="nil"/>
            </w:tcBorders>
          </w:tcPr>
          <w:p w:rsidR="002F7FE4" w:rsidRPr="009635E0" w:rsidRDefault="002F7FE4" w:rsidP="006E048C">
            <w:pPr>
              <w:jc w:val="left"/>
              <w:rPr>
                <w:rFonts w:ascii="Arial Narrow" w:hAnsi="Arial Narrow"/>
                <w:sz w:val="20"/>
              </w:rPr>
            </w:pPr>
            <w:r w:rsidRPr="009635E0">
              <w:rPr>
                <w:rFonts w:ascii="Arial Narrow" w:hAnsi="Arial Narrow"/>
                <w:sz w:val="20"/>
              </w:rPr>
              <w:t xml:space="preserve">Vermorken JB </w:t>
            </w:r>
            <w:r w:rsidRPr="009635E0">
              <w:rPr>
                <w:rFonts w:ascii="Arial Narrow" w:hAnsi="Arial Narrow"/>
                <w:i/>
                <w:iCs/>
                <w:sz w:val="20"/>
              </w:rPr>
              <w:t>et al</w:t>
            </w:r>
            <w:r w:rsidRPr="009635E0">
              <w:rPr>
                <w:rFonts w:ascii="Arial Narrow" w:hAnsi="Arial Narrow"/>
                <w:sz w:val="20"/>
              </w:rPr>
              <w:t xml:space="preserve">. Impact of tumor HPV status on outcome in patients with recurrent and/or metastatic squamous cell carcinoma of the head and neck receiving chemotherapy with or without cetuximab: retrospective analysis of the phase III EXTREME trial. </w:t>
            </w:r>
          </w:p>
        </w:tc>
        <w:tc>
          <w:tcPr>
            <w:tcW w:w="1348" w:type="pct"/>
            <w:tcBorders>
              <w:top w:val="nil"/>
              <w:bottom w:val="nil"/>
            </w:tcBorders>
          </w:tcPr>
          <w:p w:rsidR="002F7FE4" w:rsidRPr="009635E0" w:rsidRDefault="002F7FE4" w:rsidP="006E048C">
            <w:pPr>
              <w:jc w:val="left"/>
              <w:rPr>
                <w:rFonts w:ascii="Arial Narrow" w:hAnsi="Arial Narrow"/>
                <w:i/>
                <w:iCs/>
                <w:sz w:val="20"/>
              </w:rPr>
            </w:pPr>
            <w:r w:rsidRPr="009635E0">
              <w:rPr>
                <w:rFonts w:ascii="Arial Narrow" w:hAnsi="Arial Narrow"/>
                <w:i/>
                <w:iCs/>
                <w:sz w:val="20"/>
              </w:rPr>
              <w:t xml:space="preserve">Annals of Oncology </w:t>
            </w:r>
            <w:r w:rsidRPr="009635E0">
              <w:rPr>
                <w:rFonts w:ascii="Arial Narrow" w:hAnsi="Arial Narrow"/>
                <w:sz w:val="20"/>
              </w:rPr>
              <w:t>2014; 25: 801–7</w:t>
            </w:r>
          </w:p>
        </w:tc>
      </w:tr>
      <w:tr w:rsidR="002F7FE4" w:rsidRPr="009635E0" w:rsidTr="0081730C">
        <w:tc>
          <w:tcPr>
            <w:tcW w:w="510" w:type="pct"/>
            <w:vMerge/>
            <w:vAlign w:val="center"/>
          </w:tcPr>
          <w:p w:rsidR="002F7FE4" w:rsidRPr="009635E0" w:rsidRDefault="002F7FE4" w:rsidP="006E048C">
            <w:pPr>
              <w:jc w:val="left"/>
              <w:rPr>
                <w:rFonts w:ascii="Arial Narrow" w:hAnsi="Arial Narrow"/>
                <w:sz w:val="20"/>
              </w:rPr>
            </w:pPr>
          </w:p>
        </w:tc>
        <w:tc>
          <w:tcPr>
            <w:tcW w:w="3142" w:type="pct"/>
            <w:tcBorders>
              <w:top w:val="nil"/>
            </w:tcBorders>
          </w:tcPr>
          <w:p w:rsidR="002F7FE4" w:rsidRPr="009635E0" w:rsidRDefault="002F7FE4" w:rsidP="006E048C">
            <w:pPr>
              <w:jc w:val="left"/>
              <w:rPr>
                <w:rFonts w:ascii="Arial Narrow" w:hAnsi="Arial Narrow"/>
                <w:sz w:val="20"/>
              </w:rPr>
            </w:pPr>
            <w:r w:rsidRPr="009635E0">
              <w:rPr>
                <w:rFonts w:ascii="Arial Narrow" w:hAnsi="Arial Narrow"/>
                <w:sz w:val="20"/>
              </w:rPr>
              <w:t xml:space="preserve">Vermorken JB </w:t>
            </w:r>
            <w:r w:rsidRPr="009635E0">
              <w:rPr>
                <w:rFonts w:ascii="Arial Narrow" w:hAnsi="Arial Narrow"/>
                <w:i/>
                <w:iCs/>
                <w:sz w:val="20"/>
              </w:rPr>
              <w:t>et al.</w:t>
            </w:r>
            <w:r w:rsidRPr="009635E0">
              <w:rPr>
                <w:rFonts w:ascii="Arial Narrow" w:hAnsi="Arial Narrow"/>
                <w:sz w:val="20"/>
              </w:rPr>
              <w:t xml:space="preserve"> Platinum-based chemotherapy (CT) plus cetuximab in recurrent or metastatic squamous cell carcinoma of the head and neck cancer (R/M-SCCHN): 5-year follow-up data for the extreme trial. </w:t>
            </w:r>
          </w:p>
        </w:tc>
        <w:tc>
          <w:tcPr>
            <w:tcW w:w="1348" w:type="pct"/>
            <w:tcBorders>
              <w:top w:val="nil"/>
            </w:tcBorders>
          </w:tcPr>
          <w:p w:rsidR="002F7FE4" w:rsidRPr="009635E0" w:rsidRDefault="002F7FE4" w:rsidP="004C3479">
            <w:pPr>
              <w:jc w:val="left"/>
              <w:rPr>
                <w:rFonts w:ascii="Arial Narrow" w:hAnsi="Arial Narrow"/>
                <w:i/>
                <w:iCs/>
                <w:sz w:val="20"/>
              </w:rPr>
            </w:pPr>
            <w:r w:rsidRPr="009635E0">
              <w:rPr>
                <w:rFonts w:ascii="Arial Narrow" w:hAnsi="Arial Narrow"/>
                <w:i/>
                <w:iCs/>
                <w:sz w:val="20"/>
              </w:rPr>
              <w:t>Journal of Clinical Oncology</w:t>
            </w:r>
            <w:r w:rsidRPr="009635E0">
              <w:rPr>
                <w:rFonts w:ascii="Arial Narrow" w:hAnsi="Arial Narrow"/>
                <w:sz w:val="20"/>
              </w:rPr>
              <w:t xml:space="preserve"> </w:t>
            </w:r>
            <w:r w:rsidR="004C3479">
              <w:rPr>
                <w:rFonts w:ascii="Arial Narrow" w:hAnsi="Arial Narrow"/>
                <w:sz w:val="20"/>
              </w:rPr>
              <w:t>2014; 32 (15 suppl): Abstr 6021;</w:t>
            </w:r>
            <w:r w:rsidRPr="009635E0">
              <w:rPr>
                <w:rFonts w:ascii="Arial Narrow" w:hAnsi="Arial Narrow"/>
                <w:sz w:val="20"/>
              </w:rPr>
              <w:t xml:space="preserve"> 50</w:t>
            </w:r>
            <w:r w:rsidRPr="004C3479">
              <w:rPr>
                <w:rFonts w:ascii="Arial Narrow" w:hAnsi="Arial Narrow"/>
                <w:sz w:val="20"/>
                <w:vertAlign w:val="superscript"/>
              </w:rPr>
              <w:t>th</w:t>
            </w:r>
            <w:r w:rsidR="004C3479">
              <w:rPr>
                <w:rFonts w:ascii="Arial Narrow" w:hAnsi="Arial Narrow"/>
                <w:sz w:val="20"/>
              </w:rPr>
              <w:t xml:space="preserve"> </w:t>
            </w:r>
            <w:r w:rsidRPr="009635E0">
              <w:rPr>
                <w:rFonts w:ascii="Arial Narrow" w:hAnsi="Arial Narrow"/>
                <w:sz w:val="20"/>
              </w:rPr>
              <w:t>ASCO Annual Meeting, Chicago, USA May 2014</w:t>
            </w:r>
            <w:r w:rsidR="004C3479">
              <w:rPr>
                <w:rFonts w:ascii="Arial Narrow" w:hAnsi="Arial Narrow"/>
                <w:sz w:val="20"/>
              </w:rPr>
              <w:t>.</w:t>
            </w:r>
          </w:p>
        </w:tc>
      </w:tr>
    </w:tbl>
    <w:p w:rsidR="00925FF1" w:rsidRDefault="008F120A" w:rsidP="00E96DE4">
      <w:pPr>
        <w:pStyle w:val="TableFooter"/>
        <w:ind w:firstLine="720"/>
        <w:rPr>
          <w:szCs w:val="22"/>
        </w:rPr>
      </w:pPr>
      <w:r w:rsidRPr="009635E0">
        <w:t xml:space="preserve">Source: </w:t>
      </w:r>
      <w:r w:rsidR="001229F0" w:rsidRPr="001229F0">
        <w:t>Table B.2-2, pp36-37 of the submission</w:t>
      </w:r>
    </w:p>
    <w:p w:rsidR="00925FF1" w:rsidRPr="009635E0" w:rsidRDefault="00925FF1" w:rsidP="008F120A">
      <w:pPr>
        <w:widowControl/>
        <w:rPr>
          <w:szCs w:val="22"/>
        </w:rPr>
      </w:pPr>
    </w:p>
    <w:p w:rsidR="00862502" w:rsidRPr="009635E0" w:rsidRDefault="008F120A" w:rsidP="00B15815">
      <w:pPr>
        <w:pStyle w:val="ListParagraph"/>
        <w:widowControl/>
        <w:numPr>
          <w:ilvl w:val="1"/>
          <w:numId w:val="3"/>
        </w:numPr>
        <w:rPr>
          <w:szCs w:val="22"/>
        </w:rPr>
      </w:pPr>
      <w:r w:rsidRPr="009635E0">
        <w:rPr>
          <w:szCs w:val="22"/>
        </w:rPr>
        <w:t>The key features of the direct randomised trial are summarised in the table below.</w:t>
      </w:r>
    </w:p>
    <w:p w:rsidR="007F1017" w:rsidRPr="009635E0" w:rsidRDefault="007F1017" w:rsidP="007F1017">
      <w:pPr>
        <w:widowControl/>
        <w:rPr>
          <w:szCs w:val="22"/>
        </w:rPr>
      </w:pPr>
    </w:p>
    <w:p w:rsidR="007F1017" w:rsidRPr="009635E0" w:rsidRDefault="007F1017" w:rsidP="00FA7457">
      <w:pPr>
        <w:ind w:firstLine="720"/>
        <w:rPr>
          <w:rStyle w:val="CommentReference"/>
        </w:rPr>
      </w:pPr>
      <w:r w:rsidRPr="009635E0">
        <w:rPr>
          <w:rStyle w:val="CommentReference"/>
        </w:rPr>
        <w:t xml:space="preserve">Table </w:t>
      </w:r>
      <w:r w:rsidR="00FA7457">
        <w:rPr>
          <w:rStyle w:val="CommentReference"/>
        </w:rPr>
        <w:t>2</w:t>
      </w:r>
      <w:r w:rsidRPr="009635E0">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3"/>
        <w:gridCol w:w="470"/>
        <w:gridCol w:w="1530"/>
        <w:gridCol w:w="594"/>
        <w:gridCol w:w="2402"/>
        <w:gridCol w:w="968"/>
        <w:gridCol w:w="868"/>
      </w:tblGrid>
      <w:tr w:rsidR="00FF0BB5" w:rsidRPr="009635E0" w:rsidTr="00813404">
        <w:tc>
          <w:tcPr>
            <w:tcW w:w="907" w:type="pct"/>
            <w:shd w:val="clear" w:color="auto" w:fill="auto"/>
            <w:vAlign w:val="center"/>
          </w:tcPr>
          <w:p w:rsidR="007F1017" w:rsidRPr="009635E0" w:rsidRDefault="007F1017" w:rsidP="007F1017">
            <w:pPr>
              <w:jc w:val="left"/>
              <w:rPr>
                <w:rFonts w:ascii="Arial Narrow" w:hAnsi="Arial Narrow"/>
                <w:b/>
                <w:sz w:val="20"/>
              </w:rPr>
            </w:pPr>
            <w:r w:rsidRPr="009635E0">
              <w:rPr>
                <w:rFonts w:ascii="Arial Narrow" w:hAnsi="Arial Narrow"/>
                <w:b/>
                <w:sz w:val="20"/>
              </w:rPr>
              <w:t>Trial</w:t>
            </w:r>
          </w:p>
        </w:tc>
        <w:tc>
          <w:tcPr>
            <w:tcW w:w="282"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N</w:t>
            </w:r>
          </w:p>
        </w:tc>
        <w:tc>
          <w:tcPr>
            <w:tcW w:w="917"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Design/ duration</w:t>
            </w:r>
          </w:p>
        </w:tc>
        <w:tc>
          <w:tcPr>
            <w:tcW w:w="356"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Risk of bias</w:t>
            </w:r>
          </w:p>
        </w:tc>
        <w:tc>
          <w:tcPr>
            <w:tcW w:w="1439"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Patient population</w:t>
            </w:r>
          </w:p>
        </w:tc>
        <w:tc>
          <w:tcPr>
            <w:tcW w:w="580"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Outcome(s)</w:t>
            </w:r>
          </w:p>
        </w:tc>
        <w:tc>
          <w:tcPr>
            <w:tcW w:w="520" w:type="pct"/>
            <w:shd w:val="clear" w:color="auto" w:fill="auto"/>
            <w:vAlign w:val="center"/>
          </w:tcPr>
          <w:p w:rsidR="007F1017" w:rsidRPr="009635E0" w:rsidRDefault="007F1017" w:rsidP="007F1017">
            <w:pPr>
              <w:jc w:val="center"/>
              <w:rPr>
                <w:rFonts w:ascii="Arial Narrow" w:hAnsi="Arial Narrow"/>
                <w:b/>
                <w:sz w:val="20"/>
              </w:rPr>
            </w:pPr>
            <w:r w:rsidRPr="009635E0">
              <w:rPr>
                <w:rFonts w:ascii="Arial Narrow" w:hAnsi="Arial Narrow"/>
                <w:b/>
                <w:sz w:val="20"/>
              </w:rPr>
              <w:t>Use in modelled evaluation</w:t>
            </w:r>
          </w:p>
        </w:tc>
      </w:tr>
      <w:tr w:rsidR="007F1017" w:rsidRPr="009635E0" w:rsidTr="00E22A0D">
        <w:tc>
          <w:tcPr>
            <w:tcW w:w="5000" w:type="pct"/>
            <w:gridSpan w:val="7"/>
            <w:shd w:val="clear" w:color="auto" w:fill="auto"/>
            <w:vAlign w:val="center"/>
          </w:tcPr>
          <w:p w:rsidR="007F1017" w:rsidRPr="009635E0" w:rsidRDefault="00322CD8" w:rsidP="007F1017">
            <w:pPr>
              <w:jc w:val="left"/>
              <w:rPr>
                <w:rFonts w:ascii="Arial Narrow" w:hAnsi="Arial Narrow"/>
                <w:b/>
                <w:sz w:val="20"/>
              </w:rPr>
            </w:pPr>
            <w:r w:rsidRPr="009635E0">
              <w:rPr>
                <w:rFonts w:ascii="Arial Narrow" w:hAnsi="Arial Narrow"/>
                <w:b/>
                <w:sz w:val="20"/>
              </w:rPr>
              <w:t>Cetuximab + cisplatin/carboplatin + 5-flurouracil versus cisplatin/carboplatin + 5-flurouracil</w:t>
            </w:r>
          </w:p>
        </w:tc>
      </w:tr>
      <w:tr w:rsidR="00147C1D" w:rsidRPr="009635E0" w:rsidTr="00813404">
        <w:trPr>
          <w:trHeight w:val="798"/>
        </w:trPr>
        <w:tc>
          <w:tcPr>
            <w:tcW w:w="907" w:type="pct"/>
            <w:shd w:val="clear" w:color="auto" w:fill="auto"/>
            <w:vAlign w:val="center"/>
          </w:tcPr>
          <w:p w:rsidR="00147C1D" w:rsidRPr="009635E0" w:rsidRDefault="00147C1D" w:rsidP="00322CD8">
            <w:pPr>
              <w:jc w:val="left"/>
              <w:rPr>
                <w:rFonts w:ascii="Arial Narrow" w:hAnsi="Arial Narrow"/>
                <w:sz w:val="20"/>
              </w:rPr>
            </w:pPr>
            <w:r w:rsidRPr="009635E0">
              <w:rPr>
                <w:rFonts w:ascii="Arial Narrow" w:hAnsi="Arial Narrow"/>
                <w:sz w:val="20"/>
              </w:rPr>
              <w:t xml:space="preserve">EXTREME </w:t>
            </w:r>
          </w:p>
          <w:p w:rsidR="00147C1D" w:rsidRPr="009635E0" w:rsidRDefault="00147C1D" w:rsidP="00322CD8">
            <w:pPr>
              <w:jc w:val="left"/>
              <w:rPr>
                <w:rFonts w:ascii="Arial Narrow" w:hAnsi="Arial Narrow"/>
                <w:sz w:val="20"/>
              </w:rPr>
            </w:pPr>
            <w:r w:rsidRPr="009635E0">
              <w:rPr>
                <w:rFonts w:ascii="Arial Narrow" w:hAnsi="Arial Narrow"/>
                <w:sz w:val="20"/>
              </w:rPr>
              <w:t>(ITT population)</w:t>
            </w:r>
          </w:p>
        </w:tc>
        <w:tc>
          <w:tcPr>
            <w:tcW w:w="282" w:type="pct"/>
            <w:shd w:val="clear" w:color="auto" w:fill="auto"/>
            <w:vAlign w:val="center"/>
          </w:tcPr>
          <w:p w:rsidR="00147C1D" w:rsidRPr="009635E0" w:rsidRDefault="00147C1D" w:rsidP="00322CD8">
            <w:pPr>
              <w:jc w:val="center"/>
              <w:rPr>
                <w:rFonts w:ascii="Arial Narrow" w:hAnsi="Arial Narrow"/>
                <w:sz w:val="20"/>
              </w:rPr>
            </w:pPr>
            <w:r w:rsidRPr="009635E0">
              <w:rPr>
                <w:rFonts w:ascii="Arial Narrow" w:hAnsi="Arial Narrow"/>
                <w:sz w:val="20"/>
              </w:rPr>
              <w:t>442</w:t>
            </w:r>
          </w:p>
        </w:tc>
        <w:tc>
          <w:tcPr>
            <w:tcW w:w="917" w:type="pct"/>
            <w:vMerge w:val="restart"/>
            <w:shd w:val="clear" w:color="auto" w:fill="auto"/>
            <w:vAlign w:val="center"/>
          </w:tcPr>
          <w:p w:rsidR="00147C1D" w:rsidRPr="009635E0" w:rsidRDefault="00147C1D" w:rsidP="00322CD8">
            <w:pPr>
              <w:jc w:val="center"/>
              <w:rPr>
                <w:rFonts w:ascii="Arial Narrow" w:hAnsi="Arial Narrow"/>
                <w:sz w:val="20"/>
              </w:rPr>
            </w:pPr>
            <w:r w:rsidRPr="009635E0">
              <w:rPr>
                <w:rFonts w:ascii="Arial Narrow" w:hAnsi="Arial Narrow"/>
                <w:sz w:val="20"/>
              </w:rPr>
              <w:t>R, OL, MC</w:t>
            </w:r>
            <w:r>
              <w:rPr>
                <w:rFonts w:ascii="Arial Narrow" w:hAnsi="Arial Narrow"/>
                <w:sz w:val="20"/>
              </w:rPr>
              <w:t>, PG</w:t>
            </w:r>
          </w:p>
          <w:p w:rsidR="00147C1D" w:rsidRPr="009635E0" w:rsidRDefault="00147C1D" w:rsidP="00322CD8">
            <w:pPr>
              <w:jc w:val="center"/>
              <w:rPr>
                <w:rFonts w:ascii="Arial Narrow" w:hAnsi="Arial Narrow"/>
                <w:sz w:val="20"/>
              </w:rPr>
            </w:pPr>
            <w:r w:rsidRPr="009635E0">
              <w:rPr>
                <w:rFonts w:ascii="Arial Narrow" w:hAnsi="Arial Narrow"/>
                <w:sz w:val="20"/>
              </w:rPr>
              <w:t>Median follow-up (ITT population): 19.1 or 18.2 months in each arm respectively</w:t>
            </w:r>
          </w:p>
          <w:p w:rsidR="00147C1D" w:rsidRPr="009635E0" w:rsidRDefault="00147C1D" w:rsidP="00322CD8">
            <w:pPr>
              <w:jc w:val="center"/>
              <w:rPr>
                <w:rFonts w:ascii="Arial Narrow" w:hAnsi="Arial Narrow"/>
                <w:sz w:val="20"/>
              </w:rPr>
            </w:pPr>
            <w:r w:rsidRPr="009635E0">
              <w:rPr>
                <w:rFonts w:ascii="Arial Narrow" w:hAnsi="Arial Narrow"/>
                <w:sz w:val="20"/>
              </w:rPr>
              <w:t>(range 12.9-26.0)</w:t>
            </w:r>
          </w:p>
        </w:tc>
        <w:tc>
          <w:tcPr>
            <w:tcW w:w="356" w:type="pct"/>
            <w:shd w:val="clear" w:color="auto" w:fill="auto"/>
            <w:vAlign w:val="center"/>
          </w:tcPr>
          <w:p w:rsidR="00147C1D" w:rsidRPr="007C282E" w:rsidRDefault="00147C1D" w:rsidP="00322CD8">
            <w:pPr>
              <w:jc w:val="center"/>
              <w:rPr>
                <w:rFonts w:ascii="Arial Narrow" w:hAnsi="Arial Narrow"/>
                <w:sz w:val="20"/>
              </w:rPr>
            </w:pPr>
            <w:r w:rsidRPr="007C282E">
              <w:rPr>
                <w:rFonts w:ascii="Arial Narrow" w:hAnsi="Arial Narrow"/>
                <w:iCs/>
                <w:sz w:val="20"/>
              </w:rPr>
              <w:t>Low/ unclear</w:t>
            </w:r>
          </w:p>
        </w:tc>
        <w:tc>
          <w:tcPr>
            <w:tcW w:w="1439" w:type="pct"/>
            <w:shd w:val="clear" w:color="auto" w:fill="auto"/>
            <w:vAlign w:val="center"/>
          </w:tcPr>
          <w:p w:rsidR="00147C1D" w:rsidRPr="009635E0" w:rsidRDefault="00147C1D" w:rsidP="00813404">
            <w:pPr>
              <w:jc w:val="center"/>
              <w:rPr>
                <w:rFonts w:ascii="Arial Narrow" w:hAnsi="Arial Narrow"/>
                <w:sz w:val="20"/>
              </w:rPr>
            </w:pPr>
            <w:r w:rsidRPr="009635E0">
              <w:rPr>
                <w:rFonts w:ascii="Arial Narrow" w:hAnsi="Arial Narrow"/>
                <w:sz w:val="20"/>
              </w:rPr>
              <w:t xml:space="preserve">Recurrent and/or metastatic SCC of the head and neck, KPS </w:t>
            </w:r>
            <w:r w:rsidR="00766AA4">
              <w:rPr>
                <w:rFonts w:ascii="Arial Narrow" w:hAnsi="Arial Narrow"/>
                <w:sz w:val="20"/>
              </w:rPr>
              <w:t>≥</w:t>
            </w:r>
            <w:r w:rsidRPr="009635E0">
              <w:rPr>
                <w:rFonts w:ascii="Arial Narrow" w:hAnsi="Arial Narrow"/>
                <w:sz w:val="20"/>
              </w:rPr>
              <w:t>70, first-line treatment</w:t>
            </w:r>
            <w:r w:rsidR="0025616D">
              <w:rPr>
                <w:rFonts w:ascii="Arial Narrow" w:hAnsi="Arial Narrow"/>
                <w:sz w:val="20"/>
              </w:rPr>
              <w:t xml:space="preserve"> (</w:t>
            </w:r>
            <w:r w:rsidR="0025616D" w:rsidRPr="0025616D">
              <w:rPr>
                <w:rFonts w:ascii="Arial Narrow" w:hAnsi="Arial Narrow"/>
                <w:sz w:val="20"/>
              </w:rPr>
              <w:t xml:space="preserve">nasopharyngeal </w:t>
            </w:r>
            <w:r w:rsidR="000E468F">
              <w:rPr>
                <w:rFonts w:ascii="Arial Narrow" w:hAnsi="Arial Narrow"/>
                <w:sz w:val="20"/>
              </w:rPr>
              <w:t>excluded</w:t>
            </w:r>
            <w:r w:rsidR="0025616D">
              <w:rPr>
                <w:rFonts w:ascii="Arial Narrow" w:hAnsi="Arial Narrow"/>
                <w:sz w:val="20"/>
              </w:rPr>
              <w:t>)</w:t>
            </w:r>
          </w:p>
        </w:tc>
        <w:tc>
          <w:tcPr>
            <w:tcW w:w="580" w:type="pct"/>
            <w:vMerge w:val="restart"/>
            <w:shd w:val="clear" w:color="auto" w:fill="auto"/>
            <w:vAlign w:val="center"/>
          </w:tcPr>
          <w:p w:rsidR="00147C1D" w:rsidRPr="009635E0" w:rsidRDefault="00147C1D" w:rsidP="00322CD8">
            <w:pPr>
              <w:jc w:val="center"/>
              <w:rPr>
                <w:rFonts w:ascii="Arial Narrow" w:hAnsi="Arial Narrow"/>
                <w:sz w:val="20"/>
              </w:rPr>
            </w:pPr>
            <w:r w:rsidRPr="009635E0">
              <w:rPr>
                <w:rFonts w:ascii="Arial Narrow" w:hAnsi="Arial Narrow"/>
                <w:sz w:val="20"/>
              </w:rPr>
              <w:t>OS, PFS</w:t>
            </w:r>
          </w:p>
        </w:tc>
        <w:tc>
          <w:tcPr>
            <w:tcW w:w="520" w:type="pct"/>
            <w:vMerge w:val="restart"/>
            <w:shd w:val="clear" w:color="auto" w:fill="auto"/>
            <w:vAlign w:val="center"/>
          </w:tcPr>
          <w:p w:rsidR="00147C1D" w:rsidRPr="009635E0" w:rsidRDefault="00147C1D" w:rsidP="00322CD8">
            <w:pPr>
              <w:jc w:val="center"/>
              <w:rPr>
                <w:rFonts w:ascii="Arial Narrow" w:hAnsi="Arial Narrow"/>
                <w:sz w:val="20"/>
              </w:rPr>
            </w:pPr>
            <w:r w:rsidRPr="009635E0">
              <w:rPr>
                <w:rFonts w:ascii="Arial Narrow" w:hAnsi="Arial Narrow"/>
                <w:sz w:val="20"/>
              </w:rPr>
              <w:t>OS, PFS</w:t>
            </w:r>
          </w:p>
        </w:tc>
      </w:tr>
      <w:tr w:rsidR="00147C1D" w:rsidRPr="009635E0" w:rsidTr="00813404">
        <w:trPr>
          <w:trHeight w:val="595"/>
        </w:trPr>
        <w:tc>
          <w:tcPr>
            <w:tcW w:w="907" w:type="pct"/>
            <w:shd w:val="clear" w:color="auto" w:fill="auto"/>
            <w:vAlign w:val="center"/>
          </w:tcPr>
          <w:p w:rsidR="00147C1D" w:rsidRPr="009635E0" w:rsidRDefault="00147C1D" w:rsidP="00F57219">
            <w:pPr>
              <w:ind w:left="114"/>
              <w:jc w:val="left"/>
              <w:rPr>
                <w:rFonts w:ascii="Arial Narrow" w:hAnsi="Arial Narrow"/>
                <w:sz w:val="20"/>
              </w:rPr>
            </w:pPr>
            <w:r w:rsidRPr="009635E0">
              <w:rPr>
                <w:rFonts w:ascii="Arial Narrow" w:hAnsi="Arial Narrow"/>
                <w:i/>
                <w:iCs/>
                <w:sz w:val="20"/>
              </w:rPr>
              <w:t xml:space="preserve">Post hoc </w:t>
            </w:r>
            <w:r w:rsidRPr="009635E0">
              <w:rPr>
                <w:rFonts w:ascii="Arial Narrow" w:hAnsi="Arial Narrow"/>
                <w:sz w:val="20"/>
              </w:rPr>
              <w:t xml:space="preserve">subgroup: oral cavity </w:t>
            </w:r>
            <w:r>
              <w:rPr>
                <w:rFonts w:ascii="Arial Narrow" w:hAnsi="Arial Narrow"/>
                <w:sz w:val="20"/>
              </w:rPr>
              <w:t>&amp;</w:t>
            </w:r>
            <w:r w:rsidRPr="009635E0">
              <w:rPr>
                <w:rFonts w:ascii="Arial Narrow" w:hAnsi="Arial Narrow"/>
                <w:sz w:val="20"/>
              </w:rPr>
              <w:t xml:space="preserve"> KPS </w:t>
            </w:r>
            <w:r w:rsidR="00766AA4">
              <w:rPr>
                <w:rFonts w:ascii="Arial Narrow" w:hAnsi="Arial Narrow"/>
                <w:sz w:val="20"/>
              </w:rPr>
              <w:t>≥</w:t>
            </w:r>
            <w:r w:rsidRPr="009635E0">
              <w:rPr>
                <w:rFonts w:ascii="Arial Narrow" w:hAnsi="Arial Narrow"/>
                <w:sz w:val="20"/>
              </w:rPr>
              <w:t>80</w:t>
            </w:r>
          </w:p>
        </w:tc>
        <w:tc>
          <w:tcPr>
            <w:tcW w:w="282" w:type="pct"/>
            <w:shd w:val="clear" w:color="auto" w:fill="auto"/>
            <w:vAlign w:val="center"/>
          </w:tcPr>
          <w:p w:rsidR="00147C1D" w:rsidRPr="009635E0" w:rsidRDefault="00147C1D" w:rsidP="00322CD8">
            <w:pPr>
              <w:jc w:val="center"/>
              <w:rPr>
                <w:rFonts w:ascii="Arial Narrow" w:hAnsi="Arial Narrow"/>
                <w:sz w:val="20"/>
              </w:rPr>
            </w:pPr>
            <w:r w:rsidRPr="009635E0">
              <w:rPr>
                <w:rFonts w:ascii="Arial Narrow" w:hAnsi="Arial Narrow"/>
                <w:sz w:val="20"/>
              </w:rPr>
              <w:t>78</w:t>
            </w:r>
          </w:p>
        </w:tc>
        <w:tc>
          <w:tcPr>
            <w:tcW w:w="917" w:type="pct"/>
            <w:vMerge/>
            <w:shd w:val="clear" w:color="auto" w:fill="auto"/>
            <w:vAlign w:val="center"/>
          </w:tcPr>
          <w:p w:rsidR="00147C1D" w:rsidRPr="009635E0" w:rsidRDefault="00147C1D" w:rsidP="00322CD8">
            <w:pPr>
              <w:jc w:val="center"/>
              <w:rPr>
                <w:rFonts w:ascii="Arial Narrow" w:hAnsi="Arial Narrow"/>
                <w:sz w:val="20"/>
              </w:rPr>
            </w:pPr>
          </w:p>
        </w:tc>
        <w:tc>
          <w:tcPr>
            <w:tcW w:w="356" w:type="pct"/>
            <w:shd w:val="clear" w:color="auto" w:fill="auto"/>
            <w:vAlign w:val="center"/>
          </w:tcPr>
          <w:p w:rsidR="00147C1D" w:rsidRPr="007C282E" w:rsidRDefault="00147C1D" w:rsidP="00322CD8">
            <w:pPr>
              <w:jc w:val="center"/>
              <w:rPr>
                <w:rFonts w:ascii="Arial Narrow" w:hAnsi="Arial Narrow"/>
                <w:sz w:val="20"/>
              </w:rPr>
            </w:pPr>
            <w:r w:rsidRPr="007C282E">
              <w:rPr>
                <w:rFonts w:ascii="Arial Narrow" w:hAnsi="Arial Narrow"/>
                <w:iCs/>
                <w:sz w:val="20"/>
              </w:rPr>
              <w:t>High</w:t>
            </w:r>
          </w:p>
        </w:tc>
        <w:tc>
          <w:tcPr>
            <w:tcW w:w="1439" w:type="pct"/>
            <w:shd w:val="clear" w:color="auto" w:fill="auto"/>
            <w:vAlign w:val="center"/>
          </w:tcPr>
          <w:p w:rsidR="00147C1D" w:rsidRPr="009635E0" w:rsidRDefault="0014214A" w:rsidP="00FF0BB5">
            <w:pPr>
              <w:jc w:val="center"/>
              <w:rPr>
                <w:rFonts w:ascii="Arial Narrow" w:hAnsi="Arial Narrow"/>
                <w:sz w:val="20"/>
              </w:rPr>
            </w:pPr>
            <w:r>
              <w:rPr>
                <w:rFonts w:ascii="Arial Narrow" w:hAnsi="Arial Narrow"/>
                <w:sz w:val="20"/>
              </w:rPr>
              <w:t>P</w:t>
            </w:r>
            <w:r w:rsidRPr="009635E0">
              <w:rPr>
                <w:rFonts w:ascii="Arial Narrow" w:hAnsi="Arial Narrow"/>
                <w:sz w:val="20"/>
              </w:rPr>
              <w:t>rimary tumour</w:t>
            </w:r>
            <w:r>
              <w:rPr>
                <w:rFonts w:ascii="Arial Narrow" w:hAnsi="Arial Narrow"/>
                <w:sz w:val="20"/>
              </w:rPr>
              <w:t xml:space="preserve"> site</w:t>
            </w:r>
            <w:r w:rsidRPr="009635E0">
              <w:rPr>
                <w:rFonts w:ascii="Arial Narrow" w:hAnsi="Arial Narrow"/>
                <w:sz w:val="20"/>
              </w:rPr>
              <w:t xml:space="preserve">: oral cavity and KPS </w:t>
            </w:r>
            <w:r w:rsidR="00766AA4">
              <w:rPr>
                <w:rFonts w:ascii="Arial Narrow" w:hAnsi="Arial Narrow"/>
                <w:sz w:val="20"/>
              </w:rPr>
              <w:t>≥</w:t>
            </w:r>
            <w:r w:rsidRPr="009635E0">
              <w:rPr>
                <w:rFonts w:ascii="Arial Narrow" w:hAnsi="Arial Narrow"/>
                <w:sz w:val="20"/>
              </w:rPr>
              <w:t>80</w:t>
            </w:r>
          </w:p>
        </w:tc>
        <w:tc>
          <w:tcPr>
            <w:tcW w:w="580" w:type="pct"/>
            <w:vMerge/>
            <w:shd w:val="clear" w:color="auto" w:fill="auto"/>
            <w:vAlign w:val="center"/>
          </w:tcPr>
          <w:p w:rsidR="00147C1D" w:rsidRPr="009635E0" w:rsidRDefault="00147C1D" w:rsidP="00322CD8">
            <w:pPr>
              <w:jc w:val="center"/>
              <w:rPr>
                <w:rFonts w:ascii="Arial Narrow" w:hAnsi="Arial Narrow"/>
                <w:sz w:val="20"/>
              </w:rPr>
            </w:pPr>
          </w:p>
        </w:tc>
        <w:tc>
          <w:tcPr>
            <w:tcW w:w="520" w:type="pct"/>
            <w:vMerge/>
            <w:shd w:val="clear" w:color="auto" w:fill="auto"/>
            <w:vAlign w:val="center"/>
          </w:tcPr>
          <w:p w:rsidR="00147C1D" w:rsidRPr="009635E0" w:rsidRDefault="00147C1D" w:rsidP="00322CD8">
            <w:pPr>
              <w:jc w:val="center"/>
              <w:rPr>
                <w:rFonts w:ascii="Arial Narrow" w:hAnsi="Arial Narrow"/>
                <w:sz w:val="20"/>
              </w:rPr>
            </w:pPr>
          </w:p>
        </w:tc>
      </w:tr>
    </w:tbl>
    <w:p w:rsidR="007F1017" w:rsidRDefault="007F1017" w:rsidP="00E22A0D">
      <w:pPr>
        <w:pStyle w:val="TableFooter"/>
        <w:ind w:firstLine="720"/>
      </w:pPr>
      <w:r w:rsidRPr="009635E0">
        <w:t>Source: compiled during the evaluation</w:t>
      </w:r>
    </w:p>
    <w:p w:rsidR="00AE6038" w:rsidRPr="009635E0" w:rsidRDefault="00AE6038" w:rsidP="00261CE8">
      <w:pPr>
        <w:pStyle w:val="TableFooter"/>
        <w:ind w:left="720"/>
      </w:pPr>
      <w:r w:rsidRPr="00AE6038">
        <w:t>Abbreviations: ITT = intention-to-treat; KPS = Karnofsky Performance Status; MC = multi-centre; OL = open label; OS = overall survival; PFS = progression-free survival; PG = parallel group; R = randomised; SCC = squamous cell carcinoma</w:t>
      </w:r>
    </w:p>
    <w:p w:rsidR="007F1017" w:rsidRPr="009635E0" w:rsidRDefault="007F1017" w:rsidP="007F1017"/>
    <w:p w:rsidR="00B60939" w:rsidRPr="00101A5E" w:rsidRDefault="008B5A5C" w:rsidP="00B15815">
      <w:pPr>
        <w:pStyle w:val="ListParagraph"/>
        <w:widowControl/>
        <w:numPr>
          <w:ilvl w:val="1"/>
          <w:numId w:val="3"/>
        </w:numPr>
        <w:rPr>
          <w:iCs/>
          <w:szCs w:val="22"/>
        </w:rPr>
      </w:pPr>
      <w:r w:rsidRPr="007C282E">
        <w:rPr>
          <w:iCs/>
        </w:rPr>
        <w:t>The risk of bias for the post hoc subgroup analys</w:t>
      </w:r>
      <w:r w:rsidR="00542BC9" w:rsidRPr="007C282E">
        <w:rPr>
          <w:iCs/>
        </w:rPr>
        <w:t>e</w:t>
      </w:r>
      <w:r w:rsidRPr="007C282E">
        <w:rPr>
          <w:iCs/>
        </w:rPr>
        <w:t>s, which comprised 17.6</w:t>
      </w:r>
      <w:r w:rsidR="00101A5E" w:rsidRPr="007C282E">
        <w:rPr>
          <w:iCs/>
        </w:rPr>
        <w:t xml:space="preserve">% </w:t>
      </w:r>
      <w:r w:rsidR="00101A5E" w:rsidRPr="00101A5E">
        <w:rPr>
          <w:iCs/>
        </w:rPr>
        <w:t>of</w:t>
      </w:r>
      <w:r w:rsidRPr="00101A5E">
        <w:rPr>
          <w:iCs/>
        </w:rPr>
        <w:t xml:space="preserve"> </w:t>
      </w:r>
      <w:r w:rsidRPr="007C282E">
        <w:rPr>
          <w:iCs/>
        </w:rPr>
        <w:t xml:space="preserve">the </w:t>
      </w:r>
      <w:r w:rsidRPr="001F0A7F">
        <w:rPr>
          <w:iCs/>
        </w:rPr>
        <w:t xml:space="preserve">overall intention-to-treat (ITT) trial population, </w:t>
      </w:r>
      <w:r w:rsidR="001F59A7" w:rsidRPr="001F0A7F">
        <w:rPr>
          <w:iCs/>
        </w:rPr>
        <w:t xml:space="preserve">was </w:t>
      </w:r>
      <w:r w:rsidRPr="001F0A7F">
        <w:rPr>
          <w:iCs/>
        </w:rPr>
        <w:t>high. It was unclear whether the requested PBS-listing, consistent with the post hoc subgroup, was data-driven.</w:t>
      </w:r>
      <w:r w:rsidR="00D87D69" w:rsidRPr="001F0A7F">
        <w:rPr>
          <w:iCs/>
        </w:rPr>
        <w:t xml:space="preserve"> There were </w:t>
      </w:r>
      <w:r w:rsidR="00984871" w:rsidRPr="001F0A7F">
        <w:rPr>
          <w:iCs/>
        </w:rPr>
        <w:t>potential</w:t>
      </w:r>
      <w:r w:rsidR="00D87D69" w:rsidRPr="001F0A7F">
        <w:rPr>
          <w:iCs/>
        </w:rPr>
        <w:t xml:space="preserve"> differences in baseline characteristics between arms</w:t>
      </w:r>
      <w:r w:rsidR="0095631E" w:rsidRPr="001F0A7F">
        <w:rPr>
          <w:iCs/>
        </w:rPr>
        <w:t>, which may favour the cetuximab plus chemotherapy arm</w:t>
      </w:r>
      <w:r w:rsidR="00311B0B" w:rsidRPr="001F0A7F">
        <w:rPr>
          <w:iCs/>
        </w:rPr>
        <w:t>.</w:t>
      </w:r>
      <w:r w:rsidR="007F7BDA" w:rsidRPr="001F0A7F">
        <w:rPr>
          <w:iCs/>
        </w:rPr>
        <w:t xml:space="preserve"> The PSCR (p.2) argued that a </w:t>
      </w:r>
      <w:r w:rsidR="007F7BDA" w:rsidRPr="001F0A7F">
        <w:rPr>
          <w:iCs/>
        </w:rPr>
        <w:lastRenderedPageBreak/>
        <w:t xml:space="preserve">comparison of the baseline characteristics between treatment arms showed a balance of possible </w:t>
      </w:r>
      <w:r w:rsidR="003B4A52" w:rsidRPr="001F0A7F">
        <w:rPr>
          <w:iCs/>
        </w:rPr>
        <w:t>tendencies</w:t>
      </w:r>
      <w:r w:rsidR="007F7BDA" w:rsidRPr="001F0A7F">
        <w:rPr>
          <w:iCs/>
        </w:rPr>
        <w:t xml:space="preserve"> for both worse and better response to treatment, and that differences were therefore unlikely to explain the survival benefit.</w:t>
      </w:r>
      <w:r w:rsidR="00311B0B" w:rsidRPr="001F0A7F">
        <w:rPr>
          <w:iCs/>
        </w:rPr>
        <w:t xml:space="preserve"> </w:t>
      </w:r>
      <w:r w:rsidR="00AC402A" w:rsidRPr="001F0A7F">
        <w:rPr>
          <w:iCs/>
        </w:rPr>
        <w:t>The ESC noted that</w:t>
      </w:r>
      <w:r w:rsidR="001F59A7" w:rsidRPr="001F0A7F">
        <w:rPr>
          <w:iCs/>
        </w:rPr>
        <w:t xml:space="preserve"> only</w:t>
      </w:r>
      <w:r w:rsidR="00AC402A" w:rsidRPr="001F0A7F">
        <w:rPr>
          <w:iCs/>
        </w:rPr>
        <w:t xml:space="preserve"> </w:t>
      </w:r>
      <w:r w:rsidR="00E9019D">
        <w:rPr>
          <w:iCs/>
          <w:noProof/>
          <w:color w:val="000000"/>
          <w:highlight w:val="black"/>
        </w:rPr>
        <w:t>''''''</w:t>
      </w:r>
      <w:r w:rsidR="00AC402A" w:rsidRPr="001F0A7F">
        <w:rPr>
          <w:iCs/>
        </w:rPr>
        <w:t xml:space="preserve"> patients were represented in the post hoc subgroup analysis, and </w:t>
      </w:r>
      <w:r w:rsidR="007F7BDA" w:rsidRPr="001F0A7F">
        <w:rPr>
          <w:iCs/>
        </w:rPr>
        <w:t>considered that</w:t>
      </w:r>
      <w:r w:rsidR="00AC402A" w:rsidRPr="001F0A7F">
        <w:rPr>
          <w:iCs/>
        </w:rPr>
        <w:t xml:space="preserve"> the risk of bias was high.</w:t>
      </w:r>
      <w:r w:rsidR="007F7BDA" w:rsidRPr="007F7BDA">
        <w:rPr>
          <w:i/>
          <w:iCs/>
        </w:rPr>
        <w:t xml:space="preserve"> </w:t>
      </w:r>
    </w:p>
    <w:p w:rsidR="00A6799D" w:rsidRPr="007C282E" w:rsidRDefault="00A6799D" w:rsidP="008B5A5C">
      <w:pPr>
        <w:pStyle w:val="ListParagraph"/>
        <w:widowControl/>
        <w:rPr>
          <w:szCs w:val="22"/>
        </w:rPr>
      </w:pPr>
    </w:p>
    <w:p w:rsidR="00B60939" w:rsidRPr="009635E0" w:rsidRDefault="00B60939" w:rsidP="00DE732C">
      <w:pPr>
        <w:pStyle w:val="Heading2"/>
      </w:pPr>
      <w:bookmarkStart w:id="15" w:name="_Toc437869737"/>
      <w:bookmarkStart w:id="16" w:name="_Toc441050433"/>
      <w:r w:rsidRPr="009635E0">
        <w:t>Comparative effectiveness</w:t>
      </w:r>
      <w:bookmarkEnd w:id="15"/>
      <w:bookmarkEnd w:id="16"/>
    </w:p>
    <w:p w:rsidR="006E38E4" w:rsidRPr="009635E0" w:rsidRDefault="006E38E4" w:rsidP="005403C2">
      <w:pPr>
        <w:ind w:firstLine="720"/>
        <w:rPr>
          <w:rFonts w:ascii="Arial Narrow" w:hAnsi="Arial Narrow"/>
          <w:b/>
          <w:bCs/>
          <w:sz w:val="20"/>
        </w:rPr>
      </w:pPr>
      <w:r>
        <w:rPr>
          <w:rFonts w:ascii="Arial Narrow" w:hAnsi="Arial Narrow"/>
          <w:b/>
          <w:bCs/>
          <w:sz w:val="20"/>
        </w:rPr>
        <w:t xml:space="preserve">Table </w:t>
      </w:r>
      <w:r w:rsidR="005403C2">
        <w:rPr>
          <w:rFonts w:ascii="Arial Narrow" w:hAnsi="Arial Narrow"/>
          <w:b/>
          <w:bCs/>
          <w:sz w:val="20"/>
        </w:rPr>
        <w:t>3</w:t>
      </w:r>
      <w:r>
        <w:rPr>
          <w:rFonts w:ascii="Arial Narrow" w:hAnsi="Arial Narrow"/>
          <w:b/>
          <w:bCs/>
          <w:sz w:val="20"/>
        </w:rPr>
        <w:t xml:space="preserve">: </w:t>
      </w:r>
      <w:r w:rsidRPr="009635E0">
        <w:rPr>
          <w:rFonts w:ascii="Arial Narrow" w:hAnsi="Arial Narrow"/>
          <w:b/>
          <w:bCs/>
          <w:sz w:val="20"/>
        </w:rPr>
        <w:t>Overall survival in the EXTREME trial (primary outcome)</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786"/>
        <w:gridCol w:w="1403"/>
        <w:gridCol w:w="1403"/>
        <w:gridCol w:w="1403"/>
        <w:gridCol w:w="1403"/>
      </w:tblGrid>
      <w:tr w:rsidR="006E38E4" w:rsidRPr="009635E0" w:rsidTr="004133FE">
        <w:trPr>
          <w:trHeight w:val="244"/>
        </w:trPr>
        <w:tc>
          <w:tcPr>
            <w:tcW w:w="2786" w:type="dxa"/>
            <w:vMerge w:val="restart"/>
            <w:shd w:val="clear" w:color="auto" w:fill="auto"/>
            <w:vAlign w:val="center"/>
          </w:tcPr>
          <w:p w:rsidR="006E38E4" w:rsidRPr="009635E0" w:rsidRDefault="006E38E4" w:rsidP="00A41130">
            <w:pPr>
              <w:jc w:val="left"/>
              <w:rPr>
                <w:rFonts w:ascii="Arial Narrow" w:hAnsi="Arial Narrow"/>
                <w:b/>
                <w:bCs/>
                <w:sz w:val="20"/>
              </w:rPr>
            </w:pPr>
            <w:r w:rsidRPr="009635E0">
              <w:rPr>
                <w:rFonts w:ascii="Arial Narrow" w:hAnsi="Arial Narrow"/>
                <w:b/>
                <w:bCs/>
                <w:sz w:val="20"/>
              </w:rPr>
              <w:t>Response variable</w:t>
            </w:r>
          </w:p>
        </w:tc>
        <w:tc>
          <w:tcPr>
            <w:tcW w:w="2806" w:type="dxa"/>
            <w:gridSpan w:val="2"/>
            <w:tcBorders>
              <w:right w:val="double" w:sz="4" w:space="0" w:color="auto"/>
            </w:tcBorders>
            <w:shd w:val="clear" w:color="auto" w:fill="auto"/>
            <w:vAlign w:val="center"/>
          </w:tcPr>
          <w:p w:rsidR="006E38E4" w:rsidRPr="009635E0" w:rsidRDefault="006E38E4" w:rsidP="00A41130">
            <w:pPr>
              <w:jc w:val="center"/>
              <w:rPr>
                <w:rFonts w:ascii="Arial Narrow" w:hAnsi="Arial Narrow"/>
                <w:b/>
                <w:bCs/>
                <w:sz w:val="20"/>
              </w:rPr>
            </w:pPr>
            <w:r w:rsidRPr="009635E0">
              <w:rPr>
                <w:rFonts w:ascii="Arial Narrow" w:hAnsi="Arial Narrow"/>
                <w:b/>
                <w:bCs/>
                <w:sz w:val="20"/>
              </w:rPr>
              <w:t>ITT population</w:t>
            </w:r>
          </w:p>
        </w:tc>
        <w:tc>
          <w:tcPr>
            <w:tcW w:w="2806" w:type="dxa"/>
            <w:gridSpan w:val="2"/>
            <w:tcBorders>
              <w:left w:val="double" w:sz="4" w:space="0" w:color="auto"/>
            </w:tcBorders>
            <w:shd w:val="clear" w:color="auto" w:fill="auto"/>
          </w:tcPr>
          <w:p w:rsidR="006E38E4" w:rsidRPr="009635E0" w:rsidRDefault="006E38E4" w:rsidP="004133FE">
            <w:pPr>
              <w:jc w:val="center"/>
              <w:rPr>
                <w:rFonts w:ascii="Arial Narrow" w:hAnsi="Arial Narrow"/>
                <w:b/>
                <w:bCs/>
                <w:i/>
                <w:iCs/>
                <w:sz w:val="20"/>
              </w:rPr>
            </w:pPr>
            <w:r w:rsidRPr="009635E0">
              <w:rPr>
                <w:rFonts w:ascii="Arial Narrow" w:hAnsi="Arial Narrow"/>
                <w:b/>
                <w:bCs/>
                <w:sz w:val="20"/>
              </w:rPr>
              <w:t xml:space="preserve">Oral cavity </w:t>
            </w:r>
            <w:r w:rsidR="004133FE">
              <w:rPr>
                <w:rFonts w:ascii="Arial Narrow" w:hAnsi="Arial Narrow"/>
                <w:b/>
                <w:bCs/>
                <w:sz w:val="20"/>
              </w:rPr>
              <w:t>&amp;</w:t>
            </w:r>
            <w:r w:rsidRPr="009635E0">
              <w:rPr>
                <w:rFonts w:ascii="Arial Narrow" w:hAnsi="Arial Narrow"/>
                <w:b/>
                <w:bCs/>
                <w:sz w:val="20"/>
              </w:rPr>
              <w:t xml:space="preserve"> KPS </w:t>
            </w:r>
            <w:r w:rsidR="00766AA4">
              <w:rPr>
                <w:rFonts w:ascii="Arial Narrow" w:hAnsi="Arial Narrow"/>
                <w:b/>
                <w:bCs/>
                <w:sz w:val="20"/>
              </w:rPr>
              <w:t>≥</w:t>
            </w:r>
            <w:r w:rsidRPr="009635E0">
              <w:rPr>
                <w:rFonts w:ascii="Arial Narrow" w:hAnsi="Arial Narrow"/>
                <w:b/>
                <w:bCs/>
                <w:sz w:val="20"/>
              </w:rPr>
              <w:t>80 (</w:t>
            </w:r>
            <w:r w:rsidRPr="009635E0">
              <w:rPr>
                <w:rFonts w:ascii="Arial Narrow" w:hAnsi="Arial Narrow"/>
                <w:b/>
                <w:bCs/>
                <w:i/>
                <w:iCs/>
                <w:sz w:val="20"/>
              </w:rPr>
              <w:t>post hoc</w:t>
            </w:r>
            <w:r w:rsidRPr="009635E0">
              <w:rPr>
                <w:rFonts w:ascii="Arial Narrow" w:hAnsi="Arial Narrow"/>
                <w:b/>
                <w:bCs/>
                <w:sz w:val="20"/>
              </w:rPr>
              <w:t>)</w:t>
            </w:r>
          </w:p>
        </w:tc>
      </w:tr>
      <w:tr w:rsidR="004133FE" w:rsidRPr="009635E0" w:rsidTr="004133FE">
        <w:trPr>
          <w:trHeight w:val="219"/>
        </w:trPr>
        <w:tc>
          <w:tcPr>
            <w:tcW w:w="2786" w:type="dxa"/>
            <w:vMerge/>
            <w:shd w:val="clear" w:color="auto" w:fill="auto"/>
          </w:tcPr>
          <w:p w:rsidR="006E38E4" w:rsidRPr="009635E0" w:rsidRDefault="006E38E4" w:rsidP="00A41130">
            <w:pPr>
              <w:jc w:val="left"/>
              <w:rPr>
                <w:rFonts w:ascii="Arial Narrow" w:hAnsi="Arial Narrow"/>
                <w:b/>
                <w:bCs/>
                <w:sz w:val="20"/>
              </w:rPr>
            </w:pPr>
          </w:p>
        </w:tc>
        <w:tc>
          <w:tcPr>
            <w:tcW w:w="1403" w:type="dxa"/>
            <w:shd w:val="clear" w:color="auto" w:fill="auto"/>
            <w:vAlign w:val="center"/>
          </w:tcPr>
          <w:p w:rsidR="006E38E4" w:rsidRPr="009635E0" w:rsidRDefault="006E38E4" w:rsidP="00A41130">
            <w:pPr>
              <w:jc w:val="center"/>
              <w:rPr>
                <w:rFonts w:ascii="Arial Narrow" w:hAnsi="Arial Narrow"/>
                <w:b/>
                <w:bCs/>
                <w:sz w:val="20"/>
              </w:rPr>
            </w:pPr>
            <w:r w:rsidRPr="009635E0">
              <w:rPr>
                <w:rFonts w:ascii="Arial Narrow" w:hAnsi="Arial Narrow"/>
                <w:b/>
                <w:bCs/>
                <w:sz w:val="20"/>
              </w:rPr>
              <w:t>Cetuximab + CT</w:t>
            </w:r>
          </w:p>
          <w:p w:rsidR="006E38E4" w:rsidRPr="009635E0" w:rsidRDefault="006E38E4" w:rsidP="00A41130">
            <w:pPr>
              <w:jc w:val="center"/>
              <w:rPr>
                <w:rFonts w:ascii="Arial Narrow" w:hAnsi="Arial Narrow"/>
                <w:b/>
                <w:bCs/>
                <w:sz w:val="20"/>
              </w:rPr>
            </w:pPr>
            <w:r w:rsidRPr="009635E0">
              <w:rPr>
                <w:rFonts w:ascii="Arial Narrow" w:hAnsi="Arial Narrow"/>
                <w:b/>
                <w:bCs/>
                <w:sz w:val="20"/>
              </w:rPr>
              <w:t>(N=222)</w:t>
            </w:r>
          </w:p>
        </w:tc>
        <w:tc>
          <w:tcPr>
            <w:tcW w:w="1403" w:type="dxa"/>
            <w:tcBorders>
              <w:right w:val="double" w:sz="4" w:space="0" w:color="auto"/>
            </w:tcBorders>
            <w:shd w:val="clear" w:color="auto" w:fill="auto"/>
            <w:vAlign w:val="center"/>
          </w:tcPr>
          <w:p w:rsidR="006E38E4" w:rsidRPr="009635E0" w:rsidRDefault="006E38E4" w:rsidP="00A41130">
            <w:pPr>
              <w:jc w:val="center"/>
              <w:rPr>
                <w:rFonts w:ascii="Arial Narrow" w:hAnsi="Arial Narrow"/>
                <w:b/>
                <w:bCs/>
                <w:sz w:val="20"/>
              </w:rPr>
            </w:pPr>
            <w:r w:rsidRPr="009635E0">
              <w:rPr>
                <w:rFonts w:ascii="Arial Narrow" w:hAnsi="Arial Narrow"/>
                <w:b/>
                <w:bCs/>
                <w:sz w:val="20"/>
              </w:rPr>
              <w:t>CT alone</w:t>
            </w:r>
          </w:p>
          <w:p w:rsidR="006E38E4" w:rsidRPr="009635E0" w:rsidRDefault="006E38E4" w:rsidP="00A41130">
            <w:pPr>
              <w:jc w:val="center"/>
              <w:rPr>
                <w:rFonts w:ascii="Arial Narrow" w:hAnsi="Arial Narrow"/>
                <w:b/>
                <w:bCs/>
                <w:sz w:val="20"/>
              </w:rPr>
            </w:pPr>
            <w:r w:rsidRPr="009635E0">
              <w:rPr>
                <w:rFonts w:ascii="Arial Narrow" w:hAnsi="Arial Narrow"/>
                <w:b/>
                <w:bCs/>
                <w:sz w:val="20"/>
              </w:rPr>
              <w:t>(N=220)</w:t>
            </w:r>
          </w:p>
        </w:tc>
        <w:tc>
          <w:tcPr>
            <w:tcW w:w="1403" w:type="dxa"/>
            <w:tcBorders>
              <w:left w:val="double" w:sz="4" w:space="0" w:color="auto"/>
            </w:tcBorders>
            <w:shd w:val="clear" w:color="auto" w:fill="auto"/>
          </w:tcPr>
          <w:p w:rsidR="006E38E4" w:rsidRPr="009635E0" w:rsidRDefault="006E38E4" w:rsidP="00A41130">
            <w:pPr>
              <w:jc w:val="center"/>
              <w:rPr>
                <w:rFonts w:ascii="Arial Narrow" w:hAnsi="Arial Narrow"/>
                <w:b/>
                <w:bCs/>
                <w:sz w:val="20"/>
              </w:rPr>
            </w:pPr>
            <w:r w:rsidRPr="009635E0">
              <w:rPr>
                <w:rFonts w:ascii="Arial Narrow" w:hAnsi="Arial Narrow"/>
                <w:b/>
                <w:bCs/>
                <w:sz w:val="20"/>
              </w:rPr>
              <w:t>Cetuximab + CT</w:t>
            </w:r>
          </w:p>
          <w:p w:rsidR="006E38E4" w:rsidRPr="009635E0" w:rsidRDefault="006E38E4" w:rsidP="00A41130">
            <w:pPr>
              <w:jc w:val="center"/>
              <w:rPr>
                <w:rFonts w:ascii="Arial Narrow" w:hAnsi="Arial Narrow"/>
                <w:b/>
                <w:bCs/>
                <w:sz w:val="20"/>
              </w:rPr>
            </w:pPr>
            <w:r w:rsidRPr="009635E0">
              <w:rPr>
                <w:rFonts w:ascii="Arial Narrow" w:hAnsi="Arial Narrow"/>
                <w:b/>
                <w:bCs/>
                <w:sz w:val="20"/>
              </w:rPr>
              <w:t>(N=43)</w:t>
            </w:r>
          </w:p>
        </w:tc>
        <w:tc>
          <w:tcPr>
            <w:tcW w:w="1403" w:type="dxa"/>
            <w:shd w:val="clear" w:color="auto" w:fill="auto"/>
          </w:tcPr>
          <w:p w:rsidR="006E38E4" w:rsidRPr="009635E0" w:rsidRDefault="006E38E4" w:rsidP="00A41130">
            <w:pPr>
              <w:jc w:val="center"/>
              <w:rPr>
                <w:rFonts w:ascii="Arial Narrow" w:hAnsi="Arial Narrow"/>
                <w:b/>
                <w:bCs/>
                <w:sz w:val="20"/>
              </w:rPr>
            </w:pPr>
            <w:r w:rsidRPr="009635E0">
              <w:rPr>
                <w:rFonts w:ascii="Arial Narrow" w:hAnsi="Arial Narrow"/>
                <w:b/>
                <w:bCs/>
                <w:sz w:val="20"/>
              </w:rPr>
              <w:t>CT alone</w:t>
            </w:r>
          </w:p>
          <w:p w:rsidR="006E38E4" w:rsidRPr="009635E0" w:rsidRDefault="006E38E4" w:rsidP="00A41130">
            <w:pPr>
              <w:jc w:val="center"/>
              <w:rPr>
                <w:rFonts w:ascii="Arial Narrow" w:hAnsi="Arial Narrow"/>
                <w:b/>
                <w:bCs/>
                <w:sz w:val="20"/>
              </w:rPr>
            </w:pPr>
            <w:r w:rsidRPr="009635E0">
              <w:rPr>
                <w:rFonts w:ascii="Arial Narrow" w:hAnsi="Arial Narrow"/>
                <w:b/>
                <w:bCs/>
                <w:sz w:val="20"/>
              </w:rPr>
              <w:t>(N=35)</w:t>
            </w:r>
          </w:p>
        </w:tc>
      </w:tr>
      <w:tr w:rsidR="004133FE" w:rsidRPr="009635E0" w:rsidTr="004133FE">
        <w:tc>
          <w:tcPr>
            <w:tcW w:w="2786" w:type="dxa"/>
            <w:shd w:val="clear" w:color="auto" w:fill="auto"/>
            <w:vAlign w:val="center"/>
          </w:tcPr>
          <w:p w:rsidR="006E38E4" w:rsidRPr="009635E0" w:rsidRDefault="006E38E4" w:rsidP="00A41130">
            <w:pPr>
              <w:jc w:val="left"/>
              <w:rPr>
                <w:rFonts w:ascii="Arial Narrow" w:hAnsi="Arial Narrow"/>
                <w:sz w:val="20"/>
              </w:rPr>
            </w:pPr>
            <w:r w:rsidRPr="009635E0">
              <w:rPr>
                <w:rFonts w:ascii="Arial Narrow" w:hAnsi="Arial Narrow"/>
                <w:sz w:val="20"/>
              </w:rPr>
              <w:t>Number of deaths, n (%)</w:t>
            </w:r>
          </w:p>
        </w:tc>
        <w:tc>
          <w:tcPr>
            <w:tcW w:w="1403" w:type="dxa"/>
            <w:shd w:val="clear" w:color="auto" w:fill="auto"/>
            <w:vAlign w:val="center"/>
          </w:tcPr>
          <w:p w:rsidR="006E38E4" w:rsidRPr="009635E0" w:rsidRDefault="006E38E4" w:rsidP="00A41130">
            <w:pPr>
              <w:jc w:val="center"/>
              <w:rPr>
                <w:rFonts w:ascii="Arial Narrow" w:hAnsi="Arial Narrow"/>
                <w:sz w:val="20"/>
              </w:rPr>
            </w:pPr>
            <w:r w:rsidRPr="009635E0">
              <w:rPr>
                <w:rFonts w:ascii="Arial Narrow" w:hAnsi="Arial Narrow"/>
                <w:sz w:val="20"/>
              </w:rPr>
              <w:t>167 (75.2)</w:t>
            </w:r>
          </w:p>
        </w:tc>
        <w:tc>
          <w:tcPr>
            <w:tcW w:w="1403" w:type="dxa"/>
            <w:tcBorders>
              <w:right w:val="double" w:sz="4" w:space="0" w:color="auto"/>
            </w:tcBorders>
            <w:shd w:val="clear" w:color="auto" w:fill="auto"/>
            <w:vAlign w:val="center"/>
          </w:tcPr>
          <w:p w:rsidR="006E38E4" w:rsidRPr="009635E0" w:rsidRDefault="006E38E4" w:rsidP="00A41130">
            <w:pPr>
              <w:jc w:val="center"/>
              <w:rPr>
                <w:rFonts w:ascii="Arial Narrow" w:hAnsi="Arial Narrow"/>
                <w:sz w:val="20"/>
              </w:rPr>
            </w:pPr>
            <w:r w:rsidRPr="009635E0">
              <w:rPr>
                <w:rFonts w:ascii="Arial Narrow" w:hAnsi="Arial Narrow"/>
                <w:sz w:val="20"/>
              </w:rPr>
              <w:t>176 (80.0)</w:t>
            </w:r>
          </w:p>
        </w:tc>
        <w:tc>
          <w:tcPr>
            <w:tcW w:w="1403" w:type="dxa"/>
            <w:tcBorders>
              <w:left w:val="double" w:sz="4" w:space="0" w:color="auto"/>
            </w:tcBorders>
            <w:shd w:val="clear" w:color="auto" w:fill="auto"/>
          </w:tcPr>
          <w:p w:rsidR="006E38E4" w:rsidRPr="009635E0" w:rsidRDefault="00E9019D" w:rsidP="00A41130">
            <w:pPr>
              <w:jc w:val="center"/>
              <w:rPr>
                <w:rFonts w:ascii="Arial Narrow" w:hAnsi="Arial Narrow"/>
                <w:sz w:val="20"/>
              </w:rPr>
            </w:pP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w:t>
            </w:r>
          </w:p>
        </w:tc>
        <w:tc>
          <w:tcPr>
            <w:tcW w:w="1403" w:type="dxa"/>
            <w:shd w:val="clear" w:color="auto" w:fill="auto"/>
          </w:tcPr>
          <w:p w:rsidR="006E38E4" w:rsidRPr="009635E0" w:rsidRDefault="00E9019D" w:rsidP="00A41130">
            <w:pPr>
              <w:jc w:val="center"/>
              <w:rPr>
                <w:rFonts w:ascii="Arial Narrow" w:hAnsi="Arial Narrow"/>
                <w:sz w:val="20"/>
              </w:rPr>
            </w:pP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w:t>
            </w:r>
          </w:p>
        </w:tc>
      </w:tr>
      <w:tr w:rsidR="004133FE" w:rsidRPr="009635E0" w:rsidTr="004133FE">
        <w:tc>
          <w:tcPr>
            <w:tcW w:w="2786" w:type="dxa"/>
            <w:shd w:val="clear" w:color="auto" w:fill="auto"/>
            <w:vAlign w:val="center"/>
          </w:tcPr>
          <w:p w:rsidR="006E38E4" w:rsidRPr="009635E0" w:rsidRDefault="006E38E4" w:rsidP="00A41130">
            <w:pPr>
              <w:jc w:val="left"/>
              <w:rPr>
                <w:rFonts w:ascii="Arial Narrow" w:hAnsi="Arial Narrow"/>
                <w:sz w:val="20"/>
              </w:rPr>
            </w:pPr>
            <w:r w:rsidRPr="009635E0">
              <w:rPr>
                <w:rFonts w:ascii="Arial Narrow" w:hAnsi="Arial Narrow"/>
                <w:sz w:val="20"/>
              </w:rPr>
              <w:t>OS time in months, median (95% CI)</w:t>
            </w:r>
          </w:p>
        </w:tc>
        <w:tc>
          <w:tcPr>
            <w:tcW w:w="1403" w:type="dxa"/>
            <w:shd w:val="clear" w:color="auto" w:fill="auto"/>
            <w:vAlign w:val="center"/>
          </w:tcPr>
          <w:p w:rsidR="006E38E4" w:rsidRPr="009635E0" w:rsidRDefault="006E38E4" w:rsidP="00A41130">
            <w:pPr>
              <w:jc w:val="center"/>
              <w:rPr>
                <w:rFonts w:ascii="Arial Narrow" w:hAnsi="Arial Narrow"/>
                <w:sz w:val="20"/>
              </w:rPr>
            </w:pPr>
            <w:r w:rsidRPr="009635E0">
              <w:rPr>
                <w:rFonts w:ascii="Arial Narrow" w:hAnsi="Arial Narrow"/>
                <w:sz w:val="20"/>
              </w:rPr>
              <w:t>10.1 (8.6, 11.2)</w:t>
            </w:r>
          </w:p>
        </w:tc>
        <w:tc>
          <w:tcPr>
            <w:tcW w:w="1403" w:type="dxa"/>
            <w:tcBorders>
              <w:right w:val="double" w:sz="4" w:space="0" w:color="auto"/>
            </w:tcBorders>
            <w:shd w:val="clear" w:color="auto" w:fill="auto"/>
            <w:vAlign w:val="center"/>
          </w:tcPr>
          <w:p w:rsidR="006E38E4" w:rsidRPr="009635E0" w:rsidRDefault="006E38E4" w:rsidP="00A41130">
            <w:pPr>
              <w:jc w:val="center"/>
              <w:rPr>
                <w:rFonts w:ascii="Arial Narrow" w:hAnsi="Arial Narrow"/>
                <w:sz w:val="20"/>
              </w:rPr>
            </w:pPr>
            <w:r w:rsidRPr="009635E0">
              <w:rPr>
                <w:rFonts w:ascii="Arial Narrow" w:hAnsi="Arial Narrow"/>
                <w:sz w:val="20"/>
              </w:rPr>
              <w:t>7.4 (6.4, 8.3)</w:t>
            </w:r>
          </w:p>
        </w:tc>
        <w:tc>
          <w:tcPr>
            <w:tcW w:w="1403" w:type="dxa"/>
            <w:tcBorders>
              <w:left w:val="double" w:sz="4" w:space="0" w:color="auto"/>
            </w:tcBorders>
            <w:shd w:val="clear" w:color="auto" w:fill="auto"/>
          </w:tcPr>
          <w:p w:rsidR="006E38E4" w:rsidRPr="009635E0" w:rsidRDefault="00E9019D" w:rsidP="00A41130">
            <w:pPr>
              <w:jc w:val="center"/>
              <w:rPr>
                <w:rFonts w:ascii="Arial Narrow" w:hAnsi="Arial Narrow"/>
                <w:sz w:val="20"/>
              </w:rPr>
            </w:pP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w:t>
            </w:r>
          </w:p>
        </w:tc>
        <w:tc>
          <w:tcPr>
            <w:tcW w:w="1403" w:type="dxa"/>
            <w:shd w:val="clear" w:color="auto" w:fill="auto"/>
          </w:tcPr>
          <w:p w:rsidR="006E38E4" w:rsidRPr="009635E0" w:rsidRDefault="00E9019D" w:rsidP="00A41130">
            <w:pPr>
              <w:jc w:val="center"/>
              <w:rPr>
                <w:rFonts w:ascii="Arial Narrow" w:hAnsi="Arial Narrow"/>
                <w:sz w:val="20"/>
              </w:rPr>
            </w:pP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 xml:space="preserve">, </w:t>
            </w:r>
            <w:r>
              <w:rPr>
                <w:rFonts w:ascii="Arial Narrow" w:hAnsi="Arial Narrow"/>
                <w:noProof/>
                <w:color w:val="000000"/>
                <w:sz w:val="20"/>
                <w:highlight w:val="black"/>
              </w:rPr>
              <w:t>'''''''</w:t>
            </w:r>
            <w:r w:rsidR="006E38E4" w:rsidRPr="009635E0">
              <w:rPr>
                <w:rFonts w:ascii="Arial Narrow" w:hAnsi="Arial Narrow"/>
                <w:sz w:val="20"/>
              </w:rPr>
              <w:t>)</w:t>
            </w:r>
          </w:p>
        </w:tc>
      </w:tr>
      <w:tr w:rsidR="006E38E4" w:rsidRPr="009635E0" w:rsidTr="004133FE">
        <w:tc>
          <w:tcPr>
            <w:tcW w:w="2786" w:type="dxa"/>
            <w:shd w:val="clear" w:color="auto" w:fill="auto"/>
            <w:vAlign w:val="center"/>
          </w:tcPr>
          <w:p w:rsidR="006E38E4" w:rsidRPr="009635E0" w:rsidRDefault="006E38E4" w:rsidP="00A41130">
            <w:pPr>
              <w:jc w:val="left"/>
              <w:rPr>
                <w:rFonts w:ascii="Arial Narrow" w:hAnsi="Arial Narrow"/>
                <w:sz w:val="20"/>
              </w:rPr>
            </w:pPr>
            <w:r w:rsidRPr="009635E0">
              <w:rPr>
                <w:rFonts w:ascii="Arial Narrow" w:hAnsi="Arial Narrow"/>
                <w:sz w:val="20"/>
              </w:rPr>
              <w:t>Hazard ratio (stratified) (95% CI)</w:t>
            </w:r>
          </w:p>
        </w:tc>
        <w:tc>
          <w:tcPr>
            <w:tcW w:w="2806" w:type="dxa"/>
            <w:gridSpan w:val="2"/>
            <w:tcBorders>
              <w:right w:val="double" w:sz="4" w:space="0" w:color="auto"/>
            </w:tcBorders>
            <w:shd w:val="clear" w:color="auto" w:fill="auto"/>
            <w:vAlign w:val="center"/>
          </w:tcPr>
          <w:p w:rsidR="006E38E4" w:rsidRPr="009635E0" w:rsidRDefault="006E38E4" w:rsidP="00A41130">
            <w:pPr>
              <w:jc w:val="center"/>
              <w:rPr>
                <w:rFonts w:ascii="Arial Narrow" w:hAnsi="Arial Narrow"/>
                <w:b/>
                <w:bCs/>
                <w:sz w:val="20"/>
              </w:rPr>
            </w:pPr>
            <w:r w:rsidRPr="009635E0">
              <w:rPr>
                <w:rFonts w:ascii="Arial Narrow" w:hAnsi="Arial Narrow"/>
                <w:b/>
                <w:bCs/>
                <w:sz w:val="20"/>
              </w:rPr>
              <w:t>0.797 (0.644, 0.986)</w:t>
            </w:r>
          </w:p>
        </w:tc>
        <w:tc>
          <w:tcPr>
            <w:tcW w:w="2806" w:type="dxa"/>
            <w:gridSpan w:val="2"/>
            <w:tcBorders>
              <w:left w:val="double" w:sz="4" w:space="0" w:color="auto"/>
            </w:tcBorders>
            <w:shd w:val="clear" w:color="auto" w:fill="auto"/>
          </w:tcPr>
          <w:p w:rsidR="006E38E4" w:rsidRPr="009635E0" w:rsidRDefault="006E38E4" w:rsidP="00A41130">
            <w:pPr>
              <w:jc w:val="center"/>
              <w:rPr>
                <w:rFonts w:ascii="Arial Narrow" w:hAnsi="Arial Narrow"/>
                <w:b/>
                <w:bCs/>
                <w:sz w:val="20"/>
              </w:rPr>
            </w:pPr>
            <w:r w:rsidRPr="008D1EA7">
              <w:rPr>
                <w:rFonts w:ascii="Arial Narrow" w:hAnsi="Arial Narrow"/>
                <w:b/>
                <w:bCs/>
                <w:sz w:val="20"/>
              </w:rPr>
              <w:t>0.347 (0.207, 0.581)</w:t>
            </w:r>
          </w:p>
        </w:tc>
      </w:tr>
      <w:tr w:rsidR="006E38E4" w:rsidRPr="009635E0" w:rsidTr="004133FE">
        <w:trPr>
          <w:trHeight w:val="56"/>
        </w:trPr>
        <w:tc>
          <w:tcPr>
            <w:tcW w:w="2786" w:type="dxa"/>
            <w:shd w:val="clear" w:color="auto" w:fill="auto"/>
            <w:vAlign w:val="center"/>
          </w:tcPr>
          <w:p w:rsidR="006E38E4" w:rsidRPr="009635E0" w:rsidRDefault="006E38E4" w:rsidP="00A41130">
            <w:pPr>
              <w:jc w:val="left"/>
              <w:rPr>
                <w:rFonts w:ascii="Arial Narrow" w:hAnsi="Arial Narrow"/>
                <w:sz w:val="20"/>
              </w:rPr>
            </w:pPr>
            <w:r w:rsidRPr="009635E0">
              <w:rPr>
                <w:rFonts w:ascii="Arial Narrow" w:hAnsi="Arial Narrow"/>
                <w:sz w:val="20"/>
              </w:rPr>
              <w:t>Log rank p-value (stratified)</w:t>
            </w:r>
          </w:p>
        </w:tc>
        <w:tc>
          <w:tcPr>
            <w:tcW w:w="2806" w:type="dxa"/>
            <w:gridSpan w:val="2"/>
            <w:tcBorders>
              <w:right w:val="double" w:sz="4" w:space="0" w:color="auto"/>
            </w:tcBorders>
            <w:shd w:val="clear" w:color="auto" w:fill="auto"/>
            <w:vAlign w:val="center"/>
          </w:tcPr>
          <w:p w:rsidR="006E38E4" w:rsidRPr="009635E0" w:rsidRDefault="006E38E4" w:rsidP="00A41130">
            <w:pPr>
              <w:jc w:val="center"/>
              <w:rPr>
                <w:rFonts w:ascii="Arial Narrow" w:hAnsi="Arial Narrow"/>
                <w:b/>
                <w:bCs/>
                <w:sz w:val="20"/>
              </w:rPr>
            </w:pPr>
            <w:r w:rsidRPr="009635E0">
              <w:rPr>
                <w:rFonts w:ascii="Arial Narrow" w:hAnsi="Arial Narrow"/>
                <w:b/>
                <w:bCs/>
                <w:sz w:val="20"/>
              </w:rPr>
              <w:t>0.036</w:t>
            </w:r>
          </w:p>
        </w:tc>
        <w:tc>
          <w:tcPr>
            <w:tcW w:w="2806" w:type="dxa"/>
            <w:gridSpan w:val="2"/>
            <w:tcBorders>
              <w:left w:val="double" w:sz="4" w:space="0" w:color="auto"/>
            </w:tcBorders>
            <w:shd w:val="clear" w:color="auto" w:fill="auto"/>
          </w:tcPr>
          <w:p w:rsidR="006E38E4" w:rsidRPr="009635E0" w:rsidRDefault="006E38E4" w:rsidP="00A41130">
            <w:pPr>
              <w:jc w:val="center"/>
              <w:rPr>
                <w:rFonts w:ascii="Arial Narrow" w:hAnsi="Arial Narrow"/>
                <w:b/>
                <w:bCs/>
                <w:sz w:val="20"/>
              </w:rPr>
            </w:pPr>
            <w:r w:rsidRPr="009635E0">
              <w:rPr>
                <w:rFonts w:ascii="Arial Narrow" w:hAnsi="Arial Narrow"/>
                <w:b/>
                <w:bCs/>
                <w:sz w:val="20"/>
              </w:rPr>
              <w:t>&lt;0.0001</w:t>
            </w:r>
          </w:p>
        </w:tc>
      </w:tr>
    </w:tbl>
    <w:p w:rsidR="006E38E4" w:rsidRPr="009635E0" w:rsidRDefault="006E38E4" w:rsidP="006E38E4">
      <w:pPr>
        <w:ind w:firstLine="720"/>
        <w:rPr>
          <w:rFonts w:ascii="Arial Narrow" w:hAnsi="Arial Narrow"/>
          <w:sz w:val="18"/>
          <w:szCs w:val="18"/>
        </w:rPr>
      </w:pPr>
      <w:r w:rsidRPr="009635E0">
        <w:rPr>
          <w:rFonts w:ascii="Arial Narrow" w:hAnsi="Arial Narrow"/>
          <w:sz w:val="18"/>
          <w:szCs w:val="18"/>
        </w:rPr>
        <w:t>Source: Table B.6-1, p57 of the submission</w:t>
      </w:r>
    </w:p>
    <w:p w:rsidR="006E38E4" w:rsidRPr="009635E0" w:rsidRDefault="006E38E4" w:rsidP="006E38E4">
      <w:pPr>
        <w:keepNext/>
        <w:ind w:left="720"/>
        <w:rPr>
          <w:rFonts w:ascii="Arial Narrow" w:hAnsi="Arial Narrow"/>
          <w:sz w:val="18"/>
          <w:szCs w:val="18"/>
        </w:rPr>
      </w:pPr>
      <w:r w:rsidRPr="009635E0">
        <w:rPr>
          <w:rFonts w:ascii="Arial Narrow" w:hAnsi="Arial Narrow"/>
          <w:sz w:val="18"/>
          <w:szCs w:val="18"/>
        </w:rPr>
        <w:t>Abbreviations: CI = confidence interval; CT = chemotherapy; KPS = Karnofsky Performance Status; ITT = intention-to-treat; OS = overall survival</w:t>
      </w:r>
    </w:p>
    <w:p w:rsidR="006E38E4" w:rsidRDefault="006E38E4" w:rsidP="006E38E4">
      <w:pPr>
        <w:ind w:firstLine="720"/>
        <w:rPr>
          <w:rFonts w:ascii="Arial Narrow" w:hAnsi="Arial Narrow"/>
          <w:sz w:val="18"/>
          <w:szCs w:val="18"/>
        </w:rPr>
      </w:pPr>
      <w:r w:rsidRPr="009635E0">
        <w:rPr>
          <w:rFonts w:ascii="Arial Narrow" w:hAnsi="Arial Narrow"/>
          <w:sz w:val="18"/>
          <w:szCs w:val="18"/>
        </w:rPr>
        <w:t>Note:</w:t>
      </w:r>
      <w:r w:rsidRPr="009635E0">
        <w:rPr>
          <w:rFonts w:ascii="Arial Narrow" w:hAnsi="Arial Narrow"/>
          <w:sz w:val="18"/>
          <w:szCs w:val="18"/>
          <w:vertAlign w:val="superscript"/>
        </w:rPr>
        <w:t xml:space="preserve"> </w:t>
      </w:r>
      <w:r w:rsidRPr="009635E0">
        <w:rPr>
          <w:rFonts w:ascii="Arial Narrow" w:hAnsi="Arial Narrow"/>
          <w:sz w:val="18"/>
          <w:szCs w:val="18"/>
        </w:rPr>
        <w:t xml:space="preserve">Stratified by previous chemotherapy and KPS, number of months estimated using the Kaplan-Meier method. </w:t>
      </w:r>
    </w:p>
    <w:p w:rsidR="0048207A" w:rsidRDefault="0048207A" w:rsidP="00303397">
      <w:pPr>
        <w:keepNext/>
        <w:rPr>
          <w:rFonts w:ascii="Arial Narrow" w:hAnsi="Arial Narrow"/>
          <w:b/>
          <w:bCs/>
          <w:sz w:val="20"/>
        </w:rPr>
      </w:pPr>
    </w:p>
    <w:p w:rsidR="00303397" w:rsidRPr="009635E0" w:rsidRDefault="00303397" w:rsidP="003B4A52">
      <w:pPr>
        <w:keepNext/>
        <w:ind w:firstLine="720"/>
        <w:rPr>
          <w:rFonts w:ascii="Arial Narrow" w:hAnsi="Arial Narrow"/>
          <w:b/>
          <w:bCs/>
          <w:sz w:val="20"/>
        </w:rPr>
      </w:pPr>
      <w:r w:rsidRPr="009635E0">
        <w:rPr>
          <w:rFonts w:ascii="Arial Narrow" w:hAnsi="Arial Narrow"/>
          <w:b/>
          <w:bCs/>
          <w:sz w:val="20"/>
        </w:rPr>
        <w:t xml:space="preserve">Figure 1: Kaplan-Meier estimates of overall survival in the EXTREME trial </w:t>
      </w:r>
    </w:p>
    <w:p w:rsidR="00303397" w:rsidRPr="009635E0" w:rsidRDefault="00303397" w:rsidP="00303397">
      <w:pPr>
        <w:keepNext/>
        <w:rPr>
          <w:rFonts w:ascii="Arial Narrow" w:hAnsi="Arial Narrow"/>
        </w:rPr>
      </w:pPr>
    </w:p>
    <w:p w:rsidR="00303397" w:rsidRPr="009635E0" w:rsidRDefault="00303397" w:rsidP="00303397">
      <w:pPr>
        <w:keepNext/>
        <w:adjustRightInd w:val="0"/>
        <w:jc w:val="left"/>
        <w:rPr>
          <w:sz w:val="24"/>
          <w:szCs w:val="24"/>
        </w:rPr>
      </w:pPr>
      <w:r w:rsidRPr="009635E0">
        <w:rPr>
          <w:noProof/>
          <w:lang w:eastAsia="en-AU"/>
        </w:rPr>
        <w:drawing>
          <wp:inline distT="0" distB="0" distL="0" distR="0" wp14:anchorId="60E913D1" wp14:editId="68AA1BAE">
            <wp:extent cx="2832100" cy="1843716"/>
            <wp:effectExtent l="0" t="0" r="6350" b="4445"/>
            <wp:docPr id="19" name="Picture 19" title="Figure 1: Kaplan-Meier estimates of overall survival in the EXTREM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2100" cy="1843716"/>
                    </a:xfrm>
                    <a:prstGeom prst="rect">
                      <a:avLst/>
                    </a:prstGeom>
                  </pic:spPr>
                </pic:pic>
              </a:graphicData>
            </a:graphic>
          </wp:inline>
        </w:drawing>
      </w:r>
      <w:r w:rsidRPr="009635E0">
        <w:rPr>
          <w:sz w:val="24"/>
          <w:szCs w:val="24"/>
          <w:lang w:eastAsia="en-AU"/>
        </w:rPr>
        <w:t xml:space="preserve"> </w:t>
      </w:r>
      <w:r w:rsidRPr="009635E0">
        <w:rPr>
          <w:noProof/>
          <w:lang w:eastAsia="en-AU"/>
        </w:rPr>
        <w:drawing>
          <wp:inline distT="0" distB="0" distL="0" distR="0" wp14:anchorId="60F4CB7C" wp14:editId="2A2F35C1">
            <wp:extent cx="2838616" cy="1908388"/>
            <wp:effectExtent l="0" t="0" r="0" b="0"/>
            <wp:docPr id="5" name="Picture 5" title="Figure1: Kaplan-Meier estimates of overall survival in the EXTREM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0923" cy="1909939"/>
                    </a:xfrm>
                    <a:prstGeom prst="rect">
                      <a:avLst/>
                    </a:prstGeom>
                  </pic:spPr>
                </pic:pic>
              </a:graphicData>
            </a:graphic>
          </wp:inline>
        </w:drawing>
      </w:r>
    </w:p>
    <w:p w:rsidR="00303397" w:rsidRPr="008D3617" w:rsidRDefault="00303397" w:rsidP="00303397">
      <w:pPr>
        <w:keepNext/>
        <w:ind w:left="1440" w:firstLine="720"/>
        <w:rPr>
          <w:rFonts w:ascii="Arial Narrow" w:hAnsi="Arial Narrow"/>
          <w:b/>
          <w:sz w:val="18"/>
          <w:szCs w:val="18"/>
        </w:rPr>
      </w:pPr>
      <w:r w:rsidRPr="008D3617">
        <w:rPr>
          <w:rFonts w:ascii="Arial Narrow" w:hAnsi="Arial Narrow"/>
          <w:b/>
          <w:sz w:val="18"/>
          <w:szCs w:val="18"/>
        </w:rPr>
        <w:t>ITT population</w:t>
      </w:r>
      <w:bookmarkStart w:id="17" w:name="_GoBack"/>
      <w:r w:rsidRPr="008D3617">
        <w:rPr>
          <w:rFonts w:ascii="Arial Narrow" w:hAnsi="Arial Narrow"/>
          <w:b/>
          <w:sz w:val="18"/>
          <w:szCs w:val="18"/>
        </w:rPr>
        <w:tab/>
      </w:r>
      <w:r w:rsidRPr="008D3617">
        <w:rPr>
          <w:rFonts w:ascii="Arial Narrow" w:hAnsi="Arial Narrow"/>
          <w:b/>
          <w:sz w:val="18"/>
          <w:szCs w:val="18"/>
        </w:rPr>
        <w:tab/>
      </w:r>
      <w:r w:rsidRPr="008D3617">
        <w:rPr>
          <w:rFonts w:ascii="Arial Narrow" w:hAnsi="Arial Narrow"/>
          <w:b/>
          <w:sz w:val="18"/>
          <w:szCs w:val="18"/>
        </w:rPr>
        <w:tab/>
      </w:r>
      <w:r w:rsidRPr="008D3617">
        <w:rPr>
          <w:rFonts w:ascii="Arial Narrow" w:hAnsi="Arial Narrow"/>
          <w:b/>
          <w:sz w:val="18"/>
          <w:szCs w:val="18"/>
        </w:rPr>
        <w:tab/>
      </w:r>
      <w:bookmarkEnd w:id="17"/>
      <w:r w:rsidRPr="008D3617">
        <w:rPr>
          <w:rFonts w:ascii="Arial Narrow" w:hAnsi="Arial Narrow"/>
          <w:b/>
          <w:sz w:val="18"/>
          <w:szCs w:val="18"/>
        </w:rPr>
        <w:t xml:space="preserve">Oral cavity and KPS </w:t>
      </w:r>
      <w:r>
        <w:rPr>
          <w:rFonts w:ascii="Arial Narrow" w:hAnsi="Arial Narrow"/>
          <w:b/>
          <w:sz w:val="18"/>
          <w:szCs w:val="18"/>
        </w:rPr>
        <w:t>≥</w:t>
      </w:r>
      <w:r w:rsidRPr="008D3617">
        <w:rPr>
          <w:rFonts w:ascii="Arial Narrow" w:hAnsi="Arial Narrow"/>
          <w:b/>
          <w:sz w:val="18"/>
          <w:szCs w:val="18"/>
        </w:rPr>
        <w:t>80 (</w:t>
      </w:r>
      <w:r w:rsidRPr="008D3617">
        <w:rPr>
          <w:rFonts w:ascii="Arial Narrow" w:hAnsi="Arial Narrow"/>
          <w:b/>
          <w:i/>
          <w:iCs/>
          <w:sz w:val="18"/>
          <w:szCs w:val="18"/>
        </w:rPr>
        <w:t>post hoc</w:t>
      </w:r>
      <w:r w:rsidR="008A6C06">
        <w:rPr>
          <w:rFonts w:ascii="Arial Narrow" w:hAnsi="Arial Narrow"/>
          <w:b/>
          <w:sz w:val="18"/>
          <w:szCs w:val="18"/>
        </w:rPr>
        <w:t>)</w:t>
      </w:r>
    </w:p>
    <w:p w:rsidR="00303397" w:rsidRPr="009635E0" w:rsidRDefault="00303397" w:rsidP="003B4A52">
      <w:pPr>
        <w:keepNext/>
        <w:ind w:firstLine="720"/>
        <w:rPr>
          <w:rFonts w:ascii="Arial Narrow" w:hAnsi="Arial Narrow"/>
          <w:sz w:val="18"/>
          <w:szCs w:val="18"/>
        </w:rPr>
      </w:pPr>
      <w:r>
        <w:rPr>
          <w:rFonts w:ascii="Arial Narrow" w:hAnsi="Arial Narrow"/>
          <w:sz w:val="18"/>
          <w:szCs w:val="18"/>
        </w:rPr>
        <w:t>Source: Figure B.6-1, p5</w:t>
      </w:r>
      <w:r w:rsidRPr="009635E0">
        <w:rPr>
          <w:rFonts w:ascii="Arial Narrow" w:hAnsi="Arial Narrow"/>
          <w:sz w:val="18"/>
          <w:szCs w:val="18"/>
        </w:rPr>
        <w:t>8 of the submission</w:t>
      </w:r>
    </w:p>
    <w:p w:rsidR="00303397" w:rsidRPr="009635E0" w:rsidRDefault="00303397" w:rsidP="003B4A52">
      <w:pPr>
        <w:keepNext/>
        <w:ind w:left="720"/>
        <w:rPr>
          <w:rFonts w:ascii="Arial Narrow" w:hAnsi="Arial Narrow"/>
          <w:sz w:val="18"/>
          <w:szCs w:val="18"/>
        </w:rPr>
      </w:pPr>
      <w:r w:rsidRPr="009635E0">
        <w:rPr>
          <w:rFonts w:ascii="Arial Narrow" w:hAnsi="Arial Narrow"/>
          <w:sz w:val="18"/>
          <w:szCs w:val="18"/>
        </w:rPr>
        <w:t>Abbreviations: Cert = cetuximab; CTX = Chemotherapy; HR = Hazard Ratio; ITT = intention-to-treat; KPS = Karnofsky Performance Status</w:t>
      </w:r>
    </w:p>
    <w:p w:rsidR="001F0A7F" w:rsidRDefault="001F0A7F" w:rsidP="001F0A7F">
      <w:pPr>
        <w:keepNext/>
        <w:rPr>
          <w:rFonts w:ascii="Arial Narrow" w:hAnsi="Arial Narrow"/>
          <w:b/>
          <w:bCs/>
          <w:sz w:val="20"/>
        </w:rPr>
      </w:pPr>
    </w:p>
    <w:p w:rsidR="0048207A" w:rsidRDefault="0048207A" w:rsidP="0048207A">
      <w:pPr>
        <w:widowControl/>
        <w:jc w:val="left"/>
        <w:rPr>
          <w:rFonts w:ascii="Arial Narrow" w:hAnsi="Arial Narrow"/>
          <w:b/>
          <w:bCs/>
          <w:sz w:val="20"/>
        </w:rPr>
      </w:pPr>
    </w:p>
    <w:p w:rsidR="00DE732C" w:rsidRDefault="00DE732C" w:rsidP="003B4A52">
      <w:pPr>
        <w:widowControl/>
        <w:ind w:firstLine="720"/>
        <w:jc w:val="left"/>
        <w:rPr>
          <w:rFonts w:ascii="Arial Narrow" w:hAnsi="Arial Narrow"/>
          <w:b/>
          <w:bCs/>
          <w:sz w:val="20"/>
        </w:rPr>
      </w:pPr>
      <w:r>
        <w:rPr>
          <w:rFonts w:ascii="Arial Narrow" w:hAnsi="Arial Narrow"/>
          <w:b/>
          <w:bCs/>
          <w:sz w:val="20"/>
        </w:rPr>
        <w:br w:type="page"/>
      </w:r>
    </w:p>
    <w:p w:rsidR="001F0A7F" w:rsidRPr="009635E0" w:rsidRDefault="001F0A7F" w:rsidP="003B4A52">
      <w:pPr>
        <w:widowControl/>
        <w:ind w:firstLine="720"/>
        <w:jc w:val="left"/>
        <w:rPr>
          <w:rFonts w:ascii="Arial Narrow" w:hAnsi="Arial Narrow"/>
          <w:b/>
          <w:bCs/>
          <w:sz w:val="20"/>
        </w:rPr>
      </w:pPr>
      <w:r w:rsidRPr="009635E0">
        <w:rPr>
          <w:rFonts w:ascii="Arial Narrow" w:hAnsi="Arial Narrow"/>
          <w:b/>
          <w:bCs/>
          <w:sz w:val="20"/>
        </w:rPr>
        <w:lastRenderedPageBreak/>
        <w:t xml:space="preserve">Figure </w:t>
      </w:r>
      <w:r>
        <w:rPr>
          <w:rFonts w:ascii="Arial Narrow" w:hAnsi="Arial Narrow"/>
          <w:b/>
          <w:bCs/>
          <w:sz w:val="20"/>
        </w:rPr>
        <w:t>2</w:t>
      </w:r>
      <w:r w:rsidRPr="009635E0">
        <w:rPr>
          <w:rFonts w:ascii="Arial Narrow" w:hAnsi="Arial Narrow"/>
          <w:b/>
          <w:bCs/>
          <w:sz w:val="20"/>
        </w:rPr>
        <w:t xml:space="preserve">: Kaplan-Meier estimates of </w:t>
      </w:r>
      <w:r>
        <w:rPr>
          <w:rFonts w:ascii="Arial Narrow" w:hAnsi="Arial Narrow"/>
          <w:b/>
          <w:bCs/>
          <w:sz w:val="20"/>
        </w:rPr>
        <w:t>progression-free</w:t>
      </w:r>
      <w:r w:rsidRPr="009635E0">
        <w:rPr>
          <w:rFonts w:ascii="Arial Narrow" w:hAnsi="Arial Narrow"/>
          <w:b/>
          <w:bCs/>
          <w:sz w:val="20"/>
        </w:rPr>
        <w:t xml:space="preserve"> survival in the EXTREME trial </w:t>
      </w:r>
    </w:p>
    <w:p w:rsidR="00303397" w:rsidRPr="009635E0" w:rsidRDefault="00303397" w:rsidP="00303397">
      <w:r w:rsidRPr="009635E0">
        <w:rPr>
          <w:noProof/>
          <w:lang w:eastAsia="en-AU"/>
        </w:rPr>
        <w:drawing>
          <wp:inline distT="0" distB="0" distL="0" distR="0" wp14:anchorId="702E018E" wp14:editId="2FFE99A0">
            <wp:extent cx="2807249" cy="1809750"/>
            <wp:effectExtent l="0" t="0" r="0" b="0"/>
            <wp:docPr id="22" name="Picture 22" title="Figure 2: Kaplan-Meier estimates of progression-free survival in the EXTREM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3129" cy="1819987"/>
                    </a:xfrm>
                    <a:prstGeom prst="rect">
                      <a:avLst/>
                    </a:prstGeom>
                  </pic:spPr>
                </pic:pic>
              </a:graphicData>
            </a:graphic>
          </wp:inline>
        </w:drawing>
      </w:r>
      <w:r w:rsidRPr="009635E0">
        <w:rPr>
          <w:noProof/>
          <w:lang w:eastAsia="en-AU"/>
        </w:rPr>
        <w:drawing>
          <wp:inline distT="0" distB="0" distL="0" distR="0" wp14:anchorId="55585E53" wp14:editId="3A276FC4">
            <wp:extent cx="2757830" cy="1838652"/>
            <wp:effectExtent l="0" t="0" r="4445" b="9525"/>
            <wp:docPr id="13" name="Picture 13" title="Figure 2: Kaplan-Meier estimates of progression-free survival in the EXTREM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3157" cy="1848871"/>
                    </a:xfrm>
                    <a:prstGeom prst="rect">
                      <a:avLst/>
                    </a:prstGeom>
                  </pic:spPr>
                </pic:pic>
              </a:graphicData>
            </a:graphic>
          </wp:inline>
        </w:drawing>
      </w:r>
    </w:p>
    <w:p w:rsidR="00303397" w:rsidRPr="009635E0" w:rsidRDefault="00303397" w:rsidP="00303397">
      <w:pPr>
        <w:keepNext/>
        <w:ind w:left="1440" w:firstLine="720"/>
        <w:rPr>
          <w:rFonts w:ascii="Arial Narrow" w:hAnsi="Arial Narrow"/>
          <w:b/>
          <w:bCs/>
          <w:sz w:val="20"/>
        </w:rPr>
      </w:pPr>
      <w:r w:rsidRPr="003B4A52">
        <w:rPr>
          <w:rFonts w:ascii="Arial Narrow" w:hAnsi="Arial Narrow"/>
          <w:b/>
          <w:sz w:val="18"/>
          <w:szCs w:val="18"/>
        </w:rPr>
        <w:t>ITT population</w:t>
      </w:r>
      <w:r w:rsidRPr="009635E0">
        <w:rPr>
          <w:rFonts w:ascii="Arial Narrow" w:hAnsi="Arial Narrow"/>
          <w:sz w:val="18"/>
          <w:szCs w:val="18"/>
        </w:rPr>
        <w:tab/>
      </w:r>
      <w:r w:rsidRPr="009635E0">
        <w:rPr>
          <w:rFonts w:ascii="Arial Narrow" w:hAnsi="Arial Narrow"/>
          <w:sz w:val="18"/>
          <w:szCs w:val="18"/>
        </w:rPr>
        <w:tab/>
      </w:r>
      <w:r w:rsidRPr="009635E0">
        <w:rPr>
          <w:rFonts w:ascii="Arial Narrow" w:hAnsi="Arial Narrow"/>
          <w:sz w:val="18"/>
          <w:szCs w:val="18"/>
        </w:rPr>
        <w:tab/>
      </w:r>
      <w:r w:rsidRPr="009635E0">
        <w:rPr>
          <w:rFonts w:ascii="Arial Narrow" w:hAnsi="Arial Narrow"/>
          <w:sz w:val="18"/>
          <w:szCs w:val="18"/>
        </w:rPr>
        <w:tab/>
      </w:r>
      <w:r w:rsidRPr="003B4A52">
        <w:rPr>
          <w:rFonts w:ascii="Arial Narrow" w:hAnsi="Arial Narrow"/>
          <w:b/>
          <w:sz w:val="18"/>
          <w:szCs w:val="18"/>
        </w:rPr>
        <w:t>Oral cavity and KPS ≥80 (</w:t>
      </w:r>
      <w:r w:rsidRPr="003B4A52">
        <w:rPr>
          <w:rFonts w:ascii="Arial Narrow" w:hAnsi="Arial Narrow"/>
          <w:b/>
          <w:i/>
          <w:iCs/>
          <w:sz w:val="18"/>
          <w:szCs w:val="18"/>
        </w:rPr>
        <w:t>post hoc</w:t>
      </w:r>
      <w:r w:rsidRPr="003B4A52">
        <w:rPr>
          <w:rFonts w:ascii="Arial Narrow" w:hAnsi="Arial Narrow"/>
          <w:b/>
          <w:sz w:val="18"/>
          <w:szCs w:val="18"/>
        </w:rPr>
        <w:t>)</w:t>
      </w:r>
      <w:r w:rsidRPr="009635E0">
        <w:rPr>
          <w:rFonts w:ascii="Arial Narrow" w:hAnsi="Arial Narrow"/>
          <w:sz w:val="18"/>
          <w:szCs w:val="18"/>
        </w:rPr>
        <w:tab/>
      </w:r>
    </w:p>
    <w:p w:rsidR="00303397" w:rsidRPr="009635E0" w:rsidRDefault="00303397" w:rsidP="003B4A52">
      <w:pPr>
        <w:keepNext/>
        <w:ind w:firstLine="720"/>
        <w:rPr>
          <w:rFonts w:ascii="Arial Narrow" w:hAnsi="Arial Narrow"/>
          <w:sz w:val="18"/>
          <w:szCs w:val="18"/>
        </w:rPr>
      </w:pPr>
      <w:r>
        <w:rPr>
          <w:rFonts w:ascii="Arial Narrow" w:hAnsi="Arial Narrow"/>
          <w:sz w:val="18"/>
          <w:szCs w:val="18"/>
        </w:rPr>
        <w:t>Source: Figure B.6-2</w:t>
      </w:r>
      <w:r w:rsidRPr="009635E0">
        <w:rPr>
          <w:rFonts w:ascii="Arial Narrow" w:hAnsi="Arial Narrow"/>
          <w:sz w:val="18"/>
          <w:szCs w:val="18"/>
        </w:rPr>
        <w:t>, p</w:t>
      </w:r>
      <w:r>
        <w:rPr>
          <w:rFonts w:ascii="Arial Narrow" w:hAnsi="Arial Narrow"/>
          <w:sz w:val="18"/>
          <w:szCs w:val="18"/>
        </w:rPr>
        <w:t>61</w:t>
      </w:r>
      <w:r w:rsidRPr="009635E0">
        <w:rPr>
          <w:rFonts w:ascii="Arial Narrow" w:hAnsi="Arial Narrow"/>
          <w:sz w:val="18"/>
          <w:szCs w:val="18"/>
        </w:rPr>
        <w:t xml:space="preserve"> of the submission</w:t>
      </w:r>
    </w:p>
    <w:p w:rsidR="00303397" w:rsidRPr="009635E0" w:rsidRDefault="00303397" w:rsidP="003B4A52">
      <w:pPr>
        <w:keepNext/>
        <w:ind w:left="720"/>
        <w:rPr>
          <w:rFonts w:ascii="Arial Narrow" w:hAnsi="Arial Narrow"/>
          <w:sz w:val="18"/>
          <w:szCs w:val="18"/>
        </w:rPr>
      </w:pPr>
      <w:r w:rsidRPr="009635E0">
        <w:rPr>
          <w:rFonts w:ascii="Arial Narrow" w:hAnsi="Arial Narrow"/>
          <w:sz w:val="18"/>
          <w:szCs w:val="18"/>
        </w:rPr>
        <w:t>Abbreviations: Cert = cetuximab; CTX = Chemotherapy; HR = Hazard Ratio; ITT = intention-to-treat; KPS = Karnofsky Performance Status</w:t>
      </w:r>
    </w:p>
    <w:p w:rsidR="00303397" w:rsidRPr="009635E0" w:rsidRDefault="00303397" w:rsidP="006E38E4">
      <w:pPr>
        <w:ind w:firstLine="720"/>
        <w:rPr>
          <w:rFonts w:ascii="Arial Narrow" w:hAnsi="Arial Narrow"/>
          <w:sz w:val="18"/>
          <w:szCs w:val="18"/>
        </w:rPr>
      </w:pPr>
    </w:p>
    <w:p w:rsidR="006E38E4" w:rsidRPr="009635E0" w:rsidRDefault="006E38E4" w:rsidP="007F1017">
      <w:pPr>
        <w:widowControl/>
        <w:rPr>
          <w:szCs w:val="22"/>
        </w:rPr>
      </w:pPr>
    </w:p>
    <w:p w:rsidR="00A818D5" w:rsidRPr="001F0A7F" w:rsidRDefault="000C0042" w:rsidP="00B15815">
      <w:pPr>
        <w:pStyle w:val="ListParagraph"/>
        <w:widowControl/>
        <w:numPr>
          <w:ilvl w:val="1"/>
          <w:numId w:val="3"/>
        </w:numPr>
        <w:rPr>
          <w:szCs w:val="22"/>
        </w:rPr>
      </w:pPr>
      <w:r w:rsidRPr="001F0A7F">
        <w:rPr>
          <w:szCs w:val="22"/>
        </w:rPr>
        <w:t xml:space="preserve">In the overall ITT population, there was </w:t>
      </w:r>
      <w:r w:rsidR="001B0625" w:rsidRPr="001F0A7F">
        <w:rPr>
          <w:szCs w:val="22"/>
        </w:rPr>
        <w:t xml:space="preserve">a </w:t>
      </w:r>
      <w:r w:rsidRPr="001F0A7F">
        <w:rPr>
          <w:szCs w:val="22"/>
        </w:rPr>
        <w:t>statistically significant difference in the primary outcome of overall survival favouring the cetuximab plus chemotherapy arm over the chemotherapy alone</w:t>
      </w:r>
      <w:r w:rsidR="00EB1B8A" w:rsidRPr="001F0A7F">
        <w:rPr>
          <w:szCs w:val="22"/>
        </w:rPr>
        <w:t xml:space="preserve"> arm</w:t>
      </w:r>
      <w:r w:rsidRPr="001F0A7F">
        <w:rPr>
          <w:szCs w:val="22"/>
        </w:rPr>
        <w:t>. The median overall survival time in the cetuximab plus chemotherapy arm was 10.1 months (95% CI</w:t>
      </w:r>
      <w:r w:rsidR="00971A1A" w:rsidRPr="001F0A7F">
        <w:rPr>
          <w:szCs w:val="22"/>
        </w:rPr>
        <w:t>:</w:t>
      </w:r>
      <w:r w:rsidRPr="001F0A7F">
        <w:rPr>
          <w:szCs w:val="22"/>
        </w:rPr>
        <w:t xml:space="preserve"> 8.6, 11.2) versus 7.4 months (95% CI</w:t>
      </w:r>
      <w:r w:rsidR="00971A1A" w:rsidRPr="001F0A7F">
        <w:rPr>
          <w:szCs w:val="22"/>
        </w:rPr>
        <w:t>:</w:t>
      </w:r>
      <w:r w:rsidRPr="001F0A7F">
        <w:rPr>
          <w:szCs w:val="22"/>
        </w:rPr>
        <w:t xml:space="preserve"> 6.4, 8.3) in the </w:t>
      </w:r>
      <w:r w:rsidR="00F607C1" w:rsidRPr="001F0A7F">
        <w:rPr>
          <w:szCs w:val="22"/>
        </w:rPr>
        <w:t>comparator</w:t>
      </w:r>
      <w:r w:rsidRPr="001F0A7F">
        <w:rPr>
          <w:szCs w:val="22"/>
        </w:rPr>
        <w:t xml:space="preserve"> arm. The</w:t>
      </w:r>
      <w:r w:rsidR="00A51958" w:rsidRPr="001F0A7F">
        <w:rPr>
          <w:szCs w:val="22"/>
        </w:rPr>
        <w:t xml:space="preserve">re was </w:t>
      </w:r>
      <w:r w:rsidRPr="001F0A7F">
        <w:rPr>
          <w:szCs w:val="22"/>
        </w:rPr>
        <w:t>a statistically significant reduction in the hazard of death associated with the addition of cetuximab to chemotherapy (HR</w:t>
      </w:r>
      <w:r w:rsidR="004D2327" w:rsidRPr="001F0A7F">
        <w:rPr>
          <w:szCs w:val="22"/>
        </w:rPr>
        <w:t>=</w:t>
      </w:r>
      <w:r w:rsidRPr="001F0A7F">
        <w:rPr>
          <w:szCs w:val="22"/>
        </w:rPr>
        <w:t>0.797; 95% CI</w:t>
      </w:r>
      <w:r w:rsidR="00FC4EFE" w:rsidRPr="001F0A7F">
        <w:rPr>
          <w:szCs w:val="22"/>
        </w:rPr>
        <w:t>:</w:t>
      </w:r>
      <w:r w:rsidRPr="001F0A7F">
        <w:rPr>
          <w:szCs w:val="22"/>
        </w:rPr>
        <w:t xml:space="preserve"> 0.644, 0.986).</w:t>
      </w:r>
    </w:p>
    <w:p w:rsidR="005153AC" w:rsidRPr="001F0A7F" w:rsidRDefault="005153AC" w:rsidP="005153AC">
      <w:pPr>
        <w:pStyle w:val="ListParagraph"/>
        <w:rPr>
          <w:szCs w:val="22"/>
        </w:rPr>
      </w:pPr>
    </w:p>
    <w:p w:rsidR="005153AC" w:rsidRPr="001F0A7F" w:rsidRDefault="005153AC" w:rsidP="00B15815">
      <w:pPr>
        <w:pStyle w:val="ListParagraph"/>
        <w:widowControl/>
        <w:numPr>
          <w:ilvl w:val="1"/>
          <w:numId w:val="3"/>
        </w:numPr>
        <w:rPr>
          <w:szCs w:val="22"/>
        </w:rPr>
      </w:pPr>
      <w:r w:rsidRPr="001F0A7F">
        <w:rPr>
          <w:szCs w:val="22"/>
        </w:rPr>
        <w:t xml:space="preserve">The submission claimed that there was a greater benefit associated with cetuximab treatment among patients with a primary </w:t>
      </w:r>
      <w:r w:rsidR="0087105D" w:rsidRPr="001F0A7F">
        <w:t xml:space="preserve">tumour origin site </w:t>
      </w:r>
      <w:r w:rsidRPr="001F0A7F">
        <w:rPr>
          <w:szCs w:val="22"/>
        </w:rPr>
        <w:t xml:space="preserve">of </w:t>
      </w:r>
      <w:r w:rsidR="00301DB4" w:rsidRPr="001F0A7F">
        <w:rPr>
          <w:szCs w:val="22"/>
        </w:rPr>
        <w:t xml:space="preserve">the </w:t>
      </w:r>
      <w:r w:rsidRPr="001F0A7F">
        <w:rPr>
          <w:szCs w:val="22"/>
        </w:rPr>
        <w:t xml:space="preserve">oral cavity and a </w:t>
      </w:r>
      <w:r w:rsidR="009004B7" w:rsidRPr="001F0A7F">
        <w:rPr>
          <w:szCs w:val="22"/>
        </w:rPr>
        <w:t xml:space="preserve">baseline </w:t>
      </w:r>
      <w:r w:rsidR="002F326F" w:rsidRPr="001F0A7F">
        <w:rPr>
          <w:szCs w:val="22"/>
        </w:rPr>
        <w:t xml:space="preserve">KPS </w:t>
      </w:r>
      <w:r w:rsidR="00766AA4" w:rsidRPr="001F0A7F">
        <w:rPr>
          <w:szCs w:val="22"/>
        </w:rPr>
        <w:t>≥</w:t>
      </w:r>
      <w:r w:rsidR="002F326F" w:rsidRPr="001F0A7F">
        <w:rPr>
          <w:szCs w:val="22"/>
        </w:rPr>
        <w:t>80</w:t>
      </w:r>
      <w:r w:rsidRPr="001F0A7F">
        <w:rPr>
          <w:szCs w:val="22"/>
        </w:rPr>
        <w:t xml:space="preserve">. The </w:t>
      </w:r>
      <w:r w:rsidRPr="001F0A7F">
        <w:rPr>
          <w:iCs/>
          <w:szCs w:val="22"/>
        </w:rPr>
        <w:t xml:space="preserve">post hoc </w:t>
      </w:r>
      <w:r w:rsidRPr="001F0A7F">
        <w:rPr>
          <w:szCs w:val="22"/>
        </w:rPr>
        <w:t xml:space="preserve">subgroup analysis found statistically significant improvements in overall survival associated with </w:t>
      </w:r>
      <w:r w:rsidR="007D6BE9" w:rsidRPr="001F0A7F">
        <w:rPr>
          <w:szCs w:val="22"/>
        </w:rPr>
        <w:t xml:space="preserve">the addition of </w:t>
      </w:r>
      <w:r w:rsidRPr="001F0A7F">
        <w:rPr>
          <w:szCs w:val="22"/>
        </w:rPr>
        <w:t xml:space="preserve">cetuximab </w:t>
      </w:r>
      <w:r w:rsidR="007D6BE9" w:rsidRPr="001F0A7F">
        <w:rPr>
          <w:szCs w:val="22"/>
        </w:rPr>
        <w:t xml:space="preserve">to </w:t>
      </w:r>
      <w:r w:rsidRPr="001F0A7F">
        <w:rPr>
          <w:szCs w:val="22"/>
        </w:rPr>
        <w:t xml:space="preserve">chemotherapy. The median overall survival time in the cetuximab plus chemotherapy arm was </w:t>
      </w:r>
      <w:r w:rsidR="00E9019D">
        <w:rPr>
          <w:noProof/>
          <w:color w:val="000000"/>
          <w:szCs w:val="22"/>
          <w:highlight w:val="black"/>
        </w:rPr>
        <w:t>'''''''''''</w:t>
      </w:r>
      <w:r w:rsidRPr="001F0A7F">
        <w:rPr>
          <w:szCs w:val="22"/>
        </w:rPr>
        <w:t xml:space="preserve"> months (95% CI</w:t>
      </w:r>
      <w:r w:rsidR="00E84AA6" w:rsidRPr="001F0A7F">
        <w:rPr>
          <w:szCs w:val="22"/>
        </w:rPr>
        <w:t>:</w:t>
      </w:r>
      <w:r w:rsidRPr="001F0A7F">
        <w:rPr>
          <w:szCs w:val="22"/>
        </w:rPr>
        <w:t xml:space="preserve"> </w:t>
      </w:r>
      <w:r w:rsidR="00E9019D">
        <w:rPr>
          <w:noProof/>
          <w:color w:val="000000"/>
          <w:szCs w:val="22"/>
          <w:highlight w:val="black"/>
        </w:rPr>
        <w:t>''''''''</w:t>
      </w:r>
      <w:r w:rsidRPr="001F0A7F">
        <w:rPr>
          <w:szCs w:val="22"/>
        </w:rPr>
        <w:t xml:space="preserve">, </w:t>
      </w:r>
      <w:r w:rsidR="00E9019D">
        <w:rPr>
          <w:noProof/>
          <w:color w:val="000000"/>
          <w:szCs w:val="22"/>
          <w:highlight w:val="black"/>
        </w:rPr>
        <w:t>'''''''''''</w:t>
      </w:r>
      <w:r w:rsidRPr="001F0A7F">
        <w:rPr>
          <w:szCs w:val="22"/>
        </w:rPr>
        <w:t xml:space="preserve">) versus </w:t>
      </w:r>
      <w:r w:rsidR="00E9019D">
        <w:rPr>
          <w:noProof/>
          <w:color w:val="000000"/>
          <w:szCs w:val="22"/>
          <w:highlight w:val="black"/>
        </w:rPr>
        <w:t>'''''''</w:t>
      </w:r>
      <w:r w:rsidRPr="001F0A7F">
        <w:rPr>
          <w:szCs w:val="22"/>
        </w:rPr>
        <w:t xml:space="preserve"> </w:t>
      </w:r>
      <w:r w:rsidR="00E84AA6" w:rsidRPr="001F0A7F">
        <w:rPr>
          <w:szCs w:val="22"/>
        </w:rPr>
        <w:t xml:space="preserve">months </w:t>
      </w:r>
      <w:r w:rsidRPr="001F0A7F">
        <w:rPr>
          <w:szCs w:val="22"/>
        </w:rPr>
        <w:t>(95% CI</w:t>
      </w:r>
      <w:r w:rsidR="00E84AA6" w:rsidRPr="001F0A7F">
        <w:rPr>
          <w:szCs w:val="22"/>
        </w:rPr>
        <w:t>:</w:t>
      </w:r>
      <w:r w:rsidRPr="001F0A7F">
        <w:rPr>
          <w:szCs w:val="22"/>
        </w:rPr>
        <w:t xml:space="preserve"> </w:t>
      </w:r>
      <w:r w:rsidR="00E9019D">
        <w:rPr>
          <w:noProof/>
          <w:color w:val="000000"/>
          <w:szCs w:val="22"/>
          <w:highlight w:val="black"/>
        </w:rPr>
        <w:t>'''''''</w:t>
      </w:r>
      <w:r w:rsidRPr="001F0A7F">
        <w:rPr>
          <w:szCs w:val="22"/>
        </w:rPr>
        <w:t xml:space="preserve">, </w:t>
      </w:r>
      <w:r w:rsidR="00E9019D">
        <w:rPr>
          <w:noProof/>
          <w:color w:val="000000"/>
          <w:szCs w:val="22"/>
          <w:highlight w:val="black"/>
        </w:rPr>
        <w:t>''''''''</w:t>
      </w:r>
      <w:r w:rsidRPr="001F0A7F">
        <w:rPr>
          <w:szCs w:val="22"/>
        </w:rPr>
        <w:t xml:space="preserve">) in the </w:t>
      </w:r>
      <w:r w:rsidR="005F211A" w:rsidRPr="001F0A7F">
        <w:rPr>
          <w:szCs w:val="22"/>
        </w:rPr>
        <w:t>comparator</w:t>
      </w:r>
      <w:r w:rsidRPr="001F0A7F">
        <w:rPr>
          <w:szCs w:val="22"/>
        </w:rPr>
        <w:t xml:space="preserve"> arm. There was a statistically significant reduction in the hazard of death associated with the addition of cetuximab to chemotherapy (HR</w:t>
      </w:r>
      <w:r w:rsidR="00504DCA" w:rsidRPr="001F0A7F">
        <w:rPr>
          <w:szCs w:val="22"/>
        </w:rPr>
        <w:t>=</w:t>
      </w:r>
      <w:r w:rsidRPr="001F0A7F">
        <w:rPr>
          <w:szCs w:val="22"/>
        </w:rPr>
        <w:t>0.347; 95%</w:t>
      </w:r>
      <w:r w:rsidR="00504DCA" w:rsidRPr="001F0A7F">
        <w:rPr>
          <w:szCs w:val="22"/>
        </w:rPr>
        <w:t>:</w:t>
      </w:r>
      <w:r w:rsidRPr="001F0A7F">
        <w:rPr>
          <w:szCs w:val="22"/>
        </w:rPr>
        <w:t xml:space="preserve"> CI 0.207, 0.581). The submission claimed that </w:t>
      </w:r>
      <w:r w:rsidR="00C1549C" w:rsidRPr="001F0A7F">
        <w:rPr>
          <w:szCs w:val="22"/>
        </w:rPr>
        <w:t xml:space="preserve">the Kaplan-Meier curves indicated that </w:t>
      </w:r>
      <w:r w:rsidRPr="001F0A7F">
        <w:rPr>
          <w:szCs w:val="22"/>
        </w:rPr>
        <w:t>patients respond</w:t>
      </w:r>
      <w:r w:rsidR="00C1549C" w:rsidRPr="001F0A7F">
        <w:rPr>
          <w:szCs w:val="22"/>
        </w:rPr>
        <w:t>ed</w:t>
      </w:r>
      <w:r w:rsidRPr="001F0A7F">
        <w:rPr>
          <w:szCs w:val="22"/>
        </w:rPr>
        <w:t xml:space="preserve"> early to </w:t>
      </w:r>
      <w:r w:rsidR="0098725F" w:rsidRPr="001F0A7F">
        <w:rPr>
          <w:szCs w:val="22"/>
        </w:rPr>
        <w:t xml:space="preserve">cetuximab </w:t>
      </w:r>
      <w:r w:rsidRPr="001F0A7F">
        <w:rPr>
          <w:szCs w:val="22"/>
        </w:rPr>
        <w:t>treatment</w:t>
      </w:r>
      <w:r w:rsidR="0098725F" w:rsidRPr="001F0A7F">
        <w:rPr>
          <w:szCs w:val="22"/>
        </w:rPr>
        <w:t>, which</w:t>
      </w:r>
      <w:r w:rsidR="0044530F" w:rsidRPr="001F0A7F">
        <w:rPr>
          <w:szCs w:val="22"/>
        </w:rPr>
        <w:t xml:space="preserve"> become</w:t>
      </w:r>
      <w:r w:rsidR="00076D67" w:rsidRPr="001F0A7F">
        <w:rPr>
          <w:szCs w:val="22"/>
        </w:rPr>
        <w:t>s</w:t>
      </w:r>
      <w:r w:rsidR="0044530F" w:rsidRPr="001F0A7F">
        <w:rPr>
          <w:szCs w:val="22"/>
        </w:rPr>
        <w:t xml:space="preserve"> more apparent with time</w:t>
      </w:r>
      <w:r w:rsidRPr="001F0A7F">
        <w:rPr>
          <w:szCs w:val="22"/>
        </w:rPr>
        <w:t xml:space="preserve">. </w:t>
      </w:r>
      <w:r w:rsidRPr="001F0A7F">
        <w:rPr>
          <w:iCs/>
          <w:szCs w:val="22"/>
        </w:rPr>
        <w:t xml:space="preserve">An alternative interpretation could be </w:t>
      </w:r>
      <w:r w:rsidR="0008513D" w:rsidRPr="001F0A7F">
        <w:rPr>
          <w:iCs/>
          <w:szCs w:val="22"/>
        </w:rPr>
        <w:t xml:space="preserve">that </w:t>
      </w:r>
      <w:r w:rsidRPr="001F0A7F">
        <w:rPr>
          <w:iCs/>
          <w:szCs w:val="22"/>
        </w:rPr>
        <w:t xml:space="preserve">the claimed “greater benefit” </w:t>
      </w:r>
      <w:r w:rsidR="004043DE" w:rsidRPr="001F0A7F">
        <w:rPr>
          <w:iCs/>
          <w:szCs w:val="22"/>
        </w:rPr>
        <w:t>was</w:t>
      </w:r>
      <w:r w:rsidRPr="001F0A7F">
        <w:rPr>
          <w:iCs/>
          <w:szCs w:val="22"/>
        </w:rPr>
        <w:t xml:space="preserve"> driven by the poor </w:t>
      </w:r>
      <w:r w:rsidR="00B80C75">
        <w:rPr>
          <w:iCs/>
          <w:szCs w:val="22"/>
        </w:rPr>
        <w:t>survival</w:t>
      </w:r>
      <w:r w:rsidR="00B80C75" w:rsidRPr="001F0A7F">
        <w:rPr>
          <w:iCs/>
          <w:szCs w:val="22"/>
        </w:rPr>
        <w:t xml:space="preserve"> </w:t>
      </w:r>
      <w:r w:rsidRPr="001F0A7F">
        <w:rPr>
          <w:iCs/>
          <w:szCs w:val="22"/>
        </w:rPr>
        <w:t>of the comparator arm</w:t>
      </w:r>
      <w:r w:rsidR="00B02A1E" w:rsidRPr="001F0A7F">
        <w:rPr>
          <w:iCs/>
          <w:szCs w:val="22"/>
        </w:rPr>
        <w:t xml:space="preserve"> for the post hoc subgroup</w:t>
      </w:r>
      <w:r w:rsidRPr="001F0A7F">
        <w:rPr>
          <w:iCs/>
          <w:szCs w:val="22"/>
        </w:rPr>
        <w:t>.</w:t>
      </w:r>
    </w:p>
    <w:p w:rsidR="0008522B" w:rsidRPr="001F0A7F" w:rsidRDefault="0008522B" w:rsidP="0008522B">
      <w:pPr>
        <w:pStyle w:val="ListParagraph"/>
        <w:rPr>
          <w:szCs w:val="22"/>
        </w:rPr>
      </w:pPr>
    </w:p>
    <w:p w:rsidR="00E94499" w:rsidRPr="001F0A7F" w:rsidRDefault="0008522B" w:rsidP="00B15815">
      <w:pPr>
        <w:pStyle w:val="ListParagraph"/>
        <w:widowControl/>
        <w:numPr>
          <w:ilvl w:val="1"/>
          <w:numId w:val="3"/>
        </w:numPr>
        <w:rPr>
          <w:iCs/>
          <w:szCs w:val="22"/>
        </w:rPr>
      </w:pPr>
      <w:r w:rsidRPr="001F0A7F">
        <w:rPr>
          <w:iCs/>
          <w:szCs w:val="22"/>
        </w:rPr>
        <w:t>The main publication of the trial by Vermorken et al (2008) stated that “[t]here was a significant interaction with the primary tumo[u]r site, but because of repeated testing, this result could be due to chance. Such subgroup analyses must be interpreted cautiously; the results do not allow us to state with certainty that some groups did not benefit or to speculate on the degree of benefit”.</w:t>
      </w:r>
      <w:r w:rsidR="00C56A4C" w:rsidRPr="001F0A7F">
        <w:rPr>
          <w:iCs/>
          <w:szCs w:val="22"/>
        </w:rPr>
        <w:t xml:space="preserve"> Overall, the results of the post hoc subgroup analys</w:t>
      </w:r>
      <w:r w:rsidR="0005061A" w:rsidRPr="001F0A7F">
        <w:rPr>
          <w:iCs/>
          <w:szCs w:val="22"/>
        </w:rPr>
        <w:t>e</w:t>
      </w:r>
      <w:r w:rsidR="00C56A4C" w:rsidRPr="001F0A7F">
        <w:rPr>
          <w:iCs/>
          <w:szCs w:val="22"/>
        </w:rPr>
        <w:t>s were not robust</w:t>
      </w:r>
      <w:r w:rsidR="00FB6618" w:rsidRPr="001F0A7F">
        <w:rPr>
          <w:iCs/>
          <w:szCs w:val="22"/>
        </w:rPr>
        <w:t xml:space="preserve"> and should be interpreted with caution</w:t>
      </w:r>
      <w:r w:rsidR="00C56A4C" w:rsidRPr="001F0A7F">
        <w:rPr>
          <w:iCs/>
          <w:szCs w:val="22"/>
        </w:rPr>
        <w:t>.</w:t>
      </w:r>
    </w:p>
    <w:p w:rsidR="00E94499" w:rsidRPr="001F0A7F" w:rsidRDefault="00E94499" w:rsidP="00E94499">
      <w:pPr>
        <w:pStyle w:val="ListParagraph"/>
        <w:rPr>
          <w:iCs/>
          <w:szCs w:val="22"/>
        </w:rPr>
      </w:pPr>
    </w:p>
    <w:p w:rsidR="00E94499" w:rsidRPr="001F0A7F" w:rsidRDefault="001F59A7" w:rsidP="00B15815">
      <w:pPr>
        <w:pStyle w:val="ListParagraph"/>
        <w:widowControl/>
        <w:numPr>
          <w:ilvl w:val="1"/>
          <w:numId w:val="3"/>
        </w:numPr>
        <w:rPr>
          <w:iCs/>
          <w:szCs w:val="22"/>
        </w:rPr>
      </w:pPr>
      <w:r w:rsidRPr="001F0A7F">
        <w:rPr>
          <w:iCs/>
          <w:szCs w:val="22"/>
        </w:rPr>
        <w:t>The ESC noted that the 2008</w:t>
      </w:r>
      <w:r w:rsidR="00C90839" w:rsidRPr="001F0A7F">
        <w:rPr>
          <w:iCs/>
          <w:szCs w:val="22"/>
        </w:rPr>
        <w:t xml:space="preserve"> publication</w:t>
      </w:r>
      <w:r w:rsidRPr="001F0A7F">
        <w:rPr>
          <w:iCs/>
          <w:szCs w:val="22"/>
        </w:rPr>
        <w:t xml:space="preserve"> was silent on the impact of human papillomavirus on treatment outcomes. The ESC noted </w:t>
      </w:r>
      <w:r w:rsidRPr="001F0A7F">
        <w:rPr>
          <w:iCs/>
        </w:rPr>
        <w:t xml:space="preserve">a subsequent publication </w:t>
      </w:r>
      <w:r w:rsidR="00954947" w:rsidRPr="001F0A7F">
        <w:rPr>
          <w:iCs/>
        </w:rPr>
        <w:t>(</w:t>
      </w:r>
      <w:r w:rsidRPr="001F0A7F">
        <w:rPr>
          <w:iCs/>
        </w:rPr>
        <w:t xml:space="preserve">“Impact of tumor HPV status on outcome in patients with recurrent and/or metastatic squamous cell carcinoma of the head and neck receiving chemotherapy with or without cetuximab: retrospective analysis of the phase III EXTREME trial”, </w:t>
      </w:r>
      <w:r w:rsidRPr="001C1455">
        <w:rPr>
          <w:i/>
          <w:iCs/>
        </w:rPr>
        <w:t xml:space="preserve">Annals of </w:t>
      </w:r>
      <w:r w:rsidRPr="001C1455">
        <w:rPr>
          <w:i/>
          <w:iCs/>
        </w:rPr>
        <w:lastRenderedPageBreak/>
        <w:t>Oncology</w:t>
      </w:r>
      <w:r w:rsidRPr="001F0A7F">
        <w:rPr>
          <w:iCs/>
        </w:rPr>
        <w:t>, 2014, April 25(4):801-7</w:t>
      </w:r>
      <w:r w:rsidR="001C1455">
        <w:rPr>
          <w:iCs/>
        </w:rPr>
        <w:t>)</w:t>
      </w:r>
      <w:r w:rsidR="00954947" w:rsidRPr="001F0A7F">
        <w:rPr>
          <w:iCs/>
        </w:rPr>
        <w:t xml:space="preserve">, suggested </w:t>
      </w:r>
      <w:r w:rsidR="00954947" w:rsidRPr="001F0A7F">
        <w:rPr>
          <w:szCs w:val="22"/>
        </w:rPr>
        <w:t>HPV</w:t>
      </w:r>
      <w:r w:rsidR="001C1455">
        <w:rPr>
          <w:szCs w:val="22"/>
        </w:rPr>
        <w:t>-</w:t>
      </w:r>
      <w:r w:rsidR="00954947" w:rsidRPr="001F0A7F">
        <w:rPr>
          <w:szCs w:val="22"/>
        </w:rPr>
        <w:t>positive tumours have a much better prognosis</w:t>
      </w:r>
      <w:r w:rsidR="00A257AF" w:rsidRPr="001F0A7F">
        <w:rPr>
          <w:szCs w:val="22"/>
        </w:rPr>
        <w:t>.</w:t>
      </w:r>
    </w:p>
    <w:p w:rsidR="00A257AF" w:rsidRPr="001F0A7F" w:rsidRDefault="00A257AF" w:rsidP="00A257AF">
      <w:pPr>
        <w:widowControl/>
        <w:rPr>
          <w:iCs/>
          <w:szCs w:val="22"/>
        </w:rPr>
      </w:pPr>
    </w:p>
    <w:p w:rsidR="00E94499" w:rsidRPr="001F0A7F" w:rsidRDefault="00EA1E5A" w:rsidP="00B15815">
      <w:pPr>
        <w:pStyle w:val="ListParagraph"/>
        <w:widowControl/>
        <w:numPr>
          <w:ilvl w:val="1"/>
          <w:numId w:val="3"/>
        </w:numPr>
        <w:rPr>
          <w:szCs w:val="22"/>
        </w:rPr>
      </w:pPr>
      <w:r w:rsidRPr="001F0A7F">
        <w:rPr>
          <w:szCs w:val="22"/>
        </w:rPr>
        <w:t>The abstract by Vermorken (2014) reported that six patients treated with cetuximab plus chemotherapy and two patients treated with chemotherapy alone were still in the EXTREME trial and known to be alive at 5 years.</w:t>
      </w:r>
      <w:r w:rsidR="00E94499" w:rsidRPr="001F0A7F">
        <w:rPr>
          <w:szCs w:val="22"/>
        </w:rPr>
        <w:t xml:space="preserve"> </w:t>
      </w:r>
      <w:r w:rsidR="00E94499" w:rsidRPr="001F0A7F">
        <w:t xml:space="preserve">The submission claimed that the appropriateness of the extrapolation of the overall survival for the </w:t>
      </w:r>
      <w:r w:rsidR="00E94499" w:rsidRPr="001F0A7F">
        <w:rPr>
          <w:iCs/>
        </w:rPr>
        <w:t xml:space="preserve">post hoc </w:t>
      </w:r>
      <w:r w:rsidR="00E94499" w:rsidRPr="001F0A7F">
        <w:t xml:space="preserve">subgroup was demonstrated by its correlation with these data. </w:t>
      </w:r>
      <w:r w:rsidR="00E94499" w:rsidRPr="001F0A7F">
        <w:rPr>
          <w:iCs/>
        </w:rPr>
        <w:t>This claim could not be verified as the data reported in Vermorken (2014) was not limited to the nominated post hoc subgroup. The ITT model</w:t>
      </w:r>
      <w:r w:rsidR="00E71411" w:rsidRPr="001F0A7F">
        <w:rPr>
          <w:iCs/>
        </w:rPr>
        <w:t xml:space="preserve"> of the economic analysis</w:t>
      </w:r>
      <w:r w:rsidR="00E94499" w:rsidRPr="001F0A7F">
        <w:rPr>
          <w:iCs/>
        </w:rPr>
        <w:t xml:space="preserve">, extrapolated using different parametric distributions, appeared to overestimate survival at 5 years for both arms compared to the data reported in Vermorken (2014), assuming that no survivor was lost to follow-up. </w:t>
      </w:r>
    </w:p>
    <w:p w:rsidR="00E94499" w:rsidRPr="00885947" w:rsidRDefault="00E94499" w:rsidP="00E94499">
      <w:pPr>
        <w:rPr>
          <w:i/>
        </w:rPr>
      </w:pPr>
    </w:p>
    <w:p w:rsidR="00E94499" w:rsidRPr="00DE732C" w:rsidRDefault="00E94499" w:rsidP="00E94499">
      <w:pPr>
        <w:ind w:firstLine="720"/>
        <w:rPr>
          <w:rFonts w:ascii="Arial Narrow" w:hAnsi="Arial Narrow"/>
          <w:b/>
          <w:bCs/>
          <w:iCs/>
          <w:sz w:val="20"/>
        </w:rPr>
      </w:pPr>
      <w:r w:rsidRPr="00DE732C">
        <w:rPr>
          <w:rFonts w:ascii="Arial Narrow" w:hAnsi="Arial Narrow"/>
          <w:b/>
          <w:bCs/>
          <w:iCs/>
          <w:sz w:val="20"/>
        </w:rPr>
        <w:t xml:space="preserve">Table </w:t>
      </w:r>
      <w:r w:rsidR="00C67B31" w:rsidRPr="00DE732C">
        <w:rPr>
          <w:rFonts w:ascii="Arial Narrow" w:hAnsi="Arial Narrow"/>
          <w:b/>
          <w:bCs/>
          <w:iCs/>
          <w:sz w:val="20"/>
        </w:rPr>
        <w:t>4</w:t>
      </w:r>
      <w:r w:rsidRPr="00DE732C">
        <w:rPr>
          <w:rFonts w:ascii="Arial Narrow" w:hAnsi="Arial Narrow"/>
          <w:b/>
          <w:bCs/>
          <w:iCs/>
          <w:sz w:val="20"/>
        </w:rPr>
        <w:t>: Survival at 5 years based on Vermorken (2014) and at the end of the 5-year model</w:t>
      </w:r>
    </w:p>
    <w:tbl>
      <w:tblPr>
        <w:tblStyle w:val="TableGrid"/>
        <w:tblW w:w="0" w:type="auto"/>
        <w:tblInd w:w="766" w:type="dxa"/>
        <w:tblCellMar>
          <w:left w:w="57" w:type="dxa"/>
          <w:right w:w="57" w:type="dxa"/>
        </w:tblCellMar>
        <w:tblLook w:val="04A0" w:firstRow="1" w:lastRow="0" w:firstColumn="1" w:lastColumn="0" w:noHBand="0" w:noVBand="1"/>
        <w:tblCaption w:val="Table 4: Survival at 5 years based on Vermorken (2014) and at the end of the 5-year model"/>
      </w:tblPr>
      <w:tblGrid>
        <w:gridCol w:w="5499"/>
        <w:gridCol w:w="1438"/>
        <w:gridCol w:w="1438"/>
      </w:tblGrid>
      <w:tr w:rsidR="00E94499" w:rsidRPr="00DE732C" w:rsidTr="00927225">
        <w:trPr>
          <w:tblHeader/>
        </w:trPr>
        <w:tc>
          <w:tcPr>
            <w:tcW w:w="5499" w:type="dxa"/>
          </w:tcPr>
          <w:p w:rsidR="00E94499" w:rsidRPr="00DE732C" w:rsidRDefault="00E94499" w:rsidP="00984C25">
            <w:pPr>
              <w:rPr>
                <w:rFonts w:ascii="Arial Narrow" w:hAnsi="Arial Narrow"/>
                <w:b/>
                <w:bCs/>
                <w:iCs/>
                <w:sz w:val="20"/>
              </w:rPr>
            </w:pPr>
            <w:r w:rsidRPr="00DE732C">
              <w:rPr>
                <w:rFonts w:ascii="Arial Narrow" w:hAnsi="Arial Narrow"/>
                <w:b/>
                <w:bCs/>
                <w:iCs/>
                <w:sz w:val="20"/>
              </w:rPr>
              <w:t>Population</w:t>
            </w:r>
          </w:p>
        </w:tc>
        <w:tc>
          <w:tcPr>
            <w:tcW w:w="1438" w:type="dxa"/>
            <w:vAlign w:val="center"/>
          </w:tcPr>
          <w:p w:rsidR="00E94499" w:rsidRPr="00DE732C" w:rsidRDefault="00E94499" w:rsidP="00984C25">
            <w:pPr>
              <w:jc w:val="center"/>
              <w:rPr>
                <w:rFonts w:ascii="Arial Narrow" w:hAnsi="Arial Narrow"/>
                <w:b/>
                <w:bCs/>
                <w:iCs/>
                <w:sz w:val="20"/>
              </w:rPr>
            </w:pPr>
            <w:r w:rsidRPr="00DE732C">
              <w:rPr>
                <w:rFonts w:ascii="Arial Narrow" w:hAnsi="Arial Narrow"/>
                <w:b/>
                <w:bCs/>
                <w:iCs/>
                <w:sz w:val="20"/>
              </w:rPr>
              <w:t>Cetuximab + CT</w:t>
            </w:r>
          </w:p>
        </w:tc>
        <w:tc>
          <w:tcPr>
            <w:tcW w:w="1438" w:type="dxa"/>
            <w:vAlign w:val="center"/>
          </w:tcPr>
          <w:p w:rsidR="00E94499" w:rsidRPr="00DE732C" w:rsidRDefault="00E94499" w:rsidP="00984C25">
            <w:pPr>
              <w:jc w:val="center"/>
              <w:rPr>
                <w:rFonts w:ascii="Arial Narrow" w:hAnsi="Arial Narrow"/>
                <w:b/>
                <w:bCs/>
                <w:iCs/>
                <w:sz w:val="20"/>
              </w:rPr>
            </w:pPr>
            <w:r w:rsidRPr="00DE732C">
              <w:rPr>
                <w:rFonts w:ascii="Arial Narrow" w:hAnsi="Arial Narrow"/>
                <w:b/>
                <w:bCs/>
                <w:iCs/>
                <w:sz w:val="20"/>
              </w:rPr>
              <w:t>CT alone</w:t>
            </w:r>
          </w:p>
        </w:tc>
      </w:tr>
      <w:tr w:rsidR="00E94499" w:rsidRPr="00DE732C" w:rsidTr="00E94499">
        <w:tc>
          <w:tcPr>
            <w:tcW w:w="5499" w:type="dxa"/>
            <w:tcBorders>
              <w:bottom w:val="single" w:sz="4" w:space="0" w:color="auto"/>
            </w:tcBorders>
          </w:tcPr>
          <w:p w:rsidR="00E94499" w:rsidRPr="00DE732C" w:rsidRDefault="00E94499" w:rsidP="00984C25">
            <w:pPr>
              <w:rPr>
                <w:rFonts w:ascii="Arial Narrow" w:hAnsi="Arial Narrow"/>
                <w:iCs/>
                <w:sz w:val="20"/>
              </w:rPr>
            </w:pPr>
            <w:r w:rsidRPr="00DE732C">
              <w:rPr>
                <w:rFonts w:ascii="Arial Narrow" w:hAnsi="Arial Narrow"/>
                <w:iCs/>
                <w:sz w:val="20"/>
              </w:rPr>
              <w:t>Vermorken (2014) – ITT population known to be alive</w:t>
            </w:r>
          </w:p>
        </w:tc>
        <w:tc>
          <w:tcPr>
            <w:tcW w:w="1438" w:type="dxa"/>
            <w:tcBorders>
              <w:bottom w:val="single" w:sz="4" w:space="0" w:color="auto"/>
            </w:tcBorders>
            <w:vAlign w:val="center"/>
          </w:tcPr>
          <w:p w:rsidR="00E94499" w:rsidRPr="00DE732C" w:rsidRDefault="00E94499" w:rsidP="00984C25">
            <w:pPr>
              <w:jc w:val="center"/>
              <w:rPr>
                <w:rFonts w:ascii="Arial Narrow" w:hAnsi="Arial Narrow"/>
                <w:iCs/>
                <w:sz w:val="20"/>
              </w:rPr>
            </w:pPr>
            <w:r w:rsidRPr="00DE732C">
              <w:rPr>
                <w:rFonts w:ascii="Arial Narrow" w:hAnsi="Arial Narrow"/>
                <w:iCs/>
                <w:sz w:val="20"/>
              </w:rPr>
              <w:t>2.3%</w:t>
            </w:r>
          </w:p>
        </w:tc>
        <w:tc>
          <w:tcPr>
            <w:tcW w:w="1438" w:type="dxa"/>
            <w:tcBorders>
              <w:bottom w:val="single" w:sz="4" w:space="0" w:color="auto"/>
            </w:tcBorders>
            <w:vAlign w:val="center"/>
          </w:tcPr>
          <w:p w:rsidR="00E94499" w:rsidRPr="00DE732C" w:rsidRDefault="00E94499" w:rsidP="00984C25">
            <w:pPr>
              <w:jc w:val="center"/>
              <w:rPr>
                <w:rFonts w:ascii="Arial Narrow" w:hAnsi="Arial Narrow"/>
                <w:iCs/>
                <w:sz w:val="20"/>
              </w:rPr>
            </w:pPr>
            <w:r w:rsidRPr="00DE732C">
              <w:rPr>
                <w:rFonts w:ascii="Arial Narrow" w:hAnsi="Arial Narrow"/>
                <w:iCs/>
                <w:sz w:val="20"/>
              </w:rPr>
              <w:t>0.9%</w:t>
            </w:r>
          </w:p>
        </w:tc>
      </w:tr>
      <w:tr w:rsidR="00E94499" w:rsidRPr="00DE732C" w:rsidTr="00E94499">
        <w:tc>
          <w:tcPr>
            <w:tcW w:w="5499" w:type="dxa"/>
            <w:tcBorders>
              <w:bottom w:val="double" w:sz="4" w:space="0" w:color="auto"/>
            </w:tcBorders>
          </w:tcPr>
          <w:p w:rsidR="00E94499" w:rsidRPr="00DE732C" w:rsidRDefault="00E94499" w:rsidP="00984C25">
            <w:pPr>
              <w:rPr>
                <w:rFonts w:ascii="Arial Narrow" w:hAnsi="Arial Narrow"/>
                <w:iCs/>
                <w:sz w:val="20"/>
              </w:rPr>
            </w:pPr>
            <w:r w:rsidRPr="00DE732C">
              <w:rPr>
                <w:rFonts w:ascii="Arial Narrow" w:hAnsi="Arial Narrow"/>
                <w:iCs/>
                <w:sz w:val="20"/>
              </w:rPr>
              <w:t>Modelled ITT population – log logistic extrapolation</w:t>
            </w:r>
          </w:p>
        </w:tc>
        <w:tc>
          <w:tcPr>
            <w:tcW w:w="1438" w:type="dxa"/>
            <w:tcBorders>
              <w:bottom w:val="double" w:sz="4" w:space="0" w:color="auto"/>
            </w:tcBorders>
            <w:vAlign w:val="center"/>
          </w:tcPr>
          <w:p w:rsidR="00E94499" w:rsidRPr="00DE732C" w:rsidRDefault="00E94499" w:rsidP="00984C25">
            <w:pPr>
              <w:jc w:val="center"/>
              <w:rPr>
                <w:rFonts w:ascii="Arial Narrow" w:hAnsi="Arial Narrow"/>
                <w:iCs/>
                <w:sz w:val="20"/>
              </w:rPr>
            </w:pPr>
            <w:r w:rsidRPr="00DE732C">
              <w:rPr>
                <w:rFonts w:ascii="Arial Narrow" w:hAnsi="Arial Narrow"/>
                <w:iCs/>
                <w:sz w:val="20"/>
              </w:rPr>
              <w:t>5.0%</w:t>
            </w:r>
          </w:p>
        </w:tc>
        <w:tc>
          <w:tcPr>
            <w:tcW w:w="1438" w:type="dxa"/>
            <w:tcBorders>
              <w:bottom w:val="double" w:sz="4" w:space="0" w:color="auto"/>
            </w:tcBorders>
            <w:vAlign w:val="center"/>
          </w:tcPr>
          <w:p w:rsidR="00E94499" w:rsidRPr="00DE732C" w:rsidRDefault="00E94499" w:rsidP="00984C25">
            <w:pPr>
              <w:jc w:val="center"/>
              <w:rPr>
                <w:rFonts w:ascii="Arial Narrow" w:hAnsi="Arial Narrow"/>
                <w:iCs/>
                <w:sz w:val="20"/>
              </w:rPr>
            </w:pPr>
            <w:r w:rsidRPr="00DE732C">
              <w:rPr>
                <w:rFonts w:ascii="Arial Narrow" w:hAnsi="Arial Narrow"/>
                <w:iCs/>
                <w:sz w:val="20"/>
              </w:rPr>
              <w:t>2.7%</w:t>
            </w:r>
          </w:p>
        </w:tc>
      </w:tr>
      <w:tr w:rsidR="00E94499" w:rsidRPr="00DE732C" w:rsidTr="00E94499">
        <w:tc>
          <w:tcPr>
            <w:tcW w:w="5499" w:type="dxa"/>
            <w:tcBorders>
              <w:top w:val="double" w:sz="4" w:space="0" w:color="auto"/>
            </w:tcBorders>
          </w:tcPr>
          <w:p w:rsidR="00E94499" w:rsidRPr="00DE732C" w:rsidRDefault="00E94499" w:rsidP="00984C25">
            <w:pPr>
              <w:rPr>
                <w:rFonts w:ascii="Arial Narrow" w:hAnsi="Arial Narrow"/>
                <w:iCs/>
                <w:sz w:val="20"/>
              </w:rPr>
            </w:pPr>
            <w:r w:rsidRPr="00DE732C">
              <w:rPr>
                <w:rFonts w:ascii="Arial Narrow" w:hAnsi="Arial Narrow"/>
                <w:iCs/>
                <w:sz w:val="20"/>
              </w:rPr>
              <w:t>Modelled post hoc subgroup (oral cavity and KPS ≥80) – log normal extrapolation</w:t>
            </w:r>
          </w:p>
        </w:tc>
        <w:tc>
          <w:tcPr>
            <w:tcW w:w="1438" w:type="dxa"/>
            <w:tcBorders>
              <w:top w:val="double" w:sz="4" w:space="0" w:color="auto"/>
            </w:tcBorders>
            <w:vAlign w:val="center"/>
          </w:tcPr>
          <w:p w:rsidR="00E94499" w:rsidRPr="00DE732C" w:rsidRDefault="00E9019D" w:rsidP="00984C25">
            <w:pPr>
              <w:jc w:val="center"/>
              <w:rPr>
                <w:rFonts w:ascii="Arial Narrow" w:hAnsi="Arial Narrow"/>
                <w:iCs/>
                <w:sz w:val="20"/>
              </w:rPr>
            </w:pPr>
            <w:r>
              <w:rPr>
                <w:rFonts w:ascii="Arial Narrow" w:hAnsi="Arial Narrow"/>
                <w:iCs/>
                <w:noProof/>
                <w:color w:val="000000"/>
                <w:sz w:val="20"/>
                <w:highlight w:val="black"/>
              </w:rPr>
              <w:t>'''''''''</w:t>
            </w:r>
            <w:r w:rsidR="00E94499" w:rsidRPr="00DE732C">
              <w:rPr>
                <w:rFonts w:ascii="Arial Narrow" w:hAnsi="Arial Narrow"/>
                <w:iCs/>
                <w:sz w:val="20"/>
              </w:rPr>
              <w:t>%</w:t>
            </w:r>
          </w:p>
        </w:tc>
        <w:tc>
          <w:tcPr>
            <w:tcW w:w="1438" w:type="dxa"/>
            <w:tcBorders>
              <w:top w:val="double" w:sz="4" w:space="0" w:color="auto"/>
            </w:tcBorders>
            <w:vAlign w:val="center"/>
          </w:tcPr>
          <w:p w:rsidR="00E94499" w:rsidRPr="00DE732C" w:rsidRDefault="00E9019D" w:rsidP="00984C25">
            <w:pPr>
              <w:jc w:val="center"/>
              <w:rPr>
                <w:rFonts w:ascii="Arial Narrow" w:hAnsi="Arial Narrow"/>
                <w:iCs/>
                <w:sz w:val="20"/>
              </w:rPr>
            </w:pPr>
            <w:r>
              <w:rPr>
                <w:rFonts w:ascii="Arial Narrow" w:hAnsi="Arial Narrow"/>
                <w:iCs/>
                <w:noProof/>
                <w:color w:val="000000"/>
                <w:sz w:val="20"/>
                <w:highlight w:val="black"/>
              </w:rPr>
              <w:t>'''''''</w:t>
            </w:r>
            <w:r w:rsidR="00E94499" w:rsidRPr="00DE732C">
              <w:rPr>
                <w:rFonts w:ascii="Arial Narrow" w:hAnsi="Arial Narrow"/>
                <w:iCs/>
                <w:sz w:val="20"/>
              </w:rPr>
              <w:t>%</w:t>
            </w:r>
          </w:p>
        </w:tc>
      </w:tr>
    </w:tbl>
    <w:p w:rsidR="00E94499" w:rsidRPr="00DE732C" w:rsidRDefault="00E94499" w:rsidP="00DE732C">
      <w:pPr>
        <w:keepNext/>
        <w:ind w:left="720"/>
        <w:rPr>
          <w:rFonts w:ascii="Arial Narrow" w:hAnsi="Arial Narrow"/>
          <w:iCs/>
          <w:sz w:val="18"/>
          <w:szCs w:val="18"/>
        </w:rPr>
      </w:pPr>
      <w:r w:rsidRPr="00DE732C">
        <w:rPr>
          <w:rFonts w:ascii="Arial Narrow" w:hAnsi="Arial Narrow"/>
          <w:iCs/>
          <w:sz w:val="18"/>
          <w:szCs w:val="18"/>
        </w:rPr>
        <w:t xml:space="preserve">Source: Constructed during the evaluation based on Vermorken (2014), ‘2 Copy of Economic evaluation.xlsx’ and ‘3 Copy of Economic evaluation using ITT population.xlsx’.  </w:t>
      </w:r>
    </w:p>
    <w:p w:rsidR="00E94499" w:rsidRPr="00DE732C" w:rsidRDefault="00E94499" w:rsidP="00E94499">
      <w:pPr>
        <w:ind w:firstLine="720"/>
        <w:rPr>
          <w:iCs/>
        </w:rPr>
      </w:pPr>
      <w:r w:rsidRPr="00DE732C">
        <w:rPr>
          <w:rFonts w:ascii="Arial Narrow" w:hAnsi="Arial Narrow"/>
          <w:iCs/>
          <w:sz w:val="18"/>
          <w:szCs w:val="18"/>
        </w:rPr>
        <w:t>Abbreviations: CT = Chemotherapy; ITT = intention-to-treat; KPS = Karnofsky Performance Status</w:t>
      </w:r>
    </w:p>
    <w:p w:rsidR="00E94499" w:rsidRPr="001F0A7F" w:rsidRDefault="00E94499" w:rsidP="00E94499">
      <w:pPr>
        <w:rPr>
          <w:i/>
        </w:rPr>
      </w:pPr>
    </w:p>
    <w:p w:rsidR="00E94499" w:rsidRPr="001F0A7F" w:rsidRDefault="00E94499" w:rsidP="00B15815">
      <w:pPr>
        <w:pStyle w:val="ListParagraph"/>
        <w:widowControl/>
        <w:numPr>
          <w:ilvl w:val="1"/>
          <w:numId w:val="3"/>
        </w:numPr>
        <w:rPr>
          <w:b/>
          <w:iCs/>
        </w:rPr>
      </w:pPr>
      <w:r w:rsidRPr="001F0A7F">
        <w:t xml:space="preserve">The submission also argued that the extrapolation of the curve for the </w:t>
      </w:r>
      <w:r w:rsidRPr="001F0A7F">
        <w:rPr>
          <w:iCs/>
        </w:rPr>
        <w:t xml:space="preserve">post hoc </w:t>
      </w:r>
      <w:r w:rsidRPr="001F0A7F">
        <w:t xml:space="preserve">subgroup was confirmed by the patient level data at two years, which indicated that patients were alive in the cetuximab arm but were censored prior to this point in the comparator arm. </w:t>
      </w:r>
      <w:r w:rsidRPr="001F0A7F">
        <w:rPr>
          <w:iCs/>
        </w:rPr>
        <w:t xml:space="preserve">This claim could not be verified, as all the longest follow-up time (including censored patients) for both arms of the post hoc subgroup was shorter than 2 years. </w:t>
      </w:r>
    </w:p>
    <w:p w:rsidR="00E94499" w:rsidRPr="001F0A7F" w:rsidRDefault="00E94499" w:rsidP="000C0042">
      <w:pPr>
        <w:pStyle w:val="ListParagraph"/>
        <w:rPr>
          <w:szCs w:val="22"/>
        </w:rPr>
      </w:pPr>
    </w:p>
    <w:p w:rsidR="00901AEB" w:rsidRPr="001F0A7F" w:rsidRDefault="00550EC5" w:rsidP="00B15815">
      <w:pPr>
        <w:pStyle w:val="ListParagraph"/>
        <w:widowControl/>
        <w:numPr>
          <w:ilvl w:val="1"/>
          <w:numId w:val="3"/>
        </w:numPr>
        <w:rPr>
          <w:szCs w:val="22"/>
        </w:rPr>
      </w:pPr>
      <w:r w:rsidRPr="001F0A7F">
        <w:rPr>
          <w:szCs w:val="22"/>
        </w:rPr>
        <w:t>In the ITT population, t</w:t>
      </w:r>
      <w:r w:rsidR="00BE1BD1" w:rsidRPr="001F0A7F">
        <w:rPr>
          <w:szCs w:val="22"/>
        </w:rPr>
        <w:t xml:space="preserve">here were statistically significant differences in favour of cetuximab plus chemotherapy over chemotherapy alone for </w:t>
      </w:r>
      <w:r w:rsidR="008A15AA" w:rsidRPr="001F0A7F">
        <w:rPr>
          <w:szCs w:val="22"/>
        </w:rPr>
        <w:t>the secondary outcomes of progression-free survival, best overall response rate, disease control rate and time to treatment failure. There were no statistically significant difference</w:t>
      </w:r>
      <w:r w:rsidR="00D65E3F" w:rsidRPr="001F0A7F">
        <w:rPr>
          <w:szCs w:val="22"/>
        </w:rPr>
        <w:t>s</w:t>
      </w:r>
      <w:r w:rsidR="008A15AA" w:rsidRPr="001F0A7F">
        <w:rPr>
          <w:szCs w:val="22"/>
        </w:rPr>
        <w:t xml:space="preserve"> between arms for the </w:t>
      </w:r>
      <w:r w:rsidR="00BE1BD1" w:rsidRPr="001F0A7F">
        <w:rPr>
          <w:szCs w:val="22"/>
        </w:rPr>
        <w:t xml:space="preserve">duration of response. </w:t>
      </w:r>
    </w:p>
    <w:p w:rsidR="00901AEB" w:rsidRPr="001F0A7F" w:rsidRDefault="00901AEB" w:rsidP="00901AEB">
      <w:pPr>
        <w:pStyle w:val="ListParagraph"/>
        <w:rPr>
          <w:szCs w:val="22"/>
        </w:rPr>
      </w:pPr>
    </w:p>
    <w:p w:rsidR="00BE1BD1" w:rsidRPr="001F0A7F" w:rsidRDefault="00BE1BD1" w:rsidP="00B15815">
      <w:pPr>
        <w:pStyle w:val="ListParagraph"/>
        <w:widowControl/>
        <w:numPr>
          <w:ilvl w:val="1"/>
          <w:numId w:val="3"/>
        </w:numPr>
        <w:rPr>
          <w:szCs w:val="22"/>
        </w:rPr>
      </w:pPr>
      <w:r w:rsidRPr="001F0A7F">
        <w:rPr>
          <w:szCs w:val="22"/>
        </w:rPr>
        <w:t xml:space="preserve">For the </w:t>
      </w:r>
      <w:r w:rsidRPr="001F0A7F">
        <w:rPr>
          <w:iCs/>
          <w:szCs w:val="22"/>
        </w:rPr>
        <w:t>post hoc</w:t>
      </w:r>
      <w:r w:rsidRPr="001F0A7F">
        <w:rPr>
          <w:szCs w:val="22"/>
        </w:rPr>
        <w:t xml:space="preserve"> subgroup of patients with a primary</w:t>
      </w:r>
      <w:r w:rsidR="00901AEB" w:rsidRPr="001F0A7F">
        <w:rPr>
          <w:szCs w:val="22"/>
        </w:rPr>
        <w:t xml:space="preserve"> tumour</w:t>
      </w:r>
      <w:r w:rsidRPr="001F0A7F">
        <w:rPr>
          <w:szCs w:val="22"/>
        </w:rPr>
        <w:t xml:space="preserve"> site of </w:t>
      </w:r>
      <w:r w:rsidR="00901AEB" w:rsidRPr="001F0A7F">
        <w:rPr>
          <w:szCs w:val="22"/>
        </w:rPr>
        <w:t xml:space="preserve">origin in the </w:t>
      </w:r>
      <w:r w:rsidRPr="001F0A7F">
        <w:rPr>
          <w:szCs w:val="22"/>
        </w:rPr>
        <w:t xml:space="preserve">oral cavity and a KPS </w:t>
      </w:r>
      <w:r w:rsidR="00766AA4" w:rsidRPr="001F0A7F">
        <w:rPr>
          <w:szCs w:val="22"/>
        </w:rPr>
        <w:t>≥</w:t>
      </w:r>
      <w:r w:rsidRPr="001F0A7F">
        <w:rPr>
          <w:szCs w:val="22"/>
        </w:rPr>
        <w:t xml:space="preserve">80 at baseline, there were statistically significant improvements associated </w:t>
      </w:r>
      <w:r w:rsidR="007E5726" w:rsidRPr="001F0A7F">
        <w:rPr>
          <w:szCs w:val="22"/>
        </w:rPr>
        <w:t>with the addition of</w:t>
      </w:r>
      <w:r w:rsidRPr="001F0A7F">
        <w:rPr>
          <w:szCs w:val="22"/>
        </w:rPr>
        <w:t xml:space="preserve"> cetuximab </w:t>
      </w:r>
      <w:r w:rsidR="007E5726" w:rsidRPr="001F0A7F">
        <w:rPr>
          <w:szCs w:val="22"/>
        </w:rPr>
        <w:t xml:space="preserve">to </w:t>
      </w:r>
      <w:r w:rsidRPr="001F0A7F">
        <w:rPr>
          <w:szCs w:val="22"/>
        </w:rPr>
        <w:t xml:space="preserve">chemotherapy for progression-free survival, best response rate and disease control rate. </w:t>
      </w:r>
      <w:r w:rsidRPr="001F0A7F">
        <w:rPr>
          <w:iCs/>
          <w:szCs w:val="22"/>
        </w:rPr>
        <w:t>Similarly, the post hoc subgroup results should be interpreted with caution.</w:t>
      </w:r>
    </w:p>
    <w:p w:rsidR="00F35909" w:rsidRPr="001F0A7F" w:rsidRDefault="00F35909" w:rsidP="00F35909">
      <w:pPr>
        <w:pStyle w:val="ListParagraph"/>
        <w:rPr>
          <w:szCs w:val="22"/>
        </w:rPr>
      </w:pPr>
    </w:p>
    <w:p w:rsidR="0000104E" w:rsidRPr="001D3E7D" w:rsidRDefault="00F35909" w:rsidP="00B15815">
      <w:pPr>
        <w:pStyle w:val="ListParagraph"/>
        <w:widowControl/>
        <w:numPr>
          <w:ilvl w:val="1"/>
          <w:numId w:val="3"/>
        </w:numPr>
        <w:rPr>
          <w:i/>
        </w:rPr>
      </w:pPr>
      <w:r w:rsidRPr="001F0A7F">
        <w:rPr>
          <w:szCs w:val="22"/>
        </w:rPr>
        <w:t xml:space="preserve">The submission </w:t>
      </w:r>
      <w:r w:rsidR="00D306D0" w:rsidRPr="001F0A7F">
        <w:rPr>
          <w:szCs w:val="22"/>
        </w:rPr>
        <w:t>claimed that the addition of cetuximab did not adversely impact overall quality of life and actually improved some symptoms.</w:t>
      </w:r>
      <w:r w:rsidR="00D91E6D" w:rsidRPr="001F0A7F">
        <w:rPr>
          <w:szCs w:val="22"/>
        </w:rPr>
        <w:t xml:space="preserve"> The submission noted that there was a significant improvement in the global health status/QoL score in the cetuximab arm (p=0.0415); and that improvements in swallowing and pain re</w:t>
      </w:r>
      <w:r w:rsidR="00F30E1A" w:rsidRPr="001F0A7F">
        <w:rPr>
          <w:szCs w:val="22"/>
        </w:rPr>
        <w:t>ached statistical significance</w:t>
      </w:r>
      <w:r w:rsidR="00D91E6D" w:rsidRPr="001F0A7F">
        <w:rPr>
          <w:szCs w:val="22"/>
        </w:rPr>
        <w:t>.</w:t>
      </w:r>
      <w:r w:rsidR="00D306D0" w:rsidRPr="001F0A7F">
        <w:rPr>
          <w:szCs w:val="22"/>
        </w:rPr>
        <w:t xml:space="preserve"> </w:t>
      </w:r>
      <w:r w:rsidRPr="001F0A7F">
        <w:rPr>
          <w:iCs/>
          <w:szCs w:val="22"/>
        </w:rPr>
        <w:t>Limited quality of life data were presented in the submission and the accompanying quality of life publication (Mésia et al, 2010).</w:t>
      </w:r>
      <w:r w:rsidR="00EA01A3" w:rsidRPr="001F0A7F">
        <w:rPr>
          <w:iCs/>
          <w:szCs w:val="22"/>
        </w:rPr>
        <w:t xml:space="preserve"> </w:t>
      </w:r>
      <w:r w:rsidR="00F735E7" w:rsidRPr="001F0A7F">
        <w:rPr>
          <w:iCs/>
        </w:rPr>
        <w:t xml:space="preserve">There were concerns of selective reporting of outcomes. </w:t>
      </w:r>
      <w:r w:rsidR="00346736" w:rsidRPr="001F0A7F">
        <w:rPr>
          <w:iCs/>
          <w:szCs w:val="22"/>
        </w:rPr>
        <w:t xml:space="preserve">The data were limited by </w:t>
      </w:r>
      <w:r w:rsidR="00B939E3" w:rsidRPr="001F0A7F">
        <w:rPr>
          <w:iCs/>
          <w:szCs w:val="22"/>
        </w:rPr>
        <w:t xml:space="preserve">the open-label design of the trial and the </w:t>
      </w:r>
      <w:r w:rsidR="00346736" w:rsidRPr="001F0A7F">
        <w:rPr>
          <w:iCs/>
          <w:szCs w:val="22"/>
        </w:rPr>
        <w:t xml:space="preserve">low </w:t>
      </w:r>
      <w:r w:rsidR="00AC60F2" w:rsidRPr="001F0A7F">
        <w:rPr>
          <w:iCs/>
          <w:szCs w:val="22"/>
        </w:rPr>
        <w:t>completion</w:t>
      </w:r>
      <w:r w:rsidR="00B939E3" w:rsidRPr="001F0A7F">
        <w:rPr>
          <w:iCs/>
          <w:szCs w:val="22"/>
        </w:rPr>
        <w:t xml:space="preserve"> rate</w:t>
      </w:r>
      <w:r w:rsidRPr="001F0A7F">
        <w:rPr>
          <w:iCs/>
          <w:szCs w:val="22"/>
        </w:rPr>
        <w:t xml:space="preserve"> </w:t>
      </w:r>
      <w:r w:rsidR="00346736" w:rsidRPr="001F0A7F">
        <w:rPr>
          <w:iCs/>
          <w:szCs w:val="22"/>
        </w:rPr>
        <w:t>(</w:t>
      </w:r>
      <w:r w:rsidR="00C21B01" w:rsidRPr="001F0A7F">
        <w:rPr>
          <w:iCs/>
        </w:rPr>
        <w:t xml:space="preserve">44% </w:t>
      </w:r>
      <w:r w:rsidR="00B939E3" w:rsidRPr="001F0A7F">
        <w:rPr>
          <w:iCs/>
        </w:rPr>
        <w:t>had</w:t>
      </w:r>
      <w:r w:rsidR="00C21B01" w:rsidRPr="001F0A7F">
        <w:rPr>
          <w:iCs/>
        </w:rPr>
        <w:t xml:space="preserve"> an evaluable baseline and post-baseline assessment</w:t>
      </w:r>
      <w:r w:rsidR="00346736" w:rsidRPr="001F0A7F">
        <w:rPr>
          <w:iCs/>
          <w:szCs w:val="22"/>
        </w:rPr>
        <w:t>)</w:t>
      </w:r>
      <w:r w:rsidRPr="001F0A7F">
        <w:rPr>
          <w:iCs/>
          <w:szCs w:val="22"/>
        </w:rPr>
        <w:t xml:space="preserve">. </w:t>
      </w:r>
      <w:r w:rsidR="0008242C" w:rsidRPr="001F0A7F">
        <w:rPr>
          <w:iCs/>
          <w:szCs w:val="22"/>
        </w:rPr>
        <w:t xml:space="preserve">The trial report </w:t>
      </w:r>
      <w:r w:rsidR="00BF2358" w:rsidRPr="001F0A7F">
        <w:rPr>
          <w:iCs/>
          <w:szCs w:val="22"/>
        </w:rPr>
        <w:t xml:space="preserve">acknowledged that the trend </w:t>
      </w:r>
      <w:r w:rsidR="00FC7521" w:rsidRPr="001F0A7F">
        <w:rPr>
          <w:iCs/>
          <w:szCs w:val="22"/>
        </w:rPr>
        <w:t xml:space="preserve">toward better quality of </w:t>
      </w:r>
      <w:r w:rsidR="00466C4E" w:rsidRPr="001F0A7F">
        <w:rPr>
          <w:iCs/>
          <w:szCs w:val="22"/>
        </w:rPr>
        <w:t xml:space="preserve">life </w:t>
      </w:r>
      <w:r w:rsidR="0008242C" w:rsidRPr="001F0A7F">
        <w:rPr>
          <w:iCs/>
          <w:szCs w:val="22"/>
        </w:rPr>
        <w:t>should be viewed with caution because of the low compliance</w:t>
      </w:r>
      <w:r w:rsidR="0008242C" w:rsidRPr="001D3E7D">
        <w:rPr>
          <w:iCs/>
          <w:szCs w:val="22"/>
        </w:rPr>
        <w:t xml:space="preserve"> </w:t>
      </w:r>
      <w:r w:rsidR="0008242C" w:rsidRPr="001F0A7F">
        <w:rPr>
          <w:iCs/>
          <w:szCs w:val="22"/>
        </w:rPr>
        <w:lastRenderedPageBreak/>
        <w:t>with completion of the questionnaire.</w:t>
      </w:r>
      <w:r w:rsidR="006E6EA3" w:rsidRPr="001F0A7F">
        <w:rPr>
          <w:iCs/>
          <w:szCs w:val="22"/>
        </w:rPr>
        <w:t xml:space="preserve"> The submission did not present post hoc subgroup analyses among patients whose primary tumour </w:t>
      </w:r>
      <w:r w:rsidR="0060182C" w:rsidRPr="001F0A7F">
        <w:rPr>
          <w:iCs/>
          <w:szCs w:val="22"/>
        </w:rPr>
        <w:t xml:space="preserve">site </w:t>
      </w:r>
      <w:r w:rsidR="006E6EA3" w:rsidRPr="001F0A7F">
        <w:rPr>
          <w:iCs/>
          <w:szCs w:val="22"/>
        </w:rPr>
        <w:t xml:space="preserve">was the oral cavity and with a </w:t>
      </w:r>
      <w:r w:rsidR="008B5D46" w:rsidRPr="001F0A7F">
        <w:rPr>
          <w:iCs/>
          <w:szCs w:val="22"/>
        </w:rPr>
        <w:t xml:space="preserve">baseline </w:t>
      </w:r>
      <w:r w:rsidR="006E6EA3" w:rsidRPr="001F0A7F">
        <w:rPr>
          <w:iCs/>
          <w:szCs w:val="22"/>
        </w:rPr>
        <w:t xml:space="preserve">KPS </w:t>
      </w:r>
      <w:r w:rsidR="00766AA4" w:rsidRPr="001F0A7F">
        <w:rPr>
          <w:iCs/>
          <w:szCs w:val="22"/>
        </w:rPr>
        <w:t>≥</w:t>
      </w:r>
      <w:r w:rsidR="006E6EA3" w:rsidRPr="001F0A7F">
        <w:rPr>
          <w:iCs/>
          <w:szCs w:val="22"/>
        </w:rPr>
        <w:t>80.</w:t>
      </w:r>
      <w:r w:rsidR="00331EED" w:rsidRPr="001F0A7F">
        <w:rPr>
          <w:iCs/>
          <w:szCs w:val="22"/>
        </w:rPr>
        <w:t xml:space="preserve"> </w:t>
      </w:r>
      <w:r w:rsidR="007F4354" w:rsidRPr="001F0A7F">
        <w:rPr>
          <w:iCs/>
          <w:szCs w:val="22"/>
        </w:rPr>
        <w:t xml:space="preserve">The PSCR (p.4) acknowledged the limitations of the </w:t>
      </w:r>
      <w:r w:rsidR="00D950DD" w:rsidRPr="001F0A7F">
        <w:rPr>
          <w:iCs/>
          <w:szCs w:val="22"/>
        </w:rPr>
        <w:t>Quality of Life data presented in the submission.</w:t>
      </w:r>
    </w:p>
    <w:p w:rsidR="001D3E7D" w:rsidRPr="007F4354" w:rsidRDefault="001D3E7D" w:rsidP="005A4A4D"/>
    <w:p w:rsidR="00B60939" w:rsidRPr="009635E0" w:rsidRDefault="00B60939" w:rsidP="00DE732C">
      <w:pPr>
        <w:pStyle w:val="Heading2"/>
      </w:pPr>
      <w:bookmarkStart w:id="18" w:name="_Toc437869738"/>
      <w:bookmarkStart w:id="19" w:name="_Toc441050434"/>
      <w:r w:rsidRPr="009635E0">
        <w:t>Comparative harms</w:t>
      </w:r>
      <w:bookmarkEnd w:id="18"/>
      <w:bookmarkEnd w:id="19"/>
    </w:p>
    <w:p w:rsidR="00B60939" w:rsidRPr="002B4C5A" w:rsidRDefault="004E28AB" w:rsidP="005E15AD">
      <w:pPr>
        <w:pStyle w:val="ListParagraph"/>
        <w:widowControl/>
        <w:rPr>
          <w:szCs w:val="22"/>
        </w:rPr>
      </w:pPr>
      <w:r w:rsidRPr="002B4C5A">
        <w:t>Rash, acne, dermatitis acneiform, dry skin, anorexia, diarrhoea, nausea, pyrexia, hypocalcaemia, and hypomagnesemia were more frequently reported in the cetuximab plus chemotherapy arm than the chemotherapy alone arm</w:t>
      </w:r>
      <w:r w:rsidR="00F6368A" w:rsidRPr="002B4C5A">
        <w:t xml:space="preserve"> of the EXTREME trial</w:t>
      </w:r>
      <w:r w:rsidRPr="002B4C5A">
        <w:t>.</w:t>
      </w:r>
      <w:r w:rsidR="002B4C5A">
        <w:t xml:space="preserve"> </w:t>
      </w:r>
      <w:r w:rsidR="002B4C5A" w:rsidRPr="002B4C5A">
        <w:t xml:space="preserve">Grade 3 or 4 adverse events occurring more frequently in the cetuximab plus chemotherapy arm were </w:t>
      </w:r>
      <w:r w:rsidR="00C44408">
        <w:t xml:space="preserve">skin reactions, </w:t>
      </w:r>
      <w:r w:rsidR="002B4C5A" w:rsidRPr="002B4C5A">
        <w:t>anorexia, hypomagnesemia, hypocalcaemia, sepsis, and septic shock.</w:t>
      </w:r>
    </w:p>
    <w:p w:rsidR="00E34B67" w:rsidRPr="007C282E" w:rsidRDefault="00E34B67" w:rsidP="00E34B67">
      <w:pPr>
        <w:pStyle w:val="ListParagraph"/>
        <w:widowControl/>
        <w:rPr>
          <w:szCs w:val="22"/>
        </w:rPr>
      </w:pPr>
    </w:p>
    <w:p w:rsidR="00E9778D" w:rsidRPr="007C282E" w:rsidRDefault="004848EE" w:rsidP="00B15815">
      <w:pPr>
        <w:pStyle w:val="ListParagraph"/>
        <w:widowControl/>
        <w:numPr>
          <w:ilvl w:val="1"/>
          <w:numId w:val="3"/>
        </w:numPr>
        <w:rPr>
          <w:szCs w:val="22"/>
        </w:rPr>
      </w:pPr>
      <w:r w:rsidRPr="007C282E">
        <w:rPr>
          <w:szCs w:val="22"/>
        </w:rPr>
        <w:t>The submission argued that sepsis did not represent a new safety signal</w:t>
      </w:r>
      <w:r w:rsidR="00F20ADF" w:rsidRPr="007C282E">
        <w:rPr>
          <w:szCs w:val="22"/>
        </w:rPr>
        <w:t xml:space="preserve">, based on the </w:t>
      </w:r>
      <w:r w:rsidR="00116777" w:rsidRPr="007C282E">
        <w:rPr>
          <w:szCs w:val="22"/>
        </w:rPr>
        <w:t>relatedness assessment</w:t>
      </w:r>
      <w:r w:rsidR="00EA4B81" w:rsidRPr="007C282E">
        <w:rPr>
          <w:szCs w:val="22"/>
        </w:rPr>
        <w:t xml:space="preserve"> </w:t>
      </w:r>
      <w:r w:rsidR="00EA4B81" w:rsidRPr="007C282E">
        <w:rPr>
          <w:iCs/>
          <w:szCs w:val="22"/>
        </w:rPr>
        <w:t>presumably by the unblinded investigators</w:t>
      </w:r>
      <w:r w:rsidRPr="007C282E">
        <w:rPr>
          <w:szCs w:val="22"/>
        </w:rPr>
        <w:t xml:space="preserve">. </w:t>
      </w:r>
      <w:r w:rsidRPr="007C282E">
        <w:rPr>
          <w:iCs/>
          <w:szCs w:val="22"/>
        </w:rPr>
        <w:t>However, infectious complications (including pneumonia and sepsis in combination with platinum-based therapy) was an important identified risk associated with cetuximab</w:t>
      </w:r>
      <w:r w:rsidR="0028269A" w:rsidRPr="007C282E">
        <w:rPr>
          <w:iCs/>
          <w:szCs w:val="22"/>
        </w:rPr>
        <w:t xml:space="preserve"> as per the Periodic Benefit Risk Evaluation Report</w:t>
      </w:r>
      <w:r w:rsidRPr="007C282E">
        <w:rPr>
          <w:iCs/>
          <w:szCs w:val="22"/>
        </w:rPr>
        <w:t>.</w:t>
      </w:r>
    </w:p>
    <w:p w:rsidR="00F73DD0" w:rsidRPr="00F73DD0" w:rsidRDefault="00F73DD0" w:rsidP="00F73DD0">
      <w:pPr>
        <w:pStyle w:val="ListParagraph"/>
        <w:rPr>
          <w:szCs w:val="22"/>
        </w:rPr>
      </w:pPr>
    </w:p>
    <w:p w:rsidR="00F73DD0" w:rsidRDefault="00F73DD0" w:rsidP="00B15815">
      <w:pPr>
        <w:pStyle w:val="ListParagraph"/>
        <w:numPr>
          <w:ilvl w:val="1"/>
          <w:numId w:val="3"/>
        </w:numPr>
        <w:rPr>
          <w:szCs w:val="22"/>
        </w:rPr>
      </w:pPr>
      <w:r w:rsidRPr="0095474A">
        <w:rPr>
          <w:szCs w:val="22"/>
        </w:rPr>
        <w:t xml:space="preserve">The adverse events of special interest were skin reactions and infusion-related reactions. </w:t>
      </w:r>
      <w:r w:rsidR="007A6E03" w:rsidRPr="0095474A">
        <w:rPr>
          <w:szCs w:val="22"/>
        </w:rPr>
        <w:t>About two-thirds of subjects in the cetuximab plus chemotherapy group developed skin reactions (67.6%) or acne-like rash (65.8%) of any grade</w:t>
      </w:r>
      <w:r w:rsidR="000764E5">
        <w:rPr>
          <w:szCs w:val="22"/>
        </w:rPr>
        <w:t xml:space="preserve">, with </w:t>
      </w:r>
      <w:r w:rsidR="00783431">
        <w:rPr>
          <w:szCs w:val="22"/>
        </w:rPr>
        <w:t xml:space="preserve">more </w:t>
      </w:r>
      <w:r w:rsidR="00890A0A">
        <w:rPr>
          <w:szCs w:val="22"/>
        </w:rPr>
        <w:t xml:space="preserve">patients experiencing </w:t>
      </w:r>
      <w:r w:rsidR="00F552BE" w:rsidRPr="00F552BE">
        <w:rPr>
          <w:szCs w:val="22"/>
        </w:rPr>
        <w:t xml:space="preserve">Grade 3 or 4 skin reactions </w:t>
      </w:r>
      <w:r w:rsidR="00BD1E9C">
        <w:rPr>
          <w:szCs w:val="22"/>
        </w:rPr>
        <w:t xml:space="preserve">in the cetuximab plus chemotherapy arm </w:t>
      </w:r>
      <w:r w:rsidR="00BD1E9C" w:rsidRPr="00F552BE">
        <w:rPr>
          <w:szCs w:val="22"/>
        </w:rPr>
        <w:t>(9.1% versus 0.5%)</w:t>
      </w:r>
      <w:r w:rsidR="007A6E03" w:rsidRPr="0095474A">
        <w:rPr>
          <w:szCs w:val="22"/>
        </w:rPr>
        <w:t>.</w:t>
      </w:r>
      <w:r w:rsidR="0095474A" w:rsidRPr="0095474A">
        <w:rPr>
          <w:szCs w:val="22"/>
        </w:rPr>
        <w:t xml:space="preserve"> Infusion-related reactions were ex</w:t>
      </w:r>
      <w:r w:rsidR="00F359A1">
        <w:rPr>
          <w:szCs w:val="22"/>
        </w:rPr>
        <w:t xml:space="preserve">perienced by 24 subjects (11%) </w:t>
      </w:r>
      <w:r w:rsidR="0095474A" w:rsidRPr="0095474A">
        <w:rPr>
          <w:szCs w:val="22"/>
        </w:rPr>
        <w:t>in the cetuximab plus chemotherapy group. Six of the</w:t>
      </w:r>
      <w:r w:rsidR="00A107F2">
        <w:rPr>
          <w:szCs w:val="22"/>
        </w:rPr>
        <w:t xml:space="preserve"> infusion-</w:t>
      </w:r>
      <w:r w:rsidR="00542FDE">
        <w:rPr>
          <w:szCs w:val="22"/>
        </w:rPr>
        <w:t>related</w:t>
      </w:r>
      <w:r w:rsidR="0095474A" w:rsidRPr="0095474A">
        <w:rPr>
          <w:szCs w:val="22"/>
        </w:rPr>
        <w:t xml:space="preserve"> events were Grade 3 or 4.</w:t>
      </w:r>
    </w:p>
    <w:p w:rsidR="00B60939" w:rsidRPr="009635E0" w:rsidRDefault="00B60939" w:rsidP="007F1017">
      <w:pPr>
        <w:pStyle w:val="ListParagraph"/>
        <w:ind w:left="0"/>
        <w:rPr>
          <w:szCs w:val="22"/>
        </w:rPr>
      </w:pPr>
    </w:p>
    <w:p w:rsidR="007F1017" w:rsidRPr="009635E0" w:rsidRDefault="007F1017" w:rsidP="00DE732C">
      <w:pPr>
        <w:pStyle w:val="Heading2"/>
      </w:pPr>
      <w:bookmarkStart w:id="20" w:name="_Toc437869739"/>
      <w:bookmarkStart w:id="21" w:name="_Toc441050435"/>
      <w:r w:rsidRPr="009635E0">
        <w:t>Benefits/harms</w:t>
      </w:r>
      <w:bookmarkEnd w:id="20"/>
      <w:bookmarkEnd w:id="21"/>
    </w:p>
    <w:p w:rsidR="00EC00C9" w:rsidRPr="009635E0" w:rsidRDefault="00EC00C9" w:rsidP="00B15815">
      <w:pPr>
        <w:pStyle w:val="ListParagraph"/>
        <w:widowControl/>
        <w:numPr>
          <w:ilvl w:val="1"/>
          <w:numId w:val="3"/>
        </w:numPr>
        <w:rPr>
          <w:szCs w:val="22"/>
        </w:rPr>
      </w:pPr>
      <w:r w:rsidRPr="009635E0">
        <w:rPr>
          <w:szCs w:val="22"/>
        </w:rPr>
        <w:t xml:space="preserve">A summary of the comparative benefits and harms for </w:t>
      </w:r>
      <w:r w:rsidR="00E446B5">
        <w:rPr>
          <w:szCs w:val="22"/>
        </w:rPr>
        <w:t xml:space="preserve">cetuximab </w:t>
      </w:r>
      <w:r w:rsidR="008C6CEA">
        <w:rPr>
          <w:szCs w:val="22"/>
        </w:rPr>
        <w:t>plus chemotherapy versus chemotherapy alone</w:t>
      </w:r>
      <w:r w:rsidRPr="009635E0">
        <w:rPr>
          <w:szCs w:val="22"/>
        </w:rPr>
        <w:t xml:space="preserve"> is presented in the table below.</w:t>
      </w:r>
      <w:r w:rsidR="00410708" w:rsidRPr="009635E0">
        <w:rPr>
          <w:szCs w:val="22"/>
        </w:rPr>
        <w:t xml:space="preserve"> </w:t>
      </w:r>
    </w:p>
    <w:p w:rsidR="00FC7CFD" w:rsidRDefault="00FC7CFD" w:rsidP="0001468D">
      <w:pPr>
        <w:rPr>
          <w:rStyle w:val="CommentReference"/>
          <w:iCs/>
        </w:rPr>
      </w:pPr>
      <w:r>
        <w:rPr>
          <w:rStyle w:val="CommentReference"/>
          <w:iCs/>
        </w:rPr>
        <w:br w:type="page"/>
      </w:r>
    </w:p>
    <w:p w:rsidR="00B62715" w:rsidRPr="007C282E" w:rsidRDefault="00B62715" w:rsidP="00CE474C">
      <w:pPr>
        <w:ind w:left="720"/>
        <w:rPr>
          <w:rStyle w:val="CommentReference"/>
          <w:iCs/>
        </w:rPr>
      </w:pPr>
      <w:r w:rsidRPr="007C282E">
        <w:rPr>
          <w:rStyle w:val="CommentReference"/>
          <w:iCs/>
        </w:rPr>
        <w:lastRenderedPageBreak/>
        <w:t xml:space="preserve">Table </w:t>
      </w:r>
      <w:r w:rsidR="00C67B31">
        <w:rPr>
          <w:rStyle w:val="CommentReference"/>
          <w:iCs/>
        </w:rPr>
        <w:t>5</w:t>
      </w:r>
      <w:r w:rsidRPr="007C282E">
        <w:rPr>
          <w:rStyle w:val="CommentReference"/>
          <w:iCs/>
        </w:rPr>
        <w:t xml:space="preserve">: Summary of comparative benefits and harms for </w:t>
      </w:r>
      <w:r w:rsidR="009F1398" w:rsidRPr="007C282E">
        <w:rPr>
          <w:rStyle w:val="CommentReference"/>
          <w:iCs/>
        </w:rPr>
        <w:t>cetuximab</w:t>
      </w:r>
      <w:r w:rsidRPr="007C282E">
        <w:rPr>
          <w:rStyle w:val="CommentReference"/>
          <w:iCs/>
        </w:rPr>
        <w:t xml:space="preserve"> </w:t>
      </w:r>
      <w:r w:rsidR="007C2D00" w:rsidRPr="007C282E">
        <w:rPr>
          <w:rStyle w:val="CommentReference"/>
          <w:iCs/>
        </w:rPr>
        <w:t xml:space="preserve">plus chemotherapy </w:t>
      </w:r>
      <w:r w:rsidRPr="007C282E">
        <w:rPr>
          <w:rStyle w:val="CommentReference"/>
          <w:iCs/>
        </w:rPr>
        <w:t xml:space="preserve">and </w:t>
      </w:r>
      <w:r w:rsidR="007C2D00" w:rsidRPr="007C282E">
        <w:rPr>
          <w:rStyle w:val="CommentReference"/>
          <w:iCs/>
        </w:rPr>
        <w:t>chemotherapy alone</w:t>
      </w:r>
      <w:r w:rsidR="00BA00A7" w:rsidRPr="007C282E">
        <w:rPr>
          <w:rStyle w:val="CommentReference"/>
          <w:iCs/>
        </w:rPr>
        <w:t xml:space="preserve"> from the EXTREME trial</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5: Summary of comparative benefits and harms for cetuximab plus chemotherapy and chemotherapy alone from the EXTREME trial"/>
      </w:tblPr>
      <w:tblGrid>
        <w:gridCol w:w="1457"/>
        <w:gridCol w:w="413"/>
        <w:gridCol w:w="669"/>
        <w:gridCol w:w="820"/>
        <w:gridCol w:w="265"/>
        <w:gridCol w:w="1390"/>
        <w:gridCol w:w="1315"/>
        <w:gridCol w:w="444"/>
        <w:gridCol w:w="594"/>
        <w:gridCol w:w="1171"/>
      </w:tblGrid>
      <w:tr w:rsidR="00530B4D" w:rsidRPr="007C282E" w:rsidTr="00927225">
        <w:trPr>
          <w:trHeight w:val="56"/>
          <w:tblHeader/>
        </w:trPr>
        <w:tc>
          <w:tcPr>
            <w:tcW w:w="5000" w:type="pct"/>
            <w:gridSpan w:val="10"/>
            <w:shd w:val="clear" w:color="auto" w:fill="auto"/>
            <w:vAlign w:val="center"/>
          </w:tcPr>
          <w:p w:rsidR="00530B4D" w:rsidRPr="007C282E" w:rsidRDefault="00530B4D" w:rsidP="00530B4D">
            <w:pPr>
              <w:jc w:val="left"/>
              <w:rPr>
                <w:rFonts w:ascii="Arial Narrow" w:hAnsi="Arial Narrow"/>
                <w:b/>
                <w:iCs/>
                <w:color w:val="000000"/>
                <w:sz w:val="20"/>
                <w:szCs w:val="18"/>
              </w:rPr>
            </w:pPr>
            <w:r w:rsidRPr="007C282E">
              <w:rPr>
                <w:rFonts w:ascii="Arial Narrow" w:hAnsi="Arial Narrow"/>
                <w:b/>
                <w:iCs/>
                <w:color w:val="000000"/>
                <w:sz w:val="20"/>
                <w:szCs w:val="18"/>
              </w:rPr>
              <w:t>Benefits</w:t>
            </w:r>
          </w:p>
        </w:tc>
      </w:tr>
      <w:tr w:rsidR="00530B4D" w:rsidRPr="007C282E" w:rsidTr="00E60240">
        <w:trPr>
          <w:trHeight w:val="56"/>
        </w:trPr>
        <w:tc>
          <w:tcPr>
            <w:tcW w:w="1095" w:type="pct"/>
            <w:gridSpan w:val="2"/>
            <w:shd w:val="clear" w:color="auto" w:fill="auto"/>
            <w:vAlign w:val="center"/>
          </w:tcPr>
          <w:p w:rsidR="00530B4D" w:rsidRPr="007C282E" w:rsidRDefault="00530B4D" w:rsidP="00530B4D">
            <w:pPr>
              <w:jc w:val="left"/>
              <w:rPr>
                <w:rFonts w:ascii="Arial Narrow" w:hAnsi="Arial Narrow"/>
                <w:b/>
                <w:iCs/>
                <w:color w:val="000000"/>
                <w:sz w:val="20"/>
                <w:szCs w:val="18"/>
              </w:rPr>
            </w:pPr>
            <w:r w:rsidRPr="007C282E">
              <w:rPr>
                <w:rFonts w:ascii="Arial Narrow" w:hAnsi="Arial Narrow"/>
                <w:b/>
                <w:iCs/>
                <w:color w:val="000000"/>
                <w:sz w:val="20"/>
                <w:szCs w:val="18"/>
              </w:rPr>
              <w:t>OS</w:t>
            </w:r>
          </w:p>
        </w:tc>
        <w:tc>
          <w:tcPr>
            <w:tcW w:w="872"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Cetuximab + CT</w:t>
            </w:r>
          </w:p>
        </w:tc>
        <w:tc>
          <w:tcPr>
            <w:tcW w:w="969"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CT alone</w:t>
            </w:r>
          </w:p>
        </w:tc>
        <w:tc>
          <w:tcPr>
            <w:tcW w:w="1030"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Absolute Difference</w:t>
            </w:r>
          </w:p>
        </w:tc>
        <w:tc>
          <w:tcPr>
            <w:tcW w:w="1034"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HR (95% CI)</w:t>
            </w:r>
          </w:p>
        </w:tc>
      </w:tr>
      <w:tr w:rsidR="00530B4D" w:rsidRPr="007C282E" w:rsidTr="00E60240">
        <w:tc>
          <w:tcPr>
            <w:tcW w:w="1095" w:type="pct"/>
            <w:gridSpan w:val="2"/>
            <w:shd w:val="clear" w:color="auto" w:fill="auto"/>
            <w:vAlign w:val="center"/>
          </w:tcPr>
          <w:p w:rsidR="00530B4D" w:rsidRPr="007C282E" w:rsidRDefault="00530B4D" w:rsidP="00530B4D">
            <w:pPr>
              <w:jc w:val="left"/>
              <w:rPr>
                <w:rFonts w:ascii="Arial Narrow" w:hAnsi="Arial Narrow"/>
                <w:b/>
                <w:iCs/>
                <w:color w:val="000000"/>
                <w:sz w:val="20"/>
                <w:szCs w:val="18"/>
              </w:rPr>
            </w:pPr>
            <w:r w:rsidRPr="007C282E">
              <w:rPr>
                <w:rFonts w:ascii="Arial Narrow" w:hAnsi="Arial Narrow"/>
                <w:b/>
                <w:iCs/>
                <w:color w:val="000000"/>
                <w:sz w:val="20"/>
                <w:szCs w:val="18"/>
              </w:rPr>
              <w:t>OS: ITT population</w:t>
            </w:r>
          </w:p>
        </w:tc>
        <w:tc>
          <w:tcPr>
            <w:tcW w:w="872" w:type="pct"/>
            <w:gridSpan w:val="2"/>
            <w:vAlign w:val="center"/>
          </w:tcPr>
          <w:p w:rsidR="00530B4D" w:rsidRPr="007C282E" w:rsidRDefault="00530B4D" w:rsidP="00530B4D">
            <w:pPr>
              <w:jc w:val="center"/>
              <w:rPr>
                <w:rFonts w:ascii="Arial Narrow" w:hAnsi="Arial Narrow"/>
                <w:b/>
                <w:iCs/>
                <w:color w:val="000000"/>
                <w:sz w:val="20"/>
                <w:szCs w:val="18"/>
              </w:rPr>
            </w:pPr>
          </w:p>
        </w:tc>
        <w:tc>
          <w:tcPr>
            <w:tcW w:w="969"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0"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4" w:type="pct"/>
            <w:gridSpan w:val="2"/>
            <w:vAlign w:val="center"/>
          </w:tcPr>
          <w:p w:rsidR="00530B4D" w:rsidRPr="007C282E" w:rsidRDefault="00530B4D" w:rsidP="00530B4D">
            <w:pPr>
              <w:jc w:val="center"/>
              <w:rPr>
                <w:rFonts w:ascii="Arial Narrow" w:hAnsi="Arial Narrow"/>
                <w:b/>
                <w:iCs/>
                <w:color w:val="000000"/>
                <w:sz w:val="20"/>
                <w:szCs w:val="18"/>
              </w:rPr>
            </w:pPr>
          </w:p>
        </w:tc>
      </w:tr>
      <w:tr w:rsidR="00530B4D" w:rsidRPr="007C282E" w:rsidTr="00E60240">
        <w:tc>
          <w:tcPr>
            <w:tcW w:w="1095" w:type="pct"/>
            <w:gridSpan w:val="2"/>
            <w:shd w:val="clear" w:color="auto" w:fill="auto"/>
            <w:vAlign w:val="center"/>
          </w:tcPr>
          <w:p w:rsidR="00530B4D" w:rsidRPr="007C282E" w:rsidRDefault="00530B4D" w:rsidP="00530B4D">
            <w:pPr>
              <w:jc w:val="left"/>
              <w:rPr>
                <w:rFonts w:ascii="Arial Narrow" w:hAnsi="Arial Narrow"/>
                <w:b/>
                <w:iCs/>
                <w:color w:val="000000"/>
                <w:sz w:val="20"/>
                <w:szCs w:val="18"/>
              </w:rPr>
            </w:pPr>
            <w:r w:rsidRPr="007C282E">
              <w:rPr>
                <w:rFonts w:ascii="Arial Narrow" w:hAnsi="Arial Narrow"/>
                <w:iCs/>
                <w:color w:val="000000"/>
                <w:sz w:val="20"/>
                <w:szCs w:val="18"/>
              </w:rPr>
              <w:t>Deaths*</w:t>
            </w:r>
          </w:p>
        </w:tc>
        <w:tc>
          <w:tcPr>
            <w:tcW w:w="872" w:type="pct"/>
            <w:gridSpan w:val="2"/>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iCs/>
                <w:sz w:val="20"/>
              </w:rPr>
              <w:t>167/222</w:t>
            </w:r>
          </w:p>
        </w:tc>
        <w:tc>
          <w:tcPr>
            <w:tcW w:w="969" w:type="pct"/>
            <w:gridSpan w:val="2"/>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iCs/>
                <w:sz w:val="20"/>
              </w:rPr>
              <w:t>176/220</w:t>
            </w:r>
          </w:p>
        </w:tc>
        <w:tc>
          <w:tcPr>
            <w:tcW w:w="1030"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iCs/>
                <w:color w:val="000000"/>
                <w:sz w:val="20"/>
                <w:szCs w:val="18"/>
              </w:rPr>
              <w:t>-</w:t>
            </w:r>
          </w:p>
        </w:tc>
        <w:tc>
          <w:tcPr>
            <w:tcW w:w="1034"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iCs/>
                <w:sz w:val="20"/>
              </w:rPr>
              <w:t>0.797 (0.644, 0.986)</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Median (mths)</w:t>
            </w:r>
          </w:p>
        </w:tc>
        <w:tc>
          <w:tcPr>
            <w:tcW w:w="872"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10.1 (8.6, 11.2)</w:t>
            </w:r>
          </w:p>
        </w:tc>
        <w:tc>
          <w:tcPr>
            <w:tcW w:w="969"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7.4 (6.4, 8.3)</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2.7</w:t>
            </w:r>
          </w:p>
        </w:tc>
        <w:tc>
          <w:tcPr>
            <w:tcW w:w="1034"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w:t>
            </w:r>
          </w:p>
        </w:tc>
      </w:tr>
      <w:tr w:rsidR="00530B4D" w:rsidRPr="007C282E" w:rsidTr="002855E0">
        <w:tc>
          <w:tcPr>
            <w:tcW w:w="1967" w:type="pct"/>
            <w:gridSpan w:val="4"/>
            <w:shd w:val="clear" w:color="auto" w:fill="auto"/>
            <w:vAlign w:val="center"/>
          </w:tcPr>
          <w:p w:rsidR="00530B4D" w:rsidRPr="007C282E" w:rsidRDefault="00530B4D" w:rsidP="00530B4D">
            <w:pPr>
              <w:jc w:val="left"/>
              <w:rPr>
                <w:rFonts w:ascii="Arial Narrow" w:hAnsi="Arial Narrow"/>
                <w:b/>
                <w:iCs/>
                <w:sz w:val="20"/>
              </w:rPr>
            </w:pPr>
            <w:r w:rsidRPr="007C282E">
              <w:rPr>
                <w:rFonts w:ascii="Arial Narrow" w:hAnsi="Arial Narrow"/>
                <w:b/>
                <w:iCs/>
                <w:color w:val="000000"/>
                <w:sz w:val="20"/>
                <w:szCs w:val="18"/>
              </w:rPr>
              <w:t xml:space="preserve">OS: Oral cavity &amp; KPS </w:t>
            </w:r>
            <w:r w:rsidR="00766AA4" w:rsidRPr="007C282E">
              <w:rPr>
                <w:rFonts w:ascii="Arial Narrow" w:hAnsi="Arial Narrow"/>
                <w:b/>
                <w:iCs/>
                <w:color w:val="000000"/>
                <w:sz w:val="20"/>
                <w:szCs w:val="18"/>
              </w:rPr>
              <w:t>≥</w:t>
            </w:r>
            <w:r w:rsidRPr="007C282E">
              <w:rPr>
                <w:rFonts w:ascii="Arial Narrow" w:hAnsi="Arial Narrow"/>
                <w:b/>
                <w:iCs/>
                <w:color w:val="000000"/>
                <w:sz w:val="20"/>
                <w:szCs w:val="18"/>
              </w:rPr>
              <w:t>80 (post hoc)</w:t>
            </w:r>
          </w:p>
        </w:tc>
        <w:tc>
          <w:tcPr>
            <w:tcW w:w="969" w:type="pct"/>
            <w:gridSpan w:val="2"/>
          </w:tcPr>
          <w:p w:rsidR="00530B4D" w:rsidRPr="007C282E" w:rsidRDefault="00530B4D" w:rsidP="00530B4D">
            <w:pPr>
              <w:jc w:val="center"/>
              <w:rPr>
                <w:rFonts w:ascii="Arial Narrow" w:hAnsi="Arial Narrow"/>
                <w:iCs/>
                <w:sz w:val="20"/>
              </w:rPr>
            </w:pP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p>
        </w:tc>
        <w:tc>
          <w:tcPr>
            <w:tcW w:w="1034" w:type="pct"/>
            <w:gridSpan w:val="2"/>
            <w:vAlign w:val="center"/>
          </w:tcPr>
          <w:p w:rsidR="00530B4D" w:rsidRPr="007C282E" w:rsidRDefault="00530B4D" w:rsidP="00530B4D">
            <w:pPr>
              <w:jc w:val="center"/>
              <w:rPr>
                <w:rFonts w:ascii="Arial Narrow" w:hAnsi="Arial Narrow"/>
                <w:iCs/>
                <w:sz w:val="20"/>
              </w:rPr>
            </w:pP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Deaths*</w:t>
            </w:r>
          </w:p>
        </w:tc>
        <w:tc>
          <w:tcPr>
            <w:tcW w:w="872" w:type="pct"/>
            <w:gridSpan w:val="2"/>
          </w:tcPr>
          <w:p w:rsidR="00530B4D" w:rsidRPr="00E9019D" w:rsidRDefault="00E9019D" w:rsidP="00530B4D">
            <w:pPr>
              <w:jc w:val="center"/>
              <w:rPr>
                <w:rFonts w:ascii="Arial Narrow" w:hAnsi="Arial Narrow"/>
                <w:iCs/>
                <w:sz w:val="20"/>
                <w:highlight w:val="black"/>
              </w:rPr>
            </w:pPr>
            <w:r>
              <w:rPr>
                <w:rFonts w:ascii="Arial Narrow" w:hAnsi="Arial Narrow"/>
                <w:iCs/>
                <w:noProof/>
                <w:color w:val="000000"/>
                <w:sz w:val="20"/>
                <w:highlight w:val="black"/>
              </w:rPr>
              <w:t>'''''''''''''</w:t>
            </w:r>
          </w:p>
        </w:tc>
        <w:tc>
          <w:tcPr>
            <w:tcW w:w="969" w:type="pct"/>
            <w:gridSpan w:val="2"/>
          </w:tcPr>
          <w:p w:rsidR="00530B4D" w:rsidRPr="00E9019D" w:rsidRDefault="00E9019D" w:rsidP="00530B4D">
            <w:pPr>
              <w:jc w:val="center"/>
              <w:rPr>
                <w:rFonts w:ascii="Arial Narrow" w:hAnsi="Arial Narrow"/>
                <w:iCs/>
                <w:sz w:val="20"/>
                <w:highlight w:val="black"/>
              </w:rPr>
            </w:pPr>
            <w:r>
              <w:rPr>
                <w:rFonts w:ascii="Arial Narrow" w:hAnsi="Arial Narrow"/>
                <w:iCs/>
                <w:noProof/>
                <w:color w:val="000000"/>
                <w:sz w:val="20"/>
                <w:highlight w:val="black"/>
              </w:rPr>
              <w:t>''''''''''''''</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w:t>
            </w:r>
          </w:p>
        </w:tc>
        <w:tc>
          <w:tcPr>
            <w:tcW w:w="1034"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iCs/>
                <w:color w:val="000000"/>
                <w:sz w:val="20"/>
                <w:szCs w:val="18"/>
              </w:rPr>
              <w:t>0.347 (0.207, 0.581)</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Median (mths)</w:t>
            </w:r>
          </w:p>
        </w:tc>
        <w:tc>
          <w:tcPr>
            <w:tcW w:w="872" w:type="pct"/>
            <w:gridSpan w:val="2"/>
          </w:tcPr>
          <w:p w:rsidR="00530B4D" w:rsidRPr="007C282E" w:rsidRDefault="00E9019D" w:rsidP="00530B4D">
            <w:pPr>
              <w:jc w:val="center"/>
              <w:rPr>
                <w:rFonts w:ascii="Arial Narrow" w:hAnsi="Arial Narrow"/>
                <w:iCs/>
                <w:sz w:val="20"/>
              </w:rPr>
            </w:pP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w:t>
            </w:r>
          </w:p>
        </w:tc>
        <w:tc>
          <w:tcPr>
            <w:tcW w:w="969" w:type="pct"/>
            <w:gridSpan w:val="2"/>
          </w:tcPr>
          <w:p w:rsidR="00530B4D" w:rsidRPr="007C282E" w:rsidRDefault="00E9019D" w:rsidP="00530B4D">
            <w:pPr>
              <w:jc w:val="center"/>
              <w:rPr>
                <w:rFonts w:ascii="Arial Narrow" w:hAnsi="Arial Narrow"/>
                <w:iCs/>
                <w:sz w:val="20"/>
              </w:rPr>
            </w:pP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7.1</w:t>
            </w:r>
          </w:p>
        </w:tc>
        <w:tc>
          <w:tcPr>
            <w:tcW w:w="1034"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iCs/>
                <w:color w:val="000000"/>
                <w:sz w:val="20"/>
                <w:szCs w:val="18"/>
              </w:rPr>
              <w:t>-</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b/>
                <w:iCs/>
                <w:color w:val="000000"/>
                <w:sz w:val="20"/>
                <w:szCs w:val="18"/>
              </w:rPr>
              <w:t>PFS</w:t>
            </w:r>
          </w:p>
        </w:tc>
        <w:tc>
          <w:tcPr>
            <w:tcW w:w="872"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b/>
                <w:iCs/>
                <w:color w:val="000000"/>
                <w:sz w:val="20"/>
                <w:szCs w:val="18"/>
              </w:rPr>
              <w:t>Cetuximab + CT</w:t>
            </w:r>
          </w:p>
        </w:tc>
        <w:tc>
          <w:tcPr>
            <w:tcW w:w="969"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b/>
                <w:iCs/>
                <w:color w:val="000000"/>
                <w:sz w:val="20"/>
                <w:szCs w:val="18"/>
              </w:rPr>
              <w:t>CT alone</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b/>
                <w:iCs/>
                <w:color w:val="000000"/>
                <w:sz w:val="20"/>
                <w:szCs w:val="18"/>
              </w:rPr>
              <w:t>Absolute Difference</w:t>
            </w:r>
          </w:p>
        </w:tc>
        <w:tc>
          <w:tcPr>
            <w:tcW w:w="1034"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b/>
                <w:iCs/>
                <w:color w:val="000000"/>
                <w:sz w:val="20"/>
                <w:szCs w:val="18"/>
              </w:rPr>
              <w:t>HR (95% CI)</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b/>
                <w:iCs/>
                <w:color w:val="000000"/>
                <w:sz w:val="20"/>
                <w:szCs w:val="18"/>
              </w:rPr>
            </w:pPr>
            <w:r w:rsidRPr="007C282E">
              <w:rPr>
                <w:rFonts w:ascii="Arial Narrow" w:hAnsi="Arial Narrow"/>
                <w:b/>
                <w:iCs/>
                <w:color w:val="000000"/>
                <w:sz w:val="20"/>
                <w:szCs w:val="18"/>
              </w:rPr>
              <w:t>PFS: ITT population</w:t>
            </w:r>
          </w:p>
        </w:tc>
        <w:tc>
          <w:tcPr>
            <w:tcW w:w="872" w:type="pct"/>
            <w:gridSpan w:val="2"/>
            <w:vAlign w:val="center"/>
          </w:tcPr>
          <w:p w:rsidR="00530B4D" w:rsidRPr="007C282E" w:rsidRDefault="00530B4D" w:rsidP="00530B4D">
            <w:pPr>
              <w:jc w:val="center"/>
              <w:rPr>
                <w:rFonts w:ascii="Arial Narrow" w:hAnsi="Arial Narrow"/>
                <w:b/>
                <w:iCs/>
                <w:color w:val="000000"/>
                <w:sz w:val="20"/>
                <w:szCs w:val="18"/>
              </w:rPr>
            </w:pPr>
          </w:p>
        </w:tc>
        <w:tc>
          <w:tcPr>
            <w:tcW w:w="969"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0"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4" w:type="pct"/>
            <w:gridSpan w:val="2"/>
            <w:vAlign w:val="center"/>
          </w:tcPr>
          <w:p w:rsidR="00530B4D" w:rsidRPr="007C282E" w:rsidRDefault="00530B4D" w:rsidP="00530B4D">
            <w:pPr>
              <w:jc w:val="center"/>
              <w:rPr>
                <w:rFonts w:ascii="Arial Narrow" w:hAnsi="Arial Narrow"/>
                <w:b/>
                <w:iCs/>
                <w:color w:val="000000"/>
                <w:sz w:val="20"/>
                <w:szCs w:val="18"/>
              </w:rPr>
            </w:pP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Progressed*</w:t>
            </w:r>
          </w:p>
        </w:tc>
        <w:tc>
          <w:tcPr>
            <w:tcW w:w="872"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168/222</w:t>
            </w:r>
          </w:p>
        </w:tc>
        <w:tc>
          <w:tcPr>
            <w:tcW w:w="969"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173/220</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w:t>
            </w:r>
          </w:p>
        </w:tc>
        <w:tc>
          <w:tcPr>
            <w:tcW w:w="1034"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iCs/>
                <w:sz w:val="20"/>
              </w:rPr>
              <w:t>0.538 (0.431, 0.672)</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Median (mths)</w:t>
            </w:r>
          </w:p>
        </w:tc>
        <w:tc>
          <w:tcPr>
            <w:tcW w:w="872"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5.6 (5.0, 6.0)</w:t>
            </w:r>
          </w:p>
        </w:tc>
        <w:tc>
          <w:tcPr>
            <w:tcW w:w="969" w:type="pct"/>
            <w:gridSpan w:val="2"/>
          </w:tcPr>
          <w:p w:rsidR="00530B4D" w:rsidRPr="007C282E" w:rsidRDefault="00530B4D" w:rsidP="00530B4D">
            <w:pPr>
              <w:jc w:val="center"/>
              <w:rPr>
                <w:rFonts w:ascii="Arial Narrow" w:hAnsi="Arial Narrow"/>
                <w:iCs/>
                <w:sz w:val="20"/>
              </w:rPr>
            </w:pPr>
            <w:r w:rsidRPr="007C282E">
              <w:rPr>
                <w:rFonts w:ascii="Arial Narrow" w:hAnsi="Arial Narrow"/>
                <w:iCs/>
                <w:sz w:val="20"/>
              </w:rPr>
              <w:t>3.3 (2.9, 4.3)</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2.3</w:t>
            </w:r>
          </w:p>
        </w:tc>
        <w:tc>
          <w:tcPr>
            <w:tcW w:w="1034"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w:t>
            </w:r>
          </w:p>
        </w:tc>
      </w:tr>
      <w:tr w:rsidR="00530B4D" w:rsidRPr="007C282E" w:rsidTr="002855E0">
        <w:tc>
          <w:tcPr>
            <w:tcW w:w="1967" w:type="pct"/>
            <w:gridSpan w:val="4"/>
            <w:shd w:val="clear" w:color="auto" w:fill="auto"/>
            <w:vAlign w:val="center"/>
          </w:tcPr>
          <w:p w:rsidR="00530B4D" w:rsidRPr="007C282E" w:rsidRDefault="00530B4D" w:rsidP="00530B4D">
            <w:pPr>
              <w:jc w:val="left"/>
              <w:rPr>
                <w:rFonts w:ascii="Arial Narrow" w:hAnsi="Arial Narrow"/>
                <w:b/>
                <w:iCs/>
                <w:color w:val="000000"/>
                <w:sz w:val="20"/>
                <w:szCs w:val="18"/>
              </w:rPr>
            </w:pPr>
            <w:r w:rsidRPr="007C282E">
              <w:rPr>
                <w:rFonts w:ascii="Arial Narrow" w:hAnsi="Arial Narrow"/>
                <w:b/>
                <w:iCs/>
                <w:color w:val="000000"/>
                <w:sz w:val="20"/>
                <w:szCs w:val="18"/>
              </w:rPr>
              <w:t xml:space="preserve">PFS: Oral cavity &amp; KPS </w:t>
            </w:r>
            <w:r w:rsidR="00766AA4" w:rsidRPr="007C282E">
              <w:rPr>
                <w:rFonts w:ascii="Arial Narrow" w:hAnsi="Arial Narrow"/>
                <w:b/>
                <w:iCs/>
                <w:color w:val="000000"/>
                <w:sz w:val="20"/>
                <w:szCs w:val="18"/>
              </w:rPr>
              <w:t>≥</w:t>
            </w:r>
            <w:r w:rsidRPr="007C282E">
              <w:rPr>
                <w:rFonts w:ascii="Arial Narrow" w:hAnsi="Arial Narrow"/>
                <w:b/>
                <w:iCs/>
                <w:color w:val="000000"/>
                <w:sz w:val="20"/>
                <w:szCs w:val="18"/>
              </w:rPr>
              <w:t>80 (post hoc)</w:t>
            </w:r>
          </w:p>
        </w:tc>
        <w:tc>
          <w:tcPr>
            <w:tcW w:w="969"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0" w:type="pct"/>
            <w:gridSpan w:val="2"/>
            <w:vAlign w:val="center"/>
          </w:tcPr>
          <w:p w:rsidR="00530B4D" w:rsidRPr="007C282E" w:rsidRDefault="00530B4D" w:rsidP="00530B4D">
            <w:pPr>
              <w:jc w:val="center"/>
              <w:rPr>
                <w:rFonts w:ascii="Arial Narrow" w:hAnsi="Arial Narrow"/>
                <w:b/>
                <w:iCs/>
                <w:color w:val="000000"/>
                <w:sz w:val="20"/>
                <w:szCs w:val="18"/>
              </w:rPr>
            </w:pPr>
          </w:p>
        </w:tc>
        <w:tc>
          <w:tcPr>
            <w:tcW w:w="1034" w:type="pct"/>
            <w:gridSpan w:val="2"/>
            <w:vAlign w:val="center"/>
          </w:tcPr>
          <w:p w:rsidR="00530B4D" w:rsidRPr="007C282E" w:rsidRDefault="00530B4D" w:rsidP="00530B4D">
            <w:pPr>
              <w:jc w:val="center"/>
              <w:rPr>
                <w:rFonts w:ascii="Arial Narrow" w:hAnsi="Arial Narrow"/>
                <w:b/>
                <w:iCs/>
                <w:color w:val="000000"/>
                <w:sz w:val="20"/>
                <w:szCs w:val="18"/>
              </w:rPr>
            </w:pP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Progressed*</w:t>
            </w:r>
          </w:p>
        </w:tc>
        <w:tc>
          <w:tcPr>
            <w:tcW w:w="872" w:type="pct"/>
            <w:gridSpan w:val="2"/>
            <w:vAlign w:val="center"/>
          </w:tcPr>
          <w:p w:rsidR="00530B4D" w:rsidRPr="00E9019D" w:rsidRDefault="00E9019D" w:rsidP="00530B4D">
            <w:pPr>
              <w:jc w:val="center"/>
              <w:rPr>
                <w:rFonts w:ascii="Arial Narrow" w:hAnsi="Arial Narrow"/>
                <w:iCs/>
                <w:sz w:val="20"/>
                <w:highlight w:val="black"/>
              </w:rPr>
            </w:pPr>
            <w:r>
              <w:rPr>
                <w:rFonts w:ascii="Arial Narrow" w:hAnsi="Arial Narrow"/>
                <w:iCs/>
                <w:noProof/>
                <w:color w:val="000000"/>
                <w:sz w:val="20"/>
                <w:highlight w:val="black"/>
              </w:rPr>
              <w:t>'''''''''''''</w:t>
            </w:r>
          </w:p>
        </w:tc>
        <w:tc>
          <w:tcPr>
            <w:tcW w:w="969" w:type="pct"/>
            <w:gridSpan w:val="2"/>
            <w:vAlign w:val="center"/>
          </w:tcPr>
          <w:p w:rsidR="00530B4D" w:rsidRPr="00E9019D" w:rsidRDefault="00E9019D" w:rsidP="00530B4D">
            <w:pPr>
              <w:jc w:val="center"/>
              <w:rPr>
                <w:rFonts w:ascii="Arial Narrow" w:hAnsi="Arial Narrow"/>
                <w:iCs/>
                <w:sz w:val="20"/>
                <w:highlight w:val="black"/>
              </w:rPr>
            </w:pPr>
            <w:r>
              <w:rPr>
                <w:rFonts w:ascii="Arial Narrow" w:hAnsi="Arial Narrow"/>
                <w:iCs/>
                <w:noProof/>
                <w:color w:val="000000"/>
                <w:sz w:val="20"/>
                <w:highlight w:val="black"/>
              </w:rPr>
              <w:t>''''''''''''''</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w:t>
            </w:r>
          </w:p>
        </w:tc>
        <w:tc>
          <w:tcPr>
            <w:tcW w:w="1034"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sz w:val="20"/>
              </w:rPr>
              <w:t>0.360 (0.215 , 0.604)</w:t>
            </w:r>
          </w:p>
        </w:tc>
      </w:tr>
      <w:tr w:rsidR="00530B4D" w:rsidRPr="007C282E" w:rsidTr="00E60240">
        <w:tc>
          <w:tcPr>
            <w:tcW w:w="1095" w:type="pct"/>
            <w:gridSpan w:val="2"/>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Median (mths)</w:t>
            </w:r>
          </w:p>
        </w:tc>
        <w:tc>
          <w:tcPr>
            <w:tcW w:w="872" w:type="pct"/>
            <w:gridSpan w:val="2"/>
            <w:vAlign w:val="center"/>
          </w:tcPr>
          <w:p w:rsidR="00530B4D" w:rsidRPr="007C282E" w:rsidRDefault="00E9019D" w:rsidP="00530B4D">
            <w:pPr>
              <w:jc w:val="center"/>
              <w:rPr>
                <w:rFonts w:ascii="Arial Narrow" w:hAnsi="Arial Narrow"/>
                <w:iCs/>
                <w:sz w:val="20"/>
              </w:rPr>
            </w:pP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w:t>
            </w:r>
          </w:p>
        </w:tc>
        <w:tc>
          <w:tcPr>
            <w:tcW w:w="969" w:type="pct"/>
            <w:gridSpan w:val="2"/>
            <w:vAlign w:val="center"/>
          </w:tcPr>
          <w:p w:rsidR="00530B4D" w:rsidRPr="007C282E" w:rsidRDefault="00E9019D" w:rsidP="00530B4D">
            <w:pPr>
              <w:jc w:val="center"/>
              <w:rPr>
                <w:rFonts w:ascii="Arial Narrow" w:hAnsi="Arial Narrow"/>
                <w:iCs/>
                <w:sz w:val="20"/>
              </w:rPr>
            </w:pP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 xml:space="preserve">, </w:t>
            </w:r>
            <w:r>
              <w:rPr>
                <w:rFonts w:ascii="Arial Narrow" w:hAnsi="Arial Narrow"/>
                <w:iCs/>
                <w:noProof/>
                <w:color w:val="000000"/>
                <w:sz w:val="20"/>
                <w:highlight w:val="black"/>
              </w:rPr>
              <w:t>''''''''</w:t>
            </w:r>
            <w:r w:rsidR="00530B4D" w:rsidRPr="007C282E">
              <w:rPr>
                <w:rFonts w:ascii="Arial Narrow" w:hAnsi="Arial Narrow"/>
                <w:iCs/>
                <w:sz w:val="20"/>
              </w:rPr>
              <w:t>)</w:t>
            </w:r>
          </w:p>
        </w:tc>
        <w:tc>
          <w:tcPr>
            <w:tcW w:w="1030"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3.3</w:t>
            </w:r>
          </w:p>
        </w:tc>
        <w:tc>
          <w:tcPr>
            <w:tcW w:w="1034" w:type="pct"/>
            <w:gridSpan w:val="2"/>
            <w:vAlign w:val="center"/>
          </w:tcPr>
          <w:p w:rsidR="00530B4D" w:rsidRPr="007C282E" w:rsidRDefault="00530B4D" w:rsidP="00530B4D">
            <w:pPr>
              <w:jc w:val="center"/>
              <w:rPr>
                <w:rFonts w:ascii="Arial Narrow" w:hAnsi="Arial Narrow"/>
                <w:iCs/>
                <w:sz w:val="20"/>
              </w:rPr>
            </w:pPr>
            <w:r w:rsidRPr="007C282E">
              <w:rPr>
                <w:rFonts w:ascii="Arial Narrow" w:hAnsi="Arial Narrow"/>
                <w:iCs/>
                <w:color w:val="000000"/>
                <w:sz w:val="20"/>
                <w:szCs w:val="18"/>
              </w:rPr>
              <w:t>-</w:t>
            </w:r>
          </w:p>
        </w:tc>
      </w:tr>
      <w:tr w:rsidR="002855E0" w:rsidRPr="007C282E" w:rsidTr="00E60240">
        <w:trPr>
          <w:trHeight w:val="150"/>
        </w:trPr>
        <w:tc>
          <w:tcPr>
            <w:tcW w:w="853" w:type="pct"/>
            <w:vMerge w:val="restart"/>
            <w:shd w:val="clear" w:color="auto" w:fill="auto"/>
            <w:vAlign w:val="center"/>
          </w:tcPr>
          <w:p w:rsidR="002855E0" w:rsidRPr="007C282E" w:rsidRDefault="002855E0" w:rsidP="002855E0">
            <w:pPr>
              <w:rPr>
                <w:rFonts w:ascii="Arial Narrow" w:hAnsi="Arial Narrow"/>
                <w:b/>
                <w:iCs/>
                <w:color w:val="000000"/>
                <w:sz w:val="20"/>
                <w:szCs w:val="18"/>
              </w:rPr>
            </w:pPr>
          </w:p>
        </w:tc>
        <w:tc>
          <w:tcPr>
            <w:tcW w:w="634" w:type="pct"/>
            <w:gridSpan w:val="2"/>
            <w:vMerge w:val="restart"/>
            <w:vAlign w:val="center"/>
          </w:tcPr>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Cetuximab + CT</w:t>
            </w:r>
          </w:p>
        </w:tc>
        <w:tc>
          <w:tcPr>
            <w:tcW w:w="635" w:type="pct"/>
            <w:gridSpan w:val="2"/>
            <w:vMerge w:val="restart"/>
            <w:vAlign w:val="center"/>
          </w:tcPr>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CT alone</w:t>
            </w:r>
          </w:p>
        </w:tc>
        <w:tc>
          <w:tcPr>
            <w:tcW w:w="814" w:type="pct"/>
            <w:vMerge w:val="restart"/>
            <w:vAlign w:val="center"/>
          </w:tcPr>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OR</w:t>
            </w:r>
          </w:p>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(95% CI)</w:t>
            </w:r>
          </w:p>
        </w:tc>
        <w:tc>
          <w:tcPr>
            <w:tcW w:w="1378" w:type="pct"/>
            <w:gridSpan w:val="3"/>
            <w:vAlign w:val="center"/>
          </w:tcPr>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 xml:space="preserve">Event rate/100 patients* </w:t>
            </w:r>
          </w:p>
        </w:tc>
        <w:tc>
          <w:tcPr>
            <w:tcW w:w="686" w:type="pct"/>
            <w:vMerge w:val="restart"/>
            <w:vAlign w:val="center"/>
          </w:tcPr>
          <w:p w:rsidR="002855E0" w:rsidRPr="007C282E" w:rsidRDefault="002855E0" w:rsidP="002855E0">
            <w:pPr>
              <w:jc w:val="center"/>
              <w:rPr>
                <w:rFonts w:ascii="Arial Narrow" w:hAnsi="Arial Narrow"/>
                <w:b/>
                <w:iCs/>
                <w:color w:val="000000"/>
                <w:sz w:val="20"/>
                <w:szCs w:val="18"/>
              </w:rPr>
            </w:pPr>
            <w:r w:rsidRPr="007C282E">
              <w:rPr>
                <w:rFonts w:ascii="Arial Narrow" w:hAnsi="Arial Narrow"/>
                <w:b/>
                <w:iCs/>
                <w:color w:val="000000"/>
                <w:sz w:val="20"/>
                <w:szCs w:val="18"/>
              </w:rPr>
              <w:t>RD</w:t>
            </w:r>
          </w:p>
          <w:p w:rsidR="002855E0" w:rsidRPr="007C282E" w:rsidRDefault="002855E0" w:rsidP="002855E0">
            <w:pPr>
              <w:jc w:val="center"/>
              <w:rPr>
                <w:rFonts w:ascii="Arial Narrow" w:hAnsi="Arial Narrow"/>
                <w:b/>
                <w:iCs/>
                <w:color w:val="000000"/>
                <w:sz w:val="20"/>
                <w:szCs w:val="18"/>
                <w:vertAlign w:val="superscript"/>
              </w:rPr>
            </w:pPr>
            <w:r w:rsidRPr="007C282E">
              <w:rPr>
                <w:rFonts w:ascii="Arial Narrow" w:hAnsi="Arial Narrow"/>
                <w:b/>
                <w:iCs/>
                <w:color w:val="000000"/>
                <w:sz w:val="20"/>
                <w:szCs w:val="18"/>
              </w:rPr>
              <w:t>(95% CI)</w:t>
            </w:r>
            <w:r w:rsidR="0099622F" w:rsidRPr="007C282E">
              <w:rPr>
                <w:rFonts w:ascii="Arial Narrow" w:hAnsi="Arial Narrow"/>
                <w:b/>
                <w:iCs/>
                <w:color w:val="000000"/>
                <w:sz w:val="20"/>
                <w:szCs w:val="18"/>
                <w:vertAlign w:val="superscript"/>
              </w:rPr>
              <w:t>b</w:t>
            </w:r>
          </w:p>
        </w:tc>
      </w:tr>
      <w:tr w:rsidR="00EB0770" w:rsidRPr="007C282E" w:rsidTr="00943FE8">
        <w:trPr>
          <w:trHeight w:val="56"/>
        </w:trPr>
        <w:tc>
          <w:tcPr>
            <w:tcW w:w="853" w:type="pct"/>
            <w:vMerge/>
            <w:shd w:val="clear" w:color="auto" w:fill="auto"/>
            <w:vAlign w:val="center"/>
          </w:tcPr>
          <w:p w:rsidR="00530B4D" w:rsidRPr="007C282E" w:rsidRDefault="00530B4D" w:rsidP="00530B4D">
            <w:pPr>
              <w:rPr>
                <w:rFonts w:ascii="Arial Narrow" w:hAnsi="Arial Narrow"/>
                <w:b/>
                <w:iCs/>
                <w:color w:val="000000"/>
                <w:sz w:val="20"/>
                <w:szCs w:val="18"/>
              </w:rPr>
            </w:pPr>
          </w:p>
        </w:tc>
        <w:tc>
          <w:tcPr>
            <w:tcW w:w="634" w:type="pct"/>
            <w:gridSpan w:val="2"/>
            <w:vMerge/>
            <w:vAlign w:val="center"/>
          </w:tcPr>
          <w:p w:rsidR="00530B4D" w:rsidRPr="007C282E" w:rsidRDefault="00530B4D" w:rsidP="00530B4D">
            <w:pPr>
              <w:jc w:val="center"/>
              <w:rPr>
                <w:rFonts w:ascii="Arial Narrow" w:hAnsi="Arial Narrow"/>
                <w:b/>
                <w:iCs/>
                <w:color w:val="000000"/>
                <w:sz w:val="20"/>
                <w:szCs w:val="18"/>
              </w:rPr>
            </w:pPr>
          </w:p>
        </w:tc>
        <w:tc>
          <w:tcPr>
            <w:tcW w:w="635" w:type="pct"/>
            <w:gridSpan w:val="2"/>
            <w:vMerge/>
            <w:vAlign w:val="center"/>
          </w:tcPr>
          <w:p w:rsidR="00530B4D" w:rsidRPr="007C282E" w:rsidRDefault="00530B4D" w:rsidP="00530B4D">
            <w:pPr>
              <w:jc w:val="center"/>
              <w:rPr>
                <w:rFonts w:ascii="Arial Narrow" w:hAnsi="Arial Narrow"/>
                <w:b/>
                <w:iCs/>
                <w:color w:val="000000"/>
                <w:sz w:val="20"/>
                <w:szCs w:val="18"/>
              </w:rPr>
            </w:pPr>
          </w:p>
        </w:tc>
        <w:tc>
          <w:tcPr>
            <w:tcW w:w="814" w:type="pct"/>
            <w:vMerge/>
            <w:vAlign w:val="center"/>
          </w:tcPr>
          <w:p w:rsidR="00530B4D" w:rsidRPr="007C282E" w:rsidRDefault="00530B4D" w:rsidP="00530B4D">
            <w:pPr>
              <w:jc w:val="center"/>
              <w:rPr>
                <w:rFonts w:ascii="Arial Narrow" w:hAnsi="Arial Narrow"/>
                <w:b/>
                <w:iCs/>
                <w:color w:val="000000"/>
                <w:sz w:val="20"/>
                <w:szCs w:val="18"/>
              </w:rPr>
            </w:pPr>
          </w:p>
        </w:tc>
        <w:tc>
          <w:tcPr>
            <w:tcW w:w="770" w:type="pc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Cetuximab + CT</w:t>
            </w:r>
          </w:p>
        </w:tc>
        <w:tc>
          <w:tcPr>
            <w:tcW w:w="608"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CT alone</w:t>
            </w:r>
          </w:p>
        </w:tc>
        <w:tc>
          <w:tcPr>
            <w:tcW w:w="686" w:type="pct"/>
            <w:vMerge/>
            <w:vAlign w:val="center"/>
          </w:tcPr>
          <w:p w:rsidR="00530B4D" w:rsidRPr="007C282E" w:rsidRDefault="00530B4D" w:rsidP="00530B4D">
            <w:pPr>
              <w:jc w:val="center"/>
              <w:rPr>
                <w:rFonts w:ascii="Arial Narrow" w:hAnsi="Arial Narrow"/>
                <w:b/>
                <w:iCs/>
                <w:color w:val="000000"/>
                <w:sz w:val="20"/>
                <w:szCs w:val="18"/>
              </w:rPr>
            </w:pPr>
          </w:p>
        </w:tc>
      </w:tr>
      <w:tr w:rsidR="00530B4D" w:rsidRPr="007C282E" w:rsidTr="00552BD3">
        <w:tc>
          <w:tcPr>
            <w:tcW w:w="5000" w:type="pct"/>
            <w:gridSpan w:val="10"/>
            <w:shd w:val="clear" w:color="auto" w:fill="auto"/>
            <w:vAlign w:val="center"/>
          </w:tcPr>
          <w:p w:rsidR="00530B4D" w:rsidRPr="007C282E" w:rsidRDefault="00D80640" w:rsidP="00530B4D">
            <w:pPr>
              <w:rPr>
                <w:rFonts w:ascii="Arial Narrow" w:hAnsi="Arial Narrow"/>
                <w:b/>
                <w:iCs/>
                <w:color w:val="000000"/>
                <w:sz w:val="20"/>
                <w:szCs w:val="18"/>
                <w:vertAlign w:val="superscript"/>
              </w:rPr>
            </w:pPr>
            <w:r w:rsidRPr="007C282E">
              <w:rPr>
                <w:rFonts w:ascii="Arial Narrow" w:hAnsi="Arial Narrow"/>
                <w:b/>
                <w:iCs/>
                <w:color w:val="000000"/>
                <w:sz w:val="20"/>
                <w:szCs w:val="18"/>
              </w:rPr>
              <w:t>Best overall response rate</w:t>
            </w:r>
            <w:r w:rsidRPr="007C282E">
              <w:rPr>
                <w:rFonts w:ascii="Arial Narrow" w:hAnsi="Arial Narrow"/>
                <w:b/>
                <w:iCs/>
                <w:color w:val="000000"/>
                <w:sz w:val="20"/>
                <w:szCs w:val="18"/>
                <w:vertAlign w:val="superscript"/>
              </w:rPr>
              <w:t>a</w:t>
            </w:r>
          </w:p>
        </w:tc>
      </w:tr>
      <w:tr w:rsidR="0042159C" w:rsidRPr="007C282E" w:rsidTr="005F63A7">
        <w:tc>
          <w:tcPr>
            <w:tcW w:w="853" w:type="pct"/>
            <w:shd w:val="clear" w:color="auto" w:fill="auto"/>
            <w:vAlign w:val="center"/>
          </w:tcPr>
          <w:p w:rsidR="0042159C" w:rsidRPr="007C282E" w:rsidRDefault="0042159C" w:rsidP="0042159C">
            <w:pPr>
              <w:jc w:val="left"/>
              <w:rPr>
                <w:rFonts w:ascii="Arial Narrow" w:hAnsi="Arial Narrow"/>
                <w:iCs/>
                <w:color w:val="000000"/>
                <w:sz w:val="20"/>
                <w:szCs w:val="18"/>
              </w:rPr>
            </w:pPr>
            <w:r w:rsidRPr="007C282E">
              <w:rPr>
                <w:rFonts w:ascii="Arial Narrow" w:hAnsi="Arial Narrow"/>
                <w:iCs/>
                <w:color w:val="000000"/>
                <w:sz w:val="20"/>
                <w:szCs w:val="18"/>
              </w:rPr>
              <w:t>ITT population</w:t>
            </w:r>
          </w:p>
        </w:tc>
        <w:tc>
          <w:tcPr>
            <w:tcW w:w="634" w:type="pct"/>
            <w:gridSpan w:val="2"/>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sz w:val="20"/>
              </w:rPr>
              <w:t>79/222</w:t>
            </w:r>
          </w:p>
        </w:tc>
        <w:tc>
          <w:tcPr>
            <w:tcW w:w="635" w:type="pct"/>
            <w:gridSpan w:val="2"/>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sz w:val="20"/>
              </w:rPr>
              <w:t>43/220</w:t>
            </w:r>
          </w:p>
        </w:tc>
        <w:tc>
          <w:tcPr>
            <w:tcW w:w="814" w:type="pct"/>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 xml:space="preserve">2.326 </w:t>
            </w:r>
          </w:p>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(1.504, 3.600)</w:t>
            </w:r>
          </w:p>
        </w:tc>
        <w:tc>
          <w:tcPr>
            <w:tcW w:w="770" w:type="pct"/>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35.6</w:t>
            </w:r>
          </w:p>
        </w:tc>
        <w:tc>
          <w:tcPr>
            <w:tcW w:w="608" w:type="pct"/>
            <w:gridSpan w:val="2"/>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19.5</w:t>
            </w:r>
          </w:p>
        </w:tc>
        <w:tc>
          <w:tcPr>
            <w:tcW w:w="686" w:type="pct"/>
            <w:vAlign w:val="center"/>
          </w:tcPr>
          <w:p w:rsidR="0042159C" w:rsidRPr="007C282E" w:rsidRDefault="0099622F" w:rsidP="0042159C">
            <w:pPr>
              <w:jc w:val="center"/>
              <w:rPr>
                <w:rFonts w:ascii="Arial Narrow" w:hAnsi="Arial Narrow"/>
                <w:iCs/>
                <w:color w:val="000000"/>
                <w:sz w:val="20"/>
                <w:szCs w:val="18"/>
              </w:rPr>
            </w:pPr>
            <w:r w:rsidRPr="007C282E">
              <w:rPr>
                <w:rFonts w:ascii="Arial Narrow" w:hAnsi="Arial Narrow"/>
                <w:iCs/>
                <w:color w:val="000000"/>
                <w:sz w:val="20"/>
                <w:szCs w:val="18"/>
              </w:rPr>
              <w:t>0.16</w:t>
            </w:r>
          </w:p>
          <w:p w:rsidR="0099622F" w:rsidRPr="007C282E" w:rsidRDefault="0099622F" w:rsidP="0042159C">
            <w:pPr>
              <w:jc w:val="center"/>
              <w:rPr>
                <w:rFonts w:ascii="Arial Narrow" w:hAnsi="Arial Narrow"/>
                <w:iCs/>
                <w:color w:val="000000"/>
                <w:sz w:val="20"/>
                <w:szCs w:val="18"/>
              </w:rPr>
            </w:pPr>
            <w:r w:rsidRPr="007C282E">
              <w:rPr>
                <w:rFonts w:ascii="Arial Narrow" w:hAnsi="Arial Narrow"/>
                <w:iCs/>
                <w:color w:val="000000"/>
                <w:sz w:val="20"/>
                <w:szCs w:val="18"/>
              </w:rPr>
              <w:t>(0.08, 0.24)</w:t>
            </w:r>
          </w:p>
        </w:tc>
      </w:tr>
      <w:tr w:rsidR="004C75E6" w:rsidRPr="007C282E" w:rsidTr="005F63A7">
        <w:tc>
          <w:tcPr>
            <w:tcW w:w="853" w:type="pct"/>
            <w:shd w:val="clear" w:color="auto" w:fill="auto"/>
            <w:vAlign w:val="center"/>
          </w:tcPr>
          <w:p w:rsidR="0042159C" w:rsidRPr="007C282E" w:rsidRDefault="0042159C" w:rsidP="0042159C">
            <w:pPr>
              <w:jc w:val="left"/>
              <w:rPr>
                <w:rFonts w:ascii="Arial Narrow" w:hAnsi="Arial Narrow"/>
                <w:iCs/>
                <w:color w:val="000000"/>
                <w:sz w:val="20"/>
                <w:szCs w:val="18"/>
              </w:rPr>
            </w:pPr>
            <w:r w:rsidRPr="007C282E">
              <w:rPr>
                <w:rFonts w:ascii="Arial Narrow" w:hAnsi="Arial Narrow"/>
                <w:iCs/>
                <w:color w:val="000000"/>
                <w:sz w:val="20"/>
                <w:szCs w:val="18"/>
              </w:rPr>
              <w:t xml:space="preserve">Oral cavity &amp; KPS </w:t>
            </w:r>
            <w:r w:rsidR="00766AA4" w:rsidRPr="007C282E">
              <w:rPr>
                <w:rFonts w:ascii="Arial Narrow" w:hAnsi="Arial Narrow"/>
                <w:iCs/>
                <w:color w:val="000000"/>
                <w:sz w:val="20"/>
                <w:szCs w:val="18"/>
              </w:rPr>
              <w:t>≥</w:t>
            </w:r>
            <w:r w:rsidRPr="007C282E">
              <w:rPr>
                <w:rFonts w:ascii="Arial Narrow" w:hAnsi="Arial Narrow"/>
                <w:iCs/>
                <w:color w:val="000000"/>
                <w:sz w:val="20"/>
                <w:szCs w:val="18"/>
              </w:rPr>
              <w:t>80 (post hoc)</w:t>
            </w:r>
          </w:p>
        </w:tc>
        <w:tc>
          <w:tcPr>
            <w:tcW w:w="634" w:type="pct"/>
            <w:gridSpan w:val="2"/>
            <w:vAlign w:val="center"/>
          </w:tcPr>
          <w:p w:rsidR="0042159C" w:rsidRPr="00E9019D" w:rsidRDefault="00E9019D" w:rsidP="0042159C">
            <w:pPr>
              <w:jc w:val="center"/>
              <w:rPr>
                <w:rFonts w:ascii="Arial Narrow" w:hAnsi="Arial Narrow"/>
                <w:iCs/>
                <w:color w:val="000000"/>
                <w:sz w:val="20"/>
                <w:szCs w:val="18"/>
                <w:highlight w:val="black"/>
              </w:rPr>
            </w:pPr>
            <w:r>
              <w:rPr>
                <w:rFonts w:ascii="Arial Narrow" w:hAnsi="Arial Narrow"/>
                <w:iCs/>
                <w:noProof/>
                <w:color w:val="000000"/>
                <w:sz w:val="20"/>
                <w:highlight w:val="black"/>
              </w:rPr>
              <w:t>'''''''''''''''</w:t>
            </w:r>
          </w:p>
        </w:tc>
        <w:tc>
          <w:tcPr>
            <w:tcW w:w="635" w:type="pct"/>
            <w:gridSpan w:val="2"/>
            <w:vAlign w:val="center"/>
          </w:tcPr>
          <w:p w:rsidR="0042159C" w:rsidRPr="00E9019D" w:rsidRDefault="00E9019D" w:rsidP="0042159C">
            <w:pPr>
              <w:jc w:val="center"/>
              <w:rPr>
                <w:rFonts w:ascii="Arial Narrow" w:hAnsi="Arial Narrow"/>
                <w:iCs/>
                <w:color w:val="000000"/>
                <w:sz w:val="20"/>
                <w:szCs w:val="18"/>
                <w:highlight w:val="black"/>
              </w:rPr>
            </w:pPr>
            <w:r>
              <w:rPr>
                <w:rFonts w:ascii="Arial Narrow" w:hAnsi="Arial Narrow"/>
                <w:iCs/>
                <w:noProof/>
                <w:color w:val="000000"/>
                <w:sz w:val="20"/>
                <w:highlight w:val="black"/>
              </w:rPr>
              <w:t>''''''''''</w:t>
            </w:r>
          </w:p>
        </w:tc>
        <w:tc>
          <w:tcPr>
            <w:tcW w:w="814" w:type="pct"/>
            <w:vAlign w:val="center"/>
          </w:tcPr>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 xml:space="preserve">14.348 </w:t>
            </w:r>
          </w:p>
          <w:p w:rsidR="0042159C" w:rsidRPr="007C282E" w:rsidRDefault="0042159C" w:rsidP="0042159C">
            <w:pPr>
              <w:jc w:val="center"/>
              <w:rPr>
                <w:rFonts w:ascii="Arial Narrow" w:hAnsi="Arial Narrow"/>
                <w:iCs/>
                <w:color w:val="000000"/>
                <w:sz w:val="20"/>
                <w:szCs w:val="18"/>
              </w:rPr>
            </w:pPr>
            <w:r w:rsidRPr="007C282E">
              <w:rPr>
                <w:rFonts w:ascii="Arial Narrow" w:hAnsi="Arial Narrow"/>
                <w:iCs/>
                <w:color w:val="000000"/>
                <w:sz w:val="20"/>
                <w:szCs w:val="18"/>
              </w:rPr>
              <w:t>(3.051, 67.463)</w:t>
            </w:r>
          </w:p>
        </w:tc>
        <w:tc>
          <w:tcPr>
            <w:tcW w:w="770" w:type="pct"/>
            <w:vAlign w:val="center"/>
          </w:tcPr>
          <w:p w:rsidR="0042159C" w:rsidRPr="00E9019D" w:rsidRDefault="00E9019D" w:rsidP="0042159C">
            <w:pPr>
              <w:jc w:val="center"/>
              <w:rPr>
                <w:rFonts w:ascii="Arial Narrow" w:hAnsi="Arial Narrow"/>
                <w:iCs/>
                <w:color w:val="000000"/>
                <w:sz w:val="20"/>
                <w:szCs w:val="18"/>
                <w:highlight w:val="black"/>
              </w:rPr>
            </w:pPr>
            <w:r>
              <w:rPr>
                <w:rFonts w:ascii="Arial Narrow" w:hAnsi="Arial Narrow"/>
                <w:iCs/>
                <w:noProof/>
                <w:color w:val="000000"/>
                <w:sz w:val="20"/>
                <w:szCs w:val="18"/>
                <w:highlight w:val="black"/>
              </w:rPr>
              <w:t>'''''''''''</w:t>
            </w:r>
          </w:p>
        </w:tc>
        <w:tc>
          <w:tcPr>
            <w:tcW w:w="608" w:type="pct"/>
            <w:gridSpan w:val="2"/>
            <w:vAlign w:val="center"/>
          </w:tcPr>
          <w:p w:rsidR="0042159C" w:rsidRPr="00E9019D" w:rsidRDefault="00E9019D" w:rsidP="0042159C">
            <w:pPr>
              <w:jc w:val="center"/>
              <w:rPr>
                <w:rFonts w:ascii="Arial Narrow" w:hAnsi="Arial Narrow"/>
                <w:iCs/>
                <w:color w:val="000000"/>
                <w:sz w:val="20"/>
                <w:szCs w:val="18"/>
                <w:highlight w:val="black"/>
              </w:rPr>
            </w:pPr>
            <w:r>
              <w:rPr>
                <w:rFonts w:ascii="Arial Narrow" w:hAnsi="Arial Narrow"/>
                <w:iCs/>
                <w:noProof/>
                <w:color w:val="000000"/>
                <w:sz w:val="20"/>
                <w:szCs w:val="18"/>
                <w:highlight w:val="black"/>
              </w:rPr>
              <w:t>'''''''</w:t>
            </w:r>
          </w:p>
        </w:tc>
        <w:tc>
          <w:tcPr>
            <w:tcW w:w="686" w:type="pct"/>
            <w:vAlign w:val="center"/>
          </w:tcPr>
          <w:p w:rsidR="0042159C" w:rsidRPr="007C282E" w:rsidRDefault="0099622F" w:rsidP="0042159C">
            <w:pPr>
              <w:jc w:val="center"/>
              <w:rPr>
                <w:rFonts w:ascii="Arial Narrow" w:hAnsi="Arial Narrow"/>
                <w:iCs/>
                <w:color w:val="000000"/>
                <w:sz w:val="20"/>
                <w:szCs w:val="18"/>
              </w:rPr>
            </w:pPr>
            <w:r w:rsidRPr="007C282E">
              <w:rPr>
                <w:rFonts w:ascii="Arial Narrow" w:hAnsi="Arial Narrow"/>
                <w:iCs/>
                <w:color w:val="000000"/>
                <w:sz w:val="20"/>
                <w:szCs w:val="18"/>
              </w:rPr>
              <w:t>0.41</w:t>
            </w:r>
          </w:p>
          <w:p w:rsidR="0099622F" w:rsidRPr="007C282E" w:rsidRDefault="0099622F" w:rsidP="0042159C">
            <w:pPr>
              <w:jc w:val="center"/>
              <w:rPr>
                <w:rFonts w:ascii="Arial Narrow" w:hAnsi="Arial Narrow"/>
                <w:iCs/>
                <w:color w:val="000000"/>
                <w:sz w:val="20"/>
                <w:szCs w:val="18"/>
              </w:rPr>
            </w:pPr>
            <w:r w:rsidRPr="007C282E">
              <w:rPr>
                <w:rFonts w:ascii="Arial Narrow" w:hAnsi="Arial Narrow"/>
                <w:iCs/>
                <w:color w:val="000000"/>
                <w:sz w:val="20"/>
                <w:szCs w:val="18"/>
              </w:rPr>
              <w:t>(0.23, 0.57)</w:t>
            </w:r>
          </w:p>
        </w:tc>
      </w:tr>
      <w:tr w:rsidR="00530B4D" w:rsidRPr="007C282E" w:rsidTr="00552BD3">
        <w:tc>
          <w:tcPr>
            <w:tcW w:w="5000" w:type="pct"/>
            <w:gridSpan w:val="10"/>
            <w:tcBorders>
              <w:top w:val="double" w:sz="4" w:space="0" w:color="auto"/>
            </w:tcBorders>
            <w:shd w:val="clear" w:color="auto" w:fill="auto"/>
            <w:vAlign w:val="center"/>
          </w:tcPr>
          <w:p w:rsidR="00530B4D" w:rsidRPr="007C282E" w:rsidRDefault="00530B4D" w:rsidP="00530B4D">
            <w:pPr>
              <w:rPr>
                <w:rFonts w:ascii="Arial Narrow" w:hAnsi="Arial Narrow"/>
                <w:b/>
                <w:iCs/>
                <w:color w:val="000000"/>
                <w:sz w:val="20"/>
                <w:szCs w:val="18"/>
              </w:rPr>
            </w:pPr>
            <w:r w:rsidRPr="007C282E">
              <w:rPr>
                <w:rFonts w:ascii="Arial Narrow" w:hAnsi="Arial Narrow"/>
                <w:b/>
                <w:iCs/>
                <w:color w:val="000000"/>
                <w:sz w:val="20"/>
                <w:szCs w:val="18"/>
              </w:rPr>
              <w:t xml:space="preserve">Harms </w:t>
            </w:r>
          </w:p>
        </w:tc>
      </w:tr>
      <w:tr w:rsidR="00530B4D" w:rsidRPr="007C282E" w:rsidTr="00E60240">
        <w:trPr>
          <w:trHeight w:val="70"/>
        </w:trPr>
        <w:tc>
          <w:tcPr>
            <w:tcW w:w="853" w:type="pct"/>
            <w:vMerge w:val="restart"/>
            <w:shd w:val="clear" w:color="auto" w:fill="auto"/>
            <w:vAlign w:val="center"/>
          </w:tcPr>
          <w:p w:rsidR="00530B4D" w:rsidRPr="007C282E" w:rsidRDefault="00530B4D" w:rsidP="00530B4D">
            <w:pPr>
              <w:rPr>
                <w:rFonts w:ascii="Arial Narrow" w:hAnsi="Arial Narrow"/>
                <w:b/>
                <w:iCs/>
                <w:color w:val="000000"/>
                <w:sz w:val="20"/>
                <w:szCs w:val="18"/>
              </w:rPr>
            </w:pPr>
          </w:p>
        </w:tc>
        <w:tc>
          <w:tcPr>
            <w:tcW w:w="634" w:type="pct"/>
            <w:gridSpan w:val="2"/>
            <w:vMerge w:val="restar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Cetuximab + CT</w:t>
            </w:r>
          </w:p>
        </w:tc>
        <w:tc>
          <w:tcPr>
            <w:tcW w:w="635" w:type="pct"/>
            <w:gridSpan w:val="2"/>
            <w:vMerge w:val="restar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CT alone</w:t>
            </w:r>
          </w:p>
        </w:tc>
        <w:tc>
          <w:tcPr>
            <w:tcW w:w="814" w:type="pct"/>
            <w:vMerge w:val="restar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RR</w:t>
            </w:r>
          </w:p>
          <w:p w:rsidR="00530B4D" w:rsidRPr="007C282E" w:rsidRDefault="00530B4D" w:rsidP="00530B4D">
            <w:pPr>
              <w:jc w:val="center"/>
              <w:rPr>
                <w:rFonts w:ascii="Arial Narrow" w:hAnsi="Arial Narrow"/>
                <w:b/>
                <w:iCs/>
                <w:color w:val="000000"/>
                <w:sz w:val="20"/>
                <w:szCs w:val="18"/>
                <w:vertAlign w:val="superscript"/>
              </w:rPr>
            </w:pPr>
            <w:r w:rsidRPr="007C282E">
              <w:rPr>
                <w:rFonts w:ascii="Arial Narrow" w:hAnsi="Arial Narrow"/>
                <w:b/>
                <w:iCs/>
                <w:color w:val="000000"/>
                <w:sz w:val="20"/>
                <w:szCs w:val="18"/>
              </w:rPr>
              <w:t>(95% CI)</w:t>
            </w:r>
            <w:r w:rsidR="0099622F" w:rsidRPr="007C282E">
              <w:rPr>
                <w:rFonts w:ascii="Arial Narrow" w:hAnsi="Arial Narrow"/>
                <w:b/>
                <w:iCs/>
                <w:color w:val="000000"/>
                <w:sz w:val="20"/>
                <w:szCs w:val="18"/>
                <w:vertAlign w:val="superscript"/>
              </w:rPr>
              <w:t>b</w:t>
            </w:r>
          </w:p>
        </w:tc>
        <w:tc>
          <w:tcPr>
            <w:tcW w:w="1378" w:type="pct"/>
            <w:gridSpan w:val="3"/>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 xml:space="preserve">Event rate/100 patients* </w:t>
            </w:r>
          </w:p>
        </w:tc>
        <w:tc>
          <w:tcPr>
            <w:tcW w:w="686" w:type="pct"/>
            <w:vMerge w:val="restar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RD</w:t>
            </w:r>
          </w:p>
          <w:p w:rsidR="00530B4D" w:rsidRPr="007C282E" w:rsidRDefault="00530B4D" w:rsidP="00530B4D">
            <w:pPr>
              <w:jc w:val="center"/>
              <w:rPr>
                <w:rFonts w:ascii="Arial Narrow" w:hAnsi="Arial Narrow"/>
                <w:b/>
                <w:iCs/>
                <w:color w:val="000000"/>
                <w:sz w:val="20"/>
                <w:szCs w:val="18"/>
                <w:vertAlign w:val="superscript"/>
              </w:rPr>
            </w:pPr>
            <w:r w:rsidRPr="007C282E">
              <w:rPr>
                <w:rFonts w:ascii="Arial Narrow" w:hAnsi="Arial Narrow"/>
                <w:b/>
                <w:iCs/>
                <w:color w:val="000000"/>
                <w:sz w:val="20"/>
                <w:szCs w:val="18"/>
              </w:rPr>
              <w:t>(95% CI)</w:t>
            </w:r>
            <w:r w:rsidR="0099622F" w:rsidRPr="007C282E">
              <w:rPr>
                <w:rFonts w:ascii="Arial Narrow" w:hAnsi="Arial Narrow"/>
                <w:b/>
                <w:iCs/>
                <w:color w:val="000000"/>
                <w:sz w:val="20"/>
                <w:szCs w:val="18"/>
                <w:vertAlign w:val="superscript"/>
              </w:rPr>
              <w:t>b</w:t>
            </w:r>
          </w:p>
        </w:tc>
      </w:tr>
      <w:tr w:rsidR="00E60240" w:rsidRPr="007C282E" w:rsidTr="00943FE8">
        <w:trPr>
          <w:trHeight w:val="147"/>
        </w:trPr>
        <w:tc>
          <w:tcPr>
            <w:tcW w:w="853" w:type="pct"/>
            <w:vMerge/>
            <w:shd w:val="clear" w:color="auto" w:fill="auto"/>
            <w:vAlign w:val="center"/>
          </w:tcPr>
          <w:p w:rsidR="00530B4D" w:rsidRPr="007C282E" w:rsidRDefault="00530B4D" w:rsidP="00530B4D">
            <w:pPr>
              <w:rPr>
                <w:rFonts w:ascii="Arial Narrow" w:hAnsi="Arial Narrow"/>
                <w:b/>
                <w:iCs/>
                <w:color w:val="000000"/>
                <w:sz w:val="20"/>
                <w:szCs w:val="18"/>
              </w:rPr>
            </w:pPr>
          </w:p>
        </w:tc>
        <w:tc>
          <w:tcPr>
            <w:tcW w:w="634" w:type="pct"/>
            <w:gridSpan w:val="2"/>
            <w:vMerge/>
            <w:vAlign w:val="center"/>
          </w:tcPr>
          <w:p w:rsidR="00530B4D" w:rsidRPr="007C282E" w:rsidRDefault="00530B4D" w:rsidP="00530B4D">
            <w:pPr>
              <w:jc w:val="center"/>
              <w:rPr>
                <w:rFonts w:ascii="Arial Narrow" w:hAnsi="Arial Narrow"/>
                <w:b/>
                <w:iCs/>
                <w:color w:val="000000"/>
                <w:sz w:val="20"/>
                <w:szCs w:val="18"/>
              </w:rPr>
            </w:pPr>
          </w:p>
        </w:tc>
        <w:tc>
          <w:tcPr>
            <w:tcW w:w="635" w:type="pct"/>
            <w:gridSpan w:val="2"/>
            <w:vMerge/>
            <w:vAlign w:val="center"/>
          </w:tcPr>
          <w:p w:rsidR="00530B4D" w:rsidRPr="007C282E" w:rsidRDefault="00530B4D" w:rsidP="00530B4D">
            <w:pPr>
              <w:jc w:val="center"/>
              <w:rPr>
                <w:rFonts w:ascii="Arial Narrow" w:hAnsi="Arial Narrow"/>
                <w:b/>
                <w:iCs/>
                <w:color w:val="000000"/>
                <w:sz w:val="20"/>
                <w:szCs w:val="18"/>
              </w:rPr>
            </w:pPr>
          </w:p>
        </w:tc>
        <w:tc>
          <w:tcPr>
            <w:tcW w:w="814" w:type="pct"/>
            <w:vMerge/>
            <w:vAlign w:val="center"/>
          </w:tcPr>
          <w:p w:rsidR="00530B4D" w:rsidRPr="007C282E" w:rsidRDefault="00530B4D" w:rsidP="00530B4D">
            <w:pPr>
              <w:jc w:val="center"/>
              <w:rPr>
                <w:rFonts w:ascii="Arial Narrow" w:hAnsi="Arial Narrow"/>
                <w:b/>
                <w:iCs/>
                <w:color w:val="000000"/>
                <w:sz w:val="20"/>
                <w:szCs w:val="18"/>
              </w:rPr>
            </w:pPr>
          </w:p>
        </w:tc>
        <w:tc>
          <w:tcPr>
            <w:tcW w:w="770" w:type="pct"/>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Cetuximab + CT</w:t>
            </w:r>
          </w:p>
        </w:tc>
        <w:tc>
          <w:tcPr>
            <w:tcW w:w="608" w:type="pct"/>
            <w:gridSpan w:val="2"/>
            <w:vAlign w:val="center"/>
          </w:tcPr>
          <w:p w:rsidR="00530B4D" w:rsidRPr="007C282E" w:rsidRDefault="00530B4D" w:rsidP="00530B4D">
            <w:pPr>
              <w:jc w:val="center"/>
              <w:rPr>
                <w:rFonts w:ascii="Arial Narrow" w:hAnsi="Arial Narrow"/>
                <w:b/>
                <w:iCs/>
                <w:color w:val="000000"/>
                <w:sz w:val="20"/>
                <w:szCs w:val="18"/>
              </w:rPr>
            </w:pPr>
            <w:r w:rsidRPr="007C282E">
              <w:rPr>
                <w:rFonts w:ascii="Arial Narrow" w:hAnsi="Arial Narrow"/>
                <w:b/>
                <w:iCs/>
                <w:color w:val="000000"/>
                <w:sz w:val="20"/>
                <w:szCs w:val="18"/>
              </w:rPr>
              <w:t>CT alone</w:t>
            </w:r>
          </w:p>
        </w:tc>
        <w:tc>
          <w:tcPr>
            <w:tcW w:w="686" w:type="pct"/>
            <w:vMerge/>
            <w:vAlign w:val="center"/>
          </w:tcPr>
          <w:p w:rsidR="00530B4D" w:rsidRPr="007C282E" w:rsidRDefault="00530B4D" w:rsidP="00530B4D">
            <w:pPr>
              <w:jc w:val="center"/>
              <w:rPr>
                <w:rFonts w:ascii="Arial Narrow" w:hAnsi="Arial Narrow"/>
                <w:b/>
                <w:iCs/>
                <w:color w:val="000000"/>
                <w:sz w:val="20"/>
                <w:szCs w:val="18"/>
              </w:rPr>
            </w:pPr>
          </w:p>
        </w:tc>
      </w:tr>
      <w:tr w:rsidR="00530B4D" w:rsidRPr="007C282E" w:rsidTr="00552BD3">
        <w:tc>
          <w:tcPr>
            <w:tcW w:w="5000" w:type="pct"/>
            <w:gridSpan w:val="10"/>
            <w:shd w:val="clear" w:color="auto" w:fill="auto"/>
            <w:vAlign w:val="center"/>
          </w:tcPr>
          <w:p w:rsidR="00530B4D" w:rsidRPr="007C282E" w:rsidRDefault="004002D9" w:rsidP="00530B4D">
            <w:pPr>
              <w:rPr>
                <w:rFonts w:ascii="Arial Narrow" w:hAnsi="Arial Narrow"/>
                <w:b/>
                <w:iCs/>
                <w:color w:val="000000"/>
                <w:sz w:val="20"/>
                <w:szCs w:val="18"/>
              </w:rPr>
            </w:pPr>
            <w:r w:rsidRPr="007C282E">
              <w:rPr>
                <w:rFonts w:ascii="Arial Narrow" w:hAnsi="Arial Narrow"/>
                <w:b/>
                <w:iCs/>
                <w:color w:val="000000"/>
                <w:sz w:val="20"/>
                <w:szCs w:val="18"/>
              </w:rPr>
              <w:t>S</w:t>
            </w:r>
            <w:r w:rsidR="00530B4D" w:rsidRPr="007C282E">
              <w:rPr>
                <w:rFonts w:ascii="Arial Narrow" w:hAnsi="Arial Narrow"/>
                <w:b/>
                <w:iCs/>
                <w:color w:val="000000"/>
                <w:sz w:val="20"/>
                <w:szCs w:val="18"/>
              </w:rPr>
              <w:t>kin reactions</w:t>
            </w:r>
          </w:p>
        </w:tc>
      </w:tr>
      <w:tr w:rsidR="00E60240" w:rsidRPr="007C282E" w:rsidTr="005F63A7">
        <w:tc>
          <w:tcPr>
            <w:tcW w:w="853" w:type="pct"/>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ITT population</w:t>
            </w:r>
          </w:p>
        </w:tc>
        <w:tc>
          <w:tcPr>
            <w:tcW w:w="634" w:type="pct"/>
            <w:gridSpan w:val="2"/>
            <w:vAlign w:val="center"/>
          </w:tcPr>
          <w:p w:rsidR="00530B4D" w:rsidRPr="007C282E" w:rsidRDefault="00EA45D9" w:rsidP="00115C50">
            <w:pPr>
              <w:jc w:val="center"/>
              <w:rPr>
                <w:rFonts w:ascii="Arial Narrow" w:hAnsi="Arial Narrow"/>
                <w:iCs/>
                <w:color w:val="000000"/>
                <w:sz w:val="20"/>
                <w:szCs w:val="18"/>
              </w:rPr>
            </w:pPr>
            <w:r w:rsidRPr="007C282E">
              <w:rPr>
                <w:rFonts w:ascii="Arial Narrow" w:hAnsi="Arial Narrow"/>
                <w:iCs/>
                <w:color w:val="000000"/>
                <w:sz w:val="20"/>
                <w:szCs w:val="18"/>
              </w:rPr>
              <w:t>148/219</w:t>
            </w:r>
          </w:p>
        </w:tc>
        <w:tc>
          <w:tcPr>
            <w:tcW w:w="635" w:type="pct"/>
            <w:gridSpan w:val="2"/>
            <w:vAlign w:val="center"/>
          </w:tcPr>
          <w:p w:rsidR="00530B4D" w:rsidRPr="007C282E" w:rsidRDefault="00F5758B" w:rsidP="00530B4D">
            <w:pPr>
              <w:jc w:val="center"/>
              <w:rPr>
                <w:rFonts w:ascii="Arial Narrow" w:hAnsi="Arial Narrow"/>
                <w:iCs/>
                <w:color w:val="000000"/>
                <w:sz w:val="20"/>
                <w:szCs w:val="18"/>
              </w:rPr>
            </w:pPr>
            <w:r w:rsidRPr="007C282E">
              <w:rPr>
                <w:rFonts w:ascii="Arial Narrow" w:hAnsi="Arial Narrow"/>
                <w:iCs/>
                <w:color w:val="000000"/>
                <w:sz w:val="20"/>
                <w:szCs w:val="18"/>
              </w:rPr>
              <w:t>12/215</w:t>
            </w:r>
          </w:p>
        </w:tc>
        <w:tc>
          <w:tcPr>
            <w:tcW w:w="814"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12.11</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(7.06, 21.13)</w:t>
            </w:r>
          </w:p>
        </w:tc>
        <w:tc>
          <w:tcPr>
            <w:tcW w:w="770" w:type="pct"/>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67.6</w:t>
            </w:r>
          </w:p>
        </w:tc>
        <w:tc>
          <w:tcPr>
            <w:tcW w:w="608" w:type="pct"/>
            <w:gridSpan w:val="2"/>
            <w:vAlign w:val="center"/>
          </w:tcPr>
          <w:p w:rsidR="00530B4D" w:rsidRPr="007C282E" w:rsidRDefault="00F5758B" w:rsidP="00530B4D">
            <w:pPr>
              <w:jc w:val="center"/>
              <w:rPr>
                <w:rFonts w:ascii="Arial Narrow" w:hAnsi="Arial Narrow"/>
                <w:iCs/>
                <w:color w:val="000000"/>
                <w:sz w:val="20"/>
                <w:szCs w:val="18"/>
              </w:rPr>
            </w:pPr>
            <w:r w:rsidRPr="007C282E">
              <w:rPr>
                <w:rFonts w:ascii="Arial Narrow" w:hAnsi="Arial Narrow"/>
                <w:iCs/>
                <w:color w:val="000000"/>
                <w:sz w:val="20"/>
                <w:szCs w:val="18"/>
              </w:rPr>
              <w:t>5.6</w:t>
            </w:r>
          </w:p>
        </w:tc>
        <w:tc>
          <w:tcPr>
            <w:tcW w:w="686"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0.62</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(0.55, 0.69)</w:t>
            </w:r>
          </w:p>
        </w:tc>
      </w:tr>
      <w:tr w:rsidR="00530B4D" w:rsidRPr="007C282E" w:rsidTr="00552BD3">
        <w:tc>
          <w:tcPr>
            <w:tcW w:w="5000" w:type="pct"/>
            <w:gridSpan w:val="10"/>
            <w:shd w:val="clear" w:color="auto" w:fill="auto"/>
            <w:vAlign w:val="center"/>
          </w:tcPr>
          <w:p w:rsidR="00530B4D" w:rsidRPr="007C282E" w:rsidRDefault="004002D9" w:rsidP="0012609A">
            <w:pPr>
              <w:rPr>
                <w:rFonts w:ascii="Arial Narrow" w:hAnsi="Arial Narrow"/>
                <w:b/>
                <w:iCs/>
                <w:color w:val="000000"/>
                <w:sz w:val="20"/>
                <w:szCs w:val="18"/>
              </w:rPr>
            </w:pPr>
            <w:r w:rsidRPr="007C282E">
              <w:rPr>
                <w:rFonts w:ascii="Arial Narrow" w:hAnsi="Arial Narrow"/>
                <w:b/>
                <w:iCs/>
                <w:color w:val="000000"/>
                <w:sz w:val="20"/>
                <w:szCs w:val="18"/>
              </w:rPr>
              <w:t>G</w:t>
            </w:r>
            <w:r w:rsidR="00530B4D" w:rsidRPr="007C282E">
              <w:rPr>
                <w:rFonts w:ascii="Arial Narrow" w:hAnsi="Arial Narrow"/>
                <w:b/>
                <w:iCs/>
                <w:color w:val="000000"/>
                <w:sz w:val="20"/>
                <w:szCs w:val="18"/>
              </w:rPr>
              <w:t>rade 3 or 4 skin reactions</w:t>
            </w:r>
          </w:p>
        </w:tc>
      </w:tr>
      <w:tr w:rsidR="00E60240" w:rsidRPr="007C282E" w:rsidTr="005F63A7">
        <w:tc>
          <w:tcPr>
            <w:tcW w:w="853" w:type="pct"/>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ITT population</w:t>
            </w:r>
          </w:p>
        </w:tc>
        <w:tc>
          <w:tcPr>
            <w:tcW w:w="634" w:type="pct"/>
            <w:gridSpan w:val="2"/>
            <w:vAlign w:val="center"/>
          </w:tcPr>
          <w:p w:rsidR="00530B4D" w:rsidRPr="007C282E" w:rsidRDefault="00944DA3" w:rsidP="00530B4D">
            <w:pPr>
              <w:jc w:val="center"/>
              <w:rPr>
                <w:rFonts w:ascii="Arial Narrow" w:hAnsi="Arial Narrow"/>
                <w:iCs/>
                <w:color w:val="000000"/>
                <w:sz w:val="20"/>
                <w:szCs w:val="18"/>
              </w:rPr>
            </w:pPr>
            <w:r w:rsidRPr="007C282E">
              <w:rPr>
                <w:rFonts w:ascii="Arial Narrow" w:hAnsi="Arial Narrow"/>
                <w:iCs/>
                <w:color w:val="000000"/>
                <w:sz w:val="20"/>
                <w:szCs w:val="18"/>
              </w:rPr>
              <w:t>20/219</w:t>
            </w:r>
          </w:p>
        </w:tc>
        <w:tc>
          <w:tcPr>
            <w:tcW w:w="635" w:type="pct"/>
            <w:gridSpan w:val="2"/>
            <w:vAlign w:val="center"/>
          </w:tcPr>
          <w:p w:rsidR="00530B4D" w:rsidRPr="007C282E" w:rsidRDefault="00944DA3" w:rsidP="00530B4D">
            <w:pPr>
              <w:jc w:val="center"/>
              <w:rPr>
                <w:rFonts w:ascii="Arial Narrow" w:hAnsi="Arial Narrow"/>
                <w:iCs/>
                <w:color w:val="000000"/>
                <w:sz w:val="20"/>
                <w:szCs w:val="18"/>
              </w:rPr>
            </w:pPr>
            <w:r w:rsidRPr="007C282E">
              <w:rPr>
                <w:rFonts w:ascii="Arial Narrow" w:hAnsi="Arial Narrow"/>
                <w:iCs/>
                <w:color w:val="000000"/>
                <w:sz w:val="20"/>
                <w:szCs w:val="18"/>
              </w:rPr>
              <w:t>1/215</w:t>
            </w:r>
          </w:p>
        </w:tc>
        <w:tc>
          <w:tcPr>
            <w:tcW w:w="814"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19.63</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(3.41, 114.69)</w:t>
            </w:r>
          </w:p>
        </w:tc>
        <w:tc>
          <w:tcPr>
            <w:tcW w:w="770" w:type="pct"/>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9.1</w:t>
            </w:r>
          </w:p>
        </w:tc>
        <w:tc>
          <w:tcPr>
            <w:tcW w:w="608"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0.5</w:t>
            </w:r>
          </w:p>
        </w:tc>
        <w:tc>
          <w:tcPr>
            <w:tcW w:w="686"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0.09</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(0.05, 0.13)</w:t>
            </w:r>
          </w:p>
        </w:tc>
      </w:tr>
      <w:tr w:rsidR="00530B4D" w:rsidRPr="007C282E" w:rsidTr="00552BD3">
        <w:tc>
          <w:tcPr>
            <w:tcW w:w="5000" w:type="pct"/>
            <w:gridSpan w:val="10"/>
            <w:shd w:val="clear" w:color="auto" w:fill="auto"/>
            <w:vAlign w:val="center"/>
          </w:tcPr>
          <w:p w:rsidR="00530B4D" w:rsidRPr="007C282E" w:rsidRDefault="004002D9" w:rsidP="0012609A">
            <w:pPr>
              <w:rPr>
                <w:rFonts w:ascii="Arial Narrow" w:hAnsi="Arial Narrow"/>
                <w:b/>
                <w:bCs/>
                <w:iCs/>
                <w:color w:val="000000"/>
                <w:sz w:val="20"/>
                <w:szCs w:val="18"/>
              </w:rPr>
            </w:pPr>
            <w:r w:rsidRPr="007C282E">
              <w:rPr>
                <w:rFonts w:ascii="Arial Narrow" w:hAnsi="Arial Narrow"/>
                <w:b/>
                <w:bCs/>
                <w:iCs/>
                <w:color w:val="000000"/>
                <w:sz w:val="20"/>
                <w:szCs w:val="18"/>
              </w:rPr>
              <w:t>S</w:t>
            </w:r>
            <w:r w:rsidR="00530B4D" w:rsidRPr="007C282E">
              <w:rPr>
                <w:rFonts w:ascii="Arial Narrow" w:hAnsi="Arial Narrow"/>
                <w:b/>
                <w:bCs/>
                <w:iCs/>
                <w:color w:val="000000"/>
                <w:sz w:val="20"/>
                <w:szCs w:val="18"/>
              </w:rPr>
              <w:t>epsis (including septic shock)</w:t>
            </w:r>
          </w:p>
        </w:tc>
      </w:tr>
      <w:tr w:rsidR="004C75E6" w:rsidRPr="007C282E" w:rsidTr="005F63A7">
        <w:tc>
          <w:tcPr>
            <w:tcW w:w="853" w:type="pct"/>
            <w:shd w:val="clear" w:color="auto" w:fill="auto"/>
            <w:vAlign w:val="center"/>
          </w:tcPr>
          <w:p w:rsidR="00530B4D" w:rsidRPr="007C282E" w:rsidRDefault="00530B4D" w:rsidP="00530B4D">
            <w:pPr>
              <w:rPr>
                <w:rFonts w:ascii="Arial Narrow" w:hAnsi="Arial Narrow"/>
                <w:iCs/>
                <w:color w:val="000000"/>
                <w:sz w:val="20"/>
                <w:szCs w:val="18"/>
              </w:rPr>
            </w:pPr>
            <w:r w:rsidRPr="007C282E">
              <w:rPr>
                <w:rFonts w:ascii="Arial Narrow" w:hAnsi="Arial Narrow"/>
                <w:iCs/>
                <w:color w:val="000000"/>
                <w:sz w:val="20"/>
                <w:szCs w:val="18"/>
              </w:rPr>
              <w:t>ITT population</w:t>
            </w:r>
          </w:p>
        </w:tc>
        <w:tc>
          <w:tcPr>
            <w:tcW w:w="634" w:type="pct"/>
            <w:gridSpan w:val="2"/>
            <w:vAlign w:val="center"/>
          </w:tcPr>
          <w:p w:rsidR="00530B4D" w:rsidRPr="007C282E" w:rsidRDefault="00A13B25" w:rsidP="00530B4D">
            <w:pPr>
              <w:jc w:val="center"/>
              <w:rPr>
                <w:rFonts w:ascii="Arial Narrow" w:hAnsi="Arial Narrow"/>
                <w:iCs/>
                <w:color w:val="000000"/>
                <w:sz w:val="20"/>
                <w:szCs w:val="18"/>
              </w:rPr>
            </w:pPr>
            <w:r w:rsidRPr="007C282E">
              <w:rPr>
                <w:rFonts w:ascii="Arial Narrow" w:hAnsi="Arial Narrow"/>
                <w:iCs/>
                <w:color w:val="000000"/>
                <w:sz w:val="20"/>
                <w:szCs w:val="18"/>
              </w:rPr>
              <w:t>9/219</w:t>
            </w:r>
          </w:p>
        </w:tc>
        <w:tc>
          <w:tcPr>
            <w:tcW w:w="635" w:type="pct"/>
            <w:gridSpan w:val="2"/>
            <w:vAlign w:val="center"/>
          </w:tcPr>
          <w:p w:rsidR="00530B4D" w:rsidRPr="007C282E" w:rsidRDefault="0079252C" w:rsidP="00530B4D">
            <w:pPr>
              <w:jc w:val="center"/>
              <w:rPr>
                <w:rFonts w:ascii="Arial Narrow" w:hAnsi="Arial Narrow"/>
                <w:iCs/>
                <w:color w:val="000000"/>
                <w:sz w:val="20"/>
                <w:szCs w:val="18"/>
              </w:rPr>
            </w:pPr>
            <w:r w:rsidRPr="007C282E">
              <w:rPr>
                <w:rFonts w:ascii="Arial Narrow" w:hAnsi="Arial Narrow"/>
                <w:iCs/>
                <w:color w:val="000000"/>
                <w:sz w:val="20"/>
                <w:szCs w:val="18"/>
              </w:rPr>
              <w:t>1/215</w:t>
            </w:r>
          </w:p>
        </w:tc>
        <w:tc>
          <w:tcPr>
            <w:tcW w:w="814"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8.84</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(1.47, 53.73)</w:t>
            </w:r>
          </w:p>
        </w:tc>
        <w:tc>
          <w:tcPr>
            <w:tcW w:w="770" w:type="pct"/>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4.1</w:t>
            </w:r>
          </w:p>
        </w:tc>
        <w:tc>
          <w:tcPr>
            <w:tcW w:w="608" w:type="pct"/>
            <w:gridSpan w:val="2"/>
            <w:vAlign w:val="center"/>
          </w:tcPr>
          <w:p w:rsidR="00530B4D" w:rsidRPr="007C282E" w:rsidRDefault="00530B4D" w:rsidP="00530B4D">
            <w:pPr>
              <w:jc w:val="center"/>
              <w:rPr>
                <w:rFonts w:ascii="Arial Narrow" w:hAnsi="Arial Narrow"/>
                <w:iCs/>
                <w:color w:val="000000"/>
                <w:sz w:val="20"/>
                <w:szCs w:val="18"/>
              </w:rPr>
            </w:pPr>
            <w:r w:rsidRPr="007C282E">
              <w:rPr>
                <w:rFonts w:ascii="Arial Narrow" w:hAnsi="Arial Narrow"/>
                <w:iCs/>
                <w:color w:val="000000"/>
                <w:sz w:val="20"/>
                <w:szCs w:val="18"/>
              </w:rPr>
              <w:t>0.5</w:t>
            </w:r>
          </w:p>
        </w:tc>
        <w:tc>
          <w:tcPr>
            <w:tcW w:w="686" w:type="pct"/>
            <w:vAlign w:val="center"/>
          </w:tcPr>
          <w:p w:rsidR="00530B4D"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0.04</w:t>
            </w:r>
          </w:p>
          <w:p w:rsidR="0099622F" w:rsidRPr="007C282E" w:rsidRDefault="0099622F" w:rsidP="00530B4D">
            <w:pPr>
              <w:jc w:val="center"/>
              <w:rPr>
                <w:rFonts w:ascii="Arial Narrow" w:hAnsi="Arial Narrow"/>
                <w:iCs/>
                <w:color w:val="000000"/>
                <w:sz w:val="20"/>
                <w:szCs w:val="18"/>
              </w:rPr>
            </w:pPr>
            <w:r w:rsidRPr="007C282E">
              <w:rPr>
                <w:rFonts w:ascii="Arial Narrow" w:hAnsi="Arial Narrow"/>
                <w:iCs/>
                <w:color w:val="000000"/>
                <w:sz w:val="20"/>
                <w:szCs w:val="18"/>
              </w:rPr>
              <w:t>(0.01, 0.07)</w:t>
            </w:r>
          </w:p>
        </w:tc>
      </w:tr>
    </w:tbl>
    <w:p w:rsidR="004C13D9" w:rsidRPr="007C282E" w:rsidRDefault="004C13D9" w:rsidP="004C13D9">
      <w:pPr>
        <w:pStyle w:val="TableFooter"/>
        <w:ind w:firstLine="720"/>
        <w:rPr>
          <w:iCs/>
        </w:rPr>
      </w:pPr>
      <w:r w:rsidRPr="007C282E">
        <w:rPr>
          <w:iCs/>
        </w:rPr>
        <w:t>Source: Compiled during the evaluation</w:t>
      </w:r>
    </w:p>
    <w:p w:rsidR="00A90222" w:rsidRPr="007C282E" w:rsidRDefault="00A90222" w:rsidP="00117C18">
      <w:pPr>
        <w:pStyle w:val="TableFooter"/>
        <w:ind w:left="720"/>
        <w:rPr>
          <w:iCs/>
        </w:rPr>
      </w:pPr>
      <w:r w:rsidRPr="007C282E">
        <w:rPr>
          <w:iCs/>
        </w:rPr>
        <w:t>Abbreviations:</w:t>
      </w:r>
      <w:r w:rsidR="00526CE7" w:rsidRPr="007C282E">
        <w:rPr>
          <w:iCs/>
        </w:rPr>
        <w:t xml:space="preserve"> CI = confidence interval;</w:t>
      </w:r>
      <w:r w:rsidRPr="007C282E">
        <w:rPr>
          <w:iCs/>
        </w:rPr>
        <w:t xml:space="preserve"> </w:t>
      </w:r>
      <w:r w:rsidR="00455B23" w:rsidRPr="007C282E">
        <w:rPr>
          <w:iCs/>
        </w:rPr>
        <w:t xml:space="preserve">CT = chemotherapy; </w:t>
      </w:r>
      <w:r w:rsidR="009D53D0" w:rsidRPr="007C282E">
        <w:rPr>
          <w:iCs/>
        </w:rPr>
        <w:t>HR = hazard ratio</w:t>
      </w:r>
      <w:r w:rsidRPr="007C282E">
        <w:rPr>
          <w:iCs/>
        </w:rPr>
        <w:t xml:space="preserve">; </w:t>
      </w:r>
      <w:r w:rsidR="005132E6" w:rsidRPr="007C282E">
        <w:rPr>
          <w:iCs/>
        </w:rPr>
        <w:t>ITT = intention-to-treat; KPS = Karnofsky Performance Status;</w:t>
      </w:r>
      <w:r w:rsidR="004F7D35" w:rsidRPr="007C282E">
        <w:rPr>
          <w:iCs/>
        </w:rPr>
        <w:t xml:space="preserve"> mths = months;</w:t>
      </w:r>
      <w:r w:rsidR="0062202E" w:rsidRPr="007C282E">
        <w:rPr>
          <w:iCs/>
        </w:rPr>
        <w:t xml:space="preserve"> NR = not reported;</w:t>
      </w:r>
      <w:r w:rsidR="005132E6" w:rsidRPr="007C282E">
        <w:rPr>
          <w:iCs/>
        </w:rPr>
        <w:t xml:space="preserve"> </w:t>
      </w:r>
      <w:r w:rsidR="00536191" w:rsidRPr="007C282E">
        <w:rPr>
          <w:iCs/>
        </w:rPr>
        <w:t>OR = odds ratio;</w:t>
      </w:r>
      <w:r w:rsidR="004830F9" w:rsidRPr="007C282E">
        <w:rPr>
          <w:iCs/>
        </w:rPr>
        <w:t xml:space="preserve"> RR = </w:t>
      </w:r>
      <w:r w:rsidR="00117C18" w:rsidRPr="007C282E">
        <w:rPr>
          <w:iCs/>
        </w:rPr>
        <w:t>relative risk</w:t>
      </w:r>
      <w:r w:rsidR="004830F9" w:rsidRPr="007C282E">
        <w:rPr>
          <w:iCs/>
        </w:rPr>
        <w:t>;</w:t>
      </w:r>
      <w:r w:rsidR="00536191" w:rsidRPr="007C282E">
        <w:rPr>
          <w:iCs/>
        </w:rPr>
        <w:t xml:space="preserve"> </w:t>
      </w:r>
      <w:r w:rsidRPr="007C282E">
        <w:rPr>
          <w:iCs/>
        </w:rPr>
        <w:t>RD = risk difference</w:t>
      </w:r>
    </w:p>
    <w:p w:rsidR="00B62715" w:rsidRPr="007C282E" w:rsidRDefault="00B62715" w:rsidP="00A90222">
      <w:pPr>
        <w:pStyle w:val="TableFooter"/>
        <w:ind w:left="720"/>
        <w:rPr>
          <w:iCs/>
        </w:rPr>
      </w:pPr>
      <w:r w:rsidRPr="007C282E">
        <w:rPr>
          <w:iCs/>
        </w:rPr>
        <w:t>* Median</w:t>
      </w:r>
      <w:r w:rsidR="0035162B" w:rsidRPr="007C282E">
        <w:rPr>
          <w:iCs/>
        </w:rPr>
        <w:t xml:space="preserve"> </w:t>
      </w:r>
      <w:r w:rsidRPr="007C282E">
        <w:rPr>
          <w:iCs/>
        </w:rPr>
        <w:t>duration of follow-up</w:t>
      </w:r>
      <w:r w:rsidR="002E2E4B" w:rsidRPr="007C282E">
        <w:rPr>
          <w:iCs/>
        </w:rPr>
        <w:t xml:space="preserve"> of 19.1 </w:t>
      </w:r>
      <w:r w:rsidR="00A90222" w:rsidRPr="007C282E">
        <w:rPr>
          <w:iCs/>
        </w:rPr>
        <w:t xml:space="preserve">in the cetuximab plus chemotherapy arm and </w:t>
      </w:r>
      <w:r w:rsidR="002E2E4B" w:rsidRPr="007C282E">
        <w:rPr>
          <w:iCs/>
        </w:rPr>
        <w:t xml:space="preserve">18.2 months </w:t>
      </w:r>
      <w:r w:rsidR="00A90222" w:rsidRPr="007C282E">
        <w:rPr>
          <w:iCs/>
        </w:rPr>
        <w:t xml:space="preserve">in the chemotherapy alone arm </w:t>
      </w:r>
      <w:r w:rsidR="002E2E4B" w:rsidRPr="007C282E">
        <w:rPr>
          <w:iCs/>
        </w:rPr>
        <w:t>(ITT population)</w:t>
      </w:r>
      <w:r w:rsidR="0035162B" w:rsidRPr="007C282E">
        <w:rPr>
          <w:iCs/>
        </w:rPr>
        <w:t xml:space="preserve"> </w:t>
      </w:r>
    </w:p>
    <w:p w:rsidR="00D80640" w:rsidRPr="007C282E" w:rsidRDefault="00D80640" w:rsidP="00A90222">
      <w:pPr>
        <w:pStyle w:val="TableFooter"/>
        <w:ind w:left="720"/>
        <w:rPr>
          <w:iCs/>
        </w:rPr>
      </w:pPr>
      <w:r w:rsidRPr="007C282E">
        <w:rPr>
          <w:iCs/>
          <w:vertAlign w:val="superscript"/>
        </w:rPr>
        <w:t>a</w:t>
      </w:r>
      <w:r w:rsidRPr="007C282E">
        <w:rPr>
          <w:iCs/>
        </w:rPr>
        <w:t xml:space="preserve"> Best overall response rate was based on subjects with complete or partial response persisting for at least 4 weeks</w:t>
      </w:r>
    </w:p>
    <w:p w:rsidR="0099622F" w:rsidRPr="007C282E" w:rsidRDefault="0099622F" w:rsidP="00A90222">
      <w:pPr>
        <w:pStyle w:val="TableFooter"/>
        <w:ind w:left="720"/>
        <w:rPr>
          <w:iCs/>
        </w:rPr>
      </w:pPr>
      <w:r w:rsidRPr="007C282E">
        <w:rPr>
          <w:iCs/>
          <w:vertAlign w:val="superscript"/>
        </w:rPr>
        <w:t>b</w:t>
      </w:r>
      <w:r w:rsidRPr="007C282E">
        <w:rPr>
          <w:iCs/>
        </w:rPr>
        <w:t xml:space="preserve"> Calculated during the evaluation using StatsDirect</w:t>
      </w:r>
    </w:p>
    <w:p w:rsidR="00B60939" w:rsidRPr="009635E0" w:rsidRDefault="00B60939" w:rsidP="004B1CB4"/>
    <w:p w:rsidR="00D17F95" w:rsidRDefault="001D6C6E" w:rsidP="00F60B5E">
      <w:pPr>
        <w:pStyle w:val="ListParagraph"/>
        <w:widowControl/>
        <w:rPr>
          <w:szCs w:val="22"/>
        </w:rPr>
      </w:pPr>
      <w:r w:rsidRPr="009635E0">
        <w:t xml:space="preserve">On </w:t>
      </w:r>
      <w:r>
        <w:t xml:space="preserve">the basis of direct </w:t>
      </w:r>
      <w:r w:rsidRPr="009635E0">
        <w:t>evidence presented by the submission</w:t>
      </w:r>
      <w:r>
        <w:t xml:space="preserve"> in the ITT population</w:t>
      </w:r>
      <w:r w:rsidRPr="001D6C6E">
        <w:rPr>
          <w:szCs w:val="22"/>
        </w:rPr>
        <w:t xml:space="preserve">, the comparison of </w:t>
      </w:r>
      <w:r>
        <w:t>cetuximab plus chemotherapy</w:t>
      </w:r>
      <w:r w:rsidRPr="009635E0">
        <w:t xml:space="preserve"> </w:t>
      </w:r>
      <w:r w:rsidR="00C66253">
        <w:rPr>
          <w:szCs w:val="22"/>
        </w:rPr>
        <w:t>versus</w:t>
      </w:r>
      <w:r w:rsidRPr="001D6C6E">
        <w:rPr>
          <w:szCs w:val="22"/>
        </w:rPr>
        <w:t xml:space="preserve"> </w:t>
      </w:r>
      <w:r w:rsidR="004724AB">
        <w:t>chemotherapy alone</w:t>
      </w:r>
      <w:r w:rsidR="004724AB" w:rsidRPr="001D6C6E">
        <w:rPr>
          <w:szCs w:val="22"/>
        </w:rPr>
        <w:t xml:space="preserve"> </w:t>
      </w:r>
      <w:r w:rsidRPr="001D6C6E">
        <w:rPr>
          <w:szCs w:val="22"/>
        </w:rPr>
        <w:t>resulted in:</w:t>
      </w:r>
    </w:p>
    <w:p w:rsidR="00BA4B18" w:rsidRPr="009635E0" w:rsidRDefault="00BA4B18" w:rsidP="00B15815">
      <w:pPr>
        <w:pStyle w:val="ListParagraph"/>
        <w:widowControl/>
        <w:numPr>
          <w:ilvl w:val="0"/>
          <w:numId w:val="1"/>
        </w:numPr>
        <w:ind w:left="993" w:hanging="284"/>
      </w:pPr>
      <w:r w:rsidRPr="009635E0">
        <w:t xml:space="preserve">Approximately </w:t>
      </w:r>
      <w:r w:rsidR="009B4EF1">
        <w:t>2.7</w:t>
      </w:r>
      <w:r w:rsidRPr="009635E0">
        <w:t xml:space="preserve"> months difference in </w:t>
      </w:r>
      <w:r w:rsidR="0001468D">
        <w:t xml:space="preserve">median </w:t>
      </w:r>
      <w:r w:rsidRPr="009635E0">
        <w:t>overall survival</w:t>
      </w:r>
      <w:r w:rsidR="0000104E">
        <w:t>; and</w:t>
      </w:r>
    </w:p>
    <w:p w:rsidR="00BA4B18" w:rsidRDefault="00BA4B18" w:rsidP="00B15815">
      <w:pPr>
        <w:pStyle w:val="ListParagraph"/>
        <w:widowControl/>
        <w:numPr>
          <w:ilvl w:val="0"/>
          <w:numId w:val="1"/>
        </w:numPr>
        <w:ind w:left="993" w:hanging="284"/>
      </w:pPr>
      <w:r w:rsidRPr="009635E0">
        <w:t xml:space="preserve">Approximately </w:t>
      </w:r>
      <w:r w:rsidR="009B4EF1">
        <w:t>2</w:t>
      </w:r>
      <w:r>
        <w:t xml:space="preserve">.3 months difference in </w:t>
      </w:r>
      <w:r w:rsidR="0001468D">
        <w:t xml:space="preserve">median </w:t>
      </w:r>
      <w:r w:rsidRPr="009635E0">
        <w:t>progression</w:t>
      </w:r>
      <w:r w:rsidR="00316592">
        <w:t>-</w:t>
      </w:r>
      <w:r w:rsidRPr="009635E0">
        <w:t>free survival</w:t>
      </w:r>
      <w:r w:rsidR="0000104E">
        <w:t>.</w:t>
      </w:r>
    </w:p>
    <w:p w:rsidR="0001468D" w:rsidRDefault="0001468D" w:rsidP="0001468D">
      <w:pPr>
        <w:widowControl/>
      </w:pPr>
    </w:p>
    <w:p w:rsidR="00FC1884" w:rsidRPr="009635E0" w:rsidRDefault="00EC00C9" w:rsidP="00BA4B18">
      <w:pPr>
        <w:pStyle w:val="ListParagraph"/>
        <w:widowControl/>
        <w:rPr>
          <w:szCs w:val="22"/>
        </w:rPr>
      </w:pPr>
      <w:r w:rsidRPr="009635E0">
        <w:t xml:space="preserve">On </w:t>
      </w:r>
      <w:r w:rsidR="00135C87">
        <w:t xml:space="preserve">the basis of direct </w:t>
      </w:r>
      <w:r w:rsidRPr="009635E0">
        <w:t>evidence presented by the submission, for e</w:t>
      </w:r>
      <w:r w:rsidR="00897CF7">
        <w:t>very 100 patients treated with cetuximab plus chemotherapy</w:t>
      </w:r>
      <w:r w:rsidRPr="009635E0">
        <w:t xml:space="preserve"> in comparison to </w:t>
      </w:r>
      <w:r w:rsidR="00897CF7">
        <w:t>chemotherapy alone</w:t>
      </w:r>
      <w:r w:rsidR="00AA4B54" w:rsidRPr="00AA4B54">
        <w:t xml:space="preserve"> </w:t>
      </w:r>
      <w:r w:rsidR="00AA4B54">
        <w:t>in the ITT population</w:t>
      </w:r>
      <w:r w:rsidRPr="009635E0">
        <w:t>;</w:t>
      </w:r>
    </w:p>
    <w:p w:rsidR="00FC1884" w:rsidRPr="00D920E7" w:rsidRDefault="00FC1884" w:rsidP="00B15815">
      <w:pPr>
        <w:pStyle w:val="ListParagraph"/>
        <w:widowControl/>
        <w:numPr>
          <w:ilvl w:val="0"/>
          <w:numId w:val="2"/>
        </w:numPr>
        <w:ind w:left="993" w:hanging="284"/>
      </w:pPr>
      <w:r w:rsidRPr="00D920E7">
        <w:lastRenderedPageBreak/>
        <w:t xml:space="preserve">Approximately 16 additional patients would have </w:t>
      </w:r>
      <w:r w:rsidR="00C146B0" w:rsidRPr="00D920E7">
        <w:t>a complete or partial response for at least 4 week</w:t>
      </w:r>
      <w:r w:rsidR="00E667A4" w:rsidRPr="00D920E7">
        <w:t>s</w:t>
      </w:r>
      <w:r w:rsidR="00C146B0" w:rsidRPr="00D920E7">
        <w:t xml:space="preserve"> over a </w:t>
      </w:r>
      <w:r w:rsidR="00861D4D" w:rsidRPr="00D920E7">
        <w:t xml:space="preserve">median </w:t>
      </w:r>
      <w:r w:rsidRPr="00D920E7">
        <w:t>duration of follow-up</w:t>
      </w:r>
      <w:r w:rsidR="00861D4D" w:rsidRPr="00D920E7">
        <w:t xml:space="preserve"> </w:t>
      </w:r>
      <w:r w:rsidRPr="00D920E7">
        <w:t xml:space="preserve">of </w:t>
      </w:r>
      <w:r w:rsidR="00861D4D" w:rsidRPr="00D920E7">
        <w:t xml:space="preserve">approximately </w:t>
      </w:r>
      <w:r w:rsidR="00DC12CA" w:rsidRPr="00D920E7">
        <w:t>18.7</w:t>
      </w:r>
      <w:r w:rsidRPr="00D920E7">
        <w:t xml:space="preserve"> months</w:t>
      </w:r>
      <w:r w:rsidR="0000104E" w:rsidRPr="00D920E7">
        <w:t>;</w:t>
      </w:r>
    </w:p>
    <w:p w:rsidR="003E5983" w:rsidRPr="009635E0" w:rsidRDefault="00FC1884" w:rsidP="00B15815">
      <w:pPr>
        <w:pStyle w:val="ListParagraph"/>
        <w:widowControl/>
        <w:numPr>
          <w:ilvl w:val="0"/>
          <w:numId w:val="2"/>
        </w:numPr>
        <w:ind w:left="993" w:hanging="284"/>
      </w:pPr>
      <w:r w:rsidRPr="009635E0">
        <w:t xml:space="preserve">Approximately </w:t>
      </w:r>
      <w:r w:rsidR="00AA5A5B">
        <w:t>62</w:t>
      </w:r>
      <w:r w:rsidRPr="009635E0">
        <w:t xml:space="preserve"> additional </w:t>
      </w:r>
      <w:r w:rsidR="00AA5A5B">
        <w:t xml:space="preserve">patients </w:t>
      </w:r>
      <w:r w:rsidR="00797860">
        <w:t xml:space="preserve">would </w:t>
      </w:r>
      <w:r w:rsidR="00AA5A5B">
        <w:t>experienc</w:t>
      </w:r>
      <w:r w:rsidR="00797860">
        <w:t>e</w:t>
      </w:r>
      <w:r w:rsidR="00AA5A5B">
        <w:t xml:space="preserve"> skin reaction</w:t>
      </w:r>
      <w:r w:rsidR="00797860">
        <w:t>(</w:t>
      </w:r>
      <w:r w:rsidR="00CD33F5">
        <w:t>s</w:t>
      </w:r>
      <w:r w:rsidR="00797860">
        <w:t>)</w:t>
      </w:r>
      <w:r w:rsidRPr="009635E0">
        <w:t xml:space="preserve"> </w:t>
      </w:r>
      <w:r w:rsidR="003E5983">
        <w:t xml:space="preserve">over a median </w:t>
      </w:r>
      <w:r w:rsidR="003E5983" w:rsidRPr="009635E0">
        <w:t>duration of follow-up</w:t>
      </w:r>
      <w:r w:rsidR="003E5983">
        <w:t xml:space="preserve"> </w:t>
      </w:r>
      <w:r w:rsidR="003E5983" w:rsidRPr="009635E0">
        <w:t xml:space="preserve">of </w:t>
      </w:r>
      <w:r w:rsidR="003E5983">
        <w:t>approximately 18.7</w:t>
      </w:r>
      <w:r w:rsidR="003E5983" w:rsidRPr="009635E0">
        <w:t xml:space="preserve"> months</w:t>
      </w:r>
      <w:r w:rsidR="0000104E">
        <w:t>;</w:t>
      </w:r>
    </w:p>
    <w:p w:rsidR="00635779" w:rsidRPr="00635779" w:rsidRDefault="00FC1884" w:rsidP="00B15815">
      <w:pPr>
        <w:pStyle w:val="ListParagraph"/>
        <w:widowControl/>
        <w:numPr>
          <w:ilvl w:val="0"/>
          <w:numId w:val="2"/>
        </w:numPr>
        <w:ind w:left="993" w:hanging="284"/>
        <w:rPr>
          <w:szCs w:val="22"/>
        </w:rPr>
      </w:pPr>
      <w:r w:rsidRPr="009635E0">
        <w:t xml:space="preserve">Approximately </w:t>
      </w:r>
      <w:r w:rsidR="00635779">
        <w:t>9</w:t>
      </w:r>
      <w:r w:rsidRPr="009635E0">
        <w:t xml:space="preserve"> additional </w:t>
      </w:r>
      <w:r w:rsidR="00635779">
        <w:t xml:space="preserve">patients </w:t>
      </w:r>
      <w:r w:rsidR="00214E51">
        <w:t xml:space="preserve">would experience </w:t>
      </w:r>
      <w:r w:rsidR="00635779">
        <w:t>Grade 3 or 4 skin reaction</w:t>
      </w:r>
      <w:r w:rsidR="00214E51">
        <w:t>(</w:t>
      </w:r>
      <w:r w:rsidR="00635779">
        <w:t>s</w:t>
      </w:r>
      <w:r w:rsidR="00214E51">
        <w:t>)</w:t>
      </w:r>
      <w:r w:rsidR="00635779" w:rsidRPr="009635E0">
        <w:t xml:space="preserve"> </w:t>
      </w:r>
      <w:r w:rsidR="00635779">
        <w:t xml:space="preserve">over a median </w:t>
      </w:r>
      <w:r w:rsidR="00635779" w:rsidRPr="009635E0">
        <w:t>duration of follow-up</w:t>
      </w:r>
      <w:r w:rsidR="00635779">
        <w:t xml:space="preserve"> </w:t>
      </w:r>
      <w:r w:rsidR="00635779" w:rsidRPr="009635E0">
        <w:t xml:space="preserve">of </w:t>
      </w:r>
      <w:r w:rsidR="00635779">
        <w:t>approximately 18.7</w:t>
      </w:r>
      <w:r w:rsidR="00635779" w:rsidRPr="009635E0">
        <w:t xml:space="preserve"> months</w:t>
      </w:r>
      <w:r w:rsidR="0000104E">
        <w:t>; and</w:t>
      </w:r>
      <w:r w:rsidR="00635779" w:rsidRPr="009635E0">
        <w:t xml:space="preserve"> </w:t>
      </w:r>
    </w:p>
    <w:p w:rsidR="00636638" w:rsidRPr="00636638" w:rsidRDefault="005A429A" w:rsidP="00636638">
      <w:pPr>
        <w:widowControl/>
        <w:ind w:left="709"/>
        <w:rPr>
          <w:szCs w:val="22"/>
        </w:rPr>
      </w:pPr>
      <w:r w:rsidRPr="009635E0">
        <w:t xml:space="preserve">Approximately </w:t>
      </w:r>
      <w:r w:rsidR="0012609A">
        <w:t>4</w:t>
      </w:r>
      <w:r w:rsidRPr="009635E0">
        <w:t xml:space="preserve"> additional </w:t>
      </w:r>
      <w:r w:rsidR="000E02D1">
        <w:t>sepsis</w:t>
      </w:r>
      <w:r w:rsidRPr="009635E0">
        <w:t xml:space="preserve"> </w:t>
      </w:r>
      <w:r w:rsidR="006A071F">
        <w:t xml:space="preserve">events </w:t>
      </w:r>
      <w:r w:rsidR="00024D85">
        <w:t xml:space="preserve">(including septic shock) </w:t>
      </w:r>
      <w:r w:rsidRPr="009635E0">
        <w:t xml:space="preserve">over </w:t>
      </w:r>
      <w:r w:rsidR="000E02D1">
        <w:t xml:space="preserve">a median </w:t>
      </w:r>
      <w:r w:rsidR="000E02D1" w:rsidRPr="009635E0">
        <w:t>duration of follow-up</w:t>
      </w:r>
      <w:r w:rsidR="000E02D1">
        <w:t xml:space="preserve"> </w:t>
      </w:r>
      <w:r w:rsidR="000E02D1" w:rsidRPr="009635E0">
        <w:t xml:space="preserve">of </w:t>
      </w:r>
      <w:r w:rsidR="000E02D1">
        <w:t>approximately 18.7</w:t>
      </w:r>
      <w:r w:rsidR="000E02D1" w:rsidRPr="009635E0">
        <w:t xml:space="preserve"> months</w:t>
      </w:r>
      <w:r w:rsidR="0000104E">
        <w:t>.</w:t>
      </w:r>
    </w:p>
    <w:p w:rsidR="0000104E" w:rsidRDefault="0000104E">
      <w:pPr>
        <w:widowControl/>
        <w:jc w:val="left"/>
        <w:rPr>
          <w:b/>
          <w:i/>
        </w:rPr>
      </w:pPr>
    </w:p>
    <w:p w:rsidR="00B60939" w:rsidRPr="000F4715" w:rsidRDefault="00B60939" w:rsidP="00DE732C">
      <w:pPr>
        <w:pStyle w:val="Heading2"/>
      </w:pPr>
      <w:bookmarkStart w:id="22" w:name="_Toc437869740"/>
      <w:bookmarkStart w:id="23" w:name="_Toc441050436"/>
      <w:r w:rsidRPr="000F4715">
        <w:t>Clinical claim</w:t>
      </w:r>
      <w:bookmarkEnd w:id="22"/>
      <w:bookmarkEnd w:id="23"/>
    </w:p>
    <w:p w:rsidR="00B60939" w:rsidRPr="001F0A7F" w:rsidRDefault="003C6AD6" w:rsidP="00B15815">
      <w:pPr>
        <w:pStyle w:val="ListParagraph"/>
        <w:widowControl/>
        <w:numPr>
          <w:ilvl w:val="1"/>
          <w:numId w:val="3"/>
        </w:numPr>
        <w:rPr>
          <w:szCs w:val="22"/>
        </w:rPr>
      </w:pPr>
      <w:r w:rsidRPr="001F0A7F">
        <w:t xml:space="preserve">The submission described the addition of cetuximab to platinum-based chemotherapy as superior in terms of comparative efficacy and with manageable safety profile. </w:t>
      </w:r>
      <w:r w:rsidR="00A32D9B" w:rsidRPr="001F0A7F">
        <w:rPr>
          <w:iCs/>
        </w:rPr>
        <w:t>The submission did not make a</w:t>
      </w:r>
      <w:r w:rsidR="00955E87" w:rsidRPr="001F0A7F">
        <w:rPr>
          <w:iCs/>
        </w:rPr>
        <w:t xml:space="preserve"> comparative safety claim. </w:t>
      </w:r>
      <w:r w:rsidR="00CB30D5" w:rsidRPr="001F0A7F">
        <w:rPr>
          <w:iCs/>
        </w:rPr>
        <w:t xml:space="preserve">The claim in terms of comparative efficacy was adequately supported for the overall ITT population with respect to overall survival, progression-free survival and response rates. </w:t>
      </w:r>
      <w:r w:rsidR="00795662" w:rsidRPr="001F0A7F">
        <w:rPr>
          <w:iCs/>
        </w:rPr>
        <w:t xml:space="preserve">However, the key efficacy evidence supporting </w:t>
      </w:r>
      <w:r w:rsidR="00434816" w:rsidRPr="001F0A7F">
        <w:rPr>
          <w:iCs/>
        </w:rPr>
        <w:t xml:space="preserve">the </w:t>
      </w:r>
      <w:r w:rsidR="00795662" w:rsidRPr="001F0A7F">
        <w:rPr>
          <w:iCs/>
        </w:rPr>
        <w:t xml:space="preserve">PBS-listing was </w:t>
      </w:r>
      <w:r w:rsidR="00937C8F">
        <w:rPr>
          <w:iCs/>
        </w:rPr>
        <w:t xml:space="preserve">a </w:t>
      </w:r>
      <w:r w:rsidR="00795662" w:rsidRPr="001F0A7F">
        <w:rPr>
          <w:iCs/>
        </w:rPr>
        <w:t xml:space="preserve">post hoc subgroup analyses among patients whose primary tumour </w:t>
      </w:r>
      <w:r w:rsidR="0017002B" w:rsidRPr="001F0A7F">
        <w:rPr>
          <w:iCs/>
        </w:rPr>
        <w:t xml:space="preserve">site of </w:t>
      </w:r>
      <w:r w:rsidR="00795662" w:rsidRPr="001F0A7F">
        <w:rPr>
          <w:iCs/>
        </w:rPr>
        <w:t>origin was the oral cavity and with</w:t>
      </w:r>
      <w:r w:rsidR="00E22A4A" w:rsidRPr="001F0A7F">
        <w:rPr>
          <w:iCs/>
        </w:rPr>
        <w:t xml:space="preserve"> a</w:t>
      </w:r>
      <w:r w:rsidR="00795662" w:rsidRPr="001F0A7F">
        <w:rPr>
          <w:iCs/>
        </w:rPr>
        <w:t xml:space="preserve"> baseline KPS </w:t>
      </w:r>
      <w:r w:rsidR="00766AA4" w:rsidRPr="001F0A7F">
        <w:rPr>
          <w:iCs/>
        </w:rPr>
        <w:t>≥</w:t>
      </w:r>
      <w:r w:rsidR="00795662" w:rsidRPr="001F0A7F">
        <w:rPr>
          <w:iCs/>
        </w:rPr>
        <w:t>80</w:t>
      </w:r>
      <w:r w:rsidR="006D3D0F" w:rsidRPr="001F0A7F">
        <w:rPr>
          <w:iCs/>
        </w:rPr>
        <w:t xml:space="preserve"> (</w:t>
      </w:r>
      <w:r w:rsidR="00E9019D">
        <w:rPr>
          <w:iCs/>
          <w:noProof/>
          <w:color w:val="000000"/>
          <w:highlight w:val="black"/>
        </w:rPr>
        <w:t>''''''''''''</w:t>
      </w:r>
      <w:r w:rsidR="006D3D0F" w:rsidRPr="001F0A7F">
        <w:rPr>
          <w:iCs/>
        </w:rPr>
        <w:t>% of the ITT population)</w:t>
      </w:r>
      <w:r w:rsidR="00795662" w:rsidRPr="001F0A7F">
        <w:rPr>
          <w:iCs/>
        </w:rPr>
        <w:t>.</w:t>
      </w:r>
      <w:r w:rsidR="005951D8" w:rsidRPr="001F0A7F">
        <w:rPr>
          <w:iCs/>
        </w:rPr>
        <w:t xml:space="preserve"> The results of the post hoc subgroup</w:t>
      </w:r>
      <w:r w:rsidR="008F1B35" w:rsidRPr="001F0A7F">
        <w:rPr>
          <w:iCs/>
        </w:rPr>
        <w:t xml:space="preserve"> analyses</w:t>
      </w:r>
      <w:r w:rsidR="005951D8" w:rsidRPr="001F0A7F">
        <w:rPr>
          <w:iCs/>
        </w:rPr>
        <w:t xml:space="preserve"> </w:t>
      </w:r>
      <w:r w:rsidR="00C40248" w:rsidRPr="001F0A7F">
        <w:rPr>
          <w:iCs/>
        </w:rPr>
        <w:t>were</w:t>
      </w:r>
      <w:r w:rsidR="005951D8" w:rsidRPr="001F0A7F">
        <w:rPr>
          <w:iCs/>
        </w:rPr>
        <w:t xml:space="preserve"> not robust</w:t>
      </w:r>
      <w:r w:rsidR="00544ADB">
        <w:rPr>
          <w:iCs/>
        </w:rPr>
        <w:t>, as it was subject to confounding and likely to be biased in favour of cetuximab</w:t>
      </w:r>
      <w:r w:rsidR="005951D8" w:rsidRPr="001F0A7F">
        <w:rPr>
          <w:iCs/>
        </w:rPr>
        <w:t>.</w:t>
      </w:r>
    </w:p>
    <w:p w:rsidR="00A257AF" w:rsidRPr="001F0A7F" w:rsidRDefault="00A257AF" w:rsidP="00A257AF">
      <w:pPr>
        <w:pStyle w:val="ListParagraph"/>
        <w:widowControl/>
        <w:rPr>
          <w:szCs w:val="22"/>
        </w:rPr>
      </w:pPr>
    </w:p>
    <w:p w:rsidR="00D65BC4" w:rsidRPr="001F0A7F" w:rsidRDefault="00D65BC4" w:rsidP="00B15815">
      <w:pPr>
        <w:pStyle w:val="ListParagraph"/>
        <w:widowControl/>
        <w:numPr>
          <w:ilvl w:val="1"/>
          <w:numId w:val="3"/>
        </w:numPr>
        <w:rPr>
          <w:szCs w:val="22"/>
        </w:rPr>
      </w:pPr>
      <w:r w:rsidRPr="001F0A7F">
        <w:rPr>
          <w:iCs/>
        </w:rPr>
        <w:t xml:space="preserve">The ESC considered that the evidence provided supported a claim of </w:t>
      </w:r>
      <w:r w:rsidRPr="001F0A7F">
        <w:t xml:space="preserve">superior comparative effectiveness in terms of OS and PFS compared with platinum-based chemotherapy alone for both the ITT and post-hoc subgroup.  Based on the ITT analysis, the ESC considered that the addition of cetuximab to platinum-based chemotherapy is inferior to platinum-based chemotherapy alone in terms of comparative safety.  </w:t>
      </w:r>
      <w:r w:rsidR="00B07352" w:rsidRPr="001F0A7F">
        <w:t xml:space="preserve">The ESC considered it was reasonable to then assume inferiority in terms of comparative safety in the post hoc subgroup. </w:t>
      </w:r>
    </w:p>
    <w:p w:rsidR="00D65BC4" w:rsidRPr="001F0A7F" w:rsidRDefault="00D65BC4" w:rsidP="00A257AF">
      <w:pPr>
        <w:pStyle w:val="ListParagraph"/>
        <w:widowControl/>
        <w:rPr>
          <w:szCs w:val="22"/>
        </w:rPr>
      </w:pPr>
    </w:p>
    <w:p w:rsidR="00D65BC4" w:rsidRPr="0001468D" w:rsidRDefault="00B07352" w:rsidP="00B15815">
      <w:pPr>
        <w:pStyle w:val="ListParagraph"/>
        <w:widowControl/>
        <w:numPr>
          <w:ilvl w:val="1"/>
          <w:numId w:val="3"/>
        </w:numPr>
        <w:rPr>
          <w:szCs w:val="22"/>
        </w:rPr>
      </w:pPr>
      <w:r w:rsidRPr="001F0A7F">
        <w:rPr>
          <w:iCs/>
        </w:rPr>
        <w:t xml:space="preserve">In proposing that the listing of cetuximab be based on the post hoc subgroup rather than the ITT population in the trial, the ESC considered that the submission implicitly claimed that the effectiveness of cetuximab in the post hoc subgroup population was superior to the ITT population. </w:t>
      </w:r>
      <w:r w:rsidR="00D65BC4" w:rsidRPr="001F0A7F">
        <w:rPr>
          <w:iCs/>
        </w:rPr>
        <w:t xml:space="preserve">The ESC noted that there may also be issues of access for patients with non-oral cavity cancers who were shown to derive a benefit in the EXTREME trial, and a subsequent risk of leakage from the proposed restriction. </w:t>
      </w:r>
      <w:r w:rsidR="003B2FFB">
        <w:rPr>
          <w:iCs/>
        </w:rPr>
        <w:t xml:space="preserve">The PSCR (p. 4) considered the suggestion that leakage was likely into other head and neck cancer because those with tumour in the oral cavity were in the ITT population in EXTREME, to be implausible. The ESC disagreed with the PSCR in this regard. </w:t>
      </w:r>
      <w:r w:rsidRPr="001F0A7F">
        <w:rPr>
          <w:iCs/>
        </w:rPr>
        <w:t xml:space="preserve">The ESC </w:t>
      </w:r>
      <w:r w:rsidR="00D65BC4" w:rsidRPr="001F0A7F">
        <w:rPr>
          <w:iCs/>
        </w:rPr>
        <w:t xml:space="preserve">viewed that its fundamental concerns – the uncertainty of the claimed improved effectiveness of the post hoc derived subgroup compared to the ITT </w:t>
      </w:r>
      <w:r w:rsidR="00D65BC4" w:rsidRPr="0001468D">
        <w:rPr>
          <w:iCs/>
        </w:rPr>
        <w:t>population in the trial</w:t>
      </w:r>
      <w:r w:rsidR="00B72D6C" w:rsidRPr="0001468D">
        <w:rPr>
          <w:iCs/>
        </w:rPr>
        <w:t xml:space="preserve"> </w:t>
      </w:r>
      <w:r w:rsidR="00D65BC4" w:rsidRPr="0001468D">
        <w:rPr>
          <w:iCs/>
        </w:rPr>
        <w:t>– remained</w:t>
      </w:r>
      <w:r w:rsidRPr="0001468D">
        <w:rPr>
          <w:iCs/>
        </w:rPr>
        <w:t xml:space="preserve"> </w:t>
      </w:r>
      <w:r w:rsidR="00D65BC4" w:rsidRPr="0001468D">
        <w:rPr>
          <w:iCs/>
        </w:rPr>
        <w:t>unresolved</w:t>
      </w:r>
      <w:r w:rsidR="001F0A7F" w:rsidRPr="0001468D">
        <w:rPr>
          <w:iCs/>
        </w:rPr>
        <w:t>.</w:t>
      </w:r>
    </w:p>
    <w:p w:rsidR="001F0A7F" w:rsidRPr="0001468D" w:rsidRDefault="001F0A7F" w:rsidP="001F0A7F">
      <w:pPr>
        <w:widowControl/>
        <w:rPr>
          <w:szCs w:val="22"/>
        </w:rPr>
      </w:pPr>
    </w:p>
    <w:p w:rsidR="00835962" w:rsidRPr="0001468D" w:rsidRDefault="001F0A7F" w:rsidP="00B15815">
      <w:pPr>
        <w:pStyle w:val="ListParagraph"/>
        <w:widowControl/>
        <w:numPr>
          <w:ilvl w:val="1"/>
          <w:numId w:val="3"/>
        </w:numPr>
        <w:rPr>
          <w:bCs/>
        </w:rPr>
      </w:pPr>
      <w:r w:rsidRPr="0001468D">
        <w:rPr>
          <w:bCs/>
          <w:szCs w:val="22"/>
        </w:rPr>
        <w:t>The PBAC considered that the claim</w:t>
      </w:r>
      <w:r w:rsidR="0070559D">
        <w:rPr>
          <w:bCs/>
          <w:szCs w:val="22"/>
        </w:rPr>
        <w:t xml:space="preserve"> of</w:t>
      </w:r>
      <w:r w:rsidRPr="0001468D">
        <w:rPr>
          <w:bCs/>
          <w:szCs w:val="22"/>
        </w:rPr>
        <w:t xml:space="preserve"> </w:t>
      </w:r>
      <w:r w:rsidR="001E7D59" w:rsidRPr="0001468D">
        <w:rPr>
          <w:bCs/>
          <w:szCs w:val="22"/>
        </w:rPr>
        <w:t xml:space="preserve">superior comparative effectiveness was </w:t>
      </w:r>
      <w:r w:rsidR="00514846" w:rsidRPr="0001468D">
        <w:rPr>
          <w:bCs/>
          <w:szCs w:val="22"/>
        </w:rPr>
        <w:t xml:space="preserve">demonstrated </w:t>
      </w:r>
      <w:r w:rsidR="001E7D59" w:rsidRPr="0001468D">
        <w:rPr>
          <w:iCs/>
        </w:rPr>
        <w:t>for the overall ITT population with respect to overall survival, progression-free survival and response rates</w:t>
      </w:r>
      <w:r w:rsidR="0087045B" w:rsidRPr="0001468D">
        <w:rPr>
          <w:bCs/>
          <w:szCs w:val="22"/>
        </w:rPr>
        <w:t>, although the magnitude of the benefit was small.</w:t>
      </w:r>
      <w:r w:rsidR="001E7D59" w:rsidRPr="0001468D">
        <w:rPr>
          <w:bCs/>
          <w:szCs w:val="22"/>
        </w:rPr>
        <w:t xml:space="preserve"> </w:t>
      </w:r>
      <w:r w:rsidR="0087045B" w:rsidRPr="0001468D">
        <w:rPr>
          <w:bCs/>
          <w:szCs w:val="22"/>
        </w:rPr>
        <w:t xml:space="preserve">While </w:t>
      </w:r>
      <w:r w:rsidR="001E7D59" w:rsidRPr="0001468D">
        <w:rPr>
          <w:bCs/>
          <w:szCs w:val="22"/>
        </w:rPr>
        <w:t>the PBAC considered that a</w:t>
      </w:r>
      <w:r w:rsidR="0058566A" w:rsidRPr="0001468D">
        <w:rPr>
          <w:bCs/>
          <w:szCs w:val="22"/>
        </w:rPr>
        <w:t xml:space="preserve"> </w:t>
      </w:r>
      <w:r w:rsidR="001E7D59" w:rsidRPr="0001468D">
        <w:rPr>
          <w:bCs/>
          <w:szCs w:val="22"/>
        </w:rPr>
        <w:t xml:space="preserve">benefit was also observed among </w:t>
      </w:r>
      <w:r w:rsidR="0087045B" w:rsidRPr="0001468D">
        <w:rPr>
          <w:bCs/>
          <w:szCs w:val="22"/>
        </w:rPr>
        <w:t xml:space="preserve">the subgroup of </w:t>
      </w:r>
      <w:r w:rsidR="001E7D59" w:rsidRPr="0001468D">
        <w:rPr>
          <w:bCs/>
          <w:szCs w:val="22"/>
        </w:rPr>
        <w:t xml:space="preserve">patients with oral cavity cancers, </w:t>
      </w:r>
      <w:r w:rsidR="0087045B" w:rsidRPr="0001468D">
        <w:rPr>
          <w:bCs/>
          <w:szCs w:val="22"/>
        </w:rPr>
        <w:t>it</w:t>
      </w:r>
      <w:r w:rsidR="001E7D59" w:rsidRPr="0001468D">
        <w:rPr>
          <w:bCs/>
          <w:szCs w:val="22"/>
        </w:rPr>
        <w:t xml:space="preserve"> </w:t>
      </w:r>
      <w:r w:rsidR="0087045B" w:rsidRPr="0001468D">
        <w:rPr>
          <w:bCs/>
          <w:szCs w:val="22"/>
        </w:rPr>
        <w:t xml:space="preserve">did not </w:t>
      </w:r>
      <w:r w:rsidR="001E7D59" w:rsidRPr="0001468D">
        <w:rPr>
          <w:bCs/>
          <w:szCs w:val="22"/>
        </w:rPr>
        <w:t>consider that the claim of an additional benefit in this population was adequately supported by the data.</w:t>
      </w:r>
    </w:p>
    <w:p w:rsidR="00835962" w:rsidRPr="0001468D" w:rsidRDefault="00835962" w:rsidP="00835962">
      <w:pPr>
        <w:pStyle w:val="ListParagraph"/>
      </w:pPr>
    </w:p>
    <w:p w:rsidR="00B60939" w:rsidRPr="0001468D" w:rsidRDefault="00835962" w:rsidP="00B15815">
      <w:pPr>
        <w:pStyle w:val="ListParagraph"/>
        <w:widowControl/>
        <w:numPr>
          <w:ilvl w:val="1"/>
          <w:numId w:val="3"/>
        </w:numPr>
        <w:rPr>
          <w:bCs/>
        </w:rPr>
      </w:pPr>
      <w:r w:rsidRPr="0001468D">
        <w:lastRenderedPageBreak/>
        <w:t xml:space="preserve">The PBAC considered that the addition of cetuximab to platinum-based chemotherapy is inferior to platinum-based chemotherapy alone in terms of comparative safety for the ITT population. The PBAC also considered it reasonable to assume inferiority in terms of comparative safety in the post hoc subgroup. </w:t>
      </w:r>
    </w:p>
    <w:p w:rsidR="00835962" w:rsidRPr="0001468D" w:rsidRDefault="00835962" w:rsidP="00835962">
      <w:pPr>
        <w:widowControl/>
        <w:jc w:val="left"/>
        <w:rPr>
          <w:bCs/>
        </w:rPr>
      </w:pPr>
    </w:p>
    <w:p w:rsidR="00B60939" w:rsidRPr="000F4715" w:rsidRDefault="00B60939" w:rsidP="00DE732C">
      <w:pPr>
        <w:pStyle w:val="Heading2"/>
      </w:pPr>
      <w:bookmarkStart w:id="24" w:name="_Toc437869741"/>
      <w:bookmarkStart w:id="25" w:name="_Toc441050437"/>
      <w:r w:rsidRPr="0001468D">
        <w:t>Economic analysis</w:t>
      </w:r>
      <w:bookmarkEnd w:id="24"/>
      <w:bookmarkEnd w:id="25"/>
    </w:p>
    <w:p w:rsidR="009909CD" w:rsidRPr="009909CD" w:rsidRDefault="00C91C99" w:rsidP="00B15815">
      <w:pPr>
        <w:pStyle w:val="ListParagraph"/>
        <w:widowControl/>
        <w:numPr>
          <w:ilvl w:val="1"/>
          <w:numId w:val="3"/>
        </w:numPr>
        <w:rPr>
          <w:szCs w:val="22"/>
        </w:rPr>
      </w:pPr>
      <w:r w:rsidRPr="00C91C99">
        <w:t xml:space="preserve">The submission presented a </w:t>
      </w:r>
      <w:r w:rsidR="0008266C" w:rsidRPr="009635E0">
        <w:t>stepped economic evaluation</w:t>
      </w:r>
      <w:r w:rsidR="00F42FEC">
        <w:t xml:space="preserve">. A </w:t>
      </w:r>
      <w:r w:rsidRPr="00C91C99">
        <w:t>trial-based economic evaluation and an extrapolation model, described as an area under the curve (AUC) analysis</w:t>
      </w:r>
      <w:r w:rsidR="008E5CB2">
        <w:t>,</w:t>
      </w:r>
      <w:r w:rsidR="008E5CB2" w:rsidRPr="008E5CB2">
        <w:t xml:space="preserve"> </w:t>
      </w:r>
      <w:r w:rsidR="008E5CB2">
        <w:t>were presented</w:t>
      </w:r>
      <w:r w:rsidRPr="00C91C99">
        <w:t>.</w:t>
      </w:r>
      <w:r w:rsidR="00916F62">
        <w:t xml:space="preserve"> </w:t>
      </w:r>
      <w:r w:rsidR="00916F62" w:rsidRPr="00916F62">
        <w:t xml:space="preserve">The </w:t>
      </w:r>
      <w:r w:rsidR="00916F62">
        <w:t>economic evaluation</w:t>
      </w:r>
      <w:r w:rsidR="00916F62" w:rsidRPr="00916F62">
        <w:t xml:space="preserve"> compared two treatment arms, cetuximab plus </w:t>
      </w:r>
      <w:r w:rsidR="00326751">
        <w:t xml:space="preserve">platinum-based </w:t>
      </w:r>
      <w:r w:rsidR="00916F62" w:rsidRPr="00916F62">
        <w:t>chemotherapy and chemotherapy alone.</w:t>
      </w:r>
    </w:p>
    <w:p w:rsidR="009909CD" w:rsidRPr="009909CD" w:rsidRDefault="009909CD" w:rsidP="009909CD">
      <w:pPr>
        <w:pStyle w:val="ListParagraph"/>
        <w:widowControl/>
        <w:rPr>
          <w:szCs w:val="22"/>
        </w:rPr>
      </w:pPr>
    </w:p>
    <w:p w:rsidR="00B60939" w:rsidRPr="007C282E" w:rsidRDefault="00841BB7" w:rsidP="00B15815">
      <w:pPr>
        <w:pStyle w:val="ListParagraph"/>
        <w:widowControl/>
        <w:numPr>
          <w:ilvl w:val="1"/>
          <w:numId w:val="3"/>
        </w:numPr>
        <w:rPr>
          <w:iCs/>
          <w:szCs w:val="22"/>
        </w:rPr>
      </w:pPr>
      <w:r>
        <w:t xml:space="preserve">The economic evaluation was </w:t>
      </w:r>
      <w:r w:rsidRPr="00841BB7">
        <w:t xml:space="preserve">based </w:t>
      </w:r>
      <w:r w:rsidR="00761C6F" w:rsidRPr="00841BB7">
        <w:t xml:space="preserve">on </w:t>
      </w:r>
      <w:r w:rsidR="00761C6F">
        <w:t xml:space="preserve">a </w:t>
      </w:r>
      <w:r w:rsidR="00761C6F" w:rsidRPr="00BA0F20">
        <w:rPr>
          <w:iCs/>
        </w:rPr>
        <w:t>post hoc</w:t>
      </w:r>
      <w:r w:rsidR="00761C6F">
        <w:rPr>
          <w:i/>
          <w:iCs/>
        </w:rPr>
        <w:t xml:space="preserve"> </w:t>
      </w:r>
      <w:r w:rsidR="00761C6F" w:rsidRPr="00841BB7">
        <w:t>subgroup analysis</w:t>
      </w:r>
      <w:r w:rsidRPr="00841BB7">
        <w:t xml:space="preserve"> of </w:t>
      </w:r>
      <w:r w:rsidR="00153B63">
        <w:t>the</w:t>
      </w:r>
      <w:r w:rsidRPr="00841BB7">
        <w:t xml:space="preserve"> EXTREME trial in patients with a primary tumour site of origin in the oral cavity and a </w:t>
      </w:r>
      <w:r w:rsidRPr="007C282E">
        <w:t xml:space="preserve">baseline KPS </w:t>
      </w:r>
      <w:r w:rsidR="00766AA4" w:rsidRPr="007C282E">
        <w:t>≥</w:t>
      </w:r>
      <w:r w:rsidRPr="007C282E">
        <w:t>80</w:t>
      </w:r>
      <w:r w:rsidR="000752F0" w:rsidRPr="007C282E">
        <w:t xml:space="preserve">. The submission included an additional model based on the ITT population of the EXTREME trial “for comparison purposes only", </w:t>
      </w:r>
      <w:r w:rsidR="000752F0" w:rsidRPr="007C282E">
        <w:rPr>
          <w:iCs/>
        </w:rPr>
        <w:t>with only the base case incremental cost-effectiveness ratio (ICER) presented in the submission</w:t>
      </w:r>
      <w:r w:rsidR="00761C6F" w:rsidRPr="007C282E">
        <w:rPr>
          <w:iCs/>
        </w:rPr>
        <w:t>.</w:t>
      </w:r>
    </w:p>
    <w:p w:rsidR="00CB5AAD" w:rsidRPr="002E0C14" w:rsidRDefault="00CB5AAD" w:rsidP="002E0C14">
      <w:pPr>
        <w:widowControl/>
        <w:rPr>
          <w:szCs w:val="22"/>
        </w:rPr>
      </w:pPr>
    </w:p>
    <w:p w:rsidR="00275C5A" w:rsidRPr="007C282E" w:rsidRDefault="00275C5A" w:rsidP="00B1008E">
      <w:pPr>
        <w:ind w:firstLine="720"/>
        <w:rPr>
          <w:rStyle w:val="CommentReference"/>
          <w:iCs/>
        </w:rPr>
      </w:pPr>
      <w:r w:rsidRPr="007C282E">
        <w:rPr>
          <w:rStyle w:val="CommentReference"/>
          <w:iCs/>
        </w:rPr>
        <w:t xml:space="preserve">Table </w:t>
      </w:r>
      <w:r w:rsidR="00C67B31">
        <w:rPr>
          <w:rStyle w:val="CommentReference"/>
          <w:iCs/>
        </w:rPr>
        <w:t>6</w:t>
      </w:r>
      <w:r w:rsidRPr="007C282E">
        <w:rPr>
          <w:rStyle w:val="CommentReference"/>
          <w:iCs/>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7068"/>
      </w:tblGrid>
      <w:tr w:rsidR="00BE1DB8" w:rsidRPr="007C282E" w:rsidTr="001F18B7">
        <w:trPr>
          <w:tblHeader/>
        </w:trPr>
        <w:tc>
          <w:tcPr>
            <w:tcW w:w="765" w:type="pct"/>
            <w:shd w:val="clear" w:color="auto" w:fill="auto"/>
            <w:vAlign w:val="center"/>
          </w:tcPr>
          <w:p w:rsidR="00275C5A" w:rsidRPr="007C282E" w:rsidRDefault="00275C5A" w:rsidP="00D110BD">
            <w:pPr>
              <w:jc w:val="left"/>
              <w:rPr>
                <w:rFonts w:ascii="Arial Narrow" w:hAnsi="Arial Narrow"/>
                <w:b/>
                <w:iCs/>
                <w:sz w:val="20"/>
              </w:rPr>
            </w:pPr>
            <w:r w:rsidRPr="007C282E">
              <w:rPr>
                <w:rFonts w:ascii="Arial Narrow" w:hAnsi="Arial Narrow"/>
                <w:b/>
                <w:iCs/>
                <w:sz w:val="20"/>
              </w:rPr>
              <w:t>Component</w:t>
            </w:r>
          </w:p>
        </w:tc>
        <w:tc>
          <w:tcPr>
            <w:tcW w:w="4235" w:type="pct"/>
            <w:shd w:val="clear" w:color="auto" w:fill="auto"/>
            <w:vAlign w:val="center"/>
          </w:tcPr>
          <w:p w:rsidR="00275C5A" w:rsidRPr="007C282E" w:rsidRDefault="00275C5A" w:rsidP="00D110BD">
            <w:pPr>
              <w:jc w:val="center"/>
              <w:rPr>
                <w:rFonts w:ascii="Arial Narrow" w:hAnsi="Arial Narrow"/>
                <w:b/>
                <w:iCs/>
                <w:sz w:val="20"/>
              </w:rPr>
            </w:pPr>
            <w:r w:rsidRPr="007C282E">
              <w:rPr>
                <w:rFonts w:ascii="Arial Narrow" w:hAnsi="Arial Narrow"/>
                <w:b/>
                <w:iCs/>
                <w:sz w:val="20"/>
              </w:rPr>
              <w:t>Summary</w:t>
            </w:r>
          </w:p>
        </w:tc>
      </w:tr>
      <w:tr w:rsidR="0061361D"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61361D" w:rsidP="00A41130">
            <w:pPr>
              <w:jc w:val="left"/>
              <w:rPr>
                <w:rFonts w:ascii="Arial Narrow" w:hAnsi="Arial Narrow"/>
                <w:iCs/>
                <w:sz w:val="20"/>
              </w:rPr>
            </w:pPr>
            <w:r w:rsidRPr="007C282E">
              <w:rPr>
                <w:rFonts w:ascii="Arial Narrow" w:hAnsi="Arial Narrow"/>
                <w:iCs/>
                <w:sz w:val="20"/>
              </w:rPr>
              <w:t>Time horizon</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CE3991" w:rsidP="005F0E0B">
            <w:pPr>
              <w:jc w:val="left"/>
              <w:rPr>
                <w:rFonts w:ascii="Arial Narrow" w:hAnsi="Arial Narrow"/>
                <w:iCs/>
                <w:sz w:val="20"/>
              </w:rPr>
            </w:pPr>
            <w:r w:rsidRPr="007C282E">
              <w:rPr>
                <w:rFonts w:ascii="Arial Narrow" w:hAnsi="Arial Narrow"/>
                <w:iCs/>
                <w:sz w:val="20"/>
              </w:rPr>
              <w:t>5 years in the model base case, versus median follow-up of 19.1 months in the cetuximab plus chemotherapy arm and 18.2 months of the chemotherapy alone arm of the ITT population</w:t>
            </w:r>
            <w:r w:rsidR="00433736" w:rsidRPr="007C282E">
              <w:rPr>
                <w:rFonts w:ascii="Arial Narrow" w:hAnsi="Arial Narrow"/>
                <w:iCs/>
                <w:sz w:val="20"/>
              </w:rPr>
              <w:t xml:space="preserve"> (maximum follow-up of 26.0 months)</w:t>
            </w:r>
            <w:r w:rsidRPr="007C282E">
              <w:rPr>
                <w:rFonts w:ascii="Arial Narrow" w:hAnsi="Arial Narrow"/>
                <w:iCs/>
                <w:sz w:val="20"/>
              </w:rPr>
              <w:t xml:space="preserve"> in the EXTREME trial.</w:t>
            </w:r>
          </w:p>
        </w:tc>
      </w:tr>
      <w:tr w:rsidR="0061361D"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61361D" w:rsidP="00A41130">
            <w:pPr>
              <w:jc w:val="left"/>
              <w:rPr>
                <w:rFonts w:ascii="Arial Narrow" w:hAnsi="Arial Narrow"/>
                <w:iCs/>
                <w:sz w:val="20"/>
              </w:rPr>
            </w:pPr>
            <w:r w:rsidRPr="007C282E">
              <w:rPr>
                <w:rFonts w:ascii="Arial Narrow" w:hAnsi="Arial Narrow"/>
                <w:iCs/>
                <w:sz w:val="20"/>
              </w:rPr>
              <w:t>Outcomes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61361D" w:rsidP="00A41130">
            <w:pPr>
              <w:jc w:val="left"/>
              <w:rPr>
                <w:rFonts w:ascii="Arial Narrow" w:hAnsi="Arial Narrow"/>
                <w:iCs/>
                <w:sz w:val="20"/>
              </w:rPr>
            </w:pPr>
            <w:r w:rsidRPr="007C282E">
              <w:rPr>
                <w:rFonts w:ascii="Arial Narrow" w:hAnsi="Arial Narrow"/>
                <w:iCs/>
                <w:sz w:val="20"/>
              </w:rPr>
              <w:t>LYG and QALYs.</w:t>
            </w:r>
          </w:p>
        </w:tc>
      </w:tr>
      <w:tr w:rsidR="0061361D"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61361D" w:rsidP="00A41130">
            <w:pPr>
              <w:jc w:val="left"/>
              <w:rPr>
                <w:rFonts w:ascii="Arial Narrow" w:hAnsi="Arial Narrow"/>
                <w:iCs/>
                <w:sz w:val="20"/>
              </w:rPr>
            </w:pPr>
            <w:r w:rsidRPr="007C282E">
              <w:rPr>
                <w:rFonts w:ascii="Arial Narrow" w:hAnsi="Arial Narrow"/>
                <w:iCs/>
                <w:sz w:val="20"/>
              </w:rPr>
              <w:t>Methods used to generate results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61361D" w:rsidP="00B43829">
            <w:pPr>
              <w:jc w:val="left"/>
              <w:rPr>
                <w:rFonts w:ascii="Arial Narrow" w:hAnsi="Arial Narrow"/>
                <w:iCs/>
                <w:sz w:val="20"/>
              </w:rPr>
            </w:pPr>
            <w:r w:rsidRPr="007C282E">
              <w:rPr>
                <w:rFonts w:ascii="Arial Narrow" w:hAnsi="Arial Narrow"/>
                <w:iCs/>
                <w:sz w:val="20"/>
              </w:rPr>
              <w:t xml:space="preserve">Cohort expected value analysis. Overall survival and progression-free survival data </w:t>
            </w:r>
            <w:r w:rsidR="00DB146E" w:rsidRPr="007C282E">
              <w:rPr>
                <w:rFonts w:ascii="Arial Narrow" w:hAnsi="Arial Narrow"/>
                <w:iCs/>
                <w:sz w:val="20"/>
              </w:rPr>
              <w:t xml:space="preserve">for each treatment arm </w:t>
            </w:r>
            <w:r w:rsidRPr="007C282E">
              <w:rPr>
                <w:rFonts w:ascii="Arial Narrow" w:hAnsi="Arial Narrow"/>
                <w:iCs/>
                <w:sz w:val="20"/>
              </w:rPr>
              <w:t xml:space="preserve">were </w:t>
            </w:r>
            <w:r w:rsidR="00DB146E" w:rsidRPr="007C282E">
              <w:rPr>
                <w:rFonts w:ascii="Arial Narrow" w:hAnsi="Arial Narrow"/>
                <w:iCs/>
                <w:sz w:val="20"/>
              </w:rPr>
              <w:t xml:space="preserve">separately </w:t>
            </w:r>
            <w:r w:rsidRPr="007C282E">
              <w:rPr>
                <w:rFonts w:ascii="Arial Narrow" w:hAnsi="Arial Narrow"/>
                <w:iCs/>
                <w:sz w:val="20"/>
              </w:rPr>
              <w:t xml:space="preserve">extrapolated beyond the duration of the trial, using </w:t>
            </w:r>
            <w:r w:rsidR="00A22ABD" w:rsidRPr="007C282E">
              <w:rPr>
                <w:rFonts w:ascii="Arial Narrow" w:hAnsi="Arial Narrow"/>
                <w:iCs/>
                <w:sz w:val="20"/>
              </w:rPr>
              <w:t xml:space="preserve">log logistic distribution for the ITT population and </w:t>
            </w:r>
            <w:r w:rsidRPr="007C282E">
              <w:rPr>
                <w:rFonts w:ascii="Arial Narrow" w:hAnsi="Arial Narrow"/>
                <w:iCs/>
                <w:sz w:val="20"/>
              </w:rPr>
              <w:t xml:space="preserve">log normal </w:t>
            </w:r>
            <w:r w:rsidR="00A22ABD" w:rsidRPr="007C282E">
              <w:rPr>
                <w:rFonts w:ascii="Arial Narrow" w:hAnsi="Arial Narrow"/>
                <w:iCs/>
                <w:sz w:val="20"/>
              </w:rPr>
              <w:t xml:space="preserve">distribution </w:t>
            </w:r>
            <w:r w:rsidRPr="007C282E">
              <w:rPr>
                <w:rFonts w:ascii="Arial Narrow" w:hAnsi="Arial Narrow"/>
                <w:iCs/>
                <w:sz w:val="20"/>
              </w:rPr>
              <w:t>for the</w:t>
            </w:r>
            <w:r w:rsidR="00533371" w:rsidRPr="007C282E">
              <w:rPr>
                <w:rFonts w:ascii="Arial Narrow" w:hAnsi="Arial Narrow"/>
                <w:iCs/>
                <w:sz w:val="20"/>
              </w:rPr>
              <w:t xml:space="preserve"> post hoc</w:t>
            </w:r>
            <w:r w:rsidRPr="007C282E">
              <w:rPr>
                <w:rFonts w:ascii="Arial Narrow" w:hAnsi="Arial Narrow"/>
                <w:iCs/>
                <w:sz w:val="20"/>
              </w:rPr>
              <w:t xml:space="preserve"> subgroup (oral cavity and KPS </w:t>
            </w:r>
            <w:r w:rsidR="00766AA4" w:rsidRPr="007C282E">
              <w:rPr>
                <w:rFonts w:ascii="Arial Narrow" w:hAnsi="Arial Narrow"/>
                <w:iCs/>
                <w:sz w:val="20"/>
              </w:rPr>
              <w:t>≥</w:t>
            </w:r>
            <w:r w:rsidRPr="007C282E">
              <w:rPr>
                <w:rFonts w:ascii="Arial Narrow" w:hAnsi="Arial Narrow"/>
                <w:iCs/>
                <w:sz w:val="20"/>
              </w:rPr>
              <w:t>80). AUC analysis undertaken to estimate accumulated life years with and without disease progression. Utility values from Paleri and Kelly (2008) used to calculate QALYs.</w:t>
            </w:r>
          </w:p>
        </w:tc>
      </w:tr>
      <w:tr w:rsidR="0061361D"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9C0D7F" w:rsidP="00A41130">
            <w:pPr>
              <w:jc w:val="left"/>
              <w:rPr>
                <w:rFonts w:ascii="Arial Narrow" w:hAnsi="Arial Narrow"/>
                <w:iCs/>
                <w:sz w:val="20"/>
              </w:rPr>
            </w:pPr>
            <w:r w:rsidRPr="007C282E">
              <w:rPr>
                <w:rFonts w:ascii="Arial Narrow" w:hAnsi="Arial Narrow"/>
                <w:iCs/>
                <w:sz w:val="20"/>
              </w:rPr>
              <w:t>Health states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61361D" w:rsidRPr="007C282E" w:rsidRDefault="00FA49CF" w:rsidP="00BF64BA">
            <w:pPr>
              <w:jc w:val="left"/>
              <w:rPr>
                <w:rFonts w:ascii="Arial Narrow" w:hAnsi="Arial Narrow"/>
                <w:iCs/>
                <w:sz w:val="20"/>
              </w:rPr>
            </w:pPr>
            <w:r w:rsidRPr="007C282E">
              <w:rPr>
                <w:rFonts w:ascii="Arial Narrow" w:hAnsi="Arial Narrow"/>
                <w:iCs/>
                <w:sz w:val="20"/>
              </w:rPr>
              <w:t xml:space="preserve"> </w:t>
            </w:r>
            <w:r w:rsidR="002C12D7" w:rsidRPr="007C282E">
              <w:rPr>
                <w:rFonts w:ascii="Arial Narrow" w:hAnsi="Arial Narrow"/>
                <w:iCs/>
                <w:sz w:val="20"/>
              </w:rPr>
              <w:t>‘</w:t>
            </w:r>
            <w:r w:rsidR="00C13429" w:rsidRPr="007C282E">
              <w:rPr>
                <w:rFonts w:ascii="Arial Narrow" w:hAnsi="Arial Narrow"/>
                <w:iCs/>
                <w:sz w:val="20"/>
              </w:rPr>
              <w:t>F</w:t>
            </w:r>
            <w:r w:rsidR="002C12D7" w:rsidRPr="007C282E">
              <w:rPr>
                <w:rFonts w:ascii="Arial Narrow" w:hAnsi="Arial Narrow"/>
                <w:iCs/>
                <w:sz w:val="20"/>
              </w:rPr>
              <w:t>ree from progression’</w:t>
            </w:r>
            <w:r w:rsidR="00BF64BA" w:rsidRPr="007C282E">
              <w:rPr>
                <w:rFonts w:ascii="Arial Narrow" w:hAnsi="Arial Narrow"/>
                <w:iCs/>
                <w:sz w:val="20"/>
              </w:rPr>
              <w:t>,</w:t>
            </w:r>
            <w:r w:rsidR="002C12D7" w:rsidRPr="007C282E">
              <w:rPr>
                <w:rFonts w:ascii="Arial Narrow" w:hAnsi="Arial Narrow"/>
                <w:iCs/>
                <w:sz w:val="20"/>
              </w:rPr>
              <w:t xml:space="preserve"> ‘progressed’</w:t>
            </w:r>
            <w:r w:rsidR="00BF64BA" w:rsidRPr="007C282E">
              <w:rPr>
                <w:rFonts w:ascii="Arial Narrow" w:hAnsi="Arial Narrow"/>
                <w:iCs/>
                <w:sz w:val="20"/>
              </w:rPr>
              <w:t xml:space="preserve"> </w:t>
            </w:r>
            <w:r w:rsidR="002C12D7" w:rsidRPr="007C282E">
              <w:rPr>
                <w:rFonts w:ascii="Arial Narrow" w:hAnsi="Arial Narrow"/>
                <w:iCs/>
                <w:sz w:val="20"/>
              </w:rPr>
              <w:t>and ‘dead’.</w:t>
            </w:r>
          </w:p>
        </w:tc>
      </w:tr>
      <w:tr w:rsidR="009C0D7F"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9C0D7F" w:rsidRPr="007C282E" w:rsidRDefault="009C0D7F" w:rsidP="009C0D7F">
            <w:pPr>
              <w:jc w:val="left"/>
              <w:rPr>
                <w:rFonts w:ascii="Arial Narrow" w:hAnsi="Arial Narrow"/>
                <w:iCs/>
                <w:sz w:val="20"/>
              </w:rPr>
            </w:pPr>
            <w:r w:rsidRPr="007C282E">
              <w:rPr>
                <w:rFonts w:ascii="Arial Narrow" w:hAnsi="Arial Narrow"/>
                <w:iCs/>
                <w:sz w:val="20"/>
              </w:rPr>
              <w:t>Cycle length</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9C0D7F" w:rsidRPr="007C282E" w:rsidRDefault="009C0D7F" w:rsidP="009C0D7F">
            <w:pPr>
              <w:jc w:val="left"/>
              <w:rPr>
                <w:rFonts w:ascii="Arial Narrow" w:hAnsi="Arial Narrow"/>
                <w:iCs/>
                <w:sz w:val="20"/>
              </w:rPr>
            </w:pPr>
            <w:r w:rsidRPr="007C282E">
              <w:rPr>
                <w:rFonts w:ascii="Arial Narrow" w:hAnsi="Arial Narrow"/>
                <w:iCs/>
                <w:sz w:val="20"/>
              </w:rPr>
              <w:t>One day intervals used in the AUC analysis.</w:t>
            </w:r>
          </w:p>
        </w:tc>
      </w:tr>
      <w:tr w:rsidR="00D821C8"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D821C8" w:rsidRPr="007C282E" w:rsidRDefault="00D821C8" w:rsidP="009C0D7F">
            <w:pPr>
              <w:jc w:val="left"/>
              <w:rPr>
                <w:rFonts w:ascii="Arial Narrow" w:hAnsi="Arial Narrow"/>
                <w:iCs/>
                <w:sz w:val="20"/>
              </w:rPr>
            </w:pPr>
            <w:r w:rsidRPr="007C282E">
              <w:rPr>
                <w:rFonts w:ascii="Arial Narrow" w:hAnsi="Arial Narrow"/>
                <w:iCs/>
                <w:sz w:val="20"/>
              </w:rPr>
              <w:t>Costs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D821C8" w:rsidRPr="007C282E" w:rsidRDefault="000A4855" w:rsidP="00382DEF">
            <w:pPr>
              <w:jc w:val="left"/>
              <w:rPr>
                <w:rFonts w:ascii="Arial Narrow" w:hAnsi="Arial Narrow"/>
                <w:iCs/>
                <w:sz w:val="20"/>
              </w:rPr>
            </w:pPr>
            <w:r w:rsidRPr="007C282E">
              <w:rPr>
                <w:rFonts w:ascii="Arial Narrow" w:hAnsi="Arial Narrow"/>
                <w:iCs/>
                <w:sz w:val="20"/>
              </w:rPr>
              <w:t>Trial-based data were used to estimate drug costs</w:t>
            </w:r>
            <w:r w:rsidR="004C587A" w:rsidRPr="007C282E">
              <w:rPr>
                <w:rFonts w:ascii="Arial Narrow" w:hAnsi="Arial Narrow"/>
                <w:iCs/>
                <w:sz w:val="20"/>
              </w:rPr>
              <w:t xml:space="preserve">, </w:t>
            </w:r>
            <w:r w:rsidR="00886C48" w:rsidRPr="007C282E">
              <w:rPr>
                <w:rFonts w:ascii="Arial Narrow" w:hAnsi="Arial Narrow"/>
                <w:iCs/>
                <w:sz w:val="20"/>
              </w:rPr>
              <w:t xml:space="preserve">costs of managing skin reactions, and </w:t>
            </w:r>
            <w:r w:rsidR="008F4099" w:rsidRPr="007C282E">
              <w:rPr>
                <w:rFonts w:ascii="Arial Narrow" w:hAnsi="Arial Narrow"/>
                <w:iCs/>
                <w:sz w:val="20"/>
              </w:rPr>
              <w:t>costs</w:t>
            </w:r>
            <w:r w:rsidR="00886C48" w:rsidRPr="007C282E">
              <w:rPr>
                <w:rFonts w:ascii="Arial Narrow" w:hAnsi="Arial Narrow"/>
                <w:iCs/>
                <w:sz w:val="20"/>
              </w:rPr>
              <w:t xml:space="preserve"> of </w:t>
            </w:r>
            <w:r w:rsidRPr="007C282E">
              <w:rPr>
                <w:rFonts w:ascii="Arial Narrow" w:hAnsi="Arial Narrow"/>
                <w:iCs/>
                <w:sz w:val="20"/>
              </w:rPr>
              <w:t xml:space="preserve">subsequent therapies. </w:t>
            </w:r>
            <w:r w:rsidR="00886C48" w:rsidRPr="007C282E">
              <w:rPr>
                <w:rFonts w:ascii="Arial Narrow" w:hAnsi="Arial Narrow"/>
                <w:iCs/>
                <w:sz w:val="20"/>
              </w:rPr>
              <w:t xml:space="preserve">The submission assumed that </w:t>
            </w:r>
            <w:r w:rsidR="00E9019D">
              <w:rPr>
                <w:rFonts w:ascii="Arial Narrow" w:hAnsi="Arial Narrow"/>
                <w:iCs/>
                <w:noProof/>
                <w:color w:val="000000"/>
                <w:sz w:val="20"/>
                <w:highlight w:val="black"/>
              </w:rPr>
              <w:t>'''''</w:t>
            </w:r>
            <w:r w:rsidR="00886C48" w:rsidRPr="007C282E">
              <w:rPr>
                <w:rFonts w:ascii="Arial Narrow" w:hAnsi="Arial Narrow"/>
                <w:iCs/>
                <w:sz w:val="20"/>
              </w:rPr>
              <w:t xml:space="preserve">% of patients received </w:t>
            </w:r>
            <w:r w:rsidR="00EE430F" w:rsidRPr="007C282E">
              <w:rPr>
                <w:rFonts w:ascii="Arial Narrow" w:hAnsi="Arial Narrow"/>
                <w:iCs/>
                <w:sz w:val="20"/>
              </w:rPr>
              <w:t xml:space="preserve">cetuximab </w:t>
            </w:r>
            <w:r w:rsidR="00277E6A" w:rsidRPr="007C282E">
              <w:rPr>
                <w:rFonts w:ascii="Arial Narrow" w:hAnsi="Arial Narrow"/>
                <w:iCs/>
                <w:sz w:val="20"/>
              </w:rPr>
              <w:t>fortnightly</w:t>
            </w:r>
            <w:r w:rsidR="00EE430F" w:rsidRPr="007C282E">
              <w:rPr>
                <w:rFonts w:ascii="Arial Narrow" w:hAnsi="Arial Narrow"/>
                <w:iCs/>
                <w:sz w:val="20"/>
              </w:rPr>
              <w:t xml:space="preserve">, based on UK data which could not be verified during the evaluation. </w:t>
            </w:r>
            <w:r w:rsidRPr="007C282E">
              <w:rPr>
                <w:rFonts w:ascii="Arial Narrow" w:hAnsi="Arial Narrow"/>
                <w:iCs/>
                <w:sz w:val="20"/>
              </w:rPr>
              <w:t>Cost</w:t>
            </w:r>
            <w:r w:rsidR="00382DEF" w:rsidRPr="007C282E">
              <w:rPr>
                <w:rFonts w:ascii="Arial Narrow" w:hAnsi="Arial Narrow"/>
                <w:iCs/>
                <w:sz w:val="20"/>
              </w:rPr>
              <w:t>s</w:t>
            </w:r>
            <w:r w:rsidRPr="007C282E">
              <w:rPr>
                <w:rFonts w:ascii="Arial Narrow" w:hAnsi="Arial Narrow"/>
                <w:iCs/>
                <w:sz w:val="20"/>
              </w:rPr>
              <w:t xml:space="preserve"> with associated palliative care </w:t>
            </w:r>
            <w:r w:rsidR="00382DEF" w:rsidRPr="007C282E">
              <w:rPr>
                <w:rFonts w:ascii="Arial Narrow" w:hAnsi="Arial Narrow"/>
                <w:iCs/>
                <w:sz w:val="20"/>
              </w:rPr>
              <w:t>were</w:t>
            </w:r>
            <w:r w:rsidRPr="007C282E">
              <w:rPr>
                <w:rFonts w:ascii="Arial Narrow" w:hAnsi="Arial Narrow"/>
                <w:iCs/>
                <w:sz w:val="20"/>
              </w:rPr>
              <w:t xml:space="preserve"> applied to death events.</w:t>
            </w:r>
          </w:p>
        </w:tc>
      </w:tr>
      <w:tr w:rsidR="009C0D7F" w:rsidRPr="007C282E" w:rsidTr="001F18B7">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9C0D7F" w:rsidRPr="007C282E" w:rsidRDefault="009C0D7F" w:rsidP="009C0D7F">
            <w:pPr>
              <w:jc w:val="left"/>
              <w:rPr>
                <w:rFonts w:ascii="Arial Narrow" w:hAnsi="Arial Narrow"/>
                <w:iCs/>
                <w:sz w:val="20"/>
              </w:rPr>
            </w:pPr>
            <w:r w:rsidRPr="007C282E">
              <w:rPr>
                <w:rFonts w:ascii="Arial Narrow" w:hAnsi="Arial Narrow"/>
                <w:iCs/>
                <w:sz w:val="20"/>
              </w:rPr>
              <w:t>Discount rate</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9C0D7F" w:rsidRPr="007C282E" w:rsidRDefault="009C0D7F" w:rsidP="009C0D7F">
            <w:pPr>
              <w:jc w:val="left"/>
              <w:rPr>
                <w:rFonts w:ascii="Arial Narrow" w:hAnsi="Arial Narrow"/>
                <w:iCs/>
                <w:sz w:val="20"/>
              </w:rPr>
            </w:pPr>
            <w:r w:rsidRPr="007C282E">
              <w:rPr>
                <w:rFonts w:ascii="Arial Narrow" w:hAnsi="Arial Narrow"/>
                <w:iCs/>
                <w:sz w:val="20"/>
              </w:rPr>
              <w:t>5% for palliative care costs (other costs were not discounted as they were assumed to be incurred in the first year) and 5% for modelled outcomes (LYG and QALY).</w:t>
            </w:r>
          </w:p>
        </w:tc>
      </w:tr>
    </w:tbl>
    <w:p w:rsidR="00275C5A" w:rsidRPr="007C282E" w:rsidRDefault="00275C5A" w:rsidP="005D044D">
      <w:pPr>
        <w:pStyle w:val="TableFooter"/>
        <w:ind w:firstLine="720"/>
        <w:rPr>
          <w:iCs/>
        </w:rPr>
      </w:pPr>
      <w:r w:rsidRPr="007C282E">
        <w:rPr>
          <w:iCs/>
        </w:rPr>
        <w:t>Source: compiled during the evaluation</w:t>
      </w:r>
    </w:p>
    <w:p w:rsidR="000E42A1" w:rsidRPr="007C282E" w:rsidRDefault="000E42A1" w:rsidP="000D0789">
      <w:pPr>
        <w:pStyle w:val="TableFooter"/>
        <w:ind w:left="720"/>
      </w:pPr>
      <w:r w:rsidRPr="007C282E">
        <w:rPr>
          <w:iCs/>
        </w:rPr>
        <w:t>Abbreviations: AUC = area under the curve; ITT = intention-to-treat; KPS = Karnofsky Performance Status; LYG = life-year gained; QALY = quality-adjusted life year</w:t>
      </w:r>
    </w:p>
    <w:p w:rsidR="00275C5A" w:rsidRPr="009635E0" w:rsidRDefault="00275C5A" w:rsidP="00275C5A">
      <w:pPr>
        <w:widowControl/>
        <w:rPr>
          <w:szCs w:val="22"/>
        </w:rPr>
      </w:pPr>
    </w:p>
    <w:p w:rsidR="00463BEE" w:rsidRDefault="00463BEE" w:rsidP="00B1008E">
      <w:pPr>
        <w:ind w:firstLine="720"/>
        <w:rPr>
          <w:rStyle w:val="CommentReference"/>
          <w:iCs/>
        </w:rPr>
      </w:pPr>
      <w:r>
        <w:rPr>
          <w:rStyle w:val="CommentReference"/>
          <w:iCs/>
        </w:rPr>
        <w:br w:type="page"/>
      </w:r>
    </w:p>
    <w:p w:rsidR="00D110BD" w:rsidRPr="007C282E" w:rsidRDefault="00D110BD" w:rsidP="00B1008E">
      <w:pPr>
        <w:ind w:firstLine="720"/>
        <w:rPr>
          <w:rStyle w:val="CommentReference"/>
          <w:iCs/>
        </w:rPr>
      </w:pPr>
      <w:r w:rsidRPr="007C282E">
        <w:rPr>
          <w:rStyle w:val="CommentReference"/>
          <w:iCs/>
        </w:rPr>
        <w:lastRenderedPageBreak/>
        <w:t xml:space="preserve">Table </w:t>
      </w:r>
      <w:r w:rsidR="00C67B31">
        <w:rPr>
          <w:rStyle w:val="CommentReference"/>
          <w:iCs/>
        </w:rPr>
        <w:t>7</w:t>
      </w:r>
      <w:r w:rsidRPr="007C282E">
        <w:rPr>
          <w:rStyle w:val="CommentReference"/>
          <w:iCs/>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6381"/>
        <w:gridCol w:w="831"/>
      </w:tblGrid>
      <w:tr w:rsidR="00D110BD" w:rsidRPr="007C282E" w:rsidTr="00E62E5C">
        <w:trPr>
          <w:tblHeader/>
        </w:trPr>
        <w:tc>
          <w:tcPr>
            <w:tcW w:w="679" w:type="pct"/>
            <w:shd w:val="clear" w:color="auto" w:fill="auto"/>
            <w:vAlign w:val="center"/>
          </w:tcPr>
          <w:p w:rsidR="00D110BD" w:rsidRPr="007C282E" w:rsidRDefault="00D110BD" w:rsidP="00D110BD">
            <w:pPr>
              <w:jc w:val="left"/>
              <w:rPr>
                <w:rFonts w:ascii="Arial Narrow" w:hAnsi="Arial Narrow"/>
                <w:b/>
                <w:iCs/>
                <w:sz w:val="20"/>
              </w:rPr>
            </w:pPr>
            <w:r w:rsidRPr="007C282E">
              <w:rPr>
                <w:rFonts w:ascii="Arial Narrow" w:hAnsi="Arial Narrow"/>
                <w:b/>
                <w:iCs/>
                <w:sz w:val="20"/>
              </w:rPr>
              <w:t>Description</w:t>
            </w:r>
          </w:p>
        </w:tc>
        <w:tc>
          <w:tcPr>
            <w:tcW w:w="3823" w:type="pct"/>
            <w:shd w:val="clear" w:color="auto" w:fill="auto"/>
            <w:vAlign w:val="center"/>
          </w:tcPr>
          <w:p w:rsidR="00D110BD" w:rsidRPr="007C282E" w:rsidRDefault="00D110BD" w:rsidP="00D110BD">
            <w:pPr>
              <w:jc w:val="center"/>
              <w:rPr>
                <w:rFonts w:ascii="Arial Narrow" w:hAnsi="Arial Narrow"/>
                <w:b/>
                <w:iCs/>
                <w:sz w:val="20"/>
              </w:rPr>
            </w:pPr>
            <w:r w:rsidRPr="007C282E">
              <w:rPr>
                <w:rFonts w:ascii="Arial Narrow" w:hAnsi="Arial Narrow"/>
                <w:b/>
                <w:iCs/>
                <w:sz w:val="20"/>
              </w:rPr>
              <w:t>Method/Value</w:t>
            </w:r>
          </w:p>
        </w:tc>
        <w:tc>
          <w:tcPr>
            <w:tcW w:w="499" w:type="pct"/>
            <w:shd w:val="clear" w:color="auto" w:fill="auto"/>
            <w:vAlign w:val="center"/>
          </w:tcPr>
          <w:p w:rsidR="00D110BD" w:rsidRPr="007C282E" w:rsidRDefault="00D110BD" w:rsidP="00D110BD">
            <w:pPr>
              <w:jc w:val="center"/>
              <w:rPr>
                <w:rFonts w:ascii="Arial Narrow" w:hAnsi="Arial Narrow"/>
                <w:b/>
                <w:iCs/>
                <w:sz w:val="20"/>
              </w:rPr>
            </w:pPr>
            <w:r w:rsidRPr="007C282E">
              <w:rPr>
                <w:rFonts w:ascii="Arial Narrow" w:hAnsi="Arial Narrow"/>
                <w:b/>
                <w:iCs/>
                <w:sz w:val="20"/>
              </w:rPr>
              <w:t>Impact</w:t>
            </w:r>
          </w:p>
        </w:tc>
      </w:tr>
      <w:tr w:rsidR="00D110BD" w:rsidRPr="007C282E" w:rsidTr="00E62E5C">
        <w:tc>
          <w:tcPr>
            <w:tcW w:w="679" w:type="pct"/>
            <w:shd w:val="clear" w:color="auto" w:fill="auto"/>
            <w:vAlign w:val="center"/>
          </w:tcPr>
          <w:p w:rsidR="00D110BD" w:rsidRPr="007C282E" w:rsidRDefault="00987F15" w:rsidP="00FC5307">
            <w:pPr>
              <w:jc w:val="left"/>
              <w:rPr>
                <w:rFonts w:ascii="Arial Narrow" w:hAnsi="Arial Narrow"/>
                <w:iCs/>
                <w:sz w:val="20"/>
              </w:rPr>
            </w:pPr>
            <w:r w:rsidRPr="007C282E">
              <w:rPr>
                <w:rFonts w:ascii="Arial Narrow" w:hAnsi="Arial Narrow"/>
                <w:iCs/>
                <w:sz w:val="20"/>
              </w:rPr>
              <w:t>Extrapolat</w:t>
            </w:r>
            <w:r w:rsidR="008E2386" w:rsidRPr="007C282E">
              <w:rPr>
                <w:rFonts w:ascii="Arial Narrow" w:hAnsi="Arial Narrow"/>
                <w:iCs/>
                <w:sz w:val="20"/>
              </w:rPr>
              <w:t>ion of</w:t>
            </w:r>
            <w:r w:rsidR="0036696B" w:rsidRPr="007C282E">
              <w:rPr>
                <w:rFonts w:ascii="Arial Narrow" w:hAnsi="Arial Narrow"/>
                <w:iCs/>
                <w:sz w:val="20"/>
              </w:rPr>
              <w:t xml:space="preserve"> the </w:t>
            </w:r>
            <w:r w:rsidR="0060714D" w:rsidRPr="007C282E">
              <w:rPr>
                <w:rFonts w:ascii="Arial Narrow" w:hAnsi="Arial Narrow"/>
                <w:iCs/>
                <w:sz w:val="20"/>
              </w:rPr>
              <w:t xml:space="preserve">treatment </w:t>
            </w:r>
            <w:r w:rsidR="00FC5307" w:rsidRPr="007C282E">
              <w:rPr>
                <w:rFonts w:ascii="Arial Narrow" w:hAnsi="Arial Narrow"/>
                <w:iCs/>
                <w:sz w:val="20"/>
              </w:rPr>
              <w:t>effec</w:t>
            </w:r>
            <w:r w:rsidR="003107EA" w:rsidRPr="007C282E">
              <w:rPr>
                <w:rFonts w:ascii="Arial Narrow" w:hAnsi="Arial Narrow"/>
                <w:iCs/>
                <w:sz w:val="20"/>
              </w:rPr>
              <w:t>t</w:t>
            </w:r>
          </w:p>
        </w:tc>
        <w:tc>
          <w:tcPr>
            <w:tcW w:w="3823" w:type="pct"/>
            <w:shd w:val="clear" w:color="auto" w:fill="auto"/>
            <w:vAlign w:val="center"/>
          </w:tcPr>
          <w:p w:rsidR="00D110BD" w:rsidRPr="007C282E" w:rsidRDefault="006F3057" w:rsidP="008D30C6">
            <w:pPr>
              <w:jc w:val="center"/>
              <w:rPr>
                <w:rFonts w:ascii="Arial Narrow" w:hAnsi="Arial Narrow"/>
                <w:iCs/>
                <w:sz w:val="20"/>
              </w:rPr>
            </w:pPr>
            <w:r w:rsidRPr="007C282E">
              <w:rPr>
                <w:rFonts w:ascii="Arial Narrow" w:hAnsi="Arial Narrow"/>
                <w:iCs/>
                <w:sz w:val="20"/>
              </w:rPr>
              <w:t xml:space="preserve"> Trial data</w:t>
            </w:r>
            <w:r w:rsidR="00B21453" w:rsidRPr="007C282E">
              <w:rPr>
                <w:rFonts w:ascii="Arial Narrow" w:hAnsi="Arial Narrow"/>
                <w:iCs/>
                <w:sz w:val="20"/>
              </w:rPr>
              <w:t xml:space="preserve"> were truncated at 18.7 months </w:t>
            </w:r>
            <w:r w:rsidRPr="007C282E">
              <w:rPr>
                <w:rFonts w:ascii="Arial Narrow" w:hAnsi="Arial Narrow"/>
                <w:iCs/>
                <w:sz w:val="20"/>
              </w:rPr>
              <w:t xml:space="preserve">for OS and 12 months for PFS. OS and PFS </w:t>
            </w:r>
            <w:r w:rsidR="00BD5BF5" w:rsidRPr="007C282E">
              <w:rPr>
                <w:rFonts w:ascii="Arial Narrow" w:hAnsi="Arial Narrow"/>
                <w:iCs/>
                <w:sz w:val="20"/>
              </w:rPr>
              <w:t>were</w:t>
            </w:r>
            <w:r w:rsidRPr="007C282E">
              <w:rPr>
                <w:rFonts w:ascii="Arial Narrow" w:hAnsi="Arial Narrow"/>
                <w:iCs/>
                <w:sz w:val="20"/>
              </w:rPr>
              <w:t xml:space="preserve"> extrapolated </w:t>
            </w:r>
            <w:r w:rsidR="00D42DA9" w:rsidRPr="007C282E">
              <w:rPr>
                <w:rFonts w:ascii="Arial Narrow" w:hAnsi="Arial Narrow"/>
                <w:iCs/>
                <w:sz w:val="20"/>
              </w:rPr>
              <w:t xml:space="preserve">separately for each </w:t>
            </w:r>
            <w:r w:rsidR="00D900C3" w:rsidRPr="007C282E">
              <w:rPr>
                <w:rFonts w:ascii="Arial Narrow" w:hAnsi="Arial Narrow"/>
                <w:iCs/>
                <w:sz w:val="20"/>
              </w:rPr>
              <w:t xml:space="preserve">treatment </w:t>
            </w:r>
            <w:r w:rsidR="00D42DA9" w:rsidRPr="007C282E">
              <w:rPr>
                <w:rFonts w:ascii="Arial Narrow" w:hAnsi="Arial Narrow"/>
                <w:iCs/>
                <w:sz w:val="20"/>
              </w:rPr>
              <w:t xml:space="preserve">arm </w:t>
            </w:r>
            <w:r w:rsidRPr="007C282E">
              <w:rPr>
                <w:rFonts w:ascii="Arial Narrow" w:hAnsi="Arial Narrow"/>
                <w:iCs/>
                <w:sz w:val="20"/>
              </w:rPr>
              <w:t xml:space="preserve">using log logistic distribution for the ITT model and log normal distribution for the </w:t>
            </w:r>
            <w:r w:rsidRPr="007C282E">
              <w:rPr>
                <w:rFonts w:ascii="Arial Narrow" w:hAnsi="Arial Narrow"/>
                <w:sz w:val="20"/>
              </w:rPr>
              <w:t>post hoc</w:t>
            </w:r>
            <w:r w:rsidRPr="007C282E">
              <w:rPr>
                <w:rFonts w:ascii="Arial Narrow" w:hAnsi="Arial Narrow"/>
                <w:iCs/>
                <w:sz w:val="20"/>
              </w:rPr>
              <w:t xml:space="preserve"> subgroup of patients with oral cavity tumour and a baseline KPS </w:t>
            </w:r>
            <w:r w:rsidR="00766AA4" w:rsidRPr="007C282E">
              <w:rPr>
                <w:rFonts w:ascii="Arial Narrow" w:hAnsi="Arial Narrow"/>
                <w:iCs/>
                <w:sz w:val="20"/>
              </w:rPr>
              <w:t>≥</w:t>
            </w:r>
            <w:r w:rsidRPr="007C282E">
              <w:rPr>
                <w:rFonts w:ascii="Arial Narrow" w:hAnsi="Arial Narrow"/>
                <w:iCs/>
                <w:sz w:val="20"/>
              </w:rPr>
              <w:t xml:space="preserve">80. </w:t>
            </w:r>
            <w:r w:rsidR="00D73B6F" w:rsidRPr="007C282E">
              <w:rPr>
                <w:rFonts w:ascii="Arial Narrow" w:hAnsi="Arial Narrow"/>
                <w:iCs/>
                <w:sz w:val="20"/>
              </w:rPr>
              <w:t xml:space="preserve">The use of the log logistic distribution for the ITT population and the log normal distribution for </w:t>
            </w:r>
            <w:r w:rsidR="00D73B6F" w:rsidRPr="007C282E">
              <w:rPr>
                <w:rFonts w:ascii="Arial Narrow" w:hAnsi="Arial Narrow"/>
                <w:sz w:val="20"/>
              </w:rPr>
              <w:t>the post hoc</w:t>
            </w:r>
            <w:r w:rsidR="00D73B6F" w:rsidRPr="007C282E">
              <w:rPr>
                <w:rFonts w:ascii="Arial Narrow" w:hAnsi="Arial Narrow"/>
                <w:iCs/>
                <w:sz w:val="20"/>
              </w:rPr>
              <w:t xml:space="preserve"> subgroup resulted in long tails of the modelled survival functions (particularly for OS).</w:t>
            </w:r>
            <w:r w:rsidR="00B07153" w:rsidRPr="007C282E">
              <w:rPr>
                <w:rFonts w:ascii="Arial Narrow" w:hAnsi="Arial Narrow"/>
                <w:iCs/>
                <w:sz w:val="20"/>
              </w:rPr>
              <w:t xml:space="preserve"> There were no sensitivity analyses using different </w:t>
            </w:r>
            <w:r w:rsidR="003F727D" w:rsidRPr="007C282E">
              <w:rPr>
                <w:rFonts w:ascii="Arial Narrow" w:hAnsi="Arial Narrow"/>
                <w:iCs/>
                <w:sz w:val="20"/>
              </w:rPr>
              <w:t xml:space="preserve">parametric </w:t>
            </w:r>
            <w:r w:rsidR="00B07153" w:rsidRPr="007C282E">
              <w:rPr>
                <w:rFonts w:ascii="Arial Narrow" w:hAnsi="Arial Narrow"/>
                <w:iCs/>
                <w:sz w:val="20"/>
              </w:rPr>
              <w:t xml:space="preserve">distributions for the ITT model. </w:t>
            </w:r>
            <w:r w:rsidR="005D1B4F" w:rsidRPr="007C282E">
              <w:rPr>
                <w:rFonts w:ascii="Arial Narrow" w:hAnsi="Arial Narrow"/>
                <w:iCs/>
                <w:sz w:val="20"/>
              </w:rPr>
              <w:t>T</w:t>
            </w:r>
            <w:r w:rsidR="00B07153" w:rsidRPr="007C282E">
              <w:rPr>
                <w:rFonts w:ascii="Arial Narrow" w:hAnsi="Arial Narrow"/>
                <w:iCs/>
                <w:sz w:val="20"/>
              </w:rPr>
              <w:t xml:space="preserve">he </w:t>
            </w:r>
            <w:r w:rsidR="00B07153" w:rsidRPr="007C282E">
              <w:rPr>
                <w:rFonts w:ascii="Arial Narrow" w:hAnsi="Arial Narrow"/>
                <w:sz w:val="20"/>
              </w:rPr>
              <w:t>post hoc</w:t>
            </w:r>
            <w:r w:rsidR="00B07153" w:rsidRPr="007C282E">
              <w:rPr>
                <w:rFonts w:ascii="Arial Narrow" w:hAnsi="Arial Narrow"/>
                <w:iCs/>
                <w:sz w:val="20"/>
              </w:rPr>
              <w:t xml:space="preserve"> subgroup model</w:t>
            </w:r>
            <w:r w:rsidR="005D1B4F" w:rsidRPr="007C282E">
              <w:rPr>
                <w:rFonts w:ascii="Arial Narrow" w:hAnsi="Arial Narrow"/>
                <w:iCs/>
                <w:sz w:val="20"/>
              </w:rPr>
              <w:t xml:space="preserve"> was sensitive to </w:t>
            </w:r>
            <w:r w:rsidR="00B07153" w:rsidRPr="007C282E">
              <w:rPr>
                <w:rFonts w:ascii="Arial Narrow" w:hAnsi="Arial Narrow"/>
                <w:iCs/>
                <w:sz w:val="20"/>
              </w:rPr>
              <w:t xml:space="preserve">the use of the Weibull </w:t>
            </w:r>
            <w:r w:rsidR="007E6A7D" w:rsidRPr="007C282E">
              <w:rPr>
                <w:rFonts w:ascii="Arial Narrow" w:hAnsi="Arial Narrow"/>
                <w:iCs/>
                <w:sz w:val="20"/>
              </w:rPr>
              <w:t>distribution</w:t>
            </w:r>
            <w:r w:rsidR="00B07153" w:rsidRPr="007C282E">
              <w:rPr>
                <w:rFonts w:ascii="Arial Narrow" w:hAnsi="Arial Narrow"/>
                <w:iCs/>
                <w:sz w:val="20"/>
              </w:rPr>
              <w:t xml:space="preserve"> (which ha</w:t>
            </w:r>
            <w:r w:rsidR="005D1B4F" w:rsidRPr="007C282E">
              <w:rPr>
                <w:rFonts w:ascii="Arial Narrow" w:hAnsi="Arial Narrow"/>
                <w:iCs/>
                <w:sz w:val="20"/>
              </w:rPr>
              <w:t>s</w:t>
            </w:r>
            <w:r w:rsidR="00B07153" w:rsidRPr="007C282E">
              <w:rPr>
                <w:rFonts w:ascii="Arial Narrow" w:hAnsi="Arial Narrow"/>
                <w:iCs/>
                <w:sz w:val="20"/>
              </w:rPr>
              <w:t xml:space="preserve"> </w:t>
            </w:r>
            <w:r w:rsidR="00096724" w:rsidRPr="007C282E">
              <w:rPr>
                <w:rFonts w:ascii="Arial Narrow" w:hAnsi="Arial Narrow"/>
                <w:iCs/>
                <w:sz w:val="20"/>
              </w:rPr>
              <w:t xml:space="preserve">an </w:t>
            </w:r>
            <w:r w:rsidR="00B07153" w:rsidRPr="007C282E">
              <w:rPr>
                <w:rFonts w:ascii="Arial Narrow" w:hAnsi="Arial Narrow"/>
                <w:iCs/>
                <w:sz w:val="20"/>
              </w:rPr>
              <w:t>accelerated failure time)</w:t>
            </w:r>
            <w:r w:rsidR="005D1B4F" w:rsidRPr="007C282E">
              <w:rPr>
                <w:rFonts w:ascii="Arial Narrow" w:hAnsi="Arial Narrow"/>
                <w:iCs/>
                <w:sz w:val="20"/>
              </w:rPr>
              <w:t>.</w:t>
            </w:r>
          </w:p>
        </w:tc>
        <w:tc>
          <w:tcPr>
            <w:tcW w:w="499" w:type="pct"/>
            <w:shd w:val="clear" w:color="auto" w:fill="auto"/>
            <w:vAlign w:val="center"/>
          </w:tcPr>
          <w:p w:rsidR="00D110BD" w:rsidRPr="007C282E" w:rsidRDefault="0041012B" w:rsidP="00D110BD">
            <w:pPr>
              <w:jc w:val="center"/>
              <w:rPr>
                <w:rFonts w:ascii="Arial Narrow" w:hAnsi="Arial Narrow"/>
                <w:iCs/>
                <w:sz w:val="20"/>
              </w:rPr>
            </w:pPr>
            <w:r w:rsidRPr="007C282E">
              <w:rPr>
                <w:rFonts w:ascii="Arial Narrow" w:hAnsi="Arial Narrow"/>
                <w:iCs/>
                <w:sz w:val="20"/>
              </w:rPr>
              <w:t>Moderate, favours cetuximab</w:t>
            </w:r>
          </w:p>
        </w:tc>
      </w:tr>
      <w:tr w:rsidR="00D110BD" w:rsidRPr="007C282E" w:rsidTr="00E62E5C">
        <w:tc>
          <w:tcPr>
            <w:tcW w:w="679" w:type="pct"/>
            <w:shd w:val="clear" w:color="auto" w:fill="auto"/>
            <w:vAlign w:val="center"/>
          </w:tcPr>
          <w:p w:rsidR="00D110BD" w:rsidRPr="007C282E" w:rsidRDefault="00987F15" w:rsidP="00D110BD">
            <w:pPr>
              <w:jc w:val="left"/>
              <w:rPr>
                <w:rFonts w:ascii="Arial Narrow" w:hAnsi="Arial Narrow"/>
                <w:iCs/>
                <w:sz w:val="20"/>
              </w:rPr>
            </w:pPr>
            <w:r w:rsidRPr="007C282E">
              <w:rPr>
                <w:rFonts w:ascii="Arial Narrow" w:hAnsi="Arial Narrow"/>
                <w:iCs/>
                <w:sz w:val="20"/>
              </w:rPr>
              <w:t>Time horizon</w:t>
            </w:r>
          </w:p>
        </w:tc>
        <w:tc>
          <w:tcPr>
            <w:tcW w:w="3823" w:type="pct"/>
            <w:shd w:val="clear" w:color="auto" w:fill="auto"/>
            <w:vAlign w:val="center"/>
          </w:tcPr>
          <w:p w:rsidR="00D110BD" w:rsidRPr="007C282E" w:rsidRDefault="003C4AC9" w:rsidP="0065539A">
            <w:pPr>
              <w:jc w:val="center"/>
              <w:rPr>
                <w:rFonts w:ascii="Arial Narrow" w:hAnsi="Arial Narrow"/>
                <w:iCs/>
                <w:sz w:val="20"/>
              </w:rPr>
            </w:pPr>
            <w:r w:rsidRPr="007C282E">
              <w:rPr>
                <w:rFonts w:ascii="Arial Narrow" w:hAnsi="Arial Narrow"/>
                <w:iCs/>
                <w:sz w:val="20"/>
              </w:rPr>
              <w:t xml:space="preserve">5 years, </w:t>
            </w:r>
            <w:r w:rsidR="00CE396A" w:rsidRPr="007C282E">
              <w:rPr>
                <w:rFonts w:ascii="Arial Narrow" w:hAnsi="Arial Narrow"/>
                <w:iCs/>
                <w:sz w:val="20"/>
              </w:rPr>
              <w:t>versus</w:t>
            </w:r>
            <w:r w:rsidR="00BC5FB0" w:rsidRPr="007C282E">
              <w:rPr>
                <w:rFonts w:ascii="Arial Narrow" w:hAnsi="Arial Narrow"/>
                <w:iCs/>
                <w:sz w:val="20"/>
              </w:rPr>
              <w:t xml:space="preserve"> </w:t>
            </w:r>
            <w:r w:rsidR="0048341B" w:rsidRPr="007C282E">
              <w:rPr>
                <w:rFonts w:ascii="Arial Narrow" w:hAnsi="Arial Narrow"/>
                <w:iCs/>
                <w:sz w:val="20"/>
              </w:rPr>
              <w:t xml:space="preserve">a </w:t>
            </w:r>
            <w:r w:rsidR="0065539A" w:rsidRPr="007C282E">
              <w:rPr>
                <w:rFonts w:ascii="Arial Narrow" w:hAnsi="Arial Narrow"/>
                <w:iCs/>
                <w:sz w:val="20"/>
              </w:rPr>
              <w:t xml:space="preserve">maximum follow-up of 26.0 months in </w:t>
            </w:r>
            <w:r w:rsidR="00CE396A" w:rsidRPr="007C282E">
              <w:rPr>
                <w:rFonts w:ascii="Arial Narrow" w:hAnsi="Arial Narrow"/>
                <w:iCs/>
                <w:sz w:val="20"/>
              </w:rPr>
              <w:t>the EXTREME trial</w:t>
            </w:r>
            <w:r w:rsidR="0048341B" w:rsidRPr="007C282E">
              <w:rPr>
                <w:rFonts w:ascii="Arial Narrow" w:hAnsi="Arial Narrow"/>
                <w:iCs/>
                <w:sz w:val="20"/>
              </w:rPr>
              <w:t xml:space="preserve"> (ITT population)</w:t>
            </w:r>
            <w:r w:rsidR="00CE396A" w:rsidRPr="007C282E">
              <w:rPr>
                <w:rFonts w:ascii="Arial Narrow" w:hAnsi="Arial Narrow"/>
                <w:iCs/>
                <w:sz w:val="20"/>
              </w:rPr>
              <w:t xml:space="preserve">. </w:t>
            </w:r>
            <w:r w:rsidR="00E53278" w:rsidRPr="007C282E">
              <w:rPr>
                <w:rFonts w:ascii="Arial Narrow" w:hAnsi="Arial Narrow"/>
                <w:iCs/>
                <w:sz w:val="20"/>
              </w:rPr>
              <w:t>Assumed</w:t>
            </w:r>
            <w:r w:rsidR="00CE396A" w:rsidRPr="007C282E">
              <w:rPr>
                <w:rFonts w:ascii="Arial Narrow" w:hAnsi="Arial Narrow"/>
                <w:iCs/>
                <w:sz w:val="20"/>
              </w:rPr>
              <w:t xml:space="preserve"> based on a review of models in head and neck cancer</w:t>
            </w:r>
            <w:r w:rsidR="00A739FA" w:rsidRPr="007C282E">
              <w:rPr>
                <w:rFonts w:ascii="Arial Narrow" w:hAnsi="Arial Narrow"/>
                <w:iCs/>
                <w:sz w:val="20"/>
              </w:rPr>
              <w:t xml:space="preserve"> (</w:t>
            </w:r>
            <w:r w:rsidR="00180CBA" w:rsidRPr="007C282E">
              <w:rPr>
                <w:rFonts w:ascii="Arial Narrow" w:hAnsi="Arial Narrow"/>
                <w:iCs/>
                <w:sz w:val="20"/>
              </w:rPr>
              <w:t xml:space="preserve">which was </w:t>
            </w:r>
            <w:r w:rsidR="00A739FA" w:rsidRPr="007C282E">
              <w:rPr>
                <w:rFonts w:ascii="Arial Narrow" w:hAnsi="Arial Narrow"/>
                <w:iCs/>
                <w:sz w:val="20"/>
              </w:rPr>
              <w:t xml:space="preserve">not limited to </w:t>
            </w:r>
            <w:r w:rsidR="001E20F9" w:rsidRPr="007C282E">
              <w:rPr>
                <w:rFonts w:ascii="Arial Narrow" w:hAnsi="Arial Narrow"/>
                <w:iCs/>
                <w:sz w:val="20"/>
              </w:rPr>
              <w:t xml:space="preserve">the </w:t>
            </w:r>
            <w:r w:rsidR="00A739FA" w:rsidRPr="007C282E">
              <w:rPr>
                <w:rFonts w:ascii="Arial Narrow" w:hAnsi="Arial Narrow"/>
                <w:iCs/>
                <w:sz w:val="20"/>
              </w:rPr>
              <w:t xml:space="preserve">recurrent and/or metastatic </w:t>
            </w:r>
            <w:r w:rsidR="001E20F9" w:rsidRPr="007C282E">
              <w:rPr>
                <w:rFonts w:ascii="Arial Narrow" w:hAnsi="Arial Narrow"/>
                <w:iCs/>
                <w:sz w:val="20"/>
              </w:rPr>
              <w:t>setting</w:t>
            </w:r>
            <w:r w:rsidR="00D311F2" w:rsidRPr="007C282E">
              <w:rPr>
                <w:rFonts w:ascii="Arial Narrow" w:hAnsi="Arial Narrow"/>
                <w:iCs/>
                <w:sz w:val="20"/>
              </w:rPr>
              <w:t>)</w:t>
            </w:r>
            <w:r w:rsidR="00CE396A" w:rsidRPr="007C282E">
              <w:rPr>
                <w:rFonts w:ascii="Arial Narrow" w:hAnsi="Arial Narrow"/>
                <w:iCs/>
                <w:sz w:val="20"/>
              </w:rPr>
              <w:t>.</w:t>
            </w:r>
            <w:r w:rsidR="00D311F2" w:rsidRPr="007C282E">
              <w:rPr>
                <w:rFonts w:ascii="Arial Narrow" w:hAnsi="Arial Narrow"/>
                <w:iCs/>
                <w:sz w:val="20"/>
              </w:rPr>
              <w:t xml:space="preserve"> </w:t>
            </w:r>
          </w:p>
        </w:tc>
        <w:tc>
          <w:tcPr>
            <w:tcW w:w="499" w:type="pct"/>
            <w:shd w:val="clear" w:color="auto" w:fill="auto"/>
            <w:vAlign w:val="center"/>
          </w:tcPr>
          <w:p w:rsidR="00D110BD" w:rsidRPr="007C282E" w:rsidRDefault="007B2C64" w:rsidP="00D110BD">
            <w:pPr>
              <w:jc w:val="center"/>
              <w:rPr>
                <w:rFonts w:ascii="Arial Narrow" w:hAnsi="Arial Narrow"/>
                <w:iCs/>
                <w:sz w:val="20"/>
              </w:rPr>
            </w:pPr>
            <w:r w:rsidRPr="007C282E">
              <w:rPr>
                <w:rFonts w:ascii="Arial Narrow" w:hAnsi="Arial Narrow"/>
                <w:iCs/>
                <w:sz w:val="20"/>
              </w:rPr>
              <w:t>High</w:t>
            </w:r>
            <w:r w:rsidR="005D7081" w:rsidRPr="007C282E">
              <w:rPr>
                <w:rFonts w:ascii="Arial Narrow" w:hAnsi="Arial Narrow"/>
                <w:iCs/>
                <w:sz w:val="20"/>
              </w:rPr>
              <w:t>, favours cetuximab</w:t>
            </w:r>
          </w:p>
        </w:tc>
      </w:tr>
      <w:tr w:rsidR="00D110BD" w:rsidRPr="007C282E" w:rsidTr="00E62E5C">
        <w:tc>
          <w:tcPr>
            <w:tcW w:w="679" w:type="pct"/>
            <w:shd w:val="clear" w:color="auto" w:fill="auto"/>
            <w:vAlign w:val="center"/>
          </w:tcPr>
          <w:p w:rsidR="00D110BD" w:rsidRPr="007C282E" w:rsidRDefault="00987F15" w:rsidP="00D110BD">
            <w:pPr>
              <w:jc w:val="left"/>
              <w:rPr>
                <w:rFonts w:ascii="Arial Narrow" w:hAnsi="Arial Narrow"/>
                <w:iCs/>
                <w:sz w:val="20"/>
              </w:rPr>
            </w:pPr>
            <w:r w:rsidRPr="007C282E">
              <w:rPr>
                <w:rFonts w:ascii="Arial Narrow" w:hAnsi="Arial Narrow"/>
                <w:iCs/>
                <w:sz w:val="20"/>
              </w:rPr>
              <w:t>Utilities</w:t>
            </w:r>
          </w:p>
        </w:tc>
        <w:tc>
          <w:tcPr>
            <w:tcW w:w="3823" w:type="pct"/>
            <w:shd w:val="clear" w:color="auto" w:fill="auto"/>
            <w:vAlign w:val="center"/>
          </w:tcPr>
          <w:p w:rsidR="00D110BD" w:rsidRPr="007C282E" w:rsidRDefault="006822C4" w:rsidP="00DA629D">
            <w:pPr>
              <w:jc w:val="center"/>
              <w:rPr>
                <w:rFonts w:ascii="Arial Narrow" w:hAnsi="Arial Narrow"/>
                <w:iCs/>
                <w:sz w:val="20"/>
              </w:rPr>
            </w:pPr>
            <w:r w:rsidRPr="007C282E">
              <w:rPr>
                <w:rFonts w:ascii="Arial Narrow" w:hAnsi="Arial Narrow"/>
                <w:iCs/>
                <w:sz w:val="20"/>
              </w:rPr>
              <w:t xml:space="preserve">Utility values obtained from consensus of </w:t>
            </w:r>
            <w:r w:rsidR="007975F6" w:rsidRPr="007C282E">
              <w:rPr>
                <w:rFonts w:ascii="Arial Narrow" w:hAnsi="Arial Narrow"/>
                <w:iCs/>
                <w:sz w:val="20"/>
              </w:rPr>
              <w:t xml:space="preserve">an oncologist and a surgeon </w:t>
            </w:r>
            <w:r w:rsidRPr="007C282E">
              <w:rPr>
                <w:rFonts w:ascii="Arial Narrow" w:hAnsi="Arial Narrow"/>
                <w:iCs/>
                <w:sz w:val="20"/>
              </w:rPr>
              <w:t>for good and poor symptom control with palliative care from Paleri and Kelly (2008) were applied to the ‘free</w:t>
            </w:r>
            <w:r w:rsidR="00DA629D" w:rsidRPr="007C282E">
              <w:rPr>
                <w:rFonts w:ascii="Arial Narrow" w:hAnsi="Arial Narrow"/>
                <w:iCs/>
                <w:sz w:val="20"/>
              </w:rPr>
              <w:t xml:space="preserve"> from progression</w:t>
            </w:r>
            <w:r w:rsidRPr="007C282E">
              <w:rPr>
                <w:rFonts w:ascii="Arial Narrow" w:hAnsi="Arial Narrow"/>
                <w:iCs/>
                <w:sz w:val="20"/>
              </w:rPr>
              <w:t>’ and ‘progressed’ states respectively.</w:t>
            </w:r>
            <w:r w:rsidR="00C8281B" w:rsidRPr="007C282E">
              <w:rPr>
                <w:rFonts w:ascii="Arial Narrow" w:hAnsi="Arial Narrow"/>
                <w:iCs/>
                <w:sz w:val="20"/>
              </w:rPr>
              <w:t xml:space="preserve"> </w:t>
            </w:r>
            <w:r w:rsidR="00570007" w:rsidRPr="00462382">
              <w:rPr>
                <w:rFonts w:ascii="Arial Narrow" w:hAnsi="Arial Narrow"/>
                <w:iCs/>
                <w:sz w:val="20"/>
              </w:rPr>
              <w:t>The PSCR (p.4) acknowledged the limitations of the utility values.</w:t>
            </w:r>
          </w:p>
        </w:tc>
        <w:tc>
          <w:tcPr>
            <w:tcW w:w="499" w:type="pct"/>
            <w:shd w:val="clear" w:color="auto" w:fill="auto"/>
            <w:vAlign w:val="center"/>
          </w:tcPr>
          <w:p w:rsidR="00D110BD" w:rsidRPr="007C282E" w:rsidRDefault="00287E02" w:rsidP="00D110BD">
            <w:pPr>
              <w:jc w:val="center"/>
              <w:rPr>
                <w:rFonts w:ascii="Arial Narrow" w:hAnsi="Arial Narrow"/>
                <w:iCs/>
                <w:sz w:val="20"/>
              </w:rPr>
            </w:pPr>
            <w:r w:rsidRPr="007C282E">
              <w:rPr>
                <w:rFonts w:ascii="Arial Narrow" w:hAnsi="Arial Narrow"/>
                <w:iCs/>
                <w:sz w:val="20"/>
              </w:rPr>
              <w:t>Moderate, favour</w:t>
            </w:r>
            <w:r w:rsidR="00DB53D0" w:rsidRPr="007C282E">
              <w:rPr>
                <w:rFonts w:ascii="Arial Narrow" w:hAnsi="Arial Narrow"/>
                <w:iCs/>
                <w:sz w:val="20"/>
              </w:rPr>
              <w:t>s</w:t>
            </w:r>
            <w:r w:rsidRPr="007C282E">
              <w:rPr>
                <w:rFonts w:ascii="Arial Narrow" w:hAnsi="Arial Narrow"/>
                <w:iCs/>
                <w:sz w:val="20"/>
              </w:rPr>
              <w:t xml:space="preserve"> </w:t>
            </w:r>
            <w:r w:rsidR="00157A2D" w:rsidRPr="007C282E">
              <w:rPr>
                <w:rFonts w:ascii="Arial Narrow" w:hAnsi="Arial Narrow"/>
                <w:iCs/>
                <w:sz w:val="20"/>
              </w:rPr>
              <w:t>cetuximab</w:t>
            </w:r>
          </w:p>
        </w:tc>
      </w:tr>
      <w:tr w:rsidR="00D110BD" w:rsidRPr="007C282E" w:rsidTr="00E62E5C">
        <w:tc>
          <w:tcPr>
            <w:tcW w:w="679" w:type="pct"/>
            <w:shd w:val="clear" w:color="auto" w:fill="auto"/>
            <w:vAlign w:val="center"/>
          </w:tcPr>
          <w:p w:rsidR="00D110BD" w:rsidRPr="007C282E" w:rsidRDefault="006E2D6C" w:rsidP="00D110BD">
            <w:pPr>
              <w:jc w:val="left"/>
              <w:rPr>
                <w:rFonts w:ascii="Arial Narrow" w:hAnsi="Arial Narrow"/>
                <w:iCs/>
                <w:sz w:val="20"/>
              </w:rPr>
            </w:pPr>
            <w:r w:rsidRPr="007C282E">
              <w:rPr>
                <w:rFonts w:ascii="Arial Narrow" w:hAnsi="Arial Narrow"/>
                <w:iCs/>
                <w:sz w:val="20"/>
              </w:rPr>
              <w:t>Cetuximab use</w:t>
            </w:r>
          </w:p>
        </w:tc>
        <w:tc>
          <w:tcPr>
            <w:tcW w:w="3823" w:type="pct"/>
            <w:shd w:val="clear" w:color="auto" w:fill="auto"/>
            <w:vAlign w:val="center"/>
          </w:tcPr>
          <w:p w:rsidR="00D110BD" w:rsidRPr="007C282E" w:rsidRDefault="0008480B" w:rsidP="00287EC8">
            <w:pPr>
              <w:jc w:val="center"/>
              <w:rPr>
                <w:rFonts w:ascii="Arial Narrow" w:hAnsi="Arial Narrow"/>
                <w:iCs/>
                <w:sz w:val="20"/>
              </w:rPr>
            </w:pPr>
            <w:r w:rsidRPr="007C282E">
              <w:rPr>
                <w:rFonts w:ascii="Arial Narrow" w:hAnsi="Arial Narrow"/>
                <w:iCs/>
                <w:sz w:val="20"/>
              </w:rPr>
              <w:t>The trial-based cetuximab usage informed the</w:t>
            </w:r>
            <w:r w:rsidR="008A32C6">
              <w:rPr>
                <w:rFonts w:ascii="Arial Narrow" w:hAnsi="Arial Narrow"/>
                <w:iCs/>
                <w:sz w:val="20"/>
              </w:rPr>
              <w:t xml:space="preserve"> drug cost</w:t>
            </w:r>
            <w:r w:rsidRPr="007C282E">
              <w:rPr>
                <w:rFonts w:ascii="Arial Narrow" w:hAnsi="Arial Narrow"/>
                <w:iCs/>
                <w:sz w:val="20"/>
              </w:rPr>
              <w:t xml:space="preserve"> estimates, which may underestimate use in practice as </w:t>
            </w:r>
            <w:r w:rsidR="00AC40FB" w:rsidRPr="007C282E">
              <w:rPr>
                <w:rFonts w:ascii="Arial Narrow" w:hAnsi="Arial Narrow"/>
                <w:iCs/>
                <w:sz w:val="20"/>
              </w:rPr>
              <w:t>treatment</w:t>
            </w:r>
            <w:r w:rsidR="007B2C64" w:rsidRPr="007C282E">
              <w:rPr>
                <w:rFonts w:ascii="Arial Narrow" w:hAnsi="Arial Narrow"/>
                <w:iCs/>
                <w:sz w:val="20"/>
              </w:rPr>
              <w:t xml:space="preserve"> </w:t>
            </w:r>
            <w:r w:rsidR="009579F2" w:rsidRPr="007C282E">
              <w:rPr>
                <w:rFonts w:ascii="Arial Narrow" w:hAnsi="Arial Narrow"/>
                <w:iCs/>
                <w:sz w:val="20"/>
              </w:rPr>
              <w:t>may</w:t>
            </w:r>
            <w:r w:rsidRPr="007C282E">
              <w:rPr>
                <w:rFonts w:ascii="Arial Narrow" w:hAnsi="Arial Narrow"/>
                <w:iCs/>
                <w:sz w:val="20"/>
              </w:rPr>
              <w:t xml:space="preserve"> be continued </w:t>
            </w:r>
            <w:r w:rsidR="00A8459E" w:rsidRPr="007C282E">
              <w:rPr>
                <w:rFonts w:ascii="Arial Narrow" w:hAnsi="Arial Narrow"/>
                <w:iCs/>
                <w:sz w:val="20"/>
              </w:rPr>
              <w:t xml:space="preserve">until </w:t>
            </w:r>
            <w:r w:rsidR="007B2C64" w:rsidRPr="007C282E">
              <w:rPr>
                <w:rFonts w:ascii="Arial Narrow" w:hAnsi="Arial Narrow"/>
                <w:iCs/>
                <w:sz w:val="20"/>
              </w:rPr>
              <w:t>disease progression</w:t>
            </w:r>
            <w:r w:rsidR="00086A0E" w:rsidRPr="007C282E">
              <w:rPr>
                <w:rFonts w:ascii="Arial Narrow" w:hAnsi="Arial Narrow"/>
                <w:iCs/>
                <w:sz w:val="20"/>
              </w:rPr>
              <w:t xml:space="preserve"> (rather than until the trial data-cut)</w:t>
            </w:r>
            <w:r w:rsidR="00071905" w:rsidRPr="007C282E">
              <w:rPr>
                <w:rFonts w:ascii="Arial Narrow" w:hAnsi="Arial Narrow"/>
                <w:iCs/>
                <w:sz w:val="20"/>
              </w:rPr>
              <w:t>.</w:t>
            </w:r>
            <w:r w:rsidR="00086A0E" w:rsidRPr="007C282E">
              <w:rPr>
                <w:rFonts w:ascii="Arial Narrow" w:hAnsi="Arial Narrow"/>
                <w:iCs/>
                <w:sz w:val="20"/>
              </w:rPr>
              <w:t xml:space="preserve"> There was some subsequent use of cetuximab </w:t>
            </w:r>
            <w:r w:rsidR="00CE1579" w:rsidRPr="007C282E">
              <w:rPr>
                <w:rFonts w:ascii="Arial Narrow" w:hAnsi="Arial Narrow"/>
                <w:iCs/>
                <w:sz w:val="20"/>
              </w:rPr>
              <w:t xml:space="preserve">included in the model, based on anticancer treatment </w:t>
            </w:r>
            <w:r w:rsidR="00885C8A" w:rsidRPr="007C282E">
              <w:rPr>
                <w:rFonts w:ascii="Arial Narrow" w:hAnsi="Arial Narrow"/>
                <w:iCs/>
                <w:sz w:val="20"/>
              </w:rPr>
              <w:t>a</w:t>
            </w:r>
            <w:r w:rsidR="00CE1579" w:rsidRPr="007C282E">
              <w:rPr>
                <w:rFonts w:ascii="Arial Narrow" w:hAnsi="Arial Narrow"/>
                <w:iCs/>
                <w:sz w:val="20"/>
              </w:rPr>
              <w:t xml:space="preserve">fter participation in the trial, which </w:t>
            </w:r>
            <w:r w:rsidR="009461B5" w:rsidRPr="007C282E">
              <w:rPr>
                <w:rFonts w:ascii="Arial Narrow" w:hAnsi="Arial Narrow"/>
                <w:iCs/>
                <w:sz w:val="20"/>
              </w:rPr>
              <w:t>resulted in a</w:t>
            </w:r>
            <w:r w:rsidR="00287EC8" w:rsidRPr="007C282E">
              <w:rPr>
                <w:rFonts w:ascii="Arial Narrow" w:hAnsi="Arial Narrow"/>
                <w:iCs/>
                <w:sz w:val="20"/>
              </w:rPr>
              <w:t xml:space="preserve"> small</w:t>
            </w:r>
            <w:r w:rsidR="009461B5" w:rsidRPr="007C282E">
              <w:rPr>
                <w:rFonts w:ascii="Arial Narrow" w:hAnsi="Arial Narrow"/>
                <w:iCs/>
                <w:sz w:val="20"/>
              </w:rPr>
              <w:t xml:space="preserve"> incremental cost-offset</w:t>
            </w:r>
            <w:r w:rsidR="00342AAA" w:rsidRPr="007C282E">
              <w:rPr>
                <w:rFonts w:ascii="Arial Narrow" w:hAnsi="Arial Narrow"/>
                <w:iCs/>
                <w:sz w:val="20"/>
              </w:rPr>
              <w:t xml:space="preserve"> as there was more subsequent use of cetuximab in</w:t>
            </w:r>
            <w:r w:rsidR="009461B5" w:rsidRPr="007C282E">
              <w:rPr>
                <w:rFonts w:ascii="Arial Narrow" w:hAnsi="Arial Narrow"/>
                <w:iCs/>
                <w:sz w:val="20"/>
              </w:rPr>
              <w:t xml:space="preserve"> </w:t>
            </w:r>
            <w:r w:rsidR="00287EC8" w:rsidRPr="007C282E">
              <w:rPr>
                <w:rFonts w:ascii="Arial Narrow" w:hAnsi="Arial Narrow"/>
                <w:iCs/>
                <w:sz w:val="20"/>
              </w:rPr>
              <w:t>the comparator</w:t>
            </w:r>
            <w:r w:rsidR="009461B5" w:rsidRPr="007C282E">
              <w:rPr>
                <w:rFonts w:ascii="Arial Narrow" w:hAnsi="Arial Narrow"/>
                <w:iCs/>
                <w:sz w:val="20"/>
              </w:rPr>
              <w:t xml:space="preserve"> arm.</w:t>
            </w:r>
          </w:p>
        </w:tc>
        <w:tc>
          <w:tcPr>
            <w:tcW w:w="499" w:type="pct"/>
            <w:shd w:val="clear" w:color="auto" w:fill="auto"/>
            <w:vAlign w:val="center"/>
          </w:tcPr>
          <w:p w:rsidR="00D110BD" w:rsidRPr="007C282E" w:rsidRDefault="007B2C64" w:rsidP="00D110BD">
            <w:pPr>
              <w:jc w:val="center"/>
              <w:rPr>
                <w:rFonts w:ascii="Arial Narrow" w:hAnsi="Arial Narrow"/>
                <w:iCs/>
                <w:sz w:val="20"/>
              </w:rPr>
            </w:pPr>
            <w:r w:rsidRPr="007C282E">
              <w:rPr>
                <w:rFonts w:ascii="Arial Narrow" w:hAnsi="Arial Narrow"/>
                <w:iCs/>
                <w:sz w:val="20"/>
              </w:rPr>
              <w:t>High</w:t>
            </w:r>
            <w:r w:rsidR="008334F7" w:rsidRPr="007C282E">
              <w:rPr>
                <w:rFonts w:ascii="Arial Narrow" w:hAnsi="Arial Narrow"/>
                <w:iCs/>
                <w:sz w:val="20"/>
              </w:rPr>
              <w:t>, favours cetuximab</w:t>
            </w:r>
          </w:p>
        </w:tc>
      </w:tr>
      <w:tr w:rsidR="006E2D6C" w:rsidRPr="007C282E" w:rsidTr="00E62E5C">
        <w:tc>
          <w:tcPr>
            <w:tcW w:w="679" w:type="pct"/>
            <w:shd w:val="clear" w:color="auto" w:fill="auto"/>
            <w:vAlign w:val="center"/>
          </w:tcPr>
          <w:p w:rsidR="006E2D6C" w:rsidRPr="007C282E" w:rsidRDefault="006E2D6C" w:rsidP="006E2D6C">
            <w:pPr>
              <w:jc w:val="left"/>
              <w:rPr>
                <w:rFonts w:ascii="Arial Narrow" w:hAnsi="Arial Narrow"/>
                <w:iCs/>
                <w:sz w:val="20"/>
              </w:rPr>
            </w:pPr>
            <w:r w:rsidRPr="007C282E">
              <w:rPr>
                <w:rFonts w:ascii="Arial Narrow" w:hAnsi="Arial Narrow"/>
                <w:iCs/>
                <w:sz w:val="20"/>
              </w:rPr>
              <w:t>Cetuximab administration costs</w:t>
            </w:r>
          </w:p>
        </w:tc>
        <w:tc>
          <w:tcPr>
            <w:tcW w:w="3823" w:type="pct"/>
            <w:shd w:val="clear" w:color="auto" w:fill="auto"/>
            <w:vAlign w:val="center"/>
          </w:tcPr>
          <w:p w:rsidR="006E2D6C" w:rsidRPr="007C282E" w:rsidRDefault="006E2D6C" w:rsidP="00871804">
            <w:pPr>
              <w:jc w:val="center"/>
              <w:rPr>
                <w:rFonts w:ascii="Arial Narrow" w:hAnsi="Arial Narrow"/>
                <w:iCs/>
                <w:sz w:val="20"/>
              </w:rPr>
            </w:pPr>
            <w:r w:rsidRPr="007C282E">
              <w:rPr>
                <w:rFonts w:ascii="Arial Narrow" w:hAnsi="Arial Narrow"/>
                <w:iCs/>
                <w:sz w:val="20"/>
              </w:rPr>
              <w:t xml:space="preserve">Only outpatient drug administration costs were included, </w:t>
            </w:r>
            <w:r w:rsidR="005E5EFA" w:rsidRPr="007C282E">
              <w:rPr>
                <w:rFonts w:ascii="Arial Narrow" w:hAnsi="Arial Narrow"/>
                <w:iCs/>
                <w:sz w:val="20"/>
              </w:rPr>
              <w:t>based on</w:t>
            </w:r>
            <w:r w:rsidRPr="007C282E">
              <w:rPr>
                <w:rFonts w:ascii="Arial Narrow" w:hAnsi="Arial Narrow"/>
                <w:iCs/>
                <w:sz w:val="20"/>
              </w:rPr>
              <w:t xml:space="preserve"> consultation</w:t>
            </w:r>
            <w:r w:rsidR="004711BA" w:rsidRPr="007C282E">
              <w:rPr>
                <w:rFonts w:ascii="Arial Narrow" w:hAnsi="Arial Narrow"/>
                <w:iCs/>
                <w:sz w:val="20"/>
              </w:rPr>
              <w:t>s</w:t>
            </w:r>
            <w:r w:rsidRPr="007C282E">
              <w:rPr>
                <w:rFonts w:ascii="Arial Narrow" w:hAnsi="Arial Narrow"/>
                <w:iCs/>
                <w:sz w:val="20"/>
              </w:rPr>
              <w:t xml:space="preserve"> by the sponsor</w:t>
            </w:r>
            <w:r w:rsidR="00034E8D" w:rsidRPr="007C282E">
              <w:rPr>
                <w:rFonts w:ascii="Arial Narrow" w:hAnsi="Arial Narrow"/>
                <w:iCs/>
                <w:sz w:val="20"/>
              </w:rPr>
              <w:t xml:space="preserve"> (documentation not provided)</w:t>
            </w:r>
            <w:r w:rsidRPr="007C282E">
              <w:rPr>
                <w:rFonts w:ascii="Arial Narrow" w:hAnsi="Arial Narrow"/>
                <w:iCs/>
                <w:sz w:val="20"/>
              </w:rPr>
              <w:t xml:space="preserve">. The submission weighted </w:t>
            </w:r>
            <w:r w:rsidR="00C328B6" w:rsidRPr="007C282E">
              <w:rPr>
                <w:rFonts w:ascii="Arial Narrow" w:hAnsi="Arial Narrow"/>
                <w:iCs/>
                <w:sz w:val="20"/>
              </w:rPr>
              <w:t xml:space="preserve">the </w:t>
            </w:r>
            <w:r w:rsidRPr="007C282E">
              <w:rPr>
                <w:rFonts w:ascii="Arial Narrow" w:hAnsi="Arial Narrow"/>
                <w:iCs/>
                <w:sz w:val="20"/>
              </w:rPr>
              <w:t>use b</w:t>
            </w:r>
            <w:r w:rsidR="009F4392" w:rsidRPr="007C282E">
              <w:rPr>
                <w:rFonts w:ascii="Arial Narrow" w:hAnsi="Arial Narrow"/>
                <w:iCs/>
                <w:sz w:val="20"/>
              </w:rPr>
              <w:t xml:space="preserve">etween the public and private setting </w:t>
            </w:r>
            <w:r w:rsidR="00C42D9F" w:rsidRPr="007C282E">
              <w:rPr>
                <w:rFonts w:ascii="Arial Narrow" w:hAnsi="Arial Narrow"/>
                <w:iCs/>
                <w:sz w:val="20"/>
              </w:rPr>
              <w:t xml:space="preserve">based on </w:t>
            </w:r>
            <w:r w:rsidR="00312178" w:rsidRPr="007C282E">
              <w:rPr>
                <w:rFonts w:ascii="Arial Narrow" w:hAnsi="Arial Narrow"/>
                <w:iCs/>
                <w:sz w:val="20"/>
              </w:rPr>
              <w:t>apparently selective d</w:t>
            </w:r>
            <w:r w:rsidR="0041341C" w:rsidRPr="007C282E">
              <w:rPr>
                <w:rFonts w:ascii="Arial Narrow" w:hAnsi="Arial Narrow"/>
                <w:iCs/>
                <w:sz w:val="20"/>
              </w:rPr>
              <w:t xml:space="preserve">ata </w:t>
            </w:r>
            <w:r w:rsidR="00312178" w:rsidRPr="007C282E">
              <w:rPr>
                <w:rFonts w:ascii="Arial Narrow" w:hAnsi="Arial Narrow"/>
                <w:iCs/>
                <w:sz w:val="20"/>
              </w:rPr>
              <w:t xml:space="preserve">extraction </w:t>
            </w:r>
            <w:r w:rsidR="0041341C" w:rsidRPr="007C282E">
              <w:rPr>
                <w:rFonts w:ascii="Arial Narrow" w:hAnsi="Arial Narrow"/>
                <w:iCs/>
                <w:sz w:val="20"/>
              </w:rPr>
              <w:t>from the Australian Hospit</w:t>
            </w:r>
            <w:r w:rsidR="009E0BCB" w:rsidRPr="007C282E">
              <w:rPr>
                <w:rFonts w:ascii="Arial Narrow" w:hAnsi="Arial Narrow"/>
                <w:iCs/>
                <w:sz w:val="20"/>
              </w:rPr>
              <w:t xml:space="preserve">al Statistics Report 2012-2013. </w:t>
            </w:r>
            <w:r w:rsidR="008E4866" w:rsidRPr="007C282E">
              <w:rPr>
                <w:rFonts w:ascii="Arial Narrow" w:hAnsi="Arial Narrow"/>
                <w:iCs/>
                <w:sz w:val="20"/>
              </w:rPr>
              <w:t xml:space="preserve">The submission assumed that </w:t>
            </w:r>
            <w:r w:rsidR="00E9019D">
              <w:rPr>
                <w:rFonts w:ascii="Arial Narrow" w:hAnsi="Arial Narrow"/>
                <w:iCs/>
                <w:noProof/>
                <w:color w:val="000000"/>
                <w:sz w:val="20"/>
                <w:highlight w:val="black"/>
              </w:rPr>
              <w:t>'''''''</w:t>
            </w:r>
            <w:r w:rsidR="008E4866" w:rsidRPr="007C282E">
              <w:rPr>
                <w:rFonts w:ascii="Arial Narrow" w:hAnsi="Arial Narrow"/>
                <w:iCs/>
                <w:sz w:val="20"/>
              </w:rPr>
              <w:t xml:space="preserve">% of patients received cetuximab fortnightly, based on UK data </w:t>
            </w:r>
            <w:r w:rsidR="00DA0BC6" w:rsidRPr="007C282E">
              <w:rPr>
                <w:rFonts w:ascii="Arial Narrow" w:hAnsi="Arial Narrow"/>
                <w:iCs/>
                <w:sz w:val="20"/>
              </w:rPr>
              <w:t xml:space="preserve">for </w:t>
            </w:r>
            <w:r w:rsidR="008E4866" w:rsidRPr="007C282E">
              <w:rPr>
                <w:rFonts w:ascii="Arial Narrow" w:hAnsi="Arial Narrow"/>
                <w:iCs/>
                <w:sz w:val="20"/>
              </w:rPr>
              <w:t xml:space="preserve">which </w:t>
            </w:r>
            <w:r w:rsidR="00DA0BC6" w:rsidRPr="007C282E">
              <w:rPr>
                <w:rFonts w:ascii="Arial Narrow" w:hAnsi="Arial Narrow"/>
                <w:iCs/>
                <w:sz w:val="20"/>
              </w:rPr>
              <w:t xml:space="preserve">the </w:t>
            </w:r>
            <w:r w:rsidR="003F3752" w:rsidRPr="007C282E">
              <w:rPr>
                <w:rFonts w:ascii="Arial Narrow" w:hAnsi="Arial Narrow"/>
                <w:iCs/>
                <w:sz w:val="20"/>
              </w:rPr>
              <w:t xml:space="preserve">citation </w:t>
            </w:r>
            <w:r w:rsidR="00DA0BC6" w:rsidRPr="007C282E">
              <w:rPr>
                <w:rFonts w:ascii="Arial Narrow" w:hAnsi="Arial Narrow"/>
                <w:iCs/>
                <w:sz w:val="20"/>
              </w:rPr>
              <w:t xml:space="preserve">was </w:t>
            </w:r>
            <w:r w:rsidR="003F3752" w:rsidRPr="007C282E">
              <w:rPr>
                <w:rFonts w:ascii="Arial Narrow" w:hAnsi="Arial Narrow"/>
                <w:iCs/>
                <w:sz w:val="20"/>
              </w:rPr>
              <w:t>not provided</w:t>
            </w:r>
            <w:r w:rsidR="008E4866" w:rsidRPr="007C282E">
              <w:rPr>
                <w:rFonts w:ascii="Arial Narrow" w:hAnsi="Arial Narrow"/>
                <w:iCs/>
                <w:sz w:val="20"/>
              </w:rPr>
              <w:t>.</w:t>
            </w:r>
            <w:r w:rsidR="009D29A7" w:rsidRPr="007C282E">
              <w:rPr>
                <w:rFonts w:ascii="Arial Narrow" w:hAnsi="Arial Narrow"/>
                <w:iCs/>
                <w:sz w:val="20"/>
              </w:rPr>
              <w:t xml:space="preserve"> </w:t>
            </w:r>
            <w:r w:rsidR="00CE2FC6" w:rsidRPr="007C282E">
              <w:rPr>
                <w:rFonts w:ascii="Arial Narrow" w:hAnsi="Arial Narrow"/>
                <w:iCs/>
                <w:sz w:val="20"/>
              </w:rPr>
              <w:t>The drug administration costs were likely underestimates</w:t>
            </w:r>
            <w:r w:rsidR="00545E24" w:rsidRPr="007C282E">
              <w:rPr>
                <w:rFonts w:ascii="Arial Narrow" w:hAnsi="Arial Narrow"/>
                <w:iCs/>
                <w:sz w:val="20"/>
              </w:rPr>
              <w:t xml:space="preserve"> </w:t>
            </w:r>
            <w:r w:rsidR="004C77CD" w:rsidRPr="007C282E">
              <w:rPr>
                <w:rFonts w:ascii="Arial Narrow" w:hAnsi="Arial Narrow"/>
                <w:iCs/>
                <w:sz w:val="20"/>
              </w:rPr>
              <w:t>as</w:t>
            </w:r>
            <w:r w:rsidR="008E2CC8" w:rsidRPr="007C282E">
              <w:rPr>
                <w:rFonts w:ascii="Arial Narrow" w:hAnsi="Arial Narrow"/>
                <w:iCs/>
                <w:sz w:val="20"/>
              </w:rPr>
              <w:t>:</w:t>
            </w:r>
            <w:r w:rsidR="004C77CD" w:rsidRPr="007C282E">
              <w:rPr>
                <w:rFonts w:ascii="Arial Narrow" w:hAnsi="Arial Narrow"/>
                <w:iCs/>
                <w:sz w:val="20"/>
              </w:rPr>
              <w:t xml:space="preserve"> </w:t>
            </w:r>
            <w:r w:rsidR="008E2CC8" w:rsidRPr="007C282E">
              <w:rPr>
                <w:rFonts w:ascii="Arial Narrow" w:hAnsi="Arial Narrow"/>
                <w:iCs/>
                <w:sz w:val="20"/>
              </w:rPr>
              <w:t xml:space="preserve">the exclusion of </w:t>
            </w:r>
            <w:r w:rsidR="00CB2DD2" w:rsidRPr="007C282E">
              <w:rPr>
                <w:rFonts w:ascii="Arial Narrow" w:hAnsi="Arial Narrow"/>
                <w:iCs/>
                <w:sz w:val="20"/>
              </w:rPr>
              <w:t>inpatient</w:t>
            </w:r>
            <w:r w:rsidR="008E2CC8" w:rsidRPr="007C282E">
              <w:rPr>
                <w:rFonts w:ascii="Arial Narrow" w:hAnsi="Arial Narrow"/>
                <w:iCs/>
                <w:sz w:val="20"/>
              </w:rPr>
              <w:t xml:space="preserve"> costs was inadequately justified as </w:t>
            </w:r>
            <w:r w:rsidR="00806005" w:rsidRPr="007C282E">
              <w:rPr>
                <w:rFonts w:ascii="Arial Narrow" w:hAnsi="Arial Narrow"/>
                <w:iCs/>
                <w:sz w:val="20"/>
              </w:rPr>
              <w:t xml:space="preserve">the categorisation between inpatient (or same-day </w:t>
            </w:r>
            <w:r w:rsidR="00A22742" w:rsidRPr="007C282E">
              <w:rPr>
                <w:rFonts w:ascii="Arial Narrow" w:hAnsi="Arial Narrow"/>
                <w:iCs/>
                <w:sz w:val="20"/>
              </w:rPr>
              <w:t xml:space="preserve">admitted </w:t>
            </w:r>
            <w:r w:rsidR="00806005" w:rsidRPr="007C282E">
              <w:rPr>
                <w:rFonts w:ascii="Arial Narrow" w:hAnsi="Arial Narrow"/>
                <w:iCs/>
                <w:sz w:val="20"/>
              </w:rPr>
              <w:t>patients) and outpatien</w:t>
            </w:r>
            <w:r w:rsidR="00D46D55" w:rsidRPr="007C282E">
              <w:rPr>
                <w:rFonts w:ascii="Arial Narrow" w:hAnsi="Arial Narrow"/>
                <w:iCs/>
                <w:sz w:val="20"/>
              </w:rPr>
              <w:t>ts may differ between hospitals and states</w:t>
            </w:r>
            <w:r w:rsidR="00756B1E" w:rsidRPr="007C282E">
              <w:rPr>
                <w:rFonts w:ascii="Arial Narrow" w:hAnsi="Arial Narrow"/>
                <w:iCs/>
                <w:sz w:val="20"/>
              </w:rPr>
              <w:t>;</w:t>
            </w:r>
            <w:r w:rsidR="00806005" w:rsidRPr="007C282E">
              <w:rPr>
                <w:rFonts w:ascii="Arial Narrow" w:hAnsi="Arial Narrow"/>
                <w:iCs/>
                <w:sz w:val="20"/>
              </w:rPr>
              <w:t xml:space="preserve"> </w:t>
            </w:r>
            <w:r w:rsidR="003765AB" w:rsidRPr="007C282E">
              <w:rPr>
                <w:rFonts w:ascii="Arial Narrow" w:hAnsi="Arial Narrow"/>
                <w:iCs/>
                <w:sz w:val="20"/>
              </w:rPr>
              <w:t xml:space="preserve">the number of </w:t>
            </w:r>
            <w:r w:rsidR="00E845C4" w:rsidRPr="007C282E">
              <w:rPr>
                <w:rFonts w:ascii="Arial Narrow" w:hAnsi="Arial Narrow"/>
                <w:iCs/>
                <w:sz w:val="20"/>
              </w:rPr>
              <w:t xml:space="preserve">administration in the public setting may </w:t>
            </w:r>
            <w:r w:rsidR="00F55B8F" w:rsidRPr="007C282E">
              <w:rPr>
                <w:rFonts w:ascii="Arial Narrow" w:hAnsi="Arial Narrow"/>
                <w:iCs/>
                <w:sz w:val="20"/>
              </w:rPr>
              <w:t xml:space="preserve">have </w:t>
            </w:r>
            <w:r w:rsidR="00E845C4" w:rsidRPr="007C282E">
              <w:rPr>
                <w:rFonts w:ascii="Arial Narrow" w:hAnsi="Arial Narrow"/>
                <w:iCs/>
                <w:sz w:val="20"/>
              </w:rPr>
              <w:t>be</w:t>
            </w:r>
            <w:r w:rsidR="00F55B8F" w:rsidRPr="007C282E">
              <w:rPr>
                <w:rFonts w:ascii="Arial Narrow" w:hAnsi="Arial Narrow"/>
                <w:iCs/>
                <w:sz w:val="20"/>
              </w:rPr>
              <w:t>en</w:t>
            </w:r>
            <w:r w:rsidR="00E845C4" w:rsidRPr="007C282E">
              <w:rPr>
                <w:rFonts w:ascii="Arial Narrow" w:hAnsi="Arial Narrow"/>
                <w:iCs/>
                <w:sz w:val="20"/>
              </w:rPr>
              <w:t xml:space="preserve"> underestimated</w:t>
            </w:r>
            <w:r w:rsidR="00756B1E" w:rsidRPr="007C282E">
              <w:rPr>
                <w:rFonts w:ascii="Arial Narrow" w:hAnsi="Arial Narrow"/>
                <w:iCs/>
                <w:sz w:val="20"/>
              </w:rPr>
              <w:t>;</w:t>
            </w:r>
            <w:r w:rsidR="00E845C4" w:rsidRPr="007C282E">
              <w:rPr>
                <w:rFonts w:ascii="Arial Narrow" w:hAnsi="Arial Narrow"/>
                <w:iCs/>
                <w:sz w:val="20"/>
              </w:rPr>
              <w:t xml:space="preserve"> and </w:t>
            </w:r>
            <w:r w:rsidR="00BF2866" w:rsidRPr="007C282E">
              <w:rPr>
                <w:rFonts w:ascii="Arial Narrow" w:hAnsi="Arial Narrow"/>
                <w:iCs/>
                <w:sz w:val="20"/>
              </w:rPr>
              <w:t xml:space="preserve">the </w:t>
            </w:r>
            <w:r w:rsidR="00B713F1" w:rsidRPr="007C282E">
              <w:rPr>
                <w:rFonts w:ascii="Arial Narrow" w:hAnsi="Arial Narrow"/>
                <w:iCs/>
                <w:sz w:val="20"/>
              </w:rPr>
              <w:t xml:space="preserve">inadequately justified </w:t>
            </w:r>
            <w:r w:rsidR="007B5FDD" w:rsidRPr="007C282E">
              <w:rPr>
                <w:rFonts w:ascii="Arial Narrow" w:hAnsi="Arial Narrow"/>
                <w:iCs/>
                <w:sz w:val="20"/>
              </w:rPr>
              <w:t xml:space="preserve">reduction in the frequency of </w:t>
            </w:r>
            <w:r w:rsidR="00C758E8" w:rsidRPr="007C282E">
              <w:rPr>
                <w:rFonts w:ascii="Arial Narrow" w:hAnsi="Arial Narrow"/>
                <w:iCs/>
                <w:sz w:val="20"/>
              </w:rPr>
              <w:t>cetuximab</w:t>
            </w:r>
            <w:r w:rsidR="007B5FDD" w:rsidRPr="007C282E">
              <w:rPr>
                <w:rFonts w:ascii="Arial Narrow" w:hAnsi="Arial Narrow"/>
                <w:iCs/>
                <w:sz w:val="20"/>
              </w:rPr>
              <w:t xml:space="preserve"> administration</w:t>
            </w:r>
            <w:r w:rsidR="009B67B9" w:rsidRPr="007C282E">
              <w:rPr>
                <w:rFonts w:ascii="Arial Narrow" w:hAnsi="Arial Narrow"/>
                <w:iCs/>
                <w:sz w:val="20"/>
              </w:rPr>
              <w:t>s</w:t>
            </w:r>
            <w:r w:rsidR="00BF2866" w:rsidRPr="007C282E">
              <w:rPr>
                <w:rFonts w:ascii="Arial Narrow" w:hAnsi="Arial Narrow"/>
                <w:iCs/>
                <w:sz w:val="20"/>
              </w:rPr>
              <w:t>.</w:t>
            </w:r>
          </w:p>
        </w:tc>
        <w:tc>
          <w:tcPr>
            <w:tcW w:w="499" w:type="pct"/>
            <w:shd w:val="clear" w:color="auto" w:fill="auto"/>
            <w:vAlign w:val="center"/>
          </w:tcPr>
          <w:p w:rsidR="006E2D6C" w:rsidRPr="007C282E" w:rsidRDefault="006E2D6C" w:rsidP="00E64AE2">
            <w:pPr>
              <w:jc w:val="center"/>
              <w:rPr>
                <w:rFonts w:ascii="Arial Narrow" w:hAnsi="Arial Narrow"/>
                <w:iCs/>
                <w:sz w:val="20"/>
              </w:rPr>
            </w:pPr>
            <w:r w:rsidRPr="007C282E">
              <w:rPr>
                <w:rFonts w:ascii="Arial Narrow" w:hAnsi="Arial Narrow"/>
                <w:iCs/>
                <w:sz w:val="20"/>
              </w:rPr>
              <w:t>Moderate</w:t>
            </w:r>
            <w:r w:rsidR="00AC40FB" w:rsidRPr="007C282E">
              <w:rPr>
                <w:rFonts w:ascii="Arial Narrow" w:hAnsi="Arial Narrow"/>
                <w:iCs/>
                <w:sz w:val="20"/>
              </w:rPr>
              <w:t>-</w:t>
            </w:r>
            <w:r w:rsidR="00E64AE2" w:rsidRPr="007C282E">
              <w:rPr>
                <w:rFonts w:ascii="Arial Narrow" w:hAnsi="Arial Narrow"/>
                <w:iCs/>
                <w:sz w:val="20"/>
              </w:rPr>
              <w:t>h</w:t>
            </w:r>
            <w:r w:rsidR="00AC40FB" w:rsidRPr="007C282E">
              <w:rPr>
                <w:rFonts w:ascii="Arial Narrow" w:hAnsi="Arial Narrow"/>
                <w:iCs/>
                <w:sz w:val="20"/>
              </w:rPr>
              <w:t>igh</w:t>
            </w:r>
            <w:r w:rsidRPr="007C282E">
              <w:rPr>
                <w:rFonts w:ascii="Arial Narrow" w:hAnsi="Arial Narrow"/>
                <w:iCs/>
                <w:sz w:val="20"/>
              </w:rPr>
              <w:t>, favours cetuximab</w:t>
            </w:r>
          </w:p>
        </w:tc>
      </w:tr>
    </w:tbl>
    <w:p w:rsidR="00D110BD" w:rsidRPr="007C282E" w:rsidRDefault="00D110BD" w:rsidP="005D044D">
      <w:pPr>
        <w:pStyle w:val="TableFooter"/>
        <w:ind w:firstLine="720"/>
        <w:rPr>
          <w:iCs/>
        </w:rPr>
      </w:pPr>
      <w:r w:rsidRPr="007C282E">
        <w:rPr>
          <w:iCs/>
        </w:rPr>
        <w:t>Source: compiled during the evaluation</w:t>
      </w:r>
    </w:p>
    <w:p w:rsidR="008438B2" w:rsidRPr="007C282E" w:rsidRDefault="008438B2" w:rsidP="005D044D">
      <w:pPr>
        <w:pStyle w:val="TableFooter"/>
        <w:ind w:firstLine="720"/>
        <w:rPr>
          <w:iCs/>
        </w:rPr>
      </w:pPr>
      <w:r w:rsidRPr="007C282E">
        <w:rPr>
          <w:iCs/>
        </w:rPr>
        <w:t>Abbreviations: OS = overall survival; PFS = progression-free survival</w:t>
      </w:r>
    </w:p>
    <w:p w:rsidR="00CD0686" w:rsidRPr="007C282E" w:rsidRDefault="00CD0686" w:rsidP="00CD0686">
      <w:pPr>
        <w:widowControl/>
        <w:rPr>
          <w:szCs w:val="22"/>
        </w:rPr>
      </w:pPr>
    </w:p>
    <w:p w:rsidR="00465E7D" w:rsidRDefault="00465E7D">
      <w:pPr>
        <w:widowControl/>
        <w:jc w:val="left"/>
        <w:rPr>
          <w:rStyle w:val="CommentReference"/>
        </w:rPr>
      </w:pPr>
    </w:p>
    <w:p w:rsidR="00463BEE" w:rsidRDefault="00463BEE" w:rsidP="003C155C">
      <w:pPr>
        <w:ind w:firstLine="720"/>
        <w:rPr>
          <w:rStyle w:val="CommentReference"/>
        </w:rPr>
      </w:pPr>
      <w:r>
        <w:rPr>
          <w:rStyle w:val="CommentReference"/>
        </w:rPr>
        <w:br w:type="page"/>
      </w:r>
    </w:p>
    <w:p w:rsidR="00D110BD" w:rsidRDefault="00D110BD" w:rsidP="003C155C">
      <w:pPr>
        <w:ind w:firstLine="720"/>
        <w:rPr>
          <w:rStyle w:val="CommentReference"/>
        </w:rPr>
      </w:pPr>
      <w:r w:rsidRPr="009635E0">
        <w:rPr>
          <w:rStyle w:val="CommentReference"/>
        </w:rPr>
        <w:lastRenderedPageBreak/>
        <w:t xml:space="preserve">Table </w:t>
      </w:r>
      <w:r w:rsidR="00C67B31">
        <w:rPr>
          <w:rStyle w:val="CommentReference"/>
        </w:rPr>
        <w:t>8</w:t>
      </w:r>
      <w:r w:rsidRPr="009635E0">
        <w:rPr>
          <w:rStyle w:val="CommentReference"/>
        </w:rPr>
        <w:t>: Results of the stepped economic evaluation</w:t>
      </w:r>
    </w:p>
    <w:tbl>
      <w:tblPr>
        <w:tblStyle w:val="TableGrid"/>
        <w:tblW w:w="0" w:type="auto"/>
        <w:tblInd w:w="737" w:type="dxa"/>
        <w:tblLayout w:type="fixed"/>
        <w:tblCellMar>
          <w:left w:w="28" w:type="dxa"/>
          <w:right w:w="28" w:type="dxa"/>
        </w:tblCellMar>
        <w:tblLook w:val="04A0" w:firstRow="1" w:lastRow="0" w:firstColumn="1" w:lastColumn="0" w:noHBand="0" w:noVBand="1"/>
        <w:tblCaption w:val="Table 8: Results of the stepped economic evaluation"/>
      </w:tblPr>
      <w:tblGrid>
        <w:gridCol w:w="1533"/>
        <w:gridCol w:w="1302"/>
        <w:gridCol w:w="1034"/>
        <w:gridCol w:w="1035"/>
        <w:gridCol w:w="1333"/>
        <w:gridCol w:w="1047"/>
        <w:gridCol w:w="7"/>
        <w:gridCol w:w="1055"/>
      </w:tblGrid>
      <w:tr w:rsidR="00836F8E" w:rsidRPr="0011249E" w:rsidTr="008908E4">
        <w:trPr>
          <w:tblHeader/>
        </w:trPr>
        <w:tc>
          <w:tcPr>
            <w:tcW w:w="1533" w:type="dxa"/>
            <w:vMerge w:val="restart"/>
          </w:tcPr>
          <w:p w:rsidR="00836F8E" w:rsidRPr="005876D2" w:rsidRDefault="00836F8E" w:rsidP="008908E4">
            <w:pPr>
              <w:jc w:val="left"/>
              <w:rPr>
                <w:rStyle w:val="CommentReference"/>
                <w:i/>
                <w:iCs/>
                <w:szCs w:val="20"/>
              </w:rPr>
            </w:pPr>
            <w:r w:rsidRPr="005876D2">
              <w:rPr>
                <w:rFonts w:ascii="Arial Narrow" w:hAnsi="Arial Narrow" w:cs="Times New Roman"/>
                <w:b/>
                <w:sz w:val="20"/>
              </w:rPr>
              <w:t>Step and component</w:t>
            </w:r>
          </w:p>
        </w:tc>
        <w:tc>
          <w:tcPr>
            <w:tcW w:w="3371" w:type="dxa"/>
            <w:gridSpan w:val="3"/>
            <w:tcBorders>
              <w:right w:val="double" w:sz="4" w:space="0" w:color="auto"/>
            </w:tcBorders>
            <w:vAlign w:val="center"/>
          </w:tcPr>
          <w:p w:rsidR="00836F8E" w:rsidRPr="0011249E" w:rsidRDefault="00836F8E" w:rsidP="00183727">
            <w:pPr>
              <w:jc w:val="center"/>
              <w:rPr>
                <w:rStyle w:val="CommentReference"/>
                <w:i/>
                <w:iCs/>
                <w:szCs w:val="20"/>
              </w:rPr>
            </w:pPr>
            <w:r w:rsidRPr="0011249E">
              <w:rPr>
                <w:rFonts w:ascii="Arial Narrow" w:hAnsi="Arial Narrow"/>
                <w:b/>
                <w:bCs/>
                <w:i/>
                <w:iCs/>
                <w:sz w:val="20"/>
              </w:rPr>
              <w:t>ITT population</w:t>
            </w:r>
          </w:p>
        </w:tc>
        <w:tc>
          <w:tcPr>
            <w:tcW w:w="3442" w:type="dxa"/>
            <w:gridSpan w:val="4"/>
            <w:tcBorders>
              <w:left w:val="double" w:sz="4" w:space="0" w:color="auto"/>
            </w:tcBorders>
            <w:vAlign w:val="center"/>
          </w:tcPr>
          <w:p w:rsidR="00836F8E" w:rsidRPr="0011249E" w:rsidRDefault="00836F8E" w:rsidP="00183727">
            <w:pPr>
              <w:jc w:val="center"/>
              <w:rPr>
                <w:rStyle w:val="CommentReference"/>
                <w:i/>
                <w:iCs/>
                <w:szCs w:val="20"/>
              </w:rPr>
            </w:pPr>
            <w:r w:rsidRPr="00000282">
              <w:rPr>
                <w:rFonts w:ascii="Arial Narrow" w:hAnsi="Arial Narrow"/>
                <w:b/>
                <w:bCs/>
                <w:sz w:val="20"/>
              </w:rPr>
              <w:t xml:space="preserve">Oral cavity &amp; KPS </w:t>
            </w:r>
            <w:r w:rsidR="00766AA4" w:rsidRPr="00000282">
              <w:rPr>
                <w:rFonts w:ascii="Arial Narrow" w:hAnsi="Arial Narrow"/>
                <w:b/>
                <w:bCs/>
                <w:sz w:val="20"/>
              </w:rPr>
              <w:t>≥</w:t>
            </w:r>
            <w:r w:rsidRPr="00000282">
              <w:rPr>
                <w:rFonts w:ascii="Arial Narrow" w:hAnsi="Arial Narrow"/>
                <w:b/>
                <w:bCs/>
                <w:sz w:val="20"/>
              </w:rPr>
              <w:t xml:space="preserve">80 </w:t>
            </w:r>
            <w:r w:rsidRPr="0011249E">
              <w:rPr>
                <w:rFonts w:ascii="Arial Narrow" w:hAnsi="Arial Narrow"/>
                <w:b/>
                <w:bCs/>
                <w:i/>
                <w:iCs/>
                <w:sz w:val="20"/>
              </w:rPr>
              <w:t>(post hoc)</w:t>
            </w:r>
          </w:p>
        </w:tc>
      </w:tr>
      <w:tr w:rsidR="00836F8E" w:rsidRPr="0011249E" w:rsidTr="008908E4">
        <w:trPr>
          <w:tblHeader/>
        </w:trPr>
        <w:tc>
          <w:tcPr>
            <w:tcW w:w="1533" w:type="dxa"/>
            <w:vMerge/>
          </w:tcPr>
          <w:p w:rsidR="00836F8E" w:rsidRPr="005876D2" w:rsidRDefault="00836F8E" w:rsidP="00183727">
            <w:pPr>
              <w:rPr>
                <w:rStyle w:val="CommentReference"/>
                <w:i/>
                <w:iCs/>
                <w:szCs w:val="20"/>
              </w:rPr>
            </w:pPr>
          </w:p>
        </w:tc>
        <w:tc>
          <w:tcPr>
            <w:tcW w:w="1302" w:type="dxa"/>
            <w:vAlign w:val="center"/>
          </w:tcPr>
          <w:p w:rsidR="00836F8E" w:rsidRPr="0011249E" w:rsidRDefault="00836F8E" w:rsidP="00183727">
            <w:pPr>
              <w:jc w:val="center"/>
              <w:rPr>
                <w:rStyle w:val="CommentReference"/>
                <w:i/>
                <w:iCs/>
                <w:szCs w:val="20"/>
              </w:rPr>
            </w:pPr>
            <w:r w:rsidRPr="0011249E">
              <w:rPr>
                <w:rFonts w:ascii="Arial Narrow" w:hAnsi="Arial Narrow"/>
                <w:b/>
                <w:bCs/>
                <w:i/>
                <w:iCs/>
                <w:sz w:val="20"/>
              </w:rPr>
              <w:t>Cetuximab + CT</w:t>
            </w:r>
          </w:p>
        </w:tc>
        <w:tc>
          <w:tcPr>
            <w:tcW w:w="1034" w:type="dxa"/>
            <w:vAlign w:val="center"/>
          </w:tcPr>
          <w:p w:rsidR="00836F8E" w:rsidRPr="0011249E" w:rsidRDefault="00836F8E" w:rsidP="00183727">
            <w:pPr>
              <w:jc w:val="center"/>
              <w:rPr>
                <w:rStyle w:val="CommentReference"/>
                <w:i/>
                <w:iCs/>
                <w:szCs w:val="20"/>
              </w:rPr>
            </w:pPr>
            <w:r w:rsidRPr="0011249E">
              <w:rPr>
                <w:rFonts w:ascii="Arial Narrow" w:hAnsi="Arial Narrow"/>
                <w:b/>
                <w:bCs/>
                <w:i/>
                <w:iCs/>
                <w:sz w:val="20"/>
              </w:rPr>
              <w:t>CT alone</w:t>
            </w:r>
          </w:p>
        </w:tc>
        <w:tc>
          <w:tcPr>
            <w:tcW w:w="1035" w:type="dxa"/>
            <w:tcBorders>
              <w:right w:val="double" w:sz="4" w:space="0" w:color="auto"/>
            </w:tcBorders>
            <w:vAlign w:val="center"/>
          </w:tcPr>
          <w:p w:rsidR="00836F8E" w:rsidRPr="0011249E" w:rsidRDefault="00836F8E" w:rsidP="00183727">
            <w:pPr>
              <w:jc w:val="center"/>
              <w:rPr>
                <w:rStyle w:val="CommentReference"/>
                <w:i/>
                <w:iCs/>
                <w:szCs w:val="20"/>
              </w:rPr>
            </w:pPr>
            <w:r w:rsidRPr="0011249E">
              <w:rPr>
                <w:rFonts w:ascii="Arial Narrow" w:hAnsi="Arial Narrow" w:cs="Times New Roman"/>
                <w:b/>
                <w:i/>
                <w:iCs/>
                <w:sz w:val="20"/>
              </w:rPr>
              <w:t>Increment</w:t>
            </w:r>
          </w:p>
        </w:tc>
        <w:tc>
          <w:tcPr>
            <w:tcW w:w="1333" w:type="dxa"/>
            <w:tcBorders>
              <w:left w:val="double" w:sz="4" w:space="0" w:color="auto"/>
            </w:tcBorders>
            <w:vAlign w:val="center"/>
          </w:tcPr>
          <w:p w:rsidR="00836F8E" w:rsidRPr="000675A4" w:rsidRDefault="00836F8E" w:rsidP="00183727">
            <w:pPr>
              <w:jc w:val="center"/>
              <w:rPr>
                <w:rStyle w:val="CommentReference"/>
                <w:szCs w:val="20"/>
              </w:rPr>
            </w:pPr>
            <w:r w:rsidRPr="000675A4">
              <w:rPr>
                <w:rFonts w:ascii="Arial Narrow" w:hAnsi="Arial Narrow"/>
                <w:b/>
                <w:bCs/>
                <w:sz w:val="20"/>
              </w:rPr>
              <w:t>Cetuximab + CT</w:t>
            </w:r>
          </w:p>
        </w:tc>
        <w:tc>
          <w:tcPr>
            <w:tcW w:w="1054" w:type="dxa"/>
            <w:gridSpan w:val="2"/>
            <w:vAlign w:val="center"/>
          </w:tcPr>
          <w:p w:rsidR="00836F8E" w:rsidRPr="000675A4" w:rsidRDefault="00836F8E" w:rsidP="00183727">
            <w:pPr>
              <w:jc w:val="center"/>
              <w:rPr>
                <w:rStyle w:val="CommentReference"/>
                <w:szCs w:val="20"/>
              </w:rPr>
            </w:pPr>
            <w:r w:rsidRPr="000675A4">
              <w:rPr>
                <w:rFonts w:ascii="Arial Narrow" w:hAnsi="Arial Narrow"/>
                <w:b/>
                <w:bCs/>
                <w:sz w:val="20"/>
              </w:rPr>
              <w:t>CT alone</w:t>
            </w:r>
          </w:p>
        </w:tc>
        <w:tc>
          <w:tcPr>
            <w:tcW w:w="1055" w:type="dxa"/>
            <w:vAlign w:val="center"/>
          </w:tcPr>
          <w:p w:rsidR="00836F8E" w:rsidRPr="000675A4" w:rsidRDefault="00836F8E" w:rsidP="00183727">
            <w:pPr>
              <w:jc w:val="center"/>
              <w:rPr>
                <w:rStyle w:val="CommentReference"/>
                <w:szCs w:val="20"/>
              </w:rPr>
            </w:pPr>
            <w:r w:rsidRPr="000675A4">
              <w:rPr>
                <w:rFonts w:ascii="Arial Narrow" w:hAnsi="Arial Narrow" w:cs="Times New Roman"/>
                <w:b/>
                <w:sz w:val="20"/>
              </w:rPr>
              <w:t>Increment</w:t>
            </w:r>
          </w:p>
        </w:tc>
      </w:tr>
      <w:tr w:rsidR="00836F8E" w:rsidRPr="0011249E" w:rsidTr="008908E4">
        <w:tc>
          <w:tcPr>
            <w:tcW w:w="8346" w:type="dxa"/>
            <w:gridSpan w:val="8"/>
            <w:vAlign w:val="center"/>
          </w:tcPr>
          <w:p w:rsidR="00836F8E" w:rsidRPr="005876D2" w:rsidRDefault="00836F8E" w:rsidP="00183727">
            <w:pPr>
              <w:jc w:val="left"/>
              <w:rPr>
                <w:rStyle w:val="CommentReference"/>
                <w:b w:val="0"/>
                <w:bCs/>
                <w:szCs w:val="20"/>
              </w:rPr>
            </w:pPr>
            <w:r w:rsidRPr="005876D2">
              <w:rPr>
                <w:rFonts w:ascii="Arial Narrow" w:hAnsi="Arial Narrow" w:cs="Arial Narrow"/>
                <w:b/>
                <w:bCs/>
                <w:sz w:val="20"/>
              </w:rPr>
              <w:t>Step 1: Trial-based (drug costs, administration costs, cost of treating skin reactions)</w:t>
            </w:r>
          </w:p>
        </w:tc>
      </w:tr>
      <w:tr w:rsidR="00836F8E" w:rsidRPr="0011249E" w:rsidTr="008908E4">
        <w:tc>
          <w:tcPr>
            <w:tcW w:w="1533" w:type="dxa"/>
            <w:vAlign w:val="center"/>
          </w:tcPr>
          <w:p w:rsidR="00836F8E" w:rsidRPr="005876D2" w:rsidRDefault="00836F8E" w:rsidP="00183727">
            <w:pPr>
              <w:jc w:val="left"/>
              <w:rPr>
                <w:rFonts w:ascii="Arial Narrow" w:hAnsi="Arial Narrow"/>
                <w:sz w:val="20"/>
              </w:rPr>
            </w:pPr>
            <w:r w:rsidRPr="005876D2">
              <w:rPr>
                <w:rFonts w:ascii="Arial Narrow" w:hAnsi="Arial Narrow" w:cs="Times New Roman"/>
                <w:sz w:val="20"/>
              </w:rPr>
              <w:t>Costs</w:t>
            </w:r>
          </w:p>
        </w:tc>
        <w:tc>
          <w:tcPr>
            <w:tcW w:w="1302" w:type="dxa"/>
          </w:tcPr>
          <w:p w:rsidR="00836F8E" w:rsidRPr="005876D2" w:rsidRDefault="00836F8E" w:rsidP="00183727">
            <w:pPr>
              <w:jc w:val="center"/>
              <w:rPr>
                <w:rFonts w:ascii="Arial Narrow" w:hAnsi="Arial Narrow"/>
                <w:b/>
                <w:bCs/>
                <w:i/>
                <w:iCs/>
                <w:sz w:val="20"/>
              </w:rPr>
            </w:pPr>
            <w:r w:rsidRPr="005876D2">
              <w:rPr>
                <w:rFonts w:ascii="Arial Narrow" w:hAnsi="Arial Narrow"/>
                <w:i/>
                <w:iCs/>
                <w:sz w:val="20"/>
              </w:rPr>
              <w:t>$</w:t>
            </w:r>
            <w:r w:rsidR="00E9019D">
              <w:rPr>
                <w:rFonts w:ascii="Arial Narrow" w:hAnsi="Arial Narrow"/>
                <w:i/>
                <w:iCs/>
                <w:noProof/>
                <w:color w:val="000000"/>
                <w:sz w:val="20"/>
                <w:highlight w:val="black"/>
              </w:rPr>
              <w:t>''''''''''''''''''</w:t>
            </w:r>
          </w:p>
        </w:tc>
        <w:tc>
          <w:tcPr>
            <w:tcW w:w="1034" w:type="dxa"/>
          </w:tcPr>
          <w:p w:rsidR="00836F8E" w:rsidRPr="005876D2" w:rsidRDefault="00836F8E" w:rsidP="00183727">
            <w:pPr>
              <w:jc w:val="center"/>
              <w:rPr>
                <w:rFonts w:ascii="Arial Narrow" w:hAnsi="Arial Narrow"/>
                <w:b/>
                <w:bCs/>
                <w:i/>
                <w:iCs/>
                <w:sz w:val="20"/>
              </w:rPr>
            </w:pPr>
            <w:r w:rsidRPr="005876D2">
              <w:rPr>
                <w:rFonts w:ascii="Arial Narrow" w:hAnsi="Arial Narrow"/>
                <w:i/>
                <w:iCs/>
                <w:sz w:val="20"/>
              </w:rPr>
              <w:t>$</w:t>
            </w:r>
            <w:r w:rsidRPr="00986BBB">
              <w:rPr>
                <w:rFonts w:ascii="Arial Narrow" w:hAnsi="Arial Narrow"/>
                <w:i/>
                <w:iCs/>
                <w:sz w:val="20"/>
              </w:rPr>
              <w:t>1,803</w:t>
            </w:r>
          </w:p>
        </w:tc>
        <w:tc>
          <w:tcPr>
            <w:tcW w:w="1035" w:type="dxa"/>
            <w:tcBorders>
              <w:right w:val="double" w:sz="4" w:space="0" w:color="auto"/>
            </w:tcBorders>
          </w:tcPr>
          <w:p w:rsidR="00836F8E" w:rsidRPr="005876D2" w:rsidRDefault="00836F8E" w:rsidP="00183727">
            <w:pPr>
              <w:jc w:val="center"/>
              <w:rPr>
                <w:rFonts w:ascii="Arial Narrow" w:hAnsi="Arial Narrow"/>
                <w:b/>
                <w:bCs/>
                <w:i/>
                <w:iCs/>
                <w:sz w:val="20"/>
              </w:rPr>
            </w:pPr>
            <w:r w:rsidRPr="005876D2">
              <w:rPr>
                <w:rFonts w:ascii="Arial Narrow" w:hAnsi="Arial Narrow"/>
                <w:i/>
                <w:iCs/>
                <w:sz w:val="20"/>
              </w:rPr>
              <w:t>$</w:t>
            </w:r>
            <w:r w:rsidR="00E9019D">
              <w:rPr>
                <w:rFonts w:ascii="Arial Narrow" w:hAnsi="Arial Narrow"/>
                <w:i/>
                <w:iCs/>
                <w:noProof/>
                <w:color w:val="000000"/>
                <w:sz w:val="20"/>
                <w:highlight w:val="black"/>
              </w:rPr>
              <w:t>'''''''''''''''''</w:t>
            </w:r>
          </w:p>
        </w:tc>
        <w:tc>
          <w:tcPr>
            <w:tcW w:w="1333" w:type="dxa"/>
            <w:tcBorders>
              <w:left w:val="double" w:sz="4" w:space="0" w:color="auto"/>
            </w:tcBorders>
            <w:vAlign w:val="center"/>
          </w:tcPr>
          <w:p w:rsidR="00836F8E" w:rsidRPr="0011249E" w:rsidRDefault="00836F8E" w:rsidP="008908E4">
            <w:pPr>
              <w:jc w:val="center"/>
              <w:rPr>
                <w:rStyle w:val="CommentReference"/>
                <w:b w:val="0"/>
                <w:bCs/>
                <w:i/>
                <w:iCs/>
                <w:szCs w:val="20"/>
              </w:rPr>
            </w:pPr>
            <w:r w:rsidRPr="0011249E">
              <w:rPr>
                <w:rFonts w:ascii="Arial Narrow" w:hAnsi="Arial Narrow"/>
                <w:sz w:val="20"/>
              </w:rPr>
              <w:t>$</w:t>
            </w:r>
            <w:r w:rsidR="00E9019D">
              <w:rPr>
                <w:rFonts w:ascii="Arial Narrow" w:hAnsi="Arial Narrow"/>
                <w:noProof/>
                <w:color w:val="000000"/>
                <w:sz w:val="20"/>
                <w:highlight w:val="black"/>
              </w:rPr>
              <w:t>'''''''''''''''</w:t>
            </w:r>
          </w:p>
        </w:tc>
        <w:tc>
          <w:tcPr>
            <w:tcW w:w="1054" w:type="dxa"/>
            <w:gridSpan w:val="2"/>
            <w:vAlign w:val="center"/>
          </w:tcPr>
          <w:p w:rsidR="00836F8E" w:rsidRPr="0011249E" w:rsidRDefault="00836F8E" w:rsidP="008908E4">
            <w:pPr>
              <w:jc w:val="center"/>
              <w:rPr>
                <w:rStyle w:val="CommentReference"/>
                <w:b w:val="0"/>
                <w:bCs/>
                <w:i/>
                <w:iCs/>
                <w:szCs w:val="20"/>
              </w:rPr>
            </w:pPr>
            <w:r w:rsidRPr="0011249E">
              <w:rPr>
                <w:rFonts w:ascii="Arial Narrow" w:hAnsi="Arial Narrow"/>
                <w:sz w:val="20"/>
              </w:rPr>
              <w:t>$</w:t>
            </w:r>
            <w:r w:rsidRPr="00986BBB">
              <w:rPr>
                <w:rFonts w:ascii="Arial Narrow" w:hAnsi="Arial Narrow"/>
                <w:sz w:val="20"/>
              </w:rPr>
              <w:t>1,557</w:t>
            </w:r>
          </w:p>
        </w:tc>
        <w:tc>
          <w:tcPr>
            <w:tcW w:w="1055" w:type="dxa"/>
            <w:vAlign w:val="center"/>
          </w:tcPr>
          <w:p w:rsidR="00836F8E" w:rsidRPr="0011249E" w:rsidRDefault="00836F8E" w:rsidP="008908E4">
            <w:pPr>
              <w:jc w:val="center"/>
              <w:rPr>
                <w:rStyle w:val="CommentReference"/>
                <w:b w:val="0"/>
                <w:bCs/>
                <w:i/>
                <w:iCs/>
                <w:szCs w:val="20"/>
              </w:rPr>
            </w:pPr>
            <w:r w:rsidRPr="0011249E">
              <w:rPr>
                <w:rFonts w:ascii="Arial Narrow" w:hAnsi="Arial Narrow"/>
                <w:sz w:val="20"/>
              </w:rPr>
              <w:t>$</w:t>
            </w:r>
            <w:r w:rsidR="00E9019D">
              <w:rPr>
                <w:rFonts w:ascii="Arial Narrow" w:hAnsi="Arial Narrow"/>
                <w:noProof/>
                <w:color w:val="000000"/>
                <w:sz w:val="20"/>
                <w:highlight w:val="black"/>
              </w:rPr>
              <w:t>'''''''''''''''''</w:t>
            </w:r>
          </w:p>
        </w:tc>
      </w:tr>
      <w:tr w:rsidR="00836F8E" w:rsidRPr="0011249E" w:rsidTr="008908E4">
        <w:tc>
          <w:tcPr>
            <w:tcW w:w="1533" w:type="dxa"/>
            <w:vAlign w:val="center"/>
          </w:tcPr>
          <w:p w:rsidR="00836F8E" w:rsidRPr="005876D2" w:rsidRDefault="00836F8E" w:rsidP="00183727">
            <w:pPr>
              <w:jc w:val="left"/>
              <w:rPr>
                <w:rFonts w:ascii="Arial Narrow" w:hAnsi="Arial Narrow" w:cs="Times New Roman"/>
                <w:sz w:val="20"/>
              </w:rPr>
            </w:pPr>
            <w:r w:rsidRPr="005876D2">
              <w:rPr>
                <w:rFonts w:ascii="Arial Narrow" w:hAnsi="Arial Narrow" w:cs="Times New Roman"/>
                <w:sz w:val="20"/>
              </w:rPr>
              <w:t>Responder (complete/ partial)</w:t>
            </w:r>
          </w:p>
        </w:tc>
        <w:tc>
          <w:tcPr>
            <w:tcW w:w="1302" w:type="dxa"/>
            <w:vAlign w:val="center"/>
          </w:tcPr>
          <w:p w:rsidR="00836F8E" w:rsidRPr="0011249E" w:rsidRDefault="00836F8E" w:rsidP="00183727">
            <w:pPr>
              <w:jc w:val="center"/>
              <w:rPr>
                <w:rFonts w:ascii="Arial Narrow" w:hAnsi="Arial Narrow"/>
                <w:sz w:val="20"/>
              </w:rPr>
            </w:pPr>
            <w:r w:rsidRPr="002D6576">
              <w:rPr>
                <w:rFonts w:ascii="Arial Narrow" w:hAnsi="Arial Narrow"/>
                <w:i/>
                <w:iCs/>
                <w:sz w:val="20"/>
              </w:rPr>
              <w:t>35.6%</w:t>
            </w:r>
          </w:p>
        </w:tc>
        <w:tc>
          <w:tcPr>
            <w:tcW w:w="1034" w:type="dxa"/>
            <w:vAlign w:val="center"/>
          </w:tcPr>
          <w:p w:rsidR="00836F8E" w:rsidRPr="0011249E" w:rsidRDefault="00836F8E" w:rsidP="00183727">
            <w:pPr>
              <w:jc w:val="center"/>
              <w:rPr>
                <w:rFonts w:ascii="Arial Narrow" w:hAnsi="Arial Narrow"/>
                <w:sz w:val="20"/>
              </w:rPr>
            </w:pPr>
            <w:r w:rsidRPr="002D6576">
              <w:rPr>
                <w:rFonts w:ascii="Arial Narrow" w:hAnsi="Arial Narrow"/>
                <w:i/>
                <w:iCs/>
                <w:sz w:val="20"/>
              </w:rPr>
              <w:t>19.5%</w:t>
            </w:r>
          </w:p>
        </w:tc>
        <w:tc>
          <w:tcPr>
            <w:tcW w:w="1035" w:type="dxa"/>
            <w:tcBorders>
              <w:right w:val="double" w:sz="4" w:space="0" w:color="auto"/>
            </w:tcBorders>
            <w:vAlign w:val="center"/>
          </w:tcPr>
          <w:p w:rsidR="00836F8E" w:rsidRPr="0011249E" w:rsidRDefault="00836F8E" w:rsidP="00183727">
            <w:pPr>
              <w:jc w:val="center"/>
              <w:rPr>
                <w:rFonts w:ascii="Arial Narrow" w:hAnsi="Arial Narrow"/>
                <w:sz w:val="20"/>
              </w:rPr>
            </w:pPr>
            <w:r>
              <w:rPr>
                <w:rStyle w:val="CommentReference"/>
                <w:b w:val="0"/>
                <w:bCs/>
                <w:i/>
                <w:iCs/>
              </w:rPr>
              <w:t>16.1%</w:t>
            </w:r>
          </w:p>
        </w:tc>
        <w:tc>
          <w:tcPr>
            <w:tcW w:w="1333" w:type="dxa"/>
            <w:tcBorders>
              <w:left w:val="double" w:sz="4" w:space="0" w:color="auto"/>
            </w:tcBorders>
            <w:vAlign w:val="center"/>
          </w:tcPr>
          <w:p w:rsidR="00836F8E" w:rsidRPr="0011249E" w:rsidRDefault="00E9019D" w:rsidP="008908E4">
            <w:pPr>
              <w:jc w:val="center"/>
              <w:rPr>
                <w:rStyle w:val="CommentReference"/>
                <w:b w:val="0"/>
                <w:bCs/>
                <w:i/>
                <w:iCs/>
                <w:szCs w:val="20"/>
              </w:rPr>
            </w:pPr>
            <w:r>
              <w:rPr>
                <w:rFonts w:ascii="Arial Narrow" w:hAnsi="Arial Narrow"/>
                <w:noProof/>
                <w:color w:val="000000"/>
                <w:sz w:val="20"/>
                <w:highlight w:val="black"/>
              </w:rPr>
              <w:t>''''''''''</w:t>
            </w:r>
            <w:r w:rsidR="00836F8E" w:rsidRPr="0011249E">
              <w:rPr>
                <w:rFonts w:ascii="Arial Narrow" w:hAnsi="Arial Narrow"/>
                <w:sz w:val="20"/>
              </w:rPr>
              <w:t>%</w:t>
            </w:r>
          </w:p>
        </w:tc>
        <w:tc>
          <w:tcPr>
            <w:tcW w:w="1054" w:type="dxa"/>
            <w:gridSpan w:val="2"/>
            <w:vAlign w:val="center"/>
          </w:tcPr>
          <w:p w:rsidR="00836F8E" w:rsidRPr="0011249E" w:rsidRDefault="00E9019D" w:rsidP="008908E4">
            <w:pPr>
              <w:jc w:val="center"/>
              <w:rPr>
                <w:rStyle w:val="CommentReference"/>
                <w:b w:val="0"/>
                <w:bCs/>
                <w:i/>
                <w:iCs/>
                <w:szCs w:val="20"/>
              </w:rPr>
            </w:pPr>
            <w:r>
              <w:rPr>
                <w:rFonts w:ascii="Arial Narrow" w:hAnsi="Arial Narrow"/>
                <w:noProof/>
                <w:color w:val="000000"/>
                <w:sz w:val="20"/>
                <w:highlight w:val="black"/>
              </w:rPr>
              <w:t>'''''''''</w:t>
            </w:r>
            <w:r w:rsidR="00836F8E" w:rsidRPr="0011249E">
              <w:rPr>
                <w:rFonts w:ascii="Arial Narrow" w:hAnsi="Arial Narrow"/>
                <w:sz w:val="20"/>
              </w:rPr>
              <w:t>%</w:t>
            </w:r>
          </w:p>
        </w:tc>
        <w:tc>
          <w:tcPr>
            <w:tcW w:w="1055" w:type="dxa"/>
            <w:vAlign w:val="center"/>
          </w:tcPr>
          <w:p w:rsidR="00836F8E" w:rsidRPr="0011249E" w:rsidRDefault="00836F8E" w:rsidP="008908E4">
            <w:pPr>
              <w:jc w:val="center"/>
              <w:rPr>
                <w:rStyle w:val="CommentReference"/>
                <w:b w:val="0"/>
                <w:bCs/>
                <w:i/>
                <w:iCs/>
                <w:szCs w:val="20"/>
              </w:rPr>
            </w:pPr>
            <w:r w:rsidRPr="0011249E">
              <w:rPr>
                <w:rFonts w:ascii="Arial Narrow" w:hAnsi="Arial Narrow"/>
                <w:sz w:val="20"/>
              </w:rPr>
              <w:t>40.8%</w:t>
            </w:r>
          </w:p>
        </w:tc>
      </w:tr>
      <w:tr w:rsidR="00836F8E" w:rsidRPr="0011249E" w:rsidTr="008908E4">
        <w:tc>
          <w:tcPr>
            <w:tcW w:w="3869" w:type="dxa"/>
            <w:gridSpan w:val="3"/>
            <w:vAlign w:val="center"/>
          </w:tcPr>
          <w:p w:rsidR="00836F8E" w:rsidRPr="005876D2" w:rsidRDefault="00836F8E" w:rsidP="00183727">
            <w:pPr>
              <w:jc w:val="left"/>
              <w:rPr>
                <w:rFonts w:ascii="Arial Narrow" w:hAnsi="Arial Narrow"/>
                <w:i/>
                <w:iCs/>
                <w:sz w:val="20"/>
              </w:rPr>
            </w:pPr>
            <w:r w:rsidRPr="005876D2">
              <w:rPr>
                <w:rFonts w:ascii="Arial Narrow" w:hAnsi="Arial Narrow" w:cs="Times New Roman"/>
                <w:b/>
                <w:snapToGrid/>
                <w:sz w:val="20"/>
              </w:rPr>
              <w:t>Incremental cost/extra responder gained</w:t>
            </w:r>
          </w:p>
        </w:tc>
        <w:tc>
          <w:tcPr>
            <w:tcW w:w="1035" w:type="dxa"/>
            <w:tcBorders>
              <w:right w:val="double" w:sz="4" w:space="0" w:color="auto"/>
            </w:tcBorders>
            <w:vAlign w:val="center"/>
          </w:tcPr>
          <w:p w:rsidR="00836F8E" w:rsidRPr="0083187F" w:rsidRDefault="00836F8E" w:rsidP="00183727">
            <w:pPr>
              <w:jc w:val="center"/>
              <w:rPr>
                <w:rFonts w:ascii="Arial Narrow" w:hAnsi="Arial Narrow"/>
                <w:b/>
                <w:bCs/>
                <w:i/>
                <w:iCs/>
                <w:sz w:val="20"/>
              </w:rPr>
            </w:pPr>
            <w:r w:rsidRPr="0083187F">
              <w:rPr>
                <w:rFonts w:ascii="Arial Narrow" w:hAnsi="Arial Narrow"/>
                <w:b/>
                <w:bCs/>
                <w:i/>
                <w:iCs/>
                <w:sz w:val="20"/>
              </w:rPr>
              <w:t>$</w:t>
            </w:r>
            <w:r w:rsidR="00E9019D">
              <w:rPr>
                <w:rFonts w:ascii="Arial Narrow" w:hAnsi="Arial Narrow"/>
                <w:b/>
                <w:bCs/>
                <w:i/>
                <w:iCs/>
                <w:noProof/>
                <w:color w:val="000000"/>
                <w:sz w:val="20"/>
                <w:highlight w:val="black"/>
              </w:rPr>
              <w:t>''''''''''''''''</w:t>
            </w:r>
          </w:p>
        </w:tc>
        <w:tc>
          <w:tcPr>
            <w:tcW w:w="2380" w:type="dxa"/>
            <w:gridSpan w:val="2"/>
            <w:tcBorders>
              <w:left w:val="double" w:sz="4" w:space="0" w:color="auto"/>
            </w:tcBorders>
            <w:vAlign w:val="center"/>
          </w:tcPr>
          <w:p w:rsidR="00836F8E" w:rsidRPr="0011249E" w:rsidRDefault="00836F8E" w:rsidP="00183727">
            <w:pPr>
              <w:jc w:val="center"/>
              <w:rPr>
                <w:rStyle w:val="CommentReference"/>
                <w:b w:val="0"/>
                <w:bCs/>
                <w:szCs w:val="20"/>
              </w:rPr>
            </w:pPr>
            <w:r w:rsidRPr="0011249E">
              <w:rPr>
                <w:rStyle w:val="CommentReference"/>
                <w:b w:val="0"/>
                <w:bCs/>
                <w:szCs w:val="20"/>
              </w:rPr>
              <w:t>-</w:t>
            </w:r>
          </w:p>
        </w:tc>
        <w:tc>
          <w:tcPr>
            <w:tcW w:w="1062" w:type="dxa"/>
            <w:gridSpan w:val="2"/>
            <w:vAlign w:val="center"/>
          </w:tcPr>
          <w:p w:rsidR="00836F8E" w:rsidRPr="00B0556C" w:rsidRDefault="00836F8E" w:rsidP="00183727">
            <w:pPr>
              <w:jc w:val="center"/>
              <w:rPr>
                <w:rStyle w:val="CommentReference"/>
                <w:szCs w:val="20"/>
              </w:rPr>
            </w:pPr>
            <w:r w:rsidRPr="00B0556C">
              <w:rPr>
                <w:rStyle w:val="CommentReference"/>
                <w:szCs w:val="20"/>
              </w:rPr>
              <w:t>$</w:t>
            </w:r>
            <w:r w:rsidR="00E9019D">
              <w:rPr>
                <w:rStyle w:val="CommentReference"/>
                <w:noProof/>
                <w:color w:val="000000"/>
                <w:szCs w:val="20"/>
                <w:highlight w:val="black"/>
              </w:rPr>
              <w:t>''''''''''''</w:t>
            </w:r>
          </w:p>
        </w:tc>
      </w:tr>
      <w:tr w:rsidR="00836F8E" w:rsidRPr="0011249E" w:rsidTr="008908E4">
        <w:tc>
          <w:tcPr>
            <w:tcW w:w="8346" w:type="dxa"/>
            <w:gridSpan w:val="8"/>
            <w:vAlign w:val="center"/>
          </w:tcPr>
          <w:p w:rsidR="00836F8E" w:rsidRPr="005876D2" w:rsidRDefault="00836F8E" w:rsidP="00183727">
            <w:pPr>
              <w:jc w:val="left"/>
              <w:rPr>
                <w:rStyle w:val="CommentReference"/>
                <w:b w:val="0"/>
                <w:bCs/>
                <w:i/>
                <w:iCs/>
                <w:szCs w:val="20"/>
              </w:rPr>
            </w:pPr>
            <w:r w:rsidRPr="005876D2">
              <w:rPr>
                <w:rFonts w:ascii="Arial Narrow" w:hAnsi="Arial Narrow" w:cs="Arial Narrow"/>
                <w:b/>
                <w:bCs/>
                <w:sz w:val="20"/>
              </w:rPr>
              <w:t>Step 2: Modelled evaluation (extrapolated to 5 year time horizon, cost of subsequent therapies and palliative care)</w:t>
            </w:r>
          </w:p>
        </w:tc>
      </w:tr>
      <w:tr w:rsidR="00836F8E" w:rsidRPr="0011249E" w:rsidTr="008908E4">
        <w:tc>
          <w:tcPr>
            <w:tcW w:w="1533" w:type="dxa"/>
            <w:vAlign w:val="center"/>
          </w:tcPr>
          <w:p w:rsidR="00836F8E" w:rsidRPr="005876D2" w:rsidRDefault="00836F8E" w:rsidP="00183727">
            <w:pPr>
              <w:jc w:val="left"/>
              <w:rPr>
                <w:rFonts w:ascii="Arial Narrow" w:hAnsi="Arial Narrow" w:cs="Times New Roman"/>
                <w:i/>
                <w:iCs/>
                <w:sz w:val="20"/>
              </w:rPr>
            </w:pPr>
            <w:r w:rsidRPr="005876D2">
              <w:rPr>
                <w:rFonts w:ascii="Arial Narrow" w:hAnsi="Arial Narrow" w:cs="Times New Roman"/>
                <w:sz w:val="20"/>
              </w:rPr>
              <w:t>Costs</w:t>
            </w:r>
          </w:p>
        </w:tc>
        <w:tc>
          <w:tcPr>
            <w:tcW w:w="1302" w:type="dxa"/>
            <w:vAlign w:val="bottom"/>
          </w:tcPr>
          <w:p w:rsidR="00836F8E" w:rsidRPr="00556C93" w:rsidRDefault="00836F8E" w:rsidP="00183727">
            <w:pPr>
              <w:jc w:val="center"/>
              <w:rPr>
                <w:rFonts w:ascii="Arial Narrow" w:hAnsi="Arial Narrow"/>
                <w:i/>
                <w:iCs/>
                <w:sz w:val="20"/>
              </w:rPr>
            </w:pPr>
            <w:r w:rsidRPr="00556C93">
              <w:rPr>
                <w:rFonts w:ascii="Arial Narrow" w:hAnsi="Arial Narrow"/>
                <w:sz w:val="20"/>
              </w:rPr>
              <w:t>$</w:t>
            </w:r>
            <w:r w:rsidR="00E9019D">
              <w:rPr>
                <w:rFonts w:ascii="Arial Narrow" w:hAnsi="Arial Narrow"/>
                <w:noProof/>
                <w:color w:val="000000"/>
                <w:sz w:val="20"/>
                <w:highlight w:val="black"/>
              </w:rPr>
              <w:t>''''''''''''''''</w:t>
            </w:r>
          </w:p>
        </w:tc>
        <w:tc>
          <w:tcPr>
            <w:tcW w:w="1034" w:type="dxa"/>
            <w:vAlign w:val="bottom"/>
          </w:tcPr>
          <w:p w:rsidR="00836F8E" w:rsidRPr="00556C93" w:rsidRDefault="00836F8E" w:rsidP="00183727">
            <w:pPr>
              <w:jc w:val="center"/>
              <w:rPr>
                <w:rFonts w:ascii="Arial Narrow" w:hAnsi="Arial Narrow"/>
                <w:i/>
                <w:iCs/>
                <w:sz w:val="20"/>
              </w:rPr>
            </w:pPr>
            <w:r w:rsidRPr="00556C93">
              <w:rPr>
                <w:rFonts w:ascii="Arial Narrow" w:hAnsi="Arial Narrow"/>
                <w:sz w:val="20"/>
              </w:rPr>
              <w:t>$</w:t>
            </w:r>
            <w:r w:rsidRPr="00986BBB">
              <w:rPr>
                <w:rFonts w:ascii="Arial Narrow" w:hAnsi="Arial Narrow"/>
                <w:sz w:val="20"/>
              </w:rPr>
              <w:t>8,444</w:t>
            </w:r>
          </w:p>
        </w:tc>
        <w:tc>
          <w:tcPr>
            <w:tcW w:w="1035" w:type="dxa"/>
            <w:tcBorders>
              <w:right w:val="double" w:sz="4" w:space="0" w:color="auto"/>
            </w:tcBorders>
            <w:vAlign w:val="bottom"/>
          </w:tcPr>
          <w:p w:rsidR="00836F8E" w:rsidRPr="00556C93" w:rsidRDefault="00836F8E" w:rsidP="00183727">
            <w:pPr>
              <w:jc w:val="center"/>
              <w:rPr>
                <w:rFonts w:ascii="Arial Narrow" w:hAnsi="Arial Narrow"/>
                <w:i/>
                <w:iCs/>
                <w:sz w:val="20"/>
              </w:rPr>
            </w:pPr>
            <w:r w:rsidRPr="00556C93">
              <w:rPr>
                <w:rFonts w:ascii="Arial Narrow" w:hAnsi="Arial Narrow"/>
                <w:sz w:val="20"/>
              </w:rPr>
              <w:t>$</w:t>
            </w:r>
            <w:r w:rsidR="00E9019D">
              <w:rPr>
                <w:rFonts w:ascii="Arial Narrow" w:hAnsi="Arial Narrow"/>
                <w:noProof/>
                <w:color w:val="000000"/>
                <w:sz w:val="20"/>
                <w:highlight w:val="black"/>
              </w:rPr>
              <w:t>''''''''''''''''</w:t>
            </w:r>
          </w:p>
        </w:tc>
        <w:tc>
          <w:tcPr>
            <w:tcW w:w="1333" w:type="dxa"/>
            <w:tcBorders>
              <w:left w:val="double" w:sz="4" w:space="0" w:color="auto"/>
            </w:tcBorders>
          </w:tcPr>
          <w:p w:rsidR="00836F8E" w:rsidRPr="003C6D21" w:rsidRDefault="00836F8E" w:rsidP="00183727">
            <w:pPr>
              <w:jc w:val="center"/>
              <w:rPr>
                <w:rStyle w:val="CommentReference"/>
                <w:i/>
                <w:iCs/>
                <w:szCs w:val="20"/>
              </w:rPr>
            </w:pPr>
            <w:r w:rsidRPr="003C6D21">
              <w:rPr>
                <w:rFonts w:ascii="Arial Narrow" w:hAnsi="Arial Narrow"/>
                <w:sz w:val="20"/>
              </w:rPr>
              <w:t>$</w:t>
            </w:r>
            <w:r w:rsidR="00E9019D">
              <w:rPr>
                <w:rFonts w:ascii="Arial Narrow" w:hAnsi="Arial Narrow"/>
                <w:noProof/>
                <w:color w:val="000000"/>
                <w:sz w:val="20"/>
                <w:highlight w:val="black"/>
              </w:rPr>
              <w:t>'''''''''''''''''</w:t>
            </w:r>
          </w:p>
        </w:tc>
        <w:tc>
          <w:tcPr>
            <w:tcW w:w="1047" w:type="dxa"/>
          </w:tcPr>
          <w:p w:rsidR="00836F8E" w:rsidRPr="003C6D21" w:rsidRDefault="00836F8E" w:rsidP="00183727">
            <w:pPr>
              <w:jc w:val="center"/>
              <w:rPr>
                <w:rStyle w:val="CommentReference"/>
                <w:i/>
                <w:iCs/>
                <w:szCs w:val="20"/>
              </w:rPr>
            </w:pPr>
            <w:r w:rsidRPr="003C6D21">
              <w:rPr>
                <w:rFonts w:ascii="Arial Narrow" w:hAnsi="Arial Narrow"/>
                <w:sz w:val="20"/>
              </w:rPr>
              <w:t>$</w:t>
            </w:r>
            <w:r w:rsidRPr="00986BBB">
              <w:rPr>
                <w:rFonts w:ascii="Arial Narrow" w:hAnsi="Arial Narrow"/>
                <w:sz w:val="20"/>
              </w:rPr>
              <w:t>8,527</w:t>
            </w:r>
          </w:p>
        </w:tc>
        <w:tc>
          <w:tcPr>
            <w:tcW w:w="1062" w:type="dxa"/>
            <w:gridSpan w:val="2"/>
          </w:tcPr>
          <w:p w:rsidR="00836F8E" w:rsidRPr="003C6D21" w:rsidRDefault="00836F8E" w:rsidP="00183727">
            <w:pPr>
              <w:jc w:val="center"/>
              <w:rPr>
                <w:rStyle w:val="CommentReference"/>
                <w:i/>
                <w:iCs/>
                <w:szCs w:val="20"/>
              </w:rPr>
            </w:pPr>
            <w:r w:rsidRPr="003C6D21">
              <w:rPr>
                <w:rFonts w:ascii="Arial Narrow" w:hAnsi="Arial Narrow"/>
                <w:sz w:val="20"/>
              </w:rPr>
              <w:t>$</w:t>
            </w:r>
            <w:r w:rsidR="00E9019D">
              <w:rPr>
                <w:rFonts w:ascii="Arial Narrow" w:hAnsi="Arial Narrow"/>
                <w:noProof/>
                <w:color w:val="000000"/>
                <w:sz w:val="20"/>
                <w:highlight w:val="black"/>
              </w:rPr>
              <w:t>'''''''''''''''</w:t>
            </w:r>
          </w:p>
        </w:tc>
      </w:tr>
      <w:tr w:rsidR="00836F8E" w:rsidRPr="0011249E" w:rsidTr="008908E4">
        <w:tc>
          <w:tcPr>
            <w:tcW w:w="1533" w:type="dxa"/>
            <w:vAlign w:val="center"/>
          </w:tcPr>
          <w:p w:rsidR="00836F8E" w:rsidRPr="005876D2" w:rsidRDefault="00836F8E" w:rsidP="00183727">
            <w:pPr>
              <w:jc w:val="left"/>
              <w:rPr>
                <w:rFonts w:ascii="Arial Narrow" w:hAnsi="Arial Narrow" w:cs="Times New Roman"/>
                <w:sz w:val="20"/>
              </w:rPr>
            </w:pPr>
            <w:r w:rsidRPr="005876D2">
              <w:rPr>
                <w:rFonts w:ascii="Arial Narrow" w:hAnsi="Arial Narrow" w:cs="Times New Roman"/>
                <w:sz w:val="20"/>
              </w:rPr>
              <w:t>LYs</w:t>
            </w:r>
          </w:p>
        </w:tc>
        <w:tc>
          <w:tcPr>
            <w:tcW w:w="1302" w:type="dxa"/>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1.173</w:t>
            </w:r>
          </w:p>
        </w:tc>
        <w:tc>
          <w:tcPr>
            <w:tcW w:w="1034" w:type="dxa"/>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0.925</w:t>
            </w:r>
          </w:p>
        </w:tc>
        <w:tc>
          <w:tcPr>
            <w:tcW w:w="1035" w:type="dxa"/>
            <w:tcBorders>
              <w:right w:val="double" w:sz="4" w:space="0" w:color="auto"/>
            </w:tcBorders>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0.248</w:t>
            </w:r>
          </w:p>
        </w:tc>
        <w:tc>
          <w:tcPr>
            <w:tcW w:w="1333" w:type="dxa"/>
            <w:tcBorders>
              <w:left w:val="double" w:sz="4" w:space="0" w:color="auto"/>
            </w:tcBorders>
            <w:vAlign w:val="bottom"/>
          </w:tcPr>
          <w:p w:rsidR="00836F8E" w:rsidRPr="00E9019D" w:rsidRDefault="00E9019D" w:rsidP="00183727">
            <w:pPr>
              <w:jc w:val="center"/>
              <w:rPr>
                <w:rStyle w:val="CommentReference"/>
                <w:b w:val="0"/>
                <w:bCs/>
                <w:i/>
                <w:iCs/>
                <w:szCs w:val="20"/>
                <w:highlight w:val="black"/>
              </w:rPr>
            </w:pPr>
            <w:r>
              <w:rPr>
                <w:rFonts w:ascii="Arial Narrow" w:hAnsi="Arial Narrow"/>
                <w:noProof/>
                <w:color w:val="000000"/>
                <w:sz w:val="20"/>
                <w:highlight w:val="black"/>
              </w:rPr>
              <w:t>''''''''''''''</w:t>
            </w:r>
          </w:p>
        </w:tc>
        <w:tc>
          <w:tcPr>
            <w:tcW w:w="1047" w:type="dxa"/>
            <w:vAlign w:val="bottom"/>
          </w:tcPr>
          <w:p w:rsidR="00836F8E" w:rsidRPr="00E9019D" w:rsidRDefault="00E9019D" w:rsidP="00183727">
            <w:pPr>
              <w:jc w:val="center"/>
              <w:rPr>
                <w:rStyle w:val="CommentReference"/>
                <w:b w:val="0"/>
                <w:bCs/>
                <w:i/>
                <w:iCs/>
                <w:szCs w:val="20"/>
                <w:highlight w:val="black"/>
              </w:rPr>
            </w:pPr>
            <w:r>
              <w:rPr>
                <w:rFonts w:ascii="Arial Narrow" w:hAnsi="Arial Narrow"/>
                <w:noProof/>
                <w:color w:val="000000"/>
                <w:sz w:val="20"/>
                <w:highlight w:val="black"/>
              </w:rPr>
              <w:t>'''''''''''''</w:t>
            </w:r>
          </w:p>
        </w:tc>
        <w:tc>
          <w:tcPr>
            <w:tcW w:w="1062" w:type="dxa"/>
            <w:gridSpan w:val="2"/>
            <w:vAlign w:val="bottom"/>
          </w:tcPr>
          <w:p w:rsidR="00836F8E" w:rsidRPr="0011249E" w:rsidRDefault="00836F8E" w:rsidP="00183727">
            <w:pPr>
              <w:jc w:val="center"/>
              <w:rPr>
                <w:rStyle w:val="CommentReference"/>
                <w:b w:val="0"/>
                <w:bCs/>
                <w:i/>
                <w:iCs/>
                <w:szCs w:val="20"/>
              </w:rPr>
            </w:pPr>
            <w:r w:rsidRPr="002F0962">
              <w:rPr>
                <w:rFonts w:ascii="Arial Narrow" w:hAnsi="Arial Narrow"/>
                <w:sz w:val="20"/>
              </w:rPr>
              <w:t>0.694</w:t>
            </w:r>
          </w:p>
        </w:tc>
      </w:tr>
      <w:tr w:rsidR="00836F8E" w:rsidRPr="0011249E" w:rsidTr="008908E4">
        <w:tc>
          <w:tcPr>
            <w:tcW w:w="3869" w:type="dxa"/>
            <w:gridSpan w:val="3"/>
            <w:vAlign w:val="center"/>
          </w:tcPr>
          <w:p w:rsidR="00836F8E" w:rsidRPr="005876D2" w:rsidRDefault="00836F8E" w:rsidP="00183727">
            <w:pPr>
              <w:jc w:val="left"/>
              <w:rPr>
                <w:rFonts w:ascii="Arial Narrow" w:hAnsi="Arial Narrow"/>
                <w:i/>
                <w:iCs/>
                <w:sz w:val="20"/>
              </w:rPr>
            </w:pPr>
            <w:r w:rsidRPr="005876D2">
              <w:rPr>
                <w:rFonts w:ascii="Arial Narrow" w:hAnsi="Arial Narrow" w:cs="Times New Roman"/>
                <w:b/>
                <w:snapToGrid/>
                <w:sz w:val="20"/>
              </w:rPr>
              <w:t>Incremental cost/extra life year gained</w:t>
            </w:r>
          </w:p>
        </w:tc>
        <w:tc>
          <w:tcPr>
            <w:tcW w:w="1035" w:type="dxa"/>
            <w:tcBorders>
              <w:right w:val="double" w:sz="4" w:space="0" w:color="auto"/>
            </w:tcBorders>
            <w:vAlign w:val="center"/>
          </w:tcPr>
          <w:p w:rsidR="00836F8E" w:rsidRPr="00444865" w:rsidRDefault="00836F8E" w:rsidP="00183727">
            <w:pPr>
              <w:jc w:val="center"/>
              <w:rPr>
                <w:rFonts w:ascii="Arial Narrow" w:hAnsi="Arial Narrow"/>
                <w:b/>
                <w:bCs/>
                <w:sz w:val="20"/>
              </w:rPr>
            </w:pPr>
            <w:r w:rsidRPr="00444865">
              <w:rPr>
                <w:rFonts w:ascii="Arial Narrow" w:hAnsi="Arial Narrow"/>
                <w:b/>
                <w:bCs/>
                <w:sz w:val="20"/>
              </w:rPr>
              <w:t>$</w:t>
            </w:r>
            <w:r w:rsidR="00E9019D">
              <w:rPr>
                <w:rFonts w:ascii="Arial Narrow" w:hAnsi="Arial Narrow"/>
                <w:b/>
                <w:bCs/>
                <w:noProof/>
                <w:color w:val="000000"/>
                <w:sz w:val="20"/>
                <w:highlight w:val="black"/>
              </w:rPr>
              <w:t>''''''''''''''</w:t>
            </w:r>
          </w:p>
        </w:tc>
        <w:tc>
          <w:tcPr>
            <w:tcW w:w="2380" w:type="dxa"/>
            <w:gridSpan w:val="2"/>
            <w:tcBorders>
              <w:left w:val="double" w:sz="4" w:space="0" w:color="auto"/>
            </w:tcBorders>
            <w:vAlign w:val="center"/>
          </w:tcPr>
          <w:p w:rsidR="00836F8E" w:rsidRPr="0011249E" w:rsidRDefault="00836F8E" w:rsidP="00183727">
            <w:pPr>
              <w:jc w:val="center"/>
              <w:rPr>
                <w:rStyle w:val="CommentReference"/>
                <w:b w:val="0"/>
                <w:bCs/>
                <w:i/>
                <w:iCs/>
                <w:szCs w:val="20"/>
              </w:rPr>
            </w:pPr>
            <w:r w:rsidRPr="0011249E">
              <w:rPr>
                <w:rStyle w:val="CommentReference"/>
                <w:b w:val="0"/>
                <w:bCs/>
                <w:szCs w:val="20"/>
              </w:rPr>
              <w:t>-</w:t>
            </w:r>
          </w:p>
        </w:tc>
        <w:tc>
          <w:tcPr>
            <w:tcW w:w="1062" w:type="dxa"/>
            <w:gridSpan w:val="2"/>
            <w:vAlign w:val="center"/>
          </w:tcPr>
          <w:p w:rsidR="00836F8E" w:rsidRPr="00B0556C" w:rsidRDefault="00836F8E" w:rsidP="00183727">
            <w:pPr>
              <w:jc w:val="center"/>
              <w:rPr>
                <w:rStyle w:val="CommentReference"/>
                <w:szCs w:val="20"/>
              </w:rPr>
            </w:pPr>
            <w:r w:rsidRPr="00B0556C">
              <w:rPr>
                <w:rStyle w:val="CommentReference"/>
                <w:szCs w:val="20"/>
              </w:rPr>
              <w:t>$</w:t>
            </w:r>
            <w:r w:rsidR="00E9019D">
              <w:rPr>
                <w:rStyle w:val="CommentReference"/>
                <w:noProof/>
                <w:color w:val="000000"/>
                <w:szCs w:val="20"/>
                <w:highlight w:val="black"/>
              </w:rPr>
              <w:t>''''''''''''</w:t>
            </w:r>
          </w:p>
        </w:tc>
      </w:tr>
      <w:tr w:rsidR="00836F8E" w:rsidRPr="0011249E" w:rsidTr="008908E4">
        <w:tc>
          <w:tcPr>
            <w:tcW w:w="8346" w:type="dxa"/>
            <w:gridSpan w:val="8"/>
            <w:vAlign w:val="center"/>
          </w:tcPr>
          <w:p w:rsidR="00836F8E" w:rsidRPr="005876D2" w:rsidRDefault="00836F8E" w:rsidP="00183727">
            <w:pPr>
              <w:jc w:val="left"/>
              <w:rPr>
                <w:rStyle w:val="CommentReference"/>
                <w:b w:val="0"/>
                <w:bCs/>
                <w:i/>
                <w:iCs/>
                <w:szCs w:val="20"/>
              </w:rPr>
            </w:pPr>
            <w:r w:rsidRPr="005876D2">
              <w:rPr>
                <w:rFonts w:ascii="Arial Narrow" w:hAnsi="Arial Narrow" w:cs="Arial Narrow"/>
                <w:b/>
                <w:bCs/>
                <w:sz w:val="20"/>
              </w:rPr>
              <w:t>Step 3: Modelled evaluation (transform to QALYs)</w:t>
            </w:r>
          </w:p>
        </w:tc>
      </w:tr>
      <w:tr w:rsidR="00836F8E" w:rsidRPr="0011249E" w:rsidTr="008908E4">
        <w:tc>
          <w:tcPr>
            <w:tcW w:w="1533" w:type="dxa"/>
            <w:vAlign w:val="center"/>
          </w:tcPr>
          <w:p w:rsidR="00836F8E" w:rsidRPr="005876D2" w:rsidRDefault="00836F8E" w:rsidP="00183727">
            <w:pPr>
              <w:jc w:val="left"/>
              <w:rPr>
                <w:rFonts w:ascii="Arial Narrow" w:hAnsi="Arial Narrow" w:cs="Times New Roman"/>
                <w:sz w:val="20"/>
              </w:rPr>
            </w:pPr>
            <w:r w:rsidRPr="005876D2">
              <w:rPr>
                <w:rFonts w:ascii="Arial Narrow" w:hAnsi="Arial Narrow" w:cs="Times New Roman"/>
                <w:sz w:val="20"/>
              </w:rPr>
              <w:t>Costs</w:t>
            </w:r>
          </w:p>
        </w:tc>
        <w:tc>
          <w:tcPr>
            <w:tcW w:w="1302" w:type="dxa"/>
            <w:vAlign w:val="bottom"/>
          </w:tcPr>
          <w:p w:rsidR="00836F8E" w:rsidRPr="0011249E" w:rsidRDefault="00836F8E" w:rsidP="00183727">
            <w:pPr>
              <w:jc w:val="center"/>
              <w:rPr>
                <w:rFonts w:ascii="Arial Narrow" w:hAnsi="Arial Narrow"/>
                <w:i/>
                <w:iCs/>
                <w:sz w:val="20"/>
              </w:rPr>
            </w:pPr>
            <w:r w:rsidRPr="00556C93">
              <w:rPr>
                <w:rFonts w:ascii="Arial Narrow" w:hAnsi="Arial Narrow"/>
                <w:sz w:val="20"/>
              </w:rPr>
              <w:t>$</w:t>
            </w:r>
            <w:r w:rsidR="00E9019D">
              <w:rPr>
                <w:rFonts w:ascii="Arial Narrow" w:hAnsi="Arial Narrow"/>
                <w:noProof/>
                <w:color w:val="000000"/>
                <w:sz w:val="20"/>
                <w:highlight w:val="black"/>
              </w:rPr>
              <w:t>''''''''''''''''</w:t>
            </w:r>
          </w:p>
        </w:tc>
        <w:tc>
          <w:tcPr>
            <w:tcW w:w="1034" w:type="dxa"/>
            <w:vAlign w:val="bottom"/>
          </w:tcPr>
          <w:p w:rsidR="00836F8E" w:rsidRPr="0011249E" w:rsidRDefault="00836F8E" w:rsidP="00183727">
            <w:pPr>
              <w:jc w:val="center"/>
              <w:rPr>
                <w:rFonts w:ascii="Arial Narrow" w:hAnsi="Arial Narrow"/>
                <w:i/>
                <w:iCs/>
                <w:sz w:val="20"/>
              </w:rPr>
            </w:pPr>
            <w:r w:rsidRPr="00556C93">
              <w:rPr>
                <w:rFonts w:ascii="Arial Narrow" w:hAnsi="Arial Narrow"/>
                <w:sz w:val="20"/>
              </w:rPr>
              <w:t>$</w:t>
            </w:r>
            <w:r w:rsidRPr="00986BBB">
              <w:rPr>
                <w:rFonts w:ascii="Arial Narrow" w:hAnsi="Arial Narrow"/>
                <w:sz w:val="20"/>
              </w:rPr>
              <w:t>8,444</w:t>
            </w:r>
          </w:p>
        </w:tc>
        <w:tc>
          <w:tcPr>
            <w:tcW w:w="1035" w:type="dxa"/>
            <w:tcBorders>
              <w:right w:val="double" w:sz="4" w:space="0" w:color="auto"/>
            </w:tcBorders>
            <w:vAlign w:val="bottom"/>
          </w:tcPr>
          <w:p w:rsidR="00836F8E" w:rsidRPr="0011249E" w:rsidRDefault="00836F8E" w:rsidP="00183727">
            <w:pPr>
              <w:jc w:val="center"/>
              <w:rPr>
                <w:rFonts w:ascii="Arial Narrow" w:hAnsi="Arial Narrow"/>
                <w:i/>
                <w:iCs/>
                <w:sz w:val="20"/>
              </w:rPr>
            </w:pPr>
            <w:r w:rsidRPr="00556C93">
              <w:rPr>
                <w:rFonts w:ascii="Arial Narrow" w:hAnsi="Arial Narrow"/>
                <w:sz w:val="20"/>
              </w:rPr>
              <w:t>$</w:t>
            </w:r>
            <w:r w:rsidR="00E9019D">
              <w:rPr>
                <w:rFonts w:ascii="Arial Narrow" w:hAnsi="Arial Narrow"/>
                <w:noProof/>
                <w:color w:val="000000"/>
                <w:sz w:val="20"/>
                <w:highlight w:val="black"/>
              </w:rPr>
              <w:t>''''''''''''''''</w:t>
            </w:r>
          </w:p>
        </w:tc>
        <w:tc>
          <w:tcPr>
            <w:tcW w:w="1333" w:type="dxa"/>
            <w:tcBorders>
              <w:left w:val="double" w:sz="4" w:space="0" w:color="auto"/>
            </w:tcBorders>
          </w:tcPr>
          <w:p w:rsidR="00836F8E" w:rsidRPr="003C6D21" w:rsidRDefault="00836F8E" w:rsidP="00183727">
            <w:pPr>
              <w:jc w:val="center"/>
              <w:rPr>
                <w:rStyle w:val="CommentReference"/>
                <w:i/>
                <w:iCs/>
                <w:szCs w:val="20"/>
              </w:rPr>
            </w:pPr>
            <w:r w:rsidRPr="003C6D21">
              <w:rPr>
                <w:rFonts w:ascii="Arial Narrow" w:hAnsi="Arial Narrow"/>
                <w:sz w:val="20"/>
              </w:rPr>
              <w:t>$</w:t>
            </w:r>
            <w:r w:rsidR="00E9019D">
              <w:rPr>
                <w:rFonts w:ascii="Arial Narrow" w:hAnsi="Arial Narrow"/>
                <w:noProof/>
                <w:color w:val="000000"/>
                <w:sz w:val="20"/>
                <w:highlight w:val="black"/>
              </w:rPr>
              <w:t>'''''''''''''''''</w:t>
            </w:r>
          </w:p>
        </w:tc>
        <w:tc>
          <w:tcPr>
            <w:tcW w:w="1047" w:type="dxa"/>
          </w:tcPr>
          <w:p w:rsidR="00836F8E" w:rsidRPr="003C6D21" w:rsidRDefault="00836F8E" w:rsidP="00183727">
            <w:pPr>
              <w:jc w:val="center"/>
              <w:rPr>
                <w:rStyle w:val="CommentReference"/>
                <w:i/>
                <w:iCs/>
                <w:szCs w:val="20"/>
              </w:rPr>
            </w:pPr>
            <w:r w:rsidRPr="003C6D21">
              <w:rPr>
                <w:rFonts w:ascii="Arial Narrow" w:hAnsi="Arial Narrow"/>
                <w:sz w:val="20"/>
              </w:rPr>
              <w:t>$</w:t>
            </w:r>
            <w:r w:rsidRPr="00986BBB">
              <w:rPr>
                <w:rFonts w:ascii="Arial Narrow" w:hAnsi="Arial Narrow"/>
                <w:sz w:val="20"/>
              </w:rPr>
              <w:t>8,527</w:t>
            </w:r>
          </w:p>
        </w:tc>
        <w:tc>
          <w:tcPr>
            <w:tcW w:w="1062" w:type="dxa"/>
            <w:gridSpan w:val="2"/>
          </w:tcPr>
          <w:p w:rsidR="00836F8E" w:rsidRPr="003C6D21" w:rsidRDefault="00836F8E" w:rsidP="00183727">
            <w:pPr>
              <w:jc w:val="center"/>
              <w:rPr>
                <w:rStyle w:val="CommentReference"/>
                <w:i/>
                <w:iCs/>
                <w:szCs w:val="20"/>
              </w:rPr>
            </w:pPr>
            <w:r w:rsidRPr="003C6D21">
              <w:rPr>
                <w:rFonts w:ascii="Arial Narrow" w:hAnsi="Arial Narrow"/>
                <w:sz w:val="20"/>
              </w:rPr>
              <w:t>$</w:t>
            </w:r>
            <w:r w:rsidR="00E9019D">
              <w:rPr>
                <w:rFonts w:ascii="Arial Narrow" w:hAnsi="Arial Narrow"/>
                <w:noProof/>
                <w:color w:val="000000"/>
                <w:sz w:val="20"/>
                <w:highlight w:val="black"/>
              </w:rPr>
              <w:t>''''''''''''''''</w:t>
            </w:r>
          </w:p>
        </w:tc>
      </w:tr>
      <w:tr w:rsidR="00836F8E" w:rsidRPr="0011249E" w:rsidTr="008908E4">
        <w:tc>
          <w:tcPr>
            <w:tcW w:w="1533" w:type="dxa"/>
            <w:vAlign w:val="center"/>
          </w:tcPr>
          <w:p w:rsidR="00836F8E" w:rsidRPr="005876D2" w:rsidRDefault="00836F8E" w:rsidP="00183727">
            <w:pPr>
              <w:jc w:val="left"/>
              <w:rPr>
                <w:rFonts w:ascii="Arial Narrow" w:hAnsi="Arial Narrow" w:cs="Times New Roman"/>
                <w:sz w:val="20"/>
              </w:rPr>
            </w:pPr>
            <w:r w:rsidRPr="005876D2">
              <w:rPr>
                <w:rFonts w:ascii="Arial Narrow" w:hAnsi="Arial Narrow" w:cs="Times New Roman"/>
                <w:sz w:val="20"/>
              </w:rPr>
              <w:t>QALYs</w:t>
            </w:r>
          </w:p>
        </w:tc>
        <w:tc>
          <w:tcPr>
            <w:tcW w:w="1302" w:type="dxa"/>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0.816</w:t>
            </w:r>
          </w:p>
        </w:tc>
        <w:tc>
          <w:tcPr>
            <w:tcW w:w="1034" w:type="dxa"/>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0.625</w:t>
            </w:r>
          </w:p>
        </w:tc>
        <w:tc>
          <w:tcPr>
            <w:tcW w:w="1035" w:type="dxa"/>
            <w:tcBorders>
              <w:right w:val="double" w:sz="4" w:space="0" w:color="auto"/>
            </w:tcBorders>
            <w:vAlign w:val="bottom"/>
          </w:tcPr>
          <w:p w:rsidR="00836F8E" w:rsidRPr="0011249E" w:rsidRDefault="00836F8E" w:rsidP="00183727">
            <w:pPr>
              <w:jc w:val="center"/>
              <w:rPr>
                <w:rFonts w:ascii="Arial Narrow" w:hAnsi="Arial Narrow"/>
                <w:i/>
                <w:iCs/>
                <w:sz w:val="20"/>
              </w:rPr>
            </w:pPr>
            <w:r w:rsidRPr="00C32740">
              <w:rPr>
                <w:rFonts w:ascii="Arial Narrow" w:hAnsi="Arial Narrow"/>
                <w:sz w:val="20"/>
              </w:rPr>
              <w:t>0.190</w:t>
            </w:r>
          </w:p>
        </w:tc>
        <w:tc>
          <w:tcPr>
            <w:tcW w:w="1333" w:type="dxa"/>
            <w:tcBorders>
              <w:left w:val="double" w:sz="4" w:space="0" w:color="auto"/>
            </w:tcBorders>
            <w:vAlign w:val="bottom"/>
          </w:tcPr>
          <w:p w:rsidR="00836F8E" w:rsidRPr="0011249E" w:rsidRDefault="00836F8E" w:rsidP="00183727">
            <w:pPr>
              <w:jc w:val="center"/>
              <w:rPr>
                <w:rStyle w:val="CommentReference"/>
                <w:b w:val="0"/>
                <w:bCs/>
                <w:i/>
                <w:iCs/>
                <w:szCs w:val="20"/>
              </w:rPr>
            </w:pPr>
            <w:r w:rsidRPr="002F0962">
              <w:rPr>
                <w:rFonts w:ascii="Arial Narrow" w:hAnsi="Arial Narrow"/>
                <w:sz w:val="20"/>
              </w:rPr>
              <w:t>0.846</w:t>
            </w:r>
          </w:p>
        </w:tc>
        <w:tc>
          <w:tcPr>
            <w:tcW w:w="1047" w:type="dxa"/>
            <w:vAlign w:val="bottom"/>
          </w:tcPr>
          <w:p w:rsidR="00836F8E" w:rsidRPr="0011249E" w:rsidRDefault="00836F8E" w:rsidP="00183727">
            <w:pPr>
              <w:jc w:val="center"/>
              <w:rPr>
                <w:rStyle w:val="CommentReference"/>
                <w:b w:val="0"/>
                <w:bCs/>
                <w:i/>
                <w:iCs/>
                <w:szCs w:val="20"/>
              </w:rPr>
            </w:pPr>
            <w:r w:rsidRPr="002F0962">
              <w:rPr>
                <w:rFonts w:ascii="Arial Narrow" w:hAnsi="Arial Narrow"/>
                <w:sz w:val="20"/>
              </w:rPr>
              <w:t>0.360</w:t>
            </w:r>
          </w:p>
        </w:tc>
        <w:tc>
          <w:tcPr>
            <w:tcW w:w="1062" w:type="dxa"/>
            <w:gridSpan w:val="2"/>
            <w:vAlign w:val="bottom"/>
          </w:tcPr>
          <w:p w:rsidR="00836F8E" w:rsidRPr="0011249E" w:rsidRDefault="00836F8E" w:rsidP="00183727">
            <w:pPr>
              <w:jc w:val="center"/>
              <w:rPr>
                <w:rStyle w:val="CommentReference"/>
                <w:b w:val="0"/>
                <w:bCs/>
                <w:i/>
                <w:iCs/>
                <w:szCs w:val="20"/>
              </w:rPr>
            </w:pPr>
            <w:r w:rsidRPr="002F0962">
              <w:rPr>
                <w:rFonts w:ascii="Arial Narrow" w:hAnsi="Arial Narrow"/>
                <w:sz w:val="20"/>
              </w:rPr>
              <w:t>0.486</w:t>
            </w:r>
          </w:p>
        </w:tc>
      </w:tr>
      <w:tr w:rsidR="00836F8E" w:rsidRPr="0011249E" w:rsidTr="008908E4">
        <w:tc>
          <w:tcPr>
            <w:tcW w:w="3869" w:type="dxa"/>
            <w:gridSpan w:val="3"/>
            <w:vAlign w:val="center"/>
          </w:tcPr>
          <w:p w:rsidR="00836F8E" w:rsidRPr="005876D2" w:rsidRDefault="00836F8E" w:rsidP="00183727">
            <w:pPr>
              <w:jc w:val="left"/>
              <w:rPr>
                <w:rFonts w:ascii="Arial Narrow" w:hAnsi="Arial Narrow"/>
                <w:i/>
                <w:iCs/>
                <w:sz w:val="20"/>
              </w:rPr>
            </w:pPr>
            <w:r w:rsidRPr="005876D2">
              <w:rPr>
                <w:rFonts w:ascii="Arial Narrow" w:hAnsi="Arial Narrow" w:cs="Times New Roman"/>
                <w:b/>
                <w:sz w:val="20"/>
              </w:rPr>
              <w:t>Incremental cost/extra QALY gained</w:t>
            </w:r>
          </w:p>
        </w:tc>
        <w:tc>
          <w:tcPr>
            <w:tcW w:w="1035" w:type="dxa"/>
            <w:tcBorders>
              <w:right w:val="double" w:sz="4" w:space="0" w:color="auto"/>
            </w:tcBorders>
            <w:vAlign w:val="center"/>
          </w:tcPr>
          <w:p w:rsidR="00836F8E" w:rsidRPr="00444865" w:rsidRDefault="00836F8E" w:rsidP="00183727">
            <w:pPr>
              <w:jc w:val="center"/>
              <w:rPr>
                <w:rFonts w:ascii="Arial Narrow" w:hAnsi="Arial Narrow"/>
                <w:b/>
                <w:bCs/>
                <w:sz w:val="20"/>
              </w:rPr>
            </w:pPr>
            <w:r w:rsidRPr="00444865">
              <w:rPr>
                <w:rFonts w:ascii="Arial Narrow" w:hAnsi="Arial Narrow"/>
                <w:b/>
                <w:bCs/>
                <w:sz w:val="20"/>
              </w:rPr>
              <w:t>$</w:t>
            </w:r>
            <w:r w:rsidR="00E9019D">
              <w:rPr>
                <w:rFonts w:ascii="Arial Narrow" w:hAnsi="Arial Narrow"/>
                <w:b/>
                <w:bCs/>
                <w:noProof/>
                <w:color w:val="000000"/>
                <w:sz w:val="20"/>
                <w:highlight w:val="black"/>
              </w:rPr>
              <w:t>'''''''''''''''</w:t>
            </w:r>
          </w:p>
        </w:tc>
        <w:tc>
          <w:tcPr>
            <w:tcW w:w="2380" w:type="dxa"/>
            <w:gridSpan w:val="2"/>
            <w:tcBorders>
              <w:left w:val="double" w:sz="4" w:space="0" w:color="auto"/>
            </w:tcBorders>
            <w:vAlign w:val="center"/>
          </w:tcPr>
          <w:p w:rsidR="00836F8E" w:rsidRPr="0011249E" w:rsidRDefault="00836F8E" w:rsidP="00183727">
            <w:pPr>
              <w:jc w:val="center"/>
              <w:rPr>
                <w:rStyle w:val="CommentReference"/>
                <w:b w:val="0"/>
                <w:bCs/>
                <w:i/>
                <w:iCs/>
                <w:szCs w:val="20"/>
              </w:rPr>
            </w:pPr>
            <w:r w:rsidRPr="0011249E">
              <w:rPr>
                <w:rStyle w:val="CommentReference"/>
                <w:b w:val="0"/>
                <w:bCs/>
                <w:szCs w:val="20"/>
              </w:rPr>
              <w:t>-</w:t>
            </w:r>
          </w:p>
        </w:tc>
        <w:tc>
          <w:tcPr>
            <w:tcW w:w="1062" w:type="dxa"/>
            <w:gridSpan w:val="2"/>
            <w:vAlign w:val="center"/>
          </w:tcPr>
          <w:p w:rsidR="00836F8E" w:rsidRPr="008912B1" w:rsidRDefault="00836F8E" w:rsidP="00183727">
            <w:pPr>
              <w:jc w:val="center"/>
              <w:rPr>
                <w:rStyle w:val="CommentReference"/>
                <w:szCs w:val="20"/>
              </w:rPr>
            </w:pPr>
            <w:r w:rsidRPr="008912B1">
              <w:rPr>
                <w:rStyle w:val="CommentReference"/>
                <w:szCs w:val="20"/>
              </w:rPr>
              <w:t>$</w:t>
            </w:r>
            <w:r w:rsidR="00E9019D">
              <w:rPr>
                <w:rStyle w:val="CommentReference"/>
                <w:noProof/>
                <w:color w:val="000000"/>
                <w:szCs w:val="20"/>
                <w:highlight w:val="black"/>
              </w:rPr>
              <w:t>'''''''''''''</w:t>
            </w:r>
          </w:p>
        </w:tc>
      </w:tr>
    </w:tbl>
    <w:p w:rsidR="00C543AC" w:rsidRPr="008908E4" w:rsidRDefault="00C543AC" w:rsidP="00C543AC">
      <w:pPr>
        <w:ind w:left="720"/>
        <w:rPr>
          <w:rStyle w:val="CommentReference"/>
          <w:b w:val="0"/>
          <w:bCs/>
          <w:sz w:val="18"/>
          <w:szCs w:val="14"/>
        </w:rPr>
      </w:pPr>
      <w:r w:rsidRPr="008908E4">
        <w:rPr>
          <w:rStyle w:val="CommentReference"/>
          <w:b w:val="0"/>
          <w:bCs/>
          <w:sz w:val="18"/>
          <w:szCs w:val="14"/>
        </w:rPr>
        <w:t xml:space="preserve">Source: Table D.5-4, p118 of the submission; ‘2 Copy of Economic evaluation.xlsx’ and ‘3 Copy of Economic evaluation using ITT population.xlsx’. </w:t>
      </w:r>
      <w:r w:rsidRPr="008908E4">
        <w:rPr>
          <w:rStyle w:val="CommentReference"/>
          <w:b w:val="0"/>
          <w:bCs/>
          <w:i/>
          <w:iCs/>
          <w:sz w:val="18"/>
          <w:szCs w:val="14"/>
        </w:rPr>
        <w:t>Additional data in italics calculated during the evaluation.</w:t>
      </w:r>
      <w:r w:rsidRPr="008908E4">
        <w:rPr>
          <w:rStyle w:val="CommentReference"/>
          <w:b w:val="0"/>
          <w:bCs/>
          <w:sz w:val="18"/>
          <w:szCs w:val="14"/>
        </w:rPr>
        <w:t xml:space="preserve"> </w:t>
      </w:r>
    </w:p>
    <w:p w:rsidR="00836F8E" w:rsidRDefault="00C543AC" w:rsidP="00C543AC">
      <w:pPr>
        <w:ind w:left="720"/>
        <w:rPr>
          <w:rStyle w:val="CommentReference"/>
          <w:b w:val="0"/>
          <w:bCs/>
          <w:sz w:val="18"/>
          <w:szCs w:val="14"/>
        </w:rPr>
      </w:pPr>
      <w:r w:rsidRPr="008908E4">
        <w:rPr>
          <w:rStyle w:val="CommentReference"/>
          <w:b w:val="0"/>
          <w:bCs/>
          <w:sz w:val="18"/>
          <w:szCs w:val="14"/>
        </w:rPr>
        <w:t>Abbreviations: CT = chemotherapy; ITT = intention-to-treat; KPS = Karnofsky Performance Status; LY = life years; QALY = quality-adjusted life year</w:t>
      </w:r>
    </w:p>
    <w:p w:rsidR="003931E3" w:rsidRDefault="003931E3" w:rsidP="00C543AC">
      <w:pPr>
        <w:ind w:left="720"/>
        <w:rPr>
          <w:rStyle w:val="CommentReference"/>
          <w:b w:val="0"/>
          <w:bCs/>
          <w:sz w:val="18"/>
          <w:szCs w:val="14"/>
        </w:rPr>
      </w:pPr>
    </w:p>
    <w:p w:rsidR="003931E3" w:rsidRPr="003931E3" w:rsidRDefault="003931E3" w:rsidP="00C543AC">
      <w:pPr>
        <w:ind w:left="720"/>
        <w:rPr>
          <w:rStyle w:val="CommentReference"/>
          <w:rFonts w:ascii="Arial" w:hAnsi="Arial"/>
          <w:b w:val="0"/>
          <w:bCs/>
          <w:sz w:val="22"/>
          <w:szCs w:val="14"/>
        </w:rPr>
      </w:pPr>
      <w:r>
        <w:rPr>
          <w:rStyle w:val="CommentReference"/>
          <w:rFonts w:ascii="Arial" w:hAnsi="Arial"/>
          <w:b w:val="0"/>
          <w:bCs/>
          <w:sz w:val="22"/>
          <w:szCs w:val="14"/>
        </w:rPr>
        <w:t>The redacted table shows an ICER in the range of $105,000/QALY - $200,000/QALY</w:t>
      </w:r>
      <w:r w:rsidR="00DE1DAB">
        <w:rPr>
          <w:rStyle w:val="CommentReference"/>
          <w:rFonts w:ascii="Arial" w:hAnsi="Arial"/>
          <w:b w:val="0"/>
          <w:bCs/>
          <w:sz w:val="22"/>
          <w:szCs w:val="14"/>
        </w:rPr>
        <w:t xml:space="preserve"> and $75,000</w:t>
      </w:r>
      <w:r w:rsidR="004874A8">
        <w:rPr>
          <w:rStyle w:val="CommentReference"/>
          <w:rFonts w:ascii="Arial" w:hAnsi="Arial"/>
          <w:b w:val="0"/>
          <w:bCs/>
          <w:sz w:val="22"/>
          <w:szCs w:val="14"/>
        </w:rPr>
        <w:t>/</w:t>
      </w:r>
      <w:r w:rsidR="004874A8" w:rsidRPr="004874A8">
        <w:rPr>
          <w:rStyle w:val="CommentReference"/>
          <w:rFonts w:ascii="Arial" w:hAnsi="Arial"/>
          <w:b w:val="0"/>
          <w:bCs/>
          <w:sz w:val="22"/>
          <w:szCs w:val="14"/>
        </w:rPr>
        <w:t xml:space="preserve"> </w:t>
      </w:r>
      <w:r w:rsidR="004874A8" w:rsidRPr="00DE1DAB">
        <w:rPr>
          <w:rStyle w:val="CommentReference"/>
          <w:rFonts w:ascii="Arial" w:hAnsi="Arial"/>
          <w:b w:val="0"/>
          <w:bCs/>
          <w:sz w:val="22"/>
          <w:szCs w:val="14"/>
        </w:rPr>
        <w:t>life year gained</w:t>
      </w:r>
      <w:r w:rsidR="00D93241">
        <w:rPr>
          <w:rStyle w:val="CommentReference"/>
          <w:rFonts w:ascii="Arial" w:hAnsi="Arial"/>
          <w:b w:val="0"/>
          <w:bCs/>
          <w:sz w:val="22"/>
          <w:szCs w:val="14"/>
        </w:rPr>
        <w:t xml:space="preserve"> </w:t>
      </w:r>
      <w:r w:rsidR="004874A8">
        <w:rPr>
          <w:rStyle w:val="CommentReference"/>
          <w:rFonts w:ascii="Arial" w:hAnsi="Arial"/>
          <w:b w:val="0"/>
          <w:bCs/>
          <w:sz w:val="22"/>
          <w:szCs w:val="14"/>
        </w:rPr>
        <w:t xml:space="preserve">(LYG) </w:t>
      </w:r>
      <w:r w:rsidR="00DE1DAB">
        <w:rPr>
          <w:rStyle w:val="CommentReference"/>
          <w:rFonts w:ascii="Arial" w:hAnsi="Arial"/>
          <w:b w:val="0"/>
          <w:bCs/>
          <w:sz w:val="22"/>
          <w:szCs w:val="14"/>
        </w:rPr>
        <w:t>-$105,000/</w:t>
      </w:r>
      <w:r w:rsidR="00DE1DAB" w:rsidRPr="00DE1DAB">
        <w:t xml:space="preserve"> </w:t>
      </w:r>
      <w:r w:rsidR="004874A8">
        <w:rPr>
          <w:rStyle w:val="CommentReference"/>
          <w:rFonts w:ascii="Arial" w:hAnsi="Arial"/>
          <w:b w:val="0"/>
          <w:bCs/>
          <w:sz w:val="22"/>
          <w:szCs w:val="14"/>
        </w:rPr>
        <w:t>LYG</w:t>
      </w:r>
      <w:r w:rsidR="00DE1DAB">
        <w:rPr>
          <w:rStyle w:val="CommentReference"/>
          <w:rFonts w:ascii="Arial" w:hAnsi="Arial"/>
          <w:b w:val="0"/>
          <w:bCs/>
          <w:sz w:val="22"/>
          <w:szCs w:val="14"/>
        </w:rPr>
        <w:t xml:space="preserve"> </w:t>
      </w:r>
      <w:r>
        <w:rPr>
          <w:rStyle w:val="CommentReference"/>
          <w:rFonts w:ascii="Arial" w:hAnsi="Arial"/>
          <w:b w:val="0"/>
          <w:bCs/>
          <w:sz w:val="22"/>
          <w:szCs w:val="14"/>
        </w:rPr>
        <w:t xml:space="preserve">for the ITT population, and $45,000/QALY - $75,000/QALY </w:t>
      </w:r>
      <w:r w:rsidR="00DE1DAB">
        <w:rPr>
          <w:rStyle w:val="CommentReference"/>
          <w:rFonts w:ascii="Arial" w:hAnsi="Arial"/>
          <w:b w:val="0"/>
          <w:bCs/>
          <w:sz w:val="22"/>
          <w:szCs w:val="14"/>
        </w:rPr>
        <w:t>and $15,000</w:t>
      </w:r>
      <w:r w:rsidR="00565283">
        <w:rPr>
          <w:rStyle w:val="CommentReference"/>
          <w:rFonts w:ascii="Arial" w:hAnsi="Arial"/>
          <w:b w:val="0"/>
          <w:bCs/>
          <w:sz w:val="22"/>
          <w:szCs w:val="14"/>
        </w:rPr>
        <w:t>/LYG</w:t>
      </w:r>
      <w:r w:rsidR="00DE1DAB">
        <w:rPr>
          <w:rStyle w:val="CommentReference"/>
          <w:rFonts w:ascii="Arial" w:hAnsi="Arial"/>
          <w:b w:val="0"/>
          <w:bCs/>
          <w:sz w:val="22"/>
          <w:szCs w:val="14"/>
        </w:rPr>
        <w:t>-$45,000/</w:t>
      </w:r>
      <w:r w:rsidR="00DE1DAB" w:rsidRPr="00DE1DAB">
        <w:t xml:space="preserve"> </w:t>
      </w:r>
      <w:r w:rsidR="00565283">
        <w:rPr>
          <w:rStyle w:val="CommentReference"/>
          <w:rFonts w:ascii="Arial" w:hAnsi="Arial"/>
          <w:b w:val="0"/>
          <w:bCs/>
          <w:sz w:val="22"/>
          <w:szCs w:val="14"/>
        </w:rPr>
        <w:t>LYG</w:t>
      </w:r>
      <w:r w:rsidR="00920237">
        <w:rPr>
          <w:rStyle w:val="CommentReference"/>
          <w:rFonts w:ascii="Arial" w:hAnsi="Arial"/>
          <w:b w:val="0"/>
          <w:bCs/>
          <w:sz w:val="22"/>
          <w:szCs w:val="14"/>
        </w:rPr>
        <w:t xml:space="preserve"> </w:t>
      </w:r>
      <w:r>
        <w:rPr>
          <w:rStyle w:val="CommentReference"/>
          <w:rFonts w:ascii="Arial" w:hAnsi="Arial"/>
          <w:b w:val="0"/>
          <w:bCs/>
          <w:sz w:val="22"/>
          <w:szCs w:val="14"/>
        </w:rPr>
        <w:t>for the post hoc sub group.</w:t>
      </w:r>
    </w:p>
    <w:p w:rsidR="00D110BD" w:rsidRPr="00FA5928" w:rsidRDefault="00D110BD" w:rsidP="00D110BD">
      <w:pPr>
        <w:widowControl/>
        <w:rPr>
          <w:szCs w:val="22"/>
        </w:rPr>
      </w:pPr>
    </w:p>
    <w:p w:rsidR="0068190F" w:rsidRPr="001F0A7F" w:rsidRDefault="00C107FC" w:rsidP="00B15815">
      <w:pPr>
        <w:pStyle w:val="ListParagraph"/>
        <w:widowControl/>
        <w:numPr>
          <w:ilvl w:val="1"/>
          <w:numId w:val="3"/>
        </w:numPr>
        <w:rPr>
          <w:iCs/>
          <w:szCs w:val="22"/>
        </w:rPr>
      </w:pPr>
      <w:r w:rsidRPr="001F0A7F">
        <w:rPr>
          <w:iCs/>
          <w:szCs w:val="22"/>
        </w:rPr>
        <w:t>The ICER for the ITT population would decrease from</w:t>
      </w:r>
      <w:r w:rsidRPr="001F0A7F">
        <w:t xml:space="preserve"> </w:t>
      </w:r>
      <w:r w:rsidR="007949E4">
        <w:rPr>
          <w:iCs/>
          <w:szCs w:val="22"/>
        </w:rPr>
        <w:t xml:space="preserve"> $105,000/QALY</w:t>
      </w:r>
      <w:r w:rsidR="00F767AD">
        <w:rPr>
          <w:iCs/>
          <w:szCs w:val="22"/>
        </w:rPr>
        <w:t xml:space="preserve"> </w:t>
      </w:r>
      <w:r w:rsidR="007949E4">
        <w:rPr>
          <w:iCs/>
          <w:szCs w:val="22"/>
        </w:rPr>
        <w:t>-</w:t>
      </w:r>
      <w:r w:rsidR="00F767AD">
        <w:rPr>
          <w:iCs/>
          <w:szCs w:val="22"/>
        </w:rPr>
        <w:t xml:space="preserve"> </w:t>
      </w:r>
      <w:r w:rsidR="007949E4">
        <w:rPr>
          <w:iCs/>
          <w:szCs w:val="22"/>
        </w:rPr>
        <w:t xml:space="preserve">$200,000/QALY </w:t>
      </w:r>
      <w:r w:rsidRPr="001F0A7F">
        <w:rPr>
          <w:iCs/>
          <w:szCs w:val="22"/>
        </w:rPr>
        <w:t xml:space="preserve">to </w:t>
      </w:r>
      <w:r w:rsidR="000A4984">
        <w:rPr>
          <w:iCs/>
          <w:szCs w:val="22"/>
        </w:rPr>
        <w:t>$45,000/QALY - $75,000/QALY</w:t>
      </w:r>
      <w:r w:rsidRPr="001F0A7F">
        <w:rPr>
          <w:iCs/>
          <w:szCs w:val="22"/>
        </w:rPr>
        <w:t xml:space="preserve"> if the confidential rebate was increased from </w:t>
      </w:r>
      <w:r w:rsidR="00E9019D">
        <w:rPr>
          <w:iCs/>
          <w:noProof/>
          <w:color w:val="000000"/>
          <w:szCs w:val="22"/>
          <w:highlight w:val="black"/>
        </w:rPr>
        <w:t>'''''''''''</w:t>
      </w:r>
      <w:r w:rsidRPr="001F0A7F">
        <w:rPr>
          <w:iCs/>
          <w:szCs w:val="22"/>
        </w:rPr>
        <w:t xml:space="preserve">% (proposed in the submission) to </w:t>
      </w:r>
      <w:r w:rsidR="00E9019D">
        <w:rPr>
          <w:iCs/>
          <w:noProof/>
          <w:color w:val="000000"/>
          <w:szCs w:val="22"/>
          <w:highlight w:val="black"/>
        </w:rPr>
        <w:t>'''''''''''''''''</w:t>
      </w:r>
      <w:r w:rsidRPr="001F0A7F">
        <w:rPr>
          <w:iCs/>
          <w:szCs w:val="22"/>
        </w:rPr>
        <w:t>%.</w:t>
      </w:r>
      <w:r w:rsidR="00EC15FB" w:rsidRPr="001F0A7F">
        <w:rPr>
          <w:iCs/>
          <w:szCs w:val="22"/>
        </w:rPr>
        <w:t xml:space="preserve"> The PSCR (p.5) stated that this higher rebate was not viable.</w:t>
      </w:r>
    </w:p>
    <w:p w:rsidR="0068190F" w:rsidRPr="001F0A7F" w:rsidRDefault="0068190F" w:rsidP="0068190F">
      <w:pPr>
        <w:pStyle w:val="ListParagraph"/>
        <w:widowControl/>
        <w:rPr>
          <w:iCs/>
          <w:szCs w:val="22"/>
        </w:rPr>
      </w:pPr>
    </w:p>
    <w:p w:rsidR="00D110BD" w:rsidRPr="00477395" w:rsidRDefault="000E1D63" w:rsidP="00B15815">
      <w:pPr>
        <w:pStyle w:val="ListParagraph"/>
        <w:widowControl/>
        <w:numPr>
          <w:ilvl w:val="1"/>
          <w:numId w:val="3"/>
        </w:numPr>
        <w:rPr>
          <w:iCs/>
          <w:szCs w:val="22"/>
        </w:rPr>
      </w:pPr>
      <w:r w:rsidRPr="00477395">
        <w:rPr>
          <w:iCs/>
          <w:szCs w:val="22"/>
        </w:rPr>
        <w:t xml:space="preserve">There </w:t>
      </w:r>
      <w:r w:rsidR="00DE4BB4" w:rsidRPr="00477395">
        <w:rPr>
          <w:iCs/>
          <w:szCs w:val="22"/>
        </w:rPr>
        <w:t xml:space="preserve">were favourable assumptions </w:t>
      </w:r>
      <w:r w:rsidR="00F44428">
        <w:rPr>
          <w:iCs/>
          <w:szCs w:val="22"/>
        </w:rPr>
        <w:t xml:space="preserve">in the model for the </w:t>
      </w:r>
      <w:r w:rsidR="00DE4BB4" w:rsidRPr="00477395">
        <w:rPr>
          <w:iCs/>
          <w:szCs w:val="22"/>
        </w:rPr>
        <w:t xml:space="preserve">cetuximab </w:t>
      </w:r>
      <w:r w:rsidR="00F44428">
        <w:rPr>
          <w:iCs/>
          <w:szCs w:val="22"/>
        </w:rPr>
        <w:t>arm including for cetuximab treatment</w:t>
      </w:r>
      <w:r w:rsidR="00961072" w:rsidRPr="00477395">
        <w:rPr>
          <w:iCs/>
          <w:szCs w:val="22"/>
        </w:rPr>
        <w:t xml:space="preserve"> costs</w:t>
      </w:r>
      <w:r w:rsidR="00DE4BB4" w:rsidRPr="00477395">
        <w:rPr>
          <w:iCs/>
          <w:szCs w:val="22"/>
        </w:rPr>
        <w:t xml:space="preserve">, which may have resulted in the underestimation of the ICER for both the ITT population and the </w:t>
      </w:r>
      <w:r w:rsidR="00DE4BB4" w:rsidRPr="00477395">
        <w:rPr>
          <w:szCs w:val="22"/>
        </w:rPr>
        <w:t>post hoc</w:t>
      </w:r>
      <w:r w:rsidR="00DE4BB4" w:rsidRPr="00477395">
        <w:rPr>
          <w:iCs/>
          <w:szCs w:val="22"/>
        </w:rPr>
        <w:t xml:space="preserve"> subgroup of patients with a primary tumour site in the oral cavity and a KPS </w:t>
      </w:r>
      <w:r w:rsidR="00766AA4" w:rsidRPr="00477395">
        <w:rPr>
          <w:iCs/>
          <w:szCs w:val="22"/>
        </w:rPr>
        <w:t>≥</w:t>
      </w:r>
      <w:r w:rsidR="00DE4BB4" w:rsidRPr="00477395">
        <w:rPr>
          <w:iCs/>
          <w:szCs w:val="22"/>
        </w:rPr>
        <w:t xml:space="preserve">80 at baseline. </w:t>
      </w:r>
      <w:r w:rsidR="00570007" w:rsidRPr="00477395">
        <w:rPr>
          <w:iCs/>
          <w:szCs w:val="22"/>
        </w:rPr>
        <w:t>Regarding the drug administration costs, the PSCR (p.3) argued that</w:t>
      </w:r>
      <w:r w:rsidR="00570007" w:rsidRPr="00477395">
        <w:t xml:space="preserve"> the exclusion of inpatient stays in the cost of IV administration is appropriate on the basis of a survey of private hospitals and day oncology centres, which found that it would be rare for a patient to be admitted as an inpatient for treatment. The ESC did not find sufficient evidence to support this claim, and advised that the cost of inpatient stays should be included in the costs of administering cetuximab. </w:t>
      </w:r>
      <w:r w:rsidR="00790D3C" w:rsidRPr="00477395">
        <w:rPr>
          <w:iCs/>
          <w:szCs w:val="22"/>
        </w:rPr>
        <w:t xml:space="preserve">There were concerns that the extrapolation </w:t>
      </w:r>
      <w:r w:rsidR="007D4DB0" w:rsidRPr="00477395">
        <w:rPr>
          <w:iCs/>
          <w:szCs w:val="22"/>
        </w:rPr>
        <w:t xml:space="preserve">of data </w:t>
      </w:r>
      <w:r w:rsidR="00790D3C" w:rsidRPr="00477395">
        <w:rPr>
          <w:iCs/>
          <w:szCs w:val="22"/>
        </w:rPr>
        <w:t>over the nominated time horizon resulted in the overestimation of treatment benefit associated with cetuximab.</w:t>
      </w:r>
      <w:r w:rsidR="0068190F" w:rsidRPr="00477395">
        <w:rPr>
          <w:iCs/>
        </w:rPr>
        <w:t xml:space="preserve"> The PSCR (p.3) argued that this time horizon was reasonable, and </w:t>
      </w:r>
      <w:r w:rsidR="00476874">
        <w:rPr>
          <w:iCs/>
        </w:rPr>
        <w:t xml:space="preserve">that </w:t>
      </w:r>
      <w:r w:rsidR="0068190F" w:rsidRPr="00477395">
        <w:rPr>
          <w:iCs/>
        </w:rPr>
        <w:t>the sensitivity analyses</w:t>
      </w:r>
      <w:r w:rsidR="0062185F">
        <w:rPr>
          <w:iCs/>
        </w:rPr>
        <w:t xml:space="preserve"> presented in th</w:t>
      </w:r>
      <w:r w:rsidR="001A613A">
        <w:rPr>
          <w:iCs/>
        </w:rPr>
        <w:t xml:space="preserve">e evaluation which truncated overall survival </w:t>
      </w:r>
      <w:r w:rsidR="0062185F">
        <w:rPr>
          <w:iCs/>
        </w:rPr>
        <w:t xml:space="preserve">data at 3 months and </w:t>
      </w:r>
      <w:r w:rsidR="001A613A">
        <w:rPr>
          <w:iCs/>
        </w:rPr>
        <w:t>progression free</w:t>
      </w:r>
      <w:r w:rsidR="0062185F">
        <w:rPr>
          <w:iCs/>
        </w:rPr>
        <w:t xml:space="preserve"> survival </w:t>
      </w:r>
      <w:r w:rsidR="001E46BD">
        <w:rPr>
          <w:iCs/>
        </w:rPr>
        <w:t xml:space="preserve">data </w:t>
      </w:r>
      <w:r w:rsidR="0062185F">
        <w:rPr>
          <w:iCs/>
        </w:rPr>
        <w:t>at 12 months</w:t>
      </w:r>
      <w:r w:rsidR="0068190F" w:rsidRPr="00477395">
        <w:rPr>
          <w:iCs/>
        </w:rPr>
        <w:t xml:space="preserve"> were unjustifiably conservative, because: at three months, 75% of patients in the cetuximab arm had yet to progress; </w:t>
      </w:r>
      <w:r w:rsidR="00861364">
        <w:rPr>
          <w:iCs/>
        </w:rPr>
        <w:t xml:space="preserve">while </w:t>
      </w:r>
      <w:r w:rsidR="0068190F" w:rsidRPr="00477395">
        <w:rPr>
          <w:iCs/>
        </w:rPr>
        <w:t xml:space="preserve">at two years, nearly one quarter of the cetuximab treatment group were still alive; and at five years, </w:t>
      </w:r>
      <w:r w:rsidR="0068190F" w:rsidRPr="00477395">
        <w:t xml:space="preserve">six patients treated with cetuximab and two patients treated with chemotherapy alone were still in the EXTREME trial and known to be alive. The ESC noted that response was assessed by the investigator and again noted the low number of patients in each arm. </w:t>
      </w:r>
      <w:r w:rsidR="00F270E8" w:rsidRPr="00477395">
        <w:t>The ESC considered that this time horizon was optimistic</w:t>
      </w:r>
      <w:r w:rsidR="00477395">
        <w:t>.</w:t>
      </w:r>
      <w:r w:rsidR="00F270E8" w:rsidRPr="00477395">
        <w:rPr>
          <w:iCs/>
          <w:szCs w:val="22"/>
        </w:rPr>
        <w:t xml:space="preserve"> </w:t>
      </w:r>
      <w:r w:rsidR="00DE4BB4" w:rsidRPr="00477395">
        <w:rPr>
          <w:iCs/>
          <w:szCs w:val="22"/>
        </w:rPr>
        <w:t xml:space="preserve">The estimated ICER for the </w:t>
      </w:r>
      <w:r w:rsidR="00DE4BB4" w:rsidRPr="00477395">
        <w:rPr>
          <w:szCs w:val="22"/>
        </w:rPr>
        <w:t>post hoc</w:t>
      </w:r>
      <w:r w:rsidR="00DE4BB4" w:rsidRPr="00477395">
        <w:rPr>
          <w:iCs/>
          <w:szCs w:val="22"/>
        </w:rPr>
        <w:t xml:space="preserve"> subgroup model was additionally uncertain given concerns regarding the robustness </w:t>
      </w:r>
      <w:r w:rsidR="00DE4BB4" w:rsidRPr="00477395">
        <w:rPr>
          <w:iCs/>
          <w:szCs w:val="22"/>
        </w:rPr>
        <w:lastRenderedPageBreak/>
        <w:t>of the underlying data.</w:t>
      </w:r>
      <w:r w:rsidR="00F270E8" w:rsidRPr="00477395">
        <w:rPr>
          <w:iCs/>
          <w:szCs w:val="22"/>
        </w:rPr>
        <w:t xml:space="preserve"> The ESC noted a key driver of the post hoc subgroup model was the modelled survival gain and that this could be driven by the poor performance of the comparator arm in the subgroup as well </w:t>
      </w:r>
      <w:r w:rsidR="00761C6F" w:rsidRPr="00477395">
        <w:rPr>
          <w:iCs/>
          <w:szCs w:val="22"/>
        </w:rPr>
        <w:t>as the</w:t>
      </w:r>
      <w:r w:rsidR="00F270E8" w:rsidRPr="00477395">
        <w:rPr>
          <w:iCs/>
          <w:szCs w:val="22"/>
        </w:rPr>
        <w:t xml:space="preserve"> small numbers in the subgroup informing the model inputs.</w:t>
      </w:r>
    </w:p>
    <w:p w:rsidR="0068190F" w:rsidRPr="0068190F" w:rsidRDefault="0068190F" w:rsidP="0068190F">
      <w:pPr>
        <w:pStyle w:val="ListParagraph"/>
        <w:rPr>
          <w:iCs/>
          <w:szCs w:val="22"/>
        </w:rPr>
      </w:pPr>
    </w:p>
    <w:p w:rsidR="00331EED" w:rsidRPr="00570007" w:rsidRDefault="00FB1606" w:rsidP="00B15815">
      <w:pPr>
        <w:pStyle w:val="ListParagraph"/>
        <w:widowControl/>
        <w:numPr>
          <w:ilvl w:val="1"/>
          <w:numId w:val="3"/>
        </w:numPr>
        <w:rPr>
          <w:iCs/>
          <w:szCs w:val="22"/>
        </w:rPr>
      </w:pPr>
      <w:r w:rsidRPr="00570007">
        <w:rPr>
          <w:iCs/>
          <w:szCs w:val="22"/>
        </w:rPr>
        <w:t>The results of the sensitivity analyses indicate that both models were sensitive to the cost of cetuximab and its administration costs, the shortening of the time horizon and utility values.</w:t>
      </w:r>
    </w:p>
    <w:p w:rsidR="00020A42" w:rsidRPr="00020A42" w:rsidRDefault="00020A42" w:rsidP="00020A42">
      <w:pPr>
        <w:pStyle w:val="ListParagraph"/>
        <w:rPr>
          <w:i/>
          <w:iCs/>
          <w:szCs w:val="22"/>
        </w:rPr>
      </w:pPr>
    </w:p>
    <w:p w:rsidR="00020A42" w:rsidRDefault="00020A42" w:rsidP="00020A42">
      <w:pPr>
        <w:ind w:firstLine="720"/>
        <w:rPr>
          <w:rFonts w:ascii="Arial Narrow" w:hAnsi="Arial Narrow"/>
          <w:b/>
          <w:sz w:val="20"/>
          <w:szCs w:val="16"/>
        </w:rPr>
      </w:pPr>
      <w:r>
        <w:rPr>
          <w:rFonts w:ascii="Arial Narrow" w:hAnsi="Arial Narrow"/>
          <w:b/>
          <w:sz w:val="20"/>
          <w:szCs w:val="16"/>
        </w:rPr>
        <w:t xml:space="preserve">Table </w:t>
      </w:r>
      <w:r w:rsidR="00C67B31">
        <w:rPr>
          <w:rFonts w:ascii="Arial Narrow" w:hAnsi="Arial Narrow"/>
          <w:b/>
          <w:sz w:val="20"/>
          <w:szCs w:val="16"/>
        </w:rPr>
        <w:t>9</w:t>
      </w:r>
      <w:r>
        <w:rPr>
          <w:rFonts w:ascii="Arial Narrow" w:hAnsi="Arial Narrow"/>
          <w:b/>
          <w:sz w:val="20"/>
          <w:szCs w:val="16"/>
        </w:rPr>
        <w:t>: Results of key univariate sensitivity analyses (incremental cost per additional QALY gained)</w:t>
      </w:r>
    </w:p>
    <w:tbl>
      <w:tblPr>
        <w:tblStyle w:val="TableGrid"/>
        <w:tblW w:w="8385" w:type="dxa"/>
        <w:tblInd w:w="704" w:type="dxa"/>
        <w:tblLayout w:type="fixed"/>
        <w:tblCellMar>
          <w:left w:w="28" w:type="dxa"/>
          <w:right w:w="28" w:type="dxa"/>
        </w:tblCellMar>
        <w:tblLook w:val="04A0" w:firstRow="1" w:lastRow="0" w:firstColumn="1" w:lastColumn="0" w:noHBand="0" w:noVBand="1"/>
        <w:tblCaption w:val="Table 9: Results of key univariate sensitivity analyses (incremental cost per additional QALY gained)"/>
      </w:tblPr>
      <w:tblGrid>
        <w:gridCol w:w="2694"/>
        <w:gridCol w:w="993"/>
        <w:gridCol w:w="993"/>
        <w:gridCol w:w="851"/>
        <w:gridCol w:w="994"/>
        <w:gridCol w:w="993"/>
        <w:gridCol w:w="867"/>
      </w:tblGrid>
      <w:tr w:rsidR="00020A42" w:rsidTr="00020A42">
        <w:trPr>
          <w:cantSplit/>
          <w:tblHeader/>
        </w:trPr>
        <w:tc>
          <w:tcPr>
            <w:tcW w:w="2693" w:type="dxa"/>
            <w:vMerge w:val="restart"/>
            <w:tcBorders>
              <w:top w:val="single" w:sz="4" w:space="0" w:color="auto"/>
              <w:left w:val="single" w:sz="4" w:space="0" w:color="auto"/>
              <w:bottom w:val="single" w:sz="4" w:space="0" w:color="auto"/>
              <w:right w:val="single" w:sz="4" w:space="0" w:color="auto"/>
            </w:tcBorders>
          </w:tcPr>
          <w:p w:rsidR="00020A42" w:rsidRDefault="00020A42">
            <w:pPr>
              <w:rPr>
                <w:rFonts w:ascii="Arial Narrow" w:hAnsi="Arial Narrow"/>
                <w:b/>
                <w:sz w:val="20"/>
                <w:szCs w:val="16"/>
              </w:rPr>
            </w:pPr>
          </w:p>
        </w:tc>
        <w:tc>
          <w:tcPr>
            <w:tcW w:w="2835" w:type="dxa"/>
            <w:gridSpan w:val="3"/>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
                <w:i/>
                <w:iCs/>
                <w:sz w:val="20"/>
                <w:szCs w:val="16"/>
              </w:rPr>
            </w:pPr>
            <w:r>
              <w:rPr>
                <w:rFonts w:ascii="Arial Narrow" w:hAnsi="Arial Narrow"/>
                <w:b/>
                <w:bCs/>
                <w:i/>
                <w:iCs/>
                <w:sz w:val="20"/>
              </w:rPr>
              <w:t>ITT population</w:t>
            </w:r>
          </w:p>
        </w:tc>
        <w:tc>
          <w:tcPr>
            <w:tcW w:w="2851" w:type="dxa"/>
            <w:gridSpan w:val="3"/>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
                <w:sz w:val="20"/>
                <w:szCs w:val="16"/>
              </w:rPr>
            </w:pPr>
            <w:r>
              <w:rPr>
                <w:rFonts w:ascii="Arial Narrow" w:hAnsi="Arial Narrow"/>
                <w:b/>
                <w:bCs/>
                <w:sz w:val="20"/>
              </w:rPr>
              <w:t>Oral cavity &amp; KPS ≥80 (</w:t>
            </w:r>
            <w:r>
              <w:rPr>
                <w:rFonts w:ascii="Arial Narrow" w:hAnsi="Arial Narrow"/>
                <w:b/>
                <w:bCs/>
                <w:i/>
                <w:iCs/>
                <w:sz w:val="20"/>
              </w:rPr>
              <w:t>post hoc</w:t>
            </w:r>
            <w:r>
              <w:rPr>
                <w:rFonts w:ascii="Arial Narrow" w:hAnsi="Arial Narrow"/>
                <w:b/>
                <w:bCs/>
                <w:sz w:val="20"/>
              </w:rPr>
              <w:t>)</w:t>
            </w:r>
          </w:p>
        </w:tc>
      </w:tr>
      <w:tr w:rsidR="00020A42" w:rsidTr="00020A42">
        <w:trPr>
          <w:cantSplit/>
          <w:tblHeader/>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20A42" w:rsidRDefault="00020A42">
            <w:pPr>
              <w:rPr>
                <w:rFonts w:ascii="Arial Narrow" w:hAnsi="Arial Narrow"/>
                <w:b/>
                <w:sz w:val="20"/>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
                <w:i/>
                <w:iCs/>
                <w:sz w:val="20"/>
                <w:szCs w:val="16"/>
              </w:rPr>
            </w:pPr>
            <w:r>
              <w:rPr>
                <w:rFonts w:ascii="Arial Narrow" w:hAnsi="Arial Narrow"/>
                <w:b/>
                <w:i/>
                <w:iCs/>
                <w:sz w:val="20"/>
                <w:szCs w:val="16"/>
              </w:rPr>
              <w:t>Incremental costs</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
                <w:i/>
                <w:iCs/>
                <w:sz w:val="20"/>
                <w:szCs w:val="16"/>
              </w:rPr>
            </w:pPr>
            <w:r>
              <w:rPr>
                <w:rFonts w:ascii="Arial Narrow" w:hAnsi="Arial Narrow"/>
                <w:b/>
                <w:i/>
                <w:iCs/>
                <w:sz w:val="20"/>
                <w:szCs w:val="16"/>
              </w:rPr>
              <w:t>Incremental QALY</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
                <w:i/>
                <w:iCs/>
                <w:sz w:val="20"/>
                <w:szCs w:val="16"/>
              </w:rPr>
            </w:pPr>
            <w:r>
              <w:rPr>
                <w:rFonts w:ascii="Arial Narrow" w:hAnsi="Arial Narrow"/>
                <w:b/>
                <w:i/>
                <w:iCs/>
                <w:sz w:val="20"/>
                <w:szCs w:val="16"/>
              </w:rPr>
              <w:t>ICER</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
                <w:sz w:val="20"/>
                <w:szCs w:val="16"/>
              </w:rPr>
            </w:pPr>
            <w:r>
              <w:rPr>
                <w:rFonts w:ascii="Arial Narrow" w:hAnsi="Arial Narrow"/>
                <w:b/>
                <w:sz w:val="20"/>
                <w:szCs w:val="16"/>
              </w:rPr>
              <w:t>Incremental costs</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
                <w:sz w:val="20"/>
                <w:szCs w:val="16"/>
              </w:rPr>
            </w:pPr>
            <w:r>
              <w:rPr>
                <w:rFonts w:ascii="Arial Narrow" w:hAnsi="Arial Narrow"/>
                <w:b/>
                <w:sz w:val="20"/>
                <w:szCs w:val="16"/>
              </w:rPr>
              <w:t>Incremental QALY</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
                <w:sz w:val="20"/>
                <w:szCs w:val="16"/>
              </w:rPr>
            </w:pPr>
            <w:r>
              <w:rPr>
                <w:rFonts w:ascii="Arial Narrow" w:hAnsi="Arial Narrow"/>
                <w:b/>
                <w:sz w:val="20"/>
                <w:szCs w:val="16"/>
              </w:rPr>
              <w:t>ICER</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sz w:val="20"/>
                <w:szCs w:val="16"/>
              </w:rPr>
            </w:pPr>
            <w:r>
              <w:rPr>
                <w:rFonts w:ascii="Arial Narrow" w:hAnsi="Arial Narrow"/>
                <w:bCs/>
                <w:sz w:val="20"/>
                <w:szCs w:val="16"/>
              </w:rPr>
              <w:t>Base case</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sz w:val="20"/>
              </w:rPr>
              <w:t>$</w:t>
            </w:r>
            <w:r w:rsidR="00E9019D">
              <w:rPr>
                <w:rFonts w:ascii="Arial Narrow" w:hAnsi="Arial Narrow"/>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sz w:val="20"/>
              </w:rPr>
              <w:t>0.190</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
                <w:i/>
                <w:iCs/>
                <w:sz w:val="20"/>
                <w:szCs w:val="16"/>
              </w:rPr>
            </w:pPr>
            <w:r>
              <w:rPr>
                <w:rFonts w:ascii="Arial Narrow" w:hAnsi="Arial Narrow"/>
                <w:sz w:val="20"/>
              </w:rPr>
              <w:t>$</w:t>
            </w:r>
            <w:r w:rsidR="00E9019D">
              <w:rPr>
                <w:rFonts w:ascii="Arial Narrow" w:hAnsi="Arial Narrow"/>
                <w:noProof/>
                <w:color w:val="000000"/>
                <w:sz w:val="20"/>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bCs/>
                <w:sz w:val="20"/>
              </w:rPr>
              <w:t>$</w:t>
            </w:r>
            <w:r w:rsidR="00E9019D">
              <w:rPr>
                <w:rFonts w:ascii="Arial Narrow" w:hAnsi="Arial Narrow"/>
                <w:b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bCs/>
                <w:sz w:val="20"/>
              </w:rPr>
              <w:t>0.486</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bCs/>
                <w:sz w:val="20"/>
              </w:rPr>
              <w:t>$</w:t>
            </w:r>
            <w:r w:rsidR="00E9019D">
              <w:rPr>
                <w:rFonts w:ascii="Arial Narrow" w:hAnsi="Arial Narrow"/>
                <w:bCs/>
                <w:noProof/>
                <w:color w:val="000000"/>
                <w:sz w:val="20"/>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sz w:val="20"/>
                <w:szCs w:val="16"/>
              </w:rPr>
            </w:pPr>
            <w:r>
              <w:rPr>
                <w:rFonts w:ascii="Arial Narrow" w:hAnsi="Arial Narrow"/>
                <w:bCs/>
                <w:sz w:val="20"/>
                <w:szCs w:val="16"/>
              </w:rPr>
              <w:t>Using Weibull distribution (b/c: ITT: log logistic; subgroup: log normal)</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NR</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NR</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cs="Calibri"/>
                <w:bCs/>
                <w:sz w:val="20"/>
              </w:rPr>
              <w:t>$</w:t>
            </w:r>
            <w:r w:rsidR="00E9019D">
              <w:rPr>
                <w:rFonts w:ascii="Arial Narrow" w:hAnsi="Arial Narrow" w:cs="Calibri"/>
                <w:b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cs="Calibri"/>
                <w:bCs/>
                <w:sz w:val="20"/>
              </w:rPr>
              <w:t>0.424</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cs="Calibri"/>
                <w:bCs/>
                <w:sz w:val="20"/>
              </w:rPr>
              <w:t>$</w:t>
            </w:r>
            <w:r w:rsidR="00E9019D">
              <w:rPr>
                <w:rFonts w:ascii="Arial Narrow" w:hAnsi="Arial Narrow" w:cs="Calibri"/>
                <w:bCs/>
                <w:noProof/>
                <w:color w:val="000000"/>
                <w:sz w:val="20"/>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sz w:val="20"/>
                <w:szCs w:val="16"/>
              </w:rPr>
            </w:pPr>
            <w:r>
              <w:rPr>
                <w:rFonts w:ascii="Arial Narrow" w:hAnsi="Arial Narrow"/>
                <w:bCs/>
                <w:i/>
                <w:iCs/>
                <w:sz w:val="20"/>
                <w:szCs w:val="16"/>
              </w:rPr>
              <w:t>Reduce time horizon to 3 yrs (b/c: 5 yrs)</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0.157</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cs="Calibri"/>
                <w:bCs/>
                <w:sz w:val="20"/>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cs="Calibri"/>
                <w:bCs/>
                <w:sz w:val="20"/>
              </w:rPr>
            </w:pPr>
            <w:r>
              <w:rPr>
                <w:rFonts w:ascii="Arial Narrow" w:hAnsi="Arial Narrow"/>
                <w:bCs/>
                <w:i/>
                <w:iCs/>
                <w:sz w:val="20"/>
                <w:szCs w:val="16"/>
              </w:rPr>
              <w:t>0.441</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cs="Calibri"/>
                <w:bCs/>
                <w:sz w:val="20"/>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i/>
                <w:iCs/>
                <w:sz w:val="20"/>
                <w:szCs w:val="16"/>
              </w:rPr>
            </w:pPr>
            <w:r>
              <w:rPr>
                <w:rFonts w:ascii="Arial Narrow" w:hAnsi="Arial Narrow"/>
                <w:bCs/>
                <w:i/>
                <w:iCs/>
                <w:sz w:val="20"/>
                <w:szCs w:val="16"/>
              </w:rPr>
              <w:t xml:space="preserve">Increase confidential rebate to </w:t>
            </w:r>
            <w:r w:rsidR="00E9019D">
              <w:rPr>
                <w:rFonts w:ascii="Arial Narrow" w:hAnsi="Arial Narrow"/>
                <w:bCs/>
                <w:i/>
                <w:iCs/>
                <w:noProof/>
                <w:color w:val="000000"/>
                <w:sz w:val="20"/>
                <w:szCs w:val="16"/>
                <w:highlight w:val="black"/>
              </w:rPr>
              <w:t>''''''''''''''''</w:t>
            </w:r>
            <w:r>
              <w:rPr>
                <w:rFonts w:ascii="Arial Narrow" w:hAnsi="Arial Narrow"/>
                <w:bCs/>
                <w:i/>
                <w:iCs/>
                <w:sz w:val="20"/>
                <w:szCs w:val="16"/>
              </w:rPr>
              <w:t xml:space="preserve">% (b/c: </w:t>
            </w:r>
            <w:r w:rsidR="00E9019D">
              <w:rPr>
                <w:rFonts w:ascii="Arial Narrow" w:hAnsi="Arial Narrow"/>
                <w:bCs/>
                <w:i/>
                <w:iCs/>
                <w:noProof/>
                <w:color w:val="000000"/>
                <w:sz w:val="20"/>
                <w:szCs w:val="16"/>
                <w:highlight w:val="black"/>
              </w:rPr>
              <w:t>''''''''''</w:t>
            </w:r>
            <w:r>
              <w:rPr>
                <w:rFonts w:ascii="Arial Narrow" w:hAnsi="Arial Narrow"/>
                <w:bCs/>
                <w:i/>
                <w:iCs/>
                <w:sz w:val="20"/>
                <w:szCs w:val="16"/>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0.190</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0.486</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i/>
                <w:iCs/>
                <w:sz w:val="20"/>
                <w:szCs w:val="16"/>
              </w:rPr>
            </w:pPr>
            <w:r>
              <w:rPr>
                <w:rFonts w:ascii="Arial Narrow" w:hAnsi="Arial Narrow"/>
                <w:bCs/>
                <w:i/>
                <w:iCs/>
                <w:sz w:val="20"/>
                <w:szCs w:val="16"/>
              </w:rPr>
              <w:t xml:space="preserve">Drug administration cost as per Nov 2014 mCRC submission </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0.190</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bCs/>
                <w:i/>
                <w:iCs/>
                <w:sz w:val="20"/>
              </w:rPr>
              <w:t>0.486</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sz w:val="20"/>
                <w:szCs w:val="16"/>
              </w:rPr>
            </w:pPr>
            <w:r>
              <w:rPr>
                <w:rFonts w:ascii="Arial Narrow" w:hAnsi="Arial Narrow"/>
                <w:bCs/>
                <w:sz w:val="20"/>
                <w:szCs w:val="16"/>
              </w:rPr>
              <w:t>Utilities from Greenhalgh (2008): PF on cetuximab 0.69, PF on CT 0.65, &amp; progressed 0.52 (b/c: 0.8, 0.8 &amp; 0.6)</w:t>
            </w:r>
            <w:r>
              <w:rPr>
                <w:rFonts w:ascii="Arial Narrow" w:hAnsi="Arial Narrow"/>
                <w:bCs/>
                <w:sz w:val="20"/>
                <w:szCs w:val="16"/>
                <w:vertAlign w:val="superscript"/>
              </w:rPr>
              <w:t>a</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0.178</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0.431</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r>
      <w:tr w:rsidR="00020A42" w:rsidTr="00020A42">
        <w:trPr>
          <w:cantSplit/>
        </w:trPr>
        <w:tc>
          <w:tcPr>
            <w:tcW w:w="2693" w:type="dxa"/>
            <w:tcBorders>
              <w:top w:val="single" w:sz="4" w:space="0" w:color="auto"/>
              <w:left w:val="single" w:sz="4" w:space="0" w:color="auto"/>
              <w:bottom w:val="single" w:sz="4" w:space="0" w:color="auto"/>
              <w:right w:val="single" w:sz="4" w:space="0" w:color="auto"/>
            </w:tcBorders>
            <w:hideMark/>
          </w:tcPr>
          <w:p w:rsidR="00020A42" w:rsidRDefault="00020A42">
            <w:pPr>
              <w:rPr>
                <w:rFonts w:ascii="Arial Narrow" w:hAnsi="Arial Narrow"/>
                <w:bCs/>
                <w:i/>
                <w:iCs/>
                <w:sz w:val="20"/>
                <w:szCs w:val="16"/>
              </w:rPr>
            </w:pPr>
            <w:r>
              <w:rPr>
                <w:rFonts w:ascii="Arial Narrow" w:hAnsi="Arial Narrow"/>
                <w:bCs/>
                <w:i/>
                <w:iCs/>
                <w:sz w:val="20"/>
                <w:szCs w:val="16"/>
              </w:rPr>
              <w:t>Utilities</w:t>
            </w:r>
            <w:r>
              <w:rPr>
                <w:rFonts w:ascii="Arial Narrow" w:hAnsi="Arial Narrow"/>
                <w:bCs/>
                <w:sz w:val="20"/>
                <w:szCs w:val="16"/>
              </w:rPr>
              <w:t xml:space="preserve"> </w:t>
            </w:r>
            <w:r>
              <w:rPr>
                <w:rFonts w:ascii="Arial Narrow" w:hAnsi="Arial Narrow"/>
                <w:bCs/>
                <w:i/>
                <w:iCs/>
                <w:sz w:val="20"/>
                <w:szCs w:val="16"/>
              </w:rPr>
              <w:t>from Greenhalgh (2008): overall utilities without treatment-related utility: PF both arms 0.67 &amp; progressed 0.52 (b/c: 0.8 &amp; 0.6)</w:t>
            </w:r>
          </w:p>
        </w:tc>
        <w:tc>
          <w:tcPr>
            <w:tcW w:w="993"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keepNext/>
              <w:jc w:val="center"/>
              <w:rPr>
                <w:rFonts w:ascii="Arial Narrow" w:hAnsi="Arial Narrow"/>
                <w:bCs/>
                <w:i/>
                <w:iCs/>
                <w:sz w:val="20"/>
                <w:szCs w:val="16"/>
              </w:rPr>
            </w:pPr>
            <w:r>
              <w:rPr>
                <w:rFonts w:ascii="Arial Narrow" w:hAnsi="Arial Narrow"/>
                <w:bCs/>
                <w:i/>
                <w:iCs/>
                <w:sz w:val="20"/>
                <w:szCs w:val="16"/>
              </w:rPr>
              <w:t>0.160</w:t>
            </w:r>
          </w:p>
        </w:tc>
        <w:tc>
          <w:tcPr>
            <w:tcW w:w="850" w:type="dxa"/>
            <w:tcBorders>
              <w:top w:val="single" w:sz="4" w:space="0" w:color="auto"/>
              <w:left w:val="single" w:sz="4" w:space="0" w:color="auto"/>
              <w:bottom w:val="single" w:sz="4" w:space="0" w:color="auto"/>
              <w:right w:val="double" w:sz="4" w:space="0" w:color="auto"/>
            </w:tcBorders>
            <w:vAlign w:val="center"/>
            <w:hideMark/>
          </w:tcPr>
          <w:p w:rsidR="00020A42" w:rsidRDefault="00020A42">
            <w:pPr>
              <w:jc w:val="center"/>
              <w:rPr>
                <w:rFonts w:ascii="Arial Narrow" w:hAnsi="Arial Narrow"/>
                <w:bCs/>
                <w:i/>
                <w:iCs/>
                <w:sz w:val="20"/>
                <w:szCs w:val="16"/>
              </w:rPr>
            </w:pPr>
            <w:r>
              <w:rPr>
                <w:rFonts w:ascii="Arial Narrow" w:hAnsi="Arial Narrow"/>
                <w:bCs/>
                <w:i/>
                <w:iCs/>
                <w:sz w:val="20"/>
                <w:szCs w:val="16"/>
              </w:rPr>
              <w:t>$</w:t>
            </w:r>
            <w:r w:rsidR="00E9019D">
              <w:rPr>
                <w:rFonts w:ascii="Arial Narrow" w:hAnsi="Arial Narrow"/>
                <w:bCs/>
                <w:i/>
                <w:iCs/>
                <w:noProof/>
                <w:color w:val="000000"/>
                <w:sz w:val="20"/>
                <w:szCs w:val="16"/>
                <w:highlight w:val="black"/>
              </w:rPr>
              <w:t>'''''''''''''''''''''</w:t>
            </w:r>
          </w:p>
        </w:tc>
        <w:tc>
          <w:tcPr>
            <w:tcW w:w="993" w:type="dxa"/>
            <w:tcBorders>
              <w:top w:val="single" w:sz="4" w:space="0" w:color="auto"/>
              <w:left w:val="double" w:sz="4" w:space="0" w:color="auto"/>
              <w:bottom w:val="single" w:sz="4" w:space="0" w:color="auto"/>
              <w:right w:val="single" w:sz="4" w:space="0" w:color="auto"/>
            </w:tcBorders>
            <w:vAlign w:val="center"/>
            <w:hideMark/>
          </w:tcPr>
          <w:p w:rsidR="00020A42" w:rsidRDefault="00020A42">
            <w:pPr>
              <w:jc w:val="center"/>
              <w:rPr>
                <w:rFonts w:ascii="Arial Narrow" w:hAnsi="Arial Narrow"/>
                <w:bCs/>
                <w:sz w:val="20"/>
              </w:rPr>
            </w:pPr>
            <w:r>
              <w:rPr>
                <w:rFonts w:ascii="Arial Narrow" w:hAnsi="Arial Narrow"/>
                <w:bCs/>
                <w:i/>
                <w:iCs/>
                <w:sz w:val="20"/>
              </w:rPr>
              <w:t>$</w:t>
            </w:r>
            <w:r w:rsidR="00E9019D">
              <w:rPr>
                <w:rFonts w:ascii="Arial Narrow" w:hAnsi="Arial Narrow"/>
                <w:bCs/>
                <w:i/>
                <w:iCs/>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0.413</w:t>
            </w:r>
          </w:p>
        </w:tc>
        <w:tc>
          <w:tcPr>
            <w:tcW w:w="866" w:type="dxa"/>
            <w:tcBorders>
              <w:top w:val="single" w:sz="4" w:space="0" w:color="auto"/>
              <w:left w:val="single" w:sz="4" w:space="0" w:color="auto"/>
              <w:bottom w:val="single" w:sz="4" w:space="0" w:color="auto"/>
              <w:right w:val="single" w:sz="4" w:space="0" w:color="auto"/>
            </w:tcBorders>
            <w:vAlign w:val="center"/>
            <w:hideMark/>
          </w:tcPr>
          <w:p w:rsidR="00020A42" w:rsidRDefault="00020A42">
            <w:pPr>
              <w:jc w:val="center"/>
              <w:rPr>
                <w:rFonts w:ascii="Arial Narrow" w:hAnsi="Arial Narrow"/>
                <w:bCs/>
                <w:i/>
                <w:iCs/>
                <w:sz w:val="20"/>
              </w:rPr>
            </w:pPr>
            <w:r>
              <w:rPr>
                <w:rFonts w:ascii="Arial Narrow" w:hAnsi="Arial Narrow"/>
                <w:bCs/>
                <w:i/>
                <w:iCs/>
                <w:sz w:val="20"/>
              </w:rPr>
              <w:t>$</w:t>
            </w:r>
            <w:r w:rsidR="00E9019D">
              <w:rPr>
                <w:rFonts w:ascii="Arial Narrow" w:hAnsi="Arial Narrow"/>
                <w:bCs/>
                <w:i/>
                <w:iCs/>
                <w:noProof/>
                <w:color w:val="000000"/>
                <w:sz w:val="20"/>
                <w:highlight w:val="black"/>
              </w:rPr>
              <w:t>''''''''''''''''</w:t>
            </w:r>
          </w:p>
        </w:tc>
      </w:tr>
    </w:tbl>
    <w:p w:rsidR="00020A42" w:rsidRDefault="00020A42" w:rsidP="00020A42">
      <w:pPr>
        <w:ind w:left="720"/>
        <w:rPr>
          <w:rFonts w:ascii="Arial Narrow" w:hAnsi="Arial Narrow"/>
          <w:i/>
          <w:iCs/>
          <w:sz w:val="18"/>
          <w:szCs w:val="18"/>
        </w:rPr>
      </w:pPr>
      <w:r>
        <w:rPr>
          <w:rFonts w:ascii="Arial Narrow" w:hAnsi="Arial Narrow"/>
          <w:sz w:val="18"/>
          <w:szCs w:val="18"/>
        </w:rPr>
        <w:t xml:space="preserve">Source: Table D.6-1 p119 of the submission; ‘2 Copy of Economic evaluation.xlsx’ and ‘3 Copy of Economic evaluation using ITT population.xlsx’. </w:t>
      </w:r>
      <w:r>
        <w:rPr>
          <w:rFonts w:ascii="Arial Narrow" w:hAnsi="Arial Narrow"/>
          <w:i/>
          <w:iCs/>
          <w:sz w:val="18"/>
          <w:szCs w:val="18"/>
        </w:rPr>
        <w:t xml:space="preserve">Additional data in italics calculated during the evaluation. </w:t>
      </w:r>
    </w:p>
    <w:p w:rsidR="00020A42" w:rsidRPr="00020A42" w:rsidRDefault="00020A42" w:rsidP="00020A42">
      <w:pPr>
        <w:ind w:left="720"/>
        <w:rPr>
          <w:rFonts w:ascii="Arial Narrow" w:hAnsi="Arial Narrow"/>
          <w:sz w:val="18"/>
          <w:szCs w:val="18"/>
        </w:rPr>
      </w:pPr>
      <w:r w:rsidRPr="00020A42">
        <w:rPr>
          <w:rFonts w:ascii="Arial Narrow" w:hAnsi="Arial Narrow"/>
          <w:sz w:val="18"/>
          <w:szCs w:val="18"/>
        </w:rPr>
        <w:t xml:space="preserve">Abbreviations: b/c = base case; CT = chemotherapy; ICER = incremental cost-effectiveness ratio; ITT = intention-to-treat; mCRC = metastatic colorectal cancer; PF = progression-free; QALY = quality-adjusted life year. </w:t>
      </w:r>
    </w:p>
    <w:p w:rsidR="00020A42" w:rsidRPr="00020A42" w:rsidRDefault="00020A42" w:rsidP="00020A42">
      <w:pPr>
        <w:ind w:left="720"/>
        <w:rPr>
          <w:rFonts w:ascii="Arial Narrow" w:hAnsi="Arial Narrow"/>
          <w:sz w:val="18"/>
          <w:szCs w:val="18"/>
        </w:rPr>
      </w:pPr>
      <w:r w:rsidRPr="00020A42">
        <w:rPr>
          <w:rFonts w:ascii="Arial Narrow" w:hAnsi="Arial Narrow"/>
          <w:bCs/>
          <w:sz w:val="18"/>
          <w:szCs w:val="18"/>
        </w:rPr>
        <w:t xml:space="preserve">Greenhalgh (2008): </w:t>
      </w:r>
      <w:r w:rsidRPr="00020A42">
        <w:rPr>
          <w:rFonts w:ascii="Arial Narrow" w:hAnsi="Arial Narrow" w:cs="Times New Roman"/>
          <w:sz w:val="18"/>
          <w:szCs w:val="18"/>
        </w:rPr>
        <w:t>QoL analyses from the open-label EXTREME trial (ITT population) – mapped from QLQ-C30 to utilities using a cross walk algorithm (abstract in pancreatic cancer setting)</w:t>
      </w:r>
    </w:p>
    <w:p w:rsidR="00020A42" w:rsidRDefault="00020A42" w:rsidP="00020A42">
      <w:pPr>
        <w:ind w:left="709"/>
        <w:rPr>
          <w:rFonts w:ascii="Arial Narrow" w:hAnsi="Arial Narrow"/>
          <w:b/>
          <w:sz w:val="18"/>
          <w:szCs w:val="18"/>
        </w:rPr>
      </w:pPr>
      <w:r w:rsidRPr="00020A42">
        <w:rPr>
          <w:rFonts w:ascii="Arial Narrow" w:hAnsi="Arial Narrow"/>
          <w:bCs/>
          <w:i/>
          <w:iCs/>
          <w:sz w:val="18"/>
          <w:szCs w:val="18"/>
          <w:vertAlign w:val="superscript"/>
        </w:rPr>
        <w:t>a</w:t>
      </w:r>
      <w:r w:rsidRPr="00020A42">
        <w:rPr>
          <w:rFonts w:ascii="Arial Narrow" w:hAnsi="Arial Narrow"/>
          <w:bCs/>
          <w:i/>
          <w:iCs/>
          <w:sz w:val="18"/>
          <w:szCs w:val="18"/>
        </w:rPr>
        <w:t xml:space="preserve"> The results</w:t>
      </w:r>
      <w:r>
        <w:rPr>
          <w:rFonts w:ascii="Arial Narrow" w:hAnsi="Arial Narrow"/>
          <w:bCs/>
          <w:i/>
          <w:iCs/>
          <w:sz w:val="18"/>
          <w:szCs w:val="18"/>
        </w:rPr>
        <w:t xml:space="preserve"> of the sensitivity analyses could not be verified during the evaluation. As the incremental cost differed from the base case (which should not have occurred), values calculated during the evaluation were used.</w:t>
      </w:r>
    </w:p>
    <w:p w:rsidR="00485F8F" w:rsidRDefault="00485F8F" w:rsidP="00485F8F">
      <w:pPr>
        <w:pStyle w:val="ListParagraph"/>
        <w:rPr>
          <w:i/>
          <w:iCs/>
          <w:szCs w:val="22"/>
        </w:rPr>
      </w:pPr>
    </w:p>
    <w:p w:rsidR="00B15815" w:rsidRDefault="00B15815" w:rsidP="00485F8F">
      <w:pPr>
        <w:pStyle w:val="ListParagraph"/>
        <w:rPr>
          <w:iCs/>
        </w:rPr>
      </w:pPr>
      <w:r w:rsidRPr="001F0A7F">
        <w:rPr>
          <w:iCs/>
        </w:rPr>
        <w:t>The</w:t>
      </w:r>
      <w:r>
        <w:rPr>
          <w:iCs/>
        </w:rPr>
        <w:t xml:space="preserve"> redacted table above shows ICERs for the ITT population for all scenarios in the range of $105,000/QALY - $200,000/QALY</w:t>
      </w:r>
      <w:r w:rsidR="00D42586">
        <w:rPr>
          <w:iCs/>
        </w:rPr>
        <w:t>, except for increasing the confidential rebate, when the ICER would be in the range of $45,000/QALY - $75,000/QALY.</w:t>
      </w:r>
      <w:r w:rsidR="00A050EB">
        <w:rPr>
          <w:iCs/>
        </w:rPr>
        <w:t xml:space="preserve"> </w:t>
      </w:r>
      <w:r w:rsidR="00FE44D2">
        <w:rPr>
          <w:iCs/>
        </w:rPr>
        <w:t>For the post hoc subgroup, the table shows ICERs in the range of $45,000/QALY - $75,000/QALY, except for increasing the confidential rebate, when the ICER would be in the range of $15,000/QALY - $45,000/QALY.</w:t>
      </w:r>
    </w:p>
    <w:p w:rsidR="00B15815" w:rsidRPr="00485F8F" w:rsidRDefault="00B15815" w:rsidP="00485F8F">
      <w:pPr>
        <w:pStyle w:val="ListParagraph"/>
        <w:rPr>
          <w:i/>
          <w:iCs/>
          <w:szCs w:val="22"/>
        </w:rPr>
      </w:pPr>
    </w:p>
    <w:p w:rsidR="00485F8F" w:rsidRPr="001F0A7F" w:rsidRDefault="00485F8F" w:rsidP="00B15815">
      <w:pPr>
        <w:pStyle w:val="ListParagraph"/>
        <w:widowControl/>
        <w:numPr>
          <w:ilvl w:val="1"/>
          <w:numId w:val="3"/>
        </w:numPr>
        <w:rPr>
          <w:iCs/>
          <w:szCs w:val="22"/>
        </w:rPr>
      </w:pPr>
      <w:r w:rsidRPr="001F0A7F">
        <w:rPr>
          <w:iCs/>
        </w:rPr>
        <w:t xml:space="preserve">The PBAC previously considered a similar methodology of </w:t>
      </w:r>
      <w:r w:rsidR="00C22BC3" w:rsidRPr="001F0A7F">
        <w:rPr>
          <w:iCs/>
        </w:rPr>
        <w:t xml:space="preserve">determining </w:t>
      </w:r>
      <w:r w:rsidRPr="001F0A7F">
        <w:rPr>
          <w:iCs/>
        </w:rPr>
        <w:t>administration costs in the July 2015 minor submission for cetuximab</w:t>
      </w:r>
      <w:r w:rsidR="007C258F" w:rsidRPr="001F0A7F">
        <w:rPr>
          <w:iCs/>
        </w:rPr>
        <w:t xml:space="preserve"> (following the November 2014 recommendation </w:t>
      </w:r>
      <w:r w:rsidR="00C22BC3" w:rsidRPr="001F0A7F">
        <w:rPr>
          <w:iCs/>
        </w:rPr>
        <w:t xml:space="preserve">for </w:t>
      </w:r>
      <w:r w:rsidR="007C258F" w:rsidRPr="001F0A7F">
        <w:rPr>
          <w:iCs/>
        </w:rPr>
        <w:t>the first-line treatment for metastatic colorectal cancer). At the July 2015 meeting, the Committee decided it</w:t>
      </w:r>
      <w:r w:rsidRPr="001F0A7F">
        <w:rPr>
          <w:iCs/>
        </w:rPr>
        <w:t xml:space="preserve"> would not provide a recommendation in support of an alternative method to determine infusion costs in public and private hospital settings at that point in time. Applying drug administration cost</w:t>
      </w:r>
      <w:r w:rsidR="00C22BC3" w:rsidRPr="001F0A7F">
        <w:rPr>
          <w:iCs/>
        </w:rPr>
        <w:t>s</w:t>
      </w:r>
      <w:r w:rsidRPr="001F0A7F">
        <w:rPr>
          <w:iCs/>
        </w:rPr>
        <w:t xml:space="preserve"> as per </w:t>
      </w:r>
      <w:r w:rsidR="00C22BC3" w:rsidRPr="001F0A7F">
        <w:rPr>
          <w:iCs/>
        </w:rPr>
        <w:t xml:space="preserve">the </w:t>
      </w:r>
      <w:r w:rsidRPr="001F0A7F">
        <w:rPr>
          <w:iCs/>
        </w:rPr>
        <w:t>Nov</w:t>
      </w:r>
      <w:r w:rsidR="007C258F" w:rsidRPr="001F0A7F">
        <w:rPr>
          <w:iCs/>
        </w:rPr>
        <w:t>ember</w:t>
      </w:r>
      <w:r w:rsidRPr="001F0A7F">
        <w:rPr>
          <w:iCs/>
        </w:rPr>
        <w:t xml:space="preserve"> 2014 submission, the ICER/QALY </w:t>
      </w:r>
      <w:r w:rsidR="002C391F" w:rsidRPr="001F0A7F">
        <w:rPr>
          <w:iCs/>
        </w:rPr>
        <w:t>for the</w:t>
      </w:r>
      <w:r w:rsidRPr="001F0A7F">
        <w:rPr>
          <w:iCs/>
        </w:rPr>
        <w:t xml:space="preserve"> ITT and subgroup populations increased </w:t>
      </w:r>
      <w:r w:rsidR="0068190F" w:rsidRPr="001F0A7F">
        <w:rPr>
          <w:iCs/>
        </w:rPr>
        <w:t xml:space="preserve">to </w:t>
      </w:r>
      <w:r w:rsidR="00853552">
        <w:rPr>
          <w:iCs/>
        </w:rPr>
        <w:t xml:space="preserve">$105,000/QALY - $200,000/QALY </w:t>
      </w:r>
      <w:r w:rsidRPr="001F0A7F">
        <w:rPr>
          <w:iCs/>
        </w:rPr>
        <w:t xml:space="preserve">and </w:t>
      </w:r>
      <w:r w:rsidR="00853552">
        <w:rPr>
          <w:iCs/>
        </w:rPr>
        <w:t xml:space="preserve">$45,000/QALY - $75,000/QALY </w:t>
      </w:r>
      <w:r w:rsidR="0068190F" w:rsidRPr="001F0A7F">
        <w:rPr>
          <w:iCs/>
        </w:rPr>
        <w:t>respectively</w:t>
      </w:r>
      <w:r w:rsidR="00331EED" w:rsidRPr="001F0A7F">
        <w:rPr>
          <w:iCs/>
        </w:rPr>
        <w:t>.</w:t>
      </w:r>
    </w:p>
    <w:p w:rsidR="001B01EC" w:rsidRPr="001F0A7F" w:rsidRDefault="001B01EC" w:rsidP="001B01EC">
      <w:pPr>
        <w:pStyle w:val="ListParagraph"/>
        <w:rPr>
          <w:iCs/>
          <w:szCs w:val="22"/>
        </w:rPr>
      </w:pPr>
    </w:p>
    <w:p w:rsidR="00CD0BD5" w:rsidRPr="001F0A7F" w:rsidRDefault="009122AF" w:rsidP="00B15815">
      <w:pPr>
        <w:pStyle w:val="ListParagraph"/>
        <w:widowControl/>
        <w:numPr>
          <w:ilvl w:val="1"/>
          <w:numId w:val="3"/>
        </w:numPr>
        <w:rPr>
          <w:iCs/>
          <w:szCs w:val="22"/>
        </w:rPr>
      </w:pPr>
      <w:r w:rsidRPr="001F0A7F">
        <w:rPr>
          <w:iCs/>
          <w:szCs w:val="22"/>
        </w:rPr>
        <w:t xml:space="preserve">Sensitivity analyses using different parametric distributions for the ITT population model were not included in the submission. </w:t>
      </w:r>
    </w:p>
    <w:p w:rsidR="00CD0BD5" w:rsidRPr="001F0A7F" w:rsidRDefault="00CD0BD5" w:rsidP="00C67B31">
      <w:pPr>
        <w:ind w:firstLine="720"/>
        <w:rPr>
          <w:szCs w:val="22"/>
        </w:rPr>
      </w:pPr>
    </w:p>
    <w:p w:rsidR="009122AF" w:rsidRPr="001F0A7F" w:rsidRDefault="009122AF" w:rsidP="00B15815">
      <w:pPr>
        <w:pStyle w:val="ListParagraph"/>
        <w:widowControl/>
        <w:numPr>
          <w:ilvl w:val="1"/>
          <w:numId w:val="3"/>
        </w:numPr>
        <w:rPr>
          <w:iCs/>
          <w:szCs w:val="22"/>
        </w:rPr>
      </w:pPr>
      <w:r w:rsidRPr="001F0A7F">
        <w:rPr>
          <w:szCs w:val="22"/>
        </w:rPr>
        <w:t xml:space="preserve">For </w:t>
      </w:r>
      <w:r w:rsidR="003D56D6" w:rsidRPr="001F0A7F">
        <w:rPr>
          <w:szCs w:val="22"/>
        </w:rPr>
        <w:t xml:space="preserve">the </w:t>
      </w:r>
      <w:r w:rsidR="003D56D6" w:rsidRPr="001F0A7F">
        <w:rPr>
          <w:iCs/>
          <w:szCs w:val="22"/>
        </w:rPr>
        <w:t xml:space="preserve">post hoc </w:t>
      </w:r>
      <w:r w:rsidR="003D56D6" w:rsidRPr="001F0A7F">
        <w:rPr>
          <w:szCs w:val="22"/>
        </w:rPr>
        <w:t xml:space="preserve">subgroup in patients with a primary tumour origin site in the oral cavity and a baseline KPS </w:t>
      </w:r>
      <w:r w:rsidR="00766AA4" w:rsidRPr="001F0A7F">
        <w:rPr>
          <w:szCs w:val="22"/>
        </w:rPr>
        <w:t>≥</w:t>
      </w:r>
      <w:r w:rsidR="003D56D6" w:rsidRPr="001F0A7F">
        <w:rPr>
          <w:szCs w:val="22"/>
        </w:rPr>
        <w:t xml:space="preserve">80, the submission stated that the ICER was most sensitive to the Weibull parameter distribution, described as the “outlier” distribution. </w:t>
      </w:r>
      <w:r w:rsidR="003D56D6" w:rsidRPr="001F0A7F">
        <w:rPr>
          <w:iCs/>
          <w:szCs w:val="22"/>
        </w:rPr>
        <w:t xml:space="preserve">However, the </w:t>
      </w:r>
      <w:r w:rsidR="00202B2C">
        <w:rPr>
          <w:iCs/>
          <w:szCs w:val="22"/>
        </w:rPr>
        <w:t xml:space="preserve">Akaike Information Criterion </w:t>
      </w:r>
      <w:r w:rsidR="003D56D6" w:rsidRPr="001F0A7F">
        <w:rPr>
          <w:iCs/>
          <w:szCs w:val="22"/>
        </w:rPr>
        <w:t xml:space="preserve">and </w:t>
      </w:r>
      <w:r w:rsidR="00202B2C">
        <w:rPr>
          <w:iCs/>
          <w:szCs w:val="22"/>
        </w:rPr>
        <w:t>Bayesian Information Criterion</w:t>
      </w:r>
      <w:r w:rsidR="003D56D6" w:rsidRPr="001F0A7F">
        <w:rPr>
          <w:iCs/>
          <w:szCs w:val="22"/>
        </w:rPr>
        <w:t xml:space="preserve"> values for the Weibull distribution were not substantially</w:t>
      </w:r>
      <w:r w:rsidR="003D56D6" w:rsidRPr="007C282E">
        <w:rPr>
          <w:iCs/>
          <w:szCs w:val="22"/>
        </w:rPr>
        <w:t xml:space="preserve"> higher than the other para</w:t>
      </w:r>
      <w:r w:rsidR="00697B34" w:rsidRPr="007C282E">
        <w:rPr>
          <w:iCs/>
          <w:szCs w:val="22"/>
        </w:rPr>
        <w:t>metric functions that converged.</w:t>
      </w:r>
      <w:r w:rsidR="003D56D6" w:rsidRPr="007C282E">
        <w:rPr>
          <w:iCs/>
          <w:szCs w:val="22"/>
        </w:rPr>
        <w:t xml:space="preserve"> </w:t>
      </w:r>
      <w:r w:rsidR="00697B34" w:rsidRPr="007C282E">
        <w:rPr>
          <w:iCs/>
          <w:szCs w:val="22"/>
        </w:rPr>
        <w:t>V</w:t>
      </w:r>
      <w:r w:rsidR="003D56D6" w:rsidRPr="007C282E">
        <w:rPr>
          <w:iCs/>
          <w:szCs w:val="22"/>
        </w:rPr>
        <w:t xml:space="preserve">isual inspection of the extrapolated Weibull function suggested a reasonable fit with the trial data. It </w:t>
      </w:r>
      <w:r w:rsidR="003D56D6" w:rsidRPr="001F0A7F">
        <w:rPr>
          <w:iCs/>
          <w:szCs w:val="22"/>
        </w:rPr>
        <w:t>appeared that the higher ICER was driven by the accelerated failure time compared the other parametric functions, particularly for overall survival in the cetux</w:t>
      </w:r>
      <w:r w:rsidR="00F51413" w:rsidRPr="001F0A7F">
        <w:rPr>
          <w:iCs/>
          <w:szCs w:val="22"/>
        </w:rPr>
        <w:t xml:space="preserve">imab arm after the trial </w:t>
      </w:r>
      <w:r w:rsidR="00340B3D" w:rsidRPr="001F0A7F">
        <w:rPr>
          <w:iCs/>
          <w:szCs w:val="22"/>
        </w:rPr>
        <w:t>period</w:t>
      </w:r>
      <w:r w:rsidR="003D56D6" w:rsidRPr="001F0A7F">
        <w:rPr>
          <w:iCs/>
          <w:szCs w:val="22"/>
        </w:rPr>
        <w:t xml:space="preserve">. </w:t>
      </w:r>
    </w:p>
    <w:p w:rsidR="00B37E6A" w:rsidRPr="001F0A7F" w:rsidRDefault="00B37E6A" w:rsidP="00B37E6A">
      <w:pPr>
        <w:pStyle w:val="ListParagraph"/>
        <w:rPr>
          <w:iCs/>
          <w:szCs w:val="22"/>
        </w:rPr>
      </w:pPr>
    </w:p>
    <w:p w:rsidR="00A86E8B" w:rsidRPr="009D62F0" w:rsidRDefault="00B37E6A" w:rsidP="00B15815">
      <w:pPr>
        <w:pStyle w:val="ListParagraph"/>
        <w:widowControl/>
        <w:numPr>
          <w:ilvl w:val="1"/>
          <w:numId w:val="3"/>
        </w:numPr>
        <w:rPr>
          <w:szCs w:val="22"/>
        </w:rPr>
      </w:pPr>
      <w:r w:rsidRPr="001F0A7F">
        <w:rPr>
          <w:iCs/>
          <w:szCs w:val="22"/>
        </w:rPr>
        <w:t>The PSCR (p</w:t>
      </w:r>
      <w:r w:rsidR="00D32DB7">
        <w:rPr>
          <w:iCs/>
          <w:szCs w:val="22"/>
        </w:rPr>
        <w:t xml:space="preserve">. </w:t>
      </w:r>
      <w:r w:rsidRPr="001F0A7F">
        <w:rPr>
          <w:iCs/>
          <w:szCs w:val="22"/>
        </w:rPr>
        <w:t xml:space="preserve">4) included one new multivariate sensitivity analysis for the economic evaluation in the post hoc subgroup: ex-manufacturer price reduced by 5% (1 April 2016 statutory price reduction) and maximum treatment duration limited to </w:t>
      </w:r>
      <w:r w:rsidR="00E9019D">
        <w:rPr>
          <w:iCs/>
          <w:noProof/>
          <w:color w:val="000000"/>
          <w:szCs w:val="22"/>
          <w:highlight w:val="black"/>
        </w:rPr>
        <w:t>''''''</w:t>
      </w:r>
      <w:r w:rsidRPr="001F0A7F">
        <w:rPr>
          <w:iCs/>
          <w:szCs w:val="22"/>
        </w:rPr>
        <w:t xml:space="preserve"> </w:t>
      </w:r>
      <w:r w:rsidR="00476874">
        <w:rPr>
          <w:iCs/>
          <w:szCs w:val="22"/>
        </w:rPr>
        <w:t>weeks</w:t>
      </w:r>
      <w:r w:rsidR="00476874" w:rsidRPr="001F0A7F">
        <w:rPr>
          <w:iCs/>
          <w:szCs w:val="22"/>
        </w:rPr>
        <w:t xml:space="preserve"> </w:t>
      </w:r>
      <w:r w:rsidRPr="001F0A7F">
        <w:rPr>
          <w:iCs/>
          <w:szCs w:val="22"/>
        </w:rPr>
        <w:t>(23.8 doses per patient instead of 24.5 doses in the base case</w:t>
      </w:r>
      <w:r w:rsidR="004B4EE6">
        <w:rPr>
          <w:iCs/>
          <w:szCs w:val="22"/>
        </w:rPr>
        <w:t>, in line with the</w:t>
      </w:r>
      <w:r w:rsidRPr="001F0A7F">
        <w:rPr>
          <w:iCs/>
          <w:szCs w:val="22"/>
        </w:rPr>
        <w:t xml:space="preserve"> proposed risk share</w:t>
      </w:r>
      <w:r w:rsidR="004B4EE6">
        <w:rPr>
          <w:iCs/>
          <w:szCs w:val="22"/>
        </w:rPr>
        <w:t xml:space="preserve"> arrangement</w:t>
      </w:r>
      <w:r w:rsidRPr="001F0A7F">
        <w:rPr>
          <w:iCs/>
          <w:szCs w:val="22"/>
        </w:rPr>
        <w:t>, see below)</w:t>
      </w:r>
      <w:r w:rsidR="00202B2C">
        <w:rPr>
          <w:iCs/>
          <w:szCs w:val="22"/>
        </w:rPr>
        <w:t xml:space="preserve">.The resulting ICER was </w:t>
      </w:r>
      <w:r w:rsidR="00907389">
        <w:rPr>
          <w:iCs/>
          <w:szCs w:val="22"/>
        </w:rPr>
        <w:t>$45,000/QALY - $75,000/QALY</w:t>
      </w:r>
      <w:r w:rsidRPr="001F0A7F">
        <w:rPr>
          <w:iCs/>
          <w:szCs w:val="22"/>
        </w:rPr>
        <w:t xml:space="preserve">. </w:t>
      </w:r>
    </w:p>
    <w:p w:rsidR="009D62F0" w:rsidRPr="009D62F0" w:rsidRDefault="009D62F0" w:rsidP="009D62F0">
      <w:pPr>
        <w:pStyle w:val="ListParagraph"/>
        <w:rPr>
          <w:szCs w:val="22"/>
        </w:rPr>
      </w:pPr>
    </w:p>
    <w:p w:rsidR="009D62F0" w:rsidRPr="00544ADB" w:rsidRDefault="009D62F0" w:rsidP="00B15815">
      <w:pPr>
        <w:pStyle w:val="ListParagraph"/>
        <w:widowControl/>
        <w:numPr>
          <w:ilvl w:val="1"/>
          <w:numId w:val="3"/>
        </w:numPr>
        <w:rPr>
          <w:szCs w:val="22"/>
        </w:rPr>
      </w:pPr>
      <w:r w:rsidRPr="00544ADB">
        <w:rPr>
          <w:szCs w:val="22"/>
        </w:rPr>
        <w:t xml:space="preserve">The Pre-PBAC Response presented </w:t>
      </w:r>
      <w:r w:rsidRPr="00544ADB">
        <w:rPr>
          <w:szCs w:val="22"/>
          <w:lang w:val="en-GB"/>
        </w:rPr>
        <w:t xml:space="preserve">additional sensitivity analyses to allow for </w:t>
      </w:r>
      <w:r w:rsidR="00E9019D">
        <w:rPr>
          <w:noProof/>
          <w:color w:val="000000"/>
          <w:szCs w:val="22"/>
          <w:highlight w:val="black"/>
          <w:lang w:val="en-GB"/>
        </w:rPr>
        <w:t>''''''</w:t>
      </w:r>
      <w:r w:rsidRPr="00544ADB">
        <w:rPr>
          <w:szCs w:val="22"/>
          <w:lang w:val="en-GB"/>
        </w:rPr>
        <w:t>%</w:t>
      </w:r>
      <w:r w:rsidR="003D5982" w:rsidRPr="00544ADB">
        <w:rPr>
          <w:szCs w:val="22"/>
          <w:lang w:val="en-GB"/>
        </w:rPr>
        <w:t xml:space="preserve"> of treated patients to be</w:t>
      </w:r>
      <w:r w:rsidRPr="00544ADB">
        <w:rPr>
          <w:szCs w:val="22"/>
          <w:lang w:val="en-GB"/>
        </w:rPr>
        <w:t xml:space="preserve"> leakage into the ITT population, a 5% statutory price reduction from year 1, and cost of treatment rebated by the sponsor beyond </w:t>
      </w:r>
      <w:r w:rsidR="00E9019D">
        <w:rPr>
          <w:noProof/>
          <w:color w:val="000000"/>
          <w:szCs w:val="22"/>
          <w:highlight w:val="black"/>
          <w:lang w:val="en-GB"/>
        </w:rPr>
        <w:t>''''''</w:t>
      </w:r>
      <w:r w:rsidRPr="00544ADB">
        <w:rPr>
          <w:szCs w:val="22"/>
          <w:lang w:val="en-GB"/>
        </w:rPr>
        <w:t xml:space="preserve"> weeks (as per the initial proposed RSA), which resulted in an ICER of </w:t>
      </w:r>
      <w:r w:rsidR="00936138">
        <w:rPr>
          <w:iCs/>
          <w:szCs w:val="22"/>
        </w:rPr>
        <w:t>$45,000/QALY - $75,000/QALY</w:t>
      </w:r>
      <w:r w:rsidRPr="00544ADB">
        <w:rPr>
          <w:iCs/>
          <w:szCs w:val="22"/>
        </w:rPr>
        <w:t xml:space="preserve"> gained</w:t>
      </w:r>
      <w:r w:rsidRPr="00544ADB">
        <w:rPr>
          <w:szCs w:val="22"/>
          <w:lang w:val="en-GB"/>
        </w:rPr>
        <w:t xml:space="preserve"> in the subgroup and </w:t>
      </w:r>
      <w:r w:rsidR="00455CA1">
        <w:rPr>
          <w:iCs/>
          <w:szCs w:val="22"/>
        </w:rPr>
        <w:t xml:space="preserve">$105,000/QALY - $200,000/QALY </w:t>
      </w:r>
      <w:r w:rsidRPr="00544ADB">
        <w:rPr>
          <w:iCs/>
          <w:szCs w:val="22"/>
        </w:rPr>
        <w:t>gained</w:t>
      </w:r>
      <w:r w:rsidRPr="00544ADB">
        <w:rPr>
          <w:szCs w:val="22"/>
          <w:lang w:val="en-GB"/>
        </w:rPr>
        <w:t xml:space="preserve"> in the ITT population. The Pre-PBAC Response then proposed a revised RSA under which treatment beyond </w:t>
      </w:r>
      <w:r w:rsidR="00E9019D">
        <w:rPr>
          <w:noProof/>
          <w:color w:val="000000"/>
          <w:szCs w:val="22"/>
          <w:highlight w:val="black"/>
          <w:lang w:val="en-GB"/>
        </w:rPr>
        <w:t>'''''''</w:t>
      </w:r>
      <w:r w:rsidRPr="00544ADB">
        <w:rPr>
          <w:szCs w:val="22"/>
          <w:lang w:val="en-GB"/>
        </w:rPr>
        <w:t xml:space="preserve"> weeks would be rebated by the sponsor. In addition to the 5% price reduction and </w:t>
      </w:r>
      <w:r w:rsidR="00E9019D">
        <w:rPr>
          <w:noProof/>
          <w:color w:val="000000"/>
          <w:szCs w:val="22"/>
          <w:highlight w:val="black"/>
          <w:lang w:val="en-GB"/>
        </w:rPr>
        <w:t>'''''''</w:t>
      </w:r>
      <w:r w:rsidRPr="00544ADB">
        <w:rPr>
          <w:szCs w:val="22"/>
          <w:lang w:val="en-GB"/>
        </w:rPr>
        <w:t xml:space="preserve">% leakage, this resulted in an ICER in the subgroup of </w:t>
      </w:r>
      <w:r w:rsidR="006F194E">
        <w:rPr>
          <w:iCs/>
          <w:szCs w:val="22"/>
        </w:rPr>
        <w:t xml:space="preserve">$45,000/QALY - $75,000/QALY </w:t>
      </w:r>
      <w:r w:rsidRPr="00544ADB">
        <w:rPr>
          <w:iCs/>
          <w:szCs w:val="22"/>
        </w:rPr>
        <w:t>gained</w:t>
      </w:r>
      <w:r w:rsidRPr="00544ADB">
        <w:rPr>
          <w:szCs w:val="22"/>
          <w:lang w:val="en-GB"/>
        </w:rPr>
        <w:t xml:space="preserve">. </w:t>
      </w:r>
    </w:p>
    <w:p w:rsidR="009D62F0" w:rsidRPr="001F0A7F" w:rsidRDefault="009D62F0" w:rsidP="00544ADB">
      <w:pPr>
        <w:pStyle w:val="ListParagraph"/>
        <w:widowControl/>
        <w:rPr>
          <w:szCs w:val="22"/>
        </w:rPr>
      </w:pPr>
    </w:p>
    <w:p w:rsidR="00C25D9C" w:rsidRPr="00C96416" w:rsidRDefault="00C25D9C" w:rsidP="00DE732C">
      <w:pPr>
        <w:pStyle w:val="Heading2"/>
      </w:pPr>
      <w:bookmarkStart w:id="26" w:name="_Toc437869742"/>
      <w:bookmarkStart w:id="27" w:name="_Toc441050438"/>
      <w:r w:rsidRPr="00C96416">
        <w:t>Drug cost/patient/course</w:t>
      </w:r>
      <w:bookmarkEnd w:id="26"/>
      <w:bookmarkEnd w:id="27"/>
      <w:r w:rsidR="00463BEE">
        <w:t>:</w:t>
      </w:r>
    </w:p>
    <w:p w:rsidR="00DF2B63" w:rsidRPr="00A46A23" w:rsidRDefault="00DF2B63" w:rsidP="006F0863">
      <w:pPr>
        <w:ind w:left="720"/>
        <w:rPr>
          <w:rFonts w:ascii="Arial Narrow" w:hAnsi="Arial Narrow"/>
          <w:b/>
          <w:bCs/>
          <w:sz w:val="20"/>
        </w:rPr>
      </w:pPr>
      <w:r w:rsidRPr="00A46A23">
        <w:rPr>
          <w:rFonts w:ascii="Arial Narrow" w:hAnsi="Arial Narrow"/>
          <w:b/>
          <w:bCs/>
          <w:sz w:val="20"/>
        </w:rPr>
        <w:t>Table</w:t>
      </w:r>
      <w:r w:rsidR="00C67B31">
        <w:rPr>
          <w:rFonts w:ascii="Arial Narrow" w:hAnsi="Arial Narrow"/>
          <w:b/>
          <w:bCs/>
          <w:sz w:val="20"/>
        </w:rPr>
        <w:t xml:space="preserve"> 10</w:t>
      </w:r>
      <w:r w:rsidRPr="00A46A23">
        <w:rPr>
          <w:rFonts w:ascii="Arial Narrow" w:hAnsi="Arial Narrow"/>
          <w:b/>
          <w:bCs/>
          <w:sz w:val="20"/>
        </w:rPr>
        <w:t xml:space="preserve">: </w:t>
      </w:r>
      <w:r w:rsidR="007D164C" w:rsidRPr="00A46A23">
        <w:rPr>
          <w:rFonts w:ascii="Arial Narrow" w:hAnsi="Arial Narrow"/>
          <w:b/>
          <w:bCs/>
          <w:sz w:val="20"/>
        </w:rPr>
        <w:t>Drug cost/</w:t>
      </w:r>
      <w:r w:rsidRPr="00A46A23">
        <w:rPr>
          <w:rFonts w:ascii="Arial Narrow" w:hAnsi="Arial Narrow"/>
          <w:b/>
          <w:bCs/>
          <w:sz w:val="20"/>
        </w:rPr>
        <w:t>patient</w:t>
      </w:r>
      <w:r w:rsidR="007D164C" w:rsidRPr="00A46A23">
        <w:rPr>
          <w:rFonts w:ascii="Arial Narrow" w:hAnsi="Arial Narrow"/>
          <w:b/>
          <w:bCs/>
          <w:sz w:val="20"/>
        </w:rPr>
        <w:t>/</w:t>
      </w:r>
      <w:r w:rsidRPr="00A46A23">
        <w:rPr>
          <w:rFonts w:ascii="Arial Narrow" w:hAnsi="Arial Narrow"/>
          <w:b/>
          <w:bCs/>
          <w:sz w:val="20"/>
        </w:rPr>
        <w:t>course</w:t>
      </w:r>
      <w:r w:rsidR="00292B7E" w:rsidRPr="00A46A23">
        <w:rPr>
          <w:rFonts w:ascii="Arial Narrow" w:hAnsi="Arial Narrow"/>
          <w:b/>
          <w:bCs/>
          <w:sz w:val="20"/>
        </w:rPr>
        <w:t xml:space="preserve"> (24.5 doses per </w:t>
      </w:r>
      <w:r w:rsidR="00727312" w:rsidRPr="00A46A23">
        <w:rPr>
          <w:rFonts w:ascii="Arial Narrow" w:hAnsi="Arial Narrow"/>
          <w:b/>
          <w:bCs/>
          <w:sz w:val="20"/>
        </w:rPr>
        <w:t>course</w:t>
      </w:r>
      <w:r w:rsidR="006A385D" w:rsidRPr="00A46A23">
        <w:rPr>
          <w:rFonts w:ascii="Arial Narrow" w:hAnsi="Arial Narrow"/>
          <w:b/>
          <w:bCs/>
          <w:sz w:val="20"/>
        </w:rPr>
        <w:t xml:space="preserve"> and inclusive of </w:t>
      </w:r>
      <w:r w:rsidR="00D73900" w:rsidRPr="00A46A23">
        <w:rPr>
          <w:rFonts w:ascii="Arial Narrow" w:hAnsi="Arial Narrow"/>
          <w:b/>
          <w:bCs/>
          <w:sz w:val="20"/>
        </w:rPr>
        <w:t xml:space="preserve">the </w:t>
      </w:r>
      <w:r w:rsidR="00E9019D">
        <w:rPr>
          <w:rFonts w:ascii="Arial Narrow" w:hAnsi="Arial Narrow"/>
          <w:b/>
          <w:bCs/>
          <w:noProof/>
          <w:color w:val="000000"/>
          <w:sz w:val="20"/>
          <w:highlight w:val="black"/>
        </w:rPr>
        <w:t>'''''''''</w:t>
      </w:r>
      <w:r w:rsidR="006A385D" w:rsidRPr="00A46A23">
        <w:rPr>
          <w:rFonts w:ascii="Arial Narrow" w:hAnsi="Arial Narrow"/>
          <w:b/>
          <w:bCs/>
          <w:sz w:val="20"/>
        </w:rPr>
        <w:t>%</w:t>
      </w:r>
      <w:r w:rsidR="003E59FD" w:rsidRPr="00A46A23">
        <w:rPr>
          <w:rFonts w:ascii="Arial Narrow" w:hAnsi="Arial Narrow"/>
          <w:b/>
          <w:bCs/>
          <w:sz w:val="20"/>
        </w:rPr>
        <w:t xml:space="preserve"> confidential</w:t>
      </w:r>
      <w:r w:rsidR="006A385D" w:rsidRPr="00A46A23">
        <w:rPr>
          <w:rFonts w:ascii="Arial Narrow" w:hAnsi="Arial Narrow"/>
          <w:b/>
          <w:bCs/>
          <w:sz w:val="20"/>
        </w:rPr>
        <w:t xml:space="preserve"> rebate</w:t>
      </w:r>
      <w:r w:rsidR="00292B7E" w:rsidRPr="00A46A23">
        <w:rPr>
          <w:rFonts w:ascii="Arial Narrow" w:hAnsi="Arial Narrow"/>
          <w:b/>
          <w:bCs/>
          <w:sz w:val="20"/>
        </w:rPr>
        <w:t>)</w:t>
      </w:r>
    </w:p>
    <w:tbl>
      <w:tblPr>
        <w:tblW w:w="4596"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95"/>
        <w:gridCol w:w="1454"/>
      </w:tblGrid>
      <w:tr w:rsidR="00E8110D" w:rsidRPr="0026559A" w:rsidTr="006C277D">
        <w:trPr>
          <w:tblHeader/>
        </w:trPr>
        <w:tc>
          <w:tcPr>
            <w:tcW w:w="4129" w:type="pct"/>
            <w:tcBorders>
              <w:top w:val="single" w:sz="4" w:space="0" w:color="auto"/>
              <w:left w:val="single" w:sz="4" w:space="0" w:color="auto"/>
              <w:right w:val="single" w:sz="4" w:space="0" w:color="auto"/>
            </w:tcBorders>
            <w:shd w:val="clear" w:color="auto" w:fill="auto"/>
            <w:vAlign w:val="center"/>
          </w:tcPr>
          <w:p w:rsidR="00E8110D" w:rsidRPr="0026559A" w:rsidRDefault="00E8110D" w:rsidP="00A41130">
            <w:pPr>
              <w:tabs>
                <w:tab w:val="left" w:pos="142"/>
              </w:tabs>
              <w:jc w:val="center"/>
              <w:rPr>
                <w:rFonts w:ascii="Arial Narrow" w:hAnsi="Arial Narrow"/>
                <w:b/>
                <w:bCs/>
                <w:sz w:val="20"/>
                <w:vertAlign w:val="superscript"/>
              </w:rPr>
            </w:pPr>
          </w:p>
        </w:tc>
        <w:tc>
          <w:tcPr>
            <w:tcW w:w="871" w:type="pct"/>
            <w:tcBorders>
              <w:top w:val="single" w:sz="4" w:space="0" w:color="auto"/>
              <w:left w:val="single" w:sz="4" w:space="0" w:color="auto"/>
              <w:right w:val="single" w:sz="4" w:space="0" w:color="auto"/>
            </w:tcBorders>
            <w:vAlign w:val="center"/>
          </w:tcPr>
          <w:p w:rsidR="00E8110D" w:rsidRPr="0026559A" w:rsidRDefault="00E8110D" w:rsidP="00DF2B63">
            <w:pPr>
              <w:jc w:val="center"/>
              <w:rPr>
                <w:rFonts w:ascii="Arial Narrow" w:hAnsi="Arial Narrow"/>
                <w:b/>
                <w:sz w:val="20"/>
              </w:rPr>
            </w:pPr>
            <w:r w:rsidRPr="0026559A">
              <w:rPr>
                <w:rFonts w:ascii="Arial Narrow" w:hAnsi="Arial Narrow"/>
                <w:b/>
                <w:sz w:val="20"/>
              </w:rPr>
              <w:t>Drug cost/patient/</w:t>
            </w:r>
            <w:r w:rsidR="004256F3">
              <w:rPr>
                <w:rFonts w:ascii="Arial Narrow" w:hAnsi="Arial Narrow"/>
                <w:b/>
                <w:sz w:val="20"/>
              </w:rPr>
              <w:t xml:space="preserve"> </w:t>
            </w:r>
            <w:r w:rsidRPr="0026559A">
              <w:rPr>
                <w:rFonts w:ascii="Arial Narrow" w:hAnsi="Arial Narrow"/>
                <w:b/>
                <w:sz w:val="20"/>
              </w:rPr>
              <w:t>course</w:t>
            </w:r>
          </w:p>
        </w:tc>
      </w:tr>
      <w:tr w:rsidR="00E8110D" w:rsidRPr="0026559A" w:rsidTr="006C277D">
        <w:trPr>
          <w:tblHeader/>
        </w:trPr>
        <w:tc>
          <w:tcPr>
            <w:tcW w:w="4129" w:type="pct"/>
            <w:tcBorders>
              <w:left w:val="single" w:sz="4" w:space="0" w:color="auto"/>
              <w:right w:val="single" w:sz="4" w:space="0" w:color="auto"/>
            </w:tcBorders>
            <w:shd w:val="clear" w:color="auto" w:fill="auto"/>
            <w:vAlign w:val="center"/>
          </w:tcPr>
          <w:p w:rsidR="00E8110D" w:rsidRPr="001B4FFB" w:rsidRDefault="00E8110D" w:rsidP="00CC6E7A">
            <w:pPr>
              <w:tabs>
                <w:tab w:val="left" w:pos="142"/>
              </w:tabs>
              <w:jc w:val="left"/>
              <w:rPr>
                <w:rFonts w:ascii="Arial Narrow" w:hAnsi="Arial Narrow"/>
                <w:sz w:val="20"/>
              </w:rPr>
            </w:pPr>
            <w:r>
              <w:rPr>
                <w:rFonts w:ascii="Arial Narrow" w:hAnsi="Arial Narrow"/>
                <w:i/>
                <w:iCs/>
                <w:sz w:val="20"/>
              </w:rPr>
              <w:t xml:space="preserve">Post hoc </w:t>
            </w:r>
            <w:r>
              <w:rPr>
                <w:rFonts w:ascii="Arial Narrow" w:hAnsi="Arial Narrow"/>
                <w:sz w:val="20"/>
              </w:rPr>
              <w:t xml:space="preserve">subgroup (oral cavity </w:t>
            </w:r>
            <w:r w:rsidR="00CC6E7A">
              <w:rPr>
                <w:rFonts w:ascii="Arial Narrow" w:hAnsi="Arial Narrow"/>
                <w:sz w:val="20"/>
              </w:rPr>
              <w:t>&amp;</w:t>
            </w:r>
            <w:r>
              <w:rPr>
                <w:rFonts w:ascii="Arial Narrow" w:hAnsi="Arial Narrow"/>
                <w:sz w:val="20"/>
              </w:rPr>
              <w:t xml:space="preserve"> KPS </w:t>
            </w:r>
            <w:r w:rsidR="00766AA4">
              <w:rPr>
                <w:rFonts w:ascii="Arial Narrow" w:hAnsi="Arial Narrow"/>
                <w:sz w:val="20"/>
              </w:rPr>
              <w:t>≥</w:t>
            </w:r>
            <w:r>
              <w:rPr>
                <w:rFonts w:ascii="Arial Narrow" w:hAnsi="Arial Narrow"/>
                <w:sz w:val="20"/>
              </w:rPr>
              <w:t>80) - as per the submission</w:t>
            </w:r>
          </w:p>
        </w:tc>
        <w:tc>
          <w:tcPr>
            <w:tcW w:w="871" w:type="pct"/>
            <w:tcBorders>
              <w:left w:val="single" w:sz="4" w:space="0" w:color="auto"/>
              <w:right w:val="single" w:sz="4" w:space="0" w:color="auto"/>
            </w:tcBorders>
            <w:vAlign w:val="center"/>
          </w:tcPr>
          <w:p w:rsidR="00E8110D" w:rsidRPr="008D11F5" w:rsidRDefault="00E8110D" w:rsidP="000918B0">
            <w:pPr>
              <w:jc w:val="center"/>
              <w:rPr>
                <w:rFonts w:ascii="Arial Narrow" w:hAnsi="Arial Narrow"/>
                <w:bCs/>
                <w:sz w:val="20"/>
              </w:rPr>
            </w:pPr>
            <w:r w:rsidRPr="001B4FFB">
              <w:rPr>
                <w:rFonts w:ascii="Arial Narrow" w:hAnsi="Arial Narrow"/>
                <w:bCs/>
                <w:sz w:val="20"/>
              </w:rPr>
              <w:t>$</w:t>
            </w:r>
            <w:r w:rsidR="00E9019D">
              <w:rPr>
                <w:rFonts w:ascii="Arial Narrow" w:hAnsi="Arial Narrow"/>
                <w:bCs/>
                <w:noProof/>
                <w:color w:val="000000"/>
                <w:sz w:val="20"/>
                <w:highlight w:val="black"/>
              </w:rPr>
              <w:t>'''''''''''''''''''''</w:t>
            </w:r>
          </w:p>
        </w:tc>
      </w:tr>
      <w:tr w:rsidR="00E8110D" w:rsidRPr="0026559A" w:rsidTr="006C277D">
        <w:trPr>
          <w:tblHeader/>
        </w:trPr>
        <w:tc>
          <w:tcPr>
            <w:tcW w:w="4129" w:type="pct"/>
            <w:tcBorders>
              <w:left w:val="single" w:sz="4" w:space="0" w:color="auto"/>
              <w:right w:val="single" w:sz="4" w:space="0" w:color="auto"/>
            </w:tcBorders>
            <w:shd w:val="clear" w:color="auto" w:fill="auto"/>
            <w:vAlign w:val="center"/>
          </w:tcPr>
          <w:p w:rsidR="00E8110D" w:rsidRPr="00743D45" w:rsidRDefault="00E8110D" w:rsidP="00743D45">
            <w:pPr>
              <w:tabs>
                <w:tab w:val="left" w:pos="142"/>
              </w:tabs>
              <w:jc w:val="left"/>
              <w:rPr>
                <w:rFonts w:ascii="Arial Narrow" w:hAnsi="Arial Narrow"/>
                <w:sz w:val="20"/>
              </w:rPr>
            </w:pPr>
            <w:r w:rsidRPr="00743D45">
              <w:rPr>
                <w:rFonts w:ascii="Arial Narrow" w:hAnsi="Arial Narrow"/>
                <w:i/>
                <w:iCs/>
                <w:sz w:val="20"/>
              </w:rPr>
              <w:t xml:space="preserve">Post hoc </w:t>
            </w:r>
            <w:r w:rsidRPr="00743D45">
              <w:rPr>
                <w:rFonts w:ascii="Arial Narrow" w:hAnsi="Arial Narrow"/>
                <w:sz w:val="20"/>
              </w:rPr>
              <w:t xml:space="preserve">subgroup (oral cavity </w:t>
            </w:r>
            <w:r w:rsidR="00CC6E7A" w:rsidRPr="00743D45">
              <w:rPr>
                <w:rFonts w:ascii="Arial Narrow" w:hAnsi="Arial Narrow"/>
                <w:sz w:val="20"/>
              </w:rPr>
              <w:t xml:space="preserve">&amp; </w:t>
            </w:r>
            <w:r w:rsidRPr="00743D45">
              <w:rPr>
                <w:rFonts w:ascii="Arial Narrow" w:hAnsi="Arial Narrow"/>
                <w:sz w:val="20"/>
              </w:rPr>
              <w:t xml:space="preserve">KPS </w:t>
            </w:r>
            <w:r w:rsidR="00766AA4" w:rsidRPr="00743D45">
              <w:rPr>
                <w:rFonts w:ascii="Arial Narrow" w:hAnsi="Arial Narrow"/>
                <w:sz w:val="20"/>
              </w:rPr>
              <w:t>≥</w:t>
            </w:r>
            <w:r w:rsidRPr="00743D45">
              <w:rPr>
                <w:rFonts w:ascii="Arial Narrow" w:hAnsi="Arial Narrow"/>
                <w:sz w:val="20"/>
              </w:rPr>
              <w:t xml:space="preserve">80) </w:t>
            </w:r>
            <w:r w:rsidR="00720F4E" w:rsidRPr="00743D45">
              <w:rPr>
                <w:rFonts w:ascii="Arial Narrow" w:hAnsi="Arial Narrow"/>
                <w:sz w:val="20"/>
              </w:rPr>
              <w:t xml:space="preserve">- </w:t>
            </w:r>
            <w:r w:rsidR="008F1F96" w:rsidRPr="00743D45">
              <w:rPr>
                <w:rFonts w:ascii="Arial Narrow" w:hAnsi="Arial Narrow"/>
                <w:sz w:val="20"/>
              </w:rPr>
              <w:t>5% discount o</w:t>
            </w:r>
            <w:r w:rsidR="00792578" w:rsidRPr="00743D45">
              <w:rPr>
                <w:rFonts w:ascii="Arial Narrow" w:hAnsi="Arial Narrow"/>
                <w:sz w:val="20"/>
              </w:rPr>
              <w:t>ff</w:t>
            </w:r>
            <w:r w:rsidR="008F1F96" w:rsidRPr="00743D45">
              <w:rPr>
                <w:rFonts w:ascii="Arial Narrow" w:hAnsi="Arial Narrow"/>
                <w:sz w:val="20"/>
              </w:rPr>
              <w:t xml:space="preserve"> ex-man price </w:t>
            </w:r>
          </w:p>
        </w:tc>
        <w:tc>
          <w:tcPr>
            <w:tcW w:w="871" w:type="pct"/>
            <w:tcBorders>
              <w:left w:val="single" w:sz="4" w:space="0" w:color="auto"/>
              <w:right w:val="single" w:sz="4" w:space="0" w:color="auto"/>
            </w:tcBorders>
            <w:vAlign w:val="center"/>
          </w:tcPr>
          <w:p w:rsidR="00E8110D" w:rsidRPr="008D11F5" w:rsidRDefault="00313A50" w:rsidP="000918B0">
            <w:pPr>
              <w:jc w:val="center"/>
              <w:rPr>
                <w:rFonts w:ascii="Arial Narrow" w:hAnsi="Arial Narrow"/>
                <w:bCs/>
                <w:sz w:val="20"/>
              </w:rPr>
            </w:pPr>
            <w:r w:rsidRPr="00313A50">
              <w:rPr>
                <w:rFonts w:ascii="Arial Narrow" w:hAnsi="Arial Narrow"/>
                <w:bCs/>
                <w:sz w:val="20"/>
              </w:rPr>
              <w:t>$</w:t>
            </w:r>
            <w:r w:rsidR="00E9019D">
              <w:rPr>
                <w:rFonts w:ascii="Arial Narrow" w:hAnsi="Arial Narrow"/>
                <w:bCs/>
                <w:noProof/>
                <w:color w:val="000000"/>
                <w:sz w:val="20"/>
                <w:highlight w:val="black"/>
              </w:rPr>
              <w:t>'''''''''''''''''''''''</w:t>
            </w:r>
          </w:p>
        </w:tc>
      </w:tr>
      <w:tr w:rsidR="00E8110D" w:rsidRPr="0026559A" w:rsidTr="006C277D">
        <w:trPr>
          <w:tblHeader/>
        </w:trPr>
        <w:tc>
          <w:tcPr>
            <w:tcW w:w="4129" w:type="pct"/>
            <w:tcBorders>
              <w:left w:val="single" w:sz="4" w:space="0" w:color="auto"/>
              <w:right w:val="single" w:sz="4" w:space="0" w:color="auto"/>
            </w:tcBorders>
            <w:shd w:val="clear" w:color="auto" w:fill="auto"/>
            <w:vAlign w:val="center"/>
          </w:tcPr>
          <w:p w:rsidR="00E8110D" w:rsidRPr="00743D45" w:rsidRDefault="00E8110D" w:rsidP="00743D45">
            <w:pPr>
              <w:tabs>
                <w:tab w:val="left" w:pos="142"/>
              </w:tabs>
              <w:jc w:val="left"/>
              <w:rPr>
                <w:rFonts w:ascii="Arial Narrow" w:hAnsi="Arial Narrow"/>
                <w:i/>
                <w:iCs/>
                <w:sz w:val="20"/>
              </w:rPr>
            </w:pPr>
            <w:r w:rsidRPr="00743D45">
              <w:rPr>
                <w:rFonts w:ascii="Arial Narrow" w:hAnsi="Arial Narrow"/>
                <w:i/>
                <w:iCs/>
                <w:sz w:val="20"/>
              </w:rPr>
              <w:t xml:space="preserve">Post hoc </w:t>
            </w:r>
            <w:r w:rsidR="00CC6E7A" w:rsidRPr="00743D45">
              <w:rPr>
                <w:rFonts w:ascii="Arial Narrow" w:hAnsi="Arial Narrow"/>
                <w:sz w:val="20"/>
              </w:rPr>
              <w:t xml:space="preserve">subgroup (oral cavity &amp; </w:t>
            </w:r>
            <w:r w:rsidRPr="00743D45">
              <w:rPr>
                <w:rFonts w:ascii="Arial Narrow" w:hAnsi="Arial Narrow"/>
                <w:sz w:val="20"/>
              </w:rPr>
              <w:t xml:space="preserve">KPS </w:t>
            </w:r>
            <w:r w:rsidR="00766AA4" w:rsidRPr="00743D45">
              <w:rPr>
                <w:rFonts w:ascii="Arial Narrow" w:hAnsi="Arial Narrow"/>
                <w:sz w:val="20"/>
              </w:rPr>
              <w:t>≥</w:t>
            </w:r>
            <w:r w:rsidRPr="00743D45">
              <w:rPr>
                <w:rFonts w:ascii="Arial Narrow" w:hAnsi="Arial Narrow"/>
                <w:sz w:val="20"/>
              </w:rPr>
              <w:t xml:space="preserve">80) </w:t>
            </w:r>
            <w:r w:rsidR="001C7802" w:rsidRPr="00743D45">
              <w:rPr>
                <w:rFonts w:ascii="Arial Narrow" w:hAnsi="Arial Narrow"/>
                <w:sz w:val="20"/>
              </w:rPr>
              <w:t>-</w:t>
            </w:r>
            <w:r w:rsidR="00792578" w:rsidRPr="00743D45">
              <w:rPr>
                <w:rFonts w:ascii="Arial Narrow" w:hAnsi="Arial Narrow"/>
                <w:sz w:val="20"/>
              </w:rPr>
              <w:t xml:space="preserve"> 5% discount off</w:t>
            </w:r>
            <w:r w:rsidRPr="00743D45">
              <w:rPr>
                <w:rFonts w:ascii="Arial Narrow" w:hAnsi="Arial Narrow"/>
                <w:sz w:val="20"/>
              </w:rPr>
              <w:t xml:space="preserve"> </w:t>
            </w:r>
            <w:r w:rsidR="005318A6" w:rsidRPr="00743D45">
              <w:rPr>
                <w:rFonts w:ascii="Arial Narrow" w:hAnsi="Arial Narrow"/>
                <w:sz w:val="20"/>
              </w:rPr>
              <w:t xml:space="preserve">DPMA </w:t>
            </w:r>
          </w:p>
        </w:tc>
        <w:tc>
          <w:tcPr>
            <w:tcW w:w="871" w:type="pct"/>
            <w:tcBorders>
              <w:left w:val="single" w:sz="4" w:space="0" w:color="auto"/>
              <w:right w:val="single" w:sz="4" w:space="0" w:color="auto"/>
            </w:tcBorders>
            <w:vAlign w:val="center"/>
          </w:tcPr>
          <w:p w:rsidR="00E8110D" w:rsidRPr="008D11F5" w:rsidRDefault="00410F4A" w:rsidP="000918B0">
            <w:pPr>
              <w:jc w:val="center"/>
              <w:rPr>
                <w:rFonts w:ascii="Arial Narrow" w:hAnsi="Arial Narrow"/>
                <w:bCs/>
                <w:sz w:val="20"/>
              </w:rPr>
            </w:pPr>
            <w:r w:rsidRPr="00410F4A">
              <w:rPr>
                <w:rFonts w:ascii="Arial Narrow" w:hAnsi="Arial Narrow"/>
                <w:bCs/>
                <w:sz w:val="20"/>
              </w:rPr>
              <w:t>$</w:t>
            </w:r>
            <w:r w:rsidR="00E9019D">
              <w:rPr>
                <w:rFonts w:ascii="Arial Narrow" w:hAnsi="Arial Narrow"/>
                <w:bCs/>
                <w:noProof/>
                <w:color w:val="000000"/>
                <w:sz w:val="20"/>
                <w:highlight w:val="black"/>
              </w:rPr>
              <w:t>'''''''''''''''''''''''</w:t>
            </w:r>
          </w:p>
        </w:tc>
      </w:tr>
      <w:tr w:rsidR="00E8110D" w:rsidRPr="0026559A" w:rsidTr="006C277D">
        <w:trPr>
          <w:tblHeader/>
        </w:trPr>
        <w:tc>
          <w:tcPr>
            <w:tcW w:w="4129" w:type="pct"/>
            <w:tcBorders>
              <w:left w:val="single" w:sz="4" w:space="0" w:color="auto"/>
              <w:right w:val="single" w:sz="4" w:space="0" w:color="auto"/>
            </w:tcBorders>
            <w:shd w:val="clear" w:color="auto" w:fill="auto"/>
            <w:vAlign w:val="center"/>
          </w:tcPr>
          <w:p w:rsidR="00E8110D" w:rsidRPr="00743D45" w:rsidRDefault="00E8110D" w:rsidP="00792578">
            <w:pPr>
              <w:tabs>
                <w:tab w:val="left" w:pos="142"/>
              </w:tabs>
              <w:jc w:val="left"/>
              <w:rPr>
                <w:rFonts w:ascii="Arial Narrow" w:hAnsi="Arial Narrow"/>
                <w:i/>
                <w:iCs/>
                <w:sz w:val="20"/>
              </w:rPr>
            </w:pPr>
            <w:r w:rsidRPr="00743D45">
              <w:rPr>
                <w:rFonts w:ascii="Arial Narrow" w:hAnsi="Arial Narrow"/>
                <w:i/>
                <w:iCs/>
                <w:sz w:val="20"/>
              </w:rPr>
              <w:t xml:space="preserve">Post hoc subgroup (oral cavity </w:t>
            </w:r>
            <w:r w:rsidR="00CC6E7A" w:rsidRPr="00743D45">
              <w:rPr>
                <w:rFonts w:ascii="Arial Narrow" w:hAnsi="Arial Narrow"/>
                <w:i/>
                <w:iCs/>
                <w:sz w:val="20"/>
              </w:rPr>
              <w:t xml:space="preserve">&amp; </w:t>
            </w:r>
            <w:r w:rsidRPr="00743D45">
              <w:rPr>
                <w:rFonts w:ascii="Arial Narrow" w:hAnsi="Arial Narrow"/>
                <w:i/>
                <w:iCs/>
                <w:sz w:val="20"/>
              </w:rPr>
              <w:t xml:space="preserve">KPS </w:t>
            </w:r>
            <w:r w:rsidR="00766AA4" w:rsidRPr="00743D45">
              <w:rPr>
                <w:rFonts w:ascii="Arial Narrow" w:hAnsi="Arial Narrow"/>
                <w:i/>
                <w:iCs/>
                <w:sz w:val="20"/>
              </w:rPr>
              <w:t>≥</w:t>
            </w:r>
            <w:r w:rsidRPr="00743D45">
              <w:rPr>
                <w:rFonts w:ascii="Arial Narrow" w:hAnsi="Arial Narrow"/>
                <w:i/>
                <w:iCs/>
                <w:sz w:val="20"/>
              </w:rPr>
              <w:t xml:space="preserve">80) </w:t>
            </w:r>
            <w:r w:rsidR="001C7802" w:rsidRPr="00743D45">
              <w:rPr>
                <w:rFonts w:ascii="Arial Narrow" w:hAnsi="Arial Narrow"/>
                <w:i/>
                <w:iCs/>
                <w:sz w:val="20"/>
              </w:rPr>
              <w:t>-</w:t>
            </w:r>
            <w:r w:rsidRPr="00743D45">
              <w:rPr>
                <w:rFonts w:ascii="Arial Narrow" w:hAnsi="Arial Narrow"/>
                <w:i/>
                <w:iCs/>
                <w:sz w:val="20"/>
              </w:rPr>
              <w:t xml:space="preserve"> private hospital scripts incur </w:t>
            </w:r>
            <w:r w:rsidR="00543C8C" w:rsidRPr="00743D45">
              <w:rPr>
                <w:rFonts w:ascii="Arial Narrow" w:hAnsi="Arial Narrow"/>
                <w:i/>
                <w:iCs/>
                <w:sz w:val="20"/>
              </w:rPr>
              <w:t xml:space="preserve">a </w:t>
            </w:r>
            <w:r w:rsidRPr="00743D45">
              <w:rPr>
                <w:rFonts w:ascii="Arial Narrow" w:hAnsi="Arial Narrow"/>
                <w:i/>
                <w:iCs/>
                <w:sz w:val="20"/>
              </w:rPr>
              <w:t xml:space="preserve">flat 1.4% mark-up </w:t>
            </w:r>
          </w:p>
        </w:tc>
        <w:tc>
          <w:tcPr>
            <w:tcW w:w="871" w:type="pct"/>
            <w:tcBorders>
              <w:left w:val="single" w:sz="4" w:space="0" w:color="auto"/>
              <w:right w:val="single" w:sz="4" w:space="0" w:color="auto"/>
            </w:tcBorders>
            <w:vAlign w:val="center"/>
          </w:tcPr>
          <w:p w:rsidR="00E8110D" w:rsidRPr="005556AC" w:rsidRDefault="00092FAA" w:rsidP="000918B0">
            <w:pPr>
              <w:jc w:val="center"/>
              <w:rPr>
                <w:rFonts w:ascii="Arial Narrow" w:hAnsi="Arial Narrow"/>
                <w:bCs/>
                <w:i/>
                <w:iCs/>
                <w:sz w:val="20"/>
              </w:rPr>
            </w:pPr>
            <w:r w:rsidRPr="00092FAA">
              <w:rPr>
                <w:rFonts w:ascii="Arial Narrow" w:hAnsi="Arial Narrow"/>
                <w:bCs/>
                <w:i/>
                <w:iCs/>
                <w:sz w:val="20"/>
              </w:rPr>
              <w:t>$</w:t>
            </w:r>
            <w:r w:rsidR="00E9019D">
              <w:rPr>
                <w:rFonts w:ascii="Arial Narrow" w:hAnsi="Arial Narrow"/>
                <w:bCs/>
                <w:i/>
                <w:iCs/>
                <w:noProof/>
                <w:color w:val="000000"/>
                <w:sz w:val="20"/>
                <w:highlight w:val="black"/>
              </w:rPr>
              <w:t>'''''''''''''''''''''''''</w:t>
            </w:r>
          </w:p>
        </w:tc>
      </w:tr>
      <w:tr w:rsidR="00E8110D" w:rsidRPr="0026559A" w:rsidTr="006C277D">
        <w:trPr>
          <w:tblHeader/>
        </w:trPr>
        <w:tc>
          <w:tcPr>
            <w:tcW w:w="4129" w:type="pct"/>
            <w:tcBorders>
              <w:left w:val="single" w:sz="4" w:space="0" w:color="auto"/>
              <w:right w:val="single" w:sz="4" w:space="0" w:color="auto"/>
            </w:tcBorders>
            <w:shd w:val="clear" w:color="auto" w:fill="auto"/>
            <w:vAlign w:val="center"/>
          </w:tcPr>
          <w:p w:rsidR="00E8110D" w:rsidRPr="00743D45" w:rsidRDefault="00E8110D" w:rsidP="00743D45">
            <w:pPr>
              <w:tabs>
                <w:tab w:val="left" w:pos="142"/>
              </w:tabs>
              <w:jc w:val="left"/>
              <w:rPr>
                <w:rFonts w:ascii="Arial Narrow" w:hAnsi="Arial Narrow"/>
                <w:i/>
                <w:iCs/>
                <w:sz w:val="20"/>
              </w:rPr>
            </w:pPr>
            <w:r w:rsidRPr="00743D45">
              <w:rPr>
                <w:rFonts w:ascii="Arial Narrow" w:hAnsi="Arial Narrow"/>
                <w:i/>
                <w:iCs/>
                <w:sz w:val="20"/>
              </w:rPr>
              <w:t xml:space="preserve">Post hoc subgroup (oral cavity </w:t>
            </w:r>
            <w:r w:rsidR="00CC6E7A" w:rsidRPr="00743D45">
              <w:rPr>
                <w:rFonts w:ascii="Arial Narrow" w:hAnsi="Arial Narrow"/>
                <w:i/>
                <w:iCs/>
                <w:sz w:val="20"/>
              </w:rPr>
              <w:t xml:space="preserve">&amp; </w:t>
            </w:r>
            <w:r w:rsidRPr="00743D45">
              <w:rPr>
                <w:rFonts w:ascii="Arial Narrow" w:hAnsi="Arial Narrow"/>
                <w:i/>
                <w:iCs/>
                <w:sz w:val="20"/>
              </w:rPr>
              <w:t xml:space="preserve">KPS </w:t>
            </w:r>
            <w:r w:rsidR="00766AA4" w:rsidRPr="00743D45">
              <w:rPr>
                <w:rFonts w:ascii="Arial Narrow" w:hAnsi="Arial Narrow"/>
                <w:i/>
                <w:iCs/>
                <w:sz w:val="20"/>
              </w:rPr>
              <w:t>≥</w:t>
            </w:r>
            <w:r w:rsidRPr="00743D45">
              <w:rPr>
                <w:rFonts w:ascii="Arial Narrow" w:hAnsi="Arial Narrow"/>
                <w:i/>
                <w:iCs/>
                <w:sz w:val="20"/>
              </w:rPr>
              <w:t xml:space="preserve">80) </w:t>
            </w:r>
            <w:r w:rsidR="001C7802" w:rsidRPr="00743D45">
              <w:rPr>
                <w:rFonts w:ascii="Arial Narrow" w:hAnsi="Arial Narrow"/>
                <w:i/>
                <w:iCs/>
                <w:sz w:val="20"/>
              </w:rPr>
              <w:t>-</w:t>
            </w:r>
            <w:r w:rsidRPr="00743D45">
              <w:rPr>
                <w:rFonts w:ascii="Arial Narrow" w:hAnsi="Arial Narrow"/>
                <w:i/>
                <w:iCs/>
                <w:sz w:val="20"/>
              </w:rPr>
              <w:t xml:space="preserve"> private hospital scripts incur </w:t>
            </w:r>
            <w:r w:rsidR="00543C8C" w:rsidRPr="00743D45">
              <w:rPr>
                <w:rFonts w:ascii="Arial Narrow" w:hAnsi="Arial Narrow"/>
                <w:i/>
                <w:iCs/>
                <w:sz w:val="20"/>
              </w:rPr>
              <w:t xml:space="preserve">a </w:t>
            </w:r>
            <w:r w:rsidRPr="00743D45">
              <w:rPr>
                <w:rFonts w:ascii="Arial Narrow" w:hAnsi="Arial Narrow"/>
                <w:i/>
                <w:iCs/>
                <w:sz w:val="20"/>
              </w:rPr>
              <w:t xml:space="preserve">flat 1.4% mark-up </w:t>
            </w:r>
            <w:r w:rsidR="0086257B" w:rsidRPr="00743D45">
              <w:rPr>
                <w:rFonts w:ascii="Arial Narrow" w:hAnsi="Arial Narrow"/>
                <w:i/>
                <w:iCs/>
                <w:sz w:val="20"/>
              </w:rPr>
              <w:t xml:space="preserve"> and 5% discount off</w:t>
            </w:r>
            <w:r w:rsidRPr="00743D45">
              <w:rPr>
                <w:rFonts w:ascii="Arial Narrow" w:hAnsi="Arial Narrow"/>
                <w:i/>
                <w:iCs/>
                <w:sz w:val="20"/>
              </w:rPr>
              <w:t xml:space="preserve"> ex-man price </w:t>
            </w:r>
          </w:p>
        </w:tc>
        <w:tc>
          <w:tcPr>
            <w:tcW w:w="871" w:type="pct"/>
            <w:tcBorders>
              <w:left w:val="single" w:sz="4" w:space="0" w:color="auto"/>
              <w:right w:val="single" w:sz="4" w:space="0" w:color="auto"/>
            </w:tcBorders>
            <w:vAlign w:val="center"/>
          </w:tcPr>
          <w:p w:rsidR="00E8110D" w:rsidRPr="005556AC" w:rsidRDefault="002F4233" w:rsidP="000918B0">
            <w:pPr>
              <w:jc w:val="center"/>
              <w:rPr>
                <w:rFonts w:ascii="Arial Narrow" w:hAnsi="Arial Narrow"/>
                <w:bCs/>
                <w:i/>
                <w:iCs/>
                <w:sz w:val="20"/>
              </w:rPr>
            </w:pPr>
            <w:r w:rsidRPr="002F4233">
              <w:rPr>
                <w:rFonts w:ascii="Arial Narrow" w:hAnsi="Arial Narrow"/>
                <w:bCs/>
                <w:i/>
                <w:iCs/>
                <w:sz w:val="20"/>
              </w:rPr>
              <w:t>$</w:t>
            </w:r>
            <w:r w:rsidR="00E9019D">
              <w:rPr>
                <w:rFonts w:ascii="Arial Narrow" w:hAnsi="Arial Narrow"/>
                <w:bCs/>
                <w:i/>
                <w:iCs/>
                <w:noProof/>
                <w:color w:val="000000"/>
                <w:sz w:val="20"/>
                <w:highlight w:val="black"/>
              </w:rPr>
              <w:t>''''''''''''''''''''''''</w:t>
            </w:r>
          </w:p>
        </w:tc>
      </w:tr>
    </w:tbl>
    <w:p w:rsidR="00DF2B63" w:rsidRDefault="00B66593" w:rsidP="00DF2B63">
      <w:pPr>
        <w:pStyle w:val="ListParagraph"/>
        <w:widowControl/>
        <w:rPr>
          <w:rFonts w:ascii="Arial Narrow" w:hAnsi="Arial Narrow"/>
          <w:i/>
          <w:iCs/>
          <w:sz w:val="18"/>
          <w:szCs w:val="18"/>
        </w:rPr>
      </w:pPr>
      <w:r>
        <w:rPr>
          <w:rFonts w:ascii="Arial Narrow" w:hAnsi="Arial Narrow"/>
          <w:sz w:val="18"/>
          <w:szCs w:val="18"/>
        </w:rPr>
        <w:t xml:space="preserve">Source: </w:t>
      </w:r>
      <w:r w:rsidR="009530CB">
        <w:rPr>
          <w:rFonts w:ascii="Arial Narrow" w:hAnsi="Arial Narrow"/>
          <w:sz w:val="18"/>
          <w:szCs w:val="18"/>
        </w:rPr>
        <w:t>compiled during the evaluation</w:t>
      </w:r>
      <w:r w:rsidR="00EE5931">
        <w:rPr>
          <w:rFonts w:ascii="Arial Narrow" w:hAnsi="Arial Narrow"/>
          <w:sz w:val="18"/>
          <w:szCs w:val="18"/>
        </w:rPr>
        <w:t xml:space="preserve"> from </w:t>
      </w:r>
      <w:r w:rsidR="00946A29" w:rsidRPr="00946A29">
        <w:rPr>
          <w:rFonts w:ascii="Arial Narrow" w:hAnsi="Arial Narrow"/>
          <w:sz w:val="18"/>
          <w:szCs w:val="18"/>
        </w:rPr>
        <w:t xml:space="preserve">2 Copy of Economic evaluation.xlsx’ </w:t>
      </w:r>
      <w:r w:rsidR="00946A29">
        <w:rPr>
          <w:rFonts w:ascii="Arial Narrow" w:hAnsi="Arial Narrow"/>
          <w:sz w:val="18"/>
          <w:szCs w:val="18"/>
        </w:rPr>
        <w:t xml:space="preserve">and </w:t>
      </w:r>
      <w:r w:rsidR="00296759" w:rsidRPr="00296759">
        <w:rPr>
          <w:rFonts w:ascii="Arial Narrow" w:hAnsi="Arial Narrow"/>
          <w:sz w:val="18"/>
          <w:szCs w:val="18"/>
        </w:rPr>
        <w:t>‘4 Section E.xlsx’</w:t>
      </w:r>
      <w:r w:rsidR="009530CB">
        <w:rPr>
          <w:rFonts w:ascii="Arial Narrow" w:hAnsi="Arial Narrow"/>
          <w:sz w:val="18"/>
          <w:szCs w:val="18"/>
        </w:rPr>
        <w:t xml:space="preserve">. </w:t>
      </w:r>
      <w:r w:rsidR="009530CB">
        <w:rPr>
          <w:rFonts w:ascii="Arial Narrow" w:hAnsi="Arial Narrow"/>
          <w:i/>
          <w:iCs/>
          <w:sz w:val="18"/>
          <w:szCs w:val="18"/>
        </w:rPr>
        <w:t>Additional data in italics calculated during the evaluation</w:t>
      </w:r>
      <w:r w:rsidR="00EE5931">
        <w:rPr>
          <w:rFonts w:ascii="Arial Narrow" w:hAnsi="Arial Narrow"/>
          <w:i/>
          <w:iCs/>
          <w:sz w:val="18"/>
          <w:szCs w:val="18"/>
        </w:rPr>
        <w:t>.</w:t>
      </w:r>
    </w:p>
    <w:p w:rsidR="00507D37" w:rsidRPr="00BD5F7C" w:rsidRDefault="00507D37" w:rsidP="00507D37">
      <w:pPr>
        <w:pStyle w:val="ListParagraph"/>
        <w:widowControl/>
        <w:rPr>
          <w:rFonts w:ascii="Arial Narrow" w:hAnsi="Arial Narrow"/>
          <w:sz w:val="18"/>
          <w:szCs w:val="18"/>
        </w:rPr>
      </w:pPr>
      <w:r w:rsidRPr="00BD5F7C">
        <w:rPr>
          <w:rFonts w:ascii="Arial Narrow" w:hAnsi="Arial Narrow"/>
          <w:sz w:val="18"/>
          <w:szCs w:val="18"/>
        </w:rPr>
        <w:t xml:space="preserve">Abbreviations: </w:t>
      </w:r>
      <w:r w:rsidR="00BD5F7C" w:rsidRPr="00BD5F7C">
        <w:rPr>
          <w:rFonts w:ascii="Arial Narrow" w:hAnsi="Arial Narrow"/>
          <w:sz w:val="18"/>
          <w:szCs w:val="18"/>
        </w:rPr>
        <w:t>DPMA = dispensed price for maximum amount;</w:t>
      </w:r>
      <w:r w:rsidR="00720F4E">
        <w:rPr>
          <w:rFonts w:ascii="Arial Narrow" w:hAnsi="Arial Narrow"/>
          <w:sz w:val="18"/>
          <w:szCs w:val="18"/>
        </w:rPr>
        <w:t xml:space="preserve"> ex-man = ex-manufacturer;</w:t>
      </w:r>
      <w:r w:rsidR="00BD5F7C" w:rsidRPr="00BD5F7C">
        <w:rPr>
          <w:rFonts w:ascii="Arial Narrow" w:hAnsi="Arial Narrow"/>
          <w:sz w:val="18"/>
          <w:szCs w:val="18"/>
        </w:rPr>
        <w:t xml:space="preserve"> </w:t>
      </w:r>
      <w:r w:rsidRPr="00BD5F7C">
        <w:rPr>
          <w:rFonts w:ascii="Arial Narrow" w:hAnsi="Arial Narrow"/>
          <w:sz w:val="18"/>
          <w:szCs w:val="18"/>
        </w:rPr>
        <w:t>KPS = Karnofsky Performance Status</w:t>
      </w:r>
    </w:p>
    <w:p w:rsidR="00B60939" w:rsidRPr="009635E0" w:rsidRDefault="00B60939" w:rsidP="001456B0">
      <w:pPr>
        <w:rPr>
          <w:szCs w:val="22"/>
        </w:rPr>
      </w:pPr>
    </w:p>
    <w:p w:rsidR="00B60939" w:rsidRPr="00C96416" w:rsidRDefault="00B60939" w:rsidP="00DE732C">
      <w:pPr>
        <w:pStyle w:val="Heading2"/>
      </w:pPr>
      <w:bookmarkStart w:id="28" w:name="_Toc437869743"/>
      <w:bookmarkStart w:id="29" w:name="_Toc441050439"/>
      <w:r w:rsidRPr="00C96416">
        <w:t>Estimated PBS usage &amp; financial implications</w:t>
      </w:r>
      <w:bookmarkEnd w:id="28"/>
      <w:bookmarkEnd w:id="29"/>
    </w:p>
    <w:p w:rsidR="00C25D9C" w:rsidRPr="00F64896" w:rsidRDefault="00C25D9C" w:rsidP="00B15815">
      <w:pPr>
        <w:pStyle w:val="ListParagraph"/>
        <w:widowControl/>
        <w:numPr>
          <w:ilvl w:val="1"/>
          <w:numId w:val="3"/>
        </w:numPr>
        <w:rPr>
          <w:szCs w:val="22"/>
        </w:rPr>
      </w:pPr>
      <w:r w:rsidRPr="00F64896">
        <w:t xml:space="preserve">This </w:t>
      </w:r>
      <w:r w:rsidRPr="00F73FDA">
        <w:t xml:space="preserve">submission </w:t>
      </w:r>
      <w:r w:rsidR="007C282E">
        <w:t>was</w:t>
      </w:r>
      <w:r w:rsidR="00F64896" w:rsidRPr="00F73FDA">
        <w:t xml:space="preserve"> </w:t>
      </w:r>
      <w:r w:rsidR="002F3B6D" w:rsidRPr="00F73FDA">
        <w:t xml:space="preserve">not </w:t>
      </w:r>
      <w:r w:rsidRPr="00F73FDA">
        <w:t>considered</w:t>
      </w:r>
      <w:r w:rsidRPr="00F64896">
        <w:t xml:space="preserve"> by DUSC</w:t>
      </w:r>
      <w:r w:rsidR="00F64896" w:rsidRPr="00F64896">
        <w:t>. An epidemiological approach was undertaken to estimate usage and financial implications.</w:t>
      </w:r>
    </w:p>
    <w:p w:rsidR="00F64896" w:rsidRPr="00F64896" w:rsidRDefault="00F64896" w:rsidP="00F64896">
      <w:pPr>
        <w:pStyle w:val="ListParagraph"/>
        <w:widowControl/>
        <w:rPr>
          <w:szCs w:val="22"/>
        </w:rPr>
      </w:pPr>
    </w:p>
    <w:p w:rsidR="001A519F" w:rsidRDefault="001A519F" w:rsidP="006F0863">
      <w:pPr>
        <w:ind w:firstLine="709"/>
        <w:rPr>
          <w:rStyle w:val="CommentReference"/>
        </w:rPr>
      </w:pPr>
      <w:r>
        <w:rPr>
          <w:rStyle w:val="CommentReference"/>
        </w:rPr>
        <w:br w:type="page"/>
      </w:r>
    </w:p>
    <w:p w:rsidR="00C25D9C" w:rsidRPr="009635E0" w:rsidRDefault="00C25D9C" w:rsidP="006F0863">
      <w:pPr>
        <w:ind w:firstLine="709"/>
        <w:rPr>
          <w:rStyle w:val="CommentReference"/>
        </w:rPr>
      </w:pPr>
      <w:r w:rsidRPr="009635E0">
        <w:rPr>
          <w:rStyle w:val="CommentReference"/>
        </w:rPr>
        <w:lastRenderedPageBreak/>
        <w:t xml:space="preserve">Table </w:t>
      </w:r>
      <w:r w:rsidR="00020A42">
        <w:rPr>
          <w:rStyle w:val="CommentReference"/>
        </w:rPr>
        <w:t>1</w:t>
      </w:r>
      <w:r w:rsidR="00C67B31">
        <w:rPr>
          <w:rStyle w:val="CommentReference"/>
        </w:rPr>
        <w:t>1</w:t>
      </w:r>
      <w:r w:rsidRPr="009635E0">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5"/>
        <w:gridCol w:w="1102"/>
        <w:gridCol w:w="1102"/>
        <w:gridCol w:w="1103"/>
        <w:gridCol w:w="1102"/>
        <w:gridCol w:w="1103"/>
      </w:tblGrid>
      <w:tr w:rsidR="006265C2" w:rsidRPr="00E01E76" w:rsidTr="006265C2">
        <w:trPr>
          <w:tblHeader/>
        </w:trPr>
        <w:tc>
          <w:tcPr>
            <w:tcW w:w="1698" w:type="pct"/>
            <w:shd w:val="clear" w:color="auto" w:fill="auto"/>
            <w:vAlign w:val="center"/>
          </w:tcPr>
          <w:p w:rsidR="00C25D9C" w:rsidRPr="00E01E76" w:rsidRDefault="00C25D9C" w:rsidP="00B8649C">
            <w:pPr>
              <w:tabs>
                <w:tab w:val="left" w:pos="142"/>
              </w:tabs>
              <w:jc w:val="left"/>
              <w:rPr>
                <w:rFonts w:ascii="Arial Narrow" w:hAnsi="Arial Narrow"/>
                <w:b/>
                <w:sz w:val="20"/>
              </w:rPr>
            </w:pPr>
          </w:p>
        </w:tc>
        <w:tc>
          <w:tcPr>
            <w:tcW w:w="660" w:type="pct"/>
            <w:shd w:val="clear" w:color="auto" w:fill="auto"/>
            <w:vAlign w:val="center"/>
          </w:tcPr>
          <w:p w:rsidR="00C25D9C" w:rsidRPr="00E01E76" w:rsidRDefault="00C25D9C" w:rsidP="00B8649C">
            <w:pPr>
              <w:jc w:val="center"/>
              <w:rPr>
                <w:rFonts w:ascii="Arial Narrow" w:hAnsi="Arial Narrow"/>
                <w:b/>
                <w:sz w:val="20"/>
              </w:rPr>
            </w:pPr>
            <w:r w:rsidRPr="00E01E76">
              <w:rPr>
                <w:rFonts w:ascii="Arial Narrow" w:hAnsi="Arial Narrow"/>
                <w:b/>
                <w:sz w:val="20"/>
              </w:rPr>
              <w:t>Year 1</w:t>
            </w:r>
          </w:p>
        </w:tc>
        <w:tc>
          <w:tcPr>
            <w:tcW w:w="660" w:type="pct"/>
            <w:shd w:val="clear" w:color="auto" w:fill="auto"/>
            <w:vAlign w:val="center"/>
          </w:tcPr>
          <w:p w:rsidR="00C25D9C" w:rsidRPr="00E01E76" w:rsidRDefault="00C25D9C" w:rsidP="00B8649C">
            <w:pPr>
              <w:jc w:val="center"/>
              <w:rPr>
                <w:rFonts w:ascii="Arial Narrow" w:hAnsi="Arial Narrow"/>
                <w:b/>
                <w:sz w:val="20"/>
              </w:rPr>
            </w:pPr>
            <w:r w:rsidRPr="00E01E76">
              <w:rPr>
                <w:rFonts w:ascii="Arial Narrow" w:hAnsi="Arial Narrow"/>
                <w:b/>
                <w:sz w:val="20"/>
              </w:rPr>
              <w:t>Year 2</w:t>
            </w:r>
          </w:p>
        </w:tc>
        <w:tc>
          <w:tcPr>
            <w:tcW w:w="661" w:type="pct"/>
            <w:shd w:val="clear" w:color="auto" w:fill="auto"/>
            <w:vAlign w:val="center"/>
          </w:tcPr>
          <w:p w:rsidR="00C25D9C" w:rsidRPr="00E01E76" w:rsidRDefault="00C25D9C" w:rsidP="00B8649C">
            <w:pPr>
              <w:jc w:val="center"/>
              <w:rPr>
                <w:rFonts w:ascii="Arial Narrow" w:hAnsi="Arial Narrow"/>
                <w:b/>
                <w:sz w:val="20"/>
              </w:rPr>
            </w:pPr>
            <w:r w:rsidRPr="00E01E76">
              <w:rPr>
                <w:rFonts w:ascii="Arial Narrow" w:hAnsi="Arial Narrow"/>
                <w:b/>
                <w:sz w:val="20"/>
              </w:rPr>
              <w:t>Year 3</w:t>
            </w:r>
          </w:p>
        </w:tc>
        <w:tc>
          <w:tcPr>
            <w:tcW w:w="660" w:type="pct"/>
            <w:shd w:val="clear" w:color="auto" w:fill="auto"/>
            <w:vAlign w:val="center"/>
          </w:tcPr>
          <w:p w:rsidR="00C25D9C" w:rsidRPr="00E01E76" w:rsidRDefault="00C25D9C" w:rsidP="00B8649C">
            <w:pPr>
              <w:jc w:val="center"/>
              <w:rPr>
                <w:rFonts w:ascii="Arial Narrow" w:hAnsi="Arial Narrow"/>
                <w:b/>
                <w:sz w:val="20"/>
              </w:rPr>
            </w:pPr>
            <w:r w:rsidRPr="00E01E76">
              <w:rPr>
                <w:rFonts w:ascii="Arial Narrow" w:hAnsi="Arial Narrow"/>
                <w:b/>
                <w:sz w:val="20"/>
              </w:rPr>
              <w:t>Year 4</w:t>
            </w:r>
          </w:p>
        </w:tc>
        <w:tc>
          <w:tcPr>
            <w:tcW w:w="661" w:type="pct"/>
            <w:shd w:val="clear" w:color="auto" w:fill="auto"/>
            <w:vAlign w:val="center"/>
          </w:tcPr>
          <w:p w:rsidR="00C25D9C" w:rsidRPr="00E01E76" w:rsidRDefault="00C25D9C" w:rsidP="00B8649C">
            <w:pPr>
              <w:jc w:val="center"/>
              <w:rPr>
                <w:rFonts w:ascii="Arial Narrow" w:hAnsi="Arial Narrow"/>
                <w:b/>
                <w:sz w:val="20"/>
              </w:rPr>
            </w:pPr>
            <w:r w:rsidRPr="00E01E76">
              <w:rPr>
                <w:rFonts w:ascii="Arial Narrow" w:hAnsi="Arial Narrow"/>
                <w:b/>
                <w:sz w:val="20"/>
              </w:rPr>
              <w:t>Year 5</w:t>
            </w:r>
          </w:p>
        </w:tc>
      </w:tr>
      <w:tr w:rsidR="00C25D9C" w:rsidRPr="00E01E76" w:rsidTr="005D044D">
        <w:tc>
          <w:tcPr>
            <w:tcW w:w="5000" w:type="pct"/>
            <w:gridSpan w:val="6"/>
            <w:shd w:val="clear" w:color="auto" w:fill="auto"/>
            <w:vAlign w:val="center"/>
          </w:tcPr>
          <w:p w:rsidR="00C25D9C" w:rsidRPr="00E01E76" w:rsidRDefault="00C25D9C" w:rsidP="00B8649C">
            <w:pPr>
              <w:jc w:val="left"/>
              <w:rPr>
                <w:rFonts w:ascii="Arial Narrow" w:hAnsi="Arial Narrow"/>
                <w:b/>
                <w:bCs/>
                <w:color w:val="000000"/>
                <w:sz w:val="20"/>
              </w:rPr>
            </w:pPr>
            <w:r w:rsidRPr="00E01E76">
              <w:rPr>
                <w:rFonts w:ascii="Arial Narrow" w:hAnsi="Arial Narrow"/>
                <w:b/>
                <w:bCs/>
                <w:color w:val="000000"/>
                <w:sz w:val="20"/>
              </w:rPr>
              <w:t>Estimated extent of use</w:t>
            </w:r>
          </w:p>
        </w:tc>
      </w:tr>
      <w:tr w:rsidR="006265C2" w:rsidRPr="00E01E76" w:rsidTr="006265C2">
        <w:tc>
          <w:tcPr>
            <w:tcW w:w="1698" w:type="pct"/>
            <w:shd w:val="clear" w:color="auto" w:fill="auto"/>
            <w:vAlign w:val="center"/>
          </w:tcPr>
          <w:p w:rsidR="00CF19CB" w:rsidRPr="00E01E76" w:rsidRDefault="00CF19CB" w:rsidP="00CF19CB">
            <w:pPr>
              <w:tabs>
                <w:tab w:val="left" w:pos="142"/>
              </w:tabs>
              <w:jc w:val="left"/>
              <w:rPr>
                <w:rFonts w:ascii="Arial Narrow" w:hAnsi="Arial Narrow"/>
                <w:sz w:val="20"/>
              </w:rPr>
            </w:pPr>
            <w:r>
              <w:rPr>
                <w:rFonts w:ascii="Arial Narrow" w:hAnsi="Arial Narrow"/>
                <w:sz w:val="20"/>
              </w:rPr>
              <w:t>Uptake rate</w:t>
            </w:r>
          </w:p>
        </w:tc>
        <w:tc>
          <w:tcPr>
            <w:tcW w:w="660" w:type="pct"/>
            <w:shd w:val="clear" w:color="auto" w:fill="auto"/>
            <w:vAlign w:val="center"/>
          </w:tcPr>
          <w:p w:rsidR="00CF19CB" w:rsidRPr="00E01E76" w:rsidRDefault="00CF19CB" w:rsidP="00EB2D45">
            <w:pPr>
              <w:jc w:val="center"/>
              <w:rPr>
                <w:rFonts w:ascii="Arial Narrow" w:hAnsi="Arial Narrow"/>
                <w:bCs/>
                <w:color w:val="000000"/>
                <w:sz w:val="20"/>
              </w:rPr>
            </w:pPr>
            <w:r w:rsidRPr="009D51E0">
              <w:rPr>
                <w:rFonts w:ascii="Arial Narrow" w:hAnsi="Arial Narrow"/>
                <w:sz w:val="20"/>
              </w:rPr>
              <w:t>50%</w:t>
            </w:r>
          </w:p>
        </w:tc>
        <w:tc>
          <w:tcPr>
            <w:tcW w:w="660" w:type="pct"/>
            <w:shd w:val="clear" w:color="auto" w:fill="auto"/>
            <w:vAlign w:val="center"/>
          </w:tcPr>
          <w:p w:rsidR="00CF19CB" w:rsidRPr="00E01E76" w:rsidRDefault="00CF19CB" w:rsidP="00EB2D45">
            <w:pPr>
              <w:jc w:val="center"/>
              <w:rPr>
                <w:rFonts w:ascii="Arial Narrow" w:hAnsi="Arial Narrow"/>
                <w:bCs/>
                <w:color w:val="000000"/>
                <w:sz w:val="20"/>
              </w:rPr>
            </w:pPr>
            <w:r w:rsidRPr="009D51E0">
              <w:rPr>
                <w:rFonts w:ascii="Arial Narrow" w:hAnsi="Arial Narrow"/>
                <w:sz w:val="20"/>
              </w:rPr>
              <w:t>60%</w:t>
            </w:r>
          </w:p>
        </w:tc>
        <w:tc>
          <w:tcPr>
            <w:tcW w:w="661" w:type="pct"/>
            <w:shd w:val="clear" w:color="auto" w:fill="auto"/>
            <w:vAlign w:val="center"/>
          </w:tcPr>
          <w:p w:rsidR="00CF19CB" w:rsidRPr="00E01E76" w:rsidRDefault="00CF19CB" w:rsidP="00EB2D45">
            <w:pPr>
              <w:jc w:val="center"/>
              <w:rPr>
                <w:rFonts w:ascii="Arial Narrow" w:hAnsi="Arial Narrow"/>
                <w:bCs/>
                <w:color w:val="000000"/>
                <w:sz w:val="20"/>
              </w:rPr>
            </w:pPr>
            <w:r w:rsidRPr="009D51E0">
              <w:rPr>
                <w:rFonts w:ascii="Arial Narrow" w:hAnsi="Arial Narrow"/>
                <w:sz w:val="20"/>
              </w:rPr>
              <w:t>65%</w:t>
            </w:r>
          </w:p>
        </w:tc>
        <w:tc>
          <w:tcPr>
            <w:tcW w:w="660" w:type="pct"/>
            <w:shd w:val="clear" w:color="auto" w:fill="auto"/>
            <w:vAlign w:val="center"/>
          </w:tcPr>
          <w:p w:rsidR="00CF19CB" w:rsidRPr="00E01E76" w:rsidRDefault="00CF19CB" w:rsidP="00EB2D45">
            <w:pPr>
              <w:jc w:val="center"/>
              <w:rPr>
                <w:rFonts w:ascii="Arial Narrow" w:hAnsi="Arial Narrow"/>
                <w:bCs/>
                <w:color w:val="000000"/>
                <w:sz w:val="20"/>
              </w:rPr>
            </w:pPr>
            <w:r w:rsidRPr="009D51E0">
              <w:rPr>
                <w:rFonts w:ascii="Arial Narrow" w:hAnsi="Arial Narrow"/>
                <w:sz w:val="20"/>
              </w:rPr>
              <w:t>70%</w:t>
            </w:r>
          </w:p>
        </w:tc>
        <w:tc>
          <w:tcPr>
            <w:tcW w:w="661" w:type="pct"/>
            <w:shd w:val="clear" w:color="auto" w:fill="auto"/>
            <w:vAlign w:val="center"/>
          </w:tcPr>
          <w:p w:rsidR="00CF19CB" w:rsidRPr="00E01E76" w:rsidRDefault="00CF19CB" w:rsidP="00EB2D45">
            <w:pPr>
              <w:jc w:val="center"/>
              <w:rPr>
                <w:rFonts w:ascii="Arial Narrow" w:hAnsi="Arial Narrow"/>
                <w:bCs/>
                <w:color w:val="000000"/>
                <w:sz w:val="20"/>
              </w:rPr>
            </w:pPr>
            <w:r w:rsidRPr="009D51E0">
              <w:rPr>
                <w:rFonts w:ascii="Arial Narrow" w:hAnsi="Arial Narrow"/>
                <w:sz w:val="20"/>
              </w:rPr>
              <w:t>75%</w:t>
            </w:r>
          </w:p>
        </w:tc>
      </w:tr>
      <w:tr w:rsidR="006265C2" w:rsidRPr="00E01E76" w:rsidTr="006265C2">
        <w:tc>
          <w:tcPr>
            <w:tcW w:w="1698" w:type="pct"/>
            <w:shd w:val="clear" w:color="auto" w:fill="auto"/>
            <w:vAlign w:val="center"/>
          </w:tcPr>
          <w:p w:rsidR="00E01E76" w:rsidRPr="00E01E76" w:rsidRDefault="00E01E76" w:rsidP="00E01E76">
            <w:pPr>
              <w:tabs>
                <w:tab w:val="left" w:pos="142"/>
              </w:tabs>
              <w:jc w:val="left"/>
              <w:rPr>
                <w:rFonts w:ascii="Arial Narrow" w:hAnsi="Arial Narrow"/>
                <w:sz w:val="20"/>
              </w:rPr>
            </w:pPr>
            <w:r w:rsidRPr="00E01E76">
              <w:rPr>
                <w:rFonts w:ascii="Arial Narrow" w:hAnsi="Arial Narrow"/>
                <w:sz w:val="20"/>
              </w:rPr>
              <w:t>Number treated</w:t>
            </w:r>
          </w:p>
        </w:tc>
        <w:tc>
          <w:tcPr>
            <w:tcW w:w="660" w:type="pct"/>
            <w:shd w:val="clear" w:color="auto" w:fill="auto"/>
            <w:vAlign w:val="center"/>
          </w:tcPr>
          <w:p w:rsidR="00E01E76" w:rsidRPr="00E9019D" w:rsidRDefault="00E9019D" w:rsidP="00EB2D45">
            <w:pPr>
              <w:jc w:val="center"/>
              <w:rPr>
                <w:rFonts w:ascii="Arial Narrow" w:hAnsi="Arial Narrow"/>
                <w:bCs/>
                <w:sz w:val="20"/>
                <w:highlight w:val="black"/>
              </w:rPr>
            </w:pPr>
            <w:r>
              <w:rPr>
                <w:rFonts w:ascii="Arial Narrow" w:hAnsi="Arial Narrow"/>
                <w:bCs/>
                <w:noProof/>
                <w:color w:val="000000"/>
                <w:sz w:val="20"/>
                <w:highlight w:val="black"/>
              </w:rPr>
              <w:t>''''''''''</w:t>
            </w:r>
          </w:p>
        </w:tc>
        <w:tc>
          <w:tcPr>
            <w:tcW w:w="660" w:type="pct"/>
            <w:shd w:val="clear" w:color="auto" w:fill="auto"/>
            <w:vAlign w:val="center"/>
          </w:tcPr>
          <w:p w:rsidR="00E01E76" w:rsidRPr="00E9019D" w:rsidRDefault="00E9019D" w:rsidP="00EB2D45">
            <w:pPr>
              <w:jc w:val="center"/>
              <w:rPr>
                <w:rFonts w:ascii="Arial Narrow" w:hAnsi="Arial Narrow"/>
                <w:bCs/>
                <w:sz w:val="20"/>
                <w:highlight w:val="black"/>
              </w:rPr>
            </w:pPr>
            <w:r>
              <w:rPr>
                <w:rFonts w:ascii="Arial Narrow" w:hAnsi="Arial Narrow"/>
                <w:bCs/>
                <w:noProof/>
                <w:color w:val="000000"/>
                <w:sz w:val="20"/>
                <w:highlight w:val="black"/>
              </w:rPr>
              <w:t>'''''''''</w:t>
            </w:r>
          </w:p>
        </w:tc>
        <w:tc>
          <w:tcPr>
            <w:tcW w:w="661" w:type="pct"/>
            <w:shd w:val="clear" w:color="auto" w:fill="auto"/>
            <w:vAlign w:val="center"/>
          </w:tcPr>
          <w:p w:rsidR="00E01E76" w:rsidRPr="00E9019D" w:rsidRDefault="00E9019D" w:rsidP="00EB2D45">
            <w:pPr>
              <w:jc w:val="center"/>
              <w:rPr>
                <w:rFonts w:ascii="Arial Narrow" w:hAnsi="Arial Narrow"/>
                <w:bCs/>
                <w:sz w:val="20"/>
                <w:highlight w:val="black"/>
              </w:rPr>
            </w:pPr>
            <w:r>
              <w:rPr>
                <w:rFonts w:ascii="Arial Narrow" w:hAnsi="Arial Narrow"/>
                <w:bCs/>
                <w:noProof/>
                <w:color w:val="000000"/>
                <w:sz w:val="20"/>
                <w:highlight w:val="black"/>
              </w:rPr>
              <w:t>'''''''''</w:t>
            </w:r>
          </w:p>
        </w:tc>
        <w:tc>
          <w:tcPr>
            <w:tcW w:w="660" w:type="pct"/>
            <w:shd w:val="clear" w:color="auto" w:fill="auto"/>
            <w:vAlign w:val="center"/>
          </w:tcPr>
          <w:p w:rsidR="00E01E76" w:rsidRPr="00E9019D" w:rsidRDefault="00E9019D" w:rsidP="00EB2D45">
            <w:pPr>
              <w:jc w:val="center"/>
              <w:rPr>
                <w:rFonts w:ascii="Arial Narrow" w:hAnsi="Arial Narrow"/>
                <w:bCs/>
                <w:sz w:val="20"/>
                <w:highlight w:val="black"/>
              </w:rPr>
            </w:pPr>
            <w:r>
              <w:rPr>
                <w:rFonts w:ascii="Arial Narrow" w:hAnsi="Arial Narrow"/>
                <w:bCs/>
                <w:noProof/>
                <w:color w:val="000000"/>
                <w:sz w:val="20"/>
                <w:highlight w:val="black"/>
              </w:rPr>
              <w:t>''''''''''</w:t>
            </w:r>
          </w:p>
        </w:tc>
        <w:tc>
          <w:tcPr>
            <w:tcW w:w="661" w:type="pct"/>
            <w:shd w:val="clear" w:color="auto" w:fill="auto"/>
            <w:vAlign w:val="center"/>
          </w:tcPr>
          <w:p w:rsidR="00E01E76" w:rsidRPr="00E9019D" w:rsidRDefault="00E9019D" w:rsidP="00EB2D45">
            <w:pPr>
              <w:jc w:val="center"/>
              <w:rPr>
                <w:rFonts w:ascii="Arial Narrow" w:hAnsi="Arial Narrow"/>
                <w:bCs/>
                <w:sz w:val="20"/>
                <w:highlight w:val="black"/>
              </w:rPr>
            </w:pPr>
            <w:r>
              <w:rPr>
                <w:rFonts w:ascii="Arial Narrow" w:hAnsi="Arial Narrow"/>
                <w:bCs/>
                <w:noProof/>
                <w:color w:val="000000"/>
                <w:sz w:val="20"/>
                <w:highlight w:val="black"/>
              </w:rPr>
              <w:t>'''''''''</w:t>
            </w:r>
          </w:p>
        </w:tc>
      </w:tr>
      <w:tr w:rsidR="006265C2" w:rsidRPr="00E01E76" w:rsidTr="006265C2">
        <w:tc>
          <w:tcPr>
            <w:tcW w:w="1698" w:type="pct"/>
            <w:shd w:val="clear" w:color="auto" w:fill="auto"/>
          </w:tcPr>
          <w:p w:rsidR="004D4671" w:rsidRPr="00E01E76" w:rsidRDefault="004D4671" w:rsidP="004B1602">
            <w:pPr>
              <w:tabs>
                <w:tab w:val="left" w:pos="142"/>
              </w:tabs>
              <w:jc w:val="left"/>
              <w:rPr>
                <w:rFonts w:ascii="Arial Narrow" w:hAnsi="Arial Narrow"/>
                <w:sz w:val="20"/>
              </w:rPr>
            </w:pPr>
            <w:r>
              <w:rPr>
                <w:rFonts w:ascii="Arial Narrow" w:hAnsi="Arial Narrow"/>
                <w:bCs/>
                <w:sz w:val="20"/>
              </w:rPr>
              <w:t>N</w:t>
            </w:r>
            <w:r w:rsidRPr="009D51E0">
              <w:rPr>
                <w:rFonts w:ascii="Arial Narrow" w:hAnsi="Arial Narrow"/>
                <w:bCs/>
                <w:sz w:val="20"/>
              </w:rPr>
              <w:t>umber of infusions</w:t>
            </w:r>
            <w:r w:rsidR="00867B3B">
              <w:rPr>
                <w:rFonts w:ascii="Arial Narrow" w:hAnsi="Arial Narrow"/>
                <w:bCs/>
                <w:sz w:val="20"/>
              </w:rPr>
              <w:t>/ scripts</w:t>
            </w:r>
            <w:r w:rsidRPr="009D51E0">
              <w:rPr>
                <w:rFonts w:ascii="Arial Narrow" w:hAnsi="Arial Narrow"/>
                <w:bCs/>
                <w:sz w:val="20"/>
              </w:rPr>
              <w:t xml:space="preserve"> </w:t>
            </w:r>
            <w:r w:rsidRPr="009D51E0">
              <w:rPr>
                <w:rFonts w:ascii="Arial Narrow" w:hAnsi="Arial Narrow"/>
                <w:sz w:val="20"/>
              </w:rPr>
              <w:t xml:space="preserve">(24.5 </w:t>
            </w:r>
            <w:r w:rsidR="004B1602">
              <w:rPr>
                <w:rFonts w:ascii="Arial Narrow" w:hAnsi="Arial Narrow"/>
                <w:sz w:val="20"/>
              </w:rPr>
              <w:t>pp</w:t>
            </w:r>
            <w:r w:rsidRPr="009D51E0">
              <w:rPr>
                <w:rFonts w:ascii="Arial Narrow" w:hAnsi="Arial Narrow"/>
                <w:sz w:val="20"/>
              </w:rPr>
              <w:t>)</w:t>
            </w:r>
          </w:p>
        </w:tc>
        <w:tc>
          <w:tcPr>
            <w:tcW w:w="660" w:type="pct"/>
            <w:shd w:val="clear" w:color="auto" w:fill="auto"/>
            <w:vAlign w:val="center"/>
          </w:tcPr>
          <w:p w:rsidR="004D4671" w:rsidRPr="00E9019D" w:rsidRDefault="00E9019D" w:rsidP="00EB2D45">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60" w:type="pct"/>
            <w:shd w:val="clear" w:color="auto" w:fill="auto"/>
            <w:vAlign w:val="center"/>
          </w:tcPr>
          <w:p w:rsidR="004D4671" w:rsidRPr="00E9019D" w:rsidRDefault="00E9019D" w:rsidP="00EB2D45">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61" w:type="pct"/>
            <w:shd w:val="clear" w:color="auto" w:fill="auto"/>
            <w:vAlign w:val="center"/>
          </w:tcPr>
          <w:p w:rsidR="004D4671" w:rsidRPr="00E9019D" w:rsidRDefault="00E9019D" w:rsidP="00EB2D45">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60" w:type="pct"/>
            <w:shd w:val="clear" w:color="auto" w:fill="auto"/>
            <w:vAlign w:val="center"/>
          </w:tcPr>
          <w:p w:rsidR="004D4671" w:rsidRPr="00E9019D" w:rsidRDefault="00E9019D" w:rsidP="00EB2D45">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61" w:type="pct"/>
            <w:shd w:val="clear" w:color="auto" w:fill="auto"/>
            <w:vAlign w:val="center"/>
          </w:tcPr>
          <w:p w:rsidR="004D4671" w:rsidRPr="00E9019D" w:rsidRDefault="00E9019D" w:rsidP="00EB2D45">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4B1602" w:rsidRPr="00E01E76" w:rsidTr="006265C2">
        <w:tc>
          <w:tcPr>
            <w:tcW w:w="1698" w:type="pct"/>
            <w:shd w:val="clear" w:color="auto" w:fill="auto"/>
          </w:tcPr>
          <w:p w:rsidR="000209DD" w:rsidRPr="00E01E76" w:rsidRDefault="000209DD" w:rsidP="000209DD">
            <w:pPr>
              <w:tabs>
                <w:tab w:val="left" w:pos="142"/>
              </w:tabs>
              <w:jc w:val="left"/>
              <w:rPr>
                <w:rFonts w:ascii="Arial Narrow" w:hAnsi="Arial Narrow"/>
                <w:sz w:val="20"/>
              </w:rPr>
            </w:pPr>
            <w:r w:rsidRPr="009D51E0">
              <w:rPr>
                <w:rFonts w:ascii="Arial Narrow" w:hAnsi="Arial Narrow"/>
                <w:bCs/>
                <w:sz w:val="20"/>
              </w:rPr>
              <w:t>Total DPMA for cetuximab</w:t>
            </w:r>
            <w:r w:rsidRPr="009D51E0">
              <w:rPr>
                <w:rFonts w:ascii="Arial Narrow" w:hAnsi="Arial Narrow"/>
                <w:bCs/>
                <w:sz w:val="20"/>
                <w:vertAlign w:val="superscript"/>
              </w:rPr>
              <w:t>a</w:t>
            </w:r>
            <w:r w:rsidRPr="009D51E0">
              <w:rPr>
                <w:rFonts w:ascii="Arial Narrow" w:hAnsi="Arial Narrow"/>
                <w:bCs/>
                <w:sz w:val="20"/>
              </w:rPr>
              <w:t xml:space="preserve"> </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r>
      <w:tr w:rsidR="004B1602" w:rsidRPr="00E01E76" w:rsidTr="006265C2">
        <w:tc>
          <w:tcPr>
            <w:tcW w:w="1698" w:type="pct"/>
            <w:shd w:val="clear" w:color="auto" w:fill="auto"/>
          </w:tcPr>
          <w:p w:rsidR="000209DD" w:rsidRPr="00E01E76" w:rsidRDefault="000209DD" w:rsidP="00AF4F80">
            <w:pPr>
              <w:tabs>
                <w:tab w:val="left" w:pos="142"/>
              </w:tabs>
              <w:jc w:val="left"/>
              <w:rPr>
                <w:rFonts w:ascii="Arial Narrow" w:hAnsi="Arial Narrow"/>
                <w:sz w:val="20"/>
              </w:rPr>
            </w:pPr>
            <w:r w:rsidRPr="009D51E0">
              <w:rPr>
                <w:rFonts w:ascii="Arial Narrow" w:hAnsi="Arial Narrow"/>
                <w:bCs/>
                <w:sz w:val="20"/>
              </w:rPr>
              <w:t xml:space="preserve">Patient co-payments ($18.82*2 </w:t>
            </w:r>
            <w:r w:rsidR="00AF4F80">
              <w:rPr>
                <w:rFonts w:ascii="Arial Narrow" w:hAnsi="Arial Narrow"/>
                <w:bCs/>
                <w:sz w:val="20"/>
              </w:rPr>
              <w:t>pp</w:t>
            </w:r>
            <w:r w:rsidRPr="009D51E0">
              <w:rPr>
                <w:rFonts w:ascii="Arial Narrow" w:hAnsi="Arial Narrow"/>
                <w:bCs/>
                <w:sz w:val="20"/>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r>
      <w:tr w:rsidR="004B1602" w:rsidRPr="00E01E76" w:rsidTr="006265C2">
        <w:tc>
          <w:tcPr>
            <w:tcW w:w="1698" w:type="pct"/>
            <w:shd w:val="clear" w:color="auto" w:fill="auto"/>
            <w:vAlign w:val="bottom"/>
          </w:tcPr>
          <w:p w:rsidR="000209DD" w:rsidRPr="00E01E76" w:rsidRDefault="000209DD" w:rsidP="000209DD">
            <w:pPr>
              <w:tabs>
                <w:tab w:val="left" w:pos="142"/>
              </w:tabs>
              <w:jc w:val="left"/>
              <w:rPr>
                <w:rFonts w:ascii="Arial Narrow" w:hAnsi="Arial Narrow"/>
                <w:sz w:val="20"/>
              </w:rPr>
            </w:pPr>
            <w:r w:rsidRPr="001242B7">
              <w:rPr>
                <w:rFonts w:ascii="Arial Narrow" w:hAnsi="Arial Narrow"/>
                <w:bCs/>
                <w:sz w:val="20"/>
              </w:rPr>
              <w:t>Total DPMA for cetuximab (less co-payment)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1242B7">
              <w:rPr>
                <w:rFonts w:ascii="Arial Narrow" w:hAnsi="Arial Narrow"/>
                <w:bCs/>
                <w:sz w:val="20"/>
              </w:rPr>
              <w:t>$</w:t>
            </w:r>
            <w:r w:rsidR="00E9019D">
              <w:rPr>
                <w:rFonts w:ascii="Arial Narrow" w:hAnsi="Arial Narrow"/>
                <w:bCs/>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1242B7">
              <w:rPr>
                <w:rFonts w:ascii="Arial Narrow" w:hAnsi="Arial Narrow"/>
                <w:bCs/>
                <w:sz w:val="20"/>
              </w:rPr>
              <w:t>$</w:t>
            </w:r>
            <w:r w:rsidR="00E9019D">
              <w:rPr>
                <w:rFonts w:ascii="Arial Narrow" w:hAnsi="Arial Narrow"/>
                <w:bCs/>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1242B7">
              <w:rPr>
                <w:rFonts w:ascii="Arial Narrow" w:hAnsi="Arial Narrow"/>
                <w:bCs/>
                <w:sz w:val="20"/>
              </w:rPr>
              <w:t>$</w:t>
            </w:r>
            <w:r w:rsidR="00E9019D">
              <w:rPr>
                <w:rFonts w:ascii="Arial Narrow" w:hAnsi="Arial Narrow"/>
                <w:bCs/>
                <w:noProof/>
                <w:color w:val="000000"/>
                <w:sz w:val="20"/>
                <w:highlight w:val="black"/>
              </w:rPr>
              <w:t>'''''''''''''''''''''''''''</w:t>
            </w:r>
          </w:p>
        </w:tc>
        <w:tc>
          <w:tcPr>
            <w:tcW w:w="660" w:type="pct"/>
            <w:shd w:val="clear" w:color="auto" w:fill="auto"/>
            <w:vAlign w:val="center"/>
          </w:tcPr>
          <w:p w:rsidR="000209DD" w:rsidRPr="00E01E76" w:rsidRDefault="000209DD" w:rsidP="00EB2D45">
            <w:pPr>
              <w:jc w:val="center"/>
              <w:rPr>
                <w:rFonts w:ascii="Arial Narrow" w:hAnsi="Arial Narrow"/>
                <w:bCs/>
                <w:color w:val="000000"/>
                <w:sz w:val="20"/>
              </w:rPr>
            </w:pPr>
            <w:r w:rsidRPr="001242B7">
              <w:rPr>
                <w:rFonts w:ascii="Arial Narrow" w:hAnsi="Arial Narrow"/>
                <w:bCs/>
                <w:sz w:val="20"/>
              </w:rPr>
              <w:t>$</w:t>
            </w:r>
            <w:r w:rsidR="00E9019D">
              <w:rPr>
                <w:rFonts w:ascii="Arial Narrow" w:hAnsi="Arial Narrow"/>
                <w:bCs/>
                <w:noProof/>
                <w:color w:val="000000"/>
                <w:sz w:val="20"/>
                <w:highlight w:val="black"/>
              </w:rPr>
              <w:t>'''''''''''''''''''''''''''</w:t>
            </w:r>
          </w:p>
        </w:tc>
        <w:tc>
          <w:tcPr>
            <w:tcW w:w="661" w:type="pct"/>
            <w:shd w:val="clear" w:color="auto" w:fill="auto"/>
            <w:vAlign w:val="center"/>
          </w:tcPr>
          <w:p w:rsidR="000209DD" w:rsidRPr="00E01E76" w:rsidRDefault="000209DD" w:rsidP="00EB2D45">
            <w:pPr>
              <w:jc w:val="center"/>
              <w:rPr>
                <w:rFonts w:ascii="Arial Narrow" w:hAnsi="Arial Narrow"/>
                <w:bCs/>
                <w:color w:val="000000"/>
                <w:sz w:val="20"/>
              </w:rPr>
            </w:pPr>
            <w:r w:rsidRPr="001242B7">
              <w:rPr>
                <w:rFonts w:ascii="Arial Narrow" w:hAnsi="Arial Narrow"/>
                <w:bCs/>
                <w:sz w:val="20"/>
              </w:rPr>
              <w:t>$</w:t>
            </w:r>
            <w:r w:rsidR="00E9019D">
              <w:rPr>
                <w:rFonts w:ascii="Arial Narrow" w:hAnsi="Arial Narrow"/>
                <w:bCs/>
                <w:noProof/>
                <w:color w:val="000000"/>
                <w:sz w:val="20"/>
                <w:highlight w:val="black"/>
              </w:rPr>
              <w:t>''''''''''''''''''''''''</w:t>
            </w:r>
          </w:p>
        </w:tc>
      </w:tr>
      <w:tr w:rsidR="00E01E76" w:rsidRPr="00E01E76" w:rsidTr="005D044D">
        <w:tc>
          <w:tcPr>
            <w:tcW w:w="5000" w:type="pct"/>
            <w:gridSpan w:val="6"/>
            <w:shd w:val="clear" w:color="auto" w:fill="auto"/>
            <w:vAlign w:val="center"/>
          </w:tcPr>
          <w:p w:rsidR="00E01E76" w:rsidRPr="00E01E76" w:rsidRDefault="00E01E76" w:rsidP="00E01E76">
            <w:pPr>
              <w:jc w:val="left"/>
              <w:rPr>
                <w:rFonts w:ascii="Arial Narrow" w:hAnsi="Arial Narrow"/>
                <w:b/>
                <w:bCs/>
                <w:color w:val="000000"/>
                <w:sz w:val="20"/>
              </w:rPr>
            </w:pPr>
            <w:r w:rsidRPr="00E01E76">
              <w:rPr>
                <w:rFonts w:ascii="Arial Narrow" w:hAnsi="Arial Narrow"/>
                <w:b/>
                <w:bCs/>
                <w:color w:val="000000"/>
                <w:sz w:val="20"/>
              </w:rPr>
              <w:t>Estimated net cost to PBS/RPBS/MBS</w:t>
            </w:r>
          </w:p>
        </w:tc>
      </w:tr>
      <w:tr w:rsidR="006265C2" w:rsidRPr="00E01E76" w:rsidTr="006265C2">
        <w:tc>
          <w:tcPr>
            <w:tcW w:w="1698" w:type="pct"/>
            <w:shd w:val="clear" w:color="auto" w:fill="auto"/>
            <w:vAlign w:val="center"/>
          </w:tcPr>
          <w:p w:rsidR="00DC0CB7" w:rsidRPr="00E01E76" w:rsidRDefault="00DC0CB7" w:rsidP="00AF4F80">
            <w:pPr>
              <w:tabs>
                <w:tab w:val="left" w:pos="142"/>
              </w:tabs>
              <w:jc w:val="left"/>
              <w:rPr>
                <w:rFonts w:ascii="Arial Narrow" w:hAnsi="Arial Narrow"/>
                <w:sz w:val="20"/>
              </w:rPr>
            </w:pPr>
            <w:r w:rsidRPr="009D51E0">
              <w:rPr>
                <w:rFonts w:ascii="Arial Narrow" w:hAnsi="Arial Narrow"/>
                <w:sz w:val="20"/>
              </w:rPr>
              <w:t xml:space="preserve">Costs of managing AEs ($21.53 </w:t>
            </w:r>
            <w:r w:rsidR="00AF4F80">
              <w:rPr>
                <w:rFonts w:ascii="Arial Narrow" w:hAnsi="Arial Narrow"/>
                <w:sz w:val="20"/>
              </w:rPr>
              <w:t>pp</w:t>
            </w:r>
            <w:r w:rsidRPr="009D51E0">
              <w:rPr>
                <w:rFonts w:ascii="Arial Narrow" w:hAnsi="Arial Narrow"/>
                <w:sz w:val="20"/>
              </w:rPr>
              <w:t>)</w:t>
            </w:r>
          </w:p>
        </w:tc>
        <w:tc>
          <w:tcPr>
            <w:tcW w:w="660" w:type="pct"/>
            <w:shd w:val="clear" w:color="auto" w:fill="auto"/>
            <w:vAlign w:val="bottom"/>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bottom"/>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bottom"/>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shd w:val="clear" w:color="auto" w:fill="auto"/>
            <w:vAlign w:val="bottom"/>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shd w:val="clear" w:color="auto" w:fill="auto"/>
            <w:vAlign w:val="bottom"/>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r>
      <w:tr w:rsidR="00DC0CB7" w:rsidRPr="00E01E76" w:rsidTr="00867F94">
        <w:tc>
          <w:tcPr>
            <w:tcW w:w="1698" w:type="pct"/>
            <w:tcBorders>
              <w:bottom w:val="single" w:sz="4" w:space="0" w:color="auto"/>
            </w:tcBorders>
            <w:shd w:val="clear" w:color="auto" w:fill="auto"/>
            <w:vAlign w:val="center"/>
          </w:tcPr>
          <w:p w:rsidR="00DC0CB7" w:rsidRPr="00E01E76" w:rsidRDefault="00DC0CB7" w:rsidP="00AF4F80">
            <w:pPr>
              <w:tabs>
                <w:tab w:val="left" w:pos="142"/>
              </w:tabs>
              <w:jc w:val="left"/>
              <w:rPr>
                <w:rFonts w:ascii="Arial Narrow" w:hAnsi="Arial Narrow"/>
                <w:sz w:val="20"/>
              </w:rPr>
            </w:pPr>
            <w:r w:rsidRPr="009D51E0">
              <w:rPr>
                <w:rFonts w:ascii="Arial Narrow" w:hAnsi="Arial Narrow"/>
                <w:sz w:val="20"/>
              </w:rPr>
              <w:t xml:space="preserve">Incremental cost of CT ($365.87 </w:t>
            </w:r>
            <w:r w:rsidR="00AF4F80">
              <w:rPr>
                <w:rFonts w:ascii="Arial Narrow" w:hAnsi="Arial Narrow"/>
                <w:sz w:val="20"/>
              </w:rPr>
              <w:t>pp</w:t>
            </w:r>
            <w:r w:rsidRPr="009D51E0">
              <w:rPr>
                <w:rFonts w:ascii="Arial Narrow" w:hAnsi="Arial Narrow"/>
                <w:sz w:val="20"/>
              </w:rPr>
              <w:t>)</w:t>
            </w:r>
          </w:p>
        </w:tc>
        <w:tc>
          <w:tcPr>
            <w:tcW w:w="660" w:type="pct"/>
            <w:tcBorders>
              <w:bottom w:val="single" w:sz="4" w:space="0" w:color="auto"/>
            </w:tcBorders>
            <w:shd w:val="clear" w:color="auto" w:fill="auto"/>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tcBorders>
              <w:bottom w:val="single" w:sz="4" w:space="0" w:color="auto"/>
            </w:tcBorders>
            <w:shd w:val="clear" w:color="auto" w:fill="auto"/>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tcBorders>
              <w:bottom w:val="single" w:sz="4" w:space="0" w:color="auto"/>
            </w:tcBorders>
            <w:shd w:val="clear" w:color="auto" w:fill="auto"/>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0" w:type="pct"/>
            <w:tcBorders>
              <w:bottom w:val="single" w:sz="4" w:space="0" w:color="auto"/>
            </w:tcBorders>
            <w:shd w:val="clear" w:color="auto" w:fill="auto"/>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c>
          <w:tcPr>
            <w:tcW w:w="661" w:type="pct"/>
            <w:tcBorders>
              <w:bottom w:val="single" w:sz="4" w:space="0" w:color="auto"/>
            </w:tcBorders>
            <w:shd w:val="clear" w:color="auto" w:fill="auto"/>
          </w:tcPr>
          <w:p w:rsidR="00DC0CB7" w:rsidRPr="00E01E76" w:rsidRDefault="00DC0CB7" w:rsidP="00DC0CB7">
            <w:pPr>
              <w:jc w:val="center"/>
              <w:rPr>
                <w:rFonts w:ascii="Arial Narrow" w:hAnsi="Arial Narrow"/>
                <w:bCs/>
                <w:color w:val="000000"/>
                <w:sz w:val="20"/>
              </w:rPr>
            </w:pPr>
            <w:r w:rsidRPr="009D51E0">
              <w:rPr>
                <w:rFonts w:ascii="Arial Narrow" w:hAnsi="Arial Narrow"/>
                <w:sz w:val="20"/>
              </w:rPr>
              <w:t>$</w:t>
            </w:r>
            <w:r w:rsidR="00E9019D">
              <w:rPr>
                <w:rFonts w:ascii="Arial Narrow" w:hAnsi="Arial Narrow"/>
                <w:noProof/>
                <w:color w:val="000000"/>
                <w:sz w:val="20"/>
                <w:highlight w:val="black"/>
              </w:rPr>
              <w:t>'''''''''''''''''</w:t>
            </w:r>
          </w:p>
        </w:tc>
      </w:tr>
      <w:tr w:rsidR="006265C2" w:rsidRPr="00E01E76" w:rsidTr="00867F94">
        <w:tc>
          <w:tcPr>
            <w:tcW w:w="1698" w:type="pct"/>
            <w:tcBorders>
              <w:bottom w:val="double" w:sz="4" w:space="0" w:color="auto"/>
            </w:tcBorders>
            <w:shd w:val="clear" w:color="auto" w:fill="auto"/>
            <w:vAlign w:val="bottom"/>
          </w:tcPr>
          <w:p w:rsidR="006265C2" w:rsidRPr="004C42AE" w:rsidRDefault="006265C2" w:rsidP="006265C2">
            <w:pPr>
              <w:tabs>
                <w:tab w:val="left" w:pos="142"/>
              </w:tabs>
              <w:jc w:val="left"/>
              <w:rPr>
                <w:rFonts w:ascii="Arial Narrow" w:hAnsi="Arial Narrow"/>
                <w:sz w:val="20"/>
                <w:vertAlign w:val="superscript"/>
              </w:rPr>
            </w:pPr>
            <w:r>
              <w:rPr>
                <w:rFonts w:ascii="Arial Narrow" w:hAnsi="Arial Narrow"/>
                <w:bCs/>
                <w:sz w:val="20"/>
              </w:rPr>
              <w:t>Total drug administration costs</w:t>
            </w:r>
            <w:r w:rsidR="004C42AE">
              <w:rPr>
                <w:rFonts w:ascii="Arial Narrow" w:hAnsi="Arial Narrow"/>
                <w:bCs/>
                <w:sz w:val="20"/>
                <w:vertAlign w:val="superscript"/>
              </w:rPr>
              <w:t>b</w:t>
            </w:r>
          </w:p>
        </w:tc>
        <w:tc>
          <w:tcPr>
            <w:tcW w:w="660" w:type="pct"/>
            <w:tcBorders>
              <w:bottom w:val="double" w:sz="4" w:space="0" w:color="auto"/>
            </w:tcBorders>
            <w:shd w:val="clear" w:color="auto" w:fill="auto"/>
            <w:vAlign w:val="center"/>
          </w:tcPr>
          <w:p w:rsidR="006265C2" w:rsidRPr="00E01E76" w:rsidRDefault="006265C2" w:rsidP="006265C2">
            <w:pPr>
              <w:jc w:val="center"/>
              <w:rPr>
                <w:rFonts w:ascii="Arial Narrow" w:hAnsi="Arial Narrow"/>
                <w:bCs/>
                <w:color w:val="000000"/>
                <w:sz w:val="20"/>
              </w:rPr>
            </w:pPr>
            <w:r w:rsidRPr="00FC7B93">
              <w:rPr>
                <w:rFonts w:ascii="Arial Narrow" w:hAnsi="Arial Narrow"/>
                <w:sz w:val="20"/>
              </w:rPr>
              <w:t>$</w:t>
            </w:r>
            <w:r w:rsidR="00E9019D">
              <w:rPr>
                <w:rFonts w:ascii="Arial Narrow" w:hAnsi="Arial Narrow"/>
                <w:noProof/>
                <w:color w:val="000000"/>
                <w:sz w:val="20"/>
                <w:highlight w:val="black"/>
              </w:rPr>
              <w:t>'''''''''''''''''''</w:t>
            </w:r>
          </w:p>
        </w:tc>
        <w:tc>
          <w:tcPr>
            <w:tcW w:w="660" w:type="pct"/>
            <w:tcBorders>
              <w:bottom w:val="double" w:sz="4" w:space="0" w:color="auto"/>
            </w:tcBorders>
            <w:shd w:val="clear" w:color="auto" w:fill="auto"/>
            <w:vAlign w:val="center"/>
          </w:tcPr>
          <w:p w:rsidR="006265C2" w:rsidRPr="00E01E76" w:rsidRDefault="006265C2" w:rsidP="006265C2">
            <w:pPr>
              <w:jc w:val="center"/>
              <w:rPr>
                <w:rFonts w:ascii="Arial Narrow" w:hAnsi="Arial Narrow"/>
                <w:bCs/>
                <w:color w:val="000000"/>
                <w:sz w:val="20"/>
              </w:rPr>
            </w:pPr>
            <w:r w:rsidRPr="00FC7B93">
              <w:rPr>
                <w:rFonts w:ascii="Arial Narrow" w:hAnsi="Arial Narrow"/>
                <w:sz w:val="20"/>
              </w:rPr>
              <w:t>$</w:t>
            </w:r>
            <w:r w:rsidR="00E9019D">
              <w:rPr>
                <w:rFonts w:ascii="Arial Narrow" w:hAnsi="Arial Narrow"/>
                <w:noProof/>
                <w:color w:val="000000"/>
                <w:sz w:val="20"/>
                <w:highlight w:val="black"/>
              </w:rPr>
              <w:t>''''''''''''''''''''''''''</w:t>
            </w:r>
          </w:p>
        </w:tc>
        <w:tc>
          <w:tcPr>
            <w:tcW w:w="661" w:type="pct"/>
            <w:tcBorders>
              <w:bottom w:val="double" w:sz="4" w:space="0" w:color="auto"/>
            </w:tcBorders>
            <w:shd w:val="clear" w:color="auto" w:fill="auto"/>
            <w:vAlign w:val="center"/>
          </w:tcPr>
          <w:p w:rsidR="006265C2" w:rsidRPr="00E01E76" w:rsidRDefault="006265C2" w:rsidP="006265C2">
            <w:pPr>
              <w:jc w:val="center"/>
              <w:rPr>
                <w:rFonts w:ascii="Arial Narrow" w:hAnsi="Arial Narrow"/>
                <w:bCs/>
                <w:color w:val="000000"/>
                <w:sz w:val="20"/>
              </w:rPr>
            </w:pPr>
            <w:r w:rsidRPr="00FC7B93">
              <w:rPr>
                <w:rFonts w:ascii="Arial Narrow" w:hAnsi="Arial Narrow"/>
                <w:sz w:val="20"/>
              </w:rPr>
              <w:t>$</w:t>
            </w:r>
            <w:r w:rsidR="00E9019D">
              <w:rPr>
                <w:rFonts w:ascii="Arial Narrow" w:hAnsi="Arial Narrow"/>
                <w:noProof/>
                <w:color w:val="000000"/>
                <w:sz w:val="20"/>
                <w:highlight w:val="black"/>
              </w:rPr>
              <w:t>'''''''''''''''''''''''</w:t>
            </w:r>
          </w:p>
        </w:tc>
        <w:tc>
          <w:tcPr>
            <w:tcW w:w="660" w:type="pct"/>
            <w:tcBorders>
              <w:bottom w:val="double" w:sz="4" w:space="0" w:color="auto"/>
            </w:tcBorders>
            <w:shd w:val="clear" w:color="auto" w:fill="auto"/>
            <w:vAlign w:val="center"/>
          </w:tcPr>
          <w:p w:rsidR="006265C2" w:rsidRPr="00E01E76" w:rsidRDefault="006265C2" w:rsidP="006265C2">
            <w:pPr>
              <w:jc w:val="center"/>
              <w:rPr>
                <w:rFonts w:ascii="Arial Narrow" w:hAnsi="Arial Narrow"/>
                <w:bCs/>
                <w:color w:val="000000"/>
                <w:sz w:val="20"/>
              </w:rPr>
            </w:pPr>
            <w:r w:rsidRPr="00FC7B93">
              <w:rPr>
                <w:rFonts w:ascii="Arial Narrow" w:hAnsi="Arial Narrow"/>
                <w:sz w:val="20"/>
              </w:rPr>
              <w:t>$</w:t>
            </w:r>
            <w:r w:rsidR="00E9019D">
              <w:rPr>
                <w:rFonts w:ascii="Arial Narrow" w:hAnsi="Arial Narrow"/>
                <w:noProof/>
                <w:color w:val="000000"/>
                <w:sz w:val="20"/>
                <w:highlight w:val="black"/>
              </w:rPr>
              <w:t>'''''''''''''''''''''''''</w:t>
            </w:r>
          </w:p>
        </w:tc>
        <w:tc>
          <w:tcPr>
            <w:tcW w:w="661" w:type="pct"/>
            <w:tcBorders>
              <w:bottom w:val="double" w:sz="4" w:space="0" w:color="auto"/>
            </w:tcBorders>
            <w:shd w:val="clear" w:color="auto" w:fill="auto"/>
            <w:vAlign w:val="center"/>
          </w:tcPr>
          <w:p w:rsidR="006265C2" w:rsidRPr="00E01E76" w:rsidRDefault="006265C2" w:rsidP="006265C2">
            <w:pPr>
              <w:jc w:val="center"/>
              <w:rPr>
                <w:rFonts w:ascii="Arial Narrow" w:hAnsi="Arial Narrow"/>
                <w:bCs/>
                <w:color w:val="000000"/>
                <w:sz w:val="20"/>
              </w:rPr>
            </w:pPr>
            <w:r w:rsidRPr="00FC7B93">
              <w:rPr>
                <w:rFonts w:ascii="Arial Narrow" w:hAnsi="Arial Narrow"/>
                <w:sz w:val="20"/>
              </w:rPr>
              <w:t>$</w:t>
            </w:r>
            <w:r w:rsidR="00E9019D">
              <w:rPr>
                <w:rFonts w:ascii="Arial Narrow" w:hAnsi="Arial Narrow"/>
                <w:noProof/>
                <w:color w:val="000000"/>
                <w:sz w:val="20"/>
                <w:highlight w:val="black"/>
              </w:rPr>
              <w:t>''''''''''''''''''''''''</w:t>
            </w:r>
          </w:p>
        </w:tc>
      </w:tr>
      <w:tr w:rsidR="006265C2" w:rsidRPr="00E01E76" w:rsidTr="00867F94">
        <w:tc>
          <w:tcPr>
            <w:tcW w:w="1698" w:type="pct"/>
            <w:tcBorders>
              <w:top w:val="double" w:sz="4" w:space="0" w:color="auto"/>
            </w:tcBorders>
            <w:shd w:val="clear" w:color="auto" w:fill="auto"/>
            <w:vAlign w:val="bottom"/>
          </w:tcPr>
          <w:p w:rsidR="006265C2" w:rsidRPr="006265C2" w:rsidRDefault="006265C2" w:rsidP="000A0164">
            <w:pPr>
              <w:tabs>
                <w:tab w:val="left" w:pos="142"/>
              </w:tabs>
              <w:ind w:left="114"/>
              <w:jc w:val="left"/>
              <w:rPr>
                <w:rFonts w:ascii="Arial Narrow" w:hAnsi="Arial Narrow"/>
                <w:i/>
                <w:iCs/>
                <w:sz w:val="20"/>
              </w:rPr>
            </w:pPr>
            <w:r w:rsidRPr="006F538B">
              <w:rPr>
                <w:rFonts w:ascii="Arial Narrow" w:hAnsi="Arial Narrow"/>
                <w:bCs/>
                <w:i/>
                <w:iCs/>
                <w:sz w:val="20"/>
                <w:lang w:eastAsia="en-AU"/>
              </w:rPr>
              <w:t xml:space="preserve">MBS </w:t>
            </w:r>
            <w:r w:rsidR="00234340">
              <w:rPr>
                <w:rFonts w:ascii="Arial Narrow" w:hAnsi="Arial Narrow"/>
                <w:bCs/>
                <w:i/>
                <w:iCs/>
                <w:sz w:val="20"/>
                <w:lang w:eastAsia="en-AU"/>
              </w:rPr>
              <w:t>drug administration cost</w:t>
            </w:r>
            <w:r w:rsidRPr="006F538B">
              <w:rPr>
                <w:rFonts w:ascii="Arial Narrow" w:hAnsi="Arial Narrow"/>
                <w:bCs/>
                <w:i/>
                <w:iCs/>
                <w:sz w:val="20"/>
                <w:lang w:eastAsia="en-AU"/>
              </w:rPr>
              <w:t xml:space="preserve"> (item </w:t>
            </w:r>
            <w:r>
              <w:rPr>
                <w:rFonts w:ascii="Arial Narrow" w:hAnsi="Arial Narrow"/>
                <w:bCs/>
                <w:i/>
                <w:iCs/>
                <w:sz w:val="20"/>
                <w:lang w:eastAsia="en-AU"/>
              </w:rPr>
              <w:t>13918; 75% benefit</w:t>
            </w:r>
            <w:r w:rsidR="006A3684">
              <w:rPr>
                <w:rFonts w:ascii="Arial Narrow" w:hAnsi="Arial Narrow"/>
                <w:bCs/>
                <w:i/>
                <w:iCs/>
                <w:sz w:val="20"/>
                <w:lang w:eastAsia="en-AU"/>
              </w:rPr>
              <w:t>:</w:t>
            </w:r>
            <w:r>
              <w:rPr>
                <w:rFonts w:ascii="Arial Narrow" w:hAnsi="Arial Narrow"/>
                <w:bCs/>
                <w:i/>
                <w:iCs/>
                <w:sz w:val="20"/>
                <w:lang w:eastAsia="en-AU"/>
              </w:rPr>
              <w:t xml:space="preserve"> </w:t>
            </w:r>
            <w:r w:rsidRPr="006F538B">
              <w:rPr>
                <w:rFonts w:ascii="Arial Narrow" w:hAnsi="Arial Narrow"/>
                <w:bCs/>
                <w:i/>
                <w:iCs/>
                <w:sz w:val="20"/>
                <w:lang w:eastAsia="en-AU"/>
              </w:rPr>
              <w:t>$73.50</w:t>
            </w:r>
            <w:r>
              <w:rPr>
                <w:rFonts w:ascii="Arial Narrow" w:hAnsi="Arial Narrow"/>
                <w:bCs/>
                <w:i/>
                <w:iCs/>
                <w:sz w:val="20"/>
                <w:lang w:eastAsia="en-AU"/>
              </w:rPr>
              <w:t>; 61.8%</w:t>
            </w:r>
            <w:r w:rsidR="000A0164">
              <w:rPr>
                <w:rFonts w:ascii="Arial Narrow" w:hAnsi="Arial Narrow"/>
                <w:bCs/>
                <w:i/>
                <w:iCs/>
                <w:sz w:val="20"/>
                <w:lang w:eastAsia="en-AU"/>
              </w:rPr>
              <w:t xml:space="preserve"> </w:t>
            </w:r>
            <w:r w:rsidR="00102C49">
              <w:rPr>
                <w:rFonts w:ascii="Arial Narrow" w:hAnsi="Arial Narrow"/>
                <w:bCs/>
                <w:i/>
                <w:iCs/>
                <w:sz w:val="20"/>
                <w:lang w:eastAsia="en-AU"/>
              </w:rPr>
              <w:t>administration</w:t>
            </w:r>
            <w:r w:rsidR="002E3680">
              <w:rPr>
                <w:rFonts w:ascii="Arial Narrow" w:hAnsi="Arial Narrow"/>
                <w:bCs/>
                <w:i/>
                <w:iCs/>
                <w:sz w:val="20"/>
                <w:lang w:eastAsia="en-AU"/>
              </w:rPr>
              <w:t>s</w:t>
            </w:r>
            <w:r w:rsidR="00102C49">
              <w:rPr>
                <w:rFonts w:ascii="Arial Narrow" w:hAnsi="Arial Narrow"/>
                <w:bCs/>
                <w:i/>
                <w:iCs/>
                <w:sz w:val="20"/>
                <w:lang w:eastAsia="en-AU"/>
              </w:rPr>
              <w:t xml:space="preserve"> </w:t>
            </w:r>
            <w:r w:rsidR="000A0164">
              <w:rPr>
                <w:rFonts w:ascii="Arial Narrow" w:hAnsi="Arial Narrow"/>
                <w:bCs/>
                <w:i/>
                <w:iCs/>
                <w:sz w:val="20"/>
                <w:lang w:eastAsia="en-AU"/>
              </w:rPr>
              <w:t>in</w:t>
            </w:r>
            <w:r>
              <w:rPr>
                <w:rFonts w:ascii="Arial Narrow" w:hAnsi="Arial Narrow"/>
                <w:bCs/>
                <w:i/>
                <w:iCs/>
                <w:sz w:val="20"/>
                <w:lang w:eastAsia="en-AU"/>
              </w:rPr>
              <w:t xml:space="preserve"> </w:t>
            </w:r>
            <w:r w:rsidR="00566298">
              <w:rPr>
                <w:rFonts w:ascii="Arial Narrow" w:hAnsi="Arial Narrow"/>
                <w:bCs/>
                <w:i/>
                <w:iCs/>
                <w:sz w:val="20"/>
                <w:lang w:eastAsia="en-AU"/>
              </w:rPr>
              <w:t>private hospital</w:t>
            </w:r>
            <w:r w:rsidR="000A0164">
              <w:rPr>
                <w:rFonts w:ascii="Arial Narrow" w:hAnsi="Arial Narrow"/>
                <w:bCs/>
                <w:i/>
                <w:iCs/>
                <w:sz w:val="20"/>
                <w:lang w:eastAsia="en-AU"/>
              </w:rPr>
              <w:t>s</w:t>
            </w:r>
            <w:r w:rsidRPr="006F538B">
              <w:rPr>
                <w:rFonts w:ascii="Arial Narrow" w:hAnsi="Arial Narrow"/>
                <w:bCs/>
                <w:i/>
                <w:iCs/>
                <w:sz w:val="20"/>
                <w:lang w:eastAsia="en-AU"/>
              </w:rPr>
              <w:t>)</w:t>
            </w:r>
          </w:p>
        </w:tc>
        <w:tc>
          <w:tcPr>
            <w:tcW w:w="660" w:type="pct"/>
            <w:tcBorders>
              <w:top w:val="double" w:sz="4" w:space="0" w:color="auto"/>
            </w:tcBorders>
            <w:shd w:val="clear" w:color="auto" w:fill="auto"/>
            <w:vAlign w:val="center"/>
          </w:tcPr>
          <w:p w:rsidR="006265C2" w:rsidRPr="006265C2" w:rsidRDefault="006265C2" w:rsidP="006265C2">
            <w:pPr>
              <w:jc w:val="center"/>
              <w:rPr>
                <w:rFonts w:ascii="Arial Narrow" w:hAnsi="Arial Narrow"/>
                <w:bCs/>
                <w:i/>
                <w:iCs/>
                <w:color w:val="000000"/>
                <w:sz w:val="20"/>
              </w:rPr>
            </w:pPr>
            <w:r w:rsidRPr="009321E4">
              <w:rPr>
                <w:rFonts w:ascii="Arial Narrow" w:hAnsi="Arial Narrow"/>
                <w:i/>
                <w:iCs/>
                <w:sz w:val="20"/>
              </w:rPr>
              <w:t>$</w:t>
            </w:r>
            <w:r w:rsidR="00E9019D">
              <w:rPr>
                <w:rFonts w:ascii="Arial Narrow" w:hAnsi="Arial Narrow"/>
                <w:i/>
                <w:iCs/>
                <w:noProof/>
                <w:color w:val="000000"/>
                <w:sz w:val="20"/>
                <w:highlight w:val="black"/>
              </w:rPr>
              <w:t>''''''''''''''''''</w:t>
            </w:r>
          </w:p>
        </w:tc>
        <w:tc>
          <w:tcPr>
            <w:tcW w:w="660" w:type="pct"/>
            <w:tcBorders>
              <w:top w:val="double" w:sz="4" w:space="0" w:color="auto"/>
            </w:tcBorders>
            <w:shd w:val="clear" w:color="auto" w:fill="auto"/>
            <w:vAlign w:val="center"/>
          </w:tcPr>
          <w:p w:rsidR="006265C2" w:rsidRPr="006265C2" w:rsidRDefault="006265C2" w:rsidP="006265C2">
            <w:pPr>
              <w:jc w:val="center"/>
              <w:rPr>
                <w:rFonts w:ascii="Arial Narrow" w:hAnsi="Arial Narrow"/>
                <w:bCs/>
                <w:i/>
                <w:iCs/>
                <w:color w:val="000000"/>
                <w:sz w:val="20"/>
              </w:rPr>
            </w:pPr>
            <w:r w:rsidRPr="009321E4">
              <w:rPr>
                <w:rFonts w:ascii="Arial Narrow" w:hAnsi="Arial Narrow"/>
                <w:i/>
                <w:iCs/>
                <w:sz w:val="20"/>
              </w:rPr>
              <w:t>$</w:t>
            </w:r>
            <w:r w:rsidR="00E9019D">
              <w:rPr>
                <w:rFonts w:ascii="Arial Narrow" w:hAnsi="Arial Narrow"/>
                <w:i/>
                <w:iCs/>
                <w:noProof/>
                <w:color w:val="000000"/>
                <w:sz w:val="20"/>
                <w:highlight w:val="black"/>
              </w:rPr>
              <w:t>'''''''''''''''''''</w:t>
            </w:r>
          </w:p>
        </w:tc>
        <w:tc>
          <w:tcPr>
            <w:tcW w:w="661" w:type="pct"/>
            <w:tcBorders>
              <w:top w:val="double" w:sz="4" w:space="0" w:color="auto"/>
            </w:tcBorders>
            <w:shd w:val="clear" w:color="auto" w:fill="auto"/>
            <w:vAlign w:val="center"/>
          </w:tcPr>
          <w:p w:rsidR="006265C2" w:rsidRPr="006265C2" w:rsidRDefault="006265C2" w:rsidP="006265C2">
            <w:pPr>
              <w:jc w:val="center"/>
              <w:rPr>
                <w:rFonts w:ascii="Arial Narrow" w:hAnsi="Arial Narrow"/>
                <w:bCs/>
                <w:i/>
                <w:iCs/>
                <w:color w:val="000000"/>
                <w:sz w:val="20"/>
              </w:rPr>
            </w:pPr>
            <w:r w:rsidRPr="009321E4">
              <w:rPr>
                <w:rFonts w:ascii="Arial Narrow" w:hAnsi="Arial Narrow"/>
                <w:i/>
                <w:iCs/>
                <w:sz w:val="20"/>
              </w:rPr>
              <w:t>$</w:t>
            </w:r>
            <w:r w:rsidR="00E9019D">
              <w:rPr>
                <w:rFonts w:ascii="Arial Narrow" w:hAnsi="Arial Narrow"/>
                <w:i/>
                <w:iCs/>
                <w:noProof/>
                <w:color w:val="000000"/>
                <w:sz w:val="20"/>
                <w:highlight w:val="black"/>
              </w:rPr>
              <w:t>''''''''''''''''''</w:t>
            </w:r>
          </w:p>
        </w:tc>
        <w:tc>
          <w:tcPr>
            <w:tcW w:w="660" w:type="pct"/>
            <w:tcBorders>
              <w:top w:val="double" w:sz="4" w:space="0" w:color="auto"/>
            </w:tcBorders>
            <w:shd w:val="clear" w:color="auto" w:fill="auto"/>
            <w:vAlign w:val="center"/>
          </w:tcPr>
          <w:p w:rsidR="006265C2" w:rsidRPr="006265C2" w:rsidRDefault="006265C2" w:rsidP="006265C2">
            <w:pPr>
              <w:jc w:val="center"/>
              <w:rPr>
                <w:rFonts w:ascii="Arial Narrow" w:hAnsi="Arial Narrow"/>
                <w:bCs/>
                <w:i/>
                <w:iCs/>
                <w:color w:val="000000"/>
                <w:sz w:val="20"/>
              </w:rPr>
            </w:pPr>
            <w:r w:rsidRPr="009321E4">
              <w:rPr>
                <w:rFonts w:ascii="Arial Narrow" w:hAnsi="Arial Narrow"/>
                <w:i/>
                <w:iCs/>
                <w:sz w:val="20"/>
              </w:rPr>
              <w:t>$</w:t>
            </w:r>
            <w:r w:rsidR="00E9019D">
              <w:rPr>
                <w:rFonts w:ascii="Arial Narrow" w:hAnsi="Arial Narrow"/>
                <w:i/>
                <w:iCs/>
                <w:noProof/>
                <w:color w:val="000000"/>
                <w:sz w:val="20"/>
                <w:highlight w:val="black"/>
              </w:rPr>
              <w:t>''''''''''''''''''''</w:t>
            </w:r>
          </w:p>
        </w:tc>
        <w:tc>
          <w:tcPr>
            <w:tcW w:w="661" w:type="pct"/>
            <w:tcBorders>
              <w:top w:val="double" w:sz="4" w:space="0" w:color="auto"/>
            </w:tcBorders>
            <w:shd w:val="clear" w:color="auto" w:fill="auto"/>
            <w:vAlign w:val="center"/>
          </w:tcPr>
          <w:p w:rsidR="006265C2" w:rsidRPr="006265C2" w:rsidRDefault="006265C2" w:rsidP="006265C2">
            <w:pPr>
              <w:jc w:val="center"/>
              <w:rPr>
                <w:rFonts w:ascii="Arial Narrow" w:hAnsi="Arial Narrow"/>
                <w:bCs/>
                <w:i/>
                <w:iCs/>
                <w:color w:val="000000"/>
                <w:sz w:val="20"/>
              </w:rPr>
            </w:pPr>
            <w:r w:rsidRPr="009321E4">
              <w:rPr>
                <w:rFonts w:ascii="Arial Narrow" w:hAnsi="Arial Narrow"/>
                <w:i/>
                <w:iCs/>
                <w:sz w:val="20"/>
              </w:rPr>
              <w:t>$</w:t>
            </w:r>
            <w:r w:rsidR="00E9019D">
              <w:rPr>
                <w:rFonts w:ascii="Arial Narrow" w:hAnsi="Arial Narrow"/>
                <w:i/>
                <w:iCs/>
                <w:noProof/>
                <w:color w:val="000000"/>
                <w:sz w:val="20"/>
                <w:highlight w:val="black"/>
              </w:rPr>
              <w:t>'''''''''''''''''''</w:t>
            </w:r>
          </w:p>
        </w:tc>
      </w:tr>
      <w:tr w:rsidR="00E01E76" w:rsidRPr="00E01E76" w:rsidTr="00133504">
        <w:tc>
          <w:tcPr>
            <w:tcW w:w="5000" w:type="pct"/>
            <w:gridSpan w:val="6"/>
            <w:tcBorders>
              <w:bottom w:val="single" w:sz="4" w:space="0" w:color="auto"/>
            </w:tcBorders>
            <w:shd w:val="clear" w:color="auto" w:fill="auto"/>
            <w:vAlign w:val="center"/>
          </w:tcPr>
          <w:p w:rsidR="00E01E76" w:rsidRPr="00E01E76" w:rsidRDefault="00E01E76" w:rsidP="00E01E76">
            <w:pPr>
              <w:jc w:val="left"/>
              <w:rPr>
                <w:rFonts w:ascii="Arial Narrow" w:hAnsi="Arial Narrow"/>
                <w:b/>
                <w:color w:val="000000"/>
                <w:sz w:val="20"/>
              </w:rPr>
            </w:pPr>
            <w:r w:rsidRPr="00E01E76">
              <w:rPr>
                <w:rFonts w:ascii="Arial Narrow" w:hAnsi="Arial Narrow"/>
                <w:b/>
                <w:color w:val="000000"/>
                <w:sz w:val="20"/>
              </w:rPr>
              <w:t>Estimated total net cost</w:t>
            </w:r>
          </w:p>
        </w:tc>
      </w:tr>
      <w:tr w:rsidR="00133504" w:rsidRPr="00E01E76" w:rsidTr="00133504">
        <w:tc>
          <w:tcPr>
            <w:tcW w:w="1698" w:type="pct"/>
            <w:tcBorders>
              <w:bottom w:val="double" w:sz="4" w:space="0" w:color="auto"/>
            </w:tcBorders>
            <w:shd w:val="clear" w:color="auto" w:fill="auto"/>
            <w:vAlign w:val="center"/>
          </w:tcPr>
          <w:p w:rsidR="00133504" w:rsidRPr="000C04F4" w:rsidRDefault="00133504" w:rsidP="00133504">
            <w:pPr>
              <w:tabs>
                <w:tab w:val="left" w:pos="142"/>
              </w:tabs>
              <w:jc w:val="left"/>
              <w:rPr>
                <w:rFonts w:ascii="Arial Narrow" w:hAnsi="Arial Narrow"/>
                <w:sz w:val="20"/>
              </w:rPr>
            </w:pPr>
            <w:r w:rsidRPr="000C04F4">
              <w:rPr>
                <w:rFonts w:ascii="Arial Narrow" w:hAnsi="Arial Narrow"/>
                <w:color w:val="000000"/>
                <w:sz w:val="20"/>
              </w:rPr>
              <w:t>Net cost to government (as presented in the submission</w:t>
            </w:r>
            <w:r>
              <w:rPr>
                <w:rFonts w:ascii="Arial Narrow" w:hAnsi="Arial Narrow"/>
                <w:color w:val="000000"/>
                <w:sz w:val="20"/>
              </w:rPr>
              <w:t>)</w:t>
            </w:r>
          </w:p>
        </w:tc>
        <w:tc>
          <w:tcPr>
            <w:tcW w:w="660" w:type="pct"/>
            <w:tcBorders>
              <w:bottom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372060">
              <w:rPr>
                <w:rFonts w:ascii="Arial Narrow" w:hAnsi="Arial Narrow"/>
                <w:sz w:val="20"/>
              </w:rPr>
              <w:t>$</w:t>
            </w:r>
            <w:r w:rsidR="00E9019D">
              <w:rPr>
                <w:rFonts w:ascii="Arial Narrow" w:hAnsi="Arial Narrow"/>
                <w:noProof/>
                <w:color w:val="000000"/>
                <w:sz w:val="20"/>
                <w:highlight w:val="black"/>
              </w:rPr>
              <w:t>'''''''''''''''''''''''''</w:t>
            </w:r>
          </w:p>
        </w:tc>
        <w:tc>
          <w:tcPr>
            <w:tcW w:w="660" w:type="pct"/>
            <w:tcBorders>
              <w:bottom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372060">
              <w:rPr>
                <w:rFonts w:ascii="Arial Narrow" w:hAnsi="Arial Narrow"/>
                <w:sz w:val="20"/>
              </w:rPr>
              <w:t>$</w:t>
            </w:r>
            <w:r w:rsidR="00E9019D">
              <w:rPr>
                <w:rFonts w:ascii="Arial Narrow" w:hAnsi="Arial Narrow"/>
                <w:noProof/>
                <w:color w:val="000000"/>
                <w:sz w:val="20"/>
                <w:highlight w:val="black"/>
              </w:rPr>
              <w:t>''''''''''''''''''''''''''''</w:t>
            </w:r>
          </w:p>
        </w:tc>
        <w:tc>
          <w:tcPr>
            <w:tcW w:w="661" w:type="pct"/>
            <w:tcBorders>
              <w:bottom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372060">
              <w:rPr>
                <w:rFonts w:ascii="Arial Narrow" w:hAnsi="Arial Narrow"/>
                <w:sz w:val="20"/>
              </w:rPr>
              <w:t>$</w:t>
            </w:r>
            <w:r w:rsidR="00E9019D">
              <w:rPr>
                <w:rFonts w:ascii="Arial Narrow" w:hAnsi="Arial Narrow"/>
                <w:noProof/>
                <w:color w:val="000000"/>
                <w:sz w:val="20"/>
                <w:highlight w:val="black"/>
              </w:rPr>
              <w:t>''''''''''''''''''''''''</w:t>
            </w:r>
          </w:p>
        </w:tc>
        <w:tc>
          <w:tcPr>
            <w:tcW w:w="660" w:type="pct"/>
            <w:tcBorders>
              <w:bottom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372060">
              <w:rPr>
                <w:rFonts w:ascii="Arial Narrow" w:hAnsi="Arial Narrow"/>
                <w:sz w:val="20"/>
              </w:rPr>
              <w:t>$</w:t>
            </w:r>
            <w:r w:rsidR="00E9019D">
              <w:rPr>
                <w:rFonts w:ascii="Arial Narrow" w:hAnsi="Arial Narrow"/>
                <w:noProof/>
                <w:color w:val="000000"/>
                <w:sz w:val="20"/>
                <w:highlight w:val="black"/>
              </w:rPr>
              <w:t>'''''''''''''''''''''''''''</w:t>
            </w:r>
          </w:p>
        </w:tc>
        <w:tc>
          <w:tcPr>
            <w:tcW w:w="661" w:type="pct"/>
            <w:tcBorders>
              <w:bottom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372060">
              <w:rPr>
                <w:rFonts w:ascii="Arial Narrow" w:hAnsi="Arial Narrow"/>
                <w:sz w:val="20"/>
              </w:rPr>
              <w:t>$</w:t>
            </w:r>
            <w:r w:rsidR="00E9019D">
              <w:rPr>
                <w:rFonts w:ascii="Arial Narrow" w:hAnsi="Arial Narrow"/>
                <w:noProof/>
                <w:color w:val="000000"/>
                <w:sz w:val="20"/>
                <w:highlight w:val="black"/>
              </w:rPr>
              <w:t>'''''''''''''''''''''''''''</w:t>
            </w:r>
          </w:p>
        </w:tc>
      </w:tr>
      <w:tr w:rsidR="00133504" w:rsidRPr="00E01E76" w:rsidTr="00133504">
        <w:trPr>
          <w:trHeight w:val="60"/>
        </w:trPr>
        <w:tc>
          <w:tcPr>
            <w:tcW w:w="1698" w:type="pct"/>
            <w:tcBorders>
              <w:top w:val="double" w:sz="4" w:space="0" w:color="auto"/>
            </w:tcBorders>
            <w:shd w:val="clear" w:color="auto" w:fill="auto"/>
            <w:vAlign w:val="center"/>
          </w:tcPr>
          <w:p w:rsidR="00133504" w:rsidRPr="000C04F4" w:rsidRDefault="00133504" w:rsidP="003B62C1">
            <w:pPr>
              <w:tabs>
                <w:tab w:val="left" w:pos="142"/>
              </w:tabs>
              <w:jc w:val="left"/>
              <w:rPr>
                <w:rFonts w:ascii="Arial Narrow" w:hAnsi="Arial Narrow"/>
                <w:i/>
                <w:iCs/>
                <w:color w:val="000000"/>
                <w:sz w:val="20"/>
              </w:rPr>
            </w:pPr>
            <w:r w:rsidRPr="000C04F4">
              <w:rPr>
                <w:rFonts w:ascii="Arial Narrow" w:hAnsi="Arial Narrow"/>
                <w:i/>
                <w:iCs/>
                <w:color w:val="000000"/>
                <w:sz w:val="20"/>
              </w:rPr>
              <w:t>Net cost to government</w:t>
            </w:r>
            <w:r w:rsidR="003B62C1">
              <w:rPr>
                <w:rFonts w:ascii="Arial Narrow" w:hAnsi="Arial Narrow"/>
                <w:i/>
                <w:iCs/>
                <w:color w:val="000000"/>
                <w:sz w:val="20"/>
              </w:rPr>
              <w:t xml:space="preserve"> </w:t>
            </w:r>
            <w:r w:rsidR="003B62C1" w:rsidRPr="003B62C1">
              <w:rPr>
                <w:rFonts w:ascii="Arial Narrow" w:hAnsi="Arial Narrow"/>
                <w:i/>
                <w:iCs/>
                <w:color w:val="000000"/>
                <w:sz w:val="20"/>
              </w:rPr>
              <w:t xml:space="preserve">(including MBS item 13918 only for administration costs, 75% benefit) </w:t>
            </w:r>
            <w:r w:rsidR="00A57ED4">
              <w:rPr>
                <w:rFonts w:ascii="Arial Narrow" w:hAnsi="Arial Narrow"/>
                <w:i/>
                <w:iCs/>
                <w:color w:val="000000"/>
                <w:sz w:val="20"/>
              </w:rPr>
              <w:t xml:space="preserve"> </w:t>
            </w:r>
          </w:p>
        </w:tc>
        <w:tc>
          <w:tcPr>
            <w:tcW w:w="660" w:type="pct"/>
            <w:tcBorders>
              <w:top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B30AA3">
              <w:rPr>
                <w:rFonts w:ascii="Arial Narrow" w:hAnsi="Arial Narrow"/>
                <w:i/>
                <w:iCs/>
                <w:sz w:val="20"/>
              </w:rPr>
              <w:t>$</w:t>
            </w:r>
            <w:r w:rsidR="00E9019D">
              <w:rPr>
                <w:rFonts w:ascii="Arial Narrow" w:hAnsi="Arial Narrow"/>
                <w:i/>
                <w:iCs/>
                <w:noProof/>
                <w:color w:val="000000"/>
                <w:sz w:val="20"/>
                <w:highlight w:val="black"/>
              </w:rPr>
              <w:t>''''''''''''''''''''''''</w:t>
            </w:r>
          </w:p>
        </w:tc>
        <w:tc>
          <w:tcPr>
            <w:tcW w:w="660" w:type="pct"/>
            <w:tcBorders>
              <w:top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B30AA3">
              <w:rPr>
                <w:rFonts w:ascii="Arial Narrow" w:hAnsi="Arial Narrow"/>
                <w:i/>
                <w:iCs/>
                <w:sz w:val="20"/>
              </w:rPr>
              <w:t>$</w:t>
            </w:r>
            <w:r w:rsidR="00E9019D">
              <w:rPr>
                <w:rFonts w:ascii="Arial Narrow" w:hAnsi="Arial Narrow"/>
                <w:i/>
                <w:iCs/>
                <w:noProof/>
                <w:color w:val="000000"/>
                <w:sz w:val="20"/>
                <w:highlight w:val="black"/>
              </w:rPr>
              <w:t>''''''''''''''''''''''''''</w:t>
            </w:r>
          </w:p>
        </w:tc>
        <w:tc>
          <w:tcPr>
            <w:tcW w:w="661" w:type="pct"/>
            <w:tcBorders>
              <w:top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B30AA3">
              <w:rPr>
                <w:rFonts w:ascii="Arial Narrow" w:hAnsi="Arial Narrow"/>
                <w:i/>
                <w:iCs/>
                <w:sz w:val="20"/>
              </w:rPr>
              <w:t>$</w:t>
            </w:r>
            <w:r w:rsidR="00E9019D">
              <w:rPr>
                <w:rFonts w:ascii="Arial Narrow" w:hAnsi="Arial Narrow"/>
                <w:i/>
                <w:iCs/>
                <w:noProof/>
                <w:color w:val="000000"/>
                <w:sz w:val="20"/>
                <w:highlight w:val="black"/>
              </w:rPr>
              <w:t>'''''''''''''''''''''''''''''</w:t>
            </w:r>
          </w:p>
        </w:tc>
        <w:tc>
          <w:tcPr>
            <w:tcW w:w="660" w:type="pct"/>
            <w:tcBorders>
              <w:top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B30AA3">
              <w:rPr>
                <w:rFonts w:ascii="Arial Narrow" w:hAnsi="Arial Narrow"/>
                <w:i/>
                <w:iCs/>
                <w:sz w:val="20"/>
              </w:rPr>
              <w:t>$</w:t>
            </w:r>
            <w:r w:rsidR="00E9019D">
              <w:rPr>
                <w:rFonts w:ascii="Arial Narrow" w:hAnsi="Arial Narrow"/>
                <w:i/>
                <w:iCs/>
                <w:noProof/>
                <w:color w:val="000000"/>
                <w:sz w:val="20"/>
                <w:highlight w:val="black"/>
              </w:rPr>
              <w:t>''''''''''''''''''''''''''</w:t>
            </w:r>
          </w:p>
        </w:tc>
        <w:tc>
          <w:tcPr>
            <w:tcW w:w="661" w:type="pct"/>
            <w:tcBorders>
              <w:top w:val="double" w:sz="4" w:space="0" w:color="auto"/>
            </w:tcBorders>
            <w:shd w:val="clear" w:color="auto" w:fill="auto"/>
            <w:vAlign w:val="center"/>
          </w:tcPr>
          <w:p w:rsidR="00133504" w:rsidRPr="000C04F4" w:rsidRDefault="00133504" w:rsidP="00133504">
            <w:pPr>
              <w:jc w:val="center"/>
              <w:rPr>
                <w:rFonts w:ascii="Arial Narrow" w:hAnsi="Arial Narrow"/>
                <w:color w:val="000000"/>
                <w:sz w:val="20"/>
              </w:rPr>
            </w:pPr>
            <w:r w:rsidRPr="00B30AA3">
              <w:rPr>
                <w:rFonts w:ascii="Arial Narrow" w:hAnsi="Arial Narrow"/>
                <w:i/>
                <w:iCs/>
                <w:sz w:val="20"/>
              </w:rPr>
              <w:t>$</w:t>
            </w:r>
            <w:r w:rsidR="00E9019D">
              <w:rPr>
                <w:rFonts w:ascii="Arial Narrow" w:hAnsi="Arial Narrow"/>
                <w:i/>
                <w:iCs/>
                <w:noProof/>
                <w:color w:val="000000"/>
                <w:sz w:val="20"/>
                <w:highlight w:val="black"/>
              </w:rPr>
              <w:t>''''''''''''''''''''''''''''</w:t>
            </w:r>
          </w:p>
        </w:tc>
      </w:tr>
    </w:tbl>
    <w:p w:rsidR="00C25D9C" w:rsidRDefault="005C70C4" w:rsidP="006F0954">
      <w:pPr>
        <w:pStyle w:val="TableFooter"/>
        <w:ind w:left="720"/>
        <w:rPr>
          <w:szCs w:val="18"/>
        </w:rPr>
      </w:pPr>
      <w:r w:rsidRPr="004F6642">
        <w:rPr>
          <w:szCs w:val="18"/>
        </w:rPr>
        <w:t>Source: Tables E.2-3 to E.3-3, pp124-130</w:t>
      </w:r>
      <w:r w:rsidR="005F3DE8">
        <w:rPr>
          <w:szCs w:val="18"/>
        </w:rPr>
        <w:t xml:space="preserve">; </w:t>
      </w:r>
      <w:r w:rsidR="006F0954">
        <w:rPr>
          <w:szCs w:val="18"/>
        </w:rPr>
        <w:t>Table</w:t>
      </w:r>
      <w:r w:rsidR="00277F4C">
        <w:rPr>
          <w:szCs w:val="18"/>
        </w:rPr>
        <w:t>s</w:t>
      </w:r>
      <w:r w:rsidR="006F0954">
        <w:rPr>
          <w:szCs w:val="18"/>
        </w:rPr>
        <w:t xml:space="preserve"> E.5-1 to E.5-7</w:t>
      </w:r>
      <w:r w:rsidR="005F3DE8">
        <w:rPr>
          <w:szCs w:val="18"/>
        </w:rPr>
        <w:t>, p</w:t>
      </w:r>
      <w:r w:rsidR="006F0954">
        <w:rPr>
          <w:szCs w:val="18"/>
        </w:rPr>
        <w:t>p130-</w:t>
      </w:r>
      <w:r w:rsidR="005F3DE8">
        <w:rPr>
          <w:szCs w:val="18"/>
        </w:rPr>
        <w:t>133</w:t>
      </w:r>
      <w:r w:rsidRPr="004F6642">
        <w:rPr>
          <w:szCs w:val="18"/>
        </w:rPr>
        <w:t xml:space="preserve"> of the submission; ‘4 Section E.xlsx’</w:t>
      </w:r>
      <w:r w:rsidR="005F3DE8">
        <w:rPr>
          <w:szCs w:val="18"/>
        </w:rPr>
        <w:t xml:space="preserve">. </w:t>
      </w:r>
      <w:r w:rsidR="005F3DE8" w:rsidRPr="005F3DE8">
        <w:rPr>
          <w:i/>
          <w:iCs/>
          <w:szCs w:val="18"/>
        </w:rPr>
        <w:t>Additional data in italics calculated during the evaluation.</w:t>
      </w:r>
    </w:p>
    <w:p w:rsidR="00C07EB3" w:rsidRPr="004F6642" w:rsidRDefault="00C07EB3" w:rsidP="00C07EB3">
      <w:pPr>
        <w:pStyle w:val="TableFooter"/>
        <w:ind w:left="720"/>
        <w:rPr>
          <w:szCs w:val="18"/>
        </w:rPr>
      </w:pPr>
      <w:r w:rsidRPr="00C07EB3">
        <w:rPr>
          <w:szCs w:val="18"/>
        </w:rPr>
        <w:t xml:space="preserve">Abbreviations: AE = adverse event; CT = chemotherapy; DPMA = dispensed price for maximum amount; </w:t>
      </w:r>
      <w:r w:rsidR="004B1602">
        <w:rPr>
          <w:szCs w:val="18"/>
        </w:rPr>
        <w:t xml:space="preserve">pp = per patient; </w:t>
      </w:r>
      <w:r w:rsidRPr="00C07EB3">
        <w:rPr>
          <w:szCs w:val="18"/>
        </w:rPr>
        <w:t>SCC = squamous cell carcinoma</w:t>
      </w:r>
    </w:p>
    <w:p w:rsidR="000554DF" w:rsidRDefault="000554DF" w:rsidP="002128AD">
      <w:pPr>
        <w:pStyle w:val="TableFooter"/>
        <w:ind w:left="851" w:hanging="131"/>
        <w:rPr>
          <w:szCs w:val="18"/>
        </w:rPr>
      </w:pPr>
      <w:r w:rsidRPr="004F6642">
        <w:rPr>
          <w:szCs w:val="18"/>
          <w:vertAlign w:val="superscript"/>
        </w:rPr>
        <w:t>a</w:t>
      </w:r>
      <w:r w:rsidRPr="004F6642">
        <w:rPr>
          <w:szCs w:val="18"/>
        </w:rPr>
        <w:t xml:space="preserve"> Number treated multiplied by $</w:t>
      </w:r>
      <w:r w:rsidR="00E9019D">
        <w:rPr>
          <w:noProof/>
          <w:color w:val="000000"/>
          <w:szCs w:val="18"/>
          <w:highlight w:val="black"/>
        </w:rPr>
        <w:t>''''''''''''''''''''''</w:t>
      </w:r>
      <w:r w:rsidRPr="004F6642">
        <w:rPr>
          <w:szCs w:val="18"/>
        </w:rPr>
        <w:t xml:space="preserve"> in Year 1 and $</w:t>
      </w:r>
      <w:r w:rsidR="00E9019D">
        <w:rPr>
          <w:noProof/>
          <w:color w:val="000000"/>
          <w:szCs w:val="18"/>
          <w:highlight w:val="black"/>
        </w:rPr>
        <w:t>''''''''''''''''''''''''''</w:t>
      </w:r>
      <w:r w:rsidRPr="004F6642">
        <w:rPr>
          <w:szCs w:val="18"/>
        </w:rPr>
        <w:t xml:space="preserve"> (=$</w:t>
      </w:r>
      <w:r w:rsidR="00E9019D">
        <w:rPr>
          <w:noProof/>
          <w:color w:val="000000"/>
          <w:szCs w:val="18"/>
          <w:highlight w:val="black"/>
        </w:rPr>
        <w:t>'''''''''''''''''''''''''</w:t>
      </w:r>
      <w:r w:rsidRPr="004F6642">
        <w:rPr>
          <w:szCs w:val="18"/>
        </w:rPr>
        <w:t>*0.95) from Year 2 to Year 5</w:t>
      </w:r>
    </w:p>
    <w:p w:rsidR="00C25D9C" w:rsidRDefault="004C42AE" w:rsidP="002128AD">
      <w:pPr>
        <w:pStyle w:val="TableFooter"/>
        <w:ind w:left="851" w:hanging="131"/>
        <w:rPr>
          <w:i/>
          <w:iCs/>
          <w:szCs w:val="18"/>
        </w:rPr>
      </w:pPr>
      <w:r w:rsidRPr="00283204">
        <w:rPr>
          <w:i/>
          <w:iCs/>
          <w:szCs w:val="18"/>
          <w:vertAlign w:val="superscript"/>
        </w:rPr>
        <w:t>b</w:t>
      </w:r>
      <w:r w:rsidRPr="00283204">
        <w:rPr>
          <w:i/>
          <w:iCs/>
          <w:szCs w:val="18"/>
        </w:rPr>
        <w:t xml:space="preserve"> </w:t>
      </w:r>
      <w:r w:rsidR="00FE12F5" w:rsidRPr="00FE12F5">
        <w:rPr>
          <w:szCs w:val="18"/>
        </w:rPr>
        <w:t xml:space="preserve">Number treated multiplied </w:t>
      </w:r>
      <w:r w:rsidR="002128AD">
        <w:rPr>
          <w:szCs w:val="18"/>
        </w:rPr>
        <w:t xml:space="preserve">by </w:t>
      </w:r>
      <w:r w:rsidR="00FE12F5" w:rsidRPr="00FE12F5">
        <w:rPr>
          <w:szCs w:val="18"/>
        </w:rPr>
        <w:t>$</w:t>
      </w:r>
      <w:r w:rsidR="00E9019D">
        <w:rPr>
          <w:noProof/>
          <w:color w:val="000000"/>
          <w:szCs w:val="18"/>
          <w:highlight w:val="black"/>
        </w:rPr>
        <w:t>'''''''''''''''''''''''</w:t>
      </w:r>
      <w:r w:rsidR="00FE12F5">
        <w:rPr>
          <w:szCs w:val="18"/>
        </w:rPr>
        <w:t>.</w:t>
      </w:r>
      <w:r w:rsidR="00FE12F5" w:rsidRPr="00FE12F5">
        <w:rPr>
          <w:szCs w:val="18"/>
        </w:rPr>
        <w:t xml:space="preserve"> </w:t>
      </w:r>
      <w:r w:rsidR="00283204" w:rsidRPr="00283204">
        <w:rPr>
          <w:i/>
          <w:iCs/>
          <w:szCs w:val="18"/>
        </w:rPr>
        <w:t>The drug administration costs, presented as the MBS costs in the submission, included public hospital costs.</w:t>
      </w:r>
    </w:p>
    <w:p w:rsidR="004F7397" w:rsidRDefault="004F7397" w:rsidP="004F7397">
      <w:pPr>
        <w:pStyle w:val="ListParagraph"/>
      </w:pPr>
    </w:p>
    <w:p w:rsidR="00E033BA" w:rsidRDefault="00E033BA" w:rsidP="004F7397">
      <w:pPr>
        <w:pStyle w:val="ListParagraph"/>
      </w:pPr>
      <w:r>
        <w:t>The redacted table shows that at year 5, the estimated number of patients was less than 10,000, and the net cost to Government (</w:t>
      </w:r>
      <w:r w:rsidRPr="00E033BA">
        <w:t>including MBS</w:t>
      </w:r>
      <w:r w:rsidR="00655D4E">
        <w:t>) would be $10 – $20 million</w:t>
      </w:r>
      <w:r>
        <w:t xml:space="preserve">. </w:t>
      </w:r>
    </w:p>
    <w:p w:rsidR="00E033BA" w:rsidRPr="00AC40FB" w:rsidRDefault="00E033BA" w:rsidP="004F7397">
      <w:pPr>
        <w:pStyle w:val="ListParagraph"/>
      </w:pPr>
    </w:p>
    <w:p w:rsidR="007106C3" w:rsidRPr="00E033BA" w:rsidRDefault="007106C3" w:rsidP="00E033BA">
      <w:pPr>
        <w:pStyle w:val="ListParagraph"/>
        <w:numPr>
          <w:ilvl w:val="1"/>
          <w:numId w:val="3"/>
        </w:numPr>
        <w:rPr>
          <w:iCs/>
        </w:rPr>
      </w:pPr>
      <w:r w:rsidRPr="00E033BA">
        <w:rPr>
          <w:iCs/>
        </w:rPr>
        <w:t xml:space="preserve">The use of incidence of oral cavity cancers was uncertain. While the literature suggested patients with recurrent and/or metastatic SCC of the head and neck may have a median life expectancy of less than one year, the incidence estimate used in the submission </w:t>
      </w:r>
      <w:r w:rsidR="00F03214" w:rsidRPr="00E033BA">
        <w:rPr>
          <w:iCs/>
        </w:rPr>
        <w:t xml:space="preserve">was </w:t>
      </w:r>
      <w:r w:rsidRPr="00E033BA">
        <w:rPr>
          <w:iCs/>
        </w:rPr>
        <w:t xml:space="preserve">not limited to those with recurrent and/or metastatic disease. </w:t>
      </w:r>
      <w:r w:rsidR="00E82EBE" w:rsidRPr="00E033BA">
        <w:rPr>
          <w:iCs/>
        </w:rPr>
        <w:t xml:space="preserve"> </w:t>
      </w:r>
      <w:r w:rsidR="00C83D39" w:rsidRPr="00E033BA">
        <w:rPr>
          <w:iCs/>
        </w:rPr>
        <w:t>The incidence may not reflect the prevalence of oral cavity cancers</w:t>
      </w:r>
      <w:r w:rsidR="000F55E2" w:rsidRPr="00E033BA">
        <w:rPr>
          <w:iCs/>
        </w:rPr>
        <w:t xml:space="preserve"> (as assumed in the submission)</w:t>
      </w:r>
      <w:r w:rsidR="00C83D39" w:rsidRPr="00E033BA">
        <w:rPr>
          <w:iCs/>
        </w:rPr>
        <w:t xml:space="preserve">, as the reported 5-year survival for oral cavity cancer </w:t>
      </w:r>
      <w:r w:rsidR="0007464E" w:rsidRPr="00E033BA">
        <w:rPr>
          <w:iCs/>
        </w:rPr>
        <w:t>was</w:t>
      </w:r>
      <w:r w:rsidR="00C83D39" w:rsidRPr="00E033BA">
        <w:rPr>
          <w:iCs/>
        </w:rPr>
        <w:t xml:space="preserve"> 75%. </w:t>
      </w:r>
      <w:r w:rsidR="00E82EBE" w:rsidRPr="00E033BA">
        <w:rPr>
          <w:iCs/>
        </w:rPr>
        <w:t>However, the subsequent assumptions in the submission may not be applicable to alternative estimates of the number of patients with SCC of the oral cavity (e.g. prevalence).</w:t>
      </w:r>
    </w:p>
    <w:p w:rsidR="007106C3" w:rsidRPr="001F0A7F" w:rsidRDefault="007106C3" w:rsidP="007106C3">
      <w:pPr>
        <w:pStyle w:val="ListParagraph"/>
        <w:rPr>
          <w:iCs/>
        </w:rPr>
      </w:pPr>
    </w:p>
    <w:p w:rsidR="007724C5" w:rsidRPr="001F0A7F" w:rsidRDefault="00D36B27" w:rsidP="00B15815">
      <w:pPr>
        <w:pStyle w:val="ListParagraph"/>
        <w:numPr>
          <w:ilvl w:val="1"/>
          <w:numId w:val="3"/>
        </w:numPr>
        <w:rPr>
          <w:iCs/>
        </w:rPr>
      </w:pPr>
      <w:r w:rsidRPr="001F0A7F">
        <w:rPr>
          <w:iCs/>
        </w:rPr>
        <w:t>There were</w:t>
      </w:r>
      <w:r w:rsidR="00A04395" w:rsidRPr="001F0A7F">
        <w:rPr>
          <w:iCs/>
        </w:rPr>
        <w:t xml:space="preserve"> </w:t>
      </w:r>
      <w:r w:rsidRPr="001F0A7F">
        <w:rPr>
          <w:iCs/>
        </w:rPr>
        <w:t>uncertainties in the rate of recurrent and/or metastatic disease, the proportion su</w:t>
      </w:r>
      <w:r w:rsidR="005D2927" w:rsidRPr="001F0A7F">
        <w:rPr>
          <w:iCs/>
        </w:rPr>
        <w:t>itable for cetuximab and uptake</w:t>
      </w:r>
      <w:r w:rsidRPr="001F0A7F">
        <w:rPr>
          <w:iCs/>
        </w:rPr>
        <w:t xml:space="preserve"> rates in practice</w:t>
      </w:r>
      <w:r w:rsidR="00BB0711" w:rsidRPr="001F0A7F">
        <w:rPr>
          <w:iCs/>
        </w:rPr>
        <w:t xml:space="preserve">, which were </w:t>
      </w:r>
      <w:r w:rsidR="001E350D" w:rsidRPr="001F0A7F">
        <w:rPr>
          <w:iCs/>
        </w:rPr>
        <w:t>largely informed by expert opinion or assumptions based on the clinical context</w:t>
      </w:r>
      <w:r w:rsidRPr="001F0A7F">
        <w:rPr>
          <w:iCs/>
        </w:rPr>
        <w:t xml:space="preserve">. </w:t>
      </w:r>
      <w:r w:rsidR="006554F9" w:rsidRPr="001F0A7F">
        <w:rPr>
          <w:iCs/>
        </w:rPr>
        <w:t xml:space="preserve">The submission suggested that </w:t>
      </w:r>
      <w:r w:rsidR="00AB3C4E" w:rsidRPr="001F0A7F">
        <w:rPr>
          <w:iCs/>
        </w:rPr>
        <w:t>rate of recurrent and/or metastatic disease</w:t>
      </w:r>
      <w:r w:rsidR="00631F8F" w:rsidRPr="001F0A7F">
        <w:rPr>
          <w:iCs/>
        </w:rPr>
        <w:t xml:space="preserve"> and the uptake</w:t>
      </w:r>
      <w:r w:rsidR="00AB3C4E" w:rsidRPr="001F0A7F">
        <w:rPr>
          <w:iCs/>
        </w:rPr>
        <w:t xml:space="preserve"> rates were unlikely to be exceeded</w:t>
      </w:r>
      <w:r w:rsidR="007D4C34" w:rsidRPr="001F0A7F">
        <w:rPr>
          <w:iCs/>
        </w:rPr>
        <w:t xml:space="preserve"> (</w:t>
      </w:r>
      <w:r w:rsidR="004E6390" w:rsidRPr="001F0A7F">
        <w:rPr>
          <w:iCs/>
        </w:rPr>
        <w:t xml:space="preserve">and </w:t>
      </w:r>
      <w:r w:rsidR="007D4C34" w:rsidRPr="001F0A7F">
        <w:rPr>
          <w:iCs/>
        </w:rPr>
        <w:t xml:space="preserve">therefore </w:t>
      </w:r>
      <w:r w:rsidR="001F6008" w:rsidRPr="001F0A7F">
        <w:rPr>
          <w:iCs/>
        </w:rPr>
        <w:t xml:space="preserve">were </w:t>
      </w:r>
      <w:r w:rsidR="007D4C34" w:rsidRPr="001F0A7F">
        <w:rPr>
          <w:iCs/>
        </w:rPr>
        <w:t>potential overestimates)</w:t>
      </w:r>
      <w:r w:rsidR="00AB3C4E" w:rsidRPr="001F0A7F">
        <w:rPr>
          <w:iCs/>
        </w:rPr>
        <w:t>.</w:t>
      </w:r>
      <w:r w:rsidR="008F591D" w:rsidRPr="001F0A7F">
        <w:rPr>
          <w:iCs/>
        </w:rPr>
        <w:t xml:space="preserve"> The </w:t>
      </w:r>
      <w:r w:rsidR="00386E3F" w:rsidRPr="001F0A7F">
        <w:rPr>
          <w:iCs/>
        </w:rPr>
        <w:t xml:space="preserve">estimated financial </w:t>
      </w:r>
      <w:r w:rsidR="001A51E9" w:rsidRPr="001F0A7F">
        <w:rPr>
          <w:iCs/>
        </w:rPr>
        <w:t>implications</w:t>
      </w:r>
      <w:r w:rsidR="008F591D" w:rsidRPr="001F0A7F">
        <w:rPr>
          <w:iCs/>
        </w:rPr>
        <w:t xml:space="preserve"> </w:t>
      </w:r>
      <w:r w:rsidR="00AC6F29" w:rsidRPr="001F0A7F">
        <w:rPr>
          <w:iCs/>
        </w:rPr>
        <w:t>were</w:t>
      </w:r>
      <w:r w:rsidR="008F591D" w:rsidRPr="001F0A7F">
        <w:rPr>
          <w:iCs/>
        </w:rPr>
        <w:t xml:space="preserve"> sensitive to assumptions used to estimate the numbers of treated patients.</w:t>
      </w:r>
    </w:p>
    <w:p w:rsidR="007724C5" w:rsidRPr="001F0A7F" w:rsidRDefault="007724C5" w:rsidP="00BA2602">
      <w:pPr>
        <w:pStyle w:val="ListParagraph"/>
        <w:rPr>
          <w:iCs/>
        </w:rPr>
      </w:pPr>
    </w:p>
    <w:p w:rsidR="00576972" w:rsidRDefault="00B51DEA" w:rsidP="00B15815">
      <w:pPr>
        <w:pStyle w:val="ListParagraph"/>
        <w:widowControl/>
        <w:numPr>
          <w:ilvl w:val="1"/>
          <w:numId w:val="3"/>
        </w:numPr>
        <w:rPr>
          <w:szCs w:val="22"/>
        </w:rPr>
      </w:pPr>
      <w:r w:rsidRPr="001F0A7F">
        <w:rPr>
          <w:iCs/>
        </w:rPr>
        <w:lastRenderedPageBreak/>
        <w:t xml:space="preserve">There </w:t>
      </w:r>
      <w:r w:rsidR="005C19B5" w:rsidRPr="001F0A7F">
        <w:rPr>
          <w:iCs/>
        </w:rPr>
        <w:t xml:space="preserve">was the potential for leakage among patients with recurrent and/or metastatic SCC of the head and neck (excluding nasopharyngeal carcinoma) whose primary tumour site of origin was outside the oral cavity, as the pivotal EXTREME trial included these patients. </w:t>
      </w:r>
      <w:r w:rsidRPr="001F0A7F">
        <w:rPr>
          <w:iCs/>
        </w:rPr>
        <w:t>Additionally, there was the potential for leakage among patients with SCC of the oral cavity who have experienced disease progression (particularly given the number of requested repeats for the continuing treatment restriction).  There was also potential leakage for use as subsequent-line therapy.</w:t>
      </w:r>
      <w:r w:rsidR="006933ED" w:rsidRPr="001F0A7F">
        <w:rPr>
          <w:iCs/>
        </w:rPr>
        <w:t xml:space="preserve"> The ESC agreed that there likely would be uptake in the population outside the proposed restriction.</w:t>
      </w:r>
      <w:r w:rsidR="006508F5" w:rsidRPr="001F0A7F">
        <w:rPr>
          <w:iCs/>
        </w:rPr>
        <w:t xml:space="preserve"> The PSCR (p.4) argued that that clinicians ‘are entirely familiar with the use of PBS restrictions’, and that leakage is unlikely as ‘patients who fail systemic therapy in this setting are likely to receive best standard care’. The PSCR (p.4) also agreed to include a definition of ‘oral cavity’ in the restriction wording to mitigate risk of leakage into the population of patients with other head and neck cancers.</w:t>
      </w:r>
      <w:r w:rsidR="00303397" w:rsidRPr="001F0A7F">
        <w:rPr>
          <w:iCs/>
        </w:rPr>
        <w:t xml:space="preserve"> The ESC considered that there is a risk of use outside the proposed restriction. The PSCR (p4) stated </w:t>
      </w:r>
      <w:r w:rsidR="00303397" w:rsidRPr="001F0A7F">
        <w:t xml:space="preserve">should leakage occur it </w:t>
      </w:r>
      <w:r w:rsidR="00331C9D">
        <w:t>would</w:t>
      </w:r>
      <w:r w:rsidR="00331C9D" w:rsidRPr="001F0A7F">
        <w:t xml:space="preserve"> </w:t>
      </w:r>
      <w:r w:rsidR="00303397" w:rsidRPr="001F0A7F">
        <w:t xml:space="preserve">be managed by </w:t>
      </w:r>
      <w:r w:rsidR="00331C9D">
        <w:t>a</w:t>
      </w:r>
      <w:r w:rsidR="00331C9D" w:rsidRPr="001F0A7F">
        <w:t xml:space="preserve"> </w:t>
      </w:r>
      <w:r w:rsidR="00303397" w:rsidRPr="001F0A7F">
        <w:t xml:space="preserve">risk share agreement. </w:t>
      </w:r>
      <w:r w:rsidR="00476874">
        <w:t>Under t</w:t>
      </w:r>
      <w:r w:rsidR="00303397" w:rsidRPr="001F0A7F">
        <w:t>he proposed risk share agreement</w:t>
      </w:r>
      <w:r w:rsidR="00476874">
        <w:t>,</w:t>
      </w:r>
      <w:r w:rsidR="008D34BD">
        <w:t xml:space="preserve"> </w:t>
      </w:r>
      <w:r w:rsidR="00303397" w:rsidRPr="001F0A7F">
        <w:rPr>
          <w:szCs w:val="22"/>
        </w:rPr>
        <w:t xml:space="preserve">patients who require treatment beyond </w:t>
      </w:r>
      <w:r w:rsidR="00E9019D">
        <w:rPr>
          <w:noProof/>
          <w:color w:val="000000"/>
          <w:szCs w:val="22"/>
          <w:highlight w:val="black"/>
        </w:rPr>
        <w:t>''''''</w:t>
      </w:r>
      <w:r w:rsidR="00303397" w:rsidRPr="001F0A7F">
        <w:rPr>
          <w:szCs w:val="22"/>
        </w:rPr>
        <w:t xml:space="preserve"> weeks would not incur additional charges to </w:t>
      </w:r>
      <w:r w:rsidR="00647E49">
        <w:rPr>
          <w:szCs w:val="22"/>
        </w:rPr>
        <w:t>G</w:t>
      </w:r>
      <w:r w:rsidR="00647E49" w:rsidRPr="001F0A7F">
        <w:rPr>
          <w:szCs w:val="22"/>
        </w:rPr>
        <w:t>overnment</w:t>
      </w:r>
      <w:r w:rsidR="00303397" w:rsidRPr="001F0A7F">
        <w:rPr>
          <w:szCs w:val="22"/>
        </w:rPr>
        <w:t>. This proposal would manage the risk of the duration of use of cetuximab but not uncertainties</w:t>
      </w:r>
      <w:r w:rsidR="00172724" w:rsidRPr="001F0A7F">
        <w:rPr>
          <w:szCs w:val="22"/>
        </w:rPr>
        <w:t xml:space="preserve"> in the patient population</w:t>
      </w:r>
      <w:r w:rsidR="00303397" w:rsidRPr="001F0A7F">
        <w:rPr>
          <w:szCs w:val="22"/>
        </w:rPr>
        <w:t>.</w:t>
      </w:r>
    </w:p>
    <w:p w:rsidR="00575D66" w:rsidRPr="0080566E" w:rsidRDefault="00575D66" w:rsidP="00575D66">
      <w:pPr>
        <w:pStyle w:val="ListParagraph"/>
        <w:rPr>
          <w:szCs w:val="22"/>
          <w:vertAlign w:val="subscript"/>
          <w:lang w:val="en-GB"/>
        </w:rPr>
      </w:pPr>
    </w:p>
    <w:p w:rsidR="00180CE9" w:rsidRPr="00544ADB" w:rsidRDefault="00967A18" w:rsidP="00B15815">
      <w:pPr>
        <w:pStyle w:val="ListParagraph"/>
        <w:widowControl/>
        <w:numPr>
          <w:ilvl w:val="1"/>
          <w:numId w:val="3"/>
        </w:numPr>
        <w:rPr>
          <w:szCs w:val="22"/>
        </w:rPr>
      </w:pPr>
      <w:r w:rsidRPr="00544ADB">
        <w:rPr>
          <w:szCs w:val="22"/>
          <w:lang w:val="en-GB"/>
        </w:rPr>
        <w:t>Allowing for 10%</w:t>
      </w:r>
      <w:r w:rsidR="003B3F1F" w:rsidRPr="00544ADB">
        <w:rPr>
          <w:szCs w:val="22"/>
          <w:lang w:val="en-GB"/>
        </w:rPr>
        <w:t xml:space="preserve"> of treated patients to be</w:t>
      </w:r>
      <w:r w:rsidRPr="00544ADB">
        <w:rPr>
          <w:szCs w:val="22"/>
          <w:lang w:val="en-GB"/>
        </w:rPr>
        <w:t xml:space="preserve"> leakage</w:t>
      </w:r>
      <w:r w:rsidR="003B3F1F" w:rsidRPr="00544ADB">
        <w:rPr>
          <w:szCs w:val="22"/>
          <w:lang w:val="en-GB"/>
        </w:rPr>
        <w:t xml:space="preserve"> into the ITT population,</w:t>
      </w:r>
      <w:r w:rsidRPr="00544ADB">
        <w:rPr>
          <w:szCs w:val="22"/>
          <w:lang w:val="en-GB"/>
        </w:rPr>
        <w:t xml:space="preserve"> a 5% statutory price reduction, and costs of treatment rebated beyond </w:t>
      </w:r>
      <w:r w:rsidR="00E9019D">
        <w:rPr>
          <w:noProof/>
          <w:color w:val="000000"/>
          <w:szCs w:val="22"/>
          <w:highlight w:val="black"/>
          <w:lang w:val="en-GB"/>
        </w:rPr>
        <w:t>''''''</w:t>
      </w:r>
      <w:r w:rsidRPr="00544ADB">
        <w:rPr>
          <w:szCs w:val="22"/>
          <w:lang w:val="en-GB"/>
        </w:rPr>
        <w:t xml:space="preserve"> weeks, the Pre-PBAC Response presented revised net costs to the PBS and Government. At year 5, there were an estimated </w:t>
      </w:r>
      <w:r w:rsidR="00DD64F3">
        <w:rPr>
          <w:szCs w:val="22"/>
          <w:lang w:val="en-GB"/>
        </w:rPr>
        <w:t>less than 10,000</w:t>
      </w:r>
      <w:r w:rsidRPr="00544ADB">
        <w:rPr>
          <w:szCs w:val="22"/>
          <w:lang w:val="en-GB"/>
        </w:rPr>
        <w:t xml:space="preserve"> additional patients with SCC outside the oral cavity who were being treated with cetuximab, </w:t>
      </w:r>
      <w:r w:rsidR="005875B7" w:rsidRPr="00544ADB">
        <w:rPr>
          <w:szCs w:val="22"/>
          <w:lang w:val="en-GB"/>
        </w:rPr>
        <w:t xml:space="preserve">and the net cost to the Government would be </w:t>
      </w:r>
      <w:r w:rsidR="00DD64F3">
        <w:rPr>
          <w:szCs w:val="22"/>
          <w:lang w:val="en-GB"/>
        </w:rPr>
        <w:t>$10-$20 million</w:t>
      </w:r>
      <w:r w:rsidR="005875B7" w:rsidRPr="00544ADB">
        <w:rPr>
          <w:szCs w:val="22"/>
          <w:lang w:val="en-GB"/>
        </w:rPr>
        <w:t xml:space="preserve">. The sponsor noted that this represented a decrease of </w:t>
      </w:r>
      <w:r w:rsidR="00DD64F3">
        <w:rPr>
          <w:szCs w:val="22"/>
          <w:lang w:val="en-GB"/>
        </w:rPr>
        <w:t>less than $10 million</w:t>
      </w:r>
      <w:r w:rsidR="005875B7" w:rsidRPr="00544ADB">
        <w:rPr>
          <w:szCs w:val="22"/>
          <w:lang w:val="en-GB"/>
        </w:rPr>
        <w:t xml:space="preserve"> on the original submission estimate of </w:t>
      </w:r>
      <w:r w:rsidR="00DD64F3">
        <w:rPr>
          <w:szCs w:val="22"/>
          <w:lang w:val="en-GB"/>
        </w:rPr>
        <w:t>$10-$20 million</w:t>
      </w:r>
      <w:r w:rsidR="000F55E2" w:rsidRPr="00544ADB">
        <w:rPr>
          <w:szCs w:val="22"/>
          <w:lang w:val="en-GB"/>
        </w:rPr>
        <w:t>.</w:t>
      </w:r>
    </w:p>
    <w:p w:rsidR="000F55E2" w:rsidRPr="007C282E" w:rsidRDefault="000F55E2" w:rsidP="00463BEE"/>
    <w:p w:rsidR="00576972" w:rsidRPr="00C96416" w:rsidRDefault="00576972" w:rsidP="00DE732C">
      <w:pPr>
        <w:pStyle w:val="Heading2"/>
      </w:pPr>
      <w:bookmarkStart w:id="30" w:name="_Toc437869744"/>
      <w:bookmarkStart w:id="31" w:name="_Toc441050440"/>
      <w:r w:rsidRPr="00C96416">
        <w:t>Quality Use of Medicines</w:t>
      </w:r>
      <w:bookmarkEnd w:id="30"/>
      <w:bookmarkEnd w:id="31"/>
    </w:p>
    <w:p w:rsidR="00873539" w:rsidRPr="007C282E" w:rsidRDefault="00290A14" w:rsidP="00B15815">
      <w:pPr>
        <w:pStyle w:val="ListParagraph"/>
        <w:widowControl/>
        <w:numPr>
          <w:ilvl w:val="1"/>
          <w:numId w:val="3"/>
        </w:numPr>
        <w:rPr>
          <w:szCs w:val="22"/>
        </w:rPr>
      </w:pPr>
      <w:r w:rsidRPr="007C282E">
        <w:t xml:space="preserve">The quality of used medicines activities outlined in the submission </w:t>
      </w:r>
      <w:r w:rsidR="00BA22D1">
        <w:t>were</w:t>
      </w:r>
      <w:r w:rsidR="00BA22D1" w:rsidRPr="007C282E">
        <w:t xml:space="preserve"> </w:t>
      </w:r>
      <w:r w:rsidRPr="007C282E">
        <w:t>related to the management of skin reactions</w:t>
      </w:r>
      <w:r w:rsidR="002A69AB" w:rsidRPr="007C282E">
        <w:t xml:space="preserve"> associated with cetuximab</w:t>
      </w:r>
      <w:r w:rsidRPr="007C282E">
        <w:t>.</w:t>
      </w:r>
    </w:p>
    <w:p w:rsidR="00873539" w:rsidRPr="007C282E" w:rsidRDefault="00873539" w:rsidP="00873539">
      <w:pPr>
        <w:pStyle w:val="ListParagraph"/>
        <w:widowControl/>
        <w:rPr>
          <w:szCs w:val="22"/>
        </w:rPr>
      </w:pPr>
    </w:p>
    <w:p w:rsidR="005B08DF" w:rsidRPr="005B08DF" w:rsidRDefault="00873539" w:rsidP="00B15815">
      <w:pPr>
        <w:pStyle w:val="ListParagraph"/>
        <w:widowControl/>
        <w:numPr>
          <w:ilvl w:val="1"/>
          <w:numId w:val="3"/>
        </w:numPr>
        <w:rPr>
          <w:szCs w:val="22"/>
        </w:rPr>
      </w:pPr>
      <w:r w:rsidRPr="007C282E">
        <w:rPr>
          <w:szCs w:val="22"/>
        </w:rPr>
        <w:t>The submission claimed that patients with oral cavity cancer represent a subgroup of patients who have a particularly high unmet clinical need.</w:t>
      </w:r>
    </w:p>
    <w:p w:rsidR="004C17F0" w:rsidRPr="001F0A7F" w:rsidRDefault="004C17F0" w:rsidP="005B08DF">
      <w:bookmarkStart w:id="32" w:name="_Toc437869745"/>
      <w:bookmarkStart w:id="33" w:name="_Toc441050441"/>
    </w:p>
    <w:p w:rsidR="00576972" w:rsidRPr="00C96416" w:rsidRDefault="00576972" w:rsidP="00DE732C">
      <w:pPr>
        <w:pStyle w:val="Heading2"/>
      </w:pPr>
      <w:r w:rsidRPr="00C96416">
        <w:t>Financial Management – Risk Sharing Arrangements</w:t>
      </w:r>
      <w:bookmarkEnd w:id="32"/>
      <w:bookmarkEnd w:id="33"/>
    </w:p>
    <w:p w:rsidR="000A08F4" w:rsidRPr="00B04D0E" w:rsidRDefault="00704DB3" w:rsidP="00B15815">
      <w:pPr>
        <w:pStyle w:val="ListParagraph"/>
        <w:widowControl/>
        <w:numPr>
          <w:ilvl w:val="1"/>
          <w:numId w:val="3"/>
        </w:numPr>
        <w:rPr>
          <w:szCs w:val="22"/>
        </w:rPr>
      </w:pPr>
      <w:r w:rsidRPr="007C282E">
        <w:rPr>
          <w:szCs w:val="22"/>
        </w:rPr>
        <w:t xml:space="preserve">The sponsor also proposed a </w:t>
      </w:r>
      <w:r w:rsidR="00CD07ED" w:rsidRPr="007C282E">
        <w:rPr>
          <w:szCs w:val="22"/>
        </w:rPr>
        <w:t>risk-sharing arrangement</w:t>
      </w:r>
      <w:r w:rsidRPr="007C282E">
        <w:rPr>
          <w:szCs w:val="22"/>
        </w:rPr>
        <w:t>,</w:t>
      </w:r>
      <w:r w:rsidR="00CD07ED" w:rsidRPr="007C282E">
        <w:rPr>
          <w:szCs w:val="22"/>
        </w:rPr>
        <w:t xml:space="preserve"> in which patients who require treatment beyond </w:t>
      </w:r>
      <w:r w:rsidR="00E9019D">
        <w:rPr>
          <w:noProof/>
          <w:color w:val="000000"/>
          <w:szCs w:val="22"/>
          <w:highlight w:val="black"/>
        </w:rPr>
        <w:t>''''''</w:t>
      </w:r>
      <w:r w:rsidR="00CD07ED" w:rsidRPr="007C282E">
        <w:rPr>
          <w:szCs w:val="22"/>
        </w:rPr>
        <w:t xml:space="preserve"> weeks would not incur additional charges to the government.</w:t>
      </w:r>
      <w:r w:rsidR="00A907CB" w:rsidRPr="007C282E">
        <w:rPr>
          <w:iCs/>
          <w:szCs w:val="22"/>
        </w:rPr>
        <w:t xml:space="preserve"> It appeared likely that few patients would be treated beyond </w:t>
      </w:r>
      <w:r w:rsidR="00E9019D">
        <w:rPr>
          <w:iCs/>
          <w:noProof/>
          <w:color w:val="000000"/>
          <w:szCs w:val="22"/>
          <w:highlight w:val="black"/>
        </w:rPr>
        <w:t>'''''''</w:t>
      </w:r>
      <w:r w:rsidR="00A907CB" w:rsidRPr="007C282E">
        <w:rPr>
          <w:iCs/>
          <w:szCs w:val="22"/>
        </w:rPr>
        <w:t xml:space="preserve"> weeks</w:t>
      </w:r>
      <w:r w:rsidR="001F0A7F">
        <w:rPr>
          <w:iCs/>
          <w:szCs w:val="22"/>
        </w:rPr>
        <w:t>.</w:t>
      </w:r>
    </w:p>
    <w:p w:rsidR="00B04D0E" w:rsidRPr="00B04D0E" w:rsidRDefault="00B04D0E" w:rsidP="00B04D0E">
      <w:pPr>
        <w:pStyle w:val="ListParagraph"/>
        <w:rPr>
          <w:szCs w:val="22"/>
        </w:rPr>
      </w:pPr>
    </w:p>
    <w:p w:rsidR="00B04D0E" w:rsidRPr="001F0A7F" w:rsidRDefault="00B04D0E" w:rsidP="00B15815">
      <w:pPr>
        <w:pStyle w:val="ListParagraph"/>
        <w:widowControl/>
        <w:numPr>
          <w:ilvl w:val="1"/>
          <w:numId w:val="3"/>
        </w:numPr>
        <w:rPr>
          <w:szCs w:val="22"/>
        </w:rPr>
      </w:pPr>
      <w:r w:rsidRPr="00575D66">
        <w:rPr>
          <w:szCs w:val="22"/>
          <w:lang w:val="en-GB"/>
        </w:rPr>
        <w:t xml:space="preserve">The Pre-PBAC Response then proposed a revised RSA under which treatment beyond </w:t>
      </w:r>
      <w:r w:rsidR="00E9019D">
        <w:rPr>
          <w:noProof/>
          <w:color w:val="000000"/>
          <w:szCs w:val="22"/>
          <w:highlight w:val="black"/>
          <w:lang w:val="en-GB"/>
        </w:rPr>
        <w:t>'''''''</w:t>
      </w:r>
      <w:r w:rsidRPr="00575D66">
        <w:rPr>
          <w:szCs w:val="22"/>
          <w:lang w:val="en-GB"/>
        </w:rPr>
        <w:t xml:space="preserve"> weeks would be rebated by the sponsor.</w:t>
      </w:r>
    </w:p>
    <w:p w:rsidR="001A1437" w:rsidRDefault="001A1437" w:rsidP="001A1437">
      <w:pPr>
        <w:widowControl/>
        <w:rPr>
          <w:szCs w:val="22"/>
        </w:rPr>
      </w:pPr>
    </w:p>
    <w:p w:rsidR="001A1437" w:rsidRDefault="001A1437" w:rsidP="00CF2241">
      <w:pPr>
        <w:pStyle w:val="ListParagraph"/>
        <w:ind w:left="709"/>
        <w:rPr>
          <w:i/>
          <w:szCs w:val="22"/>
        </w:rPr>
      </w:pPr>
      <w:r w:rsidRPr="0015620E">
        <w:rPr>
          <w:i/>
          <w:szCs w:val="22"/>
        </w:rPr>
        <w:t>For more detail on PBAC’s view, see section 7 “PBAC outcome”</w:t>
      </w:r>
    </w:p>
    <w:p w:rsidR="001A1437" w:rsidRDefault="001A1437" w:rsidP="001A1437">
      <w:pPr>
        <w:spacing w:line="276" w:lineRule="auto"/>
        <w:ind w:left="709"/>
        <w:rPr>
          <w:b/>
          <w:bCs/>
          <w:szCs w:val="22"/>
        </w:rPr>
      </w:pPr>
    </w:p>
    <w:p w:rsidR="00463BEE" w:rsidRPr="003D7CB3" w:rsidRDefault="00463BEE" w:rsidP="001A1437">
      <w:pPr>
        <w:spacing w:line="276" w:lineRule="auto"/>
        <w:ind w:left="709"/>
        <w:rPr>
          <w:b/>
          <w:bCs/>
          <w:szCs w:val="22"/>
        </w:rPr>
      </w:pPr>
    </w:p>
    <w:p w:rsidR="001A1437" w:rsidRPr="00BC4D2E" w:rsidRDefault="001A1437" w:rsidP="00463BEE">
      <w:pPr>
        <w:pStyle w:val="PBACHeading1"/>
      </w:pPr>
      <w:r w:rsidRPr="00BC4D2E">
        <w:t>PBAC Outcome</w:t>
      </w:r>
    </w:p>
    <w:p w:rsidR="001A1437" w:rsidRPr="006C307E" w:rsidRDefault="001A1437" w:rsidP="001A1437">
      <w:pPr>
        <w:contextualSpacing/>
        <w:rPr>
          <w:b/>
          <w:bCs/>
          <w:szCs w:val="22"/>
          <w:highlight w:val="yellow"/>
          <w:lang w:val="en-GB"/>
        </w:rPr>
      </w:pPr>
    </w:p>
    <w:p w:rsidR="00631E91" w:rsidRPr="00D7736A" w:rsidRDefault="00631E91" w:rsidP="00B15815">
      <w:pPr>
        <w:pStyle w:val="ListParagraph"/>
        <w:numPr>
          <w:ilvl w:val="1"/>
          <w:numId w:val="3"/>
        </w:numPr>
        <w:rPr>
          <w:szCs w:val="22"/>
          <w:lang w:val="en-GB"/>
        </w:rPr>
      </w:pPr>
      <w:r w:rsidRPr="00BF22B3">
        <w:rPr>
          <w:lang w:val="en-GB"/>
        </w:rPr>
        <w:t xml:space="preserve">The PBAC decided not to recommend the listing of cetuximab </w:t>
      </w:r>
      <w:r w:rsidRPr="00BF22B3">
        <w:rPr>
          <w:szCs w:val="22"/>
          <w:lang w:val="en-GB"/>
        </w:rPr>
        <w:t xml:space="preserve">in combination with </w:t>
      </w:r>
      <w:r w:rsidRPr="00BF22B3">
        <w:rPr>
          <w:szCs w:val="22"/>
          <w:lang w:val="en-GB"/>
        </w:rPr>
        <w:lastRenderedPageBreak/>
        <w:t>platinum-based chemotherapy, for the treatment of patients with metastatic and/or recurrent squamous cell car</w:t>
      </w:r>
      <w:r>
        <w:rPr>
          <w:szCs w:val="22"/>
          <w:lang w:val="en-GB"/>
        </w:rPr>
        <w:t>cinoma (SCC) of the oral cavity</w:t>
      </w:r>
      <w:r w:rsidR="00F40144">
        <w:rPr>
          <w:szCs w:val="22"/>
          <w:lang w:val="en-GB"/>
        </w:rPr>
        <w:t xml:space="preserve">, on the basis of uncertain </w:t>
      </w:r>
      <w:r w:rsidR="00506313">
        <w:rPr>
          <w:szCs w:val="22"/>
          <w:lang w:val="en-GB"/>
        </w:rPr>
        <w:t>magnitude</w:t>
      </w:r>
      <w:r w:rsidR="00F40144">
        <w:rPr>
          <w:szCs w:val="22"/>
          <w:lang w:val="en-GB"/>
        </w:rPr>
        <w:t xml:space="preserve"> of clinical benefit and </w:t>
      </w:r>
      <w:r w:rsidR="00506313">
        <w:rPr>
          <w:szCs w:val="22"/>
          <w:lang w:val="en-GB"/>
        </w:rPr>
        <w:t xml:space="preserve">likely high and unacceptable cost-effectiveness. </w:t>
      </w:r>
    </w:p>
    <w:p w:rsidR="00631E91" w:rsidRDefault="00631E91" w:rsidP="00631E91">
      <w:pPr>
        <w:pStyle w:val="ListParagraph"/>
        <w:rPr>
          <w:szCs w:val="22"/>
          <w:lang w:val="en-GB"/>
        </w:rPr>
      </w:pPr>
    </w:p>
    <w:p w:rsidR="00F40144" w:rsidRPr="009A2184" w:rsidRDefault="009358A8" w:rsidP="00B15815">
      <w:pPr>
        <w:pStyle w:val="ListParagraph"/>
        <w:numPr>
          <w:ilvl w:val="1"/>
          <w:numId w:val="3"/>
        </w:numPr>
        <w:rPr>
          <w:b/>
          <w:szCs w:val="22"/>
          <w:u w:val="single"/>
          <w:lang w:val="en-GB"/>
        </w:rPr>
      </w:pPr>
      <w:r w:rsidRPr="009358A8">
        <w:rPr>
          <w:szCs w:val="22"/>
          <w:lang w:val="en-GB"/>
        </w:rPr>
        <w:t xml:space="preserve">The PBAC considered that there is a clinical need for treatments </w:t>
      </w:r>
      <w:r w:rsidR="009A2184" w:rsidRPr="00BF22B3">
        <w:rPr>
          <w:szCs w:val="22"/>
          <w:lang w:val="en-GB"/>
        </w:rPr>
        <w:t xml:space="preserve">patients with metastatic and/or recurrent </w:t>
      </w:r>
      <w:r w:rsidR="009A2184">
        <w:rPr>
          <w:szCs w:val="22"/>
          <w:lang w:val="en-GB"/>
        </w:rPr>
        <w:t xml:space="preserve">SCC </w:t>
      </w:r>
      <w:r w:rsidRPr="009358A8">
        <w:rPr>
          <w:szCs w:val="22"/>
          <w:lang w:val="en-GB"/>
        </w:rPr>
        <w:t xml:space="preserve">of the head and neck and </w:t>
      </w:r>
      <w:r w:rsidR="00F64D34" w:rsidRPr="009358A8">
        <w:rPr>
          <w:szCs w:val="22"/>
          <w:lang w:val="en-GB"/>
        </w:rPr>
        <w:t xml:space="preserve">noted that the restriction was based on </w:t>
      </w:r>
      <w:r w:rsidR="00F64D34">
        <w:t xml:space="preserve">the </w:t>
      </w:r>
      <w:r w:rsidR="00F64D34" w:rsidRPr="009358A8">
        <w:rPr>
          <w:iCs/>
        </w:rPr>
        <w:t>post hoc</w:t>
      </w:r>
      <w:r w:rsidR="00F64D34" w:rsidRPr="001F0A7F">
        <w:t xml:space="preserve"> subgroup of patients</w:t>
      </w:r>
      <w:r>
        <w:t xml:space="preserve"> with this disease</w:t>
      </w:r>
      <w:r w:rsidR="00F64D34" w:rsidRPr="001F0A7F">
        <w:t xml:space="preserve"> for whom the primary tumour site of origin was in the oral cavity and with a </w:t>
      </w:r>
      <w:r>
        <w:t xml:space="preserve">WHO performance status 0-1 (equivalent to </w:t>
      </w:r>
      <w:r w:rsidR="00F64D34" w:rsidRPr="001F0A7F">
        <w:t>Karnofsky Performance Status ≥80</w:t>
      </w:r>
      <w:r>
        <w:t xml:space="preserve">). The PBAC noted that </w:t>
      </w:r>
      <w:r w:rsidR="00514846">
        <w:rPr>
          <w:szCs w:val="22"/>
          <w:lang w:val="en-GB"/>
        </w:rPr>
        <w:t>the TGA-registered indication for cetuximab</w:t>
      </w:r>
      <w:r w:rsidR="00514846">
        <w:t xml:space="preserve"> included </w:t>
      </w:r>
      <w:r>
        <w:t xml:space="preserve">a broader listing </w:t>
      </w:r>
      <w:r w:rsidR="009A2184">
        <w:t xml:space="preserve">of all </w:t>
      </w:r>
      <w:r w:rsidR="009A2184" w:rsidRPr="00BF22B3">
        <w:rPr>
          <w:szCs w:val="22"/>
          <w:lang w:val="en-GB"/>
        </w:rPr>
        <w:t xml:space="preserve">patients with metastatic and/or recurrent </w:t>
      </w:r>
      <w:r w:rsidR="009A2184">
        <w:rPr>
          <w:szCs w:val="22"/>
          <w:lang w:val="en-GB"/>
        </w:rPr>
        <w:t xml:space="preserve">SCC </w:t>
      </w:r>
      <w:r w:rsidR="00002141">
        <w:rPr>
          <w:szCs w:val="22"/>
          <w:lang w:val="en-GB"/>
        </w:rPr>
        <w:t>of the head and neck</w:t>
      </w:r>
      <w:r w:rsidR="00514846">
        <w:rPr>
          <w:szCs w:val="22"/>
          <w:lang w:val="en-GB"/>
        </w:rPr>
        <w:t xml:space="preserve">. </w:t>
      </w:r>
      <w:r w:rsidR="009A2184">
        <w:rPr>
          <w:szCs w:val="22"/>
          <w:lang w:val="en-GB"/>
        </w:rPr>
        <w:t xml:space="preserve">The PBAC </w:t>
      </w:r>
      <w:r w:rsidR="0084573E">
        <w:rPr>
          <w:szCs w:val="22"/>
          <w:lang w:val="en-GB"/>
        </w:rPr>
        <w:t>considered there</w:t>
      </w:r>
      <w:r w:rsidR="009A2184">
        <w:rPr>
          <w:szCs w:val="22"/>
          <w:lang w:val="en-GB"/>
        </w:rPr>
        <w:t xml:space="preserve"> was a high risk of leakage from the restriction, as proposed by the sponsor, into the broader patient population</w:t>
      </w:r>
      <w:r w:rsidR="00514846">
        <w:rPr>
          <w:szCs w:val="22"/>
          <w:lang w:val="en-GB"/>
        </w:rPr>
        <w:t>.</w:t>
      </w:r>
    </w:p>
    <w:p w:rsidR="009A2184" w:rsidRPr="009358A8" w:rsidRDefault="009A2184" w:rsidP="00C10121">
      <w:pPr>
        <w:rPr>
          <w:lang w:val="en-GB"/>
        </w:rPr>
      </w:pPr>
    </w:p>
    <w:p w:rsidR="009A2184" w:rsidRDefault="00F64D34" w:rsidP="00B15815">
      <w:pPr>
        <w:pStyle w:val="ListParagraph"/>
        <w:numPr>
          <w:ilvl w:val="1"/>
          <w:numId w:val="3"/>
        </w:numPr>
        <w:rPr>
          <w:szCs w:val="22"/>
          <w:lang w:val="en-GB"/>
        </w:rPr>
      </w:pPr>
      <w:r w:rsidRPr="00F64D34">
        <w:rPr>
          <w:szCs w:val="22"/>
          <w:lang w:val="en-GB"/>
        </w:rPr>
        <w:t xml:space="preserve">The PBAC agreed that </w:t>
      </w:r>
      <w:r w:rsidRPr="00F64D34">
        <w:t xml:space="preserve">platinum-based chemotherapy </w:t>
      </w:r>
      <w:r w:rsidRPr="00F64D34">
        <w:rPr>
          <w:szCs w:val="22"/>
          <w:lang w:val="en-GB"/>
        </w:rPr>
        <w:t>was the appropriate comparator</w:t>
      </w:r>
      <w:r>
        <w:rPr>
          <w:szCs w:val="22"/>
          <w:lang w:val="en-GB"/>
        </w:rPr>
        <w:t xml:space="preserve">. </w:t>
      </w:r>
    </w:p>
    <w:p w:rsidR="009A2184" w:rsidRPr="009A2184" w:rsidRDefault="009A2184" w:rsidP="009A2184">
      <w:pPr>
        <w:pStyle w:val="ListParagraph"/>
        <w:rPr>
          <w:lang w:val="en-GB"/>
        </w:rPr>
      </w:pPr>
    </w:p>
    <w:p w:rsidR="00D7736A" w:rsidRPr="009A2184" w:rsidRDefault="00631E91" w:rsidP="00B15815">
      <w:pPr>
        <w:pStyle w:val="ListParagraph"/>
        <w:numPr>
          <w:ilvl w:val="1"/>
          <w:numId w:val="3"/>
        </w:numPr>
        <w:rPr>
          <w:szCs w:val="22"/>
          <w:lang w:val="en-GB"/>
        </w:rPr>
      </w:pPr>
      <w:r w:rsidRPr="009A2184">
        <w:rPr>
          <w:lang w:val="en-GB"/>
        </w:rPr>
        <w:t xml:space="preserve">The PBAC noted that the submission presented data from </w:t>
      </w:r>
      <w:r w:rsidR="00463BEE">
        <w:rPr>
          <w:lang w:val="en-GB"/>
        </w:rPr>
        <w:t xml:space="preserve">an </w:t>
      </w:r>
      <w:r w:rsidRPr="009A2184">
        <w:t>open-label head-to-head randomised trial (EXTREME; N=442) comparing cetuximab in addition to cisplatin or carboplatin and 5-flurouracil versus cisplatin or carboplatin and 5-flurouracil</w:t>
      </w:r>
      <w:r w:rsidRPr="009A2184">
        <w:rPr>
          <w:lang w:val="en-GB"/>
        </w:rPr>
        <w:t xml:space="preserve">. However, the submission’s requested listing relied on post hoc analyses in a subgroup of patients for whom the primary tumour site of origin was in the oral cavity and with a </w:t>
      </w:r>
      <w:r w:rsidRPr="009A2184">
        <w:t>Karnofsky Performance Status (KPS) ≥80</w:t>
      </w:r>
      <w:r w:rsidR="007913D3" w:rsidRPr="009A2184">
        <w:t xml:space="preserve"> (equivalent to WH</w:t>
      </w:r>
      <w:r w:rsidR="00463BEE">
        <w:t>O performance status of 0 or 1)</w:t>
      </w:r>
      <w:r w:rsidRPr="009A2184">
        <w:t xml:space="preserve"> at baseline (N = </w:t>
      </w:r>
      <w:r w:rsidR="00E9019D">
        <w:rPr>
          <w:noProof/>
          <w:color w:val="000000"/>
          <w:highlight w:val="black"/>
        </w:rPr>
        <w:t>'''''</w:t>
      </w:r>
      <w:r w:rsidRPr="009A2184">
        <w:t>). The submission did not present adequate justification for the selection of this subgroup. The Pre-Sub-Committee Response then presented a range of arguments to suggest that there was a biologically plausible explanation to support the claim that patients with SCC of the oral cavity were more likely to respond to cetuximab therapy. The PBAC considered this response, and the advice of the ESC, and viewed that the evidence to support this claim remained unclear. The Pre-PBAC Response then presented a formal test of interaction for a subgroup treatment effect between the proposed PBS population and its complement subgroup, which suggested that the treatment effect is different in the subgroup relative to the larger population from which this pa</w:t>
      </w:r>
      <w:r w:rsidR="007913D3" w:rsidRPr="009A2184">
        <w:t>rticular subgroup was selected. While statistically correct, t</w:t>
      </w:r>
      <w:r w:rsidRPr="009A2184">
        <w:t>he PBAC viewed that this additional information could not address its overall concern</w:t>
      </w:r>
      <w:r w:rsidR="00002141">
        <w:t xml:space="preserve"> </w:t>
      </w:r>
      <w:r w:rsidRPr="009A2184">
        <w:t xml:space="preserve">that the difference in median overall survival between the ITT population and post hoc subgroup may be driven by the poor </w:t>
      </w:r>
      <w:r w:rsidR="00514846">
        <w:t>survival</w:t>
      </w:r>
      <w:r w:rsidR="00514846" w:rsidRPr="009A2184">
        <w:t xml:space="preserve"> </w:t>
      </w:r>
      <w:r w:rsidRPr="009A2184">
        <w:t xml:space="preserve">of the </w:t>
      </w:r>
      <w:r w:rsidR="00514846">
        <w:t xml:space="preserve">small number of patients in the </w:t>
      </w:r>
      <w:r w:rsidRPr="009A2184">
        <w:t>control arm subgroup. The PBAC considered that the prognostic differences in the control arm could represent the influence of selection bias</w:t>
      </w:r>
      <w:r w:rsidR="007913D3" w:rsidRPr="009A2184">
        <w:t xml:space="preserve"> or confounding variable</w:t>
      </w:r>
      <w:r w:rsidR="003950A6">
        <w:t xml:space="preserve">s, </w:t>
      </w:r>
      <w:r w:rsidRPr="009A2184">
        <w:t xml:space="preserve">but that the submission and subsequent responses had not provided evidence to account for this issue. </w:t>
      </w:r>
      <w:r w:rsidR="003950A6">
        <w:t xml:space="preserve">Overall, the PBAC considered that the sponsors request to limit cetuximab use to the subgroup was not supported and that ITT analysis of the trial was more informative for determining the clinical benefit of cetuximab. </w:t>
      </w:r>
    </w:p>
    <w:p w:rsidR="00631E91" w:rsidRPr="0072149A" w:rsidRDefault="00631E91" w:rsidP="00631E91">
      <w:pPr>
        <w:rPr>
          <w:szCs w:val="22"/>
          <w:lang w:val="en-GB"/>
        </w:rPr>
      </w:pPr>
    </w:p>
    <w:p w:rsidR="00631E91" w:rsidRPr="00134095" w:rsidRDefault="00631E91" w:rsidP="00B15815">
      <w:pPr>
        <w:pStyle w:val="ListParagraph"/>
        <w:numPr>
          <w:ilvl w:val="1"/>
          <w:numId w:val="3"/>
        </w:numPr>
        <w:rPr>
          <w:lang w:val="en-GB"/>
        </w:rPr>
      </w:pPr>
      <w:r w:rsidRPr="00134095">
        <w:t>The PBAC considered that the claim</w:t>
      </w:r>
      <w:r w:rsidR="00D71BAA">
        <w:t xml:space="preserve"> of</w:t>
      </w:r>
      <w:r w:rsidRPr="00134095">
        <w:t xml:space="preserve">superior comparative effectiveness was reasonable </w:t>
      </w:r>
      <w:r w:rsidRPr="00134095">
        <w:rPr>
          <w:iCs/>
        </w:rPr>
        <w:t>for the overall ITT population with respect to overall survival, progression-free survival and response rates</w:t>
      </w:r>
      <w:r w:rsidRPr="00134095">
        <w:t>, although the magnitude of the benefit</w:t>
      </w:r>
      <w:r w:rsidR="0084573E">
        <w:t xml:space="preserve"> (such as a median survival of 2.7 months)</w:t>
      </w:r>
      <w:r w:rsidRPr="00134095">
        <w:t xml:space="preserve"> was small. While the PBAC considered that a benefit was also observed among the subgroup of patients with oral cavity cancers, it did not consider that the claim of an additional benefit</w:t>
      </w:r>
      <w:r w:rsidR="00315E9F">
        <w:t xml:space="preserve"> of cetuximab treatment</w:t>
      </w:r>
      <w:r w:rsidRPr="00134095">
        <w:t xml:space="preserve"> in this population </w:t>
      </w:r>
      <w:r w:rsidR="00134095">
        <w:t xml:space="preserve">over the ITT population </w:t>
      </w:r>
      <w:r w:rsidRPr="00134095">
        <w:t>was adequately supported.</w:t>
      </w:r>
    </w:p>
    <w:p w:rsidR="00631E91" w:rsidRPr="00D7292D" w:rsidRDefault="00631E91" w:rsidP="00631E91">
      <w:pPr>
        <w:pStyle w:val="ListParagraph"/>
        <w:rPr>
          <w:szCs w:val="22"/>
          <w:lang w:val="en-GB"/>
        </w:rPr>
      </w:pPr>
    </w:p>
    <w:p w:rsidR="00631E91" w:rsidRPr="00134095" w:rsidRDefault="00631E91" w:rsidP="00B15815">
      <w:pPr>
        <w:pStyle w:val="ListParagraph"/>
        <w:numPr>
          <w:ilvl w:val="1"/>
          <w:numId w:val="3"/>
        </w:numPr>
        <w:rPr>
          <w:b/>
          <w:szCs w:val="22"/>
          <w:u w:val="single"/>
          <w:lang w:val="en-GB"/>
        </w:rPr>
      </w:pPr>
      <w:r>
        <w:lastRenderedPageBreak/>
        <w:t xml:space="preserve">The submission made no comparative safety claim. </w:t>
      </w:r>
      <w:r w:rsidRPr="00447958">
        <w:t xml:space="preserve">The PBAC considered that the addition of cetuximab to platinum-based chemotherapy is inferior to platinum-based chemotherapy alone in terms of comparative safety for the ITT population. The PBAC also considered it reasonable to assume inferiority in terms of comparative safety in the post hoc subgroup. However, the PBAC noted that the skin toxicities associated with cetuximab are widely known and well-managed in practice. </w:t>
      </w:r>
    </w:p>
    <w:p w:rsidR="00044A4C" w:rsidRDefault="00044A4C" w:rsidP="00631E91">
      <w:pPr>
        <w:pStyle w:val="ListParagraph"/>
        <w:widowControl/>
        <w:jc w:val="left"/>
      </w:pPr>
    </w:p>
    <w:p w:rsidR="00631E91" w:rsidRPr="00C10121" w:rsidRDefault="00044A4C" w:rsidP="00B15815">
      <w:pPr>
        <w:pStyle w:val="ListParagraph"/>
        <w:numPr>
          <w:ilvl w:val="1"/>
          <w:numId w:val="3"/>
        </w:numPr>
        <w:rPr>
          <w:b/>
          <w:szCs w:val="22"/>
          <w:u w:val="single"/>
          <w:lang w:val="en-GB"/>
        </w:rPr>
      </w:pPr>
      <w:r w:rsidRPr="00D7736A">
        <w:t xml:space="preserve">In addition, the PBAC considered it </w:t>
      </w:r>
      <w:r w:rsidR="00514846">
        <w:t>would be helpful if additional</w:t>
      </w:r>
      <w:r>
        <w:t xml:space="preserve"> </w:t>
      </w:r>
      <w:r w:rsidRPr="00D7736A">
        <w:t xml:space="preserve">evidence </w:t>
      </w:r>
      <w:r w:rsidR="00514846" w:rsidRPr="00D7736A">
        <w:t>corroborat</w:t>
      </w:r>
      <w:r w:rsidR="00514846">
        <w:t>ing</w:t>
      </w:r>
      <w:r w:rsidR="00514846" w:rsidRPr="00D7736A">
        <w:t xml:space="preserve"> </w:t>
      </w:r>
      <w:r w:rsidRPr="00D7736A">
        <w:t xml:space="preserve">the benefit of </w:t>
      </w:r>
      <w:r w:rsidR="00BA3834">
        <w:t>anti-</w:t>
      </w:r>
      <w:r w:rsidRPr="00D7736A">
        <w:t xml:space="preserve">EGFR </w:t>
      </w:r>
      <w:r w:rsidR="00BA3834">
        <w:t>antibodies</w:t>
      </w:r>
      <w:r w:rsidR="00BA3834" w:rsidRPr="00D7736A">
        <w:t xml:space="preserve"> </w:t>
      </w:r>
      <w:r w:rsidRPr="00D7736A">
        <w:t>in the setting of metastatic and/or recurrent SCC of the head and neck</w:t>
      </w:r>
      <w:r w:rsidR="00514846">
        <w:t xml:space="preserve"> could be identified.</w:t>
      </w:r>
      <w:r w:rsidRPr="00D7736A">
        <w:t xml:space="preserve"> </w:t>
      </w:r>
      <w:r w:rsidR="00822054">
        <w:t xml:space="preserve">The PBAC noted the results of the </w:t>
      </w:r>
      <w:r w:rsidR="00822054" w:rsidRPr="00822054">
        <w:t>SPECTRUM</w:t>
      </w:r>
      <w:r w:rsidR="00822054">
        <w:t xml:space="preserve"> trial of c</w:t>
      </w:r>
      <w:r w:rsidR="00822054" w:rsidRPr="00822054">
        <w:t>isplatin a</w:t>
      </w:r>
      <w:r w:rsidR="00C10121">
        <w:t xml:space="preserve">nd fluorouracil with or without </w:t>
      </w:r>
      <w:r w:rsidR="00822054" w:rsidRPr="00822054">
        <w:t>panitumumab</w:t>
      </w:r>
      <w:r w:rsidR="00C10121">
        <w:t xml:space="preserve"> </w:t>
      </w:r>
      <w:r w:rsidR="00822054" w:rsidRPr="00822054">
        <w:t xml:space="preserve">in patients with recurrent or metastatic </w:t>
      </w:r>
      <w:r w:rsidR="00002141">
        <w:t>SCC</w:t>
      </w:r>
      <w:r w:rsidR="00822054" w:rsidRPr="00822054">
        <w:t xml:space="preserve"> of the</w:t>
      </w:r>
      <w:r w:rsidR="00C10121">
        <w:t xml:space="preserve"> </w:t>
      </w:r>
      <w:r w:rsidR="00822054" w:rsidRPr="00822054">
        <w:t>head</w:t>
      </w:r>
      <w:r w:rsidR="00C10121">
        <w:t xml:space="preserve"> </w:t>
      </w:r>
      <w:r w:rsidR="00822054" w:rsidRPr="004720A9">
        <w:t>and</w:t>
      </w:r>
      <w:r w:rsidR="00C10121">
        <w:t xml:space="preserve"> </w:t>
      </w:r>
      <w:r w:rsidR="00822054" w:rsidRPr="004720A9">
        <w:t>neck</w:t>
      </w:r>
      <w:r w:rsidR="004720A9">
        <w:t>. The publication</w:t>
      </w:r>
      <w:r w:rsidR="00822054" w:rsidRPr="004720A9">
        <w:t xml:space="preserve"> (</w:t>
      </w:r>
      <w:r w:rsidR="004720A9" w:rsidRPr="004720A9">
        <w:t>Vermorken</w:t>
      </w:r>
      <w:r w:rsidR="004720A9">
        <w:t xml:space="preserve"> et al, Lancet Oncol. 2013.</w:t>
      </w:r>
      <w:r w:rsidR="004720A9" w:rsidRPr="004720A9">
        <w:t>14(8):697-710</w:t>
      </w:r>
      <w:r w:rsidR="004720A9">
        <w:t>)</w:t>
      </w:r>
      <w:r w:rsidR="004720A9" w:rsidRPr="004720A9">
        <w:t xml:space="preserve"> </w:t>
      </w:r>
      <w:r w:rsidR="004720A9">
        <w:t>concluded</w:t>
      </w:r>
      <w:r w:rsidR="00C10121">
        <w:t>,</w:t>
      </w:r>
      <w:r w:rsidR="004720A9">
        <w:t xml:space="preserve"> ‘</w:t>
      </w:r>
      <w:r w:rsidR="004720A9" w:rsidRPr="004720A9">
        <w:t>Although the addition of panitumumab to chemotherapy did not improve overall survival in an unselected population of patients with recurrent or metastatic SCCHN, it improved progression-free survival and had an acceptable toxicity profile</w:t>
      </w:r>
      <w:r w:rsidR="004720A9">
        <w:t>.’</w:t>
      </w:r>
      <w:r w:rsidR="00822054">
        <w:t xml:space="preserve"> </w:t>
      </w:r>
      <w:r w:rsidRPr="00D7736A">
        <w:t xml:space="preserve">In this context, the PBAC concluded that any future resubmission for cetuximab use in recurrent or metastatic SCC of the head and neck should </w:t>
      </w:r>
      <w:r w:rsidR="004720A9">
        <w:t>consider</w:t>
      </w:r>
      <w:r w:rsidRPr="00D7736A">
        <w:t xml:space="preserve"> </w:t>
      </w:r>
      <w:r w:rsidR="009F5A58" w:rsidRPr="00D7736A">
        <w:t>situating</w:t>
      </w:r>
      <w:r w:rsidRPr="00D7736A">
        <w:t xml:space="preserve"> its clinical claim within the wider scientific literature on </w:t>
      </w:r>
      <w:r w:rsidR="00BA3834">
        <w:t>anti-</w:t>
      </w:r>
      <w:r w:rsidRPr="00D7736A">
        <w:t xml:space="preserve">EGFR </w:t>
      </w:r>
      <w:r w:rsidR="00BA3834">
        <w:t>antibodies</w:t>
      </w:r>
      <w:r w:rsidR="00BA3834" w:rsidRPr="00D7736A">
        <w:t xml:space="preserve"> </w:t>
      </w:r>
      <w:r w:rsidRPr="00D7736A">
        <w:t>in this setting.</w:t>
      </w:r>
    </w:p>
    <w:p w:rsidR="00C10121" w:rsidRPr="00C10121" w:rsidRDefault="00C10121" w:rsidP="00C10121">
      <w:pPr>
        <w:rPr>
          <w:b/>
          <w:szCs w:val="22"/>
          <w:u w:val="single"/>
          <w:lang w:val="en-GB"/>
        </w:rPr>
      </w:pPr>
    </w:p>
    <w:p w:rsidR="00631E91" w:rsidRPr="00A631C9" w:rsidRDefault="00631E91" w:rsidP="00B15815">
      <w:pPr>
        <w:pStyle w:val="ListParagraph"/>
        <w:numPr>
          <w:ilvl w:val="1"/>
          <w:numId w:val="3"/>
        </w:numPr>
        <w:rPr>
          <w:szCs w:val="22"/>
          <w:lang w:val="en-GB"/>
        </w:rPr>
      </w:pPr>
      <w:r>
        <w:rPr>
          <w:szCs w:val="22"/>
          <w:lang w:val="en-GB"/>
        </w:rPr>
        <w:t>In its consideration of the economic analysis presented in the submission, the PBAC noted that the acceptability of the outputs of the economic model fundamentally relied on the suitability of the post hoc subgroup selection. The PBAC concerns with the selection of this subgroup therefore made the economic evaluation problematic. In addition to the clinical uncertainty, the PBAC also noted a number of other uncertainties in the model which favoured cetuximab including the</w:t>
      </w:r>
      <w:r w:rsidR="008B5F68">
        <w:rPr>
          <w:szCs w:val="22"/>
          <w:lang w:val="en-GB"/>
        </w:rPr>
        <w:t xml:space="preserve"> choice of extrapolation method, </w:t>
      </w:r>
      <w:r>
        <w:rPr>
          <w:szCs w:val="22"/>
          <w:lang w:val="en-GB"/>
        </w:rPr>
        <w:t>the subgroup extrapolation in the context of limited data</w:t>
      </w:r>
      <w:r w:rsidR="008B5F68">
        <w:rPr>
          <w:szCs w:val="22"/>
          <w:lang w:val="en-GB"/>
        </w:rPr>
        <w:t>, the source of the utility values, an optimistic time horizon and drug administration</w:t>
      </w:r>
      <w:r w:rsidR="001B65A0">
        <w:rPr>
          <w:szCs w:val="22"/>
          <w:lang w:val="en-GB"/>
        </w:rPr>
        <w:t xml:space="preserve"> costs</w:t>
      </w:r>
      <w:r>
        <w:rPr>
          <w:szCs w:val="22"/>
          <w:lang w:val="en-GB"/>
        </w:rPr>
        <w:t xml:space="preserve">. </w:t>
      </w:r>
    </w:p>
    <w:p w:rsidR="00631E91" w:rsidRDefault="00631E91" w:rsidP="00631E91">
      <w:pPr>
        <w:pStyle w:val="ListParagraph"/>
        <w:rPr>
          <w:szCs w:val="22"/>
          <w:lang w:val="en-GB"/>
        </w:rPr>
      </w:pPr>
    </w:p>
    <w:p w:rsidR="00506313" w:rsidRPr="00D203AA" w:rsidRDefault="00453712" w:rsidP="00B15815">
      <w:pPr>
        <w:pStyle w:val="ListParagraph"/>
        <w:numPr>
          <w:ilvl w:val="1"/>
          <w:numId w:val="3"/>
        </w:numPr>
        <w:rPr>
          <w:szCs w:val="22"/>
          <w:lang w:val="en-GB"/>
        </w:rPr>
      </w:pPr>
      <w:r w:rsidRPr="007E31C6">
        <w:rPr>
          <w:iCs/>
        </w:rPr>
        <w:t xml:space="preserve">The </w:t>
      </w:r>
      <w:r w:rsidR="00F40144" w:rsidRPr="007E31C6">
        <w:rPr>
          <w:iCs/>
        </w:rPr>
        <w:t xml:space="preserve">PBAC </w:t>
      </w:r>
      <w:r w:rsidR="007E31C6" w:rsidRPr="007E31C6">
        <w:rPr>
          <w:iCs/>
        </w:rPr>
        <w:t>recalled that the Committee had</w:t>
      </w:r>
      <w:r w:rsidR="00F40144" w:rsidRPr="007E31C6">
        <w:rPr>
          <w:iCs/>
        </w:rPr>
        <w:t xml:space="preserve"> considered a similar methodology of determining administration costs in the July 2015 minor submission for cetuximab (following the November 2014 recommendation for the first-line treatment for metastatic colorectal cancer). At the July 2015 meeting, the Committee decided it would not provide a recommendation in support of an alternative method to determine infusion costs in public and private hospital settings at that point in time. </w:t>
      </w:r>
      <w:r w:rsidR="007E31C6" w:rsidRPr="007E31C6">
        <w:rPr>
          <w:iCs/>
        </w:rPr>
        <w:t>The PBAC noted that a</w:t>
      </w:r>
      <w:r w:rsidR="00F40144" w:rsidRPr="007E31C6">
        <w:rPr>
          <w:iCs/>
        </w:rPr>
        <w:t>pplying drug administration costs as per the November 2014 submission</w:t>
      </w:r>
      <w:r w:rsidR="007E31C6" w:rsidRPr="007E31C6">
        <w:rPr>
          <w:iCs/>
        </w:rPr>
        <w:t xml:space="preserve"> would </w:t>
      </w:r>
      <w:r w:rsidR="00002141" w:rsidRPr="00D203AA">
        <w:rPr>
          <w:iCs/>
        </w:rPr>
        <w:t xml:space="preserve">increase </w:t>
      </w:r>
      <w:r w:rsidR="007E31C6" w:rsidRPr="00D203AA">
        <w:rPr>
          <w:iCs/>
        </w:rPr>
        <w:t>the</w:t>
      </w:r>
      <w:r w:rsidR="00F40144" w:rsidRPr="00D203AA">
        <w:rPr>
          <w:iCs/>
        </w:rPr>
        <w:t xml:space="preserve"> ICER/QALY </w:t>
      </w:r>
      <w:r w:rsidR="007E31C6" w:rsidRPr="00D203AA">
        <w:rPr>
          <w:iCs/>
        </w:rPr>
        <w:t>compared to the base case scenarios presented in the submission.</w:t>
      </w:r>
    </w:p>
    <w:p w:rsidR="007E31C6" w:rsidRPr="00D203AA" w:rsidRDefault="007E31C6" w:rsidP="007E31C6">
      <w:pPr>
        <w:pStyle w:val="ListParagraph"/>
        <w:rPr>
          <w:szCs w:val="22"/>
          <w:lang w:val="en-GB"/>
        </w:rPr>
      </w:pPr>
    </w:p>
    <w:p w:rsidR="007E31C6" w:rsidRPr="00D203AA" w:rsidRDefault="007E31C6" w:rsidP="00B15815">
      <w:pPr>
        <w:pStyle w:val="ListParagraph"/>
        <w:numPr>
          <w:ilvl w:val="1"/>
          <w:numId w:val="3"/>
        </w:numPr>
        <w:rPr>
          <w:szCs w:val="22"/>
          <w:lang w:val="en-GB"/>
        </w:rPr>
      </w:pPr>
      <w:r w:rsidRPr="00D203AA">
        <w:rPr>
          <w:szCs w:val="22"/>
          <w:lang w:val="en-GB"/>
        </w:rPr>
        <w:t>T</w:t>
      </w:r>
      <w:r w:rsidR="00D203AA" w:rsidRPr="00D203AA">
        <w:rPr>
          <w:szCs w:val="22"/>
          <w:lang w:val="en-GB"/>
        </w:rPr>
        <w:t>he PBAC noted that the ICER</w:t>
      </w:r>
      <w:r w:rsidRPr="00D203AA">
        <w:rPr>
          <w:szCs w:val="22"/>
          <w:lang w:val="en-GB"/>
        </w:rPr>
        <w:t xml:space="preserve"> for the ITT population</w:t>
      </w:r>
      <w:r w:rsidR="00D203AA" w:rsidRPr="00D203AA">
        <w:rPr>
          <w:szCs w:val="22"/>
          <w:lang w:val="en-GB"/>
        </w:rPr>
        <w:t xml:space="preserve">, calculated during evaluation as </w:t>
      </w:r>
      <w:r w:rsidR="00990113">
        <w:rPr>
          <w:szCs w:val="22"/>
          <w:lang w:val="en-GB"/>
        </w:rPr>
        <w:t>$105,000/QALY - $200,000/QALY</w:t>
      </w:r>
      <w:r w:rsidR="00D203AA" w:rsidRPr="00D203AA">
        <w:rPr>
          <w:szCs w:val="22"/>
          <w:lang w:val="en-GB"/>
        </w:rPr>
        <w:t>, was greater than the base case ICER</w:t>
      </w:r>
      <w:r w:rsidRPr="00D203AA">
        <w:rPr>
          <w:szCs w:val="22"/>
          <w:lang w:val="en-GB"/>
        </w:rPr>
        <w:t xml:space="preserve"> for the subgroup</w:t>
      </w:r>
      <w:r w:rsidR="00D203AA" w:rsidRPr="00D203AA">
        <w:rPr>
          <w:szCs w:val="22"/>
          <w:lang w:val="en-GB"/>
        </w:rPr>
        <w:t xml:space="preserve"> presented in the submission (</w:t>
      </w:r>
      <w:r w:rsidR="00990113">
        <w:rPr>
          <w:szCs w:val="22"/>
          <w:lang w:val="en-GB"/>
        </w:rPr>
        <w:t>$45,000/QALY - $75,000/QALY</w:t>
      </w:r>
      <w:r w:rsidR="00D203AA" w:rsidRPr="00D203AA">
        <w:rPr>
          <w:szCs w:val="22"/>
          <w:lang w:val="en-GB"/>
        </w:rPr>
        <w:t>)</w:t>
      </w:r>
      <w:r w:rsidRPr="00D203AA">
        <w:rPr>
          <w:szCs w:val="22"/>
          <w:lang w:val="en-GB"/>
        </w:rPr>
        <w:t xml:space="preserve">. The PBAC considered that applying less optimistic assumptions to the model would likely increase the ICER for the subgroup from </w:t>
      </w:r>
      <w:r w:rsidR="008F3847">
        <w:rPr>
          <w:szCs w:val="22"/>
          <w:lang w:val="en-GB"/>
        </w:rPr>
        <w:t xml:space="preserve">$45,000/QALY - $75,000/QALY </w:t>
      </w:r>
      <w:r w:rsidRPr="00D203AA">
        <w:rPr>
          <w:szCs w:val="22"/>
          <w:lang w:val="en-GB"/>
        </w:rPr>
        <w:t>(as proposed in the Pre-PBAC response) to a value</w:t>
      </w:r>
      <w:r w:rsidR="00F9786C" w:rsidRPr="00D203AA">
        <w:rPr>
          <w:szCs w:val="22"/>
          <w:lang w:val="en-GB"/>
        </w:rPr>
        <w:t xml:space="preserve"> that</w:t>
      </w:r>
      <w:r w:rsidRPr="00D203AA">
        <w:rPr>
          <w:szCs w:val="22"/>
          <w:lang w:val="en-GB"/>
        </w:rPr>
        <w:t xml:space="preserve"> the PBAC considered was </w:t>
      </w:r>
      <w:r w:rsidR="00F9786C" w:rsidRPr="00D203AA">
        <w:rPr>
          <w:szCs w:val="22"/>
          <w:lang w:val="en-GB"/>
        </w:rPr>
        <w:t xml:space="preserve">unacceptably high for this condition. </w:t>
      </w:r>
    </w:p>
    <w:p w:rsidR="007E31C6" w:rsidRPr="00D203AA" w:rsidRDefault="007E31C6" w:rsidP="00631E91">
      <w:pPr>
        <w:pStyle w:val="ListParagraph"/>
        <w:rPr>
          <w:szCs w:val="22"/>
          <w:lang w:val="en-GB"/>
        </w:rPr>
      </w:pPr>
    </w:p>
    <w:p w:rsidR="00631E91" w:rsidRDefault="00631E91" w:rsidP="00B15815">
      <w:pPr>
        <w:pStyle w:val="ListParagraph"/>
        <w:numPr>
          <w:ilvl w:val="1"/>
          <w:numId w:val="3"/>
        </w:numPr>
        <w:rPr>
          <w:szCs w:val="22"/>
          <w:lang w:val="en-GB"/>
        </w:rPr>
      </w:pPr>
      <w:r>
        <w:rPr>
          <w:szCs w:val="22"/>
          <w:lang w:val="en-GB"/>
        </w:rPr>
        <w:t xml:space="preserve">In view of the clinical uncertainty, the PBAC agreed that there was a high potential for usage outside the proposed subgroup population. The PBAC noted that the Pre-PBAC Response presented additional sensitivity analyses to allow for a </w:t>
      </w:r>
      <w:r w:rsidR="00E9019D">
        <w:rPr>
          <w:noProof/>
          <w:color w:val="000000"/>
          <w:szCs w:val="22"/>
          <w:highlight w:val="black"/>
          <w:lang w:val="en-GB"/>
        </w:rPr>
        <w:t>'''''''</w:t>
      </w:r>
      <w:r>
        <w:rPr>
          <w:szCs w:val="22"/>
          <w:lang w:val="en-GB"/>
        </w:rPr>
        <w:t xml:space="preserve">% leakage, a 5% statutory price reduction from year 1, and cost of treatment rebated by the sponsor beyond </w:t>
      </w:r>
      <w:r w:rsidR="00E9019D">
        <w:rPr>
          <w:noProof/>
          <w:color w:val="000000"/>
          <w:szCs w:val="22"/>
          <w:highlight w:val="black"/>
          <w:lang w:val="en-GB"/>
        </w:rPr>
        <w:t>'''''''</w:t>
      </w:r>
      <w:r>
        <w:rPr>
          <w:szCs w:val="22"/>
          <w:lang w:val="en-GB"/>
        </w:rPr>
        <w:t xml:space="preserve"> weeks (as per initial proposed RSA) or beyond </w:t>
      </w:r>
      <w:r w:rsidR="00E9019D">
        <w:rPr>
          <w:noProof/>
          <w:color w:val="000000"/>
          <w:szCs w:val="22"/>
          <w:highlight w:val="black"/>
          <w:lang w:val="en-GB"/>
        </w:rPr>
        <w:t>''''''</w:t>
      </w:r>
      <w:r>
        <w:rPr>
          <w:szCs w:val="22"/>
          <w:lang w:val="en-GB"/>
        </w:rPr>
        <w:t xml:space="preserve"> weeks (a </w:t>
      </w:r>
      <w:r>
        <w:rPr>
          <w:szCs w:val="22"/>
          <w:lang w:val="en-GB"/>
        </w:rPr>
        <w:lastRenderedPageBreak/>
        <w:t xml:space="preserve">revised proposed RSA). The PBAC also noted the revised updated net costs to Government allowing for </w:t>
      </w:r>
      <w:r w:rsidR="00E9019D">
        <w:rPr>
          <w:noProof/>
          <w:color w:val="000000"/>
          <w:szCs w:val="22"/>
          <w:highlight w:val="black"/>
          <w:lang w:val="en-GB"/>
        </w:rPr>
        <w:t>''''''</w:t>
      </w:r>
      <w:r>
        <w:rPr>
          <w:szCs w:val="22"/>
          <w:lang w:val="en-GB"/>
        </w:rPr>
        <w:t xml:space="preserve">% leakage, 5% statutory price reduction from year 1 and cost of treatment rebated beyond </w:t>
      </w:r>
      <w:r w:rsidR="00E9019D">
        <w:rPr>
          <w:noProof/>
          <w:color w:val="000000"/>
          <w:szCs w:val="22"/>
          <w:highlight w:val="black"/>
          <w:lang w:val="en-GB"/>
        </w:rPr>
        <w:t>''''''</w:t>
      </w:r>
      <w:r>
        <w:rPr>
          <w:szCs w:val="22"/>
          <w:lang w:val="en-GB"/>
        </w:rPr>
        <w:t xml:space="preserve"> weeks. Several of these revised figures </w:t>
      </w:r>
      <w:r w:rsidR="007913D3">
        <w:rPr>
          <w:szCs w:val="22"/>
          <w:lang w:val="en-GB"/>
        </w:rPr>
        <w:t>could not be verified before the meeting</w:t>
      </w:r>
      <w:r>
        <w:rPr>
          <w:szCs w:val="22"/>
          <w:lang w:val="en-GB"/>
        </w:rPr>
        <w:t xml:space="preserve"> using the available data in the submission and Pre-PBAC Response. Regardless, the PBAC considered the reduction in the treatment cap to </w:t>
      </w:r>
      <w:r w:rsidR="00E9019D">
        <w:rPr>
          <w:noProof/>
          <w:color w:val="000000"/>
          <w:szCs w:val="22"/>
          <w:highlight w:val="black"/>
          <w:lang w:val="en-GB"/>
        </w:rPr>
        <w:t>'''''''</w:t>
      </w:r>
      <w:r>
        <w:rPr>
          <w:szCs w:val="22"/>
          <w:lang w:val="en-GB"/>
        </w:rPr>
        <w:t xml:space="preserve"> weeks was of small consequence in view of the trial data, which showed that </w:t>
      </w:r>
      <w:r w:rsidRPr="003061D1">
        <w:rPr>
          <w:szCs w:val="22"/>
          <w:lang w:val="en-GB"/>
        </w:rPr>
        <w:t>7</w:t>
      </w:r>
      <w:r>
        <w:rPr>
          <w:szCs w:val="22"/>
          <w:lang w:val="en-GB"/>
        </w:rPr>
        <w:t xml:space="preserve">% (3/43) of the post hoc subgroup reported use beyond </w:t>
      </w:r>
      <w:r w:rsidRPr="003061D1">
        <w:rPr>
          <w:szCs w:val="22"/>
          <w:lang w:val="en-GB"/>
        </w:rPr>
        <w:t>70</w:t>
      </w:r>
      <w:r>
        <w:rPr>
          <w:szCs w:val="22"/>
          <w:lang w:val="en-GB"/>
        </w:rPr>
        <w:t xml:space="preserve"> infusions, and that </w:t>
      </w:r>
      <w:r w:rsidRPr="003061D1">
        <w:rPr>
          <w:szCs w:val="22"/>
          <w:lang w:val="en-GB"/>
        </w:rPr>
        <w:t>6.4</w:t>
      </w:r>
      <w:r>
        <w:rPr>
          <w:szCs w:val="22"/>
          <w:lang w:val="en-GB"/>
        </w:rPr>
        <w:t xml:space="preserve">% (14/219) of the ITT population received more than </w:t>
      </w:r>
      <w:r w:rsidRPr="003061D1">
        <w:rPr>
          <w:szCs w:val="22"/>
          <w:lang w:val="en-GB"/>
        </w:rPr>
        <w:t>50</w:t>
      </w:r>
      <w:r>
        <w:rPr>
          <w:szCs w:val="22"/>
          <w:lang w:val="en-GB"/>
        </w:rPr>
        <w:t xml:space="preserve"> infusions. Furthermore, the PBAC noted that the revised figures</w:t>
      </w:r>
      <w:r w:rsidR="000F0630">
        <w:rPr>
          <w:szCs w:val="22"/>
          <w:lang w:val="en-GB"/>
        </w:rPr>
        <w:t xml:space="preserve"> likely</w:t>
      </w:r>
      <w:r>
        <w:rPr>
          <w:szCs w:val="22"/>
          <w:lang w:val="en-GB"/>
        </w:rPr>
        <w:t xml:space="preserve"> included a reduction in drug administration costs beyond </w:t>
      </w:r>
      <w:r w:rsidR="00E9019D">
        <w:rPr>
          <w:noProof/>
          <w:color w:val="000000"/>
          <w:szCs w:val="22"/>
          <w:highlight w:val="black"/>
          <w:lang w:val="en-GB"/>
        </w:rPr>
        <w:t>''''''</w:t>
      </w:r>
      <w:r>
        <w:rPr>
          <w:szCs w:val="22"/>
          <w:lang w:val="en-GB"/>
        </w:rPr>
        <w:t xml:space="preserve"> (or </w:t>
      </w:r>
      <w:r w:rsidR="00E9019D">
        <w:rPr>
          <w:noProof/>
          <w:color w:val="000000"/>
          <w:szCs w:val="22"/>
          <w:highlight w:val="black"/>
          <w:lang w:val="en-GB"/>
        </w:rPr>
        <w:t>''''''</w:t>
      </w:r>
      <w:r>
        <w:rPr>
          <w:szCs w:val="22"/>
          <w:lang w:val="en-GB"/>
        </w:rPr>
        <w:t xml:space="preserve"> weeks), which the sponsor had not indicated it would rebate. In this respect, the PBAC considered that the revised figures likely underestimated the utilisation and costs to Government. </w:t>
      </w:r>
    </w:p>
    <w:p w:rsidR="000F55E2" w:rsidRDefault="000F55E2" w:rsidP="008D2C5A">
      <w:pPr>
        <w:rPr>
          <w:lang w:val="en-GB"/>
        </w:rPr>
      </w:pPr>
    </w:p>
    <w:p w:rsidR="00412E51" w:rsidRDefault="00412E51" w:rsidP="00B15815">
      <w:pPr>
        <w:pStyle w:val="ListParagraph"/>
        <w:numPr>
          <w:ilvl w:val="1"/>
          <w:numId w:val="3"/>
        </w:numPr>
        <w:rPr>
          <w:szCs w:val="22"/>
          <w:lang w:val="en-GB"/>
        </w:rPr>
      </w:pPr>
      <w:r>
        <w:rPr>
          <w:szCs w:val="22"/>
          <w:lang w:val="en-GB"/>
        </w:rPr>
        <w:t xml:space="preserve">The PBAC </w:t>
      </w:r>
      <w:r w:rsidR="000F55E2">
        <w:rPr>
          <w:szCs w:val="22"/>
          <w:lang w:val="en-GB"/>
        </w:rPr>
        <w:t xml:space="preserve">noted that the number of patients would have to be re-estimated if a listing for cetuximab is sought in a broader population that aligns with the ITT population of the trial. </w:t>
      </w:r>
    </w:p>
    <w:p w:rsidR="00B66E78" w:rsidRDefault="00B66E78" w:rsidP="00631E91">
      <w:pPr>
        <w:pStyle w:val="ListParagraph"/>
        <w:rPr>
          <w:szCs w:val="22"/>
          <w:lang w:val="en-GB"/>
        </w:rPr>
      </w:pPr>
    </w:p>
    <w:p w:rsidR="00B66E78" w:rsidRPr="008C1FDF" w:rsidRDefault="00155568" w:rsidP="00B15815">
      <w:pPr>
        <w:pStyle w:val="ListParagraph"/>
        <w:numPr>
          <w:ilvl w:val="1"/>
          <w:numId w:val="3"/>
        </w:numPr>
        <w:rPr>
          <w:szCs w:val="22"/>
          <w:lang w:val="en-GB"/>
        </w:rPr>
      </w:pPr>
      <w:r w:rsidRPr="00155568">
        <w:rPr>
          <w:szCs w:val="22"/>
          <w:lang w:val="en-GB"/>
        </w:rPr>
        <w:t>The PBAC considered that a major resubmission would be required to request further</w:t>
      </w:r>
      <w:r w:rsidR="008C1FDF">
        <w:rPr>
          <w:szCs w:val="22"/>
          <w:lang w:val="en-GB"/>
        </w:rPr>
        <w:t xml:space="preserve"> </w:t>
      </w:r>
      <w:r w:rsidRPr="008C1FDF">
        <w:rPr>
          <w:szCs w:val="22"/>
          <w:lang w:val="en-GB"/>
        </w:rPr>
        <w:t xml:space="preserve">consideration of recommending listing of cetuximab for </w:t>
      </w:r>
      <w:r w:rsidR="008C1FDF">
        <w:rPr>
          <w:szCs w:val="22"/>
          <w:lang w:val="en-GB"/>
        </w:rPr>
        <w:t>this condition</w:t>
      </w:r>
      <w:r w:rsidRPr="008C1FDF">
        <w:rPr>
          <w:szCs w:val="22"/>
          <w:lang w:val="en-GB"/>
        </w:rPr>
        <w:t xml:space="preserve">. The PBAC further considered that the resubmission should </w:t>
      </w:r>
      <w:r w:rsidR="008C1FDF" w:rsidRPr="008C1FDF">
        <w:rPr>
          <w:szCs w:val="22"/>
          <w:lang w:val="en-GB"/>
        </w:rPr>
        <w:t>define a patient</w:t>
      </w:r>
      <w:r w:rsidR="008C1FDF">
        <w:rPr>
          <w:szCs w:val="22"/>
          <w:lang w:val="en-GB"/>
        </w:rPr>
        <w:t xml:space="preserve"> </w:t>
      </w:r>
      <w:r w:rsidR="008C1FDF" w:rsidRPr="008C1FDF">
        <w:rPr>
          <w:szCs w:val="22"/>
          <w:lang w:val="en-GB"/>
        </w:rPr>
        <w:t xml:space="preserve">population </w:t>
      </w:r>
      <w:r w:rsidR="008C1FDF">
        <w:rPr>
          <w:szCs w:val="22"/>
          <w:lang w:val="en-GB"/>
        </w:rPr>
        <w:t>that more closely aligns with the TGA-registered indication</w:t>
      </w:r>
      <w:r w:rsidR="00BA3834">
        <w:rPr>
          <w:szCs w:val="22"/>
          <w:lang w:val="en-GB"/>
        </w:rPr>
        <w:t xml:space="preserve"> </w:t>
      </w:r>
      <w:r w:rsidR="00917DEA">
        <w:rPr>
          <w:szCs w:val="22"/>
          <w:lang w:val="en-GB"/>
        </w:rPr>
        <w:t>and</w:t>
      </w:r>
      <w:r w:rsidR="0015684C">
        <w:rPr>
          <w:szCs w:val="22"/>
          <w:lang w:val="en-GB"/>
        </w:rPr>
        <w:t xml:space="preserve"> taking into account the evidence supporting the clinical place of anti-EGFR antibodies in the management of head and neck cancer.</w:t>
      </w:r>
    </w:p>
    <w:p w:rsidR="001A1437" w:rsidRPr="003C3927" w:rsidRDefault="001A1437" w:rsidP="001A1437">
      <w:pPr>
        <w:ind w:left="720"/>
        <w:contextualSpacing/>
        <w:rPr>
          <w:bCs/>
          <w:szCs w:val="22"/>
          <w:highlight w:val="yellow"/>
          <w:lang w:val="en-GB"/>
        </w:rPr>
      </w:pPr>
    </w:p>
    <w:p w:rsidR="001A1437" w:rsidRPr="00BF22B3" w:rsidRDefault="001A1437" w:rsidP="00B15815">
      <w:pPr>
        <w:numPr>
          <w:ilvl w:val="1"/>
          <w:numId w:val="3"/>
        </w:numPr>
        <w:contextualSpacing/>
        <w:rPr>
          <w:b/>
          <w:bCs/>
          <w:szCs w:val="22"/>
          <w:lang w:val="en-GB"/>
        </w:rPr>
      </w:pPr>
      <w:r w:rsidRPr="00BF22B3">
        <w:rPr>
          <w:bCs/>
          <w:szCs w:val="22"/>
          <w:lang w:val="en-GB"/>
        </w:rPr>
        <w:t>The PBA</w:t>
      </w:r>
      <w:r w:rsidR="00BF22B3" w:rsidRPr="00BF22B3">
        <w:rPr>
          <w:bCs/>
          <w:szCs w:val="22"/>
          <w:lang w:val="en-GB"/>
        </w:rPr>
        <w:t>C noted that this submission is</w:t>
      </w:r>
      <w:r w:rsidRPr="00BF22B3">
        <w:rPr>
          <w:bCs/>
          <w:szCs w:val="22"/>
          <w:lang w:val="en-GB"/>
        </w:rPr>
        <w:t xml:space="preserve"> eligible for an Independent Review. </w:t>
      </w:r>
    </w:p>
    <w:p w:rsidR="001A1437" w:rsidRPr="00EA0EDA" w:rsidRDefault="001A1437" w:rsidP="001A1437">
      <w:pPr>
        <w:rPr>
          <w:b/>
          <w:szCs w:val="22"/>
          <w:highlight w:val="yellow"/>
          <w:lang w:val="en-GB"/>
        </w:rPr>
      </w:pPr>
    </w:p>
    <w:p w:rsidR="006F15B7" w:rsidRPr="006F15B7" w:rsidRDefault="001A1437" w:rsidP="001A1437">
      <w:pPr>
        <w:rPr>
          <w:b/>
          <w:bCs/>
          <w:szCs w:val="22"/>
          <w:lang w:val="en-GB"/>
        </w:rPr>
      </w:pPr>
      <w:r w:rsidRPr="006F15B7">
        <w:rPr>
          <w:b/>
          <w:bCs/>
          <w:szCs w:val="22"/>
          <w:lang w:val="en-GB"/>
        </w:rPr>
        <w:t>Outcome:</w:t>
      </w:r>
    </w:p>
    <w:p w:rsidR="001A1437" w:rsidRDefault="006F15B7" w:rsidP="001A1437">
      <w:pPr>
        <w:rPr>
          <w:bCs/>
          <w:szCs w:val="22"/>
          <w:lang w:val="en-GB"/>
        </w:rPr>
      </w:pPr>
      <w:r w:rsidRPr="006F15B7">
        <w:rPr>
          <w:bCs/>
          <w:szCs w:val="22"/>
          <w:lang w:val="en-GB"/>
        </w:rPr>
        <w:t>Rejected</w:t>
      </w:r>
    </w:p>
    <w:p w:rsidR="00B3594C" w:rsidRDefault="00B3594C" w:rsidP="001A1437">
      <w:pPr>
        <w:rPr>
          <w:bCs/>
          <w:szCs w:val="22"/>
          <w:lang w:val="en-GB"/>
        </w:rPr>
      </w:pPr>
    </w:p>
    <w:p w:rsidR="00B3594C" w:rsidRDefault="00B3594C" w:rsidP="00B3594C">
      <w:pPr>
        <w:pStyle w:val="PBACHeading1"/>
      </w:pPr>
      <w:r w:rsidRPr="00632206">
        <w:t>Context for Decision</w:t>
      </w:r>
    </w:p>
    <w:p w:rsidR="00B3594C" w:rsidRDefault="00B3594C" w:rsidP="00B3594C">
      <w:pPr>
        <w:ind w:left="720"/>
      </w:pPr>
    </w:p>
    <w:p w:rsidR="00B3594C" w:rsidRDefault="00B3594C" w:rsidP="00B3594C">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3594C" w:rsidRDefault="00B3594C" w:rsidP="00B3594C">
      <w:pPr>
        <w:ind w:left="720"/>
      </w:pPr>
    </w:p>
    <w:p w:rsidR="00B3594C" w:rsidRDefault="00B3594C" w:rsidP="00B3594C">
      <w:pPr>
        <w:pStyle w:val="PBACHeading1"/>
      </w:pPr>
      <w:r w:rsidRPr="00451386">
        <w:t>Sponsor’s Comment</w:t>
      </w:r>
    </w:p>
    <w:p w:rsidR="00B3594C" w:rsidRPr="00C02CE8" w:rsidRDefault="00B3594C" w:rsidP="00B3594C">
      <w:pPr>
        <w:ind w:left="720"/>
        <w:rPr>
          <w:bCs/>
          <w:lang w:val="en-GB"/>
        </w:rPr>
      </w:pPr>
    </w:p>
    <w:p w:rsidR="00592261" w:rsidRPr="00C02CE8" w:rsidRDefault="00592261" w:rsidP="00592261">
      <w:pPr>
        <w:spacing w:after="120"/>
        <w:ind w:left="720"/>
        <w:rPr>
          <w:bCs/>
          <w:szCs w:val="24"/>
        </w:rPr>
      </w:pPr>
      <w:r w:rsidRPr="00C02CE8">
        <w:rPr>
          <w:bCs/>
          <w:lang w:val="en-GB"/>
        </w:rPr>
        <w:t xml:space="preserve">Merck Serono is pleased that the PBAC recognises that there is a need for new treatments for patients with RM SCCHN and that cetuximab provides an overall survival benefit in this hard-to-treat group of patients. We remain committed to working with the PBAC to find a solution that allows reimbursed access to cetuximab for this patient population. </w:t>
      </w:r>
    </w:p>
    <w:p w:rsidR="00B3594C" w:rsidRPr="006F15B7" w:rsidRDefault="00B3594C" w:rsidP="001A1437">
      <w:pPr>
        <w:rPr>
          <w:bCs/>
          <w:szCs w:val="22"/>
          <w:lang w:val="en-GB"/>
        </w:rPr>
      </w:pPr>
    </w:p>
    <w:sectPr w:rsidR="00B3594C" w:rsidRPr="006F15B7" w:rsidSect="000C26EF">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06" w:rsidRDefault="008A6C06" w:rsidP="00124A51">
      <w:r>
        <w:separator/>
      </w:r>
    </w:p>
  </w:endnote>
  <w:endnote w:type="continuationSeparator" w:id="0">
    <w:p w:rsidR="008A6C06" w:rsidRDefault="008A6C06"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6" w:rsidRDefault="008A6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239609"/>
      <w:docPartObj>
        <w:docPartGallery w:val="Page Numbers (Bottom of Page)"/>
        <w:docPartUnique/>
      </w:docPartObj>
    </w:sdtPr>
    <w:sdtEndPr>
      <w:rPr>
        <w:noProof/>
      </w:rPr>
    </w:sdtEndPr>
    <w:sdtContent>
      <w:p w:rsidR="008A6C06" w:rsidRDefault="008A6C06" w:rsidP="0080566E">
        <w:pPr>
          <w:pStyle w:val="Footer"/>
          <w:jc w:val="center"/>
        </w:pPr>
        <w:r>
          <w:fldChar w:fldCharType="begin"/>
        </w:r>
        <w:r>
          <w:instrText xml:space="preserve"> PAGE   \* MERGEFORMAT </w:instrText>
        </w:r>
        <w:r>
          <w:fldChar w:fldCharType="separate"/>
        </w:r>
        <w:r w:rsidR="00B268CD">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6" w:rsidRDefault="008A6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06" w:rsidRDefault="008A6C06" w:rsidP="00124A51">
      <w:r>
        <w:separator/>
      </w:r>
    </w:p>
  </w:footnote>
  <w:footnote w:type="continuationSeparator" w:id="0">
    <w:p w:rsidR="008A6C06" w:rsidRDefault="008A6C06"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6" w:rsidRDefault="008A6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6" w:rsidRDefault="008A6C06" w:rsidP="00466054">
    <w:pPr>
      <w:pStyle w:val="Header"/>
      <w:jc w:val="center"/>
      <w:rPr>
        <w:i/>
        <w:color w:val="808080"/>
      </w:rPr>
    </w:pPr>
    <w:r>
      <w:rPr>
        <w:i/>
        <w:color w:val="808080"/>
      </w:rPr>
      <w:t>Public Summary Document</w:t>
    </w:r>
    <w:r w:rsidRPr="00DF217D">
      <w:rPr>
        <w:i/>
        <w:color w:val="808080"/>
      </w:rPr>
      <w:t xml:space="preserve"> – </w:t>
    </w:r>
    <w:r>
      <w:rPr>
        <w:i/>
        <w:color w:val="808080"/>
      </w:rPr>
      <w:t xml:space="preserve">March 2016 </w:t>
    </w:r>
    <w:r w:rsidRPr="00DF217D">
      <w:rPr>
        <w:i/>
        <w:color w:val="808080"/>
      </w:rPr>
      <w:t>PBAC</w:t>
    </w:r>
    <w:r>
      <w:rPr>
        <w:i/>
        <w:color w:val="808080"/>
      </w:rPr>
      <w:t xml:space="preserve"> Meeting </w:t>
    </w:r>
  </w:p>
  <w:p w:rsidR="008A6C06" w:rsidRDefault="008A6C06" w:rsidP="001A1437">
    <w:pPr>
      <w:pStyle w:val="Header"/>
      <w:jc w:val="cent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6" w:rsidRDefault="008A6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C34E2"/>
    <w:multiLevelType w:val="hybridMultilevel"/>
    <w:tmpl w:val="EF7A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6A10DE3"/>
    <w:multiLevelType w:val="hybridMultilevel"/>
    <w:tmpl w:val="C0FABA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784D033C"/>
    <w:multiLevelType w:val="multilevel"/>
    <w:tmpl w:val="49CC7DF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DD10D00"/>
    <w:multiLevelType w:val="hybridMultilevel"/>
    <w:tmpl w:val="D780F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82"/>
    <w:rsid w:val="000002BE"/>
    <w:rsid w:val="0000055E"/>
    <w:rsid w:val="00000790"/>
    <w:rsid w:val="0000083C"/>
    <w:rsid w:val="00000E7E"/>
    <w:rsid w:val="00000EBF"/>
    <w:rsid w:val="00000F2E"/>
    <w:rsid w:val="0000104E"/>
    <w:rsid w:val="00001066"/>
    <w:rsid w:val="000010C1"/>
    <w:rsid w:val="0000110B"/>
    <w:rsid w:val="000011EE"/>
    <w:rsid w:val="00001432"/>
    <w:rsid w:val="0000181D"/>
    <w:rsid w:val="0000190E"/>
    <w:rsid w:val="00001B31"/>
    <w:rsid w:val="00001E0D"/>
    <w:rsid w:val="00002050"/>
    <w:rsid w:val="00002141"/>
    <w:rsid w:val="0000288A"/>
    <w:rsid w:val="00002C9F"/>
    <w:rsid w:val="00003499"/>
    <w:rsid w:val="0000357C"/>
    <w:rsid w:val="00003589"/>
    <w:rsid w:val="00003595"/>
    <w:rsid w:val="00003734"/>
    <w:rsid w:val="00003807"/>
    <w:rsid w:val="00003B91"/>
    <w:rsid w:val="00003ED5"/>
    <w:rsid w:val="00003FC6"/>
    <w:rsid w:val="00003FE5"/>
    <w:rsid w:val="000047C8"/>
    <w:rsid w:val="00004807"/>
    <w:rsid w:val="00004830"/>
    <w:rsid w:val="00004BBA"/>
    <w:rsid w:val="00004C8E"/>
    <w:rsid w:val="00004C99"/>
    <w:rsid w:val="00005399"/>
    <w:rsid w:val="0000549D"/>
    <w:rsid w:val="000054B0"/>
    <w:rsid w:val="000054D5"/>
    <w:rsid w:val="000056D6"/>
    <w:rsid w:val="000057E4"/>
    <w:rsid w:val="00005B91"/>
    <w:rsid w:val="00005EC9"/>
    <w:rsid w:val="00006011"/>
    <w:rsid w:val="000064CD"/>
    <w:rsid w:val="000066D0"/>
    <w:rsid w:val="00006BF9"/>
    <w:rsid w:val="00006EA2"/>
    <w:rsid w:val="000072C6"/>
    <w:rsid w:val="00007319"/>
    <w:rsid w:val="0000731E"/>
    <w:rsid w:val="00007476"/>
    <w:rsid w:val="000074BA"/>
    <w:rsid w:val="00007765"/>
    <w:rsid w:val="00007B6C"/>
    <w:rsid w:val="00007D8B"/>
    <w:rsid w:val="00007E6D"/>
    <w:rsid w:val="00007FD0"/>
    <w:rsid w:val="00010241"/>
    <w:rsid w:val="00010253"/>
    <w:rsid w:val="000102C7"/>
    <w:rsid w:val="00010507"/>
    <w:rsid w:val="00010524"/>
    <w:rsid w:val="0001089A"/>
    <w:rsid w:val="00010B0A"/>
    <w:rsid w:val="00010BC5"/>
    <w:rsid w:val="00010DAF"/>
    <w:rsid w:val="00010F1A"/>
    <w:rsid w:val="0001102B"/>
    <w:rsid w:val="00011610"/>
    <w:rsid w:val="00011890"/>
    <w:rsid w:val="0001197D"/>
    <w:rsid w:val="00011C4C"/>
    <w:rsid w:val="00011CF9"/>
    <w:rsid w:val="00011D1B"/>
    <w:rsid w:val="00011D3B"/>
    <w:rsid w:val="00011FB3"/>
    <w:rsid w:val="0001208C"/>
    <w:rsid w:val="000124A2"/>
    <w:rsid w:val="00012691"/>
    <w:rsid w:val="0001270B"/>
    <w:rsid w:val="00012C12"/>
    <w:rsid w:val="000131AA"/>
    <w:rsid w:val="000131FC"/>
    <w:rsid w:val="00013247"/>
    <w:rsid w:val="000132E2"/>
    <w:rsid w:val="0001345B"/>
    <w:rsid w:val="000138E3"/>
    <w:rsid w:val="00013B9F"/>
    <w:rsid w:val="00013D85"/>
    <w:rsid w:val="00013E96"/>
    <w:rsid w:val="00013F3F"/>
    <w:rsid w:val="00014373"/>
    <w:rsid w:val="0001468D"/>
    <w:rsid w:val="000147EC"/>
    <w:rsid w:val="00014966"/>
    <w:rsid w:val="000149E1"/>
    <w:rsid w:val="0001510A"/>
    <w:rsid w:val="0001542D"/>
    <w:rsid w:val="000154C4"/>
    <w:rsid w:val="0001567A"/>
    <w:rsid w:val="0001584B"/>
    <w:rsid w:val="00015886"/>
    <w:rsid w:val="0001596C"/>
    <w:rsid w:val="00015ACD"/>
    <w:rsid w:val="00015CF6"/>
    <w:rsid w:val="00016216"/>
    <w:rsid w:val="000162EF"/>
    <w:rsid w:val="000163BC"/>
    <w:rsid w:val="00016A78"/>
    <w:rsid w:val="00016D32"/>
    <w:rsid w:val="00016DEC"/>
    <w:rsid w:val="00016E66"/>
    <w:rsid w:val="000171CF"/>
    <w:rsid w:val="00017214"/>
    <w:rsid w:val="00017335"/>
    <w:rsid w:val="0001755E"/>
    <w:rsid w:val="000178F7"/>
    <w:rsid w:val="000179B9"/>
    <w:rsid w:val="00017A9C"/>
    <w:rsid w:val="00017DB9"/>
    <w:rsid w:val="00017EDE"/>
    <w:rsid w:val="00017F4F"/>
    <w:rsid w:val="00017F74"/>
    <w:rsid w:val="00017FC5"/>
    <w:rsid w:val="00020381"/>
    <w:rsid w:val="00020386"/>
    <w:rsid w:val="0002040F"/>
    <w:rsid w:val="000206A4"/>
    <w:rsid w:val="000207CC"/>
    <w:rsid w:val="000209DD"/>
    <w:rsid w:val="00020A42"/>
    <w:rsid w:val="00020C17"/>
    <w:rsid w:val="0002108B"/>
    <w:rsid w:val="0002138B"/>
    <w:rsid w:val="000214E1"/>
    <w:rsid w:val="0002160F"/>
    <w:rsid w:val="00021669"/>
    <w:rsid w:val="000216DE"/>
    <w:rsid w:val="000216E5"/>
    <w:rsid w:val="000219E3"/>
    <w:rsid w:val="0002225F"/>
    <w:rsid w:val="00022449"/>
    <w:rsid w:val="00022952"/>
    <w:rsid w:val="00022B45"/>
    <w:rsid w:val="00022BBF"/>
    <w:rsid w:val="00022D4D"/>
    <w:rsid w:val="00022E3F"/>
    <w:rsid w:val="00022EE3"/>
    <w:rsid w:val="00022F0B"/>
    <w:rsid w:val="00023186"/>
    <w:rsid w:val="000235DD"/>
    <w:rsid w:val="00023763"/>
    <w:rsid w:val="00023C88"/>
    <w:rsid w:val="00023C8A"/>
    <w:rsid w:val="00023F2F"/>
    <w:rsid w:val="00023FE9"/>
    <w:rsid w:val="00024376"/>
    <w:rsid w:val="00024494"/>
    <w:rsid w:val="00024645"/>
    <w:rsid w:val="00024911"/>
    <w:rsid w:val="0002491D"/>
    <w:rsid w:val="00024C49"/>
    <w:rsid w:val="00024CBE"/>
    <w:rsid w:val="00024D04"/>
    <w:rsid w:val="00024D28"/>
    <w:rsid w:val="00024D85"/>
    <w:rsid w:val="00025041"/>
    <w:rsid w:val="00025143"/>
    <w:rsid w:val="000253CC"/>
    <w:rsid w:val="00025451"/>
    <w:rsid w:val="0002547F"/>
    <w:rsid w:val="00025680"/>
    <w:rsid w:val="00025733"/>
    <w:rsid w:val="00025B45"/>
    <w:rsid w:val="00025D69"/>
    <w:rsid w:val="00025D6F"/>
    <w:rsid w:val="00025D79"/>
    <w:rsid w:val="0002613A"/>
    <w:rsid w:val="000261A2"/>
    <w:rsid w:val="00026401"/>
    <w:rsid w:val="000269E3"/>
    <w:rsid w:val="00026A32"/>
    <w:rsid w:val="00026AC6"/>
    <w:rsid w:val="00026B5D"/>
    <w:rsid w:val="00026E2D"/>
    <w:rsid w:val="000271DE"/>
    <w:rsid w:val="000272A9"/>
    <w:rsid w:val="000273B7"/>
    <w:rsid w:val="00027458"/>
    <w:rsid w:val="00027878"/>
    <w:rsid w:val="000279FD"/>
    <w:rsid w:val="00027B08"/>
    <w:rsid w:val="00027BBC"/>
    <w:rsid w:val="00027D9B"/>
    <w:rsid w:val="00027E51"/>
    <w:rsid w:val="00027E60"/>
    <w:rsid w:val="000306A2"/>
    <w:rsid w:val="00030EB7"/>
    <w:rsid w:val="000313BE"/>
    <w:rsid w:val="0003146C"/>
    <w:rsid w:val="00031750"/>
    <w:rsid w:val="00031A66"/>
    <w:rsid w:val="00031BFB"/>
    <w:rsid w:val="00031F11"/>
    <w:rsid w:val="00031F7C"/>
    <w:rsid w:val="000320B3"/>
    <w:rsid w:val="00032140"/>
    <w:rsid w:val="00032341"/>
    <w:rsid w:val="000323AC"/>
    <w:rsid w:val="000325A7"/>
    <w:rsid w:val="00032677"/>
    <w:rsid w:val="0003279D"/>
    <w:rsid w:val="000327E0"/>
    <w:rsid w:val="00032D9C"/>
    <w:rsid w:val="00032E6C"/>
    <w:rsid w:val="00032F45"/>
    <w:rsid w:val="00033214"/>
    <w:rsid w:val="0003366E"/>
    <w:rsid w:val="0003368B"/>
    <w:rsid w:val="000337C7"/>
    <w:rsid w:val="000337F3"/>
    <w:rsid w:val="00033ABE"/>
    <w:rsid w:val="00033FB3"/>
    <w:rsid w:val="00034096"/>
    <w:rsid w:val="00034120"/>
    <w:rsid w:val="0003446B"/>
    <w:rsid w:val="00034571"/>
    <w:rsid w:val="00034BC6"/>
    <w:rsid w:val="00034E8D"/>
    <w:rsid w:val="00034F48"/>
    <w:rsid w:val="00034F50"/>
    <w:rsid w:val="00035021"/>
    <w:rsid w:val="0003504F"/>
    <w:rsid w:val="00035181"/>
    <w:rsid w:val="000351B2"/>
    <w:rsid w:val="00035845"/>
    <w:rsid w:val="00035860"/>
    <w:rsid w:val="00035B33"/>
    <w:rsid w:val="00035D44"/>
    <w:rsid w:val="00035D70"/>
    <w:rsid w:val="00035F71"/>
    <w:rsid w:val="000360A1"/>
    <w:rsid w:val="00036169"/>
    <w:rsid w:val="0003635E"/>
    <w:rsid w:val="0003645D"/>
    <w:rsid w:val="00036D59"/>
    <w:rsid w:val="00036FA6"/>
    <w:rsid w:val="000371C8"/>
    <w:rsid w:val="0003723A"/>
    <w:rsid w:val="0003735D"/>
    <w:rsid w:val="00037618"/>
    <w:rsid w:val="00037A5E"/>
    <w:rsid w:val="00037BA3"/>
    <w:rsid w:val="00037CE1"/>
    <w:rsid w:val="00037E0D"/>
    <w:rsid w:val="00037FF2"/>
    <w:rsid w:val="00040230"/>
    <w:rsid w:val="00040449"/>
    <w:rsid w:val="000405D3"/>
    <w:rsid w:val="0004072A"/>
    <w:rsid w:val="00040895"/>
    <w:rsid w:val="00040D4B"/>
    <w:rsid w:val="00040D71"/>
    <w:rsid w:val="00040D8C"/>
    <w:rsid w:val="000413E4"/>
    <w:rsid w:val="000416F1"/>
    <w:rsid w:val="00041A62"/>
    <w:rsid w:val="00041CEC"/>
    <w:rsid w:val="00041E9C"/>
    <w:rsid w:val="00041F4A"/>
    <w:rsid w:val="0004224E"/>
    <w:rsid w:val="00042373"/>
    <w:rsid w:val="0004241A"/>
    <w:rsid w:val="000424E2"/>
    <w:rsid w:val="000424E9"/>
    <w:rsid w:val="000425E2"/>
    <w:rsid w:val="000427B5"/>
    <w:rsid w:val="0004280B"/>
    <w:rsid w:val="000429B0"/>
    <w:rsid w:val="00042A85"/>
    <w:rsid w:val="000433E2"/>
    <w:rsid w:val="00043615"/>
    <w:rsid w:val="000437C3"/>
    <w:rsid w:val="00043857"/>
    <w:rsid w:val="000438E6"/>
    <w:rsid w:val="00043A74"/>
    <w:rsid w:val="00043AF7"/>
    <w:rsid w:val="00043BCE"/>
    <w:rsid w:val="00043C37"/>
    <w:rsid w:val="0004400E"/>
    <w:rsid w:val="0004406D"/>
    <w:rsid w:val="000441BC"/>
    <w:rsid w:val="000446FD"/>
    <w:rsid w:val="0004484A"/>
    <w:rsid w:val="000448E4"/>
    <w:rsid w:val="000448FE"/>
    <w:rsid w:val="000449F6"/>
    <w:rsid w:val="00044A4C"/>
    <w:rsid w:val="00045083"/>
    <w:rsid w:val="000450CC"/>
    <w:rsid w:val="000451DE"/>
    <w:rsid w:val="000452F7"/>
    <w:rsid w:val="0004530A"/>
    <w:rsid w:val="000455C0"/>
    <w:rsid w:val="0004563A"/>
    <w:rsid w:val="0004569B"/>
    <w:rsid w:val="00045A7B"/>
    <w:rsid w:val="00045BA3"/>
    <w:rsid w:val="00045C81"/>
    <w:rsid w:val="00045CE3"/>
    <w:rsid w:val="00045ED3"/>
    <w:rsid w:val="00045FDC"/>
    <w:rsid w:val="000462ED"/>
    <w:rsid w:val="00046405"/>
    <w:rsid w:val="00046430"/>
    <w:rsid w:val="000466C2"/>
    <w:rsid w:val="00046BA0"/>
    <w:rsid w:val="00046FBF"/>
    <w:rsid w:val="000471BF"/>
    <w:rsid w:val="000473CB"/>
    <w:rsid w:val="0004763A"/>
    <w:rsid w:val="000476CF"/>
    <w:rsid w:val="00047743"/>
    <w:rsid w:val="00047771"/>
    <w:rsid w:val="0004799C"/>
    <w:rsid w:val="00047A4F"/>
    <w:rsid w:val="00047B7D"/>
    <w:rsid w:val="000500D9"/>
    <w:rsid w:val="0005045F"/>
    <w:rsid w:val="0005059E"/>
    <w:rsid w:val="0005061A"/>
    <w:rsid w:val="00050920"/>
    <w:rsid w:val="00050A6E"/>
    <w:rsid w:val="00050C9D"/>
    <w:rsid w:val="00050E33"/>
    <w:rsid w:val="00050E74"/>
    <w:rsid w:val="00050F34"/>
    <w:rsid w:val="000514BE"/>
    <w:rsid w:val="0005165E"/>
    <w:rsid w:val="00051D69"/>
    <w:rsid w:val="0005215D"/>
    <w:rsid w:val="000521FA"/>
    <w:rsid w:val="00052368"/>
    <w:rsid w:val="000523C1"/>
    <w:rsid w:val="00052532"/>
    <w:rsid w:val="000527C1"/>
    <w:rsid w:val="000529B7"/>
    <w:rsid w:val="00052B1C"/>
    <w:rsid w:val="00052DA5"/>
    <w:rsid w:val="00052EBE"/>
    <w:rsid w:val="00052EC2"/>
    <w:rsid w:val="00052EEC"/>
    <w:rsid w:val="00052F2A"/>
    <w:rsid w:val="00053495"/>
    <w:rsid w:val="00053688"/>
    <w:rsid w:val="00053AA2"/>
    <w:rsid w:val="00053AE0"/>
    <w:rsid w:val="00053B50"/>
    <w:rsid w:val="00053FD0"/>
    <w:rsid w:val="000540F6"/>
    <w:rsid w:val="0005436B"/>
    <w:rsid w:val="000544F6"/>
    <w:rsid w:val="0005454A"/>
    <w:rsid w:val="000546D7"/>
    <w:rsid w:val="000548AA"/>
    <w:rsid w:val="0005490B"/>
    <w:rsid w:val="0005493E"/>
    <w:rsid w:val="00054AFF"/>
    <w:rsid w:val="000550EE"/>
    <w:rsid w:val="0005513D"/>
    <w:rsid w:val="0005525E"/>
    <w:rsid w:val="000552CC"/>
    <w:rsid w:val="000554DF"/>
    <w:rsid w:val="000558D4"/>
    <w:rsid w:val="00055C67"/>
    <w:rsid w:val="00056514"/>
    <w:rsid w:val="0005663B"/>
    <w:rsid w:val="00056694"/>
    <w:rsid w:val="00056696"/>
    <w:rsid w:val="000567A8"/>
    <w:rsid w:val="00056EBE"/>
    <w:rsid w:val="000571D4"/>
    <w:rsid w:val="00057280"/>
    <w:rsid w:val="000574D6"/>
    <w:rsid w:val="0005751C"/>
    <w:rsid w:val="000575B1"/>
    <w:rsid w:val="000575E2"/>
    <w:rsid w:val="000576B2"/>
    <w:rsid w:val="00057731"/>
    <w:rsid w:val="00057A1B"/>
    <w:rsid w:val="00057C8A"/>
    <w:rsid w:val="00057D60"/>
    <w:rsid w:val="00057DE1"/>
    <w:rsid w:val="000601CB"/>
    <w:rsid w:val="00060207"/>
    <w:rsid w:val="00060464"/>
    <w:rsid w:val="00060770"/>
    <w:rsid w:val="0006088D"/>
    <w:rsid w:val="000609EA"/>
    <w:rsid w:val="00060AC2"/>
    <w:rsid w:val="00060BAC"/>
    <w:rsid w:val="00060D01"/>
    <w:rsid w:val="0006120B"/>
    <w:rsid w:val="0006182F"/>
    <w:rsid w:val="000619BA"/>
    <w:rsid w:val="00061A4E"/>
    <w:rsid w:val="00061B61"/>
    <w:rsid w:val="00061B90"/>
    <w:rsid w:val="00061E53"/>
    <w:rsid w:val="000623E0"/>
    <w:rsid w:val="0006270A"/>
    <w:rsid w:val="0006290C"/>
    <w:rsid w:val="000629A8"/>
    <w:rsid w:val="00062B9D"/>
    <w:rsid w:val="00062E1F"/>
    <w:rsid w:val="00062FDB"/>
    <w:rsid w:val="000635F5"/>
    <w:rsid w:val="0006377E"/>
    <w:rsid w:val="00063891"/>
    <w:rsid w:val="00063B9F"/>
    <w:rsid w:val="00063EDA"/>
    <w:rsid w:val="00063F31"/>
    <w:rsid w:val="00063F73"/>
    <w:rsid w:val="0006525D"/>
    <w:rsid w:val="000657C4"/>
    <w:rsid w:val="00065994"/>
    <w:rsid w:val="00065AF4"/>
    <w:rsid w:val="00065C1A"/>
    <w:rsid w:val="00066013"/>
    <w:rsid w:val="000663EB"/>
    <w:rsid w:val="000665C1"/>
    <w:rsid w:val="00066686"/>
    <w:rsid w:val="00066836"/>
    <w:rsid w:val="0006688C"/>
    <w:rsid w:val="00066988"/>
    <w:rsid w:val="00066BE6"/>
    <w:rsid w:val="00066D82"/>
    <w:rsid w:val="000675A4"/>
    <w:rsid w:val="000675E0"/>
    <w:rsid w:val="000675E6"/>
    <w:rsid w:val="00067C73"/>
    <w:rsid w:val="00067CAB"/>
    <w:rsid w:val="00067F44"/>
    <w:rsid w:val="00067F72"/>
    <w:rsid w:val="00070126"/>
    <w:rsid w:val="000701F8"/>
    <w:rsid w:val="000702D5"/>
    <w:rsid w:val="00070353"/>
    <w:rsid w:val="000703B7"/>
    <w:rsid w:val="000704CF"/>
    <w:rsid w:val="0007083D"/>
    <w:rsid w:val="00070855"/>
    <w:rsid w:val="0007092F"/>
    <w:rsid w:val="00070C2B"/>
    <w:rsid w:val="00070E47"/>
    <w:rsid w:val="00070FCD"/>
    <w:rsid w:val="00071248"/>
    <w:rsid w:val="000712BA"/>
    <w:rsid w:val="00071430"/>
    <w:rsid w:val="000715EF"/>
    <w:rsid w:val="0007176A"/>
    <w:rsid w:val="000717A3"/>
    <w:rsid w:val="000717FC"/>
    <w:rsid w:val="00071905"/>
    <w:rsid w:val="00071A3C"/>
    <w:rsid w:val="00071DC9"/>
    <w:rsid w:val="00072007"/>
    <w:rsid w:val="000720AF"/>
    <w:rsid w:val="000720B6"/>
    <w:rsid w:val="000720B9"/>
    <w:rsid w:val="000720D0"/>
    <w:rsid w:val="000726CF"/>
    <w:rsid w:val="00072754"/>
    <w:rsid w:val="00072A2F"/>
    <w:rsid w:val="00072B13"/>
    <w:rsid w:val="00072F31"/>
    <w:rsid w:val="00073089"/>
    <w:rsid w:val="00073105"/>
    <w:rsid w:val="00073752"/>
    <w:rsid w:val="00073966"/>
    <w:rsid w:val="00073AB5"/>
    <w:rsid w:val="00073C9D"/>
    <w:rsid w:val="00073F02"/>
    <w:rsid w:val="00074161"/>
    <w:rsid w:val="000744B2"/>
    <w:rsid w:val="00074500"/>
    <w:rsid w:val="0007464E"/>
    <w:rsid w:val="00074F71"/>
    <w:rsid w:val="00074F7F"/>
    <w:rsid w:val="00075140"/>
    <w:rsid w:val="000752F0"/>
    <w:rsid w:val="00075350"/>
    <w:rsid w:val="000753A7"/>
    <w:rsid w:val="000753E6"/>
    <w:rsid w:val="00075922"/>
    <w:rsid w:val="000759A4"/>
    <w:rsid w:val="00075D1E"/>
    <w:rsid w:val="000761F5"/>
    <w:rsid w:val="00076342"/>
    <w:rsid w:val="000764E5"/>
    <w:rsid w:val="0007668F"/>
    <w:rsid w:val="000766E7"/>
    <w:rsid w:val="000766FD"/>
    <w:rsid w:val="00076738"/>
    <w:rsid w:val="00076757"/>
    <w:rsid w:val="00076AD7"/>
    <w:rsid w:val="00076D67"/>
    <w:rsid w:val="00076EAB"/>
    <w:rsid w:val="00076F87"/>
    <w:rsid w:val="000774DC"/>
    <w:rsid w:val="00077642"/>
    <w:rsid w:val="00077FD8"/>
    <w:rsid w:val="00080005"/>
    <w:rsid w:val="000801B4"/>
    <w:rsid w:val="0008042D"/>
    <w:rsid w:val="00080650"/>
    <w:rsid w:val="0008079B"/>
    <w:rsid w:val="0008090F"/>
    <w:rsid w:val="00080997"/>
    <w:rsid w:val="00080C92"/>
    <w:rsid w:val="0008113D"/>
    <w:rsid w:val="000812A5"/>
    <w:rsid w:val="000812CA"/>
    <w:rsid w:val="000813CD"/>
    <w:rsid w:val="000814ED"/>
    <w:rsid w:val="0008154D"/>
    <w:rsid w:val="00081933"/>
    <w:rsid w:val="00081A2D"/>
    <w:rsid w:val="00081CC8"/>
    <w:rsid w:val="00081D1B"/>
    <w:rsid w:val="00081D4D"/>
    <w:rsid w:val="000823AC"/>
    <w:rsid w:val="000823C5"/>
    <w:rsid w:val="0008242C"/>
    <w:rsid w:val="000825F2"/>
    <w:rsid w:val="0008266C"/>
    <w:rsid w:val="00082694"/>
    <w:rsid w:val="0008269F"/>
    <w:rsid w:val="00082B2F"/>
    <w:rsid w:val="00082CF3"/>
    <w:rsid w:val="000832D9"/>
    <w:rsid w:val="000834B2"/>
    <w:rsid w:val="000835F2"/>
    <w:rsid w:val="00083A47"/>
    <w:rsid w:val="00083A66"/>
    <w:rsid w:val="00083C09"/>
    <w:rsid w:val="00083DEC"/>
    <w:rsid w:val="00083F44"/>
    <w:rsid w:val="0008425D"/>
    <w:rsid w:val="0008468B"/>
    <w:rsid w:val="00084735"/>
    <w:rsid w:val="0008480B"/>
    <w:rsid w:val="00084C0A"/>
    <w:rsid w:val="00084DF8"/>
    <w:rsid w:val="0008513D"/>
    <w:rsid w:val="0008522B"/>
    <w:rsid w:val="00085486"/>
    <w:rsid w:val="000856A2"/>
    <w:rsid w:val="00085DB8"/>
    <w:rsid w:val="00086170"/>
    <w:rsid w:val="0008618B"/>
    <w:rsid w:val="0008623D"/>
    <w:rsid w:val="00086605"/>
    <w:rsid w:val="00086912"/>
    <w:rsid w:val="00086A0E"/>
    <w:rsid w:val="00086AB0"/>
    <w:rsid w:val="00086C54"/>
    <w:rsid w:val="00086E16"/>
    <w:rsid w:val="00087031"/>
    <w:rsid w:val="00087311"/>
    <w:rsid w:val="000874AC"/>
    <w:rsid w:val="000874FE"/>
    <w:rsid w:val="000875B4"/>
    <w:rsid w:val="000875C6"/>
    <w:rsid w:val="00087657"/>
    <w:rsid w:val="00087704"/>
    <w:rsid w:val="00087992"/>
    <w:rsid w:val="000904E7"/>
    <w:rsid w:val="000904FB"/>
    <w:rsid w:val="000907B7"/>
    <w:rsid w:val="000909F2"/>
    <w:rsid w:val="00090A32"/>
    <w:rsid w:val="00090C2A"/>
    <w:rsid w:val="00090C7E"/>
    <w:rsid w:val="00090E3B"/>
    <w:rsid w:val="00090F80"/>
    <w:rsid w:val="00091098"/>
    <w:rsid w:val="00091136"/>
    <w:rsid w:val="00091275"/>
    <w:rsid w:val="000915E9"/>
    <w:rsid w:val="000916D1"/>
    <w:rsid w:val="000918B0"/>
    <w:rsid w:val="00091EFB"/>
    <w:rsid w:val="000923B6"/>
    <w:rsid w:val="000924B3"/>
    <w:rsid w:val="0009288A"/>
    <w:rsid w:val="00092936"/>
    <w:rsid w:val="00092D10"/>
    <w:rsid w:val="00092FAA"/>
    <w:rsid w:val="00092FC3"/>
    <w:rsid w:val="0009374E"/>
    <w:rsid w:val="00093CE8"/>
    <w:rsid w:val="00093E1E"/>
    <w:rsid w:val="0009432C"/>
    <w:rsid w:val="000949C3"/>
    <w:rsid w:val="00094B0B"/>
    <w:rsid w:val="00094BE9"/>
    <w:rsid w:val="00094CF8"/>
    <w:rsid w:val="00095639"/>
    <w:rsid w:val="00095B1B"/>
    <w:rsid w:val="00095D51"/>
    <w:rsid w:val="0009613E"/>
    <w:rsid w:val="000962F3"/>
    <w:rsid w:val="0009633D"/>
    <w:rsid w:val="000963B9"/>
    <w:rsid w:val="0009664D"/>
    <w:rsid w:val="00096724"/>
    <w:rsid w:val="00096AC1"/>
    <w:rsid w:val="00096D0D"/>
    <w:rsid w:val="00096DC1"/>
    <w:rsid w:val="00097135"/>
    <w:rsid w:val="00097394"/>
    <w:rsid w:val="000974A5"/>
    <w:rsid w:val="000979FE"/>
    <w:rsid w:val="00097B77"/>
    <w:rsid w:val="000A0164"/>
    <w:rsid w:val="000A059B"/>
    <w:rsid w:val="000A05B8"/>
    <w:rsid w:val="000A068B"/>
    <w:rsid w:val="000A08F4"/>
    <w:rsid w:val="000A09FE"/>
    <w:rsid w:val="000A0B56"/>
    <w:rsid w:val="000A0C0B"/>
    <w:rsid w:val="000A0E7C"/>
    <w:rsid w:val="000A10CD"/>
    <w:rsid w:val="000A10DE"/>
    <w:rsid w:val="000A15EE"/>
    <w:rsid w:val="000A169C"/>
    <w:rsid w:val="000A1CB6"/>
    <w:rsid w:val="000A1DB9"/>
    <w:rsid w:val="000A1E53"/>
    <w:rsid w:val="000A22F8"/>
    <w:rsid w:val="000A239B"/>
    <w:rsid w:val="000A24AC"/>
    <w:rsid w:val="000A26AA"/>
    <w:rsid w:val="000A286F"/>
    <w:rsid w:val="000A29F3"/>
    <w:rsid w:val="000A2B6E"/>
    <w:rsid w:val="000A2E00"/>
    <w:rsid w:val="000A2E5B"/>
    <w:rsid w:val="000A3167"/>
    <w:rsid w:val="000A355A"/>
    <w:rsid w:val="000A35AB"/>
    <w:rsid w:val="000A3693"/>
    <w:rsid w:val="000A376C"/>
    <w:rsid w:val="000A3906"/>
    <w:rsid w:val="000A4296"/>
    <w:rsid w:val="000A4333"/>
    <w:rsid w:val="000A457D"/>
    <w:rsid w:val="000A4855"/>
    <w:rsid w:val="000A4984"/>
    <w:rsid w:val="000A4B22"/>
    <w:rsid w:val="000A4E6A"/>
    <w:rsid w:val="000A5461"/>
    <w:rsid w:val="000A5728"/>
    <w:rsid w:val="000A578B"/>
    <w:rsid w:val="000A57A3"/>
    <w:rsid w:val="000A57C9"/>
    <w:rsid w:val="000A59A1"/>
    <w:rsid w:val="000A5A02"/>
    <w:rsid w:val="000A5A22"/>
    <w:rsid w:val="000A5DD8"/>
    <w:rsid w:val="000A5FC9"/>
    <w:rsid w:val="000A60F5"/>
    <w:rsid w:val="000A6BDA"/>
    <w:rsid w:val="000A6CF3"/>
    <w:rsid w:val="000A6D60"/>
    <w:rsid w:val="000A73EA"/>
    <w:rsid w:val="000A74BF"/>
    <w:rsid w:val="000A7794"/>
    <w:rsid w:val="000A7890"/>
    <w:rsid w:val="000A7A73"/>
    <w:rsid w:val="000A7BBD"/>
    <w:rsid w:val="000A7DAC"/>
    <w:rsid w:val="000B0202"/>
    <w:rsid w:val="000B020E"/>
    <w:rsid w:val="000B02B0"/>
    <w:rsid w:val="000B082D"/>
    <w:rsid w:val="000B09D2"/>
    <w:rsid w:val="000B0B3B"/>
    <w:rsid w:val="000B0F6D"/>
    <w:rsid w:val="000B1007"/>
    <w:rsid w:val="000B1077"/>
    <w:rsid w:val="000B187E"/>
    <w:rsid w:val="000B1C19"/>
    <w:rsid w:val="000B1CE6"/>
    <w:rsid w:val="000B1DBB"/>
    <w:rsid w:val="000B1FF2"/>
    <w:rsid w:val="000B224E"/>
    <w:rsid w:val="000B2407"/>
    <w:rsid w:val="000B244C"/>
    <w:rsid w:val="000B2966"/>
    <w:rsid w:val="000B2D64"/>
    <w:rsid w:val="000B2D93"/>
    <w:rsid w:val="000B2DD3"/>
    <w:rsid w:val="000B3722"/>
    <w:rsid w:val="000B3826"/>
    <w:rsid w:val="000B385C"/>
    <w:rsid w:val="000B3A59"/>
    <w:rsid w:val="000B3ABA"/>
    <w:rsid w:val="000B3B22"/>
    <w:rsid w:val="000B3C86"/>
    <w:rsid w:val="000B3E09"/>
    <w:rsid w:val="000B3E43"/>
    <w:rsid w:val="000B462E"/>
    <w:rsid w:val="000B481E"/>
    <w:rsid w:val="000B4883"/>
    <w:rsid w:val="000B4CFB"/>
    <w:rsid w:val="000B53FB"/>
    <w:rsid w:val="000B55E8"/>
    <w:rsid w:val="000B5672"/>
    <w:rsid w:val="000B582C"/>
    <w:rsid w:val="000B58D4"/>
    <w:rsid w:val="000B5A33"/>
    <w:rsid w:val="000B5F20"/>
    <w:rsid w:val="000B613D"/>
    <w:rsid w:val="000B6487"/>
    <w:rsid w:val="000B6532"/>
    <w:rsid w:val="000B6FDF"/>
    <w:rsid w:val="000B7065"/>
    <w:rsid w:val="000B7097"/>
    <w:rsid w:val="000B70EF"/>
    <w:rsid w:val="000B71C8"/>
    <w:rsid w:val="000B72DE"/>
    <w:rsid w:val="000B757D"/>
    <w:rsid w:val="000B76AF"/>
    <w:rsid w:val="000B792B"/>
    <w:rsid w:val="000B7C0F"/>
    <w:rsid w:val="000B7D62"/>
    <w:rsid w:val="000B7DE4"/>
    <w:rsid w:val="000B7F77"/>
    <w:rsid w:val="000C0042"/>
    <w:rsid w:val="000C0215"/>
    <w:rsid w:val="000C04F4"/>
    <w:rsid w:val="000C05E0"/>
    <w:rsid w:val="000C063E"/>
    <w:rsid w:val="000C0746"/>
    <w:rsid w:val="000C07B4"/>
    <w:rsid w:val="000C0B06"/>
    <w:rsid w:val="000C0BA1"/>
    <w:rsid w:val="000C0FBD"/>
    <w:rsid w:val="000C1512"/>
    <w:rsid w:val="000C19DA"/>
    <w:rsid w:val="000C1A26"/>
    <w:rsid w:val="000C2207"/>
    <w:rsid w:val="000C2283"/>
    <w:rsid w:val="000C2493"/>
    <w:rsid w:val="000C263F"/>
    <w:rsid w:val="000C26EF"/>
    <w:rsid w:val="000C2745"/>
    <w:rsid w:val="000C27DE"/>
    <w:rsid w:val="000C2978"/>
    <w:rsid w:val="000C2E96"/>
    <w:rsid w:val="000C2F80"/>
    <w:rsid w:val="000C2FF4"/>
    <w:rsid w:val="000C3099"/>
    <w:rsid w:val="000C31C7"/>
    <w:rsid w:val="000C3215"/>
    <w:rsid w:val="000C3721"/>
    <w:rsid w:val="000C39F7"/>
    <w:rsid w:val="000C3A05"/>
    <w:rsid w:val="000C3A93"/>
    <w:rsid w:val="000C3C4E"/>
    <w:rsid w:val="000C3DBC"/>
    <w:rsid w:val="000C407E"/>
    <w:rsid w:val="000C4105"/>
    <w:rsid w:val="000C4272"/>
    <w:rsid w:val="000C43CC"/>
    <w:rsid w:val="000C44E8"/>
    <w:rsid w:val="000C461C"/>
    <w:rsid w:val="000C46C6"/>
    <w:rsid w:val="000C46DE"/>
    <w:rsid w:val="000C4BBC"/>
    <w:rsid w:val="000C4D82"/>
    <w:rsid w:val="000C4E0A"/>
    <w:rsid w:val="000C5245"/>
    <w:rsid w:val="000C57D5"/>
    <w:rsid w:val="000C598C"/>
    <w:rsid w:val="000C5BCB"/>
    <w:rsid w:val="000C5CBD"/>
    <w:rsid w:val="000C5CCB"/>
    <w:rsid w:val="000C5E14"/>
    <w:rsid w:val="000C5F06"/>
    <w:rsid w:val="000C607E"/>
    <w:rsid w:val="000C61D0"/>
    <w:rsid w:val="000C63A1"/>
    <w:rsid w:val="000C6B81"/>
    <w:rsid w:val="000C6C32"/>
    <w:rsid w:val="000C6E81"/>
    <w:rsid w:val="000C7000"/>
    <w:rsid w:val="000C720E"/>
    <w:rsid w:val="000C7773"/>
    <w:rsid w:val="000C78AD"/>
    <w:rsid w:val="000C798D"/>
    <w:rsid w:val="000C7BA6"/>
    <w:rsid w:val="000C7CED"/>
    <w:rsid w:val="000C7CF9"/>
    <w:rsid w:val="000D0063"/>
    <w:rsid w:val="000D0211"/>
    <w:rsid w:val="000D057E"/>
    <w:rsid w:val="000D0751"/>
    <w:rsid w:val="000D0789"/>
    <w:rsid w:val="000D0882"/>
    <w:rsid w:val="000D0914"/>
    <w:rsid w:val="000D0A8C"/>
    <w:rsid w:val="000D0BA1"/>
    <w:rsid w:val="000D0C13"/>
    <w:rsid w:val="000D0C89"/>
    <w:rsid w:val="000D12F3"/>
    <w:rsid w:val="000D13AE"/>
    <w:rsid w:val="000D1B9C"/>
    <w:rsid w:val="000D1BFC"/>
    <w:rsid w:val="000D1DAF"/>
    <w:rsid w:val="000D1FB0"/>
    <w:rsid w:val="000D2141"/>
    <w:rsid w:val="000D2369"/>
    <w:rsid w:val="000D2626"/>
    <w:rsid w:val="000D26FD"/>
    <w:rsid w:val="000D2790"/>
    <w:rsid w:val="000D27CE"/>
    <w:rsid w:val="000D29A4"/>
    <w:rsid w:val="000D2B50"/>
    <w:rsid w:val="000D2C07"/>
    <w:rsid w:val="000D2CA0"/>
    <w:rsid w:val="000D2DE0"/>
    <w:rsid w:val="000D34E4"/>
    <w:rsid w:val="000D3503"/>
    <w:rsid w:val="000D3D79"/>
    <w:rsid w:val="000D3E78"/>
    <w:rsid w:val="000D43FF"/>
    <w:rsid w:val="000D48A9"/>
    <w:rsid w:val="000D4AE4"/>
    <w:rsid w:val="000D4B8F"/>
    <w:rsid w:val="000D4C21"/>
    <w:rsid w:val="000D4C6D"/>
    <w:rsid w:val="000D509C"/>
    <w:rsid w:val="000D50FD"/>
    <w:rsid w:val="000D53DF"/>
    <w:rsid w:val="000D5463"/>
    <w:rsid w:val="000D57BB"/>
    <w:rsid w:val="000D57C1"/>
    <w:rsid w:val="000D5D63"/>
    <w:rsid w:val="000D60DA"/>
    <w:rsid w:val="000D665F"/>
    <w:rsid w:val="000D6822"/>
    <w:rsid w:val="000D6B94"/>
    <w:rsid w:val="000D6C0E"/>
    <w:rsid w:val="000D6D2E"/>
    <w:rsid w:val="000D6DCE"/>
    <w:rsid w:val="000D70A6"/>
    <w:rsid w:val="000D7103"/>
    <w:rsid w:val="000D7486"/>
    <w:rsid w:val="000D7820"/>
    <w:rsid w:val="000D7893"/>
    <w:rsid w:val="000D78D3"/>
    <w:rsid w:val="000D7E9A"/>
    <w:rsid w:val="000D7F82"/>
    <w:rsid w:val="000E027D"/>
    <w:rsid w:val="000E02A7"/>
    <w:rsid w:val="000E02D1"/>
    <w:rsid w:val="000E03B6"/>
    <w:rsid w:val="000E0680"/>
    <w:rsid w:val="000E069E"/>
    <w:rsid w:val="000E06CC"/>
    <w:rsid w:val="000E08A2"/>
    <w:rsid w:val="000E0A9A"/>
    <w:rsid w:val="000E1003"/>
    <w:rsid w:val="000E1004"/>
    <w:rsid w:val="000E116C"/>
    <w:rsid w:val="000E11EE"/>
    <w:rsid w:val="000E12E9"/>
    <w:rsid w:val="000E133B"/>
    <w:rsid w:val="000E1498"/>
    <w:rsid w:val="000E17E5"/>
    <w:rsid w:val="000E1CF9"/>
    <w:rsid w:val="000E1D63"/>
    <w:rsid w:val="000E1F51"/>
    <w:rsid w:val="000E23BD"/>
    <w:rsid w:val="000E242C"/>
    <w:rsid w:val="000E2779"/>
    <w:rsid w:val="000E28E0"/>
    <w:rsid w:val="000E2A23"/>
    <w:rsid w:val="000E2DEB"/>
    <w:rsid w:val="000E2E18"/>
    <w:rsid w:val="000E3063"/>
    <w:rsid w:val="000E30B5"/>
    <w:rsid w:val="000E3225"/>
    <w:rsid w:val="000E395D"/>
    <w:rsid w:val="000E3B32"/>
    <w:rsid w:val="000E3FFA"/>
    <w:rsid w:val="000E40B0"/>
    <w:rsid w:val="000E41C4"/>
    <w:rsid w:val="000E42A1"/>
    <w:rsid w:val="000E43B2"/>
    <w:rsid w:val="000E441E"/>
    <w:rsid w:val="000E45AE"/>
    <w:rsid w:val="000E468F"/>
    <w:rsid w:val="000E46B9"/>
    <w:rsid w:val="000E46E3"/>
    <w:rsid w:val="000E48D5"/>
    <w:rsid w:val="000E4B29"/>
    <w:rsid w:val="000E4BAC"/>
    <w:rsid w:val="000E4D19"/>
    <w:rsid w:val="000E4FEA"/>
    <w:rsid w:val="000E571C"/>
    <w:rsid w:val="000E57B6"/>
    <w:rsid w:val="000E5813"/>
    <w:rsid w:val="000E58DC"/>
    <w:rsid w:val="000E5CA2"/>
    <w:rsid w:val="000E63D9"/>
    <w:rsid w:val="000E6423"/>
    <w:rsid w:val="000E6534"/>
    <w:rsid w:val="000E68A3"/>
    <w:rsid w:val="000E6BA9"/>
    <w:rsid w:val="000E6C0C"/>
    <w:rsid w:val="000E6E5B"/>
    <w:rsid w:val="000E6F8C"/>
    <w:rsid w:val="000E72A4"/>
    <w:rsid w:val="000F032D"/>
    <w:rsid w:val="000F03E7"/>
    <w:rsid w:val="000F043E"/>
    <w:rsid w:val="000F0630"/>
    <w:rsid w:val="000F06C4"/>
    <w:rsid w:val="000F076B"/>
    <w:rsid w:val="000F0D15"/>
    <w:rsid w:val="000F0D9A"/>
    <w:rsid w:val="000F0E2C"/>
    <w:rsid w:val="000F13EC"/>
    <w:rsid w:val="000F18BE"/>
    <w:rsid w:val="000F1914"/>
    <w:rsid w:val="000F1E1A"/>
    <w:rsid w:val="000F1E42"/>
    <w:rsid w:val="000F207A"/>
    <w:rsid w:val="000F225C"/>
    <w:rsid w:val="000F22B8"/>
    <w:rsid w:val="000F2305"/>
    <w:rsid w:val="000F232F"/>
    <w:rsid w:val="000F2744"/>
    <w:rsid w:val="000F28C0"/>
    <w:rsid w:val="000F2B54"/>
    <w:rsid w:val="000F2C2E"/>
    <w:rsid w:val="000F2D7D"/>
    <w:rsid w:val="000F307B"/>
    <w:rsid w:val="000F30E1"/>
    <w:rsid w:val="000F36D2"/>
    <w:rsid w:val="000F385F"/>
    <w:rsid w:val="000F3893"/>
    <w:rsid w:val="000F3BA6"/>
    <w:rsid w:val="000F3BB8"/>
    <w:rsid w:val="000F3BD0"/>
    <w:rsid w:val="000F3F06"/>
    <w:rsid w:val="000F4170"/>
    <w:rsid w:val="000F4244"/>
    <w:rsid w:val="000F4331"/>
    <w:rsid w:val="000F4489"/>
    <w:rsid w:val="000F4715"/>
    <w:rsid w:val="000F4743"/>
    <w:rsid w:val="000F4B07"/>
    <w:rsid w:val="000F4BB8"/>
    <w:rsid w:val="000F4DA7"/>
    <w:rsid w:val="000F4EC4"/>
    <w:rsid w:val="000F4F33"/>
    <w:rsid w:val="000F55E2"/>
    <w:rsid w:val="000F5987"/>
    <w:rsid w:val="000F5A94"/>
    <w:rsid w:val="000F5AC7"/>
    <w:rsid w:val="000F5B39"/>
    <w:rsid w:val="000F5C6E"/>
    <w:rsid w:val="000F616C"/>
    <w:rsid w:val="000F6643"/>
    <w:rsid w:val="000F6943"/>
    <w:rsid w:val="000F69BA"/>
    <w:rsid w:val="000F6B65"/>
    <w:rsid w:val="000F6C8A"/>
    <w:rsid w:val="000F7082"/>
    <w:rsid w:val="000F7127"/>
    <w:rsid w:val="000F7225"/>
    <w:rsid w:val="000F7315"/>
    <w:rsid w:val="000F7727"/>
    <w:rsid w:val="000F7AE8"/>
    <w:rsid w:val="000F7E5A"/>
    <w:rsid w:val="000F7EC4"/>
    <w:rsid w:val="00100265"/>
    <w:rsid w:val="00100530"/>
    <w:rsid w:val="0010089A"/>
    <w:rsid w:val="00100926"/>
    <w:rsid w:val="00100ACF"/>
    <w:rsid w:val="00100B3B"/>
    <w:rsid w:val="00100C3B"/>
    <w:rsid w:val="00100D4F"/>
    <w:rsid w:val="00100F8A"/>
    <w:rsid w:val="00101638"/>
    <w:rsid w:val="0010179F"/>
    <w:rsid w:val="0010192D"/>
    <w:rsid w:val="00101973"/>
    <w:rsid w:val="00101A45"/>
    <w:rsid w:val="00101A5E"/>
    <w:rsid w:val="00101C2A"/>
    <w:rsid w:val="00101D99"/>
    <w:rsid w:val="001021DD"/>
    <w:rsid w:val="00102667"/>
    <w:rsid w:val="001029B4"/>
    <w:rsid w:val="00102C49"/>
    <w:rsid w:val="00102DA8"/>
    <w:rsid w:val="00103578"/>
    <w:rsid w:val="001038DE"/>
    <w:rsid w:val="00103B6D"/>
    <w:rsid w:val="00103F2F"/>
    <w:rsid w:val="0010403F"/>
    <w:rsid w:val="00104078"/>
    <w:rsid w:val="0010410E"/>
    <w:rsid w:val="001043C7"/>
    <w:rsid w:val="001044BA"/>
    <w:rsid w:val="00104639"/>
    <w:rsid w:val="00104666"/>
    <w:rsid w:val="00104ADC"/>
    <w:rsid w:val="00104CA8"/>
    <w:rsid w:val="00104EDE"/>
    <w:rsid w:val="0010514D"/>
    <w:rsid w:val="0010525D"/>
    <w:rsid w:val="00105265"/>
    <w:rsid w:val="00105427"/>
    <w:rsid w:val="00105D0D"/>
    <w:rsid w:val="00106065"/>
    <w:rsid w:val="00106106"/>
    <w:rsid w:val="00106141"/>
    <w:rsid w:val="0010668B"/>
    <w:rsid w:val="001069E2"/>
    <w:rsid w:val="00106BBC"/>
    <w:rsid w:val="00106F5F"/>
    <w:rsid w:val="0010700C"/>
    <w:rsid w:val="001073D5"/>
    <w:rsid w:val="0010755B"/>
    <w:rsid w:val="00107A9C"/>
    <w:rsid w:val="00107E69"/>
    <w:rsid w:val="00107EE6"/>
    <w:rsid w:val="0011032E"/>
    <w:rsid w:val="0011049F"/>
    <w:rsid w:val="00110826"/>
    <w:rsid w:val="00110CDD"/>
    <w:rsid w:val="0011107C"/>
    <w:rsid w:val="00111391"/>
    <w:rsid w:val="001113B0"/>
    <w:rsid w:val="001116C4"/>
    <w:rsid w:val="001118E3"/>
    <w:rsid w:val="001119F0"/>
    <w:rsid w:val="00111ACC"/>
    <w:rsid w:val="00111F16"/>
    <w:rsid w:val="00111F9C"/>
    <w:rsid w:val="00112260"/>
    <w:rsid w:val="00112332"/>
    <w:rsid w:val="0011249E"/>
    <w:rsid w:val="001126A3"/>
    <w:rsid w:val="0011275F"/>
    <w:rsid w:val="00112AB2"/>
    <w:rsid w:val="00112BCB"/>
    <w:rsid w:val="00112EF4"/>
    <w:rsid w:val="00113093"/>
    <w:rsid w:val="0011312F"/>
    <w:rsid w:val="0011314E"/>
    <w:rsid w:val="00113157"/>
    <w:rsid w:val="00113172"/>
    <w:rsid w:val="0011348B"/>
    <w:rsid w:val="00113542"/>
    <w:rsid w:val="00113550"/>
    <w:rsid w:val="00113E3A"/>
    <w:rsid w:val="00113FFC"/>
    <w:rsid w:val="00114202"/>
    <w:rsid w:val="00114361"/>
    <w:rsid w:val="001143E6"/>
    <w:rsid w:val="00114688"/>
    <w:rsid w:val="00114964"/>
    <w:rsid w:val="00114AC6"/>
    <w:rsid w:val="00114B2F"/>
    <w:rsid w:val="00114CAC"/>
    <w:rsid w:val="00114DBD"/>
    <w:rsid w:val="00114EFD"/>
    <w:rsid w:val="00115082"/>
    <w:rsid w:val="001152C8"/>
    <w:rsid w:val="00115866"/>
    <w:rsid w:val="00115AE5"/>
    <w:rsid w:val="00115C50"/>
    <w:rsid w:val="00115C8C"/>
    <w:rsid w:val="00115D2E"/>
    <w:rsid w:val="00116191"/>
    <w:rsid w:val="0011626D"/>
    <w:rsid w:val="001166F5"/>
    <w:rsid w:val="00116777"/>
    <w:rsid w:val="00116D16"/>
    <w:rsid w:val="00116D45"/>
    <w:rsid w:val="00116DD3"/>
    <w:rsid w:val="00117364"/>
    <w:rsid w:val="001175C9"/>
    <w:rsid w:val="001179A2"/>
    <w:rsid w:val="001179F4"/>
    <w:rsid w:val="00117A0B"/>
    <w:rsid w:val="00117C18"/>
    <w:rsid w:val="00120060"/>
    <w:rsid w:val="00120216"/>
    <w:rsid w:val="0012048D"/>
    <w:rsid w:val="001206D8"/>
    <w:rsid w:val="00120A56"/>
    <w:rsid w:val="00120AFE"/>
    <w:rsid w:val="0012119E"/>
    <w:rsid w:val="001212F4"/>
    <w:rsid w:val="001215C5"/>
    <w:rsid w:val="00121799"/>
    <w:rsid w:val="0012199C"/>
    <w:rsid w:val="001219FE"/>
    <w:rsid w:val="00121BD9"/>
    <w:rsid w:val="00121DB6"/>
    <w:rsid w:val="00121ED7"/>
    <w:rsid w:val="00122127"/>
    <w:rsid w:val="00122260"/>
    <w:rsid w:val="001222CA"/>
    <w:rsid w:val="001222FC"/>
    <w:rsid w:val="00122401"/>
    <w:rsid w:val="0012254E"/>
    <w:rsid w:val="001226E5"/>
    <w:rsid w:val="001229F0"/>
    <w:rsid w:val="00122B9A"/>
    <w:rsid w:val="00122E6E"/>
    <w:rsid w:val="00123026"/>
    <w:rsid w:val="00123088"/>
    <w:rsid w:val="00123656"/>
    <w:rsid w:val="00123A6B"/>
    <w:rsid w:val="00123A71"/>
    <w:rsid w:val="00123B08"/>
    <w:rsid w:val="00123D7C"/>
    <w:rsid w:val="00123E71"/>
    <w:rsid w:val="00124147"/>
    <w:rsid w:val="0012424B"/>
    <w:rsid w:val="00124280"/>
    <w:rsid w:val="001242B7"/>
    <w:rsid w:val="001243BD"/>
    <w:rsid w:val="001247D4"/>
    <w:rsid w:val="00124A51"/>
    <w:rsid w:val="00124B59"/>
    <w:rsid w:val="00124BD8"/>
    <w:rsid w:val="00124E3A"/>
    <w:rsid w:val="00125022"/>
    <w:rsid w:val="00125094"/>
    <w:rsid w:val="00125278"/>
    <w:rsid w:val="00125494"/>
    <w:rsid w:val="0012581F"/>
    <w:rsid w:val="00125A58"/>
    <w:rsid w:val="00125BB3"/>
    <w:rsid w:val="00125BE2"/>
    <w:rsid w:val="00125F03"/>
    <w:rsid w:val="0012609A"/>
    <w:rsid w:val="001260A9"/>
    <w:rsid w:val="001262C2"/>
    <w:rsid w:val="00126395"/>
    <w:rsid w:val="0012646B"/>
    <w:rsid w:val="00126621"/>
    <w:rsid w:val="00126632"/>
    <w:rsid w:val="00126856"/>
    <w:rsid w:val="0012689F"/>
    <w:rsid w:val="00126CA8"/>
    <w:rsid w:val="001271BE"/>
    <w:rsid w:val="001271D2"/>
    <w:rsid w:val="001275DC"/>
    <w:rsid w:val="0012760D"/>
    <w:rsid w:val="00127D60"/>
    <w:rsid w:val="00127ED7"/>
    <w:rsid w:val="001300D4"/>
    <w:rsid w:val="001301E9"/>
    <w:rsid w:val="001301ED"/>
    <w:rsid w:val="0013026D"/>
    <w:rsid w:val="001302E8"/>
    <w:rsid w:val="0013061B"/>
    <w:rsid w:val="00130862"/>
    <w:rsid w:val="001309CB"/>
    <w:rsid w:val="00130C8E"/>
    <w:rsid w:val="00130DE9"/>
    <w:rsid w:val="00130F54"/>
    <w:rsid w:val="00130F64"/>
    <w:rsid w:val="0013100F"/>
    <w:rsid w:val="001313E8"/>
    <w:rsid w:val="00131454"/>
    <w:rsid w:val="0013147D"/>
    <w:rsid w:val="001315C4"/>
    <w:rsid w:val="001317A3"/>
    <w:rsid w:val="00131991"/>
    <w:rsid w:val="00131C8D"/>
    <w:rsid w:val="001320BC"/>
    <w:rsid w:val="001320C7"/>
    <w:rsid w:val="0013233E"/>
    <w:rsid w:val="0013236B"/>
    <w:rsid w:val="00132684"/>
    <w:rsid w:val="00132814"/>
    <w:rsid w:val="00132922"/>
    <w:rsid w:val="00132E8F"/>
    <w:rsid w:val="001331F0"/>
    <w:rsid w:val="001333C0"/>
    <w:rsid w:val="00133446"/>
    <w:rsid w:val="00133504"/>
    <w:rsid w:val="00133712"/>
    <w:rsid w:val="001338A1"/>
    <w:rsid w:val="001338D3"/>
    <w:rsid w:val="00133C9B"/>
    <w:rsid w:val="00133CB8"/>
    <w:rsid w:val="00133F82"/>
    <w:rsid w:val="00133FFD"/>
    <w:rsid w:val="00134050"/>
    <w:rsid w:val="00134095"/>
    <w:rsid w:val="0013431A"/>
    <w:rsid w:val="0013478A"/>
    <w:rsid w:val="00134ECE"/>
    <w:rsid w:val="0013503B"/>
    <w:rsid w:val="001351C2"/>
    <w:rsid w:val="00135271"/>
    <w:rsid w:val="001357D3"/>
    <w:rsid w:val="00135BA7"/>
    <w:rsid w:val="00135C87"/>
    <w:rsid w:val="001360D8"/>
    <w:rsid w:val="0013678A"/>
    <w:rsid w:val="001368C0"/>
    <w:rsid w:val="00136B02"/>
    <w:rsid w:val="00136C4D"/>
    <w:rsid w:val="00136D90"/>
    <w:rsid w:val="00136FC6"/>
    <w:rsid w:val="00137289"/>
    <w:rsid w:val="001375CE"/>
    <w:rsid w:val="00137645"/>
    <w:rsid w:val="00137E63"/>
    <w:rsid w:val="00137F3E"/>
    <w:rsid w:val="0014015A"/>
    <w:rsid w:val="0014017A"/>
    <w:rsid w:val="00140386"/>
    <w:rsid w:val="0014045B"/>
    <w:rsid w:val="001406AA"/>
    <w:rsid w:val="001408B5"/>
    <w:rsid w:val="00140CB2"/>
    <w:rsid w:val="00140CD7"/>
    <w:rsid w:val="00140E4A"/>
    <w:rsid w:val="00140E99"/>
    <w:rsid w:val="00140FDB"/>
    <w:rsid w:val="001410AA"/>
    <w:rsid w:val="00141135"/>
    <w:rsid w:val="00141173"/>
    <w:rsid w:val="0014169B"/>
    <w:rsid w:val="00141BCE"/>
    <w:rsid w:val="0014214A"/>
    <w:rsid w:val="00142214"/>
    <w:rsid w:val="0014248A"/>
    <w:rsid w:val="001425AD"/>
    <w:rsid w:val="00142850"/>
    <w:rsid w:val="0014292B"/>
    <w:rsid w:val="00142AF8"/>
    <w:rsid w:val="00142B9D"/>
    <w:rsid w:val="00142D60"/>
    <w:rsid w:val="00142DF7"/>
    <w:rsid w:val="00142ED2"/>
    <w:rsid w:val="001430CA"/>
    <w:rsid w:val="001430FA"/>
    <w:rsid w:val="001438EC"/>
    <w:rsid w:val="00143900"/>
    <w:rsid w:val="001439CF"/>
    <w:rsid w:val="00143A42"/>
    <w:rsid w:val="00143C79"/>
    <w:rsid w:val="00143CC3"/>
    <w:rsid w:val="00143E25"/>
    <w:rsid w:val="00143ED8"/>
    <w:rsid w:val="001440F4"/>
    <w:rsid w:val="001444F3"/>
    <w:rsid w:val="00145261"/>
    <w:rsid w:val="00145540"/>
    <w:rsid w:val="0014564F"/>
    <w:rsid w:val="001456B0"/>
    <w:rsid w:val="001456EA"/>
    <w:rsid w:val="001458F4"/>
    <w:rsid w:val="001459C9"/>
    <w:rsid w:val="00145AF7"/>
    <w:rsid w:val="00145BB5"/>
    <w:rsid w:val="00146127"/>
    <w:rsid w:val="0014615A"/>
    <w:rsid w:val="00146223"/>
    <w:rsid w:val="0014628E"/>
    <w:rsid w:val="0014636A"/>
    <w:rsid w:val="00146477"/>
    <w:rsid w:val="00146ADA"/>
    <w:rsid w:val="00146BBA"/>
    <w:rsid w:val="0014777B"/>
    <w:rsid w:val="00147921"/>
    <w:rsid w:val="00147A8A"/>
    <w:rsid w:val="00147AED"/>
    <w:rsid w:val="00147BB2"/>
    <w:rsid w:val="00147C1D"/>
    <w:rsid w:val="00147D15"/>
    <w:rsid w:val="00150087"/>
    <w:rsid w:val="001502F6"/>
    <w:rsid w:val="001505B2"/>
    <w:rsid w:val="00150B3E"/>
    <w:rsid w:val="00150C49"/>
    <w:rsid w:val="00151387"/>
    <w:rsid w:val="00151901"/>
    <w:rsid w:val="00151B45"/>
    <w:rsid w:val="00151D34"/>
    <w:rsid w:val="00152244"/>
    <w:rsid w:val="001523D1"/>
    <w:rsid w:val="0015247E"/>
    <w:rsid w:val="001526C0"/>
    <w:rsid w:val="00152795"/>
    <w:rsid w:val="001531B6"/>
    <w:rsid w:val="00153B63"/>
    <w:rsid w:val="00153CAE"/>
    <w:rsid w:val="00153F70"/>
    <w:rsid w:val="00154054"/>
    <w:rsid w:val="00154080"/>
    <w:rsid w:val="00154095"/>
    <w:rsid w:val="001544A1"/>
    <w:rsid w:val="00154531"/>
    <w:rsid w:val="00154B18"/>
    <w:rsid w:val="00154B31"/>
    <w:rsid w:val="00154B59"/>
    <w:rsid w:val="00154CCB"/>
    <w:rsid w:val="0015510B"/>
    <w:rsid w:val="0015518A"/>
    <w:rsid w:val="00155201"/>
    <w:rsid w:val="001552B6"/>
    <w:rsid w:val="00155327"/>
    <w:rsid w:val="0015533E"/>
    <w:rsid w:val="00155568"/>
    <w:rsid w:val="001555B3"/>
    <w:rsid w:val="00155B39"/>
    <w:rsid w:val="00155C42"/>
    <w:rsid w:val="00155CAF"/>
    <w:rsid w:val="00155D86"/>
    <w:rsid w:val="0015620E"/>
    <w:rsid w:val="0015684C"/>
    <w:rsid w:val="001568C6"/>
    <w:rsid w:val="00157012"/>
    <w:rsid w:val="00157130"/>
    <w:rsid w:val="00157519"/>
    <w:rsid w:val="001576F2"/>
    <w:rsid w:val="00157768"/>
    <w:rsid w:val="00157A09"/>
    <w:rsid w:val="00157A2D"/>
    <w:rsid w:val="00157AAF"/>
    <w:rsid w:val="00157AEF"/>
    <w:rsid w:val="00157BF9"/>
    <w:rsid w:val="0016005F"/>
    <w:rsid w:val="00160105"/>
    <w:rsid w:val="0016018A"/>
    <w:rsid w:val="00160A49"/>
    <w:rsid w:val="00160DCF"/>
    <w:rsid w:val="00160F21"/>
    <w:rsid w:val="00160FF7"/>
    <w:rsid w:val="0016162E"/>
    <w:rsid w:val="0016164F"/>
    <w:rsid w:val="00161B3A"/>
    <w:rsid w:val="00161C2B"/>
    <w:rsid w:val="00161E28"/>
    <w:rsid w:val="00161F89"/>
    <w:rsid w:val="001620E8"/>
    <w:rsid w:val="0016217A"/>
    <w:rsid w:val="0016221E"/>
    <w:rsid w:val="0016223C"/>
    <w:rsid w:val="00162913"/>
    <w:rsid w:val="00162ED4"/>
    <w:rsid w:val="0016303B"/>
    <w:rsid w:val="00163628"/>
    <w:rsid w:val="00163906"/>
    <w:rsid w:val="00163EFF"/>
    <w:rsid w:val="00163F97"/>
    <w:rsid w:val="0016408A"/>
    <w:rsid w:val="001641FB"/>
    <w:rsid w:val="001643D0"/>
    <w:rsid w:val="00164782"/>
    <w:rsid w:val="00164984"/>
    <w:rsid w:val="00164B17"/>
    <w:rsid w:val="00164B19"/>
    <w:rsid w:val="00164D4A"/>
    <w:rsid w:val="00164D4B"/>
    <w:rsid w:val="00164D5E"/>
    <w:rsid w:val="001653EF"/>
    <w:rsid w:val="001655DD"/>
    <w:rsid w:val="001656DB"/>
    <w:rsid w:val="001657D9"/>
    <w:rsid w:val="0016583B"/>
    <w:rsid w:val="001658DC"/>
    <w:rsid w:val="001659E6"/>
    <w:rsid w:val="00165CBD"/>
    <w:rsid w:val="00165CC4"/>
    <w:rsid w:val="00165DDC"/>
    <w:rsid w:val="00165EC4"/>
    <w:rsid w:val="001661FB"/>
    <w:rsid w:val="00166593"/>
    <w:rsid w:val="001666AE"/>
    <w:rsid w:val="00166912"/>
    <w:rsid w:val="00166ADD"/>
    <w:rsid w:val="00166C74"/>
    <w:rsid w:val="00166CB1"/>
    <w:rsid w:val="0016716F"/>
    <w:rsid w:val="0016723A"/>
    <w:rsid w:val="00167492"/>
    <w:rsid w:val="00167917"/>
    <w:rsid w:val="00167B3C"/>
    <w:rsid w:val="0017002B"/>
    <w:rsid w:val="0017002D"/>
    <w:rsid w:val="00170447"/>
    <w:rsid w:val="0017067D"/>
    <w:rsid w:val="00170898"/>
    <w:rsid w:val="00170972"/>
    <w:rsid w:val="00171045"/>
    <w:rsid w:val="001712CE"/>
    <w:rsid w:val="0017152A"/>
    <w:rsid w:val="0017175D"/>
    <w:rsid w:val="0017183A"/>
    <w:rsid w:val="0017184C"/>
    <w:rsid w:val="001719A7"/>
    <w:rsid w:val="00171A8A"/>
    <w:rsid w:val="00171CDD"/>
    <w:rsid w:val="00171DC5"/>
    <w:rsid w:val="00171E88"/>
    <w:rsid w:val="001720CD"/>
    <w:rsid w:val="0017261A"/>
    <w:rsid w:val="00172724"/>
    <w:rsid w:val="001727B6"/>
    <w:rsid w:val="00172920"/>
    <w:rsid w:val="00172933"/>
    <w:rsid w:val="00172951"/>
    <w:rsid w:val="00172987"/>
    <w:rsid w:val="00172C4E"/>
    <w:rsid w:val="00172CFA"/>
    <w:rsid w:val="00172D3E"/>
    <w:rsid w:val="00172E28"/>
    <w:rsid w:val="00172E7C"/>
    <w:rsid w:val="00173342"/>
    <w:rsid w:val="00173371"/>
    <w:rsid w:val="00173797"/>
    <w:rsid w:val="00173D46"/>
    <w:rsid w:val="00173E4D"/>
    <w:rsid w:val="00173EF6"/>
    <w:rsid w:val="001741E6"/>
    <w:rsid w:val="00174236"/>
    <w:rsid w:val="001742E6"/>
    <w:rsid w:val="00174303"/>
    <w:rsid w:val="001745AE"/>
    <w:rsid w:val="00174945"/>
    <w:rsid w:val="00174993"/>
    <w:rsid w:val="00174FB6"/>
    <w:rsid w:val="00175594"/>
    <w:rsid w:val="00175628"/>
    <w:rsid w:val="00175771"/>
    <w:rsid w:val="00175897"/>
    <w:rsid w:val="00175A63"/>
    <w:rsid w:val="00175AF1"/>
    <w:rsid w:val="00176358"/>
    <w:rsid w:val="001764F7"/>
    <w:rsid w:val="00176AE1"/>
    <w:rsid w:val="00176D35"/>
    <w:rsid w:val="001771C2"/>
    <w:rsid w:val="00177569"/>
    <w:rsid w:val="0017774A"/>
    <w:rsid w:val="001778E3"/>
    <w:rsid w:val="00177A87"/>
    <w:rsid w:val="00177D08"/>
    <w:rsid w:val="00177D4E"/>
    <w:rsid w:val="00180045"/>
    <w:rsid w:val="00180180"/>
    <w:rsid w:val="0018041E"/>
    <w:rsid w:val="001805D2"/>
    <w:rsid w:val="00180691"/>
    <w:rsid w:val="00180986"/>
    <w:rsid w:val="00180B87"/>
    <w:rsid w:val="00180CBA"/>
    <w:rsid w:val="00180CE9"/>
    <w:rsid w:val="00180E70"/>
    <w:rsid w:val="001815D2"/>
    <w:rsid w:val="001819A2"/>
    <w:rsid w:val="00181A1A"/>
    <w:rsid w:val="00181A32"/>
    <w:rsid w:val="00181A8B"/>
    <w:rsid w:val="00181ABE"/>
    <w:rsid w:val="00181E08"/>
    <w:rsid w:val="00182299"/>
    <w:rsid w:val="0018234D"/>
    <w:rsid w:val="0018237D"/>
    <w:rsid w:val="001823BB"/>
    <w:rsid w:val="00182521"/>
    <w:rsid w:val="0018271D"/>
    <w:rsid w:val="001828D8"/>
    <w:rsid w:val="00182BE9"/>
    <w:rsid w:val="0018307A"/>
    <w:rsid w:val="00183132"/>
    <w:rsid w:val="00183148"/>
    <w:rsid w:val="00183225"/>
    <w:rsid w:val="001836E4"/>
    <w:rsid w:val="00183727"/>
    <w:rsid w:val="00183B23"/>
    <w:rsid w:val="00183C2D"/>
    <w:rsid w:val="00183FBC"/>
    <w:rsid w:val="00183FDF"/>
    <w:rsid w:val="00184071"/>
    <w:rsid w:val="001840A5"/>
    <w:rsid w:val="0018410D"/>
    <w:rsid w:val="0018438C"/>
    <w:rsid w:val="00184B28"/>
    <w:rsid w:val="00184B67"/>
    <w:rsid w:val="00184DD6"/>
    <w:rsid w:val="0018501F"/>
    <w:rsid w:val="0018527C"/>
    <w:rsid w:val="001854DE"/>
    <w:rsid w:val="001855AF"/>
    <w:rsid w:val="00185F85"/>
    <w:rsid w:val="001860FE"/>
    <w:rsid w:val="00186169"/>
    <w:rsid w:val="001861DC"/>
    <w:rsid w:val="001861EE"/>
    <w:rsid w:val="00186213"/>
    <w:rsid w:val="00186309"/>
    <w:rsid w:val="0018633B"/>
    <w:rsid w:val="00186569"/>
    <w:rsid w:val="001865EE"/>
    <w:rsid w:val="0018694A"/>
    <w:rsid w:val="001869B1"/>
    <w:rsid w:val="00186DAE"/>
    <w:rsid w:val="0018706E"/>
    <w:rsid w:val="001872D2"/>
    <w:rsid w:val="00187428"/>
    <w:rsid w:val="0018752F"/>
    <w:rsid w:val="0018777C"/>
    <w:rsid w:val="00187804"/>
    <w:rsid w:val="001879C8"/>
    <w:rsid w:val="00187DE4"/>
    <w:rsid w:val="00187E44"/>
    <w:rsid w:val="00187E64"/>
    <w:rsid w:val="0019024C"/>
    <w:rsid w:val="00190273"/>
    <w:rsid w:val="001903B0"/>
    <w:rsid w:val="001904E2"/>
    <w:rsid w:val="00190555"/>
    <w:rsid w:val="00190608"/>
    <w:rsid w:val="0019065F"/>
    <w:rsid w:val="00190707"/>
    <w:rsid w:val="00190D64"/>
    <w:rsid w:val="00190F73"/>
    <w:rsid w:val="00190F9E"/>
    <w:rsid w:val="00191998"/>
    <w:rsid w:val="001919D1"/>
    <w:rsid w:val="00191A4D"/>
    <w:rsid w:val="00191AB9"/>
    <w:rsid w:val="0019280C"/>
    <w:rsid w:val="001928D9"/>
    <w:rsid w:val="00192A46"/>
    <w:rsid w:val="00192C70"/>
    <w:rsid w:val="001931BF"/>
    <w:rsid w:val="001933D6"/>
    <w:rsid w:val="0019355A"/>
    <w:rsid w:val="001936EE"/>
    <w:rsid w:val="00193930"/>
    <w:rsid w:val="00193A11"/>
    <w:rsid w:val="00193AAC"/>
    <w:rsid w:val="00193B83"/>
    <w:rsid w:val="00193BBF"/>
    <w:rsid w:val="0019421F"/>
    <w:rsid w:val="00194540"/>
    <w:rsid w:val="001948DF"/>
    <w:rsid w:val="00194A9A"/>
    <w:rsid w:val="00194AE1"/>
    <w:rsid w:val="00194B27"/>
    <w:rsid w:val="00194B9D"/>
    <w:rsid w:val="00194C33"/>
    <w:rsid w:val="00194E39"/>
    <w:rsid w:val="00194F86"/>
    <w:rsid w:val="00195222"/>
    <w:rsid w:val="00195434"/>
    <w:rsid w:val="0019549E"/>
    <w:rsid w:val="001955BD"/>
    <w:rsid w:val="001958AE"/>
    <w:rsid w:val="00195952"/>
    <w:rsid w:val="0019597C"/>
    <w:rsid w:val="00195C55"/>
    <w:rsid w:val="00195D14"/>
    <w:rsid w:val="00195D8B"/>
    <w:rsid w:val="0019602E"/>
    <w:rsid w:val="00196517"/>
    <w:rsid w:val="00196998"/>
    <w:rsid w:val="00196BC5"/>
    <w:rsid w:val="00196BCD"/>
    <w:rsid w:val="00196E3A"/>
    <w:rsid w:val="00196F91"/>
    <w:rsid w:val="00196FFA"/>
    <w:rsid w:val="001973B0"/>
    <w:rsid w:val="001975D8"/>
    <w:rsid w:val="001975E1"/>
    <w:rsid w:val="001977D5"/>
    <w:rsid w:val="00197AE8"/>
    <w:rsid w:val="00197B6F"/>
    <w:rsid w:val="00197DDB"/>
    <w:rsid w:val="00197E46"/>
    <w:rsid w:val="001A0135"/>
    <w:rsid w:val="001A0B0F"/>
    <w:rsid w:val="001A0E09"/>
    <w:rsid w:val="001A104A"/>
    <w:rsid w:val="001A1273"/>
    <w:rsid w:val="001A141A"/>
    <w:rsid w:val="001A1437"/>
    <w:rsid w:val="001A15D4"/>
    <w:rsid w:val="001A15D6"/>
    <w:rsid w:val="001A1DF5"/>
    <w:rsid w:val="001A1F72"/>
    <w:rsid w:val="001A210C"/>
    <w:rsid w:val="001A2458"/>
    <w:rsid w:val="001A25E3"/>
    <w:rsid w:val="001A2865"/>
    <w:rsid w:val="001A2930"/>
    <w:rsid w:val="001A2E79"/>
    <w:rsid w:val="001A2EB7"/>
    <w:rsid w:val="001A3016"/>
    <w:rsid w:val="001A3220"/>
    <w:rsid w:val="001A33BC"/>
    <w:rsid w:val="001A376D"/>
    <w:rsid w:val="001A3A55"/>
    <w:rsid w:val="001A3B3A"/>
    <w:rsid w:val="001A3D8B"/>
    <w:rsid w:val="001A42D0"/>
    <w:rsid w:val="001A4475"/>
    <w:rsid w:val="001A462C"/>
    <w:rsid w:val="001A47B8"/>
    <w:rsid w:val="001A50B1"/>
    <w:rsid w:val="001A519F"/>
    <w:rsid w:val="001A51E9"/>
    <w:rsid w:val="001A5342"/>
    <w:rsid w:val="001A5557"/>
    <w:rsid w:val="001A5AA0"/>
    <w:rsid w:val="001A5AD1"/>
    <w:rsid w:val="001A5C97"/>
    <w:rsid w:val="001A5DDB"/>
    <w:rsid w:val="001A602B"/>
    <w:rsid w:val="001A613A"/>
    <w:rsid w:val="001A6472"/>
    <w:rsid w:val="001A6478"/>
    <w:rsid w:val="001A65C4"/>
    <w:rsid w:val="001A678F"/>
    <w:rsid w:val="001A691F"/>
    <w:rsid w:val="001A6A02"/>
    <w:rsid w:val="001A6FD4"/>
    <w:rsid w:val="001A7331"/>
    <w:rsid w:val="001A746F"/>
    <w:rsid w:val="001A7518"/>
    <w:rsid w:val="001A7932"/>
    <w:rsid w:val="001A7C3C"/>
    <w:rsid w:val="001A7E89"/>
    <w:rsid w:val="001B0099"/>
    <w:rsid w:val="001B01EC"/>
    <w:rsid w:val="001B03A6"/>
    <w:rsid w:val="001B0416"/>
    <w:rsid w:val="001B0625"/>
    <w:rsid w:val="001B063D"/>
    <w:rsid w:val="001B070B"/>
    <w:rsid w:val="001B073A"/>
    <w:rsid w:val="001B0831"/>
    <w:rsid w:val="001B0C5B"/>
    <w:rsid w:val="001B1087"/>
    <w:rsid w:val="001B129F"/>
    <w:rsid w:val="001B156D"/>
    <w:rsid w:val="001B1869"/>
    <w:rsid w:val="001B1BDD"/>
    <w:rsid w:val="001B1C78"/>
    <w:rsid w:val="001B1CE0"/>
    <w:rsid w:val="001B1E7B"/>
    <w:rsid w:val="001B22F8"/>
    <w:rsid w:val="001B2660"/>
    <w:rsid w:val="001B28CB"/>
    <w:rsid w:val="001B2B6A"/>
    <w:rsid w:val="001B2D41"/>
    <w:rsid w:val="001B2F5D"/>
    <w:rsid w:val="001B2FEA"/>
    <w:rsid w:val="001B3209"/>
    <w:rsid w:val="001B3331"/>
    <w:rsid w:val="001B3443"/>
    <w:rsid w:val="001B3801"/>
    <w:rsid w:val="001B3AFC"/>
    <w:rsid w:val="001B3DB0"/>
    <w:rsid w:val="001B3FC1"/>
    <w:rsid w:val="001B4127"/>
    <w:rsid w:val="001B4572"/>
    <w:rsid w:val="001B4A2B"/>
    <w:rsid w:val="001B4F80"/>
    <w:rsid w:val="001B4FFB"/>
    <w:rsid w:val="001B516D"/>
    <w:rsid w:val="001B517D"/>
    <w:rsid w:val="001B53F3"/>
    <w:rsid w:val="001B54B8"/>
    <w:rsid w:val="001B560E"/>
    <w:rsid w:val="001B5644"/>
    <w:rsid w:val="001B5935"/>
    <w:rsid w:val="001B5A18"/>
    <w:rsid w:val="001B5BCF"/>
    <w:rsid w:val="001B5BD9"/>
    <w:rsid w:val="001B5D6C"/>
    <w:rsid w:val="001B6351"/>
    <w:rsid w:val="001B65A0"/>
    <w:rsid w:val="001B6702"/>
    <w:rsid w:val="001B68AB"/>
    <w:rsid w:val="001B6A83"/>
    <w:rsid w:val="001B6AAA"/>
    <w:rsid w:val="001B6B79"/>
    <w:rsid w:val="001B6CA9"/>
    <w:rsid w:val="001B6DF2"/>
    <w:rsid w:val="001B6FCA"/>
    <w:rsid w:val="001B7034"/>
    <w:rsid w:val="001B7242"/>
    <w:rsid w:val="001B7862"/>
    <w:rsid w:val="001B7AFF"/>
    <w:rsid w:val="001B7ECD"/>
    <w:rsid w:val="001C0053"/>
    <w:rsid w:val="001C0233"/>
    <w:rsid w:val="001C0658"/>
    <w:rsid w:val="001C0CA6"/>
    <w:rsid w:val="001C0FDA"/>
    <w:rsid w:val="001C11A5"/>
    <w:rsid w:val="001C1455"/>
    <w:rsid w:val="001C166A"/>
    <w:rsid w:val="001C1722"/>
    <w:rsid w:val="001C17F0"/>
    <w:rsid w:val="001C1953"/>
    <w:rsid w:val="001C1A89"/>
    <w:rsid w:val="001C1AD9"/>
    <w:rsid w:val="001C1DFE"/>
    <w:rsid w:val="001C1EF6"/>
    <w:rsid w:val="001C2069"/>
    <w:rsid w:val="001C21EB"/>
    <w:rsid w:val="001C2375"/>
    <w:rsid w:val="001C23FF"/>
    <w:rsid w:val="001C243D"/>
    <w:rsid w:val="001C25A2"/>
    <w:rsid w:val="001C26E0"/>
    <w:rsid w:val="001C27B5"/>
    <w:rsid w:val="001C295F"/>
    <w:rsid w:val="001C2AD1"/>
    <w:rsid w:val="001C2D89"/>
    <w:rsid w:val="001C318F"/>
    <w:rsid w:val="001C33B4"/>
    <w:rsid w:val="001C3443"/>
    <w:rsid w:val="001C354A"/>
    <w:rsid w:val="001C35FD"/>
    <w:rsid w:val="001C3670"/>
    <w:rsid w:val="001C393F"/>
    <w:rsid w:val="001C395A"/>
    <w:rsid w:val="001C3C06"/>
    <w:rsid w:val="001C3CF8"/>
    <w:rsid w:val="001C3EC3"/>
    <w:rsid w:val="001C3F64"/>
    <w:rsid w:val="001C40F7"/>
    <w:rsid w:val="001C449C"/>
    <w:rsid w:val="001C453F"/>
    <w:rsid w:val="001C45CA"/>
    <w:rsid w:val="001C46A9"/>
    <w:rsid w:val="001C4CB6"/>
    <w:rsid w:val="001C4CEF"/>
    <w:rsid w:val="001C5056"/>
    <w:rsid w:val="001C52AD"/>
    <w:rsid w:val="001C5332"/>
    <w:rsid w:val="001C53B3"/>
    <w:rsid w:val="001C543D"/>
    <w:rsid w:val="001C5A41"/>
    <w:rsid w:val="001C5C68"/>
    <w:rsid w:val="001C5E90"/>
    <w:rsid w:val="001C618A"/>
    <w:rsid w:val="001C65C1"/>
    <w:rsid w:val="001C663F"/>
    <w:rsid w:val="001C682B"/>
    <w:rsid w:val="001C6934"/>
    <w:rsid w:val="001C6B22"/>
    <w:rsid w:val="001C6D07"/>
    <w:rsid w:val="001C6DFF"/>
    <w:rsid w:val="001C6E66"/>
    <w:rsid w:val="001C6F9C"/>
    <w:rsid w:val="001C716D"/>
    <w:rsid w:val="001C758B"/>
    <w:rsid w:val="001C7802"/>
    <w:rsid w:val="001C7989"/>
    <w:rsid w:val="001C7C94"/>
    <w:rsid w:val="001D0288"/>
    <w:rsid w:val="001D05E0"/>
    <w:rsid w:val="001D0756"/>
    <w:rsid w:val="001D0881"/>
    <w:rsid w:val="001D0B4F"/>
    <w:rsid w:val="001D0D33"/>
    <w:rsid w:val="001D0EAD"/>
    <w:rsid w:val="001D104F"/>
    <w:rsid w:val="001D1079"/>
    <w:rsid w:val="001D16D8"/>
    <w:rsid w:val="001D176A"/>
    <w:rsid w:val="001D1BE3"/>
    <w:rsid w:val="001D1C82"/>
    <w:rsid w:val="001D1C94"/>
    <w:rsid w:val="001D1E38"/>
    <w:rsid w:val="001D1EDF"/>
    <w:rsid w:val="001D1F20"/>
    <w:rsid w:val="001D2040"/>
    <w:rsid w:val="001D2216"/>
    <w:rsid w:val="001D24F4"/>
    <w:rsid w:val="001D287B"/>
    <w:rsid w:val="001D2AB2"/>
    <w:rsid w:val="001D2CCD"/>
    <w:rsid w:val="001D2D6B"/>
    <w:rsid w:val="001D308A"/>
    <w:rsid w:val="001D332D"/>
    <w:rsid w:val="001D35DB"/>
    <w:rsid w:val="001D374B"/>
    <w:rsid w:val="001D3982"/>
    <w:rsid w:val="001D39C9"/>
    <w:rsid w:val="001D3A11"/>
    <w:rsid w:val="001D3E16"/>
    <w:rsid w:val="001D3E40"/>
    <w:rsid w:val="001D3E7D"/>
    <w:rsid w:val="001D4112"/>
    <w:rsid w:val="001D431D"/>
    <w:rsid w:val="001D47BE"/>
    <w:rsid w:val="001D4872"/>
    <w:rsid w:val="001D4C0E"/>
    <w:rsid w:val="001D4F7D"/>
    <w:rsid w:val="001D4F91"/>
    <w:rsid w:val="001D523D"/>
    <w:rsid w:val="001D53FE"/>
    <w:rsid w:val="001D5556"/>
    <w:rsid w:val="001D58DE"/>
    <w:rsid w:val="001D599B"/>
    <w:rsid w:val="001D59BF"/>
    <w:rsid w:val="001D5A07"/>
    <w:rsid w:val="001D5D79"/>
    <w:rsid w:val="001D5E6B"/>
    <w:rsid w:val="001D5EC3"/>
    <w:rsid w:val="001D6008"/>
    <w:rsid w:val="001D60C7"/>
    <w:rsid w:val="001D6389"/>
    <w:rsid w:val="001D6A26"/>
    <w:rsid w:val="001D6A90"/>
    <w:rsid w:val="001D6C4A"/>
    <w:rsid w:val="001D6C6E"/>
    <w:rsid w:val="001D6CFD"/>
    <w:rsid w:val="001D6E62"/>
    <w:rsid w:val="001D6F75"/>
    <w:rsid w:val="001D70B8"/>
    <w:rsid w:val="001D72C7"/>
    <w:rsid w:val="001D72CB"/>
    <w:rsid w:val="001D7335"/>
    <w:rsid w:val="001D73E0"/>
    <w:rsid w:val="001D748C"/>
    <w:rsid w:val="001D7558"/>
    <w:rsid w:val="001D7BFA"/>
    <w:rsid w:val="001D7CCE"/>
    <w:rsid w:val="001D7D06"/>
    <w:rsid w:val="001D7FEF"/>
    <w:rsid w:val="001E00F2"/>
    <w:rsid w:val="001E0149"/>
    <w:rsid w:val="001E022B"/>
    <w:rsid w:val="001E0231"/>
    <w:rsid w:val="001E0304"/>
    <w:rsid w:val="001E031B"/>
    <w:rsid w:val="001E04CA"/>
    <w:rsid w:val="001E0516"/>
    <w:rsid w:val="001E09CE"/>
    <w:rsid w:val="001E09DE"/>
    <w:rsid w:val="001E0ABC"/>
    <w:rsid w:val="001E0D17"/>
    <w:rsid w:val="001E0D87"/>
    <w:rsid w:val="001E13AA"/>
    <w:rsid w:val="001E192E"/>
    <w:rsid w:val="001E1997"/>
    <w:rsid w:val="001E19B2"/>
    <w:rsid w:val="001E1C14"/>
    <w:rsid w:val="001E1CE2"/>
    <w:rsid w:val="001E1EAB"/>
    <w:rsid w:val="001E1EDE"/>
    <w:rsid w:val="001E1F9E"/>
    <w:rsid w:val="001E2030"/>
    <w:rsid w:val="001E20F9"/>
    <w:rsid w:val="001E216B"/>
    <w:rsid w:val="001E238E"/>
    <w:rsid w:val="001E239A"/>
    <w:rsid w:val="001E23BC"/>
    <w:rsid w:val="001E27A1"/>
    <w:rsid w:val="001E2B1E"/>
    <w:rsid w:val="001E2CA1"/>
    <w:rsid w:val="001E2CF0"/>
    <w:rsid w:val="001E2DE4"/>
    <w:rsid w:val="001E30FA"/>
    <w:rsid w:val="001E3177"/>
    <w:rsid w:val="001E3204"/>
    <w:rsid w:val="001E350D"/>
    <w:rsid w:val="001E36AA"/>
    <w:rsid w:val="001E3CED"/>
    <w:rsid w:val="001E3E44"/>
    <w:rsid w:val="001E4155"/>
    <w:rsid w:val="001E440D"/>
    <w:rsid w:val="001E44B0"/>
    <w:rsid w:val="001E44FD"/>
    <w:rsid w:val="001E4504"/>
    <w:rsid w:val="001E46BD"/>
    <w:rsid w:val="001E4A5B"/>
    <w:rsid w:val="001E4E08"/>
    <w:rsid w:val="001E4E9A"/>
    <w:rsid w:val="001E50DF"/>
    <w:rsid w:val="001E512C"/>
    <w:rsid w:val="001E51E1"/>
    <w:rsid w:val="001E52EB"/>
    <w:rsid w:val="001E5645"/>
    <w:rsid w:val="001E5A01"/>
    <w:rsid w:val="001E5C1B"/>
    <w:rsid w:val="001E5CB0"/>
    <w:rsid w:val="001E5CED"/>
    <w:rsid w:val="001E5D7E"/>
    <w:rsid w:val="001E5EC1"/>
    <w:rsid w:val="001E5F5E"/>
    <w:rsid w:val="001E5FCE"/>
    <w:rsid w:val="001E6209"/>
    <w:rsid w:val="001E62F4"/>
    <w:rsid w:val="001E6648"/>
    <w:rsid w:val="001E6653"/>
    <w:rsid w:val="001E6721"/>
    <w:rsid w:val="001E6727"/>
    <w:rsid w:val="001E6EBD"/>
    <w:rsid w:val="001E728E"/>
    <w:rsid w:val="001E740C"/>
    <w:rsid w:val="001E79C4"/>
    <w:rsid w:val="001E7B72"/>
    <w:rsid w:val="001E7B84"/>
    <w:rsid w:val="001E7D59"/>
    <w:rsid w:val="001F0167"/>
    <w:rsid w:val="001F01B7"/>
    <w:rsid w:val="001F02BF"/>
    <w:rsid w:val="001F0308"/>
    <w:rsid w:val="001F034A"/>
    <w:rsid w:val="001F0479"/>
    <w:rsid w:val="001F05DA"/>
    <w:rsid w:val="001F0635"/>
    <w:rsid w:val="001F06DB"/>
    <w:rsid w:val="001F078A"/>
    <w:rsid w:val="001F0A7F"/>
    <w:rsid w:val="001F0B85"/>
    <w:rsid w:val="001F0E35"/>
    <w:rsid w:val="001F0EE3"/>
    <w:rsid w:val="001F1235"/>
    <w:rsid w:val="001F14E1"/>
    <w:rsid w:val="001F15FB"/>
    <w:rsid w:val="001F18B7"/>
    <w:rsid w:val="001F1CB3"/>
    <w:rsid w:val="001F1E1E"/>
    <w:rsid w:val="001F1F42"/>
    <w:rsid w:val="001F1FFF"/>
    <w:rsid w:val="001F2057"/>
    <w:rsid w:val="001F2A17"/>
    <w:rsid w:val="001F2A35"/>
    <w:rsid w:val="001F2C30"/>
    <w:rsid w:val="001F2D58"/>
    <w:rsid w:val="001F2E8A"/>
    <w:rsid w:val="001F3106"/>
    <w:rsid w:val="001F357F"/>
    <w:rsid w:val="001F38A0"/>
    <w:rsid w:val="001F39A8"/>
    <w:rsid w:val="001F3D71"/>
    <w:rsid w:val="001F3FFF"/>
    <w:rsid w:val="001F421F"/>
    <w:rsid w:val="001F449D"/>
    <w:rsid w:val="001F456D"/>
    <w:rsid w:val="001F47E5"/>
    <w:rsid w:val="001F4864"/>
    <w:rsid w:val="001F4BCF"/>
    <w:rsid w:val="001F4CC4"/>
    <w:rsid w:val="001F545B"/>
    <w:rsid w:val="001F555E"/>
    <w:rsid w:val="001F59A7"/>
    <w:rsid w:val="001F5D1B"/>
    <w:rsid w:val="001F5EC3"/>
    <w:rsid w:val="001F6008"/>
    <w:rsid w:val="001F6182"/>
    <w:rsid w:val="001F6578"/>
    <w:rsid w:val="001F65CC"/>
    <w:rsid w:val="001F683A"/>
    <w:rsid w:val="001F6C1B"/>
    <w:rsid w:val="001F6C5A"/>
    <w:rsid w:val="001F6D62"/>
    <w:rsid w:val="001F7235"/>
    <w:rsid w:val="001F728A"/>
    <w:rsid w:val="001F7292"/>
    <w:rsid w:val="001F72AC"/>
    <w:rsid w:val="001F72E4"/>
    <w:rsid w:val="001F7342"/>
    <w:rsid w:val="001F7361"/>
    <w:rsid w:val="001F750A"/>
    <w:rsid w:val="001F7524"/>
    <w:rsid w:val="001F762D"/>
    <w:rsid w:val="001F7640"/>
    <w:rsid w:val="001F7669"/>
    <w:rsid w:val="001F77F7"/>
    <w:rsid w:val="001F795A"/>
    <w:rsid w:val="001F7B89"/>
    <w:rsid w:val="001F7EE0"/>
    <w:rsid w:val="002002D4"/>
    <w:rsid w:val="00200633"/>
    <w:rsid w:val="002008C7"/>
    <w:rsid w:val="00200978"/>
    <w:rsid w:val="00200BC1"/>
    <w:rsid w:val="00200BE1"/>
    <w:rsid w:val="00200C8C"/>
    <w:rsid w:val="00200E51"/>
    <w:rsid w:val="0020154B"/>
    <w:rsid w:val="00201795"/>
    <w:rsid w:val="00201B2B"/>
    <w:rsid w:val="00201D89"/>
    <w:rsid w:val="00202438"/>
    <w:rsid w:val="00202763"/>
    <w:rsid w:val="00202798"/>
    <w:rsid w:val="00202B2C"/>
    <w:rsid w:val="00202C09"/>
    <w:rsid w:val="00202EB8"/>
    <w:rsid w:val="0020336A"/>
    <w:rsid w:val="00203641"/>
    <w:rsid w:val="0020385F"/>
    <w:rsid w:val="00203BA0"/>
    <w:rsid w:val="00203BFA"/>
    <w:rsid w:val="00204662"/>
    <w:rsid w:val="00204B06"/>
    <w:rsid w:val="00204D0D"/>
    <w:rsid w:val="00204F08"/>
    <w:rsid w:val="002055EF"/>
    <w:rsid w:val="00205C8E"/>
    <w:rsid w:val="00205F83"/>
    <w:rsid w:val="00206394"/>
    <w:rsid w:val="002066F7"/>
    <w:rsid w:val="00206A0B"/>
    <w:rsid w:val="00207021"/>
    <w:rsid w:val="00207181"/>
    <w:rsid w:val="00207273"/>
    <w:rsid w:val="002072E2"/>
    <w:rsid w:val="00207358"/>
    <w:rsid w:val="0020744A"/>
    <w:rsid w:val="00207745"/>
    <w:rsid w:val="0020777F"/>
    <w:rsid w:val="0020786F"/>
    <w:rsid w:val="00207938"/>
    <w:rsid w:val="002079FE"/>
    <w:rsid w:val="00207D00"/>
    <w:rsid w:val="00207E09"/>
    <w:rsid w:val="00207F8A"/>
    <w:rsid w:val="00207F9A"/>
    <w:rsid w:val="00210216"/>
    <w:rsid w:val="002105C1"/>
    <w:rsid w:val="0021066C"/>
    <w:rsid w:val="00210950"/>
    <w:rsid w:val="00210D03"/>
    <w:rsid w:val="00210E39"/>
    <w:rsid w:val="00210F19"/>
    <w:rsid w:val="002110DE"/>
    <w:rsid w:val="00211144"/>
    <w:rsid w:val="0021192C"/>
    <w:rsid w:val="00211B9D"/>
    <w:rsid w:val="00211BF8"/>
    <w:rsid w:val="00211D89"/>
    <w:rsid w:val="00211FB5"/>
    <w:rsid w:val="0021209C"/>
    <w:rsid w:val="00212319"/>
    <w:rsid w:val="00212365"/>
    <w:rsid w:val="002124D8"/>
    <w:rsid w:val="00212679"/>
    <w:rsid w:val="002126EE"/>
    <w:rsid w:val="002128AD"/>
    <w:rsid w:val="0021290E"/>
    <w:rsid w:val="00212AA9"/>
    <w:rsid w:val="00212BBB"/>
    <w:rsid w:val="002130BE"/>
    <w:rsid w:val="0021316F"/>
    <w:rsid w:val="002132E6"/>
    <w:rsid w:val="0021335F"/>
    <w:rsid w:val="0021336F"/>
    <w:rsid w:val="00213931"/>
    <w:rsid w:val="00213AD5"/>
    <w:rsid w:val="00213DDD"/>
    <w:rsid w:val="00213ED5"/>
    <w:rsid w:val="0021428E"/>
    <w:rsid w:val="0021438F"/>
    <w:rsid w:val="002144F5"/>
    <w:rsid w:val="00214766"/>
    <w:rsid w:val="00214992"/>
    <w:rsid w:val="00214C52"/>
    <w:rsid w:val="00214D64"/>
    <w:rsid w:val="00214E51"/>
    <w:rsid w:val="00214EC9"/>
    <w:rsid w:val="00214FB4"/>
    <w:rsid w:val="00215327"/>
    <w:rsid w:val="0021551B"/>
    <w:rsid w:val="002156CB"/>
    <w:rsid w:val="0021581B"/>
    <w:rsid w:val="002158EF"/>
    <w:rsid w:val="00215909"/>
    <w:rsid w:val="00215B54"/>
    <w:rsid w:val="00215D6B"/>
    <w:rsid w:val="0021637D"/>
    <w:rsid w:val="0021639D"/>
    <w:rsid w:val="00216914"/>
    <w:rsid w:val="00216EF2"/>
    <w:rsid w:val="00217365"/>
    <w:rsid w:val="00217737"/>
    <w:rsid w:val="00220034"/>
    <w:rsid w:val="00220056"/>
    <w:rsid w:val="002203EF"/>
    <w:rsid w:val="00220473"/>
    <w:rsid w:val="0022050E"/>
    <w:rsid w:val="00220712"/>
    <w:rsid w:val="002207C3"/>
    <w:rsid w:val="0022098C"/>
    <w:rsid w:val="00220E1B"/>
    <w:rsid w:val="00220F4A"/>
    <w:rsid w:val="002211B8"/>
    <w:rsid w:val="00221450"/>
    <w:rsid w:val="0022151B"/>
    <w:rsid w:val="00221593"/>
    <w:rsid w:val="00221708"/>
    <w:rsid w:val="00221836"/>
    <w:rsid w:val="002218AF"/>
    <w:rsid w:val="00221F48"/>
    <w:rsid w:val="00221F5E"/>
    <w:rsid w:val="00222239"/>
    <w:rsid w:val="00222693"/>
    <w:rsid w:val="002226A5"/>
    <w:rsid w:val="002226BD"/>
    <w:rsid w:val="002226EC"/>
    <w:rsid w:val="00222816"/>
    <w:rsid w:val="00222F49"/>
    <w:rsid w:val="00222F9E"/>
    <w:rsid w:val="00223039"/>
    <w:rsid w:val="0022324A"/>
    <w:rsid w:val="00223252"/>
    <w:rsid w:val="0022366D"/>
    <w:rsid w:val="00223826"/>
    <w:rsid w:val="00223AF3"/>
    <w:rsid w:val="00223B49"/>
    <w:rsid w:val="00223CCC"/>
    <w:rsid w:val="00223E59"/>
    <w:rsid w:val="00223F9F"/>
    <w:rsid w:val="0022410F"/>
    <w:rsid w:val="0022424D"/>
    <w:rsid w:val="0022457D"/>
    <w:rsid w:val="0022459B"/>
    <w:rsid w:val="0022461F"/>
    <w:rsid w:val="00224703"/>
    <w:rsid w:val="00224749"/>
    <w:rsid w:val="0022491D"/>
    <w:rsid w:val="00224C75"/>
    <w:rsid w:val="00224CE2"/>
    <w:rsid w:val="00224DD4"/>
    <w:rsid w:val="0022541A"/>
    <w:rsid w:val="0022541D"/>
    <w:rsid w:val="00225467"/>
    <w:rsid w:val="00225483"/>
    <w:rsid w:val="00225910"/>
    <w:rsid w:val="00225A89"/>
    <w:rsid w:val="00225B98"/>
    <w:rsid w:val="00225C02"/>
    <w:rsid w:val="00225F5F"/>
    <w:rsid w:val="0022603C"/>
    <w:rsid w:val="00226151"/>
    <w:rsid w:val="0022636C"/>
    <w:rsid w:val="00226606"/>
    <w:rsid w:val="002268DC"/>
    <w:rsid w:val="00226971"/>
    <w:rsid w:val="00226A92"/>
    <w:rsid w:val="00226B00"/>
    <w:rsid w:val="00226CCA"/>
    <w:rsid w:val="00226DA4"/>
    <w:rsid w:val="00226EDC"/>
    <w:rsid w:val="00226F59"/>
    <w:rsid w:val="002272C2"/>
    <w:rsid w:val="00227441"/>
    <w:rsid w:val="002278D3"/>
    <w:rsid w:val="00227D79"/>
    <w:rsid w:val="00227F0F"/>
    <w:rsid w:val="002300BE"/>
    <w:rsid w:val="0023014F"/>
    <w:rsid w:val="002309CC"/>
    <w:rsid w:val="00230A9B"/>
    <w:rsid w:val="00230AED"/>
    <w:rsid w:val="00230C3D"/>
    <w:rsid w:val="00230D57"/>
    <w:rsid w:val="0023113B"/>
    <w:rsid w:val="00231155"/>
    <w:rsid w:val="0023132A"/>
    <w:rsid w:val="0023146A"/>
    <w:rsid w:val="002314BD"/>
    <w:rsid w:val="0023154B"/>
    <w:rsid w:val="002317A7"/>
    <w:rsid w:val="002319C1"/>
    <w:rsid w:val="00231A7F"/>
    <w:rsid w:val="00231AC6"/>
    <w:rsid w:val="00231B41"/>
    <w:rsid w:val="00231F9D"/>
    <w:rsid w:val="00231FF7"/>
    <w:rsid w:val="00232058"/>
    <w:rsid w:val="002320B1"/>
    <w:rsid w:val="002320FB"/>
    <w:rsid w:val="002322D1"/>
    <w:rsid w:val="002324F7"/>
    <w:rsid w:val="002326AC"/>
    <w:rsid w:val="00232A69"/>
    <w:rsid w:val="00232FD0"/>
    <w:rsid w:val="002330D5"/>
    <w:rsid w:val="00233185"/>
    <w:rsid w:val="00233364"/>
    <w:rsid w:val="002333BD"/>
    <w:rsid w:val="00233729"/>
    <w:rsid w:val="00233C8D"/>
    <w:rsid w:val="00233E70"/>
    <w:rsid w:val="00234340"/>
    <w:rsid w:val="00234560"/>
    <w:rsid w:val="00234EF9"/>
    <w:rsid w:val="00235349"/>
    <w:rsid w:val="00235360"/>
    <w:rsid w:val="00235542"/>
    <w:rsid w:val="002357E4"/>
    <w:rsid w:val="002358BA"/>
    <w:rsid w:val="00235909"/>
    <w:rsid w:val="0023592A"/>
    <w:rsid w:val="00235AB0"/>
    <w:rsid w:val="00235C2D"/>
    <w:rsid w:val="00235D91"/>
    <w:rsid w:val="00235E28"/>
    <w:rsid w:val="00235EE2"/>
    <w:rsid w:val="0023632A"/>
    <w:rsid w:val="0023632B"/>
    <w:rsid w:val="00236341"/>
    <w:rsid w:val="00236347"/>
    <w:rsid w:val="0023634E"/>
    <w:rsid w:val="00236351"/>
    <w:rsid w:val="0023656C"/>
    <w:rsid w:val="0023671D"/>
    <w:rsid w:val="002369F9"/>
    <w:rsid w:val="002369FC"/>
    <w:rsid w:val="00236D5C"/>
    <w:rsid w:val="002370DF"/>
    <w:rsid w:val="00237116"/>
    <w:rsid w:val="002375C7"/>
    <w:rsid w:val="002379E7"/>
    <w:rsid w:val="002379E9"/>
    <w:rsid w:val="00237BE0"/>
    <w:rsid w:val="00237E76"/>
    <w:rsid w:val="002401F9"/>
    <w:rsid w:val="0024023C"/>
    <w:rsid w:val="002403BE"/>
    <w:rsid w:val="002405A4"/>
    <w:rsid w:val="002405B1"/>
    <w:rsid w:val="00240766"/>
    <w:rsid w:val="002408B2"/>
    <w:rsid w:val="00240C10"/>
    <w:rsid w:val="00240C91"/>
    <w:rsid w:val="00241019"/>
    <w:rsid w:val="0024137D"/>
    <w:rsid w:val="00241449"/>
    <w:rsid w:val="0024170E"/>
    <w:rsid w:val="002418AF"/>
    <w:rsid w:val="0024198F"/>
    <w:rsid w:val="00241D63"/>
    <w:rsid w:val="002422E5"/>
    <w:rsid w:val="002423BE"/>
    <w:rsid w:val="0024289A"/>
    <w:rsid w:val="002428DB"/>
    <w:rsid w:val="002429D1"/>
    <w:rsid w:val="00242C85"/>
    <w:rsid w:val="00242D18"/>
    <w:rsid w:val="00242E50"/>
    <w:rsid w:val="00242E7A"/>
    <w:rsid w:val="00242EAE"/>
    <w:rsid w:val="002430E1"/>
    <w:rsid w:val="00243260"/>
    <w:rsid w:val="002432AB"/>
    <w:rsid w:val="002432F5"/>
    <w:rsid w:val="00243300"/>
    <w:rsid w:val="002434EB"/>
    <w:rsid w:val="00243757"/>
    <w:rsid w:val="002439C0"/>
    <w:rsid w:val="00243AFA"/>
    <w:rsid w:val="00243CD6"/>
    <w:rsid w:val="00243D0A"/>
    <w:rsid w:val="00243E72"/>
    <w:rsid w:val="00244105"/>
    <w:rsid w:val="0024419A"/>
    <w:rsid w:val="002442D2"/>
    <w:rsid w:val="0024464C"/>
    <w:rsid w:val="002446ED"/>
    <w:rsid w:val="00244B93"/>
    <w:rsid w:val="00244F98"/>
    <w:rsid w:val="002450CB"/>
    <w:rsid w:val="002455EB"/>
    <w:rsid w:val="002456C8"/>
    <w:rsid w:val="002456CC"/>
    <w:rsid w:val="0024581D"/>
    <w:rsid w:val="002458ED"/>
    <w:rsid w:val="00245DAA"/>
    <w:rsid w:val="00245FF1"/>
    <w:rsid w:val="002463F0"/>
    <w:rsid w:val="002468E8"/>
    <w:rsid w:val="00246A8E"/>
    <w:rsid w:val="00246CAC"/>
    <w:rsid w:val="00246F3A"/>
    <w:rsid w:val="00246FF8"/>
    <w:rsid w:val="0024744E"/>
    <w:rsid w:val="00247D56"/>
    <w:rsid w:val="00247E7A"/>
    <w:rsid w:val="00247F41"/>
    <w:rsid w:val="00250214"/>
    <w:rsid w:val="002503A7"/>
    <w:rsid w:val="00250470"/>
    <w:rsid w:val="00250793"/>
    <w:rsid w:val="002508B0"/>
    <w:rsid w:val="002509F0"/>
    <w:rsid w:val="00250CA0"/>
    <w:rsid w:val="00250DEB"/>
    <w:rsid w:val="00250FCD"/>
    <w:rsid w:val="0025145F"/>
    <w:rsid w:val="002515B2"/>
    <w:rsid w:val="00251988"/>
    <w:rsid w:val="00251D73"/>
    <w:rsid w:val="00252088"/>
    <w:rsid w:val="0025231E"/>
    <w:rsid w:val="0025253D"/>
    <w:rsid w:val="00252543"/>
    <w:rsid w:val="0025270D"/>
    <w:rsid w:val="00252722"/>
    <w:rsid w:val="0025274E"/>
    <w:rsid w:val="00252C55"/>
    <w:rsid w:val="00253177"/>
    <w:rsid w:val="00253568"/>
    <w:rsid w:val="002536A5"/>
    <w:rsid w:val="002537D3"/>
    <w:rsid w:val="0025396D"/>
    <w:rsid w:val="00253B25"/>
    <w:rsid w:val="00253ECB"/>
    <w:rsid w:val="00253FA9"/>
    <w:rsid w:val="00254082"/>
    <w:rsid w:val="0025460B"/>
    <w:rsid w:val="0025482D"/>
    <w:rsid w:val="00254928"/>
    <w:rsid w:val="00254A23"/>
    <w:rsid w:val="00254DCF"/>
    <w:rsid w:val="00254E23"/>
    <w:rsid w:val="00255114"/>
    <w:rsid w:val="00255341"/>
    <w:rsid w:val="0025534B"/>
    <w:rsid w:val="00255386"/>
    <w:rsid w:val="00255869"/>
    <w:rsid w:val="002558E3"/>
    <w:rsid w:val="00255985"/>
    <w:rsid w:val="00255BB7"/>
    <w:rsid w:val="00255D57"/>
    <w:rsid w:val="00255D9E"/>
    <w:rsid w:val="00256007"/>
    <w:rsid w:val="0025616D"/>
    <w:rsid w:val="00256254"/>
    <w:rsid w:val="00256592"/>
    <w:rsid w:val="002565EF"/>
    <w:rsid w:val="002569A7"/>
    <w:rsid w:val="00256B9C"/>
    <w:rsid w:val="00256DAE"/>
    <w:rsid w:val="00256ECA"/>
    <w:rsid w:val="00257069"/>
    <w:rsid w:val="002570CB"/>
    <w:rsid w:val="00257241"/>
    <w:rsid w:val="002572F9"/>
    <w:rsid w:val="002574F3"/>
    <w:rsid w:val="00257602"/>
    <w:rsid w:val="002578F4"/>
    <w:rsid w:val="00257C1D"/>
    <w:rsid w:val="00257DA7"/>
    <w:rsid w:val="00260017"/>
    <w:rsid w:val="00260545"/>
    <w:rsid w:val="00260870"/>
    <w:rsid w:val="002609EA"/>
    <w:rsid w:val="00260B31"/>
    <w:rsid w:val="00260CDB"/>
    <w:rsid w:val="00261403"/>
    <w:rsid w:val="002616A7"/>
    <w:rsid w:val="0026183B"/>
    <w:rsid w:val="00261883"/>
    <w:rsid w:val="00261C5C"/>
    <w:rsid w:val="00261CE8"/>
    <w:rsid w:val="00261E12"/>
    <w:rsid w:val="00262341"/>
    <w:rsid w:val="00262738"/>
    <w:rsid w:val="002629CD"/>
    <w:rsid w:val="00262A87"/>
    <w:rsid w:val="00262B95"/>
    <w:rsid w:val="00262D1E"/>
    <w:rsid w:val="002632EC"/>
    <w:rsid w:val="00263305"/>
    <w:rsid w:val="00263560"/>
    <w:rsid w:val="002636DC"/>
    <w:rsid w:val="002636E4"/>
    <w:rsid w:val="002638CF"/>
    <w:rsid w:val="00263B95"/>
    <w:rsid w:val="00263EC7"/>
    <w:rsid w:val="00263F64"/>
    <w:rsid w:val="00263FFD"/>
    <w:rsid w:val="00264081"/>
    <w:rsid w:val="002641A8"/>
    <w:rsid w:val="00264414"/>
    <w:rsid w:val="00264503"/>
    <w:rsid w:val="0026455B"/>
    <w:rsid w:val="002647F5"/>
    <w:rsid w:val="00264910"/>
    <w:rsid w:val="00264979"/>
    <w:rsid w:val="002649E7"/>
    <w:rsid w:val="00264C20"/>
    <w:rsid w:val="00264CFC"/>
    <w:rsid w:val="002656B1"/>
    <w:rsid w:val="00265734"/>
    <w:rsid w:val="00265DED"/>
    <w:rsid w:val="00265E0D"/>
    <w:rsid w:val="00265EFD"/>
    <w:rsid w:val="0026606D"/>
    <w:rsid w:val="0026644D"/>
    <w:rsid w:val="00266577"/>
    <w:rsid w:val="00266D51"/>
    <w:rsid w:val="00266EE3"/>
    <w:rsid w:val="00266FD3"/>
    <w:rsid w:val="0026761D"/>
    <w:rsid w:val="00267B61"/>
    <w:rsid w:val="00267EE7"/>
    <w:rsid w:val="0027048D"/>
    <w:rsid w:val="002704B0"/>
    <w:rsid w:val="00270657"/>
    <w:rsid w:val="0027074E"/>
    <w:rsid w:val="00270A64"/>
    <w:rsid w:val="00270BA0"/>
    <w:rsid w:val="00270BB8"/>
    <w:rsid w:val="00270E7D"/>
    <w:rsid w:val="00270EDE"/>
    <w:rsid w:val="002711DC"/>
    <w:rsid w:val="00271330"/>
    <w:rsid w:val="002715D0"/>
    <w:rsid w:val="0027166E"/>
    <w:rsid w:val="0027188A"/>
    <w:rsid w:val="00271B52"/>
    <w:rsid w:val="00271BD7"/>
    <w:rsid w:val="00271C98"/>
    <w:rsid w:val="00271D47"/>
    <w:rsid w:val="00271FDB"/>
    <w:rsid w:val="00272017"/>
    <w:rsid w:val="00272543"/>
    <w:rsid w:val="0027258F"/>
    <w:rsid w:val="00272753"/>
    <w:rsid w:val="00273293"/>
    <w:rsid w:val="002732AF"/>
    <w:rsid w:val="002733C0"/>
    <w:rsid w:val="002737B4"/>
    <w:rsid w:val="00273AEF"/>
    <w:rsid w:val="00273B09"/>
    <w:rsid w:val="00273C93"/>
    <w:rsid w:val="00273D46"/>
    <w:rsid w:val="00274003"/>
    <w:rsid w:val="002741F0"/>
    <w:rsid w:val="002743BF"/>
    <w:rsid w:val="0027452C"/>
    <w:rsid w:val="0027477A"/>
    <w:rsid w:val="00274925"/>
    <w:rsid w:val="00274E1E"/>
    <w:rsid w:val="00275328"/>
    <w:rsid w:val="0027536A"/>
    <w:rsid w:val="00275649"/>
    <w:rsid w:val="00275771"/>
    <w:rsid w:val="002759D7"/>
    <w:rsid w:val="00275C5A"/>
    <w:rsid w:val="00275F02"/>
    <w:rsid w:val="002762EB"/>
    <w:rsid w:val="00276410"/>
    <w:rsid w:val="00276559"/>
    <w:rsid w:val="00276597"/>
    <w:rsid w:val="00276A17"/>
    <w:rsid w:val="00276E1A"/>
    <w:rsid w:val="00276F3A"/>
    <w:rsid w:val="0027732A"/>
    <w:rsid w:val="00277407"/>
    <w:rsid w:val="00277E1E"/>
    <w:rsid w:val="00277E6A"/>
    <w:rsid w:val="00277F4C"/>
    <w:rsid w:val="002802A8"/>
    <w:rsid w:val="00280354"/>
    <w:rsid w:val="002804EA"/>
    <w:rsid w:val="002808AD"/>
    <w:rsid w:val="00280934"/>
    <w:rsid w:val="002809F6"/>
    <w:rsid w:val="00280AEB"/>
    <w:rsid w:val="00280B98"/>
    <w:rsid w:val="00280C82"/>
    <w:rsid w:val="00281014"/>
    <w:rsid w:val="00281305"/>
    <w:rsid w:val="00281378"/>
    <w:rsid w:val="0028163E"/>
    <w:rsid w:val="002816E1"/>
    <w:rsid w:val="00281BDC"/>
    <w:rsid w:val="00281C28"/>
    <w:rsid w:val="00281D41"/>
    <w:rsid w:val="00281E6E"/>
    <w:rsid w:val="002824D7"/>
    <w:rsid w:val="0028269A"/>
    <w:rsid w:val="00282986"/>
    <w:rsid w:val="00282CB7"/>
    <w:rsid w:val="00282EA8"/>
    <w:rsid w:val="00282F75"/>
    <w:rsid w:val="00283204"/>
    <w:rsid w:val="00283503"/>
    <w:rsid w:val="002837DE"/>
    <w:rsid w:val="00283ED9"/>
    <w:rsid w:val="00284290"/>
    <w:rsid w:val="00284304"/>
    <w:rsid w:val="00284328"/>
    <w:rsid w:val="002843C0"/>
    <w:rsid w:val="002843F9"/>
    <w:rsid w:val="002843FB"/>
    <w:rsid w:val="0028444B"/>
    <w:rsid w:val="00284664"/>
    <w:rsid w:val="002846D8"/>
    <w:rsid w:val="002847AB"/>
    <w:rsid w:val="00284D6F"/>
    <w:rsid w:val="00284E80"/>
    <w:rsid w:val="00284F0A"/>
    <w:rsid w:val="002850B2"/>
    <w:rsid w:val="0028512D"/>
    <w:rsid w:val="002851AA"/>
    <w:rsid w:val="002852AA"/>
    <w:rsid w:val="00285540"/>
    <w:rsid w:val="002855C5"/>
    <w:rsid w:val="002855E0"/>
    <w:rsid w:val="00285685"/>
    <w:rsid w:val="002859B5"/>
    <w:rsid w:val="00285AB5"/>
    <w:rsid w:val="00285B4B"/>
    <w:rsid w:val="00285BDF"/>
    <w:rsid w:val="00286218"/>
    <w:rsid w:val="00286517"/>
    <w:rsid w:val="00286A65"/>
    <w:rsid w:val="00286B60"/>
    <w:rsid w:val="00286CD0"/>
    <w:rsid w:val="002870A2"/>
    <w:rsid w:val="00287309"/>
    <w:rsid w:val="00287776"/>
    <w:rsid w:val="00287972"/>
    <w:rsid w:val="00287AFE"/>
    <w:rsid w:val="00287E02"/>
    <w:rsid w:val="00287EC8"/>
    <w:rsid w:val="00287F1C"/>
    <w:rsid w:val="00290005"/>
    <w:rsid w:val="00290301"/>
    <w:rsid w:val="0029042D"/>
    <w:rsid w:val="00290685"/>
    <w:rsid w:val="00290A14"/>
    <w:rsid w:val="00290DE6"/>
    <w:rsid w:val="00290E60"/>
    <w:rsid w:val="00290F34"/>
    <w:rsid w:val="00290FD1"/>
    <w:rsid w:val="00291636"/>
    <w:rsid w:val="00291671"/>
    <w:rsid w:val="00291705"/>
    <w:rsid w:val="00291B56"/>
    <w:rsid w:val="00291DAF"/>
    <w:rsid w:val="00291E01"/>
    <w:rsid w:val="0029236A"/>
    <w:rsid w:val="0029285B"/>
    <w:rsid w:val="00292A9E"/>
    <w:rsid w:val="00292B7E"/>
    <w:rsid w:val="00292BE4"/>
    <w:rsid w:val="00292C10"/>
    <w:rsid w:val="00292D01"/>
    <w:rsid w:val="00292EFB"/>
    <w:rsid w:val="002931DC"/>
    <w:rsid w:val="002934D7"/>
    <w:rsid w:val="002934E9"/>
    <w:rsid w:val="00293658"/>
    <w:rsid w:val="00293873"/>
    <w:rsid w:val="00293B5A"/>
    <w:rsid w:val="00293BAB"/>
    <w:rsid w:val="00293BC1"/>
    <w:rsid w:val="00293D42"/>
    <w:rsid w:val="00294051"/>
    <w:rsid w:val="002941BF"/>
    <w:rsid w:val="002943A9"/>
    <w:rsid w:val="002945D0"/>
    <w:rsid w:val="002948D8"/>
    <w:rsid w:val="0029490D"/>
    <w:rsid w:val="00294B9A"/>
    <w:rsid w:val="00294CE7"/>
    <w:rsid w:val="0029507B"/>
    <w:rsid w:val="002950EC"/>
    <w:rsid w:val="002952D6"/>
    <w:rsid w:val="00295522"/>
    <w:rsid w:val="0029555F"/>
    <w:rsid w:val="0029586C"/>
    <w:rsid w:val="00295A03"/>
    <w:rsid w:val="00295B4C"/>
    <w:rsid w:val="00295B59"/>
    <w:rsid w:val="00295E53"/>
    <w:rsid w:val="0029633B"/>
    <w:rsid w:val="00296397"/>
    <w:rsid w:val="002963AC"/>
    <w:rsid w:val="00296759"/>
    <w:rsid w:val="00296760"/>
    <w:rsid w:val="0029691C"/>
    <w:rsid w:val="00296A6F"/>
    <w:rsid w:val="00296BF2"/>
    <w:rsid w:val="00296D82"/>
    <w:rsid w:val="00297056"/>
    <w:rsid w:val="002973A5"/>
    <w:rsid w:val="002975CB"/>
    <w:rsid w:val="00297705"/>
    <w:rsid w:val="002978CD"/>
    <w:rsid w:val="00297A92"/>
    <w:rsid w:val="00297C01"/>
    <w:rsid w:val="00297C8E"/>
    <w:rsid w:val="00297EC5"/>
    <w:rsid w:val="00297F9A"/>
    <w:rsid w:val="002A0148"/>
    <w:rsid w:val="002A03B0"/>
    <w:rsid w:val="002A05C2"/>
    <w:rsid w:val="002A07F4"/>
    <w:rsid w:val="002A0B77"/>
    <w:rsid w:val="002A0BA3"/>
    <w:rsid w:val="002A0C57"/>
    <w:rsid w:val="002A1047"/>
    <w:rsid w:val="002A1119"/>
    <w:rsid w:val="002A11BD"/>
    <w:rsid w:val="002A13EA"/>
    <w:rsid w:val="002A14AB"/>
    <w:rsid w:val="002A14E7"/>
    <w:rsid w:val="002A174D"/>
    <w:rsid w:val="002A17E8"/>
    <w:rsid w:val="002A1AA0"/>
    <w:rsid w:val="002A1C39"/>
    <w:rsid w:val="002A1DC5"/>
    <w:rsid w:val="002A2159"/>
    <w:rsid w:val="002A2261"/>
    <w:rsid w:val="002A2572"/>
    <w:rsid w:val="002A28B3"/>
    <w:rsid w:val="002A2AC1"/>
    <w:rsid w:val="002A2B88"/>
    <w:rsid w:val="002A2E40"/>
    <w:rsid w:val="002A2F8B"/>
    <w:rsid w:val="002A2F99"/>
    <w:rsid w:val="002A31AE"/>
    <w:rsid w:val="002A3259"/>
    <w:rsid w:val="002A3384"/>
    <w:rsid w:val="002A36CC"/>
    <w:rsid w:val="002A393D"/>
    <w:rsid w:val="002A3A6F"/>
    <w:rsid w:val="002A3A88"/>
    <w:rsid w:val="002A3CFC"/>
    <w:rsid w:val="002A3FE4"/>
    <w:rsid w:val="002A428C"/>
    <w:rsid w:val="002A49F0"/>
    <w:rsid w:val="002A4AED"/>
    <w:rsid w:val="002A4B78"/>
    <w:rsid w:val="002A4C3B"/>
    <w:rsid w:val="002A4CE4"/>
    <w:rsid w:val="002A5430"/>
    <w:rsid w:val="002A5527"/>
    <w:rsid w:val="002A5680"/>
    <w:rsid w:val="002A577F"/>
    <w:rsid w:val="002A5819"/>
    <w:rsid w:val="002A58B7"/>
    <w:rsid w:val="002A597D"/>
    <w:rsid w:val="002A608F"/>
    <w:rsid w:val="002A627B"/>
    <w:rsid w:val="002A649D"/>
    <w:rsid w:val="002A69AB"/>
    <w:rsid w:val="002A6DCE"/>
    <w:rsid w:val="002A6E71"/>
    <w:rsid w:val="002A736A"/>
    <w:rsid w:val="002A74D3"/>
    <w:rsid w:val="002A7715"/>
    <w:rsid w:val="002A79BA"/>
    <w:rsid w:val="002A7B65"/>
    <w:rsid w:val="002A7EF3"/>
    <w:rsid w:val="002A7FD0"/>
    <w:rsid w:val="002B0214"/>
    <w:rsid w:val="002B0356"/>
    <w:rsid w:val="002B06EE"/>
    <w:rsid w:val="002B08FA"/>
    <w:rsid w:val="002B09AA"/>
    <w:rsid w:val="002B0C36"/>
    <w:rsid w:val="002B0DDD"/>
    <w:rsid w:val="002B0FD6"/>
    <w:rsid w:val="002B1029"/>
    <w:rsid w:val="002B109E"/>
    <w:rsid w:val="002B18B7"/>
    <w:rsid w:val="002B192E"/>
    <w:rsid w:val="002B1BD4"/>
    <w:rsid w:val="002B1C1F"/>
    <w:rsid w:val="002B1C8B"/>
    <w:rsid w:val="002B1EAD"/>
    <w:rsid w:val="002B217A"/>
    <w:rsid w:val="002B2459"/>
    <w:rsid w:val="002B2943"/>
    <w:rsid w:val="002B2DC3"/>
    <w:rsid w:val="002B2EEF"/>
    <w:rsid w:val="002B2F8F"/>
    <w:rsid w:val="002B331C"/>
    <w:rsid w:val="002B341F"/>
    <w:rsid w:val="002B344B"/>
    <w:rsid w:val="002B3807"/>
    <w:rsid w:val="002B3853"/>
    <w:rsid w:val="002B39BB"/>
    <w:rsid w:val="002B39F3"/>
    <w:rsid w:val="002B42B6"/>
    <w:rsid w:val="002B432F"/>
    <w:rsid w:val="002B470E"/>
    <w:rsid w:val="002B4BA8"/>
    <w:rsid w:val="002B4C5A"/>
    <w:rsid w:val="002B4C9E"/>
    <w:rsid w:val="002B4DE6"/>
    <w:rsid w:val="002B4F4A"/>
    <w:rsid w:val="002B5191"/>
    <w:rsid w:val="002B5666"/>
    <w:rsid w:val="002B5AA5"/>
    <w:rsid w:val="002B5C92"/>
    <w:rsid w:val="002B5FF3"/>
    <w:rsid w:val="002B6014"/>
    <w:rsid w:val="002B63AF"/>
    <w:rsid w:val="002B69EF"/>
    <w:rsid w:val="002B6B96"/>
    <w:rsid w:val="002B6CCE"/>
    <w:rsid w:val="002B6EFA"/>
    <w:rsid w:val="002B709C"/>
    <w:rsid w:val="002B7185"/>
    <w:rsid w:val="002B71D9"/>
    <w:rsid w:val="002B729E"/>
    <w:rsid w:val="002B745E"/>
    <w:rsid w:val="002B775D"/>
    <w:rsid w:val="002B7EAD"/>
    <w:rsid w:val="002B7FE8"/>
    <w:rsid w:val="002C0169"/>
    <w:rsid w:val="002C02B3"/>
    <w:rsid w:val="002C0844"/>
    <w:rsid w:val="002C09F5"/>
    <w:rsid w:val="002C0DDA"/>
    <w:rsid w:val="002C1080"/>
    <w:rsid w:val="002C10AC"/>
    <w:rsid w:val="002C12D7"/>
    <w:rsid w:val="002C1363"/>
    <w:rsid w:val="002C14BC"/>
    <w:rsid w:val="002C1B23"/>
    <w:rsid w:val="002C1B4F"/>
    <w:rsid w:val="002C1D63"/>
    <w:rsid w:val="002C1EFC"/>
    <w:rsid w:val="002C1F8D"/>
    <w:rsid w:val="002C2154"/>
    <w:rsid w:val="002C2385"/>
    <w:rsid w:val="002C245F"/>
    <w:rsid w:val="002C2768"/>
    <w:rsid w:val="002C2775"/>
    <w:rsid w:val="002C27C1"/>
    <w:rsid w:val="002C2E02"/>
    <w:rsid w:val="002C3151"/>
    <w:rsid w:val="002C326A"/>
    <w:rsid w:val="002C3427"/>
    <w:rsid w:val="002C3460"/>
    <w:rsid w:val="002C391F"/>
    <w:rsid w:val="002C3BDE"/>
    <w:rsid w:val="002C3C1C"/>
    <w:rsid w:val="002C4FAE"/>
    <w:rsid w:val="002C5091"/>
    <w:rsid w:val="002C513E"/>
    <w:rsid w:val="002C52EB"/>
    <w:rsid w:val="002C5433"/>
    <w:rsid w:val="002C551A"/>
    <w:rsid w:val="002C55B8"/>
    <w:rsid w:val="002C5635"/>
    <w:rsid w:val="002C5AC6"/>
    <w:rsid w:val="002C5BEC"/>
    <w:rsid w:val="002C5C95"/>
    <w:rsid w:val="002C5D22"/>
    <w:rsid w:val="002C5F66"/>
    <w:rsid w:val="002C63E9"/>
    <w:rsid w:val="002C6897"/>
    <w:rsid w:val="002C6982"/>
    <w:rsid w:val="002C6A37"/>
    <w:rsid w:val="002C6C04"/>
    <w:rsid w:val="002C6C68"/>
    <w:rsid w:val="002C734B"/>
    <w:rsid w:val="002C73DD"/>
    <w:rsid w:val="002C747C"/>
    <w:rsid w:val="002C77E3"/>
    <w:rsid w:val="002C7948"/>
    <w:rsid w:val="002D0111"/>
    <w:rsid w:val="002D04DB"/>
    <w:rsid w:val="002D0B04"/>
    <w:rsid w:val="002D0C6F"/>
    <w:rsid w:val="002D111E"/>
    <w:rsid w:val="002D1216"/>
    <w:rsid w:val="002D1575"/>
    <w:rsid w:val="002D19CF"/>
    <w:rsid w:val="002D1B27"/>
    <w:rsid w:val="002D1BC2"/>
    <w:rsid w:val="002D1D3A"/>
    <w:rsid w:val="002D205A"/>
    <w:rsid w:val="002D220E"/>
    <w:rsid w:val="002D2729"/>
    <w:rsid w:val="002D27AA"/>
    <w:rsid w:val="002D28DE"/>
    <w:rsid w:val="002D2961"/>
    <w:rsid w:val="002D2B1C"/>
    <w:rsid w:val="002D2C2D"/>
    <w:rsid w:val="002D2CC8"/>
    <w:rsid w:val="002D2F32"/>
    <w:rsid w:val="002D2FDD"/>
    <w:rsid w:val="002D3054"/>
    <w:rsid w:val="002D324E"/>
    <w:rsid w:val="002D326E"/>
    <w:rsid w:val="002D3664"/>
    <w:rsid w:val="002D3785"/>
    <w:rsid w:val="002D38A2"/>
    <w:rsid w:val="002D3908"/>
    <w:rsid w:val="002D395B"/>
    <w:rsid w:val="002D3B83"/>
    <w:rsid w:val="002D3C1F"/>
    <w:rsid w:val="002D3D22"/>
    <w:rsid w:val="002D3DB6"/>
    <w:rsid w:val="002D3EA7"/>
    <w:rsid w:val="002D400E"/>
    <w:rsid w:val="002D4180"/>
    <w:rsid w:val="002D42A7"/>
    <w:rsid w:val="002D45DD"/>
    <w:rsid w:val="002D47BD"/>
    <w:rsid w:val="002D4855"/>
    <w:rsid w:val="002D48CA"/>
    <w:rsid w:val="002D4937"/>
    <w:rsid w:val="002D494D"/>
    <w:rsid w:val="002D4966"/>
    <w:rsid w:val="002D49D4"/>
    <w:rsid w:val="002D4B74"/>
    <w:rsid w:val="002D4C08"/>
    <w:rsid w:val="002D4D39"/>
    <w:rsid w:val="002D4E9E"/>
    <w:rsid w:val="002D52D6"/>
    <w:rsid w:val="002D538E"/>
    <w:rsid w:val="002D5A97"/>
    <w:rsid w:val="002D5C9E"/>
    <w:rsid w:val="002D62C8"/>
    <w:rsid w:val="002D6304"/>
    <w:rsid w:val="002D6525"/>
    <w:rsid w:val="002D6576"/>
    <w:rsid w:val="002D681E"/>
    <w:rsid w:val="002D68AD"/>
    <w:rsid w:val="002D694F"/>
    <w:rsid w:val="002D6DA8"/>
    <w:rsid w:val="002D7018"/>
    <w:rsid w:val="002D71D9"/>
    <w:rsid w:val="002D73E1"/>
    <w:rsid w:val="002D76DD"/>
    <w:rsid w:val="002D77BB"/>
    <w:rsid w:val="002D77FF"/>
    <w:rsid w:val="002D7DA2"/>
    <w:rsid w:val="002D7DDA"/>
    <w:rsid w:val="002E00AD"/>
    <w:rsid w:val="002E01B2"/>
    <w:rsid w:val="002E01FB"/>
    <w:rsid w:val="002E030E"/>
    <w:rsid w:val="002E06AF"/>
    <w:rsid w:val="002E06FB"/>
    <w:rsid w:val="002E0793"/>
    <w:rsid w:val="002E089D"/>
    <w:rsid w:val="002E0B13"/>
    <w:rsid w:val="002E0C14"/>
    <w:rsid w:val="002E1038"/>
    <w:rsid w:val="002E103A"/>
    <w:rsid w:val="002E11D3"/>
    <w:rsid w:val="002E1246"/>
    <w:rsid w:val="002E1336"/>
    <w:rsid w:val="002E1799"/>
    <w:rsid w:val="002E1AD2"/>
    <w:rsid w:val="002E1F97"/>
    <w:rsid w:val="002E205E"/>
    <w:rsid w:val="002E2101"/>
    <w:rsid w:val="002E2454"/>
    <w:rsid w:val="002E276A"/>
    <w:rsid w:val="002E279A"/>
    <w:rsid w:val="002E2892"/>
    <w:rsid w:val="002E2A4E"/>
    <w:rsid w:val="002E2AEF"/>
    <w:rsid w:val="002E2E4B"/>
    <w:rsid w:val="002E3221"/>
    <w:rsid w:val="002E3242"/>
    <w:rsid w:val="002E3487"/>
    <w:rsid w:val="002E34E2"/>
    <w:rsid w:val="002E3649"/>
    <w:rsid w:val="002E3680"/>
    <w:rsid w:val="002E384E"/>
    <w:rsid w:val="002E3DE3"/>
    <w:rsid w:val="002E3F47"/>
    <w:rsid w:val="002E40DA"/>
    <w:rsid w:val="002E41B3"/>
    <w:rsid w:val="002E4263"/>
    <w:rsid w:val="002E491B"/>
    <w:rsid w:val="002E493B"/>
    <w:rsid w:val="002E4F19"/>
    <w:rsid w:val="002E5274"/>
    <w:rsid w:val="002E52C1"/>
    <w:rsid w:val="002E5371"/>
    <w:rsid w:val="002E53FA"/>
    <w:rsid w:val="002E5425"/>
    <w:rsid w:val="002E5657"/>
    <w:rsid w:val="002E595F"/>
    <w:rsid w:val="002E5AE6"/>
    <w:rsid w:val="002E5B81"/>
    <w:rsid w:val="002E5D25"/>
    <w:rsid w:val="002E5E46"/>
    <w:rsid w:val="002E602B"/>
    <w:rsid w:val="002E681F"/>
    <w:rsid w:val="002E6FD8"/>
    <w:rsid w:val="002E7184"/>
    <w:rsid w:val="002E742D"/>
    <w:rsid w:val="002E7484"/>
    <w:rsid w:val="002E7751"/>
    <w:rsid w:val="002E77A9"/>
    <w:rsid w:val="002E7822"/>
    <w:rsid w:val="002E78FA"/>
    <w:rsid w:val="002E7B74"/>
    <w:rsid w:val="002E7FBC"/>
    <w:rsid w:val="002F030A"/>
    <w:rsid w:val="002F0321"/>
    <w:rsid w:val="002F049B"/>
    <w:rsid w:val="002F095C"/>
    <w:rsid w:val="002F0962"/>
    <w:rsid w:val="002F0D60"/>
    <w:rsid w:val="002F0F8F"/>
    <w:rsid w:val="002F0F90"/>
    <w:rsid w:val="002F120A"/>
    <w:rsid w:val="002F12A0"/>
    <w:rsid w:val="002F1368"/>
    <w:rsid w:val="002F14F0"/>
    <w:rsid w:val="002F1A86"/>
    <w:rsid w:val="002F1B05"/>
    <w:rsid w:val="002F1F88"/>
    <w:rsid w:val="002F2543"/>
    <w:rsid w:val="002F26E9"/>
    <w:rsid w:val="002F26F8"/>
    <w:rsid w:val="002F2B44"/>
    <w:rsid w:val="002F3240"/>
    <w:rsid w:val="002F326F"/>
    <w:rsid w:val="002F3400"/>
    <w:rsid w:val="002F342E"/>
    <w:rsid w:val="002F361B"/>
    <w:rsid w:val="002F3660"/>
    <w:rsid w:val="002F3B6D"/>
    <w:rsid w:val="002F3E30"/>
    <w:rsid w:val="002F3F6A"/>
    <w:rsid w:val="002F4196"/>
    <w:rsid w:val="002F4233"/>
    <w:rsid w:val="002F44AD"/>
    <w:rsid w:val="002F49E6"/>
    <w:rsid w:val="002F4E2F"/>
    <w:rsid w:val="002F4E6B"/>
    <w:rsid w:val="002F57D8"/>
    <w:rsid w:val="002F5E26"/>
    <w:rsid w:val="002F5FE5"/>
    <w:rsid w:val="002F6002"/>
    <w:rsid w:val="002F62AB"/>
    <w:rsid w:val="002F62F1"/>
    <w:rsid w:val="002F639A"/>
    <w:rsid w:val="002F6E74"/>
    <w:rsid w:val="002F704F"/>
    <w:rsid w:val="002F718C"/>
    <w:rsid w:val="002F7227"/>
    <w:rsid w:val="002F78E2"/>
    <w:rsid w:val="002F7B21"/>
    <w:rsid w:val="002F7D33"/>
    <w:rsid w:val="002F7F16"/>
    <w:rsid w:val="002F7FE4"/>
    <w:rsid w:val="003002DF"/>
    <w:rsid w:val="003003E8"/>
    <w:rsid w:val="003007D0"/>
    <w:rsid w:val="0030080B"/>
    <w:rsid w:val="003009D4"/>
    <w:rsid w:val="00300AB2"/>
    <w:rsid w:val="00300B0F"/>
    <w:rsid w:val="00301017"/>
    <w:rsid w:val="00301019"/>
    <w:rsid w:val="003011FA"/>
    <w:rsid w:val="0030188E"/>
    <w:rsid w:val="003018A5"/>
    <w:rsid w:val="00301941"/>
    <w:rsid w:val="00301BB0"/>
    <w:rsid w:val="00301DB4"/>
    <w:rsid w:val="003020A1"/>
    <w:rsid w:val="003021B0"/>
    <w:rsid w:val="003022A7"/>
    <w:rsid w:val="003022B7"/>
    <w:rsid w:val="0030259B"/>
    <w:rsid w:val="0030279D"/>
    <w:rsid w:val="00302F3B"/>
    <w:rsid w:val="00302FB1"/>
    <w:rsid w:val="003030E6"/>
    <w:rsid w:val="00303397"/>
    <w:rsid w:val="003033D3"/>
    <w:rsid w:val="00303419"/>
    <w:rsid w:val="00303880"/>
    <w:rsid w:val="003039BE"/>
    <w:rsid w:val="00303A2A"/>
    <w:rsid w:val="00303AF2"/>
    <w:rsid w:val="00303B18"/>
    <w:rsid w:val="00303E83"/>
    <w:rsid w:val="00303F6C"/>
    <w:rsid w:val="00304372"/>
    <w:rsid w:val="003044AE"/>
    <w:rsid w:val="00304751"/>
    <w:rsid w:val="00304828"/>
    <w:rsid w:val="00304948"/>
    <w:rsid w:val="00304B62"/>
    <w:rsid w:val="00304B79"/>
    <w:rsid w:val="00304C44"/>
    <w:rsid w:val="00304FE3"/>
    <w:rsid w:val="003052AA"/>
    <w:rsid w:val="00305CAC"/>
    <w:rsid w:val="00305D7B"/>
    <w:rsid w:val="00306198"/>
    <w:rsid w:val="003061D1"/>
    <w:rsid w:val="00306323"/>
    <w:rsid w:val="003063E0"/>
    <w:rsid w:val="003064FC"/>
    <w:rsid w:val="0030678C"/>
    <w:rsid w:val="00306794"/>
    <w:rsid w:val="003069EF"/>
    <w:rsid w:val="00306A7A"/>
    <w:rsid w:val="003072C6"/>
    <w:rsid w:val="00307816"/>
    <w:rsid w:val="0030786C"/>
    <w:rsid w:val="00307BA7"/>
    <w:rsid w:val="00307CBF"/>
    <w:rsid w:val="00310071"/>
    <w:rsid w:val="00310299"/>
    <w:rsid w:val="0031031A"/>
    <w:rsid w:val="003103C6"/>
    <w:rsid w:val="00310401"/>
    <w:rsid w:val="003106B4"/>
    <w:rsid w:val="003107EA"/>
    <w:rsid w:val="0031080B"/>
    <w:rsid w:val="0031092A"/>
    <w:rsid w:val="00310981"/>
    <w:rsid w:val="00310A18"/>
    <w:rsid w:val="00310AB9"/>
    <w:rsid w:val="00310AE0"/>
    <w:rsid w:val="00310D7D"/>
    <w:rsid w:val="00310E8E"/>
    <w:rsid w:val="0031125E"/>
    <w:rsid w:val="003112E1"/>
    <w:rsid w:val="00311460"/>
    <w:rsid w:val="003116F2"/>
    <w:rsid w:val="003116F4"/>
    <w:rsid w:val="0031170C"/>
    <w:rsid w:val="00311ABA"/>
    <w:rsid w:val="00311B0B"/>
    <w:rsid w:val="00311B15"/>
    <w:rsid w:val="00311B7B"/>
    <w:rsid w:val="00311F26"/>
    <w:rsid w:val="00312178"/>
    <w:rsid w:val="0031220B"/>
    <w:rsid w:val="0031231B"/>
    <w:rsid w:val="00312B34"/>
    <w:rsid w:val="0031316A"/>
    <w:rsid w:val="003131C2"/>
    <w:rsid w:val="00313317"/>
    <w:rsid w:val="003133E4"/>
    <w:rsid w:val="003135ED"/>
    <w:rsid w:val="003137E3"/>
    <w:rsid w:val="00313815"/>
    <w:rsid w:val="0031387F"/>
    <w:rsid w:val="003139CC"/>
    <w:rsid w:val="00313A50"/>
    <w:rsid w:val="0031474B"/>
    <w:rsid w:val="00314963"/>
    <w:rsid w:val="0031496B"/>
    <w:rsid w:val="0031498B"/>
    <w:rsid w:val="00314CD0"/>
    <w:rsid w:val="003150FD"/>
    <w:rsid w:val="0031519E"/>
    <w:rsid w:val="003151D1"/>
    <w:rsid w:val="00315498"/>
    <w:rsid w:val="0031591D"/>
    <w:rsid w:val="00315C07"/>
    <w:rsid w:val="00315CDE"/>
    <w:rsid w:val="00315CF0"/>
    <w:rsid w:val="00315CF2"/>
    <w:rsid w:val="00315E9F"/>
    <w:rsid w:val="003161B6"/>
    <w:rsid w:val="00316592"/>
    <w:rsid w:val="0031698F"/>
    <w:rsid w:val="003169C8"/>
    <w:rsid w:val="00316A65"/>
    <w:rsid w:val="00316A74"/>
    <w:rsid w:val="00316A92"/>
    <w:rsid w:val="00316B92"/>
    <w:rsid w:val="003170DA"/>
    <w:rsid w:val="003172E8"/>
    <w:rsid w:val="0031773F"/>
    <w:rsid w:val="0031787B"/>
    <w:rsid w:val="00317C5F"/>
    <w:rsid w:val="00317CA9"/>
    <w:rsid w:val="0032008F"/>
    <w:rsid w:val="003201E8"/>
    <w:rsid w:val="0032021E"/>
    <w:rsid w:val="003202D1"/>
    <w:rsid w:val="00320424"/>
    <w:rsid w:val="00320798"/>
    <w:rsid w:val="00320BC0"/>
    <w:rsid w:val="00320E97"/>
    <w:rsid w:val="0032122D"/>
    <w:rsid w:val="003213F9"/>
    <w:rsid w:val="003214AE"/>
    <w:rsid w:val="003214B1"/>
    <w:rsid w:val="00321618"/>
    <w:rsid w:val="00321B9A"/>
    <w:rsid w:val="00321BEB"/>
    <w:rsid w:val="00321C5E"/>
    <w:rsid w:val="00321C60"/>
    <w:rsid w:val="00321E48"/>
    <w:rsid w:val="00321EEF"/>
    <w:rsid w:val="0032285E"/>
    <w:rsid w:val="00322917"/>
    <w:rsid w:val="00322919"/>
    <w:rsid w:val="00322987"/>
    <w:rsid w:val="003229D3"/>
    <w:rsid w:val="00322AAB"/>
    <w:rsid w:val="00322C07"/>
    <w:rsid w:val="00322CB2"/>
    <w:rsid w:val="00322CD8"/>
    <w:rsid w:val="003239DB"/>
    <w:rsid w:val="00323AE8"/>
    <w:rsid w:val="00323BF5"/>
    <w:rsid w:val="00323D01"/>
    <w:rsid w:val="00324004"/>
    <w:rsid w:val="00324310"/>
    <w:rsid w:val="00324594"/>
    <w:rsid w:val="00324655"/>
    <w:rsid w:val="00324764"/>
    <w:rsid w:val="003247C1"/>
    <w:rsid w:val="00324A13"/>
    <w:rsid w:val="00324C91"/>
    <w:rsid w:val="0032520E"/>
    <w:rsid w:val="00325815"/>
    <w:rsid w:val="00325DE8"/>
    <w:rsid w:val="00325E69"/>
    <w:rsid w:val="00325E86"/>
    <w:rsid w:val="00326016"/>
    <w:rsid w:val="003261B9"/>
    <w:rsid w:val="00326635"/>
    <w:rsid w:val="003266A7"/>
    <w:rsid w:val="00326751"/>
    <w:rsid w:val="0032685F"/>
    <w:rsid w:val="003268A6"/>
    <w:rsid w:val="003268E1"/>
    <w:rsid w:val="00326C5B"/>
    <w:rsid w:val="00326D1B"/>
    <w:rsid w:val="0032705F"/>
    <w:rsid w:val="00327261"/>
    <w:rsid w:val="003277CC"/>
    <w:rsid w:val="00327928"/>
    <w:rsid w:val="003279EB"/>
    <w:rsid w:val="00327D09"/>
    <w:rsid w:val="00327F93"/>
    <w:rsid w:val="0033012D"/>
    <w:rsid w:val="003301C9"/>
    <w:rsid w:val="0033040D"/>
    <w:rsid w:val="00330430"/>
    <w:rsid w:val="0033060F"/>
    <w:rsid w:val="00330D21"/>
    <w:rsid w:val="0033153F"/>
    <w:rsid w:val="0033158A"/>
    <w:rsid w:val="00331C9D"/>
    <w:rsid w:val="00331EB1"/>
    <w:rsid w:val="00331EED"/>
    <w:rsid w:val="003326F2"/>
    <w:rsid w:val="0033273C"/>
    <w:rsid w:val="003329A8"/>
    <w:rsid w:val="00332E45"/>
    <w:rsid w:val="00332F55"/>
    <w:rsid w:val="003330BF"/>
    <w:rsid w:val="00333102"/>
    <w:rsid w:val="0033325F"/>
    <w:rsid w:val="00333285"/>
    <w:rsid w:val="003335F0"/>
    <w:rsid w:val="0033363E"/>
    <w:rsid w:val="0033398D"/>
    <w:rsid w:val="00333B93"/>
    <w:rsid w:val="00333C25"/>
    <w:rsid w:val="003345F6"/>
    <w:rsid w:val="00334A89"/>
    <w:rsid w:val="00335302"/>
    <w:rsid w:val="00335347"/>
    <w:rsid w:val="00335470"/>
    <w:rsid w:val="00335931"/>
    <w:rsid w:val="00335932"/>
    <w:rsid w:val="00335D4F"/>
    <w:rsid w:val="00335D96"/>
    <w:rsid w:val="00335DEE"/>
    <w:rsid w:val="00336029"/>
    <w:rsid w:val="00336425"/>
    <w:rsid w:val="00336426"/>
    <w:rsid w:val="00336460"/>
    <w:rsid w:val="003366C9"/>
    <w:rsid w:val="00336B1B"/>
    <w:rsid w:val="00336D25"/>
    <w:rsid w:val="00336E5D"/>
    <w:rsid w:val="00336EC1"/>
    <w:rsid w:val="00336F6C"/>
    <w:rsid w:val="003371B0"/>
    <w:rsid w:val="00337306"/>
    <w:rsid w:val="0033774F"/>
    <w:rsid w:val="003377C7"/>
    <w:rsid w:val="00337A72"/>
    <w:rsid w:val="00337B5A"/>
    <w:rsid w:val="00337ED9"/>
    <w:rsid w:val="00337EF8"/>
    <w:rsid w:val="0034070D"/>
    <w:rsid w:val="003408B6"/>
    <w:rsid w:val="003408BD"/>
    <w:rsid w:val="00340A8D"/>
    <w:rsid w:val="00340B3D"/>
    <w:rsid w:val="00340BD1"/>
    <w:rsid w:val="00340EE8"/>
    <w:rsid w:val="00340FBD"/>
    <w:rsid w:val="00341536"/>
    <w:rsid w:val="0034192B"/>
    <w:rsid w:val="00341CAA"/>
    <w:rsid w:val="00341EDC"/>
    <w:rsid w:val="00341FB7"/>
    <w:rsid w:val="003420E9"/>
    <w:rsid w:val="0034297F"/>
    <w:rsid w:val="00342AAA"/>
    <w:rsid w:val="00342BEA"/>
    <w:rsid w:val="00342CD6"/>
    <w:rsid w:val="00342ED6"/>
    <w:rsid w:val="00342EFC"/>
    <w:rsid w:val="00342FEF"/>
    <w:rsid w:val="00343292"/>
    <w:rsid w:val="003434C8"/>
    <w:rsid w:val="0034371C"/>
    <w:rsid w:val="00343843"/>
    <w:rsid w:val="0034387D"/>
    <w:rsid w:val="003438B1"/>
    <w:rsid w:val="003438D6"/>
    <w:rsid w:val="0034398B"/>
    <w:rsid w:val="00343D53"/>
    <w:rsid w:val="00343FA0"/>
    <w:rsid w:val="00344015"/>
    <w:rsid w:val="00344564"/>
    <w:rsid w:val="003446CC"/>
    <w:rsid w:val="00344DA9"/>
    <w:rsid w:val="003456EE"/>
    <w:rsid w:val="00345911"/>
    <w:rsid w:val="0034592F"/>
    <w:rsid w:val="00345A96"/>
    <w:rsid w:val="00345BC0"/>
    <w:rsid w:val="00345CD4"/>
    <w:rsid w:val="00345E97"/>
    <w:rsid w:val="00345FA1"/>
    <w:rsid w:val="00346190"/>
    <w:rsid w:val="00346283"/>
    <w:rsid w:val="003463F9"/>
    <w:rsid w:val="003464D8"/>
    <w:rsid w:val="00346736"/>
    <w:rsid w:val="003468D5"/>
    <w:rsid w:val="00346BDD"/>
    <w:rsid w:val="00346C4B"/>
    <w:rsid w:val="00346F23"/>
    <w:rsid w:val="00346F35"/>
    <w:rsid w:val="00346F58"/>
    <w:rsid w:val="00347083"/>
    <w:rsid w:val="003470EE"/>
    <w:rsid w:val="0034720C"/>
    <w:rsid w:val="00347A02"/>
    <w:rsid w:val="00347A8C"/>
    <w:rsid w:val="00347B47"/>
    <w:rsid w:val="00350052"/>
    <w:rsid w:val="003500BF"/>
    <w:rsid w:val="00350348"/>
    <w:rsid w:val="003503F1"/>
    <w:rsid w:val="003504EB"/>
    <w:rsid w:val="00350AD5"/>
    <w:rsid w:val="00350BA9"/>
    <w:rsid w:val="00350CD0"/>
    <w:rsid w:val="00350E29"/>
    <w:rsid w:val="00350E75"/>
    <w:rsid w:val="00351059"/>
    <w:rsid w:val="00351075"/>
    <w:rsid w:val="00351583"/>
    <w:rsid w:val="0035158F"/>
    <w:rsid w:val="0035162B"/>
    <w:rsid w:val="003516BC"/>
    <w:rsid w:val="003519F7"/>
    <w:rsid w:val="00351A3B"/>
    <w:rsid w:val="00351A9D"/>
    <w:rsid w:val="00352508"/>
    <w:rsid w:val="00352514"/>
    <w:rsid w:val="00352704"/>
    <w:rsid w:val="003527FF"/>
    <w:rsid w:val="00352AA3"/>
    <w:rsid w:val="00352C0B"/>
    <w:rsid w:val="00352CC1"/>
    <w:rsid w:val="00352E82"/>
    <w:rsid w:val="003531AF"/>
    <w:rsid w:val="003533F9"/>
    <w:rsid w:val="003535B5"/>
    <w:rsid w:val="00353B64"/>
    <w:rsid w:val="00353F81"/>
    <w:rsid w:val="00354140"/>
    <w:rsid w:val="00354224"/>
    <w:rsid w:val="003547DF"/>
    <w:rsid w:val="00354820"/>
    <w:rsid w:val="003548D1"/>
    <w:rsid w:val="003548EF"/>
    <w:rsid w:val="00354988"/>
    <w:rsid w:val="00354C45"/>
    <w:rsid w:val="00354CF6"/>
    <w:rsid w:val="00354E97"/>
    <w:rsid w:val="00354F35"/>
    <w:rsid w:val="00355053"/>
    <w:rsid w:val="00355122"/>
    <w:rsid w:val="00355332"/>
    <w:rsid w:val="003554A8"/>
    <w:rsid w:val="0035563B"/>
    <w:rsid w:val="003557A4"/>
    <w:rsid w:val="00355BAD"/>
    <w:rsid w:val="0035620E"/>
    <w:rsid w:val="003562CC"/>
    <w:rsid w:val="0035630E"/>
    <w:rsid w:val="00356663"/>
    <w:rsid w:val="00356C61"/>
    <w:rsid w:val="00356C97"/>
    <w:rsid w:val="00356E14"/>
    <w:rsid w:val="00357888"/>
    <w:rsid w:val="00357CB9"/>
    <w:rsid w:val="00357F44"/>
    <w:rsid w:val="00360517"/>
    <w:rsid w:val="00360729"/>
    <w:rsid w:val="00360B3D"/>
    <w:rsid w:val="00360B9C"/>
    <w:rsid w:val="00360BEA"/>
    <w:rsid w:val="00360F86"/>
    <w:rsid w:val="00361008"/>
    <w:rsid w:val="003614E1"/>
    <w:rsid w:val="00361576"/>
    <w:rsid w:val="003616BB"/>
    <w:rsid w:val="00361A6D"/>
    <w:rsid w:val="00361F67"/>
    <w:rsid w:val="003626EF"/>
    <w:rsid w:val="0036284E"/>
    <w:rsid w:val="00362C06"/>
    <w:rsid w:val="00362DCC"/>
    <w:rsid w:val="00362EA5"/>
    <w:rsid w:val="00362EC0"/>
    <w:rsid w:val="00362F5C"/>
    <w:rsid w:val="00363185"/>
    <w:rsid w:val="00363290"/>
    <w:rsid w:val="0036337E"/>
    <w:rsid w:val="0036355F"/>
    <w:rsid w:val="00363985"/>
    <w:rsid w:val="00363B40"/>
    <w:rsid w:val="003649CB"/>
    <w:rsid w:val="00364B24"/>
    <w:rsid w:val="00364B5D"/>
    <w:rsid w:val="00364CBF"/>
    <w:rsid w:val="00364D2A"/>
    <w:rsid w:val="00364D8A"/>
    <w:rsid w:val="00364E35"/>
    <w:rsid w:val="003650B7"/>
    <w:rsid w:val="00365365"/>
    <w:rsid w:val="003653CB"/>
    <w:rsid w:val="003653E9"/>
    <w:rsid w:val="00365840"/>
    <w:rsid w:val="00365B53"/>
    <w:rsid w:val="00365BFF"/>
    <w:rsid w:val="00365D8E"/>
    <w:rsid w:val="00365DCC"/>
    <w:rsid w:val="00366400"/>
    <w:rsid w:val="00366561"/>
    <w:rsid w:val="003666E1"/>
    <w:rsid w:val="003668F6"/>
    <w:rsid w:val="0036696B"/>
    <w:rsid w:val="003669CF"/>
    <w:rsid w:val="00366CA4"/>
    <w:rsid w:val="00366CB7"/>
    <w:rsid w:val="0036710F"/>
    <w:rsid w:val="00367136"/>
    <w:rsid w:val="003672CD"/>
    <w:rsid w:val="0036731E"/>
    <w:rsid w:val="00367918"/>
    <w:rsid w:val="00367FD2"/>
    <w:rsid w:val="00370517"/>
    <w:rsid w:val="00370893"/>
    <w:rsid w:val="00370AE3"/>
    <w:rsid w:val="00370D10"/>
    <w:rsid w:val="00370E36"/>
    <w:rsid w:val="00370FE4"/>
    <w:rsid w:val="00371701"/>
    <w:rsid w:val="00371756"/>
    <w:rsid w:val="003718BD"/>
    <w:rsid w:val="003719CA"/>
    <w:rsid w:val="00371A4B"/>
    <w:rsid w:val="00371B7C"/>
    <w:rsid w:val="00371C64"/>
    <w:rsid w:val="00371E3C"/>
    <w:rsid w:val="00371E96"/>
    <w:rsid w:val="00372060"/>
    <w:rsid w:val="00372235"/>
    <w:rsid w:val="00372258"/>
    <w:rsid w:val="003723E8"/>
    <w:rsid w:val="00372595"/>
    <w:rsid w:val="00372654"/>
    <w:rsid w:val="0037286A"/>
    <w:rsid w:val="003728AD"/>
    <w:rsid w:val="00372A93"/>
    <w:rsid w:val="00372AB2"/>
    <w:rsid w:val="00372CD8"/>
    <w:rsid w:val="00372D0A"/>
    <w:rsid w:val="00372FF8"/>
    <w:rsid w:val="00373187"/>
    <w:rsid w:val="0037334F"/>
    <w:rsid w:val="00373503"/>
    <w:rsid w:val="0037373D"/>
    <w:rsid w:val="00373892"/>
    <w:rsid w:val="00373D35"/>
    <w:rsid w:val="00374048"/>
    <w:rsid w:val="0037454E"/>
    <w:rsid w:val="003746B4"/>
    <w:rsid w:val="0037472D"/>
    <w:rsid w:val="003748BA"/>
    <w:rsid w:val="00374BE0"/>
    <w:rsid w:val="00374C6D"/>
    <w:rsid w:val="00374E04"/>
    <w:rsid w:val="00374EC6"/>
    <w:rsid w:val="0037514B"/>
    <w:rsid w:val="0037521A"/>
    <w:rsid w:val="003754C5"/>
    <w:rsid w:val="003755B0"/>
    <w:rsid w:val="003756DE"/>
    <w:rsid w:val="0037589C"/>
    <w:rsid w:val="003758B4"/>
    <w:rsid w:val="00375984"/>
    <w:rsid w:val="0037633E"/>
    <w:rsid w:val="003765AB"/>
    <w:rsid w:val="00376667"/>
    <w:rsid w:val="003769FE"/>
    <w:rsid w:val="00376AB9"/>
    <w:rsid w:val="0037707D"/>
    <w:rsid w:val="0037733B"/>
    <w:rsid w:val="0037786E"/>
    <w:rsid w:val="00377C3E"/>
    <w:rsid w:val="00377C7D"/>
    <w:rsid w:val="00377C92"/>
    <w:rsid w:val="00377DBE"/>
    <w:rsid w:val="00377DDC"/>
    <w:rsid w:val="00377EFF"/>
    <w:rsid w:val="00380092"/>
    <w:rsid w:val="0038010F"/>
    <w:rsid w:val="003801FA"/>
    <w:rsid w:val="0038029D"/>
    <w:rsid w:val="00380957"/>
    <w:rsid w:val="003809D6"/>
    <w:rsid w:val="00380A04"/>
    <w:rsid w:val="00381231"/>
    <w:rsid w:val="00381286"/>
    <w:rsid w:val="00381349"/>
    <w:rsid w:val="003817CD"/>
    <w:rsid w:val="00381830"/>
    <w:rsid w:val="00381AD3"/>
    <w:rsid w:val="00381B7C"/>
    <w:rsid w:val="00381EE1"/>
    <w:rsid w:val="00382083"/>
    <w:rsid w:val="003820B7"/>
    <w:rsid w:val="00382170"/>
    <w:rsid w:val="00382678"/>
    <w:rsid w:val="0038281C"/>
    <w:rsid w:val="00382899"/>
    <w:rsid w:val="003828E2"/>
    <w:rsid w:val="0038295C"/>
    <w:rsid w:val="00382DEF"/>
    <w:rsid w:val="00382FFB"/>
    <w:rsid w:val="003832BD"/>
    <w:rsid w:val="00383600"/>
    <w:rsid w:val="0038362F"/>
    <w:rsid w:val="0038365C"/>
    <w:rsid w:val="00383790"/>
    <w:rsid w:val="003839F3"/>
    <w:rsid w:val="003839FA"/>
    <w:rsid w:val="00383A54"/>
    <w:rsid w:val="00383B67"/>
    <w:rsid w:val="00383DBF"/>
    <w:rsid w:val="0038406A"/>
    <w:rsid w:val="003840A2"/>
    <w:rsid w:val="00384257"/>
    <w:rsid w:val="003842F3"/>
    <w:rsid w:val="00384632"/>
    <w:rsid w:val="00384EB3"/>
    <w:rsid w:val="00385089"/>
    <w:rsid w:val="00385507"/>
    <w:rsid w:val="00385517"/>
    <w:rsid w:val="0038563C"/>
    <w:rsid w:val="00385E4F"/>
    <w:rsid w:val="003860D2"/>
    <w:rsid w:val="003861D2"/>
    <w:rsid w:val="00386432"/>
    <w:rsid w:val="0038646E"/>
    <w:rsid w:val="00386A77"/>
    <w:rsid w:val="00386C4C"/>
    <w:rsid w:val="00386C86"/>
    <w:rsid w:val="00386D8E"/>
    <w:rsid w:val="00386E3F"/>
    <w:rsid w:val="00387159"/>
    <w:rsid w:val="0038745A"/>
    <w:rsid w:val="003876B6"/>
    <w:rsid w:val="0038780F"/>
    <w:rsid w:val="00387932"/>
    <w:rsid w:val="00387A04"/>
    <w:rsid w:val="00387CF4"/>
    <w:rsid w:val="00387E9B"/>
    <w:rsid w:val="00387F17"/>
    <w:rsid w:val="00387F7B"/>
    <w:rsid w:val="003905E2"/>
    <w:rsid w:val="003908F8"/>
    <w:rsid w:val="00390CA2"/>
    <w:rsid w:val="00390CB1"/>
    <w:rsid w:val="003910EA"/>
    <w:rsid w:val="00391199"/>
    <w:rsid w:val="0039132A"/>
    <w:rsid w:val="0039139A"/>
    <w:rsid w:val="003914E7"/>
    <w:rsid w:val="00391738"/>
    <w:rsid w:val="003917D9"/>
    <w:rsid w:val="0039185C"/>
    <w:rsid w:val="00391F9D"/>
    <w:rsid w:val="00392222"/>
    <w:rsid w:val="003923A8"/>
    <w:rsid w:val="00392875"/>
    <w:rsid w:val="00392A62"/>
    <w:rsid w:val="00393181"/>
    <w:rsid w:val="003931DE"/>
    <w:rsid w:val="003931E3"/>
    <w:rsid w:val="003934E3"/>
    <w:rsid w:val="00393622"/>
    <w:rsid w:val="003936DA"/>
    <w:rsid w:val="0039375D"/>
    <w:rsid w:val="00393810"/>
    <w:rsid w:val="00393A3B"/>
    <w:rsid w:val="00393A90"/>
    <w:rsid w:val="00393B6B"/>
    <w:rsid w:val="00393CB7"/>
    <w:rsid w:val="003940D6"/>
    <w:rsid w:val="0039412C"/>
    <w:rsid w:val="00394388"/>
    <w:rsid w:val="00394926"/>
    <w:rsid w:val="00394B12"/>
    <w:rsid w:val="00394B3C"/>
    <w:rsid w:val="00394CEB"/>
    <w:rsid w:val="00394FD2"/>
    <w:rsid w:val="003950A6"/>
    <w:rsid w:val="003950EB"/>
    <w:rsid w:val="0039510F"/>
    <w:rsid w:val="0039530B"/>
    <w:rsid w:val="0039533E"/>
    <w:rsid w:val="00395425"/>
    <w:rsid w:val="0039545F"/>
    <w:rsid w:val="0039550B"/>
    <w:rsid w:val="003959B5"/>
    <w:rsid w:val="00395B99"/>
    <w:rsid w:val="00395C77"/>
    <w:rsid w:val="00395D09"/>
    <w:rsid w:val="003960C0"/>
    <w:rsid w:val="003962B0"/>
    <w:rsid w:val="003966DA"/>
    <w:rsid w:val="00396706"/>
    <w:rsid w:val="00396B96"/>
    <w:rsid w:val="00396C37"/>
    <w:rsid w:val="00396FD0"/>
    <w:rsid w:val="003970A6"/>
    <w:rsid w:val="0039710E"/>
    <w:rsid w:val="00397207"/>
    <w:rsid w:val="003978FC"/>
    <w:rsid w:val="00397A57"/>
    <w:rsid w:val="00397ACE"/>
    <w:rsid w:val="00397B3A"/>
    <w:rsid w:val="00397C8F"/>
    <w:rsid w:val="00397CFB"/>
    <w:rsid w:val="00397DEB"/>
    <w:rsid w:val="003A001F"/>
    <w:rsid w:val="003A04A5"/>
    <w:rsid w:val="003A0756"/>
    <w:rsid w:val="003A0997"/>
    <w:rsid w:val="003A09A4"/>
    <w:rsid w:val="003A0B06"/>
    <w:rsid w:val="003A0EC6"/>
    <w:rsid w:val="003A0EFF"/>
    <w:rsid w:val="003A0FF3"/>
    <w:rsid w:val="003A103C"/>
    <w:rsid w:val="003A152F"/>
    <w:rsid w:val="003A1651"/>
    <w:rsid w:val="003A1841"/>
    <w:rsid w:val="003A1A7A"/>
    <w:rsid w:val="003A1C3C"/>
    <w:rsid w:val="003A1C5B"/>
    <w:rsid w:val="003A1DE9"/>
    <w:rsid w:val="003A2217"/>
    <w:rsid w:val="003A2472"/>
    <w:rsid w:val="003A27D2"/>
    <w:rsid w:val="003A2A23"/>
    <w:rsid w:val="003A2A69"/>
    <w:rsid w:val="003A2E5E"/>
    <w:rsid w:val="003A2FFA"/>
    <w:rsid w:val="003A34E0"/>
    <w:rsid w:val="003A362E"/>
    <w:rsid w:val="003A37AD"/>
    <w:rsid w:val="003A3955"/>
    <w:rsid w:val="003A3B9E"/>
    <w:rsid w:val="003A3CF1"/>
    <w:rsid w:val="003A3EB5"/>
    <w:rsid w:val="003A4100"/>
    <w:rsid w:val="003A4113"/>
    <w:rsid w:val="003A433D"/>
    <w:rsid w:val="003A4603"/>
    <w:rsid w:val="003A4701"/>
    <w:rsid w:val="003A47F4"/>
    <w:rsid w:val="003A47F8"/>
    <w:rsid w:val="003A4A69"/>
    <w:rsid w:val="003A4DD9"/>
    <w:rsid w:val="003A4DDC"/>
    <w:rsid w:val="003A4F0A"/>
    <w:rsid w:val="003A50B8"/>
    <w:rsid w:val="003A50D6"/>
    <w:rsid w:val="003A5315"/>
    <w:rsid w:val="003A53A3"/>
    <w:rsid w:val="003A558A"/>
    <w:rsid w:val="003A56C8"/>
    <w:rsid w:val="003A5912"/>
    <w:rsid w:val="003A5B02"/>
    <w:rsid w:val="003A5C38"/>
    <w:rsid w:val="003A5C87"/>
    <w:rsid w:val="003A5D72"/>
    <w:rsid w:val="003A6200"/>
    <w:rsid w:val="003A62EC"/>
    <w:rsid w:val="003A62EE"/>
    <w:rsid w:val="003A66D9"/>
    <w:rsid w:val="003A6961"/>
    <w:rsid w:val="003A69F2"/>
    <w:rsid w:val="003A6A81"/>
    <w:rsid w:val="003A7141"/>
    <w:rsid w:val="003A721E"/>
    <w:rsid w:val="003A7532"/>
    <w:rsid w:val="003A7734"/>
    <w:rsid w:val="003A7EFC"/>
    <w:rsid w:val="003B034C"/>
    <w:rsid w:val="003B049E"/>
    <w:rsid w:val="003B055A"/>
    <w:rsid w:val="003B0840"/>
    <w:rsid w:val="003B098C"/>
    <w:rsid w:val="003B0ACD"/>
    <w:rsid w:val="003B0CD9"/>
    <w:rsid w:val="003B1044"/>
    <w:rsid w:val="003B10EC"/>
    <w:rsid w:val="003B1177"/>
    <w:rsid w:val="003B11B5"/>
    <w:rsid w:val="003B12BE"/>
    <w:rsid w:val="003B1413"/>
    <w:rsid w:val="003B1717"/>
    <w:rsid w:val="003B175F"/>
    <w:rsid w:val="003B18F0"/>
    <w:rsid w:val="003B1D08"/>
    <w:rsid w:val="003B2246"/>
    <w:rsid w:val="003B237D"/>
    <w:rsid w:val="003B24B8"/>
    <w:rsid w:val="003B27CD"/>
    <w:rsid w:val="003B2837"/>
    <w:rsid w:val="003B2959"/>
    <w:rsid w:val="003B2AC8"/>
    <w:rsid w:val="003B2DBB"/>
    <w:rsid w:val="003B2F05"/>
    <w:rsid w:val="003B2FFB"/>
    <w:rsid w:val="003B318F"/>
    <w:rsid w:val="003B3B13"/>
    <w:rsid w:val="003B3C4E"/>
    <w:rsid w:val="003B3CD8"/>
    <w:rsid w:val="003B3F1F"/>
    <w:rsid w:val="003B422F"/>
    <w:rsid w:val="003B4379"/>
    <w:rsid w:val="003B466F"/>
    <w:rsid w:val="003B4908"/>
    <w:rsid w:val="003B4A52"/>
    <w:rsid w:val="003B4B5C"/>
    <w:rsid w:val="003B4C48"/>
    <w:rsid w:val="003B50CA"/>
    <w:rsid w:val="003B539A"/>
    <w:rsid w:val="003B5AA8"/>
    <w:rsid w:val="003B609D"/>
    <w:rsid w:val="003B60BF"/>
    <w:rsid w:val="003B6194"/>
    <w:rsid w:val="003B62C1"/>
    <w:rsid w:val="003B6787"/>
    <w:rsid w:val="003B6841"/>
    <w:rsid w:val="003B6B08"/>
    <w:rsid w:val="003B6B11"/>
    <w:rsid w:val="003B6E90"/>
    <w:rsid w:val="003B6F37"/>
    <w:rsid w:val="003B6F55"/>
    <w:rsid w:val="003B701D"/>
    <w:rsid w:val="003B709C"/>
    <w:rsid w:val="003B75A5"/>
    <w:rsid w:val="003B7863"/>
    <w:rsid w:val="003B7D45"/>
    <w:rsid w:val="003B7EF9"/>
    <w:rsid w:val="003C0A60"/>
    <w:rsid w:val="003C0D5E"/>
    <w:rsid w:val="003C103B"/>
    <w:rsid w:val="003C11D2"/>
    <w:rsid w:val="003C1400"/>
    <w:rsid w:val="003C142D"/>
    <w:rsid w:val="003C144F"/>
    <w:rsid w:val="003C155C"/>
    <w:rsid w:val="003C163E"/>
    <w:rsid w:val="003C17A7"/>
    <w:rsid w:val="003C195F"/>
    <w:rsid w:val="003C1B2C"/>
    <w:rsid w:val="003C1D64"/>
    <w:rsid w:val="003C1F71"/>
    <w:rsid w:val="003C205E"/>
    <w:rsid w:val="003C2162"/>
    <w:rsid w:val="003C22E3"/>
    <w:rsid w:val="003C23A8"/>
    <w:rsid w:val="003C245D"/>
    <w:rsid w:val="003C2642"/>
    <w:rsid w:val="003C2855"/>
    <w:rsid w:val="003C2DB5"/>
    <w:rsid w:val="003C2FB7"/>
    <w:rsid w:val="003C31AB"/>
    <w:rsid w:val="003C32B0"/>
    <w:rsid w:val="003C35CF"/>
    <w:rsid w:val="003C3C23"/>
    <w:rsid w:val="003C420D"/>
    <w:rsid w:val="003C4223"/>
    <w:rsid w:val="003C4296"/>
    <w:rsid w:val="003C43EB"/>
    <w:rsid w:val="003C4415"/>
    <w:rsid w:val="003C444A"/>
    <w:rsid w:val="003C4453"/>
    <w:rsid w:val="003C46EC"/>
    <w:rsid w:val="003C476C"/>
    <w:rsid w:val="003C49BD"/>
    <w:rsid w:val="003C4AC9"/>
    <w:rsid w:val="003C4C1D"/>
    <w:rsid w:val="003C4CF3"/>
    <w:rsid w:val="003C5100"/>
    <w:rsid w:val="003C520B"/>
    <w:rsid w:val="003C5634"/>
    <w:rsid w:val="003C58F9"/>
    <w:rsid w:val="003C5AAB"/>
    <w:rsid w:val="003C5ED7"/>
    <w:rsid w:val="003C5FDD"/>
    <w:rsid w:val="003C61F3"/>
    <w:rsid w:val="003C678F"/>
    <w:rsid w:val="003C68D6"/>
    <w:rsid w:val="003C6AD6"/>
    <w:rsid w:val="003C6B00"/>
    <w:rsid w:val="003C6C96"/>
    <w:rsid w:val="003C6D21"/>
    <w:rsid w:val="003C6E26"/>
    <w:rsid w:val="003C7105"/>
    <w:rsid w:val="003C7548"/>
    <w:rsid w:val="003C799B"/>
    <w:rsid w:val="003C7B1B"/>
    <w:rsid w:val="003C7B3B"/>
    <w:rsid w:val="003C7D5E"/>
    <w:rsid w:val="003D049F"/>
    <w:rsid w:val="003D04C2"/>
    <w:rsid w:val="003D0819"/>
    <w:rsid w:val="003D0ECD"/>
    <w:rsid w:val="003D100F"/>
    <w:rsid w:val="003D1045"/>
    <w:rsid w:val="003D111C"/>
    <w:rsid w:val="003D1464"/>
    <w:rsid w:val="003D15A3"/>
    <w:rsid w:val="003D170F"/>
    <w:rsid w:val="003D1828"/>
    <w:rsid w:val="003D183B"/>
    <w:rsid w:val="003D197E"/>
    <w:rsid w:val="003D1996"/>
    <w:rsid w:val="003D1EDD"/>
    <w:rsid w:val="003D1F2D"/>
    <w:rsid w:val="003D1FF9"/>
    <w:rsid w:val="003D21B5"/>
    <w:rsid w:val="003D2422"/>
    <w:rsid w:val="003D2625"/>
    <w:rsid w:val="003D269D"/>
    <w:rsid w:val="003D296B"/>
    <w:rsid w:val="003D2D66"/>
    <w:rsid w:val="003D2FE3"/>
    <w:rsid w:val="003D353B"/>
    <w:rsid w:val="003D3555"/>
    <w:rsid w:val="003D363B"/>
    <w:rsid w:val="003D3695"/>
    <w:rsid w:val="003D3776"/>
    <w:rsid w:val="003D3A81"/>
    <w:rsid w:val="003D3B0D"/>
    <w:rsid w:val="003D3E80"/>
    <w:rsid w:val="003D3EEC"/>
    <w:rsid w:val="003D3F54"/>
    <w:rsid w:val="003D4201"/>
    <w:rsid w:val="003D428E"/>
    <w:rsid w:val="003D455B"/>
    <w:rsid w:val="003D46FB"/>
    <w:rsid w:val="003D48FD"/>
    <w:rsid w:val="003D4ECD"/>
    <w:rsid w:val="003D4EEF"/>
    <w:rsid w:val="003D5100"/>
    <w:rsid w:val="003D5317"/>
    <w:rsid w:val="003D56D6"/>
    <w:rsid w:val="003D58A6"/>
    <w:rsid w:val="003D58DA"/>
    <w:rsid w:val="003D5930"/>
    <w:rsid w:val="003D596A"/>
    <w:rsid w:val="003D5982"/>
    <w:rsid w:val="003D5A64"/>
    <w:rsid w:val="003D5C1D"/>
    <w:rsid w:val="003D5C95"/>
    <w:rsid w:val="003D5CA0"/>
    <w:rsid w:val="003D5CB3"/>
    <w:rsid w:val="003D5D41"/>
    <w:rsid w:val="003D6750"/>
    <w:rsid w:val="003D688B"/>
    <w:rsid w:val="003D6AD0"/>
    <w:rsid w:val="003D6B7F"/>
    <w:rsid w:val="003D6CA7"/>
    <w:rsid w:val="003D6CB2"/>
    <w:rsid w:val="003D74D0"/>
    <w:rsid w:val="003D76BC"/>
    <w:rsid w:val="003D7833"/>
    <w:rsid w:val="003D7B4F"/>
    <w:rsid w:val="003D7B61"/>
    <w:rsid w:val="003D7BF4"/>
    <w:rsid w:val="003E0260"/>
    <w:rsid w:val="003E02B1"/>
    <w:rsid w:val="003E02F2"/>
    <w:rsid w:val="003E07A8"/>
    <w:rsid w:val="003E0E60"/>
    <w:rsid w:val="003E0ED2"/>
    <w:rsid w:val="003E112E"/>
    <w:rsid w:val="003E1882"/>
    <w:rsid w:val="003E1B16"/>
    <w:rsid w:val="003E1C8A"/>
    <w:rsid w:val="003E1D37"/>
    <w:rsid w:val="003E20D5"/>
    <w:rsid w:val="003E2292"/>
    <w:rsid w:val="003E28A7"/>
    <w:rsid w:val="003E2DEF"/>
    <w:rsid w:val="003E32D8"/>
    <w:rsid w:val="003E34F9"/>
    <w:rsid w:val="003E3540"/>
    <w:rsid w:val="003E3C35"/>
    <w:rsid w:val="003E3C62"/>
    <w:rsid w:val="003E3CD9"/>
    <w:rsid w:val="003E3D32"/>
    <w:rsid w:val="003E3F35"/>
    <w:rsid w:val="003E407E"/>
    <w:rsid w:val="003E4684"/>
    <w:rsid w:val="003E4747"/>
    <w:rsid w:val="003E4748"/>
    <w:rsid w:val="003E47A2"/>
    <w:rsid w:val="003E47EB"/>
    <w:rsid w:val="003E4CCC"/>
    <w:rsid w:val="003E4E3D"/>
    <w:rsid w:val="003E5068"/>
    <w:rsid w:val="003E52D0"/>
    <w:rsid w:val="003E560E"/>
    <w:rsid w:val="003E5844"/>
    <w:rsid w:val="003E5983"/>
    <w:rsid w:val="003E59FD"/>
    <w:rsid w:val="003E5ABB"/>
    <w:rsid w:val="003E5CC3"/>
    <w:rsid w:val="003E5EA1"/>
    <w:rsid w:val="003E5FF3"/>
    <w:rsid w:val="003E6235"/>
    <w:rsid w:val="003E678E"/>
    <w:rsid w:val="003E6A34"/>
    <w:rsid w:val="003E6AC0"/>
    <w:rsid w:val="003E6AE8"/>
    <w:rsid w:val="003E6BBA"/>
    <w:rsid w:val="003E6CD0"/>
    <w:rsid w:val="003E6DA6"/>
    <w:rsid w:val="003E6DDC"/>
    <w:rsid w:val="003E6F98"/>
    <w:rsid w:val="003E6FAA"/>
    <w:rsid w:val="003E70B8"/>
    <w:rsid w:val="003E70D2"/>
    <w:rsid w:val="003E7206"/>
    <w:rsid w:val="003E73E7"/>
    <w:rsid w:val="003E742B"/>
    <w:rsid w:val="003E7812"/>
    <w:rsid w:val="003E7857"/>
    <w:rsid w:val="003E7862"/>
    <w:rsid w:val="003E7C7A"/>
    <w:rsid w:val="003E7D22"/>
    <w:rsid w:val="003F034F"/>
    <w:rsid w:val="003F0420"/>
    <w:rsid w:val="003F0546"/>
    <w:rsid w:val="003F06AB"/>
    <w:rsid w:val="003F07E0"/>
    <w:rsid w:val="003F0888"/>
    <w:rsid w:val="003F08B9"/>
    <w:rsid w:val="003F0F6B"/>
    <w:rsid w:val="003F1A10"/>
    <w:rsid w:val="003F1AB4"/>
    <w:rsid w:val="003F1C33"/>
    <w:rsid w:val="003F1DE0"/>
    <w:rsid w:val="003F1E01"/>
    <w:rsid w:val="003F1F95"/>
    <w:rsid w:val="003F258C"/>
    <w:rsid w:val="003F30B0"/>
    <w:rsid w:val="003F30F0"/>
    <w:rsid w:val="003F32D2"/>
    <w:rsid w:val="003F3301"/>
    <w:rsid w:val="003F3495"/>
    <w:rsid w:val="003F3636"/>
    <w:rsid w:val="003F3752"/>
    <w:rsid w:val="003F39B0"/>
    <w:rsid w:val="003F3A89"/>
    <w:rsid w:val="003F3D01"/>
    <w:rsid w:val="003F3DD1"/>
    <w:rsid w:val="003F4156"/>
    <w:rsid w:val="003F4405"/>
    <w:rsid w:val="003F472D"/>
    <w:rsid w:val="003F49E1"/>
    <w:rsid w:val="003F4B7C"/>
    <w:rsid w:val="003F4E92"/>
    <w:rsid w:val="003F50B4"/>
    <w:rsid w:val="003F50C8"/>
    <w:rsid w:val="003F51D8"/>
    <w:rsid w:val="003F52E8"/>
    <w:rsid w:val="003F56A6"/>
    <w:rsid w:val="003F59D9"/>
    <w:rsid w:val="003F5FB3"/>
    <w:rsid w:val="003F6094"/>
    <w:rsid w:val="003F67B1"/>
    <w:rsid w:val="003F6B07"/>
    <w:rsid w:val="003F6BC8"/>
    <w:rsid w:val="003F7036"/>
    <w:rsid w:val="003F7167"/>
    <w:rsid w:val="003F727D"/>
    <w:rsid w:val="003F7969"/>
    <w:rsid w:val="003F7ABF"/>
    <w:rsid w:val="004002D9"/>
    <w:rsid w:val="00400509"/>
    <w:rsid w:val="0040059D"/>
    <w:rsid w:val="00400B30"/>
    <w:rsid w:val="00400F17"/>
    <w:rsid w:val="00400F8A"/>
    <w:rsid w:val="0040102D"/>
    <w:rsid w:val="004010BA"/>
    <w:rsid w:val="004012F1"/>
    <w:rsid w:val="0040136B"/>
    <w:rsid w:val="00401616"/>
    <w:rsid w:val="004019D5"/>
    <w:rsid w:val="00401A31"/>
    <w:rsid w:val="00401E5C"/>
    <w:rsid w:val="00401F11"/>
    <w:rsid w:val="00401F77"/>
    <w:rsid w:val="00401FB8"/>
    <w:rsid w:val="0040205B"/>
    <w:rsid w:val="004024BC"/>
    <w:rsid w:val="00402505"/>
    <w:rsid w:val="00402585"/>
    <w:rsid w:val="0040266F"/>
    <w:rsid w:val="00402999"/>
    <w:rsid w:val="004029F1"/>
    <w:rsid w:val="00402B71"/>
    <w:rsid w:val="00402D78"/>
    <w:rsid w:val="00402D90"/>
    <w:rsid w:val="00402EF1"/>
    <w:rsid w:val="004030A9"/>
    <w:rsid w:val="004031CC"/>
    <w:rsid w:val="004032C5"/>
    <w:rsid w:val="0040379C"/>
    <w:rsid w:val="00403B6E"/>
    <w:rsid w:val="00403B93"/>
    <w:rsid w:val="00403CB9"/>
    <w:rsid w:val="00403E7F"/>
    <w:rsid w:val="00403F65"/>
    <w:rsid w:val="00404005"/>
    <w:rsid w:val="0040418C"/>
    <w:rsid w:val="004042BA"/>
    <w:rsid w:val="004043D3"/>
    <w:rsid w:val="004043DE"/>
    <w:rsid w:val="004043FA"/>
    <w:rsid w:val="0040441F"/>
    <w:rsid w:val="00405135"/>
    <w:rsid w:val="0040529F"/>
    <w:rsid w:val="004053DD"/>
    <w:rsid w:val="004055A4"/>
    <w:rsid w:val="00405A20"/>
    <w:rsid w:val="00405AA6"/>
    <w:rsid w:val="00405F46"/>
    <w:rsid w:val="00406562"/>
    <w:rsid w:val="00406A11"/>
    <w:rsid w:val="00406CAC"/>
    <w:rsid w:val="00406E67"/>
    <w:rsid w:val="00407048"/>
    <w:rsid w:val="0040760B"/>
    <w:rsid w:val="004079E9"/>
    <w:rsid w:val="00407DD6"/>
    <w:rsid w:val="00407EA2"/>
    <w:rsid w:val="00407FE0"/>
    <w:rsid w:val="004100DC"/>
    <w:rsid w:val="00410111"/>
    <w:rsid w:val="0041012B"/>
    <w:rsid w:val="004103AB"/>
    <w:rsid w:val="00410708"/>
    <w:rsid w:val="00410EC7"/>
    <w:rsid w:val="00410F4A"/>
    <w:rsid w:val="00410F5B"/>
    <w:rsid w:val="0041135A"/>
    <w:rsid w:val="00411759"/>
    <w:rsid w:val="00411762"/>
    <w:rsid w:val="00411C43"/>
    <w:rsid w:val="00411D0C"/>
    <w:rsid w:val="00411D8D"/>
    <w:rsid w:val="00412003"/>
    <w:rsid w:val="0041255E"/>
    <w:rsid w:val="00412E51"/>
    <w:rsid w:val="00412EBF"/>
    <w:rsid w:val="00412EF7"/>
    <w:rsid w:val="00412FF3"/>
    <w:rsid w:val="004133FE"/>
    <w:rsid w:val="0041341C"/>
    <w:rsid w:val="004135EB"/>
    <w:rsid w:val="00413603"/>
    <w:rsid w:val="00413674"/>
    <w:rsid w:val="004137D8"/>
    <w:rsid w:val="00413A64"/>
    <w:rsid w:val="00413DA4"/>
    <w:rsid w:val="00413DDF"/>
    <w:rsid w:val="00414089"/>
    <w:rsid w:val="00414196"/>
    <w:rsid w:val="0041428B"/>
    <w:rsid w:val="00414444"/>
    <w:rsid w:val="00414476"/>
    <w:rsid w:val="004144F5"/>
    <w:rsid w:val="00414915"/>
    <w:rsid w:val="00414A42"/>
    <w:rsid w:val="00414E64"/>
    <w:rsid w:val="004150B3"/>
    <w:rsid w:val="004150D4"/>
    <w:rsid w:val="00415317"/>
    <w:rsid w:val="0041556C"/>
    <w:rsid w:val="004156EC"/>
    <w:rsid w:val="004156FD"/>
    <w:rsid w:val="0041587F"/>
    <w:rsid w:val="0041593A"/>
    <w:rsid w:val="00415A3D"/>
    <w:rsid w:val="00415BBF"/>
    <w:rsid w:val="00415C8B"/>
    <w:rsid w:val="00415D67"/>
    <w:rsid w:val="00415F51"/>
    <w:rsid w:val="00415FD3"/>
    <w:rsid w:val="00416204"/>
    <w:rsid w:val="0041629B"/>
    <w:rsid w:val="004169FB"/>
    <w:rsid w:val="00416F5F"/>
    <w:rsid w:val="00417333"/>
    <w:rsid w:val="00417952"/>
    <w:rsid w:val="00417C9F"/>
    <w:rsid w:val="00417D2E"/>
    <w:rsid w:val="004202B1"/>
    <w:rsid w:val="00420343"/>
    <w:rsid w:val="0042090E"/>
    <w:rsid w:val="00420914"/>
    <w:rsid w:val="00420B9F"/>
    <w:rsid w:val="00420C2A"/>
    <w:rsid w:val="00420DE0"/>
    <w:rsid w:val="00420E7F"/>
    <w:rsid w:val="00420F38"/>
    <w:rsid w:val="004210E4"/>
    <w:rsid w:val="0042135F"/>
    <w:rsid w:val="0042159C"/>
    <w:rsid w:val="00421859"/>
    <w:rsid w:val="004218B2"/>
    <w:rsid w:val="00421C43"/>
    <w:rsid w:val="00421DE8"/>
    <w:rsid w:val="00421E44"/>
    <w:rsid w:val="00421F6A"/>
    <w:rsid w:val="004220B8"/>
    <w:rsid w:val="004221DD"/>
    <w:rsid w:val="004228CC"/>
    <w:rsid w:val="00422924"/>
    <w:rsid w:val="00422999"/>
    <w:rsid w:val="00422BC0"/>
    <w:rsid w:val="00422EF5"/>
    <w:rsid w:val="00422EFF"/>
    <w:rsid w:val="00423193"/>
    <w:rsid w:val="00423360"/>
    <w:rsid w:val="0042361C"/>
    <w:rsid w:val="004238E9"/>
    <w:rsid w:val="00423D5C"/>
    <w:rsid w:val="00423DE9"/>
    <w:rsid w:val="00424118"/>
    <w:rsid w:val="00424349"/>
    <w:rsid w:val="00424414"/>
    <w:rsid w:val="00424476"/>
    <w:rsid w:val="004247DB"/>
    <w:rsid w:val="0042487C"/>
    <w:rsid w:val="00424998"/>
    <w:rsid w:val="00424AAC"/>
    <w:rsid w:val="00424F49"/>
    <w:rsid w:val="00425334"/>
    <w:rsid w:val="00425672"/>
    <w:rsid w:val="004256F3"/>
    <w:rsid w:val="0042573F"/>
    <w:rsid w:val="00425783"/>
    <w:rsid w:val="004258B1"/>
    <w:rsid w:val="00425D08"/>
    <w:rsid w:val="00425D4B"/>
    <w:rsid w:val="0042610A"/>
    <w:rsid w:val="0042650C"/>
    <w:rsid w:val="00426648"/>
    <w:rsid w:val="004266B1"/>
    <w:rsid w:val="00426729"/>
    <w:rsid w:val="00426824"/>
    <w:rsid w:val="00426C5C"/>
    <w:rsid w:val="00426E3D"/>
    <w:rsid w:val="00426E71"/>
    <w:rsid w:val="00426FC2"/>
    <w:rsid w:val="0042764B"/>
    <w:rsid w:val="0042767B"/>
    <w:rsid w:val="00427B62"/>
    <w:rsid w:val="00427D9F"/>
    <w:rsid w:val="00427DA0"/>
    <w:rsid w:val="00427E09"/>
    <w:rsid w:val="00427E7B"/>
    <w:rsid w:val="004305EA"/>
    <w:rsid w:val="004305FE"/>
    <w:rsid w:val="00430E04"/>
    <w:rsid w:val="00430E97"/>
    <w:rsid w:val="00431426"/>
    <w:rsid w:val="004316EF"/>
    <w:rsid w:val="004317F1"/>
    <w:rsid w:val="004318F4"/>
    <w:rsid w:val="004319F8"/>
    <w:rsid w:val="00431BAE"/>
    <w:rsid w:val="00431D7A"/>
    <w:rsid w:val="00431D8C"/>
    <w:rsid w:val="00431E20"/>
    <w:rsid w:val="00431E59"/>
    <w:rsid w:val="00431EBB"/>
    <w:rsid w:val="004321BD"/>
    <w:rsid w:val="004326DF"/>
    <w:rsid w:val="0043281B"/>
    <w:rsid w:val="00432829"/>
    <w:rsid w:val="004328EE"/>
    <w:rsid w:val="00432BDC"/>
    <w:rsid w:val="00432E7C"/>
    <w:rsid w:val="00433043"/>
    <w:rsid w:val="00433044"/>
    <w:rsid w:val="00433294"/>
    <w:rsid w:val="00433445"/>
    <w:rsid w:val="004336DE"/>
    <w:rsid w:val="00433736"/>
    <w:rsid w:val="0043379A"/>
    <w:rsid w:val="00433AEB"/>
    <w:rsid w:val="00433B85"/>
    <w:rsid w:val="00433B9A"/>
    <w:rsid w:val="00433D1F"/>
    <w:rsid w:val="00433EC2"/>
    <w:rsid w:val="00434083"/>
    <w:rsid w:val="00434218"/>
    <w:rsid w:val="00434445"/>
    <w:rsid w:val="0043458B"/>
    <w:rsid w:val="004347BD"/>
    <w:rsid w:val="00434816"/>
    <w:rsid w:val="0043501A"/>
    <w:rsid w:val="004350FC"/>
    <w:rsid w:val="00435515"/>
    <w:rsid w:val="00435BC4"/>
    <w:rsid w:val="00435DAD"/>
    <w:rsid w:val="00435F11"/>
    <w:rsid w:val="004366D3"/>
    <w:rsid w:val="004367FD"/>
    <w:rsid w:val="00436A81"/>
    <w:rsid w:val="00436AA3"/>
    <w:rsid w:val="00436B08"/>
    <w:rsid w:val="00436BF8"/>
    <w:rsid w:val="00436C30"/>
    <w:rsid w:val="00436CB7"/>
    <w:rsid w:val="004374A7"/>
    <w:rsid w:val="00437561"/>
    <w:rsid w:val="004378C1"/>
    <w:rsid w:val="00437B4E"/>
    <w:rsid w:val="00440380"/>
    <w:rsid w:val="00440617"/>
    <w:rsid w:val="00440718"/>
    <w:rsid w:val="00440C85"/>
    <w:rsid w:val="00440FFE"/>
    <w:rsid w:val="0044112C"/>
    <w:rsid w:val="0044124F"/>
    <w:rsid w:val="00441303"/>
    <w:rsid w:val="004413E2"/>
    <w:rsid w:val="0044162A"/>
    <w:rsid w:val="00441909"/>
    <w:rsid w:val="00441F90"/>
    <w:rsid w:val="00441FC9"/>
    <w:rsid w:val="00442409"/>
    <w:rsid w:val="004426AC"/>
    <w:rsid w:val="00442750"/>
    <w:rsid w:val="00442792"/>
    <w:rsid w:val="00442A22"/>
    <w:rsid w:val="00442AA9"/>
    <w:rsid w:val="00442B32"/>
    <w:rsid w:val="00442C0C"/>
    <w:rsid w:val="00442E52"/>
    <w:rsid w:val="00442FA5"/>
    <w:rsid w:val="00443416"/>
    <w:rsid w:val="00443687"/>
    <w:rsid w:val="004436BD"/>
    <w:rsid w:val="00443941"/>
    <w:rsid w:val="00443A3F"/>
    <w:rsid w:val="00443D12"/>
    <w:rsid w:val="00443E67"/>
    <w:rsid w:val="00443FC8"/>
    <w:rsid w:val="00444029"/>
    <w:rsid w:val="00444230"/>
    <w:rsid w:val="004443A7"/>
    <w:rsid w:val="0044444A"/>
    <w:rsid w:val="00444476"/>
    <w:rsid w:val="00444573"/>
    <w:rsid w:val="004447EF"/>
    <w:rsid w:val="00444865"/>
    <w:rsid w:val="0044503E"/>
    <w:rsid w:val="004452B2"/>
    <w:rsid w:val="0044530F"/>
    <w:rsid w:val="004453DF"/>
    <w:rsid w:val="00445FF9"/>
    <w:rsid w:val="00446330"/>
    <w:rsid w:val="0044637E"/>
    <w:rsid w:val="00446482"/>
    <w:rsid w:val="004464EB"/>
    <w:rsid w:val="00446573"/>
    <w:rsid w:val="00446814"/>
    <w:rsid w:val="004469B5"/>
    <w:rsid w:val="00447015"/>
    <w:rsid w:val="00447148"/>
    <w:rsid w:val="00447490"/>
    <w:rsid w:val="00447722"/>
    <w:rsid w:val="0044795F"/>
    <w:rsid w:val="00447C38"/>
    <w:rsid w:val="00447F1B"/>
    <w:rsid w:val="00450307"/>
    <w:rsid w:val="00450386"/>
    <w:rsid w:val="00450BCD"/>
    <w:rsid w:val="00450C4D"/>
    <w:rsid w:val="00450CD6"/>
    <w:rsid w:val="00450D88"/>
    <w:rsid w:val="00450E88"/>
    <w:rsid w:val="00450FDC"/>
    <w:rsid w:val="00451641"/>
    <w:rsid w:val="0045194C"/>
    <w:rsid w:val="0045198A"/>
    <w:rsid w:val="00451C6C"/>
    <w:rsid w:val="00451E7D"/>
    <w:rsid w:val="00451E90"/>
    <w:rsid w:val="00451EC4"/>
    <w:rsid w:val="00451F39"/>
    <w:rsid w:val="004523DB"/>
    <w:rsid w:val="004524B6"/>
    <w:rsid w:val="004526A0"/>
    <w:rsid w:val="004529EE"/>
    <w:rsid w:val="004529F5"/>
    <w:rsid w:val="00452A4F"/>
    <w:rsid w:val="00452BB4"/>
    <w:rsid w:val="00452CF9"/>
    <w:rsid w:val="00453184"/>
    <w:rsid w:val="00453317"/>
    <w:rsid w:val="00453577"/>
    <w:rsid w:val="00453712"/>
    <w:rsid w:val="00453BF9"/>
    <w:rsid w:val="00453C8A"/>
    <w:rsid w:val="00453CC2"/>
    <w:rsid w:val="00453CED"/>
    <w:rsid w:val="004540B5"/>
    <w:rsid w:val="00454403"/>
    <w:rsid w:val="004544E2"/>
    <w:rsid w:val="00454513"/>
    <w:rsid w:val="00454554"/>
    <w:rsid w:val="00454788"/>
    <w:rsid w:val="00454807"/>
    <w:rsid w:val="004548F7"/>
    <w:rsid w:val="00454A81"/>
    <w:rsid w:val="00454B4B"/>
    <w:rsid w:val="00454CDF"/>
    <w:rsid w:val="00455521"/>
    <w:rsid w:val="0045582D"/>
    <w:rsid w:val="00455B23"/>
    <w:rsid w:val="00455B7C"/>
    <w:rsid w:val="00455CA1"/>
    <w:rsid w:val="00455D45"/>
    <w:rsid w:val="00455E0F"/>
    <w:rsid w:val="004560C0"/>
    <w:rsid w:val="0045611D"/>
    <w:rsid w:val="0045619F"/>
    <w:rsid w:val="0045687C"/>
    <w:rsid w:val="00456C38"/>
    <w:rsid w:val="00456D03"/>
    <w:rsid w:val="00456DCD"/>
    <w:rsid w:val="00457067"/>
    <w:rsid w:val="0045710A"/>
    <w:rsid w:val="0045716A"/>
    <w:rsid w:val="0045741A"/>
    <w:rsid w:val="00457424"/>
    <w:rsid w:val="0045749C"/>
    <w:rsid w:val="004576B8"/>
    <w:rsid w:val="00457769"/>
    <w:rsid w:val="00457980"/>
    <w:rsid w:val="00457D4A"/>
    <w:rsid w:val="00460542"/>
    <w:rsid w:val="004608C1"/>
    <w:rsid w:val="0046091F"/>
    <w:rsid w:val="004609C3"/>
    <w:rsid w:val="004609F4"/>
    <w:rsid w:val="00460D47"/>
    <w:rsid w:val="00460F10"/>
    <w:rsid w:val="00460F3C"/>
    <w:rsid w:val="00461161"/>
    <w:rsid w:val="00461263"/>
    <w:rsid w:val="00461476"/>
    <w:rsid w:val="004619A4"/>
    <w:rsid w:val="00461A93"/>
    <w:rsid w:val="00461BC9"/>
    <w:rsid w:val="00461BDB"/>
    <w:rsid w:val="004621FD"/>
    <w:rsid w:val="00462382"/>
    <w:rsid w:val="0046273D"/>
    <w:rsid w:val="00462CA3"/>
    <w:rsid w:val="00462D94"/>
    <w:rsid w:val="00462DA8"/>
    <w:rsid w:val="0046323B"/>
    <w:rsid w:val="0046337E"/>
    <w:rsid w:val="004637C0"/>
    <w:rsid w:val="0046394F"/>
    <w:rsid w:val="00463A91"/>
    <w:rsid w:val="00463B08"/>
    <w:rsid w:val="00463B5B"/>
    <w:rsid w:val="00463BEE"/>
    <w:rsid w:val="00463C07"/>
    <w:rsid w:val="004641A0"/>
    <w:rsid w:val="004644E7"/>
    <w:rsid w:val="00464519"/>
    <w:rsid w:val="00464525"/>
    <w:rsid w:val="00464595"/>
    <w:rsid w:val="00464D82"/>
    <w:rsid w:val="00464E2A"/>
    <w:rsid w:val="00465022"/>
    <w:rsid w:val="0046514D"/>
    <w:rsid w:val="004654CA"/>
    <w:rsid w:val="00465CCD"/>
    <w:rsid w:val="00465E7D"/>
    <w:rsid w:val="00465E7E"/>
    <w:rsid w:val="00466054"/>
    <w:rsid w:val="004661DF"/>
    <w:rsid w:val="00466485"/>
    <w:rsid w:val="00466595"/>
    <w:rsid w:val="00466619"/>
    <w:rsid w:val="004667DB"/>
    <w:rsid w:val="004668BF"/>
    <w:rsid w:val="00466A93"/>
    <w:rsid w:val="00466C4E"/>
    <w:rsid w:val="0046773A"/>
    <w:rsid w:val="00467FA5"/>
    <w:rsid w:val="00470659"/>
    <w:rsid w:val="0047073A"/>
    <w:rsid w:val="0047079D"/>
    <w:rsid w:val="00470892"/>
    <w:rsid w:val="00470B67"/>
    <w:rsid w:val="00470C2E"/>
    <w:rsid w:val="004711BA"/>
    <w:rsid w:val="00471359"/>
    <w:rsid w:val="00471932"/>
    <w:rsid w:val="00471B3B"/>
    <w:rsid w:val="00471CD6"/>
    <w:rsid w:val="004720A9"/>
    <w:rsid w:val="0047241A"/>
    <w:rsid w:val="004724AB"/>
    <w:rsid w:val="00472780"/>
    <w:rsid w:val="004727C6"/>
    <w:rsid w:val="00472852"/>
    <w:rsid w:val="00473354"/>
    <w:rsid w:val="004735B4"/>
    <w:rsid w:val="00473641"/>
    <w:rsid w:val="0047375E"/>
    <w:rsid w:val="00473D96"/>
    <w:rsid w:val="00473DA2"/>
    <w:rsid w:val="00473F1E"/>
    <w:rsid w:val="0047446F"/>
    <w:rsid w:val="00474B43"/>
    <w:rsid w:val="00474CA2"/>
    <w:rsid w:val="00474D5C"/>
    <w:rsid w:val="004751BD"/>
    <w:rsid w:val="004753C0"/>
    <w:rsid w:val="004755FC"/>
    <w:rsid w:val="004759DF"/>
    <w:rsid w:val="00475AB0"/>
    <w:rsid w:val="00475F03"/>
    <w:rsid w:val="00476874"/>
    <w:rsid w:val="00476D43"/>
    <w:rsid w:val="00477395"/>
    <w:rsid w:val="004775C0"/>
    <w:rsid w:val="00477622"/>
    <w:rsid w:val="00477887"/>
    <w:rsid w:val="00477929"/>
    <w:rsid w:val="004779F9"/>
    <w:rsid w:val="0048007F"/>
    <w:rsid w:val="004804C3"/>
    <w:rsid w:val="004804C6"/>
    <w:rsid w:val="00480902"/>
    <w:rsid w:val="004809CE"/>
    <w:rsid w:val="00480CAC"/>
    <w:rsid w:val="00481522"/>
    <w:rsid w:val="00481BB8"/>
    <w:rsid w:val="00481BF1"/>
    <w:rsid w:val="0048207A"/>
    <w:rsid w:val="0048229D"/>
    <w:rsid w:val="0048233A"/>
    <w:rsid w:val="004825C0"/>
    <w:rsid w:val="00482A63"/>
    <w:rsid w:val="004830F9"/>
    <w:rsid w:val="00483190"/>
    <w:rsid w:val="004833CA"/>
    <w:rsid w:val="0048341B"/>
    <w:rsid w:val="004836EF"/>
    <w:rsid w:val="004836F2"/>
    <w:rsid w:val="00483787"/>
    <w:rsid w:val="004837FA"/>
    <w:rsid w:val="0048390E"/>
    <w:rsid w:val="00483977"/>
    <w:rsid w:val="00483E03"/>
    <w:rsid w:val="00483E92"/>
    <w:rsid w:val="0048410B"/>
    <w:rsid w:val="004843AC"/>
    <w:rsid w:val="0048443C"/>
    <w:rsid w:val="00484570"/>
    <w:rsid w:val="0048465A"/>
    <w:rsid w:val="00484744"/>
    <w:rsid w:val="004848EE"/>
    <w:rsid w:val="00484A00"/>
    <w:rsid w:val="00484B4F"/>
    <w:rsid w:val="00484B8C"/>
    <w:rsid w:val="004852DC"/>
    <w:rsid w:val="00485590"/>
    <w:rsid w:val="004856D0"/>
    <w:rsid w:val="00485ABB"/>
    <w:rsid w:val="00485D85"/>
    <w:rsid w:val="00485DDD"/>
    <w:rsid w:val="00485E31"/>
    <w:rsid w:val="00485F8F"/>
    <w:rsid w:val="004867E2"/>
    <w:rsid w:val="00486822"/>
    <w:rsid w:val="0048693D"/>
    <w:rsid w:val="00486F06"/>
    <w:rsid w:val="00486F31"/>
    <w:rsid w:val="004872CF"/>
    <w:rsid w:val="0048730A"/>
    <w:rsid w:val="004874A8"/>
    <w:rsid w:val="0048751B"/>
    <w:rsid w:val="00487BEC"/>
    <w:rsid w:val="00490167"/>
    <w:rsid w:val="004901D5"/>
    <w:rsid w:val="004902A8"/>
    <w:rsid w:val="00490531"/>
    <w:rsid w:val="00490532"/>
    <w:rsid w:val="004905F1"/>
    <w:rsid w:val="00490B94"/>
    <w:rsid w:val="00490BF2"/>
    <w:rsid w:val="00491126"/>
    <w:rsid w:val="004911D9"/>
    <w:rsid w:val="00491367"/>
    <w:rsid w:val="004914A8"/>
    <w:rsid w:val="004917CF"/>
    <w:rsid w:val="00491842"/>
    <w:rsid w:val="00491A50"/>
    <w:rsid w:val="00491B3A"/>
    <w:rsid w:val="00491CAE"/>
    <w:rsid w:val="00492074"/>
    <w:rsid w:val="0049279F"/>
    <w:rsid w:val="004927E7"/>
    <w:rsid w:val="004927FD"/>
    <w:rsid w:val="0049287D"/>
    <w:rsid w:val="00492963"/>
    <w:rsid w:val="00492A02"/>
    <w:rsid w:val="00492BB8"/>
    <w:rsid w:val="00492CFD"/>
    <w:rsid w:val="00492ED7"/>
    <w:rsid w:val="00492F2B"/>
    <w:rsid w:val="00492F99"/>
    <w:rsid w:val="00493166"/>
    <w:rsid w:val="004932FC"/>
    <w:rsid w:val="004933B9"/>
    <w:rsid w:val="0049364E"/>
    <w:rsid w:val="00493819"/>
    <w:rsid w:val="00493DC8"/>
    <w:rsid w:val="00493E07"/>
    <w:rsid w:val="00494439"/>
    <w:rsid w:val="00494580"/>
    <w:rsid w:val="00494916"/>
    <w:rsid w:val="00494BAB"/>
    <w:rsid w:val="00494BFC"/>
    <w:rsid w:val="00494C7C"/>
    <w:rsid w:val="00494E6B"/>
    <w:rsid w:val="0049513E"/>
    <w:rsid w:val="00495257"/>
    <w:rsid w:val="00495596"/>
    <w:rsid w:val="0049559B"/>
    <w:rsid w:val="004955ED"/>
    <w:rsid w:val="004956FF"/>
    <w:rsid w:val="004962D2"/>
    <w:rsid w:val="004963D7"/>
    <w:rsid w:val="004963E7"/>
    <w:rsid w:val="0049645B"/>
    <w:rsid w:val="004965B4"/>
    <w:rsid w:val="004967E6"/>
    <w:rsid w:val="00496C95"/>
    <w:rsid w:val="00496DE3"/>
    <w:rsid w:val="00496EE0"/>
    <w:rsid w:val="00496EF4"/>
    <w:rsid w:val="00496F7D"/>
    <w:rsid w:val="00497057"/>
    <w:rsid w:val="0049713D"/>
    <w:rsid w:val="004971B6"/>
    <w:rsid w:val="00497516"/>
    <w:rsid w:val="004976EC"/>
    <w:rsid w:val="00497D80"/>
    <w:rsid w:val="00497F07"/>
    <w:rsid w:val="004A0100"/>
    <w:rsid w:val="004A0240"/>
    <w:rsid w:val="004A08BB"/>
    <w:rsid w:val="004A0BFC"/>
    <w:rsid w:val="004A0CB7"/>
    <w:rsid w:val="004A0DA1"/>
    <w:rsid w:val="004A0DBC"/>
    <w:rsid w:val="004A1091"/>
    <w:rsid w:val="004A1349"/>
    <w:rsid w:val="004A1856"/>
    <w:rsid w:val="004A1EF3"/>
    <w:rsid w:val="004A1FD7"/>
    <w:rsid w:val="004A210C"/>
    <w:rsid w:val="004A22CD"/>
    <w:rsid w:val="004A2396"/>
    <w:rsid w:val="004A250F"/>
    <w:rsid w:val="004A2964"/>
    <w:rsid w:val="004A2A9F"/>
    <w:rsid w:val="004A2DF7"/>
    <w:rsid w:val="004A2F80"/>
    <w:rsid w:val="004A300E"/>
    <w:rsid w:val="004A322C"/>
    <w:rsid w:val="004A3464"/>
    <w:rsid w:val="004A3CCA"/>
    <w:rsid w:val="004A3D28"/>
    <w:rsid w:val="004A3D6D"/>
    <w:rsid w:val="004A413F"/>
    <w:rsid w:val="004A425D"/>
    <w:rsid w:val="004A43E3"/>
    <w:rsid w:val="004A4866"/>
    <w:rsid w:val="004A4BC6"/>
    <w:rsid w:val="004A5102"/>
    <w:rsid w:val="004A537B"/>
    <w:rsid w:val="004A53F1"/>
    <w:rsid w:val="004A5546"/>
    <w:rsid w:val="004A57A9"/>
    <w:rsid w:val="004A59AB"/>
    <w:rsid w:val="004A5B5E"/>
    <w:rsid w:val="004A5CC4"/>
    <w:rsid w:val="004A6458"/>
    <w:rsid w:val="004A6597"/>
    <w:rsid w:val="004A67AF"/>
    <w:rsid w:val="004A6879"/>
    <w:rsid w:val="004A68D6"/>
    <w:rsid w:val="004A6FAA"/>
    <w:rsid w:val="004A6FEB"/>
    <w:rsid w:val="004A70FB"/>
    <w:rsid w:val="004A7137"/>
    <w:rsid w:val="004A74FC"/>
    <w:rsid w:val="004A76B0"/>
    <w:rsid w:val="004A7847"/>
    <w:rsid w:val="004A7C39"/>
    <w:rsid w:val="004A7ECC"/>
    <w:rsid w:val="004B0310"/>
    <w:rsid w:val="004B0708"/>
    <w:rsid w:val="004B07A4"/>
    <w:rsid w:val="004B1012"/>
    <w:rsid w:val="004B1249"/>
    <w:rsid w:val="004B13B0"/>
    <w:rsid w:val="004B1602"/>
    <w:rsid w:val="004B1B92"/>
    <w:rsid w:val="004B1CB4"/>
    <w:rsid w:val="004B1D26"/>
    <w:rsid w:val="004B20CD"/>
    <w:rsid w:val="004B24C0"/>
    <w:rsid w:val="004B256A"/>
    <w:rsid w:val="004B26ED"/>
    <w:rsid w:val="004B27C5"/>
    <w:rsid w:val="004B2881"/>
    <w:rsid w:val="004B2C02"/>
    <w:rsid w:val="004B2CBE"/>
    <w:rsid w:val="004B2CC8"/>
    <w:rsid w:val="004B2F18"/>
    <w:rsid w:val="004B2F6C"/>
    <w:rsid w:val="004B3028"/>
    <w:rsid w:val="004B309D"/>
    <w:rsid w:val="004B3122"/>
    <w:rsid w:val="004B3192"/>
    <w:rsid w:val="004B322B"/>
    <w:rsid w:val="004B3520"/>
    <w:rsid w:val="004B3746"/>
    <w:rsid w:val="004B382D"/>
    <w:rsid w:val="004B3D30"/>
    <w:rsid w:val="004B3DDB"/>
    <w:rsid w:val="004B408F"/>
    <w:rsid w:val="004B44FD"/>
    <w:rsid w:val="004B4754"/>
    <w:rsid w:val="004B488D"/>
    <w:rsid w:val="004B48A4"/>
    <w:rsid w:val="004B4992"/>
    <w:rsid w:val="004B4A58"/>
    <w:rsid w:val="004B4B36"/>
    <w:rsid w:val="004B4C00"/>
    <w:rsid w:val="004B4EE6"/>
    <w:rsid w:val="004B4F61"/>
    <w:rsid w:val="004B4FE8"/>
    <w:rsid w:val="004B501C"/>
    <w:rsid w:val="004B5222"/>
    <w:rsid w:val="004B54D6"/>
    <w:rsid w:val="004B559A"/>
    <w:rsid w:val="004B5874"/>
    <w:rsid w:val="004B5CFC"/>
    <w:rsid w:val="004B5E50"/>
    <w:rsid w:val="004B5F22"/>
    <w:rsid w:val="004B5F3B"/>
    <w:rsid w:val="004B602D"/>
    <w:rsid w:val="004B6222"/>
    <w:rsid w:val="004B626D"/>
    <w:rsid w:val="004B65DA"/>
    <w:rsid w:val="004B6782"/>
    <w:rsid w:val="004B6A09"/>
    <w:rsid w:val="004B6FA9"/>
    <w:rsid w:val="004B70F0"/>
    <w:rsid w:val="004B7101"/>
    <w:rsid w:val="004B788A"/>
    <w:rsid w:val="004B7B00"/>
    <w:rsid w:val="004C0202"/>
    <w:rsid w:val="004C02E3"/>
    <w:rsid w:val="004C035F"/>
    <w:rsid w:val="004C04AD"/>
    <w:rsid w:val="004C053D"/>
    <w:rsid w:val="004C06A6"/>
    <w:rsid w:val="004C094F"/>
    <w:rsid w:val="004C0A90"/>
    <w:rsid w:val="004C0E56"/>
    <w:rsid w:val="004C0EDA"/>
    <w:rsid w:val="004C13D9"/>
    <w:rsid w:val="004C1555"/>
    <w:rsid w:val="004C1556"/>
    <w:rsid w:val="004C15DB"/>
    <w:rsid w:val="004C167C"/>
    <w:rsid w:val="004C16D9"/>
    <w:rsid w:val="004C171C"/>
    <w:rsid w:val="004C17F0"/>
    <w:rsid w:val="004C18FF"/>
    <w:rsid w:val="004C1A70"/>
    <w:rsid w:val="004C1BF3"/>
    <w:rsid w:val="004C1F4C"/>
    <w:rsid w:val="004C200C"/>
    <w:rsid w:val="004C2098"/>
    <w:rsid w:val="004C21E3"/>
    <w:rsid w:val="004C229A"/>
    <w:rsid w:val="004C22F8"/>
    <w:rsid w:val="004C26AA"/>
    <w:rsid w:val="004C286E"/>
    <w:rsid w:val="004C2E1A"/>
    <w:rsid w:val="004C301A"/>
    <w:rsid w:val="004C316A"/>
    <w:rsid w:val="004C33CB"/>
    <w:rsid w:val="004C3479"/>
    <w:rsid w:val="004C352A"/>
    <w:rsid w:val="004C36E1"/>
    <w:rsid w:val="004C3820"/>
    <w:rsid w:val="004C3B38"/>
    <w:rsid w:val="004C3B96"/>
    <w:rsid w:val="004C3C30"/>
    <w:rsid w:val="004C40AD"/>
    <w:rsid w:val="004C40E6"/>
    <w:rsid w:val="004C42AE"/>
    <w:rsid w:val="004C43DD"/>
    <w:rsid w:val="004C487F"/>
    <w:rsid w:val="004C4AED"/>
    <w:rsid w:val="004C4BD0"/>
    <w:rsid w:val="004C4BEE"/>
    <w:rsid w:val="004C5048"/>
    <w:rsid w:val="004C518F"/>
    <w:rsid w:val="004C587A"/>
    <w:rsid w:val="004C5D66"/>
    <w:rsid w:val="004C5DEB"/>
    <w:rsid w:val="004C5F56"/>
    <w:rsid w:val="004C6028"/>
    <w:rsid w:val="004C6199"/>
    <w:rsid w:val="004C6508"/>
    <w:rsid w:val="004C65E0"/>
    <w:rsid w:val="004C6688"/>
    <w:rsid w:val="004C66B8"/>
    <w:rsid w:val="004C6EBE"/>
    <w:rsid w:val="004C7025"/>
    <w:rsid w:val="004C70F6"/>
    <w:rsid w:val="004C70FD"/>
    <w:rsid w:val="004C721B"/>
    <w:rsid w:val="004C75E6"/>
    <w:rsid w:val="004C77CD"/>
    <w:rsid w:val="004C7A72"/>
    <w:rsid w:val="004D05C9"/>
    <w:rsid w:val="004D05F9"/>
    <w:rsid w:val="004D0629"/>
    <w:rsid w:val="004D0A9C"/>
    <w:rsid w:val="004D0D2B"/>
    <w:rsid w:val="004D0E09"/>
    <w:rsid w:val="004D11FD"/>
    <w:rsid w:val="004D178E"/>
    <w:rsid w:val="004D1A50"/>
    <w:rsid w:val="004D1CBD"/>
    <w:rsid w:val="004D1D0E"/>
    <w:rsid w:val="004D1D45"/>
    <w:rsid w:val="004D1F57"/>
    <w:rsid w:val="004D2327"/>
    <w:rsid w:val="004D23B8"/>
    <w:rsid w:val="004D24EB"/>
    <w:rsid w:val="004D2889"/>
    <w:rsid w:val="004D2A30"/>
    <w:rsid w:val="004D2AD4"/>
    <w:rsid w:val="004D2E98"/>
    <w:rsid w:val="004D2EAE"/>
    <w:rsid w:val="004D2F6E"/>
    <w:rsid w:val="004D32B0"/>
    <w:rsid w:val="004D346B"/>
    <w:rsid w:val="004D3617"/>
    <w:rsid w:val="004D370A"/>
    <w:rsid w:val="004D3901"/>
    <w:rsid w:val="004D39BD"/>
    <w:rsid w:val="004D3AB3"/>
    <w:rsid w:val="004D3B7A"/>
    <w:rsid w:val="004D40F5"/>
    <w:rsid w:val="004D4154"/>
    <w:rsid w:val="004D43A4"/>
    <w:rsid w:val="004D449B"/>
    <w:rsid w:val="004D4671"/>
    <w:rsid w:val="004D493C"/>
    <w:rsid w:val="004D4ADF"/>
    <w:rsid w:val="004D4AE4"/>
    <w:rsid w:val="004D4D3C"/>
    <w:rsid w:val="004D4DCD"/>
    <w:rsid w:val="004D5127"/>
    <w:rsid w:val="004D53AD"/>
    <w:rsid w:val="004D5660"/>
    <w:rsid w:val="004D56B0"/>
    <w:rsid w:val="004D587A"/>
    <w:rsid w:val="004D58AE"/>
    <w:rsid w:val="004D58B8"/>
    <w:rsid w:val="004D5D4C"/>
    <w:rsid w:val="004D5DBD"/>
    <w:rsid w:val="004D5F09"/>
    <w:rsid w:val="004D6162"/>
    <w:rsid w:val="004D63B7"/>
    <w:rsid w:val="004D6447"/>
    <w:rsid w:val="004D653D"/>
    <w:rsid w:val="004D665A"/>
    <w:rsid w:val="004D6A30"/>
    <w:rsid w:val="004D6FEE"/>
    <w:rsid w:val="004D7021"/>
    <w:rsid w:val="004D7050"/>
    <w:rsid w:val="004D759E"/>
    <w:rsid w:val="004D7661"/>
    <w:rsid w:val="004D7CE5"/>
    <w:rsid w:val="004D7D08"/>
    <w:rsid w:val="004D7D5A"/>
    <w:rsid w:val="004D7DFF"/>
    <w:rsid w:val="004E0194"/>
    <w:rsid w:val="004E02B2"/>
    <w:rsid w:val="004E064F"/>
    <w:rsid w:val="004E08E4"/>
    <w:rsid w:val="004E0D00"/>
    <w:rsid w:val="004E0EB8"/>
    <w:rsid w:val="004E0FE7"/>
    <w:rsid w:val="004E1578"/>
    <w:rsid w:val="004E15E1"/>
    <w:rsid w:val="004E1A90"/>
    <w:rsid w:val="004E1B97"/>
    <w:rsid w:val="004E1C8F"/>
    <w:rsid w:val="004E1E15"/>
    <w:rsid w:val="004E1EAA"/>
    <w:rsid w:val="004E1FE9"/>
    <w:rsid w:val="004E2276"/>
    <w:rsid w:val="004E2333"/>
    <w:rsid w:val="004E2733"/>
    <w:rsid w:val="004E28AB"/>
    <w:rsid w:val="004E296A"/>
    <w:rsid w:val="004E2ADC"/>
    <w:rsid w:val="004E2DD1"/>
    <w:rsid w:val="004E2E8B"/>
    <w:rsid w:val="004E2F49"/>
    <w:rsid w:val="004E31DE"/>
    <w:rsid w:val="004E3243"/>
    <w:rsid w:val="004E356E"/>
    <w:rsid w:val="004E3847"/>
    <w:rsid w:val="004E3920"/>
    <w:rsid w:val="004E3CC2"/>
    <w:rsid w:val="004E3D3D"/>
    <w:rsid w:val="004E3DF9"/>
    <w:rsid w:val="004E3EF3"/>
    <w:rsid w:val="004E3F48"/>
    <w:rsid w:val="004E415A"/>
    <w:rsid w:val="004E43B2"/>
    <w:rsid w:val="004E4663"/>
    <w:rsid w:val="004E49F2"/>
    <w:rsid w:val="004E4A39"/>
    <w:rsid w:val="004E4FAE"/>
    <w:rsid w:val="004E5018"/>
    <w:rsid w:val="004E54C3"/>
    <w:rsid w:val="004E566E"/>
    <w:rsid w:val="004E5690"/>
    <w:rsid w:val="004E5BF1"/>
    <w:rsid w:val="004E5D88"/>
    <w:rsid w:val="004E62B8"/>
    <w:rsid w:val="004E62ED"/>
    <w:rsid w:val="004E6390"/>
    <w:rsid w:val="004E63D7"/>
    <w:rsid w:val="004E6DA7"/>
    <w:rsid w:val="004E6F48"/>
    <w:rsid w:val="004E714C"/>
    <w:rsid w:val="004E7776"/>
    <w:rsid w:val="004E78AE"/>
    <w:rsid w:val="004E7922"/>
    <w:rsid w:val="004E795D"/>
    <w:rsid w:val="004E7D81"/>
    <w:rsid w:val="004E7F34"/>
    <w:rsid w:val="004F0191"/>
    <w:rsid w:val="004F01B1"/>
    <w:rsid w:val="004F07CB"/>
    <w:rsid w:val="004F0D65"/>
    <w:rsid w:val="004F0F15"/>
    <w:rsid w:val="004F10CF"/>
    <w:rsid w:val="004F11FC"/>
    <w:rsid w:val="004F1944"/>
    <w:rsid w:val="004F1D02"/>
    <w:rsid w:val="004F2679"/>
    <w:rsid w:val="004F2A70"/>
    <w:rsid w:val="004F2A76"/>
    <w:rsid w:val="004F2B05"/>
    <w:rsid w:val="004F2D96"/>
    <w:rsid w:val="004F2FD4"/>
    <w:rsid w:val="004F3069"/>
    <w:rsid w:val="004F31D5"/>
    <w:rsid w:val="004F35B5"/>
    <w:rsid w:val="004F3759"/>
    <w:rsid w:val="004F394F"/>
    <w:rsid w:val="004F3961"/>
    <w:rsid w:val="004F3B0A"/>
    <w:rsid w:val="004F3BD6"/>
    <w:rsid w:val="004F438C"/>
    <w:rsid w:val="004F43BE"/>
    <w:rsid w:val="004F48C5"/>
    <w:rsid w:val="004F48DC"/>
    <w:rsid w:val="004F495B"/>
    <w:rsid w:val="004F498B"/>
    <w:rsid w:val="004F4C87"/>
    <w:rsid w:val="004F4C9A"/>
    <w:rsid w:val="004F4D95"/>
    <w:rsid w:val="004F562D"/>
    <w:rsid w:val="004F5813"/>
    <w:rsid w:val="004F58AC"/>
    <w:rsid w:val="004F592C"/>
    <w:rsid w:val="004F599B"/>
    <w:rsid w:val="004F5A41"/>
    <w:rsid w:val="004F5DCD"/>
    <w:rsid w:val="004F5DD9"/>
    <w:rsid w:val="004F5F75"/>
    <w:rsid w:val="004F6123"/>
    <w:rsid w:val="004F6642"/>
    <w:rsid w:val="004F67B5"/>
    <w:rsid w:val="004F6811"/>
    <w:rsid w:val="004F6B18"/>
    <w:rsid w:val="004F6C8C"/>
    <w:rsid w:val="004F6C98"/>
    <w:rsid w:val="004F6FD3"/>
    <w:rsid w:val="004F7356"/>
    <w:rsid w:val="004F7397"/>
    <w:rsid w:val="004F73FA"/>
    <w:rsid w:val="004F7493"/>
    <w:rsid w:val="004F783D"/>
    <w:rsid w:val="004F7864"/>
    <w:rsid w:val="004F7865"/>
    <w:rsid w:val="004F7B9B"/>
    <w:rsid w:val="004F7C4A"/>
    <w:rsid w:val="004F7D35"/>
    <w:rsid w:val="004F7E44"/>
    <w:rsid w:val="004F7F39"/>
    <w:rsid w:val="004F7FE8"/>
    <w:rsid w:val="00500073"/>
    <w:rsid w:val="00500187"/>
    <w:rsid w:val="005005E1"/>
    <w:rsid w:val="00500624"/>
    <w:rsid w:val="0050092A"/>
    <w:rsid w:val="005009AE"/>
    <w:rsid w:val="00500B6F"/>
    <w:rsid w:val="00500BDD"/>
    <w:rsid w:val="00501237"/>
    <w:rsid w:val="0050137B"/>
    <w:rsid w:val="005013F3"/>
    <w:rsid w:val="0050147E"/>
    <w:rsid w:val="005015C5"/>
    <w:rsid w:val="00501615"/>
    <w:rsid w:val="005016DE"/>
    <w:rsid w:val="00501704"/>
    <w:rsid w:val="00502117"/>
    <w:rsid w:val="00502445"/>
    <w:rsid w:val="0050288C"/>
    <w:rsid w:val="00502955"/>
    <w:rsid w:val="00502CA9"/>
    <w:rsid w:val="00502DD0"/>
    <w:rsid w:val="00502E5A"/>
    <w:rsid w:val="00503161"/>
    <w:rsid w:val="005031F4"/>
    <w:rsid w:val="005033FD"/>
    <w:rsid w:val="005035E2"/>
    <w:rsid w:val="005038A1"/>
    <w:rsid w:val="00503908"/>
    <w:rsid w:val="00503B22"/>
    <w:rsid w:val="00503B6D"/>
    <w:rsid w:val="00503C46"/>
    <w:rsid w:val="005043D8"/>
    <w:rsid w:val="005043E3"/>
    <w:rsid w:val="00504707"/>
    <w:rsid w:val="00504744"/>
    <w:rsid w:val="00504A04"/>
    <w:rsid w:val="00504DCA"/>
    <w:rsid w:val="00504EB2"/>
    <w:rsid w:val="00504FA6"/>
    <w:rsid w:val="005050F8"/>
    <w:rsid w:val="005053D4"/>
    <w:rsid w:val="005058A7"/>
    <w:rsid w:val="00505A7C"/>
    <w:rsid w:val="00505A80"/>
    <w:rsid w:val="00506313"/>
    <w:rsid w:val="0050643B"/>
    <w:rsid w:val="00506658"/>
    <w:rsid w:val="00506928"/>
    <w:rsid w:val="00506A08"/>
    <w:rsid w:val="00506D1E"/>
    <w:rsid w:val="00506D86"/>
    <w:rsid w:val="00506F4B"/>
    <w:rsid w:val="00506F94"/>
    <w:rsid w:val="00507149"/>
    <w:rsid w:val="0050748E"/>
    <w:rsid w:val="005074C2"/>
    <w:rsid w:val="00507585"/>
    <w:rsid w:val="00507749"/>
    <w:rsid w:val="0050794C"/>
    <w:rsid w:val="00507D14"/>
    <w:rsid w:val="00507D37"/>
    <w:rsid w:val="00507F73"/>
    <w:rsid w:val="0051005E"/>
    <w:rsid w:val="00510299"/>
    <w:rsid w:val="005102C4"/>
    <w:rsid w:val="0051048C"/>
    <w:rsid w:val="005104CF"/>
    <w:rsid w:val="00510C82"/>
    <w:rsid w:val="00510D61"/>
    <w:rsid w:val="005112B5"/>
    <w:rsid w:val="00511DE4"/>
    <w:rsid w:val="0051210F"/>
    <w:rsid w:val="005121B1"/>
    <w:rsid w:val="00512280"/>
    <w:rsid w:val="005123AE"/>
    <w:rsid w:val="005125FF"/>
    <w:rsid w:val="005127B5"/>
    <w:rsid w:val="005129D8"/>
    <w:rsid w:val="00512A49"/>
    <w:rsid w:val="00512C88"/>
    <w:rsid w:val="00512ED6"/>
    <w:rsid w:val="00512F2A"/>
    <w:rsid w:val="005131C6"/>
    <w:rsid w:val="00513208"/>
    <w:rsid w:val="005132E6"/>
    <w:rsid w:val="005136D4"/>
    <w:rsid w:val="00514117"/>
    <w:rsid w:val="00514721"/>
    <w:rsid w:val="0051473D"/>
    <w:rsid w:val="00514846"/>
    <w:rsid w:val="005149AA"/>
    <w:rsid w:val="00514A9E"/>
    <w:rsid w:val="00514B14"/>
    <w:rsid w:val="00514CCE"/>
    <w:rsid w:val="00514D61"/>
    <w:rsid w:val="00514E66"/>
    <w:rsid w:val="005150F9"/>
    <w:rsid w:val="0051522B"/>
    <w:rsid w:val="005152B5"/>
    <w:rsid w:val="005152BA"/>
    <w:rsid w:val="0051534F"/>
    <w:rsid w:val="005153AC"/>
    <w:rsid w:val="005153E2"/>
    <w:rsid w:val="00515409"/>
    <w:rsid w:val="005155FA"/>
    <w:rsid w:val="0051589F"/>
    <w:rsid w:val="0051595F"/>
    <w:rsid w:val="00515ACC"/>
    <w:rsid w:val="005162A4"/>
    <w:rsid w:val="005167B9"/>
    <w:rsid w:val="00516963"/>
    <w:rsid w:val="00516D04"/>
    <w:rsid w:val="00516F82"/>
    <w:rsid w:val="00517038"/>
    <w:rsid w:val="00517386"/>
    <w:rsid w:val="005173E5"/>
    <w:rsid w:val="0051747D"/>
    <w:rsid w:val="00517DD4"/>
    <w:rsid w:val="00517EEC"/>
    <w:rsid w:val="00520310"/>
    <w:rsid w:val="00520737"/>
    <w:rsid w:val="00520C61"/>
    <w:rsid w:val="00520DDC"/>
    <w:rsid w:val="00521319"/>
    <w:rsid w:val="00521611"/>
    <w:rsid w:val="00521880"/>
    <w:rsid w:val="00521898"/>
    <w:rsid w:val="005218F1"/>
    <w:rsid w:val="00521A21"/>
    <w:rsid w:val="00521A24"/>
    <w:rsid w:val="00521C49"/>
    <w:rsid w:val="00521DE0"/>
    <w:rsid w:val="00522038"/>
    <w:rsid w:val="0052211B"/>
    <w:rsid w:val="0052223F"/>
    <w:rsid w:val="0052224B"/>
    <w:rsid w:val="005222AB"/>
    <w:rsid w:val="00522C09"/>
    <w:rsid w:val="00522CBA"/>
    <w:rsid w:val="00522D38"/>
    <w:rsid w:val="00522FDA"/>
    <w:rsid w:val="005230E1"/>
    <w:rsid w:val="00523208"/>
    <w:rsid w:val="005236C1"/>
    <w:rsid w:val="00523C28"/>
    <w:rsid w:val="00523F25"/>
    <w:rsid w:val="00523F87"/>
    <w:rsid w:val="00524036"/>
    <w:rsid w:val="005241A1"/>
    <w:rsid w:val="00524327"/>
    <w:rsid w:val="00524371"/>
    <w:rsid w:val="00524424"/>
    <w:rsid w:val="0052446B"/>
    <w:rsid w:val="005244E8"/>
    <w:rsid w:val="00524506"/>
    <w:rsid w:val="00524526"/>
    <w:rsid w:val="0052485D"/>
    <w:rsid w:val="00524F9E"/>
    <w:rsid w:val="005250AF"/>
    <w:rsid w:val="0052536D"/>
    <w:rsid w:val="0052540B"/>
    <w:rsid w:val="005256BB"/>
    <w:rsid w:val="00525758"/>
    <w:rsid w:val="0052639D"/>
    <w:rsid w:val="005265A9"/>
    <w:rsid w:val="0052670D"/>
    <w:rsid w:val="0052680C"/>
    <w:rsid w:val="005268BB"/>
    <w:rsid w:val="00526C46"/>
    <w:rsid w:val="00526C55"/>
    <w:rsid w:val="00526CE7"/>
    <w:rsid w:val="00526D5A"/>
    <w:rsid w:val="0052729E"/>
    <w:rsid w:val="0052741A"/>
    <w:rsid w:val="00527BD0"/>
    <w:rsid w:val="00527C88"/>
    <w:rsid w:val="00527D7A"/>
    <w:rsid w:val="00527FDD"/>
    <w:rsid w:val="005300BB"/>
    <w:rsid w:val="00530162"/>
    <w:rsid w:val="0053041B"/>
    <w:rsid w:val="00530664"/>
    <w:rsid w:val="00530B4D"/>
    <w:rsid w:val="00530D3A"/>
    <w:rsid w:val="005314A6"/>
    <w:rsid w:val="0053160B"/>
    <w:rsid w:val="005318A6"/>
    <w:rsid w:val="005318D0"/>
    <w:rsid w:val="00531A34"/>
    <w:rsid w:val="00531E00"/>
    <w:rsid w:val="00531EC9"/>
    <w:rsid w:val="00531ECC"/>
    <w:rsid w:val="00531F58"/>
    <w:rsid w:val="00532088"/>
    <w:rsid w:val="00532523"/>
    <w:rsid w:val="00532A09"/>
    <w:rsid w:val="00532B27"/>
    <w:rsid w:val="00532DDF"/>
    <w:rsid w:val="00533013"/>
    <w:rsid w:val="005330D4"/>
    <w:rsid w:val="0053317B"/>
    <w:rsid w:val="00533371"/>
    <w:rsid w:val="00533531"/>
    <w:rsid w:val="005345F1"/>
    <w:rsid w:val="0053468B"/>
    <w:rsid w:val="005346B7"/>
    <w:rsid w:val="005347D6"/>
    <w:rsid w:val="00534CD4"/>
    <w:rsid w:val="0053514D"/>
    <w:rsid w:val="005353C6"/>
    <w:rsid w:val="00535B37"/>
    <w:rsid w:val="00535F90"/>
    <w:rsid w:val="00536069"/>
    <w:rsid w:val="00536191"/>
    <w:rsid w:val="0053620E"/>
    <w:rsid w:val="00536245"/>
    <w:rsid w:val="0053636B"/>
    <w:rsid w:val="0053637E"/>
    <w:rsid w:val="005367F7"/>
    <w:rsid w:val="005368EF"/>
    <w:rsid w:val="00536AB4"/>
    <w:rsid w:val="00536CAA"/>
    <w:rsid w:val="00537037"/>
    <w:rsid w:val="0053733D"/>
    <w:rsid w:val="0053748E"/>
    <w:rsid w:val="005375B9"/>
    <w:rsid w:val="005379D5"/>
    <w:rsid w:val="00537A52"/>
    <w:rsid w:val="00537EAA"/>
    <w:rsid w:val="00537F16"/>
    <w:rsid w:val="005401E5"/>
    <w:rsid w:val="005403C2"/>
    <w:rsid w:val="00540A14"/>
    <w:rsid w:val="00540CED"/>
    <w:rsid w:val="00540E6C"/>
    <w:rsid w:val="005411C4"/>
    <w:rsid w:val="005411FB"/>
    <w:rsid w:val="0054132F"/>
    <w:rsid w:val="00541629"/>
    <w:rsid w:val="00541725"/>
    <w:rsid w:val="005417CA"/>
    <w:rsid w:val="005417F3"/>
    <w:rsid w:val="00541855"/>
    <w:rsid w:val="005419F0"/>
    <w:rsid w:val="00541B56"/>
    <w:rsid w:val="00541CDD"/>
    <w:rsid w:val="00541D23"/>
    <w:rsid w:val="00541E2E"/>
    <w:rsid w:val="00541E8F"/>
    <w:rsid w:val="005420C3"/>
    <w:rsid w:val="0054226B"/>
    <w:rsid w:val="00542637"/>
    <w:rsid w:val="00542770"/>
    <w:rsid w:val="00542923"/>
    <w:rsid w:val="00542924"/>
    <w:rsid w:val="00542BC9"/>
    <w:rsid w:val="00542F8D"/>
    <w:rsid w:val="00542FC1"/>
    <w:rsid w:val="00542FDE"/>
    <w:rsid w:val="0054315E"/>
    <w:rsid w:val="0054399C"/>
    <w:rsid w:val="005439C0"/>
    <w:rsid w:val="00543C3A"/>
    <w:rsid w:val="00543C8C"/>
    <w:rsid w:val="00543DA8"/>
    <w:rsid w:val="00543E5E"/>
    <w:rsid w:val="0054419D"/>
    <w:rsid w:val="00544497"/>
    <w:rsid w:val="0054453D"/>
    <w:rsid w:val="0054461F"/>
    <w:rsid w:val="005447C4"/>
    <w:rsid w:val="005449B7"/>
    <w:rsid w:val="00544ADB"/>
    <w:rsid w:val="00544B68"/>
    <w:rsid w:val="00544EE8"/>
    <w:rsid w:val="00544F01"/>
    <w:rsid w:val="00544FDE"/>
    <w:rsid w:val="00545005"/>
    <w:rsid w:val="00545376"/>
    <w:rsid w:val="0054598E"/>
    <w:rsid w:val="00545A2E"/>
    <w:rsid w:val="00545A72"/>
    <w:rsid w:val="00545E24"/>
    <w:rsid w:val="00546424"/>
    <w:rsid w:val="005464C8"/>
    <w:rsid w:val="00546677"/>
    <w:rsid w:val="00546931"/>
    <w:rsid w:val="0054697A"/>
    <w:rsid w:val="00546A2F"/>
    <w:rsid w:val="00546E51"/>
    <w:rsid w:val="005474FA"/>
    <w:rsid w:val="005476A0"/>
    <w:rsid w:val="00547BAF"/>
    <w:rsid w:val="00547BB0"/>
    <w:rsid w:val="00547C48"/>
    <w:rsid w:val="00547CE3"/>
    <w:rsid w:val="00547EBD"/>
    <w:rsid w:val="00547FC7"/>
    <w:rsid w:val="00550177"/>
    <w:rsid w:val="00550699"/>
    <w:rsid w:val="005506C8"/>
    <w:rsid w:val="0055079D"/>
    <w:rsid w:val="00550C29"/>
    <w:rsid w:val="00550DA7"/>
    <w:rsid w:val="00550DC5"/>
    <w:rsid w:val="00550EC5"/>
    <w:rsid w:val="0055131D"/>
    <w:rsid w:val="005514BE"/>
    <w:rsid w:val="00551696"/>
    <w:rsid w:val="00551AAB"/>
    <w:rsid w:val="00551F22"/>
    <w:rsid w:val="00552081"/>
    <w:rsid w:val="0055221A"/>
    <w:rsid w:val="0055230F"/>
    <w:rsid w:val="005524B2"/>
    <w:rsid w:val="005524E7"/>
    <w:rsid w:val="0055288D"/>
    <w:rsid w:val="00552B4B"/>
    <w:rsid w:val="00552BD3"/>
    <w:rsid w:val="00553D94"/>
    <w:rsid w:val="00553F67"/>
    <w:rsid w:val="005540AE"/>
    <w:rsid w:val="0055411E"/>
    <w:rsid w:val="00554198"/>
    <w:rsid w:val="0055427B"/>
    <w:rsid w:val="005542BA"/>
    <w:rsid w:val="005545EA"/>
    <w:rsid w:val="00555006"/>
    <w:rsid w:val="00555009"/>
    <w:rsid w:val="00555040"/>
    <w:rsid w:val="00555109"/>
    <w:rsid w:val="0055533C"/>
    <w:rsid w:val="005556AC"/>
    <w:rsid w:val="0055580C"/>
    <w:rsid w:val="00555896"/>
    <w:rsid w:val="00555960"/>
    <w:rsid w:val="00555A0F"/>
    <w:rsid w:val="00555DAC"/>
    <w:rsid w:val="00555E80"/>
    <w:rsid w:val="00555EF4"/>
    <w:rsid w:val="00556492"/>
    <w:rsid w:val="005566FB"/>
    <w:rsid w:val="00556C93"/>
    <w:rsid w:val="00556DA3"/>
    <w:rsid w:val="005570C3"/>
    <w:rsid w:val="005571F5"/>
    <w:rsid w:val="005576E4"/>
    <w:rsid w:val="00557B23"/>
    <w:rsid w:val="00557D65"/>
    <w:rsid w:val="00557E75"/>
    <w:rsid w:val="00560096"/>
    <w:rsid w:val="00560101"/>
    <w:rsid w:val="00560561"/>
    <w:rsid w:val="00560D40"/>
    <w:rsid w:val="00560D42"/>
    <w:rsid w:val="00560E36"/>
    <w:rsid w:val="00561039"/>
    <w:rsid w:val="00561211"/>
    <w:rsid w:val="00561358"/>
    <w:rsid w:val="00561394"/>
    <w:rsid w:val="0056155A"/>
    <w:rsid w:val="00561952"/>
    <w:rsid w:val="00561AFA"/>
    <w:rsid w:val="00562A61"/>
    <w:rsid w:val="00562A75"/>
    <w:rsid w:val="00562AEB"/>
    <w:rsid w:val="00562AF2"/>
    <w:rsid w:val="00562D9E"/>
    <w:rsid w:val="0056317D"/>
    <w:rsid w:val="0056332F"/>
    <w:rsid w:val="005633E9"/>
    <w:rsid w:val="00563854"/>
    <w:rsid w:val="00563895"/>
    <w:rsid w:val="00563A09"/>
    <w:rsid w:val="00563CF5"/>
    <w:rsid w:val="00563E8E"/>
    <w:rsid w:val="00564013"/>
    <w:rsid w:val="00564208"/>
    <w:rsid w:val="005643A4"/>
    <w:rsid w:val="0056451A"/>
    <w:rsid w:val="00565000"/>
    <w:rsid w:val="0056524E"/>
    <w:rsid w:val="00565283"/>
    <w:rsid w:val="005652E0"/>
    <w:rsid w:val="00565560"/>
    <w:rsid w:val="0056563E"/>
    <w:rsid w:val="005657D8"/>
    <w:rsid w:val="0056588B"/>
    <w:rsid w:val="005661A7"/>
    <w:rsid w:val="00566298"/>
    <w:rsid w:val="005663DD"/>
    <w:rsid w:val="00566797"/>
    <w:rsid w:val="00566900"/>
    <w:rsid w:val="0056696F"/>
    <w:rsid w:val="00566CAD"/>
    <w:rsid w:val="005670A9"/>
    <w:rsid w:val="00567181"/>
    <w:rsid w:val="00567655"/>
    <w:rsid w:val="0056784F"/>
    <w:rsid w:val="00567A44"/>
    <w:rsid w:val="00567CB2"/>
    <w:rsid w:val="00567D2E"/>
    <w:rsid w:val="00567EA0"/>
    <w:rsid w:val="00567F14"/>
    <w:rsid w:val="00570007"/>
    <w:rsid w:val="005706E7"/>
    <w:rsid w:val="005706E8"/>
    <w:rsid w:val="0057071C"/>
    <w:rsid w:val="0057087D"/>
    <w:rsid w:val="00570A65"/>
    <w:rsid w:val="00570A86"/>
    <w:rsid w:val="00570FF5"/>
    <w:rsid w:val="0057100D"/>
    <w:rsid w:val="0057131C"/>
    <w:rsid w:val="0057186F"/>
    <w:rsid w:val="0057188B"/>
    <w:rsid w:val="005719BD"/>
    <w:rsid w:val="00571C09"/>
    <w:rsid w:val="00571D0A"/>
    <w:rsid w:val="00571E3D"/>
    <w:rsid w:val="00571FB8"/>
    <w:rsid w:val="00572135"/>
    <w:rsid w:val="0057247A"/>
    <w:rsid w:val="00572768"/>
    <w:rsid w:val="00572A27"/>
    <w:rsid w:val="00573025"/>
    <w:rsid w:val="005735CA"/>
    <w:rsid w:val="005737B7"/>
    <w:rsid w:val="00573B17"/>
    <w:rsid w:val="00573B3B"/>
    <w:rsid w:val="00573B85"/>
    <w:rsid w:val="00573E19"/>
    <w:rsid w:val="0057457A"/>
    <w:rsid w:val="00574980"/>
    <w:rsid w:val="00574A7A"/>
    <w:rsid w:val="00574D02"/>
    <w:rsid w:val="00574DC1"/>
    <w:rsid w:val="00574E0A"/>
    <w:rsid w:val="00575714"/>
    <w:rsid w:val="0057579E"/>
    <w:rsid w:val="005757AB"/>
    <w:rsid w:val="00575C68"/>
    <w:rsid w:val="00575C9E"/>
    <w:rsid w:val="00575D66"/>
    <w:rsid w:val="00575D8D"/>
    <w:rsid w:val="005760B9"/>
    <w:rsid w:val="005761F4"/>
    <w:rsid w:val="005762E8"/>
    <w:rsid w:val="00576301"/>
    <w:rsid w:val="0057632C"/>
    <w:rsid w:val="00576748"/>
    <w:rsid w:val="005767EB"/>
    <w:rsid w:val="00576972"/>
    <w:rsid w:val="00576B92"/>
    <w:rsid w:val="00576CA8"/>
    <w:rsid w:val="00577220"/>
    <w:rsid w:val="0057752B"/>
    <w:rsid w:val="00577581"/>
    <w:rsid w:val="005776BD"/>
    <w:rsid w:val="0057797D"/>
    <w:rsid w:val="00577C5D"/>
    <w:rsid w:val="00577E67"/>
    <w:rsid w:val="005800EC"/>
    <w:rsid w:val="0058028C"/>
    <w:rsid w:val="005802A0"/>
    <w:rsid w:val="00580907"/>
    <w:rsid w:val="00580976"/>
    <w:rsid w:val="00580996"/>
    <w:rsid w:val="00580A7A"/>
    <w:rsid w:val="00580B39"/>
    <w:rsid w:val="00580B7C"/>
    <w:rsid w:val="00580B80"/>
    <w:rsid w:val="00580C91"/>
    <w:rsid w:val="00580CF1"/>
    <w:rsid w:val="00580F16"/>
    <w:rsid w:val="00581562"/>
    <w:rsid w:val="00581744"/>
    <w:rsid w:val="005817FF"/>
    <w:rsid w:val="005819D8"/>
    <w:rsid w:val="00581A35"/>
    <w:rsid w:val="00581A4D"/>
    <w:rsid w:val="00581B14"/>
    <w:rsid w:val="00581CC6"/>
    <w:rsid w:val="00581FDF"/>
    <w:rsid w:val="005820EB"/>
    <w:rsid w:val="005828C6"/>
    <w:rsid w:val="00582B31"/>
    <w:rsid w:val="00582DC3"/>
    <w:rsid w:val="00582F63"/>
    <w:rsid w:val="00583411"/>
    <w:rsid w:val="00583699"/>
    <w:rsid w:val="00583942"/>
    <w:rsid w:val="00584062"/>
    <w:rsid w:val="0058426D"/>
    <w:rsid w:val="0058445C"/>
    <w:rsid w:val="00584621"/>
    <w:rsid w:val="00584657"/>
    <w:rsid w:val="0058488D"/>
    <w:rsid w:val="00584F08"/>
    <w:rsid w:val="00584F16"/>
    <w:rsid w:val="00585038"/>
    <w:rsid w:val="00585477"/>
    <w:rsid w:val="0058556D"/>
    <w:rsid w:val="0058566A"/>
    <w:rsid w:val="00585968"/>
    <w:rsid w:val="00585ABD"/>
    <w:rsid w:val="00585D49"/>
    <w:rsid w:val="00586647"/>
    <w:rsid w:val="00586EBC"/>
    <w:rsid w:val="005870DE"/>
    <w:rsid w:val="005872FE"/>
    <w:rsid w:val="00587519"/>
    <w:rsid w:val="005875B7"/>
    <w:rsid w:val="005876D2"/>
    <w:rsid w:val="00587721"/>
    <w:rsid w:val="0058785F"/>
    <w:rsid w:val="00587C23"/>
    <w:rsid w:val="00587D5B"/>
    <w:rsid w:val="00587F33"/>
    <w:rsid w:val="00587FBD"/>
    <w:rsid w:val="0059068A"/>
    <w:rsid w:val="00590931"/>
    <w:rsid w:val="00590D1B"/>
    <w:rsid w:val="00590E0A"/>
    <w:rsid w:val="00591556"/>
    <w:rsid w:val="005917DF"/>
    <w:rsid w:val="00591BE1"/>
    <w:rsid w:val="00591C2C"/>
    <w:rsid w:val="005920C5"/>
    <w:rsid w:val="00592232"/>
    <w:rsid w:val="00592261"/>
    <w:rsid w:val="005928EA"/>
    <w:rsid w:val="00592982"/>
    <w:rsid w:val="00592A82"/>
    <w:rsid w:val="00592CA8"/>
    <w:rsid w:val="00592CC1"/>
    <w:rsid w:val="00592ED3"/>
    <w:rsid w:val="00592F64"/>
    <w:rsid w:val="00592FAC"/>
    <w:rsid w:val="00592FB3"/>
    <w:rsid w:val="00593037"/>
    <w:rsid w:val="0059316F"/>
    <w:rsid w:val="0059331F"/>
    <w:rsid w:val="00593985"/>
    <w:rsid w:val="005939CE"/>
    <w:rsid w:val="00593B30"/>
    <w:rsid w:val="00593BBA"/>
    <w:rsid w:val="00593BE2"/>
    <w:rsid w:val="005942A8"/>
    <w:rsid w:val="0059469E"/>
    <w:rsid w:val="005946EC"/>
    <w:rsid w:val="00594BF4"/>
    <w:rsid w:val="00594CCC"/>
    <w:rsid w:val="00594D95"/>
    <w:rsid w:val="00594EE0"/>
    <w:rsid w:val="005951D8"/>
    <w:rsid w:val="00595419"/>
    <w:rsid w:val="0059544C"/>
    <w:rsid w:val="00595542"/>
    <w:rsid w:val="00595682"/>
    <w:rsid w:val="00595879"/>
    <w:rsid w:val="00595CD5"/>
    <w:rsid w:val="00595DE1"/>
    <w:rsid w:val="00595F2E"/>
    <w:rsid w:val="005960E4"/>
    <w:rsid w:val="00596527"/>
    <w:rsid w:val="00596678"/>
    <w:rsid w:val="00596753"/>
    <w:rsid w:val="00596A31"/>
    <w:rsid w:val="00596B7E"/>
    <w:rsid w:val="00596D8D"/>
    <w:rsid w:val="00596DFE"/>
    <w:rsid w:val="00596E5F"/>
    <w:rsid w:val="0059761B"/>
    <w:rsid w:val="00597727"/>
    <w:rsid w:val="00597945"/>
    <w:rsid w:val="00597A8B"/>
    <w:rsid w:val="00597BD8"/>
    <w:rsid w:val="00597BE4"/>
    <w:rsid w:val="00597DDD"/>
    <w:rsid w:val="00597E84"/>
    <w:rsid w:val="005A002E"/>
    <w:rsid w:val="005A00C0"/>
    <w:rsid w:val="005A03F3"/>
    <w:rsid w:val="005A0A89"/>
    <w:rsid w:val="005A124E"/>
    <w:rsid w:val="005A165D"/>
    <w:rsid w:val="005A1885"/>
    <w:rsid w:val="005A1950"/>
    <w:rsid w:val="005A19E5"/>
    <w:rsid w:val="005A1A83"/>
    <w:rsid w:val="005A1A97"/>
    <w:rsid w:val="005A1B10"/>
    <w:rsid w:val="005A1B61"/>
    <w:rsid w:val="005A1D23"/>
    <w:rsid w:val="005A1FC9"/>
    <w:rsid w:val="005A2098"/>
    <w:rsid w:val="005A222A"/>
    <w:rsid w:val="005A2461"/>
    <w:rsid w:val="005A2744"/>
    <w:rsid w:val="005A28CB"/>
    <w:rsid w:val="005A2D6A"/>
    <w:rsid w:val="005A2DFC"/>
    <w:rsid w:val="005A3276"/>
    <w:rsid w:val="005A33D0"/>
    <w:rsid w:val="005A3A97"/>
    <w:rsid w:val="005A3F60"/>
    <w:rsid w:val="005A40E4"/>
    <w:rsid w:val="005A429A"/>
    <w:rsid w:val="005A43D6"/>
    <w:rsid w:val="005A448B"/>
    <w:rsid w:val="005A4494"/>
    <w:rsid w:val="005A486C"/>
    <w:rsid w:val="005A4A4D"/>
    <w:rsid w:val="005A4D35"/>
    <w:rsid w:val="005A50E4"/>
    <w:rsid w:val="005A5206"/>
    <w:rsid w:val="005A5682"/>
    <w:rsid w:val="005A5E75"/>
    <w:rsid w:val="005A5E93"/>
    <w:rsid w:val="005A6B87"/>
    <w:rsid w:val="005A6D26"/>
    <w:rsid w:val="005A6E22"/>
    <w:rsid w:val="005A6EA2"/>
    <w:rsid w:val="005A6EF8"/>
    <w:rsid w:val="005A741B"/>
    <w:rsid w:val="005A7455"/>
    <w:rsid w:val="005A7874"/>
    <w:rsid w:val="005A79FF"/>
    <w:rsid w:val="005A7ACD"/>
    <w:rsid w:val="005B0070"/>
    <w:rsid w:val="005B00FC"/>
    <w:rsid w:val="005B06E1"/>
    <w:rsid w:val="005B086D"/>
    <w:rsid w:val="005B08DE"/>
    <w:rsid w:val="005B08DF"/>
    <w:rsid w:val="005B0943"/>
    <w:rsid w:val="005B0AF2"/>
    <w:rsid w:val="005B133F"/>
    <w:rsid w:val="005B1AC5"/>
    <w:rsid w:val="005B1C83"/>
    <w:rsid w:val="005B2203"/>
    <w:rsid w:val="005B23D6"/>
    <w:rsid w:val="005B252E"/>
    <w:rsid w:val="005B25B3"/>
    <w:rsid w:val="005B2754"/>
    <w:rsid w:val="005B2792"/>
    <w:rsid w:val="005B27F1"/>
    <w:rsid w:val="005B2836"/>
    <w:rsid w:val="005B2B13"/>
    <w:rsid w:val="005B2EF9"/>
    <w:rsid w:val="005B2FE8"/>
    <w:rsid w:val="005B331E"/>
    <w:rsid w:val="005B34D3"/>
    <w:rsid w:val="005B35BA"/>
    <w:rsid w:val="005B3792"/>
    <w:rsid w:val="005B3901"/>
    <w:rsid w:val="005B3B30"/>
    <w:rsid w:val="005B3E73"/>
    <w:rsid w:val="005B401E"/>
    <w:rsid w:val="005B444C"/>
    <w:rsid w:val="005B44BE"/>
    <w:rsid w:val="005B46D2"/>
    <w:rsid w:val="005B4C2B"/>
    <w:rsid w:val="005B515E"/>
    <w:rsid w:val="005B5236"/>
    <w:rsid w:val="005B5375"/>
    <w:rsid w:val="005B54AA"/>
    <w:rsid w:val="005B56E3"/>
    <w:rsid w:val="005B5857"/>
    <w:rsid w:val="005B5ABF"/>
    <w:rsid w:val="005B5E5E"/>
    <w:rsid w:val="005B61D2"/>
    <w:rsid w:val="005B623F"/>
    <w:rsid w:val="005B63F9"/>
    <w:rsid w:val="005B6434"/>
    <w:rsid w:val="005B6DE7"/>
    <w:rsid w:val="005B7015"/>
    <w:rsid w:val="005B717B"/>
    <w:rsid w:val="005B723B"/>
    <w:rsid w:val="005B73B1"/>
    <w:rsid w:val="005B770E"/>
    <w:rsid w:val="005B775A"/>
    <w:rsid w:val="005B7813"/>
    <w:rsid w:val="005B7926"/>
    <w:rsid w:val="005B7B25"/>
    <w:rsid w:val="005B7CBE"/>
    <w:rsid w:val="005B7E40"/>
    <w:rsid w:val="005C0415"/>
    <w:rsid w:val="005C044F"/>
    <w:rsid w:val="005C06F4"/>
    <w:rsid w:val="005C07AC"/>
    <w:rsid w:val="005C0810"/>
    <w:rsid w:val="005C0B97"/>
    <w:rsid w:val="005C0C22"/>
    <w:rsid w:val="005C13BF"/>
    <w:rsid w:val="005C185E"/>
    <w:rsid w:val="005C19B5"/>
    <w:rsid w:val="005C1B5D"/>
    <w:rsid w:val="005C1B83"/>
    <w:rsid w:val="005C21CF"/>
    <w:rsid w:val="005C2237"/>
    <w:rsid w:val="005C2266"/>
    <w:rsid w:val="005C25DD"/>
    <w:rsid w:val="005C2717"/>
    <w:rsid w:val="005C2A48"/>
    <w:rsid w:val="005C2B42"/>
    <w:rsid w:val="005C2EA6"/>
    <w:rsid w:val="005C31F1"/>
    <w:rsid w:val="005C32BB"/>
    <w:rsid w:val="005C3313"/>
    <w:rsid w:val="005C346B"/>
    <w:rsid w:val="005C368F"/>
    <w:rsid w:val="005C37E0"/>
    <w:rsid w:val="005C37E5"/>
    <w:rsid w:val="005C3926"/>
    <w:rsid w:val="005C3B38"/>
    <w:rsid w:val="005C3BDE"/>
    <w:rsid w:val="005C3C27"/>
    <w:rsid w:val="005C3CC2"/>
    <w:rsid w:val="005C44EA"/>
    <w:rsid w:val="005C469B"/>
    <w:rsid w:val="005C46D8"/>
    <w:rsid w:val="005C46DA"/>
    <w:rsid w:val="005C4A95"/>
    <w:rsid w:val="005C4B33"/>
    <w:rsid w:val="005C4B78"/>
    <w:rsid w:val="005C4F1B"/>
    <w:rsid w:val="005C55D9"/>
    <w:rsid w:val="005C5922"/>
    <w:rsid w:val="005C6352"/>
    <w:rsid w:val="005C69C6"/>
    <w:rsid w:val="005C6A3C"/>
    <w:rsid w:val="005C6F3D"/>
    <w:rsid w:val="005C70C4"/>
    <w:rsid w:val="005C730B"/>
    <w:rsid w:val="005C7B86"/>
    <w:rsid w:val="005C7C02"/>
    <w:rsid w:val="005D0129"/>
    <w:rsid w:val="005D01E9"/>
    <w:rsid w:val="005D044D"/>
    <w:rsid w:val="005D05F1"/>
    <w:rsid w:val="005D0B6F"/>
    <w:rsid w:val="005D0ECC"/>
    <w:rsid w:val="005D12C7"/>
    <w:rsid w:val="005D12E3"/>
    <w:rsid w:val="005D1347"/>
    <w:rsid w:val="005D1373"/>
    <w:rsid w:val="005D149D"/>
    <w:rsid w:val="005D1592"/>
    <w:rsid w:val="005D17A0"/>
    <w:rsid w:val="005D18AD"/>
    <w:rsid w:val="005D1A15"/>
    <w:rsid w:val="005D1A97"/>
    <w:rsid w:val="005D1ACF"/>
    <w:rsid w:val="005D1B4F"/>
    <w:rsid w:val="005D1BF4"/>
    <w:rsid w:val="005D1DE3"/>
    <w:rsid w:val="005D1EEE"/>
    <w:rsid w:val="005D230F"/>
    <w:rsid w:val="005D235E"/>
    <w:rsid w:val="005D2508"/>
    <w:rsid w:val="005D252A"/>
    <w:rsid w:val="005D2782"/>
    <w:rsid w:val="005D28E5"/>
    <w:rsid w:val="005D2927"/>
    <w:rsid w:val="005D293D"/>
    <w:rsid w:val="005D2B03"/>
    <w:rsid w:val="005D2FD7"/>
    <w:rsid w:val="005D38EA"/>
    <w:rsid w:val="005D3A3C"/>
    <w:rsid w:val="005D3B7E"/>
    <w:rsid w:val="005D4305"/>
    <w:rsid w:val="005D4459"/>
    <w:rsid w:val="005D4565"/>
    <w:rsid w:val="005D4723"/>
    <w:rsid w:val="005D493C"/>
    <w:rsid w:val="005D4E19"/>
    <w:rsid w:val="005D4E21"/>
    <w:rsid w:val="005D4F66"/>
    <w:rsid w:val="005D5021"/>
    <w:rsid w:val="005D5194"/>
    <w:rsid w:val="005D55AC"/>
    <w:rsid w:val="005D5ADA"/>
    <w:rsid w:val="005D5B17"/>
    <w:rsid w:val="005D5D7C"/>
    <w:rsid w:val="005D65EF"/>
    <w:rsid w:val="005D6A26"/>
    <w:rsid w:val="005D6FD2"/>
    <w:rsid w:val="005D705E"/>
    <w:rsid w:val="005D7081"/>
    <w:rsid w:val="005D72E5"/>
    <w:rsid w:val="005D7743"/>
    <w:rsid w:val="005D7C4C"/>
    <w:rsid w:val="005D7D24"/>
    <w:rsid w:val="005D7D43"/>
    <w:rsid w:val="005E0052"/>
    <w:rsid w:val="005E0067"/>
    <w:rsid w:val="005E0504"/>
    <w:rsid w:val="005E0AAD"/>
    <w:rsid w:val="005E0DDF"/>
    <w:rsid w:val="005E1143"/>
    <w:rsid w:val="005E15AD"/>
    <w:rsid w:val="005E16E7"/>
    <w:rsid w:val="005E1921"/>
    <w:rsid w:val="005E198F"/>
    <w:rsid w:val="005E1A28"/>
    <w:rsid w:val="005E1DBE"/>
    <w:rsid w:val="005E20A3"/>
    <w:rsid w:val="005E2C5B"/>
    <w:rsid w:val="005E2C7A"/>
    <w:rsid w:val="005E2F2F"/>
    <w:rsid w:val="005E2F5B"/>
    <w:rsid w:val="005E32F1"/>
    <w:rsid w:val="005E3405"/>
    <w:rsid w:val="005E3526"/>
    <w:rsid w:val="005E372F"/>
    <w:rsid w:val="005E3745"/>
    <w:rsid w:val="005E3A02"/>
    <w:rsid w:val="005E3A60"/>
    <w:rsid w:val="005E3C89"/>
    <w:rsid w:val="005E42CD"/>
    <w:rsid w:val="005E4683"/>
    <w:rsid w:val="005E4895"/>
    <w:rsid w:val="005E4BA5"/>
    <w:rsid w:val="005E4D4A"/>
    <w:rsid w:val="005E4DC1"/>
    <w:rsid w:val="005E4FBC"/>
    <w:rsid w:val="005E5404"/>
    <w:rsid w:val="005E5430"/>
    <w:rsid w:val="005E5607"/>
    <w:rsid w:val="005E58C2"/>
    <w:rsid w:val="005E5EFA"/>
    <w:rsid w:val="005E5F18"/>
    <w:rsid w:val="005E5F98"/>
    <w:rsid w:val="005E6817"/>
    <w:rsid w:val="005E6936"/>
    <w:rsid w:val="005E6A0D"/>
    <w:rsid w:val="005E6CE7"/>
    <w:rsid w:val="005E6DA7"/>
    <w:rsid w:val="005E6FAA"/>
    <w:rsid w:val="005E73C0"/>
    <w:rsid w:val="005E73DC"/>
    <w:rsid w:val="005E7449"/>
    <w:rsid w:val="005E788C"/>
    <w:rsid w:val="005E78E2"/>
    <w:rsid w:val="005E7D47"/>
    <w:rsid w:val="005E7F6B"/>
    <w:rsid w:val="005F0072"/>
    <w:rsid w:val="005F06F7"/>
    <w:rsid w:val="005F075F"/>
    <w:rsid w:val="005F094B"/>
    <w:rsid w:val="005F0A21"/>
    <w:rsid w:val="005F0E0B"/>
    <w:rsid w:val="005F12D0"/>
    <w:rsid w:val="005F16A8"/>
    <w:rsid w:val="005F186F"/>
    <w:rsid w:val="005F1C24"/>
    <w:rsid w:val="005F1F3E"/>
    <w:rsid w:val="005F20E8"/>
    <w:rsid w:val="005F211A"/>
    <w:rsid w:val="005F2235"/>
    <w:rsid w:val="005F2422"/>
    <w:rsid w:val="005F262E"/>
    <w:rsid w:val="005F26F9"/>
    <w:rsid w:val="005F2706"/>
    <w:rsid w:val="005F2916"/>
    <w:rsid w:val="005F2983"/>
    <w:rsid w:val="005F2EC1"/>
    <w:rsid w:val="005F2FB0"/>
    <w:rsid w:val="005F3505"/>
    <w:rsid w:val="005F352E"/>
    <w:rsid w:val="005F398A"/>
    <w:rsid w:val="005F3BDF"/>
    <w:rsid w:val="005F3CE3"/>
    <w:rsid w:val="005F3DE8"/>
    <w:rsid w:val="005F3EA2"/>
    <w:rsid w:val="005F3FBE"/>
    <w:rsid w:val="005F4395"/>
    <w:rsid w:val="005F43BE"/>
    <w:rsid w:val="005F4635"/>
    <w:rsid w:val="005F4AF0"/>
    <w:rsid w:val="005F50FA"/>
    <w:rsid w:val="005F5418"/>
    <w:rsid w:val="005F577B"/>
    <w:rsid w:val="005F5D74"/>
    <w:rsid w:val="005F5E56"/>
    <w:rsid w:val="005F62F1"/>
    <w:rsid w:val="005F63A7"/>
    <w:rsid w:val="005F65FC"/>
    <w:rsid w:val="005F66B1"/>
    <w:rsid w:val="005F6A8F"/>
    <w:rsid w:val="005F73CC"/>
    <w:rsid w:val="005F7669"/>
    <w:rsid w:val="005F77A7"/>
    <w:rsid w:val="005F7B6B"/>
    <w:rsid w:val="005F7D72"/>
    <w:rsid w:val="005F7E78"/>
    <w:rsid w:val="00600098"/>
    <w:rsid w:val="006000A2"/>
    <w:rsid w:val="0060010C"/>
    <w:rsid w:val="00600128"/>
    <w:rsid w:val="0060025F"/>
    <w:rsid w:val="00600282"/>
    <w:rsid w:val="006002EC"/>
    <w:rsid w:val="00600418"/>
    <w:rsid w:val="00601033"/>
    <w:rsid w:val="0060182C"/>
    <w:rsid w:val="00601939"/>
    <w:rsid w:val="006019D3"/>
    <w:rsid w:val="00601C10"/>
    <w:rsid w:val="00601C65"/>
    <w:rsid w:val="00601F9A"/>
    <w:rsid w:val="0060244A"/>
    <w:rsid w:val="00602747"/>
    <w:rsid w:val="00602997"/>
    <w:rsid w:val="00602ABE"/>
    <w:rsid w:val="00602B29"/>
    <w:rsid w:val="00602C59"/>
    <w:rsid w:val="00602C8E"/>
    <w:rsid w:val="00602CC9"/>
    <w:rsid w:val="00602D3E"/>
    <w:rsid w:val="00602EBA"/>
    <w:rsid w:val="00602EC3"/>
    <w:rsid w:val="006030FF"/>
    <w:rsid w:val="0060351C"/>
    <w:rsid w:val="006035EA"/>
    <w:rsid w:val="00603696"/>
    <w:rsid w:val="006036DC"/>
    <w:rsid w:val="00603789"/>
    <w:rsid w:val="00603971"/>
    <w:rsid w:val="006039D4"/>
    <w:rsid w:val="00603B22"/>
    <w:rsid w:val="00603B75"/>
    <w:rsid w:val="00603D8C"/>
    <w:rsid w:val="006040BE"/>
    <w:rsid w:val="006040E7"/>
    <w:rsid w:val="0060432F"/>
    <w:rsid w:val="006044F0"/>
    <w:rsid w:val="00604522"/>
    <w:rsid w:val="0060479D"/>
    <w:rsid w:val="00604A1F"/>
    <w:rsid w:val="00604C5C"/>
    <w:rsid w:val="00604D07"/>
    <w:rsid w:val="00604FC2"/>
    <w:rsid w:val="00605445"/>
    <w:rsid w:val="006054FB"/>
    <w:rsid w:val="00606373"/>
    <w:rsid w:val="00606540"/>
    <w:rsid w:val="00606632"/>
    <w:rsid w:val="00606B92"/>
    <w:rsid w:val="00606D01"/>
    <w:rsid w:val="00606D1E"/>
    <w:rsid w:val="00606DA9"/>
    <w:rsid w:val="0060714D"/>
    <w:rsid w:val="0060728D"/>
    <w:rsid w:val="006073C3"/>
    <w:rsid w:val="006073E8"/>
    <w:rsid w:val="00607521"/>
    <w:rsid w:val="00607669"/>
    <w:rsid w:val="0060784F"/>
    <w:rsid w:val="00607A2E"/>
    <w:rsid w:val="00607BE3"/>
    <w:rsid w:val="00607CC5"/>
    <w:rsid w:val="00607E27"/>
    <w:rsid w:val="00607E6B"/>
    <w:rsid w:val="00610317"/>
    <w:rsid w:val="00611043"/>
    <w:rsid w:val="00611070"/>
    <w:rsid w:val="00611122"/>
    <w:rsid w:val="0061116D"/>
    <w:rsid w:val="0061129E"/>
    <w:rsid w:val="00611394"/>
    <w:rsid w:val="006114D5"/>
    <w:rsid w:val="00611930"/>
    <w:rsid w:val="0061194F"/>
    <w:rsid w:val="006119A4"/>
    <w:rsid w:val="00611A39"/>
    <w:rsid w:val="00611B31"/>
    <w:rsid w:val="00611E73"/>
    <w:rsid w:val="0061240F"/>
    <w:rsid w:val="0061245F"/>
    <w:rsid w:val="0061247F"/>
    <w:rsid w:val="006127EA"/>
    <w:rsid w:val="00612839"/>
    <w:rsid w:val="00612B4C"/>
    <w:rsid w:val="00612C1B"/>
    <w:rsid w:val="00612CB9"/>
    <w:rsid w:val="00612F97"/>
    <w:rsid w:val="006132B7"/>
    <w:rsid w:val="0061361D"/>
    <w:rsid w:val="006137BC"/>
    <w:rsid w:val="00613CDE"/>
    <w:rsid w:val="006140EE"/>
    <w:rsid w:val="00614287"/>
    <w:rsid w:val="00614E88"/>
    <w:rsid w:val="00614E8B"/>
    <w:rsid w:val="0061530C"/>
    <w:rsid w:val="006153BC"/>
    <w:rsid w:val="006155B8"/>
    <w:rsid w:val="006155BA"/>
    <w:rsid w:val="00615802"/>
    <w:rsid w:val="0061596A"/>
    <w:rsid w:val="00615AC4"/>
    <w:rsid w:val="00615B49"/>
    <w:rsid w:val="00615F10"/>
    <w:rsid w:val="00615F64"/>
    <w:rsid w:val="00616198"/>
    <w:rsid w:val="006161FE"/>
    <w:rsid w:val="0061624C"/>
    <w:rsid w:val="00616802"/>
    <w:rsid w:val="0061691B"/>
    <w:rsid w:val="006169F3"/>
    <w:rsid w:val="00616AD8"/>
    <w:rsid w:val="00616D82"/>
    <w:rsid w:val="0061717F"/>
    <w:rsid w:val="00617593"/>
    <w:rsid w:val="0061762A"/>
    <w:rsid w:val="00617643"/>
    <w:rsid w:val="00617A12"/>
    <w:rsid w:val="00617AF0"/>
    <w:rsid w:val="00617C25"/>
    <w:rsid w:val="00617E12"/>
    <w:rsid w:val="006202FB"/>
    <w:rsid w:val="0062069F"/>
    <w:rsid w:val="006207BD"/>
    <w:rsid w:val="00620973"/>
    <w:rsid w:val="0062099D"/>
    <w:rsid w:val="006209D7"/>
    <w:rsid w:val="00620EA7"/>
    <w:rsid w:val="00620F8C"/>
    <w:rsid w:val="006210F5"/>
    <w:rsid w:val="00621477"/>
    <w:rsid w:val="0062185F"/>
    <w:rsid w:val="00621A3C"/>
    <w:rsid w:val="00621DC5"/>
    <w:rsid w:val="0062202E"/>
    <w:rsid w:val="0062266E"/>
    <w:rsid w:val="006226F4"/>
    <w:rsid w:val="00622960"/>
    <w:rsid w:val="00622AA1"/>
    <w:rsid w:val="00622F7C"/>
    <w:rsid w:val="00622F93"/>
    <w:rsid w:val="00623201"/>
    <w:rsid w:val="00623A1E"/>
    <w:rsid w:val="00623D80"/>
    <w:rsid w:val="00624523"/>
    <w:rsid w:val="00624729"/>
    <w:rsid w:val="0062483E"/>
    <w:rsid w:val="00624DB4"/>
    <w:rsid w:val="0062509A"/>
    <w:rsid w:val="006254C2"/>
    <w:rsid w:val="006254E1"/>
    <w:rsid w:val="0062560E"/>
    <w:rsid w:val="0062591A"/>
    <w:rsid w:val="006259C7"/>
    <w:rsid w:val="00625B15"/>
    <w:rsid w:val="00625C41"/>
    <w:rsid w:val="00625FB8"/>
    <w:rsid w:val="00626079"/>
    <w:rsid w:val="0062621E"/>
    <w:rsid w:val="00626532"/>
    <w:rsid w:val="006265C2"/>
    <w:rsid w:val="00626BA0"/>
    <w:rsid w:val="00626DF1"/>
    <w:rsid w:val="00627213"/>
    <w:rsid w:val="00627477"/>
    <w:rsid w:val="0062758C"/>
    <w:rsid w:val="0062758E"/>
    <w:rsid w:val="00627F30"/>
    <w:rsid w:val="006301E3"/>
    <w:rsid w:val="00630359"/>
    <w:rsid w:val="006303B4"/>
    <w:rsid w:val="0063072D"/>
    <w:rsid w:val="00630938"/>
    <w:rsid w:val="00630F89"/>
    <w:rsid w:val="0063132D"/>
    <w:rsid w:val="00631916"/>
    <w:rsid w:val="00631AFA"/>
    <w:rsid w:val="00631B6D"/>
    <w:rsid w:val="00631C10"/>
    <w:rsid w:val="00631D6B"/>
    <w:rsid w:val="00631E1C"/>
    <w:rsid w:val="00631E91"/>
    <w:rsid w:val="00631F8F"/>
    <w:rsid w:val="00631F9A"/>
    <w:rsid w:val="0063220E"/>
    <w:rsid w:val="00632283"/>
    <w:rsid w:val="00632493"/>
    <w:rsid w:val="00632770"/>
    <w:rsid w:val="00632E09"/>
    <w:rsid w:val="00632E46"/>
    <w:rsid w:val="00633305"/>
    <w:rsid w:val="00633636"/>
    <w:rsid w:val="0063388C"/>
    <w:rsid w:val="00633BDC"/>
    <w:rsid w:val="00633C68"/>
    <w:rsid w:val="006341DC"/>
    <w:rsid w:val="00634346"/>
    <w:rsid w:val="0063442C"/>
    <w:rsid w:val="00634559"/>
    <w:rsid w:val="0063479F"/>
    <w:rsid w:val="006347A7"/>
    <w:rsid w:val="00634AA4"/>
    <w:rsid w:val="00634E40"/>
    <w:rsid w:val="00634F6F"/>
    <w:rsid w:val="00634F9D"/>
    <w:rsid w:val="00635253"/>
    <w:rsid w:val="0063555A"/>
    <w:rsid w:val="00635779"/>
    <w:rsid w:val="0063578D"/>
    <w:rsid w:val="006359D1"/>
    <w:rsid w:val="00635AB2"/>
    <w:rsid w:val="00635AC7"/>
    <w:rsid w:val="00636106"/>
    <w:rsid w:val="006361B5"/>
    <w:rsid w:val="006363E5"/>
    <w:rsid w:val="006364A1"/>
    <w:rsid w:val="006364CA"/>
    <w:rsid w:val="00636638"/>
    <w:rsid w:val="0063678D"/>
    <w:rsid w:val="0063693C"/>
    <w:rsid w:val="00636A11"/>
    <w:rsid w:val="00636C74"/>
    <w:rsid w:val="006371A2"/>
    <w:rsid w:val="00637558"/>
    <w:rsid w:val="00637653"/>
    <w:rsid w:val="00637BFD"/>
    <w:rsid w:val="00637DCC"/>
    <w:rsid w:val="00637F85"/>
    <w:rsid w:val="006400D7"/>
    <w:rsid w:val="0064026C"/>
    <w:rsid w:val="006405B7"/>
    <w:rsid w:val="00640979"/>
    <w:rsid w:val="00641403"/>
    <w:rsid w:val="006415D0"/>
    <w:rsid w:val="00641860"/>
    <w:rsid w:val="006419E4"/>
    <w:rsid w:val="00641A56"/>
    <w:rsid w:val="00641A89"/>
    <w:rsid w:val="00641BED"/>
    <w:rsid w:val="0064245B"/>
    <w:rsid w:val="0064245E"/>
    <w:rsid w:val="00642722"/>
    <w:rsid w:val="00642853"/>
    <w:rsid w:val="00642978"/>
    <w:rsid w:val="00642C3F"/>
    <w:rsid w:val="00642CAC"/>
    <w:rsid w:val="00642CAE"/>
    <w:rsid w:val="0064380B"/>
    <w:rsid w:val="0064389C"/>
    <w:rsid w:val="006439C4"/>
    <w:rsid w:val="00643DE5"/>
    <w:rsid w:val="00643E02"/>
    <w:rsid w:val="006446D3"/>
    <w:rsid w:val="006447E0"/>
    <w:rsid w:val="00644A5C"/>
    <w:rsid w:val="0064505A"/>
    <w:rsid w:val="00645117"/>
    <w:rsid w:val="00645135"/>
    <w:rsid w:val="00645661"/>
    <w:rsid w:val="00645900"/>
    <w:rsid w:val="00646394"/>
    <w:rsid w:val="00646424"/>
    <w:rsid w:val="00646722"/>
    <w:rsid w:val="006467B9"/>
    <w:rsid w:val="00646C96"/>
    <w:rsid w:val="00646D34"/>
    <w:rsid w:val="00647007"/>
    <w:rsid w:val="006470E8"/>
    <w:rsid w:val="006471CC"/>
    <w:rsid w:val="0064742C"/>
    <w:rsid w:val="00647C6E"/>
    <w:rsid w:val="00647E28"/>
    <w:rsid w:val="00647E49"/>
    <w:rsid w:val="00650506"/>
    <w:rsid w:val="006506C1"/>
    <w:rsid w:val="0065079F"/>
    <w:rsid w:val="006508F5"/>
    <w:rsid w:val="0065090E"/>
    <w:rsid w:val="00650E26"/>
    <w:rsid w:val="00650F8C"/>
    <w:rsid w:val="00650F9E"/>
    <w:rsid w:val="00651098"/>
    <w:rsid w:val="00651521"/>
    <w:rsid w:val="006519D2"/>
    <w:rsid w:val="00651CBD"/>
    <w:rsid w:val="00651E16"/>
    <w:rsid w:val="006521DE"/>
    <w:rsid w:val="006524FA"/>
    <w:rsid w:val="006526C5"/>
    <w:rsid w:val="00652939"/>
    <w:rsid w:val="00652BA9"/>
    <w:rsid w:val="00653237"/>
    <w:rsid w:val="0065336F"/>
    <w:rsid w:val="006534BF"/>
    <w:rsid w:val="006534E8"/>
    <w:rsid w:val="00653689"/>
    <w:rsid w:val="0065380F"/>
    <w:rsid w:val="00653886"/>
    <w:rsid w:val="00653F3B"/>
    <w:rsid w:val="0065480B"/>
    <w:rsid w:val="006548B4"/>
    <w:rsid w:val="00654BCB"/>
    <w:rsid w:val="00654C31"/>
    <w:rsid w:val="00654CC9"/>
    <w:rsid w:val="00654FF5"/>
    <w:rsid w:val="0065520E"/>
    <w:rsid w:val="0065539A"/>
    <w:rsid w:val="006554F9"/>
    <w:rsid w:val="00655661"/>
    <w:rsid w:val="00655914"/>
    <w:rsid w:val="00655A18"/>
    <w:rsid w:val="00655CBC"/>
    <w:rsid w:val="00655D4E"/>
    <w:rsid w:val="00655D56"/>
    <w:rsid w:val="00655E3D"/>
    <w:rsid w:val="006567E3"/>
    <w:rsid w:val="0065689A"/>
    <w:rsid w:val="0065736B"/>
    <w:rsid w:val="006573F1"/>
    <w:rsid w:val="00657406"/>
    <w:rsid w:val="006575EA"/>
    <w:rsid w:val="00657632"/>
    <w:rsid w:val="00657969"/>
    <w:rsid w:val="00657AC3"/>
    <w:rsid w:val="00657E50"/>
    <w:rsid w:val="006602B7"/>
    <w:rsid w:val="0066034E"/>
    <w:rsid w:val="0066065E"/>
    <w:rsid w:val="0066074B"/>
    <w:rsid w:val="006609B0"/>
    <w:rsid w:val="006609D9"/>
    <w:rsid w:val="00660C9E"/>
    <w:rsid w:val="00660EA4"/>
    <w:rsid w:val="006610E4"/>
    <w:rsid w:val="00661194"/>
    <w:rsid w:val="0066141B"/>
    <w:rsid w:val="00661428"/>
    <w:rsid w:val="00661638"/>
    <w:rsid w:val="0066168D"/>
    <w:rsid w:val="00661888"/>
    <w:rsid w:val="00661932"/>
    <w:rsid w:val="00662057"/>
    <w:rsid w:val="00662134"/>
    <w:rsid w:val="00662409"/>
    <w:rsid w:val="00662977"/>
    <w:rsid w:val="00662FC6"/>
    <w:rsid w:val="006632B2"/>
    <w:rsid w:val="00663316"/>
    <w:rsid w:val="006634F3"/>
    <w:rsid w:val="00663843"/>
    <w:rsid w:val="0066384D"/>
    <w:rsid w:val="006641AE"/>
    <w:rsid w:val="00664325"/>
    <w:rsid w:val="0066441A"/>
    <w:rsid w:val="006644E6"/>
    <w:rsid w:val="006646CD"/>
    <w:rsid w:val="0066476B"/>
    <w:rsid w:val="00664B0F"/>
    <w:rsid w:val="00664BCA"/>
    <w:rsid w:val="00664CC3"/>
    <w:rsid w:val="00664DD6"/>
    <w:rsid w:val="006651AE"/>
    <w:rsid w:val="006651D0"/>
    <w:rsid w:val="00665A9D"/>
    <w:rsid w:val="00665CF4"/>
    <w:rsid w:val="00665F45"/>
    <w:rsid w:val="006660FA"/>
    <w:rsid w:val="00666102"/>
    <w:rsid w:val="00666561"/>
    <w:rsid w:val="00666D72"/>
    <w:rsid w:val="0066719C"/>
    <w:rsid w:val="006672BF"/>
    <w:rsid w:val="0066773E"/>
    <w:rsid w:val="00667E91"/>
    <w:rsid w:val="00667FA9"/>
    <w:rsid w:val="0067004D"/>
    <w:rsid w:val="006700B9"/>
    <w:rsid w:val="0067013D"/>
    <w:rsid w:val="00670206"/>
    <w:rsid w:val="00670303"/>
    <w:rsid w:val="006709E4"/>
    <w:rsid w:val="00670B07"/>
    <w:rsid w:val="00670BA5"/>
    <w:rsid w:val="00670F55"/>
    <w:rsid w:val="006710ED"/>
    <w:rsid w:val="00671174"/>
    <w:rsid w:val="006711B0"/>
    <w:rsid w:val="006714B2"/>
    <w:rsid w:val="0067178E"/>
    <w:rsid w:val="00671CD1"/>
    <w:rsid w:val="00671DEE"/>
    <w:rsid w:val="006720FF"/>
    <w:rsid w:val="00672270"/>
    <w:rsid w:val="006723BE"/>
    <w:rsid w:val="0067257A"/>
    <w:rsid w:val="0067258F"/>
    <w:rsid w:val="0067262C"/>
    <w:rsid w:val="00672A05"/>
    <w:rsid w:val="00672BB1"/>
    <w:rsid w:val="00672D12"/>
    <w:rsid w:val="00672E6D"/>
    <w:rsid w:val="0067317F"/>
    <w:rsid w:val="00673240"/>
    <w:rsid w:val="00673249"/>
    <w:rsid w:val="00673884"/>
    <w:rsid w:val="00673ACD"/>
    <w:rsid w:val="0067403D"/>
    <w:rsid w:val="006746E9"/>
    <w:rsid w:val="00674883"/>
    <w:rsid w:val="006749A1"/>
    <w:rsid w:val="00674B94"/>
    <w:rsid w:val="00674B9A"/>
    <w:rsid w:val="00674D05"/>
    <w:rsid w:val="00674E42"/>
    <w:rsid w:val="00675008"/>
    <w:rsid w:val="0067523F"/>
    <w:rsid w:val="00675384"/>
    <w:rsid w:val="006754E0"/>
    <w:rsid w:val="00675570"/>
    <w:rsid w:val="0067581B"/>
    <w:rsid w:val="0067594B"/>
    <w:rsid w:val="00675B4F"/>
    <w:rsid w:val="00675B73"/>
    <w:rsid w:val="00675C82"/>
    <w:rsid w:val="00675DFB"/>
    <w:rsid w:val="00676115"/>
    <w:rsid w:val="00676184"/>
    <w:rsid w:val="00676186"/>
    <w:rsid w:val="006763BB"/>
    <w:rsid w:val="006766F5"/>
    <w:rsid w:val="00676A33"/>
    <w:rsid w:val="00676BFD"/>
    <w:rsid w:val="00676C34"/>
    <w:rsid w:val="00676CD3"/>
    <w:rsid w:val="00676CF6"/>
    <w:rsid w:val="00676F6B"/>
    <w:rsid w:val="00676FDD"/>
    <w:rsid w:val="006771E2"/>
    <w:rsid w:val="00677503"/>
    <w:rsid w:val="00677804"/>
    <w:rsid w:val="006778DE"/>
    <w:rsid w:val="00677A76"/>
    <w:rsid w:val="00677C1D"/>
    <w:rsid w:val="00677C51"/>
    <w:rsid w:val="00677DD2"/>
    <w:rsid w:val="00677DF9"/>
    <w:rsid w:val="00677FDC"/>
    <w:rsid w:val="0068027A"/>
    <w:rsid w:val="0068035A"/>
    <w:rsid w:val="006803FD"/>
    <w:rsid w:val="006807F5"/>
    <w:rsid w:val="00680DF6"/>
    <w:rsid w:val="00680F56"/>
    <w:rsid w:val="0068111A"/>
    <w:rsid w:val="0068120E"/>
    <w:rsid w:val="00681384"/>
    <w:rsid w:val="0068190F"/>
    <w:rsid w:val="00681A43"/>
    <w:rsid w:val="00681B40"/>
    <w:rsid w:val="00681C33"/>
    <w:rsid w:val="00681E13"/>
    <w:rsid w:val="00681EFC"/>
    <w:rsid w:val="00681F6A"/>
    <w:rsid w:val="00681FA5"/>
    <w:rsid w:val="00682095"/>
    <w:rsid w:val="00682112"/>
    <w:rsid w:val="006822C4"/>
    <w:rsid w:val="0068248D"/>
    <w:rsid w:val="006824A1"/>
    <w:rsid w:val="00682792"/>
    <w:rsid w:val="00682881"/>
    <w:rsid w:val="00682946"/>
    <w:rsid w:val="00682AB8"/>
    <w:rsid w:val="00682BD9"/>
    <w:rsid w:val="006830AB"/>
    <w:rsid w:val="006831B5"/>
    <w:rsid w:val="006834BD"/>
    <w:rsid w:val="006834FD"/>
    <w:rsid w:val="00683794"/>
    <w:rsid w:val="006838C0"/>
    <w:rsid w:val="00683961"/>
    <w:rsid w:val="00683CB7"/>
    <w:rsid w:val="00683CED"/>
    <w:rsid w:val="00683D9D"/>
    <w:rsid w:val="00684217"/>
    <w:rsid w:val="00684350"/>
    <w:rsid w:val="00684509"/>
    <w:rsid w:val="00684714"/>
    <w:rsid w:val="0068501A"/>
    <w:rsid w:val="006853A1"/>
    <w:rsid w:val="0068551C"/>
    <w:rsid w:val="00685616"/>
    <w:rsid w:val="0068574E"/>
    <w:rsid w:val="00685D8B"/>
    <w:rsid w:val="00686081"/>
    <w:rsid w:val="006860BB"/>
    <w:rsid w:val="006864A9"/>
    <w:rsid w:val="006867B0"/>
    <w:rsid w:val="00686903"/>
    <w:rsid w:val="00686A74"/>
    <w:rsid w:val="00686C59"/>
    <w:rsid w:val="00686F52"/>
    <w:rsid w:val="006872BA"/>
    <w:rsid w:val="006874F0"/>
    <w:rsid w:val="006878E7"/>
    <w:rsid w:val="00687A01"/>
    <w:rsid w:val="00687A43"/>
    <w:rsid w:val="00687B7A"/>
    <w:rsid w:val="0069020F"/>
    <w:rsid w:val="00690293"/>
    <w:rsid w:val="006908D9"/>
    <w:rsid w:val="00690985"/>
    <w:rsid w:val="00690D55"/>
    <w:rsid w:val="00690DD6"/>
    <w:rsid w:val="00690F84"/>
    <w:rsid w:val="00690F95"/>
    <w:rsid w:val="006910E0"/>
    <w:rsid w:val="00691426"/>
    <w:rsid w:val="00691445"/>
    <w:rsid w:val="0069145D"/>
    <w:rsid w:val="006916C4"/>
    <w:rsid w:val="00691794"/>
    <w:rsid w:val="006917D7"/>
    <w:rsid w:val="00691853"/>
    <w:rsid w:val="00691959"/>
    <w:rsid w:val="00691DB8"/>
    <w:rsid w:val="00692210"/>
    <w:rsid w:val="006923B4"/>
    <w:rsid w:val="006923B6"/>
    <w:rsid w:val="006924BF"/>
    <w:rsid w:val="00692576"/>
    <w:rsid w:val="00692622"/>
    <w:rsid w:val="00692C71"/>
    <w:rsid w:val="00692E0E"/>
    <w:rsid w:val="00692F6B"/>
    <w:rsid w:val="00693074"/>
    <w:rsid w:val="00693182"/>
    <w:rsid w:val="006933ED"/>
    <w:rsid w:val="0069367C"/>
    <w:rsid w:val="006938DE"/>
    <w:rsid w:val="00693DF7"/>
    <w:rsid w:val="00694096"/>
    <w:rsid w:val="0069414F"/>
    <w:rsid w:val="00694514"/>
    <w:rsid w:val="00694541"/>
    <w:rsid w:val="006946EC"/>
    <w:rsid w:val="00694829"/>
    <w:rsid w:val="00694C7D"/>
    <w:rsid w:val="00694F44"/>
    <w:rsid w:val="006950F2"/>
    <w:rsid w:val="00695294"/>
    <w:rsid w:val="00695534"/>
    <w:rsid w:val="006955FE"/>
    <w:rsid w:val="00695625"/>
    <w:rsid w:val="0069574C"/>
    <w:rsid w:val="0069613B"/>
    <w:rsid w:val="00696362"/>
    <w:rsid w:val="00696479"/>
    <w:rsid w:val="00696801"/>
    <w:rsid w:val="00696926"/>
    <w:rsid w:val="00696C9C"/>
    <w:rsid w:val="00696F23"/>
    <w:rsid w:val="00697568"/>
    <w:rsid w:val="006977D9"/>
    <w:rsid w:val="0069786D"/>
    <w:rsid w:val="006978BB"/>
    <w:rsid w:val="00697B34"/>
    <w:rsid w:val="00697B78"/>
    <w:rsid w:val="00697B94"/>
    <w:rsid w:val="00697BE1"/>
    <w:rsid w:val="00697D0C"/>
    <w:rsid w:val="00697E72"/>
    <w:rsid w:val="00697E75"/>
    <w:rsid w:val="00697F17"/>
    <w:rsid w:val="00697F5E"/>
    <w:rsid w:val="006A002A"/>
    <w:rsid w:val="006A047D"/>
    <w:rsid w:val="006A048C"/>
    <w:rsid w:val="006A071F"/>
    <w:rsid w:val="006A09CD"/>
    <w:rsid w:val="006A0C22"/>
    <w:rsid w:val="006A0CC7"/>
    <w:rsid w:val="006A0D05"/>
    <w:rsid w:val="006A0D83"/>
    <w:rsid w:val="006A0F1A"/>
    <w:rsid w:val="006A1287"/>
    <w:rsid w:val="006A1480"/>
    <w:rsid w:val="006A1648"/>
    <w:rsid w:val="006A191D"/>
    <w:rsid w:val="006A1F55"/>
    <w:rsid w:val="006A21C3"/>
    <w:rsid w:val="006A2A17"/>
    <w:rsid w:val="006A2BD4"/>
    <w:rsid w:val="006A3010"/>
    <w:rsid w:val="006A317D"/>
    <w:rsid w:val="006A33F2"/>
    <w:rsid w:val="006A3596"/>
    <w:rsid w:val="006A3684"/>
    <w:rsid w:val="006A36F4"/>
    <w:rsid w:val="006A385D"/>
    <w:rsid w:val="006A3B91"/>
    <w:rsid w:val="006A3C10"/>
    <w:rsid w:val="006A4229"/>
    <w:rsid w:val="006A4555"/>
    <w:rsid w:val="006A493D"/>
    <w:rsid w:val="006A4B5D"/>
    <w:rsid w:val="006A4D9D"/>
    <w:rsid w:val="006A4F0B"/>
    <w:rsid w:val="006A5017"/>
    <w:rsid w:val="006A512B"/>
    <w:rsid w:val="006A5422"/>
    <w:rsid w:val="006A556F"/>
    <w:rsid w:val="006A5865"/>
    <w:rsid w:val="006A58D6"/>
    <w:rsid w:val="006A5A92"/>
    <w:rsid w:val="006A5AD2"/>
    <w:rsid w:val="006A5AEA"/>
    <w:rsid w:val="006A5BA8"/>
    <w:rsid w:val="006A5C0F"/>
    <w:rsid w:val="006A5F7D"/>
    <w:rsid w:val="006A64FA"/>
    <w:rsid w:val="006A66BE"/>
    <w:rsid w:val="006A67B1"/>
    <w:rsid w:val="006A68BE"/>
    <w:rsid w:val="006A6B5D"/>
    <w:rsid w:val="006A6C1F"/>
    <w:rsid w:val="006A771A"/>
    <w:rsid w:val="006A7A2D"/>
    <w:rsid w:val="006A7E06"/>
    <w:rsid w:val="006A7F86"/>
    <w:rsid w:val="006B032D"/>
    <w:rsid w:val="006B09C6"/>
    <w:rsid w:val="006B0CFF"/>
    <w:rsid w:val="006B0F29"/>
    <w:rsid w:val="006B1388"/>
    <w:rsid w:val="006B13C2"/>
    <w:rsid w:val="006B19C7"/>
    <w:rsid w:val="006B1AD3"/>
    <w:rsid w:val="006B1B67"/>
    <w:rsid w:val="006B1D3C"/>
    <w:rsid w:val="006B1D5E"/>
    <w:rsid w:val="006B1D8C"/>
    <w:rsid w:val="006B1EF2"/>
    <w:rsid w:val="006B2336"/>
    <w:rsid w:val="006B23E3"/>
    <w:rsid w:val="006B28CC"/>
    <w:rsid w:val="006B299D"/>
    <w:rsid w:val="006B29B9"/>
    <w:rsid w:val="006B2ACC"/>
    <w:rsid w:val="006B2BEF"/>
    <w:rsid w:val="006B2F44"/>
    <w:rsid w:val="006B3039"/>
    <w:rsid w:val="006B303C"/>
    <w:rsid w:val="006B306A"/>
    <w:rsid w:val="006B32B6"/>
    <w:rsid w:val="006B3526"/>
    <w:rsid w:val="006B358F"/>
    <w:rsid w:val="006B36F8"/>
    <w:rsid w:val="006B3827"/>
    <w:rsid w:val="006B3895"/>
    <w:rsid w:val="006B455A"/>
    <w:rsid w:val="006B48F4"/>
    <w:rsid w:val="006B4935"/>
    <w:rsid w:val="006B4DBC"/>
    <w:rsid w:val="006B50DA"/>
    <w:rsid w:val="006B52B0"/>
    <w:rsid w:val="006B5630"/>
    <w:rsid w:val="006B5F9D"/>
    <w:rsid w:val="006B6602"/>
    <w:rsid w:val="006B6770"/>
    <w:rsid w:val="006B6E4A"/>
    <w:rsid w:val="006B72F7"/>
    <w:rsid w:val="006B739B"/>
    <w:rsid w:val="006B77F9"/>
    <w:rsid w:val="006B7979"/>
    <w:rsid w:val="006B7E54"/>
    <w:rsid w:val="006C0092"/>
    <w:rsid w:val="006C10BA"/>
    <w:rsid w:val="006C12F6"/>
    <w:rsid w:val="006C13B4"/>
    <w:rsid w:val="006C13E8"/>
    <w:rsid w:val="006C153E"/>
    <w:rsid w:val="006C1AA4"/>
    <w:rsid w:val="006C1BB7"/>
    <w:rsid w:val="006C1D35"/>
    <w:rsid w:val="006C1EB6"/>
    <w:rsid w:val="006C1F65"/>
    <w:rsid w:val="006C249B"/>
    <w:rsid w:val="006C277D"/>
    <w:rsid w:val="006C29D9"/>
    <w:rsid w:val="006C2A8E"/>
    <w:rsid w:val="006C2DB1"/>
    <w:rsid w:val="006C3A45"/>
    <w:rsid w:val="006C4005"/>
    <w:rsid w:val="006C40A5"/>
    <w:rsid w:val="006C4182"/>
    <w:rsid w:val="006C4257"/>
    <w:rsid w:val="006C4386"/>
    <w:rsid w:val="006C4429"/>
    <w:rsid w:val="006C44AB"/>
    <w:rsid w:val="006C454C"/>
    <w:rsid w:val="006C4681"/>
    <w:rsid w:val="006C4D57"/>
    <w:rsid w:val="006C4D86"/>
    <w:rsid w:val="006C4DD0"/>
    <w:rsid w:val="006C4F9E"/>
    <w:rsid w:val="006C4FAA"/>
    <w:rsid w:val="006C5213"/>
    <w:rsid w:val="006C52B4"/>
    <w:rsid w:val="006C53A6"/>
    <w:rsid w:val="006C53E5"/>
    <w:rsid w:val="006C54D7"/>
    <w:rsid w:val="006C57B5"/>
    <w:rsid w:val="006C5959"/>
    <w:rsid w:val="006C5BF6"/>
    <w:rsid w:val="006C5C02"/>
    <w:rsid w:val="006C62B1"/>
    <w:rsid w:val="006C6671"/>
    <w:rsid w:val="006C668A"/>
    <w:rsid w:val="006C6749"/>
    <w:rsid w:val="006C6976"/>
    <w:rsid w:val="006C6A67"/>
    <w:rsid w:val="006C6C91"/>
    <w:rsid w:val="006C7502"/>
    <w:rsid w:val="006C759E"/>
    <w:rsid w:val="006C7616"/>
    <w:rsid w:val="006C774E"/>
    <w:rsid w:val="006C785A"/>
    <w:rsid w:val="006C7F6D"/>
    <w:rsid w:val="006D0290"/>
    <w:rsid w:val="006D0299"/>
    <w:rsid w:val="006D02D5"/>
    <w:rsid w:val="006D0455"/>
    <w:rsid w:val="006D0460"/>
    <w:rsid w:val="006D05B5"/>
    <w:rsid w:val="006D071F"/>
    <w:rsid w:val="006D09D7"/>
    <w:rsid w:val="006D0A88"/>
    <w:rsid w:val="006D1057"/>
    <w:rsid w:val="006D141A"/>
    <w:rsid w:val="006D1448"/>
    <w:rsid w:val="006D1530"/>
    <w:rsid w:val="006D1938"/>
    <w:rsid w:val="006D1E54"/>
    <w:rsid w:val="006D1FE3"/>
    <w:rsid w:val="006D2047"/>
    <w:rsid w:val="006D20C1"/>
    <w:rsid w:val="006D228E"/>
    <w:rsid w:val="006D2311"/>
    <w:rsid w:val="006D2344"/>
    <w:rsid w:val="006D24AD"/>
    <w:rsid w:val="006D2654"/>
    <w:rsid w:val="006D272C"/>
    <w:rsid w:val="006D2B2B"/>
    <w:rsid w:val="006D2C32"/>
    <w:rsid w:val="006D2D93"/>
    <w:rsid w:val="006D311F"/>
    <w:rsid w:val="006D3540"/>
    <w:rsid w:val="006D38B0"/>
    <w:rsid w:val="006D38E6"/>
    <w:rsid w:val="006D3A23"/>
    <w:rsid w:val="006D3BE1"/>
    <w:rsid w:val="006D3C7D"/>
    <w:rsid w:val="006D3CBB"/>
    <w:rsid w:val="006D3D0F"/>
    <w:rsid w:val="006D3D62"/>
    <w:rsid w:val="006D3F08"/>
    <w:rsid w:val="006D4018"/>
    <w:rsid w:val="006D412A"/>
    <w:rsid w:val="006D4255"/>
    <w:rsid w:val="006D42F3"/>
    <w:rsid w:val="006D4413"/>
    <w:rsid w:val="006D4824"/>
    <w:rsid w:val="006D4EBF"/>
    <w:rsid w:val="006D53F0"/>
    <w:rsid w:val="006D5546"/>
    <w:rsid w:val="006D5566"/>
    <w:rsid w:val="006D5844"/>
    <w:rsid w:val="006D59FA"/>
    <w:rsid w:val="006D5D5F"/>
    <w:rsid w:val="006D5DB8"/>
    <w:rsid w:val="006D5EE8"/>
    <w:rsid w:val="006D5F54"/>
    <w:rsid w:val="006D603C"/>
    <w:rsid w:val="006D60A3"/>
    <w:rsid w:val="006D6809"/>
    <w:rsid w:val="006D6BD4"/>
    <w:rsid w:val="006D6D49"/>
    <w:rsid w:val="006D70B0"/>
    <w:rsid w:val="006D758B"/>
    <w:rsid w:val="006D75A2"/>
    <w:rsid w:val="006D78C1"/>
    <w:rsid w:val="006D78D9"/>
    <w:rsid w:val="006D797C"/>
    <w:rsid w:val="006E00A7"/>
    <w:rsid w:val="006E048C"/>
    <w:rsid w:val="006E0490"/>
    <w:rsid w:val="006E05D1"/>
    <w:rsid w:val="006E0978"/>
    <w:rsid w:val="006E0ABB"/>
    <w:rsid w:val="006E0B68"/>
    <w:rsid w:val="006E0D15"/>
    <w:rsid w:val="006E128D"/>
    <w:rsid w:val="006E160B"/>
    <w:rsid w:val="006E19DF"/>
    <w:rsid w:val="006E1B89"/>
    <w:rsid w:val="006E1C1F"/>
    <w:rsid w:val="006E1D6E"/>
    <w:rsid w:val="006E206B"/>
    <w:rsid w:val="006E2238"/>
    <w:rsid w:val="006E2400"/>
    <w:rsid w:val="006E244B"/>
    <w:rsid w:val="006E26E3"/>
    <w:rsid w:val="006E2955"/>
    <w:rsid w:val="006E2CAD"/>
    <w:rsid w:val="006E2D6C"/>
    <w:rsid w:val="006E2D92"/>
    <w:rsid w:val="006E2D9A"/>
    <w:rsid w:val="006E2DD8"/>
    <w:rsid w:val="006E2ED6"/>
    <w:rsid w:val="006E3158"/>
    <w:rsid w:val="006E31D3"/>
    <w:rsid w:val="006E3298"/>
    <w:rsid w:val="006E3659"/>
    <w:rsid w:val="006E3861"/>
    <w:rsid w:val="006E38E4"/>
    <w:rsid w:val="006E3A2F"/>
    <w:rsid w:val="006E3A48"/>
    <w:rsid w:val="006E3BD3"/>
    <w:rsid w:val="006E4597"/>
    <w:rsid w:val="006E4750"/>
    <w:rsid w:val="006E4B7F"/>
    <w:rsid w:val="006E4B8F"/>
    <w:rsid w:val="006E4B9B"/>
    <w:rsid w:val="006E4C55"/>
    <w:rsid w:val="006E4C59"/>
    <w:rsid w:val="006E4C75"/>
    <w:rsid w:val="006E50C8"/>
    <w:rsid w:val="006E52C6"/>
    <w:rsid w:val="006E530C"/>
    <w:rsid w:val="006E55A3"/>
    <w:rsid w:val="006E571D"/>
    <w:rsid w:val="006E58A1"/>
    <w:rsid w:val="006E5958"/>
    <w:rsid w:val="006E5FBF"/>
    <w:rsid w:val="006E61DF"/>
    <w:rsid w:val="006E66F1"/>
    <w:rsid w:val="006E674E"/>
    <w:rsid w:val="006E69EE"/>
    <w:rsid w:val="006E6A83"/>
    <w:rsid w:val="006E6BD9"/>
    <w:rsid w:val="006E6C44"/>
    <w:rsid w:val="006E6EA3"/>
    <w:rsid w:val="006E7187"/>
    <w:rsid w:val="006E73B4"/>
    <w:rsid w:val="006E754A"/>
    <w:rsid w:val="006E783A"/>
    <w:rsid w:val="006E790F"/>
    <w:rsid w:val="006E7A3F"/>
    <w:rsid w:val="006E7B20"/>
    <w:rsid w:val="006E7C6B"/>
    <w:rsid w:val="006E7CB4"/>
    <w:rsid w:val="006F004C"/>
    <w:rsid w:val="006F02FC"/>
    <w:rsid w:val="006F0357"/>
    <w:rsid w:val="006F075B"/>
    <w:rsid w:val="006F0857"/>
    <w:rsid w:val="006F085E"/>
    <w:rsid w:val="006F0863"/>
    <w:rsid w:val="006F0913"/>
    <w:rsid w:val="006F0954"/>
    <w:rsid w:val="006F0C53"/>
    <w:rsid w:val="006F0D95"/>
    <w:rsid w:val="006F0F21"/>
    <w:rsid w:val="006F10B1"/>
    <w:rsid w:val="006F15B7"/>
    <w:rsid w:val="006F15BB"/>
    <w:rsid w:val="006F165B"/>
    <w:rsid w:val="006F194E"/>
    <w:rsid w:val="006F23DF"/>
    <w:rsid w:val="006F2510"/>
    <w:rsid w:val="006F2679"/>
    <w:rsid w:val="006F269D"/>
    <w:rsid w:val="006F2946"/>
    <w:rsid w:val="006F2988"/>
    <w:rsid w:val="006F2A78"/>
    <w:rsid w:val="006F2BD4"/>
    <w:rsid w:val="006F2CF7"/>
    <w:rsid w:val="006F2D4F"/>
    <w:rsid w:val="006F2F9A"/>
    <w:rsid w:val="006F3057"/>
    <w:rsid w:val="006F39E1"/>
    <w:rsid w:val="006F416F"/>
    <w:rsid w:val="006F41B6"/>
    <w:rsid w:val="006F43EA"/>
    <w:rsid w:val="006F4459"/>
    <w:rsid w:val="006F4799"/>
    <w:rsid w:val="006F4B68"/>
    <w:rsid w:val="006F4F19"/>
    <w:rsid w:val="006F538B"/>
    <w:rsid w:val="006F53F0"/>
    <w:rsid w:val="006F57DB"/>
    <w:rsid w:val="006F5850"/>
    <w:rsid w:val="006F59E1"/>
    <w:rsid w:val="006F5A56"/>
    <w:rsid w:val="006F5A8C"/>
    <w:rsid w:val="006F5CA0"/>
    <w:rsid w:val="006F5D82"/>
    <w:rsid w:val="006F5E57"/>
    <w:rsid w:val="006F5F53"/>
    <w:rsid w:val="006F60FD"/>
    <w:rsid w:val="006F61A6"/>
    <w:rsid w:val="006F63A5"/>
    <w:rsid w:val="006F65F6"/>
    <w:rsid w:val="006F662C"/>
    <w:rsid w:val="006F66C9"/>
    <w:rsid w:val="006F676D"/>
    <w:rsid w:val="006F6A58"/>
    <w:rsid w:val="006F6BC5"/>
    <w:rsid w:val="006F6EBD"/>
    <w:rsid w:val="006F74E1"/>
    <w:rsid w:val="006F758A"/>
    <w:rsid w:val="006F7625"/>
    <w:rsid w:val="006F7660"/>
    <w:rsid w:val="006F775C"/>
    <w:rsid w:val="006F79C9"/>
    <w:rsid w:val="0070005D"/>
    <w:rsid w:val="00700205"/>
    <w:rsid w:val="0070033F"/>
    <w:rsid w:val="007006BA"/>
    <w:rsid w:val="0070073F"/>
    <w:rsid w:val="007009E4"/>
    <w:rsid w:val="00700BE3"/>
    <w:rsid w:val="00700D50"/>
    <w:rsid w:val="00700F93"/>
    <w:rsid w:val="007012BC"/>
    <w:rsid w:val="007013AC"/>
    <w:rsid w:val="00701479"/>
    <w:rsid w:val="00701509"/>
    <w:rsid w:val="00701546"/>
    <w:rsid w:val="00701608"/>
    <w:rsid w:val="0070168D"/>
    <w:rsid w:val="0070194B"/>
    <w:rsid w:val="00701A58"/>
    <w:rsid w:val="00701B15"/>
    <w:rsid w:val="00701BA5"/>
    <w:rsid w:val="00701BC3"/>
    <w:rsid w:val="00702384"/>
    <w:rsid w:val="0070244D"/>
    <w:rsid w:val="00702654"/>
    <w:rsid w:val="00702718"/>
    <w:rsid w:val="0070276E"/>
    <w:rsid w:val="00702A1A"/>
    <w:rsid w:val="00702B8A"/>
    <w:rsid w:val="00702BBE"/>
    <w:rsid w:val="00702F8F"/>
    <w:rsid w:val="00702FF3"/>
    <w:rsid w:val="007030C9"/>
    <w:rsid w:val="0070320D"/>
    <w:rsid w:val="007035C0"/>
    <w:rsid w:val="00703611"/>
    <w:rsid w:val="0070385D"/>
    <w:rsid w:val="00703A50"/>
    <w:rsid w:val="00703AB2"/>
    <w:rsid w:val="00703B1F"/>
    <w:rsid w:val="00703F51"/>
    <w:rsid w:val="00704148"/>
    <w:rsid w:val="00704385"/>
    <w:rsid w:val="007044F1"/>
    <w:rsid w:val="00704991"/>
    <w:rsid w:val="00704DB3"/>
    <w:rsid w:val="00704DDA"/>
    <w:rsid w:val="00705405"/>
    <w:rsid w:val="0070559D"/>
    <w:rsid w:val="00705635"/>
    <w:rsid w:val="0070570E"/>
    <w:rsid w:val="007057C2"/>
    <w:rsid w:val="007062E4"/>
    <w:rsid w:val="0070650B"/>
    <w:rsid w:val="0070667D"/>
    <w:rsid w:val="007066CA"/>
    <w:rsid w:val="007067C1"/>
    <w:rsid w:val="00706A72"/>
    <w:rsid w:val="00706C4E"/>
    <w:rsid w:val="00706C59"/>
    <w:rsid w:val="00706CBA"/>
    <w:rsid w:val="00706DF5"/>
    <w:rsid w:val="007073D2"/>
    <w:rsid w:val="0070769C"/>
    <w:rsid w:val="00707ED0"/>
    <w:rsid w:val="00710014"/>
    <w:rsid w:val="007106C3"/>
    <w:rsid w:val="007106D2"/>
    <w:rsid w:val="007109E4"/>
    <w:rsid w:val="00710C6C"/>
    <w:rsid w:val="007113E8"/>
    <w:rsid w:val="00711A36"/>
    <w:rsid w:val="00711BD8"/>
    <w:rsid w:val="0071256C"/>
    <w:rsid w:val="00712B13"/>
    <w:rsid w:val="00712C38"/>
    <w:rsid w:val="00712C40"/>
    <w:rsid w:val="00712F28"/>
    <w:rsid w:val="00713115"/>
    <w:rsid w:val="007134FE"/>
    <w:rsid w:val="0071378D"/>
    <w:rsid w:val="007137DB"/>
    <w:rsid w:val="007138EA"/>
    <w:rsid w:val="00713C14"/>
    <w:rsid w:val="0071425B"/>
    <w:rsid w:val="007147C6"/>
    <w:rsid w:val="00714913"/>
    <w:rsid w:val="007149BA"/>
    <w:rsid w:val="00714A4B"/>
    <w:rsid w:val="00714BF4"/>
    <w:rsid w:val="00714C4B"/>
    <w:rsid w:val="00714F5B"/>
    <w:rsid w:val="00715362"/>
    <w:rsid w:val="007156D7"/>
    <w:rsid w:val="00715A79"/>
    <w:rsid w:val="00715FAD"/>
    <w:rsid w:val="007160AB"/>
    <w:rsid w:val="007161CF"/>
    <w:rsid w:val="00716292"/>
    <w:rsid w:val="00716516"/>
    <w:rsid w:val="0071680C"/>
    <w:rsid w:val="00716969"/>
    <w:rsid w:val="007169F4"/>
    <w:rsid w:val="00716A1A"/>
    <w:rsid w:val="00716C50"/>
    <w:rsid w:val="00716E08"/>
    <w:rsid w:val="0071702D"/>
    <w:rsid w:val="007171B2"/>
    <w:rsid w:val="007172AD"/>
    <w:rsid w:val="007175D1"/>
    <w:rsid w:val="00717914"/>
    <w:rsid w:val="00717947"/>
    <w:rsid w:val="00717BC0"/>
    <w:rsid w:val="00717C93"/>
    <w:rsid w:val="00717E28"/>
    <w:rsid w:val="00717EB6"/>
    <w:rsid w:val="00720193"/>
    <w:rsid w:val="0072022B"/>
    <w:rsid w:val="007209A5"/>
    <w:rsid w:val="00720B31"/>
    <w:rsid w:val="00720C03"/>
    <w:rsid w:val="00720DFB"/>
    <w:rsid w:val="00720F4E"/>
    <w:rsid w:val="007211FB"/>
    <w:rsid w:val="007212C9"/>
    <w:rsid w:val="0072142E"/>
    <w:rsid w:val="00721606"/>
    <w:rsid w:val="0072191F"/>
    <w:rsid w:val="00721AD3"/>
    <w:rsid w:val="00721C2C"/>
    <w:rsid w:val="00721C4C"/>
    <w:rsid w:val="00722116"/>
    <w:rsid w:val="00722177"/>
    <w:rsid w:val="007221C0"/>
    <w:rsid w:val="00722228"/>
    <w:rsid w:val="007222BC"/>
    <w:rsid w:val="00722586"/>
    <w:rsid w:val="007228F4"/>
    <w:rsid w:val="00722A14"/>
    <w:rsid w:val="00722A29"/>
    <w:rsid w:val="00723239"/>
    <w:rsid w:val="00723454"/>
    <w:rsid w:val="00723464"/>
    <w:rsid w:val="00723509"/>
    <w:rsid w:val="0072399E"/>
    <w:rsid w:val="0072416F"/>
    <w:rsid w:val="00724216"/>
    <w:rsid w:val="00724331"/>
    <w:rsid w:val="0072436C"/>
    <w:rsid w:val="00724387"/>
    <w:rsid w:val="00724431"/>
    <w:rsid w:val="007245D4"/>
    <w:rsid w:val="0072463E"/>
    <w:rsid w:val="00724A38"/>
    <w:rsid w:val="00724CFF"/>
    <w:rsid w:val="00724E0D"/>
    <w:rsid w:val="0072500A"/>
    <w:rsid w:val="00725258"/>
    <w:rsid w:val="007253FB"/>
    <w:rsid w:val="00725666"/>
    <w:rsid w:val="0072587F"/>
    <w:rsid w:val="007258A3"/>
    <w:rsid w:val="007258B0"/>
    <w:rsid w:val="007258D5"/>
    <w:rsid w:val="00725994"/>
    <w:rsid w:val="00726237"/>
    <w:rsid w:val="00726356"/>
    <w:rsid w:val="007267A1"/>
    <w:rsid w:val="00726993"/>
    <w:rsid w:val="00726B50"/>
    <w:rsid w:val="00726E64"/>
    <w:rsid w:val="00726E8D"/>
    <w:rsid w:val="00727312"/>
    <w:rsid w:val="0072758B"/>
    <w:rsid w:val="0072792D"/>
    <w:rsid w:val="00727948"/>
    <w:rsid w:val="00727AFE"/>
    <w:rsid w:val="00727CBD"/>
    <w:rsid w:val="00727DDB"/>
    <w:rsid w:val="00727E60"/>
    <w:rsid w:val="007302A3"/>
    <w:rsid w:val="007302BF"/>
    <w:rsid w:val="00730407"/>
    <w:rsid w:val="007305ED"/>
    <w:rsid w:val="007309E5"/>
    <w:rsid w:val="00730B9F"/>
    <w:rsid w:val="00730E3A"/>
    <w:rsid w:val="00730FBD"/>
    <w:rsid w:val="00731538"/>
    <w:rsid w:val="00731901"/>
    <w:rsid w:val="00731A33"/>
    <w:rsid w:val="00731B88"/>
    <w:rsid w:val="00731EA0"/>
    <w:rsid w:val="00731EA3"/>
    <w:rsid w:val="007321F5"/>
    <w:rsid w:val="00732235"/>
    <w:rsid w:val="0073224C"/>
    <w:rsid w:val="007326D7"/>
    <w:rsid w:val="007328C2"/>
    <w:rsid w:val="00732B84"/>
    <w:rsid w:val="00732C0E"/>
    <w:rsid w:val="00732E6C"/>
    <w:rsid w:val="00732F55"/>
    <w:rsid w:val="00732FD5"/>
    <w:rsid w:val="00733102"/>
    <w:rsid w:val="0073311E"/>
    <w:rsid w:val="0073333E"/>
    <w:rsid w:val="0073377B"/>
    <w:rsid w:val="00733B95"/>
    <w:rsid w:val="00733BE5"/>
    <w:rsid w:val="007344C0"/>
    <w:rsid w:val="007345DF"/>
    <w:rsid w:val="00734C04"/>
    <w:rsid w:val="00734CAE"/>
    <w:rsid w:val="00734DAB"/>
    <w:rsid w:val="00734FEB"/>
    <w:rsid w:val="0073500E"/>
    <w:rsid w:val="007350A6"/>
    <w:rsid w:val="007351E4"/>
    <w:rsid w:val="00735328"/>
    <w:rsid w:val="007358A4"/>
    <w:rsid w:val="00735A02"/>
    <w:rsid w:val="00735F09"/>
    <w:rsid w:val="00736126"/>
    <w:rsid w:val="0073617D"/>
    <w:rsid w:val="00736315"/>
    <w:rsid w:val="007364D4"/>
    <w:rsid w:val="0073685B"/>
    <w:rsid w:val="0073699D"/>
    <w:rsid w:val="007369D6"/>
    <w:rsid w:val="007377FC"/>
    <w:rsid w:val="007379A2"/>
    <w:rsid w:val="007379FA"/>
    <w:rsid w:val="00737A31"/>
    <w:rsid w:val="00737CA7"/>
    <w:rsid w:val="00737D9F"/>
    <w:rsid w:val="00737ED4"/>
    <w:rsid w:val="007400AC"/>
    <w:rsid w:val="0074010F"/>
    <w:rsid w:val="007401E0"/>
    <w:rsid w:val="00740A0B"/>
    <w:rsid w:val="00740C90"/>
    <w:rsid w:val="00740CFF"/>
    <w:rsid w:val="00740D40"/>
    <w:rsid w:val="00740FDD"/>
    <w:rsid w:val="007411E9"/>
    <w:rsid w:val="007411EA"/>
    <w:rsid w:val="00741963"/>
    <w:rsid w:val="00741B5F"/>
    <w:rsid w:val="00741CAE"/>
    <w:rsid w:val="00741FB0"/>
    <w:rsid w:val="0074200E"/>
    <w:rsid w:val="0074206C"/>
    <w:rsid w:val="0074257F"/>
    <w:rsid w:val="0074278A"/>
    <w:rsid w:val="007427B9"/>
    <w:rsid w:val="00742981"/>
    <w:rsid w:val="007429CD"/>
    <w:rsid w:val="007432CA"/>
    <w:rsid w:val="0074376F"/>
    <w:rsid w:val="00743866"/>
    <w:rsid w:val="00743B69"/>
    <w:rsid w:val="00743D45"/>
    <w:rsid w:val="00744043"/>
    <w:rsid w:val="007441D6"/>
    <w:rsid w:val="007445F9"/>
    <w:rsid w:val="007448F0"/>
    <w:rsid w:val="007448F8"/>
    <w:rsid w:val="00744C03"/>
    <w:rsid w:val="00744C57"/>
    <w:rsid w:val="0074507D"/>
    <w:rsid w:val="00745258"/>
    <w:rsid w:val="007455B5"/>
    <w:rsid w:val="00745CE0"/>
    <w:rsid w:val="00745D6A"/>
    <w:rsid w:val="00745DBD"/>
    <w:rsid w:val="00746341"/>
    <w:rsid w:val="0074683A"/>
    <w:rsid w:val="00746904"/>
    <w:rsid w:val="00746A7A"/>
    <w:rsid w:val="00746AD1"/>
    <w:rsid w:val="00746C6E"/>
    <w:rsid w:val="00746CC3"/>
    <w:rsid w:val="00746CE5"/>
    <w:rsid w:val="00746D7D"/>
    <w:rsid w:val="007474CD"/>
    <w:rsid w:val="007474DB"/>
    <w:rsid w:val="007478D3"/>
    <w:rsid w:val="0074790A"/>
    <w:rsid w:val="0075010E"/>
    <w:rsid w:val="0075043B"/>
    <w:rsid w:val="00750492"/>
    <w:rsid w:val="007505BE"/>
    <w:rsid w:val="00750719"/>
    <w:rsid w:val="00750775"/>
    <w:rsid w:val="0075078E"/>
    <w:rsid w:val="00750857"/>
    <w:rsid w:val="00750B98"/>
    <w:rsid w:val="00750C6E"/>
    <w:rsid w:val="00750DAD"/>
    <w:rsid w:val="0075131A"/>
    <w:rsid w:val="00751433"/>
    <w:rsid w:val="0075163D"/>
    <w:rsid w:val="0075189C"/>
    <w:rsid w:val="00752032"/>
    <w:rsid w:val="00752392"/>
    <w:rsid w:val="0075248E"/>
    <w:rsid w:val="007524F6"/>
    <w:rsid w:val="00752527"/>
    <w:rsid w:val="00752B66"/>
    <w:rsid w:val="00752E79"/>
    <w:rsid w:val="00752F63"/>
    <w:rsid w:val="00752FEA"/>
    <w:rsid w:val="0075318A"/>
    <w:rsid w:val="007538FE"/>
    <w:rsid w:val="00753B61"/>
    <w:rsid w:val="00753D3D"/>
    <w:rsid w:val="00753DD7"/>
    <w:rsid w:val="00753DE1"/>
    <w:rsid w:val="00754682"/>
    <w:rsid w:val="007547B6"/>
    <w:rsid w:val="00754866"/>
    <w:rsid w:val="0075494E"/>
    <w:rsid w:val="00754E14"/>
    <w:rsid w:val="00754EF6"/>
    <w:rsid w:val="00755139"/>
    <w:rsid w:val="007554BA"/>
    <w:rsid w:val="007557D1"/>
    <w:rsid w:val="00755CB5"/>
    <w:rsid w:val="0075645B"/>
    <w:rsid w:val="00756777"/>
    <w:rsid w:val="0075679E"/>
    <w:rsid w:val="0075685E"/>
    <w:rsid w:val="007569AF"/>
    <w:rsid w:val="007569F1"/>
    <w:rsid w:val="00756B1E"/>
    <w:rsid w:val="00756BA5"/>
    <w:rsid w:val="00756BC9"/>
    <w:rsid w:val="00756BCB"/>
    <w:rsid w:val="007576E4"/>
    <w:rsid w:val="00757807"/>
    <w:rsid w:val="00757E4F"/>
    <w:rsid w:val="00757F07"/>
    <w:rsid w:val="00760269"/>
    <w:rsid w:val="007602B6"/>
    <w:rsid w:val="00760569"/>
    <w:rsid w:val="007608A4"/>
    <w:rsid w:val="007610C6"/>
    <w:rsid w:val="007613AB"/>
    <w:rsid w:val="007619A6"/>
    <w:rsid w:val="00761B52"/>
    <w:rsid w:val="00761C6F"/>
    <w:rsid w:val="00761CB6"/>
    <w:rsid w:val="00761F2B"/>
    <w:rsid w:val="00762209"/>
    <w:rsid w:val="0076222F"/>
    <w:rsid w:val="0076248C"/>
    <w:rsid w:val="00762639"/>
    <w:rsid w:val="0076310E"/>
    <w:rsid w:val="00763386"/>
    <w:rsid w:val="00763647"/>
    <w:rsid w:val="007638AF"/>
    <w:rsid w:val="00763A7F"/>
    <w:rsid w:val="00763C65"/>
    <w:rsid w:val="00763FE3"/>
    <w:rsid w:val="00764209"/>
    <w:rsid w:val="007643B1"/>
    <w:rsid w:val="00764B6E"/>
    <w:rsid w:val="00764C43"/>
    <w:rsid w:val="007651BF"/>
    <w:rsid w:val="0076526C"/>
    <w:rsid w:val="00765304"/>
    <w:rsid w:val="0076541B"/>
    <w:rsid w:val="00765777"/>
    <w:rsid w:val="0076585A"/>
    <w:rsid w:val="0076586B"/>
    <w:rsid w:val="00765A9C"/>
    <w:rsid w:val="00766024"/>
    <w:rsid w:val="00766120"/>
    <w:rsid w:val="0076615F"/>
    <w:rsid w:val="00766342"/>
    <w:rsid w:val="00766652"/>
    <w:rsid w:val="007666A8"/>
    <w:rsid w:val="00766714"/>
    <w:rsid w:val="007667C1"/>
    <w:rsid w:val="00766803"/>
    <w:rsid w:val="00766AA4"/>
    <w:rsid w:val="00766C76"/>
    <w:rsid w:val="007671B1"/>
    <w:rsid w:val="007675D1"/>
    <w:rsid w:val="00767758"/>
    <w:rsid w:val="00767AEE"/>
    <w:rsid w:val="00767F7D"/>
    <w:rsid w:val="00767FFE"/>
    <w:rsid w:val="00770315"/>
    <w:rsid w:val="0077059A"/>
    <w:rsid w:val="00770B18"/>
    <w:rsid w:val="00770ECE"/>
    <w:rsid w:val="00771351"/>
    <w:rsid w:val="00771941"/>
    <w:rsid w:val="00771B2E"/>
    <w:rsid w:val="00771E03"/>
    <w:rsid w:val="00771E7F"/>
    <w:rsid w:val="0077222C"/>
    <w:rsid w:val="007722F6"/>
    <w:rsid w:val="007724C5"/>
    <w:rsid w:val="007724F3"/>
    <w:rsid w:val="00772520"/>
    <w:rsid w:val="00772726"/>
    <w:rsid w:val="0077288C"/>
    <w:rsid w:val="00772B09"/>
    <w:rsid w:val="00772BF1"/>
    <w:rsid w:val="00772F19"/>
    <w:rsid w:val="00773666"/>
    <w:rsid w:val="0077371F"/>
    <w:rsid w:val="00773D53"/>
    <w:rsid w:val="00773F4B"/>
    <w:rsid w:val="007740A6"/>
    <w:rsid w:val="0077426D"/>
    <w:rsid w:val="007744E3"/>
    <w:rsid w:val="00774617"/>
    <w:rsid w:val="0077496C"/>
    <w:rsid w:val="007749F9"/>
    <w:rsid w:val="00774ACD"/>
    <w:rsid w:val="00774B04"/>
    <w:rsid w:val="00775048"/>
    <w:rsid w:val="00775096"/>
    <w:rsid w:val="007750A9"/>
    <w:rsid w:val="007752D5"/>
    <w:rsid w:val="007754B7"/>
    <w:rsid w:val="00775A10"/>
    <w:rsid w:val="00775D82"/>
    <w:rsid w:val="007760F3"/>
    <w:rsid w:val="0077652F"/>
    <w:rsid w:val="007765E5"/>
    <w:rsid w:val="007766B3"/>
    <w:rsid w:val="00776A38"/>
    <w:rsid w:val="00776B8B"/>
    <w:rsid w:val="00776F23"/>
    <w:rsid w:val="00776F2E"/>
    <w:rsid w:val="00777899"/>
    <w:rsid w:val="00777965"/>
    <w:rsid w:val="007779F8"/>
    <w:rsid w:val="00777C76"/>
    <w:rsid w:val="00777E74"/>
    <w:rsid w:val="00777FB3"/>
    <w:rsid w:val="0078004B"/>
    <w:rsid w:val="0078012C"/>
    <w:rsid w:val="007802E7"/>
    <w:rsid w:val="007805BC"/>
    <w:rsid w:val="00780C74"/>
    <w:rsid w:val="00780DDB"/>
    <w:rsid w:val="007812C6"/>
    <w:rsid w:val="007813C8"/>
    <w:rsid w:val="00781A5C"/>
    <w:rsid w:val="00781ECE"/>
    <w:rsid w:val="00781F97"/>
    <w:rsid w:val="007820C8"/>
    <w:rsid w:val="007823C5"/>
    <w:rsid w:val="0078250C"/>
    <w:rsid w:val="0078264A"/>
    <w:rsid w:val="007826A9"/>
    <w:rsid w:val="007827C8"/>
    <w:rsid w:val="00782877"/>
    <w:rsid w:val="00782AD8"/>
    <w:rsid w:val="00782D30"/>
    <w:rsid w:val="00782E2D"/>
    <w:rsid w:val="00782F3A"/>
    <w:rsid w:val="007831FD"/>
    <w:rsid w:val="00783313"/>
    <w:rsid w:val="00783431"/>
    <w:rsid w:val="00783753"/>
    <w:rsid w:val="007838F9"/>
    <w:rsid w:val="00783B4E"/>
    <w:rsid w:val="00783C0A"/>
    <w:rsid w:val="00783D38"/>
    <w:rsid w:val="00783E04"/>
    <w:rsid w:val="00783E14"/>
    <w:rsid w:val="00783FCA"/>
    <w:rsid w:val="007842D1"/>
    <w:rsid w:val="00784421"/>
    <w:rsid w:val="00784792"/>
    <w:rsid w:val="00784AFE"/>
    <w:rsid w:val="00785146"/>
    <w:rsid w:val="0078527B"/>
    <w:rsid w:val="00785609"/>
    <w:rsid w:val="00785A5E"/>
    <w:rsid w:val="00785B4B"/>
    <w:rsid w:val="00785E3E"/>
    <w:rsid w:val="00785F92"/>
    <w:rsid w:val="007865AB"/>
    <w:rsid w:val="007869A5"/>
    <w:rsid w:val="00786BB7"/>
    <w:rsid w:val="00786C7D"/>
    <w:rsid w:val="00786D43"/>
    <w:rsid w:val="0078719E"/>
    <w:rsid w:val="0078731E"/>
    <w:rsid w:val="00787789"/>
    <w:rsid w:val="00787AD4"/>
    <w:rsid w:val="00787AE3"/>
    <w:rsid w:val="00787D02"/>
    <w:rsid w:val="00787DCB"/>
    <w:rsid w:val="00787F12"/>
    <w:rsid w:val="007901E0"/>
    <w:rsid w:val="007901E5"/>
    <w:rsid w:val="00790205"/>
    <w:rsid w:val="00790338"/>
    <w:rsid w:val="007905C5"/>
    <w:rsid w:val="007906B3"/>
    <w:rsid w:val="00790A49"/>
    <w:rsid w:val="00790A84"/>
    <w:rsid w:val="00790D3C"/>
    <w:rsid w:val="007910C4"/>
    <w:rsid w:val="007911A0"/>
    <w:rsid w:val="007913D3"/>
    <w:rsid w:val="00791414"/>
    <w:rsid w:val="0079186F"/>
    <w:rsid w:val="007919A6"/>
    <w:rsid w:val="00791D0C"/>
    <w:rsid w:val="00791DF5"/>
    <w:rsid w:val="00791EAB"/>
    <w:rsid w:val="007920B9"/>
    <w:rsid w:val="0079252C"/>
    <w:rsid w:val="00792578"/>
    <w:rsid w:val="00792826"/>
    <w:rsid w:val="00792861"/>
    <w:rsid w:val="00792884"/>
    <w:rsid w:val="00792A5A"/>
    <w:rsid w:val="00793267"/>
    <w:rsid w:val="007933CD"/>
    <w:rsid w:val="00793539"/>
    <w:rsid w:val="007937A7"/>
    <w:rsid w:val="00793998"/>
    <w:rsid w:val="00793D5D"/>
    <w:rsid w:val="00793EC6"/>
    <w:rsid w:val="0079412A"/>
    <w:rsid w:val="00794358"/>
    <w:rsid w:val="007945EE"/>
    <w:rsid w:val="007949E4"/>
    <w:rsid w:val="00794BB9"/>
    <w:rsid w:val="00794FDA"/>
    <w:rsid w:val="0079540B"/>
    <w:rsid w:val="00795662"/>
    <w:rsid w:val="007956C8"/>
    <w:rsid w:val="00795A59"/>
    <w:rsid w:val="00795A9D"/>
    <w:rsid w:val="00795B13"/>
    <w:rsid w:val="00795C0C"/>
    <w:rsid w:val="00795C3F"/>
    <w:rsid w:val="00795CB9"/>
    <w:rsid w:val="00795CD9"/>
    <w:rsid w:val="00795CE0"/>
    <w:rsid w:val="00795F2D"/>
    <w:rsid w:val="00796430"/>
    <w:rsid w:val="0079644A"/>
    <w:rsid w:val="00796CD3"/>
    <w:rsid w:val="00797029"/>
    <w:rsid w:val="007971A0"/>
    <w:rsid w:val="007975F6"/>
    <w:rsid w:val="00797672"/>
    <w:rsid w:val="00797860"/>
    <w:rsid w:val="00797865"/>
    <w:rsid w:val="007978D6"/>
    <w:rsid w:val="007979CD"/>
    <w:rsid w:val="00797C17"/>
    <w:rsid w:val="00797C79"/>
    <w:rsid w:val="00797F13"/>
    <w:rsid w:val="00797FB4"/>
    <w:rsid w:val="007A00A5"/>
    <w:rsid w:val="007A02B7"/>
    <w:rsid w:val="007A03F6"/>
    <w:rsid w:val="007A0892"/>
    <w:rsid w:val="007A08A2"/>
    <w:rsid w:val="007A0A12"/>
    <w:rsid w:val="007A0A34"/>
    <w:rsid w:val="007A1510"/>
    <w:rsid w:val="007A1612"/>
    <w:rsid w:val="007A1780"/>
    <w:rsid w:val="007A17E3"/>
    <w:rsid w:val="007A1E03"/>
    <w:rsid w:val="007A1FA2"/>
    <w:rsid w:val="007A213C"/>
    <w:rsid w:val="007A2524"/>
    <w:rsid w:val="007A2875"/>
    <w:rsid w:val="007A2A33"/>
    <w:rsid w:val="007A2BF6"/>
    <w:rsid w:val="007A2C07"/>
    <w:rsid w:val="007A2C18"/>
    <w:rsid w:val="007A2C2F"/>
    <w:rsid w:val="007A32EB"/>
    <w:rsid w:val="007A34A2"/>
    <w:rsid w:val="007A359A"/>
    <w:rsid w:val="007A3630"/>
    <w:rsid w:val="007A36BB"/>
    <w:rsid w:val="007A37BF"/>
    <w:rsid w:val="007A3D36"/>
    <w:rsid w:val="007A444B"/>
    <w:rsid w:val="007A44CF"/>
    <w:rsid w:val="007A4549"/>
    <w:rsid w:val="007A469A"/>
    <w:rsid w:val="007A48CB"/>
    <w:rsid w:val="007A494D"/>
    <w:rsid w:val="007A4A14"/>
    <w:rsid w:val="007A4A76"/>
    <w:rsid w:val="007A4A97"/>
    <w:rsid w:val="007A4FB0"/>
    <w:rsid w:val="007A5486"/>
    <w:rsid w:val="007A55B8"/>
    <w:rsid w:val="007A5650"/>
    <w:rsid w:val="007A5937"/>
    <w:rsid w:val="007A5A25"/>
    <w:rsid w:val="007A5B83"/>
    <w:rsid w:val="007A5B8F"/>
    <w:rsid w:val="007A5C43"/>
    <w:rsid w:val="007A5CFC"/>
    <w:rsid w:val="007A6679"/>
    <w:rsid w:val="007A66B6"/>
    <w:rsid w:val="007A66E7"/>
    <w:rsid w:val="007A6D2C"/>
    <w:rsid w:val="007A6E03"/>
    <w:rsid w:val="007A7298"/>
    <w:rsid w:val="007A7758"/>
    <w:rsid w:val="007A7D68"/>
    <w:rsid w:val="007A7F57"/>
    <w:rsid w:val="007B010C"/>
    <w:rsid w:val="007B0474"/>
    <w:rsid w:val="007B0948"/>
    <w:rsid w:val="007B0A8C"/>
    <w:rsid w:val="007B0C42"/>
    <w:rsid w:val="007B148F"/>
    <w:rsid w:val="007B1689"/>
    <w:rsid w:val="007B1921"/>
    <w:rsid w:val="007B1B73"/>
    <w:rsid w:val="007B1E7F"/>
    <w:rsid w:val="007B1FFE"/>
    <w:rsid w:val="007B2161"/>
    <w:rsid w:val="007B251D"/>
    <w:rsid w:val="007B2896"/>
    <w:rsid w:val="007B2954"/>
    <w:rsid w:val="007B2C64"/>
    <w:rsid w:val="007B2C6D"/>
    <w:rsid w:val="007B2CFF"/>
    <w:rsid w:val="007B331A"/>
    <w:rsid w:val="007B37F7"/>
    <w:rsid w:val="007B3941"/>
    <w:rsid w:val="007B3E69"/>
    <w:rsid w:val="007B4431"/>
    <w:rsid w:val="007B44D1"/>
    <w:rsid w:val="007B471E"/>
    <w:rsid w:val="007B47C2"/>
    <w:rsid w:val="007B4854"/>
    <w:rsid w:val="007B485B"/>
    <w:rsid w:val="007B4DEE"/>
    <w:rsid w:val="007B4E6B"/>
    <w:rsid w:val="007B5209"/>
    <w:rsid w:val="007B57C6"/>
    <w:rsid w:val="007B58DD"/>
    <w:rsid w:val="007B596A"/>
    <w:rsid w:val="007B5CDB"/>
    <w:rsid w:val="007B5CEE"/>
    <w:rsid w:val="007B5FDD"/>
    <w:rsid w:val="007B60B4"/>
    <w:rsid w:val="007B6119"/>
    <w:rsid w:val="007B63E4"/>
    <w:rsid w:val="007B66A0"/>
    <w:rsid w:val="007B67B4"/>
    <w:rsid w:val="007B6835"/>
    <w:rsid w:val="007B68DC"/>
    <w:rsid w:val="007B6B01"/>
    <w:rsid w:val="007B71D2"/>
    <w:rsid w:val="007B747C"/>
    <w:rsid w:val="007B77D1"/>
    <w:rsid w:val="007B7EBC"/>
    <w:rsid w:val="007B7FD9"/>
    <w:rsid w:val="007C03F9"/>
    <w:rsid w:val="007C0822"/>
    <w:rsid w:val="007C0B3A"/>
    <w:rsid w:val="007C0B8D"/>
    <w:rsid w:val="007C0BC9"/>
    <w:rsid w:val="007C0F42"/>
    <w:rsid w:val="007C1056"/>
    <w:rsid w:val="007C1168"/>
    <w:rsid w:val="007C11A1"/>
    <w:rsid w:val="007C177A"/>
    <w:rsid w:val="007C1995"/>
    <w:rsid w:val="007C19A0"/>
    <w:rsid w:val="007C1A93"/>
    <w:rsid w:val="007C1AD1"/>
    <w:rsid w:val="007C1C06"/>
    <w:rsid w:val="007C1DEB"/>
    <w:rsid w:val="007C249F"/>
    <w:rsid w:val="007C258F"/>
    <w:rsid w:val="007C262B"/>
    <w:rsid w:val="007C282E"/>
    <w:rsid w:val="007C2861"/>
    <w:rsid w:val="007C2884"/>
    <w:rsid w:val="007C2944"/>
    <w:rsid w:val="007C2D00"/>
    <w:rsid w:val="007C2F5A"/>
    <w:rsid w:val="007C302E"/>
    <w:rsid w:val="007C3088"/>
    <w:rsid w:val="007C3196"/>
    <w:rsid w:val="007C361D"/>
    <w:rsid w:val="007C3B9F"/>
    <w:rsid w:val="007C3C37"/>
    <w:rsid w:val="007C3D82"/>
    <w:rsid w:val="007C4B3D"/>
    <w:rsid w:val="007C5167"/>
    <w:rsid w:val="007C5168"/>
    <w:rsid w:val="007C5187"/>
    <w:rsid w:val="007C571B"/>
    <w:rsid w:val="007C5834"/>
    <w:rsid w:val="007C5884"/>
    <w:rsid w:val="007C58BF"/>
    <w:rsid w:val="007C5F67"/>
    <w:rsid w:val="007C5FB3"/>
    <w:rsid w:val="007C6D07"/>
    <w:rsid w:val="007C7017"/>
    <w:rsid w:val="007C717E"/>
    <w:rsid w:val="007C720B"/>
    <w:rsid w:val="007C73F1"/>
    <w:rsid w:val="007C748C"/>
    <w:rsid w:val="007D02BF"/>
    <w:rsid w:val="007D0458"/>
    <w:rsid w:val="007D05CB"/>
    <w:rsid w:val="007D05F4"/>
    <w:rsid w:val="007D0703"/>
    <w:rsid w:val="007D0856"/>
    <w:rsid w:val="007D0AE0"/>
    <w:rsid w:val="007D0AFF"/>
    <w:rsid w:val="007D0B38"/>
    <w:rsid w:val="007D0B80"/>
    <w:rsid w:val="007D0F97"/>
    <w:rsid w:val="007D1203"/>
    <w:rsid w:val="007D164C"/>
    <w:rsid w:val="007D1EC7"/>
    <w:rsid w:val="007D2179"/>
    <w:rsid w:val="007D2BF7"/>
    <w:rsid w:val="007D336E"/>
    <w:rsid w:val="007D363B"/>
    <w:rsid w:val="007D3838"/>
    <w:rsid w:val="007D3955"/>
    <w:rsid w:val="007D3B60"/>
    <w:rsid w:val="007D3C3D"/>
    <w:rsid w:val="007D47A9"/>
    <w:rsid w:val="007D4910"/>
    <w:rsid w:val="007D4C34"/>
    <w:rsid w:val="007D4DB0"/>
    <w:rsid w:val="007D4E83"/>
    <w:rsid w:val="007D56B2"/>
    <w:rsid w:val="007D57DA"/>
    <w:rsid w:val="007D5A94"/>
    <w:rsid w:val="007D5B01"/>
    <w:rsid w:val="007D5D50"/>
    <w:rsid w:val="007D5EA0"/>
    <w:rsid w:val="007D5F89"/>
    <w:rsid w:val="007D6043"/>
    <w:rsid w:val="007D604E"/>
    <w:rsid w:val="007D60AF"/>
    <w:rsid w:val="007D6330"/>
    <w:rsid w:val="007D65B1"/>
    <w:rsid w:val="007D6649"/>
    <w:rsid w:val="007D6755"/>
    <w:rsid w:val="007D6A42"/>
    <w:rsid w:val="007D6BD1"/>
    <w:rsid w:val="007D6BE9"/>
    <w:rsid w:val="007D6EA7"/>
    <w:rsid w:val="007D716C"/>
    <w:rsid w:val="007D7889"/>
    <w:rsid w:val="007D79F1"/>
    <w:rsid w:val="007D7A3F"/>
    <w:rsid w:val="007D7D86"/>
    <w:rsid w:val="007D7FDE"/>
    <w:rsid w:val="007E0515"/>
    <w:rsid w:val="007E0695"/>
    <w:rsid w:val="007E076D"/>
    <w:rsid w:val="007E09E5"/>
    <w:rsid w:val="007E09F9"/>
    <w:rsid w:val="007E0A01"/>
    <w:rsid w:val="007E0B87"/>
    <w:rsid w:val="007E0E97"/>
    <w:rsid w:val="007E0EC0"/>
    <w:rsid w:val="007E1070"/>
    <w:rsid w:val="007E1186"/>
    <w:rsid w:val="007E194A"/>
    <w:rsid w:val="007E1A75"/>
    <w:rsid w:val="007E1BDB"/>
    <w:rsid w:val="007E1E87"/>
    <w:rsid w:val="007E21E4"/>
    <w:rsid w:val="007E2460"/>
    <w:rsid w:val="007E25D9"/>
    <w:rsid w:val="007E286C"/>
    <w:rsid w:val="007E2EFC"/>
    <w:rsid w:val="007E31C6"/>
    <w:rsid w:val="007E3294"/>
    <w:rsid w:val="007E36A4"/>
    <w:rsid w:val="007E3E3A"/>
    <w:rsid w:val="007E3F90"/>
    <w:rsid w:val="007E3FA0"/>
    <w:rsid w:val="007E4023"/>
    <w:rsid w:val="007E43C2"/>
    <w:rsid w:val="007E5098"/>
    <w:rsid w:val="007E53C1"/>
    <w:rsid w:val="007E550E"/>
    <w:rsid w:val="007E55EA"/>
    <w:rsid w:val="007E5631"/>
    <w:rsid w:val="007E5726"/>
    <w:rsid w:val="007E5A6A"/>
    <w:rsid w:val="007E5A75"/>
    <w:rsid w:val="007E5B40"/>
    <w:rsid w:val="007E5D15"/>
    <w:rsid w:val="007E5E52"/>
    <w:rsid w:val="007E6204"/>
    <w:rsid w:val="007E63BC"/>
    <w:rsid w:val="007E6583"/>
    <w:rsid w:val="007E6608"/>
    <w:rsid w:val="007E6A7D"/>
    <w:rsid w:val="007E6BA7"/>
    <w:rsid w:val="007E6BE9"/>
    <w:rsid w:val="007E6C6C"/>
    <w:rsid w:val="007E6CE0"/>
    <w:rsid w:val="007E732F"/>
    <w:rsid w:val="007E7373"/>
    <w:rsid w:val="007E7473"/>
    <w:rsid w:val="007E7785"/>
    <w:rsid w:val="007E7A15"/>
    <w:rsid w:val="007E7AD3"/>
    <w:rsid w:val="007E7CB6"/>
    <w:rsid w:val="007E7DBD"/>
    <w:rsid w:val="007E7DD0"/>
    <w:rsid w:val="007E7F01"/>
    <w:rsid w:val="007F0086"/>
    <w:rsid w:val="007F02BB"/>
    <w:rsid w:val="007F05C7"/>
    <w:rsid w:val="007F0907"/>
    <w:rsid w:val="007F09F9"/>
    <w:rsid w:val="007F0C59"/>
    <w:rsid w:val="007F0DE5"/>
    <w:rsid w:val="007F0F72"/>
    <w:rsid w:val="007F1017"/>
    <w:rsid w:val="007F1228"/>
    <w:rsid w:val="007F1316"/>
    <w:rsid w:val="007F14AB"/>
    <w:rsid w:val="007F1934"/>
    <w:rsid w:val="007F1AA1"/>
    <w:rsid w:val="007F1DC3"/>
    <w:rsid w:val="007F1EAE"/>
    <w:rsid w:val="007F204B"/>
    <w:rsid w:val="007F20D9"/>
    <w:rsid w:val="007F224E"/>
    <w:rsid w:val="007F233D"/>
    <w:rsid w:val="007F2372"/>
    <w:rsid w:val="007F2590"/>
    <w:rsid w:val="007F29AD"/>
    <w:rsid w:val="007F2A53"/>
    <w:rsid w:val="007F2E97"/>
    <w:rsid w:val="007F2F87"/>
    <w:rsid w:val="007F31F2"/>
    <w:rsid w:val="007F3472"/>
    <w:rsid w:val="007F34DC"/>
    <w:rsid w:val="007F3672"/>
    <w:rsid w:val="007F3F38"/>
    <w:rsid w:val="007F40F9"/>
    <w:rsid w:val="007F4354"/>
    <w:rsid w:val="007F43CF"/>
    <w:rsid w:val="007F463E"/>
    <w:rsid w:val="007F4811"/>
    <w:rsid w:val="007F4A3F"/>
    <w:rsid w:val="007F4D89"/>
    <w:rsid w:val="007F4F67"/>
    <w:rsid w:val="007F4FFB"/>
    <w:rsid w:val="007F536C"/>
    <w:rsid w:val="007F54EA"/>
    <w:rsid w:val="007F5A1F"/>
    <w:rsid w:val="007F5A9E"/>
    <w:rsid w:val="007F5C3C"/>
    <w:rsid w:val="007F5DC2"/>
    <w:rsid w:val="007F6183"/>
    <w:rsid w:val="007F6242"/>
    <w:rsid w:val="007F64C1"/>
    <w:rsid w:val="007F65CE"/>
    <w:rsid w:val="007F6675"/>
    <w:rsid w:val="007F67B5"/>
    <w:rsid w:val="007F699D"/>
    <w:rsid w:val="007F7118"/>
    <w:rsid w:val="007F718A"/>
    <w:rsid w:val="007F73EC"/>
    <w:rsid w:val="007F7728"/>
    <w:rsid w:val="007F7BA5"/>
    <w:rsid w:val="007F7BDA"/>
    <w:rsid w:val="008003FD"/>
    <w:rsid w:val="008005EA"/>
    <w:rsid w:val="00800693"/>
    <w:rsid w:val="00800EB9"/>
    <w:rsid w:val="00800EE2"/>
    <w:rsid w:val="00801126"/>
    <w:rsid w:val="0080126C"/>
    <w:rsid w:val="00801604"/>
    <w:rsid w:val="0080170A"/>
    <w:rsid w:val="00801866"/>
    <w:rsid w:val="00801892"/>
    <w:rsid w:val="00801B8A"/>
    <w:rsid w:val="00801CA7"/>
    <w:rsid w:val="00801D3F"/>
    <w:rsid w:val="00801F97"/>
    <w:rsid w:val="008022AF"/>
    <w:rsid w:val="00802396"/>
    <w:rsid w:val="008023E4"/>
    <w:rsid w:val="00802575"/>
    <w:rsid w:val="00802798"/>
    <w:rsid w:val="00803358"/>
    <w:rsid w:val="008033B6"/>
    <w:rsid w:val="00803668"/>
    <w:rsid w:val="0080384B"/>
    <w:rsid w:val="008039FB"/>
    <w:rsid w:val="00803D56"/>
    <w:rsid w:val="00803D77"/>
    <w:rsid w:val="00804085"/>
    <w:rsid w:val="00804092"/>
    <w:rsid w:val="008046D7"/>
    <w:rsid w:val="0080491E"/>
    <w:rsid w:val="00804A0E"/>
    <w:rsid w:val="00804AD5"/>
    <w:rsid w:val="00804D6E"/>
    <w:rsid w:val="00804D72"/>
    <w:rsid w:val="00805142"/>
    <w:rsid w:val="00805400"/>
    <w:rsid w:val="00805405"/>
    <w:rsid w:val="008054E9"/>
    <w:rsid w:val="0080566E"/>
    <w:rsid w:val="008059CE"/>
    <w:rsid w:val="00805E73"/>
    <w:rsid w:val="00805F8D"/>
    <w:rsid w:val="00806005"/>
    <w:rsid w:val="00806063"/>
    <w:rsid w:val="008060C0"/>
    <w:rsid w:val="008060CB"/>
    <w:rsid w:val="008069C7"/>
    <w:rsid w:val="00806D80"/>
    <w:rsid w:val="00807274"/>
    <w:rsid w:val="008072E2"/>
    <w:rsid w:val="008073FE"/>
    <w:rsid w:val="00807423"/>
    <w:rsid w:val="00807971"/>
    <w:rsid w:val="00807991"/>
    <w:rsid w:val="008079F5"/>
    <w:rsid w:val="00807A8B"/>
    <w:rsid w:val="00807A90"/>
    <w:rsid w:val="00807BD2"/>
    <w:rsid w:val="00807DC6"/>
    <w:rsid w:val="00807E28"/>
    <w:rsid w:val="0081009F"/>
    <w:rsid w:val="0081032C"/>
    <w:rsid w:val="0081033B"/>
    <w:rsid w:val="008103C4"/>
    <w:rsid w:val="00810761"/>
    <w:rsid w:val="008109A8"/>
    <w:rsid w:val="00810A75"/>
    <w:rsid w:val="008110D2"/>
    <w:rsid w:val="0081137D"/>
    <w:rsid w:val="008117C1"/>
    <w:rsid w:val="00811E47"/>
    <w:rsid w:val="00812149"/>
    <w:rsid w:val="0081239D"/>
    <w:rsid w:val="00812506"/>
    <w:rsid w:val="0081253C"/>
    <w:rsid w:val="00812953"/>
    <w:rsid w:val="00812B04"/>
    <w:rsid w:val="0081324D"/>
    <w:rsid w:val="00813404"/>
    <w:rsid w:val="0081355B"/>
    <w:rsid w:val="0081382D"/>
    <w:rsid w:val="0081393D"/>
    <w:rsid w:val="00813AB2"/>
    <w:rsid w:val="00813BA2"/>
    <w:rsid w:val="00813C35"/>
    <w:rsid w:val="00813D96"/>
    <w:rsid w:val="0081400A"/>
    <w:rsid w:val="008141F1"/>
    <w:rsid w:val="00814725"/>
    <w:rsid w:val="00814747"/>
    <w:rsid w:val="008147A5"/>
    <w:rsid w:val="00814853"/>
    <w:rsid w:val="008149DA"/>
    <w:rsid w:val="008149DF"/>
    <w:rsid w:val="00814A05"/>
    <w:rsid w:val="00814E01"/>
    <w:rsid w:val="00814E75"/>
    <w:rsid w:val="00814F2C"/>
    <w:rsid w:val="00815053"/>
    <w:rsid w:val="008151C5"/>
    <w:rsid w:val="0081520B"/>
    <w:rsid w:val="00815499"/>
    <w:rsid w:val="00815528"/>
    <w:rsid w:val="008155D5"/>
    <w:rsid w:val="00815937"/>
    <w:rsid w:val="00815951"/>
    <w:rsid w:val="00815AFD"/>
    <w:rsid w:val="00815C4F"/>
    <w:rsid w:val="00815C9C"/>
    <w:rsid w:val="00815E4C"/>
    <w:rsid w:val="00815E80"/>
    <w:rsid w:val="00815EB9"/>
    <w:rsid w:val="008166EF"/>
    <w:rsid w:val="00816A2F"/>
    <w:rsid w:val="00816B7C"/>
    <w:rsid w:val="00816C71"/>
    <w:rsid w:val="00816E12"/>
    <w:rsid w:val="0081705F"/>
    <w:rsid w:val="0081730C"/>
    <w:rsid w:val="00817921"/>
    <w:rsid w:val="00817BF3"/>
    <w:rsid w:val="00817C12"/>
    <w:rsid w:val="00817CFF"/>
    <w:rsid w:val="00817DFE"/>
    <w:rsid w:val="00817F7C"/>
    <w:rsid w:val="00820770"/>
    <w:rsid w:val="00821637"/>
    <w:rsid w:val="0082190E"/>
    <w:rsid w:val="0082191F"/>
    <w:rsid w:val="008219AF"/>
    <w:rsid w:val="00822054"/>
    <w:rsid w:val="008221A4"/>
    <w:rsid w:val="008221B0"/>
    <w:rsid w:val="008225E1"/>
    <w:rsid w:val="008228DD"/>
    <w:rsid w:val="00822A1C"/>
    <w:rsid w:val="008231CB"/>
    <w:rsid w:val="00823271"/>
    <w:rsid w:val="00823367"/>
    <w:rsid w:val="0082340E"/>
    <w:rsid w:val="00823491"/>
    <w:rsid w:val="008236EB"/>
    <w:rsid w:val="008237C7"/>
    <w:rsid w:val="00823875"/>
    <w:rsid w:val="00823A64"/>
    <w:rsid w:val="00823D55"/>
    <w:rsid w:val="00824158"/>
    <w:rsid w:val="008241F3"/>
    <w:rsid w:val="00824547"/>
    <w:rsid w:val="00824568"/>
    <w:rsid w:val="0082468E"/>
    <w:rsid w:val="00824753"/>
    <w:rsid w:val="00824975"/>
    <w:rsid w:val="00824B30"/>
    <w:rsid w:val="00824CB2"/>
    <w:rsid w:val="00824CCF"/>
    <w:rsid w:val="0082535E"/>
    <w:rsid w:val="0082556D"/>
    <w:rsid w:val="0082576C"/>
    <w:rsid w:val="00825BD3"/>
    <w:rsid w:val="00825CF1"/>
    <w:rsid w:val="00825E16"/>
    <w:rsid w:val="00825E9A"/>
    <w:rsid w:val="00825FAD"/>
    <w:rsid w:val="008261EA"/>
    <w:rsid w:val="00826400"/>
    <w:rsid w:val="00826442"/>
    <w:rsid w:val="00826459"/>
    <w:rsid w:val="008264EB"/>
    <w:rsid w:val="00826615"/>
    <w:rsid w:val="0082670E"/>
    <w:rsid w:val="0082694A"/>
    <w:rsid w:val="00826C77"/>
    <w:rsid w:val="00826CB0"/>
    <w:rsid w:val="00826DD7"/>
    <w:rsid w:val="00826E9A"/>
    <w:rsid w:val="00827399"/>
    <w:rsid w:val="00827521"/>
    <w:rsid w:val="00827597"/>
    <w:rsid w:val="008276C9"/>
    <w:rsid w:val="008277C7"/>
    <w:rsid w:val="00827C1E"/>
    <w:rsid w:val="00827C60"/>
    <w:rsid w:val="00827C90"/>
    <w:rsid w:val="00827DCF"/>
    <w:rsid w:val="00827F4F"/>
    <w:rsid w:val="008304D8"/>
    <w:rsid w:val="00830560"/>
    <w:rsid w:val="00830852"/>
    <w:rsid w:val="00830969"/>
    <w:rsid w:val="00830E3B"/>
    <w:rsid w:val="008310A4"/>
    <w:rsid w:val="00831361"/>
    <w:rsid w:val="00831368"/>
    <w:rsid w:val="0083138F"/>
    <w:rsid w:val="0083187F"/>
    <w:rsid w:val="0083190D"/>
    <w:rsid w:val="00831A2D"/>
    <w:rsid w:val="00831D58"/>
    <w:rsid w:val="00831E3F"/>
    <w:rsid w:val="008320F9"/>
    <w:rsid w:val="008324C3"/>
    <w:rsid w:val="008328FB"/>
    <w:rsid w:val="008329E6"/>
    <w:rsid w:val="008334AB"/>
    <w:rsid w:val="008334BA"/>
    <w:rsid w:val="008334F7"/>
    <w:rsid w:val="0083352D"/>
    <w:rsid w:val="00833542"/>
    <w:rsid w:val="008337F1"/>
    <w:rsid w:val="00833B05"/>
    <w:rsid w:val="00833B47"/>
    <w:rsid w:val="00833E79"/>
    <w:rsid w:val="008340F2"/>
    <w:rsid w:val="008342FD"/>
    <w:rsid w:val="00834395"/>
    <w:rsid w:val="008346F3"/>
    <w:rsid w:val="00834A29"/>
    <w:rsid w:val="00834B0B"/>
    <w:rsid w:val="00834DD0"/>
    <w:rsid w:val="00834E69"/>
    <w:rsid w:val="008350A7"/>
    <w:rsid w:val="00835370"/>
    <w:rsid w:val="0083537E"/>
    <w:rsid w:val="00835622"/>
    <w:rsid w:val="00835796"/>
    <w:rsid w:val="00835962"/>
    <w:rsid w:val="00835C65"/>
    <w:rsid w:val="00835C8F"/>
    <w:rsid w:val="00835FDF"/>
    <w:rsid w:val="008368C0"/>
    <w:rsid w:val="00836AFC"/>
    <w:rsid w:val="00836BB3"/>
    <w:rsid w:val="00836C07"/>
    <w:rsid w:val="00836C55"/>
    <w:rsid w:val="00836EE6"/>
    <w:rsid w:val="00836F8E"/>
    <w:rsid w:val="0083709E"/>
    <w:rsid w:val="00837153"/>
    <w:rsid w:val="008374BA"/>
    <w:rsid w:val="008375E7"/>
    <w:rsid w:val="008376D0"/>
    <w:rsid w:val="00837722"/>
    <w:rsid w:val="008377AE"/>
    <w:rsid w:val="008379AF"/>
    <w:rsid w:val="00837ACA"/>
    <w:rsid w:val="00837C4B"/>
    <w:rsid w:val="00840185"/>
    <w:rsid w:val="0084024D"/>
    <w:rsid w:val="008402BC"/>
    <w:rsid w:val="0084097D"/>
    <w:rsid w:val="00840A1E"/>
    <w:rsid w:val="00840C69"/>
    <w:rsid w:val="00840CA2"/>
    <w:rsid w:val="00840D43"/>
    <w:rsid w:val="00840F61"/>
    <w:rsid w:val="00841039"/>
    <w:rsid w:val="0084103E"/>
    <w:rsid w:val="008411BF"/>
    <w:rsid w:val="00841674"/>
    <w:rsid w:val="0084170A"/>
    <w:rsid w:val="00841A93"/>
    <w:rsid w:val="00841B7B"/>
    <w:rsid w:val="00841B9E"/>
    <w:rsid w:val="00841BB7"/>
    <w:rsid w:val="00841D0C"/>
    <w:rsid w:val="00841EC1"/>
    <w:rsid w:val="0084205A"/>
    <w:rsid w:val="00842346"/>
    <w:rsid w:val="00842370"/>
    <w:rsid w:val="0084243A"/>
    <w:rsid w:val="00842C91"/>
    <w:rsid w:val="00842DCB"/>
    <w:rsid w:val="008430FE"/>
    <w:rsid w:val="008431FB"/>
    <w:rsid w:val="0084343A"/>
    <w:rsid w:val="0084358A"/>
    <w:rsid w:val="008435B3"/>
    <w:rsid w:val="008435F2"/>
    <w:rsid w:val="008438B2"/>
    <w:rsid w:val="008439FE"/>
    <w:rsid w:val="00843A3F"/>
    <w:rsid w:val="00843AAE"/>
    <w:rsid w:val="00843B01"/>
    <w:rsid w:val="00843C87"/>
    <w:rsid w:val="00843CFC"/>
    <w:rsid w:val="00843F0C"/>
    <w:rsid w:val="00843F68"/>
    <w:rsid w:val="008441A6"/>
    <w:rsid w:val="008441AF"/>
    <w:rsid w:val="00844302"/>
    <w:rsid w:val="00844737"/>
    <w:rsid w:val="008447AD"/>
    <w:rsid w:val="00844B67"/>
    <w:rsid w:val="00844DE0"/>
    <w:rsid w:val="00844F2A"/>
    <w:rsid w:val="00845214"/>
    <w:rsid w:val="0084523A"/>
    <w:rsid w:val="0084525A"/>
    <w:rsid w:val="008456C1"/>
    <w:rsid w:val="0084573E"/>
    <w:rsid w:val="00845829"/>
    <w:rsid w:val="00845EF1"/>
    <w:rsid w:val="0084611D"/>
    <w:rsid w:val="008463B8"/>
    <w:rsid w:val="00846A0D"/>
    <w:rsid w:val="00846DF5"/>
    <w:rsid w:val="00847050"/>
    <w:rsid w:val="00847374"/>
    <w:rsid w:val="0084741D"/>
    <w:rsid w:val="00847806"/>
    <w:rsid w:val="0084787F"/>
    <w:rsid w:val="00847978"/>
    <w:rsid w:val="00847AFB"/>
    <w:rsid w:val="00847D8C"/>
    <w:rsid w:val="00847E73"/>
    <w:rsid w:val="00847FFB"/>
    <w:rsid w:val="008500CD"/>
    <w:rsid w:val="00850306"/>
    <w:rsid w:val="00850622"/>
    <w:rsid w:val="00851003"/>
    <w:rsid w:val="008510F0"/>
    <w:rsid w:val="008512EF"/>
    <w:rsid w:val="008518E8"/>
    <w:rsid w:val="00851E09"/>
    <w:rsid w:val="00852342"/>
    <w:rsid w:val="00852BE2"/>
    <w:rsid w:val="00853131"/>
    <w:rsid w:val="0085342D"/>
    <w:rsid w:val="00853552"/>
    <w:rsid w:val="00853618"/>
    <w:rsid w:val="00853798"/>
    <w:rsid w:val="00853871"/>
    <w:rsid w:val="00853C15"/>
    <w:rsid w:val="00853C45"/>
    <w:rsid w:val="00853DAD"/>
    <w:rsid w:val="00853EA5"/>
    <w:rsid w:val="00854247"/>
    <w:rsid w:val="008545FF"/>
    <w:rsid w:val="00854885"/>
    <w:rsid w:val="0085488F"/>
    <w:rsid w:val="00854B85"/>
    <w:rsid w:val="00854BB1"/>
    <w:rsid w:val="00854E65"/>
    <w:rsid w:val="0085504E"/>
    <w:rsid w:val="00855185"/>
    <w:rsid w:val="008555B8"/>
    <w:rsid w:val="008555E3"/>
    <w:rsid w:val="008558B1"/>
    <w:rsid w:val="008559B8"/>
    <w:rsid w:val="00855A2A"/>
    <w:rsid w:val="00855E3D"/>
    <w:rsid w:val="00856233"/>
    <w:rsid w:val="0085667B"/>
    <w:rsid w:val="00856947"/>
    <w:rsid w:val="00856960"/>
    <w:rsid w:val="008569D1"/>
    <w:rsid w:val="00856A62"/>
    <w:rsid w:val="00856BF5"/>
    <w:rsid w:val="00856C8E"/>
    <w:rsid w:val="00856E9A"/>
    <w:rsid w:val="008570AF"/>
    <w:rsid w:val="008570BE"/>
    <w:rsid w:val="008572EA"/>
    <w:rsid w:val="008572EC"/>
    <w:rsid w:val="0085752B"/>
    <w:rsid w:val="00857C42"/>
    <w:rsid w:val="00857DF2"/>
    <w:rsid w:val="00860029"/>
    <w:rsid w:val="00860483"/>
    <w:rsid w:val="008609FE"/>
    <w:rsid w:val="00860A21"/>
    <w:rsid w:val="00860BA5"/>
    <w:rsid w:val="00860C93"/>
    <w:rsid w:val="00860CF7"/>
    <w:rsid w:val="00860E71"/>
    <w:rsid w:val="00860EC1"/>
    <w:rsid w:val="00860FC3"/>
    <w:rsid w:val="008610C0"/>
    <w:rsid w:val="00861332"/>
    <w:rsid w:val="00861364"/>
    <w:rsid w:val="00861395"/>
    <w:rsid w:val="008613B9"/>
    <w:rsid w:val="00861641"/>
    <w:rsid w:val="00861875"/>
    <w:rsid w:val="00861A54"/>
    <w:rsid w:val="00861A98"/>
    <w:rsid w:val="00861AB6"/>
    <w:rsid w:val="00861B3E"/>
    <w:rsid w:val="00861CC4"/>
    <w:rsid w:val="00861D1C"/>
    <w:rsid w:val="00861D4D"/>
    <w:rsid w:val="00861DB8"/>
    <w:rsid w:val="00861E27"/>
    <w:rsid w:val="00861ECC"/>
    <w:rsid w:val="008620B2"/>
    <w:rsid w:val="00862200"/>
    <w:rsid w:val="00862502"/>
    <w:rsid w:val="0086257B"/>
    <w:rsid w:val="00862919"/>
    <w:rsid w:val="00862A05"/>
    <w:rsid w:val="00862CE8"/>
    <w:rsid w:val="00862F93"/>
    <w:rsid w:val="008634CF"/>
    <w:rsid w:val="00863585"/>
    <w:rsid w:val="00863644"/>
    <w:rsid w:val="008636E8"/>
    <w:rsid w:val="00863A56"/>
    <w:rsid w:val="00863B90"/>
    <w:rsid w:val="00863ED4"/>
    <w:rsid w:val="00864648"/>
    <w:rsid w:val="008646CC"/>
    <w:rsid w:val="00864936"/>
    <w:rsid w:val="00864A99"/>
    <w:rsid w:val="00864CDF"/>
    <w:rsid w:val="00864F66"/>
    <w:rsid w:val="008652D9"/>
    <w:rsid w:val="0086537F"/>
    <w:rsid w:val="00865467"/>
    <w:rsid w:val="00865950"/>
    <w:rsid w:val="00865E08"/>
    <w:rsid w:val="00865E68"/>
    <w:rsid w:val="008665CF"/>
    <w:rsid w:val="008666BD"/>
    <w:rsid w:val="0086696F"/>
    <w:rsid w:val="00866D97"/>
    <w:rsid w:val="00866DC6"/>
    <w:rsid w:val="008672DA"/>
    <w:rsid w:val="0086755C"/>
    <w:rsid w:val="008676B9"/>
    <w:rsid w:val="0086776C"/>
    <w:rsid w:val="00867AF9"/>
    <w:rsid w:val="00867B3B"/>
    <w:rsid w:val="00867C54"/>
    <w:rsid w:val="00867D27"/>
    <w:rsid w:val="00867F94"/>
    <w:rsid w:val="0087013F"/>
    <w:rsid w:val="008702D9"/>
    <w:rsid w:val="00870420"/>
    <w:rsid w:val="0087045B"/>
    <w:rsid w:val="00870A92"/>
    <w:rsid w:val="00870C18"/>
    <w:rsid w:val="00870C5D"/>
    <w:rsid w:val="00870EC7"/>
    <w:rsid w:val="00870EF1"/>
    <w:rsid w:val="0087105D"/>
    <w:rsid w:val="008713F7"/>
    <w:rsid w:val="00871742"/>
    <w:rsid w:val="00871804"/>
    <w:rsid w:val="00871A71"/>
    <w:rsid w:val="00871B55"/>
    <w:rsid w:val="00871DDF"/>
    <w:rsid w:val="00871E23"/>
    <w:rsid w:val="00871F19"/>
    <w:rsid w:val="00872155"/>
    <w:rsid w:val="008724C5"/>
    <w:rsid w:val="0087276D"/>
    <w:rsid w:val="008727D4"/>
    <w:rsid w:val="00872862"/>
    <w:rsid w:val="0087289B"/>
    <w:rsid w:val="00872AFD"/>
    <w:rsid w:val="00872BFE"/>
    <w:rsid w:val="00872D72"/>
    <w:rsid w:val="00872F68"/>
    <w:rsid w:val="00873539"/>
    <w:rsid w:val="0087353A"/>
    <w:rsid w:val="00873B21"/>
    <w:rsid w:val="00873DBA"/>
    <w:rsid w:val="00873E31"/>
    <w:rsid w:val="00874056"/>
    <w:rsid w:val="008740F6"/>
    <w:rsid w:val="00874194"/>
    <w:rsid w:val="008742F9"/>
    <w:rsid w:val="008744C0"/>
    <w:rsid w:val="008744DD"/>
    <w:rsid w:val="00874E27"/>
    <w:rsid w:val="008751E6"/>
    <w:rsid w:val="0087542E"/>
    <w:rsid w:val="00875451"/>
    <w:rsid w:val="00875A01"/>
    <w:rsid w:val="008760A5"/>
    <w:rsid w:val="0087617C"/>
    <w:rsid w:val="008761B9"/>
    <w:rsid w:val="00876331"/>
    <w:rsid w:val="0087653E"/>
    <w:rsid w:val="0087663F"/>
    <w:rsid w:val="0087672C"/>
    <w:rsid w:val="00876850"/>
    <w:rsid w:val="00876B52"/>
    <w:rsid w:val="00876EAF"/>
    <w:rsid w:val="008770ED"/>
    <w:rsid w:val="00877631"/>
    <w:rsid w:val="00877919"/>
    <w:rsid w:val="00877F1F"/>
    <w:rsid w:val="008801A8"/>
    <w:rsid w:val="0088023D"/>
    <w:rsid w:val="00880303"/>
    <w:rsid w:val="0088038C"/>
    <w:rsid w:val="0088072D"/>
    <w:rsid w:val="00880D20"/>
    <w:rsid w:val="00881192"/>
    <w:rsid w:val="008811DA"/>
    <w:rsid w:val="00881226"/>
    <w:rsid w:val="008812C0"/>
    <w:rsid w:val="008814C3"/>
    <w:rsid w:val="00881562"/>
    <w:rsid w:val="00881A63"/>
    <w:rsid w:val="00881E38"/>
    <w:rsid w:val="00881E65"/>
    <w:rsid w:val="00881F78"/>
    <w:rsid w:val="00882076"/>
    <w:rsid w:val="008821F5"/>
    <w:rsid w:val="00882461"/>
    <w:rsid w:val="0088263F"/>
    <w:rsid w:val="00882768"/>
    <w:rsid w:val="0088278A"/>
    <w:rsid w:val="008827AA"/>
    <w:rsid w:val="00882874"/>
    <w:rsid w:val="00882928"/>
    <w:rsid w:val="0088292A"/>
    <w:rsid w:val="00882B69"/>
    <w:rsid w:val="00882BE2"/>
    <w:rsid w:val="00882D8C"/>
    <w:rsid w:val="0088349C"/>
    <w:rsid w:val="00883559"/>
    <w:rsid w:val="00883787"/>
    <w:rsid w:val="00883893"/>
    <w:rsid w:val="00883E83"/>
    <w:rsid w:val="00883F6A"/>
    <w:rsid w:val="00884D69"/>
    <w:rsid w:val="00884FAB"/>
    <w:rsid w:val="0088519D"/>
    <w:rsid w:val="008853D4"/>
    <w:rsid w:val="00885524"/>
    <w:rsid w:val="00885526"/>
    <w:rsid w:val="008855DB"/>
    <w:rsid w:val="00885924"/>
    <w:rsid w:val="00885947"/>
    <w:rsid w:val="00885BEB"/>
    <w:rsid w:val="00885C50"/>
    <w:rsid w:val="00885C8A"/>
    <w:rsid w:val="00885EB0"/>
    <w:rsid w:val="00885EE2"/>
    <w:rsid w:val="00886195"/>
    <w:rsid w:val="008862E8"/>
    <w:rsid w:val="00886563"/>
    <w:rsid w:val="00886579"/>
    <w:rsid w:val="00886B92"/>
    <w:rsid w:val="00886BEE"/>
    <w:rsid w:val="00886C48"/>
    <w:rsid w:val="0088715C"/>
    <w:rsid w:val="00887194"/>
    <w:rsid w:val="0088724C"/>
    <w:rsid w:val="00887260"/>
    <w:rsid w:val="00887427"/>
    <w:rsid w:val="00887782"/>
    <w:rsid w:val="008877EB"/>
    <w:rsid w:val="00890028"/>
    <w:rsid w:val="0089075E"/>
    <w:rsid w:val="00890818"/>
    <w:rsid w:val="0089082E"/>
    <w:rsid w:val="008908E4"/>
    <w:rsid w:val="00890A0A"/>
    <w:rsid w:val="00891056"/>
    <w:rsid w:val="008912B1"/>
    <w:rsid w:val="00891494"/>
    <w:rsid w:val="008917D5"/>
    <w:rsid w:val="008918C3"/>
    <w:rsid w:val="008919E5"/>
    <w:rsid w:val="00891C53"/>
    <w:rsid w:val="00891FCE"/>
    <w:rsid w:val="00892667"/>
    <w:rsid w:val="0089266F"/>
    <w:rsid w:val="008927BB"/>
    <w:rsid w:val="008930D5"/>
    <w:rsid w:val="008934D3"/>
    <w:rsid w:val="00893B9F"/>
    <w:rsid w:val="00893E8E"/>
    <w:rsid w:val="00893F8A"/>
    <w:rsid w:val="00894297"/>
    <w:rsid w:val="00894346"/>
    <w:rsid w:val="00894489"/>
    <w:rsid w:val="00894568"/>
    <w:rsid w:val="00894966"/>
    <w:rsid w:val="008950DE"/>
    <w:rsid w:val="00895436"/>
    <w:rsid w:val="00895C86"/>
    <w:rsid w:val="00895DFA"/>
    <w:rsid w:val="00895F6D"/>
    <w:rsid w:val="008963A5"/>
    <w:rsid w:val="008966CA"/>
    <w:rsid w:val="00896899"/>
    <w:rsid w:val="008969EB"/>
    <w:rsid w:val="00896D2F"/>
    <w:rsid w:val="00897017"/>
    <w:rsid w:val="008973BF"/>
    <w:rsid w:val="008975E5"/>
    <w:rsid w:val="00897A47"/>
    <w:rsid w:val="00897CF7"/>
    <w:rsid w:val="00897EB9"/>
    <w:rsid w:val="00897F39"/>
    <w:rsid w:val="008A036C"/>
    <w:rsid w:val="008A04E4"/>
    <w:rsid w:val="008A0552"/>
    <w:rsid w:val="008A0644"/>
    <w:rsid w:val="008A06FC"/>
    <w:rsid w:val="008A0A10"/>
    <w:rsid w:val="008A0A2A"/>
    <w:rsid w:val="008A0B10"/>
    <w:rsid w:val="008A141E"/>
    <w:rsid w:val="008A146A"/>
    <w:rsid w:val="008A15AA"/>
    <w:rsid w:val="008A15E7"/>
    <w:rsid w:val="008A184C"/>
    <w:rsid w:val="008A1B60"/>
    <w:rsid w:val="008A1C1E"/>
    <w:rsid w:val="008A1F31"/>
    <w:rsid w:val="008A274F"/>
    <w:rsid w:val="008A29CA"/>
    <w:rsid w:val="008A2D9B"/>
    <w:rsid w:val="008A2EA4"/>
    <w:rsid w:val="008A32C6"/>
    <w:rsid w:val="008A3309"/>
    <w:rsid w:val="008A33DD"/>
    <w:rsid w:val="008A3403"/>
    <w:rsid w:val="008A3444"/>
    <w:rsid w:val="008A3635"/>
    <w:rsid w:val="008A3718"/>
    <w:rsid w:val="008A3863"/>
    <w:rsid w:val="008A3B20"/>
    <w:rsid w:val="008A3C3E"/>
    <w:rsid w:val="008A3C60"/>
    <w:rsid w:val="008A4690"/>
    <w:rsid w:val="008A4741"/>
    <w:rsid w:val="008A4836"/>
    <w:rsid w:val="008A4944"/>
    <w:rsid w:val="008A4A9E"/>
    <w:rsid w:val="008A4D7C"/>
    <w:rsid w:val="008A4FA2"/>
    <w:rsid w:val="008A4FB7"/>
    <w:rsid w:val="008A5061"/>
    <w:rsid w:val="008A5FE3"/>
    <w:rsid w:val="008A60E9"/>
    <w:rsid w:val="008A629E"/>
    <w:rsid w:val="008A6385"/>
    <w:rsid w:val="008A639E"/>
    <w:rsid w:val="008A65B4"/>
    <w:rsid w:val="008A66D0"/>
    <w:rsid w:val="008A6A85"/>
    <w:rsid w:val="008A6B1D"/>
    <w:rsid w:val="008A6C06"/>
    <w:rsid w:val="008A6F2D"/>
    <w:rsid w:val="008A711E"/>
    <w:rsid w:val="008A73FB"/>
    <w:rsid w:val="008A7786"/>
    <w:rsid w:val="008A7805"/>
    <w:rsid w:val="008A79DE"/>
    <w:rsid w:val="008A7B9C"/>
    <w:rsid w:val="008A7BB7"/>
    <w:rsid w:val="008A7E47"/>
    <w:rsid w:val="008B00D0"/>
    <w:rsid w:val="008B029E"/>
    <w:rsid w:val="008B0378"/>
    <w:rsid w:val="008B03D3"/>
    <w:rsid w:val="008B0853"/>
    <w:rsid w:val="008B09EC"/>
    <w:rsid w:val="008B0AAC"/>
    <w:rsid w:val="008B0DF6"/>
    <w:rsid w:val="008B1262"/>
    <w:rsid w:val="008B12B1"/>
    <w:rsid w:val="008B1566"/>
    <w:rsid w:val="008B1C09"/>
    <w:rsid w:val="008B2566"/>
    <w:rsid w:val="008B28A8"/>
    <w:rsid w:val="008B29E0"/>
    <w:rsid w:val="008B2EA1"/>
    <w:rsid w:val="008B3194"/>
    <w:rsid w:val="008B3466"/>
    <w:rsid w:val="008B3827"/>
    <w:rsid w:val="008B386A"/>
    <w:rsid w:val="008B3A98"/>
    <w:rsid w:val="008B3BB8"/>
    <w:rsid w:val="008B3EA1"/>
    <w:rsid w:val="008B414B"/>
    <w:rsid w:val="008B4921"/>
    <w:rsid w:val="008B4A5D"/>
    <w:rsid w:val="008B4A77"/>
    <w:rsid w:val="008B4F5D"/>
    <w:rsid w:val="008B4F77"/>
    <w:rsid w:val="008B5110"/>
    <w:rsid w:val="008B55D5"/>
    <w:rsid w:val="008B5793"/>
    <w:rsid w:val="008B5A5C"/>
    <w:rsid w:val="008B5C06"/>
    <w:rsid w:val="008B5C1E"/>
    <w:rsid w:val="008B5D38"/>
    <w:rsid w:val="008B5D46"/>
    <w:rsid w:val="008B5E48"/>
    <w:rsid w:val="008B5F68"/>
    <w:rsid w:val="008B622A"/>
    <w:rsid w:val="008B650D"/>
    <w:rsid w:val="008B6607"/>
    <w:rsid w:val="008B676C"/>
    <w:rsid w:val="008B68A4"/>
    <w:rsid w:val="008B68E5"/>
    <w:rsid w:val="008B6D62"/>
    <w:rsid w:val="008B6FE8"/>
    <w:rsid w:val="008B7110"/>
    <w:rsid w:val="008B7478"/>
    <w:rsid w:val="008B7959"/>
    <w:rsid w:val="008B7A78"/>
    <w:rsid w:val="008B7D7E"/>
    <w:rsid w:val="008B7FBC"/>
    <w:rsid w:val="008B7FF6"/>
    <w:rsid w:val="008C0450"/>
    <w:rsid w:val="008C0536"/>
    <w:rsid w:val="008C0587"/>
    <w:rsid w:val="008C05C0"/>
    <w:rsid w:val="008C085D"/>
    <w:rsid w:val="008C0941"/>
    <w:rsid w:val="008C0C06"/>
    <w:rsid w:val="008C0C95"/>
    <w:rsid w:val="008C0DC8"/>
    <w:rsid w:val="008C0EEC"/>
    <w:rsid w:val="008C0F91"/>
    <w:rsid w:val="008C121F"/>
    <w:rsid w:val="008C1302"/>
    <w:rsid w:val="008C1332"/>
    <w:rsid w:val="008C15C3"/>
    <w:rsid w:val="008C1DC6"/>
    <w:rsid w:val="008C1E02"/>
    <w:rsid w:val="008C1FDF"/>
    <w:rsid w:val="008C1FF5"/>
    <w:rsid w:val="008C21D5"/>
    <w:rsid w:val="008C25F1"/>
    <w:rsid w:val="008C26EE"/>
    <w:rsid w:val="008C2700"/>
    <w:rsid w:val="008C274C"/>
    <w:rsid w:val="008C28DE"/>
    <w:rsid w:val="008C2E43"/>
    <w:rsid w:val="008C3003"/>
    <w:rsid w:val="008C3070"/>
    <w:rsid w:val="008C3100"/>
    <w:rsid w:val="008C332F"/>
    <w:rsid w:val="008C33BA"/>
    <w:rsid w:val="008C347D"/>
    <w:rsid w:val="008C38D4"/>
    <w:rsid w:val="008C392E"/>
    <w:rsid w:val="008C3B41"/>
    <w:rsid w:val="008C3B9A"/>
    <w:rsid w:val="008C3C83"/>
    <w:rsid w:val="008C41B7"/>
    <w:rsid w:val="008C4717"/>
    <w:rsid w:val="008C47DC"/>
    <w:rsid w:val="008C48DA"/>
    <w:rsid w:val="008C4B72"/>
    <w:rsid w:val="008C4E17"/>
    <w:rsid w:val="008C4EAD"/>
    <w:rsid w:val="008C4EB3"/>
    <w:rsid w:val="008C50FD"/>
    <w:rsid w:val="008C51D5"/>
    <w:rsid w:val="008C54C8"/>
    <w:rsid w:val="008C55A2"/>
    <w:rsid w:val="008C57CB"/>
    <w:rsid w:val="008C581A"/>
    <w:rsid w:val="008C59EB"/>
    <w:rsid w:val="008C5CF0"/>
    <w:rsid w:val="008C5F10"/>
    <w:rsid w:val="008C604F"/>
    <w:rsid w:val="008C623C"/>
    <w:rsid w:val="008C6379"/>
    <w:rsid w:val="008C6665"/>
    <w:rsid w:val="008C6879"/>
    <w:rsid w:val="008C6949"/>
    <w:rsid w:val="008C6CEA"/>
    <w:rsid w:val="008C6F1C"/>
    <w:rsid w:val="008C702A"/>
    <w:rsid w:val="008C731E"/>
    <w:rsid w:val="008C73EB"/>
    <w:rsid w:val="008C75A3"/>
    <w:rsid w:val="008C7891"/>
    <w:rsid w:val="008C7A4F"/>
    <w:rsid w:val="008C7A86"/>
    <w:rsid w:val="008C7AC3"/>
    <w:rsid w:val="008C7ECB"/>
    <w:rsid w:val="008D00D3"/>
    <w:rsid w:val="008D02C6"/>
    <w:rsid w:val="008D0410"/>
    <w:rsid w:val="008D04B3"/>
    <w:rsid w:val="008D07C0"/>
    <w:rsid w:val="008D0A2B"/>
    <w:rsid w:val="008D0D21"/>
    <w:rsid w:val="008D0D30"/>
    <w:rsid w:val="008D0E51"/>
    <w:rsid w:val="008D10BB"/>
    <w:rsid w:val="008D1130"/>
    <w:rsid w:val="008D11F5"/>
    <w:rsid w:val="008D1493"/>
    <w:rsid w:val="008D16FF"/>
    <w:rsid w:val="008D1832"/>
    <w:rsid w:val="008D183E"/>
    <w:rsid w:val="008D1887"/>
    <w:rsid w:val="008D1A30"/>
    <w:rsid w:val="008D1D64"/>
    <w:rsid w:val="008D1EA7"/>
    <w:rsid w:val="008D1EAD"/>
    <w:rsid w:val="008D2185"/>
    <w:rsid w:val="008D244D"/>
    <w:rsid w:val="008D2581"/>
    <w:rsid w:val="008D25BF"/>
    <w:rsid w:val="008D27CE"/>
    <w:rsid w:val="008D29E9"/>
    <w:rsid w:val="008D2C5A"/>
    <w:rsid w:val="008D2EAB"/>
    <w:rsid w:val="008D30C6"/>
    <w:rsid w:val="008D34BD"/>
    <w:rsid w:val="008D3533"/>
    <w:rsid w:val="008D3617"/>
    <w:rsid w:val="008D362F"/>
    <w:rsid w:val="008D377C"/>
    <w:rsid w:val="008D39E7"/>
    <w:rsid w:val="008D3CC5"/>
    <w:rsid w:val="008D412B"/>
    <w:rsid w:val="008D446C"/>
    <w:rsid w:val="008D4732"/>
    <w:rsid w:val="008D47EA"/>
    <w:rsid w:val="008D4CA1"/>
    <w:rsid w:val="008D4DF3"/>
    <w:rsid w:val="008D5538"/>
    <w:rsid w:val="008D583E"/>
    <w:rsid w:val="008D58AE"/>
    <w:rsid w:val="008D593A"/>
    <w:rsid w:val="008D5AA7"/>
    <w:rsid w:val="008D5E5F"/>
    <w:rsid w:val="008D601B"/>
    <w:rsid w:val="008D61EF"/>
    <w:rsid w:val="008D64E9"/>
    <w:rsid w:val="008D6514"/>
    <w:rsid w:val="008D661D"/>
    <w:rsid w:val="008D67AB"/>
    <w:rsid w:val="008D67D0"/>
    <w:rsid w:val="008D6800"/>
    <w:rsid w:val="008D6896"/>
    <w:rsid w:val="008D6B51"/>
    <w:rsid w:val="008D6B9E"/>
    <w:rsid w:val="008D6D8F"/>
    <w:rsid w:val="008D6EFB"/>
    <w:rsid w:val="008D72B7"/>
    <w:rsid w:val="008D730B"/>
    <w:rsid w:val="008D7716"/>
    <w:rsid w:val="008D772A"/>
    <w:rsid w:val="008D7734"/>
    <w:rsid w:val="008D7E6B"/>
    <w:rsid w:val="008D7ED0"/>
    <w:rsid w:val="008E00FF"/>
    <w:rsid w:val="008E0147"/>
    <w:rsid w:val="008E02BA"/>
    <w:rsid w:val="008E064D"/>
    <w:rsid w:val="008E0965"/>
    <w:rsid w:val="008E09BC"/>
    <w:rsid w:val="008E0DB3"/>
    <w:rsid w:val="008E0E10"/>
    <w:rsid w:val="008E1182"/>
    <w:rsid w:val="008E12B3"/>
    <w:rsid w:val="008E1A0E"/>
    <w:rsid w:val="008E1AE6"/>
    <w:rsid w:val="008E1B9E"/>
    <w:rsid w:val="008E1EBB"/>
    <w:rsid w:val="008E1F28"/>
    <w:rsid w:val="008E2179"/>
    <w:rsid w:val="008E2386"/>
    <w:rsid w:val="008E241F"/>
    <w:rsid w:val="008E2495"/>
    <w:rsid w:val="008E25C0"/>
    <w:rsid w:val="008E268A"/>
    <w:rsid w:val="008E28CA"/>
    <w:rsid w:val="008E2CC8"/>
    <w:rsid w:val="008E2D22"/>
    <w:rsid w:val="008E2D7A"/>
    <w:rsid w:val="008E311A"/>
    <w:rsid w:val="008E33EA"/>
    <w:rsid w:val="008E3400"/>
    <w:rsid w:val="008E34AE"/>
    <w:rsid w:val="008E35F2"/>
    <w:rsid w:val="008E37BA"/>
    <w:rsid w:val="008E3F46"/>
    <w:rsid w:val="008E3F9F"/>
    <w:rsid w:val="008E40BE"/>
    <w:rsid w:val="008E4287"/>
    <w:rsid w:val="008E4413"/>
    <w:rsid w:val="008E475F"/>
    <w:rsid w:val="008E4855"/>
    <w:rsid w:val="008E4866"/>
    <w:rsid w:val="008E4994"/>
    <w:rsid w:val="008E4A9F"/>
    <w:rsid w:val="008E4EC7"/>
    <w:rsid w:val="008E4EF0"/>
    <w:rsid w:val="008E4FDE"/>
    <w:rsid w:val="008E50F9"/>
    <w:rsid w:val="008E527E"/>
    <w:rsid w:val="008E529D"/>
    <w:rsid w:val="008E52DC"/>
    <w:rsid w:val="008E5757"/>
    <w:rsid w:val="008E57E2"/>
    <w:rsid w:val="008E58EC"/>
    <w:rsid w:val="008E5A62"/>
    <w:rsid w:val="008E5A7B"/>
    <w:rsid w:val="008E5AC1"/>
    <w:rsid w:val="008E5CB2"/>
    <w:rsid w:val="008E635C"/>
    <w:rsid w:val="008E64F8"/>
    <w:rsid w:val="008E6518"/>
    <w:rsid w:val="008E6687"/>
    <w:rsid w:val="008E6849"/>
    <w:rsid w:val="008E68EF"/>
    <w:rsid w:val="008E6E5B"/>
    <w:rsid w:val="008E6E69"/>
    <w:rsid w:val="008E6F48"/>
    <w:rsid w:val="008E711D"/>
    <w:rsid w:val="008E732C"/>
    <w:rsid w:val="008E7398"/>
    <w:rsid w:val="008E74E3"/>
    <w:rsid w:val="008E752C"/>
    <w:rsid w:val="008E7782"/>
    <w:rsid w:val="008E79A4"/>
    <w:rsid w:val="008E7AB5"/>
    <w:rsid w:val="008E7B25"/>
    <w:rsid w:val="008E7E70"/>
    <w:rsid w:val="008E7F2F"/>
    <w:rsid w:val="008F018C"/>
    <w:rsid w:val="008F0347"/>
    <w:rsid w:val="008F0351"/>
    <w:rsid w:val="008F05D9"/>
    <w:rsid w:val="008F08E7"/>
    <w:rsid w:val="008F08F3"/>
    <w:rsid w:val="008F0ABC"/>
    <w:rsid w:val="008F1194"/>
    <w:rsid w:val="008F120A"/>
    <w:rsid w:val="008F13CF"/>
    <w:rsid w:val="008F1459"/>
    <w:rsid w:val="008F1B35"/>
    <w:rsid w:val="008F1B97"/>
    <w:rsid w:val="008F1F96"/>
    <w:rsid w:val="008F2514"/>
    <w:rsid w:val="008F2622"/>
    <w:rsid w:val="008F2CAF"/>
    <w:rsid w:val="008F2D53"/>
    <w:rsid w:val="008F2EDB"/>
    <w:rsid w:val="008F2F1F"/>
    <w:rsid w:val="008F2F5D"/>
    <w:rsid w:val="008F3176"/>
    <w:rsid w:val="008F33CA"/>
    <w:rsid w:val="008F34A7"/>
    <w:rsid w:val="008F34E8"/>
    <w:rsid w:val="008F35A9"/>
    <w:rsid w:val="008F35D4"/>
    <w:rsid w:val="008F3847"/>
    <w:rsid w:val="008F3D50"/>
    <w:rsid w:val="008F4099"/>
    <w:rsid w:val="008F4124"/>
    <w:rsid w:val="008F45BA"/>
    <w:rsid w:val="008F485F"/>
    <w:rsid w:val="008F48EB"/>
    <w:rsid w:val="008F4AAB"/>
    <w:rsid w:val="008F4AD7"/>
    <w:rsid w:val="008F4CCA"/>
    <w:rsid w:val="008F4F0B"/>
    <w:rsid w:val="008F5195"/>
    <w:rsid w:val="008F5256"/>
    <w:rsid w:val="008F591D"/>
    <w:rsid w:val="008F5BD4"/>
    <w:rsid w:val="008F5E51"/>
    <w:rsid w:val="008F5E60"/>
    <w:rsid w:val="008F6265"/>
    <w:rsid w:val="008F62CF"/>
    <w:rsid w:val="008F639A"/>
    <w:rsid w:val="008F6BBA"/>
    <w:rsid w:val="008F6C56"/>
    <w:rsid w:val="008F6E3D"/>
    <w:rsid w:val="008F70C0"/>
    <w:rsid w:val="008F7346"/>
    <w:rsid w:val="008F7602"/>
    <w:rsid w:val="008F76A7"/>
    <w:rsid w:val="008F79A9"/>
    <w:rsid w:val="008F7AE3"/>
    <w:rsid w:val="008F7CCE"/>
    <w:rsid w:val="008F7D08"/>
    <w:rsid w:val="008F7D4B"/>
    <w:rsid w:val="008F7F90"/>
    <w:rsid w:val="008F7FEF"/>
    <w:rsid w:val="009002A9"/>
    <w:rsid w:val="009004B7"/>
    <w:rsid w:val="009006C1"/>
    <w:rsid w:val="0090072E"/>
    <w:rsid w:val="009007B1"/>
    <w:rsid w:val="00900874"/>
    <w:rsid w:val="009008B9"/>
    <w:rsid w:val="00900FB0"/>
    <w:rsid w:val="00901505"/>
    <w:rsid w:val="0090157E"/>
    <w:rsid w:val="00901AEB"/>
    <w:rsid w:val="00901B15"/>
    <w:rsid w:val="00901DE9"/>
    <w:rsid w:val="00902503"/>
    <w:rsid w:val="009025FB"/>
    <w:rsid w:val="00902673"/>
    <w:rsid w:val="00902903"/>
    <w:rsid w:val="00903183"/>
    <w:rsid w:val="009032EA"/>
    <w:rsid w:val="0090335C"/>
    <w:rsid w:val="00903440"/>
    <w:rsid w:val="00903709"/>
    <w:rsid w:val="00903735"/>
    <w:rsid w:val="00903B16"/>
    <w:rsid w:val="00903B6D"/>
    <w:rsid w:val="00903D38"/>
    <w:rsid w:val="00904102"/>
    <w:rsid w:val="0090431C"/>
    <w:rsid w:val="009049AF"/>
    <w:rsid w:val="00904A21"/>
    <w:rsid w:val="00904A88"/>
    <w:rsid w:val="00904C2B"/>
    <w:rsid w:val="00904C48"/>
    <w:rsid w:val="00904C80"/>
    <w:rsid w:val="00904F77"/>
    <w:rsid w:val="00904FCB"/>
    <w:rsid w:val="009053CA"/>
    <w:rsid w:val="009054B9"/>
    <w:rsid w:val="009055A6"/>
    <w:rsid w:val="009056EE"/>
    <w:rsid w:val="00905799"/>
    <w:rsid w:val="00905A1C"/>
    <w:rsid w:val="00905A98"/>
    <w:rsid w:val="009060C8"/>
    <w:rsid w:val="009062A5"/>
    <w:rsid w:val="00906303"/>
    <w:rsid w:val="00906516"/>
    <w:rsid w:val="00906602"/>
    <w:rsid w:val="00906BC7"/>
    <w:rsid w:val="00906CF7"/>
    <w:rsid w:val="00906FED"/>
    <w:rsid w:val="009070E8"/>
    <w:rsid w:val="00907299"/>
    <w:rsid w:val="00907389"/>
    <w:rsid w:val="00907399"/>
    <w:rsid w:val="009075DD"/>
    <w:rsid w:val="00907C60"/>
    <w:rsid w:val="00907D2A"/>
    <w:rsid w:val="00907E14"/>
    <w:rsid w:val="00907F21"/>
    <w:rsid w:val="00910574"/>
    <w:rsid w:val="00910606"/>
    <w:rsid w:val="0091071E"/>
    <w:rsid w:val="00910847"/>
    <w:rsid w:val="00910AE8"/>
    <w:rsid w:val="00910B45"/>
    <w:rsid w:val="00910F5C"/>
    <w:rsid w:val="009110FC"/>
    <w:rsid w:val="00911272"/>
    <w:rsid w:val="009112D7"/>
    <w:rsid w:val="0091134A"/>
    <w:rsid w:val="0091158A"/>
    <w:rsid w:val="00911871"/>
    <w:rsid w:val="009119BD"/>
    <w:rsid w:val="00911C59"/>
    <w:rsid w:val="00911E36"/>
    <w:rsid w:val="00911F42"/>
    <w:rsid w:val="009122A4"/>
    <w:rsid w:val="009122AF"/>
    <w:rsid w:val="00912B66"/>
    <w:rsid w:val="00912D15"/>
    <w:rsid w:val="0091338E"/>
    <w:rsid w:val="0091344A"/>
    <w:rsid w:val="00913B89"/>
    <w:rsid w:val="00913C5C"/>
    <w:rsid w:val="00913DAD"/>
    <w:rsid w:val="00914059"/>
    <w:rsid w:val="009141E9"/>
    <w:rsid w:val="0091426B"/>
    <w:rsid w:val="009142B6"/>
    <w:rsid w:val="009143BE"/>
    <w:rsid w:val="0091448C"/>
    <w:rsid w:val="0091452A"/>
    <w:rsid w:val="0091461F"/>
    <w:rsid w:val="00914724"/>
    <w:rsid w:val="009149CF"/>
    <w:rsid w:val="00914AE2"/>
    <w:rsid w:val="00914CCB"/>
    <w:rsid w:val="0091544E"/>
    <w:rsid w:val="00915490"/>
    <w:rsid w:val="00915A3F"/>
    <w:rsid w:val="00915C59"/>
    <w:rsid w:val="00915EE3"/>
    <w:rsid w:val="00916076"/>
    <w:rsid w:val="009161A2"/>
    <w:rsid w:val="009162A1"/>
    <w:rsid w:val="009163A2"/>
    <w:rsid w:val="009165A6"/>
    <w:rsid w:val="009166EB"/>
    <w:rsid w:val="009168C8"/>
    <w:rsid w:val="00916F62"/>
    <w:rsid w:val="00917160"/>
    <w:rsid w:val="00917196"/>
    <w:rsid w:val="0091724C"/>
    <w:rsid w:val="009173A9"/>
    <w:rsid w:val="009174DC"/>
    <w:rsid w:val="00917A65"/>
    <w:rsid w:val="00917C75"/>
    <w:rsid w:val="00917DEA"/>
    <w:rsid w:val="00917E14"/>
    <w:rsid w:val="00917F56"/>
    <w:rsid w:val="009201A1"/>
    <w:rsid w:val="00920203"/>
    <w:rsid w:val="0092022D"/>
    <w:rsid w:val="00920237"/>
    <w:rsid w:val="00920710"/>
    <w:rsid w:val="00920C4A"/>
    <w:rsid w:val="00920DE7"/>
    <w:rsid w:val="00920E4E"/>
    <w:rsid w:val="00921209"/>
    <w:rsid w:val="00921509"/>
    <w:rsid w:val="00921613"/>
    <w:rsid w:val="00921836"/>
    <w:rsid w:val="00921A57"/>
    <w:rsid w:val="00921B09"/>
    <w:rsid w:val="00921B7C"/>
    <w:rsid w:val="00921C52"/>
    <w:rsid w:val="00921CE6"/>
    <w:rsid w:val="00921E67"/>
    <w:rsid w:val="0092206C"/>
    <w:rsid w:val="009220E8"/>
    <w:rsid w:val="00922172"/>
    <w:rsid w:val="0092218C"/>
    <w:rsid w:val="00922496"/>
    <w:rsid w:val="009227B0"/>
    <w:rsid w:val="009227C7"/>
    <w:rsid w:val="009228E2"/>
    <w:rsid w:val="009229CD"/>
    <w:rsid w:val="00922BA7"/>
    <w:rsid w:val="009231D5"/>
    <w:rsid w:val="00923490"/>
    <w:rsid w:val="0092362E"/>
    <w:rsid w:val="009237C2"/>
    <w:rsid w:val="0092381E"/>
    <w:rsid w:val="009238C5"/>
    <w:rsid w:val="00923AAF"/>
    <w:rsid w:val="00923BB8"/>
    <w:rsid w:val="00923D73"/>
    <w:rsid w:val="00923DF5"/>
    <w:rsid w:val="00923EB0"/>
    <w:rsid w:val="00923F23"/>
    <w:rsid w:val="00923F94"/>
    <w:rsid w:val="009241A9"/>
    <w:rsid w:val="009243F5"/>
    <w:rsid w:val="00924561"/>
    <w:rsid w:val="009246B3"/>
    <w:rsid w:val="00924806"/>
    <w:rsid w:val="00924B14"/>
    <w:rsid w:val="00924F5C"/>
    <w:rsid w:val="0092505F"/>
    <w:rsid w:val="009254E4"/>
    <w:rsid w:val="00925665"/>
    <w:rsid w:val="0092567E"/>
    <w:rsid w:val="00925687"/>
    <w:rsid w:val="00925780"/>
    <w:rsid w:val="009259B4"/>
    <w:rsid w:val="00925B39"/>
    <w:rsid w:val="00925C59"/>
    <w:rsid w:val="00925D3F"/>
    <w:rsid w:val="00925FF1"/>
    <w:rsid w:val="00926292"/>
    <w:rsid w:val="0092654C"/>
    <w:rsid w:val="009267B0"/>
    <w:rsid w:val="0092694B"/>
    <w:rsid w:val="009269D2"/>
    <w:rsid w:val="00927225"/>
    <w:rsid w:val="009272E1"/>
    <w:rsid w:val="00927328"/>
    <w:rsid w:val="0092736E"/>
    <w:rsid w:val="0092785D"/>
    <w:rsid w:val="00927925"/>
    <w:rsid w:val="00927E4E"/>
    <w:rsid w:val="00927EAB"/>
    <w:rsid w:val="009302C2"/>
    <w:rsid w:val="009305C4"/>
    <w:rsid w:val="009309CC"/>
    <w:rsid w:val="00930C2C"/>
    <w:rsid w:val="00930C97"/>
    <w:rsid w:val="00930CCF"/>
    <w:rsid w:val="00930D6B"/>
    <w:rsid w:val="00930FBC"/>
    <w:rsid w:val="0093125D"/>
    <w:rsid w:val="00931324"/>
    <w:rsid w:val="0093161E"/>
    <w:rsid w:val="009316AD"/>
    <w:rsid w:val="00931752"/>
    <w:rsid w:val="009319A9"/>
    <w:rsid w:val="00931C4A"/>
    <w:rsid w:val="00931CF7"/>
    <w:rsid w:val="00931E44"/>
    <w:rsid w:val="009321E4"/>
    <w:rsid w:val="00932272"/>
    <w:rsid w:val="00932513"/>
    <w:rsid w:val="00932AD6"/>
    <w:rsid w:val="009331DE"/>
    <w:rsid w:val="00933726"/>
    <w:rsid w:val="0093384D"/>
    <w:rsid w:val="00933AB7"/>
    <w:rsid w:val="00933B01"/>
    <w:rsid w:val="00933D36"/>
    <w:rsid w:val="00933F74"/>
    <w:rsid w:val="009340DE"/>
    <w:rsid w:val="00934345"/>
    <w:rsid w:val="0093443A"/>
    <w:rsid w:val="009344CE"/>
    <w:rsid w:val="009345A8"/>
    <w:rsid w:val="009349B2"/>
    <w:rsid w:val="00934A58"/>
    <w:rsid w:val="00934C9D"/>
    <w:rsid w:val="00934D08"/>
    <w:rsid w:val="0093506F"/>
    <w:rsid w:val="00935285"/>
    <w:rsid w:val="009353B4"/>
    <w:rsid w:val="009354AC"/>
    <w:rsid w:val="009354DB"/>
    <w:rsid w:val="009356A9"/>
    <w:rsid w:val="009357AF"/>
    <w:rsid w:val="009358A8"/>
    <w:rsid w:val="00935AA0"/>
    <w:rsid w:val="00935C10"/>
    <w:rsid w:val="00935F66"/>
    <w:rsid w:val="0093601E"/>
    <w:rsid w:val="00936138"/>
    <w:rsid w:val="0093654C"/>
    <w:rsid w:val="009365A6"/>
    <w:rsid w:val="0093686F"/>
    <w:rsid w:val="009369AD"/>
    <w:rsid w:val="009372AB"/>
    <w:rsid w:val="009376C4"/>
    <w:rsid w:val="00937B60"/>
    <w:rsid w:val="00937C8F"/>
    <w:rsid w:val="009402E3"/>
    <w:rsid w:val="009404DE"/>
    <w:rsid w:val="0094061E"/>
    <w:rsid w:val="00940BEB"/>
    <w:rsid w:val="00940F38"/>
    <w:rsid w:val="0094136F"/>
    <w:rsid w:val="00941508"/>
    <w:rsid w:val="00941619"/>
    <w:rsid w:val="00941A0F"/>
    <w:rsid w:val="00941A8F"/>
    <w:rsid w:val="00941B36"/>
    <w:rsid w:val="00941D53"/>
    <w:rsid w:val="00941ECE"/>
    <w:rsid w:val="00942771"/>
    <w:rsid w:val="00942C1B"/>
    <w:rsid w:val="00942DC9"/>
    <w:rsid w:val="00942F02"/>
    <w:rsid w:val="00943287"/>
    <w:rsid w:val="0094329E"/>
    <w:rsid w:val="00943B3E"/>
    <w:rsid w:val="00943F77"/>
    <w:rsid w:val="00943FE8"/>
    <w:rsid w:val="009440DC"/>
    <w:rsid w:val="009442AB"/>
    <w:rsid w:val="0094461E"/>
    <w:rsid w:val="00944693"/>
    <w:rsid w:val="00944A63"/>
    <w:rsid w:val="00944AED"/>
    <w:rsid w:val="00944C64"/>
    <w:rsid w:val="00944D0C"/>
    <w:rsid w:val="00944DA3"/>
    <w:rsid w:val="00945078"/>
    <w:rsid w:val="0094513C"/>
    <w:rsid w:val="00945290"/>
    <w:rsid w:val="009452A9"/>
    <w:rsid w:val="0094579F"/>
    <w:rsid w:val="00945885"/>
    <w:rsid w:val="00945EF2"/>
    <w:rsid w:val="00945F4F"/>
    <w:rsid w:val="009461B5"/>
    <w:rsid w:val="009463FA"/>
    <w:rsid w:val="0094669E"/>
    <w:rsid w:val="00946A29"/>
    <w:rsid w:val="00946A6A"/>
    <w:rsid w:val="00946C93"/>
    <w:rsid w:val="00946E9D"/>
    <w:rsid w:val="0094708C"/>
    <w:rsid w:val="009470DB"/>
    <w:rsid w:val="00947101"/>
    <w:rsid w:val="00947284"/>
    <w:rsid w:val="009473BE"/>
    <w:rsid w:val="00947522"/>
    <w:rsid w:val="0094795E"/>
    <w:rsid w:val="00947AFF"/>
    <w:rsid w:val="00947FF5"/>
    <w:rsid w:val="0095014B"/>
    <w:rsid w:val="0095056A"/>
    <w:rsid w:val="009506C2"/>
    <w:rsid w:val="00950A7F"/>
    <w:rsid w:val="00950AC1"/>
    <w:rsid w:val="00950CFD"/>
    <w:rsid w:val="00950DFC"/>
    <w:rsid w:val="00950FB2"/>
    <w:rsid w:val="00951058"/>
    <w:rsid w:val="009511E0"/>
    <w:rsid w:val="009512E6"/>
    <w:rsid w:val="00951375"/>
    <w:rsid w:val="009513B1"/>
    <w:rsid w:val="00951642"/>
    <w:rsid w:val="00951717"/>
    <w:rsid w:val="00951777"/>
    <w:rsid w:val="009518EA"/>
    <w:rsid w:val="00951A0F"/>
    <w:rsid w:val="00951BD4"/>
    <w:rsid w:val="00951E24"/>
    <w:rsid w:val="00951EC8"/>
    <w:rsid w:val="00952152"/>
    <w:rsid w:val="009523C4"/>
    <w:rsid w:val="00952683"/>
    <w:rsid w:val="00952741"/>
    <w:rsid w:val="00952EBE"/>
    <w:rsid w:val="009530CB"/>
    <w:rsid w:val="009530FB"/>
    <w:rsid w:val="00953142"/>
    <w:rsid w:val="0095322E"/>
    <w:rsid w:val="00953551"/>
    <w:rsid w:val="00953604"/>
    <w:rsid w:val="00953793"/>
    <w:rsid w:val="00953984"/>
    <w:rsid w:val="009539A5"/>
    <w:rsid w:val="00953AFB"/>
    <w:rsid w:val="00953CDF"/>
    <w:rsid w:val="00953E7C"/>
    <w:rsid w:val="00953EC5"/>
    <w:rsid w:val="009541B5"/>
    <w:rsid w:val="009543B2"/>
    <w:rsid w:val="0095474A"/>
    <w:rsid w:val="0095479A"/>
    <w:rsid w:val="009547C8"/>
    <w:rsid w:val="00954947"/>
    <w:rsid w:val="00954D68"/>
    <w:rsid w:val="00954E5F"/>
    <w:rsid w:val="0095505B"/>
    <w:rsid w:val="009550A0"/>
    <w:rsid w:val="009551B9"/>
    <w:rsid w:val="00955270"/>
    <w:rsid w:val="009553C6"/>
    <w:rsid w:val="00955550"/>
    <w:rsid w:val="0095573B"/>
    <w:rsid w:val="00955844"/>
    <w:rsid w:val="00955B70"/>
    <w:rsid w:val="00955C62"/>
    <w:rsid w:val="00955E4E"/>
    <w:rsid w:val="00955E87"/>
    <w:rsid w:val="0095600A"/>
    <w:rsid w:val="00956230"/>
    <w:rsid w:val="0095631E"/>
    <w:rsid w:val="00956535"/>
    <w:rsid w:val="00956625"/>
    <w:rsid w:val="00956A22"/>
    <w:rsid w:val="00956CAD"/>
    <w:rsid w:val="00956FC9"/>
    <w:rsid w:val="00957159"/>
    <w:rsid w:val="009573F4"/>
    <w:rsid w:val="009575C2"/>
    <w:rsid w:val="00957795"/>
    <w:rsid w:val="009579B6"/>
    <w:rsid w:val="009579F2"/>
    <w:rsid w:val="00957C53"/>
    <w:rsid w:val="00957EDA"/>
    <w:rsid w:val="009602D7"/>
    <w:rsid w:val="009605C9"/>
    <w:rsid w:val="00960CAD"/>
    <w:rsid w:val="00960E1B"/>
    <w:rsid w:val="00961072"/>
    <w:rsid w:val="00961130"/>
    <w:rsid w:val="0096126B"/>
    <w:rsid w:val="0096148D"/>
    <w:rsid w:val="00961916"/>
    <w:rsid w:val="009619B0"/>
    <w:rsid w:val="009619E0"/>
    <w:rsid w:val="00961D52"/>
    <w:rsid w:val="0096202B"/>
    <w:rsid w:val="009624C4"/>
    <w:rsid w:val="009627EB"/>
    <w:rsid w:val="00962899"/>
    <w:rsid w:val="00962B87"/>
    <w:rsid w:val="00962C5B"/>
    <w:rsid w:val="00962CB9"/>
    <w:rsid w:val="00962E2D"/>
    <w:rsid w:val="00963188"/>
    <w:rsid w:val="00963365"/>
    <w:rsid w:val="009633B0"/>
    <w:rsid w:val="009635E0"/>
    <w:rsid w:val="00963715"/>
    <w:rsid w:val="00963A3B"/>
    <w:rsid w:val="00963A4B"/>
    <w:rsid w:val="00963F52"/>
    <w:rsid w:val="00964312"/>
    <w:rsid w:val="00964A00"/>
    <w:rsid w:val="00964A89"/>
    <w:rsid w:val="00965163"/>
    <w:rsid w:val="0096525F"/>
    <w:rsid w:val="00965708"/>
    <w:rsid w:val="009657C9"/>
    <w:rsid w:val="00965954"/>
    <w:rsid w:val="00965AB2"/>
    <w:rsid w:val="00965BFA"/>
    <w:rsid w:val="00965E20"/>
    <w:rsid w:val="00965E86"/>
    <w:rsid w:val="00965EA5"/>
    <w:rsid w:val="00965F5B"/>
    <w:rsid w:val="00966087"/>
    <w:rsid w:val="0096638A"/>
    <w:rsid w:val="00966528"/>
    <w:rsid w:val="00966CDC"/>
    <w:rsid w:val="00966FD5"/>
    <w:rsid w:val="00967152"/>
    <w:rsid w:val="00967517"/>
    <w:rsid w:val="00967642"/>
    <w:rsid w:val="00967730"/>
    <w:rsid w:val="00967959"/>
    <w:rsid w:val="00967A18"/>
    <w:rsid w:val="00967A6D"/>
    <w:rsid w:val="00967D39"/>
    <w:rsid w:val="00967E1D"/>
    <w:rsid w:val="0097020E"/>
    <w:rsid w:val="009703EF"/>
    <w:rsid w:val="009708F1"/>
    <w:rsid w:val="0097092F"/>
    <w:rsid w:val="00970D24"/>
    <w:rsid w:val="0097118A"/>
    <w:rsid w:val="0097128B"/>
    <w:rsid w:val="00971A1A"/>
    <w:rsid w:val="00971B52"/>
    <w:rsid w:val="00971D76"/>
    <w:rsid w:val="00971DD4"/>
    <w:rsid w:val="00972361"/>
    <w:rsid w:val="009725BA"/>
    <w:rsid w:val="009726A7"/>
    <w:rsid w:val="00972760"/>
    <w:rsid w:val="0097291D"/>
    <w:rsid w:val="00972A03"/>
    <w:rsid w:val="00972C2C"/>
    <w:rsid w:val="00972C8C"/>
    <w:rsid w:val="00972CE4"/>
    <w:rsid w:val="00972D45"/>
    <w:rsid w:val="009731EB"/>
    <w:rsid w:val="009732B9"/>
    <w:rsid w:val="009734F1"/>
    <w:rsid w:val="00973760"/>
    <w:rsid w:val="00973A0B"/>
    <w:rsid w:val="00973D92"/>
    <w:rsid w:val="00973F2E"/>
    <w:rsid w:val="00973F71"/>
    <w:rsid w:val="00974046"/>
    <w:rsid w:val="0097418B"/>
    <w:rsid w:val="0097423B"/>
    <w:rsid w:val="00974279"/>
    <w:rsid w:val="009746B5"/>
    <w:rsid w:val="00974A88"/>
    <w:rsid w:val="00974B67"/>
    <w:rsid w:val="00974C44"/>
    <w:rsid w:val="00974F67"/>
    <w:rsid w:val="009752FD"/>
    <w:rsid w:val="00975549"/>
    <w:rsid w:val="009757E0"/>
    <w:rsid w:val="009761C8"/>
    <w:rsid w:val="009763ED"/>
    <w:rsid w:val="00976495"/>
    <w:rsid w:val="00976533"/>
    <w:rsid w:val="009765DC"/>
    <w:rsid w:val="0097688F"/>
    <w:rsid w:val="009769C8"/>
    <w:rsid w:val="00976A0D"/>
    <w:rsid w:val="00976A13"/>
    <w:rsid w:val="00976D27"/>
    <w:rsid w:val="00976D68"/>
    <w:rsid w:val="00976D7B"/>
    <w:rsid w:val="00976E3A"/>
    <w:rsid w:val="00976EFA"/>
    <w:rsid w:val="009771B5"/>
    <w:rsid w:val="00977770"/>
    <w:rsid w:val="00977FF2"/>
    <w:rsid w:val="00980089"/>
    <w:rsid w:val="009800C6"/>
    <w:rsid w:val="00980262"/>
    <w:rsid w:val="00980312"/>
    <w:rsid w:val="009803C2"/>
    <w:rsid w:val="00980430"/>
    <w:rsid w:val="00980485"/>
    <w:rsid w:val="00980711"/>
    <w:rsid w:val="0098090B"/>
    <w:rsid w:val="00980ADE"/>
    <w:rsid w:val="00980DC9"/>
    <w:rsid w:val="00980E64"/>
    <w:rsid w:val="00981207"/>
    <w:rsid w:val="0098151A"/>
    <w:rsid w:val="0098152C"/>
    <w:rsid w:val="00981801"/>
    <w:rsid w:val="00981FBC"/>
    <w:rsid w:val="009821C6"/>
    <w:rsid w:val="00982233"/>
    <w:rsid w:val="009823A7"/>
    <w:rsid w:val="00982525"/>
    <w:rsid w:val="0098285E"/>
    <w:rsid w:val="00982AF8"/>
    <w:rsid w:val="00983100"/>
    <w:rsid w:val="009831D0"/>
    <w:rsid w:val="00983616"/>
    <w:rsid w:val="00983C0D"/>
    <w:rsid w:val="00983E57"/>
    <w:rsid w:val="00983EC8"/>
    <w:rsid w:val="00983F19"/>
    <w:rsid w:val="00983F88"/>
    <w:rsid w:val="0098402A"/>
    <w:rsid w:val="00984057"/>
    <w:rsid w:val="009841CF"/>
    <w:rsid w:val="0098430E"/>
    <w:rsid w:val="009843DF"/>
    <w:rsid w:val="00984468"/>
    <w:rsid w:val="00984871"/>
    <w:rsid w:val="009848DD"/>
    <w:rsid w:val="009849D1"/>
    <w:rsid w:val="00984C25"/>
    <w:rsid w:val="00984F17"/>
    <w:rsid w:val="00984FCB"/>
    <w:rsid w:val="0098504B"/>
    <w:rsid w:val="009852BF"/>
    <w:rsid w:val="0098539C"/>
    <w:rsid w:val="0098564D"/>
    <w:rsid w:val="00985757"/>
    <w:rsid w:val="00985804"/>
    <w:rsid w:val="00985899"/>
    <w:rsid w:val="00985A42"/>
    <w:rsid w:val="00985AC4"/>
    <w:rsid w:val="00985B55"/>
    <w:rsid w:val="00985BBB"/>
    <w:rsid w:val="00985C21"/>
    <w:rsid w:val="00985EA8"/>
    <w:rsid w:val="00985ED2"/>
    <w:rsid w:val="00985F5C"/>
    <w:rsid w:val="0098613A"/>
    <w:rsid w:val="00986255"/>
    <w:rsid w:val="00986476"/>
    <w:rsid w:val="009865A6"/>
    <w:rsid w:val="0098673C"/>
    <w:rsid w:val="00986764"/>
    <w:rsid w:val="00986A9D"/>
    <w:rsid w:val="00986B50"/>
    <w:rsid w:val="00986BBB"/>
    <w:rsid w:val="00986E16"/>
    <w:rsid w:val="009871B5"/>
    <w:rsid w:val="0098725F"/>
    <w:rsid w:val="00987341"/>
    <w:rsid w:val="009874F5"/>
    <w:rsid w:val="00987869"/>
    <w:rsid w:val="009878F3"/>
    <w:rsid w:val="009879B6"/>
    <w:rsid w:val="00987D7F"/>
    <w:rsid w:val="00987F15"/>
    <w:rsid w:val="00990113"/>
    <w:rsid w:val="009901E7"/>
    <w:rsid w:val="009902B5"/>
    <w:rsid w:val="0099035D"/>
    <w:rsid w:val="009909CD"/>
    <w:rsid w:val="00990D51"/>
    <w:rsid w:val="00990D88"/>
    <w:rsid w:val="0099100A"/>
    <w:rsid w:val="009910E9"/>
    <w:rsid w:val="00991194"/>
    <w:rsid w:val="009914BF"/>
    <w:rsid w:val="00991699"/>
    <w:rsid w:val="00991A1F"/>
    <w:rsid w:val="00991C37"/>
    <w:rsid w:val="00991DE5"/>
    <w:rsid w:val="00991EAD"/>
    <w:rsid w:val="00992664"/>
    <w:rsid w:val="00992981"/>
    <w:rsid w:val="009929A7"/>
    <w:rsid w:val="00992A74"/>
    <w:rsid w:val="00992BE6"/>
    <w:rsid w:val="00992C1F"/>
    <w:rsid w:val="00992D07"/>
    <w:rsid w:val="00992DB1"/>
    <w:rsid w:val="00992E9C"/>
    <w:rsid w:val="009930E4"/>
    <w:rsid w:val="00993670"/>
    <w:rsid w:val="0099386B"/>
    <w:rsid w:val="00993C95"/>
    <w:rsid w:val="00993D58"/>
    <w:rsid w:val="00993FDA"/>
    <w:rsid w:val="00994377"/>
    <w:rsid w:val="00994648"/>
    <w:rsid w:val="009946FA"/>
    <w:rsid w:val="00994854"/>
    <w:rsid w:val="009948D3"/>
    <w:rsid w:val="00994958"/>
    <w:rsid w:val="00994CB7"/>
    <w:rsid w:val="00994E0A"/>
    <w:rsid w:val="00994EDC"/>
    <w:rsid w:val="00994F44"/>
    <w:rsid w:val="0099531D"/>
    <w:rsid w:val="009953B8"/>
    <w:rsid w:val="009953E5"/>
    <w:rsid w:val="009954AE"/>
    <w:rsid w:val="0099577D"/>
    <w:rsid w:val="00995D6E"/>
    <w:rsid w:val="00995E71"/>
    <w:rsid w:val="0099622F"/>
    <w:rsid w:val="00996329"/>
    <w:rsid w:val="00996728"/>
    <w:rsid w:val="00996B1A"/>
    <w:rsid w:val="00996B47"/>
    <w:rsid w:val="00996C47"/>
    <w:rsid w:val="00996D5B"/>
    <w:rsid w:val="00996E69"/>
    <w:rsid w:val="00996F2A"/>
    <w:rsid w:val="00997153"/>
    <w:rsid w:val="009972D3"/>
    <w:rsid w:val="009973BB"/>
    <w:rsid w:val="009978CC"/>
    <w:rsid w:val="00997B85"/>
    <w:rsid w:val="00997B98"/>
    <w:rsid w:val="00997BCF"/>
    <w:rsid w:val="00997C47"/>
    <w:rsid w:val="00997C63"/>
    <w:rsid w:val="00997D01"/>
    <w:rsid w:val="00997E27"/>
    <w:rsid w:val="009A0280"/>
    <w:rsid w:val="009A05CF"/>
    <w:rsid w:val="009A0AE0"/>
    <w:rsid w:val="009A0F80"/>
    <w:rsid w:val="009A0F96"/>
    <w:rsid w:val="009A1258"/>
    <w:rsid w:val="009A1432"/>
    <w:rsid w:val="009A1B88"/>
    <w:rsid w:val="009A1DEA"/>
    <w:rsid w:val="009A1EE6"/>
    <w:rsid w:val="009A1FE4"/>
    <w:rsid w:val="009A210A"/>
    <w:rsid w:val="009A214F"/>
    <w:rsid w:val="009A2184"/>
    <w:rsid w:val="009A247E"/>
    <w:rsid w:val="009A24D3"/>
    <w:rsid w:val="009A25C4"/>
    <w:rsid w:val="009A261D"/>
    <w:rsid w:val="009A2D94"/>
    <w:rsid w:val="009A2E3E"/>
    <w:rsid w:val="009A3618"/>
    <w:rsid w:val="009A37B5"/>
    <w:rsid w:val="009A3CBA"/>
    <w:rsid w:val="009A486C"/>
    <w:rsid w:val="009A48DC"/>
    <w:rsid w:val="009A4935"/>
    <w:rsid w:val="009A4988"/>
    <w:rsid w:val="009A4BB5"/>
    <w:rsid w:val="009A4C82"/>
    <w:rsid w:val="009A4D1F"/>
    <w:rsid w:val="009A4FA9"/>
    <w:rsid w:val="009A534E"/>
    <w:rsid w:val="009A5999"/>
    <w:rsid w:val="009A5A86"/>
    <w:rsid w:val="009A5AF8"/>
    <w:rsid w:val="009A5DE6"/>
    <w:rsid w:val="009A5F4A"/>
    <w:rsid w:val="009A5FB5"/>
    <w:rsid w:val="009A6252"/>
    <w:rsid w:val="009A6676"/>
    <w:rsid w:val="009A6780"/>
    <w:rsid w:val="009A684E"/>
    <w:rsid w:val="009A6ADA"/>
    <w:rsid w:val="009A6C38"/>
    <w:rsid w:val="009A7146"/>
    <w:rsid w:val="009A7259"/>
    <w:rsid w:val="009A748E"/>
    <w:rsid w:val="009A7641"/>
    <w:rsid w:val="009A78F9"/>
    <w:rsid w:val="009A7B95"/>
    <w:rsid w:val="009A7E0E"/>
    <w:rsid w:val="009A7E1C"/>
    <w:rsid w:val="009A7F24"/>
    <w:rsid w:val="009B0043"/>
    <w:rsid w:val="009B0623"/>
    <w:rsid w:val="009B069A"/>
    <w:rsid w:val="009B06EB"/>
    <w:rsid w:val="009B0847"/>
    <w:rsid w:val="009B0937"/>
    <w:rsid w:val="009B0C5A"/>
    <w:rsid w:val="009B104D"/>
    <w:rsid w:val="009B1321"/>
    <w:rsid w:val="009B1358"/>
    <w:rsid w:val="009B14A2"/>
    <w:rsid w:val="009B17C0"/>
    <w:rsid w:val="009B1C17"/>
    <w:rsid w:val="009B1F61"/>
    <w:rsid w:val="009B20C4"/>
    <w:rsid w:val="009B2267"/>
    <w:rsid w:val="009B2AB4"/>
    <w:rsid w:val="009B2BED"/>
    <w:rsid w:val="009B339A"/>
    <w:rsid w:val="009B33CD"/>
    <w:rsid w:val="009B37AC"/>
    <w:rsid w:val="009B37D1"/>
    <w:rsid w:val="009B380B"/>
    <w:rsid w:val="009B3C49"/>
    <w:rsid w:val="009B3D27"/>
    <w:rsid w:val="009B3D8E"/>
    <w:rsid w:val="009B3DD4"/>
    <w:rsid w:val="009B3E26"/>
    <w:rsid w:val="009B3EEC"/>
    <w:rsid w:val="009B3F1C"/>
    <w:rsid w:val="009B3F52"/>
    <w:rsid w:val="009B44C9"/>
    <w:rsid w:val="009B48E3"/>
    <w:rsid w:val="009B4EF1"/>
    <w:rsid w:val="009B51CE"/>
    <w:rsid w:val="009B58C5"/>
    <w:rsid w:val="009B59F8"/>
    <w:rsid w:val="009B607F"/>
    <w:rsid w:val="009B6621"/>
    <w:rsid w:val="009B6692"/>
    <w:rsid w:val="009B67B9"/>
    <w:rsid w:val="009B69B3"/>
    <w:rsid w:val="009B6C6D"/>
    <w:rsid w:val="009B6EF0"/>
    <w:rsid w:val="009B6F99"/>
    <w:rsid w:val="009B715F"/>
    <w:rsid w:val="009B73AE"/>
    <w:rsid w:val="009B7443"/>
    <w:rsid w:val="009B748F"/>
    <w:rsid w:val="009B7645"/>
    <w:rsid w:val="009B77EE"/>
    <w:rsid w:val="009B791B"/>
    <w:rsid w:val="009C01BF"/>
    <w:rsid w:val="009C0768"/>
    <w:rsid w:val="009C0B6D"/>
    <w:rsid w:val="009C0D7F"/>
    <w:rsid w:val="009C0E2B"/>
    <w:rsid w:val="009C13F3"/>
    <w:rsid w:val="009C16E0"/>
    <w:rsid w:val="009C1D94"/>
    <w:rsid w:val="009C1F15"/>
    <w:rsid w:val="009C217E"/>
    <w:rsid w:val="009C2690"/>
    <w:rsid w:val="009C27A9"/>
    <w:rsid w:val="009C27E9"/>
    <w:rsid w:val="009C2A3B"/>
    <w:rsid w:val="009C2A40"/>
    <w:rsid w:val="009C2AB4"/>
    <w:rsid w:val="009C2D91"/>
    <w:rsid w:val="009C3253"/>
    <w:rsid w:val="009C3289"/>
    <w:rsid w:val="009C3965"/>
    <w:rsid w:val="009C3AD3"/>
    <w:rsid w:val="009C3D32"/>
    <w:rsid w:val="009C3DA6"/>
    <w:rsid w:val="009C40F5"/>
    <w:rsid w:val="009C4255"/>
    <w:rsid w:val="009C43DE"/>
    <w:rsid w:val="009C4DA9"/>
    <w:rsid w:val="009C502A"/>
    <w:rsid w:val="009C5199"/>
    <w:rsid w:val="009C51AB"/>
    <w:rsid w:val="009C52EB"/>
    <w:rsid w:val="009C5759"/>
    <w:rsid w:val="009C5870"/>
    <w:rsid w:val="009C5B08"/>
    <w:rsid w:val="009C5E8B"/>
    <w:rsid w:val="009C5F89"/>
    <w:rsid w:val="009C630E"/>
    <w:rsid w:val="009C6439"/>
    <w:rsid w:val="009C698B"/>
    <w:rsid w:val="009C69E9"/>
    <w:rsid w:val="009C6A43"/>
    <w:rsid w:val="009C6E78"/>
    <w:rsid w:val="009C6ED9"/>
    <w:rsid w:val="009C6F5D"/>
    <w:rsid w:val="009C748F"/>
    <w:rsid w:val="009C771C"/>
    <w:rsid w:val="009C78E8"/>
    <w:rsid w:val="009C7E0E"/>
    <w:rsid w:val="009C7F4F"/>
    <w:rsid w:val="009D006F"/>
    <w:rsid w:val="009D0196"/>
    <w:rsid w:val="009D0236"/>
    <w:rsid w:val="009D038F"/>
    <w:rsid w:val="009D04A3"/>
    <w:rsid w:val="009D1384"/>
    <w:rsid w:val="009D13CE"/>
    <w:rsid w:val="009D1506"/>
    <w:rsid w:val="009D18AB"/>
    <w:rsid w:val="009D19E4"/>
    <w:rsid w:val="009D1EF2"/>
    <w:rsid w:val="009D2299"/>
    <w:rsid w:val="009D27F1"/>
    <w:rsid w:val="009D2977"/>
    <w:rsid w:val="009D29A7"/>
    <w:rsid w:val="009D2BB2"/>
    <w:rsid w:val="009D2CC0"/>
    <w:rsid w:val="009D2D9D"/>
    <w:rsid w:val="009D3333"/>
    <w:rsid w:val="009D3626"/>
    <w:rsid w:val="009D3916"/>
    <w:rsid w:val="009D3AD0"/>
    <w:rsid w:val="009D3D3F"/>
    <w:rsid w:val="009D3E04"/>
    <w:rsid w:val="009D3E1A"/>
    <w:rsid w:val="009D41A4"/>
    <w:rsid w:val="009D47EF"/>
    <w:rsid w:val="009D482F"/>
    <w:rsid w:val="009D488F"/>
    <w:rsid w:val="009D4B14"/>
    <w:rsid w:val="009D4B81"/>
    <w:rsid w:val="009D50BD"/>
    <w:rsid w:val="009D51E0"/>
    <w:rsid w:val="009D523A"/>
    <w:rsid w:val="009D5261"/>
    <w:rsid w:val="009D52BE"/>
    <w:rsid w:val="009D53C1"/>
    <w:rsid w:val="009D53D0"/>
    <w:rsid w:val="009D553B"/>
    <w:rsid w:val="009D57C4"/>
    <w:rsid w:val="009D5B91"/>
    <w:rsid w:val="009D5ED7"/>
    <w:rsid w:val="009D5EF4"/>
    <w:rsid w:val="009D5FC2"/>
    <w:rsid w:val="009D625A"/>
    <w:rsid w:val="009D62DE"/>
    <w:rsid w:val="009D62F0"/>
    <w:rsid w:val="009D643D"/>
    <w:rsid w:val="009D649D"/>
    <w:rsid w:val="009D64F7"/>
    <w:rsid w:val="009D69CB"/>
    <w:rsid w:val="009D6C41"/>
    <w:rsid w:val="009D6DBA"/>
    <w:rsid w:val="009D6E6D"/>
    <w:rsid w:val="009D702F"/>
    <w:rsid w:val="009D747F"/>
    <w:rsid w:val="009D74AC"/>
    <w:rsid w:val="009D7724"/>
    <w:rsid w:val="009D7D60"/>
    <w:rsid w:val="009D7EBE"/>
    <w:rsid w:val="009E01BB"/>
    <w:rsid w:val="009E051B"/>
    <w:rsid w:val="009E0BCB"/>
    <w:rsid w:val="009E0F04"/>
    <w:rsid w:val="009E0F05"/>
    <w:rsid w:val="009E18A1"/>
    <w:rsid w:val="009E1B1C"/>
    <w:rsid w:val="009E1F91"/>
    <w:rsid w:val="009E2393"/>
    <w:rsid w:val="009E2714"/>
    <w:rsid w:val="009E2A39"/>
    <w:rsid w:val="009E2E2A"/>
    <w:rsid w:val="009E31EB"/>
    <w:rsid w:val="009E3322"/>
    <w:rsid w:val="009E33E0"/>
    <w:rsid w:val="009E353D"/>
    <w:rsid w:val="009E364A"/>
    <w:rsid w:val="009E387E"/>
    <w:rsid w:val="009E3A94"/>
    <w:rsid w:val="009E3AF1"/>
    <w:rsid w:val="009E3DF1"/>
    <w:rsid w:val="009E3EC5"/>
    <w:rsid w:val="009E4513"/>
    <w:rsid w:val="009E45F5"/>
    <w:rsid w:val="009E481C"/>
    <w:rsid w:val="009E4B46"/>
    <w:rsid w:val="009E4B4C"/>
    <w:rsid w:val="009E4C07"/>
    <w:rsid w:val="009E4EFA"/>
    <w:rsid w:val="009E4F1C"/>
    <w:rsid w:val="009E51F1"/>
    <w:rsid w:val="009E52F7"/>
    <w:rsid w:val="009E536B"/>
    <w:rsid w:val="009E53C5"/>
    <w:rsid w:val="009E550D"/>
    <w:rsid w:val="009E56C6"/>
    <w:rsid w:val="009E5888"/>
    <w:rsid w:val="009E5C37"/>
    <w:rsid w:val="009E62B1"/>
    <w:rsid w:val="009E63EC"/>
    <w:rsid w:val="009E6551"/>
    <w:rsid w:val="009E728B"/>
    <w:rsid w:val="009E73D4"/>
    <w:rsid w:val="009E7694"/>
    <w:rsid w:val="009E76D7"/>
    <w:rsid w:val="009E78C4"/>
    <w:rsid w:val="009E7B69"/>
    <w:rsid w:val="009E7E95"/>
    <w:rsid w:val="009F0111"/>
    <w:rsid w:val="009F024A"/>
    <w:rsid w:val="009F037D"/>
    <w:rsid w:val="009F05C0"/>
    <w:rsid w:val="009F076D"/>
    <w:rsid w:val="009F0A89"/>
    <w:rsid w:val="009F0E58"/>
    <w:rsid w:val="009F0F95"/>
    <w:rsid w:val="009F1250"/>
    <w:rsid w:val="009F1267"/>
    <w:rsid w:val="009F1398"/>
    <w:rsid w:val="009F168E"/>
    <w:rsid w:val="009F16E8"/>
    <w:rsid w:val="009F1755"/>
    <w:rsid w:val="009F1927"/>
    <w:rsid w:val="009F19AE"/>
    <w:rsid w:val="009F19E1"/>
    <w:rsid w:val="009F1A49"/>
    <w:rsid w:val="009F1DE0"/>
    <w:rsid w:val="009F1F34"/>
    <w:rsid w:val="009F2145"/>
    <w:rsid w:val="009F2308"/>
    <w:rsid w:val="009F27D6"/>
    <w:rsid w:val="009F28C1"/>
    <w:rsid w:val="009F2C73"/>
    <w:rsid w:val="009F2FB2"/>
    <w:rsid w:val="009F3122"/>
    <w:rsid w:val="009F3400"/>
    <w:rsid w:val="009F341E"/>
    <w:rsid w:val="009F3464"/>
    <w:rsid w:val="009F3A39"/>
    <w:rsid w:val="009F3A7B"/>
    <w:rsid w:val="009F3A87"/>
    <w:rsid w:val="009F3AD5"/>
    <w:rsid w:val="009F3BBF"/>
    <w:rsid w:val="009F3CA4"/>
    <w:rsid w:val="009F3D35"/>
    <w:rsid w:val="009F3F80"/>
    <w:rsid w:val="009F4202"/>
    <w:rsid w:val="009F42A3"/>
    <w:rsid w:val="009F4392"/>
    <w:rsid w:val="009F4A67"/>
    <w:rsid w:val="009F4AF5"/>
    <w:rsid w:val="009F4F53"/>
    <w:rsid w:val="009F52D5"/>
    <w:rsid w:val="009F5510"/>
    <w:rsid w:val="009F55E1"/>
    <w:rsid w:val="009F5763"/>
    <w:rsid w:val="009F57CB"/>
    <w:rsid w:val="009F5A58"/>
    <w:rsid w:val="009F5A7D"/>
    <w:rsid w:val="009F5BDC"/>
    <w:rsid w:val="009F5C54"/>
    <w:rsid w:val="009F5EDD"/>
    <w:rsid w:val="009F67BB"/>
    <w:rsid w:val="009F6D3F"/>
    <w:rsid w:val="009F70BC"/>
    <w:rsid w:val="009F72DB"/>
    <w:rsid w:val="009F7620"/>
    <w:rsid w:val="009F76B6"/>
    <w:rsid w:val="009F7807"/>
    <w:rsid w:val="009F7CE9"/>
    <w:rsid w:val="009F7CFB"/>
    <w:rsid w:val="009F7D9B"/>
    <w:rsid w:val="009F7E0C"/>
    <w:rsid w:val="00A00110"/>
    <w:rsid w:val="00A00219"/>
    <w:rsid w:val="00A002E2"/>
    <w:rsid w:val="00A00524"/>
    <w:rsid w:val="00A005E5"/>
    <w:rsid w:val="00A0085F"/>
    <w:rsid w:val="00A00E35"/>
    <w:rsid w:val="00A011EF"/>
    <w:rsid w:val="00A01411"/>
    <w:rsid w:val="00A014BF"/>
    <w:rsid w:val="00A014E3"/>
    <w:rsid w:val="00A01649"/>
    <w:rsid w:val="00A01AC9"/>
    <w:rsid w:val="00A02607"/>
    <w:rsid w:val="00A02675"/>
    <w:rsid w:val="00A02865"/>
    <w:rsid w:val="00A02C14"/>
    <w:rsid w:val="00A02E6B"/>
    <w:rsid w:val="00A02FF7"/>
    <w:rsid w:val="00A03557"/>
    <w:rsid w:val="00A035BB"/>
    <w:rsid w:val="00A035D9"/>
    <w:rsid w:val="00A03723"/>
    <w:rsid w:val="00A038DA"/>
    <w:rsid w:val="00A0391E"/>
    <w:rsid w:val="00A03AA8"/>
    <w:rsid w:val="00A03D43"/>
    <w:rsid w:val="00A040B3"/>
    <w:rsid w:val="00A042E2"/>
    <w:rsid w:val="00A04312"/>
    <w:rsid w:val="00A04380"/>
    <w:rsid w:val="00A04395"/>
    <w:rsid w:val="00A047BA"/>
    <w:rsid w:val="00A04858"/>
    <w:rsid w:val="00A04F74"/>
    <w:rsid w:val="00A04FCE"/>
    <w:rsid w:val="00A0506A"/>
    <w:rsid w:val="00A050EB"/>
    <w:rsid w:val="00A051B3"/>
    <w:rsid w:val="00A05572"/>
    <w:rsid w:val="00A05856"/>
    <w:rsid w:val="00A05BC8"/>
    <w:rsid w:val="00A05C78"/>
    <w:rsid w:val="00A06141"/>
    <w:rsid w:val="00A06209"/>
    <w:rsid w:val="00A06340"/>
    <w:rsid w:val="00A0642C"/>
    <w:rsid w:val="00A064BC"/>
    <w:rsid w:val="00A065A0"/>
    <w:rsid w:val="00A06764"/>
    <w:rsid w:val="00A06E44"/>
    <w:rsid w:val="00A07318"/>
    <w:rsid w:val="00A0777B"/>
    <w:rsid w:val="00A079ED"/>
    <w:rsid w:val="00A07ECB"/>
    <w:rsid w:val="00A103B8"/>
    <w:rsid w:val="00A10622"/>
    <w:rsid w:val="00A107E5"/>
    <w:rsid w:val="00A107F2"/>
    <w:rsid w:val="00A10C79"/>
    <w:rsid w:val="00A10D82"/>
    <w:rsid w:val="00A10E96"/>
    <w:rsid w:val="00A10FB9"/>
    <w:rsid w:val="00A110DB"/>
    <w:rsid w:val="00A1132E"/>
    <w:rsid w:val="00A11A07"/>
    <w:rsid w:val="00A11D82"/>
    <w:rsid w:val="00A127BF"/>
    <w:rsid w:val="00A128AF"/>
    <w:rsid w:val="00A12AA7"/>
    <w:rsid w:val="00A12B91"/>
    <w:rsid w:val="00A12DA5"/>
    <w:rsid w:val="00A12DF6"/>
    <w:rsid w:val="00A12E8C"/>
    <w:rsid w:val="00A13026"/>
    <w:rsid w:val="00A13142"/>
    <w:rsid w:val="00A131C6"/>
    <w:rsid w:val="00A1376C"/>
    <w:rsid w:val="00A13830"/>
    <w:rsid w:val="00A138E8"/>
    <w:rsid w:val="00A138FA"/>
    <w:rsid w:val="00A13948"/>
    <w:rsid w:val="00A13A2C"/>
    <w:rsid w:val="00A13B0E"/>
    <w:rsid w:val="00A13B25"/>
    <w:rsid w:val="00A13E26"/>
    <w:rsid w:val="00A1408B"/>
    <w:rsid w:val="00A14120"/>
    <w:rsid w:val="00A1414B"/>
    <w:rsid w:val="00A147DD"/>
    <w:rsid w:val="00A1492E"/>
    <w:rsid w:val="00A150F2"/>
    <w:rsid w:val="00A152C1"/>
    <w:rsid w:val="00A15478"/>
    <w:rsid w:val="00A1580C"/>
    <w:rsid w:val="00A15879"/>
    <w:rsid w:val="00A15AA4"/>
    <w:rsid w:val="00A15B16"/>
    <w:rsid w:val="00A15FF3"/>
    <w:rsid w:val="00A162BF"/>
    <w:rsid w:val="00A164E9"/>
    <w:rsid w:val="00A167AA"/>
    <w:rsid w:val="00A167B6"/>
    <w:rsid w:val="00A16955"/>
    <w:rsid w:val="00A16957"/>
    <w:rsid w:val="00A17022"/>
    <w:rsid w:val="00A170B4"/>
    <w:rsid w:val="00A17390"/>
    <w:rsid w:val="00A173AB"/>
    <w:rsid w:val="00A175A3"/>
    <w:rsid w:val="00A177B8"/>
    <w:rsid w:val="00A177BC"/>
    <w:rsid w:val="00A17A71"/>
    <w:rsid w:val="00A17B32"/>
    <w:rsid w:val="00A17CD3"/>
    <w:rsid w:val="00A17CD9"/>
    <w:rsid w:val="00A17D07"/>
    <w:rsid w:val="00A17FB8"/>
    <w:rsid w:val="00A20266"/>
    <w:rsid w:val="00A203AA"/>
    <w:rsid w:val="00A203D5"/>
    <w:rsid w:val="00A20B20"/>
    <w:rsid w:val="00A20C2F"/>
    <w:rsid w:val="00A20F9F"/>
    <w:rsid w:val="00A21113"/>
    <w:rsid w:val="00A213D1"/>
    <w:rsid w:val="00A2163A"/>
    <w:rsid w:val="00A21714"/>
    <w:rsid w:val="00A217DC"/>
    <w:rsid w:val="00A21D95"/>
    <w:rsid w:val="00A21F3B"/>
    <w:rsid w:val="00A22082"/>
    <w:rsid w:val="00A2246A"/>
    <w:rsid w:val="00A22742"/>
    <w:rsid w:val="00A2296F"/>
    <w:rsid w:val="00A22ABD"/>
    <w:rsid w:val="00A22B61"/>
    <w:rsid w:val="00A22BD5"/>
    <w:rsid w:val="00A22E3B"/>
    <w:rsid w:val="00A22F43"/>
    <w:rsid w:val="00A233C3"/>
    <w:rsid w:val="00A237F0"/>
    <w:rsid w:val="00A237FC"/>
    <w:rsid w:val="00A23943"/>
    <w:rsid w:val="00A23F52"/>
    <w:rsid w:val="00A24554"/>
    <w:rsid w:val="00A24946"/>
    <w:rsid w:val="00A2496C"/>
    <w:rsid w:val="00A24DD9"/>
    <w:rsid w:val="00A25083"/>
    <w:rsid w:val="00A250DF"/>
    <w:rsid w:val="00A25214"/>
    <w:rsid w:val="00A253B6"/>
    <w:rsid w:val="00A255DD"/>
    <w:rsid w:val="00A25688"/>
    <w:rsid w:val="00A257AF"/>
    <w:rsid w:val="00A25B43"/>
    <w:rsid w:val="00A25C2A"/>
    <w:rsid w:val="00A25DC4"/>
    <w:rsid w:val="00A25FE2"/>
    <w:rsid w:val="00A2644D"/>
    <w:rsid w:val="00A268E1"/>
    <w:rsid w:val="00A269C5"/>
    <w:rsid w:val="00A26ADB"/>
    <w:rsid w:val="00A26C24"/>
    <w:rsid w:val="00A2701B"/>
    <w:rsid w:val="00A2705B"/>
    <w:rsid w:val="00A27114"/>
    <w:rsid w:val="00A2750D"/>
    <w:rsid w:val="00A2776C"/>
    <w:rsid w:val="00A27939"/>
    <w:rsid w:val="00A27AEC"/>
    <w:rsid w:val="00A27B35"/>
    <w:rsid w:val="00A27B8B"/>
    <w:rsid w:val="00A27E37"/>
    <w:rsid w:val="00A300F5"/>
    <w:rsid w:val="00A303BB"/>
    <w:rsid w:val="00A306DE"/>
    <w:rsid w:val="00A306E1"/>
    <w:rsid w:val="00A30708"/>
    <w:rsid w:val="00A307C2"/>
    <w:rsid w:val="00A307CB"/>
    <w:rsid w:val="00A30BEE"/>
    <w:rsid w:val="00A30F3C"/>
    <w:rsid w:val="00A30F78"/>
    <w:rsid w:val="00A31388"/>
    <w:rsid w:val="00A318C9"/>
    <w:rsid w:val="00A31B79"/>
    <w:rsid w:val="00A31E3D"/>
    <w:rsid w:val="00A31E55"/>
    <w:rsid w:val="00A3204D"/>
    <w:rsid w:val="00A3220B"/>
    <w:rsid w:val="00A3287A"/>
    <w:rsid w:val="00A3298D"/>
    <w:rsid w:val="00A32A6D"/>
    <w:rsid w:val="00A32D9B"/>
    <w:rsid w:val="00A32E6F"/>
    <w:rsid w:val="00A33A8E"/>
    <w:rsid w:val="00A33BE2"/>
    <w:rsid w:val="00A33C92"/>
    <w:rsid w:val="00A33E54"/>
    <w:rsid w:val="00A33F20"/>
    <w:rsid w:val="00A33F7A"/>
    <w:rsid w:val="00A33F92"/>
    <w:rsid w:val="00A344D3"/>
    <w:rsid w:val="00A34832"/>
    <w:rsid w:val="00A34A6B"/>
    <w:rsid w:val="00A34BBC"/>
    <w:rsid w:val="00A34D70"/>
    <w:rsid w:val="00A34F29"/>
    <w:rsid w:val="00A350E4"/>
    <w:rsid w:val="00A3515F"/>
    <w:rsid w:val="00A3532F"/>
    <w:rsid w:val="00A356C1"/>
    <w:rsid w:val="00A357F4"/>
    <w:rsid w:val="00A3593C"/>
    <w:rsid w:val="00A35C57"/>
    <w:rsid w:val="00A35D16"/>
    <w:rsid w:val="00A35D8C"/>
    <w:rsid w:val="00A35DF0"/>
    <w:rsid w:val="00A35F20"/>
    <w:rsid w:val="00A36045"/>
    <w:rsid w:val="00A3605D"/>
    <w:rsid w:val="00A3634E"/>
    <w:rsid w:val="00A366D3"/>
    <w:rsid w:val="00A367FA"/>
    <w:rsid w:val="00A36BCB"/>
    <w:rsid w:val="00A36C67"/>
    <w:rsid w:val="00A36C8C"/>
    <w:rsid w:val="00A36EA4"/>
    <w:rsid w:val="00A36F05"/>
    <w:rsid w:val="00A3702F"/>
    <w:rsid w:val="00A37194"/>
    <w:rsid w:val="00A3748E"/>
    <w:rsid w:val="00A3752E"/>
    <w:rsid w:val="00A3775C"/>
    <w:rsid w:val="00A37778"/>
    <w:rsid w:val="00A37804"/>
    <w:rsid w:val="00A37843"/>
    <w:rsid w:val="00A3785F"/>
    <w:rsid w:val="00A37A60"/>
    <w:rsid w:val="00A37ABA"/>
    <w:rsid w:val="00A37EE9"/>
    <w:rsid w:val="00A37FEF"/>
    <w:rsid w:val="00A40011"/>
    <w:rsid w:val="00A401E5"/>
    <w:rsid w:val="00A401F6"/>
    <w:rsid w:val="00A40369"/>
    <w:rsid w:val="00A409AA"/>
    <w:rsid w:val="00A40D20"/>
    <w:rsid w:val="00A40F10"/>
    <w:rsid w:val="00A41130"/>
    <w:rsid w:val="00A41150"/>
    <w:rsid w:val="00A413EB"/>
    <w:rsid w:val="00A414C6"/>
    <w:rsid w:val="00A4177F"/>
    <w:rsid w:val="00A41978"/>
    <w:rsid w:val="00A41DA9"/>
    <w:rsid w:val="00A421E3"/>
    <w:rsid w:val="00A42205"/>
    <w:rsid w:val="00A42286"/>
    <w:rsid w:val="00A4235F"/>
    <w:rsid w:val="00A42470"/>
    <w:rsid w:val="00A42609"/>
    <w:rsid w:val="00A42887"/>
    <w:rsid w:val="00A42ACC"/>
    <w:rsid w:val="00A42B4C"/>
    <w:rsid w:val="00A42BEE"/>
    <w:rsid w:val="00A42CA4"/>
    <w:rsid w:val="00A42E26"/>
    <w:rsid w:val="00A431E1"/>
    <w:rsid w:val="00A438AA"/>
    <w:rsid w:val="00A439B4"/>
    <w:rsid w:val="00A43BFA"/>
    <w:rsid w:val="00A43C59"/>
    <w:rsid w:val="00A43D6F"/>
    <w:rsid w:val="00A43F1B"/>
    <w:rsid w:val="00A44035"/>
    <w:rsid w:val="00A44090"/>
    <w:rsid w:val="00A4425F"/>
    <w:rsid w:val="00A44605"/>
    <w:rsid w:val="00A44980"/>
    <w:rsid w:val="00A44BC8"/>
    <w:rsid w:val="00A44CF7"/>
    <w:rsid w:val="00A44E97"/>
    <w:rsid w:val="00A44F04"/>
    <w:rsid w:val="00A45519"/>
    <w:rsid w:val="00A45638"/>
    <w:rsid w:val="00A45A44"/>
    <w:rsid w:val="00A45B0E"/>
    <w:rsid w:val="00A45C2C"/>
    <w:rsid w:val="00A45DE5"/>
    <w:rsid w:val="00A46348"/>
    <w:rsid w:val="00A46744"/>
    <w:rsid w:val="00A46776"/>
    <w:rsid w:val="00A46A23"/>
    <w:rsid w:val="00A46D50"/>
    <w:rsid w:val="00A46D55"/>
    <w:rsid w:val="00A4716D"/>
    <w:rsid w:val="00A474CB"/>
    <w:rsid w:val="00A47557"/>
    <w:rsid w:val="00A4766A"/>
    <w:rsid w:val="00A476EA"/>
    <w:rsid w:val="00A47AD4"/>
    <w:rsid w:val="00A47CC0"/>
    <w:rsid w:val="00A501BE"/>
    <w:rsid w:val="00A50433"/>
    <w:rsid w:val="00A506AF"/>
    <w:rsid w:val="00A50776"/>
    <w:rsid w:val="00A50B76"/>
    <w:rsid w:val="00A50ECD"/>
    <w:rsid w:val="00A510FF"/>
    <w:rsid w:val="00A51897"/>
    <w:rsid w:val="00A51958"/>
    <w:rsid w:val="00A51AA2"/>
    <w:rsid w:val="00A51AFC"/>
    <w:rsid w:val="00A51B74"/>
    <w:rsid w:val="00A51D16"/>
    <w:rsid w:val="00A524BF"/>
    <w:rsid w:val="00A52512"/>
    <w:rsid w:val="00A52729"/>
    <w:rsid w:val="00A528E3"/>
    <w:rsid w:val="00A52B90"/>
    <w:rsid w:val="00A530A8"/>
    <w:rsid w:val="00A53411"/>
    <w:rsid w:val="00A53642"/>
    <w:rsid w:val="00A53675"/>
    <w:rsid w:val="00A537FC"/>
    <w:rsid w:val="00A53CE8"/>
    <w:rsid w:val="00A53D90"/>
    <w:rsid w:val="00A541F3"/>
    <w:rsid w:val="00A546E0"/>
    <w:rsid w:val="00A549F6"/>
    <w:rsid w:val="00A54C35"/>
    <w:rsid w:val="00A54E7A"/>
    <w:rsid w:val="00A54FE5"/>
    <w:rsid w:val="00A55112"/>
    <w:rsid w:val="00A55389"/>
    <w:rsid w:val="00A554A2"/>
    <w:rsid w:val="00A557EC"/>
    <w:rsid w:val="00A55880"/>
    <w:rsid w:val="00A55E1C"/>
    <w:rsid w:val="00A5647F"/>
    <w:rsid w:val="00A564CE"/>
    <w:rsid w:val="00A56511"/>
    <w:rsid w:val="00A5676B"/>
    <w:rsid w:val="00A56822"/>
    <w:rsid w:val="00A56989"/>
    <w:rsid w:val="00A56B61"/>
    <w:rsid w:val="00A56B6A"/>
    <w:rsid w:val="00A56D2E"/>
    <w:rsid w:val="00A57227"/>
    <w:rsid w:val="00A57306"/>
    <w:rsid w:val="00A578DC"/>
    <w:rsid w:val="00A57AD6"/>
    <w:rsid w:val="00A57ED4"/>
    <w:rsid w:val="00A6017A"/>
    <w:rsid w:val="00A602EB"/>
    <w:rsid w:val="00A6038B"/>
    <w:rsid w:val="00A603A5"/>
    <w:rsid w:val="00A60574"/>
    <w:rsid w:val="00A6066A"/>
    <w:rsid w:val="00A60815"/>
    <w:rsid w:val="00A60820"/>
    <w:rsid w:val="00A60A85"/>
    <w:rsid w:val="00A60AA2"/>
    <w:rsid w:val="00A60CF7"/>
    <w:rsid w:val="00A60F40"/>
    <w:rsid w:val="00A60F8F"/>
    <w:rsid w:val="00A6101E"/>
    <w:rsid w:val="00A61497"/>
    <w:rsid w:val="00A619AC"/>
    <w:rsid w:val="00A61B46"/>
    <w:rsid w:val="00A61C9E"/>
    <w:rsid w:val="00A61D68"/>
    <w:rsid w:val="00A61D93"/>
    <w:rsid w:val="00A61D9C"/>
    <w:rsid w:val="00A62123"/>
    <w:rsid w:val="00A624D6"/>
    <w:rsid w:val="00A62543"/>
    <w:rsid w:val="00A62562"/>
    <w:rsid w:val="00A62923"/>
    <w:rsid w:val="00A62A7A"/>
    <w:rsid w:val="00A62AF1"/>
    <w:rsid w:val="00A62B44"/>
    <w:rsid w:val="00A62B52"/>
    <w:rsid w:val="00A63022"/>
    <w:rsid w:val="00A6310B"/>
    <w:rsid w:val="00A6359C"/>
    <w:rsid w:val="00A63BD7"/>
    <w:rsid w:val="00A64365"/>
    <w:rsid w:val="00A64483"/>
    <w:rsid w:val="00A64EDD"/>
    <w:rsid w:val="00A650A0"/>
    <w:rsid w:val="00A65444"/>
    <w:rsid w:val="00A6547E"/>
    <w:rsid w:val="00A656E4"/>
    <w:rsid w:val="00A65821"/>
    <w:rsid w:val="00A65B78"/>
    <w:rsid w:val="00A65C73"/>
    <w:rsid w:val="00A65E82"/>
    <w:rsid w:val="00A65E9F"/>
    <w:rsid w:val="00A65EE0"/>
    <w:rsid w:val="00A66087"/>
    <w:rsid w:val="00A660C6"/>
    <w:rsid w:val="00A6641B"/>
    <w:rsid w:val="00A6642F"/>
    <w:rsid w:val="00A66573"/>
    <w:rsid w:val="00A6657D"/>
    <w:rsid w:val="00A668AF"/>
    <w:rsid w:val="00A66B49"/>
    <w:rsid w:val="00A66C3B"/>
    <w:rsid w:val="00A66FE3"/>
    <w:rsid w:val="00A67095"/>
    <w:rsid w:val="00A6725B"/>
    <w:rsid w:val="00A672D0"/>
    <w:rsid w:val="00A674EF"/>
    <w:rsid w:val="00A6799D"/>
    <w:rsid w:val="00A67AA2"/>
    <w:rsid w:val="00A67B75"/>
    <w:rsid w:val="00A67CEC"/>
    <w:rsid w:val="00A70055"/>
    <w:rsid w:val="00A70431"/>
    <w:rsid w:val="00A70754"/>
    <w:rsid w:val="00A70B14"/>
    <w:rsid w:val="00A70DAC"/>
    <w:rsid w:val="00A70F5D"/>
    <w:rsid w:val="00A71027"/>
    <w:rsid w:val="00A71254"/>
    <w:rsid w:val="00A71377"/>
    <w:rsid w:val="00A7176C"/>
    <w:rsid w:val="00A71A20"/>
    <w:rsid w:val="00A71BBD"/>
    <w:rsid w:val="00A72029"/>
    <w:rsid w:val="00A72097"/>
    <w:rsid w:val="00A72170"/>
    <w:rsid w:val="00A721CC"/>
    <w:rsid w:val="00A727AA"/>
    <w:rsid w:val="00A72ACA"/>
    <w:rsid w:val="00A73134"/>
    <w:rsid w:val="00A7322E"/>
    <w:rsid w:val="00A73279"/>
    <w:rsid w:val="00A733BB"/>
    <w:rsid w:val="00A733E5"/>
    <w:rsid w:val="00A73669"/>
    <w:rsid w:val="00A739AE"/>
    <w:rsid w:val="00A739FA"/>
    <w:rsid w:val="00A73F23"/>
    <w:rsid w:val="00A74025"/>
    <w:rsid w:val="00A740E5"/>
    <w:rsid w:val="00A742EA"/>
    <w:rsid w:val="00A74603"/>
    <w:rsid w:val="00A746A3"/>
    <w:rsid w:val="00A7470B"/>
    <w:rsid w:val="00A74822"/>
    <w:rsid w:val="00A749BE"/>
    <w:rsid w:val="00A74AF7"/>
    <w:rsid w:val="00A74D93"/>
    <w:rsid w:val="00A74E62"/>
    <w:rsid w:val="00A74E83"/>
    <w:rsid w:val="00A74EA2"/>
    <w:rsid w:val="00A74F2B"/>
    <w:rsid w:val="00A7503F"/>
    <w:rsid w:val="00A7506B"/>
    <w:rsid w:val="00A7521C"/>
    <w:rsid w:val="00A75316"/>
    <w:rsid w:val="00A75469"/>
    <w:rsid w:val="00A758C2"/>
    <w:rsid w:val="00A7599D"/>
    <w:rsid w:val="00A75B32"/>
    <w:rsid w:val="00A764D1"/>
    <w:rsid w:val="00A76530"/>
    <w:rsid w:val="00A766D8"/>
    <w:rsid w:val="00A76B5F"/>
    <w:rsid w:val="00A77032"/>
    <w:rsid w:val="00A77372"/>
    <w:rsid w:val="00A77683"/>
    <w:rsid w:val="00A776A2"/>
    <w:rsid w:val="00A77836"/>
    <w:rsid w:val="00A77A57"/>
    <w:rsid w:val="00A800A6"/>
    <w:rsid w:val="00A8011D"/>
    <w:rsid w:val="00A80554"/>
    <w:rsid w:val="00A80A0D"/>
    <w:rsid w:val="00A80AC3"/>
    <w:rsid w:val="00A80B3A"/>
    <w:rsid w:val="00A80B82"/>
    <w:rsid w:val="00A80FB9"/>
    <w:rsid w:val="00A811DF"/>
    <w:rsid w:val="00A8155C"/>
    <w:rsid w:val="00A818D5"/>
    <w:rsid w:val="00A81986"/>
    <w:rsid w:val="00A81C9A"/>
    <w:rsid w:val="00A8231E"/>
    <w:rsid w:val="00A8264C"/>
    <w:rsid w:val="00A8272D"/>
    <w:rsid w:val="00A82A45"/>
    <w:rsid w:val="00A82A51"/>
    <w:rsid w:val="00A82B62"/>
    <w:rsid w:val="00A82DAF"/>
    <w:rsid w:val="00A82E66"/>
    <w:rsid w:val="00A82E93"/>
    <w:rsid w:val="00A82F03"/>
    <w:rsid w:val="00A836D4"/>
    <w:rsid w:val="00A83B1B"/>
    <w:rsid w:val="00A83B43"/>
    <w:rsid w:val="00A83C11"/>
    <w:rsid w:val="00A83C35"/>
    <w:rsid w:val="00A83C38"/>
    <w:rsid w:val="00A83D18"/>
    <w:rsid w:val="00A842A7"/>
    <w:rsid w:val="00A843B5"/>
    <w:rsid w:val="00A844DB"/>
    <w:rsid w:val="00A8459E"/>
    <w:rsid w:val="00A84854"/>
    <w:rsid w:val="00A84A67"/>
    <w:rsid w:val="00A84AD7"/>
    <w:rsid w:val="00A850D2"/>
    <w:rsid w:val="00A85382"/>
    <w:rsid w:val="00A85705"/>
    <w:rsid w:val="00A8575F"/>
    <w:rsid w:val="00A85C2B"/>
    <w:rsid w:val="00A85CA5"/>
    <w:rsid w:val="00A85DC4"/>
    <w:rsid w:val="00A85E0E"/>
    <w:rsid w:val="00A860C2"/>
    <w:rsid w:val="00A86198"/>
    <w:rsid w:val="00A862FD"/>
    <w:rsid w:val="00A8636F"/>
    <w:rsid w:val="00A865CF"/>
    <w:rsid w:val="00A865EC"/>
    <w:rsid w:val="00A86741"/>
    <w:rsid w:val="00A86809"/>
    <w:rsid w:val="00A8680A"/>
    <w:rsid w:val="00A86DC2"/>
    <w:rsid w:val="00A86DEF"/>
    <w:rsid w:val="00A86E8B"/>
    <w:rsid w:val="00A86ECF"/>
    <w:rsid w:val="00A870CD"/>
    <w:rsid w:val="00A87642"/>
    <w:rsid w:val="00A87A00"/>
    <w:rsid w:val="00A87CC2"/>
    <w:rsid w:val="00A87D1B"/>
    <w:rsid w:val="00A87E6D"/>
    <w:rsid w:val="00A87F82"/>
    <w:rsid w:val="00A90222"/>
    <w:rsid w:val="00A903FA"/>
    <w:rsid w:val="00A90566"/>
    <w:rsid w:val="00A9061F"/>
    <w:rsid w:val="00A907CB"/>
    <w:rsid w:val="00A909E3"/>
    <w:rsid w:val="00A90B9D"/>
    <w:rsid w:val="00A90C22"/>
    <w:rsid w:val="00A90EA3"/>
    <w:rsid w:val="00A910E0"/>
    <w:rsid w:val="00A91CEB"/>
    <w:rsid w:val="00A91D72"/>
    <w:rsid w:val="00A91F24"/>
    <w:rsid w:val="00A9208B"/>
    <w:rsid w:val="00A920FE"/>
    <w:rsid w:val="00A92FB8"/>
    <w:rsid w:val="00A93072"/>
    <w:rsid w:val="00A932F9"/>
    <w:rsid w:val="00A9383D"/>
    <w:rsid w:val="00A93BFC"/>
    <w:rsid w:val="00A94064"/>
    <w:rsid w:val="00A94243"/>
    <w:rsid w:val="00A942DF"/>
    <w:rsid w:val="00A94424"/>
    <w:rsid w:val="00A94517"/>
    <w:rsid w:val="00A94991"/>
    <w:rsid w:val="00A94C48"/>
    <w:rsid w:val="00A94D5C"/>
    <w:rsid w:val="00A94D9C"/>
    <w:rsid w:val="00A95218"/>
    <w:rsid w:val="00A9522A"/>
    <w:rsid w:val="00A9527C"/>
    <w:rsid w:val="00A95404"/>
    <w:rsid w:val="00A954C4"/>
    <w:rsid w:val="00A95615"/>
    <w:rsid w:val="00A95798"/>
    <w:rsid w:val="00A9585B"/>
    <w:rsid w:val="00A959D8"/>
    <w:rsid w:val="00A95A40"/>
    <w:rsid w:val="00A95EF2"/>
    <w:rsid w:val="00A96183"/>
    <w:rsid w:val="00A96512"/>
    <w:rsid w:val="00A9694D"/>
    <w:rsid w:val="00A96BA6"/>
    <w:rsid w:val="00A96FEE"/>
    <w:rsid w:val="00A97051"/>
    <w:rsid w:val="00A973B7"/>
    <w:rsid w:val="00A97580"/>
    <w:rsid w:val="00A9761E"/>
    <w:rsid w:val="00A97A7A"/>
    <w:rsid w:val="00A97AA4"/>
    <w:rsid w:val="00A97AE5"/>
    <w:rsid w:val="00A97B2B"/>
    <w:rsid w:val="00A97D46"/>
    <w:rsid w:val="00A97F1E"/>
    <w:rsid w:val="00AA00F9"/>
    <w:rsid w:val="00AA0426"/>
    <w:rsid w:val="00AA07ED"/>
    <w:rsid w:val="00AA1022"/>
    <w:rsid w:val="00AA142D"/>
    <w:rsid w:val="00AA1595"/>
    <w:rsid w:val="00AA164F"/>
    <w:rsid w:val="00AA176A"/>
    <w:rsid w:val="00AA192A"/>
    <w:rsid w:val="00AA1D00"/>
    <w:rsid w:val="00AA1DBE"/>
    <w:rsid w:val="00AA1DDF"/>
    <w:rsid w:val="00AA21BF"/>
    <w:rsid w:val="00AA21C3"/>
    <w:rsid w:val="00AA2762"/>
    <w:rsid w:val="00AA2A13"/>
    <w:rsid w:val="00AA2B10"/>
    <w:rsid w:val="00AA2EC0"/>
    <w:rsid w:val="00AA307F"/>
    <w:rsid w:val="00AA3B45"/>
    <w:rsid w:val="00AA3E7B"/>
    <w:rsid w:val="00AA3E84"/>
    <w:rsid w:val="00AA3F18"/>
    <w:rsid w:val="00AA4150"/>
    <w:rsid w:val="00AA4662"/>
    <w:rsid w:val="00AA4703"/>
    <w:rsid w:val="00AA4AE7"/>
    <w:rsid w:val="00AA4B54"/>
    <w:rsid w:val="00AA4B7A"/>
    <w:rsid w:val="00AA4C34"/>
    <w:rsid w:val="00AA4D49"/>
    <w:rsid w:val="00AA4DFF"/>
    <w:rsid w:val="00AA5068"/>
    <w:rsid w:val="00AA5084"/>
    <w:rsid w:val="00AA53AD"/>
    <w:rsid w:val="00AA5483"/>
    <w:rsid w:val="00AA58D7"/>
    <w:rsid w:val="00AA59FD"/>
    <w:rsid w:val="00AA5A46"/>
    <w:rsid w:val="00AA5A5B"/>
    <w:rsid w:val="00AA5B63"/>
    <w:rsid w:val="00AA5C4C"/>
    <w:rsid w:val="00AA5F36"/>
    <w:rsid w:val="00AA6107"/>
    <w:rsid w:val="00AA629B"/>
    <w:rsid w:val="00AA6521"/>
    <w:rsid w:val="00AA6BF4"/>
    <w:rsid w:val="00AA6D27"/>
    <w:rsid w:val="00AA6E2A"/>
    <w:rsid w:val="00AA6FDF"/>
    <w:rsid w:val="00AA6FE5"/>
    <w:rsid w:val="00AA70CE"/>
    <w:rsid w:val="00AA71B3"/>
    <w:rsid w:val="00AA7460"/>
    <w:rsid w:val="00AA7703"/>
    <w:rsid w:val="00AA7878"/>
    <w:rsid w:val="00AA79FB"/>
    <w:rsid w:val="00AA7EEB"/>
    <w:rsid w:val="00AB0040"/>
    <w:rsid w:val="00AB0190"/>
    <w:rsid w:val="00AB0293"/>
    <w:rsid w:val="00AB042A"/>
    <w:rsid w:val="00AB0705"/>
    <w:rsid w:val="00AB0A0D"/>
    <w:rsid w:val="00AB0BCA"/>
    <w:rsid w:val="00AB0E4D"/>
    <w:rsid w:val="00AB0EF7"/>
    <w:rsid w:val="00AB12AB"/>
    <w:rsid w:val="00AB13CE"/>
    <w:rsid w:val="00AB16A2"/>
    <w:rsid w:val="00AB177E"/>
    <w:rsid w:val="00AB1936"/>
    <w:rsid w:val="00AB1C5E"/>
    <w:rsid w:val="00AB1C60"/>
    <w:rsid w:val="00AB1E64"/>
    <w:rsid w:val="00AB2174"/>
    <w:rsid w:val="00AB2235"/>
    <w:rsid w:val="00AB224E"/>
    <w:rsid w:val="00AB235D"/>
    <w:rsid w:val="00AB237B"/>
    <w:rsid w:val="00AB23C6"/>
    <w:rsid w:val="00AB271B"/>
    <w:rsid w:val="00AB2794"/>
    <w:rsid w:val="00AB2961"/>
    <w:rsid w:val="00AB2D34"/>
    <w:rsid w:val="00AB2D83"/>
    <w:rsid w:val="00AB2F68"/>
    <w:rsid w:val="00AB2F73"/>
    <w:rsid w:val="00AB30CD"/>
    <w:rsid w:val="00AB3430"/>
    <w:rsid w:val="00AB3555"/>
    <w:rsid w:val="00AB39AD"/>
    <w:rsid w:val="00AB3C4E"/>
    <w:rsid w:val="00AB3C52"/>
    <w:rsid w:val="00AB3D6E"/>
    <w:rsid w:val="00AB3E29"/>
    <w:rsid w:val="00AB3F57"/>
    <w:rsid w:val="00AB404E"/>
    <w:rsid w:val="00AB42A1"/>
    <w:rsid w:val="00AB4408"/>
    <w:rsid w:val="00AB457F"/>
    <w:rsid w:val="00AB45AB"/>
    <w:rsid w:val="00AB498F"/>
    <w:rsid w:val="00AB4F03"/>
    <w:rsid w:val="00AB52D3"/>
    <w:rsid w:val="00AB531A"/>
    <w:rsid w:val="00AB531B"/>
    <w:rsid w:val="00AB5337"/>
    <w:rsid w:val="00AB5531"/>
    <w:rsid w:val="00AB555D"/>
    <w:rsid w:val="00AB58BA"/>
    <w:rsid w:val="00AB5A03"/>
    <w:rsid w:val="00AB5D83"/>
    <w:rsid w:val="00AB6067"/>
    <w:rsid w:val="00AB609F"/>
    <w:rsid w:val="00AB6209"/>
    <w:rsid w:val="00AB62DF"/>
    <w:rsid w:val="00AB6323"/>
    <w:rsid w:val="00AB6342"/>
    <w:rsid w:val="00AB6362"/>
    <w:rsid w:val="00AB67B4"/>
    <w:rsid w:val="00AB6834"/>
    <w:rsid w:val="00AB6B13"/>
    <w:rsid w:val="00AB6EC6"/>
    <w:rsid w:val="00AB6F0F"/>
    <w:rsid w:val="00AB7164"/>
    <w:rsid w:val="00AB7235"/>
    <w:rsid w:val="00AB74A1"/>
    <w:rsid w:val="00AB7623"/>
    <w:rsid w:val="00AB774A"/>
    <w:rsid w:val="00AB78B8"/>
    <w:rsid w:val="00AB794C"/>
    <w:rsid w:val="00AB7CFA"/>
    <w:rsid w:val="00AC009A"/>
    <w:rsid w:val="00AC00E2"/>
    <w:rsid w:val="00AC0AC1"/>
    <w:rsid w:val="00AC0D72"/>
    <w:rsid w:val="00AC0D96"/>
    <w:rsid w:val="00AC0DEA"/>
    <w:rsid w:val="00AC1168"/>
    <w:rsid w:val="00AC1272"/>
    <w:rsid w:val="00AC1325"/>
    <w:rsid w:val="00AC147B"/>
    <w:rsid w:val="00AC1517"/>
    <w:rsid w:val="00AC1646"/>
    <w:rsid w:val="00AC1765"/>
    <w:rsid w:val="00AC1A14"/>
    <w:rsid w:val="00AC1A6A"/>
    <w:rsid w:val="00AC1B14"/>
    <w:rsid w:val="00AC1B59"/>
    <w:rsid w:val="00AC1C08"/>
    <w:rsid w:val="00AC1D6F"/>
    <w:rsid w:val="00AC1DB2"/>
    <w:rsid w:val="00AC200F"/>
    <w:rsid w:val="00AC256E"/>
    <w:rsid w:val="00AC2628"/>
    <w:rsid w:val="00AC269E"/>
    <w:rsid w:val="00AC2835"/>
    <w:rsid w:val="00AC2906"/>
    <w:rsid w:val="00AC29FB"/>
    <w:rsid w:val="00AC2A73"/>
    <w:rsid w:val="00AC2A81"/>
    <w:rsid w:val="00AC2E85"/>
    <w:rsid w:val="00AC3074"/>
    <w:rsid w:val="00AC30AE"/>
    <w:rsid w:val="00AC3157"/>
    <w:rsid w:val="00AC315B"/>
    <w:rsid w:val="00AC32D7"/>
    <w:rsid w:val="00AC3396"/>
    <w:rsid w:val="00AC3473"/>
    <w:rsid w:val="00AC3588"/>
    <w:rsid w:val="00AC360F"/>
    <w:rsid w:val="00AC3719"/>
    <w:rsid w:val="00AC3A0D"/>
    <w:rsid w:val="00AC3B34"/>
    <w:rsid w:val="00AC3BD2"/>
    <w:rsid w:val="00AC402A"/>
    <w:rsid w:val="00AC40FB"/>
    <w:rsid w:val="00AC4254"/>
    <w:rsid w:val="00AC4332"/>
    <w:rsid w:val="00AC43B0"/>
    <w:rsid w:val="00AC466A"/>
    <w:rsid w:val="00AC47A0"/>
    <w:rsid w:val="00AC48B2"/>
    <w:rsid w:val="00AC48EF"/>
    <w:rsid w:val="00AC4F4E"/>
    <w:rsid w:val="00AC5475"/>
    <w:rsid w:val="00AC55AC"/>
    <w:rsid w:val="00AC5B82"/>
    <w:rsid w:val="00AC5E37"/>
    <w:rsid w:val="00AC60F2"/>
    <w:rsid w:val="00AC6198"/>
    <w:rsid w:val="00AC625A"/>
    <w:rsid w:val="00AC639B"/>
    <w:rsid w:val="00AC65D5"/>
    <w:rsid w:val="00AC68F1"/>
    <w:rsid w:val="00AC694F"/>
    <w:rsid w:val="00AC6F0C"/>
    <w:rsid w:val="00AC6F25"/>
    <w:rsid w:val="00AC6F29"/>
    <w:rsid w:val="00AC7496"/>
    <w:rsid w:val="00AC7542"/>
    <w:rsid w:val="00AC759B"/>
    <w:rsid w:val="00AC7EB0"/>
    <w:rsid w:val="00AD0132"/>
    <w:rsid w:val="00AD015C"/>
    <w:rsid w:val="00AD0184"/>
    <w:rsid w:val="00AD0191"/>
    <w:rsid w:val="00AD0296"/>
    <w:rsid w:val="00AD0614"/>
    <w:rsid w:val="00AD0814"/>
    <w:rsid w:val="00AD083F"/>
    <w:rsid w:val="00AD0EE7"/>
    <w:rsid w:val="00AD1276"/>
    <w:rsid w:val="00AD12A9"/>
    <w:rsid w:val="00AD139C"/>
    <w:rsid w:val="00AD141F"/>
    <w:rsid w:val="00AD1A4F"/>
    <w:rsid w:val="00AD1ABD"/>
    <w:rsid w:val="00AD1C69"/>
    <w:rsid w:val="00AD2346"/>
    <w:rsid w:val="00AD2741"/>
    <w:rsid w:val="00AD27D4"/>
    <w:rsid w:val="00AD29D3"/>
    <w:rsid w:val="00AD2B70"/>
    <w:rsid w:val="00AD2CFA"/>
    <w:rsid w:val="00AD3057"/>
    <w:rsid w:val="00AD3576"/>
    <w:rsid w:val="00AD3808"/>
    <w:rsid w:val="00AD3AD9"/>
    <w:rsid w:val="00AD3CDC"/>
    <w:rsid w:val="00AD3F05"/>
    <w:rsid w:val="00AD440A"/>
    <w:rsid w:val="00AD470E"/>
    <w:rsid w:val="00AD4CFF"/>
    <w:rsid w:val="00AD4D93"/>
    <w:rsid w:val="00AD51CF"/>
    <w:rsid w:val="00AD51FA"/>
    <w:rsid w:val="00AD52BD"/>
    <w:rsid w:val="00AD54CC"/>
    <w:rsid w:val="00AD5526"/>
    <w:rsid w:val="00AD5555"/>
    <w:rsid w:val="00AD5A19"/>
    <w:rsid w:val="00AD5DF1"/>
    <w:rsid w:val="00AD62FB"/>
    <w:rsid w:val="00AD66DE"/>
    <w:rsid w:val="00AD679C"/>
    <w:rsid w:val="00AD6C00"/>
    <w:rsid w:val="00AD6D70"/>
    <w:rsid w:val="00AD7454"/>
    <w:rsid w:val="00AD75F3"/>
    <w:rsid w:val="00AD76B0"/>
    <w:rsid w:val="00AD7B87"/>
    <w:rsid w:val="00AD7D60"/>
    <w:rsid w:val="00AD7FE2"/>
    <w:rsid w:val="00AE030A"/>
    <w:rsid w:val="00AE03C4"/>
    <w:rsid w:val="00AE0890"/>
    <w:rsid w:val="00AE08D9"/>
    <w:rsid w:val="00AE09B0"/>
    <w:rsid w:val="00AE09F8"/>
    <w:rsid w:val="00AE0BE0"/>
    <w:rsid w:val="00AE0BEC"/>
    <w:rsid w:val="00AE0D2E"/>
    <w:rsid w:val="00AE1053"/>
    <w:rsid w:val="00AE13AF"/>
    <w:rsid w:val="00AE16D8"/>
    <w:rsid w:val="00AE172D"/>
    <w:rsid w:val="00AE180F"/>
    <w:rsid w:val="00AE1822"/>
    <w:rsid w:val="00AE182C"/>
    <w:rsid w:val="00AE18FE"/>
    <w:rsid w:val="00AE1C8C"/>
    <w:rsid w:val="00AE1E0F"/>
    <w:rsid w:val="00AE1F66"/>
    <w:rsid w:val="00AE1F95"/>
    <w:rsid w:val="00AE1FFC"/>
    <w:rsid w:val="00AE2050"/>
    <w:rsid w:val="00AE2190"/>
    <w:rsid w:val="00AE2208"/>
    <w:rsid w:val="00AE266A"/>
    <w:rsid w:val="00AE2939"/>
    <w:rsid w:val="00AE2947"/>
    <w:rsid w:val="00AE2B96"/>
    <w:rsid w:val="00AE2D74"/>
    <w:rsid w:val="00AE2E09"/>
    <w:rsid w:val="00AE2E79"/>
    <w:rsid w:val="00AE30A9"/>
    <w:rsid w:val="00AE3615"/>
    <w:rsid w:val="00AE3646"/>
    <w:rsid w:val="00AE365D"/>
    <w:rsid w:val="00AE38DB"/>
    <w:rsid w:val="00AE39D4"/>
    <w:rsid w:val="00AE3B1F"/>
    <w:rsid w:val="00AE3B27"/>
    <w:rsid w:val="00AE3BB9"/>
    <w:rsid w:val="00AE3D59"/>
    <w:rsid w:val="00AE3EC5"/>
    <w:rsid w:val="00AE4236"/>
    <w:rsid w:val="00AE42EA"/>
    <w:rsid w:val="00AE4300"/>
    <w:rsid w:val="00AE448D"/>
    <w:rsid w:val="00AE44EA"/>
    <w:rsid w:val="00AE45FE"/>
    <w:rsid w:val="00AE5241"/>
    <w:rsid w:val="00AE5506"/>
    <w:rsid w:val="00AE552E"/>
    <w:rsid w:val="00AE5C2B"/>
    <w:rsid w:val="00AE6038"/>
    <w:rsid w:val="00AE62DF"/>
    <w:rsid w:val="00AE6532"/>
    <w:rsid w:val="00AE6763"/>
    <w:rsid w:val="00AE6D30"/>
    <w:rsid w:val="00AE7161"/>
    <w:rsid w:val="00AE7311"/>
    <w:rsid w:val="00AE73DE"/>
    <w:rsid w:val="00AE744E"/>
    <w:rsid w:val="00AE75F3"/>
    <w:rsid w:val="00AE770D"/>
    <w:rsid w:val="00AE77DE"/>
    <w:rsid w:val="00AE7952"/>
    <w:rsid w:val="00AE7CE0"/>
    <w:rsid w:val="00AE7DEA"/>
    <w:rsid w:val="00AF00F4"/>
    <w:rsid w:val="00AF019C"/>
    <w:rsid w:val="00AF01D5"/>
    <w:rsid w:val="00AF0233"/>
    <w:rsid w:val="00AF0296"/>
    <w:rsid w:val="00AF05B3"/>
    <w:rsid w:val="00AF0802"/>
    <w:rsid w:val="00AF12BE"/>
    <w:rsid w:val="00AF1404"/>
    <w:rsid w:val="00AF16B5"/>
    <w:rsid w:val="00AF1BE9"/>
    <w:rsid w:val="00AF1EC2"/>
    <w:rsid w:val="00AF213B"/>
    <w:rsid w:val="00AF2461"/>
    <w:rsid w:val="00AF24F2"/>
    <w:rsid w:val="00AF2535"/>
    <w:rsid w:val="00AF2590"/>
    <w:rsid w:val="00AF26A8"/>
    <w:rsid w:val="00AF2AEC"/>
    <w:rsid w:val="00AF31DA"/>
    <w:rsid w:val="00AF338A"/>
    <w:rsid w:val="00AF33B2"/>
    <w:rsid w:val="00AF362D"/>
    <w:rsid w:val="00AF3648"/>
    <w:rsid w:val="00AF3841"/>
    <w:rsid w:val="00AF410F"/>
    <w:rsid w:val="00AF4376"/>
    <w:rsid w:val="00AF4694"/>
    <w:rsid w:val="00AF4719"/>
    <w:rsid w:val="00AF4744"/>
    <w:rsid w:val="00AF4EB5"/>
    <w:rsid w:val="00AF4F3A"/>
    <w:rsid w:val="00AF4F80"/>
    <w:rsid w:val="00AF51F0"/>
    <w:rsid w:val="00AF522F"/>
    <w:rsid w:val="00AF5589"/>
    <w:rsid w:val="00AF5B65"/>
    <w:rsid w:val="00AF5CFD"/>
    <w:rsid w:val="00AF5E0B"/>
    <w:rsid w:val="00AF5EBA"/>
    <w:rsid w:val="00AF60A7"/>
    <w:rsid w:val="00AF60F1"/>
    <w:rsid w:val="00AF6514"/>
    <w:rsid w:val="00AF66A6"/>
    <w:rsid w:val="00AF6718"/>
    <w:rsid w:val="00AF673C"/>
    <w:rsid w:val="00AF67F0"/>
    <w:rsid w:val="00AF69DE"/>
    <w:rsid w:val="00AF6C82"/>
    <w:rsid w:val="00AF6EF2"/>
    <w:rsid w:val="00AF6F21"/>
    <w:rsid w:val="00AF76A9"/>
    <w:rsid w:val="00AF793B"/>
    <w:rsid w:val="00AF7E7E"/>
    <w:rsid w:val="00B0079E"/>
    <w:rsid w:val="00B007AE"/>
    <w:rsid w:val="00B00A84"/>
    <w:rsid w:val="00B00C8C"/>
    <w:rsid w:val="00B00CBF"/>
    <w:rsid w:val="00B00EEE"/>
    <w:rsid w:val="00B015C5"/>
    <w:rsid w:val="00B0168C"/>
    <w:rsid w:val="00B0171B"/>
    <w:rsid w:val="00B01962"/>
    <w:rsid w:val="00B01CE5"/>
    <w:rsid w:val="00B01D0E"/>
    <w:rsid w:val="00B021EA"/>
    <w:rsid w:val="00B02264"/>
    <w:rsid w:val="00B02362"/>
    <w:rsid w:val="00B02947"/>
    <w:rsid w:val="00B02A1E"/>
    <w:rsid w:val="00B02C6B"/>
    <w:rsid w:val="00B0308A"/>
    <w:rsid w:val="00B031BA"/>
    <w:rsid w:val="00B03BE5"/>
    <w:rsid w:val="00B03F05"/>
    <w:rsid w:val="00B03FAA"/>
    <w:rsid w:val="00B04018"/>
    <w:rsid w:val="00B04210"/>
    <w:rsid w:val="00B0456B"/>
    <w:rsid w:val="00B04D0E"/>
    <w:rsid w:val="00B04DA9"/>
    <w:rsid w:val="00B04E06"/>
    <w:rsid w:val="00B0515A"/>
    <w:rsid w:val="00B051A1"/>
    <w:rsid w:val="00B05460"/>
    <w:rsid w:val="00B054FA"/>
    <w:rsid w:val="00B05554"/>
    <w:rsid w:val="00B0556C"/>
    <w:rsid w:val="00B055CF"/>
    <w:rsid w:val="00B05666"/>
    <w:rsid w:val="00B05863"/>
    <w:rsid w:val="00B05955"/>
    <w:rsid w:val="00B05A6B"/>
    <w:rsid w:val="00B05C2D"/>
    <w:rsid w:val="00B05DAD"/>
    <w:rsid w:val="00B05FF2"/>
    <w:rsid w:val="00B06014"/>
    <w:rsid w:val="00B06287"/>
    <w:rsid w:val="00B062A4"/>
    <w:rsid w:val="00B063B4"/>
    <w:rsid w:val="00B063FB"/>
    <w:rsid w:val="00B06525"/>
    <w:rsid w:val="00B066D0"/>
    <w:rsid w:val="00B069B0"/>
    <w:rsid w:val="00B069F5"/>
    <w:rsid w:val="00B06A5B"/>
    <w:rsid w:val="00B06B52"/>
    <w:rsid w:val="00B07153"/>
    <w:rsid w:val="00B07352"/>
    <w:rsid w:val="00B0746E"/>
    <w:rsid w:val="00B0759F"/>
    <w:rsid w:val="00B077DD"/>
    <w:rsid w:val="00B079F5"/>
    <w:rsid w:val="00B07AEE"/>
    <w:rsid w:val="00B07DB0"/>
    <w:rsid w:val="00B07E05"/>
    <w:rsid w:val="00B07EB9"/>
    <w:rsid w:val="00B07F04"/>
    <w:rsid w:val="00B07F8A"/>
    <w:rsid w:val="00B1008E"/>
    <w:rsid w:val="00B10515"/>
    <w:rsid w:val="00B10588"/>
    <w:rsid w:val="00B10D82"/>
    <w:rsid w:val="00B111CF"/>
    <w:rsid w:val="00B11222"/>
    <w:rsid w:val="00B117BB"/>
    <w:rsid w:val="00B11A47"/>
    <w:rsid w:val="00B11B61"/>
    <w:rsid w:val="00B11C06"/>
    <w:rsid w:val="00B11D59"/>
    <w:rsid w:val="00B11E41"/>
    <w:rsid w:val="00B12038"/>
    <w:rsid w:val="00B12201"/>
    <w:rsid w:val="00B124FC"/>
    <w:rsid w:val="00B124FE"/>
    <w:rsid w:val="00B12551"/>
    <w:rsid w:val="00B126B4"/>
    <w:rsid w:val="00B126FA"/>
    <w:rsid w:val="00B128D1"/>
    <w:rsid w:val="00B12C81"/>
    <w:rsid w:val="00B12D79"/>
    <w:rsid w:val="00B1300A"/>
    <w:rsid w:val="00B1308E"/>
    <w:rsid w:val="00B13310"/>
    <w:rsid w:val="00B136A8"/>
    <w:rsid w:val="00B136DA"/>
    <w:rsid w:val="00B13A9D"/>
    <w:rsid w:val="00B13B1C"/>
    <w:rsid w:val="00B13D1E"/>
    <w:rsid w:val="00B1406F"/>
    <w:rsid w:val="00B14191"/>
    <w:rsid w:val="00B142AE"/>
    <w:rsid w:val="00B143B7"/>
    <w:rsid w:val="00B14466"/>
    <w:rsid w:val="00B145C9"/>
    <w:rsid w:val="00B14617"/>
    <w:rsid w:val="00B14988"/>
    <w:rsid w:val="00B14BFD"/>
    <w:rsid w:val="00B14CC8"/>
    <w:rsid w:val="00B14D29"/>
    <w:rsid w:val="00B14F53"/>
    <w:rsid w:val="00B14FF0"/>
    <w:rsid w:val="00B151DF"/>
    <w:rsid w:val="00B154AB"/>
    <w:rsid w:val="00B1557A"/>
    <w:rsid w:val="00B156B1"/>
    <w:rsid w:val="00B15815"/>
    <w:rsid w:val="00B158DE"/>
    <w:rsid w:val="00B15C74"/>
    <w:rsid w:val="00B15E39"/>
    <w:rsid w:val="00B15FA2"/>
    <w:rsid w:val="00B1608C"/>
    <w:rsid w:val="00B162B5"/>
    <w:rsid w:val="00B169C0"/>
    <w:rsid w:val="00B169E8"/>
    <w:rsid w:val="00B16ADF"/>
    <w:rsid w:val="00B16DEE"/>
    <w:rsid w:val="00B17813"/>
    <w:rsid w:val="00B17ECE"/>
    <w:rsid w:val="00B202D8"/>
    <w:rsid w:val="00B2031C"/>
    <w:rsid w:val="00B2046C"/>
    <w:rsid w:val="00B2054D"/>
    <w:rsid w:val="00B2066D"/>
    <w:rsid w:val="00B20A96"/>
    <w:rsid w:val="00B20BDA"/>
    <w:rsid w:val="00B20C6E"/>
    <w:rsid w:val="00B20D94"/>
    <w:rsid w:val="00B20DAE"/>
    <w:rsid w:val="00B20E9F"/>
    <w:rsid w:val="00B21453"/>
    <w:rsid w:val="00B21489"/>
    <w:rsid w:val="00B21507"/>
    <w:rsid w:val="00B21553"/>
    <w:rsid w:val="00B21853"/>
    <w:rsid w:val="00B219BA"/>
    <w:rsid w:val="00B21AE6"/>
    <w:rsid w:val="00B21B02"/>
    <w:rsid w:val="00B21F22"/>
    <w:rsid w:val="00B21FA2"/>
    <w:rsid w:val="00B22193"/>
    <w:rsid w:val="00B223D9"/>
    <w:rsid w:val="00B2277B"/>
    <w:rsid w:val="00B22A4E"/>
    <w:rsid w:val="00B22F98"/>
    <w:rsid w:val="00B234E6"/>
    <w:rsid w:val="00B23524"/>
    <w:rsid w:val="00B23602"/>
    <w:rsid w:val="00B236BA"/>
    <w:rsid w:val="00B23ADC"/>
    <w:rsid w:val="00B23B63"/>
    <w:rsid w:val="00B23D19"/>
    <w:rsid w:val="00B23D32"/>
    <w:rsid w:val="00B23F36"/>
    <w:rsid w:val="00B23F8B"/>
    <w:rsid w:val="00B23FE8"/>
    <w:rsid w:val="00B2418C"/>
    <w:rsid w:val="00B242A5"/>
    <w:rsid w:val="00B2441C"/>
    <w:rsid w:val="00B24E8F"/>
    <w:rsid w:val="00B25406"/>
    <w:rsid w:val="00B25714"/>
    <w:rsid w:val="00B25773"/>
    <w:rsid w:val="00B257AE"/>
    <w:rsid w:val="00B25AA5"/>
    <w:rsid w:val="00B25B2C"/>
    <w:rsid w:val="00B25C3F"/>
    <w:rsid w:val="00B25CBB"/>
    <w:rsid w:val="00B25E03"/>
    <w:rsid w:val="00B26104"/>
    <w:rsid w:val="00B26415"/>
    <w:rsid w:val="00B26490"/>
    <w:rsid w:val="00B26560"/>
    <w:rsid w:val="00B26775"/>
    <w:rsid w:val="00B268CD"/>
    <w:rsid w:val="00B268EB"/>
    <w:rsid w:val="00B26B11"/>
    <w:rsid w:val="00B26B21"/>
    <w:rsid w:val="00B26BF8"/>
    <w:rsid w:val="00B26CAF"/>
    <w:rsid w:val="00B26E72"/>
    <w:rsid w:val="00B26EEB"/>
    <w:rsid w:val="00B27038"/>
    <w:rsid w:val="00B270FF"/>
    <w:rsid w:val="00B2751D"/>
    <w:rsid w:val="00B27899"/>
    <w:rsid w:val="00B27BAC"/>
    <w:rsid w:val="00B27C1E"/>
    <w:rsid w:val="00B27CBB"/>
    <w:rsid w:val="00B27E06"/>
    <w:rsid w:val="00B302C7"/>
    <w:rsid w:val="00B30347"/>
    <w:rsid w:val="00B304EC"/>
    <w:rsid w:val="00B30AA3"/>
    <w:rsid w:val="00B30D3B"/>
    <w:rsid w:val="00B30DA0"/>
    <w:rsid w:val="00B30E03"/>
    <w:rsid w:val="00B30E8A"/>
    <w:rsid w:val="00B31169"/>
    <w:rsid w:val="00B31271"/>
    <w:rsid w:val="00B313DA"/>
    <w:rsid w:val="00B31700"/>
    <w:rsid w:val="00B31903"/>
    <w:rsid w:val="00B31929"/>
    <w:rsid w:val="00B3192E"/>
    <w:rsid w:val="00B31A7E"/>
    <w:rsid w:val="00B32233"/>
    <w:rsid w:val="00B32482"/>
    <w:rsid w:val="00B32588"/>
    <w:rsid w:val="00B32A1F"/>
    <w:rsid w:val="00B32A2B"/>
    <w:rsid w:val="00B32A82"/>
    <w:rsid w:val="00B32B02"/>
    <w:rsid w:val="00B32C5C"/>
    <w:rsid w:val="00B32CB3"/>
    <w:rsid w:val="00B32EEA"/>
    <w:rsid w:val="00B32F9B"/>
    <w:rsid w:val="00B33783"/>
    <w:rsid w:val="00B33867"/>
    <w:rsid w:val="00B3390F"/>
    <w:rsid w:val="00B339EC"/>
    <w:rsid w:val="00B33AF5"/>
    <w:rsid w:val="00B33DC9"/>
    <w:rsid w:val="00B33E0D"/>
    <w:rsid w:val="00B33F8B"/>
    <w:rsid w:val="00B33FB1"/>
    <w:rsid w:val="00B34174"/>
    <w:rsid w:val="00B341FC"/>
    <w:rsid w:val="00B347B4"/>
    <w:rsid w:val="00B34955"/>
    <w:rsid w:val="00B34AB4"/>
    <w:rsid w:val="00B34D7A"/>
    <w:rsid w:val="00B355D6"/>
    <w:rsid w:val="00B358E3"/>
    <w:rsid w:val="00B3594C"/>
    <w:rsid w:val="00B35AAF"/>
    <w:rsid w:val="00B35ACF"/>
    <w:rsid w:val="00B35D71"/>
    <w:rsid w:val="00B35D93"/>
    <w:rsid w:val="00B360AE"/>
    <w:rsid w:val="00B36377"/>
    <w:rsid w:val="00B3679A"/>
    <w:rsid w:val="00B3691F"/>
    <w:rsid w:val="00B3694D"/>
    <w:rsid w:val="00B36B08"/>
    <w:rsid w:val="00B36B25"/>
    <w:rsid w:val="00B36BD5"/>
    <w:rsid w:val="00B36F3D"/>
    <w:rsid w:val="00B36F99"/>
    <w:rsid w:val="00B36FF6"/>
    <w:rsid w:val="00B377A4"/>
    <w:rsid w:val="00B37AA7"/>
    <w:rsid w:val="00B37E53"/>
    <w:rsid w:val="00B37E6A"/>
    <w:rsid w:val="00B37EF9"/>
    <w:rsid w:val="00B37F2D"/>
    <w:rsid w:val="00B37F6A"/>
    <w:rsid w:val="00B37F87"/>
    <w:rsid w:val="00B400FF"/>
    <w:rsid w:val="00B40193"/>
    <w:rsid w:val="00B407FD"/>
    <w:rsid w:val="00B408A1"/>
    <w:rsid w:val="00B40AA3"/>
    <w:rsid w:val="00B40D80"/>
    <w:rsid w:val="00B40FC3"/>
    <w:rsid w:val="00B412F6"/>
    <w:rsid w:val="00B41428"/>
    <w:rsid w:val="00B41545"/>
    <w:rsid w:val="00B41723"/>
    <w:rsid w:val="00B41737"/>
    <w:rsid w:val="00B41889"/>
    <w:rsid w:val="00B41B04"/>
    <w:rsid w:val="00B41B3F"/>
    <w:rsid w:val="00B41F5F"/>
    <w:rsid w:val="00B42033"/>
    <w:rsid w:val="00B424E2"/>
    <w:rsid w:val="00B42851"/>
    <w:rsid w:val="00B42A46"/>
    <w:rsid w:val="00B42C5C"/>
    <w:rsid w:val="00B42D6F"/>
    <w:rsid w:val="00B42FC2"/>
    <w:rsid w:val="00B43144"/>
    <w:rsid w:val="00B43387"/>
    <w:rsid w:val="00B4346D"/>
    <w:rsid w:val="00B436A7"/>
    <w:rsid w:val="00B43829"/>
    <w:rsid w:val="00B43865"/>
    <w:rsid w:val="00B438CA"/>
    <w:rsid w:val="00B4396B"/>
    <w:rsid w:val="00B43E00"/>
    <w:rsid w:val="00B43FFF"/>
    <w:rsid w:val="00B44149"/>
    <w:rsid w:val="00B44193"/>
    <w:rsid w:val="00B443B4"/>
    <w:rsid w:val="00B449F8"/>
    <w:rsid w:val="00B44D7A"/>
    <w:rsid w:val="00B44F29"/>
    <w:rsid w:val="00B4519F"/>
    <w:rsid w:val="00B45236"/>
    <w:rsid w:val="00B452F3"/>
    <w:rsid w:val="00B453E6"/>
    <w:rsid w:val="00B45426"/>
    <w:rsid w:val="00B4553E"/>
    <w:rsid w:val="00B45547"/>
    <w:rsid w:val="00B456ED"/>
    <w:rsid w:val="00B45932"/>
    <w:rsid w:val="00B462A6"/>
    <w:rsid w:val="00B4630F"/>
    <w:rsid w:val="00B46354"/>
    <w:rsid w:val="00B46A1B"/>
    <w:rsid w:val="00B46A7D"/>
    <w:rsid w:val="00B46AB6"/>
    <w:rsid w:val="00B472B4"/>
    <w:rsid w:val="00B4754F"/>
    <w:rsid w:val="00B475B1"/>
    <w:rsid w:val="00B47638"/>
    <w:rsid w:val="00B478AA"/>
    <w:rsid w:val="00B47FC9"/>
    <w:rsid w:val="00B500ED"/>
    <w:rsid w:val="00B501B6"/>
    <w:rsid w:val="00B50363"/>
    <w:rsid w:val="00B5039D"/>
    <w:rsid w:val="00B5059D"/>
    <w:rsid w:val="00B50A2D"/>
    <w:rsid w:val="00B50CBC"/>
    <w:rsid w:val="00B50DB8"/>
    <w:rsid w:val="00B50E0B"/>
    <w:rsid w:val="00B50F72"/>
    <w:rsid w:val="00B516AD"/>
    <w:rsid w:val="00B519AE"/>
    <w:rsid w:val="00B51DEA"/>
    <w:rsid w:val="00B51EA3"/>
    <w:rsid w:val="00B52208"/>
    <w:rsid w:val="00B5226A"/>
    <w:rsid w:val="00B522AA"/>
    <w:rsid w:val="00B5259F"/>
    <w:rsid w:val="00B52701"/>
    <w:rsid w:val="00B5273D"/>
    <w:rsid w:val="00B5274B"/>
    <w:rsid w:val="00B52984"/>
    <w:rsid w:val="00B52A43"/>
    <w:rsid w:val="00B52CE5"/>
    <w:rsid w:val="00B5300A"/>
    <w:rsid w:val="00B53408"/>
    <w:rsid w:val="00B535D4"/>
    <w:rsid w:val="00B5385E"/>
    <w:rsid w:val="00B53905"/>
    <w:rsid w:val="00B539C9"/>
    <w:rsid w:val="00B53A92"/>
    <w:rsid w:val="00B53AD9"/>
    <w:rsid w:val="00B53CD0"/>
    <w:rsid w:val="00B54116"/>
    <w:rsid w:val="00B541BC"/>
    <w:rsid w:val="00B544A0"/>
    <w:rsid w:val="00B547D8"/>
    <w:rsid w:val="00B5495B"/>
    <w:rsid w:val="00B549CC"/>
    <w:rsid w:val="00B54B5B"/>
    <w:rsid w:val="00B54CF5"/>
    <w:rsid w:val="00B55368"/>
    <w:rsid w:val="00B5539A"/>
    <w:rsid w:val="00B5562E"/>
    <w:rsid w:val="00B556F3"/>
    <w:rsid w:val="00B559FB"/>
    <w:rsid w:val="00B55B51"/>
    <w:rsid w:val="00B55B94"/>
    <w:rsid w:val="00B55DDB"/>
    <w:rsid w:val="00B55F66"/>
    <w:rsid w:val="00B560A5"/>
    <w:rsid w:val="00B569E4"/>
    <w:rsid w:val="00B56A43"/>
    <w:rsid w:val="00B56D8B"/>
    <w:rsid w:val="00B56E47"/>
    <w:rsid w:val="00B56E54"/>
    <w:rsid w:val="00B57000"/>
    <w:rsid w:val="00B5762A"/>
    <w:rsid w:val="00B57691"/>
    <w:rsid w:val="00B579CB"/>
    <w:rsid w:val="00B579D0"/>
    <w:rsid w:val="00B57EF4"/>
    <w:rsid w:val="00B57F91"/>
    <w:rsid w:val="00B57FAE"/>
    <w:rsid w:val="00B60676"/>
    <w:rsid w:val="00B60841"/>
    <w:rsid w:val="00B60939"/>
    <w:rsid w:val="00B60AFD"/>
    <w:rsid w:val="00B60B7C"/>
    <w:rsid w:val="00B60BCB"/>
    <w:rsid w:val="00B612C4"/>
    <w:rsid w:val="00B61373"/>
    <w:rsid w:val="00B61881"/>
    <w:rsid w:val="00B61AA9"/>
    <w:rsid w:val="00B61D18"/>
    <w:rsid w:val="00B6217C"/>
    <w:rsid w:val="00B622EA"/>
    <w:rsid w:val="00B622EE"/>
    <w:rsid w:val="00B6246B"/>
    <w:rsid w:val="00B62715"/>
    <w:rsid w:val="00B62970"/>
    <w:rsid w:val="00B62B6C"/>
    <w:rsid w:val="00B62BB0"/>
    <w:rsid w:val="00B62F60"/>
    <w:rsid w:val="00B62FFB"/>
    <w:rsid w:val="00B6310E"/>
    <w:rsid w:val="00B63543"/>
    <w:rsid w:val="00B63661"/>
    <w:rsid w:val="00B63928"/>
    <w:rsid w:val="00B63B84"/>
    <w:rsid w:val="00B63F4F"/>
    <w:rsid w:val="00B63F88"/>
    <w:rsid w:val="00B64259"/>
    <w:rsid w:val="00B64269"/>
    <w:rsid w:val="00B64560"/>
    <w:rsid w:val="00B646A5"/>
    <w:rsid w:val="00B6479F"/>
    <w:rsid w:val="00B647E9"/>
    <w:rsid w:val="00B647F6"/>
    <w:rsid w:val="00B647FD"/>
    <w:rsid w:val="00B65501"/>
    <w:rsid w:val="00B658BC"/>
    <w:rsid w:val="00B6592C"/>
    <w:rsid w:val="00B65D61"/>
    <w:rsid w:val="00B65D6C"/>
    <w:rsid w:val="00B65DC2"/>
    <w:rsid w:val="00B65F64"/>
    <w:rsid w:val="00B6604E"/>
    <w:rsid w:val="00B661B2"/>
    <w:rsid w:val="00B66430"/>
    <w:rsid w:val="00B66593"/>
    <w:rsid w:val="00B66AAF"/>
    <w:rsid w:val="00B66B48"/>
    <w:rsid w:val="00B66D8F"/>
    <w:rsid w:val="00B66E24"/>
    <w:rsid w:val="00B66E78"/>
    <w:rsid w:val="00B6721C"/>
    <w:rsid w:val="00B67282"/>
    <w:rsid w:val="00B67577"/>
    <w:rsid w:val="00B6779A"/>
    <w:rsid w:val="00B67D99"/>
    <w:rsid w:val="00B67D9B"/>
    <w:rsid w:val="00B67EB8"/>
    <w:rsid w:val="00B7036F"/>
    <w:rsid w:val="00B7068F"/>
    <w:rsid w:val="00B7069E"/>
    <w:rsid w:val="00B70A97"/>
    <w:rsid w:val="00B70B7D"/>
    <w:rsid w:val="00B70D7D"/>
    <w:rsid w:val="00B70DC9"/>
    <w:rsid w:val="00B70E1E"/>
    <w:rsid w:val="00B70E41"/>
    <w:rsid w:val="00B711A7"/>
    <w:rsid w:val="00B71300"/>
    <w:rsid w:val="00B713F1"/>
    <w:rsid w:val="00B71408"/>
    <w:rsid w:val="00B715E2"/>
    <w:rsid w:val="00B71669"/>
    <w:rsid w:val="00B71AA9"/>
    <w:rsid w:val="00B71B31"/>
    <w:rsid w:val="00B71DFE"/>
    <w:rsid w:val="00B71F24"/>
    <w:rsid w:val="00B7226C"/>
    <w:rsid w:val="00B7239E"/>
    <w:rsid w:val="00B7246D"/>
    <w:rsid w:val="00B7289E"/>
    <w:rsid w:val="00B728C3"/>
    <w:rsid w:val="00B72D6C"/>
    <w:rsid w:val="00B72F7F"/>
    <w:rsid w:val="00B735CF"/>
    <w:rsid w:val="00B73896"/>
    <w:rsid w:val="00B7398A"/>
    <w:rsid w:val="00B73A9E"/>
    <w:rsid w:val="00B73ABA"/>
    <w:rsid w:val="00B73DEC"/>
    <w:rsid w:val="00B73F30"/>
    <w:rsid w:val="00B74058"/>
    <w:rsid w:val="00B7463B"/>
    <w:rsid w:val="00B74B29"/>
    <w:rsid w:val="00B74E83"/>
    <w:rsid w:val="00B74F74"/>
    <w:rsid w:val="00B74FD8"/>
    <w:rsid w:val="00B7585E"/>
    <w:rsid w:val="00B758EB"/>
    <w:rsid w:val="00B75986"/>
    <w:rsid w:val="00B759CB"/>
    <w:rsid w:val="00B75AD0"/>
    <w:rsid w:val="00B75F82"/>
    <w:rsid w:val="00B760C5"/>
    <w:rsid w:val="00B7613B"/>
    <w:rsid w:val="00B763C7"/>
    <w:rsid w:val="00B7649B"/>
    <w:rsid w:val="00B7651D"/>
    <w:rsid w:val="00B76892"/>
    <w:rsid w:val="00B76A1C"/>
    <w:rsid w:val="00B76B6C"/>
    <w:rsid w:val="00B76BE0"/>
    <w:rsid w:val="00B76C42"/>
    <w:rsid w:val="00B76D79"/>
    <w:rsid w:val="00B76D83"/>
    <w:rsid w:val="00B7700F"/>
    <w:rsid w:val="00B77057"/>
    <w:rsid w:val="00B77566"/>
    <w:rsid w:val="00B77578"/>
    <w:rsid w:val="00B7798A"/>
    <w:rsid w:val="00B77CC4"/>
    <w:rsid w:val="00B80004"/>
    <w:rsid w:val="00B800DE"/>
    <w:rsid w:val="00B80370"/>
    <w:rsid w:val="00B80767"/>
    <w:rsid w:val="00B807F8"/>
    <w:rsid w:val="00B80916"/>
    <w:rsid w:val="00B80B39"/>
    <w:rsid w:val="00B80C75"/>
    <w:rsid w:val="00B80D02"/>
    <w:rsid w:val="00B80D19"/>
    <w:rsid w:val="00B80E8F"/>
    <w:rsid w:val="00B8110B"/>
    <w:rsid w:val="00B81362"/>
    <w:rsid w:val="00B81394"/>
    <w:rsid w:val="00B817E0"/>
    <w:rsid w:val="00B818A4"/>
    <w:rsid w:val="00B81B28"/>
    <w:rsid w:val="00B81E8D"/>
    <w:rsid w:val="00B82B60"/>
    <w:rsid w:val="00B82D2B"/>
    <w:rsid w:val="00B82FD6"/>
    <w:rsid w:val="00B830B3"/>
    <w:rsid w:val="00B830C3"/>
    <w:rsid w:val="00B832A4"/>
    <w:rsid w:val="00B833A1"/>
    <w:rsid w:val="00B83494"/>
    <w:rsid w:val="00B83802"/>
    <w:rsid w:val="00B83960"/>
    <w:rsid w:val="00B83B27"/>
    <w:rsid w:val="00B83DC0"/>
    <w:rsid w:val="00B83FE0"/>
    <w:rsid w:val="00B84011"/>
    <w:rsid w:val="00B84022"/>
    <w:rsid w:val="00B84310"/>
    <w:rsid w:val="00B851EB"/>
    <w:rsid w:val="00B85256"/>
    <w:rsid w:val="00B8572D"/>
    <w:rsid w:val="00B859BB"/>
    <w:rsid w:val="00B85B7D"/>
    <w:rsid w:val="00B85ED8"/>
    <w:rsid w:val="00B860D6"/>
    <w:rsid w:val="00B86142"/>
    <w:rsid w:val="00B861C7"/>
    <w:rsid w:val="00B861E1"/>
    <w:rsid w:val="00B86295"/>
    <w:rsid w:val="00B86369"/>
    <w:rsid w:val="00B8649C"/>
    <w:rsid w:val="00B86AB9"/>
    <w:rsid w:val="00B86B0B"/>
    <w:rsid w:val="00B86C19"/>
    <w:rsid w:val="00B872AE"/>
    <w:rsid w:val="00B8741B"/>
    <w:rsid w:val="00B8753F"/>
    <w:rsid w:val="00B879EB"/>
    <w:rsid w:val="00B87AD0"/>
    <w:rsid w:val="00B904AF"/>
    <w:rsid w:val="00B9054B"/>
    <w:rsid w:val="00B90686"/>
    <w:rsid w:val="00B90805"/>
    <w:rsid w:val="00B90AAB"/>
    <w:rsid w:val="00B90B43"/>
    <w:rsid w:val="00B90C35"/>
    <w:rsid w:val="00B90D67"/>
    <w:rsid w:val="00B91215"/>
    <w:rsid w:val="00B916CF"/>
    <w:rsid w:val="00B918B8"/>
    <w:rsid w:val="00B91AA6"/>
    <w:rsid w:val="00B91B41"/>
    <w:rsid w:val="00B91F71"/>
    <w:rsid w:val="00B921CF"/>
    <w:rsid w:val="00B922C2"/>
    <w:rsid w:val="00B922EE"/>
    <w:rsid w:val="00B92717"/>
    <w:rsid w:val="00B928DD"/>
    <w:rsid w:val="00B929C6"/>
    <w:rsid w:val="00B92C2F"/>
    <w:rsid w:val="00B92CD1"/>
    <w:rsid w:val="00B92D0B"/>
    <w:rsid w:val="00B92ED1"/>
    <w:rsid w:val="00B93077"/>
    <w:rsid w:val="00B939E3"/>
    <w:rsid w:val="00B93BE4"/>
    <w:rsid w:val="00B93D40"/>
    <w:rsid w:val="00B93DFD"/>
    <w:rsid w:val="00B9418A"/>
    <w:rsid w:val="00B9419B"/>
    <w:rsid w:val="00B941B7"/>
    <w:rsid w:val="00B94358"/>
    <w:rsid w:val="00B9455F"/>
    <w:rsid w:val="00B94580"/>
    <w:rsid w:val="00B9471E"/>
    <w:rsid w:val="00B9475B"/>
    <w:rsid w:val="00B94768"/>
    <w:rsid w:val="00B948A8"/>
    <w:rsid w:val="00B94945"/>
    <w:rsid w:val="00B94A9D"/>
    <w:rsid w:val="00B94B0F"/>
    <w:rsid w:val="00B94BEC"/>
    <w:rsid w:val="00B95467"/>
    <w:rsid w:val="00B9592B"/>
    <w:rsid w:val="00B95A1A"/>
    <w:rsid w:val="00B95A50"/>
    <w:rsid w:val="00B960BE"/>
    <w:rsid w:val="00B9620A"/>
    <w:rsid w:val="00B963BF"/>
    <w:rsid w:val="00B9643D"/>
    <w:rsid w:val="00B9664C"/>
    <w:rsid w:val="00B96A85"/>
    <w:rsid w:val="00B96B90"/>
    <w:rsid w:val="00B96DC1"/>
    <w:rsid w:val="00B96E05"/>
    <w:rsid w:val="00B96FAB"/>
    <w:rsid w:val="00B97072"/>
    <w:rsid w:val="00B97179"/>
    <w:rsid w:val="00B971A8"/>
    <w:rsid w:val="00B97239"/>
    <w:rsid w:val="00B975CB"/>
    <w:rsid w:val="00B977E6"/>
    <w:rsid w:val="00B979C8"/>
    <w:rsid w:val="00B97C1C"/>
    <w:rsid w:val="00B97DF1"/>
    <w:rsid w:val="00B97DF3"/>
    <w:rsid w:val="00BA0028"/>
    <w:rsid w:val="00BA00A7"/>
    <w:rsid w:val="00BA0170"/>
    <w:rsid w:val="00BA02D9"/>
    <w:rsid w:val="00BA0354"/>
    <w:rsid w:val="00BA048F"/>
    <w:rsid w:val="00BA04D8"/>
    <w:rsid w:val="00BA086B"/>
    <w:rsid w:val="00BA09B3"/>
    <w:rsid w:val="00BA0B53"/>
    <w:rsid w:val="00BA0B98"/>
    <w:rsid w:val="00BA0E87"/>
    <w:rsid w:val="00BA0F20"/>
    <w:rsid w:val="00BA105A"/>
    <w:rsid w:val="00BA16C2"/>
    <w:rsid w:val="00BA1BD8"/>
    <w:rsid w:val="00BA1F89"/>
    <w:rsid w:val="00BA211B"/>
    <w:rsid w:val="00BA2189"/>
    <w:rsid w:val="00BA222C"/>
    <w:rsid w:val="00BA22D1"/>
    <w:rsid w:val="00BA2315"/>
    <w:rsid w:val="00BA238D"/>
    <w:rsid w:val="00BA2602"/>
    <w:rsid w:val="00BA26B1"/>
    <w:rsid w:val="00BA2A1F"/>
    <w:rsid w:val="00BA2C69"/>
    <w:rsid w:val="00BA303A"/>
    <w:rsid w:val="00BA30AA"/>
    <w:rsid w:val="00BA328C"/>
    <w:rsid w:val="00BA34AA"/>
    <w:rsid w:val="00BA3834"/>
    <w:rsid w:val="00BA3C97"/>
    <w:rsid w:val="00BA4243"/>
    <w:rsid w:val="00BA42CC"/>
    <w:rsid w:val="00BA43E8"/>
    <w:rsid w:val="00BA478F"/>
    <w:rsid w:val="00BA4A9E"/>
    <w:rsid w:val="00BA4B18"/>
    <w:rsid w:val="00BA4B98"/>
    <w:rsid w:val="00BA4CE4"/>
    <w:rsid w:val="00BA4DC3"/>
    <w:rsid w:val="00BA4DF3"/>
    <w:rsid w:val="00BA548E"/>
    <w:rsid w:val="00BA55F8"/>
    <w:rsid w:val="00BA56BD"/>
    <w:rsid w:val="00BA5851"/>
    <w:rsid w:val="00BA59C0"/>
    <w:rsid w:val="00BA59C5"/>
    <w:rsid w:val="00BA5A3A"/>
    <w:rsid w:val="00BA5B9D"/>
    <w:rsid w:val="00BA5EAE"/>
    <w:rsid w:val="00BA610E"/>
    <w:rsid w:val="00BA655E"/>
    <w:rsid w:val="00BA65E4"/>
    <w:rsid w:val="00BA68E6"/>
    <w:rsid w:val="00BA6A73"/>
    <w:rsid w:val="00BA6B80"/>
    <w:rsid w:val="00BA6CE2"/>
    <w:rsid w:val="00BA6D8C"/>
    <w:rsid w:val="00BA71AE"/>
    <w:rsid w:val="00BA71B3"/>
    <w:rsid w:val="00BA7230"/>
    <w:rsid w:val="00BA77BA"/>
    <w:rsid w:val="00BA786E"/>
    <w:rsid w:val="00BA7967"/>
    <w:rsid w:val="00BA7B4A"/>
    <w:rsid w:val="00BA7E7C"/>
    <w:rsid w:val="00BA7FB7"/>
    <w:rsid w:val="00BB0155"/>
    <w:rsid w:val="00BB0174"/>
    <w:rsid w:val="00BB01DF"/>
    <w:rsid w:val="00BB02B9"/>
    <w:rsid w:val="00BB03D3"/>
    <w:rsid w:val="00BB04FF"/>
    <w:rsid w:val="00BB06A9"/>
    <w:rsid w:val="00BB0710"/>
    <w:rsid w:val="00BB0711"/>
    <w:rsid w:val="00BB0C1B"/>
    <w:rsid w:val="00BB0D3E"/>
    <w:rsid w:val="00BB0E32"/>
    <w:rsid w:val="00BB0FDA"/>
    <w:rsid w:val="00BB11BD"/>
    <w:rsid w:val="00BB160A"/>
    <w:rsid w:val="00BB16AB"/>
    <w:rsid w:val="00BB17D1"/>
    <w:rsid w:val="00BB1883"/>
    <w:rsid w:val="00BB1B36"/>
    <w:rsid w:val="00BB1E03"/>
    <w:rsid w:val="00BB1E94"/>
    <w:rsid w:val="00BB20E3"/>
    <w:rsid w:val="00BB2240"/>
    <w:rsid w:val="00BB2631"/>
    <w:rsid w:val="00BB2FDB"/>
    <w:rsid w:val="00BB33AB"/>
    <w:rsid w:val="00BB3843"/>
    <w:rsid w:val="00BB3949"/>
    <w:rsid w:val="00BB3AB0"/>
    <w:rsid w:val="00BB3B6D"/>
    <w:rsid w:val="00BB3CC5"/>
    <w:rsid w:val="00BB41F1"/>
    <w:rsid w:val="00BB42A2"/>
    <w:rsid w:val="00BB4452"/>
    <w:rsid w:val="00BB4461"/>
    <w:rsid w:val="00BB4BB3"/>
    <w:rsid w:val="00BB4D2D"/>
    <w:rsid w:val="00BB5688"/>
    <w:rsid w:val="00BB578E"/>
    <w:rsid w:val="00BB5913"/>
    <w:rsid w:val="00BB59FA"/>
    <w:rsid w:val="00BB5C21"/>
    <w:rsid w:val="00BB5C66"/>
    <w:rsid w:val="00BB5E98"/>
    <w:rsid w:val="00BB63CA"/>
    <w:rsid w:val="00BB6481"/>
    <w:rsid w:val="00BB64E0"/>
    <w:rsid w:val="00BB6855"/>
    <w:rsid w:val="00BB68B4"/>
    <w:rsid w:val="00BB69CD"/>
    <w:rsid w:val="00BB6B8B"/>
    <w:rsid w:val="00BB6F67"/>
    <w:rsid w:val="00BB731F"/>
    <w:rsid w:val="00BB7405"/>
    <w:rsid w:val="00BB77E0"/>
    <w:rsid w:val="00BB7E2E"/>
    <w:rsid w:val="00BB7FD8"/>
    <w:rsid w:val="00BC00D2"/>
    <w:rsid w:val="00BC01CA"/>
    <w:rsid w:val="00BC04AA"/>
    <w:rsid w:val="00BC0654"/>
    <w:rsid w:val="00BC06FF"/>
    <w:rsid w:val="00BC09E5"/>
    <w:rsid w:val="00BC0B70"/>
    <w:rsid w:val="00BC0BA4"/>
    <w:rsid w:val="00BC0DBA"/>
    <w:rsid w:val="00BC134C"/>
    <w:rsid w:val="00BC1757"/>
    <w:rsid w:val="00BC1921"/>
    <w:rsid w:val="00BC27C7"/>
    <w:rsid w:val="00BC2860"/>
    <w:rsid w:val="00BC2904"/>
    <w:rsid w:val="00BC2AB2"/>
    <w:rsid w:val="00BC2BBE"/>
    <w:rsid w:val="00BC2CF1"/>
    <w:rsid w:val="00BC2E61"/>
    <w:rsid w:val="00BC3185"/>
    <w:rsid w:val="00BC331A"/>
    <w:rsid w:val="00BC3441"/>
    <w:rsid w:val="00BC370D"/>
    <w:rsid w:val="00BC375E"/>
    <w:rsid w:val="00BC3B14"/>
    <w:rsid w:val="00BC401D"/>
    <w:rsid w:val="00BC41D2"/>
    <w:rsid w:val="00BC44CD"/>
    <w:rsid w:val="00BC462F"/>
    <w:rsid w:val="00BC49EF"/>
    <w:rsid w:val="00BC4D2E"/>
    <w:rsid w:val="00BC52D0"/>
    <w:rsid w:val="00BC54FC"/>
    <w:rsid w:val="00BC5562"/>
    <w:rsid w:val="00BC5D66"/>
    <w:rsid w:val="00BC5DCB"/>
    <w:rsid w:val="00BC5EB1"/>
    <w:rsid w:val="00BC5EC0"/>
    <w:rsid w:val="00BC5F22"/>
    <w:rsid w:val="00BC5FB0"/>
    <w:rsid w:val="00BC60F0"/>
    <w:rsid w:val="00BC6138"/>
    <w:rsid w:val="00BC66D6"/>
    <w:rsid w:val="00BC6868"/>
    <w:rsid w:val="00BC6A17"/>
    <w:rsid w:val="00BC6C23"/>
    <w:rsid w:val="00BC6D75"/>
    <w:rsid w:val="00BC708A"/>
    <w:rsid w:val="00BC70A3"/>
    <w:rsid w:val="00BC74D9"/>
    <w:rsid w:val="00BC7742"/>
    <w:rsid w:val="00BC7947"/>
    <w:rsid w:val="00BC79B9"/>
    <w:rsid w:val="00BC79F2"/>
    <w:rsid w:val="00BC7CAC"/>
    <w:rsid w:val="00BC7CEF"/>
    <w:rsid w:val="00BD019D"/>
    <w:rsid w:val="00BD0501"/>
    <w:rsid w:val="00BD069B"/>
    <w:rsid w:val="00BD0779"/>
    <w:rsid w:val="00BD0896"/>
    <w:rsid w:val="00BD08B1"/>
    <w:rsid w:val="00BD09CB"/>
    <w:rsid w:val="00BD0B72"/>
    <w:rsid w:val="00BD0BFA"/>
    <w:rsid w:val="00BD0C4D"/>
    <w:rsid w:val="00BD0E93"/>
    <w:rsid w:val="00BD0ECE"/>
    <w:rsid w:val="00BD1B73"/>
    <w:rsid w:val="00BD1B89"/>
    <w:rsid w:val="00BD1E9C"/>
    <w:rsid w:val="00BD20BC"/>
    <w:rsid w:val="00BD212B"/>
    <w:rsid w:val="00BD21DF"/>
    <w:rsid w:val="00BD241A"/>
    <w:rsid w:val="00BD2530"/>
    <w:rsid w:val="00BD2913"/>
    <w:rsid w:val="00BD292A"/>
    <w:rsid w:val="00BD2A7F"/>
    <w:rsid w:val="00BD2C78"/>
    <w:rsid w:val="00BD2EA3"/>
    <w:rsid w:val="00BD3103"/>
    <w:rsid w:val="00BD3669"/>
    <w:rsid w:val="00BD3FAD"/>
    <w:rsid w:val="00BD41F6"/>
    <w:rsid w:val="00BD42CF"/>
    <w:rsid w:val="00BD4AB5"/>
    <w:rsid w:val="00BD4BD1"/>
    <w:rsid w:val="00BD4D3C"/>
    <w:rsid w:val="00BD4E0C"/>
    <w:rsid w:val="00BD5062"/>
    <w:rsid w:val="00BD54CB"/>
    <w:rsid w:val="00BD56E9"/>
    <w:rsid w:val="00BD57B4"/>
    <w:rsid w:val="00BD5883"/>
    <w:rsid w:val="00BD593C"/>
    <w:rsid w:val="00BD5B34"/>
    <w:rsid w:val="00BD5BF5"/>
    <w:rsid w:val="00BD5C49"/>
    <w:rsid w:val="00BD5CF1"/>
    <w:rsid w:val="00BD5D30"/>
    <w:rsid w:val="00BD5D33"/>
    <w:rsid w:val="00BD5E2C"/>
    <w:rsid w:val="00BD5F7C"/>
    <w:rsid w:val="00BD6224"/>
    <w:rsid w:val="00BD64CD"/>
    <w:rsid w:val="00BD6715"/>
    <w:rsid w:val="00BD6999"/>
    <w:rsid w:val="00BD6AF2"/>
    <w:rsid w:val="00BD6BED"/>
    <w:rsid w:val="00BD6CF3"/>
    <w:rsid w:val="00BD6F6D"/>
    <w:rsid w:val="00BD708C"/>
    <w:rsid w:val="00BD73E6"/>
    <w:rsid w:val="00BD740C"/>
    <w:rsid w:val="00BD7644"/>
    <w:rsid w:val="00BD77B4"/>
    <w:rsid w:val="00BD7842"/>
    <w:rsid w:val="00BD7C63"/>
    <w:rsid w:val="00BE017A"/>
    <w:rsid w:val="00BE0236"/>
    <w:rsid w:val="00BE0531"/>
    <w:rsid w:val="00BE0579"/>
    <w:rsid w:val="00BE08D9"/>
    <w:rsid w:val="00BE09B6"/>
    <w:rsid w:val="00BE09CA"/>
    <w:rsid w:val="00BE0B7F"/>
    <w:rsid w:val="00BE0C1A"/>
    <w:rsid w:val="00BE0FEC"/>
    <w:rsid w:val="00BE1089"/>
    <w:rsid w:val="00BE19CB"/>
    <w:rsid w:val="00BE1A0A"/>
    <w:rsid w:val="00BE1BD1"/>
    <w:rsid w:val="00BE1BFC"/>
    <w:rsid w:val="00BE1DB8"/>
    <w:rsid w:val="00BE1E37"/>
    <w:rsid w:val="00BE1F9C"/>
    <w:rsid w:val="00BE2006"/>
    <w:rsid w:val="00BE20B2"/>
    <w:rsid w:val="00BE2180"/>
    <w:rsid w:val="00BE248E"/>
    <w:rsid w:val="00BE29F6"/>
    <w:rsid w:val="00BE2CFC"/>
    <w:rsid w:val="00BE2DC6"/>
    <w:rsid w:val="00BE2E59"/>
    <w:rsid w:val="00BE30E2"/>
    <w:rsid w:val="00BE3397"/>
    <w:rsid w:val="00BE34C1"/>
    <w:rsid w:val="00BE3582"/>
    <w:rsid w:val="00BE364B"/>
    <w:rsid w:val="00BE3744"/>
    <w:rsid w:val="00BE38F7"/>
    <w:rsid w:val="00BE3FC7"/>
    <w:rsid w:val="00BE4275"/>
    <w:rsid w:val="00BE4407"/>
    <w:rsid w:val="00BE4759"/>
    <w:rsid w:val="00BE4CC1"/>
    <w:rsid w:val="00BE4F15"/>
    <w:rsid w:val="00BE4FB5"/>
    <w:rsid w:val="00BE54CD"/>
    <w:rsid w:val="00BE54DE"/>
    <w:rsid w:val="00BE54F8"/>
    <w:rsid w:val="00BE5611"/>
    <w:rsid w:val="00BE5661"/>
    <w:rsid w:val="00BE573A"/>
    <w:rsid w:val="00BE57D9"/>
    <w:rsid w:val="00BE5884"/>
    <w:rsid w:val="00BE589E"/>
    <w:rsid w:val="00BE5B52"/>
    <w:rsid w:val="00BE5BC3"/>
    <w:rsid w:val="00BE5BFD"/>
    <w:rsid w:val="00BE5DAD"/>
    <w:rsid w:val="00BE6034"/>
    <w:rsid w:val="00BE6148"/>
    <w:rsid w:val="00BE6228"/>
    <w:rsid w:val="00BE6355"/>
    <w:rsid w:val="00BE643D"/>
    <w:rsid w:val="00BE656C"/>
    <w:rsid w:val="00BE6665"/>
    <w:rsid w:val="00BE676F"/>
    <w:rsid w:val="00BE6AEC"/>
    <w:rsid w:val="00BE6D0E"/>
    <w:rsid w:val="00BE6FB2"/>
    <w:rsid w:val="00BE7080"/>
    <w:rsid w:val="00BE7298"/>
    <w:rsid w:val="00BE7623"/>
    <w:rsid w:val="00BE79D2"/>
    <w:rsid w:val="00BE7B96"/>
    <w:rsid w:val="00BE7F37"/>
    <w:rsid w:val="00BE7F59"/>
    <w:rsid w:val="00BF037A"/>
    <w:rsid w:val="00BF0992"/>
    <w:rsid w:val="00BF1579"/>
    <w:rsid w:val="00BF169C"/>
    <w:rsid w:val="00BF16B5"/>
    <w:rsid w:val="00BF1883"/>
    <w:rsid w:val="00BF1AC9"/>
    <w:rsid w:val="00BF1B11"/>
    <w:rsid w:val="00BF1BAB"/>
    <w:rsid w:val="00BF1F71"/>
    <w:rsid w:val="00BF201D"/>
    <w:rsid w:val="00BF2113"/>
    <w:rsid w:val="00BF2159"/>
    <w:rsid w:val="00BF22B3"/>
    <w:rsid w:val="00BF2358"/>
    <w:rsid w:val="00BF2433"/>
    <w:rsid w:val="00BF2866"/>
    <w:rsid w:val="00BF2AB0"/>
    <w:rsid w:val="00BF2B52"/>
    <w:rsid w:val="00BF2C58"/>
    <w:rsid w:val="00BF3508"/>
    <w:rsid w:val="00BF37EC"/>
    <w:rsid w:val="00BF3B11"/>
    <w:rsid w:val="00BF3BF2"/>
    <w:rsid w:val="00BF3CCA"/>
    <w:rsid w:val="00BF3DFD"/>
    <w:rsid w:val="00BF42A5"/>
    <w:rsid w:val="00BF451A"/>
    <w:rsid w:val="00BF45F6"/>
    <w:rsid w:val="00BF48B6"/>
    <w:rsid w:val="00BF4996"/>
    <w:rsid w:val="00BF49AE"/>
    <w:rsid w:val="00BF4B80"/>
    <w:rsid w:val="00BF4C73"/>
    <w:rsid w:val="00BF4DD2"/>
    <w:rsid w:val="00BF51AE"/>
    <w:rsid w:val="00BF523C"/>
    <w:rsid w:val="00BF5277"/>
    <w:rsid w:val="00BF5676"/>
    <w:rsid w:val="00BF57F7"/>
    <w:rsid w:val="00BF5B78"/>
    <w:rsid w:val="00BF5C91"/>
    <w:rsid w:val="00BF5E63"/>
    <w:rsid w:val="00BF60AD"/>
    <w:rsid w:val="00BF6163"/>
    <w:rsid w:val="00BF616E"/>
    <w:rsid w:val="00BF61C4"/>
    <w:rsid w:val="00BF61C9"/>
    <w:rsid w:val="00BF6222"/>
    <w:rsid w:val="00BF6437"/>
    <w:rsid w:val="00BF64BA"/>
    <w:rsid w:val="00BF6667"/>
    <w:rsid w:val="00BF6705"/>
    <w:rsid w:val="00BF68F0"/>
    <w:rsid w:val="00BF69FD"/>
    <w:rsid w:val="00BF6ACD"/>
    <w:rsid w:val="00BF6BCE"/>
    <w:rsid w:val="00BF6FFF"/>
    <w:rsid w:val="00BF7406"/>
    <w:rsid w:val="00BF75FF"/>
    <w:rsid w:val="00BF76DE"/>
    <w:rsid w:val="00C00026"/>
    <w:rsid w:val="00C00832"/>
    <w:rsid w:val="00C00AC9"/>
    <w:rsid w:val="00C00D69"/>
    <w:rsid w:val="00C00E41"/>
    <w:rsid w:val="00C00FF7"/>
    <w:rsid w:val="00C01016"/>
    <w:rsid w:val="00C0110A"/>
    <w:rsid w:val="00C0133E"/>
    <w:rsid w:val="00C01636"/>
    <w:rsid w:val="00C016B6"/>
    <w:rsid w:val="00C016FE"/>
    <w:rsid w:val="00C01990"/>
    <w:rsid w:val="00C01D37"/>
    <w:rsid w:val="00C01DC6"/>
    <w:rsid w:val="00C021DD"/>
    <w:rsid w:val="00C023D7"/>
    <w:rsid w:val="00C02422"/>
    <w:rsid w:val="00C027F8"/>
    <w:rsid w:val="00C02A3B"/>
    <w:rsid w:val="00C02A68"/>
    <w:rsid w:val="00C02A77"/>
    <w:rsid w:val="00C02B5F"/>
    <w:rsid w:val="00C02CE8"/>
    <w:rsid w:val="00C02E35"/>
    <w:rsid w:val="00C02EFE"/>
    <w:rsid w:val="00C03105"/>
    <w:rsid w:val="00C0310C"/>
    <w:rsid w:val="00C03157"/>
    <w:rsid w:val="00C034B9"/>
    <w:rsid w:val="00C036E8"/>
    <w:rsid w:val="00C03919"/>
    <w:rsid w:val="00C03D60"/>
    <w:rsid w:val="00C03F79"/>
    <w:rsid w:val="00C041FF"/>
    <w:rsid w:val="00C04326"/>
    <w:rsid w:val="00C04391"/>
    <w:rsid w:val="00C0463B"/>
    <w:rsid w:val="00C04B1B"/>
    <w:rsid w:val="00C04BB0"/>
    <w:rsid w:val="00C04C51"/>
    <w:rsid w:val="00C04C81"/>
    <w:rsid w:val="00C051F9"/>
    <w:rsid w:val="00C053AE"/>
    <w:rsid w:val="00C0581B"/>
    <w:rsid w:val="00C0586B"/>
    <w:rsid w:val="00C058A3"/>
    <w:rsid w:val="00C058F5"/>
    <w:rsid w:val="00C05AE4"/>
    <w:rsid w:val="00C05B71"/>
    <w:rsid w:val="00C05BE2"/>
    <w:rsid w:val="00C05C5E"/>
    <w:rsid w:val="00C0600F"/>
    <w:rsid w:val="00C06131"/>
    <w:rsid w:val="00C065CB"/>
    <w:rsid w:val="00C067A5"/>
    <w:rsid w:val="00C06876"/>
    <w:rsid w:val="00C06BD6"/>
    <w:rsid w:val="00C06C66"/>
    <w:rsid w:val="00C06D37"/>
    <w:rsid w:val="00C06EFC"/>
    <w:rsid w:val="00C07303"/>
    <w:rsid w:val="00C0741B"/>
    <w:rsid w:val="00C07488"/>
    <w:rsid w:val="00C07CCF"/>
    <w:rsid w:val="00C07EB3"/>
    <w:rsid w:val="00C10013"/>
    <w:rsid w:val="00C10121"/>
    <w:rsid w:val="00C1014A"/>
    <w:rsid w:val="00C1028A"/>
    <w:rsid w:val="00C10556"/>
    <w:rsid w:val="00C107FC"/>
    <w:rsid w:val="00C1091D"/>
    <w:rsid w:val="00C10994"/>
    <w:rsid w:val="00C10AF7"/>
    <w:rsid w:val="00C10C1E"/>
    <w:rsid w:val="00C10C4E"/>
    <w:rsid w:val="00C10D16"/>
    <w:rsid w:val="00C10F84"/>
    <w:rsid w:val="00C110D7"/>
    <w:rsid w:val="00C11480"/>
    <w:rsid w:val="00C11634"/>
    <w:rsid w:val="00C11772"/>
    <w:rsid w:val="00C117D9"/>
    <w:rsid w:val="00C11844"/>
    <w:rsid w:val="00C118C2"/>
    <w:rsid w:val="00C119D8"/>
    <w:rsid w:val="00C11AFE"/>
    <w:rsid w:val="00C11E1B"/>
    <w:rsid w:val="00C12047"/>
    <w:rsid w:val="00C12669"/>
    <w:rsid w:val="00C12767"/>
    <w:rsid w:val="00C129A1"/>
    <w:rsid w:val="00C12A1C"/>
    <w:rsid w:val="00C1303E"/>
    <w:rsid w:val="00C13200"/>
    <w:rsid w:val="00C13325"/>
    <w:rsid w:val="00C13429"/>
    <w:rsid w:val="00C1364F"/>
    <w:rsid w:val="00C1372C"/>
    <w:rsid w:val="00C13763"/>
    <w:rsid w:val="00C13BFF"/>
    <w:rsid w:val="00C13C72"/>
    <w:rsid w:val="00C13E19"/>
    <w:rsid w:val="00C14139"/>
    <w:rsid w:val="00C14485"/>
    <w:rsid w:val="00C14491"/>
    <w:rsid w:val="00C14514"/>
    <w:rsid w:val="00C146B0"/>
    <w:rsid w:val="00C14A7D"/>
    <w:rsid w:val="00C14BB8"/>
    <w:rsid w:val="00C14C99"/>
    <w:rsid w:val="00C14E58"/>
    <w:rsid w:val="00C14F32"/>
    <w:rsid w:val="00C15004"/>
    <w:rsid w:val="00C15044"/>
    <w:rsid w:val="00C15108"/>
    <w:rsid w:val="00C15460"/>
    <w:rsid w:val="00C1549C"/>
    <w:rsid w:val="00C154DD"/>
    <w:rsid w:val="00C1556A"/>
    <w:rsid w:val="00C15886"/>
    <w:rsid w:val="00C15BD1"/>
    <w:rsid w:val="00C15FFF"/>
    <w:rsid w:val="00C1681F"/>
    <w:rsid w:val="00C168C4"/>
    <w:rsid w:val="00C16E6F"/>
    <w:rsid w:val="00C1704B"/>
    <w:rsid w:val="00C172CC"/>
    <w:rsid w:val="00C174CC"/>
    <w:rsid w:val="00C176A6"/>
    <w:rsid w:val="00C176D4"/>
    <w:rsid w:val="00C17864"/>
    <w:rsid w:val="00C178ED"/>
    <w:rsid w:val="00C17A2A"/>
    <w:rsid w:val="00C17EAD"/>
    <w:rsid w:val="00C20000"/>
    <w:rsid w:val="00C200E6"/>
    <w:rsid w:val="00C20186"/>
    <w:rsid w:val="00C20727"/>
    <w:rsid w:val="00C20D79"/>
    <w:rsid w:val="00C20DFA"/>
    <w:rsid w:val="00C20E51"/>
    <w:rsid w:val="00C20E85"/>
    <w:rsid w:val="00C21369"/>
    <w:rsid w:val="00C216F6"/>
    <w:rsid w:val="00C21B01"/>
    <w:rsid w:val="00C21B57"/>
    <w:rsid w:val="00C21F38"/>
    <w:rsid w:val="00C22461"/>
    <w:rsid w:val="00C227A0"/>
    <w:rsid w:val="00C2290E"/>
    <w:rsid w:val="00C22B4D"/>
    <w:rsid w:val="00C22BC3"/>
    <w:rsid w:val="00C22C11"/>
    <w:rsid w:val="00C22E02"/>
    <w:rsid w:val="00C22FFC"/>
    <w:rsid w:val="00C23550"/>
    <w:rsid w:val="00C23986"/>
    <w:rsid w:val="00C23A7D"/>
    <w:rsid w:val="00C23A9B"/>
    <w:rsid w:val="00C23B04"/>
    <w:rsid w:val="00C23E2C"/>
    <w:rsid w:val="00C23E35"/>
    <w:rsid w:val="00C23E6B"/>
    <w:rsid w:val="00C242F3"/>
    <w:rsid w:val="00C24329"/>
    <w:rsid w:val="00C24381"/>
    <w:rsid w:val="00C245BF"/>
    <w:rsid w:val="00C24739"/>
    <w:rsid w:val="00C248FA"/>
    <w:rsid w:val="00C24DD6"/>
    <w:rsid w:val="00C250AB"/>
    <w:rsid w:val="00C250FD"/>
    <w:rsid w:val="00C250FF"/>
    <w:rsid w:val="00C2515B"/>
    <w:rsid w:val="00C2528A"/>
    <w:rsid w:val="00C25418"/>
    <w:rsid w:val="00C256AA"/>
    <w:rsid w:val="00C256EA"/>
    <w:rsid w:val="00C257FA"/>
    <w:rsid w:val="00C25AA0"/>
    <w:rsid w:val="00C25B59"/>
    <w:rsid w:val="00C25BC5"/>
    <w:rsid w:val="00C25C18"/>
    <w:rsid w:val="00C25CEA"/>
    <w:rsid w:val="00C25D9C"/>
    <w:rsid w:val="00C26147"/>
    <w:rsid w:val="00C264F8"/>
    <w:rsid w:val="00C2678A"/>
    <w:rsid w:val="00C26CB4"/>
    <w:rsid w:val="00C26D00"/>
    <w:rsid w:val="00C26E03"/>
    <w:rsid w:val="00C26FEB"/>
    <w:rsid w:val="00C27095"/>
    <w:rsid w:val="00C272B1"/>
    <w:rsid w:val="00C27544"/>
    <w:rsid w:val="00C27BFF"/>
    <w:rsid w:val="00C27C5B"/>
    <w:rsid w:val="00C27D75"/>
    <w:rsid w:val="00C27DC8"/>
    <w:rsid w:val="00C27EC4"/>
    <w:rsid w:val="00C30002"/>
    <w:rsid w:val="00C300DF"/>
    <w:rsid w:val="00C30158"/>
    <w:rsid w:val="00C30277"/>
    <w:rsid w:val="00C30B6E"/>
    <w:rsid w:val="00C30D83"/>
    <w:rsid w:val="00C30E03"/>
    <w:rsid w:val="00C31260"/>
    <w:rsid w:val="00C31269"/>
    <w:rsid w:val="00C312CD"/>
    <w:rsid w:val="00C3137C"/>
    <w:rsid w:val="00C313E0"/>
    <w:rsid w:val="00C31649"/>
    <w:rsid w:val="00C316F5"/>
    <w:rsid w:val="00C31B39"/>
    <w:rsid w:val="00C31B60"/>
    <w:rsid w:val="00C31BFA"/>
    <w:rsid w:val="00C31DD8"/>
    <w:rsid w:val="00C31F64"/>
    <w:rsid w:val="00C32740"/>
    <w:rsid w:val="00C328B6"/>
    <w:rsid w:val="00C32B19"/>
    <w:rsid w:val="00C32B1A"/>
    <w:rsid w:val="00C32B7E"/>
    <w:rsid w:val="00C32BBE"/>
    <w:rsid w:val="00C32E19"/>
    <w:rsid w:val="00C32EEA"/>
    <w:rsid w:val="00C32F68"/>
    <w:rsid w:val="00C32F9E"/>
    <w:rsid w:val="00C33166"/>
    <w:rsid w:val="00C3320B"/>
    <w:rsid w:val="00C339E6"/>
    <w:rsid w:val="00C33EED"/>
    <w:rsid w:val="00C33EF1"/>
    <w:rsid w:val="00C33EFC"/>
    <w:rsid w:val="00C33F4D"/>
    <w:rsid w:val="00C33FF7"/>
    <w:rsid w:val="00C342F3"/>
    <w:rsid w:val="00C3446A"/>
    <w:rsid w:val="00C344D1"/>
    <w:rsid w:val="00C34728"/>
    <w:rsid w:val="00C34D22"/>
    <w:rsid w:val="00C34E78"/>
    <w:rsid w:val="00C34FFB"/>
    <w:rsid w:val="00C35028"/>
    <w:rsid w:val="00C352E4"/>
    <w:rsid w:val="00C3584E"/>
    <w:rsid w:val="00C35C97"/>
    <w:rsid w:val="00C36097"/>
    <w:rsid w:val="00C364CE"/>
    <w:rsid w:val="00C36661"/>
    <w:rsid w:val="00C37006"/>
    <w:rsid w:val="00C37213"/>
    <w:rsid w:val="00C37289"/>
    <w:rsid w:val="00C37643"/>
    <w:rsid w:val="00C37663"/>
    <w:rsid w:val="00C37686"/>
    <w:rsid w:val="00C37711"/>
    <w:rsid w:val="00C3790E"/>
    <w:rsid w:val="00C37E7C"/>
    <w:rsid w:val="00C40248"/>
    <w:rsid w:val="00C40385"/>
    <w:rsid w:val="00C40419"/>
    <w:rsid w:val="00C4041A"/>
    <w:rsid w:val="00C40693"/>
    <w:rsid w:val="00C407C7"/>
    <w:rsid w:val="00C408D9"/>
    <w:rsid w:val="00C4135F"/>
    <w:rsid w:val="00C4166D"/>
    <w:rsid w:val="00C416FC"/>
    <w:rsid w:val="00C41712"/>
    <w:rsid w:val="00C417B4"/>
    <w:rsid w:val="00C41A02"/>
    <w:rsid w:val="00C41C89"/>
    <w:rsid w:val="00C41D84"/>
    <w:rsid w:val="00C41E36"/>
    <w:rsid w:val="00C41E84"/>
    <w:rsid w:val="00C42044"/>
    <w:rsid w:val="00C421AD"/>
    <w:rsid w:val="00C42391"/>
    <w:rsid w:val="00C424B6"/>
    <w:rsid w:val="00C42531"/>
    <w:rsid w:val="00C425AB"/>
    <w:rsid w:val="00C4276C"/>
    <w:rsid w:val="00C42C49"/>
    <w:rsid w:val="00C42D9F"/>
    <w:rsid w:val="00C42F0F"/>
    <w:rsid w:val="00C42FAA"/>
    <w:rsid w:val="00C4315C"/>
    <w:rsid w:val="00C431E6"/>
    <w:rsid w:val="00C433EE"/>
    <w:rsid w:val="00C43568"/>
    <w:rsid w:val="00C43618"/>
    <w:rsid w:val="00C4370D"/>
    <w:rsid w:val="00C4375F"/>
    <w:rsid w:val="00C43BF2"/>
    <w:rsid w:val="00C43D2A"/>
    <w:rsid w:val="00C43FB6"/>
    <w:rsid w:val="00C44408"/>
    <w:rsid w:val="00C4451B"/>
    <w:rsid w:val="00C4462D"/>
    <w:rsid w:val="00C44890"/>
    <w:rsid w:val="00C44B23"/>
    <w:rsid w:val="00C44E37"/>
    <w:rsid w:val="00C44FB5"/>
    <w:rsid w:val="00C45AD5"/>
    <w:rsid w:val="00C45C71"/>
    <w:rsid w:val="00C46091"/>
    <w:rsid w:val="00C465D1"/>
    <w:rsid w:val="00C4666B"/>
    <w:rsid w:val="00C466A7"/>
    <w:rsid w:val="00C4676D"/>
    <w:rsid w:val="00C46D8F"/>
    <w:rsid w:val="00C46F73"/>
    <w:rsid w:val="00C470C7"/>
    <w:rsid w:val="00C4763C"/>
    <w:rsid w:val="00C47991"/>
    <w:rsid w:val="00C47CE7"/>
    <w:rsid w:val="00C47D1C"/>
    <w:rsid w:val="00C50032"/>
    <w:rsid w:val="00C50090"/>
    <w:rsid w:val="00C5082A"/>
    <w:rsid w:val="00C508D1"/>
    <w:rsid w:val="00C509E9"/>
    <w:rsid w:val="00C50ABE"/>
    <w:rsid w:val="00C50BED"/>
    <w:rsid w:val="00C5101B"/>
    <w:rsid w:val="00C512AD"/>
    <w:rsid w:val="00C51539"/>
    <w:rsid w:val="00C515BD"/>
    <w:rsid w:val="00C5168A"/>
    <w:rsid w:val="00C516DA"/>
    <w:rsid w:val="00C51938"/>
    <w:rsid w:val="00C51DD6"/>
    <w:rsid w:val="00C51E26"/>
    <w:rsid w:val="00C51F27"/>
    <w:rsid w:val="00C521FF"/>
    <w:rsid w:val="00C52387"/>
    <w:rsid w:val="00C523A7"/>
    <w:rsid w:val="00C52A72"/>
    <w:rsid w:val="00C52A76"/>
    <w:rsid w:val="00C52F89"/>
    <w:rsid w:val="00C53134"/>
    <w:rsid w:val="00C53153"/>
    <w:rsid w:val="00C53205"/>
    <w:rsid w:val="00C53496"/>
    <w:rsid w:val="00C53A01"/>
    <w:rsid w:val="00C53A1A"/>
    <w:rsid w:val="00C53AD0"/>
    <w:rsid w:val="00C53B9E"/>
    <w:rsid w:val="00C53E8D"/>
    <w:rsid w:val="00C5417B"/>
    <w:rsid w:val="00C543AC"/>
    <w:rsid w:val="00C54486"/>
    <w:rsid w:val="00C54646"/>
    <w:rsid w:val="00C54651"/>
    <w:rsid w:val="00C547ED"/>
    <w:rsid w:val="00C55023"/>
    <w:rsid w:val="00C551A9"/>
    <w:rsid w:val="00C5522A"/>
    <w:rsid w:val="00C553DA"/>
    <w:rsid w:val="00C553E4"/>
    <w:rsid w:val="00C55525"/>
    <w:rsid w:val="00C556BD"/>
    <w:rsid w:val="00C5572C"/>
    <w:rsid w:val="00C55788"/>
    <w:rsid w:val="00C55990"/>
    <w:rsid w:val="00C55F47"/>
    <w:rsid w:val="00C560DF"/>
    <w:rsid w:val="00C5641A"/>
    <w:rsid w:val="00C564E1"/>
    <w:rsid w:val="00C5651F"/>
    <w:rsid w:val="00C567C7"/>
    <w:rsid w:val="00C56A4C"/>
    <w:rsid w:val="00C56B38"/>
    <w:rsid w:val="00C56B67"/>
    <w:rsid w:val="00C56D86"/>
    <w:rsid w:val="00C56E9A"/>
    <w:rsid w:val="00C56F76"/>
    <w:rsid w:val="00C56F95"/>
    <w:rsid w:val="00C577A7"/>
    <w:rsid w:val="00C6001E"/>
    <w:rsid w:val="00C6013A"/>
    <w:rsid w:val="00C60173"/>
    <w:rsid w:val="00C604C8"/>
    <w:rsid w:val="00C60813"/>
    <w:rsid w:val="00C60876"/>
    <w:rsid w:val="00C60964"/>
    <w:rsid w:val="00C60C44"/>
    <w:rsid w:val="00C60CFC"/>
    <w:rsid w:val="00C60DD3"/>
    <w:rsid w:val="00C611F6"/>
    <w:rsid w:val="00C6143B"/>
    <w:rsid w:val="00C61A80"/>
    <w:rsid w:val="00C61AEE"/>
    <w:rsid w:val="00C61B81"/>
    <w:rsid w:val="00C62265"/>
    <w:rsid w:val="00C623FF"/>
    <w:rsid w:val="00C6242A"/>
    <w:rsid w:val="00C6254A"/>
    <w:rsid w:val="00C626DF"/>
    <w:rsid w:val="00C6272E"/>
    <w:rsid w:val="00C629BD"/>
    <w:rsid w:val="00C62A20"/>
    <w:rsid w:val="00C62B1B"/>
    <w:rsid w:val="00C62B20"/>
    <w:rsid w:val="00C62CE2"/>
    <w:rsid w:val="00C62D93"/>
    <w:rsid w:val="00C62EA2"/>
    <w:rsid w:val="00C634E2"/>
    <w:rsid w:val="00C63533"/>
    <w:rsid w:val="00C6362A"/>
    <w:rsid w:val="00C63633"/>
    <w:rsid w:val="00C6365A"/>
    <w:rsid w:val="00C63E84"/>
    <w:rsid w:val="00C63EBD"/>
    <w:rsid w:val="00C6420C"/>
    <w:rsid w:val="00C643E0"/>
    <w:rsid w:val="00C646CF"/>
    <w:rsid w:val="00C648C2"/>
    <w:rsid w:val="00C6494B"/>
    <w:rsid w:val="00C649D2"/>
    <w:rsid w:val="00C64D10"/>
    <w:rsid w:val="00C64EBD"/>
    <w:rsid w:val="00C651ED"/>
    <w:rsid w:val="00C654FA"/>
    <w:rsid w:val="00C65576"/>
    <w:rsid w:val="00C659C6"/>
    <w:rsid w:val="00C65A40"/>
    <w:rsid w:val="00C65C9B"/>
    <w:rsid w:val="00C65E3D"/>
    <w:rsid w:val="00C65EAF"/>
    <w:rsid w:val="00C66016"/>
    <w:rsid w:val="00C66126"/>
    <w:rsid w:val="00C66139"/>
    <w:rsid w:val="00C66165"/>
    <w:rsid w:val="00C66253"/>
    <w:rsid w:val="00C662B1"/>
    <w:rsid w:val="00C66321"/>
    <w:rsid w:val="00C66551"/>
    <w:rsid w:val="00C6715C"/>
    <w:rsid w:val="00C67246"/>
    <w:rsid w:val="00C672D9"/>
    <w:rsid w:val="00C67448"/>
    <w:rsid w:val="00C67643"/>
    <w:rsid w:val="00C67853"/>
    <w:rsid w:val="00C67A0E"/>
    <w:rsid w:val="00C67A14"/>
    <w:rsid w:val="00C67A26"/>
    <w:rsid w:val="00C67B31"/>
    <w:rsid w:val="00C67B88"/>
    <w:rsid w:val="00C67BC9"/>
    <w:rsid w:val="00C67C9C"/>
    <w:rsid w:val="00C707F6"/>
    <w:rsid w:val="00C70D71"/>
    <w:rsid w:val="00C70D7D"/>
    <w:rsid w:val="00C70F35"/>
    <w:rsid w:val="00C710B1"/>
    <w:rsid w:val="00C71144"/>
    <w:rsid w:val="00C714B7"/>
    <w:rsid w:val="00C7154B"/>
    <w:rsid w:val="00C71A18"/>
    <w:rsid w:val="00C71D32"/>
    <w:rsid w:val="00C7207D"/>
    <w:rsid w:val="00C72250"/>
    <w:rsid w:val="00C722C1"/>
    <w:rsid w:val="00C72330"/>
    <w:rsid w:val="00C72886"/>
    <w:rsid w:val="00C728A1"/>
    <w:rsid w:val="00C72B29"/>
    <w:rsid w:val="00C7368E"/>
    <w:rsid w:val="00C737C4"/>
    <w:rsid w:val="00C7390D"/>
    <w:rsid w:val="00C73FDF"/>
    <w:rsid w:val="00C74571"/>
    <w:rsid w:val="00C74B41"/>
    <w:rsid w:val="00C74DA5"/>
    <w:rsid w:val="00C74DD3"/>
    <w:rsid w:val="00C750C8"/>
    <w:rsid w:val="00C7511B"/>
    <w:rsid w:val="00C7512B"/>
    <w:rsid w:val="00C751FB"/>
    <w:rsid w:val="00C7545A"/>
    <w:rsid w:val="00C758E8"/>
    <w:rsid w:val="00C75BC2"/>
    <w:rsid w:val="00C75CA0"/>
    <w:rsid w:val="00C7610E"/>
    <w:rsid w:val="00C7619F"/>
    <w:rsid w:val="00C7625F"/>
    <w:rsid w:val="00C765C8"/>
    <w:rsid w:val="00C76736"/>
    <w:rsid w:val="00C76741"/>
    <w:rsid w:val="00C76B05"/>
    <w:rsid w:val="00C76DC7"/>
    <w:rsid w:val="00C7732F"/>
    <w:rsid w:val="00C7754C"/>
    <w:rsid w:val="00C77BC9"/>
    <w:rsid w:val="00C77D10"/>
    <w:rsid w:val="00C80162"/>
    <w:rsid w:val="00C80371"/>
    <w:rsid w:val="00C80443"/>
    <w:rsid w:val="00C80480"/>
    <w:rsid w:val="00C80632"/>
    <w:rsid w:val="00C80633"/>
    <w:rsid w:val="00C80D83"/>
    <w:rsid w:val="00C8110C"/>
    <w:rsid w:val="00C81617"/>
    <w:rsid w:val="00C81648"/>
    <w:rsid w:val="00C81A35"/>
    <w:rsid w:val="00C81C95"/>
    <w:rsid w:val="00C81E36"/>
    <w:rsid w:val="00C8213F"/>
    <w:rsid w:val="00C8219B"/>
    <w:rsid w:val="00C821A0"/>
    <w:rsid w:val="00C825F5"/>
    <w:rsid w:val="00C8274F"/>
    <w:rsid w:val="00C8281B"/>
    <w:rsid w:val="00C82836"/>
    <w:rsid w:val="00C8285A"/>
    <w:rsid w:val="00C82C9B"/>
    <w:rsid w:val="00C82D09"/>
    <w:rsid w:val="00C83879"/>
    <w:rsid w:val="00C83CAF"/>
    <w:rsid w:val="00C83D39"/>
    <w:rsid w:val="00C83D6E"/>
    <w:rsid w:val="00C83D95"/>
    <w:rsid w:val="00C84108"/>
    <w:rsid w:val="00C843CE"/>
    <w:rsid w:val="00C844A5"/>
    <w:rsid w:val="00C8464F"/>
    <w:rsid w:val="00C84B38"/>
    <w:rsid w:val="00C84D79"/>
    <w:rsid w:val="00C85240"/>
    <w:rsid w:val="00C8540E"/>
    <w:rsid w:val="00C858B4"/>
    <w:rsid w:val="00C85979"/>
    <w:rsid w:val="00C85A95"/>
    <w:rsid w:val="00C85EE2"/>
    <w:rsid w:val="00C8604E"/>
    <w:rsid w:val="00C86126"/>
    <w:rsid w:val="00C8633A"/>
    <w:rsid w:val="00C86758"/>
    <w:rsid w:val="00C868D3"/>
    <w:rsid w:val="00C86CB0"/>
    <w:rsid w:val="00C86EDB"/>
    <w:rsid w:val="00C86FD8"/>
    <w:rsid w:val="00C87061"/>
    <w:rsid w:val="00C870D1"/>
    <w:rsid w:val="00C8733C"/>
    <w:rsid w:val="00C87770"/>
    <w:rsid w:val="00C8779E"/>
    <w:rsid w:val="00C8784D"/>
    <w:rsid w:val="00C8797A"/>
    <w:rsid w:val="00C87A20"/>
    <w:rsid w:val="00C87A4A"/>
    <w:rsid w:val="00C87B34"/>
    <w:rsid w:val="00C87B36"/>
    <w:rsid w:val="00C87EED"/>
    <w:rsid w:val="00C903E1"/>
    <w:rsid w:val="00C90839"/>
    <w:rsid w:val="00C90854"/>
    <w:rsid w:val="00C90B4F"/>
    <w:rsid w:val="00C90D5F"/>
    <w:rsid w:val="00C91214"/>
    <w:rsid w:val="00C9133C"/>
    <w:rsid w:val="00C9141C"/>
    <w:rsid w:val="00C91460"/>
    <w:rsid w:val="00C91506"/>
    <w:rsid w:val="00C91534"/>
    <w:rsid w:val="00C91960"/>
    <w:rsid w:val="00C91C99"/>
    <w:rsid w:val="00C91EDE"/>
    <w:rsid w:val="00C9293A"/>
    <w:rsid w:val="00C92A45"/>
    <w:rsid w:val="00C92C64"/>
    <w:rsid w:val="00C92D4B"/>
    <w:rsid w:val="00C92D8C"/>
    <w:rsid w:val="00C93121"/>
    <w:rsid w:val="00C93214"/>
    <w:rsid w:val="00C932BA"/>
    <w:rsid w:val="00C932BC"/>
    <w:rsid w:val="00C93454"/>
    <w:rsid w:val="00C938CF"/>
    <w:rsid w:val="00C9393C"/>
    <w:rsid w:val="00C93B57"/>
    <w:rsid w:val="00C93C0E"/>
    <w:rsid w:val="00C93F4E"/>
    <w:rsid w:val="00C9434F"/>
    <w:rsid w:val="00C945A1"/>
    <w:rsid w:val="00C94B30"/>
    <w:rsid w:val="00C94F43"/>
    <w:rsid w:val="00C94FC1"/>
    <w:rsid w:val="00C94FFC"/>
    <w:rsid w:val="00C9505B"/>
    <w:rsid w:val="00C9512E"/>
    <w:rsid w:val="00C958EB"/>
    <w:rsid w:val="00C95A2B"/>
    <w:rsid w:val="00C95B5F"/>
    <w:rsid w:val="00C95C7A"/>
    <w:rsid w:val="00C95CAF"/>
    <w:rsid w:val="00C95E5C"/>
    <w:rsid w:val="00C95E7A"/>
    <w:rsid w:val="00C95F1D"/>
    <w:rsid w:val="00C9639B"/>
    <w:rsid w:val="00C96416"/>
    <w:rsid w:val="00C966EB"/>
    <w:rsid w:val="00C967EE"/>
    <w:rsid w:val="00C96887"/>
    <w:rsid w:val="00C96AE1"/>
    <w:rsid w:val="00C96E75"/>
    <w:rsid w:val="00C97198"/>
    <w:rsid w:val="00C9721F"/>
    <w:rsid w:val="00C9741C"/>
    <w:rsid w:val="00C975DC"/>
    <w:rsid w:val="00C97E12"/>
    <w:rsid w:val="00CA00B4"/>
    <w:rsid w:val="00CA08A0"/>
    <w:rsid w:val="00CA0EF1"/>
    <w:rsid w:val="00CA0F9D"/>
    <w:rsid w:val="00CA1AFA"/>
    <w:rsid w:val="00CA1B0C"/>
    <w:rsid w:val="00CA20DE"/>
    <w:rsid w:val="00CA22AB"/>
    <w:rsid w:val="00CA2416"/>
    <w:rsid w:val="00CA2B4A"/>
    <w:rsid w:val="00CA2D02"/>
    <w:rsid w:val="00CA2F68"/>
    <w:rsid w:val="00CA31B9"/>
    <w:rsid w:val="00CA33B5"/>
    <w:rsid w:val="00CA33CF"/>
    <w:rsid w:val="00CA37E9"/>
    <w:rsid w:val="00CA384D"/>
    <w:rsid w:val="00CA3E45"/>
    <w:rsid w:val="00CA40F7"/>
    <w:rsid w:val="00CA4180"/>
    <w:rsid w:val="00CA419C"/>
    <w:rsid w:val="00CA4390"/>
    <w:rsid w:val="00CA441A"/>
    <w:rsid w:val="00CA45F7"/>
    <w:rsid w:val="00CA482C"/>
    <w:rsid w:val="00CA49A0"/>
    <w:rsid w:val="00CA4AF3"/>
    <w:rsid w:val="00CA5002"/>
    <w:rsid w:val="00CA5245"/>
    <w:rsid w:val="00CA5531"/>
    <w:rsid w:val="00CA60EC"/>
    <w:rsid w:val="00CA6687"/>
    <w:rsid w:val="00CA6AB4"/>
    <w:rsid w:val="00CA705F"/>
    <w:rsid w:val="00CA73B6"/>
    <w:rsid w:val="00CA7425"/>
    <w:rsid w:val="00CA7430"/>
    <w:rsid w:val="00CA7509"/>
    <w:rsid w:val="00CA79DE"/>
    <w:rsid w:val="00CA7B09"/>
    <w:rsid w:val="00CA7D87"/>
    <w:rsid w:val="00CB0309"/>
    <w:rsid w:val="00CB0344"/>
    <w:rsid w:val="00CB0683"/>
    <w:rsid w:val="00CB068C"/>
    <w:rsid w:val="00CB078E"/>
    <w:rsid w:val="00CB0B72"/>
    <w:rsid w:val="00CB0C57"/>
    <w:rsid w:val="00CB0E8D"/>
    <w:rsid w:val="00CB0ECC"/>
    <w:rsid w:val="00CB1062"/>
    <w:rsid w:val="00CB139C"/>
    <w:rsid w:val="00CB167C"/>
    <w:rsid w:val="00CB17F4"/>
    <w:rsid w:val="00CB1862"/>
    <w:rsid w:val="00CB1897"/>
    <w:rsid w:val="00CB1934"/>
    <w:rsid w:val="00CB1BC1"/>
    <w:rsid w:val="00CB21FE"/>
    <w:rsid w:val="00CB2494"/>
    <w:rsid w:val="00CB2630"/>
    <w:rsid w:val="00CB2776"/>
    <w:rsid w:val="00CB28AF"/>
    <w:rsid w:val="00CB2ABF"/>
    <w:rsid w:val="00CB2D4C"/>
    <w:rsid w:val="00CB2DD2"/>
    <w:rsid w:val="00CB2DFC"/>
    <w:rsid w:val="00CB2FAC"/>
    <w:rsid w:val="00CB30D5"/>
    <w:rsid w:val="00CB31E1"/>
    <w:rsid w:val="00CB360F"/>
    <w:rsid w:val="00CB3832"/>
    <w:rsid w:val="00CB3893"/>
    <w:rsid w:val="00CB3A0E"/>
    <w:rsid w:val="00CB3BE0"/>
    <w:rsid w:val="00CB3C88"/>
    <w:rsid w:val="00CB3CDB"/>
    <w:rsid w:val="00CB3D16"/>
    <w:rsid w:val="00CB3EF1"/>
    <w:rsid w:val="00CB452C"/>
    <w:rsid w:val="00CB454E"/>
    <w:rsid w:val="00CB4643"/>
    <w:rsid w:val="00CB4A3A"/>
    <w:rsid w:val="00CB4CD9"/>
    <w:rsid w:val="00CB4D10"/>
    <w:rsid w:val="00CB50EC"/>
    <w:rsid w:val="00CB53BA"/>
    <w:rsid w:val="00CB543F"/>
    <w:rsid w:val="00CB5AAD"/>
    <w:rsid w:val="00CB5B1A"/>
    <w:rsid w:val="00CB5B24"/>
    <w:rsid w:val="00CB5FF1"/>
    <w:rsid w:val="00CB6584"/>
    <w:rsid w:val="00CB65DC"/>
    <w:rsid w:val="00CB65F8"/>
    <w:rsid w:val="00CB6667"/>
    <w:rsid w:val="00CB6872"/>
    <w:rsid w:val="00CB6A24"/>
    <w:rsid w:val="00CB6B0B"/>
    <w:rsid w:val="00CB6B5B"/>
    <w:rsid w:val="00CB6DE3"/>
    <w:rsid w:val="00CB6FDE"/>
    <w:rsid w:val="00CB7187"/>
    <w:rsid w:val="00CB71BC"/>
    <w:rsid w:val="00CB79DE"/>
    <w:rsid w:val="00CB7E88"/>
    <w:rsid w:val="00CC0060"/>
    <w:rsid w:val="00CC02E2"/>
    <w:rsid w:val="00CC0516"/>
    <w:rsid w:val="00CC064E"/>
    <w:rsid w:val="00CC06A6"/>
    <w:rsid w:val="00CC06F2"/>
    <w:rsid w:val="00CC0801"/>
    <w:rsid w:val="00CC0A48"/>
    <w:rsid w:val="00CC0A7D"/>
    <w:rsid w:val="00CC1414"/>
    <w:rsid w:val="00CC1434"/>
    <w:rsid w:val="00CC160D"/>
    <w:rsid w:val="00CC164A"/>
    <w:rsid w:val="00CC1708"/>
    <w:rsid w:val="00CC1805"/>
    <w:rsid w:val="00CC19DB"/>
    <w:rsid w:val="00CC1B86"/>
    <w:rsid w:val="00CC222F"/>
    <w:rsid w:val="00CC2459"/>
    <w:rsid w:val="00CC246C"/>
    <w:rsid w:val="00CC299A"/>
    <w:rsid w:val="00CC2C6D"/>
    <w:rsid w:val="00CC2E52"/>
    <w:rsid w:val="00CC2ED5"/>
    <w:rsid w:val="00CC303F"/>
    <w:rsid w:val="00CC324F"/>
    <w:rsid w:val="00CC325C"/>
    <w:rsid w:val="00CC32D9"/>
    <w:rsid w:val="00CC335E"/>
    <w:rsid w:val="00CC3555"/>
    <w:rsid w:val="00CC3866"/>
    <w:rsid w:val="00CC393C"/>
    <w:rsid w:val="00CC3B1D"/>
    <w:rsid w:val="00CC3B6E"/>
    <w:rsid w:val="00CC3BAA"/>
    <w:rsid w:val="00CC3D9D"/>
    <w:rsid w:val="00CC3F4C"/>
    <w:rsid w:val="00CC422C"/>
    <w:rsid w:val="00CC4386"/>
    <w:rsid w:val="00CC443D"/>
    <w:rsid w:val="00CC4622"/>
    <w:rsid w:val="00CC47FD"/>
    <w:rsid w:val="00CC4818"/>
    <w:rsid w:val="00CC4A84"/>
    <w:rsid w:val="00CC4B4A"/>
    <w:rsid w:val="00CC4CE4"/>
    <w:rsid w:val="00CC519D"/>
    <w:rsid w:val="00CC51C9"/>
    <w:rsid w:val="00CC54D2"/>
    <w:rsid w:val="00CC5B13"/>
    <w:rsid w:val="00CC5D28"/>
    <w:rsid w:val="00CC6321"/>
    <w:rsid w:val="00CC6497"/>
    <w:rsid w:val="00CC6707"/>
    <w:rsid w:val="00CC6903"/>
    <w:rsid w:val="00CC6A53"/>
    <w:rsid w:val="00CC6D36"/>
    <w:rsid w:val="00CC6E7A"/>
    <w:rsid w:val="00CC6F05"/>
    <w:rsid w:val="00CC6FF7"/>
    <w:rsid w:val="00CC705D"/>
    <w:rsid w:val="00CC7061"/>
    <w:rsid w:val="00CC70EF"/>
    <w:rsid w:val="00CC7209"/>
    <w:rsid w:val="00CC7472"/>
    <w:rsid w:val="00CC7AB1"/>
    <w:rsid w:val="00CC7B49"/>
    <w:rsid w:val="00CC7B92"/>
    <w:rsid w:val="00CD0686"/>
    <w:rsid w:val="00CD07ED"/>
    <w:rsid w:val="00CD08E4"/>
    <w:rsid w:val="00CD0BD5"/>
    <w:rsid w:val="00CD0C19"/>
    <w:rsid w:val="00CD0C3D"/>
    <w:rsid w:val="00CD0D98"/>
    <w:rsid w:val="00CD0E79"/>
    <w:rsid w:val="00CD0F27"/>
    <w:rsid w:val="00CD1000"/>
    <w:rsid w:val="00CD13E0"/>
    <w:rsid w:val="00CD1BC0"/>
    <w:rsid w:val="00CD1E15"/>
    <w:rsid w:val="00CD200C"/>
    <w:rsid w:val="00CD20F9"/>
    <w:rsid w:val="00CD222C"/>
    <w:rsid w:val="00CD223B"/>
    <w:rsid w:val="00CD28CE"/>
    <w:rsid w:val="00CD2A85"/>
    <w:rsid w:val="00CD2C70"/>
    <w:rsid w:val="00CD2CB7"/>
    <w:rsid w:val="00CD2D0E"/>
    <w:rsid w:val="00CD2D1E"/>
    <w:rsid w:val="00CD2E65"/>
    <w:rsid w:val="00CD2FC6"/>
    <w:rsid w:val="00CD2FED"/>
    <w:rsid w:val="00CD30DD"/>
    <w:rsid w:val="00CD3293"/>
    <w:rsid w:val="00CD33F5"/>
    <w:rsid w:val="00CD344B"/>
    <w:rsid w:val="00CD35DF"/>
    <w:rsid w:val="00CD363C"/>
    <w:rsid w:val="00CD3921"/>
    <w:rsid w:val="00CD3B14"/>
    <w:rsid w:val="00CD3C97"/>
    <w:rsid w:val="00CD3D2C"/>
    <w:rsid w:val="00CD418E"/>
    <w:rsid w:val="00CD46CE"/>
    <w:rsid w:val="00CD4914"/>
    <w:rsid w:val="00CD4AFE"/>
    <w:rsid w:val="00CD4D4A"/>
    <w:rsid w:val="00CD4EF8"/>
    <w:rsid w:val="00CD4F95"/>
    <w:rsid w:val="00CD4FC3"/>
    <w:rsid w:val="00CD52E8"/>
    <w:rsid w:val="00CD53EF"/>
    <w:rsid w:val="00CD5505"/>
    <w:rsid w:val="00CD58C7"/>
    <w:rsid w:val="00CD597B"/>
    <w:rsid w:val="00CD5DFF"/>
    <w:rsid w:val="00CD619E"/>
    <w:rsid w:val="00CD6265"/>
    <w:rsid w:val="00CD63E1"/>
    <w:rsid w:val="00CD64A3"/>
    <w:rsid w:val="00CD6523"/>
    <w:rsid w:val="00CD6938"/>
    <w:rsid w:val="00CD6ADC"/>
    <w:rsid w:val="00CD6BE2"/>
    <w:rsid w:val="00CD6C61"/>
    <w:rsid w:val="00CD6EF3"/>
    <w:rsid w:val="00CD70AD"/>
    <w:rsid w:val="00CD72C0"/>
    <w:rsid w:val="00CD72D1"/>
    <w:rsid w:val="00CD7D9D"/>
    <w:rsid w:val="00CE018D"/>
    <w:rsid w:val="00CE042F"/>
    <w:rsid w:val="00CE0894"/>
    <w:rsid w:val="00CE0B30"/>
    <w:rsid w:val="00CE0B59"/>
    <w:rsid w:val="00CE0D2C"/>
    <w:rsid w:val="00CE118B"/>
    <w:rsid w:val="00CE1321"/>
    <w:rsid w:val="00CE1579"/>
    <w:rsid w:val="00CE17B6"/>
    <w:rsid w:val="00CE1B2A"/>
    <w:rsid w:val="00CE1D98"/>
    <w:rsid w:val="00CE1DB0"/>
    <w:rsid w:val="00CE1F5D"/>
    <w:rsid w:val="00CE2330"/>
    <w:rsid w:val="00CE248F"/>
    <w:rsid w:val="00CE2507"/>
    <w:rsid w:val="00CE265D"/>
    <w:rsid w:val="00CE281F"/>
    <w:rsid w:val="00CE28ED"/>
    <w:rsid w:val="00CE293C"/>
    <w:rsid w:val="00CE2960"/>
    <w:rsid w:val="00CE29E8"/>
    <w:rsid w:val="00CE2EC8"/>
    <w:rsid w:val="00CE2FC6"/>
    <w:rsid w:val="00CE3129"/>
    <w:rsid w:val="00CE3307"/>
    <w:rsid w:val="00CE3400"/>
    <w:rsid w:val="00CE3481"/>
    <w:rsid w:val="00CE379D"/>
    <w:rsid w:val="00CE382A"/>
    <w:rsid w:val="00CE391E"/>
    <w:rsid w:val="00CE396A"/>
    <w:rsid w:val="00CE3991"/>
    <w:rsid w:val="00CE3B14"/>
    <w:rsid w:val="00CE4132"/>
    <w:rsid w:val="00CE41A9"/>
    <w:rsid w:val="00CE474C"/>
    <w:rsid w:val="00CE4794"/>
    <w:rsid w:val="00CE4866"/>
    <w:rsid w:val="00CE492C"/>
    <w:rsid w:val="00CE4A3A"/>
    <w:rsid w:val="00CE4A7E"/>
    <w:rsid w:val="00CE4AAD"/>
    <w:rsid w:val="00CE4FBE"/>
    <w:rsid w:val="00CE5E15"/>
    <w:rsid w:val="00CE617A"/>
    <w:rsid w:val="00CE6253"/>
    <w:rsid w:val="00CE6274"/>
    <w:rsid w:val="00CE6393"/>
    <w:rsid w:val="00CE66F1"/>
    <w:rsid w:val="00CE6C98"/>
    <w:rsid w:val="00CE6D17"/>
    <w:rsid w:val="00CE6E4A"/>
    <w:rsid w:val="00CE6FB1"/>
    <w:rsid w:val="00CE72F8"/>
    <w:rsid w:val="00CE7311"/>
    <w:rsid w:val="00CE73AA"/>
    <w:rsid w:val="00CE751E"/>
    <w:rsid w:val="00CE75E0"/>
    <w:rsid w:val="00CE76DB"/>
    <w:rsid w:val="00CE76FB"/>
    <w:rsid w:val="00CE781D"/>
    <w:rsid w:val="00CE7858"/>
    <w:rsid w:val="00CE7BDB"/>
    <w:rsid w:val="00CF03A6"/>
    <w:rsid w:val="00CF0496"/>
    <w:rsid w:val="00CF07C4"/>
    <w:rsid w:val="00CF0828"/>
    <w:rsid w:val="00CF08CB"/>
    <w:rsid w:val="00CF0ACB"/>
    <w:rsid w:val="00CF0CB4"/>
    <w:rsid w:val="00CF1516"/>
    <w:rsid w:val="00CF19CB"/>
    <w:rsid w:val="00CF1A7E"/>
    <w:rsid w:val="00CF1B9F"/>
    <w:rsid w:val="00CF1BE1"/>
    <w:rsid w:val="00CF2241"/>
    <w:rsid w:val="00CF2253"/>
    <w:rsid w:val="00CF22EE"/>
    <w:rsid w:val="00CF233F"/>
    <w:rsid w:val="00CF2450"/>
    <w:rsid w:val="00CF2527"/>
    <w:rsid w:val="00CF2838"/>
    <w:rsid w:val="00CF2989"/>
    <w:rsid w:val="00CF2995"/>
    <w:rsid w:val="00CF29F7"/>
    <w:rsid w:val="00CF2AFC"/>
    <w:rsid w:val="00CF2BB2"/>
    <w:rsid w:val="00CF2EC6"/>
    <w:rsid w:val="00CF2F03"/>
    <w:rsid w:val="00CF3037"/>
    <w:rsid w:val="00CF33A2"/>
    <w:rsid w:val="00CF345A"/>
    <w:rsid w:val="00CF3655"/>
    <w:rsid w:val="00CF3677"/>
    <w:rsid w:val="00CF36A6"/>
    <w:rsid w:val="00CF3740"/>
    <w:rsid w:val="00CF3DAA"/>
    <w:rsid w:val="00CF4187"/>
    <w:rsid w:val="00CF456B"/>
    <w:rsid w:val="00CF4687"/>
    <w:rsid w:val="00CF49E8"/>
    <w:rsid w:val="00CF4C2E"/>
    <w:rsid w:val="00CF4DFD"/>
    <w:rsid w:val="00CF4F55"/>
    <w:rsid w:val="00CF552D"/>
    <w:rsid w:val="00CF5676"/>
    <w:rsid w:val="00CF5A22"/>
    <w:rsid w:val="00CF5A72"/>
    <w:rsid w:val="00CF5AD1"/>
    <w:rsid w:val="00CF5F0B"/>
    <w:rsid w:val="00CF63DB"/>
    <w:rsid w:val="00CF64CC"/>
    <w:rsid w:val="00CF6569"/>
    <w:rsid w:val="00CF65FC"/>
    <w:rsid w:val="00CF66BD"/>
    <w:rsid w:val="00CF66D1"/>
    <w:rsid w:val="00CF67B5"/>
    <w:rsid w:val="00CF67C8"/>
    <w:rsid w:val="00CF685E"/>
    <w:rsid w:val="00CF6E7E"/>
    <w:rsid w:val="00CF6F93"/>
    <w:rsid w:val="00CF7158"/>
    <w:rsid w:val="00CF7794"/>
    <w:rsid w:val="00CF7C78"/>
    <w:rsid w:val="00D002C8"/>
    <w:rsid w:val="00D003EE"/>
    <w:rsid w:val="00D005C6"/>
    <w:rsid w:val="00D005F5"/>
    <w:rsid w:val="00D006E7"/>
    <w:rsid w:val="00D00A76"/>
    <w:rsid w:val="00D00F3A"/>
    <w:rsid w:val="00D00F50"/>
    <w:rsid w:val="00D014FA"/>
    <w:rsid w:val="00D018DA"/>
    <w:rsid w:val="00D01B11"/>
    <w:rsid w:val="00D01B28"/>
    <w:rsid w:val="00D01D0C"/>
    <w:rsid w:val="00D01D8F"/>
    <w:rsid w:val="00D01FD4"/>
    <w:rsid w:val="00D02270"/>
    <w:rsid w:val="00D022D6"/>
    <w:rsid w:val="00D0262E"/>
    <w:rsid w:val="00D02631"/>
    <w:rsid w:val="00D0281E"/>
    <w:rsid w:val="00D02AA2"/>
    <w:rsid w:val="00D02C7B"/>
    <w:rsid w:val="00D02D75"/>
    <w:rsid w:val="00D02DEA"/>
    <w:rsid w:val="00D02F4E"/>
    <w:rsid w:val="00D030E3"/>
    <w:rsid w:val="00D03152"/>
    <w:rsid w:val="00D031D4"/>
    <w:rsid w:val="00D0363D"/>
    <w:rsid w:val="00D03955"/>
    <w:rsid w:val="00D03B4A"/>
    <w:rsid w:val="00D03F59"/>
    <w:rsid w:val="00D04122"/>
    <w:rsid w:val="00D0424F"/>
    <w:rsid w:val="00D04703"/>
    <w:rsid w:val="00D049DB"/>
    <w:rsid w:val="00D04C85"/>
    <w:rsid w:val="00D050CD"/>
    <w:rsid w:val="00D0511C"/>
    <w:rsid w:val="00D05136"/>
    <w:rsid w:val="00D052D5"/>
    <w:rsid w:val="00D054C7"/>
    <w:rsid w:val="00D0552C"/>
    <w:rsid w:val="00D056E0"/>
    <w:rsid w:val="00D05861"/>
    <w:rsid w:val="00D05B4F"/>
    <w:rsid w:val="00D05B5C"/>
    <w:rsid w:val="00D05FAB"/>
    <w:rsid w:val="00D063E0"/>
    <w:rsid w:val="00D06459"/>
    <w:rsid w:val="00D06652"/>
    <w:rsid w:val="00D06864"/>
    <w:rsid w:val="00D06E1D"/>
    <w:rsid w:val="00D06E4D"/>
    <w:rsid w:val="00D06F7B"/>
    <w:rsid w:val="00D07037"/>
    <w:rsid w:val="00D070B1"/>
    <w:rsid w:val="00D07322"/>
    <w:rsid w:val="00D073DD"/>
    <w:rsid w:val="00D0757F"/>
    <w:rsid w:val="00D07CB0"/>
    <w:rsid w:val="00D10227"/>
    <w:rsid w:val="00D10349"/>
    <w:rsid w:val="00D10462"/>
    <w:rsid w:val="00D105FC"/>
    <w:rsid w:val="00D10618"/>
    <w:rsid w:val="00D106CD"/>
    <w:rsid w:val="00D10AF0"/>
    <w:rsid w:val="00D10D21"/>
    <w:rsid w:val="00D10DEB"/>
    <w:rsid w:val="00D11028"/>
    <w:rsid w:val="00D110BD"/>
    <w:rsid w:val="00D110F6"/>
    <w:rsid w:val="00D11839"/>
    <w:rsid w:val="00D118B0"/>
    <w:rsid w:val="00D118E5"/>
    <w:rsid w:val="00D11939"/>
    <w:rsid w:val="00D11B64"/>
    <w:rsid w:val="00D11BAA"/>
    <w:rsid w:val="00D11CE4"/>
    <w:rsid w:val="00D11E5A"/>
    <w:rsid w:val="00D124F2"/>
    <w:rsid w:val="00D12598"/>
    <w:rsid w:val="00D126AC"/>
    <w:rsid w:val="00D128BF"/>
    <w:rsid w:val="00D1298A"/>
    <w:rsid w:val="00D129E9"/>
    <w:rsid w:val="00D131D0"/>
    <w:rsid w:val="00D134CE"/>
    <w:rsid w:val="00D13DBA"/>
    <w:rsid w:val="00D13E26"/>
    <w:rsid w:val="00D14024"/>
    <w:rsid w:val="00D144A4"/>
    <w:rsid w:val="00D1471F"/>
    <w:rsid w:val="00D14927"/>
    <w:rsid w:val="00D14975"/>
    <w:rsid w:val="00D14C83"/>
    <w:rsid w:val="00D14D87"/>
    <w:rsid w:val="00D1569C"/>
    <w:rsid w:val="00D1576F"/>
    <w:rsid w:val="00D158EC"/>
    <w:rsid w:val="00D159B9"/>
    <w:rsid w:val="00D159F1"/>
    <w:rsid w:val="00D15A59"/>
    <w:rsid w:val="00D15A5E"/>
    <w:rsid w:val="00D15EA2"/>
    <w:rsid w:val="00D16141"/>
    <w:rsid w:val="00D16162"/>
    <w:rsid w:val="00D162A1"/>
    <w:rsid w:val="00D163F9"/>
    <w:rsid w:val="00D1646F"/>
    <w:rsid w:val="00D16607"/>
    <w:rsid w:val="00D16B05"/>
    <w:rsid w:val="00D16DBD"/>
    <w:rsid w:val="00D1731F"/>
    <w:rsid w:val="00D173DB"/>
    <w:rsid w:val="00D17B8B"/>
    <w:rsid w:val="00D17D28"/>
    <w:rsid w:val="00D17D6C"/>
    <w:rsid w:val="00D17F95"/>
    <w:rsid w:val="00D20074"/>
    <w:rsid w:val="00D2011A"/>
    <w:rsid w:val="00D201F5"/>
    <w:rsid w:val="00D202B8"/>
    <w:rsid w:val="00D203AA"/>
    <w:rsid w:val="00D2043B"/>
    <w:rsid w:val="00D2074F"/>
    <w:rsid w:val="00D207C1"/>
    <w:rsid w:val="00D20814"/>
    <w:rsid w:val="00D2091E"/>
    <w:rsid w:val="00D209BA"/>
    <w:rsid w:val="00D20AE4"/>
    <w:rsid w:val="00D20B97"/>
    <w:rsid w:val="00D20CB1"/>
    <w:rsid w:val="00D20D9E"/>
    <w:rsid w:val="00D20E62"/>
    <w:rsid w:val="00D2159A"/>
    <w:rsid w:val="00D216D2"/>
    <w:rsid w:val="00D217A0"/>
    <w:rsid w:val="00D21819"/>
    <w:rsid w:val="00D21834"/>
    <w:rsid w:val="00D219EB"/>
    <w:rsid w:val="00D21ABB"/>
    <w:rsid w:val="00D21B00"/>
    <w:rsid w:val="00D21EBC"/>
    <w:rsid w:val="00D22105"/>
    <w:rsid w:val="00D2226E"/>
    <w:rsid w:val="00D22343"/>
    <w:rsid w:val="00D2262D"/>
    <w:rsid w:val="00D22918"/>
    <w:rsid w:val="00D229F5"/>
    <w:rsid w:val="00D22A4A"/>
    <w:rsid w:val="00D22B56"/>
    <w:rsid w:val="00D22C02"/>
    <w:rsid w:val="00D22CC1"/>
    <w:rsid w:val="00D2306E"/>
    <w:rsid w:val="00D2315F"/>
    <w:rsid w:val="00D2335D"/>
    <w:rsid w:val="00D233E0"/>
    <w:rsid w:val="00D2344B"/>
    <w:rsid w:val="00D2344F"/>
    <w:rsid w:val="00D23520"/>
    <w:rsid w:val="00D23738"/>
    <w:rsid w:val="00D238CE"/>
    <w:rsid w:val="00D2390D"/>
    <w:rsid w:val="00D23982"/>
    <w:rsid w:val="00D23DB6"/>
    <w:rsid w:val="00D24016"/>
    <w:rsid w:val="00D240A0"/>
    <w:rsid w:val="00D24314"/>
    <w:rsid w:val="00D24836"/>
    <w:rsid w:val="00D24965"/>
    <w:rsid w:val="00D24B58"/>
    <w:rsid w:val="00D24BB1"/>
    <w:rsid w:val="00D24DEA"/>
    <w:rsid w:val="00D25020"/>
    <w:rsid w:val="00D25029"/>
    <w:rsid w:val="00D250A3"/>
    <w:rsid w:val="00D25585"/>
    <w:rsid w:val="00D257E3"/>
    <w:rsid w:val="00D2584C"/>
    <w:rsid w:val="00D260BE"/>
    <w:rsid w:val="00D260C1"/>
    <w:rsid w:val="00D26107"/>
    <w:rsid w:val="00D26285"/>
    <w:rsid w:val="00D262CC"/>
    <w:rsid w:val="00D26433"/>
    <w:rsid w:val="00D26457"/>
    <w:rsid w:val="00D267B0"/>
    <w:rsid w:val="00D26827"/>
    <w:rsid w:val="00D26A69"/>
    <w:rsid w:val="00D26EEA"/>
    <w:rsid w:val="00D27103"/>
    <w:rsid w:val="00D27568"/>
    <w:rsid w:val="00D27CC9"/>
    <w:rsid w:val="00D27FD7"/>
    <w:rsid w:val="00D30304"/>
    <w:rsid w:val="00D30658"/>
    <w:rsid w:val="00D306D0"/>
    <w:rsid w:val="00D30BA4"/>
    <w:rsid w:val="00D30BD4"/>
    <w:rsid w:val="00D30F22"/>
    <w:rsid w:val="00D311F2"/>
    <w:rsid w:val="00D31356"/>
    <w:rsid w:val="00D31405"/>
    <w:rsid w:val="00D3169D"/>
    <w:rsid w:val="00D31CCE"/>
    <w:rsid w:val="00D321E6"/>
    <w:rsid w:val="00D321F8"/>
    <w:rsid w:val="00D3233D"/>
    <w:rsid w:val="00D32AB9"/>
    <w:rsid w:val="00D32BE6"/>
    <w:rsid w:val="00D32CA2"/>
    <w:rsid w:val="00D32D2E"/>
    <w:rsid w:val="00D32DB7"/>
    <w:rsid w:val="00D32EF8"/>
    <w:rsid w:val="00D3346F"/>
    <w:rsid w:val="00D3387A"/>
    <w:rsid w:val="00D3421D"/>
    <w:rsid w:val="00D3427D"/>
    <w:rsid w:val="00D3428C"/>
    <w:rsid w:val="00D343DE"/>
    <w:rsid w:val="00D345E7"/>
    <w:rsid w:val="00D347D6"/>
    <w:rsid w:val="00D3496A"/>
    <w:rsid w:val="00D34D48"/>
    <w:rsid w:val="00D34FF3"/>
    <w:rsid w:val="00D35786"/>
    <w:rsid w:val="00D357CD"/>
    <w:rsid w:val="00D357FF"/>
    <w:rsid w:val="00D35915"/>
    <w:rsid w:val="00D35A22"/>
    <w:rsid w:val="00D35BBD"/>
    <w:rsid w:val="00D35BFA"/>
    <w:rsid w:val="00D35EBA"/>
    <w:rsid w:val="00D36520"/>
    <w:rsid w:val="00D365F9"/>
    <w:rsid w:val="00D366E4"/>
    <w:rsid w:val="00D36772"/>
    <w:rsid w:val="00D3687D"/>
    <w:rsid w:val="00D36B27"/>
    <w:rsid w:val="00D36C72"/>
    <w:rsid w:val="00D36CE5"/>
    <w:rsid w:val="00D36E1E"/>
    <w:rsid w:val="00D36FFD"/>
    <w:rsid w:val="00D37134"/>
    <w:rsid w:val="00D372FE"/>
    <w:rsid w:val="00D3761E"/>
    <w:rsid w:val="00D37741"/>
    <w:rsid w:val="00D37960"/>
    <w:rsid w:val="00D3797C"/>
    <w:rsid w:val="00D3798A"/>
    <w:rsid w:val="00D37F3E"/>
    <w:rsid w:val="00D40109"/>
    <w:rsid w:val="00D40215"/>
    <w:rsid w:val="00D40490"/>
    <w:rsid w:val="00D406C2"/>
    <w:rsid w:val="00D40EE7"/>
    <w:rsid w:val="00D41217"/>
    <w:rsid w:val="00D4133C"/>
    <w:rsid w:val="00D414EB"/>
    <w:rsid w:val="00D4155F"/>
    <w:rsid w:val="00D41B01"/>
    <w:rsid w:val="00D41C9E"/>
    <w:rsid w:val="00D42586"/>
    <w:rsid w:val="00D42623"/>
    <w:rsid w:val="00D42A1C"/>
    <w:rsid w:val="00D42AC6"/>
    <w:rsid w:val="00D42DA9"/>
    <w:rsid w:val="00D436FD"/>
    <w:rsid w:val="00D43829"/>
    <w:rsid w:val="00D43916"/>
    <w:rsid w:val="00D43AAB"/>
    <w:rsid w:val="00D43B65"/>
    <w:rsid w:val="00D43BCF"/>
    <w:rsid w:val="00D43C5F"/>
    <w:rsid w:val="00D43EA6"/>
    <w:rsid w:val="00D43F34"/>
    <w:rsid w:val="00D44377"/>
    <w:rsid w:val="00D44544"/>
    <w:rsid w:val="00D4479C"/>
    <w:rsid w:val="00D44854"/>
    <w:rsid w:val="00D44A36"/>
    <w:rsid w:val="00D44E14"/>
    <w:rsid w:val="00D44FB3"/>
    <w:rsid w:val="00D451F2"/>
    <w:rsid w:val="00D452BE"/>
    <w:rsid w:val="00D45395"/>
    <w:rsid w:val="00D45AAD"/>
    <w:rsid w:val="00D45B1F"/>
    <w:rsid w:val="00D46119"/>
    <w:rsid w:val="00D46185"/>
    <w:rsid w:val="00D461BB"/>
    <w:rsid w:val="00D4623D"/>
    <w:rsid w:val="00D4634B"/>
    <w:rsid w:val="00D46498"/>
    <w:rsid w:val="00D46BC4"/>
    <w:rsid w:val="00D46BF3"/>
    <w:rsid w:val="00D46D55"/>
    <w:rsid w:val="00D46E17"/>
    <w:rsid w:val="00D470A2"/>
    <w:rsid w:val="00D47828"/>
    <w:rsid w:val="00D479CF"/>
    <w:rsid w:val="00D479E9"/>
    <w:rsid w:val="00D47C36"/>
    <w:rsid w:val="00D47C69"/>
    <w:rsid w:val="00D47CD1"/>
    <w:rsid w:val="00D47EF1"/>
    <w:rsid w:val="00D500B5"/>
    <w:rsid w:val="00D502AD"/>
    <w:rsid w:val="00D50DA6"/>
    <w:rsid w:val="00D51152"/>
    <w:rsid w:val="00D51219"/>
    <w:rsid w:val="00D51377"/>
    <w:rsid w:val="00D51381"/>
    <w:rsid w:val="00D51480"/>
    <w:rsid w:val="00D51AA3"/>
    <w:rsid w:val="00D51DA6"/>
    <w:rsid w:val="00D51F86"/>
    <w:rsid w:val="00D52049"/>
    <w:rsid w:val="00D5221F"/>
    <w:rsid w:val="00D52332"/>
    <w:rsid w:val="00D52357"/>
    <w:rsid w:val="00D5235B"/>
    <w:rsid w:val="00D52476"/>
    <w:rsid w:val="00D527E5"/>
    <w:rsid w:val="00D52B3F"/>
    <w:rsid w:val="00D52C04"/>
    <w:rsid w:val="00D52E82"/>
    <w:rsid w:val="00D52FF9"/>
    <w:rsid w:val="00D53030"/>
    <w:rsid w:val="00D53049"/>
    <w:rsid w:val="00D530FB"/>
    <w:rsid w:val="00D534D5"/>
    <w:rsid w:val="00D53707"/>
    <w:rsid w:val="00D53824"/>
    <w:rsid w:val="00D53857"/>
    <w:rsid w:val="00D53920"/>
    <w:rsid w:val="00D53B46"/>
    <w:rsid w:val="00D54183"/>
    <w:rsid w:val="00D54352"/>
    <w:rsid w:val="00D54404"/>
    <w:rsid w:val="00D5441E"/>
    <w:rsid w:val="00D54509"/>
    <w:rsid w:val="00D54620"/>
    <w:rsid w:val="00D546C0"/>
    <w:rsid w:val="00D547A3"/>
    <w:rsid w:val="00D54815"/>
    <w:rsid w:val="00D54876"/>
    <w:rsid w:val="00D54A3B"/>
    <w:rsid w:val="00D54A4D"/>
    <w:rsid w:val="00D54AFC"/>
    <w:rsid w:val="00D54DC4"/>
    <w:rsid w:val="00D54E2F"/>
    <w:rsid w:val="00D55112"/>
    <w:rsid w:val="00D55136"/>
    <w:rsid w:val="00D55296"/>
    <w:rsid w:val="00D55411"/>
    <w:rsid w:val="00D5555C"/>
    <w:rsid w:val="00D56041"/>
    <w:rsid w:val="00D56598"/>
    <w:rsid w:val="00D56692"/>
    <w:rsid w:val="00D566EB"/>
    <w:rsid w:val="00D566FE"/>
    <w:rsid w:val="00D56794"/>
    <w:rsid w:val="00D56B04"/>
    <w:rsid w:val="00D5714E"/>
    <w:rsid w:val="00D57285"/>
    <w:rsid w:val="00D5729F"/>
    <w:rsid w:val="00D5742D"/>
    <w:rsid w:val="00D57812"/>
    <w:rsid w:val="00D57EB3"/>
    <w:rsid w:val="00D57F4F"/>
    <w:rsid w:val="00D57FA0"/>
    <w:rsid w:val="00D605FB"/>
    <w:rsid w:val="00D607AE"/>
    <w:rsid w:val="00D60A88"/>
    <w:rsid w:val="00D60C1B"/>
    <w:rsid w:val="00D60C3E"/>
    <w:rsid w:val="00D60D5D"/>
    <w:rsid w:val="00D61224"/>
    <w:rsid w:val="00D61466"/>
    <w:rsid w:val="00D61759"/>
    <w:rsid w:val="00D61964"/>
    <w:rsid w:val="00D61A12"/>
    <w:rsid w:val="00D61C27"/>
    <w:rsid w:val="00D61F79"/>
    <w:rsid w:val="00D6220F"/>
    <w:rsid w:val="00D6236F"/>
    <w:rsid w:val="00D6263D"/>
    <w:rsid w:val="00D627B4"/>
    <w:rsid w:val="00D629F5"/>
    <w:rsid w:val="00D62BA3"/>
    <w:rsid w:val="00D62D44"/>
    <w:rsid w:val="00D62F29"/>
    <w:rsid w:val="00D6317C"/>
    <w:rsid w:val="00D63321"/>
    <w:rsid w:val="00D63426"/>
    <w:rsid w:val="00D637BF"/>
    <w:rsid w:val="00D63966"/>
    <w:rsid w:val="00D63DDF"/>
    <w:rsid w:val="00D63E18"/>
    <w:rsid w:val="00D63EDD"/>
    <w:rsid w:val="00D64136"/>
    <w:rsid w:val="00D641CF"/>
    <w:rsid w:val="00D641FB"/>
    <w:rsid w:val="00D642FF"/>
    <w:rsid w:val="00D6437C"/>
    <w:rsid w:val="00D649A4"/>
    <w:rsid w:val="00D64A3B"/>
    <w:rsid w:val="00D64BF2"/>
    <w:rsid w:val="00D64C30"/>
    <w:rsid w:val="00D64FDE"/>
    <w:rsid w:val="00D652CF"/>
    <w:rsid w:val="00D65954"/>
    <w:rsid w:val="00D65BC4"/>
    <w:rsid w:val="00D65E3F"/>
    <w:rsid w:val="00D65E99"/>
    <w:rsid w:val="00D65EA1"/>
    <w:rsid w:val="00D661F3"/>
    <w:rsid w:val="00D66B17"/>
    <w:rsid w:val="00D66F1C"/>
    <w:rsid w:val="00D66F44"/>
    <w:rsid w:val="00D67118"/>
    <w:rsid w:val="00D67A37"/>
    <w:rsid w:val="00D67A71"/>
    <w:rsid w:val="00D67A8D"/>
    <w:rsid w:val="00D7019C"/>
    <w:rsid w:val="00D7048C"/>
    <w:rsid w:val="00D704B6"/>
    <w:rsid w:val="00D706F1"/>
    <w:rsid w:val="00D7074F"/>
    <w:rsid w:val="00D708ED"/>
    <w:rsid w:val="00D70B35"/>
    <w:rsid w:val="00D70E55"/>
    <w:rsid w:val="00D712CF"/>
    <w:rsid w:val="00D7165C"/>
    <w:rsid w:val="00D7172F"/>
    <w:rsid w:val="00D71841"/>
    <w:rsid w:val="00D719FE"/>
    <w:rsid w:val="00D71BAA"/>
    <w:rsid w:val="00D71BB3"/>
    <w:rsid w:val="00D71E65"/>
    <w:rsid w:val="00D71FCD"/>
    <w:rsid w:val="00D7270A"/>
    <w:rsid w:val="00D728F4"/>
    <w:rsid w:val="00D72AD7"/>
    <w:rsid w:val="00D72D83"/>
    <w:rsid w:val="00D72E00"/>
    <w:rsid w:val="00D72F09"/>
    <w:rsid w:val="00D72FF7"/>
    <w:rsid w:val="00D7308F"/>
    <w:rsid w:val="00D73226"/>
    <w:rsid w:val="00D7376E"/>
    <w:rsid w:val="00D738BD"/>
    <w:rsid w:val="00D73900"/>
    <w:rsid w:val="00D7391F"/>
    <w:rsid w:val="00D73A3F"/>
    <w:rsid w:val="00D73B36"/>
    <w:rsid w:val="00D73B6F"/>
    <w:rsid w:val="00D73C1F"/>
    <w:rsid w:val="00D742E7"/>
    <w:rsid w:val="00D743A1"/>
    <w:rsid w:val="00D74422"/>
    <w:rsid w:val="00D747E4"/>
    <w:rsid w:val="00D749AA"/>
    <w:rsid w:val="00D749AF"/>
    <w:rsid w:val="00D74A9A"/>
    <w:rsid w:val="00D74CC9"/>
    <w:rsid w:val="00D74DDC"/>
    <w:rsid w:val="00D7575D"/>
    <w:rsid w:val="00D75A69"/>
    <w:rsid w:val="00D75AB6"/>
    <w:rsid w:val="00D75B14"/>
    <w:rsid w:val="00D75D29"/>
    <w:rsid w:val="00D75F0B"/>
    <w:rsid w:val="00D75F88"/>
    <w:rsid w:val="00D761F9"/>
    <w:rsid w:val="00D765DE"/>
    <w:rsid w:val="00D76653"/>
    <w:rsid w:val="00D768BC"/>
    <w:rsid w:val="00D768FC"/>
    <w:rsid w:val="00D7695D"/>
    <w:rsid w:val="00D76A44"/>
    <w:rsid w:val="00D76A74"/>
    <w:rsid w:val="00D76BDA"/>
    <w:rsid w:val="00D76CFD"/>
    <w:rsid w:val="00D76F82"/>
    <w:rsid w:val="00D7713C"/>
    <w:rsid w:val="00D772AC"/>
    <w:rsid w:val="00D7736A"/>
    <w:rsid w:val="00D77398"/>
    <w:rsid w:val="00D7771F"/>
    <w:rsid w:val="00D77CC2"/>
    <w:rsid w:val="00D77D2A"/>
    <w:rsid w:val="00D77E9E"/>
    <w:rsid w:val="00D77F3F"/>
    <w:rsid w:val="00D80007"/>
    <w:rsid w:val="00D802F0"/>
    <w:rsid w:val="00D80640"/>
    <w:rsid w:val="00D806C6"/>
    <w:rsid w:val="00D808D2"/>
    <w:rsid w:val="00D80963"/>
    <w:rsid w:val="00D80A03"/>
    <w:rsid w:val="00D80BC8"/>
    <w:rsid w:val="00D80C2B"/>
    <w:rsid w:val="00D80E66"/>
    <w:rsid w:val="00D80E74"/>
    <w:rsid w:val="00D80ECE"/>
    <w:rsid w:val="00D80F1A"/>
    <w:rsid w:val="00D81293"/>
    <w:rsid w:val="00D81541"/>
    <w:rsid w:val="00D81A94"/>
    <w:rsid w:val="00D81B4D"/>
    <w:rsid w:val="00D81C70"/>
    <w:rsid w:val="00D81F58"/>
    <w:rsid w:val="00D821C8"/>
    <w:rsid w:val="00D823C0"/>
    <w:rsid w:val="00D82456"/>
    <w:rsid w:val="00D82512"/>
    <w:rsid w:val="00D82634"/>
    <w:rsid w:val="00D82738"/>
    <w:rsid w:val="00D82775"/>
    <w:rsid w:val="00D82937"/>
    <w:rsid w:val="00D82C1E"/>
    <w:rsid w:val="00D82D35"/>
    <w:rsid w:val="00D82F56"/>
    <w:rsid w:val="00D833A1"/>
    <w:rsid w:val="00D838F3"/>
    <w:rsid w:val="00D83C2E"/>
    <w:rsid w:val="00D83CA5"/>
    <w:rsid w:val="00D83F35"/>
    <w:rsid w:val="00D83F51"/>
    <w:rsid w:val="00D8488B"/>
    <w:rsid w:val="00D848BE"/>
    <w:rsid w:val="00D849AD"/>
    <w:rsid w:val="00D849B3"/>
    <w:rsid w:val="00D84A4A"/>
    <w:rsid w:val="00D84A98"/>
    <w:rsid w:val="00D84FF6"/>
    <w:rsid w:val="00D85091"/>
    <w:rsid w:val="00D856D8"/>
    <w:rsid w:val="00D8577A"/>
    <w:rsid w:val="00D85DEE"/>
    <w:rsid w:val="00D85FF4"/>
    <w:rsid w:val="00D861AD"/>
    <w:rsid w:val="00D865A5"/>
    <w:rsid w:val="00D86909"/>
    <w:rsid w:val="00D86ACA"/>
    <w:rsid w:val="00D86B96"/>
    <w:rsid w:val="00D86C63"/>
    <w:rsid w:val="00D86C80"/>
    <w:rsid w:val="00D871C2"/>
    <w:rsid w:val="00D87D69"/>
    <w:rsid w:val="00D87DE8"/>
    <w:rsid w:val="00D900C3"/>
    <w:rsid w:val="00D90132"/>
    <w:rsid w:val="00D903E1"/>
    <w:rsid w:val="00D904C2"/>
    <w:rsid w:val="00D904DC"/>
    <w:rsid w:val="00D9080B"/>
    <w:rsid w:val="00D9095E"/>
    <w:rsid w:val="00D90A0D"/>
    <w:rsid w:val="00D90A19"/>
    <w:rsid w:val="00D90C6B"/>
    <w:rsid w:val="00D90E2A"/>
    <w:rsid w:val="00D9109D"/>
    <w:rsid w:val="00D91209"/>
    <w:rsid w:val="00D91546"/>
    <w:rsid w:val="00D91947"/>
    <w:rsid w:val="00D91BC5"/>
    <w:rsid w:val="00D91C14"/>
    <w:rsid w:val="00D91C3B"/>
    <w:rsid w:val="00D91CA4"/>
    <w:rsid w:val="00D91D01"/>
    <w:rsid w:val="00D91E6D"/>
    <w:rsid w:val="00D91E80"/>
    <w:rsid w:val="00D91FF9"/>
    <w:rsid w:val="00D920E7"/>
    <w:rsid w:val="00D92226"/>
    <w:rsid w:val="00D923FB"/>
    <w:rsid w:val="00D9245C"/>
    <w:rsid w:val="00D92511"/>
    <w:rsid w:val="00D928B5"/>
    <w:rsid w:val="00D92B22"/>
    <w:rsid w:val="00D92B57"/>
    <w:rsid w:val="00D93241"/>
    <w:rsid w:val="00D9326D"/>
    <w:rsid w:val="00D932AF"/>
    <w:rsid w:val="00D932B7"/>
    <w:rsid w:val="00D932D0"/>
    <w:rsid w:val="00D93753"/>
    <w:rsid w:val="00D93B3D"/>
    <w:rsid w:val="00D93D15"/>
    <w:rsid w:val="00D93F5E"/>
    <w:rsid w:val="00D940DC"/>
    <w:rsid w:val="00D94145"/>
    <w:rsid w:val="00D941F5"/>
    <w:rsid w:val="00D943B2"/>
    <w:rsid w:val="00D9455D"/>
    <w:rsid w:val="00D945AF"/>
    <w:rsid w:val="00D94A79"/>
    <w:rsid w:val="00D94B8E"/>
    <w:rsid w:val="00D950DD"/>
    <w:rsid w:val="00D951C7"/>
    <w:rsid w:val="00D9540D"/>
    <w:rsid w:val="00D956F6"/>
    <w:rsid w:val="00D957B6"/>
    <w:rsid w:val="00D9585C"/>
    <w:rsid w:val="00D959DB"/>
    <w:rsid w:val="00D95A48"/>
    <w:rsid w:val="00D96480"/>
    <w:rsid w:val="00D96557"/>
    <w:rsid w:val="00D96AD1"/>
    <w:rsid w:val="00D96B4E"/>
    <w:rsid w:val="00D96C25"/>
    <w:rsid w:val="00D96CB4"/>
    <w:rsid w:val="00D9700A"/>
    <w:rsid w:val="00D9723F"/>
    <w:rsid w:val="00D974C7"/>
    <w:rsid w:val="00D97B44"/>
    <w:rsid w:val="00D97C2E"/>
    <w:rsid w:val="00D97C69"/>
    <w:rsid w:val="00D97CD7"/>
    <w:rsid w:val="00DA0396"/>
    <w:rsid w:val="00DA0399"/>
    <w:rsid w:val="00DA066C"/>
    <w:rsid w:val="00DA084A"/>
    <w:rsid w:val="00DA0AF1"/>
    <w:rsid w:val="00DA0BC6"/>
    <w:rsid w:val="00DA0CD1"/>
    <w:rsid w:val="00DA0F42"/>
    <w:rsid w:val="00DA0F68"/>
    <w:rsid w:val="00DA1467"/>
    <w:rsid w:val="00DA230F"/>
    <w:rsid w:val="00DA235E"/>
    <w:rsid w:val="00DA28D5"/>
    <w:rsid w:val="00DA2E15"/>
    <w:rsid w:val="00DA2F9C"/>
    <w:rsid w:val="00DA309E"/>
    <w:rsid w:val="00DA330E"/>
    <w:rsid w:val="00DA34FE"/>
    <w:rsid w:val="00DA3565"/>
    <w:rsid w:val="00DA3773"/>
    <w:rsid w:val="00DA380D"/>
    <w:rsid w:val="00DA3A81"/>
    <w:rsid w:val="00DA3B28"/>
    <w:rsid w:val="00DA3D49"/>
    <w:rsid w:val="00DA3FBA"/>
    <w:rsid w:val="00DA4608"/>
    <w:rsid w:val="00DA4871"/>
    <w:rsid w:val="00DA4ADF"/>
    <w:rsid w:val="00DA4AEB"/>
    <w:rsid w:val="00DA4BAA"/>
    <w:rsid w:val="00DA4C48"/>
    <w:rsid w:val="00DA4C4F"/>
    <w:rsid w:val="00DA4EA1"/>
    <w:rsid w:val="00DA528C"/>
    <w:rsid w:val="00DA53D6"/>
    <w:rsid w:val="00DA545D"/>
    <w:rsid w:val="00DA56CF"/>
    <w:rsid w:val="00DA58B5"/>
    <w:rsid w:val="00DA5AB5"/>
    <w:rsid w:val="00DA5AE3"/>
    <w:rsid w:val="00DA5C1D"/>
    <w:rsid w:val="00DA6043"/>
    <w:rsid w:val="00DA6278"/>
    <w:rsid w:val="00DA629D"/>
    <w:rsid w:val="00DA640F"/>
    <w:rsid w:val="00DA6B78"/>
    <w:rsid w:val="00DA6B83"/>
    <w:rsid w:val="00DA6C7E"/>
    <w:rsid w:val="00DA6DDA"/>
    <w:rsid w:val="00DA6E76"/>
    <w:rsid w:val="00DA741D"/>
    <w:rsid w:val="00DA7695"/>
    <w:rsid w:val="00DA769B"/>
    <w:rsid w:val="00DA77A5"/>
    <w:rsid w:val="00DA785A"/>
    <w:rsid w:val="00DA7893"/>
    <w:rsid w:val="00DA7A08"/>
    <w:rsid w:val="00DA7AA3"/>
    <w:rsid w:val="00DA7D08"/>
    <w:rsid w:val="00DB0043"/>
    <w:rsid w:val="00DB00F6"/>
    <w:rsid w:val="00DB02F3"/>
    <w:rsid w:val="00DB0B21"/>
    <w:rsid w:val="00DB0CCB"/>
    <w:rsid w:val="00DB0D82"/>
    <w:rsid w:val="00DB0F5F"/>
    <w:rsid w:val="00DB1229"/>
    <w:rsid w:val="00DB146E"/>
    <w:rsid w:val="00DB1656"/>
    <w:rsid w:val="00DB179B"/>
    <w:rsid w:val="00DB1A73"/>
    <w:rsid w:val="00DB2288"/>
    <w:rsid w:val="00DB2806"/>
    <w:rsid w:val="00DB29C9"/>
    <w:rsid w:val="00DB2A01"/>
    <w:rsid w:val="00DB2AE5"/>
    <w:rsid w:val="00DB3547"/>
    <w:rsid w:val="00DB36B5"/>
    <w:rsid w:val="00DB41FE"/>
    <w:rsid w:val="00DB4349"/>
    <w:rsid w:val="00DB45BD"/>
    <w:rsid w:val="00DB46A1"/>
    <w:rsid w:val="00DB476B"/>
    <w:rsid w:val="00DB4910"/>
    <w:rsid w:val="00DB49DC"/>
    <w:rsid w:val="00DB4A81"/>
    <w:rsid w:val="00DB4D0B"/>
    <w:rsid w:val="00DB4D11"/>
    <w:rsid w:val="00DB4D2E"/>
    <w:rsid w:val="00DB4E22"/>
    <w:rsid w:val="00DB4E58"/>
    <w:rsid w:val="00DB50E9"/>
    <w:rsid w:val="00DB53D0"/>
    <w:rsid w:val="00DB598B"/>
    <w:rsid w:val="00DB608C"/>
    <w:rsid w:val="00DB6147"/>
    <w:rsid w:val="00DB6722"/>
    <w:rsid w:val="00DB68B8"/>
    <w:rsid w:val="00DB690D"/>
    <w:rsid w:val="00DB6DAC"/>
    <w:rsid w:val="00DB6F05"/>
    <w:rsid w:val="00DB6F27"/>
    <w:rsid w:val="00DB6F3E"/>
    <w:rsid w:val="00DB7065"/>
    <w:rsid w:val="00DB716C"/>
    <w:rsid w:val="00DB7179"/>
    <w:rsid w:val="00DB71E1"/>
    <w:rsid w:val="00DB71EF"/>
    <w:rsid w:val="00DB71F8"/>
    <w:rsid w:val="00DB71F9"/>
    <w:rsid w:val="00DB7210"/>
    <w:rsid w:val="00DB73DD"/>
    <w:rsid w:val="00DB7401"/>
    <w:rsid w:val="00DB74C1"/>
    <w:rsid w:val="00DB7A1F"/>
    <w:rsid w:val="00DC03E4"/>
    <w:rsid w:val="00DC054C"/>
    <w:rsid w:val="00DC0768"/>
    <w:rsid w:val="00DC0790"/>
    <w:rsid w:val="00DC0CB7"/>
    <w:rsid w:val="00DC0F8C"/>
    <w:rsid w:val="00DC11CA"/>
    <w:rsid w:val="00DC1209"/>
    <w:rsid w:val="00DC12CA"/>
    <w:rsid w:val="00DC133B"/>
    <w:rsid w:val="00DC153F"/>
    <w:rsid w:val="00DC1CB8"/>
    <w:rsid w:val="00DC1F22"/>
    <w:rsid w:val="00DC1FE4"/>
    <w:rsid w:val="00DC2230"/>
    <w:rsid w:val="00DC22A5"/>
    <w:rsid w:val="00DC23BA"/>
    <w:rsid w:val="00DC2C8E"/>
    <w:rsid w:val="00DC2CCF"/>
    <w:rsid w:val="00DC2D8E"/>
    <w:rsid w:val="00DC2D92"/>
    <w:rsid w:val="00DC2FB4"/>
    <w:rsid w:val="00DC3056"/>
    <w:rsid w:val="00DC3368"/>
    <w:rsid w:val="00DC3396"/>
    <w:rsid w:val="00DC342E"/>
    <w:rsid w:val="00DC3461"/>
    <w:rsid w:val="00DC346C"/>
    <w:rsid w:val="00DC3983"/>
    <w:rsid w:val="00DC3BDC"/>
    <w:rsid w:val="00DC3E71"/>
    <w:rsid w:val="00DC3FCE"/>
    <w:rsid w:val="00DC4067"/>
    <w:rsid w:val="00DC410B"/>
    <w:rsid w:val="00DC41F0"/>
    <w:rsid w:val="00DC44A4"/>
    <w:rsid w:val="00DC45E2"/>
    <w:rsid w:val="00DC4626"/>
    <w:rsid w:val="00DC491F"/>
    <w:rsid w:val="00DC4AC2"/>
    <w:rsid w:val="00DC4D26"/>
    <w:rsid w:val="00DC4D51"/>
    <w:rsid w:val="00DC4EE0"/>
    <w:rsid w:val="00DC4FA5"/>
    <w:rsid w:val="00DC526D"/>
    <w:rsid w:val="00DC5313"/>
    <w:rsid w:val="00DC54DB"/>
    <w:rsid w:val="00DC5501"/>
    <w:rsid w:val="00DC55FC"/>
    <w:rsid w:val="00DC590B"/>
    <w:rsid w:val="00DC5D22"/>
    <w:rsid w:val="00DC5E54"/>
    <w:rsid w:val="00DC5FD4"/>
    <w:rsid w:val="00DC6344"/>
    <w:rsid w:val="00DC6BCD"/>
    <w:rsid w:val="00DC6FEE"/>
    <w:rsid w:val="00DC7197"/>
    <w:rsid w:val="00DC72A7"/>
    <w:rsid w:val="00DC741C"/>
    <w:rsid w:val="00DC74BF"/>
    <w:rsid w:val="00DC75A6"/>
    <w:rsid w:val="00DC77A9"/>
    <w:rsid w:val="00DC7CD0"/>
    <w:rsid w:val="00DC7D95"/>
    <w:rsid w:val="00DC7E3A"/>
    <w:rsid w:val="00DC7EB6"/>
    <w:rsid w:val="00DD0269"/>
    <w:rsid w:val="00DD0340"/>
    <w:rsid w:val="00DD0561"/>
    <w:rsid w:val="00DD06E3"/>
    <w:rsid w:val="00DD072B"/>
    <w:rsid w:val="00DD0736"/>
    <w:rsid w:val="00DD0866"/>
    <w:rsid w:val="00DD0945"/>
    <w:rsid w:val="00DD0E32"/>
    <w:rsid w:val="00DD0F85"/>
    <w:rsid w:val="00DD0FEE"/>
    <w:rsid w:val="00DD1021"/>
    <w:rsid w:val="00DD1330"/>
    <w:rsid w:val="00DD139D"/>
    <w:rsid w:val="00DD13A4"/>
    <w:rsid w:val="00DD16A1"/>
    <w:rsid w:val="00DD1C13"/>
    <w:rsid w:val="00DD1D7A"/>
    <w:rsid w:val="00DD2298"/>
    <w:rsid w:val="00DD2496"/>
    <w:rsid w:val="00DD265B"/>
    <w:rsid w:val="00DD2707"/>
    <w:rsid w:val="00DD28D8"/>
    <w:rsid w:val="00DD290B"/>
    <w:rsid w:val="00DD293A"/>
    <w:rsid w:val="00DD2CC6"/>
    <w:rsid w:val="00DD2DC1"/>
    <w:rsid w:val="00DD2E71"/>
    <w:rsid w:val="00DD30FD"/>
    <w:rsid w:val="00DD3A0F"/>
    <w:rsid w:val="00DD3B26"/>
    <w:rsid w:val="00DD3B2F"/>
    <w:rsid w:val="00DD3B9D"/>
    <w:rsid w:val="00DD3D2C"/>
    <w:rsid w:val="00DD3F28"/>
    <w:rsid w:val="00DD3F7D"/>
    <w:rsid w:val="00DD4537"/>
    <w:rsid w:val="00DD4E15"/>
    <w:rsid w:val="00DD4FD4"/>
    <w:rsid w:val="00DD4FDB"/>
    <w:rsid w:val="00DD50A1"/>
    <w:rsid w:val="00DD52AE"/>
    <w:rsid w:val="00DD531E"/>
    <w:rsid w:val="00DD5406"/>
    <w:rsid w:val="00DD5736"/>
    <w:rsid w:val="00DD586A"/>
    <w:rsid w:val="00DD592E"/>
    <w:rsid w:val="00DD5960"/>
    <w:rsid w:val="00DD597A"/>
    <w:rsid w:val="00DD5E0F"/>
    <w:rsid w:val="00DD5EB6"/>
    <w:rsid w:val="00DD64F3"/>
    <w:rsid w:val="00DD64FA"/>
    <w:rsid w:val="00DD68C3"/>
    <w:rsid w:val="00DD6B37"/>
    <w:rsid w:val="00DD6D79"/>
    <w:rsid w:val="00DD6F6E"/>
    <w:rsid w:val="00DD7450"/>
    <w:rsid w:val="00DD7750"/>
    <w:rsid w:val="00DD7A19"/>
    <w:rsid w:val="00DD7A42"/>
    <w:rsid w:val="00DE001A"/>
    <w:rsid w:val="00DE00E9"/>
    <w:rsid w:val="00DE07AA"/>
    <w:rsid w:val="00DE0815"/>
    <w:rsid w:val="00DE107E"/>
    <w:rsid w:val="00DE1204"/>
    <w:rsid w:val="00DE137C"/>
    <w:rsid w:val="00DE13DB"/>
    <w:rsid w:val="00DE14FC"/>
    <w:rsid w:val="00DE151D"/>
    <w:rsid w:val="00DE19AF"/>
    <w:rsid w:val="00DE1D8B"/>
    <w:rsid w:val="00DE1DAB"/>
    <w:rsid w:val="00DE1FBA"/>
    <w:rsid w:val="00DE205E"/>
    <w:rsid w:val="00DE2505"/>
    <w:rsid w:val="00DE25E3"/>
    <w:rsid w:val="00DE29E1"/>
    <w:rsid w:val="00DE2E83"/>
    <w:rsid w:val="00DE2F36"/>
    <w:rsid w:val="00DE3056"/>
    <w:rsid w:val="00DE3115"/>
    <w:rsid w:val="00DE3273"/>
    <w:rsid w:val="00DE34DA"/>
    <w:rsid w:val="00DE359C"/>
    <w:rsid w:val="00DE35E4"/>
    <w:rsid w:val="00DE36C4"/>
    <w:rsid w:val="00DE376B"/>
    <w:rsid w:val="00DE3897"/>
    <w:rsid w:val="00DE3B23"/>
    <w:rsid w:val="00DE3CE1"/>
    <w:rsid w:val="00DE3D2C"/>
    <w:rsid w:val="00DE40F2"/>
    <w:rsid w:val="00DE4161"/>
    <w:rsid w:val="00DE4361"/>
    <w:rsid w:val="00DE47B3"/>
    <w:rsid w:val="00DE481B"/>
    <w:rsid w:val="00DE48ED"/>
    <w:rsid w:val="00DE4ABA"/>
    <w:rsid w:val="00DE4BB4"/>
    <w:rsid w:val="00DE4DC1"/>
    <w:rsid w:val="00DE4FCB"/>
    <w:rsid w:val="00DE5307"/>
    <w:rsid w:val="00DE53FE"/>
    <w:rsid w:val="00DE5502"/>
    <w:rsid w:val="00DE551B"/>
    <w:rsid w:val="00DE562F"/>
    <w:rsid w:val="00DE56C6"/>
    <w:rsid w:val="00DE595B"/>
    <w:rsid w:val="00DE5B64"/>
    <w:rsid w:val="00DE60D4"/>
    <w:rsid w:val="00DE6229"/>
    <w:rsid w:val="00DE6283"/>
    <w:rsid w:val="00DE63C6"/>
    <w:rsid w:val="00DE644C"/>
    <w:rsid w:val="00DE6509"/>
    <w:rsid w:val="00DE66C8"/>
    <w:rsid w:val="00DE67F3"/>
    <w:rsid w:val="00DE6CF0"/>
    <w:rsid w:val="00DE6D06"/>
    <w:rsid w:val="00DE6D24"/>
    <w:rsid w:val="00DE6FE2"/>
    <w:rsid w:val="00DE7117"/>
    <w:rsid w:val="00DE732C"/>
    <w:rsid w:val="00DE7342"/>
    <w:rsid w:val="00DE7523"/>
    <w:rsid w:val="00DE7730"/>
    <w:rsid w:val="00DE790D"/>
    <w:rsid w:val="00DE79ED"/>
    <w:rsid w:val="00DE7A35"/>
    <w:rsid w:val="00DE7C9D"/>
    <w:rsid w:val="00DE7E34"/>
    <w:rsid w:val="00DE7E89"/>
    <w:rsid w:val="00DE7F3F"/>
    <w:rsid w:val="00DE7F95"/>
    <w:rsid w:val="00DF06A0"/>
    <w:rsid w:val="00DF07BB"/>
    <w:rsid w:val="00DF088A"/>
    <w:rsid w:val="00DF0CFE"/>
    <w:rsid w:val="00DF0D5A"/>
    <w:rsid w:val="00DF0D60"/>
    <w:rsid w:val="00DF0D7D"/>
    <w:rsid w:val="00DF0E95"/>
    <w:rsid w:val="00DF1616"/>
    <w:rsid w:val="00DF1E7A"/>
    <w:rsid w:val="00DF1F51"/>
    <w:rsid w:val="00DF20CD"/>
    <w:rsid w:val="00DF211C"/>
    <w:rsid w:val="00DF22DB"/>
    <w:rsid w:val="00DF235D"/>
    <w:rsid w:val="00DF244C"/>
    <w:rsid w:val="00DF2904"/>
    <w:rsid w:val="00DF29F6"/>
    <w:rsid w:val="00DF2A27"/>
    <w:rsid w:val="00DF2B63"/>
    <w:rsid w:val="00DF2D8B"/>
    <w:rsid w:val="00DF2F8F"/>
    <w:rsid w:val="00DF38F7"/>
    <w:rsid w:val="00DF3A8C"/>
    <w:rsid w:val="00DF3AFB"/>
    <w:rsid w:val="00DF3FD9"/>
    <w:rsid w:val="00DF4137"/>
    <w:rsid w:val="00DF428C"/>
    <w:rsid w:val="00DF4671"/>
    <w:rsid w:val="00DF473B"/>
    <w:rsid w:val="00DF4FC1"/>
    <w:rsid w:val="00DF5230"/>
    <w:rsid w:val="00DF52B3"/>
    <w:rsid w:val="00DF566C"/>
    <w:rsid w:val="00DF58D1"/>
    <w:rsid w:val="00DF5D2B"/>
    <w:rsid w:val="00DF5D6C"/>
    <w:rsid w:val="00DF5ECF"/>
    <w:rsid w:val="00DF6038"/>
    <w:rsid w:val="00DF6303"/>
    <w:rsid w:val="00DF6564"/>
    <w:rsid w:val="00DF6B84"/>
    <w:rsid w:val="00DF6BA0"/>
    <w:rsid w:val="00DF6E03"/>
    <w:rsid w:val="00DF7082"/>
    <w:rsid w:val="00DF72C2"/>
    <w:rsid w:val="00DF72D1"/>
    <w:rsid w:val="00DF72F5"/>
    <w:rsid w:val="00DF7343"/>
    <w:rsid w:val="00DF73E5"/>
    <w:rsid w:val="00DF796A"/>
    <w:rsid w:val="00DF7E6B"/>
    <w:rsid w:val="00DF7E91"/>
    <w:rsid w:val="00DF7F8B"/>
    <w:rsid w:val="00E002B9"/>
    <w:rsid w:val="00E0039D"/>
    <w:rsid w:val="00E00831"/>
    <w:rsid w:val="00E00E20"/>
    <w:rsid w:val="00E00EAB"/>
    <w:rsid w:val="00E00F7C"/>
    <w:rsid w:val="00E010C4"/>
    <w:rsid w:val="00E010CF"/>
    <w:rsid w:val="00E01229"/>
    <w:rsid w:val="00E01362"/>
    <w:rsid w:val="00E01823"/>
    <w:rsid w:val="00E01951"/>
    <w:rsid w:val="00E01998"/>
    <w:rsid w:val="00E01E76"/>
    <w:rsid w:val="00E021CA"/>
    <w:rsid w:val="00E0224B"/>
    <w:rsid w:val="00E02337"/>
    <w:rsid w:val="00E02580"/>
    <w:rsid w:val="00E026AB"/>
    <w:rsid w:val="00E02D99"/>
    <w:rsid w:val="00E030CE"/>
    <w:rsid w:val="00E03142"/>
    <w:rsid w:val="00E0315B"/>
    <w:rsid w:val="00E03299"/>
    <w:rsid w:val="00E033BA"/>
    <w:rsid w:val="00E0386A"/>
    <w:rsid w:val="00E04015"/>
    <w:rsid w:val="00E042B4"/>
    <w:rsid w:val="00E04456"/>
    <w:rsid w:val="00E04891"/>
    <w:rsid w:val="00E048D8"/>
    <w:rsid w:val="00E04B67"/>
    <w:rsid w:val="00E04EB4"/>
    <w:rsid w:val="00E0513C"/>
    <w:rsid w:val="00E0549D"/>
    <w:rsid w:val="00E057F2"/>
    <w:rsid w:val="00E05CD2"/>
    <w:rsid w:val="00E05E12"/>
    <w:rsid w:val="00E05F3C"/>
    <w:rsid w:val="00E05F90"/>
    <w:rsid w:val="00E061B9"/>
    <w:rsid w:val="00E06804"/>
    <w:rsid w:val="00E06906"/>
    <w:rsid w:val="00E06976"/>
    <w:rsid w:val="00E06BEC"/>
    <w:rsid w:val="00E06D03"/>
    <w:rsid w:val="00E071BA"/>
    <w:rsid w:val="00E075BA"/>
    <w:rsid w:val="00E075C9"/>
    <w:rsid w:val="00E07819"/>
    <w:rsid w:val="00E079B3"/>
    <w:rsid w:val="00E07D78"/>
    <w:rsid w:val="00E10101"/>
    <w:rsid w:val="00E10149"/>
    <w:rsid w:val="00E101DB"/>
    <w:rsid w:val="00E10663"/>
    <w:rsid w:val="00E10D24"/>
    <w:rsid w:val="00E10EEC"/>
    <w:rsid w:val="00E10FB7"/>
    <w:rsid w:val="00E11370"/>
    <w:rsid w:val="00E113BF"/>
    <w:rsid w:val="00E114EB"/>
    <w:rsid w:val="00E1154F"/>
    <w:rsid w:val="00E11A0B"/>
    <w:rsid w:val="00E11A50"/>
    <w:rsid w:val="00E11A85"/>
    <w:rsid w:val="00E11C92"/>
    <w:rsid w:val="00E11FF5"/>
    <w:rsid w:val="00E12020"/>
    <w:rsid w:val="00E12037"/>
    <w:rsid w:val="00E1204C"/>
    <w:rsid w:val="00E1238B"/>
    <w:rsid w:val="00E12508"/>
    <w:rsid w:val="00E126E5"/>
    <w:rsid w:val="00E12782"/>
    <w:rsid w:val="00E12895"/>
    <w:rsid w:val="00E128AA"/>
    <w:rsid w:val="00E128C4"/>
    <w:rsid w:val="00E1303F"/>
    <w:rsid w:val="00E13123"/>
    <w:rsid w:val="00E1344A"/>
    <w:rsid w:val="00E13579"/>
    <w:rsid w:val="00E13737"/>
    <w:rsid w:val="00E139AB"/>
    <w:rsid w:val="00E13BD3"/>
    <w:rsid w:val="00E13D3D"/>
    <w:rsid w:val="00E13E51"/>
    <w:rsid w:val="00E13F13"/>
    <w:rsid w:val="00E140B5"/>
    <w:rsid w:val="00E14164"/>
    <w:rsid w:val="00E141E1"/>
    <w:rsid w:val="00E1452D"/>
    <w:rsid w:val="00E145B9"/>
    <w:rsid w:val="00E14F09"/>
    <w:rsid w:val="00E14FB1"/>
    <w:rsid w:val="00E158CE"/>
    <w:rsid w:val="00E15954"/>
    <w:rsid w:val="00E15C60"/>
    <w:rsid w:val="00E16372"/>
    <w:rsid w:val="00E16452"/>
    <w:rsid w:val="00E167C0"/>
    <w:rsid w:val="00E167CF"/>
    <w:rsid w:val="00E167DC"/>
    <w:rsid w:val="00E169CB"/>
    <w:rsid w:val="00E16BBB"/>
    <w:rsid w:val="00E16EC2"/>
    <w:rsid w:val="00E16FC2"/>
    <w:rsid w:val="00E175B7"/>
    <w:rsid w:val="00E17711"/>
    <w:rsid w:val="00E177EF"/>
    <w:rsid w:val="00E179F4"/>
    <w:rsid w:val="00E17BA6"/>
    <w:rsid w:val="00E20206"/>
    <w:rsid w:val="00E20824"/>
    <w:rsid w:val="00E20939"/>
    <w:rsid w:val="00E20E6F"/>
    <w:rsid w:val="00E20ED6"/>
    <w:rsid w:val="00E2100D"/>
    <w:rsid w:val="00E210FA"/>
    <w:rsid w:val="00E2117B"/>
    <w:rsid w:val="00E21358"/>
    <w:rsid w:val="00E2144B"/>
    <w:rsid w:val="00E217EE"/>
    <w:rsid w:val="00E2197E"/>
    <w:rsid w:val="00E21A72"/>
    <w:rsid w:val="00E21B9B"/>
    <w:rsid w:val="00E22194"/>
    <w:rsid w:val="00E22385"/>
    <w:rsid w:val="00E2249B"/>
    <w:rsid w:val="00E2265C"/>
    <w:rsid w:val="00E227C8"/>
    <w:rsid w:val="00E22A0D"/>
    <w:rsid w:val="00E22A4A"/>
    <w:rsid w:val="00E22AD5"/>
    <w:rsid w:val="00E22AFB"/>
    <w:rsid w:val="00E23007"/>
    <w:rsid w:val="00E23485"/>
    <w:rsid w:val="00E23597"/>
    <w:rsid w:val="00E2398E"/>
    <w:rsid w:val="00E2421A"/>
    <w:rsid w:val="00E24AAB"/>
    <w:rsid w:val="00E24B30"/>
    <w:rsid w:val="00E24C2A"/>
    <w:rsid w:val="00E24DEE"/>
    <w:rsid w:val="00E24F48"/>
    <w:rsid w:val="00E24F60"/>
    <w:rsid w:val="00E24FA1"/>
    <w:rsid w:val="00E251C2"/>
    <w:rsid w:val="00E25433"/>
    <w:rsid w:val="00E25570"/>
    <w:rsid w:val="00E25685"/>
    <w:rsid w:val="00E25699"/>
    <w:rsid w:val="00E2602E"/>
    <w:rsid w:val="00E260C4"/>
    <w:rsid w:val="00E26E5D"/>
    <w:rsid w:val="00E27157"/>
    <w:rsid w:val="00E271E9"/>
    <w:rsid w:val="00E2726A"/>
    <w:rsid w:val="00E273F3"/>
    <w:rsid w:val="00E274CB"/>
    <w:rsid w:val="00E2771E"/>
    <w:rsid w:val="00E2788C"/>
    <w:rsid w:val="00E27ADF"/>
    <w:rsid w:val="00E27F24"/>
    <w:rsid w:val="00E27F44"/>
    <w:rsid w:val="00E30562"/>
    <w:rsid w:val="00E3057F"/>
    <w:rsid w:val="00E3065D"/>
    <w:rsid w:val="00E30717"/>
    <w:rsid w:val="00E30734"/>
    <w:rsid w:val="00E30896"/>
    <w:rsid w:val="00E30CCB"/>
    <w:rsid w:val="00E30D44"/>
    <w:rsid w:val="00E30DDB"/>
    <w:rsid w:val="00E3114C"/>
    <w:rsid w:val="00E317D1"/>
    <w:rsid w:val="00E3190F"/>
    <w:rsid w:val="00E31932"/>
    <w:rsid w:val="00E31B60"/>
    <w:rsid w:val="00E32153"/>
    <w:rsid w:val="00E32547"/>
    <w:rsid w:val="00E32BC9"/>
    <w:rsid w:val="00E32DBF"/>
    <w:rsid w:val="00E32E97"/>
    <w:rsid w:val="00E32FB1"/>
    <w:rsid w:val="00E3309E"/>
    <w:rsid w:val="00E3319C"/>
    <w:rsid w:val="00E332C5"/>
    <w:rsid w:val="00E33399"/>
    <w:rsid w:val="00E3339C"/>
    <w:rsid w:val="00E33652"/>
    <w:rsid w:val="00E3370A"/>
    <w:rsid w:val="00E33717"/>
    <w:rsid w:val="00E33C1D"/>
    <w:rsid w:val="00E33F2F"/>
    <w:rsid w:val="00E33FF4"/>
    <w:rsid w:val="00E34376"/>
    <w:rsid w:val="00E34530"/>
    <w:rsid w:val="00E34822"/>
    <w:rsid w:val="00E34846"/>
    <w:rsid w:val="00E3487E"/>
    <w:rsid w:val="00E34ABA"/>
    <w:rsid w:val="00E34B67"/>
    <w:rsid w:val="00E34D18"/>
    <w:rsid w:val="00E34EE4"/>
    <w:rsid w:val="00E35072"/>
    <w:rsid w:val="00E351E0"/>
    <w:rsid w:val="00E352B6"/>
    <w:rsid w:val="00E354A7"/>
    <w:rsid w:val="00E356BB"/>
    <w:rsid w:val="00E35A89"/>
    <w:rsid w:val="00E35B38"/>
    <w:rsid w:val="00E35E89"/>
    <w:rsid w:val="00E35E9B"/>
    <w:rsid w:val="00E363EA"/>
    <w:rsid w:val="00E36404"/>
    <w:rsid w:val="00E36472"/>
    <w:rsid w:val="00E36603"/>
    <w:rsid w:val="00E36780"/>
    <w:rsid w:val="00E36F94"/>
    <w:rsid w:val="00E371AB"/>
    <w:rsid w:val="00E37249"/>
    <w:rsid w:val="00E373E2"/>
    <w:rsid w:val="00E37569"/>
    <w:rsid w:val="00E37828"/>
    <w:rsid w:val="00E3782F"/>
    <w:rsid w:val="00E37C2D"/>
    <w:rsid w:val="00E37DB6"/>
    <w:rsid w:val="00E37EFA"/>
    <w:rsid w:val="00E40394"/>
    <w:rsid w:val="00E40486"/>
    <w:rsid w:val="00E40977"/>
    <w:rsid w:val="00E40A66"/>
    <w:rsid w:val="00E40E3D"/>
    <w:rsid w:val="00E40F24"/>
    <w:rsid w:val="00E41081"/>
    <w:rsid w:val="00E4108F"/>
    <w:rsid w:val="00E418EF"/>
    <w:rsid w:val="00E41BED"/>
    <w:rsid w:val="00E41C06"/>
    <w:rsid w:val="00E41DA8"/>
    <w:rsid w:val="00E41DB5"/>
    <w:rsid w:val="00E41E30"/>
    <w:rsid w:val="00E41F42"/>
    <w:rsid w:val="00E41FFB"/>
    <w:rsid w:val="00E42270"/>
    <w:rsid w:val="00E42552"/>
    <w:rsid w:val="00E42867"/>
    <w:rsid w:val="00E4387B"/>
    <w:rsid w:val="00E43978"/>
    <w:rsid w:val="00E439C3"/>
    <w:rsid w:val="00E43BC1"/>
    <w:rsid w:val="00E43D49"/>
    <w:rsid w:val="00E43D70"/>
    <w:rsid w:val="00E43F72"/>
    <w:rsid w:val="00E43FA8"/>
    <w:rsid w:val="00E44208"/>
    <w:rsid w:val="00E446B5"/>
    <w:rsid w:val="00E44FB1"/>
    <w:rsid w:val="00E450DF"/>
    <w:rsid w:val="00E45667"/>
    <w:rsid w:val="00E45A02"/>
    <w:rsid w:val="00E45CF6"/>
    <w:rsid w:val="00E45D31"/>
    <w:rsid w:val="00E45DB2"/>
    <w:rsid w:val="00E45EE5"/>
    <w:rsid w:val="00E4621F"/>
    <w:rsid w:val="00E462A4"/>
    <w:rsid w:val="00E462BD"/>
    <w:rsid w:val="00E46497"/>
    <w:rsid w:val="00E46569"/>
    <w:rsid w:val="00E46C17"/>
    <w:rsid w:val="00E46CE4"/>
    <w:rsid w:val="00E46E7F"/>
    <w:rsid w:val="00E47126"/>
    <w:rsid w:val="00E47417"/>
    <w:rsid w:val="00E47423"/>
    <w:rsid w:val="00E475EB"/>
    <w:rsid w:val="00E47718"/>
    <w:rsid w:val="00E478C8"/>
    <w:rsid w:val="00E47906"/>
    <w:rsid w:val="00E47B2C"/>
    <w:rsid w:val="00E47E25"/>
    <w:rsid w:val="00E47F88"/>
    <w:rsid w:val="00E47FF0"/>
    <w:rsid w:val="00E50413"/>
    <w:rsid w:val="00E5042D"/>
    <w:rsid w:val="00E50654"/>
    <w:rsid w:val="00E506C2"/>
    <w:rsid w:val="00E50B01"/>
    <w:rsid w:val="00E50EED"/>
    <w:rsid w:val="00E510CF"/>
    <w:rsid w:val="00E5110F"/>
    <w:rsid w:val="00E5117F"/>
    <w:rsid w:val="00E511B9"/>
    <w:rsid w:val="00E512A4"/>
    <w:rsid w:val="00E513FC"/>
    <w:rsid w:val="00E51560"/>
    <w:rsid w:val="00E51C2D"/>
    <w:rsid w:val="00E51F9C"/>
    <w:rsid w:val="00E5221A"/>
    <w:rsid w:val="00E526A5"/>
    <w:rsid w:val="00E526A8"/>
    <w:rsid w:val="00E52A2D"/>
    <w:rsid w:val="00E52C6F"/>
    <w:rsid w:val="00E52F86"/>
    <w:rsid w:val="00E52FFA"/>
    <w:rsid w:val="00E5302E"/>
    <w:rsid w:val="00E53278"/>
    <w:rsid w:val="00E5362F"/>
    <w:rsid w:val="00E53805"/>
    <w:rsid w:val="00E53880"/>
    <w:rsid w:val="00E53A74"/>
    <w:rsid w:val="00E53B02"/>
    <w:rsid w:val="00E54208"/>
    <w:rsid w:val="00E5428A"/>
    <w:rsid w:val="00E5480B"/>
    <w:rsid w:val="00E54B22"/>
    <w:rsid w:val="00E55424"/>
    <w:rsid w:val="00E55812"/>
    <w:rsid w:val="00E558F0"/>
    <w:rsid w:val="00E55A95"/>
    <w:rsid w:val="00E55BB5"/>
    <w:rsid w:val="00E55C99"/>
    <w:rsid w:val="00E5647B"/>
    <w:rsid w:val="00E56D12"/>
    <w:rsid w:val="00E56F80"/>
    <w:rsid w:val="00E571F1"/>
    <w:rsid w:val="00E577A0"/>
    <w:rsid w:val="00E57A43"/>
    <w:rsid w:val="00E57C33"/>
    <w:rsid w:val="00E57CA9"/>
    <w:rsid w:val="00E60240"/>
    <w:rsid w:val="00E60419"/>
    <w:rsid w:val="00E604CF"/>
    <w:rsid w:val="00E605AB"/>
    <w:rsid w:val="00E605C0"/>
    <w:rsid w:val="00E6079B"/>
    <w:rsid w:val="00E607FC"/>
    <w:rsid w:val="00E60A0D"/>
    <w:rsid w:val="00E60B74"/>
    <w:rsid w:val="00E6121F"/>
    <w:rsid w:val="00E617DF"/>
    <w:rsid w:val="00E619F5"/>
    <w:rsid w:val="00E61E44"/>
    <w:rsid w:val="00E61F23"/>
    <w:rsid w:val="00E61F38"/>
    <w:rsid w:val="00E61F79"/>
    <w:rsid w:val="00E621C0"/>
    <w:rsid w:val="00E62246"/>
    <w:rsid w:val="00E62291"/>
    <w:rsid w:val="00E62429"/>
    <w:rsid w:val="00E62850"/>
    <w:rsid w:val="00E62859"/>
    <w:rsid w:val="00E62973"/>
    <w:rsid w:val="00E62E5C"/>
    <w:rsid w:val="00E62F3E"/>
    <w:rsid w:val="00E636CA"/>
    <w:rsid w:val="00E64258"/>
    <w:rsid w:val="00E64487"/>
    <w:rsid w:val="00E64521"/>
    <w:rsid w:val="00E647CD"/>
    <w:rsid w:val="00E649EC"/>
    <w:rsid w:val="00E64AE2"/>
    <w:rsid w:val="00E64BE4"/>
    <w:rsid w:val="00E64C0E"/>
    <w:rsid w:val="00E64C1E"/>
    <w:rsid w:val="00E6522D"/>
    <w:rsid w:val="00E65727"/>
    <w:rsid w:val="00E65814"/>
    <w:rsid w:val="00E65C8E"/>
    <w:rsid w:val="00E65D3C"/>
    <w:rsid w:val="00E65D9D"/>
    <w:rsid w:val="00E65E79"/>
    <w:rsid w:val="00E661CC"/>
    <w:rsid w:val="00E663A4"/>
    <w:rsid w:val="00E6651D"/>
    <w:rsid w:val="00E6661E"/>
    <w:rsid w:val="00E667A4"/>
    <w:rsid w:val="00E66870"/>
    <w:rsid w:val="00E669A0"/>
    <w:rsid w:val="00E66A10"/>
    <w:rsid w:val="00E66AA5"/>
    <w:rsid w:val="00E67045"/>
    <w:rsid w:val="00E67137"/>
    <w:rsid w:val="00E67416"/>
    <w:rsid w:val="00E675F8"/>
    <w:rsid w:val="00E676E0"/>
    <w:rsid w:val="00E677F8"/>
    <w:rsid w:val="00E67C80"/>
    <w:rsid w:val="00E7032C"/>
    <w:rsid w:val="00E70652"/>
    <w:rsid w:val="00E708C6"/>
    <w:rsid w:val="00E70908"/>
    <w:rsid w:val="00E70B23"/>
    <w:rsid w:val="00E70BE0"/>
    <w:rsid w:val="00E70C45"/>
    <w:rsid w:val="00E70D98"/>
    <w:rsid w:val="00E71076"/>
    <w:rsid w:val="00E711C2"/>
    <w:rsid w:val="00E71411"/>
    <w:rsid w:val="00E718AB"/>
    <w:rsid w:val="00E718B6"/>
    <w:rsid w:val="00E71B64"/>
    <w:rsid w:val="00E71DE6"/>
    <w:rsid w:val="00E71F56"/>
    <w:rsid w:val="00E7219C"/>
    <w:rsid w:val="00E721A0"/>
    <w:rsid w:val="00E72480"/>
    <w:rsid w:val="00E72512"/>
    <w:rsid w:val="00E726E9"/>
    <w:rsid w:val="00E72F57"/>
    <w:rsid w:val="00E73149"/>
    <w:rsid w:val="00E73258"/>
    <w:rsid w:val="00E73279"/>
    <w:rsid w:val="00E734E5"/>
    <w:rsid w:val="00E73561"/>
    <w:rsid w:val="00E73581"/>
    <w:rsid w:val="00E735D4"/>
    <w:rsid w:val="00E738ED"/>
    <w:rsid w:val="00E73921"/>
    <w:rsid w:val="00E73A6C"/>
    <w:rsid w:val="00E73BD8"/>
    <w:rsid w:val="00E73E86"/>
    <w:rsid w:val="00E73F94"/>
    <w:rsid w:val="00E74009"/>
    <w:rsid w:val="00E74271"/>
    <w:rsid w:val="00E742C4"/>
    <w:rsid w:val="00E742C6"/>
    <w:rsid w:val="00E7465D"/>
    <w:rsid w:val="00E7489A"/>
    <w:rsid w:val="00E74AB0"/>
    <w:rsid w:val="00E74B23"/>
    <w:rsid w:val="00E74DC3"/>
    <w:rsid w:val="00E74E9B"/>
    <w:rsid w:val="00E74EE9"/>
    <w:rsid w:val="00E74F3B"/>
    <w:rsid w:val="00E75167"/>
    <w:rsid w:val="00E7570C"/>
    <w:rsid w:val="00E75813"/>
    <w:rsid w:val="00E75921"/>
    <w:rsid w:val="00E75AF1"/>
    <w:rsid w:val="00E76583"/>
    <w:rsid w:val="00E766EC"/>
    <w:rsid w:val="00E7671E"/>
    <w:rsid w:val="00E767AF"/>
    <w:rsid w:val="00E76FC6"/>
    <w:rsid w:val="00E7711D"/>
    <w:rsid w:val="00E774DB"/>
    <w:rsid w:val="00E7775C"/>
    <w:rsid w:val="00E77883"/>
    <w:rsid w:val="00E80000"/>
    <w:rsid w:val="00E80033"/>
    <w:rsid w:val="00E8071F"/>
    <w:rsid w:val="00E80832"/>
    <w:rsid w:val="00E80841"/>
    <w:rsid w:val="00E808A9"/>
    <w:rsid w:val="00E808BE"/>
    <w:rsid w:val="00E80B7B"/>
    <w:rsid w:val="00E80BF5"/>
    <w:rsid w:val="00E80CA9"/>
    <w:rsid w:val="00E80DEB"/>
    <w:rsid w:val="00E80F2E"/>
    <w:rsid w:val="00E8110D"/>
    <w:rsid w:val="00E8148A"/>
    <w:rsid w:val="00E81540"/>
    <w:rsid w:val="00E8169A"/>
    <w:rsid w:val="00E816DD"/>
    <w:rsid w:val="00E81AC3"/>
    <w:rsid w:val="00E81CAF"/>
    <w:rsid w:val="00E81D00"/>
    <w:rsid w:val="00E81E88"/>
    <w:rsid w:val="00E82305"/>
    <w:rsid w:val="00E82435"/>
    <w:rsid w:val="00E82741"/>
    <w:rsid w:val="00E829B6"/>
    <w:rsid w:val="00E829E6"/>
    <w:rsid w:val="00E82A5F"/>
    <w:rsid w:val="00E82D0F"/>
    <w:rsid w:val="00E82EBE"/>
    <w:rsid w:val="00E8334B"/>
    <w:rsid w:val="00E836B5"/>
    <w:rsid w:val="00E83BDF"/>
    <w:rsid w:val="00E83C59"/>
    <w:rsid w:val="00E83E6E"/>
    <w:rsid w:val="00E84588"/>
    <w:rsid w:val="00E845C4"/>
    <w:rsid w:val="00E84A3C"/>
    <w:rsid w:val="00E84AA6"/>
    <w:rsid w:val="00E84B30"/>
    <w:rsid w:val="00E84D33"/>
    <w:rsid w:val="00E84F56"/>
    <w:rsid w:val="00E8518D"/>
    <w:rsid w:val="00E855A6"/>
    <w:rsid w:val="00E855C0"/>
    <w:rsid w:val="00E8570F"/>
    <w:rsid w:val="00E8595B"/>
    <w:rsid w:val="00E85C3D"/>
    <w:rsid w:val="00E85CD6"/>
    <w:rsid w:val="00E85D46"/>
    <w:rsid w:val="00E85DB3"/>
    <w:rsid w:val="00E86097"/>
    <w:rsid w:val="00E861B0"/>
    <w:rsid w:val="00E867BE"/>
    <w:rsid w:val="00E86AF8"/>
    <w:rsid w:val="00E86B3E"/>
    <w:rsid w:val="00E86DB6"/>
    <w:rsid w:val="00E86E68"/>
    <w:rsid w:val="00E87019"/>
    <w:rsid w:val="00E873E7"/>
    <w:rsid w:val="00E8744E"/>
    <w:rsid w:val="00E877F6"/>
    <w:rsid w:val="00E879F4"/>
    <w:rsid w:val="00E87AE3"/>
    <w:rsid w:val="00E87D66"/>
    <w:rsid w:val="00E87DD3"/>
    <w:rsid w:val="00E87FBB"/>
    <w:rsid w:val="00E9000A"/>
    <w:rsid w:val="00E900A1"/>
    <w:rsid w:val="00E9017F"/>
    <w:rsid w:val="00E9019D"/>
    <w:rsid w:val="00E90667"/>
    <w:rsid w:val="00E90A56"/>
    <w:rsid w:val="00E90B71"/>
    <w:rsid w:val="00E90D4C"/>
    <w:rsid w:val="00E9123F"/>
    <w:rsid w:val="00E9139F"/>
    <w:rsid w:val="00E914E2"/>
    <w:rsid w:val="00E915CD"/>
    <w:rsid w:val="00E916AB"/>
    <w:rsid w:val="00E91A37"/>
    <w:rsid w:val="00E91F6D"/>
    <w:rsid w:val="00E922DF"/>
    <w:rsid w:val="00E92781"/>
    <w:rsid w:val="00E9286E"/>
    <w:rsid w:val="00E92ACE"/>
    <w:rsid w:val="00E92F98"/>
    <w:rsid w:val="00E92FB6"/>
    <w:rsid w:val="00E930A1"/>
    <w:rsid w:val="00E93167"/>
    <w:rsid w:val="00E932FB"/>
    <w:rsid w:val="00E93320"/>
    <w:rsid w:val="00E93478"/>
    <w:rsid w:val="00E936D2"/>
    <w:rsid w:val="00E93DD8"/>
    <w:rsid w:val="00E93E55"/>
    <w:rsid w:val="00E94010"/>
    <w:rsid w:val="00E94045"/>
    <w:rsid w:val="00E94237"/>
    <w:rsid w:val="00E943F1"/>
    <w:rsid w:val="00E9444E"/>
    <w:rsid w:val="00E94499"/>
    <w:rsid w:val="00E946A6"/>
    <w:rsid w:val="00E947C6"/>
    <w:rsid w:val="00E94CA4"/>
    <w:rsid w:val="00E94DA9"/>
    <w:rsid w:val="00E94F25"/>
    <w:rsid w:val="00E950B5"/>
    <w:rsid w:val="00E951FB"/>
    <w:rsid w:val="00E956E5"/>
    <w:rsid w:val="00E95715"/>
    <w:rsid w:val="00E9573B"/>
    <w:rsid w:val="00E958FA"/>
    <w:rsid w:val="00E95F20"/>
    <w:rsid w:val="00E96191"/>
    <w:rsid w:val="00E9629A"/>
    <w:rsid w:val="00E9686B"/>
    <w:rsid w:val="00E96DE4"/>
    <w:rsid w:val="00E96E58"/>
    <w:rsid w:val="00E973D3"/>
    <w:rsid w:val="00E9778D"/>
    <w:rsid w:val="00E977D4"/>
    <w:rsid w:val="00E9783C"/>
    <w:rsid w:val="00EA01A3"/>
    <w:rsid w:val="00EA032D"/>
    <w:rsid w:val="00EA03EC"/>
    <w:rsid w:val="00EA04EC"/>
    <w:rsid w:val="00EA0A61"/>
    <w:rsid w:val="00EA12B1"/>
    <w:rsid w:val="00EA1789"/>
    <w:rsid w:val="00EA1BDC"/>
    <w:rsid w:val="00EA1BE5"/>
    <w:rsid w:val="00EA1E5A"/>
    <w:rsid w:val="00EA2073"/>
    <w:rsid w:val="00EA2140"/>
    <w:rsid w:val="00EA22FD"/>
    <w:rsid w:val="00EA24DB"/>
    <w:rsid w:val="00EA26F1"/>
    <w:rsid w:val="00EA29E0"/>
    <w:rsid w:val="00EA2AE5"/>
    <w:rsid w:val="00EA3020"/>
    <w:rsid w:val="00EA347A"/>
    <w:rsid w:val="00EA3592"/>
    <w:rsid w:val="00EA36AF"/>
    <w:rsid w:val="00EA3864"/>
    <w:rsid w:val="00EA3AD4"/>
    <w:rsid w:val="00EA3DC0"/>
    <w:rsid w:val="00EA3E5F"/>
    <w:rsid w:val="00EA3FCE"/>
    <w:rsid w:val="00EA3FF8"/>
    <w:rsid w:val="00EA4517"/>
    <w:rsid w:val="00EA4529"/>
    <w:rsid w:val="00EA45D9"/>
    <w:rsid w:val="00EA4770"/>
    <w:rsid w:val="00EA4B22"/>
    <w:rsid w:val="00EA4B81"/>
    <w:rsid w:val="00EA4BA2"/>
    <w:rsid w:val="00EA4C1E"/>
    <w:rsid w:val="00EA5027"/>
    <w:rsid w:val="00EA51AC"/>
    <w:rsid w:val="00EA5270"/>
    <w:rsid w:val="00EA5627"/>
    <w:rsid w:val="00EA5756"/>
    <w:rsid w:val="00EA57EF"/>
    <w:rsid w:val="00EA584C"/>
    <w:rsid w:val="00EA607A"/>
    <w:rsid w:val="00EA68DC"/>
    <w:rsid w:val="00EA6F24"/>
    <w:rsid w:val="00EA7116"/>
    <w:rsid w:val="00EA7649"/>
    <w:rsid w:val="00EA7B78"/>
    <w:rsid w:val="00EB0085"/>
    <w:rsid w:val="00EB040E"/>
    <w:rsid w:val="00EB0626"/>
    <w:rsid w:val="00EB068A"/>
    <w:rsid w:val="00EB0770"/>
    <w:rsid w:val="00EB0A70"/>
    <w:rsid w:val="00EB0D48"/>
    <w:rsid w:val="00EB0FEE"/>
    <w:rsid w:val="00EB108F"/>
    <w:rsid w:val="00EB1157"/>
    <w:rsid w:val="00EB15B6"/>
    <w:rsid w:val="00EB1781"/>
    <w:rsid w:val="00EB1B8A"/>
    <w:rsid w:val="00EB1BDB"/>
    <w:rsid w:val="00EB208A"/>
    <w:rsid w:val="00EB20E1"/>
    <w:rsid w:val="00EB212F"/>
    <w:rsid w:val="00EB26BE"/>
    <w:rsid w:val="00EB2ACD"/>
    <w:rsid w:val="00EB2B38"/>
    <w:rsid w:val="00EB2D45"/>
    <w:rsid w:val="00EB2D64"/>
    <w:rsid w:val="00EB2E98"/>
    <w:rsid w:val="00EB2F54"/>
    <w:rsid w:val="00EB30B7"/>
    <w:rsid w:val="00EB34B6"/>
    <w:rsid w:val="00EB3824"/>
    <w:rsid w:val="00EB38D4"/>
    <w:rsid w:val="00EB394C"/>
    <w:rsid w:val="00EB3BED"/>
    <w:rsid w:val="00EB3CE1"/>
    <w:rsid w:val="00EB3DE9"/>
    <w:rsid w:val="00EB3FED"/>
    <w:rsid w:val="00EB430C"/>
    <w:rsid w:val="00EB4361"/>
    <w:rsid w:val="00EB45C6"/>
    <w:rsid w:val="00EB4770"/>
    <w:rsid w:val="00EB4916"/>
    <w:rsid w:val="00EB4968"/>
    <w:rsid w:val="00EB4976"/>
    <w:rsid w:val="00EB4E88"/>
    <w:rsid w:val="00EB5233"/>
    <w:rsid w:val="00EB5311"/>
    <w:rsid w:val="00EB57C4"/>
    <w:rsid w:val="00EB58FC"/>
    <w:rsid w:val="00EB5A73"/>
    <w:rsid w:val="00EB5BB2"/>
    <w:rsid w:val="00EB5C4F"/>
    <w:rsid w:val="00EB63D5"/>
    <w:rsid w:val="00EB658C"/>
    <w:rsid w:val="00EB6881"/>
    <w:rsid w:val="00EB6AB2"/>
    <w:rsid w:val="00EB7166"/>
    <w:rsid w:val="00EB7220"/>
    <w:rsid w:val="00EB7560"/>
    <w:rsid w:val="00EB7857"/>
    <w:rsid w:val="00EB78F8"/>
    <w:rsid w:val="00EB7970"/>
    <w:rsid w:val="00EB7EAF"/>
    <w:rsid w:val="00EC00C9"/>
    <w:rsid w:val="00EC0353"/>
    <w:rsid w:val="00EC0355"/>
    <w:rsid w:val="00EC08BD"/>
    <w:rsid w:val="00EC0BA9"/>
    <w:rsid w:val="00EC0DD8"/>
    <w:rsid w:val="00EC10C3"/>
    <w:rsid w:val="00EC1360"/>
    <w:rsid w:val="00EC15EB"/>
    <w:rsid w:val="00EC15FB"/>
    <w:rsid w:val="00EC196A"/>
    <w:rsid w:val="00EC1A19"/>
    <w:rsid w:val="00EC1E3E"/>
    <w:rsid w:val="00EC1F5F"/>
    <w:rsid w:val="00EC2132"/>
    <w:rsid w:val="00EC213B"/>
    <w:rsid w:val="00EC2144"/>
    <w:rsid w:val="00EC224F"/>
    <w:rsid w:val="00EC2375"/>
    <w:rsid w:val="00EC241B"/>
    <w:rsid w:val="00EC2684"/>
    <w:rsid w:val="00EC2806"/>
    <w:rsid w:val="00EC2938"/>
    <w:rsid w:val="00EC29CA"/>
    <w:rsid w:val="00EC2A64"/>
    <w:rsid w:val="00EC3142"/>
    <w:rsid w:val="00EC330D"/>
    <w:rsid w:val="00EC33B6"/>
    <w:rsid w:val="00EC380B"/>
    <w:rsid w:val="00EC39F0"/>
    <w:rsid w:val="00EC3AB4"/>
    <w:rsid w:val="00EC3DFF"/>
    <w:rsid w:val="00EC4042"/>
    <w:rsid w:val="00EC428A"/>
    <w:rsid w:val="00EC44C5"/>
    <w:rsid w:val="00EC48A2"/>
    <w:rsid w:val="00EC49D6"/>
    <w:rsid w:val="00EC4C31"/>
    <w:rsid w:val="00EC4CB4"/>
    <w:rsid w:val="00EC4DBD"/>
    <w:rsid w:val="00EC4E0D"/>
    <w:rsid w:val="00EC4F16"/>
    <w:rsid w:val="00EC4FDE"/>
    <w:rsid w:val="00EC50B6"/>
    <w:rsid w:val="00EC51AE"/>
    <w:rsid w:val="00EC51B3"/>
    <w:rsid w:val="00EC58BA"/>
    <w:rsid w:val="00EC5ADC"/>
    <w:rsid w:val="00EC5B04"/>
    <w:rsid w:val="00EC5C4D"/>
    <w:rsid w:val="00EC60D5"/>
    <w:rsid w:val="00EC626C"/>
    <w:rsid w:val="00EC6270"/>
    <w:rsid w:val="00EC67CE"/>
    <w:rsid w:val="00EC6C56"/>
    <w:rsid w:val="00EC75B9"/>
    <w:rsid w:val="00EC764E"/>
    <w:rsid w:val="00EC794F"/>
    <w:rsid w:val="00EC7A1B"/>
    <w:rsid w:val="00EC7B91"/>
    <w:rsid w:val="00EC7CAD"/>
    <w:rsid w:val="00EC7D9D"/>
    <w:rsid w:val="00EC7FE7"/>
    <w:rsid w:val="00ED0185"/>
    <w:rsid w:val="00ED02C1"/>
    <w:rsid w:val="00ED0414"/>
    <w:rsid w:val="00ED055E"/>
    <w:rsid w:val="00ED0692"/>
    <w:rsid w:val="00ED076F"/>
    <w:rsid w:val="00ED07B2"/>
    <w:rsid w:val="00ED0B9F"/>
    <w:rsid w:val="00ED1109"/>
    <w:rsid w:val="00ED1200"/>
    <w:rsid w:val="00ED1433"/>
    <w:rsid w:val="00ED15E7"/>
    <w:rsid w:val="00ED1ACD"/>
    <w:rsid w:val="00ED1CB0"/>
    <w:rsid w:val="00ED20AA"/>
    <w:rsid w:val="00ED21C1"/>
    <w:rsid w:val="00ED21C4"/>
    <w:rsid w:val="00ED237D"/>
    <w:rsid w:val="00ED246A"/>
    <w:rsid w:val="00ED26A4"/>
    <w:rsid w:val="00ED27CA"/>
    <w:rsid w:val="00ED2979"/>
    <w:rsid w:val="00ED2CB3"/>
    <w:rsid w:val="00ED2E5D"/>
    <w:rsid w:val="00ED2FC7"/>
    <w:rsid w:val="00ED3068"/>
    <w:rsid w:val="00ED3131"/>
    <w:rsid w:val="00ED32A2"/>
    <w:rsid w:val="00ED35FE"/>
    <w:rsid w:val="00ED36FE"/>
    <w:rsid w:val="00ED38F7"/>
    <w:rsid w:val="00ED3BE7"/>
    <w:rsid w:val="00ED3C35"/>
    <w:rsid w:val="00ED4326"/>
    <w:rsid w:val="00ED43FB"/>
    <w:rsid w:val="00ED456D"/>
    <w:rsid w:val="00ED46AC"/>
    <w:rsid w:val="00ED4AE6"/>
    <w:rsid w:val="00ED51F9"/>
    <w:rsid w:val="00ED5248"/>
    <w:rsid w:val="00ED5755"/>
    <w:rsid w:val="00ED58CE"/>
    <w:rsid w:val="00ED5A06"/>
    <w:rsid w:val="00ED5B77"/>
    <w:rsid w:val="00ED5C93"/>
    <w:rsid w:val="00ED5CE7"/>
    <w:rsid w:val="00ED6118"/>
    <w:rsid w:val="00ED645E"/>
    <w:rsid w:val="00ED6593"/>
    <w:rsid w:val="00ED693C"/>
    <w:rsid w:val="00ED6D7E"/>
    <w:rsid w:val="00ED6F80"/>
    <w:rsid w:val="00ED7170"/>
    <w:rsid w:val="00ED7489"/>
    <w:rsid w:val="00ED772D"/>
    <w:rsid w:val="00ED7744"/>
    <w:rsid w:val="00ED789E"/>
    <w:rsid w:val="00ED7941"/>
    <w:rsid w:val="00ED7953"/>
    <w:rsid w:val="00ED7DD9"/>
    <w:rsid w:val="00ED7EEA"/>
    <w:rsid w:val="00EE01D3"/>
    <w:rsid w:val="00EE032B"/>
    <w:rsid w:val="00EE0379"/>
    <w:rsid w:val="00EE05FD"/>
    <w:rsid w:val="00EE07BC"/>
    <w:rsid w:val="00EE07D3"/>
    <w:rsid w:val="00EE08C5"/>
    <w:rsid w:val="00EE0915"/>
    <w:rsid w:val="00EE0FBE"/>
    <w:rsid w:val="00EE126B"/>
    <w:rsid w:val="00EE12A7"/>
    <w:rsid w:val="00EE1511"/>
    <w:rsid w:val="00EE1779"/>
    <w:rsid w:val="00EE17A3"/>
    <w:rsid w:val="00EE19CD"/>
    <w:rsid w:val="00EE1A80"/>
    <w:rsid w:val="00EE1A96"/>
    <w:rsid w:val="00EE1BA8"/>
    <w:rsid w:val="00EE1D9A"/>
    <w:rsid w:val="00EE1DDC"/>
    <w:rsid w:val="00EE1F2B"/>
    <w:rsid w:val="00EE22CA"/>
    <w:rsid w:val="00EE283D"/>
    <w:rsid w:val="00EE2CD0"/>
    <w:rsid w:val="00EE2DBA"/>
    <w:rsid w:val="00EE31C9"/>
    <w:rsid w:val="00EE340F"/>
    <w:rsid w:val="00EE3628"/>
    <w:rsid w:val="00EE3ADB"/>
    <w:rsid w:val="00EE3B16"/>
    <w:rsid w:val="00EE430F"/>
    <w:rsid w:val="00EE4513"/>
    <w:rsid w:val="00EE455E"/>
    <w:rsid w:val="00EE45F7"/>
    <w:rsid w:val="00EE4627"/>
    <w:rsid w:val="00EE4683"/>
    <w:rsid w:val="00EE4916"/>
    <w:rsid w:val="00EE4A90"/>
    <w:rsid w:val="00EE4D51"/>
    <w:rsid w:val="00EE4F35"/>
    <w:rsid w:val="00EE4F65"/>
    <w:rsid w:val="00EE4F6C"/>
    <w:rsid w:val="00EE516B"/>
    <w:rsid w:val="00EE5931"/>
    <w:rsid w:val="00EE602A"/>
    <w:rsid w:val="00EE605F"/>
    <w:rsid w:val="00EE6101"/>
    <w:rsid w:val="00EE61D2"/>
    <w:rsid w:val="00EE6522"/>
    <w:rsid w:val="00EE6650"/>
    <w:rsid w:val="00EE6687"/>
    <w:rsid w:val="00EE6773"/>
    <w:rsid w:val="00EE689E"/>
    <w:rsid w:val="00EE69B8"/>
    <w:rsid w:val="00EE6A80"/>
    <w:rsid w:val="00EE6AFE"/>
    <w:rsid w:val="00EE6C00"/>
    <w:rsid w:val="00EE7165"/>
    <w:rsid w:val="00EE71A6"/>
    <w:rsid w:val="00EE7492"/>
    <w:rsid w:val="00EE75EB"/>
    <w:rsid w:val="00EE7819"/>
    <w:rsid w:val="00EE795B"/>
    <w:rsid w:val="00EE7A93"/>
    <w:rsid w:val="00EE7BB0"/>
    <w:rsid w:val="00EE7F85"/>
    <w:rsid w:val="00EF0260"/>
    <w:rsid w:val="00EF0341"/>
    <w:rsid w:val="00EF047E"/>
    <w:rsid w:val="00EF084A"/>
    <w:rsid w:val="00EF0EDC"/>
    <w:rsid w:val="00EF0F3A"/>
    <w:rsid w:val="00EF16E2"/>
    <w:rsid w:val="00EF18B7"/>
    <w:rsid w:val="00EF1C90"/>
    <w:rsid w:val="00EF1E0D"/>
    <w:rsid w:val="00EF1FCC"/>
    <w:rsid w:val="00EF2B89"/>
    <w:rsid w:val="00EF2BC4"/>
    <w:rsid w:val="00EF2F55"/>
    <w:rsid w:val="00EF3054"/>
    <w:rsid w:val="00EF33BE"/>
    <w:rsid w:val="00EF34B3"/>
    <w:rsid w:val="00EF3900"/>
    <w:rsid w:val="00EF3B0E"/>
    <w:rsid w:val="00EF3DA3"/>
    <w:rsid w:val="00EF4050"/>
    <w:rsid w:val="00EF4242"/>
    <w:rsid w:val="00EF4311"/>
    <w:rsid w:val="00EF4498"/>
    <w:rsid w:val="00EF4766"/>
    <w:rsid w:val="00EF47D9"/>
    <w:rsid w:val="00EF4DEE"/>
    <w:rsid w:val="00EF4EC6"/>
    <w:rsid w:val="00EF4F49"/>
    <w:rsid w:val="00EF5152"/>
    <w:rsid w:val="00EF5341"/>
    <w:rsid w:val="00EF540F"/>
    <w:rsid w:val="00EF556D"/>
    <w:rsid w:val="00EF5799"/>
    <w:rsid w:val="00EF5830"/>
    <w:rsid w:val="00EF5FC5"/>
    <w:rsid w:val="00EF60E9"/>
    <w:rsid w:val="00EF6344"/>
    <w:rsid w:val="00EF637C"/>
    <w:rsid w:val="00EF6389"/>
    <w:rsid w:val="00EF644A"/>
    <w:rsid w:val="00EF6482"/>
    <w:rsid w:val="00EF6F98"/>
    <w:rsid w:val="00EF7393"/>
    <w:rsid w:val="00EF7463"/>
    <w:rsid w:val="00EF7744"/>
    <w:rsid w:val="00EF7802"/>
    <w:rsid w:val="00EF7812"/>
    <w:rsid w:val="00EF7BDE"/>
    <w:rsid w:val="00EF7E9A"/>
    <w:rsid w:val="00EF7F1B"/>
    <w:rsid w:val="00F003A5"/>
    <w:rsid w:val="00F004E8"/>
    <w:rsid w:val="00F0069B"/>
    <w:rsid w:val="00F008CB"/>
    <w:rsid w:val="00F00923"/>
    <w:rsid w:val="00F00E46"/>
    <w:rsid w:val="00F00F9F"/>
    <w:rsid w:val="00F0106E"/>
    <w:rsid w:val="00F011EC"/>
    <w:rsid w:val="00F0123E"/>
    <w:rsid w:val="00F01683"/>
    <w:rsid w:val="00F01698"/>
    <w:rsid w:val="00F017DA"/>
    <w:rsid w:val="00F01AFB"/>
    <w:rsid w:val="00F01DA9"/>
    <w:rsid w:val="00F01FC9"/>
    <w:rsid w:val="00F02092"/>
    <w:rsid w:val="00F020A0"/>
    <w:rsid w:val="00F0222F"/>
    <w:rsid w:val="00F027AC"/>
    <w:rsid w:val="00F028C6"/>
    <w:rsid w:val="00F03015"/>
    <w:rsid w:val="00F031BA"/>
    <w:rsid w:val="00F031E1"/>
    <w:rsid w:val="00F03214"/>
    <w:rsid w:val="00F036F1"/>
    <w:rsid w:val="00F0397F"/>
    <w:rsid w:val="00F044DA"/>
    <w:rsid w:val="00F04501"/>
    <w:rsid w:val="00F04928"/>
    <w:rsid w:val="00F04B39"/>
    <w:rsid w:val="00F04E80"/>
    <w:rsid w:val="00F0503F"/>
    <w:rsid w:val="00F050B3"/>
    <w:rsid w:val="00F051DE"/>
    <w:rsid w:val="00F052E2"/>
    <w:rsid w:val="00F053F7"/>
    <w:rsid w:val="00F0568B"/>
    <w:rsid w:val="00F0577F"/>
    <w:rsid w:val="00F057C4"/>
    <w:rsid w:val="00F05AA0"/>
    <w:rsid w:val="00F05BE5"/>
    <w:rsid w:val="00F05C2C"/>
    <w:rsid w:val="00F05C71"/>
    <w:rsid w:val="00F05C7C"/>
    <w:rsid w:val="00F05CE2"/>
    <w:rsid w:val="00F05D9B"/>
    <w:rsid w:val="00F05FDF"/>
    <w:rsid w:val="00F0600B"/>
    <w:rsid w:val="00F0612D"/>
    <w:rsid w:val="00F06455"/>
    <w:rsid w:val="00F06637"/>
    <w:rsid w:val="00F067A2"/>
    <w:rsid w:val="00F0695D"/>
    <w:rsid w:val="00F06B34"/>
    <w:rsid w:val="00F06EF0"/>
    <w:rsid w:val="00F078BB"/>
    <w:rsid w:val="00F07A9F"/>
    <w:rsid w:val="00F07D37"/>
    <w:rsid w:val="00F07D5F"/>
    <w:rsid w:val="00F10091"/>
    <w:rsid w:val="00F103CC"/>
    <w:rsid w:val="00F10406"/>
    <w:rsid w:val="00F1048C"/>
    <w:rsid w:val="00F10622"/>
    <w:rsid w:val="00F10A5A"/>
    <w:rsid w:val="00F10B5E"/>
    <w:rsid w:val="00F10CA4"/>
    <w:rsid w:val="00F10E23"/>
    <w:rsid w:val="00F10E6A"/>
    <w:rsid w:val="00F10F8B"/>
    <w:rsid w:val="00F1142F"/>
    <w:rsid w:val="00F11BDC"/>
    <w:rsid w:val="00F11C5B"/>
    <w:rsid w:val="00F11E6A"/>
    <w:rsid w:val="00F11EEB"/>
    <w:rsid w:val="00F1227A"/>
    <w:rsid w:val="00F122FF"/>
    <w:rsid w:val="00F1247F"/>
    <w:rsid w:val="00F12558"/>
    <w:rsid w:val="00F126BC"/>
    <w:rsid w:val="00F12E17"/>
    <w:rsid w:val="00F130F1"/>
    <w:rsid w:val="00F130F5"/>
    <w:rsid w:val="00F13657"/>
    <w:rsid w:val="00F13750"/>
    <w:rsid w:val="00F13788"/>
    <w:rsid w:val="00F138B6"/>
    <w:rsid w:val="00F13901"/>
    <w:rsid w:val="00F13A08"/>
    <w:rsid w:val="00F13C72"/>
    <w:rsid w:val="00F13CE3"/>
    <w:rsid w:val="00F13E0E"/>
    <w:rsid w:val="00F13EFC"/>
    <w:rsid w:val="00F13F45"/>
    <w:rsid w:val="00F144CE"/>
    <w:rsid w:val="00F14802"/>
    <w:rsid w:val="00F14A47"/>
    <w:rsid w:val="00F14AA6"/>
    <w:rsid w:val="00F14D71"/>
    <w:rsid w:val="00F14DC0"/>
    <w:rsid w:val="00F14E85"/>
    <w:rsid w:val="00F14F54"/>
    <w:rsid w:val="00F15123"/>
    <w:rsid w:val="00F1518F"/>
    <w:rsid w:val="00F151AE"/>
    <w:rsid w:val="00F15223"/>
    <w:rsid w:val="00F152B0"/>
    <w:rsid w:val="00F153FC"/>
    <w:rsid w:val="00F156AE"/>
    <w:rsid w:val="00F15B29"/>
    <w:rsid w:val="00F15BA2"/>
    <w:rsid w:val="00F15D5B"/>
    <w:rsid w:val="00F15F16"/>
    <w:rsid w:val="00F161B8"/>
    <w:rsid w:val="00F166E1"/>
    <w:rsid w:val="00F169D1"/>
    <w:rsid w:val="00F16B0A"/>
    <w:rsid w:val="00F16DAA"/>
    <w:rsid w:val="00F17057"/>
    <w:rsid w:val="00F17621"/>
    <w:rsid w:val="00F176D5"/>
    <w:rsid w:val="00F1773C"/>
    <w:rsid w:val="00F1783A"/>
    <w:rsid w:val="00F178F4"/>
    <w:rsid w:val="00F17A54"/>
    <w:rsid w:val="00F17C53"/>
    <w:rsid w:val="00F204C3"/>
    <w:rsid w:val="00F2065C"/>
    <w:rsid w:val="00F20ADF"/>
    <w:rsid w:val="00F20B71"/>
    <w:rsid w:val="00F20EA9"/>
    <w:rsid w:val="00F20FAF"/>
    <w:rsid w:val="00F21048"/>
    <w:rsid w:val="00F210F7"/>
    <w:rsid w:val="00F211A2"/>
    <w:rsid w:val="00F215B1"/>
    <w:rsid w:val="00F2162D"/>
    <w:rsid w:val="00F2167E"/>
    <w:rsid w:val="00F21934"/>
    <w:rsid w:val="00F21964"/>
    <w:rsid w:val="00F21A05"/>
    <w:rsid w:val="00F21B97"/>
    <w:rsid w:val="00F21BD5"/>
    <w:rsid w:val="00F21D4E"/>
    <w:rsid w:val="00F2240E"/>
    <w:rsid w:val="00F226FB"/>
    <w:rsid w:val="00F22CBF"/>
    <w:rsid w:val="00F22D4B"/>
    <w:rsid w:val="00F22D7D"/>
    <w:rsid w:val="00F23659"/>
    <w:rsid w:val="00F23A05"/>
    <w:rsid w:val="00F23A0D"/>
    <w:rsid w:val="00F23A7F"/>
    <w:rsid w:val="00F23B81"/>
    <w:rsid w:val="00F23CB1"/>
    <w:rsid w:val="00F23D8A"/>
    <w:rsid w:val="00F23DB5"/>
    <w:rsid w:val="00F244E9"/>
    <w:rsid w:val="00F24837"/>
    <w:rsid w:val="00F24AB3"/>
    <w:rsid w:val="00F24B96"/>
    <w:rsid w:val="00F24D0E"/>
    <w:rsid w:val="00F24DE1"/>
    <w:rsid w:val="00F250B3"/>
    <w:rsid w:val="00F250BA"/>
    <w:rsid w:val="00F25378"/>
    <w:rsid w:val="00F25462"/>
    <w:rsid w:val="00F25480"/>
    <w:rsid w:val="00F2574E"/>
    <w:rsid w:val="00F2575F"/>
    <w:rsid w:val="00F25893"/>
    <w:rsid w:val="00F25A62"/>
    <w:rsid w:val="00F25AC5"/>
    <w:rsid w:val="00F25D15"/>
    <w:rsid w:val="00F25DD0"/>
    <w:rsid w:val="00F26067"/>
    <w:rsid w:val="00F266B7"/>
    <w:rsid w:val="00F267BE"/>
    <w:rsid w:val="00F26998"/>
    <w:rsid w:val="00F269D6"/>
    <w:rsid w:val="00F26B90"/>
    <w:rsid w:val="00F26FE9"/>
    <w:rsid w:val="00F2708A"/>
    <w:rsid w:val="00F270E8"/>
    <w:rsid w:val="00F272B7"/>
    <w:rsid w:val="00F2741D"/>
    <w:rsid w:val="00F2758B"/>
    <w:rsid w:val="00F27595"/>
    <w:rsid w:val="00F27653"/>
    <w:rsid w:val="00F277E2"/>
    <w:rsid w:val="00F277E9"/>
    <w:rsid w:val="00F27D7B"/>
    <w:rsid w:val="00F3007D"/>
    <w:rsid w:val="00F3041A"/>
    <w:rsid w:val="00F30566"/>
    <w:rsid w:val="00F30612"/>
    <w:rsid w:val="00F3065E"/>
    <w:rsid w:val="00F306A3"/>
    <w:rsid w:val="00F3076B"/>
    <w:rsid w:val="00F307E2"/>
    <w:rsid w:val="00F30D2F"/>
    <w:rsid w:val="00F30E1A"/>
    <w:rsid w:val="00F30E69"/>
    <w:rsid w:val="00F311A7"/>
    <w:rsid w:val="00F31222"/>
    <w:rsid w:val="00F31486"/>
    <w:rsid w:val="00F31683"/>
    <w:rsid w:val="00F3168C"/>
    <w:rsid w:val="00F31798"/>
    <w:rsid w:val="00F317AD"/>
    <w:rsid w:val="00F318DE"/>
    <w:rsid w:val="00F31A17"/>
    <w:rsid w:val="00F31CDB"/>
    <w:rsid w:val="00F31F8D"/>
    <w:rsid w:val="00F32015"/>
    <w:rsid w:val="00F32440"/>
    <w:rsid w:val="00F3248B"/>
    <w:rsid w:val="00F3296D"/>
    <w:rsid w:val="00F32A71"/>
    <w:rsid w:val="00F32D32"/>
    <w:rsid w:val="00F32EEB"/>
    <w:rsid w:val="00F33578"/>
    <w:rsid w:val="00F335CE"/>
    <w:rsid w:val="00F33A46"/>
    <w:rsid w:val="00F33B61"/>
    <w:rsid w:val="00F33BF7"/>
    <w:rsid w:val="00F33DE9"/>
    <w:rsid w:val="00F33FD8"/>
    <w:rsid w:val="00F3402A"/>
    <w:rsid w:val="00F342FD"/>
    <w:rsid w:val="00F34C84"/>
    <w:rsid w:val="00F356DF"/>
    <w:rsid w:val="00F35777"/>
    <w:rsid w:val="00F35829"/>
    <w:rsid w:val="00F35909"/>
    <w:rsid w:val="00F359A1"/>
    <w:rsid w:val="00F359E3"/>
    <w:rsid w:val="00F35EF4"/>
    <w:rsid w:val="00F3619A"/>
    <w:rsid w:val="00F362EE"/>
    <w:rsid w:val="00F365A7"/>
    <w:rsid w:val="00F365FC"/>
    <w:rsid w:val="00F367EB"/>
    <w:rsid w:val="00F36870"/>
    <w:rsid w:val="00F36B5D"/>
    <w:rsid w:val="00F36D1F"/>
    <w:rsid w:val="00F36DE6"/>
    <w:rsid w:val="00F37666"/>
    <w:rsid w:val="00F37894"/>
    <w:rsid w:val="00F37955"/>
    <w:rsid w:val="00F37A05"/>
    <w:rsid w:val="00F37B68"/>
    <w:rsid w:val="00F37BEE"/>
    <w:rsid w:val="00F37EC3"/>
    <w:rsid w:val="00F37F47"/>
    <w:rsid w:val="00F40144"/>
    <w:rsid w:val="00F40495"/>
    <w:rsid w:val="00F4083F"/>
    <w:rsid w:val="00F408E4"/>
    <w:rsid w:val="00F40BAB"/>
    <w:rsid w:val="00F41515"/>
    <w:rsid w:val="00F4161E"/>
    <w:rsid w:val="00F417C9"/>
    <w:rsid w:val="00F41814"/>
    <w:rsid w:val="00F418A6"/>
    <w:rsid w:val="00F41A15"/>
    <w:rsid w:val="00F41D4C"/>
    <w:rsid w:val="00F4257C"/>
    <w:rsid w:val="00F42595"/>
    <w:rsid w:val="00F425FB"/>
    <w:rsid w:val="00F42648"/>
    <w:rsid w:val="00F42802"/>
    <w:rsid w:val="00F42B2F"/>
    <w:rsid w:val="00F42C05"/>
    <w:rsid w:val="00F42E9D"/>
    <w:rsid w:val="00F42F4F"/>
    <w:rsid w:val="00F42FEC"/>
    <w:rsid w:val="00F431CA"/>
    <w:rsid w:val="00F4353A"/>
    <w:rsid w:val="00F4383E"/>
    <w:rsid w:val="00F44107"/>
    <w:rsid w:val="00F442D7"/>
    <w:rsid w:val="00F4432B"/>
    <w:rsid w:val="00F44425"/>
    <w:rsid w:val="00F44428"/>
    <w:rsid w:val="00F4461B"/>
    <w:rsid w:val="00F446AB"/>
    <w:rsid w:val="00F44B5B"/>
    <w:rsid w:val="00F44C62"/>
    <w:rsid w:val="00F44DEB"/>
    <w:rsid w:val="00F44E25"/>
    <w:rsid w:val="00F4530E"/>
    <w:rsid w:val="00F453DF"/>
    <w:rsid w:val="00F45516"/>
    <w:rsid w:val="00F45677"/>
    <w:rsid w:val="00F4581C"/>
    <w:rsid w:val="00F45A81"/>
    <w:rsid w:val="00F45C6E"/>
    <w:rsid w:val="00F45D20"/>
    <w:rsid w:val="00F4634D"/>
    <w:rsid w:val="00F465F9"/>
    <w:rsid w:val="00F46CB6"/>
    <w:rsid w:val="00F46E2E"/>
    <w:rsid w:val="00F46FF0"/>
    <w:rsid w:val="00F47339"/>
    <w:rsid w:val="00F473D5"/>
    <w:rsid w:val="00F4781F"/>
    <w:rsid w:val="00F47A33"/>
    <w:rsid w:val="00F47A81"/>
    <w:rsid w:val="00F47AD4"/>
    <w:rsid w:val="00F47DED"/>
    <w:rsid w:val="00F47DF2"/>
    <w:rsid w:val="00F47EDD"/>
    <w:rsid w:val="00F50079"/>
    <w:rsid w:val="00F501E3"/>
    <w:rsid w:val="00F502D5"/>
    <w:rsid w:val="00F504F7"/>
    <w:rsid w:val="00F50691"/>
    <w:rsid w:val="00F507B9"/>
    <w:rsid w:val="00F50915"/>
    <w:rsid w:val="00F50938"/>
    <w:rsid w:val="00F509CE"/>
    <w:rsid w:val="00F50A27"/>
    <w:rsid w:val="00F51101"/>
    <w:rsid w:val="00F51152"/>
    <w:rsid w:val="00F513EF"/>
    <w:rsid w:val="00F51413"/>
    <w:rsid w:val="00F51BEA"/>
    <w:rsid w:val="00F523D1"/>
    <w:rsid w:val="00F529A3"/>
    <w:rsid w:val="00F52BCB"/>
    <w:rsid w:val="00F52E08"/>
    <w:rsid w:val="00F52EFE"/>
    <w:rsid w:val="00F52FA8"/>
    <w:rsid w:val="00F530BF"/>
    <w:rsid w:val="00F53578"/>
    <w:rsid w:val="00F535F5"/>
    <w:rsid w:val="00F53827"/>
    <w:rsid w:val="00F53A6E"/>
    <w:rsid w:val="00F53AAF"/>
    <w:rsid w:val="00F53AE6"/>
    <w:rsid w:val="00F5415F"/>
    <w:rsid w:val="00F5427C"/>
    <w:rsid w:val="00F54412"/>
    <w:rsid w:val="00F5457B"/>
    <w:rsid w:val="00F5476E"/>
    <w:rsid w:val="00F5487C"/>
    <w:rsid w:val="00F54C31"/>
    <w:rsid w:val="00F54CB4"/>
    <w:rsid w:val="00F54DCA"/>
    <w:rsid w:val="00F54F96"/>
    <w:rsid w:val="00F55028"/>
    <w:rsid w:val="00F552BE"/>
    <w:rsid w:val="00F55492"/>
    <w:rsid w:val="00F558CF"/>
    <w:rsid w:val="00F558DC"/>
    <w:rsid w:val="00F55B8F"/>
    <w:rsid w:val="00F55E73"/>
    <w:rsid w:val="00F55F9D"/>
    <w:rsid w:val="00F562D2"/>
    <w:rsid w:val="00F56900"/>
    <w:rsid w:val="00F56965"/>
    <w:rsid w:val="00F56AB4"/>
    <w:rsid w:val="00F56D8B"/>
    <w:rsid w:val="00F57219"/>
    <w:rsid w:val="00F57448"/>
    <w:rsid w:val="00F5758B"/>
    <w:rsid w:val="00F57828"/>
    <w:rsid w:val="00F57B1F"/>
    <w:rsid w:val="00F60092"/>
    <w:rsid w:val="00F601B2"/>
    <w:rsid w:val="00F60504"/>
    <w:rsid w:val="00F607C1"/>
    <w:rsid w:val="00F6099D"/>
    <w:rsid w:val="00F60B5E"/>
    <w:rsid w:val="00F60C2E"/>
    <w:rsid w:val="00F60CD0"/>
    <w:rsid w:val="00F60DA8"/>
    <w:rsid w:val="00F60E44"/>
    <w:rsid w:val="00F60E7B"/>
    <w:rsid w:val="00F612F2"/>
    <w:rsid w:val="00F615B9"/>
    <w:rsid w:val="00F619A1"/>
    <w:rsid w:val="00F61C30"/>
    <w:rsid w:val="00F6207F"/>
    <w:rsid w:val="00F6210D"/>
    <w:rsid w:val="00F62215"/>
    <w:rsid w:val="00F62531"/>
    <w:rsid w:val="00F6255E"/>
    <w:rsid w:val="00F627C0"/>
    <w:rsid w:val="00F62A93"/>
    <w:rsid w:val="00F62C60"/>
    <w:rsid w:val="00F62D74"/>
    <w:rsid w:val="00F62DEF"/>
    <w:rsid w:val="00F62EEC"/>
    <w:rsid w:val="00F63271"/>
    <w:rsid w:val="00F63315"/>
    <w:rsid w:val="00F63534"/>
    <w:rsid w:val="00F63635"/>
    <w:rsid w:val="00F6368A"/>
    <w:rsid w:val="00F63F6E"/>
    <w:rsid w:val="00F64232"/>
    <w:rsid w:val="00F6465C"/>
    <w:rsid w:val="00F64896"/>
    <w:rsid w:val="00F64911"/>
    <w:rsid w:val="00F64AB6"/>
    <w:rsid w:val="00F64BEB"/>
    <w:rsid w:val="00F64C46"/>
    <w:rsid w:val="00F64D07"/>
    <w:rsid w:val="00F64D34"/>
    <w:rsid w:val="00F64D7F"/>
    <w:rsid w:val="00F65457"/>
    <w:rsid w:val="00F654A8"/>
    <w:rsid w:val="00F658DE"/>
    <w:rsid w:val="00F65E00"/>
    <w:rsid w:val="00F660F5"/>
    <w:rsid w:val="00F66222"/>
    <w:rsid w:val="00F6624C"/>
    <w:rsid w:val="00F6630F"/>
    <w:rsid w:val="00F664C3"/>
    <w:rsid w:val="00F66576"/>
    <w:rsid w:val="00F667B9"/>
    <w:rsid w:val="00F66CC5"/>
    <w:rsid w:val="00F6707F"/>
    <w:rsid w:val="00F670D1"/>
    <w:rsid w:val="00F671C0"/>
    <w:rsid w:val="00F67289"/>
    <w:rsid w:val="00F6734E"/>
    <w:rsid w:val="00F6736C"/>
    <w:rsid w:val="00F67463"/>
    <w:rsid w:val="00F67555"/>
    <w:rsid w:val="00F67581"/>
    <w:rsid w:val="00F679CC"/>
    <w:rsid w:val="00F67B43"/>
    <w:rsid w:val="00F67B56"/>
    <w:rsid w:val="00F67C99"/>
    <w:rsid w:val="00F700EF"/>
    <w:rsid w:val="00F70400"/>
    <w:rsid w:val="00F709F4"/>
    <w:rsid w:val="00F70D8C"/>
    <w:rsid w:val="00F70EFA"/>
    <w:rsid w:val="00F715D3"/>
    <w:rsid w:val="00F71930"/>
    <w:rsid w:val="00F71E39"/>
    <w:rsid w:val="00F71E9B"/>
    <w:rsid w:val="00F720C6"/>
    <w:rsid w:val="00F724EC"/>
    <w:rsid w:val="00F72671"/>
    <w:rsid w:val="00F72D46"/>
    <w:rsid w:val="00F7324C"/>
    <w:rsid w:val="00F73345"/>
    <w:rsid w:val="00F73376"/>
    <w:rsid w:val="00F7358D"/>
    <w:rsid w:val="00F735E7"/>
    <w:rsid w:val="00F736EF"/>
    <w:rsid w:val="00F737A5"/>
    <w:rsid w:val="00F738FA"/>
    <w:rsid w:val="00F73997"/>
    <w:rsid w:val="00F73BE1"/>
    <w:rsid w:val="00F73DD0"/>
    <w:rsid w:val="00F73E6D"/>
    <w:rsid w:val="00F73FDA"/>
    <w:rsid w:val="00F74183"/>
    <w:rsid w:val="00F742F4"/>
    <w:rsid w:val="00F7436E"/>
    <w:rsid w:val="00F743A4"/>
    <w:rsid w:val="00F7440A"/>
    <w:rsid w:val="00F7489F"/>
    <w:rsid w:val="00F749E5"/>
    <w:rsid w:val="00F74A1F"/>
    <w:rsid w:val="00F74D00"/>
    <w:rsid w:val="00F74D80"/>
    <w:rsid w:val="00F754E1"/>
    <w:rsid w:val="00F755E1"/>
    <w:rsid w:val="00F756F3"/>
    <w:rsid w:val="00F75D9B"/>
    <w:rsid w:val="00F75F82"/>
    <w:rsid w:val="00F75FEC"/>
    <w:rsid w:val="00F76065"/>
    <w:rsid w:val="00F760D0"/>
    <w:rsid w:val="00F760ED"/>
    <w:rsid w:val="00F762F1"/>
    <w:rsid w:val="00F76327"/>
    <w:rsid w:val="00F76494"/>
    <w:rsid w:val="00F765DC"/>
    <w:rsid w:val="00F767AD"/>
    <w:rsid w:val="00F767EE"/>
    <w:rsid w:val="00F76B78"/>
    <w:rsid w:val="00F76E39"/>
    <w:rsid w:val="00F76F68"/>
    <w:rsid w:val="00F76F72"/>
    <w:rsid w:val="00F77733"/>
    <w:rsid w:val="00F77752"/>
    <w:rsid w:val="00F77F8F"/>
    <w:rsid w:val="00F801A4"/>
    <w:rsid w:val="00F8041A"/>
    <w:rsid w:val="00F807BF"/>
    <w:rsid w:val="00F80A2B"/>
    <w:rsid w:val="00F80B43"/>
    <w:rsid w:val="00F80E5D"/>
    <w:rsid w:val="00F80FE8"/>
    <w:rsid w:val="00F81012"/>
    <w:rsid w:val="00F81290"/>
    <w:rsid w:val="00F81604"/>
    <w:rsid w:val="00F8192E"/>
    <w:rsid w:val="00F81BDB"/>
    <w:rsid w:val="00F824B9"/>
    <w:rsid w:val="00F8260A"/>
    <w:rsid w:val="00F82643"/>
    <w:rsid w:val="00F8280D"/>
    <w:rsid w:val="00F82A6B"/>
    <w:rsid w:val="00F82EC0"/>
    <w:rsid w:val="00F83063"/>
    <w:rsid w:val="00F8311E"/>
    <w:rsid w:val="00F83210"/>
    <w:rsid w:val="00F83237"/>
    <w:rsid w:val="00F836B3"/>
    <w:rsid w:val="00F836CE"/>
    <w:rsid w:val="00F83AA0"/>
    <w:rsid w:val="00F83D78"/>
    <w:rsid w:val="00F83DB2"/>
    <w:rsid w:val="00F83F32"/>
    <w:rsid w:val="00F83FDE"/>
    <w:rsid w:val="00F84076"/>
    <w:rsid w:val="00F8460C"/>
    <w:rsid w:val="00F8473C"/>
    <w:rsid w:val="00F8497B"/>
    <w:rsid w:val="00F84E58"/>
    <w:rsid w:val="00F8501F"/>
    <w:rsid w:val="00F851CE"/>
    <w:rsid w:val="00F851D5"/>
    <w:rsid w:val="00F8533A"/>
    <w:rsid w:val="00F8585A"/>
    <w:rsid w:val="00F85A33"/>
    <w:rsid w:val="00F85B60"/>
    <w:rsid w:val="00F85CB5"/>
    <w:rsid w:val="00F85D07"/>
    <w:rsid w:val="00F85EDE"/>
    <w:rsid w:val="00F8630C"/>
    <w:rsid w:val="00F863EB"/>
    <w:rsid w:val="00F863F8"/>
    <w:rsid w:val="00F863FD"/>
    <w:rsid w:val="00F86515"/>
    <w:rsid w:val="00F86529"/>
    <w:rsid w:val="00F86539"/>
    <w:rsid w:val="00F869D4"/>
    <w:rsid w:val="00F87209"/>
    <w:rsid w:val="00F8733C"/>
    <w:rsid w:val="00F87415"/>
    <w:rsid w:val="00F876DB"/>
    <w:rsid w:val="00F87847"/>
    <w:rsid w:val="00F87A6E"/>
    <w:rsid w:val="00F9004A"/>
    <w:rsid w:val="00F90145"/>
    <w:rsid w:val="00F9016D"/>
    <w:rsid w:val="00F901FA"/>
    <w:rsid w:val="00F904E0"/>
    <w:rsid w:val="00F906D4"/>
    <w:rsid w:val="00F9083C"/>
    <w:rsid w:val="00F90A62"/>
    <w:rsid w:val="00F90B4D"/>
    <w:rsid w:val="00F90CE2"/>
    <w:rsid w:val="00F90E71"/>
    <w:rsid w:val="00F9122D"/>
    <w:rsid w:val="00F9146E"/>
    <w:rsid w:val="00F91533"/>
    <w:rsid w:val="00F9158E"/>
    <w:rsid w:val="00F9178D"/>
    <w:rsid w:val="00F91AF0"/>
    <w:rsid w:val="00F91E3E"/>
    <w:rsid w:val="00F92057"/>
    <w:rsid w:val="00F92241"/>
    <w:rsid w:val="00F922B3"/>
    <w:rsid w:val="00F9279E"/>
    <w:rsid w:val="00F92A80"/>
    <w:rsid w:val="00F92D4E"/>
    <w:rsid w:val="00F93349"/>
    <w:rsid w:val="00F93448"/>
    <w:rsid w:val="00F93506"/>
    <w:rsid w:val="00F93540"/>
    <w:rsid w:val="00F939E9"/>
    <w:rsid w:val="00F93FE5"/>
    <w:rsid w:val="00F94514"/>
    <w:rsid w:val="00F9462A"/>
    <w:rsid w:val="00F9473C"/>
    <w:rsid w:val="00F94B1D"/>
    <w:rsid w:val="00F94C32"/>
    <w:rsid w:val="00F94D31"/>
    <w:rsid w:val="00F94E87"/>
    <w:rsid w:val="00F952F8"/>
    <w:rsid w:val="00F954B0"/>
    <w:rsid w:val="00F95645"/>
    <w:rsid w:val="00F95661"/>
    <w:rsid w:val="00F95B1D"/>
    <w:rsid w:val="00F95BD6"/>
    <w:rsid w:val="00F95C5B"/>
    <w:rsid w:val="00F95DDB"/>
    <w:rsid w:val="00F95F20"/>
    <w:rsid w:val="00F96543"/>
    <w:rsid w:val="00F968B4"/>
    <w:rsid w:val="00F96D27"/>
    <w:rsid w:val="00F96D84"/>
    <w:rsid w:val="00F96D8F"/>
    <w:rsid w:val="00F96EE2"/>
    <w:rsid w:val="00F971EA"/>
    <w:rsid w:val="00F97288"/>
    <w:rsid w:val="00F97348"/>
    <w:rsid w:val="00F9747D"/>
    <w:rsid w:val="00F97653"/>
    <w:rsid w:val="00F97775"/>
    <w:rsid w:val="00F97809"/>
    <w:rsid w:val="00F9786C"/>
    <w:rsid w:val="00F97A78"/>
    <w:rsid w:val="00F97C1D"/>
    <w:rsid w:val="00F97C77"/>
    <w:rsid w:val="00F97F51"/>
    <w:rsid w:val="00FA046D"/>
    <w:rsid w:val="00FA0714"/>
    <w:rsid w:val="00FA0900"/>
    <w:rsid w:val="00FA0B87"/>
    <w:rsid w:val="00FA0BF2"/>
    <w:rsid w:val="00FA0C42"/>
    <w:rsid w:val="00FA0DE5"/>
    <w:rsid w:val="00FA13F0"/>
    <w:rsid w:val="00FA1A5D"/>
    <w:rsid w:val="00FA1E7E"/>
    <w:rsid w:val="00FA2272"/>
    <w:rsid w:val="00FA22A7"/>
    <w:rsid w:val="00FA24E7"/>
    <w:rsid w:val="00FA251B"/>
    <w:rsid w:val="00FA28D2"/>
    <w:rsid w:val="00FA2B23"/>
    <w:rsid w:val="00FA31BE"/>
    <w:rsid w:val="00FA31F6"/>
    <w:rsid w:val="00FA356D"/>
    <w:rsid w:val="00FA36A4"/>
    <w:rsid w:val="00FA3818"/>
    <w:rsid w:val="00FA4375"/>
    <w:rsid w:val="00FA44BA"/>
    <w:rsid w:val="00FA4990"/>
    <w:rsid w:val="00FA49CF"/>
    <w:rsid w:val="00FA4F7D"/>
    <w:rsid w:val="00FA51C4"/>
    <w:rsid w:val="00FA5296"/>
    <w:rsid w:val="00FA53FA"/>
    <w:rsid w:val="00FA548D"/>
    <w:rsid w:val="00FA55D4"/>
    <w:rsid w:val="00FA5672"/>
    <w:rsid w:val="00FA58A2"/>
    <w:rsid w:val="00FA5928"/>
    <w:rsid w:val="00FA5C65"/>
    <w:rsid w:val="00FA5DE9"/>
    <w:rsid w:val="00FA5EA0"/>
    <w:rsid w:val="00FA6146"/>
    <w:rsid w:val="00FA61AB"/>
    <w:rsid w:val="00FA63A9"/>
    <w:rsid w:val="00FA63F5"/>
    <w:rsid w:val="00FA65A0"/>
    <w:rsid w:val="00FA66E6"/>
    <w:rsid w:val="00FA679D"/>
    <w:rsid w:val="00FA6A69"/>
    <w:rsid w:val="00FA6AA1"/>
    <w:rsid w:val="00FA6BFE"/>
    <w:rsid w:val="00FA7098"/>
    <w:rsid w:val="00FA70A7"/>
    <w:rsid w:val="00FA72A9"/>
    <w:rsid w:val="00FA72DA"/>
    <w:rsid w:val="00FA7457"/>
    <w:rsid w:val="00FA76E5"/>
    <w:rsid w:val="00FA79AD"/>
    <w:rsid w:val="00FA7C49"/>
    <w:rsid w:val="00FA7EDC"/>
    <w:rsid w:val="00FB0234"/>
    <w:rsid w:val="00FB0524"/>
    <w:rsid w:val="00FB0611"/>
    <w:rsid w:val="00FB0839"/>
    <w:rsid w:val="00FB0AAA"/>
    <w:rsid w:val="00FB0AD7"/>
    <w:rsid w:val="00FB0B8F"/>
    <w:rsid w:val="00FB0CC7"/>
    <w:rsid w:val="00FB0CCD"/>
    <w:rsid w:val="00FB0DAA"/>
    <w:rsid w:val="00FB10C1"/>
    <w:rsid w:val="00FB1606"/>
    <w:rsid w:val="00FB17E7"/>
    <w:rsid w:val="00FB18CC"/>
    <w:rsid w:val="00FB1F17"/>
    <w:rsid w:val="00FB2038"/>
    <w:rsid w:val="00FB22DC"/>
    <w:rsid w:val="00FB2348"/>
    <w:rsid w:val="00FB2769"/>
    <w:rsid w:val="00FB2831"/>
    <w:rsid w:val="00FB2B25"/>
    <w:rsid w:val="00FB2CEF"/>
    <w:rsid w:val="00FB2EF4"/>
    <w:rsid w:val="00FB2FCB"/>
    <w:rsid w:val="00FB30D4"/>
    <w:rsid w:val="00FB311C"/>
    <w:rsid w:val="00FB336E"/>
    <w:rsid w:val="00FB3445"/>
    <w:rsid w:val="00FB3611"/>
    <w:rsid w:val="00FB3AEF"/>
    <w:rsid w:val="00FB3B98"/>
    <w:rsid w:val="00FB3E75"/>
    <w:rsid w:val="00FB4999"/>
    <w:rsid w:val="00FB4A16"/>
    <w:rsid w:val="00FB4EBD"/>
    <w:rsid w:val="00FB51E3"/>
    <w:rsid w:val="00FB5AF1"/>
    <w:rsid w:val="00FB6014"/>
    <w:rsid w:val="00FB60C4"/>
    <w:rsid w:val="00FB6156"/>
    <w:rsid w:val="00FB61D9"/>
    <w:rsid w:val="00FB6618"/>
    <w:rsid w:val="00FB671C"/>
    <w:rsid w:val="00FB6A5A"/>
    <w:rsid w:val="00FB6A91"/>
    <w:rsid w:val="00FB6B05"/>
    <w:rsid w:val="00FB6CD8"/>
    <w:rsid w:val="00FB6DA8"/>
    <w:rsid w:val="00FB6DD4"/>
    <w:rsid w:val="00FB6F31"/>
    <w:rsid w:val="00FB70A2"/>
    <w:rsid w:val="00FB745E"/>
    <w:rsid w:val="00FB74E9"/>
    <w:rsid w:val="00FB7731"/>
    <w:rsid w:val="00FB7CC0"/>
    <w:rsid w:val="00FC0336"/>
    <w:rsid w:val="00FC06F2"/>
    <w:rsid w:val="00FC09B1"/>
    <w:rsid w:val="00FC0DFF"/>
    <w:rsid w:val="00FC0F28"/>
    <w:rsid w:val="00FC1074"/>
    <w:rsid w:val="00FC1277"/>
    <w:rsid w:val="00FC1448"/>
    <w:rsid w:val="00FC1884"/>
    <w:rsid w:val="00FC1A06"/>
    <w:rsid w:val="00FC1B00"/>
    <w:rsid w:val="00FC1F9D"/>
    <w:rsid w:val="00FC224D"/>
    <w:rsid w:val="00FC2CC7"/>
    <w:rsid w:val="00FC39E1"/>
    <w:rsid w:val="00FC3A4F"/>
    <w:rsid w:val="00FC3AD4"/>
    <w:rsid w:val="00FC3F83"/>
    <w:rsid w:val="00FC42BD"/>
    <w:rsid w:val="00FC430D"/>
    <w:rsid w:val="00FC4341"/>
    <w:rsid w:val="00FC49A2"/>
    <w:rsid w:val="00FC4EFE"/>
    <w:rsid w:val="00FC4F40"/>
    <w:rsid w:val="00FC5307"/>
    <w:rsid w:val="00FC569B"/>
    <w:rsid w:val="00FC56B8"/>
    <w:rsid w:val="00FC57B6"/>
    <w:rsid w:val="00FC57BA"/>
    <w:rsid w:val="00FC58DF"/>
    <w:rsid w:val="00FC593A"/>
    <w:rsid w:val="00FC59AB"/>
    <w:rsid w:val="00FC5DD3"/>
    <w:rsid w:val="00FC60E9"/>
    <w:rsid w:val="00FC61E5"/>
    <w:rsid w:val="00FC6313"/>
    <w:rsid w:val="00FC63B1"/>
    <w:rsid w:val="00FC65AC"/>
    <w:rsid w:val="00FC6602"/>
    <w:rsid w:val="00FC6A33"/>
    <w:rsid w:val="00FC6C63"/>
    <w:rsid w:val="00FC6E29"/>
    <w:rsid w:val="00FC6E2E"/>
    <w:rsid w:val="00FC7231"/>
    <w:rsid w:val="00FC72EC"/>
    <w:rsid w:val="00FC734E"/>
    <w:rsid w:val="00FC742F"/>
    <w:rsid w:val="00FC7521"/>
    <w:rsid w:val="00FC78DB"/>
    <w:rsid w:val="00FC78DF"/>
    <w:rsid w:val="00FC791C"/>
    <w:rsid w:val="00FC7B93"/>
    <w:rsid w:val="00FC7BD3"/>
    <w:rsid w:val="00FC7C12"/>
    <w:rsid w:val="00FC7CFD"/>
    <w:rsid w:val="00FC7D1B"/>
    <w:rsid w:val="00FC7E43"/>
    <w:rsid w:val="00FC7E9A"/>
    <w:rsid w:val="00FD00D1"/>
    <w:rsid w:val="00FD0226"/>
    <w:rsid w:val="00FD02C0"/>
    <w:rsid w:val="00FD06A2"/>
    <w:rsid w:val="00FD088B"/>
    <w:rsid w:val="00FD08B9"/>
    <w:rsid w:val="00FD097B"/>
    <w:rsid w:val="00FD0E7F"/>
    <w:rsid w:val="00FD117F"/>
    <w:rsid w:val="00FD1266"/>
    <w:rsid w:val="00FD15CD"/>
    <w:rsid w:val="00FD1DD3"/>
    <w:rsid w:val="00FD208C"/>
    <w:rsid w:val="00FD2100"/>
    <w:rsid w:val="00FD21F8"/>
    <w:rsid w:val="00FD220F"/>
    <w:rsid w:val="00FD23C5"/>
    <w:rsid w:val="00FD2576"/>
    <w:rsid w:val="00FD25BB"/>
    <w:rsid w:val="00FD2874"/>
    <w:rsid w:val="00FD29AF"/>
    <w:rsid w:val="00FD2A9D"/>
    <w:rsid w:val="00FD2E7F"/>
    <w:rsid w:val="00FD311B"/>
    <w:rsid w:val="00FD324C"/>
    <w:rsid w:val="00FD34E3"/>
    <w:rsid w:val="00FD3871"/>
    <w:rsid w:val="00FD387B"/>
    <w:rsid w:val="00FD3A41"/>
    <w:rsid w:val="00FD3C05"/>
    <w:rsid w:val="00FD3C36"/>
    <w:rsid w:val="00FD3C74"/>
    <w:rsid w:val="00FD3DEA"/>
    <w:rsid w:val="00FD3EB5"/>
    <w:rsid w:val="00FD3FA9"/>
    <w:rsid w:val="00FD43FE"/>
    <w:rsid w:val="00FD446D"/>
    <w:rsid w:val="00FD47C5"/>
    <w:rsid w:val="00FD4804"/>
    <w:rsid w:val="00FD498F"/>
    <w:rsid w:val="00FD4A8F"/>
    <w:rsid w:val="00FD502E"/>
    <w:rsid w:val="00FD54E5"/>
    <w:rsid w:val="00FD5816"/>
    <w:rsid w:val="00FD5EB4"/>
    <w:rsid w:val="00FD6015"/>
    <w:rsid w:val="00FD6045"/>
    <w:rsid w:val="00FD61E6"/>
    <w:rsid w:val="00FD687F"/>
    <w:rsid w:val="00FD6B11"/>
    <w:rsid w:val="00FD71E0"/>
    <w:rsid w:val="00FD7670"/>
    <w:rsid w:val="00FD7C7C"/>
    <w:rsid w:val="00FD7E02"/>
    <w:rsid w:val="00FE09BC"/>
    <w:rsid w:val="00FE0C73"/>
    <w:rsid w:val="00FE0E02"/>
    <w:rsid w:val="00FE124A"/>
    <w:rsid w:val="00FE12F5"/>
    <w:rsid w:val="00FE188E"/>
    <w:rsid w:val="00FE1961"/>
    <w:rsid w:val="00FE1C76"/>
    <w:rsid w:val="00FE1D44"/>
    <w:rsid w:val="00FE1ECC"/>
    <w:rsid w:val="00FE20D3"/>
    <w:rsid w:val="00FE2152"/>
    <w:rsid w:val="00FE21DB"/>
    <w:rsid w:val="00FE22AD"/>
    <w:rsid w:val="00FE27BD"/>
    <w:rsid w:val="00FE27EB"/>
    <w:rsid w:val="00FE2D05"/>
    <w:rsid w:val="00FE2D48"/>
    <w:rsid w:val="00FE30BB"/>
    <w:rsid w:val="00FE3183"/>
    <w:rsid w:val="00FE3780"/>
    <w:rsid w:val="00FE3838"/>
    <w:rsid w:val="00FE3917"/>
    <w:rsid w:val="00FE39AA"/>
    <w:rsid w:val="00FE3B60"/>
    <w:rsid w:val="00FE3C11"/>
    <w:rsid w:val="00FE3CE0"/>
    <w:rsid w:val="00FE40B5"/>
    <w:rsid w:val="00FE43E8"/>
    <w:rsid w:val="00FE44D2"/>
    <w:rsid w:val="00FE48E5"/>
    <w:rsid w:val="00FE4A50"/>
    <w:rsid w:val="00FE4D2F"/>
    <w:rsid w:val="00FE50F9"/>
    <w:rsid w:val="00FE51EF"/>
    <w:rsid w:val="00FE5578"/>
    <w:rsid w:val="00FE566F"/>
    <w:rsid w:val="00FE5893"/>
    <w:rsid w:val="00FE5C01"/>
    <w:rsid w:val="00FE6079"/>
    <w:rsid w:val="00FE6183"/>
    <w:rsid w:val="00FE6401"/>
    <w:rsid w:val="00FE6468"/>
    <w:rsid w:val="00FE6523"/>
    <w:rsid w:val="00FE654B"/>
    <w:rsid w:val="00FE6584"/>
    <w:rsid w:val="00FE6BB2"/>
    <w:rsid w:val="00FE6BCD"/>
    <w:rsid w:val="00FE6C06"/>
    <w:rsid w:val="00FE6C83"/>
    <w:rsid w:val="00FE78DA"/>
    <w:rsid w:val="00FE7B80"/>
    <w:rsid w:val="00FE7C62"/>
    <w:rsid w:val="00FE7D34"/>
    <w:rsid w:val="00FE7DAC"/>
    <w:rsid w:val="00FE7FB0"/>
    <w:rsid w:val="00FF02A4"/>
    <w:rsid w:val="00FF0B06"/>
    <w:rsid w:val="00FF0BB5"/>
    <w:rsid w:val="00FF1181"/>
    <w:rsid w:val="00FF141C"/>
    <w:rsid w:val="00FF170E"/>
    <w:rsid w:val="00FF176B"/>
    <w:rsid w:val="00FF18ED"/>
    <w:rsid w:val="00FF1DF4"/>
    <w:rsid w:val="00FF1DFB"/>
    <w:rsid w:val="00FF1FBC"/>
    <w:rsid w:val="00FF2413"/>
    <w:rsid w:val="00FF2852"/>
    <w:rsid w:val="00FF2AEB"/>
    <w:rsid w:val="00FF2C0D"/>
    <w:rsid w:val="00FF2EE1"/>
    <w:rsid w:val="00FF3090"/>
    <w:rsid w:val="00FF3459"/>
    <w:rsid w:val="00FF3492"/>
    <w:rsid w:val="00FF382D"/>
    <w:rsid w:val="00FF395D"/>
    <w:rsid w:val="00FF3CB9"/>
    <w:rsid w:val="00FF3DCF"/>
    <w:rsid w:val="00FF3E11"/>
    <w:rsid w:val="00FF427A"/>
    <w:rsid w:val="00FF4341"/>
    <w:rsid w:val="00FF434A"/>
    <w:rsid w:val="00FF4910"/>
    <w:rsid w:val="00FF4DC9"/>
    <w:rsid w:val="00FF566D"/>
    <w:rsid w:val="00FF5AA3"/>
    <w:rsid w:val="00FF5E7D"/>
    <w:rsid w:val="00FF5E99"/>
    <w:rsid w:val="00FF5EB2"/>
    <w:rsid w:val="00FF630A"/>
    <w:rsid w:val="00FF6356"/>
    <w:rsid w:val="00FF65C7"/>
    <w:rsid w:val="00FF6695"/>
    <w:rsid w:val="00FF67A3"/>
    <w:rsid w:val="00FF6C33"/>
    <w:rsid w:val="00FF6F2B"/>
    <w:rsid w:val="00FF7305"/>
    <w:rsid w:val="00FF7343"/>
    <w:rsid w:val="00FF7421"/>
    <w:rsid w:val="00FF778A"/>
    <w:rsid w:val="00FF7C92"/>
    <w:rsid w:val="00FF7C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DE732C"/>
    <w:pPr>
      <w:spacing w:after="200" w:line="276" w:lineRule="auto"/>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E732C"/>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 Char,Medical Caption Char,Caption Char1 Char Char,Caption Char Char Char Char,Caption Char1 Char,Caption Char Char Char Char Char,Caption Char Char,Caption Char Char Char Char1,Caption Char1 Char1,Caption Char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IB Caption Char Char1,Medical Caption Char Char1,Caption Char1 Char Char Char1,Caption Char Char Char Char Char2,Caption Char1 Char Char2,Caption Char Char Char Char Char Char1,Caption Char Char Char2,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E732C"/>
    <w:pPr>
      <w:numPr>
        <w:numId w:val="3"/>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C71144"/>
    <w:rPr>
      <w:rFonts w:ascii="Arial Bold" w:hAnsi="Arial Bold" w:cs="Arial"/>
      <w:b/>
      <w:caps/>
      <w:snapToGrid w:val="0"/>
      <w:sz w:val="22"/>
      <w:lang w:eastAsia="en-US"/>
    </w:rPr>
  </w:style>
  <w:style w:type="character" w:customStyle="1" w:styleId="CaptionChar1">
    <w:name w:val="Caption Char1"/>
    <w:aliases w:val="Caption Char Char1,IB Caption Char Char,Medical Caption Char Char,Caption Char1 Char Char Char,Caption Char Char Char Char Char1,Caption Char1 Char Char1,Caption Char Char Char Char Char Char,Caption Char Char Char1,c Char1"/>
    <w:basedOn w:val="DefaultParagraphFont"/>
    <w:uiPriority w:val="2"/>
    <w:rsid w:val="003860D2"/>
    <w:rPr>
      <w:rFonts w:cstheme="minorHAnsi"/>
      <w:b/>
      <w:bCs/>
      <w:sz w:val="20"/>
      <w:szCs w:val="20"/>
      <w:lang w:eastAsia="zh-CN"/>
    </w:rPr>
  </w:style>
  <w:style w:type="paragraph" w:styleId="FootnoteText">
    <w:name w:val="footnote text"/>
    <w:basedOn w:val="Normal"/>
    <w:link w:val="FootnoteTextChar"/>
    <w:semiHidden/>
    <w:unhideWhenUsed/>
    <w:rsid w:val="004156EC"/>
    <w:rPr>
      <w:sz w:val="20"/>
    </w:rPr>
  </w:style>
  <w:style w:type="character" w:customStyle="1" w:styleId="FootnoteTextChar">
    <w:name w:val="Footnote Text Char"/>
    <w:basedOn w:val="DefaultParagraphFont"/>
    <w:link w:val="FootnoteText"/>
    <w:semiHidden/>
    <w:rsid w:val="004156EC"/>
    <w:rPr>
      <w:rFonts w:ascii="Arial" w:hAnsi="Arial" w:cs="Arial"/>
      <w:snapToGrid w:val="0"/>
      <w:lang w:eastAsia="en-US"/>
    </w:rPr>
  </w:style>
  <w:style w:type="character" w:styleId="FootnoteReference">
    <w:name w:val="footnote reference"/>
    <w:basedOn w:val="DefaultParagraphFont"/>
    <w:semiHidden/>
    <w:unhideWhenUsed/>
    <w:rsid w:val="004156EC"/>
    <w:rPr>
      <w:vertAlign w:val="superscript"/>
    </w:rPr>
  </w:style>
  <w:style w:type="paragraph" w:customStyle="1" w:styleId="Default">
    <w:name w:val="Default"/>
    <w:rsid w:val="007A4A97"/>
    <w:pPr>
      <w:autoSpaceDE w:val="0"/>
      <w:autoSpaceDN w:val="0"/>
      <w:adjustRightInd w:val="0"/>
    </w:pPr>
    <w:rPr>
      <w:rFonts w:ascii="Arial" w:hAnsi="Arial" w:cs="Arial"/>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010CF"/>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9344CE"/>
    <w:rPr>
      <w:rFonts w:ascii="Arial" w:hAnsi="Arial" w:cs="Arial"/>
      <w:snapToGrid w:val="0"/>
      <w:sz w:val="22"/>
      <w:lang w:eastAsia="en-US"/>
    </w:rPr>
  </w:style>
  <w:style w:type="character" w:styleId="IntenseReference">
    <w:name w:val="Intense Reference"/>
    <w:basedOn w:val="DefaultParagraphFont"/>
    <w:uiPriority w:val="32"/>
    <w:qFormat/>
    <w:rsid w:val="00631E91"/>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DE732C"/>
    <w:pPr>
      <w:spacing w:after="200" w:line="276" w:lineRule="auto"/>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E732C"/>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 Char,Medical Caption Char,Caption Char1 Char Char,Caption Char Char Char Char,Caption Char1 Char,Caption Char Char Char Char Char,Caption Char Char,Caption Char Char Char Char1,Caption Char1 Char1,Caption Char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IB Caption Char Char1,Medical Caption Char Char1,Caption Char1 Char Char Char1,Caption Char Char Char Char Char2,Caption Char1 Char Char2,Caption Char Char Char Char Char Char1,Caption Char Char Char2,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E732C"/>
    <w:pPr>
      <w:numPr>
        <w:numId w:val="3"/>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rsid w:val="00C71144"/>
    <w:rPr>
      <w:rFonts w:ascii="Arial Bold" w:hAnsi="Arial Bold" w:cs="Arial"/>
      <w:b/>
      <w:caps/>
      <w:snapToGrid w:val="0"/>
      <w:sz w:val="22"/>
      <w:lang w:eastAsia="en-US"/>
    </w:rPr>
  </w:style>
  <w:style w:type="character" w:customStyle="1" w:styleId="CaptionChar1">
    <w:name w:val="Caption Char1"/>
    <w:aliases w:val="Caption Char Char1,IB Caption Char Char,Medical Caption Char Char,Caption Char1 Char Char Char,Caption Char Char Char Char Char1,Caption Char1 Char Char1,Caption Char Char Char Char Char Char,Caption Char Char Char1,c Char1"/>
    <w:basedOn w:val="DefaultParagraphFont"/>
    <w:uiPriority w:val="2"/>
    <w:rsid w:val="003860D2"/>
    <w:rPr>
      <w:rFonts w:cstheme="minorHAnsi"/>
      <w:b/>
      <w:bCs/>
      <w:sz w:val="20"/>
      <w:szCs w:val="20"/>
      <w:lang w:eastAsia="zh-CN"/>
    </w:rPr>
  </w:style>
  <w:style w:type="paragraph" w:styleId="FootnoteText">
    <w:name w:val="footnote text"/>
    <w:basedOn w:val="Normal"/>
    <w:link w:val="FootnoteTextChar"/>
    <w:semiHidden/>
    <w:unhideWhenUsed/>
    <w:rsid w:val="004156EC"/>
    <w:rPr>
      <w:sz w:val="20"/>
    </w:rPr>
  </w:style>
  <w:style w:type="character" w:customStyle="1" w:styleId="FootnoteTextChar">
    <w:name w:val="Footnote Text Char"/>
    <w:basedOn w:val="DefaultParagraphFont"/>
    <w:link w:val="FootnoteText"/>
    <w:semiHidden/>
    <w:rsid w:val="004156EC"/>
    <w:rPr>
      <w:rFonts w:ascii="Arial" w:hAnsi="Arial" w:cs="Arial"/>
      <w:snapToGrid w:val="0"/>
      <w:lang w:eastAsia="en-US"/>
    </w:rPr>
  </w:style>
  <w:style w:type="character" w:styleId="FootnoteReference">
    <w:name w:val="footnote reference"/>
    <w:basedOn w:val="DefaultParagraphFont"/>
    <w:semiHidden/>
    <w:unhideWhenUsed/>
    <w:rsid w:val="004156EC"/>
    <w:rPr>
      <w:vertAlign w:val="superscript"/>
    </w:rPr>
  </w:style>
  <w:style w:type="paragraph" w:customStyle="1" w:styleId="Default">
    <w:name w:val="Default"/>
    <w:rsid w:val="007A4A97"/>
    <w:pPr>
      <w:autoSpaceDE w:val="0"/>
      <w:autoSpaceDN w:val="0"/>
      <w:adjustRightInd w:val="0"/>
    </w:pPr>
    <w:rPr>
      <w:rFonts w:ascii="Arial" w:hAnsi="Arial" w:cs="Arial"/>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010CF"/>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34"/>
    <w:rsid w:val="009344CE"/>
    <w:rPr>
      <w:rFonts w:ascii="Arial" w:hAnsi="Arial" w:cs="Arial"/>
      <w:snapToGrid w:val="0"/>
      <w:sz w:val="22"/>
      <w:lang w:eastAsia="en-US"/>
    </w:rPr>
  </w:style>
  <w:style w:type="character" w:styleId="IntenseReference">
    <w:name w:val="Intense Reference"/>
    <w:basedOn w:val="DefaultParagraphFont"/>
    <w:uiPriority w:val="32"/>
    <w:qFormat/>
    <w:rsid w:val="00631E91"/>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392">
      <w:bodyDiv w:val="1"/>
      <w:marLeft w:val="0"/>
      <w:marRight w:val="0"/>
      <w:marTop w:val="0"/>
      <w:marBottom w:val="0"/>
      <w:divBdr>
        <w:top w:val="none" w:sz="0" w:space="0" w:color="auto"/>
        <w:left w:val="none" w:sz="0" w:space="0" w:color="auto"/>
        <w:bottom w:val="none" w:sz="0" w:space="0" w:color="auto"/>
        <w:right w:val="none" w:sz="0" w:space="0" w:color="auto"/>
      </w:divBdr>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204222635">
      <w:bodyDiv w:val="1"/>
      <w:marLeft w:val="0"/>
      <w:marRight w:val="0"/>
      <w:marTop w:val="0"/>
      <w:marBottom w:val="0"/>
      <w:divBdr>
        <w:top w:val="none" w:sz="0" w:space="0" w:color="auto"/>
        <w:left w:val="none" w:sz="0" w:space="0" w:color="auto"/>
        <w:bottom w:val="none" w:sz="0" w:space="0" w:color="auto"/>
        <w:right w:val="none" w:sz="0" w:space="0" w:color="auto"/>
      </w:divBdr>
    </w:div>
    <w:div w:id="260728020">
      <w:bodyDiv w:val="1"/>
      <w:marLeft w:val="0"/>
      <w:marRight w:val="0"/>
      <w:marTop w:val="0"/>
      <w:marBottom w:val="0"/>
      <w:divBdr>
        <w:top w:val="none" w:sz="0" w:space="0" w:color="auto"/>
        <w:left w:val="none" w:sz="0" w:space="0" w:color="auto"/>
        <w:bottom w:val="none" w:sz="0" w:space="0" w:color="auto"/>
        <w:right w:val="none" w:sz="0" w:space="0" w:color="auto"/>
      </w:divBdr>
    </w:div>
    <w:div w:id="325016239">
      <w:bodyDiv w:val="1"/>
      <w:marLeft w:val="0"/>
      <w:marRight w:val="0"/>
      <w:marTop w:val="0"/>
      <w:marBottom w:val="0"/>
      <w:divBdr>
        <w:top w:val="none" w:sz="0" w:space="0" w:color="auto"/>
        <w:left w:val="none" w:sz="0" w:space="0" w:color="auto"/>
        <w:bottom w:val="none" w:sz="0" w:space="0" w:color="auto"/>
        <w:right w:val="none" w:sz="0" w:space="0" w:color="auto"/>
      </w:divBdr>
    </w:div>
    <w:div w:id="396974425">
      <w:bodyDiv w:val="1"/>
      <w:marLeft w:val="0"/>
      <w:marRight w:val="0"/>
      <w:marTop w:val="0"/>
      <w:marBottom w:val="0"/>
      <w:divBdr>
        <w:top w:val="none" w:sz="0" w:space="0" w:color="auto"/>
        <w:left w:val="none" w:sz="0" w:space="0" w:color="auto"/>
        <w:bottom w:val="none" w:sz="0" w:space="0" w:color="auto"/>
        <w:right w:val="none" w:sz="0" w:space="0" w:color="auto"/>
      </w:divBdr>
    </w:div>
    <w:div w:id="556549159">
      <w:bodyDiv w:val="1"/>
      <w:marLeft w:val="0"/>
      <w:marRight w:val="0"/>
      <w:marTop w:val="0"/>
      <w:marBottom w:val="0"/>
      <w:divBdr>
        <w:top w:val="none" w:sz="0" w:space="0" w:color="auto"/>
        <w:left w:val="none" w:sz="0" w:space="0" w:color="auto"/>
        <w:bottom w:val="none" w:sz="0" w:space="0" w:color="auto"/>
        <w:right w:val="none" w:sz="0" w:space="0" w:color="auto"/>
      </w:divBdr>
    </w:div>
    <w:div w:id="1236083817">
      <w:bodyDiv w:val="1"/>
      <w:marLeft w:val="0"/>
      <w:marRight w:val="0"/>
      <w:marTop w:val="0"/>
      <w:marBottom w:val="0"/>
      <w:divBdr>
        <w:top w:val="none" w:sz="0" w:space="0" w:color="auto"/>
        <w:left w:val="none" w:sz="0" w:space="0" w:color="auto"/>
        <w:bottom w:val="none" w:sz="0" w:space="0" w:color="auto"/>
        <w:right w:val="none" w:sz="0" w:space="0" w:color="auto"/>
      </w:divBdr>
    </w:div>
    <w:div w:id="1731151466">
      <w:bodyDiv w:val="1"/>
      <w:marLeft w:val="0"/>
      <w:marRight w:val="0"/>
      <w:marTop w:val="0"/>
      <w:marBottom w:val="0"/>
      <w:divBdr>
        <w:top w:val="none" w:sz="0" w:space="0" w:color="auto"/>
        <w:left w:val="none" w:sz="0" w:space="0" w:color="auto"/>
        <w:bottom w:val="none" w:sz="0" w:space="0" w:color="auto"/>
        <w:right w:val="none" w:sz="0" w:space="0" w:color="auto"/>
      </w:divBdr>
    </w:div>
    <w:div w:id="2029403337">
      <w:bodyDiv w:val="1"/>
      <w:marLeft w:val="0"/>
      <w:marRight w:val="0"/>
      <w:marTop w:val="0"/>
      <w:marBottom w:val="0"/>
      <w:divBdr>
        <w:top w:val="none" w:sz="0" w:space="0" w:color="auto"/>
        <w:left w:val="none" w:sz="0" w:space="0" w:color="auto"/>
        <w:bottom w:val="none" w:sz="0" w:space="0" w:color="auto"/>
        <w:right w:val="none" w:sz="0" w:space="0" w:color="auto"/>
      </w:divBdr>
    </w:div>
    <w:div w:id="21053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B76C-2367-4BD5-AE08-DB041AB7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9904</Words>
  <Characters>57132</Characters>
  <Application>Microsoft Office Word</Application>
  <DocSecurity>0</DocSecurity>
  <Lines>476</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2016-06-20T03:27:00Z</dcterms:created>
  <dcterms:modified xsi:type="dcterms:W3CDTF">2016-06-22T04:25:00Z</dcterms:modified>
</cp:coreProperties>
</file>