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1A" w:rsidRPr="009F31F6" w:rsidRDefault="00737C26" w:rsidP="00BC446E">
      <w:pPr>
        <w:pStyle w:val="Title"/>
      </w:pPr>
      <w:bookmarkStart w:id="0" w:name="_GoBack"/>
      <w:bookmarkEnd w:id="0"/>
      <w:r w:rsidRPr="00CD5A17">
        <w:t>7.13</w:t>
      </w:r>
      <w:r w:rsidR="00141D1A" w:rsidRPr="00CD5A17">
        <w:tab/>
      </w:r>
      <w:r w:rsidRPr="00CD5A17">
        <w:t>ARMODAFINIL</w:t>
      </w:r>
      <w:r w:rsidR="00BC446E">
        <w:t xml:space="preserve"> </w:t>
      </w:r>
      <w:r w:rsidR="00BC446E">
        <w:br/>
      </w:r>
      <w:r w:rsidR="00B7016E" w:rsidRPr="0011384D">
        <w:t>Tablets, 50</w:t>
      </w:r>
      <w:r w:rsidR="00EF080A" w:rsidRPr="0011384D">
        <w:t xml:space="preserve"> </w:t>
      </w:r>
      <w:r w:rsidR="00B7016E" w:rsidRPr="0011384D">
        <w:t>mg, 150</w:t>
      </w:r>
      <w:r w:rsidR="00EF080A" w:rsidRPr="0011384D">
        <w:t xml:space="preserve"> </w:t>
      </w:r>
      <w:r w:rsidR="00B7016E" w:rsidRPr="0011384D">
        <w:t>mg and 250</w:t>
      </w:r>
      <w:r w:rsidR="00EF080A" w:rsidRPr="0011384D">
        <w:t xml:space="preserve"> </w:t>
      </w:r>
      <w:r w:rsidR="00B7016E" w:rsidRPr="0011384D">
        <w:t xml:space="preserve">mg </w:t>
      </w:r>
      <w:r w:rsidR="00BC446E">
        <w:br/>
      </w:r>
      <w:r w:rsidR="00B7016E" w:rsidRPr="0011384D">
        <w:t>Nuvigil®, TEVA Pharma Australia Pty Ltd</w:t>
      </w:r>
    </w:p>
    <w:p w:rsidR="00141D1A" w:rsidRPr="0011384D" w:rsidRDefault="00141D1A" w:rsidP="00141D1A">
      <w:pPr>
        <w:pStyle w:val="NoSpacing"/>
      </w:pPr>
    </w:p>
    <w:p w:rsidR="00141D1A" w:rsidRPr="0011384D" w:rsidRDefault="00141D1A" w:rsidP="00141D1A">
      <w:pPr>
        <w:pStyle w:val="NoSpacing"/>
      </w:pPr>
    </w:p>
    <w:p w:rsidR="00141D1A" w:rsidRPr="00CD5A17" w:rsidRDefault="00141D1A" w:rsidP="00CD5A17">
      <w:pPr>
        <w:pStyle w:val="Heading1"/>
      </w:pPr>
      <w:r w:rsidRPr="00CD5A17">
        <w:t>Purpose of Application</w:t>
      </w:r>
    </w:p>
    <w:p w:rsidR="00141D1A" w:rsidRPr="0011384D" w:rsidRDefault="00141D1A" w:rsidP="00141D1A">
      <w:pPr>
        <w:jc w:val="both"/>
        <w:rPr>
          <w:rFonts w:ascii="Arial" w:hAnsi="Arial" w:cs="Arial"/>
          <w:sz w:val="22"/>
          <w:szCs w:val="22"/>
        </w:rPr>
      </w:pPr>
    </w:p>
    <w:p w:rsidR="00141D1A" w:rsidRPr="0011384D" w:rsidRDefault="00B618F6" w:rsidP="003E03E2">
      <w:pPr>
        <w:pStyle w:val="ListParagraph"/>
        <w:numPr>
          <w:ilvl w:val="1"/>
          <w:numId w:val="5"/>
        </w:numPr>
        <w:jc w:val="both"/>
        <w:rPr>
          <w:lang w:eastAsia="en-US"/>
        </w:rPr>
      </w:pPr>
      <w:r w:rsidRPr="0011384D">
        <w:rPr>
          <w:rFonts w:ascii="Arial" w:hAnsi="Arial" w:cs="Arial"/>
          <w:sz w:val="22"/>
          <w:szCs w:val="22"/>
          <w:lang w:eastAsia="en-US"/>
        </w:rPr>
        <w:t>The re</w:t>
      </w:r>
      <w:r w:rsidR="00692ACA" w:rsidRPr="0011384D">
        <w:rPr>
          <w:rFonts w:ascii="Arial" w:hAnsi="Arial" w:cs="Arial"/>
          <w:sz w:val="22"/>
          <w:szCs w:val="22"/>
          <w:lang w:eastAsia="en-US"/>
        </w:rPr>
        <w:t>submission request</w:t>
      </w:r>
      <w:r w:rsidRPr="0011384D">
        <w:rPr>
          <w:rFonts w:ascii="Arial" w:hAnsi="Arial" w:cs="Arial"/>
          <w:sz w:val="22"/>
          <w:szCs w:val="22"/>
          <w:lang w:eastAsia="en-US"/>
        </w:rPr>
        <w:t>ed</w:t>
      </w:r>
      <w:r w:rsidR="00692ACA" w:rsidRPr="0011384D">
        <w:rPr>
          <w:rFonts w:ascii="Arial" w:hAnsi="Arial" w:cs="Arial"/>
          <w:sz w:val="22"/>
          <w:szCs w:val="22"/>
          <w:lang w:eastAsia="en-US"/>
        </w:rPr>
        <w:t xml:space="preserve"> a</w:t>
      </w:r>
      <w:r w:rsidR="003E03E2" w:rsidRPr="0011384D">
        <w:rPr>
          <w:rFonts w:ascii="Arial" w:hAnsi="Arial" w:cs="Arial"/>
          <w:sz w:val="22"/>
          <w:szCs w:val="22"/>
          <w:lang w:eastAsia="en-US"/>
        </w:rPr>
        <w:t xml:space="preserve">n Authority Required </w:t>
      </w:r>
      <w:r w:rsidR="00692ACA" w:rsidRPr="0011384D">
        <w:rPr>
          <w:rFonts w:ascii="Arial" w:hAnsi="Arial" w:cs="Arial"/>
          <w:sz w:val="22"/>
          <w:szCs w:val="22"/>
          <w:lang w:eastAsia="en-US"/>
        </w:rPr>
        <w:t>listing for armodafinil for the treatment of narcolepsy.</w:t>
      </w:r>
    </w:p>
    <w:p w:rsidR="00141D1A" w:rsidRPr="0011384D" w:rsidRDefault="00141D1A" w:rsidP="00141D1A">
      <w:pPr>
        <w:pStyle w:val="NoSpacing"/>
      </w:pPr>
    </w:p>
    <w:p w:rsidR="00B618F6" w:rsidRPr="0011384D" w:rsidRDefault="00B618F6" w:rsidP="00141D1A">
      <w:pPr>
        <w:pStyle w:val="NoSpacing"/>
      </w:pPr>
    </w:p>
    <w:p w:rsidR="00141D1A" w:rsidRPr="0011384D" w:rsidRDefault="00141D1A" w:rsidP="00CD5A17">
      <w:pPr>
        <w:pStyle w:val="Heading1"/>
        <w:rPr>
          <w:b w:val="0"/>
        </w:rPr>
      </w:pPr>
      <w:r w:rsidRPr="0011384D">
        <w:t>Requested listing</w:t>
      </w:r>
    </w:p>
    <w:p w:rsidR="00141D1A" w:rsidRPr="0011384D" w:rsidRDefault="00141D1A" w:rsidP="00141D1A">
      <w:pPr>
        <w:jc w:val="both"/>
        <w:rPr>
          <w:rFonts w:ascii="Arial" w:hAnsi="Arial"/>
          <w:b/>
          <w:sz w:val="22"/>
          <w:szCs w:val="22"/>
        </w:rPr>
      </w:pPr>
    </w:p>
    <w:p w:rsidR="00141D1A" w:rsidRPr="0011384D" w:rsidRDefault="00141D1A" w:rsidP="00141D1A">
      <w:pPr>
        <w:pStyle w:val="ListParagraph"/>
        <w:numPr>
          <w:ilvl w:val="1"/>
          <w:numId w:val="5"/>
        </w:numPr>
        <w:jc w:val="both"/>
        <w:rPr>
          <w:rFonts w:ascii="Arial" w:hAnsi="Arial"/>
          <w:sz w:val="22"/>
          <w:szCs w:val="22"/>
        </w:rPr>
      </w:pPr>
      <w:r w:rsidRPr="0011384D">
        <w:rPr>
          <w:rFonts w:ascii="Arial" w:hAnsi="Arial"/>
          <w:sz w:val="22"/>
          <w:szCs w:val="22"/>
        </w:rPr>
        <w:t xml:space="preserve">The </w:t>
      </w:r>
      <w:r w:rsidR="004939A0" w:rsidRPr="0011384D">
        <w:rPr>
          <w:rFonts w:ascii="Arial" w:hAnsi="Arial"/>
          <w:sz w:val="22"/>
          <w:szCs w:val="22"/>
        </w:rPr>
        <w:t>re</w:t>
      </w:r>
      <w:r w:rsidRPr="0011384D">
        <w:rPr>
          <w:rFonts w:ascii="Arial" w:hAnsi="Arial"/>
          <w:sz w:val="22"/>
          <w:szCs w:val="22"/>
        </w:rPr>
        <w:t>submission requested the following new listing</w:t>
      </w:r>
      <w:r w:rsidR="00242EF3" w:rsidRPr="0011384D">
        <w:rPr>
          <w:rFonts w:ascii="Arial" w:hAnsi="Arial"/>
          <w:sz w:val="22"/>
          <w:szCs w:val="22"/>
        </w:rPr>
        <w:t>:</w:t>
      </w:r>
    </w:p>
    <w:p w:rsidR="00141D1A" w:rsidRPr="0011384D" w:rsidRDefault="00141D1A" w:rsidP="00141D1A">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141D1A" w:rsidRPr="0011384D" w:rsidTr="00737C26">
        <w:trPr>
          <w:cantSplit/>
          <w:trHeight w:val="471"/>
        </w:trPr>
        <w:tc>
          <w:tcPr>
            <w:tcW w:w="3119" w:type="dxa"/>
            <w:gridSpan w:val="2"/>
            <w:tcBorders>
              <w:bottom w:val="single" w:sz="4" w:space="0" w:color="auto"/>
            </w:tcBorders>
          </w:tcPr>
          <w:p w:rsidR="00141D1A" w:rsidRPr="0011384D" w:rsidRDefault="00141D1A" w:rsidP="00737C26">
            <w:pPr>
              <w:keepNext/>
              <w:ind w:left="-108"/>
              <w:jc w:val="both"/>
              <w:rPr>
                <w:rFonts w:ascii="Arial Narrow" w:hAnsi="Arial Narrow" w:cs="Arial"/>
                <w:b/>
                <w:sz w:val="20"/>
                <w:szCs w:val="20"/>
              </w:rPr>
            </w:pPr>
            <w:r w:rsidRPr="0011384D">
              <w:rPr>
                <w:rFonts w:ascii="Arial Narrow" w:hAnsi="Arial Narrow" w:cs="Arial"/>
                <w:b/>
                <w:sz w:val="20"/>
                <w:szCs w:val="20"/>
              </w:rPr>
              <w:t>Name, Restriction,</w:t>
            </w:r>
          </w:p>
          <w:p w:rsidR="00141D1A" w:rsidRPr="0011384D" w:rsidRDefault="00141D1A" w:rsidP="00737C26">
            <w:pPr>
              <w:keepNext/>
              <w:ind w:left="-108"/>
              <w:jc w:val="both"/>
              <w:rPr>
                <w:rFonts w:ascii="Arial Narrow" w:hAnsi="Arial Narrow" w:cs="Arial"/>
                <w:b/>
                <w:sz w:val="20"/>
                <w:szCs w:val="20"/>
              </w:rPr>
            </w:pPr>
            <w:r w:rsidRPr="0011384D">
              <w:rPr>
                <w:rFonts w:ascii="Arial Narrow" w:hAnsi="Arial Narrow" w:cs="Arial"/>
                <w:b/>
                <w:sz w:val="20"/>
                <w:szCs w:val="20"/>
              </w:rPr>
              <w:t>Manner of administration and form</w:t>
            </w:r>
          </w:p>
        </w:tc>
        <w:tc>
          <w:tcPr>
            <w:tcW w:w="850" w:type="dxa"/>
            <w:tcBorders>
              <w:bottom w:val="single" w:sz="4" w:space="0" w:color="auto"/>
            </w:tcBorders>
          </w:tcPr>
          <w:p w:rsidR="00141D1A" w:rsidRPr="0011384D" w:rsidRDefault="00141D1A" w:rsidP="00737C26">
            <w:pPr>
              <w:keepNext/>
              <w:ind w:left="-108"/>
              <w:jc w:val="both"/>
              <w:rPr>
                <w:rFonts w:ascii="Arial Narrow" w:hAnsi="Arial Narrow" w:cs="Arial"/>
                <w:b/>
                <w:sz w:val="20"/>
                <w:szCs w:val="20"/>
              </w:rPr>
            </w:pPr>
            <w:r w:rsidRPr="0011384D">
              <w:rPr>
                <w:rFonts w:ascii="Arial Narrow" w:hAnsi="Arial Narrow" w:cs="Arial"/>
                <w:b/>
                <w:sz w:val="20"/>
                <w:szCs w:val="20"/>
              </w:rPr>
              <w:t>Max.</w:t>
            </w:r>
          </w:p>
          <w:p w:rsidR="00141D1A" w:rsidRPr="0011384D" w:rsidRDefault="00141D1A" w:rsidP="00737C26">
            <w:pPr>
              <w:keepNext/>
              <w:ind w:left="-108"/>
              <w:jc w:val="both"/>
              <w:rPr>
                <w:rFonts w:ascii="Arial Narrow" w:hAnsi="Arial Narrow" w:cs="Arial"/>
                <w:b/>
                <w:sz w:val="20"/>
                <w:szCs w:val="20"/>
              </w:rPr>
            </w:pPr>
            <w:r w:rsidRPr="0011384D">
              <w:rPr>
                <w:rFonts w:ascii="Arial Narrow" w:hAnsi="Arial Narrow" w:cs="Arial"/>
                <w:b/>
                <w:sz w:val="20"/>
                <w:szCs w:val="20"/>
              </w:rPr>
              <w:t>Qty</w:t>
            </w:r>
          </w:p>
        </w:tc>
        <w:tc>
          <w:tcPr>
            <w:tcW w:w="709" w:type="dxa"/>
            <w:tcBorders>
              <w:bottom w:val="single" w:sz="4" w:space="0" w:color="auto"/>
            </w:tcBorders>
          </w:tcPr>
          <w:p w:rsidR="00141D1A" w:rsidRPr="0011384D" w:rsidRDefault="00141D1A" w:rsidP="00737C26">
            <w:pPr>
              <w:keepNext/>
              <w:ind w:left="-108"/>
              <w:jc w:val="both"/>
              <w:rPr>
                <w:rFonts w:ascii="Arial Narrow" w:hAnsi="Arial Narrow" w:cs="Arial"/>
                <w:b/>
                <w:sz w:val="20"/>
                <w:szCs w:val="20"/>
              </w:rPr>
            </w:pPr>
            <w:r w:rsidRPr="0011384D">
              <w:rPr>
                <w:rFonts w:ascii="Arial Narrow" w:hAnsi="Arial Narrow" w:cs="Arial"/>
                <w:b/>
                <w:sz w:val="20"/>
                <w:szCs w:val="20"/>
              </w:rPr>
              <w:t>№.of</w:t>
            </w:r>
          </w:p>
          <w:p w:rsidR="00141D1A" w:rsidRPr="0011384D" w:rsidRDefault="00141D1A" w:rsidP="00737C26">
            <w:pPr>
              <w:keepNext/>
              <w:ind w:left="-108"/>
              <w:jc w:val="both"/>
              <w:rPr>
                <w:rFonts w:ascii="Arial Narrow" w:hAnsi="Arial Narrow" w:cs="Arial"/>
                <w:b/>
                <w:sz w:val="20"/>
                <w:szCs w:val="20"/>
              </w:rPr>
            </w:pPr>
            <w:r w:rsidRPr="0011384D">
              <w:rPr>
                <w:rFonts w:ascii="Arial Narrow" w:hAnsi="Arial Narrow" w:cs="Arial"/>
                <w:b/>
                <w:sz w:val="20"/>
                <w:szCs w:val="20"/>
              </w:rPr>
              <w:t>Rpts</w:t>
            </w:r>
          </w:p>
        </w:tc>
        <w:tc>
          <w:tcPr>
            <w:tcW w:w="1276" w:type="dxa"/>
            <w:tcBorders>
              <w:bottom w:val="single" w:sz="4" w:space="0" w:color="auto"/>
            </w:tcBorders>
          </w:tcPr>
          <w:p w:rsidR="00141D1A" w:rsidRPr="0011384D" w:rsidRDefault="00141D1A" w:rsidP="00737C26">
            <w:pPr>
              <w:keepNext/>
              <w:ind w:left="-108"/>
              <w:jc w:val="both"/>
              <w:rPr>
                <w:rFonts w:ascii="Arial Narrow" w:hAnsi="Arial Narrow" w:cs="Arial"/>
                <w:b/>
                <w:sz w:val="20"/>
                <w:szCs w:val="20"/>
              </w:rPr>
            </w:pPr>
            <w:r w:rsidRPr="0011384D">
              <w:rPr>
                <w:rFonts w:ascii="Arial Narrow" w:hAnsi="Arial Narrow" w:cs="Arial"/>
                <w:b/>
                <w:sz w:val="20"/>
                <w:szCs w:val="20"/>
              </w:rPr>
              <w:t>Dispensed Price for Max. Qty</w:t>
            </w:r>
          </w:p>
        </w:tc>
        <w:tc>
          <w:tcPr>
            <w:tcW w:w="2409" w:type="dxa"/>
            <w:gridSpan w:val="2"/>
            <w:tcBorders>
              <w:bottom w:val="single" w:sz="4" w:space="0" w:color="auto"/>
            </w:tcBorders>
          </w:tcPr>
          <w:p w:rsidR="00141D1A" w:rsidRPr="0011384D" w:rsidRDefault="00141D1A" w:rsidP="00737C26">
            <w:pPr>
              <w:keepNext/>
              <w:jc w:val="both"/>
              <w:rPr>
                <w:rFonts w:ascii="Arial Narrow" w:hAnsi="Arial Narrow" w:cs="Arial"/>
                <w:b/>
                <w:sz w:val="20"/>
                <w:szCs w:val="20"/>
              </w:rPr>
            </w:pPr>
            <w:r w:rsidRPr="0011384D">
              <w:rPr>
                <w:rFonts w:ascii="Arial Narrow" w:hAnsi="Arial Narrow" w:cs="Arial"/>
                <w:b/>
                <w:sz w:val="20"/>
                <w:szCs w:val="20"/>
              </w:rPr>
              <w:t>Proprietary Name and Manufacturer</w:t>
            </w:r>
          </w:p>
        </w:tc>
      </w:tr>
      <w:tr w:rsidR="00141D1A" w:rsidRPr="0011384D" w:rsidTr="00737C26">
        <w:trPr>
          <w:cantSplit/>
          <w:trHeight w:val="577"/>
        </w:trPr>
        <w:tc>
          <w:tcPr>
            <w:tcW w:w="3119" w:type="dxa"/>
            <w:gridSpan w:val="2"/>
          </w:tcPr>
          <w:p w:rsidR="00141D1A" w:rsidRPr="0011384D" w:rsidRDefault="00692ACA" w:rsidP="00737C26">
            <w:pPr>
              <w:keepNext/>
              <w:ind w:left="-108"/>
              <w:jc w:val="both"/>
              <w:rPr>
                <w:rFonts w:ascii="Arial Narrow" w:hAnsi="Arial Narrow" w:cs="Arial"/>
                <w:sz w:val="20"/>
                <w:szCs w:val="20"/>
              </w:rPr>
            </w:pPr>
            <w:r w:rsidRPr="0011384D">
              <w:rPr>
                <w:rFonts w:ascii="Arial Narrow" w:hAnsi="Arial Narrow" w:cs="Arial"/>
                <w:smallCaps/>
                <w:sz w:val="20"/>
                <w:szCs w:val="20"/>
              </w:rPr>
              <w:t>ARMODAFINIL</w:t>
            </w:r>
          </w:p>
          <w:p w:rsidR="00141D1A" w:rsidRPr="0011384D" w:rsidRDefault="00692ACA" w:rsidP="00692ACA">
            <w:pPr>
              <w:keepNext/>
              <w:ind w:left="-108"/>
              <w:jc w:val="both"/>
              <w:rPr>
                <w:rFonts w:ascii="Arial Narrow" w:hAnsi="Arial Narrow" w:cs="Arial"/>
                <w:sz w:val="20"/>
                <w:szCs w:val="20"/>
              </w:rPr>
            </w:pPr>
            <w:r w:rsidRPr="0011384D">
              <w:rPr>
                <w:rFonts w:ascii="Arial Narrow" w:hAnsi="Arial Narrow" w:cs="Arial"/>
                <w:sz w:val="20"/>
                <w:szCs w:val="20"/>
              </w:rPr>
              <w:t>50</w:t>
            </w:r>
            <w:r w:rsidR="00514E15" w:rsidRPr="0011384D">
              <w:rPr>
                <w:rFonts w:ascii="Arial Narrow" w:hAnsi="Arial Narrow" w:cs="Arial"/>
                <w:sz w:val="20"/>
                <w:szCs w:val="20"/>
              </w:rPr>
              <w:t xml:space="preserve"> </w:t>
            </w:r>
            <w:r w:rsidRPr="0011384D">
              <w:rPr>
                <w:rFonts w:ascii="Arial Narrow" w:hAnsi="Arial Narrow" w:cs="Arial"/>
                <w:sz w:val="20"/>
                <w:szCs w:val="20"/>
              </w:rPr>
              <w:t>mg</w:t>
            </w:r>
            <w:r w:rsidR="00514E15" w:rsidRPr="0011384D">
              <w:rPr>
                <w:rFonts w:ascii="Arial Narrow" w:hAnsi="Arial Narrow" w:cs="Arial"/>
                <w:sz w:val="20"/>
                <w:szCs w:val="20"/>
              </w:rPr>
              <w:t xml:space="preserve"> tablet, 30</w:t>
            </w:r>
          </w:p>
          <w:p w:rsidR="002C115C" w:rsidRPr="0011384D" w:rsidRDefault="002C115C" w:rsidP="00692ACA">
            <w:pPr>
              <w:keepNext/>
              <w:ind w:left="-108"/>
              <w:jc w:val="both"/>
              <w:rPr>
                <w:rFonts w:ascii="Arial Narrow" w:hAnsi="Arial Narrow" w:cs="Arial"/>
                <w:sz w:val="20"/>
                <w:szCs w:val="20"/>
              </w:rPr>
            </w:pPr>
          </w:p>
          <w:p w:rsidR="002C115C" w:rsidRPr="0011384D" w:rsidRDefault="002C115C" w:rsidP="002C115C">
            <w:pPr>
              <w:keepNext/>
              <w:ind w:left="-108"/>
              <w:jc w:val="both"/>
              <w:rPr>
                <w:rFonts w:ascii="Arial Narrow" w:hAnsi="Arial Narrow" w:cs="Arial"/>
                <w:sz w:val="20"/>
                <w:szCs w:val="20"/>
              </w:rPr>
            </w:pPr>
            <w:r w:rsidRPr="0011384D">
              <w:rPr>
                <w:rFonts w:ascii="Arial Narrow" w:hAnsi="Arial Narrow" w:cs="Arial"/>
                <w:smallCaps/>
                <w:sz w:val="20"/>
                <w:szCs w:val="20"/>
              </w:rPr>
              <w:t>ARMODAFINIL</w:t>
            </w:r>
          </w:p>
          <w:p w:rsidR="002C115C" w:rsidRPr="0011384D" w:rsidRDefault="002C115C" w:rsidP="002C115C">
            <w:pPr>
              <w:keepNext/>
              <w:ind w:left="-108"/>
              <w:jc w:val="both"/>
              <w:rPr>
                <w:rFonts w:ascii="Arial Narrow" w:hAnsi="Arial Narrow" w:cs="Arial"/>
                <w:sz w:val="20"/>
                <w:szCs w:val="20"/>
              </w:rPr>
            </w:pPr>
            <w:r w:rsidRPr="0011384D">
              <w:rPr>
                <w:rFonts w:ascii="Arial Narrow" w:hAnsi="Arial Narrow" w:cs="Arial"/>
                <w:sz w:val="20"/>
                <w:szCs w:val="20"/>
              </w:rPr>
              <w:t>150</w:t>
            </w:r>
            <w:r w:rsidR="00514E15" w:rsidRPr="0011384D">
              <w:rPr>
                <w:rFonts w:ascii="Arial Narrow" w:hAnsi="Arial Narrow" w:cs="Arial"/>
                <w:sz w:val="20"/>
                <w:szCs w:val="20"/>
              </w:rPr>
              <w:t xml:space="preserve"> </w:t>
            </w:r>
            <w:r w:rsidRPr="0011384D">
              <w:rPr>
                <w:rFonts w:ascii="Arial Narrow" w:hAnsi="Arial Narrow" w:cs="Arial"/>
                <w:sz w:val="20"/>
                <w:szCs w:val="20"/>
              </w:rPr>
              <w:t>mg</w:t>
            </w:r>
            <w:r w:rsidR="00514E15" w:rsidRPr="0011384D">
              <w:rPr>
                <w:rFonts w:ascii="Arial Narrow" w:hAnsi="Arial Narrow" w:cs="Arial"/>
                <w:sz w:val="20"/>
                <w:szCs w:val="20"/>
              </w:rPr>
              <w:t xml:space="preserve"> tablet, 30</w:t>
            </w:r>
          </w:p>
          <w:p w:rsidR="002C115C" w:rsidRPr="0011384D" w:rsidRDefault="002C115C" w:rsidP="002C115C">
            <w:pPr>
              <w:keepNext/>
              <w:ind w:left="-108"/>
              <w:jc w:val="both"/>
              <w:rPr>
                <w:rFonts w:ascii="Arial Narrow" w:hAnsi="Arial Narrow" w:cs="Arial"/>
                <w:sz w:val="20"/>
                <w:szCs w:val="20"/>
              </w:rPr>
            </w:pPr>
          </w:p>
          <w:p w:rsidR="002C115C" w:rsidRPr="0011384D" w:rsidRDefault="002C115C" w:rsidP="002C115C">
            <w:pPr>
              <w:keepNext/>
              <w:ind w:left="-108"/>
              <w:jc w:val="both"/>
              <w:rPr>
                <w:rFonts w:ascii="Arial Narrow" w:hAnsi="Arial Narrow" w:cs="Arial"/>
                <w:sz w:val="20"/>
                <w:szCs w:val="20"/>
              </w:rPr>
            </w:pPr>
            <w:r w:rsidRPr="0011384D">
              <w:rPr>
                <w:rFonts w:ascii="Arial Narrow" w:hAnsi="Arial Narrow" w:cs="Arial"/>
                <w:smallCaps/>
                <w:sz w:val="20"/>
                <w:szCs w:val="20"/>
              </w:rPr>
              <w:t>ARMODAFINIL</w:t>
            </w:r>
          </w:p>
          <w:p w:rsidR="002C115C" w:rsidRPr="0011384D" w:rsidRDefault="002C115C" w:rsidP="002C115C">
            <w:pPr>
              <w:keepNext/>
              <w:ind w:left="-108"/>
              <w:jc w:val="both"/>
              <w:rPr>
                <w:rFonts w:ascii="Arial Narrow" w:hAnsi="Arial Narrow" w:cs="Arial"/>
                <w:sz w:val="20"/>
                <w:szCs w:val="20"/>
              </w:rPr>
            </w:pPr>
            <w:r w:rsidRPr="0011384D">
              <w:rPr>
                <w:rFonts w:ascii="Arial Narrow" w:hAnsi="Arial Narrow" w:cs="Arial"/>
                <w:sz w:val="20"/>
                <w:szCs w:val="20"/>
              </w:rPr>
              <w:t>250</w:t>
            </w:r>
            <w:r w:rsidR="00514E15" w:rsidRPr="0011384D">
              <w:rPr>
                <w:rFonts w:ascii="Arial Narrow" w:hAnsi="Arial Narrow" w:cs="Arial"/>
                <w:sz w:val="20"/>
                <w:szCs w:val="20"/>
              </w:rPr>
              <w:t xml:space="preserve"> </w:t>
            </w:r>
            <w:r w:rsidRPr="0011384D">
              <w:rPr>
                <w:rFonts w:ascii="Arial Narrow" w:hAnsi="Arial Narrow" w:cs="Arial"/>
                <w:sz w:val="20"/>
                <w:szCs w:val="20"/>
              </w:rPr>
              <w:t>mg</w:t>
            </w:r>
            <w:r w:rsidR="00514E15" w:rsidRPr="0011384D">
              <w:rPr>
                <w:rFonts w:ascii="Arial Narrow" w:hAnsi="Arial Narrow" w:cs="Arial"/>
                <w:sz w:val="20"/>
                <w:szCs w:val="20"/>
              </w:rPr>
              <w:t xml:space="preserve"> tablet, 30</w:t>
            </w:r>
          </w:p>
        </w:tc>
        <w:tc>
          <w:tcPr>
            <w:tcW w:w="850" w:type="dxa"/>
          </w:tcPr>
          <w:p w:rsidR="00141D1A" w:rsidRPr="0011384D" w:rsidRDefault="00514E15" w:rsidP="00737C26">
            <w:pPr>
              <w:keepNext/>
              <w:ind w:left="-108"/>
              <w:jc w:val="both"/>
              <w:rPr>
                <w:rFonts w:ascii="Arial Narrow" w:hAnsi="Arial Narrow" w:cs="Arial"/>
                <w:sz w:val="20"/>
                <w:szCs w:val="20"/>
              </w:rPr>
            </w:pPr>
            <w:r w:rsidRPr="0011384D">
              <w:rPr>
                <w:rFonts w:ascii="Arial Narrow" w:hAnsi="Arial Narrow" w:cs="Arial"/>
                <w:sz w:val="20"/>
                <w:szCs w:val="20"/>
              </w:rPr>
              <w:t>2</w:t>
            </w:r>
          </w:p>
          <w:p w:rsidR="002C115C" w:rsidRPr="0011384D" w:rsidRDefault="002C115C" w:rsidP="00737C26">
            <w:pPr>
              <w:keepNext/>
              <w:ind w:left="-108"/>
              <w:jc w:val="both"/>
              <w:rPr>
                <w:rFonts w:ascii="Arial Narrow" w:hAnsi="Arial Narrow" w:cs="Arial"/>
                <w:sz w:val="20"/>
                <w:szCs w:val="20"/>
              </w:rPr>
            </w:pPr>
          </w:p>
          <w:p w:rsidR="00912AB4" w:rsidRPr="0011384D" w:rsidRDefault="00912AB4" w:rsidP="00737C26">
            <w:pPr>
              <w:keepNext/>
              <w:ind w:left="-108"/>
              <w:jc w:val="both"/>
              <w:rPr>
                <w:rFonts w:ascii="Arial Narrow" w:hAnsi="Arial Narrow" w:cs="Arial"/>
                <w:sz w:val="20"/>
                <w:szCs w:val="20"/>
              </w:rPr>
            </w:pPr>
          </w:p>
          <w:p w:rsidR="002C115C" w:rsidRPr="0011384D" w:rsidRDefault="002C115C" w:rsidP="00737C26">
            <w:pPr>
              <w:keepNext/>
              <w:ind w:left="-108"/>
              <w:jc w:val="both"/>
              <w:rPr>
                <w:rFonts w:ascii="Arial Narrow" w:hAnsi="Arial Narrow" w:cs="Arial"/>
                <w:sz w:val="20"/>
                <w:szCs w:val="20"/>
              </w:rPr>
            </w:pPr>
            <w:r w:rsidRPr="0011384D">
              <w:rPr>
                <w:rFonts w:ascii="Arial Narrow" w:hAnsi="Arial Narrow" w:cs="Arial"/>
                <w:sz w:val="20"/>
                <w:szCs w:val="20"/>
              </w:rPr>
              <w:t>1</w:t>
            </w:r>
          </w:p>
          <w:p w:rsidR="002C115C" w:rsidRPr="0011384D" w:rsidRDefault="002C115C" w:rsidP="00737C26">
            <w:pPr>
              <w:keepNext/>
              <w:ind w:left="-108"/>
              <w:jc w:val="both"/>
              <w:rPr>
                <w:rFonts w:ascii="Arial Narrow" w:hAnsi="Arial Narrow" w:cs="Arial"/>
                <w:sz w:val="20"/>
                <w:szCs w:val="20"/>
              </w:rPr>
            </w:pPr>
          </w:p>
          <w:p w:rsidR="002C115C" w:rsidRPr="0011384D" w:rsidRDefault="002C115C" w:rsidP="00737C26">
            <w:pPr>
              <w:keepNext/>
              <w:ind w:left="-108"/>
              <w:jc w:val="both"/>
              <w:rPr>
                <w:rFonts w:ascii="Arial Narrow" w:hAnsi="Arial Narrow" w:cs="Arial"/>
                <w:sz w:val="20"/>
                <w:szCs w:val="20"/>
              </w:rPr>
            </w:pPr>
          </w:p>
          <w:p w:rsidR="002C115C" w:rsidRPr="0011384D" w:rsidRDefault="002C115C" w:rsidP="00737C26">
            <w:pPr>
              <w:keepNext/>
              <w:ind w:left="-108"/>
              <w:jc w:val="both"/>
              <w:rPr>
                <w:rFonts w:ascii="Arial Narrow" w:hAnsi="Arial Narrow" w:cs="Arial"/>
                <w:sz w:val="20"/>
                <w:szCs w:val="20"/>
              </w:rPr>
            </w:pPr>
            <w:r w:rsidRPr="0011384D">
              <w:rPr>
                <w:rFonts w:ascii="Arial Narrow" w:hAnsi="Arial Narrow" w:cs="Arial"/>
                <w:sz w:val="20"/>
                <w:szCs w:val="20"/>
              </w:rPr>
              <w:t>1</w:t>
            </w:r>
          </w:p>
        </w:tc>
        <w:tc>
          <w:tcPr>
            <w:tcW w:w="709" w:type="dxa"/>
          </w:tcPr>
          <w:p w:rsidR="00141D1A" w:rsidRPr="0011384D" w:rsidRDefault="008C54F0" w:rsidP="00737C26">
            <w:pPr>
              <w:keepNext/>
              <w:ind w:left="-108"/>
              <w:jc w:val="both"/>
              <w:rPr>
                <w:rFonts w:ascii="Arial Narrow" w:hAnsi="Arial Narrow" w:cs="Arial"/>
                <w:sz w:val="20"/>
                <w:szCs w:val="20"/>
              </w:rPr>
            </w:pPr>
            <w:r w:rsidRPr="0011384D">
              <w:rPr>
                <w:rFonts w:ascii="Arial Narrow" w:hAnsi="Arial Narrow" w:cs="Arial"/>
                <w:sz w:val="20"/>
                <w:szCs w:val="20"/>
              </w:rPr>
              <w:t>5</w:t>
            </w:r>
          </w:p>
          <w:p w:rsidR="002C115C" w:rsidRPr="0011384D" w:rsidRDefault="002C115C" w:rsidP="00737C26">
            <w:pPr>
              <w:keepNext/>
              <w:ind w:left="-108"/>
              <w:jc w:val="both"/>
              <w:rPr>
                <w:rFonts w:ascii="Arial Narrow" w:hAnsi="Arial Narrow" w:cs="Arial"/>
                <w:sz w:val="20"/>
                <w:szCs w:val="20"/>
              </w:rPr>
            </w:pPr>
          </w:p>
          <w:p w:rsidR="00912AB4" w:rsidRPr="0011384D" w:rsidRDefault="00912AB4" w:rsidP="00737C26">
            <w:pPr>
              <w:keepNext/>
              <w:ind w:left="-108"/>
              <w:jc w:val="both"/>
              <w:rPr>
                <w:rFonts w:ascii="Arial Narrow" w:hAnsi="Arial Narrow" w:cs="Arial"/>
                <w:sz w:val="20"/>
                <w:szCs w:val="20"/>
              </w:rPr>
            </w:pPr>
          </w:p>
          <w:p w:rsidR="002C115C" w:rsidRPr="0011384D" w:rsidRDefault="002C115C" w:rsidP="00737C26">
            <w:pPr>
              <w:keepNext/>
              <w:ind w:left="-108"/>
              <w:jc w:val="both"/>
              <w:rPr>
                <w:rFonts w:ascii="Arial Narrow" w:hAnsi="Arial Narrow" w:cs="Arial"/>
                <w:sz w:val="20"/>
                <w:szCs w:val="20"/>
              </w:rPr>
            </w:pPr>
            <w:r w:rsidRPr="0011384D">
              <w:rPr>
                <w:rFonts w:ascii="Arial Narrow" w:hAnsi="Arial Narrow" w:cs="Arial"/>
                <w:sz w:val="20"/>
                <w:szCs w:val="20"/>
              </w:rPr>
              <w:t>5</w:t>
            </w:r>
          </w:p>
          <w:p w:rsidR="002C115C" w:rsidRPr="0011384D" w:rsidRDefault="002C115C" w:rsidP="00737C26">
            <w:pPr>
              <w:keepNext/>
              <w:ind w:left="-108"/>
              <w:jc w:val="both"/>
              <w:rPr>
                <w:rFonts w:ascii="Arial Narrow" w:hAnsi="Arial Narrow" w:cs="Arial"/>
                <w:sz w:val="20"/>
                <w:szCs w:val="20"/>
              </w:rPr>
            </w:pPr>
          </w:p>
          <w:p w:rsidR="002C115C" w:rsidRPr="0011384D" w:rsidRDefault="002C115C" w:rsidP="00737C26">
            <w:pPr>
              <w:keepNext/>
              <w:ind w:left="-108"/>
              <w:jc w:val="both"/>
              <w:rPr>
                <w:rFonts w:ascii="Arial Narrow" w:hAnsi="Arial Narrow" w:cs="Arial"/>
                <w:sz w:val="20"/>
                <w:szCs w:val="20"/>
              </w:rPr>
            </w:pPr>
          </w:p>
          <w:p w:rsidR="002C115C" w:rsidRPr="0011384D" w:rsidRDefault="002C115C" w:rsidP="00737C26">
            <w:pPr>
              <w:keepNext/>
              <w:ind w:left="-108"/>
              <w:jc w:val="both"/>
              <w:rPr>
                <w:rFonts w:ascii="Arial Narrow" w:hAnsi="Arial Narrow" w:cs="Arial"/>
                <w:sz w:val="20"/>
                <w:szCs w:val="20"/>
              </w:rPr>
            </w:pPr>
            <w:r w:rsidRPr="0011384D">
              <w:rPr>
                <w:rFonts w:ascii="Arial Narrow" w:hAnsi="Arial Narrow" w:cs="Arial"/>
                <w:sz w:val="20"/>
                <w:szCs w:val="20"/>
              </w:rPr>
              <w:t>5</w:t>
            </w:r>
          </w:p>
        </w:tc>
        <w:tc>
          <w:tcPr>
            <w:tcW w:w="1276" w:type="dxa"/>
          </w:tcPr>
          <w:p w:rsidR="00141D1A" w:rsidRPr="0011384D" w:rsidRDefault="008C54F0" w:rsidP="00737C26">
            <w:pPr>
              <w:keepNext/>
              <w:ind w:left="-108"/>
              <w:jc w:val="both"/>
              <w:rPr>
                <w:rFonts w:ascii="Arial Narrow" w:hAnsi="Arial Narrow" w:cs="Arial"/>
                <w:sz w:val="20"/>
                <w:szCs w:val="20"/>
              </w:rPr>
            </w:pPr>
            <w:r w:rsidRPr="0011384D">
              <w:rPr>
                <w:rFonts w:ascii="Arial Narrow" w:hAnsi="Arial Narrow" w:cs="Arial"/>
                <w:sz w:val="20"/>
                <w:szCs w:val="20"/>
              </w:rPr>
              <w:t>$</w:t>
            </w:r>
            <w:r w:rsidR="005F00A7">
              <w:rPr>
                <w:rFonts w:ascii="Arial Narrow" w:hAnsi="Arial Narrow" w:cs="Arial"/>
                <w:noProof/>
                <w:color w:val="000000"/>
                <w:sz w:val="20"/>
                <w:szCs w:val="20"/>
                <w:highlight w:val="black"/>
              </w:rPr>
              <w:t>'''''''''''''</w:t>
            </w:r>
          </w:p>
          <w:p w:rsidR="002C115C" w:rsidRPr="0011384D" w:rsidRDefault="002C115C" w:rsidP="00737C26">
            <w:pPr>
              <w:keepNext/>
              <w:ind w:left="-108"/>
              <w:jc w:val="both"/>
              <w:rPr>
                <w:rFonts w:ascii="Arial Narrow" w:hAnsi="Arial Narrow" w:cs="Arial"/>
                <w:sz w:val="20"/>
                <w:szCs w:val="20"/>
              </w:rPr>
            </w:pPr>
          </w:p>
          <w:p w:rsidR="00912AB4" w:rsidRPr="0011384D" w:rsidRDefault="00912AB4" w:rsidP="00737C26">
            <w:pPr>
              <w:keepNext/>
              <w:ind w:left="-108"/>
              <w:jc w:val="both"/>
              <w:rPr>
                <w:rFonts w:ascii="Arial Narrow" w:hAnsi="Arial Narrow" w:cs="Arial"/>
                <w:sz w:val="20"/>
                <w:szCs w:val="20"/>
              </w:rPr>
            </w:pPr>
          </w:p>
          <w:p w:rsidR="002C115C" w:rsidRPr="0011384D" w:rsidRDefault="002C115C" w:rsidP="00737C26">
            <w:pPr>
              <w:keepNext/>
              <w:ind w:left="-108"/>
              <w:jc w:val="both"/>
              <w:rPr>
                <w:rFonts w:ascii="Arial Narrow" w:hAnsi="Arial Narrow" w:cs="Arial"/>
                <w:sz w:val="20"/>
                <w:szCs w:val="20"/>
              </w:rPr>
            </w:pPr>
            <w:r w:rsidRPr="0011384D">
              <w:rPr>
                <w:rFonts w:ascii="Arial Narrow" w:hAnsi="Arial Narrow" w:cs="Arial"/>
                <w:sz w:val="20"/>
                <w:szCs w:val="20"/>
              </w:rPr>
              <w:t>$</w:t>
            </w:r>
            <w:r w:rsidR="005F00A7">
              <w:rPr>
                <w:rFonts w:ascii="Arial Narrow" w:hAnsi="Arial Narrow" w:cs="Arial"/>
                <w:noProof/>
                <w:color w:val="000000"/>
                <w:sz w:val="20"/>
                <w:szCs w:val="20"/>
                <w:highlight w:val="black"/>
              </w:rPr>
              <w:t>'''''''''''''''</w:t>
            </w:r>
          </w:p>
          <w:p w:rsidR="002C115C" w:rsidRPr="0011384D" w:rsidRDefault="002C115C" w:rsidP="00737C26">
            <w:pPr>
              <w:keepNext/>
              <w:ind w:left="-108"/>
              <w:jc w:val="both"/>
              <w:rPr>
                <w:rFonts w:ascii="Arial Narrow" w:hAnsi="Arial Narrow" w:cs="Arial"/>
                <w:sz w:val="20"/>
                <w:szCs w:val="20"/>
              </w:rPr>
            </w:pPr>
          </w:p>
          <w:p w:rsidR="002C115C" w:rsidRPr="0011384D" w:rsidRDefault="002C115C" w:rsidP="00737C26">
            <w:pPr>
              <w:keepNext/>
              <w:ind w:left="-108"/>
              <w:jc w:val="both"/>
              <w:rPr>
                <w:rFonts w:ascii="Arial Narrow" w:hAnsi="Arial Narrow" w:cs="Arial"/>
                <w:sz w:val="20"/>
                <w:szCs w:val="20"/>
              </w:rPr>
            </w:pPr>
          </w:p>
          <w:p w:rsidR="002C115C" w:rsidRPr="0011384D" w:rsidRDefault="002C115C" w:rsidP="004876F8">
            <w:pPr>
              <w:keepNext/>
              <w:ind w:left="-108"/>
              <w:jc w:val="both"/>
              <w:rPr>
                <w:rFonts w:ascii="Arial Narrow" w:hAnsi="Arial Narrow" w:cs="Arial"/>
                <w:sz w:val="20"/>
                <w:szCs w:val="20"/>
              </w:rPr>
            </w:pPr>
            <w:r w:rsidRPr="0011384D">
              <w:rPr>
                <w:rFonts w:ascii="Arial Narrow" w:hAnsi="Arial Narrow" w:cs="Arial"/>
                <w:sz w:val="20"/>
                <w:szCs w:val="20"/>
              </w:rPr>
              <w:t>$</w:t>
            </w:r>
            <w:r w:rsidR="005F00A7">
              <w:rPr>
                <w:rFonts w:ascii="Arial Narrow" w:hAnsi="Arial Narrow" w:cs="Arial"/>
                <w:noProof/>
                <w:color w:val="000000"/>
                <w:sz w:val="20"/>
                <w:szCs w:val="20"/>
                <w:highlight w:val="black"/>
              </w:rPr>
              <w:t>''''''''''''''''</w:t>
            </w:r>
          </w:p>
        </w:tc>
        <w:tc>
          <w:tcPr>
            <w:tcW w:w="1275" w:type="dxa"/>
          </w:tcPr>
          <w:p w:rsidR="00141D1A" w:rsidRPr="0011384D" w:rsidRDefault="00141D1A" w:rsidP="00737C26">
            <w:pPr>
              <w:keepNext/>
              <w:jc w:val="both"/>
              <w:rPr>
                <w:rFonts w:ascii="Arial Narrow" w:hAnsi="Arial Narrow" w:cs="Arial"/>
                <w:sz w:val="20"/>
                <w:szCs w:val="20"/>
              </w:rPr>
            </w:pPr>
          </w:p>
          <w:p w:rsidR="002C115C" w:rsidRPr="0011384D" w:rsidRDefault="008C54F0" w:rsidP="00737C26">
            <w:pPr>
              <w:keepNext/>
              <w:jc w:val="both"/>
              <w:rPr>
                <w:rFonts w:ascii="Arial Narrow" w:hAnsi="Arial Narrow" w:cs="Arial"/>
                <w:sz w:val="20"/>
                <w:szCs w:val="20"/>
              </w:rPr>
            </w:pPr>
            <w:r w:rsidRPr="0011384D">
              <w:rPr>
                <w:rFonts w:ascii="Arial Narrow" w:hAnsi="Arial Narrow" w:cs="Arial"/>
                <w:sz w:val="20"/>
                <w:szCs w:val="20"/>
              </w:rPr>
              <w:t>Nuvigil®</w:t>
            </w:r>
          </w:p>
        </w:tc>
        <w:tc>
          <w:tcPr>
            <w:tcW w:w="1134" w:type="dxa"/>
          </w:tcPr>
          <w:p w:rsidR="00141D1A" w:rsidRPr="0011384D" w:rsidRDefault="00141D1A" w:rsidP="00737C26">
            <w:pPr>
              <w:keepNext/>
              <w:jc w:val="both"/>
              <w:rPr>
                <w:rFonts w:ascii="Arial Narrow" w:hAnsi="Arial Narrow" w:cs="Arial"/>
                <w:sz w:val="20"/>
                <w:szCs w:val="20"/>
              </w:rPr>
            </w:pPr>
          </w:p>
          <w:p w:rsidR="002C115C" w:rsidRPr="0011384D" w:rsidRDefault="002C115C" w:rsidP="00737C26">
            <w:pPr>
              <w:keepNext/>
              <w:jc w:val="both"/>
              <w:rPr>
                <w:rFonts w:ascii="Arial Narrow" w:hAnsi="Arial Narrow" w:cs="Arial"/>
                <w:sz w:val="20"/>
                <w:szCs w:val="20"/>
              </w:rPr>
            </w:pPr>
            <w:r w:rsidRPr="0011384D">
              <w:rPr>
                <w:rFonts w:ascii="Arial Narrow" w:hAnsi="Arial Narrow" w:cs="Arial"/>
                <w:sz w:val="20"/>
                <w:szCs w:val="20"/>
              </w:rPr>
              <w:t>TEVA</w:t>
            </w:r>
          </w:p>
        </w:tc>
      </w:tr>
      <w:tr w:rsidR="00141D1A" w:rsidRPr="0011384D" w:rsidTr="00737C26">
        <w:trPr>
          <w:cantSplit/>
          <w:trHeight w:val="360"/>
        </w:trPr>
        <w:tc>
          <w:tcPr>
            <w:tcW w:w="8363" w:type="dxa"/>
            <w:gridSpan w:val="7"/>
            <w:tcBorders>
              <w:bottom w:val="single" w:sz="4" w:space="0" w:color="auto"/>
            </w:tcBorders>
          </w:tcPr>
          <w:p w:rsidR="00141D1A" w:rsidRPr="0011384D" w:rsidRDefault="00141D1A" w:rsidP="00737C26">
            <w:pPr>
              <w:jc w:val="both"/>
              <w:rPr>
                <w:rFonts w:ascii="Arial Narrow" w:hAnsi="Arial Narrow" w:cs="Arial"/>
                <w:sz w:val="20"/>
                <w:szCs w:val="20"/>
              </w:rPr>
            </w:pP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b/>
                <w:sz w:val="20"/>
              </w:rPr>
            </w:pPr>
            <w:r w:rsidRPr="0011384D">
              <w:rPr>
                <w:rFonts w:ascii="Arial Narrow" w:hAnsi="Arial Narrow"/>
                <w:b/>
                <w:sz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sz w:val="20"/>
              </w:rPr>
            </w:pPr>
            <w:r w:rsidRPr="0011384D">
              <w:rPr>
                <w:rFonts w:ascii="Arial Narrow" w:hAnsi="Arial Narrow"/>
                <w:sz w:val="20"/>
              </w:rPr>
              <w:t>GENERAL – General Schedule (Code GE)</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rPr>
                <w:rFonts w:ascii="Arial Narrow" w:hAnsi="Arial Narrow"/>
                <w:b/>
                <w:sz w:val="20"/>
              </w:rPr>
            </w:pPr>
            <w:r w:rsidRPr="0011384D">
              <w:rPr>
                <w:rFonts w:ascii="Arial Narrow" w:hAnsi="Arial Narrow"/>
                <w:b/>
                <w:sz w:val="20"/>
              </w:rPr>
              <w:t>Prescriber type:</w:t>
            </w:r>
          </w:p>
          <w:p w:rsidR="006C3022" w:rsidRPr="0011384D" w:rsidRDefault="006C3022" w:rsidP="0074571F">
            <w:pPr>
              <w:snapToGrid w:val="0"/>
              <w:rPr>
                <w:rFonts w:ascii="Arial Narrow" w:hAnsi="Arial Narrow"/>
                <w:b/>
                <w:sz w:val="20"/>
              </w:rPr>
            </w:pP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rPr>
                <w:rFonts w:ascii="Arial Narrow" w:hAnsi="Arial Narrow"/>
                <w:sz w:val="20"/>
              </w:rPr>
            </w:pPr>
            <w:r w:rsidRPr="0011384D">
              <w:rPr>
                <w:rFonts w:ascii="Arial Narrow" w:hAnsi="Arial Narrow"/>
                <w:sz w:val="20"/>
              </w:rPr>
              <w:fldChar w:fldCharType="begin">
                <w:ffData>
                  <w:name w:val="Check1"/>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 xml:space="preserve">Dental  </w:t>
            </w:r>
            <w:r w:rsidRPr="0011384D">
              <w:rPr>
                <w:rFonts w:ascii="Arial Narrow" w:hAnsi="Arial Narrow"/>
                <w:sz w:val="20"/>
              </w:rPr>
              <w:fldChar w:fldCharType="begin">
                <w:ffData>
                  <w:name w:val=""/>
                  <w:enabled/>
                  <w:calcOnExit w:val="0"/>
                  <w:checkBox>
                    <w:sizeAuto/>
                    <w:default w:val="1"/>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 xml:space="preserve">Medical Practitioners  </w:t>
            </w:r>
            <w:r w:rsidRPr="0011384D">
              <w:rPr>
                <w:rFonts w:ascii="Arial Narrow" w:hAnsi="Arial Narrow"/>
                <w:sz w:val="20"/>
              </w:rPr>
              <w:fldChar w:fldCharType="begin">
                <w:ffData>
                  <w:name w:val="Check3"/>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 xml:space="preserve">Nurse practitioners  </w:t>
            </w:r>
            <w:r w:rsidRPr="0011384D">
              <w:rPr>
                <w:rFonts w:ascii="Arial Narrow" w:hAnsi="Arial Narrow"/>
                <w:sz w:val="20"/>
              </w:rPr>
              <w:fldChar w:fldCharType="begin">
                <w:ffData>
                  <w:name w:val=""/>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 xml:space="preserve">Optometrists  </w:t>
            </w:r>
            <w:r w:rsidRPr="0011384D">
              <w:rPr>
                <w:rFonts w:ascii="Arial Narrow" w:hAnsi="Arial Narrow"/>
                <w:sz w:val="20"/>
              </w:rPr>
              <w:fldChar w:fldCharType="begin">
                <w:ffData>
                  <w:name w:val="Check5"/>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Midwives</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b/>
                <w:sz w:val="20"/>
              </w:rPr>
            </w:pPr>
            <w:r w:rsidRPr="0011384D">
              <w:rPr>
                <w:rFonts w:ascii="Arial Narrow" w:hAnsi="Arial Narrow"/>
                <w:b/>
                <w:sz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sz w:val="20"/>
              </w:rPr>
            </w:pPr>
            <w:r w:rsidRPr="0011384D">
              <w:rPr>
                <w:rFonts w:ascii="Arial Narrow" w:hAnsi="Arial Narrow"/>
                <w:sz w:val="20"/>
              </w:rPr>
              <w:t>-</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b/>
                <w:sz w:val="20"/>
              </w:rPr>
            </w:pPr>
            <w:r w:rsidRPr="0011384D">
              <w:rPr>
                <w:rFonts w:ascii="Arial Narrow" w:hAnsi="Arial Narrow"/>
                <w:b/>
                <w:sz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sz w:val="20"/>
              </w:rPr>
            </w:pPr>
            <w:r w:rsidRPr="0011384D">
              <w:rPr>
                <w:rFonts w:ascii="Arial Narrow" w:hAnsi="Arial Narrow"/>
                <w:sz w:val="20"/>
              </w:rPr>
              <w:t>-</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b/>
                <w:sz w:val="20"/>
              </w:rPr>
            </w:pPr>
            <w:r w:rsidRPr="0011384D">
              <w:rPr>
                <w:rFonts w:ascii="Arial Narrow" w:hAnsi="Arial Narrow"/>
                <w:b/>
                <w:sz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sz w:val="20"/>
              </w:rPr>
            </w:pPr>
            <w:r w:rsidRPr="0011384D">
              <w:rPr>
                <w:rFonts w:ascii="Arial Narrow" w:hAnsi="Arial Narrow"/>
                <w:sz w:val="20"/>
              </w:rPr>
              <w:t>Narcolepsy</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b/>
                <w:sz w:val="20"/>
              </w:rPr>
            </w:pPr>
            <w:r w:rsidRPr="0011384D">
              <w:rPr>
                <w:rFonts w:ascii="Arial Narrow" w:hAnsi="Arial Narrow"/>
                <w:b/>
                <w:sz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sz w:val="20"/>
              </w:rPr>
            </w:pPr>
            <w:r w:rsidRPr="0011384D">
              <w:rPr>
                <w:rFonts w:ascii="Arial Narrow" w:hAnsi="Arial Narrow"/>
                <w:sz w:val="20"/>
              </w:rPr>
              <w:t>Narcolepsy</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b/>
                <w:sz w:val="20"/>
              </w:rPr>
            </w:pPr>
            <w:r w:rsidRPr="0011384D">
              <w:rPr>
                <w:rFonts w:ascii="Arial Narrow" w:hAnsi="Arial Narrow"/>
                <w:b/>
                <w:sz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sz w:val="20"/>
              </w:rPr>
            </w:pPr>
            <w:r w:rsidRPr="0011384D">
              <w:rPr>
                <w:rFonts w:ascii="Arial Narrow" w:hAnsi="Arial Narrow"/>
                <w:sz w:val="20"/>
              </w:rPr>
              <w:t>Initial treatment</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rPr>
                <w:rFonts w:ascii="Arial Narrow" w:hAnsi="Arial Narrow"/>
                <w:b/>
                <w:sz w:val="20"/>
              </w:rPr>
            </w:pPr>
            <w:r w:rsidRPr="0011384D">
              <w:rPr>
                <w:rFonts w:ascii="Arial Narrow" w:hAnsi="Arial Narrow"/>
                <w:b/>
                <w:sz w:val="20"/>
              </w:rPr>
              <w:t>Restriction Level / Method:</w:t>
            </w:r>
          </w:p>
          <w:p w:rsidR="006C3022" w:rsidRPr="0011384D" w:rsidRDefault="006C3022" w:rsidP="0074571F">
            <w:pPr>
              <w:snapToGrid w:val="0"/>
              <w:rPr>
                <w:rFonts w:ascii="Arial Narrow" w:hAnsi="Arial Narrow"/>
                <w:i/>
                <w:sz w:val="20"/>
              </w:rPr>
            </w:pP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rPr>
                <w:rFonts w:ascii="Arial Narrow" w:hAnsi="Arial Narrow"/>
                <w:sz w:val="20"/>
              </w:rPr>
            </w:pPr>
            <w:r w:rsidRPr="0011384D">
              <w:rPr>
                <w:rFonts w:ascii="Arial Narrow" w:hAnsi="Arial Narrow"/>
                <w:sz w:val="20"/>
              </w:rPr>
              <w:fldChar w:fldCharType="begin">
                <w:ffData>
                  <w:name w:val="Check1"/>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Restricted benefit</w:t>
            </w:r>
          </w:p>
          <w:p w:rsidR="006C3022" w:rsidRPr="0011384D" w:rsidRDefault="006C3022" w:rsidP="0074571F">
            <w:pPr>
              <w:rPr>
                <w:rFonts w:ascii="Arial Narrow" w:hAnsi="Arial Narrow"/>
                <w:sz w:val="20"/>
              </w:rPr>
            </w:pPr>
            <w:r w:rsidRPr="0011384D">
              <w:rPr>
                <w:rFonts w:ascii="Arial Narrow" w:hAnsi="Arial Narrow"/>
                <w:sz w:val="20"/>
              </w:rPr>
              <w:fldChar w:fldCharType="begin">
                <w:ffData>
                  <w:name w:val=""/>
                  <w:enabled/>
                  <w:calcOnExit w:val="0"/>
                  <w:checkBox>
                    <w:sizeAuto/>
                    <w:default w:val="1"/>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Authority Required - In Writing</w:t>
            </w:r>
          </w:p>
          <w:p w:rsidR="006C3022" w:rsidRPr="0011384D" w:rsidRDefault="006C3022" w:rsidP="0074571F">
            <w:pPr>
              <w:rPr>
                <w:rFonts w:ascii="Arial Narrow" w:hAnsi="Arial Narrow"/>
                <w:sz w:val="20"/>
              </w:rPr>
            </w:pPr>
            <w:r w:rsidRPr="0011384D">
              <w:rPr>
                <w:rFonts w:ascii="Arial Narrow" w:hAnsi="Arial Narrow"/>
                <w:sz w:val="20"/>
              </w:rPr>
              <w:fldChar w:fldCharType="begin">
                <w:ffData>
                  <w:name w:val=""/>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Authority Required - Telephone</w:t>
            </w:r>
          </w:p>
          <w:p w:rsidR="006C3022" w:rsidRPr="0011384D" w:rsidRDefault="006C3022" w:rsidP="0074571F">
            <w:pPr>
              <w:rPr>
                <w:rFonts w:ascii="Arial Narrow" w:hAnsi="Arial Narrow"/>
                <w:sz w:val="20"/>
              </w:rPr>
            </w:pPr>
            <w:r w:rsidRPr="0011384D">
              <w:rPr>
                <w:rFonts w:ascii="Arial Narrow" w:hAnsi="Arial Narrow"/>
                <w:sz w:val="20"/>
              </w:rPr>
              <w:fldChar w:fldCharType="begin">
                <w:ffData>
                  <w:name w:val=""/>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Authority Required – Emergency</w:t>
            </w:r>
          </w:p>
          <w:p w:rsidR="006C3022" w:rsidRPr="0011384D" w:rsidRDefault="006C3022" w:rsidP="0074571F">
            <w:pPr>
              <w:rPr>
                <w:rFonts w:ascii="Arial Narrow" w:hAnsi="Arial Narrow"/>
                <w:sz w:val="20"/>
              </w:rPr>
            </w:pPr>
            <w:r w:rsidRPr="0011384D">
              <w:rPr>
                <w:rFonts w:ascii="Arial Narrow" w:hAnsi="Arial Narrow"/>
                <w:sz w:val="20"/>
              </w:rPr>
              <w:fldChar w:fldCharType="begin">
                <w:ffData>
                  <w:name w:val=""/>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Authority Required - Electronic</w:t>
            </w:r>
          </w:p>
          <w:p w:rsidR="006C3022" w:rsidRPr="0011384D" w:rsidRDefault="006C3022" w:rsidP="0074571F">
            <w:pPr>
              <w:snapToGrid w:val="0"/>
              <w:rPr>
                <w:rFonts w:ascii="Arial Narrow" w:hAnsi="Arial Narrow"/>
                <w:sz w:val="20"/>
              </w:rPr>
            </w:pPr>
            <w:r w:rsidRPr="0011384D">
              <w:rPr>
                <w:rFonts w:ascii="Arial Narrow" w:hAnsi="Arial Narrow"/>
                <w:sz w:val="20"/>
              </w:rPr>
              <w:fldChar w:fldCharType="begin">
                <w:ffData>
                  <w:name w:val="Check5"/>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Streamlined</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b/>
                <w:sz w:val="20"/>
              </w:rPr>
            </w:pPr>
            <w:r w:rsidRPr="0011384D">
              <w:rPr>
                <w:rFonts w:ascii="Arial Narrow" w:hAnsi="Arial Narrow"/>
                <w:b/>
                <w:sz w:val="20"/>
              </w:rPr>
              <w:t>Treatment criteria:</w:t>
            </w: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sz w:val="20"/>
              </w:rPr>
            </w:pPr>
            <w:r w:rsidRPr="0011384D">
              <w:rPr>
                <w:rFonts w:ascii="Arial Narrow" w:hAnsi="Arial Narrow"/>
                <w:sz w:val="20"/>
              </w:rPr>
              <w:t>Must be treated by a qualified sleep medicine practitioner or neurologist</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snapToGrid w:val="0"/>
              <w:rPr>
                <w:rFonts w:ascii="Arial Narrow" w:hAnsi="Arial Narrow"/>
                <w:b/>
                <w:sz w:val="20"/>
              </w:rPr>
            </w:pPr>
            <w:r w:rsidRPr="0011384D">
              <w:rPr>
                <w:rFonts w:ascii="Arial Narrow" w:hAnsi="Arial Narrow"/>
                <w:b/>
                <w:sz w:val="20"/>
              </w:rPr>
              <w:lastRenderedPageBreak/>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E81B58" w:rsidRPr="0011384D" w:rsidRDefault="00E81B58" w:rsidP="00E81B58">
            <w:pPr>
              <w:pStyle w:val="KMC-Tablecontent"/>
              <w:rPr>
                <w:rFonts w:cs="Arial"/>
                <w:sz w:val="20"/>
              </w:rPr>
            </w:pPr>
            <w:r w:rsidRPr="0011384D">
              <w:rPr>
                <w:rFonts w:cs="Arial"/>
                <w:sz w:val="20"/>
              </w:rPr>
              <w:t>Patients must meet the following definition of narcolepsy:</w:t>
            </w:r>
          </w:p>
          <w:p w:rsidR="00E81B58" w:rsidRPr="0011384D" w:rsidRDefault="00E81B58" w:rsidP="00E81B58">
            <w:pPr>
              <w:pStyle w:val="KMC-Tablecontent"/>
              <w:rPr>
                <w:rFonts w:cs="Arial"/>
                <w:b/>
                <w:sz w:val="20"/>
              </w:rPr>
            </w:pPr>
            <w:r w:rsidRPr="0011384D">
              <w:rPr>
                <w:rFonts w:cs="Arial"/>
                <w:sz w:val="20"/>
              </w:rPr>
              <w:t>Excessive daytime sleepiness, recurrent naps or lapses into sleep occurring almost daily for at least 3 months,</w:t>
            </w:r>
            <w:r w:rsidRPr="0011384D">
              <w:rPr>
                <w:rFonts w:cs="Arial"/>
                <w:b/>
                <w:sz w:val="20"/>
              </w:rPr>
              <w:t xml:space="preserve"> </w:t>
            </w:r>
          </w:p>
          <w:p w:rsidR="00E81B58" w:rsidRPr="0011384D" w:rsidRDefault="00E81B58" w:rsidP="00E81B58">
            <w:pPr>
              <w:pStyle w:val="KMC-Tablecontent"/>
              <w:rPr>
                <w:rFonts w:cs="Arial"/>
                <w:sz w:val="20"/>
              </w:rPr>
            </w:pPr>
            <w:r w:rsidRPr="0011384D">
              <w:rPr>
                <w:rFonts w:cs="Arial"/>
                <w:sz w:val="20"/>
              </w:rPr>
              <w:t xml:space="preserve">AND </w:t>
            </w:r>
          </w:p>
          <w:p w:rsidR="00E81B58" w:rsidRPr="0011384D" w:rsidRDefault="00E81B58" w:rsidP="00E81B58">
            <w:pPr>
              <w:pStyle w:val="KMC-Tablecontent"/>
              <w:rPr>
                <w:rFonts w:cs="Arial"/>
                <w:sz w:val="20"/>
              </w:rPr>
            </w:pPr>
            <w:r w:rsidRPr="0011384D">
              <w:rPr>
                <w:rFonts w:cs="Arial"/>
                <w:sz w:val="20"/>
              </w:rPr>
              <w:t>A definite history of cataplexy;</w:t>
            </w:r>
          </w:p>
          <w:p w:rsidR="00E81B58" w:rsidRPr="0011384D" w:rsidRDefault="00E81B58" w:rsidP="00E81B58">
            <w:pPr>
              <w:pStyle w:val="KMC-Tablecontent"/>
              <w:rPr>
                <w:rFonts w:cs="Arial"/>
                <w:sz w:val="20"/>
              </w:rPr>
            </w:pPr>
            <w:r w:rsidRPr="0011384D">
              <w:rPr>
                <w:rFonts w:cs="Arial"/>
                <w:sz w:val="20"/>
              </w:rPr>
              <w:t>or</w:t>
            </w:r>
          </w:p>
          <w:p w:rsidR="00E81B58" w:rsidRPr="0011384D" w:rsidRDefault="00E81B58" w:rsidP="00E81B58">
            <w:pPr>
              <w:pStyle w:val="KMC-Tablecontent"/>
              <w:rPr>
                <w:rFonts w:cs="Arial"/>
                <w:sz w:val="20"/>
              </w:rPr>
            </w:pPr>
            <w:r w:rsidRPr="0011384D">
              <w:rPr>
                <w:rFonts w:cs="Arial"/>
                <w:sz w:val="20"/>
              </w:rPr>
              <w:t>A mean sleep latency less than or equal to 10 minutes on a Multiple Sleep Latency Test (MSLT). The MSLT must be preceded by nocturnal polysomnography. Sleep prior to the MSLT must be at least 6 hours in duration;</w:t>
            </w:r>
          </w:p>
          <w:p w:rsidR="00E81B58" w:rsidRPr="0011384D" w:rsidRDefault="00E81B58" w:rsidP="00E81B58">
            <w:pPr>
              <w:pStyle w:val="KMC-Tablecontent"/>
              <w:rPr>
                <w:rFonts w:cs="Arial"/>
                <w:sz w:val="20"/>
              </w:rPr>
            </w:pPr>
            <w:r w:rsidRPr="0011384D">
              <w:rPr>
                <w:rFonts w:cs="Arial"/>
                <w:sz w:val="20"/>
              </w:rPr>
              <w:t>or</w:t>
            </w:r>
          </w:p>
          <w:p w:rsidR="00E81B58" w:rsidRPr="0011384D" w:rsidRDefault="00E81B58" w:rsidP="00E81B58">
            <w:pPr>
              <w:pStyle w:val="KMC-Tablecontent"/>
              <w:rPr>
                <w:rFonts w:cs="Arial"/>
                <w:sz w:val="20"/>
              </w:rPr>
            </w:pPr>
            <w:r w:rsidRPr="0011384D">
              <w:rPr>
                <w:rFonts w:cs="Arial"/>
                <w:sz w:val="20"/>
              </w:rPr>
              <w:t>an electroencephalographic (EEG) recording showing the pathologically rapid development of REM sleep,</w:t>
            </w:r>
          </w:p>
          <w:p w:rsidR="00E81B58" w:rsidRPr="0011384D" w:rsidRDefault="00E81B58" w:rsidP="00E81B58">
            <w:pPr>
              <w:pStyle w:val="KMC-Tablecontent"/>
              <w:rPr>
                <w:rFonts w:cs="Arial"/>
                <w:sz w:val="20"/>
              </w:rPr>
            </w:pPr>
            <w:r w:rsidRPr="0011384D">
              <w:rPr>
                <w:rFonts w:cs="Arial"/>
                <w:sz w:val="20"/>
              </w:rPr>
              <w:t xml:space="preserve">AND </w:t>
            </w:r>
          </w:p>
          <w:p w:rsidR="006C3022" w:rsidRPr="0011384D" w:rsidRDefault="00E81B58" w:rsidP="00E81B58">
            <w:pPr>
              <w:snapToGrid w:val="0"/>
              <w:rPr>
                <w:rFonts w:ascii="Arial Narrow" w:hAnsi="Arial Narrow"/>
                <w:sz w:val="20"/>
              </w:rPr>
            </w:pPr>
            <w:r w:rsidRPr="0011384D">
              <w:rPr>
                <w:rFonts w:ascii="Arial Narrow" w:hAnsi="Arial Narrow" w:cs="Arial"/>
                <w:sz w:val="20"/>
                <w:szCs w:val="20"/>
              </w:rPr>
              <w:t>Absence of any medical or psychiatric disorder that could otherwise account for the hypersomnia.</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11384D" w:rsidRDefault="006C3022" w:rsidP="0074571F">
            <w:pPr>
              <w:rPr>
                <w:rFonts w:ascii="Arial Narrow" w:hAnsi="Arial Narrow"/>
                <w:b/>
                <w:sz w:val="20"/>
              </w:rPr>
            </w:pPr>
            <w:r w:rsidRPr="0011384D">
              <w:rPr>
                <w:rFonts w:ascii="Arial Narrow" w:hAnsi="Arial Narrow"/>
                <w:b/>
                <w:sz w:val="20"/>
              </w:rPr>
              <w:t>Prescriber Instruction</w:t>
            </w:r>
          </w:p>
          <w:p w:rsidR="006C3022" w:rsidRPr="0011384D" w:rsidRDefault="006C3022" w:rsidP="0074571F">
            <w:pPr>
              <w:snapToGrid w:val="0"/>
              <w:rPr>
                <w:rFonts w:ascii="Arial Narrow" w:hAnsi="Arial Narrow"/>
                <w:sz w:val="20"/>
              </w:rPr>
            </w:pP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rPr>
                <w:rFonts w:ascii="Arial Narrow" w:hAnsi="Arial Narrow"/>
                <w:sz w:val="20"/>
              </w:rPr>
            </w:pPr>
            <w:r w:rsidRPr="0011384D">
              <w:rPr>
                <w:rFonts w:ascii="Arial Narrow" w:hAnsi="Arial Narrow"/>
                <w:sz w:val="20"/>
              </w:rPr>
              <w:t>The authority application must be made in writing and must include the following:</w:t>
            </w:r>
          </w:p>
          <w:p w:rsidR="006C3022" w:rsidRPr="0011384D" w:rsidRDefault="006C3022" w:rsidP="0074571F">
            <w:pPr>
              <w:rPr>
                <w:rFonts w:ascii="Arial Narrow" w:hAnsi="Arial Narrow"/>
                <w:sz w:val="20"/>
              </w:rPr>
            </w:pPr>
            <w:r w:rsidRPr="0011384D">
              <w:rPr>
                <w:rFonts w:ascii="Arial Narrow" w:hAnsi="Arial Narrow"/>
                <w:sz w:val="20"/>
              </w:rPr>
              <w:t>(a) a completed authority prescription form; and</w:t>
            </w:r>
          </w:p>
          <w:p w:rsidR="006C3022" w:rsidRPr="0011384D" w:rsidRDefault="006C3022" w:rsidP="0074571F">
            <w:pPr>
              <w:rPr>
                <w:rFonts w:ascii="Arial Narrow" w:hAnsi="Arial Narrow"/>
                <w:sz w:val="20"/>
              </w:rPr>
            </w:pPr>
            <w:r w:rsidRPr="0011384D">
              <w:rPr>
                <w:rFonts w:ascii="Arial Narrow" w:hAnsi="Arial Narrow"/>
                <w:sz w:val="20"/>
              </w:rPr>
              <w:t>(b) a completed Narcolepsy Initial PBS authority application and Supporting information form; and</w:t>
            </w:r>
          </w:p>
          <w:p w:rsidR="006C3022" w:rsidRPr="0011384D" w:rsidRDefault="006C3022" w:rsidP="0074571F">
            <w:pPr>
              <w:rPr>
                <w:rFonts w:ascii="Arial Narrow" w:hAnsi="Arial Narrow"/>
                <w:sz w:val="20"/>
              </w:rPr>
            </w:pPr>
            <w:r w:rsidRPr="0011384D">
              <w:rPr>
                <w:rFonts w:ascii="Arial Narrow" w:hAnsi="Arial Narrow"/>
                <w:sz w:val="20"/>
              </w:rPr>
              <w:t>(c) details of the contraindication or intolerance to dexamphetamine sulfate; and</w:t>
            </w:r>
          </w:p>
          <w:p w:rsidR="006C3022" w:rsidRPr="0011384D" w:rsidRDefault="006C3022" w:rsidP="0074571F">
            <w:pPr>
              <w:rPr>
                <w:rFonts w:ascii="Arial Narrow" w:hAnsi="Arial Narrow"/>
                <w:sz w:val="20"/>
              </w:rPr>
            </w:pPr>
            <w:r w:rsidRPr="0011384D">
              <w:rPr>
                <w:rFonts w:ascii="Arial Narrow" w:hAnsi="Arial Narrow"/>
                <w:sz w:val="20"/>
              </w:rPr>
              <w:t>(d) either:</w:t>
            </w:r>
          </w:p>
          <w:p w:rsidR="006C3022" w:rsidRPr="0011384D" w:rsidRDefault="006C3022" w:rsidP="0074571F">
            <w:pPr>
              <w:rPr>
                <w:rFonts w:ascii="Arial Narrow" w:hAnsi="Arial Narrow"/>
                <w:sz w:val="20"/>
              </w:rPr>
            </w:pPr>
            <w:r w:rsidRPr="0011384D">
              <w:rPr>
                <w:rFonts w:ascii="Arial Narrow" w:hAnsi="Arial Narrow"/>
                <w:sz w:val="20"/>
              </w:rPr>
              <w:t>(i) the result and date of the polysomnography test and Multiple Sleep Latency Test (MSLT) conducted by, or under the supervision of, a qualified sleep medicine practitioner; or</w:t>
            </w:r>
          </w:p>
          <w:p w:rsidR="006C3022" w:rsidRPr="0011384D" w:rsidRDefault="006C3022" w:rsidP="0074571F">
            <w:pPr>
              <w:rPr>
                <w:rFonts w:ascii="Arial Narrow" w:hAnsi="Arial Narrow"/>
                <w:sz w:val="20"/>
              </w:rPr>
            </w:pPr>
            <w:r w:rsidRPr="0011384D">
              <w:rPr>
                <w:rFonts w:ascii="Arial Narrow" w:hAnsi="Arial Narrow"/>
                <w:sz w:val="20"/>
              </w:rPr>
              <w:t>(ii) the result and date of the electroencephalograph (EEG), conducted by, or under the supervision of, a neurologist.</w:t>
            </w:r>
          </w:p>
          <w:p w:rsidR="006C3022" w:rsidRPr="0011384D" w:rsidRDefault="006C3022" w:rsidP="0074571F">
            <w:pPr>
              <w:rPr>
                <w:rFonts w:ascii="Arial Narrow" w:hAnsi="Arial Narrow"/>
                <w:sz w:val="20"/>
              </w:rPr>
            </w:pPr>
          </w:p>
          <w:p w:rsidR="006C3022" w:rsidRPr="0011384D" w:rsidRDefault="006C3022" w:rsidP="0074571F">
            <w:pPr>
              <w:rPr>
                <w:rFonts w:ascii="Arial Narrow" w:hAnsi="Arial Narrow"/>
                <w:sz w:val="20"/>
              </w:rPr>
            </w:pPr>
            <w:r w:rsidRPr="0011384D">
              <w:rPr>
                <w:rFonts w:ascii="Arial Narrow" w:hAnsi="Arial Narrow"/>
                <w:sz w:val="20"/>
              </w:rPr>
              <w:t>The presence of any one of the following indicates treatment with dexamphetamine sulfate poses an unacceptable medical risk:</w:t>
            </w:r>
          </w:p>
          <w:p w:rsidR="006C3022" w:rsidRPr="0011384D" w:rsidRDefault="006C3022" w:rsidP="0074571F">
            <w:pPr>
              <w:rPr>
                <w:rFonts w:ascii="Arial Narrow" w:hAnsi="Arial Narrow"/>
                <w:sz w:val="20"/>
              </w:rPr>
            </w:pPr>
            <w:r w:rsidRPr="0011384D">
              <w:rPr>
                <w:rFonts w:ascii="Arial Narrow" w:hAnsi="Arial Narrow"/>
                <w:sz w:val="20"/>
              </w:rPr>
              <w:t>(a) a psychiatric disorder;</w:t>
            </w:r>
          </w:p>
          <w:p w:rsidR="006C3022" w:rsidRPr="0011384D" w:rsidRDefault="006C3022" w:rsidP="0074571F">
            <w:pPr>
              <w:rPr>
                <w:rFonts w:ascii="Arial Narrow" w:hAnsi="Arial Narrow"/>
                <w:sz w:val="20"/>
              </w:rPr>
            </w:pPr>
            <w:r w:rsidRPr="0011384D">
              <w:rPr>
                <w:rFonts w:ascii="Arial Narrow" w:hAnsi="Arial Narrow"/>
                <w:sz w:val="20"/>
              </w:rPr>
              <w:t>(b) a cardiovascular disorder;</w:t>
            </w:r>
          </w:p>
          <w:p w:rsidR="006C3022" w:rsidRPr="0011384D" w:rsidRDefault="006C3022" w:rsidP="0074571F">
            <w:pPr>
              <w:rPr>
                <w:rFonts w:ascii="Arial Narrow" w:hAnsi="Arial Narrow"/>
                <w:sz w:val="20"/>
              </w:rPr>
            </w:pPr>
            <w:r w:rsidRPr="0011384D">
              <w:rPr>
                <w:rFonts w:ascii="Arial Narrow" w:hAnsi="Arial Narrow"/>
                <w:sz w:val="20"/>
              </w:rPr>
              <w:t>(c) a history of substance abuse;</w:t>
            </w:r>
          </w:p>
          <w:p w:rsidR="006C3022" w:rsidRPr="0011384D" w:rsidRDefault="006C3022" w:rsidP="0074571F">
            <w:pPr>
              <w:rPr>
                <w:rFonts w:ascii="Arial Narrow" w:hAnsi="Arial Narrow"/>
                <w:sz w:val="20"/>
              </w:rPr>
            </w:pPr>
            <w:r w:rsidRPr="0011384D">
              <w:rPr>
                <w:rFonts w:ascii="Arial Narrow" w:hAnsi="Arial Narrow"/>
                <w:sz w:val="20"/>
              </w:rPr>
              <w:t>(d) glaucoma;</w:t>
            </w:r>
          </w:p>
          <w:p w:rsidR="006C3022" w:rsidRPr="0011384D" w:rsidRDefault="006C3022" w:rsidP="0074571F">
            <w:pPr>
              <w:rPr>
                <w:rFonts w:ascii="Arial Narrow" w:hAnsi="Arial Narrow"/>
                <w:sz w:val="20"/>
              </w:rPr>
            </w:pPr>
            <w:r w:rsidRPr="0011384D">
              <w:rPr>
                <w:rFonts w:ascii="Arial Narrow" w:hAnsi="Arial Narrow"/>
                <w:sz w:val="20"/>
              </w:rPr>
              <w:t>(e) any other absolute contraindication to dexamphetamine sulfate as specified in the TGA-approved Product Information.</w:t>
            </w:r>
          </w:p>
          <w:p w:rsidR="006C3022" w:rsidRPr="0011384D" w:rsidRDefault="006C3022" w:rsidP="0074571F">
            <w:pPr>
              <w:rPr>
                <w:rFonts w:ascii="Arial Narrow" w:hAnsi="Arial Narrow"/>
                <w:sz w:val="20"/>
              </w:rPr>
            </w:pPr>
          </w:p>
          <w:p w:rsidR="006C3022" w:rsidRPr="0011384D" w:rsidRDefault="006C3022" w:rsidP="0074571F">
            <w:pPr>
              <w:rPr>
                <w:rFonts w:ascii="Arial Narrow" w:hAnsi="Arial Narrow"/>
                <w:sz w:val="20"/>
              </w:rPr>
            </w:pPr>
            <w:r w:rsidRPr="0011384D">
              <w:rPr>
                <w:rFonts w:ascii="Arial Narrow" w:hAnsi="Arial Narrow"/>
                <w:sz w:val="20"/>
              </w:rPr>
              <w:t>The MSLT must be preceded by nocturnal polysomnography. Sleep prior to the MSLT must be at least 6 hours in duration.</w:t>
            </w:r>
          </w:p>
          <w:p w:rsidR="006C3022" w:rsidRPr="0011384D" w:rsidRDefault="006C3022" w:rsidP="0074571F">
            <w:pPr>
              <w:rPr>
                <w:rFonts w:ascii="Arial Narrow" w:hAnsi="Arial Narrow"/>
                <w:sz w:val="20"/>
              </w:rPr>
            </w:pPr>
          </w:p>
          <w:p w:rsidR="006C3022" w:rsidRPr="0011384D" w:rsidRDefault="006C3022" w:rsidP="0074571F">
            <w:pPr>
              <w:snapToGrid w:val="0"/>
              <w:rPr>
                <w:rFonts w:ascii="Arial Narrow" w:hAnsi="Arial Narrow"/>
                <w:i/>
                <w:sz w:val="20"/>
              </w:rPr>
            </w:pPr>
            <w:r w:rsidRPr="0011384D">
              <w:rPr>
                <w:rFonts w:ascii="Arial Narrow" w:hAnsi="Arial Narrow"/>
                <w:sz w:val="20"/>
              </w:rPr>
              <w:t>The polysomnography, MSLT or EEG test reports must be provided with the authority application.</w:t>
            </w:r>
          </w:p>
        </w:tc>
      </w:tr>
      <w:tr w:rsidR="006C3022" w:rsidRPr="0011384D" w:rsidTr="00737C26">
        <w:trPr>
          <w:cantSplit/>
          <w:trHeight w:val="360"/>
        </w:trPr>
        <w:tc>
          <w:tcPr>
            <w:tcW w:w="1985" w:type="dxa"/>
            <w:tcBorders>
              <w:top w:val="single" w:sz="4" w:space="0" w:color="auto"/>
              <w:left w:val="single" w:sz="4" w:space="0" w:color="auto"/>
              <w:bottom w:val="single" w:sz="4" w:space="0" w:color="auto"/>
              <w:right w:val="single" w:sz="4" w:space="0" w:color="auto"/>
            </w:tcBorders>
          </w:tcPr>
          <w:p w:rsidR="006C3022" w:rsidRPr="0090716A" w:rsidRDefault="006C3022" w:rsidP="00C93A86">
            <w:pPr>
              <w:rPr>
                <w:rFonts w:ascii="Arial Narrow" w:hAnsi="Arial Narrow"/>
                <w:b/>
                <w:sz w:val="20"/>
              </w:rPr>
            </w:pPr>
            <w:r w:rsidRPr="0011384D">
              <w:rPr>
                <w:rFonts w:ascii="Arial Narrow" w:hAnsi="Arial Narrow"/>
                <w:b/>
                <w:sz w:val="20"/>
              </w:rPr>
              <w:lastRenderedPageBreak/>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6C3022" w:rsidRPr="0011384D" w:rsidRDefault="006C3022" w:rsidP="0074571F">
            <w:pPr>
              <w:rPr>
                <w:rFonts w:ascii="Arial Narrow" w:hAnsi="Arial Narrow"/>
                <w:sz w:val="20"/>
              </w:rPr>
            </w:pPr>
            <w:r w:rsidRPr="001138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6C3022" w:rsidRPr="0011384D" w:rsidRDefault="006C3022" w:rsidP="0074571F">
            <w:pPr>
              <w:rPr>
                <w:rFonts w:ascii="Arial Narrow" w:hAnsi="Arial Narrow"/>
                <w:sz w:val="20"/>
              </w:rPr>
            </w:pPr>
            <w:r w:rsidRPr="0011384D">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6C3022" w:rsidRPr="0011384D" w:rsidRDefault="006C3022" w:rsidP="0074571F">
            <w:pPr>
              <w:rPr>
                <w:rFonts w:ascii="Arial Narrow" w:hAnsi="Arial Narrow"/>
                <w:sz w:val="20"/>
              </w:rPr>
            </w:pPr>
            <w:r w:rsidRPr="0011384D">
              <w:rPr>
                <w:rFonts w:ascii="Arial Narrow" w:hAnsi="Arial Narrow"/>
                <w:sz w:val="20"/>
              </w:rPr>
              <w:t>Applications for authority to prescribe should be forwarded to:</w:t>
            </w:r>
          </w:p>
          <w:p w:rsidR="006C3022" w:rsidRPr="0011384D" w:rsidRDefault="006C3022" w:rsidP="0074571F">
            <w:pPr>
              <w:rPr>
                <w:rFonts w:ascii="Arial Narrow" w:hAnsi="Arial Narrow"/>
                <w:sz w:val="20"/>
              </w:rPr>
            </w:pPr>
            <w:r w:rsidRPr="0011384D">
              <w:rPr>
                <w:rFonts w:ascii="Arial Narrow" w:hAnsi="Arial Narrow"/>
                <w:sz w:val="20"/>
              </w:rPr>
              <w:t xml:space="preserve">Department of Human Services </w:t>
            </w:r>
          </w:p>
          <w:p w:rsidR="006C3022" w:rsidRPr="0011384D" w:rsidRDefault="006C3022" w:rsidP="0074571F">
            <w:pPr>
              <w:rPr>
                <w:rFonts w:ascii="Arial Narrow" w:hAnsi="Arial Narrow"/>
                <w:sz w:val="20"/>
              </w:rPr>
            </w:pPr>
            <w:r w:rsidRPr="0011384D">
              <w:rPr>
                <w:rFonts w:ascii="Arial Narrow" w:hAnsi="Arial Narrow"/>
                <w:sz w:val="20"/>
              </w:rPr>
              <w:t>Complex Drugs</w:t>
            </w:r>
          </w:p>
          <w:p w:rsidR="006C3022" w:rsidRPr="0011384D" w:rsidRDefault="006C3022" w:rsidP="0074571F">
            <w:pPr>
              <w:rPr>
                <w:rFonts w:ascii="Arial Narrow" w:hAnsi="Arial Narrow"/>
                <w:sz w:val="20"/>
              </w:rPr>
            </w:pPr>
            <w:r w:rsidRPr="0011384D">
              <w:rPr>
                <w:rFonts w:ascii="Arial Narrow" w:hAnsi="Arial Narrow"/>
                <w:sz w:val="20"/>
              </w:rPr>
              <w:t>Reply Paid 9826</w:t>
            </w:r>
          </w:p>
          <w:p w:rsidR="006C3022" w:rsidRPr="0011384D" w:rsidRDefault="006C3022" w:rsidP="0074571F">
            <w:pPr>
              <w:rPr>
                <w:rFonts w:ascii="Arial Narrow" w:hAnsi="Arial Narrow"/>
                <w:sz w:val="20"/>
              </w:rPr>
            </w:pPr>
            <w:r w:rsidRPr="0011384D">
              <w:rPr>
                <w:rFonts w:ascii="Arial Narrow" w:hAnsi="Arial Narrow"/>
                <w:sz w:val="20"/>
              </w:rPr>
              <w:t>HOBART TAS 7001</w:t>
            </w:r>
          </w:p>
          <w:p w:rsidR="006C3022" w:rsidRPr="0011384D" w:rsidRDefault="006C3022" w:rsidP="0074571F">
            <w:pPr>
              <w:rPr>
                <w:rFonts w:ascii="Arial Narrow" w:hAnsi="Arial Narrow"/>
                <w:sz w:val="20"/>
              </w:rPr>
            </w:pPr>
          </w:p>
          <w:p w:rsidR="006C3022" w:rsidRPr="0011384D" w:rsidRDefault="006C3022" w:rsidP="0074571F">
            <w:pPr>
              <w:snapToGrid w:val="0"/>
              <w:rPr>
                <w:rFonts w:ascii="Arial Narrow" w:hAnsi="Arial Narrow"/>
                <w:sz w:val="20"/>
              </w:rPr>
            </w:pPr>
            <w:r w:rsidRPr="0011384D">
              <w:rPr>
                <w:rFonts w:ascii="Arial Narrow" w:hAnsi="Arial Narrow"/>
                <w:sz w:val="20"/>
              </w:rPr>
              <w:t>This drug is not PBS-subsidised when used in combination with PBS-subsidised dexamphetamine sulfate.</w:t>
            </w:r>
          </w:p>
        </w:tc>
      </w:tr>
    </w:tbl>
    <w:p w:rsidR="00E81B58" w:rsidRPr="0011384D" w:rsidRDefault="00E81B58" w:rsidP="00141D1A">
      <w:pPr>
        <w:pStyle w:val="ListParagraph"/>
        <w:jc w:val="both"/>
        <w:rPr>
          <w:rFonts w:ascii="Arial" w:hAnsi="Arial"/>
          <w:b/>
          <w:i/>
          <w:sz w:val="22"/>
          <w:szCs w:val="22"/>
        </w:rPr>
      </w:pPr>
    </w:p>
    <w:p w:rsidR="00E81B58" w:rsidRPr="0011384D" w:rsidRDefault="00E81B58" w:rsidP="00141D1A">
      <w:pPr>
        <w:pStyle w:val="ListParagraph"/>
        <w:jc w:val="both"/>
        <w:rPr>
          <w:rFonts w:ascii="Arial" w:hAnsi="Arial"/>
          <w:b/>
          <w:i/>
          <w:sz w:val="22"/>
          <w:szCs w:val="22"/>
        </w:rPr>
      </w:pPr>
    </w:p>
    <w:tbl>
      <w:tblPr>
        <w:tblW w:w="8363" w:type="dxa"/>
        <w:tblInd w:w="817" w:type="dxa"/>
        <w:tblLayout w:type="fixed"/>
        <w:tblLook w:val="04A0" w:firstRow="1" w:lastRow="0" w:firstColumn="1" w:lastColumn="0" w:noHBand="0" w:noVBand="1"/>
      </w:tblPr>
      <w:tblGrid>
        <w:gridCol w:w="1985"/>
        <w:gridCol w:w="6378"/>
      </w:tblGrid>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t>GENERAL – General Schedule (Code GE)</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1B58" w:rsidRPr="0011384D" w:rsidRDefault="00E81B58" w:rsidP="00E81B58">
            <w:pPr>
              <w:jc w:val="both"/>
              <w:rPr>
                <w:rFonts w:ascii="Arial Narrow" w:hAnsi="Arial Narrow" w:cs="Arial"/>
                <w:b/>
                <w:snapToGrid w:val="0"/>
                <w:sz w:val="20"/>
                <w:szCs w:val="20"/>
              </w:rPr>
            </w:pPr>
            <w:r w:rsidRPr="0011384D">
              <w:rPr>
                <w:rFonts w:ascii="Arial Narrow" w:hAnsi="Arial Narrow" w:cs="Arial"/>
                <w:b/>
                <w:snapToGrid w:val="0"/>
                <w:sz w:val="20"/>
                <w:szCs w:val="20"/>
              </w:rPr>
              <w:t>Prescriber type:</w:t>
            </w:r>
          </w:p>
          <w:p w:rsidR="00E81B58" w:rsidRPr="0011384D" w:rsidRDefault="00E81B58" w:rsidP="00E81B58">
            <w:pPr>
              <w:snapToGrid w:val="0"/>
              <w:jc w:val="both"/>
              <w:rPr>
                <w:rFonts w:ascii="Arial Narrow" w:hAnsi="Arial Narrow" w:cs="Arial"/>
                <w:b/>
                <w:snapToGrid w:val="0"/>
                <w:sz w:val="20"/>
                <w:szCs w:val="20"/>
              </w:rPr>
            </w:pP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1"/>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 xml:space="preserve">Dental  </w:t>
            </w:r>
            <w:r w:rsidRPr="0011384D">
              <w:rPr>
                <w:rFonts w:ascii="Arial Narrow" w:hAnsi="Arial Narrow" w:cs="Arial"/>
                <w:snapToGrid w:val="0"/>
                <w:sz w:val="20"/>
                <w:szCs w:val="20"/>
              </w:rPr>
              <w:fldChar w:fldCharType="begin">
                <w:ffData>
                  <w:name w:val=""/>
                  <w:enabled/>
                  <w:calcOnExit w:val="0"/>
                  <w:checkBox>
                    <w:sizeAuto/>
                    <w:default w:val="1"/>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 xml:space="preserve">Medical Practitioners  </w:t>
            </w:r>
            <w:r w:rsidRPr="0011384D">
              <w:rPr>
                <w:rFonts w:ascii="Arial Narrow" w:hAnsi="Arial Narrow" w:cs="Arial"/>
                <w:snapToGrid w:val="0"/>
                <w:sz w:val="20"/>
                <w:szCs w:val="20"/>
              </w:rPr>
              <w:fldChar w:fldCharType="begin">
                <w:ffData>
                  <w:name w:val="Check3"/>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 xml:space="preserve">Nurse practitioners  </w:t>
            </w:r>
            <w:r w:rsidRPr="0011384D">
              <w:rPr>
                <w:rFonts w:ascii="Arial Narrow" w:hAnsi="Arial Narrow" w:cs="Arial"/>
                <w:snapToGrid w:val="0"/>
                <w:sz w:val="20"/>
                <w:szCs w:val="20"/>
              </w:rPr>
              <w:fldChar w:fldCharType="begin">
                <w:ffData>
                  <w:name w:val=""/>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 xml:space="preserve">Optometrists  </w:t>
            </w:r>
            <w:r w:rsidRPr="0011384D">
              <w:rPr>
                <w:rFonts w:ascii="Arial Narrow" w:hAnsi="Arial Narrow" w:cs="Arial"/>
                <w:snapToGrid w:val="0"/>
                <w:sz w:val="20"/>
                <w:szCs w:val="20"/>
              </w:rPr>
              <w:fldChar w:fldCharType="begin">
                <w:ffData>
                  <w:name w:val="Check5"/>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Midwives</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Episodicity:</w:t>
            </w: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t>Excessive daytime sleepiness</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Severity:</w:t>
            </w: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t>-</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Condition:</w:t>
            </w: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t>Narcolepsy</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PBS Indication:</w:t>
            </w: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t>Narcolepsy</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t>Continuing treatment</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1B58" w:rsidRPr="0011384D" w:rsidRDefault="00E81B58" w:rsidP="00E81B58">
            <w:pPr>
              <w:jc w:val="both"/>
              <w:rPr>
                <w:rFonts w:ascii="Arial Narrow" w:hAnsi="Arial Narrow" w:cs="Arial"/>
                <w:b/>
                <w:snapToGrid w:val="0"/>
                <w:sz w:val="20"/>
                <w:szCs w:val="20"/>
              </w:rPr>
            </w:pPr>
            <w:r w:rsidRPr="0011384D">
              <w:rPr>
                <w:rFonts w:ascii="Arial Narrow" w:hAnsi="Arial Narrow" w:cs="Arial"/>
                <w:b/>
                <w:snapToGrid w:val="0"/>
                <w:sz w:val="20"/>
                <w:szCs w:val="20"/>
              </w:rPr>
              <w:t>Restriction Level / Method:</w:t>
            </w:r>
          </w:p>
          <w:p w:rsidR="00E81B58" w:rsidRPr="0011384D" w:rsidRDefault="00E81B58" w:rsidP="00E81B58">
            <w:pPr>
              <w:snapToGrid w:val="0"/>
              <w:rPr>
                <w:rFonts w:ascii="Arial Narrow" w:hAnsi="Arial Narrow" w:cs="Arial"/>
                <w:i/>
                <w:snapToGrid w:val="0"/>
                <w:sz w:val="20"/>
                <w:szCs w:val="20"/>
              </w:rPr>
            </w:pP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1"/>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Restricted benefit</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
                  <w:enabled/>
                  <w:calcOnExit w:val="0"/>
                  <w:checkBox>
                    <w:sizeAuto/>
                    <w:default w:val="1"/>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Authority Required - In Writing</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3"/>
                  <w:enabled/>
                  <w:calcOnExit w:val="0"/>
                  <w:checkBox>
                    <w:sizeAuto/>
                    <w:default w:val="1"/>
                  </w:checkBox>
                </w:ffData>
              </w:fldChar>
            </w:r>
            <w:bookmarkStart w:id="1" w:name="Check3"/>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w:hAnsi="Arial" w:cs="Arial"/>
                <w:snapToGrid w:val="0"/>
                <w:sz w:val="22"/>
                <w:szCs w:val="20"/>
                <w:lang w:eastAsia="en-US"/>
              </w:rPr>
              <w:fldChar w:fldCharType="end"/>
            </w:r>
            <w:bookmarkEnd w:id="1"/>
            <w:r w:rsidRPr="0011384D">
              <w:rPr>
                <w:rFonts w:ascii="Arial Narrow" w:hAnsi="Arial Narrow" w:cs="Arial"/>
                <w:snapToGrid w:val="0"/>
                <w:sz w:val="20"/>
                <w:szCs w:val="20"/>
              </w:rPr>
              <w:t>Authority Required - Telephone</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
                  <w:enabled/>
                  <w:calcOnExit w:val="0"/>
                  <w:checkBox>
                    <w:sizeAuto/>
                    <w:default w:val="1"/>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Authority Required – Emergency</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5"/>
                  <w:enabled/>
                  <w:calcOnExit w:val="0"/>
                  <w:checkBox>
                    <w:sizeAuto/>
                    <w:default w:val="1"/>
                  </w:checkBox>
                </w:ffData>
              </w:fldChar>
            </w:r>
            <w:bookmarkStart w:id="2" w:name="Check5"/>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w:hAnsi="Arial" w:cs="Arial"/>
                <w:snapToGrid w:val="0"/>
                <w:sz w:val="22"/>
                <w:szCs w:val="20"/>
                <w:lang w:eastAsia="en-US"/>
              </w:rPr>
              <w:fldChar w:fldCharType="end"/>
            </w:r>
            <w:bookmarkEnd w:id="2"/>
            <w:r w:rsidRPr="0011384D">
              <w:rPr>
                <w:rFonts w:ascii="Arial Narrow" w:hAnsi="Arial Narrow" w:cs="Arial"/>
                <w:snapToGrid w:val="0"/>
                <w:sz w:val="20"/>
                <w:szCs w:val="20"/>
              </w:rPr>
              <w:t>Authority Required - Electronic</w:t>
            </w:r>
          </w:p>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5"/>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Streamlined</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hideMark/>
          </w:tcPr>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t>Patient must have previously been issued with an authority prescription for this drug.</w:t>
            </w:r>
          </w:p>
        </w:tc>
      </w:tr>
      <w:tr w:rsidR="00E81B58" w:rsidRPr="0011384D" w:rsidTr="00CC51BF">
        <w:trPr>
          <w:cantSplit/>
          <w:trHeight w:val="360"/>
        </w:trPr>
        <w:tc>
          <w:tcPr>
            <w:tcW w:w="1985" w:type="dxa"/>
            <w:tcBorders>
              <w:top w:val="single" w:sz="4" w:space="0" w:color="auto"/>
              <w:left w:val="single" w:sz="4" w:space="0" w:color="auto"/>
              <w:bottom w:val="single" w:sz="4" w:space="0" w:color="auto"/>
              <w:right w:val="single" w:sz="4" w:space="0" w:color="auto"/>
            </w:tcBorders>
          </w:tcPr>
          <w:p w:rsidR="00E81B58" w:rsidRPr="0011384D" w:rsidRDefault="0090716A" w:rsidP="00E81B58">
            <w:pPr>
              <w:jc w:val="both"/>
              <w:rPr>
                <w:rFonts w:ascii="Arial Narrow" w:hAnsi="Arial Narrow" w:cs="Arial"/>
                <w:b/>
                <w:snapToGrid w:val="0"/>
                <w:sz w:val="20"/>
                <w:szCs w:val="20"/>
              </w:rPr>
            </w:pPr>
            <w:r>
              <w:rPr>
                <w:rFonts w:ascii="Arial Narrow" w:hAnsi="Arial Narrow" w:cs="Arial"/>
                <w:b/>
                <w:snapToGrid w:val="0"/>
                <w:sz w:val="20"/>
                <w:szCs w:val="20"/>
              </w:rPr>
              <w:t>Administrative Advice</w:t>
            </w:r>
          </w:p>
          <w:p w:rsidR="00E81B58" w:rsidRPr="0011384D" w:rsidRDefault="00E81B58" w:rsidP="00E81B58">
            <w:pPr>
              <w:snapToGrid w:val="0"/>
              <w:jc w:val="both"/>
              <w:rPr>
                <w:rFonts w:ascii="Arial Narrow" w:hAnsi="Arial Narrow" w:cs="Arial"/>
                <w:b/>
                <w:snapToGrid w:val="0"/>
                <w:sz w:val="20"/>
                <w:szCs w:val="20"/>
              </w:rPr>
            </w:pPr>
          </w:p>
        </w:tc>
        <w:tc>
          <w:tcPr>
            <w:tcW w:w="6378" w:type="dxa"/>
            <w:tcBorders>
              <w:top w:val="single" w:sz="4" w:space="0" w:color="auto"/>
              <w:left w:val="single" w:sz="4" w:space="0" w:color="auto"/>
              <w:bottom w:val="single" w:sz="4" w:space="0" w:color="auto"/>
              <w:right w:val="single" w:sz="4" w:space="0" w:color="auto"/>
            </w:tcBorders>
          </w:tcPr>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t xml:space="preserve">Authority applications for continuing treatment may be made by telephone to the Department of Human Services on 1800 700 270 (hours of operation 8 a.m. to 5 p.m. EST Monday to Friday). </w:t>
            </w:r>
          </w:p>
          <w:p w:rsidR="00E81B58" w:rsidRPr="0011384D" w:rsidRDefault="00E81B58" w:rsidP="00E81B58">
            <w:pPr>
              <w:rPr>
                <w:rFonts w:ascii="Arial Narrow" w:hAnsi="Arial Narrow" w:cs="Arial"/>
                <w:snapToGrid w:val="0"/>
                <w:sz w:val="20"/>
                <w:szCs w:val="20"/>
              </w:rPr>
            </w:pP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t xml:space="preserve">Written applications for authority to prescribe should be forwarded to: </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t>Department of Human Services</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t xml:space="preserve">Complex Drugs </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t xml:space="preserve">Reply Paid 9826 </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t>HOBART TAS 7001</w:t>
            </w:r>
          </w:p>
          <w:p w:rsidR="00E81B58" w:rsidRPr="0011384D" w:rsidRDefault="00E81B58" w:rsidP="00E81B58">
            <w:pPr>
              <w:rPr>
                <w:rFonts w:ascii="Arial Narrow" w:hAnsi="Arial Narrow" w:cs="Arial"/>
                <w:snapToGrid w:val="0"/>
                <w:sz w:val="20"/>
                <w:szCs w:val="20"/>
              </w:rPr>
            </w:pPr>
            <w:r w:rsidRPr="0011384D">
              <w:rPr>
                <w:rFonts w:ascii="Arial Narrow" w:hAnsi="Arial Narrow" w:cs="Arial"/>
                <w:snapToGrid w:val="0"/>
                <w:sz w:val="20"/>
                <w:szCs w:val="20"/>
              </w:rPr>
              <w:t xml:space="preserve"> </w:t>
            </w:r>
          </w:p>
          <w:p w:rsidR="00E81B58" w:rsidRPr="0011384D" w:rsidRDefault="00E81B58" w:rsidP="00E81B58">
            <w:pPr>
              <w:snapToGrid w:val="0"/>
              <w:rPr>
                <w:rFonts w:ascii="Arial Narrow" w:hAnsi="Arial Narrow" w:cs="Arial"/>
                <w:snapToGrid w:val="0"/>
                <w:sz w:val="20"/>
                <w:szCs w:val="20"/>
              </w:rPr>
            </w:pPr>
            <w:r w:rsidRPr="0011384D">
              <w:rPr>
                <w:rFonts w:ascii="Arial Narrow" w:hAnsi="Arial Narrow" w:cs="Arial"/>
                <w:snapToGrid w:val="0"/>
                <w:sz w:val="20"/>
                <w:szCs w:val="20"/>
              </w:rPr>
              <w:t>This drug is not PBS-subsidised when used in combination with PBS-subsidised dexamphetamine sulfate.</w:t>
            </w:r>
          </w:p>
        </w:tc>
      </w:tr>
    </w:tbl>
    <w:p w:rsidR="004F3FA7" w:rsidRPr="0011384D" w:rsidRDefault="004F3FA7" w:rsidP="00141D1A">
      <w:pPr>
        <w:pStyle w:val="ListParagraph"/>
        <w:jc w:val="both"/>
        <w:rPr>
          <w:rFonts w:ascii="Arial" w:hAnsi="Arial"/>
          <w:b/>
          <w:i/>
          <w:sz w:val="22"/>
          <w:szCs w:val="22"/>
        </w:rPr>
      </w:pPr>
    </w:p>
    <w:p w:rsidR="00F36FB4" w:rsidRPr="0011384D" w:rsidRDefault="00A979D6" w:rsidP="00F36FB4">
      <w:pPr>
        <w:pStyle w:val="ListParagraph"/>
        <w:numPr>
          <w:ilvl w:val="1"/>
          <w:numId w:val="5"/>
        </w:numPr>
        <w:jc w:val="both"/>
        <w:rPr>
          <w:rFonts w:ascii="Arial" w:hAnsi="Arial"/>
          <w:sz w:val="22"/>
          <w:szCs w:val="22"/>
        </w:rPr>
      </w:pPr>
      <w:r w:rsidRPr="0011384D">
        <w:rPr>
          <w:rFonts w:ascii="Arial" w:hAnsi="Arial"/>
          <w:sz w:val="22"/>
          <w:szCs w:val="22"/>
        </w:rPr>
        <w:t xml:space="preserve">In the previous submission, the sponsor indicated it would offer a </w:t>
      </w:r>
      <w:r w:rsidR="005F00A7">
        <w:rPr>
          <w:rFonts w:ascii="Arial" w:hAnsi="Arial"/>
          <w:noProof/>
          <w:color w:val="000000"/>
          <w:sz w:val="22"/>
          <w:szCs w:val="22"/>
          <w:highlight w:val="black"/>
        </w:rPr>
        <w:t>''''''</w:t>
      </w:r>
      <w:r w:rsidRPr="0011384D">
        <w:rPr>
          <w:rFonts w:ascii="Arial" w:hAnsi="Arial"/>
          <w:sz w:val="22"/>
          <w:szCs w:val="22"/>
        </w:rPr>
        <w:t xml:space="preserve">% price reduction upon the listing of the first generic version of modafinil. </w:t>
      </w:r>
      <w:r w:rsidR="000E2111" w:rsidRPr="0011384D">
        <w:rPr>
          <w:rFonts w:ascii="Arial" w:hAnsi="Arial"/>
          <w:sz w:val="22"/>
          <w:szCs w:val="22"/>
        </w:rPr>
        <w:t>In the resubmission, t</w:t>
      </w:r>
      <w:r w:rsidR="009A648E" w:rsidRPr="0011384D">
        <w:rPr>
          <w:rFonts w:ascii="Arial" w:hAnsi="Arial"/>
          <w:sz w:val="22"/>
          <w:szCs w:val="22"/>
        </w:rPr>
        <w:t xml:space="preserve">he sponsor </w:t>
      </w:r>
      <w:r w:rsidR="000E2111" w:rsidRPr="0011384D">
        <w:rPr>
          <w:rFonts w:ascii="Arial" w:hAnsi="Arial"/>
          <w:sz w:val="22"/>
          <w:szCs w:val="22"/>
        </w:rPr>
        <w:t>proposed</w:t>
      </w:r>
      <w:r w:rsidR="009A648E" w:rsidRPr="0011384D">
        <w:rPr>
          <w:rFonts w:ascii="Arial" w:hAnsi="Arial"/>
          <w:sz w:val="22"/>
          <w:szCs w:val="22"/>
        </w:rPr>
        <w:t xml:space="preserve"> a </w:t>
      </w:r>
      <w:r w:rsidR="000E2111" w:rsidRPr="0011384D">
        <w:rPr>
          <w:rFonts w:ascii="Arial" w:hAnsi="Arial"/>
          <w:sz w:val="22"/>
          <w:szCs w:val="22"/>
        </w:rPr>
        <w:t xml:space="preserve">further </w:t>
      </w:r>
      <w:r w:rsidR="009A648E" w:rsidRPr="0011384D">
        <w:rPr>
          <w:rFonts w:ascii="Arial" w:hAnsi="Arial"/>
          <w:sz w:val="22"/>
          <w:szCs w:val="22"/>
        </w:rPr>
        <w:t xml:space="preserve">price reduction of </w:t>
      </w:r>
      <w:r w:rsidR="000E2111" w:rsidRPr="0011384D">
        <w:rPr>
          <w:rFonts w:ascii="Arial" w:hAnsi="Arial"/>
          <w:sz w:val="22"/>
          <w:szCs w:val="22"/>
        </w:rPr>
        <w:t xml:space="preserve">approximately </w:t>
      </w:r>
      <w:r w:rsidR="005F00A7">
        <w:rPr>
          <w:rFonts w:ascii="Arial" w:hAnsi="Arial"/>
          <w:noProof/>
          <w:color w:val="000000"/>
          <w:sz w:val="22"/>
          <w:szCs w:val="22"/>
          <w:highlight w:val="black"/>
        </w:rPr>
        <w:t>'''''''''''</w:t>
      </w:r>
      <w:r w:rsidR="000E2111" w:rsidRPr="0011384D">
        <w:rPr>
          <w:rFonts w:ascii="Arial" w:hAnsi="Arial"/>
          <w:sz w:val="22"/>
          <w:szCs w:val="22"/>
        </w:rPr>
        <w:t>% based on the revised therapeutic relativity presented in the resubmission</w:t>
      </w:r>
      <w:r w:rsidR="00514E15" w:rsidRPr="0011384D">
        <w:rPr>
          <w:rFonts w:ascii="Arial" w:hAnsi="Arial"/>
          <w:sz w:val="22"/>
          <w:szCs w:val="22"/>
        </w:rPr>
        <w:t>.</w:t>
      </w:r>
    </w:p>
    <w:p w:rsidR="00141D1A" w:rsidRPr="0011384D" w:rsidRDefault="00141D1A" w:rsidP="0074571F"/>
    <w:p w:rsidR="00141D1A" w:rsidRPr="0011384D" w:rsidRDefault="00141D1A" w:rsidP="00141D1A">
      <w:pPr>
        <w:jc w:val="both"/>
        <w:rPr>
          <w:rFonts w:ascii="Arial" w:hAnsi="Arial"/>
          <w:b/>
          <w:sz w:val="22"/>
          <w:szCs w:val="22"/>
        </w:rPr>
      </w:pPr>
    </w:p>
    <w:p w:rsidR="00141D1A" w:rsidRPr="0011384D" w:rsidRDefault="00141D1A" w:rsidP="00CD5A17">
      <w:pPr>
        <w:pStyle w:val="Heading1"/>
      </w:pPr>
      <w:r w:rsidRPr="0011384D">
        <w:lastRenderedPageBreak/>
        <w:t>Background</w:t>
      </w:r>
    </w:p>
    <w:p w:rsidR="00141D1A" w:rsidRPr="0011384D" w:rsidRDefault="00141D1A" w:rsidP="00141D1A">
      <w:pPr>
        <w:jc w:val="both"/>
        <w:rPr>
          <w:rFonts w:ascii="Arial" w:hAnsi="Arial"/>
          <w:sz w:val="22"/>
          <w:szCs w:val="22"/>
        </w:rPr>
      </w:pPr>
    </w:p>
    <w:p w:rsidR="00141D1A" w:rsidRPr="0011384D" w:rsidRDefault="001E546D" w:rsidP="001E546D">
      <w:pPr>
        <w:pStyle w:val="ListParagraph"/>
        <w:numPr>
          <w:ilvl w:val="1"/>
          <w:numId w:val="5"/>
        </w:numPr>
        <w:jc w:val="both"/>
        <w:rPr>
          <w:rFonts w:ascii="Arial" w:hAnsi="Arial"/>
          <w:sz w:val="22"/>
          <w:szCs w:val="22"/>
        </w:rPr>
      </w:pPr>
      <w:r w:rsidRPr="0011384D">
        <w:rPr>
          <w:rFonts w:ascii="Arial" w:hAnsi="Arial"/>
          <w:sz w:val="22"/>
          <w:szCs w:val="22"/>
        </w:rPr>
        <w:t>Armod</w:t>
      </w:r>
      <w:r w:rsidR="004939A0" w:rsidRPr="0011384D">
        <w:rPr>
          <w:rFonts w:ascii="Arial" w:hAnsi="Arial"/>
          <w:sz w:val="22"/>
          <w:szCs w:val="22"/>
        </w:rPr>
        <w:t>a</w:t>
      </w:r>
      <w:r w:rsidRPr="0011384D">
        <w:rPr>
          <w:rFonts w:ascii="Arial" w:hAnsi="Arial"/>
          <w:sz w:val="22"/>
          <w:szCs w:val="22"/>
        </w:rPr>
        <w:t>fin</w:t>
      </w:r>
      <w:r w:rsidR="004939A0" w:rsidRPr="0011384D">
        <w:rPr>
          <w:rFonts w:ascii="Arial" w:hAnsi="Arial"/>
          <w:sz w:val="22"/>
          <w:szCs w:val="22"/>
        </w:rPr>
        <w:t>i</w:t>
      </w:r>
      <w:r w:rsidRPr="0011384D">
        <w:rPr>
          <w:rFonts w:ascii="Arial" w:hAnsi="Arial"/>
          <w:sz w:val="22"/>
          <w:szCs w:val="22"/>
        </w:rPr>
        <w:t>l is TGA registered to improve wakefulness in patients with excessive daytime sleepi</w:t>
      </w:r>
      <w:r w:rsidR="00725F0A" w:rsidRPr="0011384D">
        <w:rPr>
          <w:rFonts w:ascii="Arial" w:hAnsi="Arial"/>
          <w:sz w:val="22"/>
          <w:szCs w:val="22"/>
        </w:rPr>
        <w:t xml:space="preserve">ness associated with narcolepsy; </w:t>
      </w:r>
      <w:r w:rsidRPr="0011384D">
        <w:rPr>
          <w:rFonts w:ascii="Arial" w:hAnsi="Arial"/>
          <w:sz w:val="22"/>
          <w:szCs w:val="22"/>
        </w:rPr>
        <w:t>to treat excessive sleepiness associated with moderate to severe chronic shift work sleep disorder where non</w:t>
      </w:r>
      <w:r w:rsidR="00AB6964" w:rsidRPr="0011384D">
        <w:rPr>
          <w:rFonts w:ascii="Arial" w:hAnsi="Arial"/>
          <w:sz w:val="22"/>
          <w:szCs w:val="22"/>
        </w:rPr>
        <w:t>-</w:t>
      </w:r>
      <w:r w:rsidRPr="0011384D">
        <w:rPr>
          <w:rFonts w:ascii="Arial" w:hAnsi="Arial"/>
          <w:sz w:val="22"/>
          <w:szCs w:val="22"/>
        </w:rPr>
        <w:t>pharmacological interventions are unsuccessful or inappropriate; as an adjunct to continuous positive airways pressure (CPAP) in obstructive sleep apnoea/hypopnoea syndrome in order to improve wakefulness.</w:t>
      </w:r>
    </w:p>
    <w:p w:rsidR="00141D1A" w:rsidRPr="0011384D" w:rsidRDefault="00141D1A" w:rsidP="00141D1A">
      <w:pPr>
        <w:pStyle w:val="ListParagraph"/>
        <w:jc w:val="both"/>
        <w:rPr>
          <w:rFonts w:ascii="Arial" w:hAnsi="Arial"/>
          <w:sz w:val="22"/>
          <w:szCs w:val="22"/>
        </w:rPr>
      </w:pPr>
    </w:p>
    <w:p w:rsidR="00141D1A" w:rsidRPr="0011384D" w:rsidRDefault="004939A0" w:rsidP="00141D1A">
      <w:pPr>
        <w:pStyle w:val="ListParagraph"/>
        <w:numPr>
          <w:ilvl w:val="1"/>
          <w:numId w:val="5"/>
        </w:numPr>
        <w:jc w:val="both"/>
        <w:rPr>
          <w:rFonts w:ascii="Arial" w:hAnsi="Arial"/>
          <w:sz w:val="22"/>
          <w:szCs w:val="22"/>
        </w:rPr>
      </w:pPr>
      <w:r w:rsidRPr="0011384D">
        <w:rPr>
          <w:rFonts w:ascii="Arial" w:hAnsi="Arial"/>
          <w:sz w:val="22"/>
          <w:szCs w:val="22"/>
        </w:rPr>
        <w:t xml:space="preserve">A submission for armodafinil </w:t>
      </w:r>
      <w:r w:rsidR="00B839F9" w:rsidRPr="0011384D">
        <w:rPr>
          <w:rFonts w:ascii="Arial" w:hAnsi="Arial"/>
          <w:sz w:val="22"/>
          <w:szCs w:val="22"/>
        </w:rPr>
        <w:t xml:space="preserve">was previously </w:t>
      </w:r>
      <w:r w:rsidRPr="0011384D">
        <w:rPr>
          <w:rFonts w:ascii="Arial" w:hAnsi="Arial"/>
          <w:sz w:val="22"/>
          <w:szCs w:val="22"/>
        </w:rPr>
        <w:t xml:space="preserve">considered and </w:t>
      </w:r>
      <w:r w:rsidR="00B839F9" w:rsidRPr="0011384D">
        <w:rPr>
          <w:rFonts w:ascii="Arial" w:hAnsi="Arial"/>
          <w:sz w:val="22"/>
          <w:szCs w:val="22"/>
        </w:rPr>
        <w:t xml:space="preserve">rejected </w:t>
      </w:r>
      <w:r w:rsidRPr="0011384D">
        <w:rPr>
          <w:rFonts w:ascii="Arial" w:hAnsi="Arial"/>
          <w:sz w:val="22"/>
          <w:szCs w:val="22"/>
        </w:rPr>
        <w:t>by the PBAC at its</w:t>
      </w:r>
      <w:r w:rsidR="00B839F9" w:rsidRPr="0011384D">
        <w:rPr>
          <w:rFonts w:ascii="Arial" w:hAnsi="Arial"/>
          <w:sz w:val="22"/>
          <w:szCs w:val="22"/>
        </w:rPr>
        <w:t xml:space="preserve"> </w:t>
      </w:r>
      <w:r w:rsidR="00AB51DF" w:rsidRPr="0011384D">
        <w:rPr>
          <w:rFonts w:ascii="Arial" w:hAnsi="Arial"/>
          <w:sz w:val="22"/>
          <w:szCs w:val="22"/>
        </w:rPr>
        <w:t>Nov</w:t>
      </w:r>
      <w:r w:rsidR="00B839F9" w:rsidRPr="0011384D">
        <w:rPr>
          <w:rFonts w:ascii="Arial" w:hAnsi="Arial"/>
          <w:sz w:val="22"/>
          <w:szCs w:val="22"/>
        </w:rPr>
        <w:t xml:space="preserve">ember </w:t>
      </w:r>
      <w:r w:rsidRPr="0011384D">
        <w:rPr>
          <w:rFonts w:ascii="Arial" w:hAnsi="Arial"/>
          <w:sz w:val="22"/>
          <w:szCs w:val="22"/>
        </w:rPr>
        <w:t xml:space="preserve">2015 </w:t>
      </w:r>
      <w:r w:rsidR="00B839F9" w:rsidRPr="0011384D">
        <w:rPr>
          <w:rFonts w:ascii="Arial" w:hAnsi="Arial"/>
          <w:sz w:val="22"/>
          <w:szCs w:val="22"/>
        </w:rPr>
        <w:t>meeting.</w:t>
      </w:r>
      <w:r w:rsidR="00AB51DF" w:rsidRPr="0011384D">
        <w:rPr>
          <w:rFonts w:ascii="Arial" w:hAnsi="Arial"/>
          <w:sz w:val="22"/>
          <w:szCs w:val="22"/>
        </w:rPr>
        <w:t xml:space="preserve"> </w:t>
      </w:r>
    </w:p>
    <w:p w:rsidR="00141D1A" w:rsidRPr="0011384D" w:rsidRDefault="00141D1A" w:rsidP="00141D1A">
      <w:pPr>
        <w:pStyle w:val="ListParagraph"/>
        <w:jc w:val="both"/>
        <w:rPr>
          <w:rFonts w:ascii="Arial" w:hAnsi="Arial"/>
          <w:sz w:val="22"/>
          <w:szCs w:val="22"/>
        </w:rPr>
      </w:pPr>
    </w:p>
    <w:p w:rsidR="001E546D" w:rsidRPr="0011384D" w:rsidRDefault="004939A0" w:rsidP="001E546D">
      <w:pPr>
        <w:widowControl w:val="0"/>
        <w:numPr>
          <w:ilvl w:val="1"/>
          <w:numId w:val="5"/>
        </w:numPr>
        <w:contextualSpacing/>
        <w:jc w:val="both"/>
        <w:rPr>
          <w:rFonts w:ascii="Arial" w:hAnsi="Arial" w:cs="Arial"/>
          <w:bCs/>
          <w:sz w:val="22"/>
          <w:szCs w:val="22"/>
        </w:rPr>
      </w:pPr>
      <w:r w:rsidRPr="0011384D">
        <w:rPr>
          <w:rFonts w:ascii="Arial" w:hAnsi="Arial" w:cs="Arial"/>
          <w:bCs/>
          <w:sz w:val="22"/>
          <w:szCs w:val="22"/>
        </w:rPr>
        <w:t>In November 2015, t</w:t>
      </w:r>
      <w:r w:rsidR="001E546D" w:rsidRPr="0011384D">
        <w:rPr>
          <w:rFonts w:ascii="Arial" w:hAnsi="Arial" w:cs="Arial"/>
          <w:bCs/>
          <w:sz w:val="22"/>
          <w:szCs w:val="22"/>
        </w:rPr>
        <w:t>he PBAC considered that there was no apparent unmet clinical need for armodafinil</w:t>
      </w:r>
      <w:r w:rsidRPr="0011384D">
        <w:rPr>
          <w:rFonts w:ascii="Arial" w:hAnsi="Arial" w:cs="Arial"/>
          <w:bCs/>
          <w:sz w:val="22"/>
          <w:szCs w:val="22"/>
        </w:rPr>
        <w:t>,</w:t>
      </w:r>
      <w:r w:rsidR="001E546D" w:rsidRPr="0011384D">
        <w:rPr>
          <w:rFonts w:ascii="Arial" w:hAnsi="Arial" w:cs="Arial"/>
          <w:bCs/>
          <w:sz w:val="22"/>
          <w:szCs w:val="22"/>
        </w:rPr>
        <w:t xml:space="preserve"> and</w:t>
      </w:r>
      <w:r w:rsidRPr="0011384D">
        <w:rPr>
          <w:rFonts w:ascii="Arial" w:hAnsi="Arial" w:cs="Arial"/>
          <w:bCs/>
          <w:sz w:val="22"/>
          <w:szCs w:val="22"/>
        </w:rPr>
        <w:t xml:space="preserve"> that</w:t>
      </w:r>
      <w:r w:rsidR="001E546D" w:rsidRPr="0011384D">
        <w:rPr>
          <w:rFonts w:ascii="Arial" w:hAnsi="Arial" w:cs="Arial"/>
          <w:bCs/>
          <w:sz w:val="22"/>
          <w:szCs w:val="22"/>
        </w:rPr>
        <w:t xml:space="preserve"> the estimation of the equi-effective doses remained uncertain in the cost-minimisation analysis.</w:t>
      </w:r>
    </w:p>
    <w:p w:rsidR="00141D1A" w:rsidRPr="0011384D" w:rsidRDefault="00141D1A" w:rsidP="00141D1A">
      <w:pPr>
        <w:jc w:val="both"/>
        <w:rPr>
          <w:rFonts w:ascii="Arial" w:hAnsi="Arial"/>
          <w:b/>
          <w:sz w:val="22"/>
          <w:szCs w:val="22"/>
        </w:rPr>
      </w:pPr>
    </w:p>
    <w:p w:rsidR="00EF080A" w:rsidRPr="0011384D" w:rsidRDefault="00EF080A" w:rsidP="00141D1A">
      <w:pPr>
        <w:jc w:val="both"/>
        <w:rPr>
          <w:rFonts w:ascii="Arial" w:hAnsi="Arial"/>
          <w:b/>
          <w:sz w:val="22"/>
          <w:szCs w:val="22"/>
        </w:rPr>
      </w:pPr>
    </w:p>
    <w:p w:rsidR="00EF080A" w:rsidRPr="0011384D" w:rsidRDefault="00EF080A" w:rsidP="00CD5A17">
      <w:pPr>
        <w:pStyle w:val="Heading1"/>
        <w:rPr>
          <w:b w:val="0"/>
        </w:rPr>
      </w:pPr>
      <w:r w:rsidRPr="0011384D">
        <w:t>Clinical place for the proposed therapy</w:t>
      </w:r>
    </w:p>
    <w:p w:rsidR="00141D1A" w:rsidRPr="0011384D" w:rsidRDefault="00141D1A" w:rsidP="00141D1A">
      <w:pPr>
        <w:pStyle w:val="Header"/>
        <w:tabs>
          <w:tab w:val="clear" w:pos="4153"/>
          <w:tab w:val="clear" w:pos="8306"/>
        </w:tabs>
        <w:jc w:val="both"/>
        <w:rPr>
          <w:rFonts w:ascii="Arial" w:hAnsi="Arial"/>
          <w:sz w:val="22"/>
          <w:szCs w:val="22"/>
        </w:rPr>
      </w:pPr>
    </w:p>
    <w:p w:rsidR="00EF080A" w:rsidRPr="0011384D" w:rsidRDefault="00EF080A" w:rsidP="00EF080A">
      <w:pPr>
        <w:widowControl w:val="0"/>
        <w:numPr>
          <w:ilvl w:val="1"/>
          <w:numId w:val="5"/>
        </w:numPr>
        <w:contextualSpacing/>
        <w:jc w:val="both"/>
        <w:rPr>
          <w:rFonts w:ascii="Arial" w:hAnsi="Arial"/>
          <w:sz w:val="22"/>
          <w:szCs w:val="22"/>
        </w:rPr>
      </w:pPr>
      <w:r w:rsidRPr="0011384D">
        <w:rPr>
          <w:rFonts w:ascii="Arial" w:hAnsi="Arial"/>
          <w:sz w:val="22"/>
          <w:szCs w:val="22"/>
        </w:rPr>
        <w:t>The resubmission state</w:t>
      </w:r>
      <w:r w:rsidR="00120FB3" w:rsidRPr="0011384D">
        <w:rPr>
          <w:rFonts w:ascii="Arial" w:hAnsi="Arial"/>
          <w:sz w:val="22"/>
          <w:szCs w:val="22"/>
        </w:rPr>
        <w:t>d</w:t>
      </w:r>
      <w:r w:rsidRPr="0011384D">
        <w:rPr>
          <w:rFonts w:ascii="Arial" w:hAnsi="Arial"/>
          <w:sz w:val="22"/>
          <w:szCs w:val="22"/>
        </w:rPr>
        <w:t xml:space="preserve"> that</w:t>
      </w:r>
      <w:r w:rsidR="005E7729" w:rsidRPr="0011384D">
        <w:rPr>
          <w:rFonts w:ascii="Arial" w:hAnsi="Arial"/>
          <w:sz w:val="22"/>
          <w:szCs w:val="22"/>
        </w:rPr>
        <w:t xml:space="preserve"> rates of</w:t>
      </w:r>
      <w:r w:rsidRPr="0011384D">
        <w:rPr>
          <w:rFonts w:ascii="Arial" w:hAnsi="Arial"/>
          <w:sz w:val="22"/>
          <w:szCs w:val="22"/>
        </w:rPr>
        <w:t xml:space="preserve"> withdrawal from modafinil therapy </w:t>
      </w:r>
      <w:r w:rsidR="00120FB3" w:rsidRPr="0011384D">
        <w:rPr>
          <w:rFonts w:ascii="Arial" w:hAnsi="Arial"/>
          <w:sz w:val="22"/>
          <w:szCs w:val="22"/>
        </w:rPr>
        <w:t>indicates</w:t>
      </w:r>
      <w:r w:rsidR="005E7729" w:rsidRPr="0011384D">
        <w:rPr>
          <w:rFonts w:ascii="Arial" w:hAnsi="Arial"/>
          <w:sz w:val="22"/>
          <w:szCs w:val="22"/>
        </w:rPr>
        <w:t xml:space="preserve"> that</w:t>
      </w:r>
      <w:r w:rsidRPr="0011384D">
        <w:rPr>
          <w:rFonts w:ascii="Arial" w:hAnsi="Arial"/>
          <w:sz w:val="22"/>
          <w:szCs w:val="22"/>
        </w:rPr>
        <w:t xml:space="preserve"> there is a clinical need for more than one medication in the therapeutic area, with armodafinil having been shown in long-term studies to provide an effective and tolerable option for some patients. </w:t>
      </w:r>
    </w:p>
    <w:p w:rsidR="00EF080A" w:rsidRPr="0011384D" w:rsidRDefault="00EF080A" w:rsidP="00141D1A">
      <w:pPr>
        <w:pStyle w:val="Header"/>
        <w:tabs>
          <w:tab w:val="clear" w:pos="4153"/>
          <w:tab w:val="clear" w:pos="8306"/>
        </w:tabs>
        <w:jc w:val="both"/>
        <w:rPr>
          <w:rFonts w:ascii="Arial" w:hAnsi="Arial"/>
          <w:sz w:val="22"/>
          <w:szCs w:val="22"/>
        </w:rPr>
      </w:pPr>
    </w:p>
    <w:p w:rsidR="001D6207" w:rsidRPr="0011384D" w:rsidRDefault="001D6207" w:rsidP="001D6207">
      <w:pPr>
        <w:pStyle w:val="ListParagraph"/>
        <w:ind w:left="709"/>
        <w:jc w:val="both"/>
        <w:rPr>
          <w:rFonts w:ascii="Arial" w:hAnsi="Arial"/>
          <w:i/>
          <w:sz w:val="22"/>
          <w:szCs w:val="22"/>
        </w:rPr>
      </w:pPr>
      <w:r w:rsidRPr="0011384D">
        <w:rPr>
          <w:rFonts w:ascii="Arial" w:hAnsi="Arial"/>
          <w:i/>
          <w:sz w:val="22"/>
          <w:szCs w:val="22"/>
        </w:rPr>
        <w:t>For more detail on PBAC’s view, see section 7 “PBAC outcome”</w:t>
      </w:r>
    </w:p>
    <w:p w:rsidR="001D6207" w:rsidRPr="0011384D" w:rsidRDefault="001D6207" w:rsidP="00141D1A">
      <w:pPr>
        <w:pStyle w:val="Header"/>
        <w:tabs>
          <w:tab w:val="clear" w:pos="4153"/>
          <w:tab w:val="clear" w:pos="8306"/>
        </w:tabs>
        <w:jc w:val="both"/>
        <w:rPr>
          <w:rFonts w:ascii="Arial" w:hAnsi="Arial"/>
          <w:sz w:val="22"/>
          <w:szCs w:val="22"/>
        </w:rPr>
      </w:pPr>
    </w:p>
    <w:p w:rsidR="00EF080A" w:rsidRPr="0011384D" w:rsidRDefault="00EF080A" w:rsidP="00141D1A">
      <w:pPr>
        <w:pStyle w:val="Header"/>
        <w:tabs>
          <w:tab w:val="clear" w:pos="4153"/>
          <w:tab w:val="clear" w:pos="8306"/>
        </w:tabs>
        <w:jc w:val="both"/>
        <w:rPr>
          <w:rFonts w:ascii="Arial" w:hAnsi="Arial"/>
          <w:sz w:val="22"/>
          <w:szCs w:val="22"/>
        </w:rPr>
      </w:pPr>
    </w:p>
    <w:p w:rsidR="00141D1A" w:rsidRPr="0011384D" w:rsidRDefault="00141D1A" w:rsidP="00CD5A17">
      <w:pPr>
        <w:pStyle w:val="Heading1"/>
        <w:rPr>
          <w:b w:val="0"/>
        </w:rPr>
      </w:pPr>
      <w:r w:rsidRPr="0011384D">
        <w:t>Comparator</w:t>
      </w:r>
    </w:p>
    <w:p w:rsidR="00141D1A" w:rsidRPr="0011384D" w:rsidRDefault="00141D1A" w:rsidP="00141D1A">
      <w:pPr>
        <w:pStyle w:val="Header"/>
        <w:tabs>
          <w:tab w:val="clear" w:pos="4153"/>
          <w:tab w:val="clear" w:pos="8306"/>
        </w:tabs>
        <w:jc w:val="both"/>
        <w:rPr>
          <w:rFonts w:ascii="Arial" w:hAnsi="Arial"/>
          <w:b/>
          <w:sz w:val="22"/>
          <w:szCs w:val="22"/>
        </w:rPr>
      </w:pPr>
    </w:p>
    <w:p w:rsidR="00AB51DF" w:rsidRPr="0011384D" w:rsidRDefault="00BB2EF9" w:rsidP="00AB51DF">
      <w:pPr>
        <w:pStyle w:val="ListParagraph"/>
        <w:numPr>
          <w:ilvl w:val="1"/>
          <w:numId w:val="5"/>
        </w:numPr>
        <w:jc w:val="both"/>
        <w:rPr>
          <w:rFonts w:ascii="Arial" w:hAnsi="Arial" w:cs="Arial"/>
          <w:sz w:val="22"/>
          <w:szCs w:val="22"/>
        </w:rPr>
      </w:pPr>
      <w:r w:rsidRPr="0011384D">
        <w:rPr>
          <w:rFonts w:ascii="Arial" w:hAnsi="Arial"/>
          <w:sz w:val="22"/>
          <w:szCs w:val="22"/>
        </w:rPr>
        <w:t xml:space="preserve">The previous major submission considered by the PBAC in November 2015 nominated modafinil as the comparator. This </w:t>
      </w:r>
      <w:r w:rsidR="00032E50" w:rsidRPr="0011384D">
        <w:rPr>
          <w:rFonts w:ascii="Arial" w:hAnsi="Arial"/>
          <w:sz w:val="22"/>
          <w:szCs w:val="22"/>
        </w:rPr>
        <w:t>remained</w:t>
      </w:r>
      <w:r w:rsidRPr="0011384D">
        <w:rPr>
          <w:rFonts w:ascii="Arial" w:hAnsi="Arial"/>
          <w:sz w:val="22"/>
          <w:szCs w:val="22"/>
        </w:rPr>
        <w:t xml:space="preserve"> unchanged</w:t>
      </w:r>
      <w:r w:rsidRPr="0011384D">
        <w:rPr>
          <w:rFonts w:ascii="Arial" w:hAnsi="Arial" w:cs="Arial"/>
          <w:sz w:val="22"/>
          <w:szCs w:val="22"/>
        </w:rPr>
        <w:t xml:space="preserve">. </w:t>
      </w:r>
      <w:r w:rsidR="00AB51DF" w:rsidRPr="0011384D">
        <w:rPr>
          <w:rFonts w:ascii="Arial" w:hAnsi="Arial" w:cs="Arial"/>
          <w:sz w:val="22"/>
          <w:szCs w:val="22"/>
        </w:rPr>
        <w:t xml:space="preserve">The PBAC previously </w:t>
      </w:r>
      <w:r w:rsidR="00943A43" w:rsidRPr="0011384D">
        <w:rPr>
          <w:rFonts w:ascii="Arial" w:hAnsi="Arial" w:cs="Arial"/>
          <w:sz w:val="22"/>
          <w:szCs w:val="22"/>
        </w:rPr>
        <w:t xml:space="preserve">agreed that </w:t>
      </w:r>
      <w:r w:rsidR="00AB51DF" w:rsidRPr="0011384D">
        <w:rPr>
          <w:rFonts w:ascii="Arial" w:hAnsi="Arial" w:cs="Arial"/>
          <w:sz w:val="22"/>
          <w:szCs w:val="22"/>
        </w:rPr>
        <w:t xml:space="preserve">modafinil </w:t>
      </w:r>
      <w:r w:rsidR="00943A43" w:rsidRPr="0011384D">
        <w:rPr>
          <w:rFonts w:ascii="Arial" w:hAnsi="Arial" w:cs="Arial"/>
          <w:sz w:val="22"/>
          <w:szCs w:val="22"/>
        </w:rPr>
        <w:t>w</w:t>
      </w:r>
      <w:r w:rsidR="00AB51DF" w:rsidRPr="0011384D">
        <w:rPr>
          <w:rFonts w:ascii="Arial" w:hAnsi="Arial" w:cs="Arial"/>
          <w:sz w:val="22"/>
          <w:szCs w:val="22"/>
        </w:rPr>
        <w:t xml:space="preserve">as the </w:t>
      </w:r>
      <w:r w:rsidRPr="0011384D">
        <w:rPr>
          <w:rFonts w:ascii="Arial" w:hAnsi="Arial" w:cs="Arial"/>
          <w:sz w:val="22"/>
          <w:szCs w:val="22"/>
        </w:rPr>
        <w:t xml:space="preserve">appropriate </w:t>
      </w:r>
      <w:r w:rsidR="00AB51DF" w:rsidRPr="0011384D">
        <w:rPr>
          <w:rFonts w:ascii="Arial" w:hAnsi="Arial" w:cs="Arial"/>
          <w:sz w:val="22"/>
          <w:szCs w:val="22"/>
        </w:rPr>
        <w:t>comparator</w:t>
      </w:r>
      <w:r w:rsidR="00943A43" w:rsidRPr="0011384D">
        <w:rPr>
          <w:rFonts w:ascii="Arial" w:hAnsi="Arial" w:cs="Arial"/>
          <w:sz w:val="22"/>
          <w:szCs w:val="22"/>
        </w:rPr>
        <w:t>, but considered that a comparison against the split dose regimen of modafinil was also relevant</w:t>
      </w:r>
      <w:r w:rsidR="00AB51DF" w:rsidRPr="0011384D">
        <w:rPr>
          <w:rFonts w:ascii="Arial" w:hAnsi="Arial" w:cs="Arial"/>
          <w:sz w:val="22"/>
          <w:szCs w:val="22"/>
        </w:rPr>
        <w:t>.</w:t>
      </w:r>
    </w:p>
    <w:p w:rsidR="00CE6AD7" w:rsidRPr="0011384D" w:rsidRDefault="00CE6AD7" w:rsidP="00CE6AD7">
      <w:pPr>
        <w:pStyle w:val="ListParagraph"/>
        <w:rPr>
          <w:rFonts w:ascii="Arial" w:hAnsi="Arial" w:cs="Arial"/>
          <w:sz w:val="22"/>
          <w:szCs w:val="22"/>
        </w:rPr>
      </w:pPr>
    </w:p>
    <w:p w:rsidR="00BF6006" w:rsidRPr="0011384D" w:rsidRDefault="00BF6006" w:rsidP="00141D1A">
      <w:pPr>
        <w:jc w:val="both"/>
        <w:rPr>
          <w:rFonts w:ascii="Arial" w:hAnsi="Arial"/>
          <w:sz w:val="22"/>
          <w:szCs w:val="22"/>
        </w:rPr>
      </w:pPr>
    </w:p>
    <w:p w:rsidR="00141D1A" w:rsidRPr="0011384D" w:rsidRDefault="00141D1A" w:rsidP="00CD5A17">
      <w:pPr>
        <w:pStyle w:val="Heading1"/>
        <w:rPr>
          <w:b w:val="0"/>
        </w:rPr>
      </w:pPr>
      <w:r w:rsidRPr="0011384D">
        <w:t>Consideration of the evidence</w:t>
      </w:r>
    </w:p>
    <w:p w:rsidR="00BF6006" w:rsidRPr="0011384D" w:rsidRDefault="00BF6006" w:rsidP="00BF6006">
      <w:pPr>
        <w:jc w:val="both"/>
        <w:rPr>
          <w:rFonts w:ascii="Arial" w:hAnsi="Arial"/>
          <w:b/>
          <w:sz w:val="22"/>
          <w:szCs w:val="22"/>
        </w:rPr>
      </w:pPr>
    </w:p>
    <w:p w:rsidR="00BF6006" w:rsidRPr="009F31F6" w:rsidRDefault="00BF6006" w:rsidP="009F31F6">
      <w:pPr>
        <w:pStyle w:val="Heading2"/>
      </w:pPr>
      <w:r w:rsidRPr="009F31F6">
        <w:t>Sponsor hearing</w:t>
      </w:r>
    </w:p>
    <w:p w:rsidR="00BF6006" w:rsidRPr="0011384D" w:rsidRDefault="00BF6006" w:rsidP="00BF6006">
      <w:pPr>
        <w:jc w:val="both"/>
        <w:rPr>
          <w:rFonts w:ascii="Arial" w:hAnsi="Arial"/>
          <w:b/>
          <w:sz w:val="22"/>
          <w:szCs w:val="22"/>
        </w:rPr>
      </w:pPr>
    </w:p>
    <w:p w:rsidR="00BF6006" w:rsidRPr="0011384D" w:rsidRDefault="00BF6006" w:rsidP="00BF6006">
      <w:pPr>
        <w:pStyle w:val="ListParagraph"/>
        <w:numPr>
          <w:ilvl w:val="1"/>
          <w:numId w:val="5"/>
        </w:numPr>
        <w:jc w:val="both"/>
        <w:rPr>
          <w:rFonts w:ascii="Arial" w:hAnsi="Arial"/>
          <w:sz w:val="22"/>
          <w:szCs w:val="22"/>
        </w:rPr>
      </w:pPr>
      <w:r w:rsidRPr="0011384D">
        <w:rPr>
          <w:rFonts w:ascii="Arial" w:hAnsi="Arial"/>
          <w:sz w:val="22"/>
          <w:szCs w:val="22"/>
        </w:rPr>
        <w:t>There was no hearing for this item as it was a minor submission.</w:t>
      </w:r>
    </w:p>
    <w:p w:rsidR="00BF6006" w:rsidRPr="0011384D" w:rsidRDefault="00BF6006" w:rsidP="00BF6006">
      <w:pPr>
        <w:jc w:val="both"/>
        <w:rPr>
          <w:rFonts w:ascii="Arial" w:hAnsi="Arial"/>
          <w:sz w:val="22"/>
          <w:szCs w:val="22"/>
        </w:rPr>
      </w:pPr>
    </w:p>
    <w:p w:rsidR="00BF6006" w:rsidRPr="0011384D" w:rsidRDefault="00BF6006" w:rsidP="009F31F6">
      <w:pPr>
        <w:pStyle w:val="Heading2"/>
      </w:pPr>
      <w:r w:rsidRPr="0011384D">
        <w:t>Consumer comments</w:t>
      </w:r>
    </w:p>
    <w:p w:rsidR="00BF6006" w:rsidRPr="0011384D" w:rsidRDefault="00BF6006" w:rsidP="00BF6006">
      <w:pPr>
        <w:jc w:val="both"/>
        <w:rPr>
          <w:rFonts w:ascii="Arial" w:hAnsi="Arial"/>
          <w:b/>
          <w:sz w:val="22"/>
          <w:szCs w:val="22"/>
        </w:rPr>
      </w:pPr>
    </w:p>
    <w:p w:rsidR="00BF6006" w:rsidRPr="0011384D" w:rsidRDefault="00BF6006" w:rsidP="00BF6006">
      <w:pPr>
        <w:widowControl w:val="0"/>
        <w:numPr>
          <w:ilvl w:val="1"/>
          <w:numId w:val="5"/>
        </w:numPr>
        <w:jc w:val="both"/>
        <w:rPr>
          <w:rFonts w:ascii="Arial" w:hAnsi="Arial" w:cs="Arial"/>
          <w:snapToGrid w:val="0"/>
          <w:sz w:val="22"/>
          <w:szCs w:val="22"/>
          <w:lang w:eastAsia="en-US"/>
        </w:rPr>
      </w:pPr>
      <w:r w:rsidRPr="0011384D">
        <w:rPr>
          <w:rFonts w:ascii="Arial" w:hAnsi="Arial" w:cs="Arial"/>
          <w:snapToGrid w:val="0"/>
          <w:sz w:val="22"/>
          <w:szCs w:val="22"/>
          <w:lang w:eastAsia="en-US"/>
        </w:rPr>
        <w:t xml:space="preserve">The PBAC noted and welcomed the input from health care professionals (4) via the Consumer Comments facility on the PBS website.  The comments described </w:t>
      </w:r>
      <w:r w:rsidR="00730B4C" w:rsidRPr="0011384D">
        <w:rPr>
          <w:rFonts w:ascii="Arial" w:hAnsi="Arial" w:cs="Arial"/>
          <w:snapToGrid w:val="0"/>
          <w:sz w:val="22"/>
          <w:szCs w:val="22"/>
          <w:lang w:eastAsia="en-US"/>
        </w:rPr>
        <w:t>some</w:t>
      </w:r>
      <w:r w:rsidRPr="0011384D">
        <w:rPr>
          <w:rFonts w:ascii="Arial" w:hAnsi="Arial" w:cs="Arial"/>
          <w:snapToGrid w:val="0"/>
          <w:sz w:val="22"/>
          <w:szCs w:val="22"/>
          <w:lang w:eastAsia="en-US"/>
        </w:rPr>
        <w:t xml:space="preserve"> of</w:t>
      </w:r>
      <w:r w:rsidR="00730B4C" w:rsidRPr="0011384D">
        <w:rPr>
          <w:rFonts w:ascii="Arial" w:hAnsi="Arial" w:cs="Arial"/>
          <w:snapToGrid w:val="0"/>
          <w:sz w:val="22"/>
          <w:szCs w:val="22"/>
          <w:lang w:eastAsia="en-US"/>
        </w:rPr>
        <w:t xml:space="preserve"> the</w:t>
      </w:r>
      <w:r w:rsidRPr="0011384D">
        <w:rPr>
          <w:rFonts w:ascii="Arial" w:hAnsi="Arial" w:cs="Arial"/>
          <w:snapToGrid w:val="0"/>
          <w:sz w:val="22"/>
          <w:szCs w:val="22"/>
          <w:lang w:eastAsia="en-US"/>
        </w:rPr>
        <w:t xml:space="preserve"> </w:t>
      </w:r>
      <w:r w:rsidR="000B5EF4" w:rsidRPr="0011384D">
        <w:rPr>
          <w:rFonts w:ascii="Arial" w:hAnsi="Arial" w:cs="Arial"/>
          <w:snapToGrid w:val="0"/>
          <w:sz w:val="22"/>
          <w:szCs w:val="22"/>
          <w:lang w:eastAsia="en-US"/>
        </w:rPr>
        <w:t xml:space="preserve">perceived </w:t>
      </w:r>
      <w:r w:rsidRPr="0011384D">
        <w:rPr>
          <w:rFonts w:ascii="Arial" w:hAnsi="Arial" w:cs="Arial"/>
          <w:snapToGrid w:val="0"/>
          <w:sz w:val="22"/>
          <w:szCs w:val="22"/>
          <w:lang w:eastAsia="en-US"/>
        </w:rPr>
        <w:t xml:space="preserve">benefits of treatment with </w:t>
      </w:r>
      <w:r w:rsidR="00144EA3" w:rsidRPr="0011384D">
        <w:rPr>
          <w:rFonts w:ascii="Arial" w:hAnsi="Arial" w:cs="Arial"/>
          <w:snapToGrid w:val="0"/>
          <w:sz w:val="22"/>
          <w:szCs w:val="22"/>
          <w:lang w:eastAsia="en-US"/>
        </w:rPr>
        <w:t>armodafinil</w:t>
      </w:r>
      <w:r w:rsidRPr="0011384D">
        <w:rPr>
          <w:rFonts w:ascii="Arial" w:hAnsi="Arial" w:cs="Arial"/>
          <w:snapToGrid w:val="0"/>
          <w:sz w:val="22"/>
          <w:szCs w:val="22"/>
          <w:lang w:eastAsia="en-US"/>
        </w:rPr>
        <w:t xml:space="preserve"> including </w:t>
      </w:r>
      <w:r w:rsidR="00EB330C" w:rsidRPr="0011384D">
        <w:rPr>
          <w:rFonts w:ascii="Arial" w:hAnsi="Arial" w:cs="Arial"/>
          <w:snapToGrid w:val="0"/>
          <w:sz w:val="22"/>
          <w:szCs w:val="22"/>
          <w:lang w:eastAsia="en-US"/>
        </w:rPr>
        <w:t>better symptom control</w:t>
      </w:r>
      <w:r w:rsidR="000B5EF4" w:rsidRPr="0011384D">
        <w:rPr>
          <w:rFonts w:ascii="Arial" w:hAnsi="Arial" w:cs="Arial"/>
          <w:snapToGrid w:val="0"/>
          <w:sz w:val="22"/>
          <w:szCs w:val="22"/>
          <w:lang w:eastAsia="en-US"/>
        </w:rPr>
        <w:t xml:space="preserve"> and</w:t>
      </w:r>
      <w:r w:rsidR="00EB330C" w:rsidRPr="0011384D">
        <w:rPr>
          <w:rFonts w:ascii="Arial" w:hAnsi="Arial" w:cs="Arial"/>
          <w:snapToGrid w:val="0"/>
          <w:sz w:val="22"/>
          <w:szCs w:val="22"/>
          <w:lang w:eastAsia="en-US"/>
        </w:rPr>
        <w:t xml:space="preserve"> </w:t>
      </w:r>
      <w:r w:rsidR="000B5EF4" w:rsidRPr="0011384D">
        <w:rPr>
          <w:rFonts w:ascii="Arial" w:hAnsi="Arial" w:cs="Arial"/>
          <w:snapToGrid w:val="0"/>
          <w:sz w:val="22"/>
          <w:szCs w:val="22"/>
          <w:lang w:eastAsia="en-US"/>
        </w:rPr>
        <w:t xml:space="preserve">convenience </w:t>
      </w:r>
      <w:r w:rsidR="00EB330C" w:rsidRPr="0011384D">
        <w:rPr>
          <w:rFonts w:ascii="Arial" w:hAnsi="Arial" w:cs="Arial"/>
          <w:snapToGrid w:val="0"/>
          <w:sz w:val="22"/>
          <w:szCs w:val="22"/>
          <w:lang w:eastAsia="en-US"/>
        </w:rPr>
        <w:t>of single dose treatment.</w:t>
      </w:r>
    </w:p>
    <w:p w:rsidR="00B647DA" w:rsidRPr="0011384D" w:rsidRDefault="00B647DA" w:rsidP="00141D1A">
      <w:pPr>
        <w:jc w:val="both"/>
        <w:rPr>
          <w:rFonts w:ascii="Arial" w:hAnsi="Arial"/>
          <w:b/>
          <w:i/>
          <w:sz w:val="22"/>
          <w:szCs w:val="22"/>
        </w:rPr>
      </w:pPr>
    </w:p>
    <w:p w:rsidR="00141D1A" w:rsidRPr="0011384D" w:rsidRDefault="00141D1A" w:rsidP="009F31F6">
      <w:pPr>
        <w:pStyle w:val="Heading2"/>
      </w:pPr>
      <w:r w:rsidRPr="0011384D">
        <w:t>Clinical trials</w:t>
      </w:r>
    </w:p>
    <w:p w:rsidR="00141D1A" w:rsidRPr="0011384D" w:rsidRDefault="00141D1A" w:rsidP="00141D1A">
      <w:pPr>
        <w:jc w:val="both"/>
        <w:rPr>
          <w:rFonts w:ascii="Arial" w:hAnsi="Arial"/>
          <w:sz w:val="22"/>
          <w:szCs w:val="22"/>
        </w:rPr>
      </w:pPr>
    </w:p>
    <w:p w:rsidR="00141D1A" w:rsidRPr="0011384D" w:rsidRDefault="007D04D3" w:rsidP="00CE6AD7">
      <w:pPr>
        <w:pStyle w:val="ListParagraph"/>
        <w:numPr>
          <w:ilvl w:val="1"/>
          <w:numId w:val="5"/>
        </w:numPr>
        <w:jc w:val="both"/>
        <w:rPr>
          <w:rFonts w:ascii="Arial" w:hAnsi="Arial"/>
          <w:sz w:val="22"/>
          <w:szCs w:val="22"/>
        </w:rPr>
      </w:pPr>
      <w:r w:rsidRPr="0011384D">
        <w:rPr>
          <w:rFonts w:ascii="Arial" w:hAnsi="Arial"/>
          <w:sz w:val="22"/>
          <w:szCs w:val="22"/>
        </w:rPr>
        <w:t>As a minor submission, no new</w:t>
      </w:r>
      <w:r w:rsidR="00141D1A" w:rsidRPr="0011384D">
        <w:rPr>
          <w:rFonts w:ascii="Arial" w:hAnsi="Arial"/>
          <w:sz w:val="22"/>
          <w:szCs w:val="22"/>
        </w:rPr>
        <w:t xml:space="preserve"> clinical t</w:t>
      </w:r>
      <w:r w:rsidR="000B051D" w:rsidRPr="0011384D">
        <w:rPr>
          <w:rFonts w:ascii="Arial" w:hAnsi="Arial"/>
          <w:sz w:val="22"/>
          <w:szCs w:val="22"/>
        </w:rPr>
        <w:t>rials were presented in the re</w:t>
      </w:r>
      <w:r w:rsidR="00141D1A" w:rsidRPr="0011384D">
        <w:rPr>
          <w:rFonts w:ascii="Arial" w:hAnsi="Arial"/>
          <w:sz w:val="22"/>
          <w:szCs w:val="22"/>
        </w:rPr>
        <w:t>submission.</w:t>
      </w:r>
    </w:p>
    <w:p w:rsidR="00116E28" w:rsidRPr="0011384D" w:rsidRDefault="00116E28" w:rsidP="00116E28">
      <w:pPr>
        <w:jc w:val="both"/>
        <w:rPr>
          <w:rFonts w:ascii="Arial" w:hAnsi="Arial"/>
          <w:sz w:val="22"/>
          <w:szCs w:val="22"/>
        </w:rPr>
      </w:pPr>
    </w:p>
    <w:p w:rsidR="00116E28" w:rsidRPr="0011384D" w:rsidRDefault="00116E28" w:rsidP="00116E28">
      <w:pPr>
        <w:pStyle w:val="ListParagraph"/>
        <w:numPr>
          <w:ilvl w:val="1"/>
          <w:numId w:val="5"/>
        </w:numPr>
        <w:jc w:val="both"/>
        <w:rPr>
          <w:rFonts w:ascii="Arial" w:hAnsi="Arial"/>
          <w:sz w:val="22"/>
          <w:szCs w:val="22"/>
        </w:rPr>
      </w:pPr>
      <w:r w:rsidRPr="0011384D">
        <w:rPr>
          <w:rFonts w:ascii="Arial" w:hAnsi="Arial"/>
          <w:sz w:val="22"/>
          <w:szCs w:val="22"/>
        </w:rPr>
        <w:t xml:space="preserve">The previous November 2015 submission was based on an indirect comparison between one placebo controlled armodafinil trial (Trial 3020, published as Harsh et al 2006) and a meta-analysis of two modafinil placebo controlled trials (Fry 1998 and Gross 2000), using the placebo arms as the common reference. </w:t>
      </w:r>
    </w:p>
    <w:p w:rsidR="00141D1A" w:rsidRPr="0011384D" w:rsidRDefault="00141D1A" w:rsidP="00141D1A">
      <w:pPr>
        <w:jc w:val="both"/>
        <w:rPr>
          <w:rFonts w:ascii="Arial" w:hAnsi="Arial"/>
          <w:sz w:val="22"/>
          <w:szCs w:val="22"/>
        </w:rPr>
      </w:pPr>
    </w:p>
    <w:p w:rsidR="003F1BF4" w:rsidRPr="0011384D" w:rsidRDefault="003F1BF4" w:rsidP="009F31F6">
      <w:pPr>
        <w:pStyle w:val="Heading2"/>
      </w:pPr>
      <w:r w:rsidRPr="0011384D">
        <w:t>Comparative effectiveness</w:t>
      </w:r>
    </w:p>
    <w:p w:rsidR="00120FB3" w:rsidRPr="0011384D" w:rsidRDefault="00120FB3" w:rsidP="00120FB3">
      <w:pPr>
        <w:pStyle w:val="ListParagraph"/>
        <w:rPr>
          <w:rFonts w:ascii="Arial" w:hAnsi="Arial"/>
          <w:sz w:val="22"/>
          <w:szCs w:val="22"/>
        </w:rPr>
      </w:pPr>
    </w:p>
    <w:p w:rsidR="00120FB3" w:rsidRPr="0011384D" w:rsidRDefault="00120FB3" w:rsidP="00120FB3">
      <w:pPr>
        <w:pStyle w:val="ListParagraph"/>
        <w:numPr>
          <w:ilvl w:val="1"/>
          <w:numId w:val="5"/>
        </w:numPr>
        <w:jc w:val="both"/>
        <w:rPr>
          <w:rFonts w:ascii="Arial" w:hAnsi="Arial" w:cs="Arial"/>
          <w:sz w:val="22"/>
          <w:szCs w:val="22"/>
        </w:rPr>
      </w:pPr>
      <w:r w:rsidRPr="0011384D">
        <w:rPr>
          <w:rFonts w:ascii="Arial" w:hAnsi="Arial"/>
          <w:sz w:val="22"/>
          <w:szCs w:val="22"/>
        </w:rPr>
        <w:t xml:space="preserve">The resubmission presented data to indicate the differences </w:t>
      </w:r>
      <w:r w:rsidRPr="0011384D">
        <w:rPr>
          <w:rFonts w:ascii="Arial" w:hAnsi="Arial"/>
          <w:color w:val="000000"/>
          <w:sz w:val="22"/>
          <w:szCs w:val="20"/>
        </w:rPr>
        <w:t>between armodafinil and modafinil</w:t>
      </w:r>
      <w:r w:rsidR="00C45A4A" w:rsidRPr="0011384D">
        <w:rPr>
          <w:rFonts w:ascii="Arial" w:hAnsi="Arial"/>
          <w:color w:val="000000"/>
          <w:sz w:val="22"/>
          <w:szCs w:val="20"/>
        </w:rPr>
        <w:t xml:space="preserve"> (see table below)</w:t>
      </w:r>
      <w:r w:rsidRPr="0011384D">
        <w:rPr>
          <w:rFonts w:ascii="Arial" w:hAnsi="Arial"/>
          <w:color w:val="000000"/>
          <w:sz w:val="22"/>
          <w:szCs w:val="20"/>
        </w:rPr>
        <w:t xml:space="preserve">. The resubmission proposed that these differences are substantive enough to have a clinical impact and that patients not responding to one drug may respond to the other therapy. It </w:t>
      </w:r>
      <w:r w:rsidR="0098541B" w:rsidRPr="0011384D">
        <w:rPr>
          <w:rFonts w:ascii="Arial" w:hAnsi="Arial"/>
          <w:color w:val="000000"/>
          <w:sz w:val="22"/>
          <w:szCs w:val="20"/>
        </w:rPr>
        <w:t>wa</w:t>
      </w:r>
      <w:r w:rsidRPr="0011384D">
        <w:rPr>
          <w:rFonts w:ascii="Arial" w:hAnsi="Arial"/>
          <w:color w:val="000000"/>
          <w:sz w:val="22"/>
          <w:szCs w:val="20"/>
        </w:rPr>
        <w:t>s suggested that even though the change between the two medications might be conceived as minimal, they are substantive enough to impact clinically.</w:t>
      </w:r>
    </w:p>
    <w:p w:rsidR="003F1BF4" w:rsidRPr="0011384D" w:rsidRDefault="003F1BF4" w:rsidP="00141D1A">
      <w:pPr>
        <w:jc w:val="both"/>
        <w:rPr>
          <w:rFonts w:ascii="Arial" w:hAnsi="Arial"/>
          <w:sz w:val="22"/>
          <w:szCs w:val="22"/>
        </w:rPr>
      </w:pPr>
    </w:p>
    <w:p w:rsidR="003F1BF4" w:rsidRPr="0011384D" w:rsidRDefault="003F1BF4" w:rsidP="006824FA">
      <w:pPr>
        <w:keepNext/>
        <w:tabs>
          <w:tab w:val="left" w:pos="567"/>
        </w:tabs>
        <w:spacing w:before="240" w:after="120" w:line="276" w:lineRule="auto"/>
        <w:ind w:left="1191" w:hanging="482"/>
        <w:contextualSpacing/>
        <w:rPr>
          <w:rFonts w:ascii="Arial Narrow" w:hAnsi="Arial Narrow"/>
          <w:b/>
          <w:color w:val="000000"/>
          <w:sz w:val="20"/>
          <w:szCs w:val="20"/>
          <w:highlight w:val="yellow"/>
        </w:rPr>
      </w:pPr>
      <w:r w:rsidRPr="0011384D">
        <w:rPr>
          <w:rFonts w:ascii="Arial Narrow" w:hAnsi="Arial Narrow"/>
          <w:b/>
          <w:color w:val="000000"/>
          <w:sz w:val="20"/>
          <w:szCs w:val="20"/>
        </w:rPr>
        <w:t>Table 1:</w:t>
      </w:r>
      <w:r w:rsidRPr="0011384D">
        <w:rPr>
          <w:rFonts w:ascii="Arial Narrow" w:hAnsi="Arial Narrow"/>
          <w:b/>
          <w:color w:val="000000"/>
          <w:sz w:val="20"/>
          <w:szCs w:val="20"/>
        </w:rPr>
        <w:tab/>
        <w:t>Comparison of key properties of armodafinil and modafinil</w:t>
      </w:r>
    </w:p>
    <w:tbl>
      <w:tblPr>
        <w:tblStyle w:val="TableGrid1"/>
        <w:tblW w:w="8363" w:type="dxa"/>
        <w:tblInd w:w="817" w:type="dxa"/>
        <w:tblLook w:val="04A0" w:firstRow="1" w:lastRow="0" w:firstColumn="1" w:lastColumn="0" w:noHBand="0" w:noVBand="1"/>
        <w:tblCaption w:val="Table 2: Summary of results of the indirect comparisons (adalimumab vs infliximab) and (adalimumab vs vedolizumab)"/>
      </w:tblPr>
      <w:tblGrid>
        <w:gridCol w:w="1510"/>
        <w:gridCol w:w="2709"/>
        <w:gridCol w:w="4144"/>
      </w:tblGrid>
      <w:tr w:rsidR="003F1BF4" w:rsidRPr="0011384D" w:rsidTr="006824FA">
        <w:trPr>
          <w:trHeight w:val="322"/>
          <w:tblHeader/>
        </w:trPr>
        <w:tc>
          <w:tcPr>
            <w:tcW w:w="1510" w:type="dxa"/>
            <w:shd w:val="clear" w:color="auto" w:fill="BFBFBF" w:themeFill="background1" w:themeFillShade="BF"/>
          </w:tcPr>
          <w:p w:rsidR="003F1BF4" w:rsidRPr="0011384D" w:rsidRDefault="003F1BF4" w:rsidP="0074571F">
            <w:pPr>
              <w:spacing w:before="40" w:after="40"/>
              <w:rPr>
                <w:rFonts w:ascii="Arial Narrow" w:hAnsi="Arial Narrow"/>
                <w:color w:val="000000"/>
                <w:sz w:val="20"/>
                <w:szCs w:val="20"/>
              </w:rPr>
            </w:pPr>
          </w:p>
        </w:tc>
        <w:tc>
          <w:tcPr>
            <w:tcW w:w="2709" w:type="dxa"/>
            <w:shd w:val="clear" w:color="auto" w:fill="BFBFBF" w:themeFill="background1" w:themeFillShade="BF"/>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t>Armodafinil</w:t>
            </w:r>
          </w:p>
        </w:tc>
        <w:tc>
          <w:tcPr>
            <w:tcW w:w="4144" w:type="dxa"/>
            <w:shd w:val="clear" w:color="auto" w:fill="BFBFBF" w:themeFill="background1" w:themeFillShade="BF"/>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t>Modafinil</w:t>
            </w:r>
          </w:p>
        </w:tc>
      </w:tr>
      <w:tr w:rsidR="003F1BF4" w:rsidRPr="0011384D" w:rsidTr="006824FA">
        <w:trPr>
          <w:trHeight w:val="305"/>
        </w:trPr>
        <w:tc>
          <w:tcPr>
            <w:tcW w:w="1510" w:type="dxa"/>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t>ATC Code</w:t>
            </w:r>
          </w:p>
        </w:tc>
        <w:tc>
          <w:tcPr>
            <w:tcW w:w="2709"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N06BA13</w:t>
            </w:r>
          </w:p>
        </w:tc>
        <w:tc>
          <w:tcPr>
            <w:tcW w:w="4144"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N06BA07</w:t>
            </w:r>
          </w:p>
        </w:tc>
      </w:tr>
      <w:tr w:rsidR="003F1BF4" w:rsidRPr="0011384D" w:rsidTr="006824FA">
        <w:trPr>
          <w:trHeight w:val="559"/>
        </w:trPr>
        <w:tc>
          <w:tcPr>
            <w:tcW w:w="1510" w:type="dxa"/>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t>Enantiomers</w:t>
            </w:r>
          </w:p>
        </w:tc>
        <w:tc>
          <w:tcPr>
            <w:tcW w:w="2709"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contains solely the R-enantiomer of modafinil</w:t>
            </w:r>
          </w:p>
        </w:tc>
        <w:tc>
          <w:tcPr>
            <w:tcW w:w="4144"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contains both the “R” and “S” enantiomers of modafinil</w:t>
            </w:r>
          </w:p>
        </w:tc>
      </w:tr>
      <w:tr w:rsidR="003F1BF4" w:rsidRPr="0011384D" w:rsidTr="006824FA">
        <w:trPr>
          <w:trHeight w:val="322"/>
        </w:trPr>
        <w:tc>
          <w:tcPr>
            <w:tcW w:w="1510" w:type="dxa"/>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t>Strengths</w:t>
            </w:r>
          </w:p>
        </w:tc>
        <w:tc>
          <w:tcPr>
            <w:tcW w:w="2709"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50, 150 and 250 mg</w:t>
            </w:r>
          </w:p>
        </w:tc>
        <w:tc>
          <w:tcPr>
            <w:tcW w:w="4144"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100 mg</w:t>
            </w:r>
          </w:p>
        </w:tc>
      </w:tr>
      <w:tr w:rsidR="003F1BF4" w:rsidRPr="0011384D" w:rsidTr="006824FA">
        <w:trPr>
          <w:trHeight w:val="812"/>
        </w:trPr>
        <w:tc>
          <w:tcPr>
            <w:tcW w:w="1510" w:type="dxa"/>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t>Dosing</w:t>
            </w:r>
          </w:p>
        </w:tc>
        <w:tc>
          <w:tcPr>
            <w:tcW w:w="2709"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Starting Dose: 150mg</w:t>
            </w:r>
          </w:p>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u w:val="single"/>
              </w:rPr>
              <w:t>Narcolepsy</w:t>
            </w:r>
            <w:r w:rsidRPr="0011384D">
              <w:rPr>
                <w:rFonts w:ascii="Arial Narrow" w:hAnsi="Arial Narrow"/>
                <w:color w:val="000000"/>
                <w:sz w:val="20"/>
                <w:szCs w:val="20"/>
              </w:rPr>
              <w:t xml:space="preserve">: 150 mg or 250 mg given once daily in the morning. </w:t>
            </w:r>
          </w:p>
        </w:tc>
        <w:tc>
          <w:tcPr>
            <w:tcW w:w="4144"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Starting Dose: 200mg</w:t>
            </w:r>
            <w:r w:rsidRPr="0011384D">
              <w:rPr>
                <w:rFonts w:ascii="Arial Narrow" w:hAnsi="Arial Narrow"/>
                <w:color w:val="000000"/>
                <w:sz w:val="20"/>
                <w:szCs w:val="20"/>
                <w:vertAlign w:val="superscript"/>
              </w:rPr>
              <w:footnoteReference w:id="1"/>
            </w:r>
          </w:p>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u w:val="single"/>
              </w:rPr>
              <w:t>Narcolepsy:</w:t>
            </w:r>
            <w:r w:rsidRPr="0011384D">
              <w:rPr>
                <w:rFonts w:ascii="Arial Narrow" w:hAnsi="Arial Narrow"/>
                <w:color w:val="000000"/>
                <w:sz w:val="20"/>
                <w:szCs w:val="20"/>
              </w:rPr>
              <w:t xml:space="preserve"> 200 to 400 mg/day, given as a single dose in the morning, or as two divided doses, in the morning and at noon.</w:t>
            </w:r>
          </w:p>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Doses of 400 mg/day have been well tolerated, but there is no statistically significant evidence that this dose confers additional benefit beyond that of the 200 mg dose. It is proposed that split dosing may be appropriate for patients who experience a late afternoon dip in wakefulness at a proposed dosing of 400mg spilt into 200mg in the morning and 200mg at noon.</w:t>
            </w:r>
            <w:r w:rsidRPr="0011384D">
              <w:rPr>
                <w:rFonts w:ascii="Arial Narrow" w:hAnsi="Arial Narrow"/>
                <w:color w:val="000000"/>
                <w:sz w:val="20"/>
                <w:szCs w:val="20"/>
                <w:vertAlign w:val="superscript"/>
              </w:rPr>
              <w:t>1,</w:t>
            </w:r>
            <w:r w:rsidRPr="0011384D">
              <w:rPr>
                <w:rFonts w:ascii="Arial Narrow" w:hAnsi="Arial Narrow"/>
                <w:color w:val="000000"/>
                <w:sz w:val="20"/>
                <w:szCs w:val="20"/>
                <w:vertAlign w:val="superscript"/>
              </w:rPr>
              <w:footnoteReference w:id="2"/>
            </w:r>
          </w:p>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For patients who require more than 200 mg/day, the dose should be increased, to a maximum of 400 mg/day, in increments of 100 mg as needed and tolerated.</w:t>
            </w:r>
          </w:p>
        </w:tc>
      </w:tr>
      <w:tr w:rsidR="003F1BF4" w:rsidRPr="0011384D" w:rsidTr="006824FA">
        <w:trPr>
          <w:trHeight w:val="559"/>
        </w:trPr>
        <w:tc>
          <w:tcPr>
            <w:tcW w:w="1510" w:type="dxa"/>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t>Recommended Starting Dose</w:t>
            </w:r>
          </w:p>
        </w:tc>
        <w:tc>
          <w:tcPr>
            <w:tcW w:w="2709"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150mg</w:t>
            </w:r>
          </w:p>
        </w:tc>
        <w:tc>
          <w:tcPr>
            <w:tcW w:w="4144"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200 mg</w:t>
            </w:r>
          </w:p>
        </w:tc>
      </w:tr>
      <w:tr w:rsidR="003F1BF4" w:rsidRPr="0011384D" w:rsidTr="006824FA">
        <w:trPr>
          <w:trHeight w:val="847"/>
        </w:trPr>
        <w:tc>
          <w:tcPr>
            <w:tcW w:w="1510" w:type="dxa"/>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t>C</w:t>
            </w:r>
            <w:r w:rsidRPr="0011384D">
              <w:rPr>
                <w:rFonts w:ascii="Arial Narrow" w:hAnsi="Arial Narrow"/>
                <w:b/>
                <w:color w:val="000000"/>
                <w:sz w:val="20"/>
                <w:szCs w:val="20"/>
                <w:vertAlign w:val="subscript"/>
              </w:rPr>
              <w:t>max</w:t>
            </w:r>
          </w:p>
        </w:tc>
        <w:tc>
          <w:tcPr>
            <w:tcW w:w="2709"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2.99 µg/mL after a 100 mg dose</w:t>
            </w:r>
            <w:r w:rsidRPr="0011384D">
              <w:rPr>
                <w:rFonts w:ascii="Arial Narrow" w:hAnsi="Arial Narrow"/>
                <w:color w:val="000000"/>
                <w:sz w:val="20"/>
                <w:szCs w:val="20"/>
                <w:vertAlign w:val="superscript"/>
              </w:rPr>
              <w:footnoteReference w:id="3"/>
            </w:r>
          </w:p>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5.9  µg/mL after a 250 mg dose</w:t>
            </w:r>
            <w:r w:rsidRPr="0011384D">
              <w:rPr>
                <w:rFonts w:ascii="Arial Narrow" w:hAnsi="Arial Narrow"/>
                <w:color w:val="000000"/>
                <w:sz w:val="20"/>
                <w:szCs w:val="20"/>
                <w:vertAlign w:val="superscript"/>
              </w:rPr>
              <w:t>3</w:t>
            </w:r>
          </w:p>
        </w:tc>
        <w:tc>
          <w:tcPr>
            <w:tcW w:w="4144"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3.3 mg/mL after a 200 mg dose</w:t>
            </w:r>
          </w:p>
        </w:tc>
      </w:tr>
      <w:tr w:rsidR="003F1BF4" w:rsidRPr="0011384D" w:rsidTr="006824FA">
        <w:trPr>
          <w:trHeight w:val="322"/>
        </w:trPr>
        <w:tc>
          <w:tcPr>
            <w:tcW w:w="1510" w:type="dxa"/>
          </w:tcPr>
          <w:p w:rsidR="003F1BF4" w:rsidRPr="0011384D" w:rsidRDefault="003F1BF4" w:rsidP="0074571F">
            <w:pPr>
              <w:spacing w:before="40" w:after="40"/>
              <w:rPr>
                <w:rFonts w:ascii="Arial Narrow" w:hAnsi="Arial Narrow"/>
                <w:b/>
                <w:color w:val="000000"/>
                <w:sz w:val="20"/>
                <w:szCs w:val="20"/>
              </w:rPr>
            </w:pPr>
            <w:r w:rsidRPr="0011384D">
              <w:rPr>
                <w:rFonts w:ascii="Arial Narrow" w:hAnsi="Arial Narrow"/>
                <w:b/>
                <w:color w:val="000000"/>
                <w:sz w:val="20"/>
                <w:szCs w:val="20"/>
              </w:rPr>
              <w:lastRenderedPageBreak/>
              <w:t>T</w:t>
            </w:r>
            <w:r w:rsidRPr="0011384D">
              <w:rPr>
                <w:rFonts w:ascii="Arial Narrow" w:hAnsi="Arial Narrow"/>
                <w:b/>
                <w:color w:val="000000"/>
                <w:sz w:val="20"/>
                <w:szCs w:val="20"/>
                <w:vertAlign w:val="subscript"/>
              </w:rPr>
              <w:t>max</w:t>
            </w:r>
          </w:p>
        </w:tc>
        <w:tc>
          <w:tcPr>
            <w:tcW w:w="2709"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2 hours</w:t>
            </w:r>
            <w:r w:rsidRPr="0011384D">
              <w:rPr>
                <w:rFonts w:ascii="Arial Narrow" w:hAnsi="Arial Narrow"/>
                <w:color w:val="000000"/>
                <w:sz w:val="20"/>
                <w:szCs w:val="20"/>
                <w:vertAlign w:val="superscript"/>
              </w:rPr>
              <w:footnoteReference w:id="4"/>
            </w:r>
          </w:p>
        </w:tc>
        <w:tc>
          <w:tcPr>
            <w:tcW w:w="4144" w:type="dxa"/>
          </w:tcPr>
          <w:p w:rsidR="003F1BF4" w:rsidRPr="0011384D" w:rsidRDefault="003F1BF4" w:rsidP="0074571F">
            <w:pPr>
              <w:spacing w:before="40" w:after="40"/>
              <w:rPr>
                <w:rFonts w:ascii="Arial Narrow" w:hAnsi="Arial Narrow"/>
                <w:color w:val="000000"/>
                <w:sz w:val="20"/>
                <w:szCs w:val="20"/>
              </w:rPr>
            </w:pPr>
            <w:r w:rsidRPr="0011384D">
              <w:rPr>
                <w:rFonts w:ascii="Arial Narrow" w:hAnsi="Arial Narrow"/>
                <w:color w:val="000000"/>
                <w:sz w:val="20"/>
                <w:szCs w:val="20"/>
              </w:rPr>
              <w:t>2-4 hours</w:t>
            </w:r>
            <w:r w:rsidRPr="0011384D">
              <w:rPr>
                <w:rFonts w:ascii="Arial Narrow" w:hAnsi="Arial Narrow"/>
                <w:color w:val="000000"/>
                <w:sz w:val="20"/>
                <w:szCs w:val="20"/>
                <w:vertAlign w:val="superscript"/>
              </w:rPr>
              <w:footnoteReference w:id="5"/>
            </w:r>
          </w:p>
        </w:tc>
      </w:tr>
    </w:tbl>
    <w:p w:rsidR="003F1BF4" w:rsidRPr="0011384D" w:rsidRDefault="00C45A4A" w:rsidP="00141D1A">
      <w:pPr>
        <w:jc w:val="both"/>
        <w:rPr>
          <w:rFonts w:ascii="Arial Narrow" w:hAnsi="Arial Narrow"/>
          <w:sz w:val="22"/>
          <w:szCs w:val="22"/>
        </w:rPr>
      </w:pPr>
      <w:r w:rsidRPr="0011384D">
        <w:rPr>
          <w:rFonts w:ascii="Arial" w:hAnsi="Arial"/>
          <w:sz w:val="22"/>
          <w:szCs w:val="22"/>
        </w:rPr>
        <w:tab/>
      </w:r>
      <w:r w:rsidRPr="0011384D">
        <w:rPr>
          <w:rFonts w:ascii="Arial Narrow" w:hAnsi="Arial Narrow"/>
          <w:sz w:val="18"/>
          <w:szCs w:val="22"/>
        </w:rPr>
        <w:t>Source: submission, Table 2 p.7</w:t>
      </w:r>
    </w:p>
    <w:p w:rsidR="00C45A4A" w:rsidRPr="0011384D" w:rsidRDefault="00C45A4A" w:rsidP="00141D1A">
      <w:pPr>
        <w:jc w:val="both"/>
        <w:rPr>
          <w:rFonts w:ascii="Arial" w:hAnsi="Arial"/>
          <w:sz w:val="22"/>
          <w:szCs w:val="22"/>
        </w:rPr>
      </w:pPr>
    </w:p>
    <w:p w:rsidR="0070062C" w:rsidRPr="0011384D" w:rsidRDefault="0070062C" w:rsidP="006824FA">
      <w:pPr>
        <w:pStyle w:val="ListParagraph"/>
        <w:numPr>
          <w:ilvl w:val="1"/>
          <w:numId w:val="5"/>
        </w:numPr>
        <w:jc w:val="both"/>
        <w:rPr>
          <w:rFonts w:ascii="Arial" w:hAnsi="Arial"/>
          <w:sz w:val="22"/>
          <w:szCs w:val="22"/>
        </w:rPr>
      </w:pPr>
      <w:r w:rsidRPr="0011384D">
        <w:rPr>
          <w:rFonts w:ascii="Arial" w:hAnsi="Arial"/>
          <w:sz w:val="22"/>
          <w:szCs w:val="22"/>
        </w:rPr>
        <w:t xml:space="preserve">The resubmission highlighted differences in plasma concentrations (plasma concentration following armodafinil administration is higher late in the day than that following modafinil administration) and dose response (armodafinil </w:t>
      </w:r>
      <w:r w:rsidR="001D1930" w:rsidRPr="0011384D">
        <w:rPr>
          <w:rFonts w:ascii="Arial" w:hAnsi="Arial"/>
          <w:sz w:val="22"/>
          <w:szCs w:val="22"/>
        </w:rPr>
        <w:t>exhibits</w:t>
      </w:r>
      <w:r w:rsidRPr="0011384D">
        <w:rPr>
          <w:rFonts w:ascii="Arial" w:hAnsi="Arial"/>
          <w:sz w:val="22"/>
          <w:szCs w:val="22"/>
        </w:rPr>
        <w:t xml:space="preserve"> linear pharmacokinetics while modafinil pharmacokinetics are dose-independent).</w:t>
      </w:r>
    </w:p>
    <w:p w:rsidR="006712E6" w:rsidRPr="0011384D" w:rsidRDefault="006712E6" w:rsidP="00141D1A">
      <w:pPr>
        <w:jc w:val="both"/>
        <w:rPr>
          <w:rFonts w:ascii="Arial" w:hAnsi="Arial"/>
          <w:sz w:val="22"/>
          <w:szCs w:val="22"/>
        </w:rPr>
      </w:pPr>
    </w:p>
    <w:p w:rsidR="00141D1A" w:rsidRPr="0011384D" w:rsidRDefault="00141D1A" w:rsidP="009F31F6">
      <w:pPr>
        <w:pStyle w:val="Heading2"/>
      </w:pPr>
      <w:r w:rsidRPr="0011384D">
        <w:t>Clinical claim</w:t>
      </w:r>
    </w:p>
    <w:p w:rsidR="00141D1A" w:rsidRPr="0011384D" w:rsidRDefault="00141D1A" w:rsidP="00141D1A">
      <w:pPr>
        <w:ind w:left="720" w:hanging="720"/>
        <w:jc w:val="both"/>
        <w:rPr>
          <w:rFonts w:ascii="Arial" w:hAnsi="Arial"/>
          <w:sz w:val="22"/>
          <w:szCs w:val="22"/>
        </w:rPr>
      </w:pPr>
    </w:p>
    <w:p w:rsidR="00C97964" w:rsidRPr="0011384D" w:rsidRDefault="00943A43" w:rsidP="00347D41">
      <w:pPr>
        <w:pStyle w:val="ListParagraph"/>
        <w:numPr>
          <w:ilvl w:val="1"/>
          <w:numId w:val="5"/>
        </w:numPr>
        <w:jc w:val="both"/>
        <w:rPr>
          <w:rFonts w:ascii="Arial" w:hAnsi="Arial"/>
          <w:sz w:val="22"/>
          <w:szCs w:val="22"/>
        </w:rPr>
      </w:pPr>
      <w:r w:rsidRPr="0011384D">
        <w:rPr>
          <w:rFonts w:ascii="Arial" w:hAnsi="Arial"/>
          <w:sz w:val="22"/>
          <w:szCs w:val="22"/>
        </w:rPr>
        <w:t>At its</w:t>
      </w:r>
      <w:r w:rsidR="000B051D" w:rsidRPr="0011384D">
        <w:rPr>
          <w:rFonts w:ascii="Arial" w:hAnsi="Arial"/>
          <w:sz w:val="22"/>
          <w:szCs w:val="22"/>
        </w:rPr>
        <w:t xml:space="preserve"> November </w:t>
      </w:r>
      <w:r w:rsidRPr="0011384D">
        <w:rPr>
          <w:rFonts w:ascii="Arial" w:hAnsi="Arial"/>
          <w:sz w:val="22"/>
          <w:szCs w:val="22"/>
        </w:rPr>
        <w:t xml:space="preserve">2015 meeting, the </w:t>
      </w:r>
      <w:r w:rsidR="000B051D" w:rsidRPr="0011384D">
        <w:rPr>
          <w:rFonts w:ascii="Arial" w:hAnsi="Arial"/>
          <w:sz w:val="22"/>
          <w:szCs w:val="22"/>
        </w:rPr>
        <w:t xml:space="preserve">PBAC </w:t>
      </w:r>
      <w:r w:rsidRPr="0011384D">
        <w:rPr>
          <w:rFonts w:ascii="Arial" w:hAnsi="Arial"/>
          <w:sz w:val="22"/>
          <w:szCs w:val="22"/>
        </w:rPr>
        <w:t>considered</w:t>
      </w:r>
      <w:r w:rsidR="000B051D" w:rsidRPr="0011384D">
        <w:rPr>
          <w:rFonts w:ascii="Arial" w:hAnsi="Arial"/>
          <w:sz w:val="22"/>
          <w:szCs w:val="22"/>
        </w:rPr>
        <w:t xml:space="preserve"> that the data </w:t>
      </w:r>
      <w:r w:rsidRPr="0011384D">
        <w:rPr>
          <w:rFonts w:ascii="Arial" w:hAnsi="Arial"/>
          <w:sz w:val="22"/>
          <w:szCs w:val="22"/>
        </w:rPr>
        <w:t xml:space="preserve">presented in the submission </w:t>
      </w:r>
      <w:r w:rsidR="00725F0A" w:rsidRPr="0011384D">
        <w:rPr>
          <w:rFonts w:ascii="Arial" w:hAnsi="Arial"/>
          <w:sz w:val="22"/>
          <w:szCs w:val="22"/>
        </w:rPr>
        <w:t xml:space="preserve">suggested </w:t>
      </w:r>
      <w:r w:rsidRPr="0011384D">
        <w:rPr>
          <w:rFonts w:ascii="Arial" w:hAnsi="Arial"/>
          <w:sz w:val="22"/>
          <w:szCs w:val="22"/>
        </w:rPr>
        <w:t xml:space="preserve">that </w:t>
      </w:r>
      <w:r w:rsidR="000B051D" w:rsidRPr="0011384D">
        <w:rPr>
          <w:rFonts w:ascii="Arial" w:hAnsi="Arial"/>
          <w:sz w:val="22"/>
          <w:szCs w:val="22"/>
        </w:rPr>
        <w:t>armodafinil</w:t>
      </w:r>
      <w:r w:rsidR="00725F0A" w:rsidRPr="0011384D">
        <w:rPr>
          <w:rFonts w:ascii="Arial" w:hAnsi="Arial"/>
          <w:sz w:val="22"/>
          <w:szCs w:val="22"/>
        </w:rPr>
        <w:t xml:space="preserve"> </w:t>
      </w:r>
      <w:r w:rsidRPr="0011384D">
        <w:rPr>
          <w:rFonts w:ascii="Arial" w:hAnsi="Arial"/>
          <w:sz w:val="22"/>
          <w:szCs w:val="22"/>
        </w:rPr>
        <w:t>may</w:t>
      </w:r>
      <w:r w:rsidR="00725F0A" w:rsidRPr="0011384D">
        <w:rPr>
          <w:rFonts w:ascii="Arial" w:hAnsi="Arial"/>
          <w:sz w:val="22"/>
          <w:szCs w:val="22"/>
        </w:rPr>
        <w:t xml:space="preserve"> be</w:t>
      </w:r>
      <w:r w:rsidR="000B051D" w:rsidRPr="0011384D">
        <w:rPr>
          <w:rFonts w:ascii="Arial" w:hAnsi="Arial"/>
          <w:sz w:val="22"/>
          <w:szCs w:val="22"/>
        </w:rPr>
        <w:t xml:space="preserve"> non-inferior to modafinil in terms of comparative efficacy and </w:t>
      </w:r>
      <w:r w:rsidR="00B647DA" w:rsidRPr="0011384D">
        <w:rPr>
          <w:rFonts w:ascii="Arial" w:hAnsi="Arial"/>
          <w:sz w:val="22"/>
          <w:szCs w:val="22"/>
        </w:rPr>
        <w:t>safety.</w:t>
      </w:r>
    </w:p>
    <w:p w:rsidR="00C97964" w:rsidRPr="0011384D" w:rsidRDefault="00C97964" w:rsidP="00C97964">
      <w:pPr>
        <w:pStyle w:val="ListParagraph"/>
        <w:jc w:val="both"/>
        <w:rPr>
          <w:rFonts w:ascii="Arial" w:hAnsi="Arial"/>
          <w:sz w:val="22"/>
          <w:szCs w:val="22"/>
        </w:rPr>
      </w:pPr>
    </w:p>
    <w:p w:rsidR="00141D1A" w:rsidRPr="0011384D" w:rsidRDefault="00141D1A" w:rsidP="009F31F6">
      <w:pPr>
        <w:pStyle w:val="Heading2"/>
      </w:pPr>
      <w:r w:rsidRPr="0011384D">
        <w:t>Economic analysis</w:t>
      </w:r>
    </w:p>
    <w:p w:rsidR="00C20B25" w:rsidRPr="0011384D" w:rsidRDefault="00C20B25" w:rsidP="00CE6AD7">
      <w:pPr>
        <w:jc w:val="both"/>
        <w:rPr>
          <w:rFonts w:ascii="Arial" w:hAnsi="Arial"/>
          <w:sz w:val="22"/>
          <w:szCs w:val="22"/>
        </w:rPr>
      </w:pPr>
    </w:p>
    <w:p w:rsidR="00725F0A" w:rsidRPr="0011384D" w:rsidRDefault="00F16F61" w:rsidP="00C20B25">
      <w:pPr>
        <w:pStyle w:val="ListParagraph"/>
        <w:numPr>
          <w:ilvl w:val="1"/>
          <w:numId w:val="5"/>
        </w:numPr>
        <w:jc w:val="both"/>
        <w:rPr>
          <w:rFonts w:ascii="Arial" w:hAnsi="Arial"/>
          <w:sz w:val="22"/>
          <w:szCs w:val="22"/>
        </w:rPr>
      </w:pPr>
      <w:r w:rsidRPr="0011384D">
        <w:rPr>
          <w:rFonts w:ascii="Arial" w:hAnsi="Arial"/>
          <w:sz w:val="22"/>
          <w:szCs w:val="22"/>
        </w:rPr>
        <w:t>In the previous major submission considered by the PBAC in November 2015, the submission presented a</w:t>
      </w:r>
      <w:r w:rsidR="00725F0A" w:rsidRPr="0011384D">
        <w:rPr>
          <w:rFonts w:ascii="Arial" w:hAnsi="Arial"/>
          <w:sz w:val="22"/>
          <w:szCs w:val="22"/>
        </w:rPr>
        <w:t xml:space="preserve"> cost-minimisation analysis against mod</w:t>
      </w:r>
      <w:r w:rsidRPr="0011384D">
        <w:rPr>
          <w:rFonts w:ascii="Arial" w:hAnsi="Arial"/>
          <w:sz w:val="22"/>
          <w:szCs w:val="22"/>
        </w:rPr>
        <w:t>a</w:t>
      </w:r>
      <w:r w:rsidR="00725F0A" w:rsidRPr="0011384D">
        <w:rPr>
          <w:rFonts w:ascii="Arial" w:hAnsi="Arial"/>
          <w:sz w:val="22"/>
          <w:szCs w:val="22"/>
        </w:rPr>
        <w:t>fin</w:t>
      </w:r>
      <w:r w:rsidRPr="0011384D">
        <w:rPr>
          <w:rFonts w:ascii="Arial" w:hAnsi="Arial"/>
          <w:sz w:val="22"/>
          <w:szCs w:val="22"/>
        </w:rPr>
        <w:t>i</w:t>
      </w:r>
      <w:r w:rsidR="00725F0A" w:rsidRPr="0011384D">
        <w:rPr>
          <w:rFonts w:ascii="Arial" w:hAnsi="Arial"/>
          <w:sz w:val="22"/>
          <w:szCs w:val="22"/>
        </w:rPr>
        <w:t>l.</w:t>
      </w:r>
      <w:r w:rsidR="00C20B25" w:rsidRPr="0011384D">
        <w:rPr>
          <w:rFonts w:ascii="Arial" w:hAnsi="Arial"/>
          <w:sz w:val="22"/>
          <w:szCs w:val="22"/>
        </w:rPr>
        <w:t xml:space="preserve"> </w:t>
      </w:r>
    </w:p>
    <w:p w:rsidR="001F2493" w:rsidRPr="0011384D" w:rsidRDefault="001F2493" w:rsidP="001F2493">
      <w:pPr>
        <w:pStyle w:val="ListParagraph"/>
        <w:jc w:val="both"/>
        <w:rPr>
          <w:rFonts w:ascii="Arial" w:hAnsi="Arial"/>
          <w:sz w:val="22"/>
          <w:szCs w:val="22"/>
        </w:rPr>
      </w:pPr>
    </w:p>
    <w:p w:rsidR="001F2493" w:rsidRPr="0011384D" w:rsidRDefault="001F2493" w:rsidP="00404E6B">
      <w:pPr>
        <w:pStyle w:val="ListParagraph"/>
        <w:numPr>
          <w:ilvl w:val="1"/>
          <w:numId w:val="5"/>
        </w:numPr>
        <w:jc w:val="both"/>
        <w:rPr>
          <w:rFonts w:ascii="Arial" w:hAnsi="Arial"/>
          <w:sz w:val="22"/>
          <w:szCs w:val="22"/>
        </w:rPr>
      </w:pPr>
      <w:r w:rsidRPr="0011384D">
        <w:rPr>
          <w:rFonts w:ascii="Arial" w:hAnsi="Arial"/>
          <w:sz w:val="22"/>
          <w:szCs w:val="22"/>
        </w:rPr>
        <w:t>The previous submission estimated the equi-effective doses as armodafinil 216.39 mg and modafinil 349.65 mg, and a dose relativity of 5:8 (armodafinil vs modafinil) was used to determine the requested price for armodafinil.</w:t>
      </w:r>
      <w:r w:rsidR="00EE6EE0" w:rsidRPr="0011384D">
        <w:rPr>
          <w:rFonts w:ascii="Arial" w:hAnsi="Arial"/>
          <w:sz w:val="22"/>
          <w:szCs w:val="22"/>
        </w:rPr>
        <w:t xml:space="preserve"> The resubmission</w:t>
      </w:r>
      <w:r w:rsidR="00404E6B" w:rsidRPr="0011384D">
        <w:t xml:space="preserve"> </w:t>
      </w:r>
      <w:r w:rsidR="00404E6B" w:rsidRPr="0011384D">
        <w:rPr>
          <w:rFonts w:ascii="Arial" w:hAnsi="Arial"/>
          <w:sz w:val="22"/>
          <w:szCs w:val="22"/>
        </w:rPr>
        <w:t xml:space="preserve">proposed that the maximum dose (250 mg daily) be utilised instead of the weighted average dosing, and presented the </w:t>
      </w:r>
      <w:r w:rsidR="00EE6EE0" w:rsidRPr="0011384D">
        <w:rPr>
          <w:rFonts w:ascii="Arial" w:hAnsi="Arial"/>
          <w:sz w:val="22"/>
          <w:szCs w:val="22"/>
        </w:rPr>
        <w:t>revised equi-effect</w:t>
      </w:r>
      <w:r w:rsidR="00277A09" w:rsidRPr="0011384D">
        <w:rPr>
          <w:rFonts w:ascii="Arial" w:hAnsi="Arial"/>
          <w:sz w:val="22"/>
          <w:szCs w:val="22"/>
        </w:rPr>
        <w:t>ive doses of armodafinil 250 </w:t>
      </w:r>
      <w:r w:rsidR="00EE6EE0" w:rsidRPr="0011384D">
        <w:rPr>
          <w:rFonts w:ascii="Arial" w:hAnsi="Arial"/>
          <w:sz w:val="22"/>
          <w:szCs w:val="22"/>
        </w:rPr>
        <w:t xml:space="preserve">mg and modafinil 348.55 mg, resulting in a dose relativity of 5:7. </w:t>
      </w:r>
    </w:p>
    <w:p w:rsidR="00725F0A" w:rsidRPr="0011384D" w:rsidRDefault="00725F0A" w:rsidP="00725F0A">
      <w:pPr>
        <w:pStyle w:val="ListParagraph"/>
        <w:jc w:val="both"/>
        <w:rPr>
          <w:rFonts w:ascii="Arial" w:hAnsi="Arial"/>
          <w:sz w:val="22"/>
          <w:szCs w:val="22"/>
        </w:rPr>
      </w:pPr>
    </w:p>
    <w:p w:rsidR="000D4FB1" w:rsidRPr="0011384D" w:rsidRDefault="000D4FB1" w:rsidP="000D4FB1">
      <w:pPr>
        <w:pStyle w:val="ListParagraph"/>
        <w:numPr>
          <w:ilvl w:val="1"/>
          <w:numId w:val="5"/>
        </w:numPr>
        <w:jc w:val="both"/>
        <w:rPr>
          <w:rFonts w:ascii="Arial" w:hAnsi="Arial"/>
          <w:sz w:val="22"/>
          <w:szCs w:val="22"/>
        </w:rPr>
      </w:pPr>
      <w:r w:rsidRPr="0011384D">
        <w:rPr>
          <w:rFonts w:ascii="Arial" w:hAnsi="Arial"/>
          <w:sz w:val="22"/>
          <w:szCs w:val="22"/>
        </w:rPr>
        <w:t xml:space="preserve">In the previous submission, the sponsor indicated it would offer a </w:t>
      </w:r>
      <w:r w:rsidR="005F00A7">
        <w:rPr>
          <w:rFonts w:ascii="Arial" w:hAnsi="Arial"/>
          <w:noProof/>
          <w:color w:val="000000"/>
          <w:sz w:val="22"/>
          <w:szCs w:val="22"/>
          <w:highlight w:val="black"/>
        </w:rPr>
        <w:t>'''''''</w:t>
      </w:r>
      <w:r w:rsidRPr="0011384D">
        <w:rPr>
          <w:rFonts w:ascii="Arial" w:hAnsi="Arial"/>
          <w:sz w:val="22"/>
          <w:szCs w:val="22"/>
        </w:rPr>
        <w:t xml:space="preserve">% price reduction upon the listing of the first generic version of modafinil. In the resubmission, the sponsor proposed a further price reduction of approximately </w:t>
      </w:r>
      <w:r w:rsidR="005F00A7">
        <w:rPr>
          <w:rFonts w:ascii="Arial" w:hAnsi="Arial"/>
          <w:noProof/>
          <w:color w:val="000000"/>
          <w:sz w:val="22"/>
          <w:szCs w:val="22"/>
          <w:highlight w:val="black"/>
        </w:rPr>
        <w:t>''''''''''''</w:t>
      </w:r>
      <w:r w:rsidRPr="0011384D">
        <w:rPr>
          <w:rFonts w:ascii="Arial" w:hAnsi="Arial"/>
          <w:sz w:val="22"/>
          <w:szCs w:val="22"/>
        </w:rPr>
        <w:t>% based on the revised therapeutic relativity presented in the resubmission.</w:t>
      </w:r>
    </w:p>
    <w:p w:rsidR="00B80416" w:rsidRPr="0011384D" w:rsidRDefault="00B80416" w:rsidP="00B80416">
      <w:pPr>
        <w:jc w:val="both"/>
        <w:rPr>
          <w:rFonts w:ascii="Arial" w:hAnsi="Arial"/>
          <w:b/>
          <w:i/>
          <w:sz w:val="22"/>
          <w:szCs w:val="22"/>
        </w:rPr>
      </w:pPr>
    </w:p>
    <w:p w:rsidR="00141D1A" w:rsidRPr="0011384D" w:rsidRDefault="00141D1A" w:rsidP="009F31F6">
      <w:pPr>
        <w:pStyle w:val="Heading2"/>
      </w:pPr>
      <w:r w:rsidRPr="0011384D">
        <w:t>Estimated PBS usage &amp; financial implications</w:t>
      </w:r>
    </w:p>
    <w:p w:rsidR="00141D1A" w:rsidRPr="0011384D" w:rsidRDefault="00141D1A" w:rsidP="00141D1A">
      <w:pPr>
        <w:ind w:left="720" w:hanging="720"/>
        <w:jc w:val="both"/>
        <w:rPr>
          <w:rFonts w:ascii="Arial" w:hAnsi="Arial"/>
          <w:b/>
          <w:i/>
          <w:sz w:val="22"/>
          <w:szCs w:val="22"/>
        </w:rPr>
      </w:pPr>
    </w:p>
    <w:p w:rsidR="00AB6964" w:rsidRPr="0011384D" w:rsidRDefault="001079A1" w:rsidP="00E0039F">
      <w:pPr>
        <w:pStyle w:val="ListParagraph"/>
        <w:numPr>
          <w:ilvl w:val="1"/>
          <w:numId w:val="5"/>
        </w:numPr>
        <w:jc w:val="both"/>
        <w:rPr>
          <w:rFonts w:ascii="Arial" w:hAnsi="Arial" w:cs="Arial"/>
          <w:sz w:val="22"/>
          <w:szCs w:val="22"/>
        </w:rPr>
      </w:pPr>
      <w:r w:rsidRPr="0011384D">
        <w:rPr>
          <w:rFonts w:ascii="Arial" w:hAnsi="Arial" w:cs="Arial"/>
          <w:sz w:val="22"/>
          <w:szCs w:val="22"/>
        </w:rPr>
        <w:t xml:space="preserve">The submission used a market-share approach to estimate the use and costs of listing armodafinil on the PBS. </w:t>
      </w:r>
    </w:p>
    <w:p w:rsidR="008B69A6" w:rsidRDefault="008B69A6">
      <w:pPr>
        <w:rPr>
          <w:rFonts w:ascii="Arial Narrow" w:hAnsi="Arial Narrow"/>
          <w:b/>
          <w:bCs/>
          <w:sz w:val="20"/>
          <w:szCs w:val="22"/>
        </w:rPr>
      </w:pPr>
      <w:r>
        <w:rPr>
          <w:rFonts w:ascii="Arial Narrow" w:hAnsi="Arial Narrow"/>
          <w:b/>
          <w:bCs/>
          <w:sz w:val="20"/>
          <w:szCs w:val="22"/>
        </w:rPr>
        <w:br w:type="page"/>
      </w:r>
    </w:p>
    <w:p w:rsidR="006824FA" w:rsidRPr="0011384D" w:rsidRDefault="006824FA" w:rsidP="006824FA">
      <w:pPr>
        <w:ind w:firstLine="720"/>
        <w:jc w:val="both"/>
        <w:rPr>
          <w:rFonts w:ascii="Arial Narrow" w:hAnsi="Arial Narrow"/>
          <w:b/>
          <w:bCs/>
          <w:sz w:val="20"/>
          <w:szCs w:val="22"/>
        </w:rPr>
      </w:pPr>
    </w:p>
    <w:p w:rsidR="00AB6964" w:rsidRPr="0011384D" w:rsidRDefault="00AB6964" w:rsidP="00696508">
      <w:pPr>
        <w:keepNext/>
        <w:ind w:firstLine="720"/>
        <w:jc w:val="both"/>
        <w:rPr>
          <w:rFonts w:ascii="Arial Narrow" w:hAnsi="Arial Narrow"/>
          <w:b/>
          <w:i/>
          <w:sz w:val="20"/>
          <w:szCs w:val="22"/>
        </w:rPr>
      </w:pPr>
      <w:r w:rsidRPr="0011384D">
        <w:rPr>
          <w:rFonts w:ascii="Arial Narrow" w:hAnsi="Arial Narrow"/>
          <w:b/>
          <w:bCs/>
          <w:sz w:val="20"/>
          <w:szCs w:val="22"/>
        </w:rPr>
        <w:t>Table 2: Estimated use and financial implications</w:t>
      </w:r>
    </w:p>
    <w:tbl>
      <w:tblPr>
        <w:tblStyle w:val="TableGrid"/>
        <w:tblW w:w="8379" w:type="dxa"/>
        <w:tblInd w:w="817" w:type="dxa"/>
        <w:tblLook w:val="04A0" w:firstRow="1" w:lastRow="0" w:firstColumn="1" w:lastColumn="0" w:noHBand="0" w:noVBand="1"/>
        <w:tblCaption w:val="Table 2: Estimated use and financial implications"/>
      </w:tblPr>
      <w:tblGrid>
        <w:gridCol w:w="1843"/>
        <w:gridCol w:w="992"/>
        <w:gridCol w:w="992"/>
        <w:gridCol w:w="993"/>
        <w:gridCol w:w="1134"/>
        <w:gridCol w:w="1134"/>
        <w:gridCol w:w="1291"/>
      </w:tblGrid>
      <w:tr w:rsidR="00AB6964" w:rsidRPr="0011384D" w:rsidTr="00BF6006">
        <w:trPr>
          <w:trHeight w:val="319"/>
        </w:trPr>
        <w:tc>
          <w:tcPr>
            <w:tcW w:w="1843" w:type="dxa"/>
            <w:hideMark/>
          </w:tcPr>
          <w:p w:rsidR="00AB6964" w:rsidRPr="0011384D" w:rsidRDefault="00AB6964" w:rsidP="00696508">
            <w:pPr>
              <w:keepNext/>
              <w:rPr>
                <w:rFonts w:ascii="Arial Narrow" w:hAnsi="Arial Narrow"/>
                <w:sz w:val="20"/>
                <w:szCs w:val="20"/>
              </w:rPr>
            </w:pPr>
            <w:r w:rsidRPr="0011384D">
              <w:rPr>
                <w:rFonts w:ascii="Arial Narrow" w:hAnsi="Arial Narrow"/>
                <w:sz w:val="20"/>
                <w:szCs w:val="20"/>
              </w:rPr>
              <w:t> </w:t>
            </w:r>
          </w:p>
        </w:tc>
        <w:tc>
          <w:tcPr>
            <w:tcW w:w="992" w:type="dxa"/>
            <w:noWrap/>
            <w:hideMark/>
          </w:tcPr>
          <w:p w:rsidR="00AB6964" w:rsidRPr="0011384D" w:rsidRDefault="00AB6964" w:rsidP="00696508">
            <w:pPr>
              <w:keepNext/>
              <w:jc w:val="center"/>
              <w:rPr>
                <w:rFonts w:ascii="Arial Narrow" w:hAnsi="Arial Narrow"/>
                <w:b/>
                <w:bCs/>
                <w:sz w:val="20"/>
                <w:szCs w:val="20"/>
              </w:rPr>
            </w:pPr>
            <w:r w:rsidRPr="0011384D">
              <w:rPr>
                <w:rFonts w:ascii="Arial Narrow" w:hAnsi="Arial Narrow"/>
                <w:b/>
                <w:bCs/>
                <w:sz w:val="20"/>
                <w:szCs w:val="20"/>
              </w:rPr>
              <w:t>2016</w:t>
            </w:r>
          </w:p>
        </w:tc>
        <w:tc>
          <w:tcPr>
            <w:tcW w:w="992" w:type="dxa"/>
            <w:noWrap/>
            <w:hideMark/>
          </w:tcPr>
          <w:p w:rsidR="00AB6964" w:rsidRPr="0011384D" w:rsidRDefault="00AB6964" w:rsidP="00696508">
            <w:pPr>
              <w:keepNext/>
              <w:jc w:val="center"/>
              <w:rPr>
                <w:rFonts w:ascii="Arial Narrow" w:hAnsi="Arial Narrow"/>
                <w:b/>
                <w:bCs/>
                <w:sz w:val="20"/>
                <w:szCs w:val="20"/>
              </w:rPr>
            </w:pPr>
            <w:r w:rsidRPr="0011384D">
              <w:rPr>
                <w:rFonts w:ascii="Arial Narrow" w:hAnsi="Arial Narrow"/>
                <w:b/>
                <w:bCs/>
                <w:sz w:val="20"/>
                <w:szCs w:val="20"/>
              </w:rPr>
              <w:t>2017</w:t>
            </w:r>
          </w:p>
        </w:tc>
        <w:tc>
          <w:tcPr>
            <w:tcW w:w="993" w:type="dxa"/>
            <w:noWrap/>
            <w:hideMark/>
          </w:tcPr>
          <w:p w:rsidR="00AB6964" w:rsidRPr="0011384D" w:rsidRDefault="00AB6964" w:rsidP="00696508">
            <w:pPr>
              <w:keepNext/>
              <w:jc w:val="center"/>
              <w:rPr>
                <w:rFonts w:ascii="Arial Narrow" w:hAnsi="Arial Narrow"/>
                <w:b/>
                <w:bCs/>
                <w:sz w:val="20"/>
                <w:szCs w:val="20"/>
              </w:rPr>
            </w:pPr>
            <w:r w:rsidRPr="0011384D">
              <w:rPr>
                <w:rFonts w:ascii="Arial Narrow" w:hAnsi="Arial Narrow"/>
                <w:b/>
                <w:bCs/>
                <w:sz w:val="20"/>
                <w:szCs w:val="20"/>
              </w:rPr>
              <w:t>2018</w:t>
            </w:r>
          </w:p>
        </w:tc>
        <w:tc>
          <w:tcPr>
            <w:tcW w:w="1134" w:type="dxa"/>
            <w:noWrap/>
            <w:hideMark/>
          </w:tcPr>
          <w:p w:rsidR="00AB6964" w:rsidRPr="0011384D" w:rsidRDefault="00AB6964" w:rsidP="00696508">
            <w:pPr>
              <w:keepNext/>
              <w:jc w:val="center"/>
              <w:rPr>
                <w:rFonts w:ascii="Arial Narrow" w:hAnsi="Arial Narrow"/>
                <w:b/>
                <w:bCs/>
                <w:sz w:val="20"/>
                <w:szCs w:val="20"/>
              </w:rPr>
            </w:pPr>
            <w:r w:rsidRPr="0011384D">
              <w:rPr>
                <w:rFonts w:ascii="Arial Narrow" w:hAnsi="Arial Narrow"/>
                <w:b/>
                <w:bCs/>
                <w:sz w:val="20"/>
                <w:szCs w:val="20"/>
              </w:rPr>
              <w:t>2019</w:t>
            </w:r>
          </w:p>
        </w:tc>
        <w:tc>
          <w:tcPr>
            <w:tcW w:w="1134" w:type="dxa"/>
            <w:noWrap/>
            <w:hideMark/>
          </w:tcPr>
          <w:p w:rsidR="00AB6964" w:rsidRPr="0011384D" w:rsidRDefault="00AB6964" w:rsidP="00696508">
            <w:pPr>
              <w:keepNext/>
              <w:jc w:val="center"/>
              <w:rPr>
                <w:rFonts w:ascii="Arial Narrow" w:hAnsi="Arial Narrow"/>
                <w:b/>
                <w:bCs/>
                <w:sz w:val="20"/>
                <w:szCs w:val="20"/>
              </w:rPr>
            </w:pPr>
            <w:r w:rsidRPr="0011384D">
              <w:rPr>
                <w:rFonts w:ascii="Arial Narrow" w:hAnsi="Arial Narrow"/>
                <w:b/>
                <w:bCs/>
                <w:sz w:val="20"/>
                <w:szCs w:val="20"/>
              </w:rPr>
              <w:t>2020</w:t>
            </w:r>
          </w:p>
        </w:tc>
        <w:tc>
          <w:tcPr>
            <w:tcW w:w="1291" w:type="dxa"/>
            <w:noWrap/>
            <w:hideMark/>
          </w:tcPr>
          <w:p w:rsidR="00AB6964" w:rsidRPr="0011384D" w:rsidRDefault="00AB6964" w:rsidP="00696508">
            <w:pPr>
              <w:keepNext/>
              <w:jc w:val="center"/>
              <w:rPr>
                <w:rFonts w:ascii="Arial Narrow" w:hAnsi="Arial Narrow"/>
                <w:b/>
                <w:bCs/>
                <w:sz w:val="20"/>
                <w:szCs w:val="20"/>
              </w:rPr>
            </w:pPr>
            <w:r w:rsidRPr="0011384D">
              <w:rPr>
                <w:rFonts w:ascii="Arial Narrow" w:hAnsi="Arial Narrow"/>
                <w:b/>
                <w:bCs/>
                <w:sz w:val="20"/>
                <w:szCs w:val="20"/>
              </w:rPr>
              <w:t>2021</w:t>
            </w:r>
          </w:p>
        </w:tc>
      </w:tr>
      <w:tr w:rsidR="00AB6964" w:rsidRPr="0011384D" w:rsidTr="00BF6006">
        <w:trPr>
          <w:trHeight w:val="319"/>
        </w:trPr>
        <w:tc>
          <w:tcPr>
            <w:tcW w:w="1843" w:type="dxa"/>
            <w:hideMark/>
          </w:tcPr>
          <w:p w:rsidR="00AB6964" w:rsidRPr="0011384D" w:rsidRDefault="00AB6964" w:rsidP="00696508">
            <w:pPr>
              <w:keepNext/>
              <w:rPr>
                <w:rFonts w:ascii="Arial Narrow" w:hAnsi="Arial Narrow"/>
                <w:sz w:val="20"/>
                <w:szCs w:val="20"/>
              </w:rPr>
            </w:pPr>
            <w:r w:rsidRPr="0011384D">
              <w:rPr>
                <w:rFonts w:ascii="Arial Narrow" w:hAnsi="Arial Narrow"/>
                <w:sz w:val="20"/>
                <w:szCs w:val="20"/>
              </w:rPr>
              <w:t>Total number of patients treated per year (i.e. armodafinil and modafinil combined)</w:t>
            </w:r>
          </w:p>
        </w:tc>
        <w:tc>
          <w:tcPr>
            <w:tcW w:w="992" w:type="dxa"/>
            <w:noWrap/>
            <w:hideMark/>
          </w:tcPr>
          <w:p w:rsidR="00AB6964" w:rsidRPr="005F00A7" w:rsidRDefault="005F00A7" w:rsidP="00696508">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noWrap/>
            <w:hideMark/>
          </w:tcPr>
          <w:p w:rsidR="00AB6964" w:rsidRPr="005F00A7" w:rsidRDefault="005F00A7" w:rsidP="00696508">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noWrap/>
            <w:hideMark/>
          </w:tcPr>
          <w:p w:rsidR="00AB6964" w:rsidRPr="005F00A7" w:rsidRDefault="005F00A7" w:rsidP="00696508">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noWrap/>
            <w:hideMark/>
          </w:tcPr>
          <w:p w:rsidR="00AB6964" w:rsidRPr="005F00A7" w:rsidRDefault="005F00A7" w:rsidP="00696508">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noWrap/>
            <w:hideMark/>
          </w:tcPr>
          <w:p w:rsidR="00AB6964" w:rsidRPr="005F00A7" w:rsidRDefault="005F00A7" w:rsidP="00696508">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291" w:type="dxa"/>
            <w:noWrap/>
            <w:hideMark/>
          </w:tcPr>
          <w:p w:rsidR="00AB6964" w:rsidRPr="005F00A7" w:rsidRDefault="005F00A7" w:rsidP="00696508">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AB6964" w:rsidRPr="0011384D" w:rsidTr="00BF6006">
        <w:trPr>
          <w:trHeight w:val="319"/>
        </w:trPr>
        <w:tc>
          <w:tcPr>
            <w:tcW w:w="1843" w:type="dxa"/>
            <w:hideMark/>
          </w:tcPr>
          <w:p w:rsidR="00AB6964" w:rsidRPr="0011384D" w:rsidRDefault="00AB6964" w:rsidP="00BF6006">
            <w:pPr>
              <w:rPr>
                <w:rFonts w:ascii="Arial Narrow" w:hAnsi="Arial Narrow"/>
                <w:sz w:val="20"/>
                <w:szCs w:val="20"/>
              </w:rPr>
            </w:pPr>
            <w:r w:rsidRPr="0011384D">
              <w:rPr>
                <w:rFonts w:ascii="Arial Narrow" w:hAnsi="Arial Narrow"/>
                <w:sz w:val="20"/>
                <w:szCs w:val="20"/>
              </w:rPr>
              <w:t xml:space="preserve">Total number of patients treated per year with Nuvigil </w:t>
            </w:r>
          </w:p>
        </w:tc>
        <w:tc>
          <w:tcPr>
            <w:tcW w:w="992"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 xml:space="preserve"> '''''''''</w:t>
            </w:r>
            <w:r w:rsidR="00AB6964" w:rsidRPr="005F00A7">
              <w:rPr>
                <w:rFonts w:ascii="Arial Narrow" w:hAnsi="Arial Narrow"/>
                <w:sz w:val="20"/>
                <w:szCs w:val="20"/>
                <w:highlight w:val="black"/>
              </w:rPr>
              <w:t xml:space="preserve"> </w:t>
            </w:r>
          </w:p>
        </w:tc>
        <w:tc>
          <w:tcPr>
            <w:tcW w:w="1291"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r w:rsidR="00AB6964" w:rsidRPr="005F00A7">
              <w:rPr>
                <w:rFonts w:ascii="Arial Narrow" w:hAnsi="Arial Narrow"/>
                <w:sz w:val="20"/>
                <w:szCs w:val="20"/>
                <w:highlight w:val="black"/>
              </w:rPr>
              <w:t xml:space="preserve"> </w:t>
            </w:r>
          </w:p>
        </w:tc>
      </w:tr>
      <w:tr w:rsidR="00AB6964" w:rsidRPr="0011384D" w:rsidTr="00BF6006">
        <w:trPr>
          <w:trHeight w:val="319"/>
        </w:trPr>
        <w:tc>
          <w:tcPr>
            <w:tcW w:w="1843" w:type="dxa"/>
            <w:hideMark/>
          </w:tcPr>
          <w:p w:rsidR="00AB6964" w:rsidRPr="0011384D" w:rsidRDefault="00AB6964" w:rsidP="00BF6006">
            <w:pPr>
              <w:rPr>
                <w:rFonts w:ascii="Arial Narrow" w:hAnsi="Arial Narrow"/>
                <w:sz w:val="20"/>
                <w:szCs w:val="20"/>
              </w:rPr>
            </w:pPr>
            <w:r w:rsidRPr="0011384D">
              <w:rPr>
                <w:rFonts w:ascii="Arial Narrow" w:hAnsi="Arial Narrow"/>
                <w:sz w:val="20"/>
                <w:szCs w:val="20"/>
              </w:rPr>
              <w:t>Total number of prescriptions (i.e. Armodafinil and modafinil combined)</w:t>
            </w:r>
          </w:p>
        </w:tc>
        <w:tc>
          <w:tcPr>
            <w:tcW w:w="992"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291"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AB6964" w:rsidRPr="0011384D" w:rsidTr="00BF6006">
        <w:trPr>
          <w:trHeight w:val="319"/>
        </w:trPr>
        <w:tc>
          <w:tcPr>
            <w:tcW w:w="1843" w:type="dxa"/>
            <w:hideMark/>
          </w:tcPr>
          <w:p w:rsidR="00AB6964" w:rsidRPr="0011384D" w:rsidRDefault="00AB6964" w:rsidP="00BF6006">
            <w:pPr>
              <w:rPr>
                <w:rFonts w:ascii="Arial Narrow" w:hAnsi="Arial Narrow"/>
                <w:sz w:val="20"/>
                <w:szCs w:val="20"/>
              </w:rPr>
            </w:pPr>
            <w:r w:rsidRPr="0011384D">
              <w:rPr>
                <w:rFonts w:ascii="Arial Narrow" w:hAnsi="Arial Narrow"/>
                <w:sz w:val="20"/>
                <w:szCs w:val="20"/>
              </w:rPr>
              <w:t>Total number of prescriptions (of Nuvigil)</w:t>
            </w:r>
          </w:p>
        </w:tc>
        <w:tc>
          <w:tcPr>
            <w:tcW w:w="992"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2"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993"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134"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1291" w:type="dxa"/>
            <w:noWrap/>
            <w:hideMark/>
          </w:tcPr>
          <w:p w:rsidR="00AB6964" w:rsidRPr="005F00A7" w:rsidRDefault="005F00A7" w:rsidP="00F82B07">
            <w:pPr>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AB6964" w:rsidRPr="0011384D" w:rsidTr="00BF6006">
        <w:trPr>
          <w:trHeight w:val="319"/>
        </w:trPr>
        <w:tc>
          <w:tcPr>
            <w:tcW w:w="1843" w:type="dxa"/>
            <w:hideMark/>
          </w:tcPr>
          <w:p w:rsidR="00AB6964" w:rsidRPr="0011384D" w:rsidRDefault="00AB6964" w:rsidP="00BF6006">
            <w:pPr>
              <w:rPr>
                <w:rFonts w:ascii="Arial Narrow" w:hAnsi="Arial Narrow"/>
                <w:sz w:val="20"/>
                <w:szCs w:val="20"/>
              </w:rPr>
            </w:pPr>
            <w:r w:rsidRPr="0011384D">
              <w:rPr>
                <w:rFonts w:ascii="Arial Narrow" w:hAnsi="Arial Narrow"/>
                <w:sz w:val="20"/>
                <w:szCs w:val="20"/>
              </w:rPr>
              <w:t>Total cost of Nuvigil</w:t>
            </w:r>
          </w:p>
        </w:tc>
        <w:tc>
          <w:tcPr>
            <w:tcW w:w="992"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992"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993"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134"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134"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291"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r>
      <w:tr w:rsidR="00AB6964" w:rsidRPr="0011384D" w:rsidTr="00BF6006">
        <w:trPr>
          <w:trHeight w:val="319"/>
        </w:trPr>
        <w:tc>
          <w:tcPr>
            <w:tcW w:w="1843" w:type="dxa"/>
            <w:noWrap/>
            <w:hideMark/>
          </w:tcPr>
          <w:p w:rsidR="00AB6964" w:rsidRPr="0011384D" w:rsidRDefault="00AB6964" w:rsidP="00BF6006">
            <w:pPr>
              <w:rPr>
                <w:rFonts w:ascii="Arial Narrow" w:hAnsi="Arial Narrow"/>
                <w:sz w:val="20"/>
                <w:szCs w:val="20"/>
              </w:rPr>
            </w:pPr>
            <w:r w:rsidRPr="0011384D">
              <w:rPr>
                <w:rFonts w:ascii="Arial Narrow" w:hAnsi="Arial Narrow"/>
                <w:sz w:val="20"/>
                <w:szCs w:val="20"/>
              </w:rPr>
              <w:t>Net cost to Government</w:t>
            </w:r>
            <w:r w:rsidR="001A547A" w:rsidRPr="0011384D">
              <w:rPr>
                <w:rFonts w:ascii="Arial Narrow" w:hAnsi="Arial Narrow"/>
                <w:sz w:val="20"/>
                <w:szCs w:val="20"/>
              </w:rPr>
              <w:t xml:space="preserve"> of Nuvigil</w:t>
            </w:r>
          </w:p>
        </w:tc>
        <w:tc>
          <w:tcPr>
            <w:tcW w:w="992"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992"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993"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134"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134"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291" w:type="dxa"/>
            <w:noWrap/>
            <w:hideMark/>
          </w:tcPr>
          <w:p w:rsidR="00AB6964" w:rsidRPr="0011384D" w:rsidRDefault="00AB6964"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r>
      <w:tr w:rsidR="001A547A" w:rsidRPr="0011384D" w:rsidTr="00BF6006">
        <w:trPr>
          <w:trHeight w:val="319"/>
        </w:trPr>
        <w:tc>
          <w:tcPr>
            <w:tcW w:w="1843" w:type="dxa"/>
            <w:noWrap/>
          </w:tcPr>
          <w:p w:rsidR="00B177E9" w:rsidRPr="0011384D" w:rsidRDefault="001A547A" w:rsidP="00BF6006">
            <w:pPr>
              <w:rPr>
                <w:rFonts w:ascii="Arial Narrow" w:hAnsi="Arial Narrow"/>
                <w:sz w:val="20"/>
                <w:szCs w:val="20"/>
              </w:rPr>
            </w:pPr>
            <w:r w:rsidRPr="0011384D">
              <w:rPr>
                <w:rFonts w:ascii="Arial Narrow" w:hAnsi="Arial Narrow"/>
                <w:sz w:val="20"/>
                <w:szCs w:val="20"/>
              </w:rPr>
              <w:t>Savings from displacement of modafinil (1 April 2016 pricing)</w:t>
            </w:r>
          </w:p>
        </w:tc>
        <w:tc>
          <w:tcPr>
            <w:tcW w:w="992" w:type="dxa"/>
            <w:noWrap/>
          </w:tcPr>
          <w:p w:rsidR="001A547A" w:rsidRPr="0011384D" w:rsidRDefault="001A547A"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992" w:type="dxa"/>
            <w:noWrap/>
          </w:tcPr>
          <w:p w:rsidR="001A547A"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993" w:type="dxa"/>
            <w:noWrap/>
          </w:tcPr>
          <w:p w:rsidR="001A547A"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134" w:type="dxa"/>
            <w:noWrap/>
          </w:tcPr>
          <w:p w:rsidR="001A547A"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134" w:type="dxa"/>
            <w:noWrap/>
          </w:tcPr>
          <w:p w:rsidR="001A547A"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291" w:type="dxa"/>
            <w:noWrap/>
          </w:tcPr>
          <w:p w:rsidR="001A547A"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r>
      <w:tr w:rsidR="00B177E9" w:rsidRPr="0011384D" w:rsidTr="00BF6006">
        <w:trPr>
          <w:trHeight w:val="319"/>
        </w:trPr>
        <w:tc>
          <w:tcPr>
            <w:tcW w:w="1843" w:type="dxa"/>
            <w:noWrap/>
          </w:tcPr>
          <w:p w:rsidR="00B177E9" w:rsidRPr="0011384D" w:rsidRDefault="00B177E9" w:rsidP="00BF6006">
            <w:pPr>
              <w:rPr>
                <w:rFonts w:ascii="Arial Narrow" w:hAnsi="Arial Narrow"/>
                <w:sz w:val="20"/>
                <w:szCs w:val="20"/>
              </w:rPr>
            </w:pPr>
            <w:r w:rsidRPr="0011384D">
              <w:rPr>
                <w:rFonts w:ascii="Arial Narrow" w:hAnsi="Arial Narrow"/>
                <w:sz w:val="20"/>
                <w:szCs w:val="20"/>
              </w:rPr>
              <w:t>Net cost (saving)to Government of proposed listing (1 April 2016 pricing)</w:t>
            </w:r>
          </w:p>
        </w:tc>
        <w:tc>
          <w:tcPr>
            <w:tcW w:w="992" w:type="dxa"/>
            <w:noWrap/>
          </w:tcPr>
          <w:p w:rsidR="00B177E9"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992" w:type="dxa"/>
            <w:noWrap/>
          </w:tcPr>
          <w:p w:rsidR="00B177E9"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993" w:type="dxa"/>
            <w:noWrap/>
          </w:tcPr>
          <w:p w:rsidR="00B177E9"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134" w:type="dxa"/>
            <w:noWrap/>
          </w:tcPr>
          <w:p w:rsidR="00B177E9"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134" w:type="dxa"/>
            <w:noWrap/>
          </w:tcPr>
          <w:p w:rsidR="00B177E9"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c>
          <w:tcPr>
            <w:tcW w:w="1291" w:type="dxa"/>
            <w:noWrap/>
          </w:tcPr>
          <w:p w:rsidR="00B177E9" w:rsidRPr="0011384D" w:rsidRDefault="00B177E9" w:rsidP="00F82B07">
            <w:pPr>
              <w:jc w:val="right"/>
              <w:rPr>
                <w:rFonts w:ascii="Arial Narrow" w:hAnsi="Arial Narrow"/>
                <w:sz w:val="20"/>
                <w:szCs w:val="20"/>
              </w:rPr>
            </w:pPr>
            <w:r w:rsidRPr="0011384D">
              <w:rPr>
                <w:rFonts w:ascii="Arial Narrow" w:hAnsi="Arial Narrow"/>
                <w:sz w:val="20"/>
                <w:szCs w:val="20"/>
              </w:rPr>
              <w:t>-$</w:t>
            </w:r>
            <w:r w:rsidR="005F00A7">
              <w:rPr>
                <w:rFonts w:ascii="Arial Narrow" w:hAnsi="Arial Narrow"/>
                <w:noProof/>
                <w:color w:val="000000"/>
                <w:sz w:val="20"/>
                <w:szCs w:val="20"/>
                <w:highlight w:val="black"/>
              </w:rPr>
              <w:t>'''''''''''''''''''</w:t>
            </w:r>
          </w:p>
        </w:tc>
      </w:tr>
    </w:tbl>
    <w:p w:rsidR="00AB6964" w:rsidRPr="0011384D" w:rsidRDefault="00AB6964" w:rsidP="006824FA">
      <w:pPr>
        <w:pStyle w:val="ListParagraph"/>
        <w:jc w:val="both"/>
        <w:rPr>
          <w:rFonts w:ascii="Arial Narrow" w:hAnsi="Arial Narrow"/>
          <w:sz w:val="22"/>
          <w:szCs w:val="22"/>
        </w:rPr>
      </w:pPr>
      <w:r w:rsidRPr="0011384D">
        <w:rPr>
          <w:rFonts w:ascii="Arial Narrow" w:hAnsi="Arial Narrow"/>
          <w:sz w:val="18"/>
          <w:szCs w:val="22"/>
        </w:rPr>
        <w:t>Source: Section E Excel spreadsheet of the resubmission</w:t>
      </w:r>
    </w:p>
    <w:p w:rsidR="00270CD1" w:rsidRDefault="00270CD1" w:rsidP="00270CD1">
      <w:pPr>
        <w:pStyle w:val="ListParagraph"/>
        <w:jc w:val="both"/>
        <w:rPr>
          <w:rFonts w:ascii="Arial" w:hAnsi="Arial" w:cs="Arial"/>
          <w:sz w:val="22"/>
          <w:szCs w:val="22"/>
        </w:rPr>
      </w:pPr>
    </w:p>
    <w:p w:rsidR="00AE17B8" w:rsidRDefault="00AE17B8" w:rsidP="00270CD1">
      <w:pPr>
        <w:pStyle w:val="ListParagraph"/>
        <w:jc w:val="both"/>
        <w:rPr>
          <w:rFonts w:ascii="Arial" w:hAnsi="Arial" w:cs="Arial"/>
          <w:sz w:val="22"/>
          <w:szCs w:val="22"/>
        </w:rPr>
      </w:pPr>
      <w:r>
        <w:rPr>
          <w:rFonts w:ascii="Arial" w:hAnsi="Arial" w:cs="Arial"/>
          <w:sz w:val="22"/>
          <w:szCs w:val="22"/>
        </w:rPr>
        <w:t>The redacted table shows that at year 5, the estimated number of patients was less than 10, 000 per year and the net saving to the PBS would be less than $10 million per year.</w:t>
      </w:r>
    </w:p>
    <w:p w:rsidR="00AE17B8" w:rsidRPr="0011384D" w:rsidRDefault="00AE17B8" w:rsidP="00270CD1">
      <w:pPr>
        <w:pStyle w:val="ListParagraph"/>
        <w:jc w:val="both"/>
        <w:rPr>
          <w:rFonts w:ascii="Arial" w:hAnsi="Arial" w:cs="Arial"/>
          <w:sz w:val="22"/>
          <w:szCs w:val="22"/>
        </w:rPr>
      </w:pPr>
    </w:p>
    <w:p w:rsidR="00270CD1" w:rsidRPr="0011384D" w:rsidRDefault="00C80027" w:rsidP="001D6207">
      <w:pPr>
        <w:pStyle w:val="ListParagraph"/>
        <w:numPr>
          <w:ilvl w:val="1"/>
          <w:numId w:val="5"/>
        </w:numPr>
        <w:jc w:val="both"/>
        <w:rPr>
          <w:rFonts w:ascii="Arial" w:hAnsi="Arial" w:cs="Arial"/>
          <w:sz w:val="20"/>
          <w:szCs w:val="22"/>
        </w:rPr>
      </w:pPr>
      <w:r w:rsidRPr="0011384D">
        <w:rPr>
          <w:rFonts w:ascii="Arial" w:hAnsi="Arial" w:cs="Arial"/>
          <w:sz w:val="22"/>
        </w:rPr>
        <w:t xml:space="preserve">In </w:t>
      </w:r>
      <w:r w:rsidR="00270CD1" w:rsidRPr="0011384D">
        <w:rPr>
          <w:rFonts w:ascii="Arial" w:hAnsi="Arial" w:cs="Arial"/>
          <w:sz w:val="22"/>
        </w:rPr>
        <w:t>November 2015</w:t>
      </w:r>
      <w:r w:rsidRPr="0011384D">
        <w:rPr>
          <w:rFonts w:ascii="Arial" w:hAnsi="Arial" w:cs="Arial"/>
          <w:sz w:val="22"/>
        </w:rPr>
        <w:t>, the</w:t>
      </w:r>
      <w:r w:rsidR="00270CD1" w:rsidRPr="0011384D">
        <w:rPr>
          <w:rFonts w:ascii="Arial" w:hAnsi="Arial" w:cs="Arial"/>
          <w:sz w:val="22"/>
        </w:rPr>
        <w:t xml:space="preserve"> PBAC agreed that given the submission’s claim of non-inferiority of armodafinil to modafinil and the cost-minimisation approach taken, listing of armodafinil</w:t>
      </w:r>
      <w:r w:rsidRPr="0011384D">
        <w:rPr>
          <w:rFonts w:ascii="Arial" w:hAnsi="Arial" w:cs="Arial"/>
          <w:sz w:val="22"/>
        </w:rPr>
        <w:t xml:space="preserve"> should be cost-neutral</w:t>
      </w:r>
      <w:r w:rsidR="00270CD1" w:rsidRPr="0011384D">
        <w:rPr>
          <w:rFonts w:ascii="Arial" w:hAnsi="Arial" w:cs="Arial"/>
          <w:sz w:val="22"/>
        </w:rPr>
        <w:t>.</w:t>
      </w:r>
      <w:r w:rsidR="00A255BB" w:rsidRPr="0011384D">
        <w:rPr>
          <w:rFonts w:ascii="Arial" w:hAnsi="Arial" w:cs="Arial"/>
          <w:sz w:val="22"/>
        </w:rPr>
        <w:t xml:space="preserve"> The revised financial estimates provided in the resubmission estimated a net cost saving to Government of $</w:t>
      </w:r>
      <w:r w:rsidR="005F00A7">
        <w:rPr>
          <w:rFonts w:ascii="Arial" w:hAnsi="Arial" w:cs="Arial"/>
          <w:noProof/>
          <w:color w:val="000000"/>
          <w:sz w:val="22"/>
          <w:highlight w:val="black"/>
        </w:rPr>
        <w:t>'''''''''''''''''</w:t>
      </w:r>
      <w:r w:rsidR="00A255BB" w:rsidRPr="0011384D">
        <w:rPr>
          <w:rFonts w:ascii="Arial" w:hAnsi="Arial" w:cs="Arial"/>
          <w:sz w:val="22"/>
        </w:rPr>
        <w:t xml:space="preserve"> in Year 1 increasing to $</w:t>
      </w:r>
      <w:r w:rsidR="005F00A7">
        <w:rPr>
          <w:rFonts w:ascii="Arial" w:hAnsi="Arial" w:cs="Arial"/>
          <w:noProof/>
          <w:color w:val="000000"/>
          <w:sz w:val="22"/>
          <w:highlight w:val="black"/>
        </w:rPr>
        <w:t>'''''''''''''''''''''</w:t>
      </w:r>
      <w:r w:rsidR="00A255BB" w:rsidRPr="0011384D">
        <w:rPr>
          <w:rFonts w:ascii="Arial" w:hAnsi="Arial" w:cs="Arial"/>
          <w:sz w:val="22"/>
        </w:rPr>
        <w:t xml:space="preserve"> in Year 5.</w:t>
      </w:r>
    </w:p>
    <w:p w:rsidR="00BF6006" w:rsidRPr="0011384D" w:rsidRDefault="00BF6006" w:rsidP="001D6207">
      <w:pPr>
        <w:jc w:val="both"/>
        <w:rPr>
          <w:rFonts w:ascii="Arial" w:hAnsi="Arial" w:cs="Arial"/>
          <w:sz w:val="20"/>
          <w:szCs w:val="22"/>
        </w:rPr>
      </w:pPr>
    </w:p>
    <w:p w:rsidR="001D6207" w:rsidRPr="0011384D" w:rsidRDefault="001D6207" w:rsidP="001D6207">
      <w:pPr>
        <w:pStyle w:val="ListParagraph"/>
        <w:ind w:left="709"/>
        <w:jc w:val="both"/>
        <w:rPr>
          <w:rFonts w:ascii="Arial" w:hAnsi="Arial"/>
          <w:i/>
          <w:sz w:val="22"/>
          <w:szCs w:val="22"/>
        </w:rPr>
      </w:pPr>
      <w:r w:rsidRPr="0011384D">
        <w:rPr>
          <w:rFonts w:ascii="Arial" w:hAnsi="Arial"/>
          <w:i/>
          <w:sz w:val="22"/>
          <w:szCs w:val="22"/>
        </w:rPr>
        <w:t>For more detail on PBAC’s view, see section 7 “PBAC outcome”</w:t>
      </w:r>
    </w:p>
    <w:p w:rsidR="001D6207" w:rsidRPr="0011384D" w:rsidRDefault="001D6207" w:rsidP="001D6207">
      <w:pPr>
        <w:jc w:val="both"/>
        <w:rPr>
          <w:rFonts w:ascii="Arial" w:hAnsi="Arial" w:cs="Arial"/>
          <w:sz w:val="20"/>
          <w:szCs w:val="22"/>
        </w:rPr>
      </w:pPr>
    </w:p>
    <w:p w:rsidR="001D6207" w:rsidRPr="0011384D" w:rsidRDefault="001D6207" w:rsidP="00B17C48">
      <w:pPr>
        <w:jc w:val="both"/>
        <w:rPr>
          <w:rFonts w:ascii="Arial" w:hAnsi="Arial" w:cs="Arial"/>
          <w:sz w:val="20"/>
          <w:szCs w:val="22"/>
        </w:rPr>
      </w:pPr>
    </w:p>
    <w:p w:rsidR="00BF6006" w:rsidRPr="0011384D" w:rsidRDefault="00BF6006" w:rsidP="00CD5A17">
      <w:pPr>
        <w:pStyle w:val="Heading1"/>
        <w:rPr>
          <w:b w:val="0"/>
        </w:rPr>
      </w:pPr>
      <w:r w:rsidRPr="0011384D">
        <w:t>PBAC Outcome</w:t>
      </w:r>
    </w:p>
    <w:p w:rsidR="00BF6006" w:rsidRPr="0011384D" w:rsidRDefault="00BF6006" w:rsidP="00BF6006">
      <w:pPr>
        <w:contextualSpacing/>
        <w:jc w:val="both"/>
        <w:rPr>
          <w:rFonts w:ascii="Arial" w:hAnsi="Arial" w:cs="Arial"/>
          <w:b/>
          <w:bCs/>
          <w:snapToGrid w:val="0"/>
          <w:sz w:val="22"/>
          <w:szCs w:val="22"/>
          <w:lang w:eastAsia="en-US"/>
        </w:rPr>
      </w:pPr>
    </w:p>
    <w:p w:rsidR="00B177E9" w:rsidRPr="0011384D" w:rsidRDefault="00F36FB4" w:rsidP="00B177E9">
      <w:pPr>
        <w:pStyle w:val="ListParagraph"/>
        <w:numPr>
          <w:ilvl w:val="1"/>
          <w:numId w:val="5"/>
        </w:numPr>
        <w:jc w:val="both"/>
        <w:rPr>
          <w:rFonts w:ascii="Arial" w:hAnsi="Arial"/>
          <w:sz w:val="22"/>
          <w:szCs w:val="22"/>
        </w:rPr>
      </w:pPr>
      <w:r w:rsidRPr="0011384D">
        <w:rPr>
          <w:rFonts w:ascii="Arial" w:hAnsi="Arial" w:cs="Arial"/>
          <w:sz w:val="22"/>
          <w:szCs w:val="22"/>
          <w:lang w:eastAsia="en-US"/>
        </w:rPr>
        <w:t>The PBAC recommended an Authority Required listing for armodafinil for the treatment of narcolepsy</w:t>
      </w:r>
      <w:r w:rsidR="000B5EF4" w:rsidRPr="0011384D">
        <w:rPr>
          <w:rFonts w:ascii="Arial" w:hAnsi="Arial" w:cs="Arial"/>
          <w:sz w:val="22"/>
          <w:szCs w:val="22"/>
          <w:lang w:eastAsia="en-US"/>
        </w:rPr>
        <w:t xml:space="preserve"> on a cost-minimisation basis with modafinil</w:t>
      </w:r>
      <w:r w:rsidRPr="0011384D">
        <w:rPr>
          <w:rFonts w:ascii="Arial" w:hAnsi="Arial" w:cs="Arial"/>
          <w:sz w:val="22"/>
          <w:szCs w:val="22"/>
          <w:lang w:eastAsia="en-US"/>
        </w:rPr>
        <w:t>.</w:t>
      </w:r>
      <w:r w:rsidR="000B5EF4" w:rsidRPr="0011384D">
        <w:rPr>
          <w:rFonts w:ascii="Arial" w:hAnsi="Arial" w:cs="Arial"/>
          <w:sz w:val="22"/>
          <w:szCs w:val="22"/>
          <w:lang w:eastAsia="en-US"/>
        </w:rPr>
        <w:t xml:space="preserve"> </w:t>
      </w:r>
      <w:r w:rsidR="00B177E9" w:rsidRPr="0011384D">
        <w:rPr>
          <w:rFonts w:ascii="Arial" w:hAnsi="Arial"/>
          <w:sz w:val="22"/>
          <w:szCs w:val="22"/>
        </w:rPr>
        <w:t>The PBAC considered the equi-effective doses</w:t>
      </w:r>
      <w:r w:rsidR="000B5EF4" w:rsidRPr="0011384D">
        <w:rPr>
          <w:rFonts w:ascii="Arial" w:hAnsi="Arial"/>
          <w:sz w:val="22"/>
          <w:szCs w:val="22"/>
        </w:rPr>
        <w:t xml:space="preserve"> to be </w:t>
      </w:r>
      <w:r w:rsidR="00B177E9" w:rsidRPr="0011384D">
        <w:rPr>
          <w:rFonts w:ascii="Arial" w:hAnsi="Arial"/>
          <w:sz w:val="22"/>
          <w:szCs w:val="22"/>
        </w:rPr>
        <w:t>armodafi</w:t>
      </w:r>
      <w:r w:rsidR="00262262" w:rsidRPr="0011384D">
        <w:rPr>
          <w:rFonts w:ascii="Arial" w:hAnsi="Arial"/>
          <w:sz w:val="22"/>
          <w:szCs w:val="22"/>
        </w:rPr>
        <w:t>nil 250 mg and modafinil 348.55 </w:t>
      </w:r>
      <w:r w:rsidR="00B177E9" w:rsidRPr="0011384D">
        <w:rPr>
          <w:rFonts w:ascii="Arial" w:hAnsi="Arial"/>
          <w:sz w:val="22"/>
          <w:szCs w:val="22"/>
        </w:rPr>
        <w:t>mg, resulting in a dose relativity of 5:7</w:t>
      </w:r>
      <w:r w:rsidR="003849FF" w:rsidRPr="0011384D">
        <w:rPr>
          <w:rFonts w:ascii="Arial" w:hAnsi="Arial"/>
          <w:sz w:val="22"/>
          <w:szCs w:val="22"/>
        </w:rPr>
        <w:t xml:space="preserve"> </w:t>
      </w:r>
      <w:r w:rsidR="000B5EF4" w:rsidRPr="0011384D">
        <w:rPr>
          <w:rFonts w:ascii="Arial" w:hAnsi="Arial"/>
          <w:sz w:val="22"/>
          <w:szCs w:val="22"/>
        </w:rPr>
        <w:t>as proposed by the resubmission</w:t>
      </w:r>
      <w:r w:rsidR="00B177E9" w:rsidRPr="0011384D">
        <w:rPr>
          <w:rFonts w:ascii="Arial" w:hAnsi="Arial" w:cs="Arial"/>
          <w:sz w:val="22"/>
          <w:lang w:eastAsia="en-US"/>
        </w:rPr>
        <w:t>.</w:t>
      </w:r>
    </w:p>
    <w:p w:rsidR="00F36FB4" w:rsidRPr="0011384D" w:rsidRDefault="00F36FB4" w:rsidP="00B177E9">
      <w:pPr>
        <w:rPr>
          <w:rFonts w:ascii="Arial" w:hAnsi="Arial" w:cs="Arial"/>
          <w:sz w:val="22"/>
          <w:lang w:eastAsia="en-US"/>
        </w:rPr>
      </w:pPr>
    </w:p>
    <w:p w:rsidR="00262262" w:rsidRPr="0011384D" w:rsidRDefault="00262262" w:rsidP="00262262">
      <w:pPr>
        <w:pStyle w:val="ListParagraph"/>
        <w:numPr>
          <w:ilvl w:val="1"/>
          <w:numId w:val="5"/>
        </w:numPr>
        <w:jc w:val="both"/>
        <w:rPr>
          <w:sz w:val="22"/>
          <w:lang w:eastAsia="en-US"/>
        </w:rPr>
      </w:pPr>
      <w:r w:rsidRPr="0011384D">
        <w:rPr>
          <w:rFonts w:ascii="Arial" w:hAnsi="Arial" w:cs="Arial"/>
          <w:sz w:val="22"/>
          <w:lang w:eastAsia="en-US"/>
        </w:rPr>
        <w:t>In making its recommendation, the PBAC considered that the revised equi-effective dose</w:t>
      </w:r>
      <w:r w:rsidR="002C2C04" w:rsidRPr="0011384D">
        <w:rPr>
          <w:rFonts w:ascii="Arial" w:hAnsi="Arial" w:cs="Arial"/>
          <w:sz w:val="22"/>
          <w:lang w:eastAsia="en-US"/>
        </w:rPr>
        <w:t>s</w:t>
      </w:r>
      <w:r w:rsidRPr="0011384D">
        <w:rPr>
          <w:rFonts w:ascii="Arial" w:hAnsi="Arial" w:cs="Arial"/>
          <w:sz w:val="22"/>
          <w:lang w:eastAsia="en-US"/>
        </w:rPr>
        <w:t xml:space="preserve"> presented in the re-submission were reasonable. The PBAC also noted that it </w:t>
      </w:r>
      <w:r w:rsidRPr="0011384D">
        <w:rPr>
          <w:rFonts w:ascii="Arial" w:hAnsi="Arial" w:cs="Arial"/>
          <w:sz w:val="22"/>
          <w:lang w:eastAsia="en-US"/>
        </w:rPr>
        <w:lastRenderedPageBreak/>
        <w:t xml:space="preserve">had previously considered that armodafinil was very likely to </w:t>
      </w:r>
      <w:r w:rsidR="002C2C04" w:rsidRPr="0011384D">
        <w:rPr>
          <w:rFonts w:ascii="Arial" w:hAnsi="Arial" w:cs="Arial"/>
          <w:sz w:val="22"/>
          <w:lang w:eastAsia="en-US"/>
        </w:rPr>
        <w:t>be</w:t>
      </w:r>
      <w:r w:rsidRPr="0011384D">
        <w:rPr>
          <w:rFonts w:ascii="Arial" w:hAnsi="Arial" w:cs="Arial"/>
          <w:sz w:val="22"/>
          <w:lang w:eastAsia="en-US"/>
        </w:rPr>
        <w:t xml:space="preserve"> non-inferior in effectiveness and safety compared with modafinil. </w:t>
      </w:r>
    </w:p>
    <w:p w:rsidR="00262262" w:rsidRPr="0011384D" w:rsidRDefault="00262262" w:rsidP="00262262">
      <w:pPr>
        <w:pStyle w:val="ListParagraph"/>
        <w:rPr>
          <w:rFonts w:ascii="Arial" w:hAnsi="Arial" w:cs="Arial"/>
          <w:sz w:val="22"/>
          <w:lang w:eastAsia="en-US"/>
        </w:rPr>
      </w:pPr>
    </w:p>
    <w:p w:rsidR="00262262" w:rsidRPr="0011384D" w:rsidRDefault="00262262" w:rsidP="00262262">
      <w:pPr>
        <w:pStyle w:val="ListParagraph"/>
        <w:numPr>
          <w:ilvl w:val="1"/>
          <w:numId w:val="5"/>
        </w:numPr>
        <w:jc w:val="both"/>
        <w:rPr>
          <w:sz w:val="22"/>
          <w:lang w:eastAsia="en-US"/>
        </w:rPr>
      </w:pPr>
      <w:r w:rsidRPr="0011384D">
        <w:rPr>
          <w:rFonts w:ascii="Arial" w:hAnsi="Arial" w:cs="Arial"/>
          <w:sz w:val="22"/>
          <w:lang w:eastAsia="en-US"/>
        </w:rPr>
        <w:t>The PBAC maintained its previous view that there was no apparent unmet clinical need for armodafinil.</w:t>
      </w:r>
      <w:r w:rsidR="00A255BB" w:rsidRPr="0011384D">
        <w:rPr>
          <w:rFonts w:ascii="Arial" w:hAnsi="Arial" w:cs="Arial"/>
          <w:sz w:val="22"/>
          <w:lang w:eastAsia="en-US"/>
        </w:rPr>
        <w:t xml:space="preserve"> The PBAC noted the resubmission’s claims of differences in plasma concentrations and dose response, however the PBAC </w:t>
      </w:r>
      <w:r w:rsidR="00A819A4" w:rsidRPr="0011384D">
        <w:rPr>
          <w:rFonts w:ascii="Arial" w:hAnsi="Arial" w:cs="Arial"/>
          <w:sz w:val="22"/>
          <w:lang w:eastAsia="en-US"/>
        </w:rPr>
        <w:t xml:space="preserve">were not convinced that these differences would result in </w:t>
      </w:r>
      <w:r w:rsidR="005E6D10" w:rsidRPr="0011384D">
        <w:rPr>
          <w:rFonts w:ascii="Arial" w:hAnsi="Arial" w:cs="Arial"/>
          <w:sz w:val="22"/>
          <w:lang w:eastAsia="en-US"/>
        </w:rPr>
        <w:t xml:space="preserve">armodafinil </w:t>
      </w:r>
      <w:r w:rsidR="00A819A4" w:rsidRPr="0011384D">
        <w:rPr>
          <w:rFonts w:ascii="Arial" w:hAnsi="Arial" w:cs="Arial"/>
          <w:sz w:val="22"/>
          <w:lang w:eastAsia="en-US"/>
        </w:rPr>
        <w:t>having</w:t>
      </w:r>
      <w:r w:rsidR="005E6D10" w:rsidRPr="0011384D">
        <w:rPr>
          <w:rFonts w:ascii="Arial" w:hAnsi="Arial" w:cs="Arial"/>
          <w:sz w:val="22"/>
          <w:lang w:eastAsia="en-US"/>
        </w:rPr>
        <w:t xml:space="preserve"> any appreciable clinical advantage over modafinil.</w:t>
      </w:r>
    </w:p>
    <w:p w:rsidR="00844E2F" w:rsidRPr="0011384D" w:rsidRDefault="00844E2F" w:rsidP="00262262">
      <w:pPr>
        <w:jc w:val="both"/>
        <w:rPr>
          <w:sz w:val="22"/>
          <w:lang w:eastAsia="en-US"/>
        </w:rPr>
      </w:pPr>
    </w:p>
    <w:p w:rsidR="00997DE7" w:rsidRPr="0011384D" w:rsidRDefault="00844E2F" w:rsidP="00997DE7">
      <w:pPr>
        <w:pStyle w:val="ListParagraph"/>
        <w:numPr>
          <w:ilvl w:val="1"/>
          <w:numId w:val="5"/>
        </w:numPr>
        <w:jc w:val="both"/>
        <w:rPr>
          <w:sz w:val="22"/>
          <w:lang w:eastAsia="en-US"/>
        </w:rPr>
      </w:pPr>
      <w:r w:rsidRPr="0011384D">
        <w:rPr>
          <w:rFonts w:ascii="Arial" w:hAnsi="Arial" w:cs="Arial"/>
          <w:sz w:val="22"/>
          <w:lang w:eastAsia="en-US"/>
        </w:rPr>
        <w:t xml:space="preserve">The PBAC </w:t>
      </w:r>
      <w:r w:rsidR="00277A09" w:rsidRPr="0011384D">
        <w:rPr>
          <w:rFonts w:ascii="Arial" w:hAnsi="Arial" w:cs="Arial"/>
          <w:sz w:val="22"/>
          <w:lang w:eastAsia="en-US"/>
        </w:rPr>
        <w:t>noted</w:t>
      </w:r>
      <w:r w:rsidRPr="0011384D">
        <w:rPr>
          <w:rFonts w:ascii="Arial" w:hAnsi="Arial" w:cs="Arial"/>
          <w:sz w:val="22"/>
          <w:lang w:eastAsia="en-US"/>
        </w:rPr>
        <w:t xml:space="preserve"> that over</w:t>
      </w:r>
      <w:r w:rsidR="002C2C04" w:rsidRPr="0011384D">
        <w:rPr>
          <w:rFonts w:ascii="Arial" w:hAnsi="Arial" w:cs="Arial"/>
          <w:sz w:val="22"/>
          <w:lang w:eastAsia="en-US"/>
        </w:rPr>
        <w:t xml:space="preserve"> </w:t>
      </w:r>
      <w:r w:rsidRPr="0011384D">
        <w:rPr>
          <w:rFonts w:ascii="Arial" w:hAnsi="Arial" w:cs="Arial"/>
          <w:sz w:val="22"/>
          <w:lang w:eastAsia="en-US"/>
        </w:rPr>
        <w:t>time</w:t>
      </w:r>
      <w:r w:rsidR="002C2C04" w:rsidRPr="0011384D">
        <w:rPr>
          <w:rFonts w:ascii="Arial" w:hAnsi="Arial" w:cs="Arial"/>
          <w:sz w:val="22"/>
          <w:lang w:eastAsia="en-US"/>
        </w:rPr>
        <w:t>,</w:t>
      </w:r>
      <w:r w:rsidRPr="0011384D">
        <w:rPr>
          <w:rFonts w:ascii="Arial" w:hAnsi="Arial" w:cs="Arial"/>
          <w:sz w:val="22"/>
          <w:lang w:eastAsia="en-US"/>
        </w:rPr>
        <w:t xml:space="preserve"> armodafinil may cease</w:t>
      </w:r>
      <w:r w:rsidR="002C2C04" w:rsidRPr="0011384D">
        <w:rPr>
          <w:rFonts w:ascii="Arial" w:hAnsi="Arial" w:cs="Arial"/>
          <w:sz w:val="22"/>
          <w:lang w:eastAsia="en-US"/>
        </w:rPr>
        <w:t xml:space="preserve"> to be cost-effective</w:t>
      </w:r>
      <w:r w:rsidRPr="0011384D">
        <w:rPr>
          <w:rFonts w:ascii="Arial" w:hAnsi="Arial" w:cs="Arial"/>
          <w:sz w:val="22"/>
          <w:lang w:eastAsia="en-US"/>
        </w:rPr>
        <w:t xml:space="preserve"> due to </w:t>
      </w:r>
      <w:r w:rsidR="00EF1AA6" w:rsidRPr="0011384D">
        <w:rPr>
          <w:rFonts w:ascii="Arial" w:hAnsi="Arial" w:cs="Arial"/>
          <w:sz w:val="22"/>
          <w:lang w:eastAsia="en-US"/>
        </w:rPr>
        <w:t xml:space="preserve">decreases in </w:t>
      </w:r>
      <w:r w:rsidR="002C6295">
        <w:rPr>
          <w:rFonts w:ascii="Arial" w:hAnsi="Arial" w:cs="Arial"/>
          <w:sz w:val="22"/>
          <w:lang w:eastAsia="en-US"/>
        </w:rPr>
        <w:t xml:space="preserve">the </w:t>
      </w:r>
      <w:r w:rsidRPr="0011384D">
        <w:rPr>
          <w:rFonts w:ascii="Arial" w:hAnsi="Arial" w:cs="Arial"/>
          <w:sz w:val="22"/>
          <w:lang w:eastAsia="en-US"/>
        </w:rPr>
        <w:t>modafinil</w:t>
      </w:r>
      <w:r w:rsidR="00EF1AA6" w:rsidRPr="0011384D">
        <w:rPr>
          <w:rFonts w:ascii="Arial" w:hAnsi="Arial" w:cs="Arial"/>
          <w:sz w:val="22"/>
          <w:lang w:eastAsia="en-US"/>
        </w:rPr>
        <w:t xml:space="preserve"> price as a result of </w:t>
      </w:r>
      <w:r w:rsidRPr="0011384D">
        <w:rPr>
          <w:rFonts w:ascii="Arial" w:hAnsi="Arial" w:cs="Arial"/>
          <w:sz w:val="22"/>
          <w:lang w:eastAsia="en-US"/>
        </w:rPr>
        <w:t>patent</w:t>
      </w:r>
      <w:r w:rsidR="00EF1AA6" w:rsidRPr="0011384D">
        <w:rPr>
          <w:rFonts w:ascii="Arial" w:hAnsi="Arial" w:cs="Arial"/>
          <w:sz w:val="22"/>
          <w:lang w:eastAsia="en-US"/>
        </w:rPr>
        <w:t xml:space="preserve"> expiry</w:t>
      </w:r>
      <w:r w:rsidRPr="0011384D">
        <w:rPr>
          <w:rFonts w:ascii="Arial" w:hAnsi="Arial" w:cs="Arial"/>
          <w:sz w:val="22"/>
          <w:lang w:eastAsia="en-US"/>
        </w:rPr>
        <w:t xml:space="preserve"> and the introduction of generic versions of modafinil. </w:t>
      </w:r>
      <w:r w:rsidR="00277A09" w:rsidRPr="0011384D">
        <w:rPr>
          <w:rFonts w:ascii="Arial" w:hAnsi="Arial" w:cs="Arial"/>
          <w:sz w:val="22"/>
          <w:lang w:eastAsia="en-US"/>
        </w:rPr>
        <w:t xml:space="preserve">The PBAC noted that </w:t>
      </w:r>
      <w:r w:rsidR="00FD0A28" w:rsidRPr="0011384D">
        <w:rPr>
          <w:rFonts w:ascii="Arial" w:hAnsi="Arial" w:cs="Arial"/>
          <w:sz w:val="22"/>
          <w:lang w:eastAsia="en-US"/>
        </w:rPr>
        <w:t xml:space="preserve">at some point </w:t>
      </w:r>
      <w:r w:rsidR="00277A09" w:rsidRPr="0011384D">
        <w:rPr>
          <w:rFonts w:ascii="Arial" w:hAnsi="Arial" w:cs="Arial"/>
          <w:sz w:val="22"/>
          <w:lang w:eastAsia="en-US"/>
        </w:rPr>
        <w:t>in the future, the Minister may wish to seek advice from the PBAC regarding the ongoing cost-effectiveness of armodafinil.</w:t>
      </w:r>
    </w:p>
    <w:p w:rsidR="00813E64" w:rsidRPr="0011384D" w:rsidRDefault="00813E64" w:rsidP="00C0013B">
      <w:pPr>
        <w:pStyle w:val="ListParagraph"/>
        <w:jc w:val="both"/>
        <w:rPr>
          <w:rFonts w:ascii="Arial" w:hAnsi="Arial" w:cs="Arial"/>
          <w:sz w:val="22"/>
          <w:lang w:eastAsia="en-US"/>
        </w:rPr>
      </w:pPr>
    </w:p>
    <w:p w:rsidR="00813E64" w:rsidRPr="0011384D" w:rsidRDefault="00813E64" w:rsidP="00997DE7">
      <w:pPr>
        <w:pStyle w:val="ListParagraph"/>
        <w:numPr>
          <w:ilvl w:val="1"/>
          <w:numId w:val="5"/>
        </w:numPr>
        <w:jc w:val="both"/>
        <w:rPr>
          <w:rFonts w:ascii="Arial" w:hAnsi="Arial" w:cs="Arial"/>
          <w:sz w:val="22"/>
          <w:lang w:eastAsia="en-US"/>
        </w:rPr>
      </w:pPr>
      <w:r w:rsidRPr="0011384D">
        <w:rPr>
          <w:rFonts w:ascii="Arial" w:hAnsi="Arial" w:cs="Arial"/>
          <w:sz w:val="22"/>
          <w:lang w:eastAsia="en-US"/>
        </w:rPr>
        <w:t xml:space="preserve">The PBAC noted that the resubmission </w:t>
      </w:r>
      <w:r w:rsidR="00C0013B" w:rsidRPr="0011384D">
        <w:rPr>
          <w:rFonts w:ascii="Arial" w:hAnsi="Arial" w:cs="Arial"/>
          <w:sz w:val="22"/>
          <w:lang w:eastAsia="en-US"/>
        </w:rPr>
        <w:t xml:space="preserve">proposed cost savings to Government upon the listing of armodafinil, however </w:t>
      </w:r>
      <w:r w:rsidR="002A514B" w:rsidRPr="0011384D">
        <w:rPr>
          <w:rFonts w:ascii="Arial" w:hAnsi="Arial" w:cs="Arial"/>
          <w:sz w:val="22"/>
          <w:lang w:eastAsia="en-US"/>
        </w:rPr>
        <w:t>considered</w:t>
      </w:r>
      <w:r w:rsidR="00C0013B" w:rsidRPr="0011384D">
        <w:rPr>
          <w:rFonts w:ascii="Arial" w:hAnsi="Arial" w:cs="Arial"/>
          <w:sz w:val="22"/>
          <w:lang w:eastAsia="en-US"/>
        </w:rPr>
        <w:t xml:space="preserve"> that these savings </w:t>
      </w:r>
      <w:r w:rsidR="002C6295">
        <w:rPr>
          <w:rFonts w:ascii="Arial" w:hAnsi="Arial" w:cs="Arial"/>
          <w:sz w:val="22"/>
          <w:lang w:eastAsia="en-US"/>
        </w:rPr>
        <w:t>will not</w:t>
      </w:r>
      <w:r w:rsidR="00C0013B" w:rsidRPr="0011384D">
        <w:rPr>
          <w:rFonts w:ascii="Arial" w:hAnsi="Arial" w:cs="Arial"/>
          <w:sz w:val="22"/>
          <w:lang w:eastAsia="en-US"/>
        </w:rPr>
        <w:t xml:space="preserve"> be realised if the price of modafinil decreases over time.</w:t>
      </w:r>
    </w:p>
    <w:p w:rsidR="00997DE7" w:rsidRPr="0011384D" w:rsidRDefault="00997DE7" w:rsidP="00C0013B">
      <w:pPr>
        <w:pStyle w:val="ListParagraph"/>
        <w:jc w:val="both"/>
        <w:rPr>
          <w:rFonts w:ascii="Arial" w:hAnsi="Arial" w:cs="Arial"/>
          <w:sz w:val="22"/>
          <w:lang w:eastAsia="en-US"/>
        </w:rPr>
      </w:pPr>
    </w:p>
    <w:p w:rsidR="00F36FB4" w:rsidRPr="0011384D" w:rsidRDefault="00997DE7" w:rsidP="000B78AB">
      <w:pPr>
        <w:pStyle w:val="ListParagraph"/>
        <w:numPr>
          <w:ilvl w:val="1"/>
          <w:numId w:val="5"/>
        </w:numPr>
        <w:jc w:val="both"/>
        <w:rPr>
          <w:sz w:val="22"/>
          <w:lang w:eastAsia="en-US"/>
        </w:rPr>
      </w:pPr>
      <w:r w:rsidRPr="0011384D">
        <w:rPr>
          <w:rFonts w:ascii="Arial" w:hAnsi="Arial" w:cs="Arial"/>
          <w:bCs/>
          <w:snapToGrid w:val="0"/>
          <w:sz w:val="22"/>
          <w:szCs w:val="22"/>
        </w:rPr>
        <w:t xml:space="preserve">The PBAC recommended </w:t>
      </w:r>
      <w:r w:rsidR="000B78AB" w:rsidRPr="0011384D">
        <w:rPr>
          <w:rFonts w:ascii="Arial" w:hAnsi="Arial" w:cs="Arial"/>
          <w:bCs/>
          <w:snapToGrid w:val="0"/>
          <w:sz w:val="22"/>
          <w:szCs w:val="22"/>
        </w:rPr>
        <w:t xml:space="preserve">under Section 101(3BA) of the National Health Act, </w:t>
      </w:r>
      <w:r w:rsidRPr="0011384D">
        <w:rPr>
          <w:rFonts w:ascii="Arial" w:hAnsi="Arial" w:cs="Arial"/>
          <w:bCs/>
          <w:snapToGrid w:val="0"/>
          <w:sz w:val="22"/>
          <w:szCs w:val="22"/>
        </w:rPr>
        <w:t>that armodafinil should be treated as interchangeable on an individu</w:t>
      </w:r>
      <w:r w:rsidR="000B78AB" w:rsidRPr="0011384D">
        <w:rPr>
          <w:rFonts w:ascii="Arial" w:hAnsi="Arial" w:cs="Arial"/>
          <w:bCs/>
          <w:snapToGrid w:val="0"/>
          <w:sz w:val="22"/>
          <w:szCs w:val="22"/>
        </w:rPr>
        <w:t>al patient basis with modafinil</w:t>
      </w:r>
      <w:r w:rsidRPr="0011384D">
        <w:rPr>
          <w:rFonts w:ascii="Arial" w:hAnsi="Arial" w:cs="Arial"/>
          <w:snapToGrid w:val="0"/>
          <w:sz w:val="22"/>
          <w:szCs w:val="22"/>
          <w:lang w:eastAsia="en-US"/>
        </w:rPr>
        <w:t>.</w:t>
      </w:r>
    </w:p>
    <w:p w:rsidR="006F04FF" w:rsidRPr="0011384D" w:rsidRDefault="006F04FF" w:rsidP="007B7486">
      <w:pPr>
        <w:widowControl w:val="0"/>
        <w:spacing w:after="120"/>
        <w:contextualSpacing/>
        <w:jc w:val="both"/>
        <w:rPr>
          <w:rFonts w:ascii="Arial" w:hAnsi="Arial" w:cs="Arial"/>
          <w:bCs/>
          <w:snapToGrid w:val="0"/>
          <w:sz w:val="22"/>
          <w:szCs w:val="22"/>
          <w:lang w:eastAsia="en-US"/>
        </w:rPr>
      </w:pPr>
    </w:p>
    <w:p w:rsidR="00F36FB4" w:rsidRPr="0011384D" w:rsidRDefault="007B7486" w:rsidP="00347D41">
      <w:pPr>
        <w:widowControl w:val="0"/>
        <w:numPr>
          <w:ilvl w:val="1"/>
          <w:numId w:val="5"/>
        </w:numPr>
        <w:spacing w:after="120"/>
        <w:contextualSpacing/>
        <w:jc w:val="both"/>
        <w:rPr>
          <w:rFonts w:ascii="Arial" w:hAnsi="Arial" w:cs="Arial"/>
          <w:bCs/>
          <w:snapToGrid w:val="0"/>
          <w:sz w:val="22"/>
          <w:szCs w:val="22"/>
          <w:lang w:eastAsia="en-US"/>
        </w:rPr>
      </w:pPr>
      <w:r w:rsidRPr="0011384D">
        <w:rPr>
          <w:rFonts w:ascii="Arial" w:hAnsi="Arial" w:cs="Arial"/>
          <w:bCs/>
          <w:snapToGrid w:val="0"/>
          <w:sz w:val="22"/>
          <w:szCs w:val="22"/>
          <w:lang w:eastAsia="en-US"/>
        </w:rPr>
        <w:t xml:space="preserve">The PBAC </w:t>
      </w:r>
      <w:r w:rsidR="00844E2F" w:rsidRPr="0011384D">
        <w:rPr>
          <w:rFonts w:ascii="Arial" w:hAnsi="Arial" w:cs="Arial"/>
          <w:bCs/>
          <w:snapToGrid w:val="0"/>
          <w:sz w:val="22"/>
          <w:szCs w:val="22"/>
          <w:lang w:eastAsia="en-US"/>
        </w:rPr>
        <w:t xml:space="preserve">recommended that the Early </w:t>
      </w:r>
      <w:r w:rsidR="00347D41" w:rsidRPr="0011384D">
        <w:rPr>
          <w:rFonts w:ascii="Arial" w:hAnsi="Arial" w:cs="Arial"/>
          <w:bCs/>
          <w:snapToGrid w:val="0"/>
          <w:sz w:val="22"/>
          <w:szCs w:val="22"/>
          <w:lang w:eastAsia="en-US"/>
        </w:rPr>
        <w:t xml:space="preserve">Supply </w:t>
      </w:r>
      <w:r w:rsidR="00844E2F" w:rsidRPr="0011384D">
        <w:rPr>
          <w:rFonts w:ascii="Arial" w:hAnsi="Arial" w:cs="Arial"/>
          <w:bCs/>
          <w:snapToGrid w:val="0"/>
          <w:sz w:val="22"/>
          <w:szCs w:val="22"/>
          <w:lang w:eastAsia="en-US"/>
        </w:rPr>
        <w:t>Rule should apply.</w:t>
      </w:r>
    </w:p>
    <w:p w:rsidR="00F36FB4" w:rsidRPr="0011384D" w:rsidRDefault="00F36FB4" w:rsidP="00F36FB4">
      <w:pPr>
        <w:widowControl w:val="0"/>
        <w:spacing w:after="120"/>
        <w:ind w:left="720"/>
        <w:contextualSpacing/>
        <w:jc w:val="both"/>
        <w:rPr>
          <w:rFonts w:ascii="Arial" w:hAnsi="Arial" w:cs="Arial"/>
          <w:bCs/>
          <w:snapToGrid w:val="0"/>
          <w:sz w:val="22"/>
          <w:szCs w:val="22"/>
          <w:lang w:eastAsia="en-US"/>
        </w:rPr>
      </w:pPr>
    </w:p>
    <w:p w:rsidR="00844E2F" w:rsidRPr="0090716A" w:rsidRDefault="007B7486" w:rsidP="0090716A">
      <w:pPr>
        <w:widowControl w:val="0"/>
        <w:numPr>
          <w:ilvl w:val="1"/>
          <w:numId w:val="5"/>
        </w:numPr>
        <w:spacing w:after="120"/>
        <w:contextualSpacing/>
        <w:jc w:val="both"/>
        <w:rPr>
          <w:rFonts w:ascii="Arial" w:hAnsi="Arial" w:cs="Arial"/>
          <w:bCs/>
          <w:snapToGrid w:val="0"/>
          <w:sz w:val="22"/>
          <w:szCs w:val="22"/>
          <w:lang w:eastAsia="en-US"/>
        </w:rPr>
      </w:pPr>
      <w:r w:rsidRPr="0011384D">
        <w:rPr>
          <w:rFonts w:ascii="Arial" w:hAnsi="Arial" w:cs="Arial"/>
          <w:bCs/>
          <w:snapToGrid w:val="0"/>
          <w:sz w:val="22"/>
          <w:szCs w:val="22"/>
          <w:lang w:eastAsia="en-US"/>
        </w:rPr>
        <w:t xml:space="preserve">The PBAC advised </w:t>
      </w:r>
      <w:r w:rsidR="00347D41" w:rsidRPr="0011384D">
        <w:rPr>
          <w:rFonts w:ascii="Arial" w:hAnsi="Arial" w:cs="Arial"/>
          <w:bCs/>
          <w:snapToGrid w:val="0"/>
          <w:sz w:val="22"/>
          <w:szCs w:val="22"/>
          <w:lang w:eastAsia="en-US"/>
        </w:rPr>
        <w:t xml:space="preserve">that </w:t>
      </w:r>
      <w:r w:rsidRPr="0011384D">
        <w:rPr>
          <w:rFonts w:ascii="Arial" w:hAnsi="Arial" w:cs="Arial"/>
          <w:bCs/>
          <w:snapToGrid w:val="0"/>
          <w:sz w:val="22"/>
          <w:szCs w:val="22"/>
          <w:lang w:eastAsia="en-US"/>
        </w:rPr>
        <w:t xml:space="preserve">armodafinil </w:t>
      </w:r>
      <w:r w:rsidR="00347D41" w:rsidRPr="0011384D">
        <w:rPr>
          <w:rFonts w:ascii="Arial" w:hAnsi="Arial" w:cs="Arial"/>
          <w:bCs/>
          <w:snapToGrid w:val="0"/>
          <w:sz w:val="22"/>
          <w:szCs w:val="22"/>
          <w:lang w:eastAsia="en-US"/>
        </w:rPr>
        <w:t>is</w:t>
      </w:r>
      <w:r w:rsidRPr="0011384D">
        <w:rPr>
          <w:rFonts w:ascii="Arial" w:hAnsi="Arial" w:cs="Arial"/>
          <w:bCs/>
          <w:snapToGrid w:val="0"/>
          <w:sz w:val="22"/>
          <w:szCs w:val="22"/>
          <w:lang w:eastAsia="en-US"/>
        </w:rPr>
        <w:t xml:space="preserve"> not </w:t>
      </w:r>
      <w:r w:rsidR="00347D41" w:rsidRPr="0011384D">
        <w:rPr>
          <w:rFonts w:ascii="Arial" w:hAnsi="Arial" w:cs="Arial"/>
          <w:bCs/>
          <w:snapToGrid w:val="0"/>
          <w:sz w:val="22"/>
          <w:szCs w:val="22"/>
          <w:lang w:eastAsia="en-US"/>
        </w:rPr>
        <w:t>suitable for</w:t>
      </w:r>
      <w:r w:rsidRPr="0011384D">
        <w:rPr>
          <w:rFonts w:ascii="Arial" w:hAnsi="Arial" w:cs="Arial"/>
          <w:bCs/>
          <w:snapToGrid w:val="0"/>
          <w:sz w:val="22"/>
          <w:szCs w:val="22"/>
          <w:lang w:eastAsia="en-US"/>
        </w:rPr>
        <w:t xml:space="preserve"> prescrib</w:t>
      </w:r>
      <w:r w:rsidR="00347D41" w:rsidRPr="0011384D">
        <w:rPr>
          <w:rFonts w:ascii="Arial" w:hAnsi="Arial" w:cs="Arial"/>
          <w:bCs/>
          <w:snapToGrid w:val="0"/>
          <w:sz w:val="22"/>
          <w:szCs w:val="22"/>
          <w:lang w:eastAsia="en-US"/>
        </w:rPr>
        <w:t>ing</w:t>
      </w:r>
      <w:r w:rsidRPr="0011384D">
        <w:rPr>
          <w:rFonts w:ascii="Arial" w:hAnsi="Arial" w:cs="Arial"/>
          <w:bCs/>
          <w:snapToGrid w:val="0"/>
          <w:sz w:val="22"/>
          <w:szCs w:val="22"/>
          <w:lang w:eastAsia="en-US"/>
        </w:rPr>
        <w:t xml:space="preserve"> </w:t>
      </w:r>
      <w:r w:rsidR="00F36FB4" w:rsidRPr="0011384D">
        <w:rPr>
          <w:rFonts w:ascii="Arial" w:hAnsi="Arial" w:cs="Arial"/>
          <w:bCs/>
          <w:snapToGrid w:val="0"/>
          <w:sz w:val="22"/>
          <w:szCs w:val="22"/>
          <w:lang w:eastAsia="en-US"/>
        </w:rPr>
        <w:t>by nurse practitioners.</w:t>
      </w:r>
    </w:p>
    <w:p w:rsidR="00BF6006" w:rsidRPr="0011384D" w:rsidRDefault="00BF6006" w:rsidP="00BF6006">
      <w:pPr>
        <w:jc w:val="both"/>
        <w:rPr>
          <w:rFonts w:ascii="Arial" w:hAnsi="Arial" w:cs="Arial"/>
          <w:b/>
          <w:bCs/>
          <w:snapToGrid w:val="0"/>
          <w:sz w:val="22"/>
          <w:szCs w:val="22"/>
          <w:lang w:eastAsia="en-US"/>
        </w:rPr>
      </w:pPr>
    </w:p>
    <w:p w:rsidR="00BF6006" w:rsidRPr="0011384D" w:rsidRDefault="00BF6006" w:rsidP="00BF6006">
      <w:pPr>
        <w:jc w:val="both"/>
        <w:rPr>
          <w:rFonts w:ascii="Arial" w:hAnsi="Arial" w:cs="Arial"/>
          <w:b/>
          <w:bCs/>
          <w:snapToGrid w:val="0"/>
          <w:sz w:val="22"/>
          <w:szCs w:val="22"/>
          <w:lang w:eastAsia="en-US"/>
        </w:rPr>
      </w:pPr>
      <w:r w:rsidRPr="0011384D">
        <w:rPr>
          <w:rFonts w:ascii="Arial" w:hAnsi="Arial" w:cs="Arial"/>
          <w:b/>
          <w:bCs/>
          <w:snapToGrid w:val="0"/>
          <w:sz w:val="22"/>
          <w:szCs w:val="22"/>
          <w:lang w:eastAsia="en-US"/>
        </w:rPr>
        <w:t>Outcome:</w:t>
      </w:r>
    </w:p>
    <w:p w:rsidR="00BF6006" w:rsidRPr="0011384D" w:rsidRDefault="00BF6006" w:rsidP="00BF6006">
      <w:pPr>
        <w:jc w:val="both"/>
        <w:rPr>
          <w:rFonts w:ascii="Arial" w:hAnsi="Arial" w:cs="Arial"/>
          <w:bCs/>
          <w:snapToGrid w:val="0"/>
          <w:sz w:val="22"/>
          <w:szCs w:val="22"/>
          <w:lang w:eastAsia="en-US"/>
        </w:rPr>
      </w:pPr>
      <w:r w:rsidRPr="0011384D">
        <w:rPr>
          <w:rFonts w:ascii="Arial" w:hAnsi="Arial" w:cs="Arial"/>
          <w:bCs/>
          <w:snapToGrid w:val="0"/>
          <w:sz w:val="22"/>
          <w:szCs w:val="22"/>
          <w:lang w:eastAsia="en-US"/>
        </w:rPr>
        <w:t>Recommended</w:t>
      </w:r>
    </w:p>
    <w:p w:rsidR="00844E2F" w:rsidRPr="0011384D" w:rsidRDefault="00844E2F" w:rsidP="00BF6006">
      <w:pPr>
        <w:widowControl w:val="0"/>
        <w:jc w:val="both"/>
        <w:rPr>
          <w:rFonts w:ascii="Arial" w:hAnsi="Arial" w:cs="Arial"/>
          <w:b/>
          <w:bCs/>
          <w:snapToGrid w:val="0"/>
          <w:sz w:val="22"/>
          <w:szCs w:val="22"/>
          <w:lang w:eastAsia="en-US"/>
        </w:rPr>
      </w:pPr>
    </w:p>
    <w:p w:rsidR="00B647DA" w:rsidRPr="0011384D" w:rsidRDefault="00B647DA" w:rsidP="00BF6006">
      <w:pPr>
        <w:widowControl w:val="0"/>
        <w:jc w:val="both"/>
        <w:rPr>
          <w:rFonts w:ascii="Arial" w:hAnsi="Arial" w:cs="Arial"/>
          <w:b/>
          <w:bCs/>
          <w:snapToGrid w:val="0"/>
          <w:sz w:val="22"/>
          <w:szCs w:val="22"/>
          <w:lang w:eastAsia="en-US"/>
        </w:rPr>
      </w:pPr>
    </w:p>
    <w:p w:rsidR="00BF6006" w:rsidRPr="0011384D" w:rsidRDefault="00BF6006" w:rsidP="00CD5A17">
      <w:pPr>
        <w:pStyle w:val="Heading1"/>
        <w:rPr>
          <w:rFonts w:cs="Arial"/>
          <w:b w:val="0"/>
          <w:bCs/>
          <w:i/>
          <w:snapToGrid w:val="0"/>
          <w:lang w:eastAsia="en-US"/>
        </w:rPr>
      </w:pPr>
      <w:r w:rsidRPr="0011384D">
        <w:rPr>
          <w:rFonts w:cs="Arial"/>
          <w:bCs/>
          <w:snapToGrid w:val="0"/>
          <w:lang w:eastAsia="en-US"/>
        </w:rPr>
        <w:t>Recommended listing</w:t>
      </w:r>
    </w:p>
    <w:p w:rsidR="00BF6006" w:rsidRPr="0011384D" w:rsidRDefault="00BF6006" w:rsidP="00BF6006">
      <w:pPr>
        <w:jc w:val="both"/>
        <w:rPr>
          <w:rFonts w:ascii="Arial" w:hAnsi="Arial" w:cs="Arial"/>
          <w:b/>
          <w:bCs/>
          <w:i/>
          <w:snapToGrid w:val="0"/>
          <w:sz w:val="22"/>
          <w:szCs w:val="22"/>
          <w:lang w:eastAsia="en-US"/>
        </w:rPr>
      </w:pPr>
    </w:p>
    <w:p w:rsidR="00F636C9" w:rsidRPr="0011384D" w:rsidRDefault="00F636C9" w:rsidP="00F636C9">
      <w:pPr>
        <w:pStyle w:val="ListParagraph"/>
        <w:numPr>
          <w:ilvl w:val="1"/>
          <w:numId w:val="5"/>
        </w:numPr>
        <w:rPr>
          <w:rFonts w:ascii="Arial" w:hAnsi="Arial"/>
          <w:sz w:val="22"/>
          <w:szCs w:val="22"/>
        </w:rPr>
      </w:pPr>
      <w:r w:rsidRPr="0011384D">
        <w:rPr>
          <w:rFonts w:ascii="Arial" w:hAnsi="Arial"/>
          <w:sz w:val="22"/>
          <w:szCs w:val="22"/>
        </w:rPr>
        <w:t>Add new item:</w:t>
      </w:r>
    </w:p>
    <w:p w:rsidR="00B66073" w:rsidRPr="0011384D" w:rsidRDefault="00B66073" w:rsidP="00B66073">
      <w:pPr>
        <w:pStyle w:val="NoSpacing"/>
      </w:pPr>
    </w:p>
    <w:tbl>
      <w:tblPr>
        <w:tblW w:w="8363" w:type="dxa"/>
        <w:tblInd w:w="817" w:type="dxa"/>
        <w:tblLayout w:type="fixed"/>
        <w:tblLook w:val="0000" w:firstRow="0" w:lastRow="0" w:firstColumn="0" w:lastColumn="0" w:noHBand="0" w:noVBand="0"/>
      </w:tblPr>
      <w:tblGrid>
        <w:gridCol w:w="1985"/>
        <w:gridCol w:w="1134"/>
        <w:gridCol w:w="850"/>
        <w:gridCol w:w="1134"/>
        <w:gridCol w:w="1418"/>
        <w:gridCol w:w="1842"/>
      </w:tblGrid>
      <w:tr w:rsidR="001A547A" w:rsidRPr="0011384D" w:rsidTr="00EF1AA6">
        <w:trPr>
          <w:cantSplit/>
          <w:trHeight w:val="471"/>
        </w:trPr>
        <w:tc>
          <w:tcPr>
            <w:tcW w:w="3119" w:type="dxa"/>
            <w:gridSpan w:val="2"/>
            <w:tcBorders>
              <w:bottom w:val="single" w:sz="4" w:space="0" w:color="auto"/>
            </w:tcBorders>
          </w:tcPr>
          <w:p w:rsidR="001A547A" w:rsidRPr="0011384D" w:rsidRDefault="001A547A" w:rsidP="00347D41">
            <w:pPr>
              <w:keepNext/>
              <w:ind w:left="-108"/>
              <w:jc w:val="both"/>
              <w:rPr>
                <w:rFonts w:ascii="Arial Narrow" w:hAnsi="Arial Narrow" w:cs="Arial"/>
                <w:b/>
                <w:sz w:val="20"/>
                <w:szCs w:val="20"/>
              </w:rPr>
            </w:pPr>
            <w:r w:rsidRPr="0011384D">
              <w:rPr>
                <w:rFonts w:ascii="Arial Narrow" w:hAnsi="Arial Narrow" w:cs="Arial"/>
                <w:b/>
                <w:sz w:val="20"/>
                <w:szCs w:val="20"/>
              </w:rPr>
              <w:t>Name, Restriction,</w:t>
            </w:r>
          </w:p>
          <w:p w:rsidR="001A547A" w:rsidRPr="0011384D" w:rsidRDefault="001A547A" w:rsidP="00347D41">
            <w:pPr>
              <w:keepNext/>
              <w:ind w:left="-108"/>
              <w:jc w:val="both"/>
              <w:rPr>
                <w:rFonts w:ascii="Arial Narrow" w:hAnsi="Arial Narrow" w:cs="Arial"/>
                <w:b/>
                <w:sz w:val="20"/>
                <w:szCs w:val="20"/>
              </w:rPr>
            </w:pPr>
            <w:r w:rsidRPr="0011384D">
              <w:rPr>
                <w:rFonts w:ascii="Arial Narrow" w:hAnsi="Arial Narrow" w:cs="Arial"/>
                <w:b/>
                <w:sz w:val="20"/>
                <w:szCs w:val="20"/>
              </w:rPr>
              <w:t>Manner of administration and form</w:t>
            </w:r>
          </w:p>
        </w:tc>
        <w:tc>
          <w:tcPr>
            <w:tcW w:w="850" w:type="dxa"/>
            <w:tcBorders>
              <w:bottom w:val="single" w:sz="4" w:space="0" w:color="auto"/>
            </w:tcBorders>
          </w:tcPr>
          <w:p w:rsidR="001A547A" w:rsidRPr="0011384D" w:rsidRDefault="001A547A" w:rsidP="00347D41">
            <w:pPr>
              <w:keepNext/>
              <w:ind w:left="-108"/>
              <w:jc w:val="both"/>
              <w:rPr>
                <w:rFonts w:ascii="Arial Narrow" w:hAnsi="Arial Narrow" w:cs="Arial"/>
                <w:b/>
                <w:sz w:val="20"/>
                <w:szCs w:val="20"/>
              </w:rPr>
            </w:pPr>
            <w:r w:rsidRPr="0011384D">
              <w:rPr>
                <w:rFonts w:ascii="Arial Narrow" w:hAnsi="Arial Narrow" w:cs="Arial"/>
                <w:b/>
                <w:sz w:val="20"/>
                <w:szCs w:val="20"/>
              </w:rPr>
              <w:t>Max.</w:t>
            </w:r>
          </w:p>
          <w:p w:rsidR="001A547A" w:rsidRPr="0011384D" w:rsidRDefault="001A547A" w:rsidP="00347D41">
            <w:pPr>
              <w:keepNext/>
              <w:ind w:left="-108"/>
              <w:jc w:val="both"/>
              <w:rPr>
                <w:rFonts w:ascii="Arial Narrow" w:hAnsi="Arial Narrow" w:cs="Arial"/>
                <w:b/>
                <w:sz w:val="20"/>
                <w:szCs w:val="20"/>
              </w:rPr>
            </w:pPr>
            <w:r w:rsidRPr="0011384D">
              <w:rPr>
                <w:rFonts w:ascii="Arial Narrow" w:hAnsi="Arial Narrow" w:cs="Arial"/>
                <w:b/>
                <w:sz w:val="20"/>
                <w:szCs w:val="20"/>
              </w:rPr>
              <w:t>Qty</w:t>
            </w:r>
          </w:p>
        </w:tc>
        <w:tc>
          <w:tcPr>
            <w:tcW w:w="1134" w:type="dxa"/>
            <w:tcBorders>
              <w:bottom w:val="single" w:sz="4" w:space="0" w:color="auto"/>
            </w:tcBorders>
          </w:tcPr>
          <w:p w:rsidR="001A547A" w:rsidRPr="0011384D" w:rsidRDefault="001A547A" w:rsidP="00347D41">
            <w:pPr>
              <w:keepNext/>
              <w:ind w:left="-108"/>
              <w:jc w:val="both"/>
              <w:rPr>
                <w:rFonts w:ascii="Arial Narrow" w:hAnsi="Arial Narrow" w:cs="Arial"/>
                <w:b/>
                <w:sz w:val="20"/>
                <w:szCs w:val="20"/>
              </w:rPr>
            </w:pPr>
            <w:r w:rsidRPr="0011384D">
              <w:rPr>
                <w:rFonts w:ascii="Arial Narrow" w:hAnsi="Arial Narrow" w:cs="Arial"/>
                <w:b/>
                <w:sz w:val="20"/>
                <w:szCs w:val="20"/>
              </w:rPr>
              <w:t>№.of</w:t>
            </w:r>
          </w:p>
          <w:p w:rsidR="001A547A" w:rsidRPr="0011384D" w:rsidRDefault="001A547A" w:rsidP="00347D41">
            <w:pPr>
              <w:keepNext/>
              <w:ind w:left="-108"/>
              <w:jc w:val="both"/>
              <w:rPr>
                <w:rFonts w:ascii="Arial Narrow" w:hAnsi="Arial Narrow" w:cs="Arial"/>
                <w:b/>
                <w:sz w:val="20"/>
                <w:szCs w:val="20"/>
              </w:rPr>
            </w:pPr>
            <w:r w:rsidRPr="0011384D">
              <w:rPr>
                <w:rFonts w:ascii="Arial Narrow" w:hAnsi="Arial Narrow" w:cs="Arial"/>
                <w:b/>
                <w:sz w:val="20"/>
                <w:szCs w:val="20"/>
              </w:rPr>
              <w:t>Rpts</w:t>
            </w:r>
          </w:p>
        </w:tc>
        <w:tc>
          <w:tcPr>
            <w:tcW w:w="3260" w:type="dxa"/>
            <w:gridSpan w:val="2"/>
            <w:tcBorders>
              <w:bottom w:val="single" w:sz="4" w:space="0" w:color="auto"/>
            </w:tcBorders>
          </w:tcPr>
          <w:p w:rsidR="001A547A" w:rsidRPr="0011384D" w:rsidRDefault="001A547A" w:rsidP="00347D41">
            <w:pPr>
              <w:keepNext/>
              <w:jc w:val="both"/>
              <w:rPr>
                <w:rFonts w:ascii="Arial Narrow" w:hAnsi="Arial Narrow" w:cs="Arial"/>
                <w:b/>
                <w:sz w:val="20"/>
                <w:szCs w:val="20"/>
              </w:rPr>
            </w:pPr>
            <w:r w:rsidRPr="0011384D">
              <w:rPr>
                <w:rFonts w:ascii="Arial Narrow" w:hAnsi="Arial Narrow" w:cs="Arial"/>
                <w:b/>
                <w:sz w:val="20"/>
                <w:szCs w:val="20"/>
              </w:rPr>
              <w:t>Proprietary Name and Manufacturer</w:t>
            </w:r>
          </w:p>
        </w:tc>
      </w:tr>
      <w:tr w:rsidR="001A547A" w:rsidRPr="0011384D" w:rsidTr="00EF1AA6">
        <w:trPr>
          <w:cantSplit/>
          <w:trHeight w:val="577"/>
        </w:trPr>
        <w:tc>
          <w:tcPr>
            <w:tcW w:w="3119" w:type="dxa"/>
            <w:gridSpan w:val="2"/>
          </w:tcPr>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mallCaps/>
                <w:sz w:val="20"/>
                <w:szCs w:val="20"/>
              </w:rPr>
              <w:t>ARMODAFINIL</w:t>
            </w:r>
          </w:p>
          <w:p w:rsidR="001A547A" w:rsidRPr="0011384D" w:rsidRDefault="00EF1AA6" w:rsidP="00347D41">
            <w:pPr>
              <w:keepNext/>
              <w:ind w:left="-108"/>
              <w:jc w:val="both"/>
              <w:rPr>
                <w:rFonts w:ascii="Arial Narrow" w:hAnsi="Arial Narrow" w:cs="Arial"/>
                <w:sz w:val="20"/>
                <w:szCs w:val="20"/>
              </w:rPr>
            </w:pPr>
            <w:r w:rsidRPr="0011384D">
              <w:rPr>
                <w:rFonts w:ascii="Arial Narrow" w:hAnsi="Arial Narrow" w:cs="Arial"/>
                <w:sz w:val="20"/>
                <w:szCs w:val="20"/>
              </w:rPr>
              <w:t>50 mg tablet, 30</w:t>
            </w:r>
          </w:p>
          <w:p w:rsidR="00EF1AA6" w:rsidRPr="0011384D" w:rsidRDefault="00EF1AA6"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mallCaps/>
                <w:sz w:val="20"/>
                <w:szCs w:val="20"/>
              </w:rPr>
              <w:t>ARMODAFINIL</w:t>
            </w:r>
          </w:p>
          <w:p w:rsidR="001A547A" w:rsidRPr="0011384D" w:rsidRDefault="00EF1AA6" w:rsidP="00347D41">
            <w:pPr>
              <w:keepNext/>
              <w:ind w:left="-108"/>
              <w:jc w:val="both"/>
              <w:rPr>
                <w:rFonts w:ascii="Arial Narrow" w:hAnsi="Arial Narrow" w:cs="Arial"/>
                <w:sz w:val="20"/>
                <w:szCs w:val="20"/>
              </w:rPr>
            </w:pPr>
            <w:r w:rsidRPr="0011384D">
              <w:rPr>
                <w:rFonts w:ascii="Arial Narrow" w:hAnsi="Arial Narrow" w:cs="Arial"/>
                <w:sz w:val="20"/>
                <w:szCs w:val="20"/>
              </w:rPr>
              <w:t>150 mg tablet, 30</w:t>
            </w:r>
          </w:p>
          <w:p w:rsidR="00EF1AA6" w:rsidRPr="0011384D" w:rsidRDefault="00EF1AA6"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mallCaps/>
                <w:sz w:val="20"/>
                <w:szCs w:val="20"/>
              </w:rPr>
              <w:t>ARMODAFINIL</w:t>
            </w:r>
          </w:p>
          <w:p w:rsidR="001A547A" w:rsidRPr="0011384D" w:rsidRDefault="00EF1AA6" w:rsidP="00347D41">
            <w:pPr>
              <w:keepNext/>
              <w:ind w:left="-108"/>
              <w:jc w:val="both"/>
              <w:rPr>
                <w:rFonts w:ascii="Arial Narrow" w:hAnsi="Arial Narrow" w:cs="Arial"/>
                <w:sz w:val="20"/>
                <w:szCs w:val="20"/>
              </w:rPr>
            </w:pPr>
            <w:r w:rsidRPr="0011384D">
              <w:rPr>
                <w:rFonts w:ascii="Arial Narrow" w:hAnsi="Arial Narrow" w:cs="Arial"/>
                <w:sz w:val="20"/>
                <w:szCs w:val="20"/>
              </w:rPr>
              <w:t>250 mg tablet, 30</w:t>
            </w:r>
          </w:p>
        </w:tc>
        <w:tc>
          <w:tcPr>
            <w:tcW w:w="850" w:type="dxa"/>
          </w:tcPr>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z w:val="20"/>
                <w:szCs w:val="20"/>
              </w:rPr>
              <w:t>2</w:t>
            </w:r>
          </w:p>
          <w:p w:rsidR="001A547A" w:rsidRPr="0011384D" w:rsidRDefault="001A547A"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z w:val="20"/>
                <w:szCs w:val="20"/>
              </w:rPr>
              <w:t>1</w:t>
            </w:r>
          </w:p>
          <w:p w:rsidR="001A547A" w:rsidRPr="0011384D" w:rsidRDefault="001A547A"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z w:val="20"/>
                <w:szCs w:val="20"/>
              </w:rPr>
              <w:t>1</w:t>
            </w:r>
          </w:p>
        </w:tc>
        <w:tc>
          <w:tcPr>
            <w:tcW w:w="1134" w:type="dxa"/>
          </w:tcPr>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z w:val="20"/>
                <w:szCs w:val="20"/>
              </w:rPr>
              <w:t>5</w:t>
            </w:r>
          </w:p>
          <w:p w:rsidR="001A547A" w:rsidRPr="0011384D" w:rsidRDefault="001A547A"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z w:val="20"/>
                <w:szCs w:val="20"/>
              </w:rPr>
              <w:t>5</w:t>
            </w:r>
          </w:p>
          <w:p w:rsidR="001A547A" w:rsidRPr="0011384D" w:rsidRDefault="001A547A"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p>
          <w:p w:rsidR="001A547A" w:rsidRPr="0011384D" w:rsidRDefault="001A547A" w:rsidP="00347D41">
            <w:pPr>
              <w:keepNext/>
              <w:ind w:left="-108"/>
              <w:jc w:val="both"/>
              <w:rPr>
                <w:rFonts w:ascii="Arial Narrow" w:hAnsi="Arial Narrow" w:cs="Arial"/>
                <w:sz w:val="20"/>
                <w:szCs w:val="20"/>
              </w:rPr>
            </w:pPr>
            <w:r w:rsidRPr="0011384D">
              <w:rPr>
                <w:rFonts w:ascii="Arial Narrow" w:hAnsi="Arial Narrow" w:cs="Arial"/>
                <w:sz w:val="20"/>
                <w:szCs w:val="20"/>
              </w:rPr>
              <w:t>5</w:t>
            </w:r>
          </w:p>
        </w:tc>
        <w:tc>
          <w:tcPr>
            <w:tcW w:w="1418" w:type="dxa"/>
          </w:tcPr>
          <w:p w:rsidR="001A547A" w:rsidRPr="0011384D" w:rsidRDefault="001A547A" w:rsidP="00347D41">
            <w:pPr>
              <w:keepNext/>
              <w:jc w:val="both"/>
              <w:rPr>
                <w:rFonts w:ascii="Arial Narrow" w:hAnsi="Arial Narrow" w:cs="Arial"/>
                <w:sz w:val="20"/>
                <w:szCs w:val="20"/>
              </w:rPr>
            </w:pPr>
          </w:p>
          <w:p w:rsidR="001A547A" w:rsidRPr="0011384D" w:rsidRDefault="001A547A" w:rsidP="00347D41">
            <w:pPr>
              <w:keepNext/>
              <w:jc w:val="both"/>
              <w:rPr>
                <w:rFonts w:ascii="Arial Narrow" w:hAnsi="Arial Narrow" w:cs="Arial"/>
                <w:sz w:val="20"/>
                <w:szCs w:val="20"/>
              </w:rPr>
            </w:pPr>
            <w:r w:rsidRPr="0011384D">
              <w:rPr>
                <w:rFonts w:ascii="Arial Narrow" w:hAnsi="Arial Narrow" w:cs="Arial"/>
                <w:sz w:val="20"/>
                <w:szCs w:val="20"/>
              </w:rPr>
              <w:t>Nuvigil®</w:t>
            </w:r>
          </w:p>
        </w:tc>
        <w:tc>
          <w:tcPr>
            <w:tcW w:w="1842" w:type="dxa"/>
          </w:tcPr>
          <w:p w:rsidR="001A547A" w:rsidRPr="0011384D" w:rsidRDefault="001A547A" w:rsidP="00347D41">
            <w:pPr>
              <w:keepNext/>
              <w:jc w:val="both"/>
              <w:rPr>
                <w:rFonts w:ascii="Arial Narrow" w:hAnsi="Arial Narrow" w:cs="Arial"/>
                <w:sz w:val="20"/>
                <w:szCs w:val="20"/>
              </w:rPr>
            </w:pPr>
          </w:p>
          <w:p w:rsidR="001A547A" w:rsidRPr="0011384D" w:rsidRDefault="001A547A" w:rsidP="00347D41">
            <w:pPr>
              <w:keepNext/>
              <w:jc w:val="both"/>
              <w:rPr>
                <w:rFonts w:ascii="Arial Narrow" w:hAnsi="Arial Narrow" w:cs="Arial"/>
                <w:sz w:val="20"/>
                <w:szCs w:val="20"/>
              </w:rPr>
            </w:pPr>
            <w:r w:rsidRPr="0011384D">
              <w:rPr>
                <w:rFonts w:ascii="Arial Narrow" w:hAnsi="Arial Narrow" w:cs="Arial"/>
                <w:sz w:val="20"/>
                <w:szCs w:val="20"/>
              </w:rPr>
              <w:t>TEVA</w:t>
            </w:r>
          </w:p>
        </w:tc>
      </w:tr>
      <w:tr w:rsidR="00B66073" w:rsidRPr="0011384D" w:rsidTr="00347D41">
        <w:trPr>
          <w:cantSplit/>
          <w:trHeight w:val="360"/>
        </w:trPr>
        <w:tc>
          <w:tcPr>
            <w:tcW w:w="8363" w:type="dxa"/>
            <w:gridSpan w:val="6"/>
            <w:tcBorders>
              <w:bottom w:val="single" w:sz="4" w:space="0" w:color="auto"/>
            </w:tcBorders>
          </w:tcPr>
          <w:p w:rsidR="00B66073" w:rsidRPr="0011384D" w:rsidRDefault="00B66073" w:rsidP="00347D41">
            <w:pPr>
              <w:jc w:val="both"/>
              <w:rPr>
                <w:rFonts w:ascii="Arial Narrow" w:hAnsi="Arial Narrow" w:cs="Arial"/>
                <w:sz w:val="20"/>
                <w:szCs w:val="20"/>
              </w:rPr>
            </w:pP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b/>
                <w:sz w:val="20"/>
              </w:rPr>
            </w:pPr>
            <w:r w:rsidRPr="0011384D">
              <w:rPr>
                <w:rFonts w:ascii="Arial Narrow" w:hAnsi="Arial Narrow"/>
                <w:b/>
                <w:sz w:val="20"/>
              </w:rPr>
              <w:t>Category / Program</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sz w:val="20"/>
              </w:rPr>
            </w:pPr>
            <w:r w:rsidRPr="0011384D">
              <w:rPr>
                <w:rFonts w:ascii="Arial Narrow" w:hAnsi="Arial Narrow"/>
                <w:sz w:val="20"/>
              </w:rPr>
              <w:t>GENERAL – General Schedule (Code GE)</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rPr>
                <w:rFonts w:ascii="Arial Narrow" w:hAnsi="Arial Narrow"/>
                <w:b/>
                <w:sz w:val="20"/>
              </w:rPr>
            </w:pPr>
            <w:r w:rsidRPr="0011384D">
              <w:rPr>
                <w:rFonts w:ascii="Arial Narrow" w:hAnsi="Arial Narrow"/>
                <w:b/>
                <w:sz w:val="20"/>
              </w:rPr>
              <w:t>Prescriber type:</w:t>
            </w:r>
          </w:p>
          <w:p w:rsidR="00B66073" w:rsidRPr="0011384D" w:rsidRDefault="00B66073" w:rsidP="00347D41">
            <w:pPr>
              <w:snapToGrid w:val="0"/>
              <w:rPr>
                <w:rFonts w:ascii="Arial Narrow" w:hAnsi="Arial Narrow"/>
                <w:b/>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rPr>
                <w:rFonts w:ascii="Arial Narrow" w:hAnsi="Arial Narrow"/>
                <w:sz w:val="20"/>
              </w:rPr>
            </w:pPr>
            <w:r w:rsidRPr="0011384D">
              <w:rPr>
                <w:rFonts w:ascii="Arial Narrow" w:hAnsi="Arial Narrow"/>
                <w:sz w:val="20"/>
              </w:rPr>
              <w:fldChar w:fldCharType="begin">
                <w:ffData>
                  <w:name w:val="Check1"/>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 xml:space="preserve">Dental  </w:t>
            </w:r>
            <w:r w:rsidRPr="0011384D">
              <w:rPr>
                <w:rFonts w:ascii="Arial Narrow" w:hAnsi="Arial Narrow"/>
                <w:sz w:val="20"/>
              </w:rPr>
              <w:fldChar w:fldCharType="begin">
                <w:ffData>
                  <w:name w:val=""/>
                  <w:enabled/>
                  <w:calcOnExit w:val="0"/>
                  <w:checkBox>
                    <w:sizeAuto/>
                    <w:default w:val="1"/>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 xml:space="preserve">Medical Practitioners  </w:t>
            </w:r>
            <w:r w:rsidRPr="0011384D">
              <w:rPr>
                <w:rFonts w:ascii="Arial Narrow" w:hAnsi="Arial Narrow"/>
                <w:sz w:val="20"/>
              </w:rPr>
              <w:fldChar w:fldCharType="begin">
                <w:ffData>
                  <w:name w:val="Check3"/>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 xml:space="preserve">Nurse practitioners  </w:t>
            </w:r>
            <w:r w:rsidRPr="0011384D">
              <w:rPr>
                <w:rFonts w:ascii="Arial Narrow" w:hAnsi="Arial Narrow"/>
                <w:sz w:val="20"/>
              </w:rPr>
              <w:fldChar w:fldCharType="begin">
                <w:ffData>
                  <w:name w:val=""/>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 xml:space="preserve">Optometrists  </w:t>
            </w:r>
            <w:r w:rsidRPr="0011384D">
              <w:rPr>
                <w:rFonts w:ascii="Arial Narrow" w:hAnsi="Arial Narrow"/>
                <w:sz w:val="20"/>
              </w:rPr>
              <w:fldChar w:fldCharType="begin">
                <w:ffData>
                  <w:name w:val="Check5"/>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Midwives</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b/>
                <w:sz w:val="20"/>
              </w:rPr>
            </w:pPr>
            <w:r w:rsidRPr="0011384D">
              <w:rPr>
                <w:rFonts w:ascii="Arial Narrow" w:hAnsi="Arial Narrow"/>
                <w:b/>
                <w:sz w:val="20"/>
              </w:rPr>
              <w:lastRenderedPageBreak/>
              <w:t>Episodicity:</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sz w:val="20"/>
              </w:rPr>
            </w:pPr>
            <w:r w:rsidRPr="0011384D">
              <w:rPr>
                <w:rFonts w:ascii="Arial Narrow" w:hAnsi="Arial Narrow"/>
                <w:sz w:val="20"/>
              </w:rPr>
              <w:t>-</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b/>
                <w:sz w:val="20"/>
              </w:rPr>
            </w:pPr>
            <w:r w:rsidRPr="0011384D">
              <w:rPr>
                <w:rFonts w:ascii="Arial Narrow" w:hAnsi="Arial Narrow"/>
                <w:b/>
                <w:sz w:val="20"/>
              </w:rPr>
              <w:t>Severity:</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sz w:val="20"/>
              </w:rPr>
            </w:pPr>
            <w:r w:rsidRPr="0011384D">
              <w:rPr>
                <w:rFonts w:ascii="Arial Narrow" w:hAnsi="Arial Narrow"/>
                <w:sz w:val="20"/>
              </w:rPr>
              <w:t>-</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b/>
                <w:sz w:val="20"/>
              </w:rPr>
            </w:pPr>
            <w:r w:rsidRPr="0011384D">
              <w:rPr>
                <w:rFonts w:ascii="Arial Narrow" w:hAnsi="Arial Narrow"/>
                <w:b/>
                <w:sz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sz w:val="20"/>
              </w:rPr>
            </w:pPr>
            <w:r w:rsidRPr="0011384D">
              <w:rPr>
                <w:rFonts w:ascii="Arial Narrow" w:hAnsi="Arial Narrow"/>
                <w:sz w:val="20"/>
              </w:rPr>
              <w:t>Narcolepsy</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b/>
                <w:sz w:val="20"/>
              </w:rPr>
            </w:pPr>
            <w:r w:rsidRPr="0011384D">
              <w:rPr>
                <w:rFonts w:ascii="Arial Narrow" w:hAnsi="Arial Narrow"/>
                <w:b/>
                <w:sz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sz w:val="20"/>
              </w:rPr>
            </w:pPr>
            <w:r w:rsidRPr="0011384D">
              <w:rPr>
                <w:rFonts w:ascii="Arial Narrow" w:hAnsi="Arial Narrow"/>
                <w:sz w:val="20"/>
              </w:rPr>
              <w:t>Narcolepsy</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b/>
                <w:sz w:val="20"/>
              </w:rPr>
            </w:pPr>
            <w:r w:rsidRPr="0011384D">
              <w:rPr>
                <w:rFonts w:ascii="Arial Narrow" w:hAnsi="Arial Narrow"/>
                <w:b/>
                <w:sz w:val="20"/>
              </w:rPr>
              <w:t>Treatment phase:</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sz w:val="20"/>
              </w:rPr>
            </w:pPr>
            <w:r w:rsidRPr="0011384D">
              <w:rPr>
                <w:rFonts w:ascii="Arial Narrow" w:hAnsi="Arial Narrow"/>
                <w:sz w:val="20"/>
              </w:rPr>
              <w:t>Initial treatment</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rPr>
                <w:rFonts w:ascii="Arial Narrow" w:hAnsi="Arial Narrow"/>
                <w:b/>
                <w:sz w:val="20"/>
              </w:rPr>
            </w:pPr>
            <w:r w:rsidRPr="0011384D">
              <w:rPr>
                <w:rFonts w:ascii="Arial Narrow" w:hAnsi="Arial Narrow"/>
                <w:b/>
                <w:sz w:val="20"/>
              </w:rPr>
              <w:t>Restriction Level / Method:</w:t>
            </w:r>
          </w:p>
          <w:p w:rsidR="00B66073" w:rsidRPr="0011384D" w:rsidRDefault="00B66073" w:rsidP="00347D41">
            <w:pPr>
              <w:snapToGrid w:val="0"/>
              <w:rPr>
                <w:rFonts w:ascii="Arial Narrow" w:hAnsi="Arial Narrow"/>
                <w:i/>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rPr>
                <w:rFonts w:ascii="Arial Narrow" w:hAnsi="Arial Narrow"/>
                <w:sz w:val="20"/>
              </w:rPr>
            </w:pPr>
            <w:r w:rsidRPr="0011384D">
              <w:rPr>
                <w:rFonts w:ascii="Arial Narrow" w:hAnsi="Arial Narrow"/>
                <w:sz w:val="20"/>
              </w:rPr>
              <w:fldChar w:fldCharType="begin">
                <w:ffData>
                  <w:name w:val="Check1"/>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Restricted benefit</w:t>
            </w:r>
          </w:p>
          <w:p w:rsidR="00B66073" w:rsidRPr="0011384D" w:rsidRDefault="00B66073" w:rsidP="00347D41">
            <w:pPr>
              <w:rPr>
                <w:rFonts w:ascii="Arial Narrow" w:hAnsi="Arial Narrow"/>
                <w:sz w:val="20"/>
              </w:rPr>
            </w:pPr>
            <w:r w:rsidRPr="0011384D">
              <w:rPr>
                <w:rFonts w:ascii="Arial Narrow" w:hAnsi="Arial Narrow"/>
                <w:sz w:val="20"/>
              </w:rPr>
              <w:fldChar w:fldCharType="begin">
                <w:ffData>
                  <w:name w:val=""/>
                  <w:enabled/>
                  <w:calcOnExit w:val="0"/>
                  <w:checkBox>
                    <w:sizeAuto/>
                    <w:default w:val="1"/>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Authority Required - In Writing</w:t>
            </w:r>
          </w:p>
          <w:p w:rsidR="00B66073" w:rsidRPr="0011384D" w:rsidRDefault="00B66073" w:rsidP="00347D41">
            <w:pPr>
              <w:rPr>
                <w:rFonts w:ascii="Arial Narrow" w:hAnsi="Arial Narrow"/>
                <w:sz w:val="20"/>
              </w:rPr>
            </w:pPr>
            <w:r w:rsidRPr="0011384D">
              <w:rPr>
                <w:rFonts w:ascii="Arial Narrow" w:hAnsi="Arial Narrow"/>
                <w:sz w:val="20"/>
              </w:rPr>
              <w:fldChar w:fldCharType="begin">
                <w:ffData>
                  <w:name w:val=""/>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Authority Required - Telephone</w:t>
            </w:r>
          </w:p>
          <w:p w:rsidR="00B66073" w:rsidRPr="0011384D" w:rsidRDefault="00B66073" w:rsidP="00347D41">
            <w:pPr>
              <w:rPr>
                <w:rFonts w:ascii="Arial Narrow" w:hAnsi="Arial Narrow"/>
                <w:sz w:val="20"/>
              </w:rPr>
            </w:pPr>
            <w:r w:rsidRPr="0011384D">
              <w:rPr>
                <w:rFonts w:ascii="Arial Narrow" w:hAnsi="Arial Narrow"/>
                <w:sz w:val="20"/>
              </w:rPr>
              <w:fldChar w:fldCharType="begin">
                <w:ffData>
                  <w:name w:val=""/>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Authority Required – Emergency</w:t>
            </w:r>
          </w:p>
          <w:p w:rsidR="00B66073" w:rsidRPr="0011384D" w:rsidRDefault="00B66073" w:rsidP="00347D41">
            <w:pPr>
              <w:rPr>
                <w:rFonts w:ascii="Arial Narrow" w:hAnsi="Arial Narrow"/>
                <w:sz w:val="20"/>
              </w:rPr>
            </w:pPr>
            <w:r w:rsidRPr="0011384D">
              <w:rPr>
                <w:rFonts w:ascii="Arial Narrow" w:hAnsi="Arial Narrow"/>
                <w:sz w:val="20"/>
              </w:rPr>
              <w:fldChar w:fldCharType="begin">
                <w:ffData>
                  <w:name w:val=""/>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Authority Required - Electronic</w:t>
            </w:r>
          </w:p>
          <w:p w:rsidR="00B66073" w:rsidRPr="0011384D" w:rsidRDefault="00B66073" w:rsidP="00347D41">
            <w:pPr>
              <w:snapToGrid w:val="0"/>
              <w:rPr>
                <w:rFonts w:ascii="Arial Narrow" w:hAnsi="Arial Narrow"/>
                <w:sz w:val="20"/>
              </w:rPr>
            </w:pPr>
            <w:r w:rsidRPr="0011384D">
              <w:rPr>
                <w:rFonts w:ascii="Arial Narrow" w:hAnsi="Arial Narrow"/>
                <w:sz w:val="20"/>
              </w:rPr>
              <w:fldChar w:fldCharType="begin">
                <w:ffData>
                  <w:name w:val="Check5"/>
                  <w:enabled/>
                  <w:calcOnExit w:val="0"/>
                  <w:checkBox>
                    <w:sizeAuto/>
                    <w:default w:val="0"/>
                  </w:checkBox>
                </w:ffData>
              </w:fldChar>
            </w:r>
            <w:r w:rsidRPr="0011384D">
              <w:rPr>
                <w:rFonts w:ascii="Arial Narrow" w:hAnsi="Arial Narrow"/>
                <w:sz w:val="20"/>
              </w:rPr>
              <w:instrText xml:space="preserve"> FORMCHECKBOX </w:instrText>
            </w:r>
            <w:r w:rsidR="00CC0E6C">
              <w:rPr>
                <w:rFonts w:ascii="Arial Narrow" w:hAnsi="Arial Narrow"/>
                <w:sz w:val="20"/>
              </w:rPr>
            </w:r>
            <w:r w:rsidR="00CC0E6C">
              <w:rPr>
                <w:rFonts w:ascii="Arial Narrow" w:hAnsi="Arial Narrow"/>
                <w:sz w:val="20"/>
              </w:rPr>
              <w:fldChar w:fldCharType="separate"/>
            </w:r>
            <w:r w:rsidRPr="0011384D">
              <w:rPr>
                <w:rFonts w:ascii="Arial Narrow" w:hAnsi="Arial Narrow"/>
                <w:sz w:val="20"/>
              </w:rPr>
              <w:fldChar w:fldCharType="end"/>
            </w:r>
            <w:r w:rsidRPr="0011384D">
              <w:rPr>
                <w:rFonts w:ascii="Arial Narrow" w:hAnsi="Arial Narrow"/>
                <w:sz w:val="20"/>
              </w:rPr>
              <w:t>Streamlined</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b/>
                <w:sz w:val="20"/>
              </w:rPr>
            </w:pPr>
            <w:r w:rsidRPr="0011384D">
              <w:rPr>
                <w:rFonts w:ascii="Arial Narrow" w:hAnsi="Arial Narrow"/>
                <w:b/>
                <w:sz w:val="20"/>
              </w:rPr>
              <w:t>Treatment criteria:</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sz w:val="20"/>
              </w:rPr>
            </w:pPr>
            <w:r w:rsidRPr="0011384D">
              <w:rPr>
                <w:rFonts w:ascii="Arial Narrow" w:hAnsi="Arial Narrow"/>
                <w:sz w:val="20"/>
              </w:rPr>
              <w:t>Must be treated by a qualified sleep medicine practitioner or neurologist</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snapToGrid w:val="0"/>
              <w:rPr>
                <w:rFonts w:ascii="Arial Narrow" w:hAnsi="Arial Narrow"/>
                <w:b/>
                <w:sz w:val="20"/>
              </w:rPr>
            </w:pPr>
            <w:r w:rsidRPr="0011384D">
              <w:rPr>
                <w:rFonts w:ascii="Arial Narrow" w:hAnsi="Arial Narrow"/>
                <w:b/>
                <w:sz w:val="20"/>
              </w:rPr>
              <w:t>Clinical criteria:</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pStyle w:val="KMC-Tablecontent"/>
              <w:rPr>
                <w:rFonts w:cs="Arial"/>
                <w:sz w:val="20"/>
              </w:rPr>
            </w:pPr>
            <w:r w:rsidRPr="0011384D">
              <w:rPr>
                <w:rFonts w:cs="Arial"/>
                <w:sz w:val="20"/>
              </w:rPr>
              <w:t>Patients must meet the following definition of narcolepsy:</w:t>
            </w:r>
          </w:p>
          <w:p w:rsidR="00B66073" w:rsidRPr="0011384D" w:rsidRDefault="00B66073" w:rsidP="00347D41">
            <w:pPr>
              <w:pStyle w:val="KMC-Tablecontent"/>
              <w:rPr>
                <w:rFonts w:cs="Arial"/>
                <w:b/>
                <w:sz w:val="20"/>
              </w:rPr>
            </w:pPr>
            <w:r w:rsidRPr="0011384D">
              <w:rPr>
                <w:rFonts w:cs="Arial"/>
                <w:sz w:val="20"/>
              </w:rPr>
              <w:t>Excessive daytime sleepiness, recurrent naps or lapses into sleep occurring almost daily for at least 3 months,</w:t>
            </w:r>
            <w:r w:rsidRPr="0011384D">
              <w:rPr>
                <w:rFonts w:cs="Arial"/>
                <w:b/>
                <w:sz w:val="20"/>
              </w:rPr>
              <w:t xml:space="preserve"> </w:t>
            </w:r>
          </w:p>
          <w:p w:rsidR="00B66073" w:rsidRPr="0011384D" w:rsidRDefault="00B66073" w:rsidP="00347D41">
            <w:pPr>
              <w:pStyle w:val="KMC-Tablecontent"/>
              <w:rPr>
                <w:rFonts w:cs="Arial"/>
                <w:sz w:val="20"/>
              </w:rPr>
            </w:pPr>
            <w:r w:rsidRPr="0011384D">
              <w:rPr>
                <w:rFonts w:cs="Arial"/>
                <w:sz w:val="20"/>
              </w:rPr>
              <w:t xml:space="preserve">AND </w:t>
            </w:r>
          </w:p>
          <w:p w:rsidR="00B66073" w:rsidRPr="0011384D" w:rsidRDefault="00B66073" w:rsidP="00347D41">
            <w:pPr>
              <w:pStyle w:val="KMC-Tablecontent"/>
              <w:rPr>
                <w:rFonts w:cs="Arial"/>
                <w:sz w:val="20"/>
              </w:rPr>
            </w:pPr>
            <w:r w:rsidRPr="0011384D">
              <w:rPr>
                <w:rFonts w:cs="Arial"/>
                <w:sz w:val="20"/>
              </w:rPr>
              <w:t>A definite history of cataplexy;</w:t>
            </w:r>
          </w:p>
          <w:p w:rsidR="00B66073" w:rsidRPr="0011384D" w:rsidRDefault="00B66073" w:rsidP="00347D41">
            <w:pPr>
              <w:pStyle w:val="KMC-Tablecontent"/>
              <w:rPr>
                <w:rFonts w:cs="Arial"/>
                <w:sz w:val="20"/>
              </w:rPr>
            </w:pPr>
            <w:r w:rsidRPr="0011384D">
              <w:rPr>
                <w:rFonts w:cs="Arial"/>
                <w:sz w:val="20"/>
              </w:rPr>
              <w:t>or</w:t>
            </w:r>
          </w:p>
          <w:p w:rsidR="00B66073" w:rsidRPr="0011384D" w:rsidRDefault="00B66073" w:rsidP="00347D41">
            <w:pPr>
              <w:pStyle w:val="KMC-Tablecontent"/>
              <w:rPr>
                <w:rFonts w:cs="Arial"/>
                <w:sz w:val="20"/>
              </w:rPr>
            </w:pPr>
            <w:r w:rsidRPr="0011384D">
              <w:rPr>
                <w:rFonts w:cs="Arial"/>
                <w:sz w:val="20"/>
              </w:rPr>
              <w:t>A mean sleep latency less than or equal to 10 minutes on a Multiple Sleep Latency Test (MSLT). The MSLT must be preceded by nocturnal polysomnography. Sleep prior to the MSLT must be at least 6 hours in duration;</w:t>
            </w:r>
          </w:p>
          <w:p w:rsidR="00B66073" w:rsidRPr="0011384D" w:rsidRDefault="00B66073" w:rsidP="00347D41">
            <w:pPr>
              <w:pStyle w:val="KMC-Tablecontent"/>
              <w:rPr>
                <w:rFonts w:cs="Arial"/>
                <w:sz w:val="20"/>
              </w:rPr>
            </w:pPr>
            <w:r w:rsidRPr="0011384D">
              <w:rPr>
                <w:rFonts w:cs="Arial"/>
                <w:sz w:val="20"/>
              </w:rPr>
              <w:t>or</w:t>
            </w:r>
          </w:p>
          <w:p w:rsidR="00B66073" w:rsidRPr="0011384D" w:rsidRDefault="00B66073" w:rsidP="00347D41">
            <w:pPr>
              <w:pStyle w:val="KMC-Tablecontent"/>
              <w:rPr>
                <w:rFonts w:cs="Arial"/>
                <w:sz w:val="20"/>
              </w:rPr>
            </w:pPr>
            <w:r w:rsidRPr="0011384D">
              <w:rPr>
                <w:rFonts w:cs="Arial"/>
                <w:sz w:val="20"/>
              </w:rPr>
              <w:t>an electroencephalographic (EEG) recording showing the pathologically rapid development of REM sleep,</w:t>
            </w:r>
          </w:p>
          <w:p w:rsidR="00B66073" w:rsidRPr="0011384D" w:rsidRDefault="00B66073" w:rsidP="00347D41">
            <w:pPr>
              <w:pStyle w:val="KMC-Tablecontent"/>
              <w:rPr>
                <w:rFonts w:cs="Arial"/>
                <w:sz w:val="20"/>
              </w:rPr>
            </w:pPr>
            <w:r w:rsidRPr="0011384D">
              <w:rPr>
                <w:rFonts w:cs="Arial"/>
                <w:sz w:val="20"/>
              </w:rPr>
              <w:t xml:space="preserve">AND </w:t>
            </w:r>
          </w:p>
          <w:p w:rsidR="00B66073" w:rsidRPr="0011384D" w:rsidRDefault="00B66073" w:rsidP="00347D41">
            <w:pPr>
              <w:snapToGrid w:val="0"/>
              <w:rPr>
                <w:rFonts w:ascii="Arial Narrow" w:hAnsi="Arial Narrow"/>
                <w:sz w:val="20"/>
              </w:rPr>
            </w:pPr>
            <w:r w:rsidRPr="0011384D">
              <w:rPr>
                <w:rFonts w:ascii="Arial Narrow" w:hAnsi="Arial Narrow" w:cs="Arial"/>
                <w:sz w:val="20"/>
                <w:szCs w:val="20"/>
              </w:rPr>
              <w:t>Absence of any medical or psychiatric disorder that could otherwise account for the hypersomnia.</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90716A" w:rsidP="00347D41">
            <w:pPr>
              <w:rPr>
                <w:rFonts w:ascii="Arial Narrow" w:hAnsi="Arial Narrow"/>
                <w:b/>
                <w:sz w:val="20"/>
              </w:rPr>
            </w:pPr>
            <w:r>
              <w:rPr>
                <w:rFonts w:ascii="Arial Narrow" w:hAnsi="Arial Narrow"/>
                <w:b/>
                <w:sz w:val="20"/>
              </w:rPr>
              <w:lastRenderedPageBreak/>
              <w:t>Prescriber Instruction</w:t>
            </w:r>
          </w:p>
          <w:p w:rsidR="00B66073" w:rsidRPr="0011384D" w:rsidRDefault="00B66073" w:rsidP="00347D41">
            <w:pPr>
              <w:snapToGrid w:val="0"/>
              <w:rPr>
                <w:rFonts w:ascii="Arial Narrow" w:hAnsi="Arial Narrow"/>
                <w:sz w:val="20"/>
              </w:rPr>
            </w:pP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rPr>
                <w:rFonts w:ascii="Arial Narrow" w:hAnsi="Arial Narrow"/>
                <w:sz w:val="20"/>
              </w:rPr>
            </w:pPr>
            <w:r w:rsidRPr="0011384D">
              <w:rPr>
                <w:rFonts w:ascii="Arial Narrow" w:hAnsi="Arial Narrow"/>
                <w:sz w:val="20"/>
              </w:rPr>
              <w:t>The authority application must be made in writing and must include the following:</w:t>
            </w:r>
          </w:p>
          <w:p w:rsidR="00B66073" w:rsidRPr="0011384D" w:rsidRDefault="00B66073" w:rsidP="00347D41">
            <w:pPr>
              <w:rPr>
                <w:rFonts w:ascii="Arial Narrow" w:hAnsi="Arial Narrow"/>
                <w:sz w:val="20"/>
              </w:rPr>
            </w:pPr>
            <w:r w:rsidRPr="0011384D">
              <w:rPr>
                <w:rFonts w:ascii="Arial Narrow" w:hAnsi="Arial Narrow"/>
                <w:sz w:val="20"/>
              </w:rPr>
              <w:t>(a) a completed authority prescription form; and</w:t>
            </w:r>
          </w:p>
          <w:p w:rsidR="00B66073" w:rsidRPr="0011384D" w:rsidRDefault="00B66073" w:rsidP="00347D41">
            <w:pPr>
              <w:rPr>
                <w:rFonts w:ascii="Arial Narrow" w:hAnsi="Arial Narrow"/>
                <w:sz w:val="20"/>
              </w:rPr>
            </w:pPr>
            <w:r w:rsidRPr="0011384D">
              <w:rPr>
                <w:rFonts w:ascii="Arial Narrow" w:hAnsi="Arial Narrow"/>
                <w:sz w:val="20"/>
              </w:rPr>
              <w:t>(b) a completed Narcolepsy Initial PBS authority application and Supporting information form; and</w:t>
            </w:r>
          </w:p>
          <w:p w:rsidR="00B66073" w:rsidRPr="0011384D" w:rsidRDefault="00B66073" w:rsidP="00347D41">
            <w:pPr>
              <w:rPr>
                <w:rFonts w:ascii="Arial Narrow" w:hAnsi="Arial Narrow"/>
                <w:sz w:val="20"/>
              </w:rPr>
            </w:pPr>
            <w:r w:rsidRPr="0011384D">
              <w:rPr>
                <w:rFonts w:ascii="Arial Narrow" w:hAnsi="Arial Narrow"/>
                <w:sz w:val="20"/>
              </w:rPr>
              <w:t>(c) details of the contraindication or intolerance to dexamphetamine sulfate; and</w:t>
            </w:r>
          </w:p>
          <w:p w:rsidR="00B66073" w:rsidRPr="0011384D" w:rsidRDefault="00B66073" w:rsidP="00347D41">
            <w:pPr>
              <w:rPr>
                <w:rFonts w:ascii="Arial Narrow" w:hAnsi="Arial Narrow"/>
                <w:sz w:val="20"/>
              </w:rPr>
            </w:pPr>
            <w:r w:rsidRPr="0011384D">
              <w:rPr>
                <w:rFonts w:ascii="Arial Narrow" w:hAnsi="Arial Narrow"/>
                <w:sz w:val="20"/>
              </w:rPr>
              <w:t>(d) either:</w:t>
            </w:r>
          </w:p>
          <w:p w:rsidR="00B66073" w:rsidRPr="0011384D" w:rsidRDefault="00B66073" w:rsidP="00347D41">
            <w:pPr>
              <w:rPr>
                <w:rFonts w:ascii="Arial Narrow" w:hAnsi="Arial Narrow"/>
                <w:sz w:val="20"/>
              </w:rPr>
            </w:pPr>
            <w:r w:rsidRPr="0011384D">
              <w:rPr>
                <w:rFonts w:ascii="Arial Narrow" w:hAnsi="Arial Narrow"/>
                <w:sz w:val="20"/>
              </w:rPr>
              <w:t>(i) the result and date of the polysomnography test and Multiple Sleep Latency Test (MSLT) conducted by, or under the supervision of, a qualified sleep medicine practitioner; or</w:t>
            </w:r>
          </w:p>
          <w:p w:rsidR="00B66073" w:rsidRPr="0011384D" w:rsidRDefault="00B66073" w:rsidP="00347D41">
            <w:pPr>
              <w:rPr>
                <w:rFonts w:ascii="Arial Narrow" w:hAnsi="Arial Narrow"/>
                <w:sz w:val="20"/>
              </w:rPr>
            </w:pPr>
            <w:r w:rsidRPr="0011384D">
              <w:rPr>
                <w:rFonts w:ascii="Arial Narrow" w:hAnsi="Arial Narrow"/>
                <w:sz w:val="20"/>
              </w:rPr>
              <w:t>(ii) the result and date of the electroencephalograph (EEG), conducted by, or under the supervision of, a neurologist.</w:t>
            </w:r>
          </w:p>
          <w:p w:rsidR="00B66073" w:rsidRPr="0011384D" w:rsidRDefault="00B66073" w:rsidP="00347D41">
            <w:pPr>
              <w:rPr>
                <w:rFonts w:ascii="Arial Narrow" w:hAnsi="Arial Narrow"/>
                <w:sz w:val="20"/>
              </w:rPr>
            </w:pPr>
          </w:p>
          <w:p w:rsidR="00B66073" w:rsidRPr="0011384D" w:rsidRDefault="00B66073" w:rsidP="00347D41">
            <w:pPr>
              <w:rPr>
                <w:rFonts w:ascii="Arial Narrow" w:hAnsi="Arial Narrow"/>
                <w:sz w:val="20"/>
              </w:rPr>
            </w:pPr>
            <w:r w:rsidRPr="0011384D">
              <w:rPr>
                <w:rFonts w:ascii="Arial Narrow" w:hAnsi="Arial Narrow"/>
                <w:sz w:val="20"/>
              </w:rPr>
              <w:t>The presence of any one of the following indicates treatment with dexamphetamine sulfate poses an unacceptable medical risk:</w:t>
            </w:r>
          </w:p>
          <w:p w:rsidR="00B66073" w:rsidRPr="0011384D" w:rsidRDefault="00B66073" w:rsidP="00347D41">
            <w:pPr>
              <w:rPr>
                <w:rFonts w:ascii="Arial Narrow" w:hAnsi="Arial Narrow"/>
                <w:sz w:val="20"/>
              </w:rPr>
            </w:pPr>
            <w:r w:rsidRPr="0011384D">
              <w:rPr>
                <w:rFonts w:ascii="Arial Narrow" w:hAnsi="Arial Narrow"/>
                <w:sz w:val="20"/>
              </w:rPr>
              <w:t>(a) a psychiatric disorder;</w:t>
            </w:r>
          </w:p>
          <w:p w:rsidR="00B66073" w:rsidRPr="0011384D" w:rsidRDefault="00B66073" w:rsidP="00347D41">
            <w:pPr>
              <w:rPr>
                <w:rFonts w:ascii="Arial Narrow" w:hAnsi="Arial Narrow"/>
                <w:sz w:val="20"/>
              </w:rPr>
            </w:pPr>
            <w:r w:rsidRPr="0011384D">
              <w:rPr>
                <w:rFonts w:ascii="Arial Narrow" w:hAnsi="Arial Narrow"/>
                <w:sz w:val="20"/>
              </w:rPr>
              <w:t>(b) a cardiovascular disorder;</w:t>
            </w:r>
          </w:p>
          <w:p w:rsidR="00B66073" w:rsidRPr="0011384D" w:rsidRDefault="00B66073" w:rsidP="00347D41">
            <w:pPr>
              <w:rPr>
                <w:rFonts w:ascii="Arial Narrow" w:hAnsi="Arial Narrow"/>
                <w:sz w:val="20"/>
              </w:rPr>
            </w:pPr>
            <w:r w:rsidRPr="0011384D">
              <w:rPr>
                <w:rFonts w:ascii="Arial Narrow" w:hAnsi="Arial Narrow"/>
                <w:sz w:val="20"/>
              </w:rPr>
              <w:t>(c) a history of substance abuse;</w:t>
            </w:r>
          </w:p>
          <w:p w:rsidR="00B66073" w:rsidRPr="0011384D" w:rsidRDefault="00B66073" w:rsidP="00347D41">
            <w:pPr>
              <w:rPr>
                <w:rFonts w:ascii="Arial Narrow" w:hAnsi="Arial Narrow"/>
                <w:sz w:val="20"/>
              </w:rPr>
            </w:pPr>
            <w:r w:rsidRPr="0011384D">
              <w:rPr>
                <w:rFonts w:ascii="Arial Narrow" w:hAnsi="Arial Narrow"/>
                <w:sz w:val="20"/>
              </w:rPr>
              <w:t>(d) glaucoma;</w:t>
            </w:r>
          </w:p>
          <w:p w:rsidR="00B66073" w:rsidRPr="0011384D" w:rsidRDefault="00B66073" w:rsidP="00347D41">
            <w:pPr>
              <w:rPr>
                <w:rFonts w:ascii="Arial Narrow" w:hAnsi="Arial Narrow"/>
                <w:sz w:val="20"/>
              </w:rPr>
            </w:pPr>
            <w:r w:rsidRPr="0011384D">
              <w:rPr>
                <w:rFonts w:ascii="Arial Narrow" w:hAnsi="Arial Narrow"/>
                <w:sz w:val="20"/>
              </w:rPr>
              <w:t>(e) any other absolute contraindication to dexamphetamine sulfate as specified in the TGA-approved Product Information.</w:t>
            </w:r>
          </w:p>
          <w:p w:rsidR="00B66073" w:rsidRPr="0011384D" w:rsidRDefault="00B66073" w:rsidP="00347D41">
            <w:pPr>
              <w:rPr>
                <w:rFonts w:ascii="Arial Narrow" w:hAnsi="Arial Narrow"/>
                <w:sz w:val="20"/>
              </w:rPr>
            </w:pPr>
          </w:p>
          <w:p w:rsidR="00B66073" w:rsidRPr="0011384D" w:rsidRDefault="00B66073" w:rsidP="00347D41">
            <w:pPr>
              <w:rPr>
                <w:rFonts w:ascii="Arial Narrow" w:hAnsi="Arial Narrow"/>
                <w:sz w:val="20"/>
              </w:rPr>
            </w:pPr>
            <w:r w:rsidRPr="0011384D">
              <w:rPr>
                <w:rFonts w:ascii="Arial Narrow" w:hAnsi="Arial Narrow"/>
                <w:sz w:val="20"/>
              </w:rPr>
              <w:t>The MSLT must be preceded by nocturnal polysomnography. Sleep prior to the MSLT must be at least 6 hours in duration.</w:t>
            </w:r>
          </w:p>
          <w:p w:rsidR="00B66073" w:rsidRPr="0011384D" w:rsidRDefault="00B66073" w:rsidP="00347D41">
            <w:pPr>
              <w:rPr>
                <w:rFonts w:ascii="Arial Narrow" w:hAnsi="Arial Narrow"/>
                <w:sz w:val="20"/>
              </w:rPr>
            </w:pPr>
          </w:p>
          <w:p w:rsidR="00B66073" w:rsidRPr="0011384D" w:rsidRDefault="00B66073" w:rsidP="00347D41">
            <w:pPr>
              <w:snapToGrid w:val="0"/>
              <w:rPr>
                <w:rFonts w:ascii="Arial Narrow" w:hAnsi="Arial Narrow"/>
                <w:i/>
                <w:sz w:val="20"/>
              </w:rPr>
            </w:pPr>
            <w:r w:rsidRPr="0011384D">
              <w:rPr>
                <w:rFonts w:ascii="Arial Narrow" w:hAnsi="Arial Narrow"/>
                <w:sz w:val="20"/>
              </w:rPr>
              <w:t>The polysomnography, MSLT or EEG test reports must be provided with the authority application.</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90716A" w:rsidRDefault="00651C73" w:rsidP="00651C73">
            <w:pPr>
              <w:rPr>
                <w:rFonts w:ascii="Arial Narrow" w:hAnsi="Arial Narrow"/>
                <w:b/>
                <w:sz w:val="20"/>
              </w:rPr>
            </w:pPr>
            <w:r>
              <w:rPr>
                <w:rFonts w:ascii="Arial Narrow" w:hAnsi="Arial Narrow"/>
                <w:b/>
                <w:sz w:val="20"/>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B66073" w:rsidRPr="0011384D" w:rsidRDefault="00B66073" w:rsidP="00347D41">
            <w:pPr>
              <w:rPr>
                <w:rFonts w:ascii="Arial Narrow" w:hAnsi="Arial Narrow"/>
                <w:sz w:val="20"/>
              </w:rPr>
            </w:pPr>
            <w:r w:rsidRPr="0011384D">
              <w:rPr>
                <w:rFonts w:ascii="Arial Narrow" w:hAnsi="Arial Narrow"/>
                <w:sz w:val="20"/>
              </w:rPr>
              <w:t xml:space="preserve">Any queries concerning the arrangements to prescribe may be directed to the Department of Human Services on 1800 700 270 (hours of operation 8 a.m. to 5 p.m. EST Monday to Friday). </w:t>
            </w:r>
          </w:p>
          <w:p w:rsidR="00B66073" w:rsidRPr="0011384D" w:rsidRDefault="00B66073" w:rsidP="00347D41">
            <w:pPr>
              <w:rPr>
                <w:rFonts w:ascii="Arial Narrow" w:hAnsi="Arial Narrow"/>
                <w:sz w:val="20"/>
              </w:rPr>
            </w:pPr>
            <w:r w:rsidRPr="0011384D">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B66073" w:rsidRPr="0011384D" w:rsidRDefault="00B66073" w:rsidP="00347D41">
            <w:pPr>
              <w:rPr>
                <w:rFonts w:ascii="Arial Narrow" w:hAnsi="Arial Narrow"/>
                <w:sz w:val="20"/>
              </w:rPr>
            </w:pPr>
            <w:r w:rsidRPr="0011384D">
              <w:rPr>
                <w:rFonts w:ascii="Arial Narrow" w:hAnsi="Arial Narrow"/>
                <w:sz w:val="20"/>
              </w:rPr>
              <w:t>Applications for authority to prescribe should be forwarded to:</w:t>
            </w:r>
          </w:p>
          <w:p w:rsidR="00B66073" w:rsidRPr="0011384D" w:rsidRDefault="00B66073" w:rsidP="00347D41">
            <w:pPr>
              <w:rPr>
                <w:rFonts w:ascii="Arial Narrow" w:hAnsi="Arial Narrow"/>
                <w:sz w:val="20"/>
              </w:rPr>
            </w:pPr>
            <w:r w:rsidRPr="0011384D">
              <w:rPr>
                <w:rFonts w:ascii="Arial Narrow" w:hAnsi="Arial Narrow"/>
                <w:sz w:val="20"/>
              </w:rPr>
              <w:t xml:space="preserve">Department of Human Services </w:t>
            </w:r>
          </w:p>
          <w:p w:rsidR="00B66073" w:rsidRPr="0011384D" w:rsidRDefault="00B66073" w:rsidP="00347D41">
            <w:pPr>
              <w:rPr>
                <w:rFonts w:ascii="Arial Narrow" w:hAnsi="Arial Narrow"/>
                <w:sz w:val="20"/>
              </w:rPr>
            </w:pPr>
            <w:r w:rsidRPr="0011384D">
              <w:rPr>
                <w:rFonts w:ascii="Arial Narrow" w:hAnsi="Arial Narrow"/>
                <w:sz w:val="20"/>
              </w:rPr>
              <w:t>Complex Drugs</w:t>
            </w:r>
          </w:p>
          <w:p w:rsidR="00B66073" w:rsidRPr="0011384D" w:rsidRDefault="00B66073" w:rsidP="00347D41">
            <w:pPr>
              <w:rPr>
                <w:rFonts w:ascii="Arial Narrow" w:hAnsi="Arial Narrow"/>
                <w:sz w:val="20"/>
              </w:rPr>
            </w:pPr>
            <w:r w:rsidRPr="0011384D">
              <w:rPr>
                <w:rFonts w:ascii="Arial Narrow" w:hAnsi="Arial Narrow"/>
                <w:sz w:val="20"/>
              </w:rPr>
              <w:t>Reply Paid 9826</w:t>
            </w:r>
          </w:p>
          <w:p w:rsidR="00B66073" w:rsidRPr="0011384D" w:rsidRDefault="00B66073" w:rsidP="00347D41">
            <w:pPr>
              <w:rPr>
                <w:rFonts w:ascii="Arial Narrow" w:hAnsi="Arial Narrow"/>
                <w:sz w:val="20"/>
              </w:rPr>
            </w:pPr>
            <w:r w:rsidRPr="0011384D">
              <w:rPr>
                <w:rFonts w:ascii="Arial Narrow" w:hAnsi="Arial Narrow"/>
                <w:sz w:val="20"/>
              </w:rPr>
              <w:t>HOBART TAS 7001</w:t>
            </w:r>
          </w:p>
          <w:p w:rsidR="00B66073" w:rsidRPr="0011384D" w:rsidRDefault="00B66073" w:rsidP="00347D41">
            <w:pPr>
              <w:rPr>
                <w:rFonts w:ascii="Arial Narrow" w:hAnsi="Arial Narrow"/>
                <w:sz w:val="20"/>
              </w:rPr>
            </w:pPr>
          </w:p>
          <w:p w:rsidR="00B66073" w:rsidRPr="0011384D" w:rsidRDefault="00B66073" w:rsidP="00347D41">
            <w:pPr>
              <w:snapToGrid w:val="0"/>
              <w:rPr>
                <w:rFonts w:ascii="Arial Narrow" w:hAnsi="Arial Narrow"/>
                <w:sz w:val="20"/>
              </w:rPr>
            </w:pPr>
            <w:r w:rsidRPr="0011384D">
              <w:rPr>
                <w:rFonts w:ascii="Arial Narrow" w:hAnsi="Arial Narrow"/>
                <w:sz w:val="20"/>
              </w:rPr>
              <w:t>This drug is not PBS-subsidised when used in combination with PBS-subsidised dexamphetamine sulfate.</w:t>
            </w:r>
          </w:p>
        </w:tc>
      </w:tr>
    </w:tbl>
    <w:p w:rsidR="00B66073" w:rsidRPr="0011384D" w:rsidRDefault="00B66073" w:rsidP="00B66073">
      <w:pPr>
        <w:pStyle w:val="ListParagraph"/>
        <w:jc w:val="both"/>
        <w:rPr>
          <w:rFonts w:ascii="Arial" w:hAnsi="Arial"/>
          <w:b/>
          <w:i/>
          <w:sz w:val="22"/>
          <w:szCs w:val="22"/>
        </w:rPr>
      </w:pPr>
    </w:p>
    <w:p w:rsidR="00B66073" w:rsidRPr="0011384D" w:rsidRDefault="00B66073" w:rsidP="00B66073">
      <w:pPr>
        <w:pStyle w:val="ListParagraph"/>
        <w:jc w:val="both"/>
        <w:rPr>
          <w:rFonts w:ascii="Arial" w:hAnsi="Arial"/>
          <w:b/>
          <w:i/>
          <w:sz w:val="22"/>
          <w:szCs w:val="22"/>
        </w:rPr>
      </w:pPr>
    </w:p>
    <w:tbl>
      <w:tblPr>
        <w:tblW w:w="8363" w:type="dxa"/>
        <w:tblInd w:w="817" w:type="dxa"/>
        <w:tblLayout w:type="fixed"/>
        <w:tblLook w:val="04A0" w:firstRow="1" w:lastRow="0" w:firstColumn="1" w:lastColumn="0" w:noHBand="0" w:noVBand="1"/>
      </w:tblPr>
      <w:tblGrid>
        <w:gridCol w:w="1985"/>
        <w:gridCol w:w="6378"/>
      </w:tblGrid>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t>GENERAL – General Schedule (Code GE)</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jc w:val="both"/>
              <w:rPr>
                <w:rFonts w:ascii="Arial Narrow" w:hAnsi="Arial Narrow" w:cs="Arial"/>
                <w:b/>
                <w:snapToGrid w:val="0"/>
                <w:sz w:val="20"/>
                <w:szCs w:val="20"/>
              </w:rPr>
            </w:pPr>
            <w:r w:rsidRPr="0011384D">
              <w:rPr>
                <w:rFonts w:ascii="Arial Narrow" w:hAnsi="Arial Narrow" w:cs="Arial"/>
                <w:b/>
                <w:snapToGrid w:val="0"/>
                <w:sz w:val="20"/>
                <w:szCs w:val="20"/>
              </w:rPr>
              <w:t>Prescriber type:</w:t>
            </w:r>
          </w:p>
          <w:p w:rsidR="00B66073" w:rsidRPr="0011384D" w:rsidRDefault="00B66073" w:rsidP="00347D41">
            <w:pPr>
              <w:snapToGrid w:val="0"/>
              <w:jc w:val="both"/>
              <w:rPr>
                <w:rFonts w:ascii="Arial Narrow" w:hAnsi="Arial Narrow" w:cs="Arial"/>
                <w:b/>
                <w:snapToGrid w:val="0"/>
                <w:sz w:val="20"/>
                <w:szCs w:val="20"/>
              </w:rPr>
            </w:pP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1"/>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 xml:space="preserve">Dental  </w:t>
            </w:r>
            <w:r w:rsidRPr="0011384D">
              <w:rPr>
                <w:rFonts w:ascii="Arial Narrow" w:hAnsi="Arial Narrow" w:cs="Arial"/>
                <w:snapToGrid w:val="0"/>
                <w:sz w:val="20"/>
                <w:szCs w:val="20"/>
              </w:rPr>
              <w:fldChar w:fldCharType="begin">
                <w:ffData>
                  <w:name w:val=""/>
                  <w:enabled/>
                  <w:calcOnExit w:val="0"/>
                  <w:checkBox>
                    <w:sizeAuto/>
                    <w:default w:val="1"/>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 xml:space="preserve">Medical Practitioners  </w:t>
            </w:r>
            <w:r w:rsidRPr="0011384D">
              <w:rPr>
                <w:rFonts w:ascii="Arial Narrow" w:hAnsi="Arial Narrow" w:cs="Arial"/>
                <w:snapToGrid w:val="0"/>
                <w:sz w:val="20"/>
                <w:szCs w:val="20"/>
              </w:rPr>
              <w:fldChar w:fldCharType="begin">
                <w:ffData>
                  <w:name w:val="Check3"/>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 xml:space="preserve">Nurse practitioners  </w:t>
            </w:r>
            <w:r w:rsidRPr="0011384D">
              <w:rPr>
                <w:rFonts w:ascii="Arial Narrow" w:hAnsi="Arial Narrow" w:cs="Arial"/>
                <w:snapToGrid w:val="0"/>
                <w:sz w:val="20"/>
                <w:szCs w:val="20"/>
              </w:rPr>
              <w:fldChar w:fldCharType="begin">
                <w:ffData>
                  <w:name w:val=""/>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 xml:space="preserve">Optometrists  </w:t>
            </w:r>
            <w:r w:rsidRPr="0011384D">
              <w:rPr>
                <w:rFonts w:ascii="Arial Narrow" w:hAnsi="Arial Narrow" w:cs="Arial"/>
                <w:snapToGrid w:val="0"/>
                <w:sz w:val="20"/>
                <w:szCs w:val="20"/>
              </w:rPr>
              <w:fldChar w:fldCharType="begin">
                <w:ffData>
                  <w:name w:val="Check5"/>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Midwives</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Episodicity:</w:t>
            </w: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t>Excessive daytime sleepiness</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Severity:</w:t>
            </w: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t>-</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Condition:</w:t>
            </w: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t>Narcolepsy</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PBS Indication:</w:t>
            </w: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t>Narcolepsy</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t>Continuing treatment</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jc w:val="both"/>
              <w:rPr>
                <w:rFonts w:ascii="Arial Narrow" w:hAnsi="Arial Narrow" w:cs="Arial"/>
                <w:b/>
                <w:snapToGrid w:val="0"/>
                <w:sz w:val="20"/>
                <w:szCs w:val="20"/>
              </w:rPr>
            </w:pPr>
            <w:r w:rsidRPr="0011384D">
              <w:rPr>
                <w:rFonts w:ascii="Arial Narrow" w:hAnsi="Arial Narrow" w:cs="Arial"/>
                <w:b/>
                <w:snapToGrid w:val="0"/>
                <w:sz w:val="20"/>
                <w:szCs w:val="20"/>
              </w:rPr>
              <w:lastRenderedPageBreak/>
              <w:t>Restriction Level / Method:</w:t>
            </w:r>
          </w:p>
          <w:p w:rsidR="00B66073" w:rsidRPr="0011384D" w:rsidRDefault="00B66073" w:rsidP="00347D41">
            <w:pPr>
              <w:snapToGrid w:val="0"/>
              <w:rPr>
                <w:rFonts w:ascii="Arial Narrow" w:hAnsi="Arial Narrow" w:cs="Arial"/>
                <w:i/>
                <w:snapToGrid w:val="0"/>
                <w:sz w:val="20"/>
                <w:szCs w:val="20"/>
              </w:rPr>
            </w:pP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1"/>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Restricted benefit</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
                  <w:enabled/>
                  <w:calcOnExit w:val="0"/>
                  <w:checkBox>
                    <w:sizeAuto/>
                    <w:default w:val="1"/>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Authority Required - In Writing</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3"/>
                  <w:enabled/>
                  <w:calcOnExit w:val="0"/>
                  <w:checkBox>
                    <w:sizeAuto/>
                    <w:default w:val="1"/>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w:hAnsi="Arial" w:cs="Arial"/>
                <w:snapToGrid w:val="0"/>
                <w:sz w:val="22"/>
                <w:szCs w:val="20"/>
                <w:lang w:eastAsia="en-US"/>
              </w:rPr>
              <w:fldChar w:fldCharType="end"/>
            </w:r>
            <w:r w:rsidRPr="0011384D">
              <w:rPr>
                <w:rFonts w:ascii="Arial Narrow" w:hAnsi="Arial Narrow" w:cs="Arial"/>
                <w:snapToGrid w:val="0"/>
                <w:sz w:val="20"/>
                <w:szCs w:val="20"/>
              </w:rPr>
              <w:t>Authority Required - Telephone</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
                  <w:enabled/>
                  <w:calcOnExit w:val="0"/>
                  <w:checkBox>
                    <w:sizeAuto/>
                    <w:default w:val="1"/>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Authority Required – Emergency</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5"/>
                  <w:enabled/>
                  <w:calcOnExit w:val="0"/>
                  <w:checkBox>
                    <w:sizeAuto/>
                    <w:default w:val="1"/>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w:hAnsi="Arial" w:cs="Arial"/>
                <w:snapToGrid w:val="0"/>
                <w:sz w:val="22"/>
                <w:szCs w:val="20"/>
                <w:lang w:eastAsia="en-US"/>
              </w:rPr>
              <w:fldChar w:fldCharType="end"/>
            </w:r>
            <w:r w:rsidRPr="0011384D">
              <w:rPr>
                <w:rFonts w:ascii="Arial Narrow" w:hAnsi="Arial Narrow" w:cs="Arial"/>
                <w:snapToGrid w:val="0"/>
                <w:sz w:val="20"/>
                <w:szCs w:val="20"/>
              </w:rPr>
              <w:t>Authority Required - Electronic</w:t>
            </w:r>
          </w:p>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fldChar w:fldCharType="begin">
                <w:ffData>
                  <w:name w:val="Check5"/>
                  <w:enabled/>
                  <w:calcOnExit w:val="0"/>
                  <w:checkBox>
                    <w:sizeAuto/>
                    <w:default w:val="0"/>
                  </w:checkBox>
                </w:ffData>
              </w:fldChar>
            </w:r>
            <w:r w:rsidRPr="0011384D">
              <w:rPr>
                <w:rFonts w:ascii="Arial Narrow" w:hAnsi="Arial Narrow" w:cs="Arial"/>
                <w:snapToGrid w:val="0"/>
                <w:sz w:val="20"/>
                <w:szCs w:val="20"/>
              </w:rPr>
              <w:instrText xml:space="preserve"> FORMCHECKBOX </w:instrText>
            </w:r>
            <w:r w:rsidR="00CC0E6C">
              <w:rPr>
                <w:rFonts w:ascii="Arial Narrow" w:hAnsi="Arial Narrow" w:cs="Arial"/>
                <w:snapToGrid w:val="0"/>
                <w:sz w:val="20"/>
                <w:szCs w:val="20"/>
              </w:rPr>
            </w:r>
            <w:r w:rsidR="00CC0E6C">
              <w:rPr>
                <w:rFonts w:ascii="Arial Narrow" w:hAnsi="Arial Narrow" w:cs="Arial"/>
                <w:snapToGrid w:val="0"/>
                <w:sz w:val="20"/>
                <w:szCs w:val="20"/>
              </w:rPr>
              <w:fldChar w:fldCharType="separate"/>
            </w:r>
            <w:r w:rsidRPr="0011384D">
              <w:rPr>
                <w:rFonts w:ascii="Arial Narrow" w:hAnsi="Arial Narrow" w:cs="Arial"/>
                <w:snapToGrid w:val="0"/>
                <w:sz w:val="20"/>
                <w:szCs w:val="20"/>
              </w:rPr>
              <w:fldChar w:fldCharType="end"/>
            </w:r>
            <w:r w:rsidRPr="0011384D">
              <w:rPr>
                <w:rFonts w:ascii="Arial Narrow" w:hAnsi="Arial Narrow" w:cs="Arial"/>
                <w:snapToGrid w:val="0"/>
                <w:sz w:val="20"/>
                <w:szCs w:val="20"/>
              </w:rPr>
              <w:t>Streamlined</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jc w:val="both"/>
              <w:rPr>
                <w:rFonts w:ascii="Arial Narrow" w:hAnsi="Arial Narrow" w:cs="Arial"/>
                <w:b/>
                <w:snapToGrid w:val="0"/>
                <w:sz w:val="20"/>
                <w:szCs w:val="20"/>
              </w:rPr>
            </w:pPr>
            <w:r w:rsidRPr="0011384D">
              <w:rPr>
                <w:rFonts w:ascii="Arial Narrow" w:hAnsi="Arial Narrow" w:cs="Arial"/>
                <w:b/>
                <w:snapToGrid w:val="0"/>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hideMark/>
          </w:tcPr>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t>Patient must have previously been issued with an authority prescription for this drug.</w:t>
            </w:r>
          </w:p>
        </w:tc>
      </w:tr>
      <w:tr w:rsidR="00B66073" w:rsidRPr="0011384D" w:rsidTr="00347D4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jc w:val="both"/>
              <w:rPr>
                <w:rFonts w:ascii="Arial Narrow" w:hAnsi="Arial Narrow" w:cs="Arial"/>
                <w:b/>
                <w:snapToGrid w:val="0"/>
                <w:sz w:val="20"/>
                <w:szCs w:val="20"/>
              </w:rPr>
            </w:pPr>
            <w:r w:rsidRPr="0011384D">
              <w:rPr>
                <w:rFonts w:ascii="Arial Narrow" w:hAnsi="Arial Narrow" w:cs="Arial"/>
                <w:b/>
                <w:snapToGrid w:val="0"/>
                <w:sz w:val="20"/>
                <w:szCs w:val="20"/>
              </w:rPr>
              <w:t>Administrative Advice</w:t>
            </w:r>
          </w:p>
          <w:p w:rsidR="00B66073" w:rsidRPr="0011384D" w:rsidRDefault="00B66073" w:rsidP="00347D41">
            <w:pPr>
              <w:snapToGrid w:val="0"/>
              <w:jc w:val="both"/>
              <w:rPr>
                <w:rFonts w:ascii="Arial Narrow" w:hAnsi="Arial Narrow" w:cs="Arial"/>
                <w:b/>
                <w:snapToGrid w:val="0"/>
                <w:sz w:val="20"/>
                <w:szCs w:val="20"/>
              </w:rPr>
            </w:pPr>
          </w:p>
        </w:tc>
        <w:tc>
          <w:tcPr>
            <w:tcW w:w="6378" w:type="dxa"/>
            <w:tcBorders>
              <w:top w:val="single" w:sz="4" w:space="0" w:color="auto"/>
              <w:left w:val="single" w:sz="4" w:space="0" w:color="auto"/>
              <w:bottom w:val="single" w:sz="4" w:space="0" w:color="auto"/>
              <w:right w:val="single" w:sz="4" w:space="0" w:color="auto"/>
            </w:tcBorders>
          </w:tcPr>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t xml:space="preserve">Authority applications for continuing treatment may be made by telephone to the Department of Human Services on 1800 700 270 (hours of operation 8 a.m. to 5 p.m. EST Monday to Friday). </w:t>
            </w:r>
          </w:p>
          <w:p w:rsidR="00B66073" w:rsidRPr="0011384D" w:rsidRDefault="00B66073" w:rsidP="00347D41">
            <w:pPr>
              <w:rPr>
                <w:rFonts w:ascii="Arial Narrow" w:hAnsi="Arial Narrow" w:cs="Arial"/>
                <w:snapToGrid w:val="0"/>
                <w:sz w:val="20"/>
                <w:szCs w:val="20"/>
              </w:rPr>
            </w:pP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t xml:space="preserve">Written applications for authority to prescribe should be forwarded to: </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t>Department of Human Services</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t xml:space="preserve">Complex Drugs </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t xml:space="preserve">Reply Paid 9826 </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t>HOBART TAS 7001</w:t>
            </w:r>
          </w:p>
          <w:p w:rsidR="00B66073" w:rsidRPr="0011384D" w:rsidRDefault="00B66073" w:rsidP="00347D41">
            <w:pPr>
              <w:rPr>
                <w:rFonts w:ascii="Arial Narrow" w:hAnsi="Arial Narrow" w:cs="Arial"/>
                <w:snapToGrid w:val="0"/>
                <w:sz w:val="20"/>
                <w:szCs w:val="20"/>
              </w:rPr>
            </w:pPr>
            <w:r w:rsidRPr="0011384D">
              <w:rPr>
                <w:rFonts w:ascii="Arial Narrow" w:hAnsi="Arial Narrow" w:cs="Arial"/>
                <w:snapToGrid w:val="0"/>
                <w:sz w:val="20"/>
                <w:szCs w:val="20"/>
              </w:rPr>
              <w:t xml:space="preserve"> </w:t>
            </w:r>
          </w:p>
          <w:p w:rsidR="00B66073" w:rsidRPr="0011384D" w:rsidRDefault="00B66073" w:rsidP="00347D41">
            <w:pPr>
              <w:snapToGrid w:val="0"/>
              <w:rPr>
                <w:rFonts w:ascii="Arial Narrow" w:hAnsi="Arial Narrow" w:cs="Arial"/>
                <w:snapToGrid w:val="0"/>
                <w:sz w:val="20"/>
                <w:szCs w:val="20"/>
              </w:rPr>
            </w:pPr>
            <w:r w:rsidRPr="0011384D">
              <w:rPr>
                <w:rFonts w:ascii="Arial Narrow" w:hAnsi="Arial Narrow" w:cs="Arial"/>
                <w:snapToGrid w:val="0"/>
                <w:sz w:val="20"/>
                <w:szCs w:val="20"/>
              </w:rPr>
              <w:t>This drug is not PBS-subsidised when used in combination with PBS-subsidised dexamphetamine sulfate.</w:t>
            </w:r>
          </w:p>
        </w:tc>
      </w:tr>
    </w:tbl>
    <w:p w:rsidR="00B66073" w:rsidRDefault="00B66073" w:rsidP="00BF6006">
      <w:pPr>
        <w:jc w:val="both"/>
        <w:rPr>
          <w:rFonts w:ascii="Arial" w:hAnsi="Arial" w:cs="Arial"/>
          <w:b/>
          <w:bCs/>
          <w:i/>
          <w:snapToGrid w:val="0"/>
          <w:sz w:val="22"/>
          <w:szCs w:val="22"/>
          <w:lang w:eastAsia="en-US"/>
        </w:rPr>
      </w:pPr>
    </w:p>
    <w:p w:rsidR="009F31F6" w:rsidRPr="00A81C85" w:rsidRDefault="009F31F6" w:rsidP="009F31F6">
      <w:pPr>
        <w:pStyle w:val="Heading1"/>
      </w:pPr>
      <w:r w:rsidRPr="00A81C85">
        <w:t>Context for Decision</w:t>
      </w:r>
    </w:p>
    <w:p w:rsidR="009F31F6" w:rsidRPr="006B3CD8" w:rsidRDefault="009F31F6" w:rsidP="009F31F6"/>
    <w:p w:rsidR="009F31F6" w:rsidRDefault="009F31F6" w:rsidP="008B69A6">
      <w:pPr>
        <w:ind w:left="720"/>
        <w:jc w:val="both"/>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64E1F" w:rsidRDefault="00D64E1F" w:rsidP="00D64E1F"/>
    <w:p w:rsidR="00D64E1F" w:rsidRPr="00D64E1F" w:rsidRDefault="00D64E1F" w:rsidP="00D64E1F">
      <w:pPr>
        <w:rPr>
          <w:rFonts w:ascii="Arial" w:hAnsi="Arial" w:cs="Arial"/>
          <w:sz w:val="22"/>
          <w:szCs w:val="22"/>
        </w:rPr>
      </w:pPr>
    </w:p>
    <w:p w:rsidR="00D64E1F" w:rsidRPr="00D64E1F" w:rsidRDefault="00D64E1F" w:rsidP="00D64E1F">
      <w:pPr>
        <w:pStyle w:val="PBACHeading1"/>
        <w:numPr>
          <w:ilvl w:val="0"/>
          <w:numId w:val="5"/>
        </w:numPr>
        <w:outlineLvl w:val="0"/>
      </w:pPr>
      <w:r w:rsidRPr="00D64E1F">
        <w:t>Sponsor’s Comment</w:t>
      </w:r>
    </w:p>
    <w:p w:rsidR="00D64E1F" w:rsidRPr="00D64E1F" w:rsidRDefault="00D64E1F" w:rsidP="00D64E1F">
      <w:pPr>
        <w:ind w:left="720"/>
        <w:rPr>
          <w:rFonts w:ascii="Arial" w:hAnsi="Arial" w:cs="Arial"/>
          <w:bCs/>
          <w:sz w:val="22"/>
          <w:szCs w:val="22"/>
          <w:highlight w:val="yellow"/>
          <w:lang w:val="en-GB"/>
        </w:rPr>
      </w:pPr>
    </w:p>
    <w:p w:rsidR="00D64E1F" w:rsidRPr="00DF280B" w:rsidRDefault="00DF280B" w:rsidP="008B69A6">
      <w:pPr>
        <w:ind w:left="720"/>
        <w:rPr>
          <w:rFonts w:ascii="Arial" w:hAnsi="Arial" w:cs="Arial"/>
          <w:sz w:val="22"/>
        </w:rPr>
      </w:pPr>
      <w:r w:rsidRPr="00DF280B">
        <w:rPr>
          <w:rFonts w:ascii="Arial" w:hAnsi="Arial" w:cs="Arial"/>
          <w:sz w:val="22"/>
        </w:rPr>
        <w:t>TEVA welcomed the PBAC recommendation and has worked with the department to progress the listing of Nuvigil onto the PBS</w:t>
      </w:r>
    </w:p>
    <w:p w:rsidR="00D64E1F" w:rsidRPr="008B69A6" w:rsidRDefault="00D64E1F" w:rsidP="008B69A6">
      <w:pPr>
        <w:ind w:left="720"/>
        <w:rPr>
          <w:rFonts w:ascii="Arial" w:hAnsi="Arial" w:cs="Arial"/>
          <w:bCs/>
          <w:sz w:val="22"/>
          <w:szCs w:val="22"/>
          <w:highlight w:val="yellow"/>
          <w:lang w:val="en-GB"/>
        </w:rPr>
      </w:pPr>
    </w:p>
    <w:p w:rsidR="009F31F6" w:rsidRPr="009F31F6" w:rsidRDefault="009F31F6" w:rsidP="008B69A6">
      <w:pPr>
        <w:ind w:left="720"/>
      </w:pPr>
    </w:p>
    <w:sectPr w:rsidR="009F31F6" w:rsidRPr="009F31F6" w:rsidSect="00737C26">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0A7" w:rsidRDefault="005F00A7" w:rsidP="00737C26">
      <w:r>
        <w:separator/>
      </w:r>
    </w:p>
  </w:endnote>
  <w:endnote w:type="continuationSeparator" w:id="0">
    <w:p w:rsidR="005F00A7" w:rsidRDefault="005F00A7" w:rsidP="0073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D6CB9" w:rsidTr="00737C26">
      <w:trPr>
        <w:trHeight w:val="151"/>
      </w:trPr>
      <w:tc>
        <w:tcPr>
          <w:tcW w:w="2250" w:type="pct"/>
          <w:tcBorders>
            <w:top w:val="nil"/>
            <w:left w:val="nil"/>
            <w:bottom w:val="single" w:sz="4" w:space="0" w:color="4F81BD"/>
            <w:right w:val="nil"/>
          </w:tcBorders>
        </w:tcPr>
        <w:p w:rsidR="001D6CB9" w:rsidRPr="005A3173" w:rsidRDefault="001D6CB9" w:rsidP="00737C26">
          <w:pPr>
            <w:pStyle w:val="Header"/>
            <w:spacing w:line="276" w:lineRule="auto"/>
            <w:rPr>
              <w:rFonts w:ascii="Calibri" w:eastAsia="MS Gothic" w:hAnsi="Calibri"/>
              <w:b/>
              <w:bCs/>
              <w:color w:val="4F81BD"/>
            </w:rPr>
          </w:pPr>
        </w:p>
      </w:tc>
      <w:tc>
        <w:tcPr>
          <w:tcW w:w="500" w:type="pct"/>
          <w:vMerge w:val="restart"/>
          <w:noWrap/>
          <w:vAlign w:val="center"/>
          <w:hideMark/>
        </w:tcPr>
        <w:p w:rsidR="001D6CB9" w:rsidRPr="005A3173" w:rsidRDefault="001D6CB9" w:rsidP="00737C26">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D6CB9" w:rsidRPr="005A3173" w:rsidRDefault="001D6CB9" w:rsidP="00737C26">
          <w:pPr>
            <w:pStyle w:val="Header"/>
            <w:spacing w:line="276" w:lineRule="auto"/>
            <w:rPr>
              <w:rFonts w:ascii="Calibri" w:eastAsia="MS Gothic" w:hAnsi="Calibri"/>
              <w:b/>
              <w:bCs/>
              <w:color w:val="4F81BD"/>
            </w:rPr>
          </w:pPr>
        </w:p>
      </w:tc>
    </w:tr>
    <w:tr w:rsidR="001D6CB9" w:rsidTr="00737C26">
      <w:trPr>
        <w:trHeight w:val="150"/>
      </w:trPr>
      <w:tc>
        <w:tcPr>
          <w:tcW w:w="2250" w:type="pct"/>
          <w:tcBorders>
            <w:top w:val="single" w:sz="4" w:space="0" w:color="4F81BD"/>
            <w:left w:val="nil"/>
            <w:bottom w:val="nil"/>
            <w:right w:val="nil"/>
          </w:tcBorders>
        </w:tcPr>
        <w:p w:rsidR="001D6CB9" w:rsidRPr="005A3173" w:rsidRDefault="001D6CB9" w:rsidP="00737C26">
          <w:pPr>
            <w:pStyle w:val="Header"/>
            <w:spacing w:line="276" w:lineRule="auto"/>
            <w:rPr>
              <w:rFonts w:ascii="Calibri" w:eastAsia="MS Gothic" w:hAnsi="Calibri"/>
              <w:b/>
              <w:bCs/>
              <w:color w:val="4F81BD"/>
            </w:rPr>
          </w:pPr>
        </w:p>
      </w:tc>
      <w:tc>
        <w:tcPr>
          <w:tcW w:w="0" w:type="auto"/>
          <w:vMerge/>
          <w:vAlign w:val="center"/>
          <w:hideMark/>
        </w:tcPr>
        <w:p w:rsidR="001D6CB9" w:rsidRPr="005A3173" w:rsidRDefault="001D6CB9" w:rsidP="00737C26">
          <w:pPr>
            <w:rPr>
              <w:rFonts w:ascii="Calibri" w:hAnsi="Calibri"/>
              <w:color w:val="365F91"/>
              <w:sz w:val="22"/>
              <w:szCs w:val="22"/>
            </w:rPr>
          </w:pPr>
        </w:p>
      </w:tc>
      <w:tc>
        <w:tcPr>
          <w:tcW w:w="2250" w:type="pct"/>
          <w:tcBorders>
            <w:top w:val="single" w:sz="4" w:space="0" w:color="4F81BD"/>
            <w:left w:val="nil"/>
            <w:bottom w:val="nil"/>
            <w:right w:val="nil"/>
          </w:tcBorders>
        </w:tcPr>
        <w:p w:rsidR="001D6CB9" w:rsidRPr="005A3173" w:rsidRDefault="001D6CB9" w:rsidP="00737C26">
          <w:pPr>
            <w:pStyle w:val="Header"/>
            <w:spacing w:line="276" w:lineRule="auto"/>
            <w:rPr>
              <w:rFonts w:ascii="Calibri" w:eastAsia="MS Gothic" w:hAnsi="Calibri"/>
              <w:b/>
              <w:bCs/>
              <w:color w:val="4F81BD"/>
            </w:rPr>
          </w:pPr>
        </w:p>
      </w:tc>
    </w:tr>
  </w:tbl>
  <w:p w:rsidR="001D6CB9" w:rsidRDefault="001D6CB9" w:rsidP="00737C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6CB9" w:rsidRDefault="001D6CB9">
    <w:pPr>
      <w:pStyle w:val="Footer"/>
    </w:pPr>
  </w:p>
  <w:p w:rsidR="001D6CB9" w:rsidRDefault="001D6C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823234"/>
      <w:docPartObj>
        <w:docPartGallery w:val="Page Numbers (Bottom of Page)"/>
        <w:docPartUnique/>
      </w:docPartObj>
    </w:sdtPr>
    <w:sdtEndPr>
      <w:rPr>
        <w:noProof/>
      </w:rPr>
    </w:sdtEndPr>
    <w:sdtContent>
      <w:p w:rsidR="001D6CB9" w:rsidRPr="00514E15" w:rsidRDefault="001D6CB9">
        <w:pPr>
          <w:pStyle w:val="Footer"/>
          <w:jc w:val="center"/>
          <w:rPr>
            <w:rFonts w:ascii="Arial" w:hAnsi="Arial" w:cs="Arial"/>
            <w:sz w:val="22"/>
          </w:rPr>
        </w:pPr>
      </w:p>
      <w:p w:rsidR="001D6CB9" w:rsidRPr="00514E15" w:rsidRDefault="001D6CB9" w:rsidP="00514E15">
        <w:pPr>
          <w:pStyle w:val="Footer"/>
          <w:jc w:val="center"/>
        </w:pPr>
        <w:r w:rsidRPr="00514E15">
          <w:rPr>
            <w:rFonts w:ascii="Arial" w:hAnsi="Arial" w:cs="Arial"/>
            <w:sz w:val="22"/>
          </w:rPr>
          <w:fldChar w:fldCharType="begin"/>
        </w:r>
        <w:r w:rsidRPr="00514E15">
          <w:rPr>
            <w:rFonts w:ascii="Arial" w:hAnsi="Arial" w:cs="Arial"/>
            <w:sz w:val="22"/>
          </w:rPr>
          <w:instrText xml:space="preserve"> PAGE   \* MERGEFORMAT </w:instrText>
        </w:r>
        <w:r w:rsidRPr="00514E15">
          <w:rPr>
            <w:rFonts w:ascii="Arial" w:hAnsi="Arial" w:cs="Arial"/>
            <w:sz w:val="22"/>
          </w:rPr>
          <w:fldChar w:fldCharType="separate"/>
        </w:r>
        <w:r w:rsidR="00CC0E6C">
          <w:rPr>
            <w:rFonts w:ascii="Arial" w:hAnsi="Arial" w:cs="Arial"/>
            <w:noProof/>
            <w:sz w:val="22"/>
          </w:rPr>
          <w:t>2</w:t>
        </w:r>
        <w:r w:rsidRPr="00514E15">
          <w:rPr>
            <w:rFonts w:ascii="Arial" w:hAnsi="Arial" w:cs="Arial"/>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1D6CB9" w:rsidTr="00737C26">
      <w:trPr>
        <w:trHeight w:val="151"/>
      </w:trPr>
      <w:tc>
        <w:tcPr>
          <w:tcW w:w="2250" w:type="pct"/>
          <w:tcBorders>
            <w:top w:val="nil"/>
            <w:left w:val="nil"/>
            <w:bottom w:val="single" w:sz="4" w:space="0" w:color="4F81BD"/>
            <w:right w:val="nil"/>
          </w:tcBorders>
        </w:tcPr>
        <w:p w:rsidR="001D6CB9" w:rsidRPr="005A3173" w:rsidRDefault="001D6CB9" w:rsidP="00737C26">
          <w:pPr>
            <w:pStyle w:val="Header"/>
            <w:spacing w:line="276" w:lineRule="auto"/>
            <w:rPr>
              <w:rFonts w:ascii="Calibri" w:eastAsia="MS Gothic" w:hAnsi="Calibri"/>
              <w:b/>
              <w:bCs/>
              <w:color w:val="4F81BD"/>
            </w:rPr>
          </w:pPr>
        </w:p>
      </w:tc>
      <w:tc>
        <w:tcPr>
          <w:tcW w:w="500" w:type="pct"/>
          <w:vMerge w:val="restart"/>
          <w:noWrap/>
          <w:vAlign w:val="center"/>
          <w:hideMark/>
        </w:tcPr>
        <w:p w:rsidR="001D6CB9" w:rsidRPr="005A3173" w:rsidRDefault="001D6CB9" w:rsidP="00737C26">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D6CB9" w:rsidRPr="005A3173" w:rsidRDefault="001D6CB9" w:rsidP="00737C26">
          <w:pPr>
            <w:pStyle w:val="Header"/>
            <w:spacing w:line="276" w:lineRule="auto"/>
            <w:rPr>
              <w:rFonts w:ascii="Calibri" w:eastAsia="MS Gothic" w:hAnsi="Calibri"/>
              <w:b/>
              <w:bCs/>
              <w:color w:val="4F81BD"/>
            </w:rPr>
          </w:pPr>
        </w:p>
      </w:tc>
    </w:tr>
    <w:tr w:rsidR="001D6CB9" w:rsidTr="00737C26">
      <w:trPr>
        <w:trHeight w:val="150"/>
      </w:trPr>
      <w:tc>
        <w:tcPr>
          <w:tcW w:w="2250" w:type="pct"/>
          <w:tcBorders>
            <w:top w:val="single" w:sz="4" w:space="0" w:color="4F81BD"/>
            <w:left w:val="nil"/>
            <w:bottom w:val="nil"/>
            <w:right w:val="nil"/>
          </w:tcBorders>
        </w:tcPr>
        <w:p w:rsidR="001D6CB9" w:rsidRPr="005A3173" w:rsidRDefault="001D6CB9" w:rsidP="00737C26">
          <w:pPr>
            <w:pStyle w:val="Header"/>
            <w:spacing w:line="276" w:lineRule="auto"/>
            <w:rPr>
              <w:rFonts w:ascii="Calibri" w:eastAsia="MS Gothic" w:hAnsi="Calibri"/>
              <w:b/>
              <w:bCs/>
              <w:color w:val="4F81BD"/>
            </w:rPr>
          </w:pPr>
        </w:p>
      </w:tc>
      <w:tc>
        <w:tcPr>
          <w:tcW w:w="0" w:type="auto"/>
          <w:vMerge/>
          <w:vAlign w:val="center"/>
          <w:hideMark/>
        </w:tcPr>
        <w:p w:rsidR="001D6CB9" w:rsidRPr="005A3173" w:rsidRDefault="001D6CB9" w:rsidP="00737C26">
          <w:pPr>
            <w:rPr>
              <w:rFonts w:ascii="Calibri" w:hAnsi="Calibri"/>
              <w:color w:val="365F91"/>
              <w:sz w:val="22"/>
              <w:szCs w:val="22"/>
            </w:rPr>
          </w:pPr>
        </w:p>
      </w:tc>
      <w:tc>
        <w:tcPr>
          <w:tcW w:w="2250" w:type="pct"/>
          <w:tcBorders>
            <w:top w:val="single" w:sz="4" w:space="0" w:color="4F81BD"/>
            <w:left w:val="nil"/>
            <w:bottom w:val="nil"/>
            <w:right w:val="nil"/>
          </w:tcBorders>
        </w:tcPr>
        <w:p w:rsidR="001D6CB9" w:rsidRPr="005A3173" w:rsidRDefault="001D6CB9" w:rsidP="00737C26">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1D6CB9" w:rsidTr="00737C26">
      <w:trPr>
        <w:trHeight w:val="151"/>
      </w:trPr>
      <w:tc>
        <w:tcPr>
          <w:tcW w:w="2250" w:type="pct"/>
          <w:tcBorders>
            <w:top w:val="nil"/>
            <w:left w:val="nil"/>
            <w:bottom w:val="single" w:sz="4" w:space="0" w:color="4F81BD"/>
            <w:right w:val="nil"/>
          </w:tcBorders>
        </w:tcPr>
        <w:p w:rsidR="001D6CB9" w:rsidRPr="005A3173" w:rsidRDefault="001D6CB9" w:rsidP="00737C26">
          <w:pPr>
            <w:pStyle w:val="Header"/>
            <w:spacing w:line="276" w:lineRule="auto"/>
            <w:rPr>
              <w:rFonts w:ascii="Calibri" w:eastAsia="MS Gothic" w:hAnsi="Calibri"/>
              <w:b/>
              <w:bCs/>
              <w:color w:val="4F81BD"/>
            </w:rPr>
          </w:pPr>
        </w:p>
      </w:tc>
      <w:tc>
        <w:tcPr>
          <w:tcW w:w="500" w:type="pct"/>
          <w:vMerge w:val="restart"/>
          <w:noWrap/>
          <w:vAlign w:val="center"/>
          <w:hideMark/>
        </w:tcPr>
        <w:p w:rsidR="001D6CB9" w:rsidRPr="005A3173" w:rsidRDefault="001D6CB9" w:rsidP="00737C26">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1D6CB9" w:rsidRPr="005A3173" w:rsidRDefault="001D6CB9" w:rsidP="00737C26">
          <w:pPr>
            <w:pStyle w:val="Header"/>
            <w:spacing w:line="276" w:lineRule="auto"/>
            <w:rPr>
              <w:rFonts w:ascii="Calibri" w:eastAsia="MS Gothic" w:hAnsi="Calibri"/>
              <w:b/>
              <w:bCs/>
              <w:color w:val="4F81BD"/>
            </w:rPr>
          </w:pPr>
        </w:p>
      </w:tc>
    </w:tr>
    <w:tr w:rsidR="001D6CB9" w:rsidTr="00737C26">
      <w:trPr>
        <w:trHeight w:val="150"/>
      </w:trPr>
      <w:tc>
        <w:tcPr>
          <w:tcW w:w="2250" w:type="pct"/>
          <w:tcBorders>
            <w:top w:val="single" w:sz="4" w:space="0" w:color="4F81BD"/>
            <w:left w:val="nil"/>
            <w:bottom w:val="nil"/>
            <w:right w:val="nil"/>
          </w:tcBorders>
        </w:tcPr>
        <w:p w:rsidR="001D6CB9" w:rsidRPr="005A3173" w:rsidRDefault="001D6CB9" w:rsidP="00737C26">
          <w:pPr>
            <w:pStyle w:val="Header"/>
            <w:spacing w:line="276" w:lineRule="auto"/>
            <w:rPr>
              <w:rFonts w:ascii="Calibri" w:eastAsia="MS Gothic" w:hAnsi="Calibri"/>
              <w:b/>
              <w:bCs/>
              <w:color w:val="4F81BD"/>
            </w:rPr>
          </w:pPr>
        </w:p>
      </w:tc>
      <w:tc>
        <w:tcPr>
          <w:tcW w:w="0" w:type="auto"/>
          <w:vMerge/>
          <w:vAlign w:val="center"/>
          <w:hideMark/>
        </w:tcPr>
        <w:p w:rsidR="001D6CB9" w:rsidRPr="005A3173" w:rsidRDefault="001D6CB9" w:rsidP="00737C26">
          <w:pPr>
            <w:rPr>
              <w:rFonts w:ascii="Calibri" w:hAnsi="Calibri"/>
              <w:color w:val="365F91"/>
              <w:sz w:val="22"/>
              <w:szCs w:val="22"/>
            </w:rPr>
          </w:pPr>
        </w:p>
      </w:tc>
      <w:tc>
        <w:tcPr>
          <w:tcW w:w="2250" w:type="pct"/>
          <w:tcBorders>
            <w:top w:val="single" w:sz="4" w:space="0" w:color="4F81BD"/>
            <w:left w:val="nil"/>
            <w:bottom w:val="nil"/>
            <w:right w:val="nil"/>
          </w:tcBorders>
        </w:tcPr>
        <w:p w:rsidR="001D6CB9" w:rsidRPr="005A3173" w:rsidRDefault="001D6CB9" w:rsidP="00737C26">
          <w:pPr>
            <w:pStyle w:val="Header"/>
            <w:spacing w:line="276" w:lineRule="auto"/>
            <w:rPr>
              <w:rFonts w:ascii="Calibri" w:eastAsia="MS Gothic" w:hAnsi="Calibri"/>
              <w:b/>
              <w:bCs/>
              <w:color w:val="4F81BD"/>
            </w:rPr>
          </w:pPr>
        </w:p>
      </w:tc>
    </w:tr>
  </w:tbl>
  <w:p w:rsidR="001D6CB9" w:rsidRPr="007C0F57" w:rsidRDefault="001D6CB9" w:rsidP="00737C26">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1D6CB9" w:rsidRPr="007C0F57" w:rsidRDefault="001D6CB9" w:rsidP="00737C26">
    <w:pPr>
      <w:pStyle w:val="Footer"/>
      <w:jc w:val="center"/>
      <w:rPr>
        <w:b/>
        <w:i/>
        <w:sz w:val="20"/>
        <w:szCs w:val="20"/>
      </w:rPr>
    </w:pPr>
    <w:r w:rsidRPr="007C0F57">
      <w:rPr>
        <w:b/>
        <w:i/>
        <w:sz w:val="20"/>
        <w:szCs w:val="20"/>
      </w:rPr>
      <w:t>Commercial-in-Confidence</w:t>
    </w:r>
  </w:p>
  <w:p w:rsidR="001D6CB9" w:rsidRDefault="001D6C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0A7" w:rsidRDefault="005F00A7" w:rsidP="00737C26">
      <w:r>
        <w:separator/>
      </w:r>
    </w:p>
  </w:footnote>
  <w:footnote w:type="continuationSeparator" w:id="0">
    <w:p w:rsidR="005F00A7" w:rsidRDefault="005F00A7" w:rsidP="00737C26">
      <w:r>
        <w:continuationSeparator/>
      </w:r>
    </w:p>
  </w:footnote>
  <w:footnote w:id="1">
    <w:p w:rsidR="001D6CB9" w:rsidRPr="006824FA" w:rsidRDefault="001D6CB9" w:rsidP="003F1BF4">
      <w:pPr>
        <w:pStyle w:val="FootnoteText"/>
        <w:rPr>
          <w:rFonts w:ascii="Arial Narrow" w:hAnsi="Arial Narrow"/>
        </w:rPr>
      </w:pPr>
      <w:r w:rsidRPr="006824FA">
        <w:rPr>
          <w:rStyle w:val="FootnoteReference"/>
          <w:rFonts w:ascii="Arial Narrow" w:hAnsi="Arial Narrow"/>
        </w:rPr>
        <w:footnoteRef/>
      </w:r>
      <w:r w:rsidRPr="006824FA">
        <w:rPr>
          <w:rFonts w:ascii="Arial Narrow" w:hAnsi="Arial Narrow"/>
        </w:rPr>
        <w:t xml:space="preserve"> </w:t>
      </w:r>
      <w:r w:rsidRPr="006824FA">
        <w:rPr>
          <w:rFonts w:ascii="Arial Narrow" w:hAnsi="Arial Narrow"/>
        </w:rPr>
        <w:fldChar w:fldCharType="begin"/>
      </w:r>
      <w:r w:rsidRPr="006824FA">
        <w:rPr>
          <w:rFonts w:ascii="Arial Narrow" w:hAnsi="Arial Narrow"/>
        </w:rPr>
        <w:instrText xml:space="preserve"> ADDIN EN.CITE &lt;EndNote&gt;&lt;Cite&gt;&lt;Author&gt;Adenuga&lt;/Author&gt;&lt;Year&gt;2014&lt;/Year&gt;&lt;RecNum&gt;3&lt;/RecNum&gt;&lt;DisplayText&gt;Adenuga, O. and H. Attarian (2014). &amp;quot;Treatment of disorders of hypersomnolence.&amp;quot; &lt;style face="underline"&gt;Curr Treat Options Neurol&lt;/style&gt; &lt;style face="bold"&gt;16&lt;/style&gt;(9): 302.&lt;/DisplayText&gt;&lt;record&gt;&lt;rec-number&gt;3&lt;/rec-number&gt;&lt;foreign-keys&gt;&lt;key app="EN" db-id="2zvtpsdtsw02x5ezwf6550wlp009ar09ppxf" timestamp="1450146187"&gt;3&lt;/key&gt;&lt;/foreign-keys&gt;&lt;ref-type name="Journal Article"&gt;17&lt;/ref-type&gt;&lt;contributors&gt;&lt;authors&gt;&lt;author&gt;Adenuga, O.&lt;/author&gt;&lt;author&gt;Attarian, H.&lt;/author&gt;&lt;/authors&gt;&lt;/contributors&gt;&lt;auth-address&gt;Southern California Permanente Group, 9985 Sierra Ave, Fontana, CA, 92335, USA, Feminugzy2003@yahoo.com.&lt;/auth-address&gt;&lt;titles&gt;&lt;title&gt;Treatment of disorders of hypersomnolence&lt;/title&gt;&lt;secondary-title&gt;Curr Treat Options Neurol&lt;/secondary-title&gt;&lt;alt-title&gt;Current treatment options in neurology&lt;/alt-title&gt;&lt;/titles&gt;&lt;periodical&gt;&lt;full-title&gt;Curr Treat Options Neurol&lt;/full-title&gt;&lt;abbr-1&gt;Current treatment options in neurology&lt;/abbr-1&gt;&lt;/periodical&gt;&lt;alt-periodical&gt;&lt;full-title&gt;Curr Treat Options Neurol&lt;/full-title&gt;&lt;abbr-1&gt;Current treatment options in neurology&lt;/abbr-1&gt;&lt;/alt-periodical&gt;&lt;pages&gt;302&lt;/pages&gt;&lt;volume&gt;16&lt;/volume&gt;&lt;number&gt;9&lt;/number&gt;&lt;edition&gt;2014/08/01&lt;/edition&gt;&lt;dates&gt;&lt;year&gt;2014&lt;/year&gt;&lt;pub-dates&gt;&lt;date&gt;Sep&lt;/date&gt;&lt;/pub-dates&gt;&lt;/dates&gt;&lt;isbn&gt;1092-8480 (Print)&amp;#xD;1092-8480&lt;/isbn&gt;&lt;accession-num&gt;25080137&lt;/accession-num&gt;&lt;urls&gt;&lt;related-urls&gt;&lt;url&gt;http://link.springer.com/article/10.1007%2Fs11940-014-0302-9&lt;/url&gt;&lt;/related-urls&gt;&lt;/urls&gt;&lt;electronic-resource-num&gt;10.1007/s11940-014-0302-9&lt;/electronic-resource-num&gt;&lt;remote-database-provider&gt;NLM&lt;/remote-database-provider&gt;&lt;language&gt;eng&lt;/language&gt;&lt;/record&gt;&lt;/Cite&gt;&lt;/EndNote&gt;</w:instrText>
      </w:r>
      <w:r w:rsidRPr="006824FA">
        <w:rPr>
          <w:rFonts w:ascii="Arial Narrow" w:hAnsi="Arial Narrow"/>
        </w:rPr>
        <w:fldChar w:fldCharType="separate"/>
      </w:r>
      <w:r w:rsidRPr="006824FA">
        <w:rPr>
          <w:rFonts w:ascii="Arial Narrow" w:hAnsi="Arial Narrow"/>
          <w:noProof/>
        </w:rPr>
        <w:t xml:space="preserve">Adenuga, O. and H. Attarian (2014). "Treatment of disorders of hypersomnolence." </w:t>
      </w:r>
      <w:r w:rsidRPr="006824FA">
        <w:rPr>
          <w:rFonts w:ascii="Arial Narrow" w:hAnsi="Arial Narrow"/>
          <w:noProof/>
          <w:u w:val="single"/>
        </w:rPr>
        <w:t>Curr Treat Options Neurol</w:t>
      </w:r>
      <w:r w:rsidRPr="006824FA">
        <w:rPr>
          <w:rFonts w:ascii="Arial Narrow" w:hAnsi="Arial Narrow"/>
          <w:noProof/>
        </w:rPr>
        <w:t xml:space="preserve"> </w:t>
      </w:r>
      <w:r w:rsidRPr="006824FA">
        <w:rPr>
          <w:rFonts w:ascii="Arial Narrow" w:hAnsi="Arial Narrow"/>
          <w:b/>
          <w:noProof/>
        </w:rPr>
        <w:t>16</w:t>
      </w:r>
      <w:r w:rsidRPr="006824FA">
        <w:rPr>
          <w:rFonts w:ascii="Arial Narrow" w:hAnsi="Arial Narrow"/>
          <w:noProof/>
        </w:rPr>
        <w:t>(9): 302.</w:t>
      </w:r>
      <w:r w:rsidRPr="006824FA">
        <w:rPr>
          <w:rFonts w:ascii="Arial Narrow" w:hAnsi="Arial Narrow"/>
        </w:rPr>
        <w:fldChar w:fldCharType="end"/>
      </w:r>
    </w:p>
  </w:footnote>
  <w:footnote w:id="2">
    <w:p w:rsidR="001D6CB9" w:rsidRPr="006824FA" w:rsidRDefault="001D6CB9" w:rsidP="003F1BF4">
      <w:pPr>
        <w:pStyle w:val="FootnoteText"/>
        <w:rPr>
          <w:rFonts w:ascii="Arial Narrow" w:hAnsi="Arial Narrow"/>
        </w:rPr>
      </w:pPr>
      <w:r w:rsidRPr="006824FA">
        <w:rPr>
          <w:rStyle w:val="FootnoteReference"/>
          <w:rFonts w:ascii="Arial Narrow" w:hAnsi="Arial Narrow"/>
        </w:rPr>
        <w:footnoteRef/>
      </w:r>
      <w:r w:rsidRPr="006824FA">
        <w:rPr>
          <w:rFonts w:ascii="Arial Narrow" w:hAnsi="Arial Narrow"/>
        </w:rPr>
        <w:t xml:space="preserve"> </w:t>
      </w:r>
      <w:r w:rsidRPr="006824FA">
        <w:rPr>
          <w:rFonts w:ascii="Arial Narrow" w:hAnsi="Arial Narrow"/>
        </w:rPr>
        <w:fldChar w:fldCharType="begin">
          <w:fldData xml:space="preserve">PEVuZE5vdGU+PENpdGU+PEF1dGhvcj5TY2h3YXJ0ejwvQXV0aG9yPjxZZWFyPjIwMDM8L1llYXI+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</w:fldData>
        </w:fldChar>
      </w:r>
      <w:r w:rsidRPr="006824FA">
        <w:rPr>
          <w:rFonts w:ascii="Arial Narrow" w:hAnsi="Arial Narrow"/>
        </w:rPr>
        <w:instrText xml:space="preserve"> ADDIN EN.CITE </w:instrText>
      </w:r>
      <w:r w:rsidRPr="006824FA">
        <w:rPr>
          <w:rFonts w:ascii="Arial Narrow" w:hAnsi="Arial Narrow"/>
        </w:rPr>
        <w:fldChar w:fldCharType="begin">
          <w:fldData xml:space="preserve">PEVuZE5vdGU+PENpdGU+PEF1dGhvcj5TY2h3YXJ0ejwvQXV0aG9yPjxZZWFyPjIwMDM8L1llYXI+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</w:fldData>
        </w:fldChar>
      </w:r>
      <w:r w:rsidRPr="006824FA">
        <w:rPr>
          <w:rFonts w:ascii="Arial Narrow" w:hAnsi="Arial Narrow"/>
        </w:rPr>
        <w:instrText xml:space="preserve"> ADDIN EN.CITE.DATA </w:instrText>
      </w:r>
      <w:r w:rsidRPr="006824FA">
        <w:rPr>
          <w:rFonts w:ascii="Arial Narrow" w:hAnsi="Arial Narrow"/>
        </w:rPr>
      </w:r>
      <w:r w:rsidRPr="006824FA">
        <w:rPr>
          <w:rFonts w:ascii="Arial Narrow" w:hAnsi="Arial Narrow"/>
        </w:rPr>
        <w:fldChar w:fldCharType="end"/>
      </w:r>
      <w:r w:rsidRPr="006824FA">
        <w:rPr>
          <w:rFonts w:ascii="Arial Narrow" w:hAnsi="Arial Narrow"/>
        </w:rPr>
      </w:r>
      <w:r w:rsidRPr="006824FA">
        <w:rPr>
          <w:rFonts w:ascii="Arial Narrow" w:hAnsi="Arial Narrow"/>
        </w:rPr>
        <w:fldChar w:fldCharType="separate"/>
      </w:r>
      <w:r w:rsidRPr="006824FA">
        <w:rPr>
          <w:rFonts w:ascii="Arial Narrow" w:hAnsi="Arial Narrow"/>
          <w:noProof/>
        </w:rPr>
        <w:t xml:space="preserve">Schwartz, J. R. L., N. T. Feldman, R. K. Bogan, M. T. Nelson and R. J. Hughes (2003). "Dosing regimen effects of modafinil for improving daytime wakefulness in patients with narcolepsy." </w:t>
      </w:r>
      <w:r w:rsidRPr="006824FA">
        <w:rPr>
          <w:rFonts w:ascii="Arial Narrow" w:hAnsi="Arial Narrow"/>
          <w:noProof/>
          <w:u w:val="single"/>
        </w:rPr>
        <w:t>Clinical Neuropharmacology</w:t>
      </w:r>
      <w:r w:rsidRPr="006824FA">
        <w:rPr>
          <w:rFonts w:ascii="Arial Narrow" w:hAnsi="Arial Narrow"/>
          <w:noProof/>
        </w:rPr>
        <w:t xml:space="preserve"> </w:t>
      </w:r>
      <w:r w:rsidRPr="006824FA">
        <w:rPr>
          <w:rFonts w:ascii="Arial Narrow" w:hAnsi="Arial Narrow"/>
          <w:b/>
          <w:noProof/>
        </w:rPr>
        <w:t>26</w:t>
      </w:r>
      <w:r w:rsidRPr="006824FA">
        <w:rPr>
          <w:rFonts w:ascii="Arial Narrow" w:hAnsi="Arial Narrow"/>
          <w:noProof/>
        </w:rPr>
        <w:t>(5): 252-257.</w:t>
      </w:r>
      <w:r w:rsidRPr="006824FA">
        <w:rPr>
          <w:rFonts w:ascii="Arial Narrow" w:hAnsi="Arial Narrow"/>
        </w:rPr>
        <w:fldChar w:fldCharType="end"/>
      </w:r>
    </w:p>
  </w:footnote>
  <w:footnote w:id="3">
    <w:p w:rsidR="001D6CB9" w:rsidRPr="006824FA" w:rsidRDefault="001D6CB9" w:rsidP="003F1BF4">
      <w:pPr>
        <w:pStyle w:val="FootnoteText"/>
        <w:rPr>
          <w:rFonts w:ascii="Arial Narrow" w:hAnsi="Arial Narrow"/>
        </w:rPr>
      </w:pPr>
      <w:r w:rsidRPr="006824FA">
        <w:rPr>
          <w:rStyle w:val="FootnoteReference"/>
          <w:rFonts w:ascii="Arial Narrow" w:hAnsi="Arial Narrow"/>
        </w:rPr>
        <w:footnoteRef/>
      </w:r>
      <w:r w:rsidRPr="006824FA">
        <w:rPr>
          <w:rFonts w:ascii="Arial Narrow" w:hAnsi="Arial Narrow"/>
        </w:rPr>
        <w:t xml:space="preserve"> </w:t>
      </w:r>
      <w:r w:rsidRPr="006824FA">
        <w:rPr>
          <w:rFonts w:ascii="Arial Narrow" w:hAnsi="Arial Narrow"/>
        </w:rPr>
        <w:fldChar w:fldCharType="begin"/>
      </w:r>
      <w:r w:rsidRPr="006824FA">
        <w:rPr>
          <w:rFonts w:ascii="Arial Narrow" w:hAnsi="Arial Narrow"/>
        </w:rPr>
        <w:instrText xml:space="preserve"> ADDIN EN.CITE &lt;EndNote&gt;&lt;Cite&gt;&lt;Author&gt;Garnock-Jones KP&lt;/Author&gt;&lt;Year&gt;2009&lt;/Year&gt;&lt;RecNum&gt;11&lt;/RecNum&gt;&lt;DisplayText&gt;Garnock-Jones KP, Dhillon S and Scott LJ (2009). &amp;quot;Armodafinil.&amp;quot; &lt;style face="underline"&gt;CNS Drugs&lt;/style&gt; &lt;style face="bold"&gt;23&lt;/style&gt;(9): 703-803.&lt;/DisplayText&gt;&lt;record&gt;&lt;rec-number&gt;11&lt;/rec-number&gt;&lt;foreign-keys&gt;&lt;key app="EN" db-id="sz9tzwdabs52sfep9vrp5rvcff02sxwvwr0a" timestamp="1431565276"&gt;11&lt;/key&gt;&lt;/foreign-keys&gt;&lt;ref-type name="Journal Article"&gt;17&lt;/ref-type&gt;&lt;contributors&gt;&lt;authors&gt;&lt;author&gt;Garnock-Jones KP,&lt;/author&gt;&lt;author&gt;Dhillon S,&lt;/author&gt;&lt;author&gt;Scott LJ,&lt;/author&gt;&lt;/authors&gt;&lt;/contributors&gt;&lt;titles&gt;&lt;title&gt;Armodafinil&lt;/title&gt;&lt;secondary-title&gt;CNS Drugs&lt;/secondary-title&gt;&lt;/titles&gt;&lt;periodical&gt;&lt;full-title&gt;CNS Drugs&lt;/full-title&gt;&lt;/periodical&gt;&lt;pages&gt;703-803&lt;/pages&gt;&lt;volume&gt;23&lt;/volume&gt;&lt;number&gt;9&lt;/number&gt;&lt;dates&gt;&lt;year&gt;2009&lt;/year&gt;&lt;/dates&gt;&lt;urls&gt;&lt;/urls&gt;&lt;/record&gt;&lt;/Cite&gt;&lt;/EndNote&gt;</w:instrText>
      </w:r>
      <w:r w:rsidRPr="006824FA">
        <w:rPr>
          <w:rFonts w:ascii="Arial Narrow" w:hAnsi="Arial Narrow"/>
        </w:rPr>
        <w:fldChar w:fldCharType="separate"/>
      </w:r>
      <w:r w:rsidRPr="006824FA">
        <w:rPr>
          <w:rFonts w:ascii="Arial Narrow" w:hAnsi="Arial Narrow"/>
          <w:noProof/>
        </w:rPr>
        <w:t xml:space="preserve">Garnock-Jones KP, Dhillon S and Scott LJ (2009). "Armodafinil." </w:t>
      </w:r>
      <w:r w:rsidRPr="006824FA">
        <w:rPr>
          <w:rFonts w:ascii="Arial Narrow" w:hAnsi="Arial Narrow"/>
          <w:noProof/>
          <w:u w:val="single"/>
        </w:rPr>
        <w:t>CNS Drugs</w:t>
      </w:r>
      <w:r w:rsidRPr="006824FA">
        <w:rPr>
          <w:rFonts w:ascii="Arial Narrow" w:hAnsi="Arial Narrow"/>
          <w:noProof/>
        </w:rPr>
        <w:t xml:space="preserve"> </w:t>
      </w:r>
      <w:r w:rsidRPr="006824FA">
        <w:rPr>
          <w:rFonts w:ascii="Arial Narrow" w:hAnsi="Arial Narrow"/>
          <w:b/>
          <w:noProof/>
        </w:rPr>
        <w:t>23</w:t>
      </w:r>
      <w:r w:rsidRPr="006824FA">
        <w:rPr>
          <w:rFonts w:ascii="Arial Narrow" w:hAnsi="Arial Narrow"/>
          <w:noProof/>
        </w:rPr>
        <w:t>(9): 703-803.</w:t>
      </w:r>
      <w:r w:rsidRPr="006824FA">
        <w:rPr>
          <w:rFonts w:ascii="Arial Narrow" w:hAnsi="Arial Narrow"/>
        </w:rPr>
        <w:fldChar w:fldCharType="end"/>
      </w:r>
    </w:p>
  </w:footnote>
  <w:footnote w:id="4">
    <w:p w:rsidR="001D6CB9" w:rsidRPr="006824FA" w:rsidRDefault="001D6CB9" w:rsidP="003F1BF4">
      <w:pPr>
        <w:pStyle w:val="FootnoteText"/>
        <w:rPr>
          <w:rFonts w:ascii="Arial Narrow" w:hAnsi="Arial Narrow"/>
        </w:rPr>
      </w:pPr>
      <w:r w:rsidRPr="006824FA">
        <w:rPr>
          <w:rStyle w:val="FootnoteReference"/>
          <w:rFonts w:ascii="Arial Narrow" w:hAnsi="Arial Narrow"/>
        </w:rPr>
        <w:footnoteRef/>
      </w:r>
      <w:r w:rsidRPr="006824FA">
        <w:rPr>
          <w:rFonts w:ascii="Arial Narrow" w:hAnsi="Arial Narrow"/>
        </w:rPr>
        <w:t xml:space="preserve"> </w:t>
      </w:r>
      <w:r w:rsidRPr="006824FA">
        <w:rPr>
          <w:rFonts w:ascii="Arial Narrow" w:hAnsi="Arial Narrow"/>
        </w:rPr>
        <w:fldChar w:fldCharType="begin">
          <w:fldData xml:space="preserve">PEVuZE5vdGU+PENpdGU+PEF1dGhvcj5EYXJ3aXNoPC9BdXRob3I+PFllYXI+MjAwOTwvWWVhcj48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</w:fldData>
        </w:fldChar>
      </w:r>
      <w:r w:rsidRPr="006824FA">
        <w:rPr>
          <w:rFonts w:ascii="Arial Narrow" w:hAnsi="Arial Narrow"/>
        </w:rPr>
        <w:instrText xml:space="preserve"> ADDIN EN.CITE </w:instrText>
      </w:r>
      <w:r w:rsidRPr="006824FA">
        <w:rPr>
          <w:rFonts w:ascii="Arial Narrow" w:hAnsi="Arial Narrow"/>
        </w:rPr>
        <w:fldChar w:fldCharType="begin">
          <w:fldData xml:space="preserve">PEVuZE5vdGU+PENpdGU+PEF1dGhvcj5EYXJ3aXNoPC9BdXRob3I+PFllYXI+MjAwOTwvWWVhcj48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</w:fldData>
        </w:fldChar>
      </w:r>
      <w:r w:rsidRPr="006824FA">
        <w:rPr>
          <w:rFonts w:ascii="Arial Narrow" w:hAnsi="Arial Narrow"/>
        </w:rPr>
        <w:instrText xml:space="preserve"> ADDIN EN.CITE.DATA </w:instrText>
      </w:r>
      <w:r w:rsidRPr="006824FA">
        <w:rPr>
          <w:rFonts w:ascii="Arial Narrow" w:hAnsi="Arial Narrow"/>
        </w:rPr>
      </w:r>
      <w:r w:rsidRPr="006824FA">
        <w:rPr>
          <w:rFonts w:ascii="Arial Narrow" w:hAnsi="Arial Narrow"/>
        </w:rPr>
        <w:fldChar w:fldCharType="end"/>
      </w:r>
      <w:r w:rsidRPr="006824FA">
        <w:rPr>
          <w:rFonts w:ascii="Arial Narrow" w:hAnsi="Arial Narrow"/>
        </w:rPr>
      </w:r>
      <w:r w:rsidRPr="006824FA">
        <w:rPr>
          <w:rFonts w:ascii="Arial Narrow" w:hAnsi="Arial Narrow"/>
        </w:rPr>
        <w:fldChar w:fldCharType="separate"/>
      </w:r>
      <w:r w:rsidRPr="006824FA">
        <w:rPr>
          <w:rFonts w:ascii="Arial Narrow" w:hAnsi="Arial Narrow"/>
          <w:noProof/>
        </w:rPr>
        <w:t xml:space="preserve">Darwish, M., M. Kirby, E. T. Hellriegel, R. Yang and P. Robertson, Jr. (2009). "Pharmacokinetic profile of armodafinil in healthy subjects: pooled analysis of data from three randomized studies." </w:t>
      </w:r>
      <w:r w:rsidRPr="006824FA">
        <w:rPr>
          <w:rFonts w:ascii="Arial Narrow" w:hAnsi="Arial Narrow"/>
          <w:noProof/>
          <w:u w:val="single"/>
        </w:rPr>
        <w:t>Clin Drug Investig</w:t>
      </w:r>
      <w:r w:rsidRPr="006824FA">
        <w:rPr>
          <w:rFonts w:ascii="Arial Narrow" w:hAnsi="Arial Narrow"/>
          <w:noProof/>
        </w:rPr>
        <w:t xml:space="preserve"> </w:t>
      </w:r>
      <w:r w:rsidRPr="006824FA">
        <w:rPr>
          <w:rFonts w:ascii="Arial Narrow" w:hAnsi="Arial Narrow"/>
          <w:b/>
          <w:noProof/>
        </w:rPr>
        <w:t>29</w:t>
      </w:r>
      <w:r w:rsidRPr="006824FA">
        <w:rPr>
          <w:rFonts w:ascii="Arial Narrow" w:hAnsi="Arial Narrow"/>
          <w:noProof/>
        </w:rPr>
        <w:t>(2): 87-100.</w:t>
      </w:r>
      <w:r w:rsidRPr="006824FA">
        <w:rPr>
          <w:rFonts w:ascii="Arial Narrow" w:hAnsi="Arial Narrow"/>
        </w:rPr>
        <w:fldChar w:fldCharType="end"/>
      </w:r>
    </w:p>
  </w:footnote>
  <w:footnote w:id="5">
    <w:p w:rsidR="001D6CB9" w:rsidRDefault="001D6CB9" w:rsidP="003F1BF4">
      <w:pPr>
        <w:pStyle w:val="FootnoteText"/>
      </w:pPr>
      <w:r w:rsidRPr="006824FA">
        <w:rPr>
          <w:rStyle w:val="FootnoteReference"/>
          <w:rFonts w:ascii="Arial Narrow" w:hAnsi="Arial Narrow"/>
        </w:rPr>
        <w:footnoteRef/>
      </w:r>
      <w:r w:rsidRPr="006824FA">
        <w:rPr>
          <w:rFonts w:ascii="Arial Narrow" w:hAnsi="Arial Narrow"/>
        </w:rPr>
        <w:t xml:space="preserve"> </w:t>
      </w:r>
      <w:r w:rsidRPr="006824FA">
        <w:rPr>
          <w:rFonts w:ascii="Arial Narrow" w:hAnsi="Arial Narrow"/>
        </w:rPr>
        <w:fldChar w:fldCharType="begin">
          <w:fldData xml:space="preserve">PEVuZE5vdGU+PENpdGU+PEF1dGhvcj5EZWxsJmFwb3M7T3NzbzwvQXV0aG9yPjxZZWFyPjIwMTQ8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</w:fldData>
        </w:fldChar>
      </w:r>
      <w:r w:rsidRPr="006824FA">
        <w:rPr>
          <w:rFonts w:ascii="Arial Narrow" w:hAnsi="Arial Narrow"/>
        </w:rPr>
        <w:instrText xml:space="preserve"> ADDIN EN.CITE </w:instrText>
      </w:r>
      <w:r w:rsidRPr="006824FA">
        <w:rPr>
          <w:rFonts w:ascii="Arial Narrow" w:hAnsi="Arial Narrow"/>
        </w:rPr>
        <w:fldChar w:fldCharType="begin">
          <w:fldData xml:space="preserve">PEVuZE5vdGU+PENpdGU+PEF1dGhvcj5EZWxsJmFwb3M7T3NzbzwvQXV0aG9yPjxZZWFyPjIwMTQ8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</w:fldData>
        </w:fldChar>
      </w:r>
      <w:r w:rsidRPr="006824FA">
        <w:rPr>
          <w:rFonts w:ascii="Arial Narrow" w:hAnsi="Arial Narrow"/>
        </w:rPr>
        <w:instrText xml:space="preserve"> ADDIN EN.CITE.DATA </w:instrText>
      </w:r>
      <w:r w:rsidRPr="006824FA">
        <w:rPr>
          <w:rFonts w:ascii="Arial Narrow" w:hAnsi="Arial Narrow"/>
        </w:rPr>
      </w:r>
      <w:r w:rsidRPr="006824FA">
        <w:rPr>
          <w:rFonts w:ascii="Arial Narrow" w:hAnsi="Arial Narrow"/>
        </w:rPr>
        <w:fldChar w:fldCharType="end"/>
      </w:r>
      <w:r w:rsidRPr="006824FA">
        <w:rPr>
          <w:rFonts w:ascii="Arial Narrow" w:hAnsi="Arial Narrow"/>
        </w:rPr>
      </w:r>
      <w:r w:rsidRPr="006824FA">
        <w:rPr>
          <w:rFonts w:ascii="Arial Narrow" w:hAnsi="Arial Narrow"/>
        </w:rPr>
        <w:fldChar w:fldCharType="separate"/>
      </w:r>
      <w:r w:rsidRPr="006824FA">
        <w:rPr>
          <w:rFonts w:ascii="Arial Narrow" w:hAnsi="Arial Narrow"/>
          <w:noProof/>
        </w:rPr>
        <w:t xml:space="preserve">Dell'Osso, B., C. Dobrea, L. Cremaschi, C. Arici and A. C. Altamura (2014). "Wake-promoting pharmacotherapy for psychiatric disorders." </w:t>
      </w:r>
      <w:r w:rsidRPr="006824FA">
        <w:rPr>
          <w:rFonts w:ascii="Arial Narrow" w:hAnsi="Arial Narrow"/>
          <w:noProof/>
          <w:u w:val="single"/>
        </w:rPr>
        <w:t>Curr Psychiatry Rep</w:t>
      </w:r>
      <w:r w:rsidRPr="006824FA">
        <w:rPr>
          <w:rFonts w:ascii="Arial Narrow" w:hAnsi="Arial Narrow"/>
          <w:noProof/>
        </w:rPr>
        <w:t xml:space="preserve"> </w:t>
      </w:r>
      <w:r w:rsidRPr="006824FA">
        <w:rPr>
          <w:rFonts w:ascii="Arial Narrow" w:hAnsi="Arial Narrow"/>
          <w:b/>
          <w:noProof/>
        </w:rPr>
        <w:t>16</w:t>
      </w:r>
      <w:r w:rsidRPr="006824FA">
        <w:rPr>
          <w:rFonts w:ascii="Arial Narrow" w:hAnsi="Arial Narrow"/>
          <w:noProof/>
        </w:rPr>
        <w:t>(12): 524.</w:t>
      </w:r>
      <w:r w:rsidRPr="006824FA">
        <w:rPr>
          <w:rFonts w:ascii="Arial Narrow" w:hAnsi="Arial Narrow"/>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1D6CB9" w:rsidRPr="008E0D90" w:rsidTr="00737C26">
      <w:trPr>
        <w:trHeight w:val="151"/>
      </w:trPr>
      <w:tc>
        <w:tcPr>
          <w:tcW w:w="2389" w:type="pct"/>
          <w:tcBorders>
            <w:top w:val="nil"/>
            <w:left w:val="nil"/>
            <w:bottom w:val="single" w:sz="4" w:space="0" w:color="4F81BD"/>
            <w:right w:val="nil"/>
          </w:tcBorders>
        </w:tcPr>
        <w:p w:rsidR="001D6CB9" w:rsidRPr="00A06225" w:rsidRDefault="001D6CB9">
          <w:pPr>
            <w:pStyle w:val="Header"/>
            <w:spacing w:line="276" w:lineRule="auto"/>
            <w:rPr>
              <w:rFonts w:ascii="Cambria" w:eastAsia="MS Gothic" w:hAnsi="Cambria"/>
              <w:b/>
              <w:bCs/>
              <w:color w:val="4F81BD"/>
            </w:rPr>
          </w:pPr>
        </w:p>
      </w:tc>
      <w:tc>
        <w:tcPr>
          <w:tcW w:w="333" w:type="pct"/>
          <w:vMerge w:val="restart"/>
          <w:noWrap/>
          <w:vAlign w:val="center"/>
          <w:hideMark/>
        </w:tcPr>
        <w:p w:rsidR="001D6CB9" w:rsidRPr="00A06225" w:rsidRDefault="001D6CB9" w:rsidP="00737C26">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1D6CB9" w:rsidRPr="00A06225" w:rsidRDefault="001D6CB9">
          <w:pPr>
            <w:pStyle w:val="Header"/>
            <w:spacing w:line="276" w:lineRule="auto"/>
            <w:rPr>
              <w:rFonts w:ascii="Cambria" w:eastAsia="MS Gothic" w:hAnsi="Cambria"/>
              <w:b/>
              <w:bCs/>
              <w:color w:val="4F81BD"/>
            </w:rPr>
          </w:pPr>
        </w:p>
      </w:tc>
    </w:tr>
    <w:tr w:rsidR="001D6CB9" w:rsidRPr="008E0D90" w:rsidTr="00737C26">
      <w:trPr>
        <w:trHeight w:val="150"/>
      </w:trPr>
      <w:tc>
        <w:tcPr>
          <w:tcW w:w="2389" w:type="pct"/>
          <w:tcBorders>
            <w:top w:val="single" w:sz="4" w:space="0" w:color="4F81BD"/>
            <w:left w:val="nil"/>
            <w:bottom w:val="nil"/>
            <w:right w:val="nil"/>
          </w:tcBorders>
        </w:tcPr>
        <w:p w:rsidR="001D6CB9" w:rsidRPr="00A06225" w:rsidRDefault="001D6CB9">
          <w:pPr>
            <w:pStyle w:val="Header"/>
            <w:spacing w:line="276" w:lineRule="auto"/>
            <w:rPr>
              <w:rFonts w:ascii="Cambria" w:eastAsia="MS Gothic" w:hAnsi="Cambria"/>
              <w:b/>
              <w:bCs/>
              <w:color w:val="4F81BD"/>
            </w:rPr>
          </w:pPr>
        </w:p>
      </w:tc>
      <w:tc>
        <w:tcPr>
          <w:tcW w:w="0" w:type="auto"/>
          <w:vMerge/>
          <w:vAlign w:val="center"/>
          <w:hideMark/>
        </w:tcPr>
        <w:p w:rsidR="001D6CB9" w:rsidRPr="00A06225" w:rsidRDefault="001D6CB9">
          <w:pPr>
            <w:rPr>
              <w:rFonts w:ascii="Cambria" w:hAnsi="Cambria"/>
              <w:color w:val="4F81BD"/>
              <w:sz w:val="22"/>
              <w:szCs w:val="22"/>
            </w:rPr>
          </w:pPr>
        </w:p>
      </w:tc>
      <w:tc>
        <w:tcPr>
          <w:tcW w:w="2278" w:type="pct"/>
          <w:tcBorders>
            <w:top w:val="single" w:sz="4" w:space="0" w:color="4F81BD"/>
            <w:left w:val="nil"/>
            <w:bottom w:val="nil"/>
            <w:right w:val="nil"/>
          </w:tcBorders>
        </w:tcPr>
        <w:p w:rsidR="001D6CB9" w:rsidRPr="00A06225" w:rsidRDefault="001D6CB9">
          <w:pPr>
            <w:pStyle w:val="Header"/>
            <w:spacing w:line="276" w:lineRule="auto"/>
            <w:rPr>
              <w:rFonts w:ascii="Cambria" w:eastAsia="MS Gothic" w:hAnsi="Cambria"/>
              <w:b/>
              <w:bCs/>
              <w:color w:val="4F81BD"/>
            </w:rPr>
          </w:pPr>
        </w:p>
      </w:tc>
    </w:tr>
  </w:tbl>
  <w:p w:rsidR="001D6CB9" w:rsidRDefault="001D6CB9">
    <w:pPr>
      <w:pStyle w:val="Header"/>
    </w:pPr>
  </w:p>
  <w:p w:rsidR="001D6CB9" w:rsidRDefault="001D6C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B9" w:rsidRPr="00150152" w:rsidRDefault="001D6CB9" w:rsidP="009F31F6">
    <w:pPr>
      <w:pStyle w:val="Header"/>
      <w:ind w:left="360"/>
      <w:jc w:val="center"/>
      <w:rPr>
        <w:rFonts w:ascii="Arial" w:hAnsi="Arial" w:cs="Arial"/>
        <w:i/>
        <w:color w:val="808080"/>
        <w:sz w:val="22"/>
      </w:rPr>
    </w:pPr>
    <w:r>
      <w:rPr>
        <w:rFonts w:ascii="Arial" w:hAnsi="Arial" w:cs="Arial"/>
        <w:i/>
        <w:color w:val="808080"/>
        <w:sz w:val="22"/>
      </w:rPr>
      <w:t>Public Summary Document –</w:t>
    </w:r>
    <w:r w:rsidRPr="00DF217D">
      <w:rPr>
        <w:rFonts w:ascii="Arial" w:hAnsi="Arial" w:cs="Arial"/>
        <w:i/>
        <w:color w:val="808080"/>
        <w:sz w:val="22"/>
      </w:rPr>
      <w:t xml:space="preserve"> </w:t>
    </w:r>
    <w:r>
      <w:rPr>
        <w:rFonts w:ascii="Arial" w:hAnsi="Arial" w:cs="Arial"/>
        <w:i/>
        <w:color w:val="808080"/>
        <w:sz w:val="22"/>
      </w:rPr>
      <w:t xml:space="preserve">March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1D6CB9" w:rsidRDefault="001D6CB9" w:rsidP="00737C2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C8002E"/>
    <w:multiLevelType w:val="hybridMultilevel"/>
    <w:tmpl w:val="3990B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37D5C32"/>
    <w:multiLevelType w:val="hybridMultilevel"/>
    <w:tmpl w:val="8D0EEB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4D033C"/>
    <w:multiLevelType w:val="multilevel"/>
    <w:tmpl w:val="69960D94"/>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4"/>
  </w:num>
  <w:num w:numId="4">
    <w:abstractNumId w:val="14"/>
  </w:num>
  <w:num w:numId="5">
    <w:abstractNumId w:val="16"/>
  </w:num>
  <w:num w:numId="6">
    <w:abstractNumId w:val="7"/>
  </w:num>
  <w:num w:numId="7">
    <w:abstractNumId w:val="13"/>
  </w:num>
  <w:num w:numId="8">
    <w:abstractNumId w:val="2"/>
  </w:num>
  <w:num w:numId="9">
    <w:abstractNumId w:val="12"/>
  </w:num>
  <w:num w:numId="10">
    <w:abstractNumId w:val="11"/>
  </w:num>
  <w:num w:numId="11">
    <w:abstractNumId w:val="10"/>
  </w:num>
  <w:num w:numId="12">
    <w:abstractNumId w:val="15"/>
  </w:num>
  <w:num w:numId="13">
    <w:abstractNumId w:val="3"/>
  </w:num>
  <w:num w:numId="14">
    <w:abstractNumId w:val="0"/>
  </w:num>
  <w:num w:numId="15">
    <w:abstractNumId w:val="9"/>
  </w:num>
  <w:num w:numId="16">
    <w:abstractNumId w:val="5"/>
  </w:num>
  <w:num w:numId="17">
    <w:abstractNumId w:val="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1A"/>
    <w:rsid w:val="00003743"/>
    <w:rsid w:val="00032E50"/>
    <w:rsid w:val="0005235B"/>
    <w:rsid w:val="00067456"/>
    <w:rsid w:val="000B051D"/>
    <w:rsid w:val="000B5EF4"/>
    <w:rsid w:val="000B78AB"/>
    <w:rsid w:val="000D4FB1"/>
    <w:rsid w:val="000E2111"/>
    <w:rsid w:val="001079A1"/>
    <w:rsid w:val="0011384D"/>
    <w:rsid w:val="00116E28"/>
    <w:rsid w:val="00120FB3"/>
    <w:rsid w:val="00141D1A"/>
    <w:rsid w:val="00144EA3"/>
    <w:rsid w:val="001A547A"/>
    <w:rsid w:val="001B3443"/>
    <w:rsid w:val="001D1930"/>
    <w:rsid w:val="001D6207"/>
    <w:rsid w:val="001D6CB9"/>
    <w:rsid w:val="001E16BF"/>
    <w:rsid w:val="001E546D"/>
    <w:rsid w:val="001F2493"/>
    <w:rsid w:val="00202DB1"/>
    <w:rsid w:val="002233BD"/>
    <w:rsid w:val="00242EF3"/>
    <w:rsid w:val="00262262"/>
    <w:rsid w:val="00270CD1"/>
    <w:rsid w:val="00277A09"/>
    <w:rsid w:val="00282FAA"/>
    <w:rsid w:val="002A514B"/>
    <w:rsid w:val="002B0EF9"/>
    <w:rsid w:val="002C115C"/>
    <w:rsid w:val="002C2C04"/>
    <w:rsid w:val="002C6295"/>
    <w:rsid w:val="002D4389"/>
    <w:rsid w:val="0030786C"/>
    <w:rsid w:val="00347D41"/>
    <w:rsid w:val="00353779"/>
    <w:rsid w:val="003849FF"/>
    <w:rsid w:val="003B4704"/>
    <w:rsid w:val="003D17F9"/>
    <w:rsid w:val="003E03E2"/>
    <w:rsid w:val="003F1BF4"/>
    <w:rsid w:val="00404E6B"/>
    <w:rsid w:val="00416B0D"/>
    <w:rsid w:val="00485522"/>
    <w:rsid w:val="004867E2"/>
    <w:rsid w:val="004876F8"/>
    <w:rsid w:val="004939A0"/>
    <w:rsid w:val="004C4A9C"/>
    <w:rsid w:val="004F2E86"/>
    <w:rsid w:val="004F3FA7"/>
    <w:rsid w:val="00500294"/>
    <w:rsid w:val="00511E90"/>
    <w:rsid w:val="00514E15"/>
    <w:rsid w:val="005421BC"/>
    <w:rsid w:val="00556CFE"/>
    <w:rsid w:val="005D18A6"/>
    <w:rsid w:val="005E6D10"/>
    <w:rsid w:val="005E7729"/>
    <w:rsid w:val="005F00A7"/>
    <w:rsid w:val="00651C73"/>
    <w:rsid w:val="006712E6"/>
    <w:rsid w:val="00671307"/>
    <w:rsid w:val="006778CB"/>
    <w:rsid w:val="006824FA"/>
    <w:rsid w:val="00684208"/>
    <w:rsid w:val="00692ACA"/>
    <w:rsid w:val="00696508"/>
    <w:rsid w:val="006C3022"/>
    <w:rsid w:val="006E3E7D"/>
    <w:rsid w:val="006F04FF"/>
    <w:rsid w:val="006F1977"/>
    <w:rsid w:val="0070062C"/>
    <w:rsid w:val="00725F0A"/>
    <w:rsid w:val="00730B4C"/>
    <w:rsid w:val="00737C26"/>
    <w:rsid w:val="0074571F"/>
    <w:rsid w:val="0075090E"/>
    <w:rsid w:val="0076672A"/>
    <w:rsid w:val="007B7486"/>
    <w:rsid w:val="007C4B4B"/>
    <w:rsid w:val="007D04D3"/>
    <w:rsid w:val="007F016D"/>
    <w:rsid w:val="00813E64"/>
    <w:rsid w:val="008264EB"/>
    <w:rsid w:val="0083076D"/>
    <w:rsid w:val="00844E2F"/>
    <w:rsid w:val="00852CA5"/>
    <w:rsid w:val="008636B2"/>
    <w:rsid w:val="00874C93"/>
    <w:rsid w:val="0089346B"/>
    <w:rsid w:val="008950D5"/>
    <w:rsid w:val="008B69A6"/>
    <w:rsid w:val="008C54F0"/>
    <w:rsid w:val="0090716A"/>
    <w:rsid w:val="00912AB4"/>
    <w:rsid w:val="009225C0"/>
    <w:rsid w:val="00943A43"/>
    <w:rsid w:val="00973AF8"/>
    <w:rsid w:val="0098541B"/>
    <w:rsid w:val="00997DE7"/>
    <w:rsid w:val="009A648E"/>
    <w:rsid w:val="009D08FF"/>
    <w:rsid w:val="009E3A84"/>
    <w:rsid w:val="009F31F6"/>
    <w:rsid w:val="00A255BB"/>
    <w:rsid w:val="00A4512D"/>
    <w:rsid w:val="00A705AF"/>
    <w:rsid w:val="00A819A4"/>
    <w:rsid w:val="00A91823"/>
    <w:rsid w:val="00A979D6"/>
    <w:rsid w:val="00AB51DF"/>
    <w:rsid w:val="00AB6964"/>
    <w:rsid w:val="00AD2A07"/>
    <w:rsid w:val="00AE17B8"/>
    <w:rsid w:val="00B14FDF"/>
    <w:rsid w:val="00B177E9"/>
    <w:rsid w:val="00B17C48"/>
    <w:rsid w:val="00B33402"/>
    <w:rsid w:val="00B42851"/>
    <w:rsid w:val="00B618F6"/>
    <w:rsid w:val="00B647DA"/>
    <w:rsid w:val="00B66073"/>
    <w:rsid w:val="00B7016E"/>
    <w:rsid w:val="00B7728C"/>
    <w:rsid w:val="00B80416"/>
    <w:rsid w:val="00B839F9"/>
    <w:rsid w:val="00BB2EF9"/>
    <w:rsid w:val="00BC446E"/>
    <w:rsid w:val="00BF6006"/>
    <w:rsid w:val="00C0013B"/>
    <w:rsid w:val="00C20B25"/>
    <w:rsid w:val="00C45A4A"/>
    <w:rsid w:val="00C80027"/>
    <w:rsid w:val="00C93A86"/>
    <w:rsid w:val="00C97964"/>
    <w:rsid w:val="00CA0E64"/>
    <w:rsid w:val="00CB5B1A"/>
    <w:rsid w:val="00CC0E6C"/>
    <w:rsid w:val="00CC51BF"/>
    <w:rsid w:val="00CD5A17"/>
    <w:rsid w:val="00CD76A4"/>
    <w:rsid w:val="00CE6AD7"/>
    <w:rsid w:val="00D30DB1"/>
    <w:rsid w:val="00D63EAE"/>
    <w:rsid w:val="00D64E1F"/>
    <w:rsid w:val="00DB3225"/>
    <w:rsid w:val="00DC36AB"/>
    <w:rsid w:val="00DE5B67"/>
    <w:rsid w:val="00DF280B"/>
    <w:rsid w:val="00E0039F"/>
    <w:rsid w:val="00E81B58"/>
    <w:rsid w:val="00EB330C"/>
    <w:rsid w:val="00EE3C01"/>
    <w:rsid w:val="00EE6EE0"/>
    <w:rsid w:val="00EE6EF4"/>
    <w:rsid w:val="00EF080A"/>
    <w:rsid w:val="00EF1AA6"/>
    <w:rsid w:val="00F16F61"/>
    <w:rsid w:val="00F36FB4"/>
    <w:rsid w:val="00F636C9"/>
    <w:rsid w:val="00F82B07"/>
    <w:rsid w:val="00F87F89"/>
    <w:rsid w:val="00F9511F"/>
    <w:rsid w:val="00FD0A28"/>
    <w:rsid w:val="00FD53F0"/>
    <w:rsid w:val="00FF5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D1A"/>
    <w:rPr>
      <w:sz w:val="24"/>
      <w:szCs w:val="24"/>
    </w:rPr>
  </w:style>
  <w:style w:type="paragraph" w:styleId="Heading1">
    <w:name w:val="heading 1"/>
    <w:basedOn w:val="ListParagraph"/>
    <w:next w:val="Normal"/>
    <w:qFormat/>
    <w:rsid w:val="00CD5A17"/>
    <w:pPr>
      <w:numPr>
        <w:numId w:val="5"/>
      </w:numPr>
      <w:jc w:val="both"/>
      <w:outlineLvl w:val="0"/>
    </w:pPr>
    <w:rPr>
      <w:rFonts w:ascii="Arial" w:hAnsi="Arial"/>
      <w:b/>
      <w:sz w:val="22"/>
      <w:szCs w:val="22"/>
    </w:rPr>
  </w:style>
  <w:style w:type="paragraph" w:styleId="Heading2">
    <w:name w:val="heading 2"/>
    <w:basedOn w:val="Normal"/>
    <w:next w:val="Normal"/>
    <w:qFormat/>
    <w:rsid w:val="009F31F6"/>
    <w:pPr>
      <w:jc w:val="both"/>
      <w:outlineLvl w:val="1"/>
    </w:pPr>
    <w:rPr>
      <w:rFonts w:ascii="Arial" w:hAnsi="Arial"/>
      <w:b/>
      <w:i/>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CD5A17"/>
    <w:pPr>
      <w:ind w:left="720" w:hanging="720"/>
      <w:outlineLvl w:val="0"/>
    </w:pPr>
    <w:rPr>
      <w:rFonts w:ascii="Arial" w:hAnsi="Arial"/>
      <w:b/>
      <w:sz w:val="28"/>
      <w:szCs w:val="28"/>
    </w:rPr>
  </w:style>
  <w:style w:type="character" w:customStyle="1" w:styleId="TitleChar">
    <w:name w:val="Title Char"/>
    <w:basedOn w:val="DefaultParagraphFont"/>
    <w:link w:val="Title"/>
    <w:rsid w:val="00CD5A17"/>
    <w:rPr>
      <w:rFonts w:ascii="Arial" w:hAnsi="Arial"/>
      <w:b/>
      <w:sz w:val="28"/>
      <w:szCs w:val="28"/>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141D1A"/>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141D1A"/>
    <w:rPr>
      <w:sz w:val="24"/>
      <w:szCs w:val="24"/>
    </w:rPr>
  </w:style>
  <w:style w:type="paragraph" w:styleId="Footer">
    <w:name w:val="footer"/>
    <w:basedOn w:val="Normal"/>
    <w:link w:val="FooterChar"/>
    <w:uiPriority w:val="99"/>
    <w:rsid w:val="00141D1A"/>
    <w:pPr>
      <w:tabs>
        <w:tab w:val="center" w:pos="4153"/>
        <w:tab w:val="right" w:pos="8306"/>
      </w:tabs>
    </w:pPr>
  </w:style>
  <w:style w:type="character" w:customStyle="1" w:styleId="FooterChar">
    <w:name w:val="Footer Char"/>
    <w:basedOn w:val="DefaultParagraphFont"/>
    <w:link w:val="Footer"/>
    <w:uiPriority w:val="99"/>
    <w:rsid w:val="00141D1A"/>
    <w:rPr>
      <w:sz w:val="24"/>
      <w:szCs w:val="24"/>
    </w:rPr>
  </w:style>
  <w:style w:type="character" w:styleId="PageNumber">
    <w:name w:val="page number"/>
    <w:basedOn w:val="DefaultParagraphFont"/>
    <w:rsid w:val="00141D1A"/>
  </w:style>
  <w:style w:type="paragraph" w:customStyle="1" w:styleId="MediumGrid21">
    <w:name w:val="Medium Grid 21"/>
    <w:link w:val="MediumGrid2Char"/>
    <w:qFormat/>
    <w:rsid w:val="00141D1A"/>
    <w:rPr>
      <w:rFonts w:ascii="PMingLiU" w:eastAsia="MS Mincho" w:hAnsi="PMingLiU"/>
      <w:sz w:val="22"/>
      <w:szCs w:val="22"/>
      <w:lang w:val="en-US" w:eastAsia="en-US"/>
    </w:rPr>
  </w:style>
  <w:style w:type="character" w:customStyle="1" w:styleId="MediumGrid2Char">
    <w:name w:val="Medium Grid 2 Char"/>
    <w:link w:val="MediumGrid21"/>
    <w:rsid w:val="00141D1A"/>
    <w:rPr>
      <w:rFonts w:ascii="PMingLiU" w:eastAsia="MS Mincho" w:hAnsi="PMingLiU"/>
      <w:sz w:val="22"/>
      <w:szCs w:val="22"/>
      <w:lang w:val="en-US" w:eastAsia="en-US"/>
    </w:rPr>
  </w:style>
  <w:style w:type="character" w:styleId="CommentReference">
    <w:name w:val="annotation reference"/>
    <w:aliases w:val="Table Title"/>
    <w:basedOn w:val="DefaultParagraphFont"/>
    <w:qFormat/>
    <w:rsid w:val="00141D1A"/>
    <w:rPr>
      <w:sz w:val="16"/>
      <w:szCs w:val="16"/>
    </w:rPr>
  </w:style>
  <w:style w:type="paragraph" w:styleId="CommentText">
    <w:name w:val="annotation text"/>
    <w:basedOn w:val="Normal"/>
    <w:link w:val="CommentTextChar"/>
    <w:rsid w:val="00141D1A"/>
    <w:rPr>
      <w:sz w:val="20"/>
      <w:szCs w:val="20"/>
    </w:rPr>
  </w:style>
  <w:style w:type="character" w:customStyle="1" w:styleId="CommentTextChar">
    <w:name w:val="Comment Text Char"/>
    <w:basedOn w:val="DefaultParagraphFont"/>
    <w:link w:val="CommentText"/>
    <w:rsid w:val="00141D1A"/>
  </w:style>
  <w:style w:type="paragraph" w:customStyle="1" w:styleId="tablenotes">
    <w:name w:val="table notes"/>
    <w:basedOn w:val="BodyText2"/>
    <w:qFormat/>
    <w:rsid w:val="00141D1A"/>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141D1A"/>
    <w:rPr>
      <w:color w:val="0000FF"/>
      <w:u w:val="single"/>
    </w:rPr>
  </w:style>
  <w:style w:type="paragraph" w:styleId="BodyText2">
    <w:name w:val="Body Text 2"/>
    <w:basedOn w:val="Normal"/>
    <w:link w:val="BodyText2Char"/>
    <w:rsid w:val="00141D1A"/>
    <w:pPr>
      <w:spacing w:after="120" w:line="480" w:lineRule="auto"/>
    </w:pPr>
  </w:style>
  <w:style w:type="character" w:customStyle="1" w:styleId="BodyText2Char">
    <w:name w:val="Body Text 2 Char"/>
    <w:basedOn w:val="DefaultParagraphFont"/>
    <w:link w:val="BodyText2"/>
    <w:rsid w:val="00141D1A"/>
    <w:rPr>
      <w:sz w:val="24"/>
      <w:szCs w:val="24"/>
    </w:rPr>
  </w:style>
  <w:style w:type="paragraph" w:styleId="BalloonText">
    <w:name w:val="Balloon Text"/>
    <w:basedOn w:val="Normal"/>
    <w:link w:val="BalloonTextChar"/>
    <w:rsid w:val="00141D1A"/>
    <w:rPr>
      <w:rFonts w:ascii="Tahoma" w:hAnsi="Tahoma" w:cs="Tahoma"/>
      <w:sz w:val="16"/>
      <w:szCs w:val="16"/>
    </w:rPr>
  </w:style>
  <w:style w:type="character" w:customStyle="1" w:styleId="BalloonTextChar">
    <w:name w:val="Balloon Text Char"/>
    <w:basedOn w:val="DefaultParagraphFont"/>
    <w:link w:val="BalloonText"/>
    <w:rsid w:val="00141D1A"/>
    <w:rPr>
      <w:rFonts w:ascii="Tahoma" w:hAnsi="Tahoma" w:cs="Tahoma"/>
      <w:sz w:val="16"/>
      <w:szCs w:val="16"/>
    </w:rPr>
  </w:style>
  <w:style w:type="paragraph" w:customStyle="1" w:styleId="KMC-Tablecontent">
    <w:name w:val="KMC-Table content"/>
    <w:basedOn w:val="Normal"/>
    <w:link w:val="KMC-TablecontentChar"/>
    <w:qFormat/>
    <w:rsid w:val="00E81B58"/>
    <w:pPr>
      <w:spacing w:before="40" w:after="40"/>
    </w:pPr>
    <w:rPr>
      <w:rFonts w:ascii="Arial Narrow" w:hAnsi="Arial Narrow"/>
      <w:color w:val="000000"/>
      <w:sz w:val="22"/>
      <w:szCs w:val="20"/>
    </w:rPr>
  </w:style>
  <w:style w:type="character" w:customStyle="1" w:styleId="KMC-TablecontentChar">
    <w:name w:val="KMC-Table content Char"/>
    <w:basedOn w:val="DefaultParagraphFont"/>
    <w:link w:val="KMC-Tablecontent"/>
    <w:rsid w:val="00E81B58"/>
    <w:rPr>
      <w:rFonts w:ascii="Arial Narrow" w:hAnsi="Arial Narrow"/>
      <w:color w:val="000000"/>
      <w:sz w:val="22"/>
    </w:rPr>
  </w:style>
  <w:style w:type="paragraph" w:customStyle="1" w:styleId="PBACHeading1">
    <w:name w:val="PBAC Heading 1"/>
    <w:qFormat/>
    <w:rsid w:val="00AB51DF"/>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AB51DF"/>
    <w:rPr>
      <w:sz w:val="24"/>
      <w:szCs w:val="24"/>
    </w:rPr>
  </w:style>
  <w:style w:type="paragraph" w:customStyle="1" w:styleId="KMC-Caption">
    <w:name w:val="KMC-Caption"/>
    <w:basedOn w:val="Caption"/>
    <w:link w:val="KMC-CaptionChar"/>
    <w:qFormat/>
    <w:rsid w:val="00D30DB1"/>
    <w:pPr>
      <w:keepNext/>
      <w:tabs>
        <w:tab w:val="left" w:pos="567"/>
      </w:tabs>
      <w:spacing w:before="240" w:after="120" w:line="276" w:lineRule="auto"/>
      <w:ind w:left="794" w:hanging="794"/>
      <w:contextualSpacing/>
    </w:pPr>
    <w:rPr>
      <w:rFonts w:ascii="Arial" w:hAnsi="Arial"/>
      <w:bCs w:val="0"/>
      <w:color w:val="000000"/>
      <w:sz w:val="20"/>
      <w:szCs w:val="20"/>
    </w:rPr>
  </w:style>
  <w:style w:type="character" w:customStyle="1" w:styleId="KMC-CaptionChar">
    <w:name w:val="KMC-Caption Char"/>
    <w:basedOn w:val="DefaultParagraphFont"/>
    <w:link w:val="KMC-Caption"/>
    <w:rsid w:val="00D30DB1"/>
    <w:rPr>
      <w:rFonts w:ascii="Arial" w:hAnsi="Arial"/>
      <w:b/>
      <w:color w:val="000000"/>
    </w:rPr>
  </w:style>
  <w:style w:type="paragraph" w:styleId="Caption">
    <w:name w:val="caption"/>
    <w:basedOn w:val="Normal"/>
    <w:next w:val="Normal"/>
    <w:semiHidden/>
    <w:unhideWhenUsed/>
    <w:qFormat/>
    <w:rsid w:val="00D30DB1"/>
    <w:pPr>
      <w:spacing w:after="200"/>
    </w:pPr>
    <w:rPr>
      <w:b/>
      <w:bCs/>
      <w:color w:val="4F81BD" w:themeColor="accent1"/>
      <w:sz w:val="18"/>
      <w:szCs w:val="18"/>
    </w:rPr>
  </w:style>
  <w:style w:type="table" w:styleId="TableGrid">
    <w:name w:val="Table Grid"/>
    <w:basedOn w:val="TableNormal"/>
    <w:uiPriority w:val="39"/>
    <w:rsid w:val="00B8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70CD1"/>
    <w:rPr>
      <w:b/>
      <w:bCs/>
    </w:rPr>
  </w:style>
  <w:style w:type="character" w:customStyle="1" w:styleId="CommentSubjectChar">
    <w:name w:val="Comment Subject Char"/>
    <w:basedOn w:val="CommentTextChar"/>
    <w:link w:val="CommentSubject"/>
    <w:rsid w:val="00270CD1"/>
    <w:rPr>
      <w:b/>
      <w:bCs/>
    </w:rPr>
  </w:style>
  <w:style w:type="paragraph" w:styleId="FootnoteText">
    <w:name w:val="footnote text"/>
    <w:basedOn w:val="Normal"/>
    <w:link w:val="FootnoteTextChar"/>
    <w:rsid w:val="00CE6AD7"/>
    <w:rPr>
      <w:sz w:val="20"/>
      <w:szCs w:val="20"/>
    </w:rPr>
  </w:style>
  <w:style w:type="character" w:customStyle="1" w:styleId="FootnoteTextChar">
    <w:name w:val="Footnote Text Char"/>
    <w:basedOn w:val="DefaultParagraphFont"/>
    <w:link w:val="FootnoteText"/>
    <w:rsid w:val="00CE6AD7"/>
  </w:style>
  <w:style w:type="paragraph" w:customStyle="1" w:styleId="PBSNormal">
    <w:name w:val="PBS Normal"/>
    <w:basedOn w:val="Normal"/>
    <w:link w:val="PBSNormalChar1"/>
    <w:rsid w:val="00CE6AD7"/>
    <w:pPr>
      <w:spacing w:before="120" w:after="120" w:line="360" w:lineRule="auto"/>
      <w:jc w:val="both"/>
    </w:pPr>
    <w:rPr>
      <w:rFonts w:ascii="Arial" w:hAnsi="Arial"/>
      <w:color w:val="000000"/>
      <w:sz w:val="22"/>
      <w:szCs w:val="20"/>
    </w:rPr>
  </w:style>
  <w:style w:type="character" w:customStyle="1" w:styleId="PBSNormalChar1">
    <w:name w:val="PBS Normal Char1"/>
    <w:basedOn w:val="DefaultParagraphFont"/>
    <w:link w:val="PBSNormal"/>
    <w:rsid w:val="00CE6AD7"/>
    <w:rPr>
      <w:rFonts w:ascii="Arial" w:hAnsi="Arial"/>
      <w:color w:val="000000"/>
      <w:sz w:val="22"/>
    </w:rPr>
  </w:style>
  <w:style w:type="table" w:customStyle="1" w:styleId="TableGrid1">
    <w:name w:val="Table Grid1"/>
    <w:basedOn w:val="TableNormal"/>
    <w:next w:val="TableGrid"/>
    <w:uiPriority w:val="39"/>
    <w:rsid w:val="00CE6AD7"/>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CE6AD7"/>
    <w:rPr>
      <w:vertAlign w:val="superscript"/>
    </w:rPr>
  </w:style>
  <w:style w:type="paragraph" w:styleId="Revision">
    <w:name w:val="Revision"/>
    <w:hidden/>
    <w:uiPriority w:val="99"/>
    <w:semiHidden/>
    <w:rsid w:val="009A64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annotation reference"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D1A"/>
    <w:rPr>
      <w:sz w:val="24"/>
      <w:szCs w:val="24"/>
    </w:rPr>
  </w:style>
  <w:style w:type="paragraph" w:styleId="Heading1">
    <w:name w:val="heading 1"/>
    <w:basedOn w:val="ListParagraph"/>
    <w:next w:val="Normal"/>
    <w:qFormat/>
    <w:rsid w:val="00CD5A17"/>
    <w:pPr>
      <w:numPr>
        <w:numId w:val="5"/>
      </w:numPr>
      <w:jc w:val="both"/>
      <w:outlineLvl w:val="0"/>
    </w:pPr>
    <w:rPr>
      <w:rFonts w:ascii="Arial" w:hAnsi="Arial"/>
      <w:b/>
      <w:sz w:val="22"/>
      <w:szCs w:val="22"/>
    </w:rPr>
  </w:style>
  <w:style w:type="paragraph" w:styleId="Heading2">
    <w:name w:val="heading 2"/>
    <w:basedOn w:val="Normal"/>
    <w:next w:val="Normal"/>
    <w:qFormat/>
    <w:rsid w:val="009F31F6"/>
    <w:pPr>
      <w:jc w:val="both"/>
      <w:outlineLvl w:val="1"/>
    </w:pPr>
    <w:rPr>
      <w:rFonts w:ascii="Arial" w:hAnsi="Arial"/>
      <w:b/>
      <w:i/>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CD5A17"/>
    <w:pPr>
      <w:ind w:left="720" w:hanging="720"/>
      <w:outlineLvl w:val="0"/>
    </w:pPr>
    <w:rPr>
      <w:rFonts w:ascii="Arial" w:hAnsi="Arial"/>
      <w:b/>
      <w:sz w:val="28"/>
      <w:szCs w:val="28"/>
    </w:rPr>
  </w:style>
  <w:style w:type="character" w:customStyle="1" w:styleId="TitleChar">
    <w:name w:val="Title Char"/>
    <w:basedOn w:val="DefaultParagraphFont"/>
    <w:link w:val="Title"/>
    <w:rsid w:val="00CD5A17"/>
    <w:rPr>
      <w:rFonts w:ascii="Arial" w:hAnsi="Arial"/>
      <w:b/>
      <w:sz w:val="28"/>
      <w:szCs w:val="28"/>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141D1A"/>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141D1A"/>
    <w:rPr>
      <w:sz w:val="24"/>
      <w:szCs w:val="24"/>
    </w:rPr>
  </w:style>
  <w:style w:type="paragraph" w:styleId="Footer">
    <w:name w:val="footer"/>
    <w:basedOn w:val="Normal"/>
    <w:link w:val="FooterChar"/>
    <w:uiPriority w:val="99"/>
    <w:rsid w:val="00141D1A"/>
    <w:pPr>
      <w:tabs>
        <w:tab w:val="center" w:pos="4153"/>
        <w:tab w:val="right" w:pos="8306"/>
      </w:tabs>
    </w:pPr>
  </w:style>
  <w:style w:type="character" w:customStyle="1" w:styleId="FooterChar">
    <w:name w:val="Footer Char"/>
    <w:basedOn w:val="DefaultParagraphFont"/>
    <w:link w:val="Footer"/>
    <w:uiPriority w:val="99"/>
    <w:rsid w:val="00141D1A"/>
    <w:rPr>
      <w:sz w:val="24"/>
      <w:szCs w:val="24"/>
    </w:rPr>
  </w:style>
  <w:style w:type="character" w:styleId="PageNumber">
    <w:name w:val="page number"/>
    <w:basedOn w:val="DefaultParagraphFont"/>
    <w:rsid w:val="00141D1A"/>
  </w:style>
  <w:style w:type="paragraph" w:customStyle="1" w:styleId="MediumGrid21">
    <w:name w:val="Medium Grid 21"/>
    <w:link w:val="MediumGrid2Char"/>
    <w:qFormat/>
    <w:rsid w:val="00141D1A"/>
    <w:rPr>
      <w:rFonts w:ascii="PMingLiU" w:eastAsia="MS Mincho" w:hAnsi="PMingLiU"/>
      <w:sz w:val="22"/>
      <w:szCs w:val="22"/>
      <w:lang w:val="en-US" w:eastAsia="en-US"/>
    </w:rPr>
  </w:style>
  <w:style w:type="character" w:customStyle="1" w:styleId="MediumGrid2Char">
    <w:name w:val="Medium Grid 2 Char"/>
    <w:link w:val="MediumGrid21"/>
    <w:rsid w:val="00141D1A"/>
    <w:rPr>
      <w:rFonts w:ascii="PMingLiU" w:eastAsia="MS Mincho" w:hAnsi="PMingLiU"/>
      <w:sz w:val="22"/>
      <w:szCs w:val="22"/>
      <w:lang w:val="en-US" w:eastAsia="en-US"/>
    </w:rPr>
  </w:style>
  <w:style w:type="character" w:styleId="CommentReference">
    <w:name w:val="annotation reference"/>
    <w:aliases w:val="Table Title"/>
    <w:basedOn w:val="DefaultParagraphFont"/>
    <w:qFormat/>
    <w:rsid w:val="00141D1A"/>
    <w:rPr>
      <w:sz w:val="16"/>
      <w:szCs w:val="16"/>
    </w:rPr>
  </w:style>
  <w:style w:type="paragraph" w:styleId="CommentText">
    <w:name w:val="annotation text"/>
    <w:basedOn w:val="Normal"/>
    <w:link w:val="CommentTextChar"/>
    <w:rsid w:val="00141D1A"/>
    <w:rPr>
      <w:sz w:val="20"/>
      <w:szCs w:val="20"/>
    </w:rPr>
  </w:style>
  <w:style w:type="character" w:customStyle="1" w:styleId="CommentTextChar">
    <w:name w:val="Comment Text Char"/>
    <w:basedOn w:val="DefaultParagraphFont"/>
    <w:link w:val="CommentText"/>
    <w:rsid w:val="00141D1A"/>
  </w:style>
  <w:style w:type="paragraph" w:customStyle="1" w:styleId="tablenotes">
    <w:name w:val="table notes"/>
    <w:basedOn w:val="BodyText2"/>
    <w:qFormat/>
    <w:rsid w:val="00141D1A"/>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141D1A"/>
    <w:rPr>
      <w:color w:val="0000FF"/>
      <w:u w:val="single"/>
    </w:rPr>
  </w:style>
  <w:style w:type="paragraph" w:styleId="BodyText2">
    <w:name w:val="Body Text 2"/>
    <w:basedOn w:val="Normal"/>
    <w:link w:val="BodyText2Char"/>
    <w:rsid w:val="00141D1A"/>
    <w:pPr>
      <w:spacing w:after="120" w:line="480" w:lineRule="auto"/>
    </w:pPr>
  </w:style>
  <w:style w:type="character" w:customStyle="1" w:styleId="BodyText2Char">
    <w:name w:val="Body Text 2 Char"/>
    <w:basedOn w:val="DefaultParagraphFont"/>
    <w:link w:val="BodyText2"/>
    <w:rsid w:val="00141D1A"/>
    <w:rPr>
      <w:sz w:val="24"/>
      <w:szCs w:val="24"/>
    </w:rPr>
  </w:style>
  <w:style w:type="paragraph" w:styleId="BalloonText">
    <w:name w:val="Balloon Text"/>
    <w:basedOn w:val="Normal"/>
    <w:link w:val="BalloonTextChar"/>
    <w:rsid w:val="00141D1A"/>
    <w:rPr>
      <w:rFonts w:ascii="Tahoma" w:hAnsi="Tahoma" w:cs="Tahoma"/>
      <w:sz w:val="16"/>
      <w:szCs w:val="16"/>
    </w:rPr>
  </w:style>
  <w:style w:type="character" w:customStyle="1" w:styleId="BalloonTextChar">
    <w:name w:val="Balloon Text Char"/>
    <w:basedOn w:val="DefaultParagraphFont"/>
    <w:link w:val="BalloonText"/>
    <w:rsid w:val="00141D1A"/>
    <w:rPr>
      <w:rFonts w:ascii="Tahoma" w:hAnsi="Tahoma" w:cs="Tahoma"/>
      <w:sz w:val="16"/>
      <w:szCs w:val="16"/>
    </w:rPr>
  </w:style>
  <w:style w:type="paragraph" w:customStyle="1" w:styleId="KMC-Tablecontent">
    <w:name w:val="KMC-Table content"/>
    <w:basedOn w:val="Normal"/>
    <w:link w:val="KMC-TablecontentChar"/>
    <w:qFormat/>
    <w:rsid w:val="00E81B58"/>
    <w:pPr>
      <w:spacing w:before="40" w:after="40"/>
    </w:pPr>
    <w:rPr>
      <w:rFonts w:ascii="Arial Narrow" w:hAnsi="Arial Narrow"/>
      <w:color w:val="000000"/>
      <w:sz w:val="22"/>
      <w:szCs w:val="20"/>
    </w:rPr>
  </w:style>
  <w:style w:type="character" w:customStyle="1" w:styleId="KMC-TablecontentChar">
    <w:name w:val="KMC-Table content Char"/>
    <w:basedOn w:val="DefaultParagraphFont"/>
    <w:link w:val="KMC-Tablecontent"/>
    <w:rsid w:val="00E81B58"/>
    <w:rPr>
      <w:rFonts w:ascii="Arial Narrow" w:hAnsi="Arial Narrow"/>
      <w:color w:val="000000"/>
      <w:sz w:val="22"/>
    </w:rPr>
  </w:style>
  <w:style w:type="paragraph" w:customStyle="1" w:styleId="PBACHeading1">
    <w:name w:val="PBAC Heading 1"/>
    <w:qFormat/>
    <w:rsid w:val="00AB51DF"/>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72"/>
    <w:rsid w:val="00AB51DF"/>
    <w:rPr>
      <w:sz w:val="24"/>
      <w:szCs w:val="24"/>
    </w:rPr>
  </w:style>
  <w:style w:type="paragraph" w:customStyle="1" w:styleId="KMC-Caption">
    <w:name w:val="KMC-Caption"/>
    <w:basedOn w:val="Caption"/>
    <w:link w:val="KMC-CaptionChar"/>
    <w:qFormat/>
    <w:rsid w:val="00D30DB1"/>
    <w:pPr>
      <w:keepNext/>
      <w:tabs>
        <w:tab w:val="left" w:pos="567"/>
      </w:tabs>
      <w:spacing w:before="240" w:after="120" w:line="276" w:lineRule="auto"/>
      <w:ind w:left="794" w:hanging="794"/>
      <w:contextualSpacing/>
    </w:pPr>
    <w:rPr>
      <w:rFonts w:ascii="Arial" w:hAnsi="Arial"/>
      <w:bCs w:val="0"/>
      <w:color w:val="000000"/>
      <w:sz w:val="20"/>
      <w:szCs w:val="20"/>
    </w:rPr>
  </w:style>
  <w:style w:type="character" w:customStyle="1" w:styleId="KMC-CaptionChar">
    <w:name w:val="KMC-Caption Char"/>
    <w:basedOn w:val="DefaultParagraphFont"/>
    <w:link w:val="KMC-Caption"/>
    <w:rsid w:val="00D30DB1"/>
    <w:rPr>
      <w:rFonts w:ascii="Arial" w:hAnsi="Arial"/>
      <w:b/>
      <w:color w:val="000000"/>
    </w:rPr>
  </w:style>
  <w:style w:type="paragraph" w:styleId="Caption">
    <w:name w:val="caption"/>
    <w:basedOn w:val="Normal"/>
    <w:next w:val="Normal"/>
    <w:semiHidden/>
    <w:unhideWhenUsed/>
    <w:qFormat/>
    <w:rsid w:val="00D30DB1"/>
    <w:pPr>
      <w:spacing w:after="200"/>
    </w:pPr>
    <w:rPr>
      <w:b/>
      <w:bCs/>
      <w:color w:val="4F81BD" w:themeColor="accent1"/>
      <w:sz w:val="18"/>
      <w:szCs w:val="18"/>
    </w:rPr>
  </w:style>
  <w:style w:type="table" w:styleId="TableGrid">
    <w:name w:val="Table Grid"/>
    <w:basedOn w:val="TableNormal"/>
    <w:uiPriority w:val="39"/>
    <w:rsid w:val="00B8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70CD1"/>
    <w:rPr>
      <w:b/>
      <w:bCs/>
    </w:rPr>
  </w:style>
  <w:style w:type="character" w:customStyle="1" w:styleId="CommentSubjectChar">
    <w:name w:val="Comment Subject Char"/>
    <w:basedOn w:val="CommentTextChar"/>
    <w:link w:val="CommentSubject"/>
    <w:rsid w:val="00270CD1"/>
    <w:rPr>
      <w:b/>
      <w:bCs/>
    </w:rPr>
  </w:style>
  <w:style w:type="paragraph" w:styleId="FootnoteText">
    <w:name w:val="footnote text"/>
    <w:basedOn w:val="Normal"/>
    <w:link w:val="FootnoteTextChar"/>
    <w:rsid w:val="00CE6AD7"/>
    <w:rPr>
      <w:sz w:val="20"/>
      <w:szCs w:val="20"/>
    </w:rPr>
  </w:style>
  <w:style w:type="character" w:customStyle="1" w:styleId="FootnoteTextChar">
    <w:name w:val="Footnote Text Char"/>
    <w:basedOn w:val="DefaultParagraphFont"/>
    <w:link w:val="FootnoteText"/>
    <w:rsid w:val="00CE6AD7"/>
  </w:style>
  <w:style w:type="paragraph" w:customStyle="1" w:styleId="PBSNormal">
    <w:name w:val="PBS Normal"/>
    <w:basedOn w:val="Normal"/>
    <w:link w:val="PBSNormalChar1"/>
    <w:rsid w:val="00CE6AD7"/>
    <w:pPr>
      <w:spacing w:before="120" w:after="120" w:line="360" w:lineRule="auto"/>
      <w:jc w:val="both"/>
    </w:pPr>
    <w:rPr>
      <w:rFonts w:ascii="Arial" w:hAnsi="Arial"/>
      <w:color w:val="000000"/>
      <w:sz w:val="22"/>
      <w:szCs w:val="20"/>
    </w:rPr>
  </w:style>
  <w:style w:type="character" w:customStyle="1" w:styleId="PBSNormalChar1">
    <w:name w:val="PBS Normal Char1"/>
    <w:basedOn w:val="DefaultParagraphFont"/>
    <w:link w:val="PBSNormal"/>
    <w:rsid w:val="00CE6AD7"/>
    <w:rPr>
      <w:rFonts w:ascii="Arial" w:hAnsi="Arial"/>
      <w:color w:val="000000"/>
      <w:sz w:val="22"/>
    </w:rPr>
  </w:style>
  <w:style w:type="table" w:customStyle="1" w:styleId="TableGrid1">
    <w:name w:val="Table Grid1"/>
    <w:basedOn w:val="TableNormal"/>
    <w:next w:val="TableGrid"/>
    <w:uiPriority w:val="39"/>
    <w:rsid w:val="00CE6AD7"/>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CE6AD7"/>
    <w:rPr>
      <w:vertAlign w:val="superscript"/>
    </w:rPr>
  </w:style>
  <w:style w:type="paragraph" w:styleId="Revision">
    <w:name w:val="Revision"/>
    <w:hidden/>
    <w:uiPriority w:val="99"/>
    <w:semiHidden/>
    <w:rsid w:val="009A64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216963">
      <w:bodyDiv w:val="1"/>
      <w:marLeft w:val="0"/>
      <w:marRight w:val="0"/>
      <w:marTop w:val="0"/>
      <w:marBottom w:val="0"/>
      <w:divBdr>
        <w:top w:val="none" w:sz="0" w:space="0" w:color="auto"/>
        <w:left w:val="none" w:sz="0" w:space="0" w:color="auto"/>
        <w:bottom w:val="none" w:sz="0" w:space="0" w:color="auto"/>
        <w:right w:val="none" w:sz="0" w:space="0" w:color="auto"/>
      </w:divBdr>
    </w:div>
    <w:div w:id="209801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2822</Words>
  <Characters>17633</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2016-06-07T04:49:00Z</dcterms:created>
  <dcterms:modified xsi:type="dcterms:W3CDTF">2016-06-22T00:39:00Z</dcterms:modified>
</cp:coreProperties>
</file>