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6F3" w:rsidRPr="00181333" w:rsidRDefault="00E015E2" w:rsidP="00A63481">
      <w:pPr>
        <w:pStyle w:val="Title"/>
      </w:pPr>
      <w:r w:rsidRPr="00B51ACB">
        <w:t>7.11</w:t>
      </w:r>
      <w:r w:rsidR="002566F3" w:rsidRPr="00B51ACB">
        <w:tab/>
        <w:t>ADALIMUMAB</w:t>
      </w:r>
      <w:r w:rsidR="00A63481">
        <w:t xml:space="preserve"> </w:t>
      </w:r>
      <w:r w:rsidR="00A63481">
        <w:br/>
      </w:r>
      <w:r w:rsidR="002566F3" w:rsidRPr="00181333">
        <w:t>40 mg/0.8 mL injection, 2 x 0.8 mL cartridges</w:t>
      </w:r>
      <w:r w:rsidR="00A63481">
        <w:t xml:space="preserve"> </w:t>
      </w:r>
      <w:r w:rsidR="00A63481">
        <w:br/>
      </w:r>
      <w:r w:rsidR="002566F3" w:rsidRPr="00181333">
        <w:t>40 mg/0.8 mL injection, 2 x 0.8 mL syringes</w:t>
      </w:r>
      <w:r w:rsidR="00A63481">
        <w:t xml:space="preserve"> </w:t>
      </w:r>
      <w:r w:rsidR="00A63481">
        <w:br/>
      </w:r>
      <w:r w:rsidR="002566F3" w:rsidRPr="00181333">
        <w:t>40 mg/0.8 mL injection, 6 x 0.8 mL cartridges</w:t>
      </w:r>
      <w:r w:rsidR="00A63481">
        <w:t xml:space="preserve"> </w:t>
      </w:r>
      <w:r w:rsidR="00A63481">
        <w:br/>
      </w:r>
      <w:r w:rsidR="002566F3" w:rsidRPr="00181333">
        <w:t>40 mg/0.8 mL injection, 6 x 0.8 mL syringes</w:t>
      </w:r>
      <w:r w:rsidR="00A63481">
        <w:t xml:space="preserve"> </w:t>
      </w:r>
      <w:r w:rsidR="00A63481">
        <w:br/>
      </w:r>
      <w:r w:rsidR="002566F3" w:rsidRPr="00181333">
        <w:t>Humira®, Abbvie Pty Ltd</w:t>
      </w:r>
    </w:p>
    <w:p w:rsidR="00CE10C4" w:rsidRPr="00B51ACB" w:rsidRDefault="00CE10C4" w:rsidP="00F30D63">
      <w:pPr>
        <w:pStyle w:val="NoSpacing"/>
      </w:pPr>
    </w:p>
    <w:p w:rsidR="00C27B58" w:rsidRPr="00B51ACB" w:rsidRDefault="00C27B58" w:rsidP="00F30D63">
      <w:pPr>
        <w:pStyle w:val="NoSpacing"/>
      </w:pPr>
    </w:p>
    <w:p w:rsidR="00CE10C4" w:rsidRPr="00181333" w:rsidRDefault="00CE10C4" w:rsidP="00181333">
      <w:pPr>
        <w:pStyle w:val="Heading1"/>
      </w:pPr>
      <w:r w:rsidRPr="00181333">
        <w:t xml:space="preserve">Purpose of </w:t>
      </w:r>
      <w:r w:rsidR="0004240E" w:rsidRPr="00181333">
        <w:t>Application</w:t>
      </w:r>
    </w:p>
    <w:p w:rsidR="006A12A5" w:rsidRPr="00B51ACB" w:rsidRDefault="006A12A5" w:rsidP="00F30D63">
      <w:pPr>
        <w:jc w:val="both"/>
        <w:rPr>
          <w:rFonts w:ascii="Arial" w:hAnsi="Arial"/>
          <w:sz w:val="22"/>
          <w:szCs w:val="22"/>
        </w:rPr>
      </w:pPr>
    </w:p>
    <w:p w:rsidR="00F9629A" w:rsidRPr="00B51ACB" w:rsidRDefault="002566F3" w:rsidP="00767CAC">
      <w:pPr>
        <w:pStyle w:val="ListParagraph"/>
        <w:numPr>
          <w:ilvl w:val="1"/>
          <w:numId w:val="1"/>
        </w:numPr>
        <w:jc w:val="both"/>
      </w:pPr>
      <w:r w:rsidRPr="00B51ACB">
        <w:rPr>
          <w:rFonts w:ascii="Arial" w:hAnsi="Arial"/>
          <w:sz w:val="22"/>
          <w:szCs w:val="22"/>
        </w:rPr>
        <w:t xml:space="preserve">The minor resubmission </w:t>
      </w:r>
      <w:r w:rsidR="008A6CA9" w:rsidRPr="00B51ACB">
        <w:rPr>
          <w:rFonts w:ascii="Arial" w:hAnsi="Arial"/>
          <w:sz w:val="22"/>
          <w:szCs w:val="22"/>
        </w:rPr>
        <w:t xml:space="preserve">sought a Section 85 Authority required listing for adalimumab for the treatment of patients with moderate to severe ulcerative colitis (UC). The resubmission </w:t>
      </w:r>
      <w:r w:rsidR="0084198D" w:rsidRPr="00B51ACB">
        <w:rPr>
          <w:rFonts w:ascii="Arial" w:hAnsi="Arial"/>
          <w:sz w:val="22"/>
          <w:szCs w:val="22"/>
        </w:rPr>
        <w:t xml:space="preserve">offered a price </w:t>
      </w:r>
      <w:r w:rsidR="007B2321">
        <w:rPr>
          <w:rFonts w:ascii="Arial" w:hAnsi="Arial"/>
          <w:sz w:val="22"/>
          <w:szCs w:val="22"/>
        </w:rPr>
        <w:t>reduction</w:t>
      </w:r>
      <w:r w:rsidR="007B2321" w:rsidRPr="00B51ACB">
        <w:rPr>
          <w:rFonts w:ascii="Arial" w:hAnsi="Arial"/>
          <w:sz w:val="22"/>
          <w:szCs w:val="22"/>
        </w:rPr>
        <w:t xml:space="preserve"> </w:t>
      </w:r>
      <w:r w:rsidR="0084198D" w:rsidRPr="00B51ACB">
        <w:rPr>
          <w:rFonts w:ascii="Arial" w:hAnsi="Arial"/>
          <w:sz w:val="22"/>
          <w:szCs w:val="22"/>
        </w:rPr>
        <w:t xml:space="preserve">of </w:t>
      </w:r>
      <w:r w:rsidR="00F53810">
        <w:rPr>
          <w:rFonts w:ascii="Arial" w:hAnsi="Arial"/>
          <w:noProof/>
          <w:color w:val="000000"/>
          <w:sz w:val="22"/>
          <w:szCs w:val="22"/>
          <w:highlight w:val="black"/>
        </w:rPr>
        <w:t>''''''</w:t>
      </w:r>
      <w:r w:rsidR="0084198D" w:rsidRPr="00B51ACB">
        <w:rPr>
          <w:rFonts w:ascii="Arial" w:hAnsi="Arial"/>
          <w:sz w:val="22"/>
          <w:szCs w:val="22"/>
        </w:rPr>
        <w:t xml:space="preserve">% </w:t>
      </w:r>
      <w:r w:rsidR="00B660AA" w:rsidRPr="00B51ACB">
        <w:rPr>
          <w:rFonts w:ascii="Arial" w:hAnsi="Arial"/>
          <w:sz w:val="22"/>
          <w:szCs w:val="22"/>
        </w:rPr>
        <w:t>to</w:t>
      </w:r>
      <w:r w:rsidR="0084198D" w:rsidRPr="00B51ACB">
        <w:rPr>
          <w:rFonts w:ascii="Arial" w:hAnsi="Arial"/>
          <w:sz w:val="22"/>
          <w:szCs w:val="22"/>
        </w:rPr>
        <w:t xml:space="preserve"> </w:t>
      </w:r>
      <w:r w:rsidR="00200812" w:rsidRPr="00B51ACB">
        <w:rPr>
          <w:rFonts w:ascii="Arial" w:hAnsi="Arial"/>
          <w:sz w:val="22"/>
          <w:szCs w:val="22"/>
        </w:rPr>
        <w:t>the current published DPMQ</w:t>
      </w:r>
      <w:r w:rsidR="00820747" w:rsidRPr="00B51ACB">
        <w:rPr>
          <w:rFonts w:ascii="Arial" w:hAnsi="Arial"/>
          <w:sz w:val="22"/>
          <w:szCs w:val="22"/>
        </w:rPr>
        <w:t xml:space="preserve"> for adalimumab</w:t>
      </w:r>
      <w:r w:rsidR="00200812" w:rsidRPr="00B51ACB">
        <w:rPr>
          <w:rFonts w:ascii="Arial" w:hAnsi="Arial"/>
          <w:sz w:val="22"/>
          <w:szCs w:val="22"/>
        </w:rPr>
        <w:t xml:space="preserve"> </w:t>
      </w:r>
      <w:r w:rsidR="00402198" w:rsidRPr="00B51ACB">
        <w:rPr>
          <w:rFonts w:ascii="Arial" w:hAnsi="Arial"/>
          <w:sz w:val="22"/>
          <w:szCs w:val="22"/>
        </w:rPr>
        <w:t xml:space="preserve">of </w:t>
      </w:r>
      <w:r w:rsidR="008A6CA9" w:rsidRPr="00B51ACB">
        <w:rPr>
          <w:rFonts w:ascii="Arial" w:hAnsi="Arial"/>
          <w:sz w:val="22"/>
          <w:szCs w:val="22"/>
        </w:rPr>
        <w:t>a pack of 2 syringes or cartridges</w:t>
      </w:r>
      <w:r w:rsidR="00402198" w:rsidRPr="00B51ACB">
        <w:rPr>
          <w:rFonts w:ascii="Arial" w:hAnsi="Arial"/>
          <w:sz w:val="22"/>
          <w:szCs w:val="22"/>
        </w:rPr>
        <w:t xml:space="preserve"> </w:t>
      </w:r>
      <w:r w:rsidR="00153066" w:rsidRPr="00B51ACB">
        <w:rPr>
          <w:rFonts w:ascii="Arial" w:hAnsi="Arial"/>
          <w:sz w:val="22"/>
          <w:szCs w:val="22"/>
        </w:rPr>
        <w:t>for induction and</w:t>
      </w:r>
      <w:r w:rsidR="00402198" w:rsidRPr="00B51ACB">
        <w:rPr>
          <w:rFonts w:ascii="Arial" w:hAnsi="Arial"/>
          <w:sz w:val="22"/>
          <w:szCs w:val="22"/>
        </w:rPr>
        <w:t xml:space="preserve"> </w:t>
      </w:r>
      <w:r w:rsidR="00200812" w:rsidRPr="00B51ACB">
        <w:rPr>
          <w:rFonts w:ascii="Arial" w:hAnsi="Arial"/>
          <w:sz w:val="22"/>
          <w:szCs w:val="22"/>
        </w:rPr>
        <w:t xml:space="preserve">maintenance therapy i.e. an effective DPMQ </w:t>
      </w:r>
      <w:r w:rsidR="008E4155" w:rsidRPr="00B51ACB">
        <w:rPr>
          <w:rFonts w:ascii="Arial" w:hAnsi="Arial"/>
          <w:sz w:val="22"/>
          <w:szCs w:val="22"/>
        </w:rPr>
        <w:t xml:space="preserve">would </w:t>
      </w:r>
      <w:r w:rsidR="00B660AA" w:rsidRPr="00B51ACB">
        <w:rPr>
          <w:rFonts w:ascii="Arial" w:hAnsi="Arial"/>
          <w:sz w:val="22"/>
          <w:szCs w:val="22"/>
        </w:rPr>
        <w:t>be</w:t>
      </w:r>
      <w:r w:rsidR="00200812" w:rsidRPr="00B51ACB">
        <w:rPr>
          <w:rFonts w:ascii="Arial" w:hAnsi="Arial"/>
          <w:sz w:val="22"/>
          <w:szCs w:val="22"/>
        </w:rPr>
        <w:t xml:space="preserve"> $</w:t>
      </w:r>
      <w:r w:rsidR="00F53810">
        <w:rPr>
          <w:rFonts w:ascii="Arial" w:hAnsi="Arial"/>
          <w:noProof/>
          <w:color w:val="000000"/>
          <w:sz w:val="22"/>
          <w:szCs w:val="22"/>
          <w:highlight w:val="black"/>
        </w:rPr>
        <w:t>''''''''''''''''''''</w:t>
      </w:r>
      <w:r w:rsidR="00B660AA" w:rsidRPr="00B51ACB">
        <w:rPr>
          <w:rFonts w:ascii="Arial" w:hAnsi="Arial"/>
          <w:sz w:val="22"/>
          <w:szCs w:val="22"/>
        </w:rPr>
        <w:t>.</w:t>
      </w:r>
      <w:bookmarkStart w:id="0" w:name="_GoBack"/>
      <w:bookmarkEnd w:id="0"/>
    </w:p>
    <w:p w:rsidR="0073787F" w:rsidRDefault="0073787F">
      <w:pPr>
        <w:pStyle w:val="NoSpacing"/>
      </w:pPr>
    </w:p>
    <w:p w:rsidR="00EC29CE" w:rsidRPr="00B51ACB" w:rsidRDefault="00EC29CE">
      <w:pPr>
        <w:pStyle w:val="NoSpacing"/>
      </w:pPr>
    </w:p>
    <w:p w:rsidR="00614159" w:rsidRPr="00B51ACB" w:rsidRDefault="00BC764B" w:rsidP="00181333">
      <w:pPr>
        <w:pStyle w:val="Heading1"/>
      </w:pPr>
      <w:r w:rsidRPr="00B51ACB">
        <w:t>Background</w:t>
      </w:r>
    </w:p>
    <w:p w:rsidR="006A12A5" w:rsidRPr="00B51ACB" w:rsidRDefault="006A12A5">
      <w:pPr>
        <w:jc w:val="both"/>
        <w:rPr>
          <w:rFonts w:ascii="Arial" w:hAnsi="Arial"/>
          <w:b/>
          <w:sz w:val="22"/>
          <w:szCs w:val="22"/>
        </w:rPr>
      </w:pPr>
    </w:p>
    <w:p w:rsidR="00153066" w:rsidRPr="00B51ACB" w:rsidRDefault="00153066" w:rsidP="00767CAC">
      <w:pPr>
        <w:pStyle w:val="ListParagraph"/>
        <w:numPr>
          <w:ilvl w:val="1"/>
          <w:numId w:val="1"/>
        </w:numPr>
        <w:jc w:val="both"/>
        <w:rPr>
          <w:rFonts w:ascii="Arial" w:hAnsi="Arial"/>
          <w:sz w:val="22"/>
          <w:szCs w:val="22"/>
        </w:rPr>
      </w:pPr>
      <w:r w:rsidRPr="00B51ACB">
        <w:rPr>
          <w:rFonts w:ascii="Arial" w:hAnsi="Arial"/>
          <w:sz w:val="22"/>
          <w:szCs w:val="22"/>
        </w:rPr>
        <w:t xml:space="preserve">This was the fifth submission for adalimumab in UC. The previous </w:t>
      </w:r>
      <w:r w:rsidR="008A6CA9" w:rsidRPr="00B51ACB">
        <w:rPr>
          <w:rFonts w:ascii="Arial" w:hAnsi="Arial"/>
          <w:sz w:val="22"/>
          <w:szCs w:val="22"/>
        </w:rPr>
        <w:t xml:space="preserve">four </w:t>
      </w:r>
      <w:r w:rsidRPr="00B51ACB">
        <w:rPr>
          <w:rFonts w:ascii="Arial" w:hAnsi="Arial"/>
          <w:sz w:val="22"/>
          <w:szCs w:val="22"/>
        </w:rPr>
        <w:t>submissions were considered at November 2013, July 2014, July 2015,</w:t>
      </w:r>
      <w:r w:rsidR="008A6CA9" w:rsidRPr="00B51ACB">
        <w:rPr>
          <w:rFonts w:ascii="Arial" w:hAnsi="Arial"/>
          <w:sz w:val="22"/>
          <w:szCs w:val="22"/>
        </w:rPr>
        <w:t xml:space="preserve"> and November 2015 PBAC meeting</w:t>
      </w:r>
      <w:r w:rsidRPr="00B51ACB">
        <w:rPr>
          <w:rFonts w:ascii="Arial" w:hAnsi="Arial"/>
          <w:sz w:val="22"/>
          <w:szCs w:val="22"/>
        </w:rPr>
        <w:t>.</w:t>
      </w:r>
    </w:p>
    <w:p w:rsidR="0073787F" w:rsidRPr="00B51ACB" w:rsidRDefault="0073787F">
      <w:pPr>
        <w:rPr>
          <w:rFonts w:ascii="Arial" w:hAnsi="Arial"/>
          <w:sz w:val="22"/>
          <w:szCs w:val="22"/>
        </w:rPr>
      </w:pPr>
    </w:p>
    <w:p w:rsidR="00153066" w:rsidRPr="00B51ACB" w:rsidRDefault="00153066">
      <w:pPr>
        <w:pStyle w:val="ListParagraph"/>
        <w:keepNext/>
        <w:rPr>
          <w:rFonts w:ascii="Arial Narrow" w:hAnsi="Arial Narrow"/>
          <w:b/>
          <w:sz w:val="20"/>
          <w:szCs w:val="20"/>
        </w:rPr>
      </w:pPr>
      <w:r w:rsidRPr="00B51ACB">
        <w:rPr>
          <w:rFonts w:ascii="Arial Narrow" w:hAnsi="Arial Narrow"/>
          <w:b/>
          <w:sz w:val="20"/>
          <w:szCs w:val="20"/>
        </w:rPr>
        <w:t>Table 1: Summary of the previous</w:t>
      </w:r>
      <w:r w:rsidR="008A6CA9" w:rsidRPr="00B51ACB">
        <w:rPr>
          <w:rFonts w:ascii="Arial Narrow" w:hAnsi="Arial Narrow"/>
          <w:b/>
          <w:sz w:val="20"/>
          <w:szCs w:val="20"/>
        </w:rPr>
        <w:t xml:space="preserve"> two</w:t>
      </w:r>
      <w:r w:rsidRPr="00B51ACB">
        <w:rPr>
          <w:rFonts w:ascii="Arial Narrow" w:hAnsi="Arial Narrow"/>
          <w:b/>
          <w:sz w:val="20"/>
          <w:szCs w:val="20"/>
        </w:rPr>
        <w:t xml:space="preserve"> resubmission</w:t>
      </w:r>
      <w:r w:rsidR="008A6CA9" w:rsidRPr="00B51ACB">
        <w:rPr>
          <w:rFonts w:ascii="Arial Narrow" w:hAnsi="Arial Narrow"/>
          <w:b/>
          <w:sz w:val="20"/>
          <w:szCs w:val="20"/>
        </w:rPr>
        <w:t>s</w:t>
      </w:r>
      <w:r w:rsidRPr="00B51ACB">
        <w:rPr>
          <w:rFonts w:ascii="Arial Narrow" w:hAnsi="Arial Narrow"/>
          <w:b/>
          <w:sz w:val="20"/>
          <w:szCs w:val="20"/>
        </w:rPr>
        <w:t xml:space="preserve"> and current resubmission for adalimumab in UC</w:t>
      </w:r>
    </w:p>
    <w:tbl>
      <w:tblPr>
        <w:tblW w:w="4527"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49"/>
        <w:gridCol w:w="2780"/>
        <w:gridCol w:w="2247"/>
        <w:gridCol w:w="2247"/>
      </w:tblGrid>
      <w:tr w:rsidR="00153066" w:rsidRPr="00B51ACB" w:rsidTr="00517F9B">
        <w:trPr>
          <w:trHeight w:val="220"/>
          <w:tblHeader/>
        </w:trPr>
        <w:tc>
          <w:tcPr>
            <w:tcW w:w="539" w:type="pct"/>
          </w:tcPr>
          <w:p w:rsidR="00153066" w:rsidRPr="00B51ACB" w:rsidRDefault="00153066">
            <w:pPr>
              <w:keepNext/>
              <w:rPr>
                <w:rFonts w:ascii="Arial Narrow" w:hAnsi="Arial Narrow" w:cs="Arial"/>
                <w:snapToGrid w:val="0"/>
                <w:sz w:val="20"/>
                <w:szCs w:val="20"/>
                <w:lang w:eastAsia="en-US"/>
              </w:rPr>
            </w:pPr>
          </w:p>
        </w:tc>
        <w:tc>
          <w:tcPr>
            <w:tcW w:w="1703" w:type="pct"/>
          </w:tcPr>
          <w:p w:rsidR="00153066" w:rsidRPr="00B51ACB" w:rsidRDefault="00153066">
            <w:pPr>
              <w:keepNext/>
              <w:jc w:val="center"/>
              <w:rPr>
                <w:rFonts w:ascii="Arial Narrow" w:hAnsi="Arial Narrow" w:cs="Arial"/>
                <w:b/>
                <w:snapToGrid w:val="0"/>
                <w:sz w:val="20"/>
                <w:szCs w:val="20"/>
                <w:lang w:eastAsia="en-US"/>
              </w:rPr>
            </w:pPr>
            <w:r w:rsidRPr="00B51ACB">
              <w:rPr>
                <w:rFonts w:ascii="Arial Narrow" w:hAnsi="Arial Narrow" w:cs="Arial"/>
                <w:b/>
                <w:snapToGrid w:val="0"/>
                <w:sz w:val="20"/>
                <w:szCs w:val="20"/>
                <w:lang w:eastAsia="en-US"/>
              </w:rPr>
              <w:t>July 2015:</w:t>
            </w:r>
          </w:p>
          <w:p w:rsidR="00153066" w:rsidRPr="00B51ACB" w:rsidRDefault="00153066">
            <w:pPr>
              <w:keepNext/>
              <w:jc w:val="center"/>
              <w:rPr>
                <w:rFonts w:ascii="Arial Narrow" w:hAnsi="Arial Narrow" w:cs="Arial"/>
                <w:b/>
                <w:snapToGrid w:val="0"/>
                <w:sz w:val="20"/>
                <w:szCs w:val="20"/>
                <w:lang w:eastAsia="en-US"/>
              </w:rPr>
            </w:pPr>
            <w:r w:rsidRPr="00B51ACB">
              <w:rPr>
                <w:rFonts w:ascii="Arial Narrow" w:hAnsi="Arial Narrow" w:cs="Arial"/>
                <w:b/>
                <w:snapToGrid w:val="0"/>
                <w:sz w:val="20"/>
                <w:szCs w:val="20"/>
                <w:lang w:eastAsia="en-US"/>
              </w:rPr>
              <w:t>Major resubmission</w:t>
            </w:r>
          </w:p>
        </w:tc>
        <w:tc>
          <w:tcPr>
            <w:tcW w:w="1379" w:type="pct"/>
          </w:tcPr>
          <w:p w:rsidR="00153066" w:rsidRPr="00B51ACB" w:rsidRDefault="00153066">
            <w:pPr>
              <w:keepNext/>
              <w:jc w:val="center"/>
              <w:rPr>
                <w:rFonts w:ascii="Arial Narrow" w:hAnsi="Arial Narrow" w:cs="Arial"/>
                <w:b/>
                <w:snapToGrid w:val="0"/>
                <w:sz w:val="20"/>
                <w:szCs w:val="20"/>
                <w:lang w:eastAsia="en-US"/>
              </w:rPr>
            </w:pPr>
            <w:r w:rsidRPr="00B51ACB">
              <w:rPr>
                <w:rFonts w:ascii="Arial Narrow" w:hAnsi="Arial Narrow" w:cs="Arial"/>
                <w:b/>
                <w:snapToGrid w:val="0"/>
                <w:sz w:val="20"/>
                <w:szCs w:val="20"/>
                <w:lang w:eastAsia="en-US"/>
              </w:rPr>
              <w:t>November 2015:</w:t>
            </w:r>
          </w:p>
          <w:p w:rsidR="00153066" w:rsidRPr="00B51ACB" w:rsidRDefault="00153066">
            <w:pPr>
              <w:keepNext/>
              <w:jc w:val="center"/>
              <w:rPr>
                <w:rFonts w:ascii="Arial Narrow" w:hAnsi="Arial Narrow" w:cs="Arial"/>
                <w:b/>
                <w:snapToGrid w:val="0"/>
                <w:sz w:val="20"/>
                <w:szCs w:val="20"/>
                <w:lang w:eastAsia="en-US"/>
              </w:rPr>
            </w:pPr>
            <w:r w:rsidRPr="00B51ACB">
              <w:rPr>
                <w:rFonts w:ascii="Arial Narrow" w:hAnsi="Arial Narrow" w:cs="Arial"/>
                <w:b/>
                <w:snapToGrid w:val="0"/>
                <w:sz w:val="20"/>
                <w:szCs w:val="20"/>
                <w:lang w:eastAsia="en-US"/>
              </w:rPr>
              <w:t>Minor resubmission</w:t>
            </w:r>
          </w:p>
        </w:tc>
        <w:tc>
          <w:tcPr>
            <w:tcW w:w="1379" w:type="pct"/>
          </w:tcPr>
          <w:p w:rsidR="00153066" w:rsidRPr="00B51ACB" w:rsidRDefault="00153066">
            <w:pPr>
              <w:keepNext/>
              <w:jc w:val="center"/>
              <w:rPr>
                <w:rFonts w:ascii="Arial Narrow" w:hAnsi="Arial Narrow" w:cs="Arial"/>
                <w:b/>
                <w:snapToGrid w:val="0"/>
                <w:sz w:val="20"/>
                <w:szCs w:val="20"/>
                <w:lang w:eastAsia="en-US"/>
              </w:rPr>
            </w:pPr>
            <w:r w:rsidRPr="00B51ACB">
              <w:rPr>
                <w:rFonts w:ascii="Arial Narrow" w:hAnsi="Arial Narrow" w:cs="Arial"/>
                <w:b/>
                <w:snapToGrid w:val="0"/>
                <w:sz w:val="20"/>
                <w:szCs w:val="20"/>
                <w:lang w:eastAsia="en-US"/>
              </w:rPr>
              <w:t>March 2016</w:t>
            </w:r>
          </w:p>
          <w:p w:rsidR="00153066" w:rsidRPr="00B51ACB" w:rsidRDefault="00153066">
            <w:pPr>
              <w:keepNext/>
              <w:jc w:val="center"/>
              <w:rPr>
                <w:rFonts w:ascii="Arial Narrow" w:hAnsi="Arial Narrow" w:cs="Arial"/>
                <w:b/>
                <w:snapToGrid w:val="0"/>
                <w:sz w:val="20"/>
                <w:szCs w:val="20"/>
                <w:lang w:eastAsia="en-US"/>
              </w:rPr>
            </w:pPr>
            <w:r w:rsidRPr="00B51ACB">
              <w:rPr>
                <w:rFonts w:ascii="Arial Narrow" w:hAnsi="Arial Narrow" w:cs="Arial"/>
                <w:b/>
                <w:snapToGrid w:val="0"/>
                <w:sz w:val="20"/>
                <w:szCs w:val="20"/>
                <w:lang w:eastAsia="en-US"/>
              </w:rPr>
              <w:t>Current minor resubmission</w:t>
            </w:r>
          </w:p>
        </w:tc>
      </w:tr>
      <w:tr w:rsidR="00153066" w:rsidRPr="00B51ACB" w:rsidTr="00517F9B">
        <w:trPr>
          <w:trHeight w:val="422"/>
        </w:trPr>
        <w:tc>
          <w:tcPr>
            <w:tcW w:w="539" w:type="pct"/>
          </w:tcPr>
          <w:p w:rsidR="00153066" w:rsidRPr="00B51ACB" w:rsidRDefault="00153066" w:rsidP="00F30D63">
            <w:pPr>
              <w:rPr>
                <w:rFonts w:ascii="Arial Narrow" w:hAnsi="Arial Narrow" w:cs="Arial"/>
                <w:b/>
                <w:snapToGrid w:val="0"/>
                <w:sz w:val="20"/>
                <w:szCs w:val="20"/>
                <w:lang w:eastAsia="en-US"/>
              </w:rPr>
            </w:pPr>
            <w:r w:rsidRPr="00B51ACB">
              <w:rPr>
                <w:rFonts w:ascii="Arial Narrow" w:hAnsi="Arial Narrow" w:cs="Arial"/>
                <w:b/>
                <w:snapToGrid w:val="0"/>
                <w:sz w:val="20"/>
                <w:szCs w:val="20"/>
                <w:lang w:eastAsia="en-US"/>
              </w:rPr>
              <w:t>Requested PBS listing</w:t>
            </w:r>
          </w:p>
        </w:tc>
        <w:tc>
          <w:tcPr>
            <w:tcW w:w="1703" w:type="pct"/>
          </w:tcPr>
          <w:p w:rsidR="00153066" w:rsidRPr="00B51ACB" w:rsidRDefault="00153066" w:rsidP="00247B39">
            <w:pPr>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The restriction was updated to be aligned with infliximab’s restriction for moderate to severe UC with the exception that the adalimumab restriction does not include paediatric patients.</w:t>
            </w:r>
          </w:p>
          <w:p w:rsidR="00153066" w:rsidRPr="00B51ACB" w:rsidRDefault="00153066" w:rsidP="002D6AB8">
            <w:pPr>
              <w:rPr>
                <w:rFonts w:ascii="Arial Narrow" w:hAnsi="Arial Narrow" w:cs="Arial"/>
                <w:snapToGrid w:val="0"/>
                <w:sz w:val="20"/>
                <w:szCs w:val="20"/>
                <w:lang w:eastAsia="en-US"/>
              </w:rPr>
            </w:pPr>
            <w:r w:rsidRPr="00B51ACB">
              <w:rPr>
                <w:rFonts w:ascii="Arial Narrow" w:hAnsi="Arial Narrow" w:cs="Arial"/>
                <w:b/>
                <w:snapToGrid w:val="0"/>
                <w:sz w:val="20"/>
                <w:szCs w:val="20"/>
                <w:lang w:eastAsia="en-US"/>
              </w:rPr>
              <w:t>PBAC comment:</w:t>
            </w:r>
            <w:r w:rsidRPr="00B51ACB">
              <w:rPr>
                <w:rFonts w:ascii="Arial Narrow" w:hAnsi="Arial Narrow" w:cs="Arial"/>
                <w:snapToGrid w:val="0"/>
                <w:sz w:val="20"/>
                <w:szCs w:val="20"/>
                <w:lang w:eastAsia="en-US"/>
              </w:rPr>
              <w:t xml:space="preserve"> The PBAC considered that the exclusion of paediatric patients from the restriction was not adequately justified and should be addressed in an</w:t>
            </w:r>
            <w:r w:rsidR="002D6AB8">
              <w:rPr>
                <w:rFonts w:ascii="Arial Narrow" w:hAnsi="Arial Narrow" w:cs="Arial"/>
                <w:snapToGrid w:val="0"/>
                <w:sz w:val="20"/>
                <w:szCs w:val="20"/>
                <w:lang w:eastAsia="en-US"/>
              </w:rPr>
              <w:t>y future major resubmission. [Item 7.01,</w:t>
            </w:r>
            <w:r w:rsidRPr="00B51ACB">
              <w:rPr>
                <w:rFonts w:ascii="Arial Narrow" w:hAnsi="Arial Narrow" w:cs="Arial"/>
                <w:snapToGrid w:val="0"/>
                <w:sz w:val="20"/>
                <w:szCs w:val="20"/>
                <w:lang w:eastAsia="en-US"/>
              </w:rPr>
              <w:t xml:space="preserve"> adalimumab  </w:t>
            </w:r>
            <w:r w:rsidR="002D6AB8">
              <w:rPr>
                <w:rFonts w:ascii="Arial Narrow" w:hAnsi="Arial Narrow" w:cs="Arial"/>
                <w:snapToGrid w:val="0"/>
                <w:sz w:val="20"/>
                <w:szCs w:val="20"/>
                <w:lang w:eastAsia="en-US"/>
              </w:rPr>
              <w:t>Public Summary Document (PSD)</w:t>
            </w:r>
            <w:r w:rsidRPr="00B51ACB">
              <w:rPr>
                <w:rFonts w:ascii="Arial Narrow" w:hAnsi="Arial Narrow" w:cs="Arial"/>
                <w:snapToGrid w:val="0"/>
                <w:sz w:val="20"/>
                <w:szCs w:val="20"/>
                <w:lang w:eastAsia="en-US"/>
              </w:rPr>
              <w:t xml:space="preserve"> July 2015, </w:t>
            </w:r>
            <w:r w:rsidR="002D6AB8">
              <w:rPr>
                <w:rFonts w:ascii="Arial Narrow" w:hAnsi="Arial Narrow" w:cs="Arial"/>
                <w:snapToGrid w:val="0"/>
                <w:sz w:val="20"/>
                <w:szCs w:val="20"/>
                <w:lang w:eastAsia="en-US"/>
              </w:rPr>
              <w:t>paragraph 7.2</w:t>
            </w:r>
            <w:r w:rsidRPr="00B51ACB">
              <w:rPr>
                <w:rFonts w:ascii="Arial Narrow" w:hAnsi="Arial Narrow" w:cs="Arial"/>
                <w:snapToGrid w:val="0"/>
                <w:sz w:val="20"/>
                <w:szCs w:val="20"/>
                <w:lang w:eastAsia="en-US"/>
              </w:rPr>
              <w:t>].</w:t>
            </w:r>
          </w:p>
        </w:tc>
        <w:tc>
          <w:tcPr>
            <w:tcW w:w="1379" w:type="pct"/>
          </w:tcPr>
          <w:p w:rsidR="00153066" w:rsidRPr="00B51ACB" w:rsidRDefault="00153066">
            <w:pPr>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Unchanged</w:t>
            </w:r>
          </w:p>
          <w:p w:rsidR="00AB798A" w:rsidRPr="00B51ACB" w:rsidRDefault="00AB798A">
            <w:pPr>
              <w:rPr>
                <w:rFonts w:ascii="Arial Narrow" w:hAnsi="Arial Narrow" w:cs="Arial"/>
                <w:snapToGrid w:val="0"/>
                <w:sz w:val="20"/>
                <w:szCs w:val="20"/>
                <w:lang w:eastAsia="en-US"/>
              </w:rPr>
            </w:pPr>
          </w:p>
          <w:p w:rsidR="00153066" w:rsidRPr="00B51ACB" w:rsidRDefault="00153066" w:rsidP="00BD71C7">
            <w:pPr>
              <w:rPr>
                <w:rFonts w:ascii="Arial Narrow" w:hAnsi="Arial Narrow" w:cs="Arial"/>
                <w:snapToGrid w:val="0"/>
                <w:sz w:val="20"/>
                <w:szCs w:val="20"/>
                <w:lang w:eastAsia="en-US"/>
              </w:rPr>
            </w:pPr>
            <w:r w:rsidRPr="00B51ACB">
              <w:rPr>
                <w:rFonts w:ascii="Arial Narrow" w:hAnsi="Arial Narrow" w:cs="Arial"/>
                <w:b/>
                <w:snapToGrid w:val="0"/>
                <w:sz w:val="20"/>
                <w:szCs w:val="20"/>
                <w:lang w:eastAsia="en-US"/>
              </w:rPr>
              <w:t xml:space="preserve">PBAC comment: </w:t>
            </w:r>
            <w:r w:rsidRPr="00B51ACB">
              <w:rPr>
                <w:rFonts w:ascii="Arial Narrow" w:hAnsi="Arial Narrow" w:cs="Arial"/>
                <w:snapToGrid w:val="0"/>
                <w:sz w:val="20"/>
                <w:szCs w:val="20"/>
                <w:lang w:eastAsia="en-US"/>
              </w:rPr>
              <w:t>The PBAC noted that the proposed restriction was unchanged in the resubmission. The PBAC maintained its previous consideration from the July 2015 meeting that the exclusion of paediatric patients from the adalimumab restriction was not adequately justified and should be addressed in any future submission. [</w:t>
            </w:r>
            <w:r w:rsidR="004D5235">
              <w:rPr>
                <w:rFonts w:ascii="Arial Narrow" w:hAnsi="Arial Narrow" w:cs="Arial"/>
                <w:snapToGrid w:val="0"/>
                <w:sz w:val="20"/>
                <w:szCs w:val="20"/>
                <w:lang w:eastAsia="en-US"/>
              </w:rPr>
              <w:t>adalimumab PSD</w:t>
            </w:r>
            <w:r w:rsidRPr="00B51ACB">
              <w:rPr>
                <w:rFonts w:ascii="Arial Narrow" w:hAnsi="Arial Narrow" w:cs="Arial"/>
                <w:snapToGrid w:val="0"/>
                <w:sz w:val="20"/>
                <w:szCs w:val="20"/>
                <w:lang w:eastAsia="en-US"/>
              </w:rPr>
              <w:t xml:space="preserve"> November 2015, para 7.2]</w:t>
            </w:r>
          </w:p>
        </w:tc>
        <w:tc>
          <w:tcPr>
            <w:tcW w:w="1379" w:type="pct"/>
          </w:tcPr>
          <w:p w:rsidR="00153066" w:rsidRPr="00B51ACB" w:rsidRDefault="00B8423D">
            <w:pPr>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The current resubmission agreed to b</w:t>
            </w:r>
            <w:r w:rsidR="00153066" w:rsidRPr="00B51ACB">
              <w:rPr>
                <w:rFonts w:ascii="Arial Narrow" w:hAnsi="Arial Narrow" w:cs="Arial"/>
                <w:snapToGrid w:val="0"/>
                <w:sz w:val="20"/>
                <w:szCs w:val="20"/>
                <w:lang w:eastAsia="en-US"/>
              </w:rPr>
              <w:t>roaden the restriction to include paediatric patients as well as adult patients</w:t>
            </w:r>
            <w:r w:rsidRPr="00B51ACB">
              <w:rPr>
                <w:rFonts w:ascii="Arial Narrow" w:hAnsi="Arial Narrow" w:cs="Arial"/>
                <w:snapToGrid w:val="0"/>
                <w:sz w:val="20"/>
                <w:szCs w:val="20"/>
                <w:lang w:eastAsia="en-US"/>
              </w:rPr>
              <w:t>, as suggested by the PBAC</w:t>
            </w:r>
            <w:r w:rsidR="00153066" w:rsidRPr="00B51ACB">
              <w:rPr>
                <w:rFonts w:ascii="Arial Narrow" w:hAnsi="Arial Narrow" w:cs="Arial"/>
                <w:snapToGrid w:val="0"/>
                <w:sz w:val="20"/>
                <w:szCs w:val="20"/>
                <w:lang w:eastAsia="en-US"/>
              </w:rPr>
              <w:t xml:space="preserve">. </w:t>
            </w:r>
            <w:r w:rsidR="00205A52" w:rsidRPr="00B51ACB">
              <w:rPr>
                <w:rFonts w:ascii="Arial Narrow" w:hAnsi="Arial Narrow" w:cs="Arial"/>
                <w:snapToGrid w:val="0"/>
                <w:sz w:val="20"/>
                <w:szCs w:val="20"/>
                <w:lang w:eastAsia="en-US"/>
              </w:rPr>
              <w:t>However, t</w:t>
            </w:r>
            <w:r w:rsidR="00153066" w:rsidRPr="00B51ACB">
              <w:rPr>
                <w:rFonts w:ascii="Arial Narrow" w:hAnsi="Arial Narrow" w:cs="Arial"/>
                <w:snapToGrid w:val="0"/>
                <w:sz w:val="20"/>
                <w:szCs w:val="20"/>
                <w:lang w:eastAsia="en-US"/>
              </w:rPr>
              <w:t>he resubmission maintained that its proposed restriction limiting to adult patients is consistent with the TGA registered indication</w:t>
            </w:r>
            <w:r w:rsidR="000B2B78">
              <w:rPr>
                <w:rFonts w:ascii="Arial Narrow" w:hAnsi="Arial Narrow" w:cs="Arial"/>
                <w:snapToGrid w:val="0"/>
                <w:sz w:val="20"/>
                <w:szCs w:val="20"/>
                <w:lang w:eastAsia="en-US"/>
              </w:rPr>
              <w:t>.</w:t>
            </w:r>
          </w:p>
          <w:p w:rsidR="00153066" w:rsidRPr="00B51ACB" w:rsidRDefault="00153066">
            <w:pPr>
              <w:rPr>
                <w:rFonts w:ascii="Arial Narrow" w:hAnsi="Arial Narrow" w:cs="Arial"/>
                <w:snapToGrid w:val="0"/>
                <w:sz w:val="20"/>
                <w:szCs w:val="20"/>
                <w:lang w:eastAsia="en-US"/>
              </w:rPr>
            </w:pPr>
          </w:p>
          <w:p w:rsidR="00153066" w:rsidRPr="00B51ACB" w:rsidRDefault="00153066">
            <w:pPr>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The minor submission state</w:t>
            </w:r>
            <w:r w:rsidR="008A6CA9" w:rsidRPr="00B51ACB">
              <w:rPr>
                <w:rFonts w:ascii="Arial Narrow" w:hAnsi="Arial Narrow" w:cs="Arial"/>
                <w:snapToGrid w:val="0"/>
                <w:sz w:val="20"/>
                <w:szCs w:val="20"/>
                <w:lang w:eastAsia="en-US"/>
              </w:rPr>
              <w:t>d</w:t>
            </w:r>
            <w:r w:rsidRPr="00B51ACB">
              <w:rPr>
                <w:rFonts w:ascii="Arial Narrow" w:hAnsi="Arial Narrow" w:cs="Arial"/>
                <w:snapToGrid w:val="0"/>
                <w:sz w:val="20"/>
                <w:szCs w:val="20"/>
                <w:lang w:eastAsia="en-US"/>
              </w:rPr>
              <w:t xml:space="preserve"> that </w:t>
            </w:r>
            <w:r w:rsidR="00D41279" w:rsidRPr="00B51ACB">
              <w:rPr>
                <w:rFonts w:ascii="Arial Narrow" w:hAnsi="Arial Narrow" w:cs="Arial"/>
                <w:snapToGrid w:val="0"/>
                <w:sz w:val="20"/>
                <w:szCs w:val="20"/>
                <w:lang w:eastAsia="en-US"/>
              </w:rPr>
              <w:t>registration in Australia is currently anticipated for</w:t>
            </w:r>
            <w:r w:rsidRPr="00B51ACB">
              <w:rPr>
                <w:rFonts w:ascii="Arial Narrow" w:hAnsi="Arial Narrow" w:cs="Arial"/>
                <w:snapToGrid w:val="0"/>
                <w:sz w:val="20"/>
                <w:szCs w:val="20"/>
                <w:lang w:eastAsia="en-US"/>
              </w:rPr>
              <w:t xml:space="preserve"> 2019</w:t>
            </w:r>
            <w:r w:rsidR="000B2B78">
              <w:rPr>
                <w:rFonts w:ascii="Arial Narrow" w:hAnsi="Arial Narrow" w:cs="Arial"/>
                <w:snapToGrid w:val="0"/>
                <w:sz w:val="20"/>
                <w:szCs w:val="20"/>
                <w:lang w:eastAsia="en-US"/>
              </w:rPr>
              <w:t>.</w:t>
            </w:r>
          </w:p>
          <w:p w:rsidR="00153066" w:rsidRPr="00B51ACB" w:rsidRDefault="00153066">
            <w:pPr>
              <w:rPr>
                <w:rFonts w:ascii="Arial Narrow" w:hAnsi="Arial Narrow" w:cs="Arial"/>
                <w:snapToGrid w:val="0"/>
                <w:sz w:val="20"/>
                <w:szCs w:val="20"/>
                <w:lang w:eastAsia="en-US"/>
              </w:rPr>
            </w:pPr>
          </w:p>
        </w:tc>
      </w:tr>
      <w:tr w:rsidR="00153066" w:rsidRPr="00B51ACB" w:rsidTr="00517F9B">
        <w:trPr>
          <w:trHeight w:val="422"/>
        </w:trPr>
        <w:tc>
          <w:tcPr>
            <w:tcW w:w="539" w:type="pct"/>
          </w:tcPr>
          <w:p w:rsidR="00153066" w:rsidRPr="00B51ACB" w:rsidRDefault="00153066" w:rsidP="00F30D63">
            <w:pPr>
              <w:rPr>
                <w:rFonts w:ascii="Arial Narrow" w:hAnsi="Arial Narrow" w:cs="Arial"/>
                <w:b/>
                <w:snapToGrid w:val="0"/>
                <w:sz w:val="20"/>
                <w:szCs w:val="20"/>
                <w:lang w:eastAsia="en-US"/>
              </w:rPr>
            </w:pPr>
            <w:r w:rsidRPr="00B51ACB">
              <w:rPr>
                <w:rFonts w:ascii="Arial Narrow" w:hAnsi="Arial Narrow" w:cs="Arial"/>
                <w:b/>
                <w:snapToGrid w:val="0"/>
                <w:sz w:val="20"/>
                <w:szCs w:val="20"/>
                <w:lang w:eastAsia="en-US"/>
              </w:rPr>
              <w:t>Requested price</w:t>
            </w:r>
          </w:p>
        </w:tc>
        <w:tc>
          <w:tcPr>
            <w:tcW w:w="1703" w:type="pct"/>
          </w:tcPr>
          <w:p w:rsidR="00153066" w:rsidRPr="00B51ACB" w:rsidRDefault="00153066" w:rsidP="00247B39">
            <w:pPr>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The DPMQ for:</w:t>
            </w:r>
          </w:p>
          <w:p w:rsidR="00153066" w:rsidRPr="00B51ACB" w:rsidRDefault="00153066">
            <w:pPr>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6 x 40 mg ADA = $</w:t>
            </w:r>
            <w:r w:rsidR="00F53810">
              <w:rPr>
                <w:rFonts w:ascii="Arial Narrow" w:hAnsi="Arial Narrow" w:cs="Arial"/>
                <w:noProof/>
                <w:snapToGrid w:val="0"/>
                <w:color w:val="000000"/>
                <w:sz w:val="20"/>
                <w:szCs w:val="20"/>
                <w:highlight w:val="black"/>
                <w:lang w:eastAsia="en-US"/>
              </w:rPr>
              <w:t>''''''''''''''''''''''</w:t>
            </w:r>
          </w:p>
          <w:p w:rsidR="00153066" w:rsidRPr="00B51ACB" w:rsidRDefault="00153066">
            <w:pPr>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2 x 4</w:t>
            </w:r>
            <w:r w:rsidR="000C461C">
              <w:rPr>
                <w:rFonts w:ascii="Arial Narrow" w:hAnsi="Arial Narrow" w:cs="Arial"/>
                <w:snapToGrid w:val="0"/>
                <w:sz w:val="20"/>
                <w:szCs w:val="20"/>
                <w:lang w:eastAsia="en-US"/>
              </w:rPr>
              <w:t>0</w:t>
            </w:r>
            <w:r w:rsidRPr="00B51ACB">
              <w:rPr>
                <w:rFonts w:ascii="Arial Narrow" w:hAnsi="Arial Narrow" w:cs="Arial"/>
                <w:snapToGrid w:val="0"/>
                <w:sz w:val="20"/>
                <w:szCs w:val="20"/>
                <w:lang w:eastAsia="en-US"/>
              </w:rPr>
              <w:t> mg ADA = $</w:t>
            </w:r>
            <w:r w:rsidR="00F53810">
              <w:rPr>
                <w:rFonts w:ascii="Arial Narrow" w:hAnsi="Arial Narrow" w:cs="Arial"/>
                <w:noProof/>
                <w:snapToGrid w:val="0"/>
                <w:color w:val="000000"/>
                <w:sz w:val="20"/>
                <w:szCs w:val="20"/>
                <w:highlight w:val="black"/>
                <w:lang w:eastAsia="en-US"/>
              </w:rPr>
              <w:t>''''''''''''''''''''''</w:t>
            </w:r>
          </w:p>
          <w:p w:rsidR="00153066" w:rsidRPr="00B51ACB" w:rsidRDefault="00153066">
            <w:pPr>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 xml:space="preserve">Specific terms for an RSA were not proposed, however the sponsor was willing to enter into a RSA. </w:t>
            </w:r>
          </w:p>
        </w:tc>
        <w:tc>
          <w:tcPr>
            <w:tcW w:w="1379" w:type="pct"/>
          </w:tcPr>
          <w:p w:rsidR="00153066" w:rsidRPr="00B51ACB" w:rsidRDefault="00153066">
            <w:pPr>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The DPMQ for:</w:t>
            </w:r>
          </w:p>
          <w:p w:rsidR="00153066" w:rsidRPr="00B51ACB" w:rsidRDefault="00153066">
            <w:pPr>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6 x 40 mg ADA = $</w:t>
            </w:r>
            <w:r w:rsidR="00F53810">
              <w:rPr>
                <w:rFonts w:ascii="Arial Narrow" w:hAnsi="Arial Narrow" w:cs="Arial"/>
                <w:noProof/>
                <w:snapToGrid w:val="0"/>
                <w:color w:val="000000"/>
                <w:sz w:val="20"/>
                <w:szCs w:val="20"/>
                <w:highlight w:val="black"/>
                <w:lang w:eastAsia="en-US"/>
              </w:rPr>
              <w:t>'''''''''''''''''''</w:t>
            </w:r>
          </w:p>
          <w:p w:rsidR="00153066" w:rsidRPr="00B51ACB" w:rsidRDefault="00153066">
            <w:pPr>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2 x 40 mg ADA = same price as infliximab.</w:t>
            </w:r>
          </w:p>
          <w:p w:rsidR="00153066" w:rsidRPr="00B51ACB" w:rsidRDefault="00153066">
            <w:pPr>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 xml:space="preserve">Sponsor noted there is a Special Pricing Arrangement for infliximab and the price </w:t>
            </w:r>
            <w:r w:rsidRPr="00B51ACB">
              <w:rPr>
                <w:rFonts w:ascii="Arial Narrow" w:hAnsi="Arial Narrow" w:cs="Arial"/>
                <w:snapToGrid w:val="0"/>
                <w:sz w:val="20"/>
                <w:szCs w:val="20"/>
                <w:lang w:eastAsia="en-US"/>
              </w:rPr>
              <w:lastRenderedPageBreak/>
              <w:t xml:space="preserve">offer </w:t>
            </w:r>
            <w:r w:rsidR="00F53810">
              <w:rPr>
                <w:rFonts w:ascii="Arial Narrow" w:hAnsi="Arial Narrow" w:cs="Arial"/>
                <w:noProof/>
                <w:snapToGrid w:val="0"/>
                <w:color w:val="000000"/>
                <w:sz w:val="20"/>
                <w:szCs w:val="20"/>
                <w:highlight w:val="black"/>
                <w:lang w:eastAsia="en-US"/>
              </w:rPr>
              <w:t>''''''' ''''''' '''''''''''''''''' ''''''''''''''''''''''''''' ''''''''' '''' ''''''</w:t>
            </w:r>
            <w:r w:rsidRPr="00B51ACB">
              <w:rPr>
                <w:rFonts w:ascii="Arial Narrow" w:hAnsi="Arial Narrow" w:cs="Arial"/>
                <w:snapToGrid w:val="0"/>
                <w:sz w:val="20"/>
                <w:szCs w:val="20"/>
                <w:lang w:eastAsia="en-US"/>
              </w:rPr>
              <w:t xml:space="preserve">% </w:t>
            </w:r>
            <w:r w:rsidR="00F53810">
              <w:rPr>
                <w:rFonts w:ascii="Arial Narrow" w:hAnsi="Arial Narrow" w:cs="Arial"/>
                <w:noProof/>
                <w:snapToGrid w:val="0"/>
                <w:color w:val="000000"/>
                <w:sz w:val="20"/>
                <w:szCs w:val="20"/>
                <w:highlight w:val="black"/>
                <w:lang w:eastAsia="en-US"/>
              </w:rPr>
              <w:t>'''''''''' '''''''''''''''''''''</w:t>
            </w:r>
            <w:r w:rsidRPr="00B51ACB">
              <w:rPr>
                <w:rFonts w:ascii="Arial Narrow" w:hAnsi="Arial Narrow" w:cs="Arial"/>
                <w:snapToGrid w:val="0"/>
                <w:sz w:val="20"/>
                <w:szCs w:val="20"/>
                <w:lang w:eastAsia="en-US"/>
              </w:rPr>
              <w:t xml:space="preserve"> from the July 2015 resubmission.</w:t>
            </w:r>
          </w:p>
          <w:p w:rsidR="00153066" w:rsidRPr="00B51ACB" w:rsidRDefault="00153066">
            <w:pPr>
              <w:rPr>
                <w:rFonts w:ascii="Arial Narrow" w:hAnsi="Arial Narrow" w:cs="Arial"/>
                <w:snapToGrid w:val="0"/>
                <w:sz w:val="20"/>
                <w:szCs w:val="20"/>
                <w:lang w:eastAsia="en-US"/>
              </w:rPr>
            </w:pPr>
          </w:p>
          <w:p w:rsidR="00153066" w:rsidRPr="00B51ACB" w:rsidRDefault="00153066">
            <w:pPr>
              <w:rPr>
                <w:rFonts w:ascii="Arial Narrow" w:hAnsi="Arial Narrow" w:cs="Arial"/>
                <w:b/>
                <w:snapToGrid w:val="0"/>
                <w:sz w:val="20"/>
                <w:szCs w:val="20"/>
                <w:lang w:eastAsia="en-US"/>
              </w:rPr>
            </w:pPr>
            <w:r w:rsidRPr="00B51ACB">
              <w:rPr>
                <w:rFonts w:ascii="Arial Narrow" w:hAnsi="Arial Narrow" w:cs="Arial"/>
                <w:b/>
                <w:snapToGrid w:val="0"/>
                <w:sz w:val="20"/>
                <w:szCs w:val="20"/>
                <w:lang w:eastAsia="en-US"/>
              </w:rPr>
              <w:t>PBAC Comment:</w:t>
            </w:r>
          </w:p>
          <w:p w:rsidR="00153066" w:rsidRPr="00B51ACB" w:rsidRDefault="00153066" w:rsidP="00BD71C7">
            <w:pPr>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 xml:space="preserve">The PBAC noted that the resubmission offered a </w:t>
            </w:r>
            <w:r w:rsidR="00F53810">
              <w:rPr>
                <w:rFonts w:ascii="Arial Narrow" w:hAnsi="Arial Narrow" w:cs="Arial"/>
                <w:noProof/>
                <w:snapToGrid w:val="0"/>
                <w:color w:val="000000"/>
                <w:sz w:val="20"/>
                <w:szCs w:val="20"/>
                <w:highlight w:val="black"/>
                <w:lang w:eastAsia="en-US"/>
              </w:rPr>
              <w:t>''''''</w:t>
            </w:r>
            <w:r w:rsidRPr="00B51ACB">
              <w:rPr>
                <w:rFonts w:ascii="Arial Narrow" w:hAnsi="Arial Narrow" w:cs="Arial"/>
                <w:snapToGrid w:val="0"/>
                <w:sz w:val="20"/>
                <w:szCs w:val="20"/>
                <w:lang w:eastAsia="en-US"/>
              </w:rPr>
              <w:t xml:space="preserve">% </w:t>
            </w:r>
            <w:r w:rsidR="00F53810">
              <w:rPr>
                <w:rFonts w:ascii="Arial Narrow" w:hAnsi="Arial Narrow" w:cs="Arial"/>
                <w:noProof/>
                <w:snapToGrid w:val="0"/>
                <w:color w:val="000000"/>
                <w:sz w:val="20"/>
                <w:szCs w:val="20"/>
                <w:highlight w:val="black"/>
                <w:lang w:eastAsia="en-US"/>
              </w:rPr>
              <w:t>'''''''''' ''''''''''''''''''''''' '''' ''''''''' ''''''''''''''''''''' '''''''''''''''''''''''' '''''''''''''''</w:t>
            </w:r>
            <w:r w:rsidRPr="00B51ACB">
              <w:rPr>
                <w:rFonts w:ascii="Arial Narrow" w:hAnsi="Arial Narrow" w:cs="Arial"/>
                <w:snapToGrid w:val="0"/>
                <w:sz w:val="20"/>
                <w:szCs w:val="20"/>
                <w:lang w:eastAsia="en-US"/>
              </w:rPr>
              <w:t xml:space="preserve">. Given that inferiority (compared with infliximab) in the maintenance phase is also likely, there is no basis to accept the same price of infliximab. In the absence of a modelled economic evaluation of the cost savings per health outcome foregone, the PBAC considered that a reduction in price of adalimumab of around </w:t>
            </w:r>
            <w:r w:rsidR="00F53810">
              <w:rPr>
                <w:rFonts w:ascii="Arial Narrow" w:hAnsi="Arial Narrow" w:cs="Arial"/>
                <w:noProof/>
                <w:snapToGrid w:val="0"/>
                <w:color w:val="000000"/>
                <w:sz w:val="20"/>
                <w:szCs w:val="20"/>
                <w:highlight w:val="black"/>
                <w:lang w:eastAsia="en-US"/>
              </w:rPr>
              <w:t>''''''</w:t>
            </w:r>
            <w:r w:rsidRPr="00B51ACB">
              <w:rPr>
                <w:rFonts w:ascii="Arial Narrow" w:hAnsi="Arial Narrow" w:cs="Arial"/>
                <w:snapToGrid w:val="0"/>
                <w:sz w:val="20"/>
                <w:szCs w:val="20"/>
                <w:lang w:eastAsia="en-US"/>
              </w:rPr>
              <w:t xml:space="preserve">% in the maintenance treatment phase is likely to be reasonable given the observed relative treatment effects in both phases and that this about </w:t>
            </w:r>
            <w:r w:rsidR="00F53810">
              <w:rPr>
                <w:rFonts w:ascii="Arial Narrow" w:hAnsi="Arial Narrow" w:cs="Arial"/>
                <w:noProof/>
                <w:snapToGrid w:val="0"/>
                <w:color w:val="000000"/>
                <w:sz w:val="20"/>
                <w:szCs w:val="20"/>
                <w:highlight w:val="black"/>
                <w:lang w:eastAsia="en-US"/>
              </w:rPr>
              <w:t>''''''''''''''''''</w:t>
            </w:r>
            <w:r w:rsidRPr="00B51ACB">
              <w:rPr>
                <w:rFonts w:ascii="Arial Narrow" w:hAnsi="Arial Narrow" w:cs="Arial"/>
                <w:snapToGrid w:val="0"/>
                <w:sz w:val="20"/>
                <w:szCs w:val="20"/>
                <w:lang w:eastAsia="en-US"/>
              </w:rPr>
              <w:t xml:space="preserve"> of the </w:t>
            </w:r>
            <w:r w:rsidR="00F53810">
              <w:rPr>
                <w:rFonts w:ascii="Arial Narrow" w:hAnsi="Arial Narrow" w:cs="Arial"/>
                <w:noProof/>
                <w:snapToGrid w:val="0"/>
                <w:color w:val="000000"/>
                <w:sz w:val="20"/>
                <w:szCs w:val="20"/>
                <w:highlight w:val="black"/>
                <w:lang w:eastAsia="en-US"/>
              </w:rPr>
              <w:t>''''''''''''''''''''''' ''''''''''''''' ''''''' ''''''' ''''''''''''''''''''''' '''''''''''''''</w:t>
            </w:r>
            <w:r w:rsidRPr="00B51ACB">
              <w:rPr>
                <w:rFonts w:ascii="Arial Narrow" w:hAnsi="Arial Narrow" w:cs="Arial"/>
                <w:snapToGrid w:val="0"/>
                <w:sz w:val="20"/>
                <w:szCs w:val="20"/>
                <w:lang w:eastAsia="en-US"/>
              </w:rPr>
              <w:t>. [</w:t>
            </w:r>
            <w:r w:rsidR="00B96403">
              <w:rPr>
                <w:rFonts w:ascii="Arial Narrow" w:hAnsi="Arial Narrow" w:cs="Arial"/>
                <w:snapToGrid w:val="0"/>
                <w:sz w:val="20"/>
                <w:szCs w:val="20"/>
                <w:lang w:eastAsia="en-US"/>
              </w:rPr>
              <w:t>adalimumab PSD</w:t>
            </w:r>
            <w:r w:rsidRPr="00B51ACB">
              <w:rPr>
                <w:rFonts w:ascii="Arial Narrow" w:hAnsi="Arial Narrow" w:cs="Arial"/>
                <w:snapToGrid w:val="0"/>
                <w:sz w:val="20"/>
                <w:szCs w:val="20"/>
                <w:lang w:eastAsia="en-US"/>
              </w:rPr>
              <w:t xml:space="preserve"> Nov</w:t>
            </w:r>
            <w:r w:rsidR="001979F6">
              <w:rPr>
                <w:rFonts w:ascii="Arial Narrow" w:hAnsi="Arial Narrow" w:cs="Arial"/>
                <w:snapToGrid w:val="0"/>
                <w:sz w:val="20"/>
                <w:szCs w:val="20"/>
                <w:lang w:eastAsia="en-US"/>
              </w:rPr>
              <w:t>ember</w:t>
            </w:r>
            <w:r w:rsidRPr="00B51ACB">
              <w:rPr>
                <w:rFonts w:ascii="Arial Narrow" w:hAnsi="Arial Narrow" w:cs="Arial"/>
                <w:snapToGrid w:val="0"/>
                <w:sz w:val="20"/>
                <w:szCs w:val="20"/>
                <w:lang w:eastAsia="en-US"/>
              </w:rPr>
              <w:t xml:space="preserve"> </w:t>
            </w:r>
            <w:r w:rsidR="00B96403">
              <w:rPr>
                <w:rFonts w:ascii="Arial Narrow" w:hAnsi="Arial Narrow" w:cs="Arial"/>
                <w:snapToGrid w:val="0"/>
                <w:sz w:val="20"/>
                <w:szCs w:val="20"/>
                <w:lang w:eastAsia="en-US"/>
              </w:rPr>
              <w:t>20</w:t>
            </w:r>
            <w:r w:rsidRPr="00B51ACB">
              <w:rPr>
                <w:rFonts w:ascii="Arial Narrow" w:hAnsi="Arial Narrow" w:cs="Arial"/>
                <w:snapToGrid w:val="0"/>
                <w:sz w:val="20"/>
                <w:szCs w:val="20"/>
                <w:lang w:eastAsia="en-US"/>
              </w:rPr>
              <w:t>15 , para 7.8]</w:t>
            </w:r>
          </w:p>
        </w:tc>
        <w:tc>
          <w:tcPr>
            <w:tcW w:w="1379" w:type="pct"/>
          </w:tcPr>
          <w:p w:rsidR="00153066" w:rsidRPr="00B51ACB" w:rsidRDefault="00153066">
            <w:pPr>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lastRenderedPageBreak/>
              <w:t xml:space="preserve">A price reduction of </w:t>
            </w:r>
            <w:r w:rsidR="00F53810">
              <w:rPr>
                <w:rFonts w:ascii="Arial Narrow" w:hAnsi="Arial Narrow" w:cs="Arial"/>
                <w:noProof/>
                <w:snapToGrid w:val="0"/>
                <w:color w:val="000000"/>
                <w:sz w:val="20"/>
                <w:szCs w:val="20"/>
                <w:highlight w:val="black"/>
                <w:lang w:eastAsia="en-US"/>
              </w:rPr>
              <w:t>'''''</w:t>
            </w:r>
            <w:r w:rsidRPr="00B51ACB">
              <w:rPr>
                <w:rFonts w:ascii="Arial Narrow" w:hAnsi="Arial Narrow" w:cs="Arial"/>
                <w:snapToGrid w:val="0"/>
                <w:sz w:val="20"/>
                <w:szCs w:val="20"/>
                <w:lang w:eastAsia="en-US"/>
              </w:rPr>
              <w:t>% offered to</w:t>
            </w:r>
            <w:r w:rsidR="00F53810">
              <w:rPr>
                <w:rFonts w:ascii="Arial Narrow" w:hAnsi="Arial Narrow" w:cs="Arial"/>
                <w:noProof/>
                <w:snapToGrid w:val="0"/>
                <w:color w:val="000000"/>
                <w:sz w:val="20"/>
                <w:szCs w:val="20"/>
                <w:highlight w:val="black"/>
                <w:lang w:eastAsia="en-US"/>
              </w:rPr>
              <w:t xml:space="preserve"> ''''</w:t>
            </w:r>
            <w:r w:rsidRPr="00B51ACB">
              <w:rPr>
                <w:rFonts w:ascii="Arial Narrow" w:hAnsi="Arial Narrow" w:cs="Arial"/>
                <w:snapToGrid w:val="0"/>
                <w:sz w:val="20"/>
                <w:szCs w:val="20"/>
                <w:lang w:eastAsia="en-US"/>
              </w:rPr>
              <w:t>-pack (maintenance phase). The D</w:t>
            </w:r>
            <w:r w:rsidR="00F11D17" w:rsidRPr="00B51ACB">
              <w:rPr>
                <w:rFonts w:ascii="Arial Narrow" w:hAnsi="Arial Narrow" w:cs="Arial"/>
                <w:snapToGrid w:val="0"/>
                <w:sz w:val="20"/>
                <w:szCs w:val="20"/>
                <w:lang w:eastAsia="en-US"/>
              </w:rPr>
              <w:t>P</w:t>
            </w:r>
            <w:r w:rsidRPr="00B51ACB">
              <w:rPr>
                <w:rFonts w:ascii="Arial Narrow" w:hAnsi="Arial Narrow" w:cs="Arial"/>
                <w:snapToGrid w:val="0"/>
                <w:sz w:val="20"/>
                <w:szCs w:val="20"/>
                <w:lang w:eastAsia="en-US"/>
              </w:rPr>
              <w:t>MQ for:</w:t>
            </w:r>
          </w:p>
          <w:p w:rsidR="00153066" w:rsidRPr="00B51ACB" w:rsidRDefault="00153066">
            <w:pPr>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6 x 40 mg ADA = $</w:t>
            </w:r>
            <w:r w:rsidR="00F53810">
              <w:rPr>
                <w:rFonts w:ascii="Arial Narrow" w:hAnsi="Arial Narrow" w:cs="Arial"/>
                <w:noProof/>
                <w:snapToGrid w:val="0"/>
                <w:color w:val="000000"/>
                <w:sz w:val="20"/>
                <w:szCs w:val="20"/>
                <w:highlight w:val="black"/>
                <w:lang w:eastAsia="en-US"/>
              </w:rPr>
              <w:t>'''''''''''''''''''''</w:t>
            </w:r>
            <w:r w:rsidRPr="00B51ACB">
              <w:rPr>
                <w:rFonts w:ascii="Arial Narrow" w:hAnsi="Arial Narrow" w:cs="Arial"/>
                <w:snapToGrid w:val="0"/>
                <w:sz w:val="20"/>
                <w:szCs w:val="20"/>
                <w:lang w:eastAsia="en-US"/>
              </w:rPr>
              <w:t>*</w:t>
            </w:r>
          </w:p>
          <w:p w:rsidR="00153066" w:rsidRPr="00B51ACB" w:rsidRDefault="00153066">
            <w:pPr>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2 x 40 mg ADA = $</w:t>
            </w:r>
            <w:r w:rsidR="00F53810">
              <w:rPr>
                <w:rFonts w:ascii="Arial Narrow" w:hAnsi="Arial Narrow" w:cs="Arial"/>
                <w:noProof/>
                <w:snapToGrid w:val="0"/>
                <w:color w:val="000000"/>
                <w:sz w:val="20"/>
                <w:szCs w:val="20"/>
                <w:highlight w:val="black"/>
                <w:lang w:eastAsia="en-US"/>
              </w:rPr>
              <w:t>'''''''''''''''''''''''</w:t>
            </w:r>
            <w:r w:rsidRPr="00B51ACB">
              <w:rPr>
                <w:rFonts w:ascii="Arial Narrow" w:hAnsi="Arial Narrow" w:cs="Arial"/>
                <w:snapToGrid w:val="0"/>
                <w:sz w:val="20"/>
                <w:szCs w:val="20"/>
                <w:vertAlign w:val="superscript"/>
                <w:lang w:eastAsia="en-US"/>
              </w:rPr>
              <w:t>#</w:t>
            </w:r>
          </w:p>
          <w:p w:rsidR="00153066" w:rsidRPr="00B51ACB" w:rsidRDefault="00153066">
            <w:pPr>
              <w:rPr>
                <w:rFonts w:ascii="Arial Narrow" w:hAnsi="Arial Narrow" w:cs="Arial"/>
                <w:snapToGrid w:val="0"/>
                <w:sz w:val="20"/>
                <w:szCs w:val="20"/>
                <w:lang w:eastAsia="en-US"/>
              </w:rPr>
            </w:pPr>
          </w:p>
          <w:p w:rsidR="00153066" w:rsidRPr="00B51ACB" w:rsidRDefault="00153066">
            <w:pPr>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lastRenderedPageBreak/>
              <w:t xml:space="preserve">* </w:t>
            </w:r>
            <w:r w:rsidR="00F53810">
              <w:rPr>
                <w:rFonts w:ascii="Arial Narrow" w:hAnsi="Arial Narrow" w:cs="Arial"/>
                <w:noProof/>
                <w:snapToGrid w:val="0"/>
                <w:color w:val="000000"/>
                <w:sz w:val="20"/>
                <w:szCs w:val="20"/>
                <w:highlight w:val="black"/>
                <w:lang w:eastAsia="en-US"/>
              </w:rPr>
              <w:t>''''''</w:t>
            </w:r>
            <w:r w:rsidRPr="00B51ACB">
              <w:rPr>
                <w:rFonts w:ascii="Arial Narrow" w:hAnsi="Arial Narrow" w:cs="Arial"/>
                <w:snapToGrid w:val="0"/>
                <w:sz w:val="20"/>
                <w:szCs w:val="20"/>
                <w:lang w:eastAsia="en-US"/>
              </w:rPr>
              <w:t xml:space="preserve">% discount offered in the Nov 15 </w:t>
            </w:r>
            <w:r w:rsidR="002918A1" w:rsidRPr="00B51ACB">
              <w:rPr>
                <w:rFonts w:ascii="Arial Narrow" w:hAnsi="Arial Narrow" w:cs="Arial"/>
                <w:snapToGrid w:val="0"/>
                <w:sz w:val="20"/>
                <w:szCs w:val="20"/>
                <w:lang w:eastAsia="en-US"/>
              </w:rPr>
              <w:t>re</w:t>
            </w:r>
            <w:r w:rsidRPr="00B51ACB">
              <w:rPr>
                <w:rFonts w:ascii="Arial Narrow" w:hAnsi="Arial Narrow" w:cs="Arial"/>
                <w:snapToGrid w:val="0"/>
                <w:sz w:val="20"/>
                <w:szCs w:val="20"/>
                <w:lang w:eastAsia="en-US"/>
              </w:rPr>
              <w:t>submission</w:t>
            </w:r>
          </w:p>
          <w:p w:rsidR="00153066" w:rsidRPr="00B51ACB" w:rsidRDefault="00153066" w:rsidP="006E7AA1">
            <w:pPr>
              <w:rPr>
                <w:rFonts w:ascii="Arial Narrow" w:hAnsi="Arial Narrow" w:cs="Arial"/>
                <w:snapToGrid w:val="0"/>
                <w:sz w:val="20"/>
                <w:szCs w:val="20"/>
                <w:lang w:eastAsia="en-US"/>
              </w:rPr>
            </w:pPr>
            <w:r w:rsidRPr="00B51ACB">
              <w:rPr>
                <w:rFonts w:ascii="Arial Narrow" w:hAnsi="Arial Narrow" w:cs="Arial"/>
                <w:snapToGrid w:val="0"/>
                <w:sz w:val="20"/>
                <w:szCs w:val="20"/>
                <w:vertAlign w:val="superscript"/>
                <w:lang w:eastAsia="en-US"/>
              </w:rPr>
              <w:t>#</w:t>
            </w:r>
            <w:r w:rsidRPr="00B51ACB">
              <w:rPr>
                <w:rFonts w:ascii="Arial Narrow" w:hAnsi="Arial Narrow" w:cs="Arial"/>
                <w:snapToGrid w:val="0"/>
                <w:sz w:val="20"/>
                <w:szCs w:val="20"/>
                <w:lang w:eastAsia="en-US"/>
              </w:rPr>
              <w:t xml:space="preserve"> </w:t>
            </w:r>
            <w:r w:rsidR="00F53810">
              <w:rPr>
                <w:rFonts w:ascii="Arial Narrow" w:hAnsi="Arial Narrow" w:cs="Arial"/>
                <w:noProof/>
                <w:snapToGrid w:val="0"/>
                <w:color w:val="000000"/>
                <w:sz w:val="20"/>
                <w:szCs w:val="20"/>
                <w:highlight w:val="black"/>
                <w:lang w:eastAsia="en-US"/>
              </w:rPr>
              <w:t>''''''</w:t>
            </w:r>
            <w:r w:rsidRPr="00B51ACB">
              <w:rPr>
                <w:rFonts w:ascii="Arial Narrow" w:hAnsi="Arial Narrow" w:cs="Arial"/>
                <w:snapToGrid w:val="0"/>
                <w:sz w:val="20"/>
                <w:szCs w:val="20"/>
                <w:lang w:eastAsia="en-US"/>
              </w:rPr>
              <w:t xml:space="preserve">% discount offered in this </w:t>
            </w:r>
            <w:r w:rsidR="00F11D17" w:rsidRPr="00B51ACB">
              <w:rPr>
                <w:rFonts w:ascii="Arial Narrow" w:hAnsi="Arial Narrow" w:cs="Arial"/>
                <w:snapToGrid w:val="0"/>
                <w:sz w:val="20"/>
                <w:szCs w:val="20"/>
                <w:lang w:eastAsia="en-US"/>
              </w:rPr>
              <w:t>re</w:t>
            </w:r>
            <w:r w:rsidRPr="00B51ACB">
              <w:rPr>
                <w:rFonts w:ascii="Arial Narrow" w:hAnsi="Arial Narrow" w:cs="Arial"/>
                <w:snapToGrid w:val="0"/>
                <w:sz w:val="20"/>
                <w:szCs w:val="20"/>
                <w:lang w:eastAsia="en-US"/>
              </w:rPr>
              <w:t>submission</w:t>
            </w:r>
            <w:r w:rsidR="002918A1" w:rsidRPr="00B51ACB">
              <w:rPr>
                <w:rFonts w:ascii="Arial Narrow" w:hAnsi="Arial Narrow" w:cs="Arial"/>
                <w:snapToGrid w:val="0"/>
                <w:sz w:val="20"/>
                <w:szCs w:val="20"/>
                <w:lang w:eastAsia="en-US"/>
              </w:rPr>
              <w:t xml:space="preserve">, compared with the </w:t>
            </w:r>
            <w:r w:rsidR="00820747" w:rsidRPr="00B51ACB">
              <w:rPr>
                <w:rFonts w:ascii="Arial Narrow" w:hAnsi="Arial Narrow" w:cs="Arial"/>
                <w:snapToGrid w:val="0"/>
                <w:sz w:val="20"/>
                <w:szCs w:val="20"/>
                <w:lang w:eastAsia="en-US"/>
              </w:rPr>
              <w:t>published DPMQ f</w:t>
            </w:r>
            <w:r w:rsidR="00D23B7C" w:rsidRPr="00B51ACB">
              <w:rPr>
                <w:rFonts w:ascii="Arial Narrow" w:hAnsi="Arial Narrow" w:cs="Arial"/>
                <w:snapToGrid w:val="0"/>
                <w:sz w:val="20"/>
                <w:szCs w:val="20"/>
                <w:lang w:eastAsia="en-US"/>
              </w:rPr>
              <w:t xml:space="preserve">or the </w:t>
            </w:r>
            <w:r w:rsidR="00F53810">
              <w:rPr>
                <w:rFonts w:ascii="Arial Narrow" w:hAnsi="Arial Narrow" w:cs="Arial"/>
                <w:noProof/>
                <w:snapToGrid w:val="0"/>
                <w:color w:val="000000"/>
                <w:sz w:val="20"/>
                <w:szCs w:val="20"/>
                <w:highlight w:val="black"/>
                <w:lang w:eastAsia="en-US"/>
              </w:rPr>
              <w:t>''''</w:t>
            </w:r>
            <w:r w:rsidR="00D23B7C" w:rsidRPr="00B51ACB">
              <w:rPr>
                <w:rFonts w:ascii="Arial Narrow" w:hAnsi="Arial Narrow" w:cs="Arial"/>
                <w:snapToGrid w:val="0"/>
                <w:sz w:val="20"/>
                <w:szCs w:val="20"/>
                <w:lang w:eastAsia="en-US"/>
              </w:rPr>
              <w:t> </w:t>
            </w:r>
            <w:r w:rsidR="00820747" w:rsidRPr="00B51ACB">
              <w:rPr>
                <w:rFonts w:ascii="Arial Narrow" w:hAnsi="Arial Narrow" w:cs="Arial"/>
                <w:snapToGrid w:val="0"/>
                <w:sz w:val="20"/>
                <w:szCs w:val="20"/>
                <w:lang w:eastAsia="en-US"/>
              </w:rPr>
              <w:t xml:space="preserve">pack of adalimumab. </w:t>
            </w:r>
            <w:r w:rsidR="00DD5BB2" w:rsidRPr="00B51ACB">
              <w:rPr>
                <w:rFonts w:ascii="Arial Narrow" w:hAnsi="Arial Narrow" w:cs="Arial"/>
                <w:snapToGrid w:val="0"/>
                <w:sz w:val="20"/>
                <w:szCs w:val="20"/>
                <w:lang w:eastAsia="en-US"/>
              </w:rPr>
              <w:t xml:space="preserve">In November 2015, the PBAC considered that a reduction in price of adalimumab of around </w:t>
            </w:r>
            <w:r w:rsidR="00F53810">
              <w:rPr>
                <w:rFonts w:ascii="Arial Narrow" w:hAnsi="Arial Narrow" w:cs="Arial"/>
                <w:noProof/>
                <w:snapToGrid w:val="0"/>
                <w:color w:val="000000"/>
                <w:sz w:val="20"/>
                <w:szCs w:val="20"/>
                <w:highlight w:val="black"/>
                <w:lang w:eastAsia="en-US"/>
              </w:rPr>
              <w:t>'''''</w:t>
            </w:r>
            <w:r w:rsidR="00DD5BB2" w:rsidRPr="00B51ACB">
              <w:rPr>
                <w:rFonts w:ascii="Arial Narrow" w:hAnsi="Arial Narrow" w:cs="Arial"/>
                <w:snapToGrid w:val="0"/>
                <w:sz w:val="20"/>
                <w:szCs w:val="20"/>
                <w:lang w:eastAsia="en-US"/>
              </w:rPr>
              <w:t>% in the maintenance treatment phase (in the context of a proposed equivalent price to infliximab) is likely to be reasonable.</w:t>
            </w:r>
            <w:r w:rsidR="00DD5BB2" w:rsidRPr="00B51ACB">
              <w:rPr>
                <w:rFonts w:ascii="Arial Narrow" w:hAnsi="Arial Narrow" w:cs="Arial"/>
                <w:i/>
                <w:snapToGrid w:val="0"/>
                <w:sz w:val="20"/>
                <w:szCs w:val="20"/>
                <w:lang w:eastAsia="en-US"/>
              </w:rPr>
              <w:t xml:space="preserve"> </w:t>
            </w:r>
          </w:p>
        </w:tc>
      </w:tr>
      <w:tr w:rsidR="00153066" w:rsidRPr="00B51ACB" w:rsidTr="00517F9B">
        <w:trPr>
          <w:trHeight w:val="236"/>
        </w:trPr>
        <w:tc>
          <w:tcPr>
            <w:tcW w:w="539" w:type="pct"/>
          </w:tcPr>
          <w:p w:rsidR="00153066" w:rsidRPr="00B51ACB" w:rsidRDefault="00153066" w:rsidP="00F30D63">
            <w:pPr>
              <w:rPr>
                <w:rFonts w:ascii="Arial Narrow" w:hAnsi="Arial Narrow" w:cs="Arial"/>
                <w:snapToGrid w:val="0"/>
                <w:sz w:val="20"/>
                <w:szCs w:val="20"/>
                <w:lang w:eastAsia="en-US"/>
              </w:rPr>
            </w:pPr>
            <w:r w:rsidRPr="00B51ACB">
              <w:rPr>
                <w:rFonts w:ascii="Arial Narrow" w:hAnsi="Arial Narrow" w:cs="Arial"/>
                <w:b/>
                <w:snapToGrid w:val="0"/>
                <w:sz w:val="20"/>
                <w:szCs w:val="20"/>
                <w:lang w:eastAsia="en-US"/>
              </w:rPr>
              <w:lastRenderedPageBreak/>
              <w:t>Main comparato</w:t>
            </w:r>
            <w:r w:rsidRPr="00B51ACB">
              <w:rPr>
                <w:rFonts w:ascii="Arial Narrow" w:hAnsi="Arial Narrow" w:cs="Arial"/>
                <w:snapToGrid w:val="0"/>
                <w:sz w:val="20"/>
                <w:szCs w:val="20"/>
                <w:lang w:eastAsia="en-US"/>
              </w:rPr>
              <w:t>r</w:t>
            </w:r>
          </w:p>
        </w:tc>
        <w:tc>
          <w:tcPr>
            <w:tcW w:w="1703" w:type="pct"/>
          </w:tcPr>
          <w:p w:rsidR="00153066" w:rsidRPr="00B51ACB" w:rsidRDefault="00153066" w:rsidP="00247B39">
            <w:pPr>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Infliximab</w:t>
            </w:r>
          </w:p>
        </w:tc>
        <w:tc>
          <w:tcPr>
            <w:tcW w:w="1379" w:type="pct"/>
          </w:tcPr>
          <w:p w:rsidR="00153066" w:rsidRPr="00B51ACB" w:rsidRDefault="00153066">
            <w:pPr>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unchanged</w:t>
            </w:r>
          </w:p>
        </w:tc>
        <w:tc>
          <w:tcPr>
            <w:tcW w:w="1379" w:type="pct"/>
          </w:tcPr>
          <w:p w:rsidR="00153066" w:rsidRPr="00B51ACB" w:rsidRDefault="00153066">
            <w:pPr>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unchanged</w:t>
            </w:r>
          </w:p>
        </w:tc>
      </w:tr>
      <w:tr w:rsidR="00153066" w:rsidRPr="00B51ACB" w:rsidTr="00517F9B">
        <w:trPr>
          <w:trHeight w:val="860"/>
        </w:trPr>
        <w:tc>
          <w:tcPr>
            <w:tcW w:w="539" w:type="pct"/>
          </w:tcPr>
          <w:p w:rsidR="00153066" w:rsidRPr="00B51ACB" w:rsidRDefault="00153066" w:rsidP="00F30D63">
            <w:pPr>
              <w:rPr>
                <w:rFonts w:ascii="Arial Narrow" w:hAnsi="Arial Narrow" w:cs="Arial"/>
                <w:b/>
                <w:snapToGrid w:val="0"/>
                <w:sz w:val="20"/>
                <w:szCs w:val="20"/>
                <w:lang w:eastAsia="en-US"/>
              </w:rPr>
            </w:pPr>
            <w:r w:rsidRPr="00B51ACB">
              <w:rPr>
                <w:rFonts w:ascii="Arial Narrow" w:hAnsi="Arial Narrow" w:cs="Arial"/>
                <w:b/>
                <w:snapToGrid w:val="0"/>
                <w:sz w:val="20"/>
                <w:szCs w:val="20"/>
                <w:lang w:eastAsia="en-US"/>
              </w:rPr>
              <w:t>Clinical evidence</w:t>
            </w:r>
          </w:p>
        </w:tc>
        <w:tc>
          <w:tcPr>
            <w:tcW w:w="1703" w:type="pct"/>
          </w:tcPr>
          <w:p w:rsidR="00153066" w:rsidRPr="00B51ACB" w:rsidRDefault="00153066" w:rsidP="00247B39">
            <w:pPr>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An indirect comparison between adalimumab and infliximab was presented. It included the previously presented ULTRA 1 and ULTRA 2 trials plus Suzuki (2014) (n=274) and three Infliximab trials: included: ACT 1 (n=n364), ACT 2 (n=364), Probert (2003) (n=n43)</w:t>
            </w:r>
          </w:p>
          <w:p w:rsidR="00153066" w:rsidRPr="00B51ACB" w:rsidRDefault="00153066">
            <w:pPr>
              <w:rPr>
                <w:rFonts w:ascii="Arial Narrow" w:hAnsi="Arial Narrow" w:cs="Arial"/>
                <w:b/>
                <w:snapToGrid w:val="0"/>
                <w:sz w:val="20"/>
                <w:szCs w:val="20"/>
                <w:lang w:eastAsia="en-US"/>
              </w:rPr>
            </w:pPr>
            <w:r w:rsidRPr="00B51ACB">
              <w:rPr>
                <w:rFonts w:ascii="Arial Narrow" w:hAnsi="Arial Narrow" w:cs="Arial"/>
                <w:snapToGrid w:val="0"/>
                <w:sz w:val="20"/>
                <w:szCs w:val="20"/>
                <w:lang w:eastAsia="en-US"/>
              </w:rPr>
              <w:t>In addition, an indirect comparison to vedolizumab using GEMINI I (n=747, 374 induction and 373 maintenance) was included in an Attachment.</w:t>
            </w:r>
          </w:p>
        </w:tc>
        <w:tc>
          <w:tcPr>
            <w:tcW w:w="1379" w:type="pct"/>
          </w:tcPr>
          <w:p w:rsidR="00153066" w:rsidRPr="00B51ACB" w:rsidRDefault="00153066">
            <w:pPr>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No new clinical evidence presented.</w:t>
            </w:r>
          </w:p>
        </w:tc>
        <w:tc>
          <w:tcPr>
            <w:tcW w:w="1379" w:type="pct"/>
          </w:tcPr>
          <w:p w:rsidR="00153066" w:rsidRPr="00B51ACB" w:rsidRDefault="00153066">
            <w:pPr>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No new clinical evidence presented.</w:t>
            </w:r>
          </w:p>
        </w:tc>
      </w:tr>
      <w:tr w:rsidR="00153066" w:rsidRPr="00B51ACB" w:rsidTr="00517F9B">
        <w:trPr>
          <w:trHeight w:val="860"/>
        </w:trPr>
        <w:tc>
          <w:tcPr>
            <w:tcW w:w="539" w:type="pct"/>
          </w:tcPr>
          <w:p w:rsidR="00153066" w:rsidRPr="00B51ACB" w:rsidRDefault="00153066" w:rsidP="00F30D63">
            <w:pPr>
              <w:rPr>
                <w:rFonts w:ascii="Arial Narrow" w:hAnsi="Arial Narrow" w:cs="Arial"/>
                <w:b/>
                <w:snapToGrid w:val="0"/>
                <w:sz w:val="20"/>
                <w:szCs w:val="20"/>
                <w:lang w:eastAsia="en-US"/>
              </w:rPr>
            </w:pPr>
            <w:r w:rsidRPr="00B51ACB">
              <w:rPr>
                <w:rFonts w:ascii="Arial Narrow" w:hAnsi="Arial Narrow" w:cs="Arial"/>
                <w:b/>
                <w:snapToGrid w:val="0"/>
                <w:sz w:val="20"/>
                <w:szCs w:val="20"/>
                <w:lang w:eastAsia="en-US"/>
              </w:rPr>
              <w:t>Clinical claim</w:t>
            </w:r>
          </w:p>
        </w:tc>
        <w:tc>
          <w:tcPr>
            <w:tcW w:w="1703" w:type="pct"/>
          </w:tcPr>
          <w:p w:rsidR="00153066" w:rsidRPr="00B51ACB" w:rsidRDefault="00153066" w:rsidP="00247B39">
            <w:pPr>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The breadth of evidence suggests no statistically significant differences in efficacy and considered similar in safety for adalimumab vs infliximab (p152, of the resubmission).</w:t>
            </w:r>
          </w:p>
          <w:p w:rsidR="00153066" w:rsidRPr="00B51ACB" w:rsidRDefault="00153066" w:rsidP="00BD71C7">
            <w:pPr>
              <w:rPr>
                <w:rFonts w:ascii="Arial Narrow" w:hAnsi="Arial Narrow" w:cs="Arial"/>
                <w:snapToGrid w:val="0"/>
                <w:sz w:val="20"/>
                <w:szCs w:val="20"/>
                <w:lang w:eastAsia="en-US"/>
              </w:rPr>
            </w:pPr>
            <w:r w:rsidRPr="00B51ACB">
              <w:rPr>
                <w:rFonts w:ascii="Arial Narrow" w:hAnsi="Arial Narrow" w:cs="Arial"/>
                <w:b/>
                <w:snapToGrid w:val="0"/>
                <w:sz w:val="20"/>
                <w:szCs w:val="20"/>
                <w:lang w:eastAsia="en-US"/>
              </w:rPr>
              <w:t>PBAC Comment:</w:t>
            </w:r>
            <w:r w:rsidRPr="00B51ACB">
              <w:rPr>
                <w:rFonts w:ascii="Arial Narrow" w:hAnsi="Arial Narrow" w:cs="Arial"/>
                <w:snapToGrid w:val="0"/>
                <w:sz w:val="20"/>
                <w:szCs w:val="20"/>
                <w:lang w:eastAsia="en-US"/>
              </w:rPr>
              <w:t xml:space="preserve"> PBAC considered that the indirect comparisons </w:t>
            </w:r>
            <w:r w:rsidRPr="00B51ACB">
              <w:rPr>
                <w:rFonts w:ascii="Arial Narrow" w:hAnsi="Arial Narrow" w:cs="Arial"/>
                <w:snapToGrid w:val="0"/>
                <w:sz w:val="20"/>
                <w:szCs w:val="20"/>
                <w:lang w:eastAsia="en-US"/>
              </w:rPr>
              <w:lastRenderedPageBreak/>
              <w:t xml:space="preserve">presented in the resubmission provided low certainty evidence for the claim on non-inferiority between adalimumab and infliximab, both in the remission phase and in the maintenance phase. [adalimumab </w:t>
            </w:r>
            <w:r w:rsidR="00C11F1B">
              <w:rPr>
                <w:rFonts w:ascii="Arial Narrow" w:hAnsi="Arial Narrow" w:cs="Arial"/>
                <w:snapToGrid w:val="0"/>
                <w:sz w:val="20"/>
                <w:szCs w:val="20"/>
                <w:lang w:eastAsia="en-US"/>
              </w:rPr>
              <w:t>PSD</w:t>
            </w:r>
            <w:r w:rsidRPr="00B51ACB">
              <w:rPr>
                <w:rFonts w:ascii="Arial Narrow" w:hAnsi="Arial Narrow" w:cs="Arial"/>
                <w:snapToGrid w:val="0"/>
                <w:sz w:val="20"/>
                <w:szCs w:val="20"/>
                <w:lang w:eastAsia="en-US"/>
              </w:rPr>
              <w:t xml:space="preserve"> July 2015, </w:t>
            </w:r>
            <w:r w:rsidR="00C11F1B">
              <w:rPr>
                <w:rFonts w:ascii="Arial Narrow" w:hAnsi="Arial Narrow" w:cs="Arial"/>
                <w:snapToGrid w:val="0"/>
                <w:sz w:val="20"/>
                <w:szCs w:val="20"/>
                <w:lang w:eastAsia="en-US"/>
              </w:rPr>
              <w:t>para 7.7</w:t>
            </w:r>
            <w:r w:rsidRPr="00B51ACB">
              <w:rPr>
                <w:rFonts w:ascii="Arial Narrow" w:hAnsi="Arial Narrow" w:cs="Arial"/>
                <w:snapToGrid w:val="0"/>
                <w:sz w:val="20"/>
                <w:szCs w:val="20"/>
                <w:lang w:eastAsia="en-US"/>
              </w:rPr>
              <w:t>].</w:t>
            </w:r>
          </w:p>
        </w:tc>
        <w:tc>
          <w:tcPr>
            <w:tcW w:w="1379" w:type="pct"/>
          </w:tcPr>
          <w:p w:rsidR="00153066" w:rsidRPr="00B51ACB" w:rsidRDefault="00153066">
            <w:pPr>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lastRenderedPageBreak/>
              <w:t>Resubmission acknowledged inferiority in the induction phase.</w:t>
            </w:r>
          </w:p>
        </w:tc>
        <w:tc>
          <w:tcPr>
            <w:tcW w:w="1379" w:type="pct"/>
          </w:tcPr>
          <w:p w:rsidR="00153066" w:rsidRPr="00B51ACB" w:rsidRDefault="00D23B7C">
            <w:pPr>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 xml:space="preserve">Unchanged from November 2015 minor resubmission. </w:t>
            </w:r>
          </w:p>
        </w:tc>
      </w:tr>
      <w:tr w:rsidR="00153066" w:rsidRPr="00B51ACB" w:rsidTr="00517F9B">
        <w:trPr>
          <w:trHeight w:val="1298"/>
        </w:trPr>
        <w:tc>
          <w:tcPr>
            <w:tcW w:w="539" w:type="pct"/>
          </w:tcPr>
          <w:p w:rsidR="00153066" w:rsidRPr="00B51ACB" w:rsidRDefault="00153066" w:rsidP="00F30D63">
            <w:pPr>
              <w:rPr>
                <w:rFonts w:ascii="Arial Narrow" w:hAnsi="Arial Narrow" w:cs="Arial"/>
                <w:b/>
                <w:snapToGrid w:val="0"/>
                <w:sz w:val="20"/>
                <w:szCs w:val="20"/>
                <w:lang w:eastAsia="en-US"/>
              </w:rPr>
            </w:pPr>
            <w:r w:rsidRPr="00B51ACB">
              <w:rPr>
                <w:rFonts w:ascii="Arial Narrow" w:hAnsi="Arial Narrow" w:cs="Arial"/>
                <w:b/>
                <w:snapToGrid w:val="0"/>
                <w:sz w:val="20"/>
                <w:szCs w:val="20"/>
                <w:lang w:eastAsia="en-US"/>
              </w:rPr>
              <w:lastRenderedPageBreak/>
              <w:t>Clinical place</w:t>
            </w:r>
          </w:p>
        </w:tc>
        <w:tc>
          <w:tcPr>
            <w:tcW w:w="1703" w:type="pct"/>
          </w:tcPr>
          <w:p w:rsidR="00153066" w:rsidRPr="00B51ACB" w:rsidRDefault="00153066" w:rsidP="00247B39">
            <w:pPr>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The PBAC considered that non-inferiority between adalimumab and infliximab was not demonstrated, however, the PBAC considered the clinical positioning to be unreasonable and that adalimumab may be more appropriately placed as a subsequent-line biologic, following failure of, or intolerance to, infliximab or vedolizumab [</w:t>
            </w:r>
            <w:r w:rsidR="00B62B62">
              <w:rPr>
                <w:rFonts w:ascii="Arial Narrow" w:hAnsi="Arial Narrow" w:cs="Arial"/>
                <w:snapToGrid w:val="0"/>
                <w:sz w:val="20"/>
                <w:szCs w:val="20"/>
                <w:lang w:eastAsia="en-US"/>
              </w:rPr>
              <w:t xml:space="preserve"> </w:t>
            </w:r>
            <w:r w:rsidRPr="00B51ACB">
              <w:rPr>
                <w:rFonts w:ascii="Arial Narrow" w:hAnsi="Arial Narrow" w:cs="Arial"/>
                <w:snapToGrid w:val="0"/>
                <w:sz w:val="20"/>
                <w:szCs w:val="20"/>
                <w:lang w:eastAsia="en-US"/>
              </w:rPr>
              <w:t xml:space="preserve"> adalimumab </w:t>
            </w:r>
            <w:r w:rsidR="00B62B62">
              <w:rPr>
                <w:rFonts w:ascii="Arial Narrow" w:hAnsi="Arial Narrow" w:cs="Arial"/>
                <w:snapToGrid w:val="0"/>
                <w:sz w:val="20"/>
                <w:szCs w:val="20"/>
                <w:lang w:eastAsia="en-US"/>
              </w:rPr>
              <w:t>PSD</w:t>
            </w:r>
            <w:r w:rsidRPr="00B51ACB">
              <w:rPr>
                <w:rFonts w:ascii="Arial Narrow" w:hAnsi="Arial Narrow" w:cs="Arial"/>
                <w:snapToGrid w:val="0"/>
                <w:sz w:val="20"/>
                <w:szCs w:val="20"/>
                <w:lang w:eastAsia="en-US"/>
              </w:rPr>
              <w:t xml:space="preserve"> July 2015,</w:t>
            </w:r>
            <w:r w:rsidR="00B62B62">
              <w:rPr>
                <w:rFonts w:ascii="Arial Narrow" w:hAnsi="Arial Narrow" w:cs="Arial"/>
                <w:snapToGrid w:val="0"/>
                <w:sz w:val="20"/>
                <w:szCs w:val="20"/>
                <w:lang w:eastAsia="en-US"/>
              </w:rPr>
              <w:t xml:space="preserve"> para 7.3</w:t>
            </w:r>
            <w:r w:rsidRPr="00B51ACB">
              <w:rPr>
                <w:rFonts w:ascii="Arial Narrow" w:hAnsi="Arial Narrow" w:cs="Arial"/>
                <w:snapToGrid w:val="0"/>
                <w:sz w:val="20"/>
                <w:szCs w:val="20"/>
                <w:lang w:eastAsia="en-US"/>
              </w:rPr>
              <w:t>].</w:t>
            </w:r>
          </w:p>
          <w:p w:rsidR="00153066" w:rsidRPr="00B51ACB" w:rsidRDefault="00153066">
            <w:pPr>
              <w:rPr>
                <w:rFonts w:ascii="Arial Narrow" w:hAnsi="Arial Narrow" w:cs="Arial"/>
                <w:snapToGrid w:val="0"/>
                <w:sz w:val="20"/>
                <w:szCs w:val="20"/>
                <w:lang w:eastAsia="en-US"/>
              </w:rPr>
            </w:pPr>
          </w:p>
          <w:p w:rsidR="00153066" w:rsidRPr="00B51ACB" w:rsidRDefault="00153066" w:rsidP="00BD71C7">
            <w:pPr>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The PBAC considered that further evidence of non-inferiority against infliximab would need to be provided in any future major re-submission, preferably in the form of a head-to-head randomised trial. Alternatively, the PBAC considered that a way forward could be to position adalimumab as a later-line biologic treatment option following failure of, or intolerance to, infliximab or vedolizumab.</w:t>
            </w:r>
            <w:r w:rsidR="008A4D3B" w:rsidRPr="00B51ACB">
              <w:rPr>
                <w:rFonts w:ascii="Arial Narrow" w:hAnsi="Arial Narrow" w:cs="Arial"/>
                <w:snapToGrid w:val="0"/>
                <w:sz w:val="20"/>
                <w:szCs w:val="20"/>
                <w:lang w:eastAsia="en-US"/>
              </w:rPr>
              <w:t xml:space="preserve"> [</w:t>
            </w:r>
            <w:r w:rsidR="004947EB">
              <w:rPr>
                <w:rFonts w:ascii="Arial Narrow" w:hAnsi="Arial Narrow" w:cs="Arial"/>
                <w:snapToGrid w:val="0"/>
                <w:sz w:val="20"/>
                <w:szCs w:val="20"/>
                <w:lang w:eastAsia="en-US"/>
              </w:rPr>
              <w:t xml:space="preserve">adalimumab PSD </w:t>
            </w:r>
            <w:r w:rsidR="008A4D3B" w:rsidRPr="00B51ACB">
              <w:rPr>
                <w:rFonts w:ascii="Arial Narrow" w:hAnsi="Arial Narrow" w:cs="Arial"/>
                <w:snapToGrid w:val="0"/>
                <w:sz w:val="20"/>
                <w:szCs w:val="20"/>
                <w:lang w:eastAsia="en-US"/>
              </w:rPr>
              <w:t xml:space="preserve">July </w:t>
            </w:r>
            <w:r w:rsidR="004947EB">
              <w:rPr>
                <w:rFonts w:ascii="Arial Narrow" w:hAnsi="Arial Narrow" w:cs="Arial"/>
                <w:snapToGrid w:val="0"/>
                <w:sz w:val="20"/>
                <w:szCs w:val="20"/>
                <w:lang w:eastAsia="en-US"/>
              </w:rPr>
              <w:t>20</w:t>
            </w:r>
            <w:r w:rsidR="008A4D3B" w:rsidRPr="00B51ACB">
              <w:rPr>
                <w:rFonts w:ascii="Arial Narrow" w:hAnsi="Arial Narrow" w:cs="Arial"/>
                <w:snapToGrid w:val="0"/>
                <w:sz w:val="20"/>
                <w:szCs w:val="20"/>
                <w:lang w:eastAsia="en-US"/>
              </w:rPr>
              <w:t>15 , para 7.12]</w:t>
            </w:r>
          </w:p>
        </w:tc>
        <w:tc>
          <w:tcPr>
            <w:tcW w:w="1379" w:type="pct"/>
          </w:tcPr>
          <w:p w:rsidR="00153066" w:rsidRPr="00B51ACB" w:rsidRDefault="00153066">
            <w:pPr>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The PBAC reaffirmed its view from the July 2015 meeting that adalimumab may be more appropriately placed as a subsequent-line biologic, following failure of, or intol</w:t>
            </w:r>
            <w:r w:rsidR="00EC29CE">
              <w:rPr>
                <w:rFonts w:ascii="Arial Narrow" w:hAnsi="Arial Narrow" w:cs="Arial"/>
                <w:snapToGrid w:val="0"/>
                <w:sz w:val="20"/>
                <w:szCs w:val="20"/>
                <w:lang w:eastAsia="en-US"/>
              </w:rPr>
              <w:t>er</w:t>
            </w:r>
            <w:r w:rsidRPr="00B51ACB">
              <w:rPr>
                <w:rFonts w:ascii="Arial Narrow" w:hAnsi="Arial Narrow" w:cs="Arial"/>
                <w:snapToGrid w:val="0"/>
                <w:sz w:val="20"/>
                <w:szCs w:val="20"/>
                <w:lang w:eastAsia="en-US"/>
              </w:rPr>
              <w:t>ance to, infliximab or vedolizumab [</w:t>
            </w:r>
            <w:r w:rsidR="001C2539">
              <w:rPr>
                <w:rFonts w:ascii="Arial Narrow" w:hAnsi="Arial Narrow" w:cs="Arial"/>
                <w:snapToGrid w:val="0"/>
                <w:sz w:val="20"/>
                <w:szCs w:val="20"/>
                <w:lang w:eastAsia="en-US"/>
              </w:rPr>
              <w:t>adalimumab PSD</w:t>
            </w:r>
            <w:r w:rsidRPr="00B51ACB">
              <w:rPr>
                <w:rFonts w:ascii="Arial Narrow" w:hAnsi="Arial Narrow" w:cs="Arial"/>
                <w:snapToGrid w:val="0"/>
                <w:sz w:val="20"/>
                <w:szCs w:val="20"/>
                <w:lang w:eastAsia="en-US"/>
              </w:rPr>
              <w:t xml:space="preserve"> Nov</w:t>
            </w:r>
            <w:r w:rsidR="001C2539">
              <w:rPr>
                <w:rFonts w:ascii="Arial Narrow" w:hAnsi="Arial Narrow" w:cs="Arial"/>
                <w:snapToGrid w:val="0"/>
                <w:sz w:val="20"/>
                <w:szCs w:val="20"/>
                <w:lang w:eastAsia="en-US"/>
              </w:rPr>
              <w:t>ember</w:t>
            </w:r>
            <w:r w:rsidRPr="00B51ACB">
              <w:rPr>
                <w:rFonts w:ascii="Arial Narrow" w:hAnsi="Arial Narrow" w:cs="Arial"/>
                <w:snapToGrid w:val="0"/>
                <w:sz w:val="20"/>
                <w:szCs w:val="20"/>
                <w:lang w:eastAsia="en-US"/>
              </w:rPr>
              <w:t xml:space="preserve"> 2015, para</w:t>
            </w:r>
            <w:r w:rsidR="001C2539">
              <w:rPr>
                <w:rFonts w:ascii="Arial Narrow" w:hAnsi="Arial Narrow" w:cs="Arial"/>
                <w:snapToGrid w:val="0"/>
                <w:sz w:val="20"/>
                <w:szCs w:val="20"/>
                <w:lang w:eastAsia="en-US"/>
              </w:rPr>
              <w:t xml:space="preserve"> </w:t>
            </w:r>
            <w:r w:rsidRPr="00B51ACB">
              <w:rPr>
                <w:rFonts w:ascii="Arial Narrow" w:hAnsi="Arial Narrow" w:cs="Arial"/>
                <w:snapToGrid w:val="0"/>
                <w:sz w:val="20"/>
                <w:szCs w:val="20"/>
                <w:lang w:eastAsia="en-US"/>
              </w:rPr>
              <w:t xml:space="preserve"> 7.3]</w:t>
            </w:r>
          </w:p>
          <w:p w:rsidR="00153066" w:rsidRPr="00B51ACB" w:rsidRDefault="00153066">
            <w:pPr>
              <w:rPr>
                <w:rFonts w:ascii="Arial Narrow" w:hAnsi="Arial Narrow" w:cs="Arial"/>
                <w:snapToGrid w:val="0"/>
                <w:sz w:val="20"/>
                <w:szCs w:val="20"/>
                <w:lang w:eastAsia="en-US"/>
              </w:rPr>
            </w:pPr>
          </w:p>
          <w:p w:rsidR="00153066" w:rsidRPr="00B51ACB" w:rsidRDefault="00153066">
            <w:pPr>
              <w:rPr>
                <w:rFonts w:ascii="Arial Narrow" w:hAnsi="Arial Narrow" w:cs="Arial"/>
                <w:snapToGrid w:val="0"/>
                <w:sz w:val="20"/>
                <w:szCs w:val="20"/>
                <w:lang w:eastAsia="en-US"/>
              </w:rPr>
            </w:pPr>
          </w:p>
        </w:tc>
        <w:tc>
          <w:tcPr>
            <w:tcW w:w="1379" w:type="pct"/>
          </w:tcPr>
          <w:p w:rsidR="00153066" w:rsidRPr="00B51ACB" w:rsidRDefault="00153066">
            <w:pPr>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 xml:space="preserve">The current submission maintained adalimumab is appropriate for first line treatment.  </w:t>
            </w:r>
          </w:p>
        </w:tc>
      </w:tr>
      <w:tr w:rsidR="00153066" w:rsidRPr="00B51ACB" w:rsidTr="00517F9B">
        <w:trPr>
          <w:trHeight w:val="1298"/>
        </w:trPr>
        <w:tc>
          <w:tcPr>
            <w:tcW w:w="539" w:type="pct"/>
          </w:tcPr>
          <w:p w:rsidR="00153066" w:rsidRPr="00B51ACB" w:rsidRDefault="00153066" w:rsidP="00F30D63">
            <w:pPr>
              <w:rPr>
                <w:rFonts w:ascii="Arial Narrow" w:hAnsi="Arial Narrow" w:cs="Arial"/>
                <w:b/>
                <w:snapToGrid w:val="0"/>
                <w:sz w:val="20"/>
                <w:szCs w:val="20"/>
                <w:lang w:eastAsia="en-US"/>
              </w:rPr>
            </w:pPr>
            <w:r w:rsidRPr="00B51ACB">
              <w:rPr>
                <w:rFonts w:ascii="Arial Narrow" w:hAnsi="Arial Narrow" w:cs="Arial"/>
                <w:b/>
                <w:snapToGrid w:val="0"/>
                <w:sz w:val="20"/>
                <w:szCs w:val="20"/>
                <w:lang w:eastAsia="en-US"/>
              </w:rPr>
              <w:t>Economic evaluation</w:t>
            </w:r>
          </w:p>
        </w:tc>
        <w:tc>
          <w:tcPr>
            <w:tcW w:w="1703" w:type="pct"/>
          </w:tcPr>
          <w:p w:rsidR="00153066" w:rsidRPr="00B51ACB" w:rsidRDefault="00153066" w:rsidP="00247B39">
            <w:pPr>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Cost-minimisation analysis versus infliximab.</w:t>
            </w:r>
          </w:p>
          <w:p w:rsidR="00153066" w:rsidRPr="00B51ACB" w:rsidRDefault="00153066" w:rsidP="00BD71C7">
            <w:pPr>
              <w:tabs>
                <w:tab w:val="left" w:pos="1725"/>
              </w:tabs>
              <w:rPr>
                <w:rFonts w:ascii="Arial Narrow" w:hAnsi="Arial Narrow" w:cs="Arial"/>
                <w:snapToGrid w:val="0"/>
                <w:sz w:val="20"/>
                <w:szCs w:val="20"/>
                <w:lang w:eastAsia="en-US"/>
              </w:rPr>
            </w:pPr>
            <w:r w:rsidRPr="00B51ACB">
              <w:rPr>
                <w:rFonts w:ascii="Arial Narrow" w:hAnsi="Arial Narrow" w:cs="Arial"/>
                <w:b/>
                <w:snapToGrid w:val="0"/>
                <w:sz w:val="20"/>
                <w:szCs w:val="20"/>
                <w:lang w:eastAsia="en-US"/>
              </w:rPr>
              <w:t>PBAC Comment:</w:t>
            </w:r>
            <w:r w:rsidRPr="00B51ACB">
              <w:rPr>
                <w:rFonts w:ascii="Arial Narrow" w:hAnsi="Arial Narrow" w:cs="Arial"/>
                <w:snapToGrid w:val="0"/>
                <w:sz w:val="20"/>
                <w:szCs w:val="20"/>
                <w:lang w:eastAsia="en-US"/>
              </w:rPr>
              <w:t xml:space="preserve"> PBAC did not consider that the resubmission had conclusively demonstrated that adalimumab was non-inferior to infliximab, it also did not accept the cost-minimisation analysis. [adalimumab</w:t>
            </w:r>
            <w:r w:rsidR="007A7818">
              <w:rPr>
                <w:rFonts w:ascii="Arial Narrow" w:hAnsi="Arial Narrow" w:cs="Arial"/>
                <w:snapToGrid w:val="0"/>
                <w:sz w:val="20"/>
                <w:szCs w:val="20"/>
                <w:lang w:eastAsia="en-US"/>
              </w:rPr>
              <w:t xml:space="preserve"> PSD</w:t>
            </w:r>
            <w:r w:rsidRPr="00B51ACB">
              <w:rPr>
                <w:rFonts w:ascii="Arial Narrow" w:hAnsi="Arial Narrow" w:cs="Arial"/>
                <w:snapToGrid w:val="0"/>
                <w:sz w:val="20"/>
                <w:szCs w:val="20"/>
                <w:lang w:eastAsia="en-US"/>
              </w:rPr>
              <w:t xml:space="preserve"> July 2015, </w:t>
            </w:r>
            <w:r w:rsidR="007A7818">
              <w:rPr>
                <w:rFonts w:ascii="Arial Narrow" w:hAnsi="Arial Narrow" w:cs="Arial"/>
                <w:snapToGrid w:val="0"/>
                <w:sz w:val="20"/>
                <w:szCs w:val="20"/>
                <w:lang w:eastAsia="en-US"/>
              </w:rPr>
              <w:t>para 7.9</w:t>
            </w:r>
            <w:r w:rsidRPr="00B51ACB">
              <w:rPr>
                <w:rFonts w:ascii="Arial Narrow" w:hAnsi="Arial Narrow" w:cs="Arial"/>
                <w:snapToGrid w:val="0"/>
                <w:sz w:val="20"/>
                <w:szCs w:val="20"/>
                <w:lang w:eastAsia="en-US"/>
              </w:rPr>
              <w:t>].</w:t>
            </w:r>
          </w:p>
        </w:tc>
        <w:tc>
          <w:tcPr>
            <w:tcW w:w="1379" w:type="pct"/>
          </w:tcPr>
          <w:p w:rsidR="00153066" w:rsidRPr="00B51ACB" w:rsidRDefault="00153066">
            <w:pPr>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No economic evaluation presented.</w:t>
            </w:r>
          </w:p>
        </w:tc>
        <w:tc>
          <w:tcPr>
            <w:tcW w:w="1379" w:type="pct"/>
          </w:tcPr>
          <w:p w:rsidR="00153066" w:rsidRPr="00B51ACB" w:rsidRDefault="00153066">
            <w:pPr>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No economic evaluation presented.</w:t>
            </w:r>
          </w:p>
        </w:tc>
      </w:tr>
      <w:tr w:rsidR="00153066" w:rsidRPr="00B51ACB" w:rsidTr="00517F9B">
        <w:trPr>
          <w:trHeight w:val="64"/>
        </w:trPr>
        <w:tc>
          <w:tcPr>
            <w:tcW w:w="539" w:type="pct"/>
          </w:tcPr>
          <w:p w:rsidR="00153066" w:rsidRPr="00B51ACB" w:rsidRDefault="00153066" w:rsidP="00F30D63">
            <w:pPr>
              <w:rPr>
                <w:rFonts w:ascii="Arial Narrow" w:hAnsi="Arial Narrow" w:cs="Arial"/>
                <w:b/>
                <w:snapToGrid w:val="0"/>
                <w:sz w:val="20"/>
                <w:szCs w:val="20"/>
                <w:lang w:eastAsia="en-US"/>
              </w:rPr>
            </w:pPr>
            <w:r w:rsidRPr="00B51ACB">
              <w:rPr>
                <w:rFonts w:ascii="Arial Narrow" w:hAnsi="Arial Narrow" w:cs="Arial"/>
                <w:b/>
                <w:snapToGrid w:val="0"/>
                <w:sz w:val="20"/>
                <w:szCs w:val="20"/>
                <w:lang w:eastAsia="en-US"/>
              </w:rPr>
              <w:t>Number of patients</w:t>
            </w:r>
          </w:p>
        </w:tc>
        <w:tc>
          <w:tcPr>
            <w:tcW w:w="1703" w:type="pct"/>
          </w:tcPr>
          <w:p w:rsidR="00153066" w:rsidRPr="00B51ACB" w:rsidRDefault="00FF2BB4" w:rsidP="00FF2BB4">
            <w:pPr>
              <w:rPr>
                <w:rFonts w:ascii="Arial Narrow" w:hAnsi="Arial Narrow" w:cs="Arial"/>
                <w:snapToGrid w:val="0"/>
                <w:sz w:val="20"/>
                <w:szCs w:val="20"/>
                <w:lang w:eastAsia="en-US"/>
              </w:rPr>
            </w:pPr>
            <w:r>
              <w:rPr>
                <w:rFonts w:ascii="Arial Narrow" w:hAnsi="Arial Narrow" w:cs="Arial"/>
                <w:snapToGrid w:val="0"/>
                <w:sz w:val="20"/>
                <w:szCs w:val="20"/>
                <w:lang w:eastAsia="en-US"/>
              </w:rPr>
              <w:t>Less than 10,000</w:t>
            </w:r>
            <w:r w:rsidR="00153066" w:rsidRPr="00B51ACB">
              <w:rPr>
                <w:rFonts w:ascii="Arial Narrow" w:hAnsi="Arial Narrow" w:cs="Arial"/>
                <w:snapToGrid w:val="0"/>
                <w:sz w:val="20"/>
                <w:szCs w:val="20"/>
                <w:lang w:eastAsia="en-US"/>
              </w:rPr>
              <w:t xml:space="preserve"> in Year 1 increasing to </w:t>
            </w:r>
            <w:r>
              <w:rPr>
                <w:rFonts w:ascii="Arial Narrow" w:hAnsi="Arial Narrow" w:cs="Arial"/>
                <w:snapToGrid w:val="0"/>
                <w:sz w:val="20"/>
                <w:szCs w:val="20"/>
                <w:lang w:eastAsia="en-US"/>
              </w:rPr>
              <w:t>less than 10,000</w:t>
            </w:r>
            <w:r w:rsidR="00153066" w:rsidRPr="00B51ACB">
              <w:rPr>
                <w:rFonts w:ascii="Arial Narrow" w:hAnsi="Arial Narrow" w:cs="Arial"/>
                <w:snapToGrid w:val="0"/>
                <w:sz w:val="20"/>
                <w:szCs w:val="20"/>
                <w:lang w:eastAsia="en-US"/>
              </w:rPr>
              <w:t xml:space="preserve"> in Year 5.</w:t>
            </w:r>
          </w:p>
        </w:tc>
        <w:tc>
          <w:tcPr>
            <w:tcW w:w="1379" w:type="pct"/>
          </w:tcPr>
          <w:p w:rsidR="00153066" w:rsidRPr="00B51ACB" w:rsidRDefault="00153066">
            <w:pPr>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Unchanged</w:t>
            </w:r>
          </w:p>
        </w:tc>
        <w:tc>
          <w:tcPr>
            <w:tcW w:w="1379" w:type="pct"/>
          </w:tcPr>
          <w:p w:rsidR="00153066" w:rsidRPr="00B51ACB" w:rsidRDefault="00594B70">
            <w:pPr>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Unchanged</w:t>
            </w:r>
          </w:p>
        </w:tc>
      </w:tr>
      <w:tr w:rsidR="00153066" w:rsidRPr="00B51ACB" w:rsidTr="00517F9B">
        <w:trPr>
          <w:trHeight w:val="430"/>
        </w:trPr>
        <w:tc>
          <w:tcPr>
            <w:tcW w:w="539" w:type="pct"/>
          </w:tcPr>
          <w:p w:rsidR="00153066" w:rsidRPr="00B51ACB" w:rsidRDefault="00153066" w:rsidP="00F30D63">
            <w:pPr>
              <w:rPr>
                <w:rFonts w:ascii="Arial Narrow" w:hAnsi="Arial Narrow" w:cs="Arial"/>
                <w:b/>
                <w:snapToGrid w:val="0"/>
                <w:sz w:val="20"/>
                <w:szCs w:val="20"/>
                <w:lang w:eastAsia="en-US"/>
              </w:rPr>
            </w:pPr>
            <w:r w:rsidRPr="00B51ACB">
              <w:rPr>
                <w:rFonts w:ascii="Arial Narrow" w:hAnsi="Arial Narrow" w:cs="Arial"/>
                <w:b/>
                <w:snapToGrid w:val="0"/>
                <w:sz w:val="20"/>
                <w:szCs w:val="20"/>
                <w:lang w:eastAsia="en-US"/>
              </w:rPr>
              <w:t xml:space="preserve">Estimated </w:t>
            </w:r>
            <w:r w:rsidR="00594B70" w:rsidRPr="00B51ACB">
              <w:rPr>
                <w:rFonts w:ascii="Arial Narrow" w:hAnsi="Arial Narrow" w:cs="Arial"/>
                <w:b/>
                <w:snapToGrid w:val="0"/>
                <w:sz w:val="20"/>
                <w:szCs w:val="20"/>
                <w:lang w:eastAsia="en-US"/>
              </w:rPr>
              <w:t xml:space="preserve">net </w:t>
            </w:r>
            <w:r w:rsidRPr="00B51ACB">
              <w:rPr>
                <w:rFonts w:ascii="Arial Narrow" w:hAnsi="Arial Narrow" w:cs="Arial"/>
                <w:b/>
                <w:snapToGrid w:val="0"/>
                <w:sz w:val="20"/>
                <w:szCs w:val="20"/>
                <w:lang w:eastAsia="en-US"/>
              </w:rPr>
              <w:t>cost to PBS</w:t>
            </w:r>
            <w:r w:rsidR="00594B70" w:rsidRPr="00B51ACB">
              <w:rPr>
                <w:rFonts w:ascii="Arial Narrow" w:hAnsi="Arial Narrow" w:cs="Arial"/>
                <w:b/>
                <w:snapToGrid w:val="0"/>
                <w:sz w:val="20"/>
                <w:szCs w:val="20"/>
                <w:lang w:eastAsia="en-US"/>
              </w:rPr>
              <w:t xml:space="preserve"> and RPBS</w:t>
            </w:r>
          </w:p>
        </w:tc>
        <w:tc>
          <w:tcPr>
            <w:tcW w:w="1703" w:type="pct"/>
          </w:tcPr>
          <w:p w:rsidR="00153066" w:rsidRPr="00B51ACB" w:rsidRDefault="009643A5" w:rsidP="00821ED2">
            <w:pPr>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 xml:space="preserve">Net cost (taking into account cost savings from reduced use of infliximab) of </w:t>
            </w:r>
            <w:r w:rsidR="00821ED2">
              <w:rPr>
                <w:rFonts w:ascii="Arial Narrow" w:hAnsi="Arial Narrow" w:cs="Arial"/>
                <w:snapToGrid w:val="0"/>
                <w:sz w:val="20"/>
                <w:szCs w:val="20"/>
                <w:lang w:eastAsia="en-US"/>
              </w:rPr>
              <w:t>less than $10 million</w:t>
            </w:r>
            <w:r w:rsidR="00153066" w:rsidRPr="00B51ACB">
              <w:rPr>
                <w:rFonts w:ascii="Arial Narrow" w:hAnsi="Arial Narrow" w:cs="Arial"/>
                <w:snapToGrid w:val="0"/>
                <w:sz w:val="20"/>
                <w:szCs w:val="20"/>
                <w:lang w:eastAsia="en-US"/>
              </w:rPr>
              <w:t xml:space="preserve"> in Year 1</w:t>
            </w:r>
            <w:r w:rsidRPr="00B51ACB">
              <w:rPr>
                <w:rFonts w:ascii="Arial Narrow" w:hAnsi="Arial Narrow" w:cs="Arial"/>
                <w:snapToGrid w:val="0"/>
                <w:sz w:val="20"/>
                <w:szCs w:val="20"/>
                <w:lang w:eastAsia="en-US"/>
              </w:rPr>
              <w:t>,</w:t>
            </w:r>
            <w:r w:rsidR="00153066" w:rsidRPr="00B51ACB">
              <w:rPr>
                <w:rFonts w:ascii="Arial Narrow" w:hAnsi="Arial Narrow" w:cs="Arial"/>
                <w:snapToGrid w:val="0"/>
                <w:sz w:val="20"/>
                <w:szCs w:val="20"/>
                <w:lang w:eastAsia="en-US"/>
              </w:rPr>
              <w:t xml:space="preserve"> increasing to </w:t>
            </w:r>
            <w:r w:rsidR="00821ED2">
              <w:rPr>
                <w:rFonts w:ascii="Arial Narrow" w:hAnsi="Arial Narrow" w:cs="Arial"/>
                <w:snapToGrid w:val="0"/>
                <w:sz w:val="20"/>
                <w:szCs w:val="20"/>
                <w:lang w:eastAsia="en-US"/>
              </w:rPr>
              <w:t>less than $10 million</w:t>
            </w:r>
            <w:r w:rsidR="00153066" w:rsidRPr="00B51ACB">
              <w:rPr>
                <w:rFonts w:ascii="Arial Narrow" w:hAnsi="Arial Narrow" w:cs="Arial"/>
                <w:snapToGrid w:val="0"/>
                <w:sz w:val="20"/>
                <w:szCs w:val="20"/>
                <w:lang w:eastAsia="en-US"/>
              </w:rPr>
              <w:t xml:space="preserve"> in Year 5</w:t>
            </w:r>
            <w:r w:rsidR="00594B70" w:rsidRPr="00B51ACB">
              <w:rPr>
                <w:rFonts w:ascii="Arial Narrow" w:hAnsi="Arial Narrow" w:cs="Arial"/>
                <w:snapToGrid w:val="0"/>
                <w:sz w:val="20"/>
                <w:szCs w:val="20"/>
                <w:lang w:eastAsia="en-US"/>
              </w:rPr>
              <w:t>.</w:t>
            </w:r>
          </w:p>
        </w:tc>
        <w:tc>
          <w:tcPr>
            <w:tcW w:w="1379" w:type="pct"/>
          </w:tcPr>
          <w:p w:rsidR="00153066" w:rsidRPr="00B51ACB" w:rsidRDefault="00153066">
            <w:pPr>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 xml:space="preserve">The resubmission updated the financial estimates to reflect the </w:t>
            </w:r>
            <w:r w:rsidR="00F53810">
              <w:rPr>
                <w:rFonts w:ascii="Arial Narrow" w:hAnsi="Arial Narrow" w:cs="Arial"/>
                <w:noProof/>
                <w:snapToGrid w:val="0"/>
                <w:color w:val="000000"/>
                <w:sz w:val="20"/>
                <w:szCs w:val="20"/>
                <w:highlight w:val="black"/>
                <w:lang w:eastAsia="en-US"/>
              </w:rPr>
              <w:t>'''''</w:t>
            </w:r>
            <w:r w:rsidRPr="00B51ACB">
              <w:rPr>
                <w:rFonts w:ascii="Arial Narrow" w:hAnsi="Arial Narrow" w:cs="Arial"/>
                <w:snapToGrid w:val="0"/>
                <w:sz w:val="20"/>
                <w:szCs w:val="20"/>
                <w:lang w:eastAsia="en-US"/>
              </w:rPr>
              <w:t xml:space="preserve">% price reduction offer for the </w:t>
            </w:r>
            <w:r w:rsidR="00F53810">
              <w:rPr>
                <w:rFonts w:ascii="Arial Narrow" w:hAnsi="Arial Narrow" w:cs="Arial"/>
                <w:noProof/>
                <w:snapToGrid w:val="0"/>
                <w:color w:val="000000"/>
                <w:sz w:val="20"/>
                <w:szCs w:val="20"/>
                <w:highlight w:val="black"/>
                <w:lang w:eastAsia="en-US"/>
              </w:rPr>
              <w:t>'''''''''''''''' ''''''''''''''''''''''' '''''''''''''''''''</w:t>
            </w:r>
          </w:p>
          <w:p w:rsidR="00153066" w:rsidRPr="00B51ACB" w:rsidRDefault="00153066">
            <w:pPr>
              <w:rPr>
                <w:rFonts w:ascii="Arial Narrow" w:hAnsi="Arial Narrow" w:cs="Arial"/>
                <w:snapToGrid w:val="0"/>
                <w:sz w:val="20"/>
                <w:szCs w:val="20"/>
                <w:lang w:eastAsia="en-US"/>
              </w:rPr>
            </w:pPr>
          </w:p>
          <w:p w:rsidR="00153066" w:rsidRPr="00B51ACB" w:rsidRDefault="009643A5" w:rsidP="00DE077F">
            <w:pPr>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 xml:space="preserve">Revised net save of </w:t>
            </w:r>
            <w:r w:rsidR="00DE077F">
              <w:rPr>
                <w:rFonts w:ascii="Arial Narrow" w:hAnsi="Arial Narrow" w:cs="Arial"/>
                <w:snapToGrid w:val="0"/>
                <w:sz w:val="20"/>
                <w:szCs w:val="20"/>
                <w:lang w:eastAsia="en-US"/>
              </w:rPr>
              <w:t xml:space="preserve"> less than $10 milion</w:t>
            </w:r>
            <w:r w:rsidR="00153066" w:rsidRPr="00B51ACB">
              <w:rPr>
                <w:rFonts w:ascii="Arial Narrow" w:hAnsi="Arial Narrow" w:cs="Arial"/>
                <w:snapToGrid w:val="0"/>
                <w:sz w:val="20"/>
                <w:szCs w:val="20"/>
                <w:lang w:eastAsia="en-US"/>
              </w:rPr>
              <w:t xml:space="preserve"> in Year 1</w:t>
            </w:r>
            <w:r w:rsidRPr="00B51ACB">
              <w:rPr>
                <w:rFonts w:ascii="Arial Narrow" w:hAnsi="Arial Narrow" w:cs="Arial"/>
                <w:snapToGrid w:val="0"/>
                <w:sz w:val="20"/>
                <w:szCs w:val="20"/>
                <w:lang w:eastAsia="en-US"/>
              </w:rPr>
              <w:t>,</w:t>
            </w:r>
            <w:r w:rsidR="00153066" w:rsidRPr="00B51ACB">
              <w:rPr>
                <w:rFonts w:ascii="Arial Narrow" w:hAnsi="Arial Narrow" w:cs="Arial"/>
                <w:snapToGrid w:val="0"/>
                <w:sz w:val="20"/>
                <w:szCs w:val="20"/>
                <w:lang w:eastAsia="en-US"/>
              </w:rPr>
              <w:t xml:space="preserve"> </w:t>
            </w:r>
            <w:r w:rsidR="00153066" w:rsidRPr="00B51ACB">
              <w:rPr>
                <w:rFonts w:ascii="Arial Narrow" w:hAnsi="Arial Narrow" w:cs="Arial"/>
                <w:snapToGrid w:val="0"/>
                <w:sz w:val="20"/>
                <w:szCs w:val="20"/>
                <w:lang w:eastAsia="en-US"/>
              </w:rPr>
              <w:lastRenderedPageBreak/>
              <w:t xml:space="preserve">increasing to </w:t>
            </w:r>
            <w:r w:rsidRPr="00B51ACB">
              <w:rPr>
                <w:rFonts w:ascii="Arial Narrow" w:hAnsi="Arial Narrow" w:cs="Arial"/>
                <w:snapToGrid w:val="0"/>
                <w:sz w:val="20"/>
                <w:szCs w:val="20"/>
                <w:lang w:eastAsia="en-US"/>
              </w:rPr>
              <w:t xml:space="preserve">a net cost of </w:t>
            </w:r>
            <w:r w:rsidR="00DE077F">
              <w:rPr>
                <w:rFonts w:ascii="Arial Narrow" w:hAnsi="Arial Narrow" w:cs="Arial"/>
                <w:snapToGrid w:val="0"/>
                <w:sz w:val="20"/>
                <w:szCs w:val="20"/>
                <w:lang w:eastAsia="en-US"/>
              </w:rPr>
              <w:t>less than $10 million</w:t>
            </w:r>
            <w:r w:rsidR="00153066" w:rsidRPr="00B51ACB">
              <w:rPr>
                <w:rFonts w:ascii="Arial Narrow" w:hAnsi="Arial Narrow" w:cs="Arial"/>
                <w:snapToGrid w:val="0"/>
                <w:sz w:val="20"/>
                <w:szCs w:val="20"/>
                <w:lang w:eastAsia="en-US"/>
              </w:rPr>
              <w:t xml:space="preserve"> in Year 5</w:t>
            </w:r>
            <w:r w:rsidRPr="00B51ACB">
              <w:rPr>
                <w:rFonts w:ascii="Arial Narrow" w:hAnsi="Arial Narrow" w:cs="Arial"/>
                <w:snapToGrid w:val="0"/>
                <w:sz w:val="20"/>
                <w:szCs w:val="20"/>
                <w:lang w:eastAsia="en-US"/>
              </w:rPr>
              <w:t>.</w:t>
            </w:r>
          </w:p>
        </w:tc>
        <w:tc>
          <w:tcPr>
            <w:tcW w:w="1379" w:type="pct"/>
          </w:tcPr>
          <w:p w:rsidR="00153066" w:rsidRPr="00B51ACB" w:rsidRDefault="00153066">
            <w:pPr>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lastRenderedPageBreak/>
              <w:t xml:space="preserve">The resubmission updated the financial estimates to reflect the </w:t>
            </w:r>
            <w:r w:rsidR="00F53810">
              <w:rPr>
                <w:rFonts w:ascii="Arial Narrow" w:hAnsi="Arial Narrow" w:cs="Arial"/>
                <w:noProof/>
                <w:snapToGrid w:val="0"/>
                <w:color w:val="000000"/>
                <w:sz w:val="20"/>
                <w:szCs w:val="20"/>
                <w:highlight w:val="black"/>
                <w:lang w:eastAsia="en-US"/>
              </w:rPr>
              <w:t>'''''''</w:t>
            </w:r>
            <w:r w:rsidRPr="00B51ACB">
              <w:rPr>
                <w:rFonts w:ascii="Arial Narrow" w:hAnsi="Arial Narrow" w:cs="Arial"/>
                <w:snapToGrid w:val="0"/>
                <w:sz w:val="20"/>
                <w:szCs w:val="20"/>
                <w:lang w:eastAsia="en-US"/>
              </w:rPr>
              <w:t xml:space="preserve">% price reduction offer for the </w:t>
            </w:r>
            <w:r w:rsidR="00F53810">
              <w:rPr>
                <w:rFonts w:ascii="Arial Narrow" w:hAnsi="Arial Narrow" w:cs="Arial"/>
                <w:noProof/>
                <w:snapToGrid w:val="0"/>
                <w:color w:val="000000"/>
                <w:sz w:val="20"/>
                <w:szCs w:val="20"/>
                <w:highlight w:val="black"/>
                <w:lang w:eastAsia="en-US"/>
              </w:rPr>
              <w:t>'''</w:t>
            </w:r>
            <w:r w:rsidRPr="00B51ACB">
              <w:rPr>
                <w:rFonts w:ascii="Arial Narrow" w:hAnsi="Arial Narrow" w:cs="Arial"/>
                <w:snapToGrid w:val="0"/>
                <w:sz w:val="20"/>
                <w:szCs w:val="20"/>
                <w:lang w:eastAsia="en-US"/>
              </w:rPr>
              <w:t>-pack (maintenance course).</w:t>
            </w:r>
          </w:p>
          <w:p w:rsidR="00153066" w:rsidRPr="00B51ACB" w:rsidRDefault="00153066">
            <w:pPr>
              <w:rPr>
                <w:rFonts w:ascii="Arial Narrow" w:hAnsi="Arial Narrow" w:cs="Arial"/>
                <w:snapToGrid w:val="0"/>
                <w:sz w:val="20"/>
                <w:szCs w:val="20"/>
                <w:lang w:eastAsia="en-US"/>
              </w:rPr>
            </w:pPr>
          </w:p>
          <w:p w:rsidR="00153066" w:rsidRPr="00B51ACB" w:rsidRDefault="00153066" w:rsidP="00E53CA9">
            <w:pPr>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 xml:space="preserve">Revised net </w:t>
            </w:r>
            <w:r w:rsidR="009643A5" w:rsidRPr="00B51ACB">
              <w:rPr>
                <w:rFonts w:ascii="Arial Narrow" w:hAnsi="Arial Narrow" w:cs="Arial"/>
                <w:snapToGrid w:val="0"/>
                <w:sz w:val="20"/>
                <w:szCs w:val="20"/>
                <w:lang w:eastAsia="en-US"/>
              </w:rPr>
              <w:t>save</w:t>
            </w:r>
            <w:r w:rsidRPr="00B51ACB">
              <w:rPr>
                <w:rFonts w:ascii="Arial Narrow" w:hAnsi="Arial Narrow" w:cs="Arial"/>
                <w:snapToGrid w:val="0"/>
                <w:sz w:val="20"/>
                <w:szCs w:val="20"/>
                <w:lang w:eastAsia="en-US"/>
              </w:rPr>
              <w:t xml:space="preserve"> of </w:t>
            </w:r>
            <w:r w:rsidR="00E53CA9">
              <w:rPr>
                <w:rFonts w:ascii="Arial Narrow" w:hAnsi="Arial Narrow" w:cs="Arial"/>
                <w:snapToGrid w:val="0"/>
                <w:sz w:val="20"/>
                <w:szCs w:val="20"/>
                <w:lang w:eastAsia="en-US"/>
              </w:rPr>
              <w:t>less than $10 million</w:t>
            </w:r>
            <w:r w:rsidRPr="00B51ACB">
              <w:rPr>
                <w:rFonts w:ascii="Arial Narrow" w:hAnsi="Arial Narrow" w:cs="Arial"/>
                <w:snapToGrid w:val="0"/>
                <w:sz w:val="20"/>
                <w:szCs w:val="20"/>
                <w:lang w:eastAsia="en-US"/>
              </w:rPr>
              <w:t xml:space="preserve"> in Year 1</w:t>
            </w:r>
            <w:r w:rsidR="009643A5" w:rsidRPr="00B51ACB">
              <w:rPr>
                <w:rFonts w:ascii="Arial Narrow" w:hAnsi="Arial Narrow" w:cs="Arial"/>
                <w:snapToGrid w:val="0"/>
                <w:sz w:val="20"/>
                <w:szCs w:val="20"/>
                <w:lang w:eastAsia="en-US"/>
              </w:rPr>
              <w:t xml:space="preserve">, </w:t>
            </w:r>
            <w:r w:rsidR="009643A5" w:rsidRPr="00B51ACB">
              <w:rPr>
                <w:rFonts w:ascii="Arial Narrow" w:hAnsi="Arial Narrow" w:cs="Arial"/>
                <w:snapToGrid w:val="0"/>
                <w:sz w:val="20"/>
                <w:szCs w:val="20"/>
                <w:lang w:eastAsia="en-US"/>
              </w:rPr>
              <w:lastRenderedPageBreak/>
              <w:t xml:space="preserve">increasing to a net cost of </w:t>
            </w:r>
            <w:r w:rsidR="00E53CA9">
              <w:rPr>
                <w:rFonts w:ascii="Arial Narrow" w:hAnsi="Arial Narrow" w:cs="Arial"/>
                <w:snapToGrid w:val="0"/>
                <w:sz w:val="20"/>
                <w:szCs w:val="20"/>
                <w:lang w:eastAsia="en-US"/>
              </w:rPr>
              <w:t>less than $10 million</w:t>
            </w:r>
            <w:r w:rsidR="009643A5" w:rsidRPr="00B51ACB">
              <w:rPr>
                <w:rFonts w:ascii="Arial Narrow" w:hAnsi="Arial Narrow" w:cs="Arial"/>
                <w:snapToGrid w:val="0"/>
                <w:sz w:val="20"/>
                <w:szCs w:val="20"/>
                <w:lang w:eastAsia="en-US"/>
              </w:rPr>
              <w:t xml:space="preserve"> </w:t>
            </w:r>
            <w:r w:rsidRPr="00B51ACB">
              <w:rPr>
                <w:rFonts w:ascii="Arial Narrow" w:hAnsi="Arial Narrow" w:cs="Arial"/>
                <w:snapToGrid w:val="0"/>
                <w:sz w:val="20"/>
                <w:szCs w:val="20"/>
                <w:lang w:eastAsia="en-US"/>
              </w:rPr>
              <w:t>in Year 5.</w:t>
            </w:r>
          </w:p>
        </w:tc>
      </w:tr>
      <w:tr w:rsidR="00153066" w:rsidRPr="00B51ACB" w:rsidTr="00517F9B">
        <w:trPr>
          <w:trHeight w:val="438"/>
        </w:trPr>
        <w:tc>
          <w:tcPr>
            <w:tcW w:w="539" w:type="pct"/>
          </w:tcPr>
          <w:p w:rsidR="00153066" w:rsidRPr="00B51ACB" w:rsidRDefault="00153066" w:rsidP="00F30D63">
            <w:pPr>
              <w:rPr>
                <w:rFonts w:ascii="Arial Narrow" w:hAnsi="Arial Narrow" w:cs="Arial"/>
                <w:b/>
                <w:snapToGrid w:val="0"/>
                <w:sz w:val="20"/>
                <w:szCs w:val="20"/>
                <w:lang w:eastAsia="en-US"/>
              </w:rPr>
            </w:pPr>
            <w:r w:rsidRPr="00B51ACB">
              <w:rPr>
                <w:rFonts w:ascii="Arial Narrow" w:hAnsi="Arial Narrow" w:cs="Arial"/>
                <w:snapToGrid w:val="0"/>
                <w:sz w:val="20"/>
                <w:szCs w:val="20"/>
                <w:lang w:eastAsia="en-US"/>
              </w:rPr>
              <w:lastRenderedPageBreak/>
              <w:br w:type="page"/>
            </w:r>
            <w:r w:rsidRPr="00B51ACB">
              <w:rPr>
                <w:rFonts w:ascii="Arial Narrow" w:hAnsi="Arial Narrow" w:cs="Arial"/>
                <w:b/>
                <w:snapToGrid w:val="0"/>
                <w:sz w:val="20"/>
                <w:szCs w:val="20"/>
                <w:lang w:eastAsia="en-US"/>
              </w:rPr>
              <w:t>PBAC decision</w:t>
            </w:r>
          </w:p>
        </w:tc>
        <w:tc>
          <w:tcPr>
            <w:tcW w:w="1703" w:type="pct"/>
          </w:tcPr>
          <w:p w:rsidR="00153066" w:rsidRPr="00B51ACB" w:rsidRDefault="00153066" w:rsidP="00247B39">
            <w:pPr>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The PBAC rejected the request to extend the PBS listing for adalimumab to include the treatment of moderate to severe UC on the basis that the evidence presented did not establish non-inferiority of adalimumab to the nominated comparator (infliximab).</w:t>
            </w:r>
          </w:p>
        </w:tc>
        <w:tc>
          <w:tcPr>
            <w:tcW w:w="1379" w:type="pct"/>
          </w:tcPr>
          <w:p w:rsidR="00153066" w:rsidRPr="00B51ACB" w:rsidRDefault="00153066" w:rsidP="00BD71C7">
            <w:pPr>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The PBAC rejected the request to extend the PBS listing of adalimumab for the treatment of patients with moderate to severe ulcerative colitis on the basis that the evidence presented in the July 2015 PBAC meeting did not support the non-inferiority claim in the maintenance phase against infliximab. [</w:t>
            </w:r>
            <w:r w:rsidR="00805E22">
              <w:rPr>
                <w:rFonts w:ascii="Arial Narrow" w:hAnsi="Arial Narrow" w:cs="Arial"/>
                <w:snapToGrid w:val="0"/>
                <w:sz w:val="20"/>
                <w:szCs w:val="20"/>
                <w:lang w:eastAsia="en-US"/>
              </w:rPr>
              <w:t>adalimumab PSD</w:t>
            </w:r>
            <w:r w:rsidR="00805E22" w:rsidRPr="00B51ACB">
              <w:rPr>
                <w:rFonts w:ascii="Arial Narrow" w:hAnsi="Arial Narrow" w:cs="Arial"/>
                <w:snapToGrid w:val="0"/>
                <w:sz w:val="20"/>
                <w:szCs w:val="20"/>
                <w:lang w:eastAsia="en-US"/>
              </w:rPr>
              <w:t xml:space="preserve"> </w:t>
            </w:r>
            <w:r w:rsidRPr="00B51ACB">
              <w:rPr>
                <w:rFonts w:ascii="Arial Narrow" w:hAnsi="Arial Narrow" w:cs="Arial"/>
                <w:snapToGrid w:val="0"/>
                <w:sz w:val="20"/>
                <w:szCs w:val="20"/>
                <w:lang w:eastAsia="en-US"/>
              </w:rPr>
              <w:t>Nov</w:t>
            </w:r>
            <w:r w:rsidR="00805E22">
              <w:rPr>
                <w:rFonts w:ascii="Arial Narrow" w:hAnsi="Arial Narrow" w:cs="Arial"/>
                <w:snapToGrid w:val="0"/>
                <w:sz w:val="20"/>
                <w:szCs w:val="20"/>
                <w:lang w:eastAsia="en-US"/>
              </w:rPr>
              <w:t>ember</w:t>
            </w:r>
            <w:r w:rsidRPr="00B51ACB">
              <w:rPr>
                <w:rFonts w:ascii="Arial Narrow" w:hAnsi="Arial Narrow" w:cs="Arial"/>
                <w:snapToGrid w:val="0"/>
                <w:sz w:val="20"/>
                <w:szCs w:val="20"/>
                <w:lang w:eastAsia="en-US"/>
              </w:rPr>
              <w:t xml:space="preserve"> 2015 , para 7.1]</w:t>
            </w:r>
          </w:p>
        </w:tc>
        <w:tc>
          <w:tcPr>
            <w:tcW w:w="1379" w:type="pct"/>
          </w:tcPr>
          <w:p w:rsidR="00153066" w:rsidRPr="00B51ACB" w:rsidRDefault="009643A5">
            <w:pPr>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w:t>
            </w:r>
          </w:p>
        </w:tc>
      </w:tr>
    </w:tbl>
    <w:p w:rsidR="001149FE" w:rsidRPr="00B51ACB" w:rsidRDefault="001149FE" w:rsidP="00F30D63">
      <w:pPr>
        <w:jc w:val="both"/>
        <w:rPr>
          <w:rFonts w:ascii="Arial" w:hAnsi="Arial"/>
          <w:b/>
          <w:sz w:val="22"/>
          <w:szCs w:val="22"/>
        </w:rPr>
      </w:pPr>
    </w:p>
    <w:p w:rsidR="001149FE" w:rsidRPr="00B51ACB" w:rsidRDefault="001149FE">
      <w:pPr>
        <w:ind w:left="709"/>
        <w:contextualSpacing/>
        <w:jc w:val="both"/>
        <w:rPr>
          <w:rFonts w:ascii="Arial" w:hAnsi="Arial" w:cs="Arial"/>
          <w:i/>
          <w:snapToGrid w:val="0"/>
          <w:sz w:val="22"/>
          <w:szCs w:val="22"/>
          <w:lang w:eastAsia="en-US"/>
        </w:rPr>
      </w:pPr>
      <w:r w:rsidRPr="00B51ACB">
        <w:rPr>
          <w:rFonts w:ascii="Arial" w:hAnsi="Arial" w:cs="Arial"/>
          <w:i/>
          <w:snapToGrid w:val="0"/>
          <w:sz w:val="22"/>
          <w:szCs w:val="22"/>
          <w:lang w:eastAsia="en-US"/>
        </w:rPr>
        <w:t>For more detail on PBAC’s view, see section 7 “PBAC outcome”</w:t>
      </w:r>
    </w:p>
    <w:p w:rsidR="001149FE" w:rsidRPr="00B51ACB" w:rsidRDefault="001149FE">
      <w:pPr>
        <w:ind w:left="709"/>
        <w:contextualSpacing/>
        <w:jc w:val="both"/>
        <w:rPr>
          <w:rFonts w:ascii="Arial" w:hAnsi="Arial"/>
          <w:sz w:val="22"/>
          <w:szCs w:val="22"/>
        </w:rPr>
      </w:pPr>
    </w:p>
    <w:p w:rsidR="001149FE" w:rsidRPr="00B51ACB" w:rsidRDefault="001149FE">
      <w:pPr>
        <w:pStyle w:val="ListParagraph"/>
        <w:jc w:val="both"/>
        <w:rPr>
          <w:rFonts w:ascii="Arial" w:hAnsi="Arial"/>
          <w:sz w:val="22"/>
          <w:szCs w:val="22"/>
        </w:rPr>
      </w:pPr>
    </w:p>
    <w:p w:rsidR="00BC764B" w:rsidRPr="00B51ACB" w:rsidRDefault="00BC764B" w:rsidP="00181333">
      <w:pPr>
        <w:pStyle w:val="Heading1"/>
      </w:pPr>
      <w:r w:rsidRPr="00B51ACB">
        <w:t>Requested listing</w:t>
      </w:r>
    </w:p>
    <w:p w:rsidR="00A46F78" w:rsidRPr="00B51ACB" w:rsidRDefault="00A46F78">
      <w:pPr>
        <w:pStyle w:val="ListParagraph"/>
        <w:jc w:val="both"/>
        <w:rPr>
          <w:rFonts w:ascii="Arial" w:hAnsi="Arial"/>
          <w:i/>
          <w:sz w:val="22"/>
          <w:szCs w:val="22"/>
        </w:rPr>
      </w:pPr>
    </w:p>
    <w:p w:rsidR="004D1F39" w:rsidRDefault="004D1F39" w:rsidP="00767CAC">
      <w:pPr>
        <w:pStyle w:val="ListParagraph"/>
        <w:numPr>
          <w:ilvl w:val="1"/>
          <w:numId w:val="1"/>
        </w:numPr>
        <w:jc w:val="both"/>
        <w:rPr>
          <w:rFonts w:ascii="Arial" w:hAnsi="Arial"/>
          <w:sz w:val="22"/>
          <w:szCs w:val="22"/>
        </w:rPr>
      </w:pPr>
      <w:r w:rsidRPr="00B51ACB">
        <w:rPr>
          <w:rFonts w:ascii="Arial" w:hAnsi="Arial"/>
          <w:sz w:val="22"/>
          <w:szCs w:val="22"/>
        </w:rPr>
        <w:t xml:space="preserve">The minor resubmission </w:t>
      </w:r>
      <w:r w:rsidR="00153066" w:rsidRPr="00B51ACB">
        <w:rPr>
          <w:rFonts w:ascii="Arial" w:hAnsi="Arial"/>
          <w:sz w:val="22"/>
          <w:szCs w:val="22"/>
        </w:rPr>
        <w:t xml:space="preserve">reaffirmed its previous offer of </w:t>
      </w:r>
      <w:r w:rsidR="00F53810">
        <w:rPr>
          <w:rFonts w:ascii="Arial" w:hAnsi="Arial"/>
          <w:noProof/>
          <w:color w:val="000000"/>
          <w:sz w:val="22"/>
          <w:szCs w:val="22"/>
          <w:highlight w:val="black"/>
        </w:rPr>
        <w:t>'''''''</w:t>
      </w:r>
      <w:r w:rsidR="00153066" w:rsidRPr="00B51ACB">
        <w:rPr>
          <w:rFonts w:ascii="Arial" w:hAnsi="Arial"/>
          <w:sz w:val="22"/>
          <w:szCs w:val="22"/>
        </w:rPr>
        <w:t xml:space="preserve">% price </w:t>
      </w:r>
      <w:r w:rsidR="007B2321">
        <w:rPr>
          <w:rFonts w:ascii="Arial" w:hAnsi="Arial"/>
          <w:sz w:val="22"/>
          <w:szCs w:val="22"/>
        </w:rPr>
        <w:t>reduction</w:t>
      </w:r>
      <w:r w:rsidR="007B2321" w:rsidRPr="00B51ACB">
        <w:rPr>
          <w:rFonts w:ascii="Arial" w:hAnsi="Arial"/>
          <w:sz w:val="22"/>
          <w:szCs w:val="22"/>
        </w:rPr>
        <w:t xml:space="preserve"> </w:t>
      </w:r>
      <w:r w:rsidR="00153066" w:rsidRPr="00B51ACB">
        <w:rPr>
          <w:rFonts w:ascii="Arial" w:hAnsi="Arial"/>
          <w:sz w:val="22"/>
          <w:szCs w:val="22"/>
        </w:rPr>
        <w:t xml:space="preserve">to the </w:t>
      </w:r>
      <w:r w:rsidR="00F53810">
        <w:rPr>
          <w:rFonts w:ascii="Arial" w:hAnsi="Arial"/>
          <w:noProof/>
          <w:color w:val="000000"/>
          <w:sz w:val="22"/>
          <w:szCs w:val="22"/>
          <w:highlight w:val="black"/>
        </w:rPr>
        <w:t>''''</w:t>
      </w:r>
      <w:r w:rsidR="00B96FD5">
        <w:rPr>
          <w:rFonts w:ascii="Arial" w:hAnsi="Arial"/>
          <w:sz w:val="22"/>
          <w:szCs w:val="22"/>
        </w:rPr>
        <w:noBreakHyphen/>
      </w:r>
      <w:r w:rsidR="007E1EEF" w:rsidRPr="00B51ACB">
        <w:rPr>
          <w:rFonts w:ascii="Arial" w:hAnsi="Arial"/>
          <w:sz w:val="22"/>
          <w:szCs w:val="22"/>
        </w:rPr>
        <w:t xml:space="preserve">pack </w:t>
      </w:r>
      <w:r w:rsidR="00153066" w:rsidRPr="00B51ACB">
        <w:rPr>
          <w:rFonts w:ascii="Arial" w:hAnsi="Arial"/>
          <w:sz w:val="22"/>
          <w:szCs w:val="22"/>
        </w:rPr>
        <w:t>and further offered</w:t>
      </w:r>
      <w:r w:rsidRPr="00B51ACB">
        <w:rPr>
          <w:rFonts w:ascii="Arial" w:hAnsi="Arial"/>
          <w:sz w:val="22"/>
          <w:szCs w:val="22"/>
        </w:rPr>
        <w:t xml:space="preserve"> </w:t>
      </w:r>
      <w:r w:rsidR="00153066" w:rsidRPr="00B51ACB">
        <w:rPr>
          <w:rFonts w:ascii="Arial" w:hAnsi="Arial"/>
          <w:sz w:val="22"/>
          <w:szCs w:val="22"/>
        </w:rPr>
        <w:t xml:space="preserve">a </w:t>
      </w:r>
      <w:r w:rsidR="00F53810">
        <w:rPr>
          <w:rFonts w:ascii="Arial" w:hAnsi="Arial"/>
          <w:noProof/>
          <w:color w:val="000000"/>
          <w:sz w:val="22"/>
          <w:szCs w:val="22"/>
          <w:highlight w:val="black"/>
        </w:rPr>
        <w:t>''''''</w:t>
      </w:r>
      <w:r w:rsidR="00153066" w:rsidRPr="00B51ACB">
        <w:rPr>
          <w:rFonts w:ascii="Arial" w:hAnsi="Arial"/>
          <w:sz w:val="22"/>
          <w:szCs w:val="22"/>
        </w:rPr>
        <w:t xml:space="preserve">% price </w:t>
      </w:r>
      <w:r w:rsidR="007B2321">
        <w:rPr>
          <w:rFonts w:ascii="Arial" w:hAnsi="Arial"/>
          <w:sz w:val="22"/>
          <w:szCs w:val="22"/>
        </w:rPr>
        <w:t>reduction</w:t>
      </w:r>
      <w:r w:rsidR="007B2321" w:rsidRPr="00B51ACB">
        <w:rPr>
          <w:rFonts w:ascii="Arial" w:hAnsi="Arial"/>
          <w:sz w:val="22"/>
          <w:szCs w:val="22"/>
        </w:rPr>
        <w:t xml:space="preserve"> </w:t>
      </w:r>
      <w:r w:rsidRPr="00B51ACB">
        <w:rPr>
          <w:rFonts w:ascii="Arial" w:hAnsi="Arial"/>
          <w:sz w:val="22"/>
          <w:szCs w:val="22"/>
        </w:rPr>
        <w:t xml:space="preserve">to the </w:t>
      </w:r>
      <w:r w:rsidR="00F53810">
        <w:rPr>
          <w:rFonts w:ascii="Arial" w:hAnsi="Arial"/>
          <w:noProof/>
          <w:color w:val="000000"/>
          <w:sz w:val="22"/>
          <w:szCs w:val="22"/>
          <w:highlight w:val="black"/>
        </w:rPr>
        <w:t>''''</w:t>
      </w:r>
      <w:r w:rsidR="00153066" w:rsidRPr="00B51ACB">
        <w:rPr>
          <w:rFonts w:ascii="Arial" w:hAnsi="Arial"/>
          <w:sz w:val="22"/>
          <w:szCs w:val="22"/>
        </w:rPr>
        <w:t xml:space="preserve"> pack of </w:t>
      </w:r>
      <w:r w:rsidRPr="00B51ACB">
        <w:rPr>
          <w:rFonts w:ascii="Arial" w:hAnsi="Arial"/>
          <w:sz w:val="22"/>
          <w:szCs w:val="22"/>
        </w:rPr>
        <w:t>adalimumab</w:t>
      </w:r>
      <w:r w:rsidR="008A6CA9" w:rsidRPr="00B51ACB">
        <w:rPr>
          <w:rFonts w:ascii="Arial" w:hAnsi="Arial"/>
          <w:sz w:val="22"/>
          <w:szCs w:val="22"/>
        </w:rPr>
        <w:t xml:space="preserve">. </w:t>
      </w:r>
      <w:r w:rsidR="00D23B7C" w:rsidRPr="00B51ACB">
        <w:rPr>
          <w:rFonts w:ascii="Arial" w:hAnsi="Arial"/>
          <w:sz w:val="22"/>
          <w:szCs w:val="22"/>
        </w:rPr>
        <w:t xml:space="preserve">By comparison, the November 2015 resubmission proposed that the 2 pack of adalimumab be the same as the effective price of infliximab. </w:t>
      </w:r>
      <w:r w:rsidR="008A6CA9" w:rsidRPr="00B51ACB">
        <w:rPr>
          <w:rFonts w:ascii="Arial" w:hAnsi="Arial"/>
          <w:sz w:val="22"/>
          <w:szCs w:val="22"/>
        </w:rPr>
        <w:t xml:space="preserve">The resubmission </w:t>
      </w:r>
      <w:r w:rsidR="00821B36" w:rsidRPr="00B51ACB">
        <w:rPr>
          <w:rFonts w:ascii="Arial" w:hAnsi="Arial"/>
          <w:sz w:val="22"/>
          <w:szCs w:val="22"/>
        </w:rPr>
        <w:t xml:space="preserve">also </w:t>
      </w:r>
      <w:r w:rsidR="008A6CA9" w:rsidRPr="00B51ACB">
        <w:rPr>
          <w:rFonts w:ascii="Arial" w:hAnsi="Arial"/>
          <w:sz w:val="22"/>
          <w:szCs w:val="22"/>
        </w:rPr>
        <w:t>requested a Special Pricing Arrangement</w:t>
      </w:r>
      <w:r w:rsidR="007B2321">
        <w:rPr>
          <w:rFonts w:ascii="Arial" w:hAnsi="Arial"/>
          <w:sz w:val="22"/>
          <w:szCs w:val="22"/>
        </w:rPr>
        <w:t>.</w:t>
      </w:r>
    </w:p>
    <w:p w:rsidR="00EC29CE" w:rsidRPr="00B51ACB" w:rsidRDefault="00EC29CE" w:rsidP="00EC29CE">
      <w:pPr>
        <w:pStyle w:val="ListParagraph"/>
        <w:jc w:val="both"/>
        <w:rPr>
          <w:rFonts w:ascii="Arial" w:hAnsi="Arial"/>
          <w:sz w:val="22"/>
          <w:szCs w:val="22"/>
        </w:rPr>
      </w:pPr>
    </w:p>
    <w:tbl>
      <w:tblPr>
        <w:tblW w:w="8363" w:type="dxa"/>
        <w:tblInd w:w="817" w:type="dxa"/>
        <w:tblLayout w:type="fixed"/>
        <w:tblLook w:val="0000" w:firstRow="0" w:lastRow="0" w:firstColumn="0" w:lastColumn="0" w:noHBand="0" w:noVBand="0"/>
      </w:tblPr>
      <w:tblGrid>
        <w:gridCol w:w="3969"/>
        <w:gridCol w:w="567"/>
        <w:gridCol w:w="709"/>
        <w:gridCol w:w="1417"/>
        <w:gridCol w:w="851"/>
        <w:gridCol w:w="850"/>
      </w:tblGrid>
      <w:tr w:rsidR="004D1F39" w:rsidRPr="00B51ACB" w:rsidTr="00A61A4A">
        <w:trPr>
          <w:cantSplit/>
          <w:trHeight w:val="471"/>
        </w:trPr>
        <w:tc>
          <w:tcPr>
            <w:tcW w:w="3969" w:type="dxa"/>
            <w:tcBorders>
              <w:bottom w:val="single" w:sz="4" w:space="0" w:color="auto"/>
            </w:tcBorders>
          </w:tcPr>
          <w:p w:rsidR="004D1F39" w:rsidRPr="00B51ACB" w:rsidRDefault="004D1F39">
            <w:pPr>
              <w:keepNext/>
              <w:ind w:left="-108"/>
              <w:jc w:val="both"/>
              <w:rPr>
                <w:rFonts w:ascii="Arial Narrow" w:hAnsi="Arial Narrow" w:cs="Arial"/>
                <w:b/>
                <w:sz w:val="20"/>
                <w:szCs w:val="20"/>
              </w:rPr>
            </w:pPr>
            <w:r w:rsidRPr="00B51ACB">
              <w:rPr>
                <w:rFonts w:ascii="Arial Narrow" w:hAnsi="Arial Narrow" w:cs="Arial"/>
                <w:b/>
                <w:sz w:val="20"/>
                <w:szCs w:val="20"/>
              </w:rPr>
              <w:t>Name, Restriction,</w:t>
            </w:r>
          </w:p>
          <w:p w:rsidR="004D1F39" w:rsidRPr="00B51ACB" w:rsidRDefault="004D1F39">
            <w:pPr>
              <w:keepNext/>
              <w:ind w:left="-108"/>
              <w:jc w:val="both"/>
              <w:rPr>
                <w:rFonts w:ascii="Arial Narrow" w:hAnsi="Arial Narrow" w:cs="Arial"/>
                <w:b/>
                <w:sz w:val="20"/>
                <w:szCs w:val="20"/>
              </w:rPr>
            </w:pPr>
            <w:r w:rsidRPr="00B51ACB">
              <w:rPr>
                <w:rFonts w:ascii="Arial Narrow" w:hAnsi="Arial Narrow" w:cs="Arial"/>
                <w:b/>
                <w:sz w:val="20"/>
                <w:szCs w:val="20"/>
              </w:rPr>
              <w:t>Manner of administration and form</w:t>
            </w:r>
          </w:p>
        </w:tc>
        <w:tc>
          <w:tcPr>
            <w:tcW w:w="567" w:type="dxa"/>
            <w:tcBorders>
              <w:bottom w:val="single" w:sz="4" w:space="0" w:color="auto"/>
            </w:tcBorders>
          </w:tcPr>
          <w:p w:rsidR="004D1F39" w:rsidRPr="00B51ACB" w:rsidRDefault="004D1F39">
            <w:pPr>
              <w:keepNext/>
              <w:ind w:left="-108"/>
              <w:jc w:val="both"/>
              <w:rPr>
                <w:rFonts w:ascii="Arial Narrow" w:hAnsi="Arial Narrow" w:cs="Arial"/>
                <w:b/>
                <w:sz w:val="20"/>
                <w:szCs w:val="20"/>
              </w:rPr>
            </w:pPr>
            <w:r w:rsidRPr="00B51ACB">
              <w:rPr>
                <w:rFonts w:ascii="Arial Narrow" w:hAnsi="Arial Narrow" w:cs="Arial"/>
                <w:b/>
                <w:sz w:val="20"/>
                <w:szCs w:val="20"/>
              </w:rPr>
              <w:t>Max.</w:t>
            </w:r>
          </w:p>
          <w:p w:rsidR="004D1F39" w:rsidRPr="00B51ACB" w:rsidRDefault="004D1F39">
            <w:pPr>
              <w:keepNext/>
              <w:ind w:left="-108"/>
              <w:jc w:val="both"/>
              <w:rPr>
                <w:rFonts w:ascii="Arial Narrow" w:hAnsi="Arial Narrow" w:cs="Arial"/>
                <w:b/>
                <w:sz w:val="20"/>
                <w:szCs w:val="20"/>
              </w:rPr>
            </w:pPr>
            <w:r w:rsidRPr="00B51ACB">
              <w:rPr>
                <w:rFonts w:ascii="Arial Narrow" w:hAnsi="Arial Narrow" w:cs="Arial"/>
                <w:b/>
                <w:sz w:val="20"/>
                <w:szCs w:val="20"/>
              </w:rPr>
              <w:t>Qty</w:t>
            </w:r>
          </w:p>
        </w:tc>
        <w:tc>
          <w:tcPr>
            <w:tcW w:w="709" w:type="dxa"/>
            <w:tcBorders>
              <w:bottom w:val="single" w:sz="4" w:space="0" w:color="auto"/>
            </w:tcBorders>
          </w:tcPr>
          <w:p w:rsidR="004D1F39" w:rsidRPr="00B51ACB" w:rsidRDefault="004D1F39">
            <w:pPr>
              <w:keepNext/>
              <w:ind w:left="-108"/>
              <w:jc w:val="both"/>
              <w:rPr>
                <w:rFonts w:ascii="Arial Narrow" w:hAnsi="Arial Narrow" w:cs="Arial"/>
                <w:b/>
                <w:sz w:val="20"/>
                <w:szCs w:val="20"/>
              </w:rPr>
            </w:pPr>
            <w:r w:rsidRPr="00B51ACB">
              <w:rPr>
                <w:rFonts w:ascii="Arial Narrow" w:hAnsi="Arial Narrow" w:cs="Arial"/>
                <w:b/>
                <w:sz w:val="20"/>
                <w:szCs w:val="20"/>
              </w:rPr>
              <w:t>№.of</w:t>
            </w:r>
          </w:p>
          <w:p w:rsidR="004D1F39" w:rsidRPr="00B51ACB" w:rsidRDefault="004D1F39">
            <w:pPr>
              <w:keepNext/>
              <w:ind w:left="-108"/>
              <w:jc w:val="both"/>
              <w:rPr>
                <w:rFonts w:ascii="Arial Narrow" w:hAnsi="Arial Narrow" w:cs="Arial"/>
                <w:b/>
                <w:sz w:val="20"/>
                <w:szCs w:val="20"/>
              </w:rPr>
            </w:pPr>
            <w:r w:rsidRPr="00B51ACB">
              <w:rPr>
                <w:rFonts w:ascii="Arial Narrow" w:hAnsi="Arial Narrow" w:cs="Arial"/>
                <w:b/>
                <w:sz w:val="20"/>
                <w:szCs w:val="20"/>
              </w:rPr>
              <w:t>Rpts</w:t>
            </w:r>
          </w:p>
        </w:tc>
        <w:tc>
          <w:tcPr>
            <w:tcW w:w="1417" w:type="dxa"/>
            <w:tcBorders>
              <w:bottom w:val="single" w:sz="4" w:space="0" w:color="auto"/>
            </w:tcBorders>
          </w:tcPr>
          <w:p w:rsidR="004D1F39" w:rsidRPr="00B51ACB" w:rsidRDefault="004D1F39">
            <w:pPr>
              <w:keepNext/>
              <w:ind w:left="-108"/>
              <w:jc w:val="both"/>
              <w:rPr>
                <w:rFonts w:ascii="Arial Narrow" w:hAnsi="Arial Narrow" w:cs="Arial"/>
                <w:b/>
                <w:sz w:val="20"/>
                <w:szCs w:val="20"/>
              </w:rPr>
            </w:pPr>
            <w:r w:rsidRPr="00B51ACB">
              <w:rPr>
                <w:rFonts w:ascii="Arial Narrow" w:hAnsi="Arial Narrow" w:cs="Arial"/>
                <w:b/>
                <w:sz w:val="20"/>
                <w:szCs w:val="20"/>
              </w:rPr>
              <w:t>Dispensed Price for Max. Qty</w:t>
            </w:r>
          </w:p>
        </w:tc>
        <w:tc>
          <w:tcPr>
            <w:tcW w:w="1701" w:type="dxa"/>
            <w:gridSpan w:val="2"/>
            <w:tcBorders>
              <w:bottom w:val="single" w:sz="4" w:space="0" w:color="auto"/>
            </w:tcBorders>
          </w:tcPr>
          <w:p w:rsidR="004D1F39" w:rsidRPr="00B51ACB" w:rsidRDefault="004D1F39">
            <w:pPr>
              <w:keepNext/>
              <w:jc w:val="both"/>
              <w:rPr>
                <w:rFonts w:ascii="Arial Narrow" w:hAnsi="Arial Narrow" w:cs="Arial"/>
                <w:b/>
                <w:sz w:val="20"/>
                <w:szCs w:val="20"/>
              </w:rPr>
            </w:pPr>
            <w:r w:rsidRPr="00B51ACB">
              <w:rPr>
                <w:rFonts w:ascii="Arial Narrow" w:hAnsi="Arial Narrow" w:cs="Arial"/>
                <w:b/>
                <w:sz w:val="20"/>
                <w:szCs w:val="20"/>
              </w:rPr>
              <w:t>Proprietary Name and Manufacturer</w:t>
            </w:r>
          </w:p>
        </w:tc>
      </w:tr>
      <w:tr w:rsidR="004D1F39" w:rsidRPr="00B51ACB" w:rsidTr="00A61A4A">
        <w:trPr>
          <w:cantSplit/>
          <w:trHeight w:val="577"/>
        </w:trPr>
        <w:tc>
          <w:tcPr>
            <w:tcW w:w="3969" w:type="dxa"/>
          </w:tcPr>
          <w:p w:rsidR="004D1F39" w:rsidRPr="00B51ACB" w:rsidRDefault="004D1F39" w:rsidP="00F30D63">
            <w:pPr>
              <w:keepNext/>
              <w:ind w:left="-108"/>
              <w:jc w:val="both"/>
              <w:rPr>
                <w:rFonts w:ascii="Arial Narrow" w:hAnsi="Arial Narrow" w:cs="Arial"/>
                <w:smallCaps/>
                <w:sz w:val="20"/>
                <w:szCs w:val="20"/>
              </w:rPr>
            </w:pPr>
            <w:r w:rsidRPr="00B51ACB">
              <w:rPr>
                <w:rFonts w:ascii="Arial Narrow" w:hAnsi="Arial Narrow" w:cs="Arial"/>
                <w:smallCaps/>
                <w:sz w:val="20"/>
                <w:szCs w:val="20"/>
              </w:rPr>
              <w:t>ADALIMUMAB</w:t>
            </w:r>
          </w:p>
          <w:p w:rsidR="004D1F39" w:rsidRPr="00B51ACB" w:rsidRDefault="004D1F39" w:rsidP="00247B39">
            <w:pPr>
              <w:keepNext/>
              <w:ind w:left="-108"/>
              <w:jc w:val="both"/>
              <w:rPr>
                <w:rFonts w:ascii="Arial Narrow" w:hAnsi="Arial Narrow" w:cs="Arial"/>
                <w:sz w:val="20"/>
                <w:szCs w:val="20"/>
                <w:u w:val="single"/>
              </w:rPr>
            </w:pPr>
            <w:r w:rsidRPr="00B51ACB">
              <w:rPr>
                <w:rFonts w:ascii="Arial Narrow" w:hAnsi="Arial Narrow" w:cs="Arial"/>
                <w:sz w:val="20"/>
                <w:szCs w:val="20"/>
                <w:u w:val="single"/>
              </w:rPr>
              <w:t>Induction</w:t>
            </w:r>
          </w:p>
          <w:p w:rsidR="004D1F39" w:rsidRPr="00B51ACB" w:rsidRDefault="004D1F39">
            <w:pPr>
              <w:keepNext/>
              <w:ind w:left="-108"/>
              <w:jc w:val="both"/>
              <w:rPr>
                <w:rFonts w:ascii="Arial Narrow" w:hAnsi="Arial Narrow" w:cs="Arial"/>
                <w:sz w:val="20"/>
                <w:szCs w:val="20"/>
              </w:rPr>
            </w:pPr>
            <w:r w:rsidRPr="00B51ACB">
              <w:rPr>
                <w:rFonts w:ascii="Arial Narrow" w:hAnsi="Arial Narrow" w:cs="Arial"/>
                <w:sz w:val="20"/>
                <w:szCs w:val="20"/>
              </w:rPr>
              <w:t>40 mg in 0.8 mL injection, 6 x 0.8 mL cartridges</w:t>
            </w:r>
          </w:p>
          <w:p w:rsidR="004D1F39" w:rsidRPr="00B51ACB" w:rsidRDefault="004D1F39">
            <w:pPr>
              <w:keepNext/>
              <w:ind w:left="-108"/>
              <w:jc w:val="both"/>
              <w:rPr>
                <w:rFonts w:ascii="Arial Narrow" w:hAnsi="Arial Narrow" w:cs="Arial"/>
                <w:sz w:val="20"/>
                <w:szCs w:val="20"/>
              </w:rPr>
            </w:pPr>
            <w:r w:rsidRPr="00B51ACB">
              <w:rPr>
                <w:rFonts w:ascii="Arial Narrow" w:hAnsi="Arial Narrow" w:cs="Arial"/>
                <w:sz w:val="20"/>
                <w:szCs w:val="20"/>
              </w:rPr>
              <w:t>40 mg in 0.8 mL injection, 6 x 0.8 mL syringes</w:t>
            </w:r>
          </w:p>
          <w:p w:rsidR="004D1F39" w:rsidRPr="00B51ACB" w:rsidRDefault="004D1F39">
            <w:pPr>
              <w:keepNext/>
              <w:ind w:left="-108"/>
              <w:jc w:val="both"/>
              <w:rPr>
                <w:rFonts w:ascii="Arial Narrow" w:hAnsi="Arial Narrow" w:cs="Arial"/>
                <w:sz w:val="20"/>
                <w:szCs w:val="20"/>
              </w:rPr>
            </w:pPr>
            <w:r w:rsidRPr="00B51ACB">
              <w:rPr>
                <w:rFonts w:ascii="Arial Narrow" w:hAnsi="Arial Narrow" w:cs="Arial"/>
                <w:sz w:val="20"/>
                <w:szCs w:val="20"/>
              </w:rPr>
              <w:t>40 mg in 0.8 mL injection, 2 x 0.8 mL cartridges</w:t>
            </w:r>
          </w:p>
          <w:p w:rsidR="004D1F39" w:rsidRPr="00B51ACB" w:rsidRDefault="004D1F39">
            <w:pPr>
              <w:keepNext/>
              <w:ind w:left="-108"/>
              <w:jc w:val="both"/>
              <w:rPr>
                <w:rFonts w:ascii="Arial Narrow" w:hAnsi="Arial Narrow" w:cs="Arial"/>
                <w:sz w:val="20"/>
                <w:szCs w:val="20"/>
              </w:rPr>
            </w:pPr>
            <w:r w:rsidRPr="00B51ACB">
              <w:rPr>
                <w:rFonts w:ascii="Arial Narrow" w:hAnsi="Arial Narrow" w:cs="Arial"/>
                <w:sz w:val="20"/>
                <w:szCs w:val="20"/>
              </w:rPr>
              <w:t>40 mg in 0.8 mL injection, 2 x 0.8 mL syringes</w:t>
            </w:r>
          </w:p>
          <w:p w:rsidR="004D1F39" w:rsidRPr="00B51ACB" w:rsidRDefault="004D1F39">
            <w:pPr>
              <w:keepNext/>
              <w:ind w:left="-108"/>
              <w:jc w:val="both"/>
              <w:rPr>
                <w:rFonts w:ascii="Arial Narrow" w:hAnsi="Arial Narrow" w:cs="Arial"/>
                <w:sz w:val="20"/>
                <w:szCs w:val="20"/>
              </w:rPr>
            </w:pPr>
          </w:p>
          <w:p w:rsidR="004D1F39" w:rsidRPr="00B51ACB" w:rsidRDefault="004D1F39">
            <w:pPr>
              <w:keepNext/>
              <w:ind w:left="-108"/>
              <w:jc w:val="both"/>
              <w:rPr>
                <w:rFonts w:ascii="Arial Narrow" w:hAnsi="Arial Narrow" w:cs="Arial"/>
                <w:sz w:val="20"/>
                <w:szCs w:val="20"/>
                <w:u w:val="single"/>
              </w:rPr>
            </w:pPr>
            <w:r w:rsidRPr="00B51ACB">
              <w:rPr>
                <w:rFonts w:ascii="Arial Narrow" w:hAnsi="Arial Narrow" w:cs="Arial"/>
                <w:sz w:val="20"/>
                <w:szCs w:val="20"/>
                <w:u w:val="single"/>
              </w:rPr>
              <w:t>Maintenance</w:t>
            </w:r>
          </w:p>
          <w:p w:rsidR="004D1F39" w:rsidRPr="00B51ACB" w:rsidRDefault="004D1F39">
            <w:pPr>
              <w:keepNext/>
              <w:ind w:left="-108"/>
              <w:jc w:val="both"/>
              <w:rPr>
                <w:rFonts w:ascii="Arial Narrow" w:hAnsi="Arial Narrow" w:cs="Arial"/>
                <w:sz w:val="20"/>
                <w:szCs w:val="20"/>
              </w:rPr>
            </w:pPr>
            <w:r w:rsidRPr="00B51ACB">
              <w:rPr>
                <w:rFonts w:ascii="Arial Narrow" w:hAnsi="Arial Narrow" w:cs="Arial"/>
                <w:sz w:val="20"/>
                <w:szCs w:val="20"/>
              </w:rPr>
              <w:t>40 mg in 0.8 mL injection, 2 x 0.8 mL cartridges</w:t>
            </w:r>
          </w:p>
          <w:p w:rsidR="004D1F39" w:rsidRPr="00B51ACB" w:rsidRDefault="004D1F39">
            <w:pPr>
              <w:keepNext/>
              <w:ind w:left="-108"/>
              <w:jc w:val="both"/>
              <w:rPr>
                <w:rFonts w:ascii="Arial Narrow" w:hAnsi="Arial Narrow" w:cs="Arial"/>
                <w:sz w:val="20"/>
                <w:szCs w:val="20"/>
              </w:rPr>
            </w:pPr>
            <w:r w:rsidRPr="00B51ACB">
              <w:rPr>
                <w:rFonts w:ascii="Arial Narrow" w:hAnsi="Arial Narrow" w:cs="Arial"/>
                <w:sz w:val="20"/>
                <w:szCs w:val="20"/>
              </w:rPr>
              <w:t>40 mg in 0.8 mL injection, 2 x 0.8 mL syringes</w:t>
            </w:r>
          </w:p>
          <w:p w:rsidR="004D1F39" w:rsidRPr="00B51ACB" w:rsidRDefault="004D1F39">
            <w:pPr>
              <w:keepNext/>
              <w:ind w:left="-108"/>
              <w:jc w:val="both"/>
              <w:rPr>
                <w:rFonts w:ascii="Arial Narrow" w:hAnsi="Arial Narrow" w:cs="Arial"/>
                <w:sz w:val="20"/>
                <w:szCs w:val="20"/>
              </w:rPr>
            </w:pPr>
          </w:p>
          <w:p w:rsidR="007E1EEF" w:rsidRPr="00B51ACB" w:rsidRDefault="004D1F39" w:rsidP="0029144E">
            <w:pPr>
              <w:keepNext/>
              <w:ind w:left="-108"/>
              <w:jc w:val="both"/>
              <w:rPr>
                <w:rFonts w:ascii="Arial Narrow" w:hAnsi="Arial Narrow" w:cs="Arial"/>
                <w:i/>
                <w:sz w:val="20"/>
                <w:szCs w:val="20"/>
              </w:rPr>
            </w:pPr>
            <w:r w:rsidRPr="00B51ACB">
              <w:rPr>
                <w:rFonts w:ascii="Arial Narrow" w:hAnsi="Arial Narrow" w:cs="Arial"/>
                <w:i/>
                <w:sz w:val="20"/>
                <w:szCs w:val="20"/>
              </w:rPr>
              <w:t xml:space="preserve">*submission </w:t>
            </w:r>
            <w:r w:rsidR="007E1EEF" w:rsidRPr="00B51ACB">
              <w:rPr>
                <w:rFonts w:ascii="Arial Narrow" w:hAnsi="Arial Narrow" w:cs="Arial"/>
                <w:i/>
                <w:sz w:val="20"/>
                <w:szCs w:val="20"/>
              </w:rPr>
              <w:t xml:space="preserve">has </w:t>
            </w:r>
            <w:r w:rsidR="00402198" w:rsidRPr="00B51ACB">
              <w:rPr>
                <w:rFonts w:ascii="Arial Narrow" w:hAnsi="Arial Narrow" w:cs="Arial"/>
                <w:i/>
                <w:sz w:val="20"/>
                <w:szCs w:val="20"/>
              </w:rPr>
              <w:t xml:space="preserve">offered a </w:t>
            </w:r>
            <w:r w:rsidR="00F53810">
              <w:rPr>
                <w:rFonts w:ascii="Arial Narrow" w:hAnsi="Arial Narrow" w:cs="Arial"/>
                <w:i/>
                <w:noProof/>
                <w:color w:val="000000"/>
                <w:sz w:val="20"/>
                <w:szCs w:val="20"/>
                <w:highlight w:val="black"/>
              </w:rPr>
              <w:t>''''''</w:t>
            </w:r>
            <w:r w:rsidR="00402198" w:rsidRPr="00B51ACB">
              <w:rPr>
                <w:rFonts w:ascii="Arial Narrow" w:hAnsi="Arial Narrow" w:cs="Arial"/>
                <w:i/>
                <w:sz w:val="20"/>
                <w:szCs w:val="20"/>
              </w:rPr>
              <w:t xml:space="preserve">% price </w:t>
            </w:r>
            <w:r w:rsidR="007B2321">
              <w:rPr>
                <w:rFonts w:ascii="Arial Narrow" w:hAnsi="Arial Narrow" w:cs="Arial"/>
                <w:i/>
                <w:sz w:val="20"/>
                <w:szCs w:val="20"/>
              </w:rPr>
              <w:t>reduction</w:t>
            </w:r>
            <w:r w:rsidR="007B2321" w:rsidRPr="00B51ACB">
              <w:rPr>
                <w:rFonts w:ascii="Arial Narrow" w:hAnsi="Arial Narrow" w:cs="Arial"/>
                <w:i/>
                <w:sz w:val="20"/>
                <w:szCs w:val="20"/>
              </w:rPr>
              <w:t xml:space="preserve"> </w:t>
            </w:r>
            <w:r w:rsidR="00402198" w:rsidRPr="00B51ACB">
              <w:rPr>
                <w:rFonts w:ascii="Arial Narrow" w:hAnsi="Arial Narrow" w:cs="Arial"/>
                <w:i/>
                <w:sz w:val="20"/>
                <w:szCs w:val="20"/>
              </w:rPr>
              <w:t>to</w:t>
            </w:r>
            <w:r w:rsidRPr="00B51ACB">
              <w:rPr>
                <w:rFonts w:ascii="Arial Narrow" w:hAnsi="Arial Narrow" w:cs="Arial"/>
                <w:i/>
                <w:sz w:val="20"/>
                <w:szCs w:val="20"/>
              </w:rPr>
              <w:t xml:space="preserve"> the </w:t>
            </w:r>
          </w:p>
          <w:p w:rsidR="004D1F39" w:rsidRPr="00B51ACB" w:rsidRDefault="00F53810" w:rsidP="0029144E">
            <w:pPr>
              <w:keepNext/>
              <w:ind w:left="-108"/>
              <w:jc w:val="both"/>
              <w:rPr>
                <w:rFonts w:ascii="Arial Narrow" w:hAnsi="Arial Narrow" w:cs="Arial"/>
                <w:i/>
                <w:sz w:val="20"/>
                <w:szCs w:val="20"/>
              </w:rPr>
            </w:pPr>
            <w:r>
              <w:rPr>
                <w:rFonts w:ascii="Arial Narrow" w:hAnsi="Arial Narrow" w:cs="Arial"/>
                <w:i/>
                <w:noProof/>
                <w:color w:val="000000"/>
                <w:sz w:val="20"/>
                <w:szCs w:val="20"/>
                <w:highlight w:val="black"/>
              </w:rPr>
              <w:t>''''</w:t>
            </w:r>
            <w:r w:rsidR="004D1F39" w:rsidRPr="00B51ACB">
              <w:rPr>
                <w:rFonts w:ascii="Arial Narrow" w:hAnsi="Arial Narrow" w:cs="Arial"/>
                <w:i/>
                <w:sz w:val="20"/>
                <w:szCs w:val="20"/>
              </w:rPr>
              <w:t>-pack.</w:t>
            </w:r>
          </w:p>
        </w:tc>
        <w:tc>
          <w:tcPr>
            <w:tcW w:w="567" w:type="dxa"/>
          </w:tcPr>
          <w:p w:rsidR="004D1F39" w:rsidRPr="00B51ACB" w:rsidRDefault="004D1F39">
            <w:pPr>
              <w:keepNext/>
              <w:ind w:left="-108"/>
              <w:jc w:val="both"/>
              <w:rPr>
                <w:rFonts w:ascii="Arial Narrow" w:hAnsi="Arial Narrow" w:cs="Arial"/>
                <w:sz w:val="20"/>
                <w:szCs w:val="20"/>
              </w:rPr>
            </w:pPr>
          </w:p>
          <w:p w:rsidR="004D1F39" w:rsidRPr="00B51ACB" w:rsidRDefault="004D1F39">
            <w:pPr>
              <w:keepNext/>
              <w:ind w:left="-108"/>
              <w:jc w:val="both"/>
              <w:rPr>
                <w:rFonts w:ascii="Arial Narrow" w:hAnsi="Arial Narrow" w:cs="Arial"/>
                <w:sz w:val="20"/>
                <w:szCs w:val="20"/>
              </w:rPr>
            </w:pPr>
          </w:p>
          <w:p w:rsidR="004D1F39" w:rsidRPr="00B51ACB" w:rsidRDefault="004D1F39">
            <w:pPr>
              <w:keepNext/>
              <w:ind w:left="-108"/>
              <w:jc w:val="both"/>
              <w:rPr>
                <w:rFonts w:ascii="Arial Narrow" w:hAnsi="Arial Narrow" w:cs="Arial"/>
                <w:sz w:val="20"/>
                <w:szCs w:val="20"/>
              </w:rPr>
            </w:pPr>
            <w:r w:rsidRPr="00B51ACB">
              <w:rPr>
                <w:rFonts w:ascii="Arial Narrow" w:hAnsi="Arial Narrow" w:cs="Arial"/>
                <w:sz w:val="20"/>
                <w:szCs w:val="20"/>
              </w:rPr>
              <w:t>1</w:t>
            </w:r>
          </w:p>
          <w:p w:rsidR="004D1F39" w:rsidRPr="00B51ACB" w:rsidRDefault="004D1F39">
            <w:pPr>
              <w:keepNext/>
              <w:ind w:left="-108"/>
              <w:jc w:val="both"/>
              <w:rPr>
                <w:rFonts w:ascii="Arial Narrow" w:hAnsi="Arial Narrow" w:cs="Arial"/>
                <w:sz w:val="20"/>
                <w:szCs w:val="20"/>
              </w:rPr>
            </w:pPr>
            <w:r w:rsidRPr="00B51ACB">
              <w:rPr>
                <w:rFonts w:ascii="Arial Narrow" w:hAnsi="Arial Narrow" w:cs="Arial"/>
                <w:sz w:val="20"/>
                <w:szCs w:val="20"/>
              </w:rPr>
              <w:t>1</w:t>
            </w:r>
          </w:p>
          <w:p w:rsidR="004D1F39" w:rsidRPr="00B51ACB" w:rsidRDefault="004D1F39">
            <w:pPr>
              <w:keepNext/>
              <w:ind w:left="-108"/>
              <w:jc w:val="both"/>
              <w:rPr>
                <w:rFonts w:ascii="Arial Narrow" w:hAnsi="Arial Narrow" w:cs="Arial"/>
                <w:sz w:val="20"/>
                <w:szCs w:val="20"/>
              </w:rPr>
            </w:pPr>
            <w:r w:rsidRPr="00B51ACB">
              <w:rPr>
                <w:rFonts w:ascii="Arial Narrow" w:hAnsi="Arial Narrow" w:cs="Arial"/>
                <w:sz w:val="20"/>
                <w:szCs w:val="20"/>
              </w:rPr>
              <w:t>1</w:t>
            </w:r>
          </w:p>
          <w:p w:rsidR="004D1F39" w:rsidRPr="00B51ACB" w:rsidRDefault="004D1F39">
            <w:pPr>
              <w:keepNext/>
              <w:ind w:left="-108"/>
              <w:jc w:val="both"/>
              <w:rPr>
                <w:rFonts w:ascii="Arial Narrow" w:hAnsi="Arial Narrow" w:cs="Arial"/>
                <w:sz w:val="20"/>
                <w:szCs w:val="20"/>
              </w:rPr>
            </w:pPr>
            <w:r w:rsidRPr="00B51ACB">
              <w:rPr>
                <w:rFonts w:ascii="Arial Narrow" w:hAnsi="Arial Narrow" w:cs="Arial"/>
                <w:sz w:val="20"/>
                <w:szCs w:val="20"/>
              </w:rPr>
              <w:t>1</w:t>
            </w:r>
          </w:p>
          <w:p w:rsidR="004D1F39" w:rsidRPr="00B51ACB" w:rsidRDefault="004D1F39">
            <w:pPr>
              <w:keepNext/>
              <w:ind w:left="-108"/>
              <w:jc w:val="both"/>
              <w:rPr>
                <w:rFonts w:ascii="Arial Narrow" w:hAnsi="Arial Narrow" w:cs="Arial"/>
                <w:sz w:val="20"/>
                <w:szCs w:val="20"/>
              </w:rPr>
            </w:pPr>
          </w:p>
          <w:p w:rsidR="004D1F39" w:rsidRPr="00B51ACB" w:rsidRDefault="004D1F39">
            <w:pPr>
              <w:keepNext/>
              <w:ind w:left="-108"/>
              <w:jc w:val="both"/>
              <w:rPr>
                <w:rFonts w:ascii="Arial Narrow" w:hAnsi="Arial Narrow" w:cs="Arial"/>
                <w:sz w:val="20"/>
                <w:szCs w:val="20"/>
              </w:rPr>
            </w:pPr>
          </w:p>
          <w:p w:rsidR="004D1F39" w:rsidRPr="00B51ACB" w:rsidRDefault="004D1F39">
            <w:pPr>
              <w:keepNext/>
              <w:ind w:left="-108"/>
              <w:jc w:val="both"/>
              <w:rPr>
                <w:rFonts w:ascii="Arial Narrow" w:hAnsi="Arial Narrow" w:cs="Arial"/>
                <w:sz w:val="20"/>
                <w:szCs w:val="20"/>
              </w:rPr>
            </w:pPr>
            <w:r w:rsidRPr="00B51ACB">
              <w:rPr>
                <w:rFonts w:ascii="Arial Narrow" w:hAnsi="Arial Narrow" w:cs="Arial"/>
                <w:sz w:val="20"/>
                <w:szCs w:val="20"/>
              </w:rPr>
              <w:t>1</w:t>
            </w:r>
          </w:p>
          <w:p w:rsidR="004D1F39" w:rsidRPr="00B51ACB" w:rsidRDefault="004D1F39">
            <w:pPr>
              <w:keepNext/>
              <w:ind w:left="-108"/>
              <w:jc w:val="both"/>
              <w:rPr>
                <w:rFonts w:ascii="Arial Narrow" w:hAnsi="Arial Narrow" w:cs="Arial"/>
                <w:sz w:val="20"/>
                <w:szCs w:val="20"/>
              </w:rPr>
            </w:pPr>
            <w:r w:rsidRPr="00B51ACB">
              <w:rPr>
                <w:rFonts w:ascii="Arial Narrow" w:hAnsi="Arial Narrow" w:cs="Arial"/>
                <w:sz w:val="20"/>
                <w:szCs w:val="20"/>
              </w:rPr>
              <w:t>1</w:t>
            </w:r>
          </w:p>
        </w:tc>
        <w:tc>
          <w:tcPr>
            <w:tcW w:w="709" w:type="dxa"/>
          </w:tcPr>
          <w:p w:rsidR="004D1F39" w:rsidRPr="00B51ACB" w:rsidRDefault="004D1F39">
            <w:pPr>
              <w:keepNext/>
              <w:ind w:left="-108"/>
              <w:jc w:val="both"/>
              <w:rPr>
                <w:rFonts w:ascii="Arial Narrow" w:hAnsi="Arial Narrow" w:cs="Arial"/>
                <w:sz w:val="20"/>
                <w:szCs w:val="20"/>
              </w:rPr>
            </w:pPr>
          </w:p>
          <w:p w:rsidR="004D1F39" w:rsidRPr="00B51ACB" w:rsidRDefault="004D1F39">
            <w:pPr>
              <w:keepNext/>
              <w:ind w:left="-108"/>
              <w:jc w:val="both"/>
              <w:rPr>
                <w:rFonts w:ascii="Arial Narrow" w:hAnsi="Arial Narrow" w:cs="Arial"/>
                <w:sz w:val="20"/>
                <w:szCs w:val="20"/>
              </w:rPr>
            </w:pPr>
          </w:p>
          <w:p w:rsidR="004D1F39" w:rsidRPr="00B51ACB" w:rsidRDefault="004D1F39">
            <w:pPr>
              <w:keepNext/>
              <w:ind w:left="-108"/>
              <w:jc w:val="both"/>
              <w:rPr>
                <w:rFonts w:ascii="Arial Narrow" w:hAnsi="Arial Narrow" w:cs="Arial"/>
                <w:sz w:val="20"/>
                <w:szCs w:val="20"/>
              </w:rPr>
            </w:pPr>
            <w:r w:rsidRPr="00B51ACB">
              <w:rPr>
                <w:rFonts w:ascii="Arial Narrow" w:hAnsi="Arial Narrow" w:cs="Arial"/>
                <w:sz w:val="20"/>
                <w:szCs w:val="20"/>
              </w:rPr>
              <w:t>0</w:t>
            </w:r>
          </w:p>
          <w:p w:rsidR="004D1F39" w:rsidRPr="00B51ACB" w:rsidRDefault="004D1F39">
            <w:pPr>
              <w:keepNext/>
              <w:ind w:left="-108"/>
              <w:jc w:val="both"/>
              <w:rPr>
                <w:rFonts w:ascii="Arial Narrow" w:hAnsi="Arial Narrow" w:cs="Arial"/>
                <w:sz w:val="20"/>
                <w:szCs w:val="20"/>
              </w:rPr>
            </w:pPr>
            <w:r w:rsidRPr="00B51ACB">
              <w:rPr>
                <w:rFonts w:ascii="Arial Narrow" w:hAnsi="Arial Narrow" w:cs="Arial"/>
                <w:sz w:val="20"/>
                <w:szCs w:val="20"/>
              </w:rPr>
              <w:t>0</w:t>
            </w:r>
          </w:p>
          <w:p w:rsidR="004D1F39" w:rsidRPr="00B51ACB" w:rsidRDefault="004D1F39">
            <w:pPr>
              <w:keepNext/>
              <w:ind w:left="-108"/>
              <w:jc w:val="both"/>
              <w:rPr>
                <w:rFonts w:ascii="Arial Narrow" w:hAnsi="Arial Narrow" w:cs="Arial"/>
                <w:sz w:val="20"/>
                <w:szCs w:val="20"/>
              </w:rPr>
            </w:pPr>
            <w:r w:rsidRPr="00B51ACB">
              <w:rPr>
                <w:rFonts w:ascii="Arial Narrow" w:hAnsi="Arial Narrow" w:cs="Arial"/>
                <w:sz w:val="20"/>
                <w:szCs w:val="20"/>
              </w:rPr>
              <w:t>2</w:t>
            </w:r>
          </w:p>
          <w:p w:rsidR="004D1F39" w:rsidRPr="00B51ACB" w:rsidRDefault="004D1F39">
            <w:pPr>
              <w:keepNext/>
              <w:ind w:left="-108"/>
              <w:jc w:val="both"/>
              <w:rPr>
                <w:rFonts w:ascii="Arial Narrow" w:hAnsi="Arial Narrow" w:cs="Arial"/>
                <w:sz w:val="20"/>
                <w:szCs w:val="20"/>
              </w:rPr>
            </w:pPr>
            <w:r w:rsidRPr="00B51ACB">
              <w:rPr>
                <w:rFonts w:ascii="Arial Narrow" w:hAnsi="Arial Narrow" w:cs="Arial"/>
                <w:sz w:val="20"/>
                <w:szCs w:val="20"/>
              </w:rPr>
              <w:t>2</w:t>
            </w:r>
          </w:p>
          <w:p w:rsidR="004D1F39" w:rsidRPr="00B51ACB" w:rsidRDefault="004D1F39">
            <w:pPr>
              <w:keepNext/>
              <w:ind w:left="-108"/>
              <w:jc w:val="both"/>
              <w:rPr>
                <w:rFonts w:ascii="Arial Narrow" w:hAnsi="Arial Narrow" w:cs="Arial"/>
                <w:sz w:val="20"/>
                <w:szCs w:val="20"/>
              </w:rPr>
            </w:pPr>
          </w:p>
          <w:p w:rsidR="004D1F39" w:rsidRPr="00B51ACB" w:rsidRDefault="004D1F39">
            <w:pPr>
              <w:keepNext/>
              <w:ind w:left="-108"/>
              <w:jc w:val="both"/>
              <w:rPr>
                <w:rFonts w:ascii="Arial Narrow" w:hAnsi="Arial Narrow" w:cs="Arial"/>
                <w:sz w:val="20"/>
                <w:szCs w:val="20"/>
              </w:rPr>
            </w:pPr>
          </w:p>
          <w:p w:rsidR="004D1F39" w:rsidRPr="00B51ACB" w:rsidRDefault="004D1F39">
            <w:pPr>
              <w:keepNext/>
              <w:ind w:left="-108"/>
              <w:jc w:val="both"/>
              <w:rPr>
                <w:rFonts w:ascii="Arial Narrow" w:hAnsi="Arial Narrow" w:cs="Arial"/>
                <w:sz w:val="20"/>
                <w:szCs w:val="20"/>
              </w:rPr>
            </w:pPr>
            <w:r w:rsidRPr="00B51ACB">
              <w:rPr>
                <w:rFonts w:ascii="Arial Narrow" w:hAnsi="Arial Narrow" w:cs="Arial"/>
                <w:sz w:val="20"/>
                <w:szCs w:val="20"/>
              </w:rPr>
              <w:t>5</w:t>
            </w:r>
          </w:p>
          <w:p w:rsidR="004D1F39" w:rsidRPr="00B51ACB" w:rsidRDefault="004D1F39">
            <w:pPr>
              <w:keepNext/>
              <w:ind w:left="-108"/>
              <w:jc w:val="both"/>
              <w:rPr>
                <w:rFonts w:ascii="Arial Narrow" w:hAnsi="Arial Narrow" w:cs="Arial"/>
                <w:sz w:val="20"/>
                <w:szCs w:val="20"/>
              </w:rPr>
            </w:pPr>
            <w:r w:rsidRPr="00B51ACB">
              <w:rPr>
                <w:rFonts w:ascii="Arial Narrow" w:hAnsi="Arial Narrow" w:cs="Arial"/>
                <w:sz w:val="20"/>
                <w:szCs w:val="20"/>
              </w:rPr>
              <w:t>5</w:t>
            </w:r>
          </w:p>
        </w:tc>
        <w:tc>
          <w:tcPr>
            <w:tcW w:w="1417" w:type="dxa"/>
          </w:tcPr>
          <w:p w:rsidR="004D1F39" w:rsidRPr="00B51ACB" w:rsidRDefault="004D1F39">
            <w:pPr>
              <w:keepNext/>
              <w:ind w:left="-108"/>
              <w:jc w:val="both"/>
              <w:rPr>
                <w:rFonts w:ascii="Arial Narrow" w:hAnsi="Arial Narrow" w:cs="Arial"/>
                <w:sz w:val="20"/>
                <w:szCs w:val="20"/>
              </w:rPr>
            </w:pPr>
          </w:p>
          <w:p w:rsidR="004D1F39" w:rsidRPr="00B51ACB" w:rsidRDefault="004D1F39">
            <w:pPr>
              <w:keepNext/>
              <w:ind w:left="-108"/>
              <w:jc w:val="both"/>
              <w:rPr>
                <w:rFonts w:ascii="Arial Narrow" w:hAnsi="Arial Narrow" w:cs="Arial"/>
                <w:sz w:val="20"/>
                <w:szCs w:val="20"/>
              </w:rPr>
            </w:pPr>
          </w:p>
          <w:p w:rsidR="004D1F39" w:rsidRPr="00B51ACB" w:rsidRDefault="004D1F39">
            <w:pPr>
              <w:keepNext/>
              <w:ind w:left="-108"/>
              <w:jc w:val="both"/>
              <w:rPr>
                <w:rFonts w:ascii="Arial Narrow" w:hAnsi="Arial Narrow" w:cs="Arial"/>
                <w:sz w:val="20"/>
                <w:szCs w:val="20"/>
              </w:rPr>
            </w:pPr>
            <w:r w:rsidRPr="00B51ACB">
              <w:rPr>
                <w:rFonts w:ascii="Arial Narrow" w:hAnsi="Arial Narrow" w:cs="Arial"/>
                <w:sz w:val="20"/>
                <w:szCs w:val="20"/>
              </w:rPr>
              <w:t>$</w:t>
            </w:r>
            <w:r w:rsidR="00F53810">
              <w:rPr>
                <w:rFonts w:ascii="Arial Narrow" w:hAnsi="Arial Narrow" w:cs="Arial"/>
                <w:noProof/>
                <w:color w:val="000000"/>
                <w:sz w:val="20"/>
                <w:szCs w:val="20"/>
                <w:highlight w:val="black"/>
              </w:rPr>
              <w:t>''''''''''''''''''''''</w:t>
            </w:r>
          </w:p>
          <w:p w:rsidR="004D1F39" w:rsidRPr="00B51ACB" w:rsidRDefault="004D1F39">
            <w:pPr>
              <w:keepNext/>
              <w:ind w:left="-108"/>
              <w:jc w:val="both"/>
              <w:rPr>
                <w:rFonts w:ascii="Arial Narrow" w:hAnsi="Arial Narrow" w:cs="Arial"/>
                <w:sz w:val="20"/>
                <w:szCs w:val="20"/>
              </w:rPr>
            </w:pPr>
            <w:r w:rsidRPr="00B51ACB">
              <w:rPr>
                <w:rFonts w:ascii="Arial Narrow" w:hAnsi="Arial Narrow" w:cs="Arial"/>
                <w:sz w:val="20"/>
                <w:szCs w:val="20"/>
              </w:rPr>
              <w:t>$</w:t>
            </w:r>
            <w:r w:rsidR="00F53810">
              <w:rPr>
                <w:rFonts w:ascii="Arial Narrow" w:hAnsi="Arial Narrow" w:cs="Arial"/>
                <w:noProof/>
                <w:color w:val="000000"/>
                <w:sz w:val="20"/>
                <w:szCs w:val="20"/>
                <w:highlight w:val="black"/>
              </w:rPr>
              <w:t>'''''''''''''''''''''</w:t>
            </w:r>
          </w:p>
          <w:p w:rsidR="004D1F39" w:rsidRPr="00B51ACB" w:rsidRDefault="004D1F39">
            <w:pPr>
              <w:keepNext/>
              <w:ind w:left="-108"/>
              <w:rPr>
                <w:rFonts w:ascii="Arial Narrow" w:hAnsi="Arial Narrow" w:cs="Arial"/>
                <w:sz w:val="20"/>
                <w:szCs w:val="20"/>
              </w:rPr>
            </w:pPr>
            <w:r w:rsidRPr="00B51ACB">
              <w:rPr>
                <w:rFonts w:ascii="Arial Narrow" w:hAnsi="Arial Narrow" w:cs="Arial"/>
                <w:i/>
                <w:sz w:val="20"/>
                <w:szCs w:val="20"/>
              </w:rPr>
              <w:t>*</w:t>
            </w:r>
            <w:r w:rsidR="00402198" w:rsidRPr="00B51ACB">
              <w:rPr>
                <w:rFonts w:ascii="Arial Narrow" w:hAnsi="Arial Narrow" w:cs="Arial"/>
                <w:i/>
                <w:sz w:val="20"/>
                <w:szCs w:val="20"/>
              </w:rPr>
              <w:t>$</w:t>
            </w:r>
            <w:r w:rsidR="00F53810">
              <w:rPr>
                <w:rFonts w:ascii="Arial Narrow" w:hAnsi="Arial Narrow" w:cs="Arial"/>
                <w:i/>
                <w:noProof/>
                <w:color w:val="000000"/>
                <w:sz w:val="20"/>
                <w:szCs w:val="20"/>
                <w:highlight w:val="black"/>
              </w:rPr>
              <w:t>'''''''''''''''''''''</w:t>
            </w:r>
          </w:p>
          <w:p w:rsidR="004D1F39" w:rsidRPr="00B51ACB" w:rsidRDefault="004D1F39">
            <w:pPr>
              <w:keepNext/>
              <w:ind w:left="-108"/>
              <w:rPr>
                <w:rFonts w:ascii="Arial Narrow" w:hAnsi="Arial Narrow" w:cs="Arial"/>
                <w:sz w:val="20"/>
                <w:szCs w:val="20"/>
              </w:rPr>
            </w:pPr>
            <w:r w:rsidRPr="00B51ACB">
              <w:rPr>
                <w:rFonts w:ascii="Arial Narrow" w:hAnsi="Arial Narrow" w:cs="Arial"/>
                <w:i/>
                <w:sz w:val="20"/>
                <w:szCs w:val="20"/>
              </w:rPr>
              <w:t>*</w:t>
            </w:r>
            <w:r w:rsidR="00402198" w:rsidRPr="00B51ACB">
              <w:rPr>
                <w:rFonts w:ascii="Arial Narrow" w:hAnsi="Arial Narrow" w:cs="Arial"/>
                <w:i/>
                <w:sz w:val="20"/>
                <w:szCs w:val="20"/>
              </w:rPr>
              <w:t>$</w:t>
            </w:r>
            <w:r w:rsidR="00F53810">
              <w:rPr>
                <w:rFonts w:ascii="Arial Narrow" w:hAnsi="Arial Narrow" w:cs="Arial"/>
                <w:i/>
                <w:noProof/>
                <w:color w:val="000000"/>
                <w:sz w:val="20"/>
                <w:szCs w:val="20"/>
                <w:highlight w:val="black"/>
              </w:rPr>
              <w:t>'''''''''''''''''''</w:t>
            </w:r>
          </w:p>
          <w:p w:rsidR="004D1F39" w:rsidRPr="00B51ACB" w:rsidRDefault="004D1F39">
            <w:pPr>
              <w:keepNext/>
              <w:ind w:left="-108"/>
              <w:rPr>
                <w:rFonts w:ascii="Arial Narrow" w:hAnsi="Arial Narrow" w:cs="Arial"/>
                <w:sz w:val="20"/>
                <w:szCs w:val="20"/>
              </w:rPr>
            </w:pPr>
          </w:p>
          <w:p w:rsidR="004D1F39" w:rsidRPr="00B51ACB" w:rsidRDefault="004D1F39">
            <w:pPr>
              <w:keepNext/>
              <w:ind w:left="-108"/>
              <w:jc w:val="both"/>
              <w:rPr>
                <w:rFonts w:ascii="Arial Narrow" w:hAnsi="Arial Narrow" w:cs="Arial"/>
                <w:sz w:val="20"/>
                <w:szCs w:val="20"/>
              </w:rPr>
            </w:pPr>
          </w:p>
          <w:p w:rsidR="00402198" w:rsidRPr="00B51ACB" w:rsidRDefault="00402198">
            <w:pPr>
              <w:keepNext/>
              <w:ind w:left="-108"/>
              <w:rPr>
                <w:rFonts w:ascii="Arial Narrow" w:hAnsi="Arial Narrow" w:cs="Arial"/>
                <w:sz w:val="20"/>
                <w:szCs w:val="20"/>
              </w:rPr>
            </w:pPr>
            <w:r w:rsidRPr="00B51ACB">
              <w:rPr>
                <w:rFonts w:ascii="Arial Narrow" w:hAnsi="Arial Narrow" w:cs="Arial"/>
                <w:i/>
                <w:sz w:val="20"/>
                <w:szCs w:val="20"/>
              </w:rPr>
              <w:t>*$</w:t>
            </w:r>
            <w:r w:rsidR="00F53810">
              <w:rPr>
                <w:rFonts w:ascii="Arial Narrow" w:hAnsi="Arial Narrow" w:cs="Arial"/>
                <w:i/>
                <w:noProof/>
                <w:color w:val="000000"/>
                <w:sz w:val="20"/>
                <w:szCs w:val="20"/>
                <w:highlight w:val="black"/>
              </w:rPr>
              <w:t>'''''''''''''''''''''</w:t>
            </w:r>
          </w:p>
          <w:p w:rsidR="00402198" w:rsidRPr="00B51ACB" w:rsidRDefault="00402198">
            <w:pPr>
              <w:keepNext/>
              <w:ind w:left="-108"/>
              <w:rPr>
                <w:rFonts w:ascii="Arial Narrow" w:hAnsi="Arial Narrow" w:cs="Arial"/>
                <w:sz w:val="20"/>
                <w:szCs w:val="20"/>
              </w:rPr>
            </w:pPr>
            <w:r w:rsidRPr="00B51ACB">
              <w:rPr>
                <w:rFonts w:ascii="Arial Narrow" w:hAnsi="Arial Narrow" w:cs="Arial"/>
                <w:i/>
                <w:sz w:val="20"/>
                <w:szCs w:val="20"/>
              </w:rPr>
              <w:t>*$</w:t>
            </w:r>
            <w:r w:rsidR="00F53810">
              <w:rPr>
                <w:rFonts w:ascii="Arial Narrow" w:hAnsi="Arial Narrow" w:cs="Arial"/>
                <w:i/>
                <w:noProof/>
                <w:color w:val="000000"/>
                <w:sz w:val="20"/>
                <w:szCs w:val="20"/>
                <w:highlight w:val="black"/>
              </w:rPr>
              <w:t>''''''''''''''''''''</w:t>
            </w:r>
          </w:p>
          <w:p w:rsidR="004D1F39" w:rsidRPr="00B51ACB" w:rsidRDefault="004D1F39">
            <w:pPr>
              <w:keepNext/>
              <w:ind w:left="-108"/>
              <w:rPr>
                <w:rFonts w:ascii="Arial Narrow" w:hAnsi="Arial Narrow" w:cs="Arial"/>
                <w:sz w:val="20"/>
                <w:szCs w:val="20"/>
              </w:rPr>
            </w:pPr>
          </w:p>
        </w:tc>
        <w:tc>
          <w:tcPr>
            <w:tcW w:w="851" w:type="dxa"/>
          </w:tcPr>
          <w:p w:rsidR="004D1F39" w:rsidRPr="00B51ACB" w:rsidRDefault="004D1F39">
            <w:pPr>
              <w:keepNext/>
              <w:jc w:val="both"/>
              <w:rPr>
                <w:rFonts w:ascii="Arial Narrow" w:hAnsi="Arial Narrow" w:cs="Arial"/>
                <w:sz w:val="20"/>
                <w:szCs w:val="20"/>
              </w:rPr>
            </w:pPr>
          </w:p>
          <w:p w:rsidR="004D1F39" w:rsidRPr="00B51ACB" w:rsidRDefault="004D1F39">
            <w:pPr>
              <w:keepNext/>
              <w:jc w:val="both"/>
              <w:rPr>
                <w:rFonts w:ascii="Arial Narrow" w:hAnsi="Arial Narrow" w:cs="Arial"/>
                <w:sz w:val="20"/>
                <w:szCs w:val="20"/>
              </w:rPr>
            </w:pPr>
          </w:p>
          <w:p w:rsidR="004D1F39" w:rsidRPr="00B51ACB" w:rsidRDefault="004D1F39">
            <w:pPr>
              <w:keepNext/>
              <w:jc w:val="both"/>
              <w:rPr>
                <w:rFonts w:ascii="Arial Narrow" w:hAnsi="Arial Narrow" w:cs="Arial"/>
                <w:sz w:val="20"/>
                <w:szCs w:val="20"/>
              </w:rPr>
            </w:pPr>
            <w:r w:rsidRPr="00B51ACB">
              <w:rPr>
                <w:rFonts w:ascii="Arial Narrow" w:hAnsi="Arial Narrow" w:cs="Arial"/>
                <w:sz w:val="20"/>
                <w:szCs w:val="20"/>
              </w:rPr>
              <w:t>Humira</w:t>
            </w:r>
          </w:p>
        </w:tc>
        <w:tc>
          <w:tcPr>
            <w:tcW w:w="850" w:type="dxa"/>
          </w:tcPr>
          <w:p w:rsidR="004D1F39" w:rsidRPr="00B51ACB" w:rsidRDefault="004D1F39">
            <w:pPr>
              <w:keepNext/>
              <w:jc w:val="both"/>
              <w:rPr>
                <w:rFonts w:ascii="Arial Narrow" w:hAnsi="Arial Narrow" w:cs="Arial"/>
                <w:sz w:val="20"/>
                <w:szCs w:val="20"/>
              </w:rPr>
            </w:pPr>
          </w:p>
          <w:p w:rsidR="004D1F39" w:rsidRPr="00B51ACB" w:rsidRDefault="004D1F39">
            <w:pPr>
              <w:keepNext/>
              <w:jc w:val="both"/>
              <w:rPr>
                <w:rFonts w:ascii="Arial Narrow" w:hAnsi="Arial Narrow" w:cs="Arial"/>
                <w:sz w:val="20"/>
                <w:szCs w:val="20"/>
              </w:rPr>
            </w:pPr>
          </w:p>
          <w:p w:rsidR="004D1F39" w:rsidRPr="00B51ACB" w:rsidRDefault="004D1F39">
            <w:pPr>
              <w:keepNext/>
              <w:jc w:val="both"/>
              <w:rPr>
                <w:rFonts w:ascii="Arial Narrow" w:hAnsi="Arial Narrow" w:cs="Arial"/>
                <w:sz w:val="20"/>
                <w:szCs w:val="20"/>
              </w:rPr>
            </w:pPr>
            <w:r w:rsidRPr="00B51ACB">
              <w:rPr>
                <w:rFonts w:ascii="Arial Narrow" w:hAnsi="Arial Narrow" w:cs="Arial"/>
                <w:sz w:val="20"/>
                <w:szCs w:val="20"/>
              </w:rPr>
              <w:t>AbbVie</w:t>
            </w:r>
          </w:p>
        </w:tc>
      </w:tr>
    </w:tbl>
    <w:p w:rsidR="00104A05" w:rsidRPr="00B51ACB" w:rsidRDefault="00104A05" w:rsidP="00104A05">
      <w:pPr>
        <w:pStyle w:val="ListParagraph"/>
        <w:jc w:val="both"/>
        <w:rPr>
          <w:rFonts w:ascii="Arial" w:hAnsi="Arial"/>
          <w:sz w:val="22"/>
          <w:szCs w:val="22"/>
        </w:rPr>
      </w:pPr>
    </w:p>
    <w:p w:rsidR="004841C5" w:rsidRDefault="008A6CA9" w:rsidP="00767CAC">
      <w:pPr>
        <w:pStyle w:val="ListParagraph"/>
        <w:numPr>
          <w:ilvl w:val="1"/>
          <w:numId w:val="1"/>
        </w:numPr>
        <w:jc w:val="both"/>
        <w:rPr>
          <w:rFonts w:ascii="Arial" w:hAnsi="Arial"/>
          <w:sz w:val="22"/>
          <w:szCs w:val="22"/>
        </w:rPr>
      </w:pPr>
      <w:r w:rsidRPr="00B51ACB">
        <w:rPr>
          <w:rFonts w:ascii="Arial" w:hAnsi="Arial"/>
          <w:sz w:val="22"/>
          <w:szCs w:val="22"/>
        </w:rPr>
        <w:t>T</w:t>
      </w:r>
      <w:r w:rsidR="00A46F78" w:rsidRPr="00B51ACB">
        <w:rPr>
          <w:rFonts w:ascii="Arial" w:hAnsi="Arial"/>
          <w:sz w:val="22"/>
          <w:szCs w:val="22"/>
        </w:rPr>
        <w:t xml:space="preserve">he proposed restriction was the same as </w:t>
      </w:r>
      <w:r w:rsidRPr="00B51ACB">
        <w:rPr>
          <w:rFonts w:ascii="Arial" w:hAnsi="Arial"/>
          <w:sz w:val="22"/>
          <w:szCs w:val="22"/>
        </w:rPr>
        <w:t>for</w:t>
      </w:r>
      <w:r w:rsidR="00A46F78" w:rsidRPr="00B51ACB">
        <w:rPr>
          <w:rFonts w:ascii="Arial" w:hAnsi="Arial"/>
          <w:sz w:val="22"/>
          <w:szCs w:val="22"/>
        </w:rPr>
        <w:t xml:space="preserve"> the July 2015 major resubmission</w:t>
      </w:r>
      <w:r w:rsidR="00B8423D" w:rsidRPr="00B51ACB">
        <w:rPr>
          <w:rFonts w:ascii="Arial" w:hAnsi="Arial"/>
          <w:sz w:val="22"/>
          <w:szCs w:val="22"/>
        </w:rPr>
        <w:t xml:space="preserve">. </w:t>
      </w:r>
    </w:p>
    <w:p w:rsidR="00EC29CE" w:rsidRPr="00B51ACB" w:rsidRDefault="00EC29CE" w:rsidP="00EC29CE">
      <w:pPr>
        <w:pStyle w:val="ListParagraph"/>
        <w:jc w:val="both"/>
        <w:rPr>
          <w:rFonts w:ascii="Arial" w:hAnsi="Arial"/>
          <w:sz w:val="22"/>
          <w:szCs w:val="22"/>
        </w:rPr>
      </w:pPr>
    </w:p>
    <w:p w:rsidR="004D1F39" w:rsidRPr="00B51ACB" w:rsidRDefault="004D1F39" w:rsidP="00F30D63">
      <w:pPr>
        <w:ind w:firstLine="720"/>
        <w:jc w:val="both"/>
        <w:rPr>
          <w:rFonts w:ascii="Arial Narrow" w:hAnsi="Arial Narrow" w:cs="Arial"/>
          <w:b/>
          <w:snapToGrid w:val="0"/>
          <w:sz w:val="20"/>
          <w:szCs w:val="20"/>
          <w:u w:val="single"/>
          <w:lang w:eastAsia="en-US"/>
        </w:rPr>
      </w:pPr>
      <w:r w:rsidRPr="00B51ACB">
        <w:rPr>
          <w:rFonts w:ascii="Arial Narrow" w:hAnsi="Arial Narrow" w:cs="Arial"/>
          <w:b/>
          <w:snapToGrid w:val="0"/>
          <w:sz w:val="20"/>
          <w:szCs w:val="20"/>
          <w:u w:val="single"/>
          <w:lang w:eastAsia="en-US"/>
        </w:rPr>
        <w:t>Section 85, Authority required (Streamlined)</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7"/>
        <w:gridCol w:w="6928"/>
      </w:tblGrid>
      <w:tr w:rsidR="004D1F39" w:rsidRPr="00B51ACB" w:rsidTr="00A61A4A">
        <w:trPr>
          <w:trHeight w:val="2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D1F39" w:rsidRPr="00B51ACB" w:rsidRDefault="004D1F39" w:rsidP="00247B39">
            <w:pPr>
              <w:jc w:val="both"/>
              <w:rPr>
                <w:rFonts w:ascii="Arial Narrow" w:hAnsi="Arial Narrow" w:cs="Arial"/>
                <w:snapToGrid w:val="0"/>
                <w:sz w:val="20"/>
                <w:szCs w:val="20"/>
                <w:lang w:eastAsia="en-US"/>
              </w:rPr>
            </w:pPr>
            <w:r w:rsidRPr="00B51ACB">
              <w:rPr>
                <w:rFonts w:ascii="Arial Narrow" w:hAnsi="Arial Narrow" w:cs="Arial"/>
                <w:bCs/>
                <w:snapToGrid w:val="0"/>
                <w:sz w:val="20"/>
                <w:szCs w:val="20"/>
                <w:lang w:eastAsia="en-US"/>
              </w:rPr>
              <w:t>Treatment phase: Initial treatment (new patient)</w:t>
            </w:r>
          </w:p>
        </w:tc>
      </w:tr>
      <w:tr w:rsidR="004D1F39" w:rsidRPr="00B51ACB" w:rsidTr="00A61A4A">
        <w:trPr>
          <w:trHeight w:val="20"/>
        </w:trPr>
        <w:tc>
          <w:tcPr>
            <w:tcW w:w="849" w:type="pct"/>
            <w:tcBorders>
              <w:top w:val="single" w:sz="4" w:space="0" w:color="auto"/>
              <w:left w:val="single" w:sz="4" w:space="0" w:color="auto"/>
              <w:bottom w:val="single" w:sz="4" w:space="0" w:color="auto"/>
              <w:right w:val="single" w:sz="4" w:space="0" w:color="auto"/>
            </w:tcBorders>
            <w:hideMark/>
          </w:tcPr>
          <w:p w:rsidR="004D1F39" w:rsidRPr="00B51ACB" w:rsidRDefault="004D1F39" w:rsidP="00F30D63">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Episodicity</w:t>
            </w:r>
          </w:p>
        </w:tc>
        <w:tc>
          <w:tcPr>
            <w:tcW w:w="4151" w:type="pct"/>
            <w:tcBorders>
              <w:top w:val="single" w:sz="4" w:space="0" w:color="auto"/>
              <w:left w:val="single" w:sz="4" w:space="0" w:color="auto"/>
              <w:bottom w:val="single" w:sz="4" w:space="0" w:color="auto"/>
              <w:right w:val="single" w:sz="4" w:space="0" w:color="auto"/>
            </w:tcBorders>
          </w:tcPr>
          <w:p w:rsidR="004D1F39" w:rsidRPr="00B51ACB" w:rsidRDefault="004D1F39" w:rsidP="00247B39">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For 12 weeks after the first dose</w:t>
            </w:r>
          </w:p>
        </w:tc>
      </w:tr>
      <w:tr w:rsidR="004D1F39" w:rsidRPr="00B51ACB" w:rsidTr="00A61A4A">
        <w:trPr>
          <w:trHeight w:val="20"/>
        </w:trPr>
        <w:tc>
          <w:tcPr>
            <w:tcW w:w="849" w:type="pct"/>
            <w:tcBorders>
              <w:top w:val="single" w:sz="4" w:space="0" w:color="auto"/>
              <w:left w:val="single" w:sz="4" w:space="0" w:color="auto"/>
              <w:bottom w:val="single" w:sz="4" w:space="0" w:color="auto"/>
              <w:right w:val="single" w:sz="4" w:space="0" w:color="auto"/>
            </w:tcBorders>
            <w:hideMark/>
          </w:tcPr>
          <w:p w:rsidR="004D1F39" w:rsidRPr="00B51ACB" w:rsidRDefault="004D1F39" w:rsidP="00F30D63">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Condition</w:t>
            </w:r>
          </w:p>
        </w:tc>
        <w:tc>
          <w:tcPr>
            <w:tcW w:w="4151" w:type="pct"/>
            <w:tcBorders>
              <w:top w:val="single" w:sz="4" w:space="0" w:color="auto"/>
              <w:left w:val="single" w:sz="4" w:space="0" w:color="auto"/>
              <w:bottom w:val="single" w:sz="4" w:space="0" w:color="auto"/>
              <w:right w:val="single" w:sz="4" w:space="0" w:color="auto"/>
            </w:tcBorders>
          </w:tcPr>
          <w:p w:rsidR="004D1F39" w:rsidRPr="00B51ACB" w:rsidRDefault="004D1F39" w:rsidP="00247B39">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Moderate to severe UC</w:t>
            </w:r>
          </w:p>
        </w:tc>
      </w:tr>
      <w:tr w:rsidR="004D1F39" w:rsidRPr="00B51ACB" w:rsidTr="00A61A4A">
        <w:trPr>
          <w:trHeight w:val="20"/>
        </w:trPr>
        <w:tc>
          <w:tcPr>
            <w:tcW w:w="849" w:type="pct"/>
            <w:tcBorders>
              <w:top w:val="single" w:sz="4" w:space="0" w:color="auto"/>
              <w:left w:val="single" w:sz="4" w:space="0" w:color="auto"/>
              <w:bottom w:val="single" w:sz="4" w:space="0" w:color="auto"/>
              <w:right w:val="single" w:sz="4" w:space="0" w:color="auto"/>
            </w:tcBorders>
            <w:hideMark/>
          </w:tcPr>
          <w:p w:rsidR="004D1F39" w:rsidRPr="00B51ACB" w:rsidRDefault="004D1F39" w:rsidP="00F30D63">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Treatment criteria</w:t>
            </w:r>
          </w:p>
        </w:tc>
        <w:tc>
          <w:tcPr>
            <w:tcW w:w="4151" w:type="pct"/>
            <w:tcBorders>
              <w:top w:val="single" w:sz="4" w:space="0" w:color="auto"/>
              <w:left w:val="single" w:sz="4" w:space="0" w:color="auto"/>
              <w:bottom w:val="single" w:sz="4" w:space="0" w:color="auto"/>
              <w:right w:val="single" w:sz="4" w:space="0" w:color="auto"/>
            </w:tcBorders>
          </w:tcPr>
          <w:p w:rsidR="004D1F39" w:rsidRPr="00B51ACB" w:rsidRDefault="004D1F39" w:rsidP="00247B39">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 xml:space="preserve">Must be treated by a gastroenterologist (code 87) or a consultant physician [internal medicine </w:t>
            </w:r>
            <w:r w:rsidRPr="00B51ACB">
              <w:rPr>
                <w:rFonts w:ascii="Arial Narrow" w:hAnsi="Arial Narrow" w:cs="Arial"/>
                <w:snapToGrid w:val="0"/>
                <w:sz w:val="20"/>
                <w:szCs w:val="20"/>
                <w:lang w:eastAsia="en-US"/>
              </w:rPr>
              <w:lastRenderedPageBreak/>
              <w:t>specialising in gastroenterology (code 81)] or a consultant physician [general medicine specialising in gastroenterology (code 82)].</w:t>
            </w:r>
          </w:p>
          <w:p w:rsidR="004D1F39" w:rsidRPr="00B51ACB" w:rsidRDefault="004D1F39">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Applications for authorisation of initial treatment must be in writing and must include:</w:t>
            </w:r>
          </w:p>
          <w:p w:rsidR="004D1F39" w:rsidRPr="00B51ACB" w:rsidRDefault="004D1F39">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 xml:space="preserve">(a) two completed authority prescription forms; </w:t>
            </w:r>
            <w:r w:rsidRPr="00B51ACB">
              <w:rPr>
                <w:rFonts w:ascii="Arial Narrow" w:hAnsi="Arial Narrow" w:cs="Arial"/>
                <w:b/>
                <w:snapToGrid w:val="0"/>
                <w:sz w:val="20"/>
                <w:szCs w:val="20"/>
                <w:lang w:eastAsia="en-US"/>
              </w:rPr>
              <w:t>AND</w:t>
            </w:r>
          </w:p>
          <w:p w:rsidR="004D1F39" w:rsidRPr="00B51ACB" w:rsidRDefault="004D1F39">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 xml:space="preserve">(b) a completed UC PBS Authority Application - Supporting Information Form which includes the following: </w:t>
            </w:r>
          </w:p>
          <w:p w:rsidR="004D1F39" w:rsidRPr="00B51ACB" w:rsidRDefault="004D1F39">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 xml:space="preserve">(i) the completed current Mayo clinic or partial Mayo clinic calculation sheet including the date of assessment of the patient's condition; </w:t>
            </w:r>
            <w:r w:rsidRPr="00B51ACB">
              <w:rPr>
                <w:rFonts w:ascii="Arial Narrow" w:hAnsi="Arial Narrow" w:cs="Arial"/>
                <w:b/>
                <w:snapToGrid w:val="0"/>
                <w:sz w:val="20"/>
                <w:szCs w:val="20"/>
                <w:lang w:eastAsia="en-US"/>
              </w:rPr>
              <w:t>AND</w:t>
            </w:r>
          </w:p>
          <w:p w:rsidR="004D1F39" w:rsidRPr="00B51ACB" w:rsidRDefault="004D1F39">
            <w:pPr>
              <w:jc w:val="both"/>
              <w:rPr>
                <w:rFonts w:ascii="Arial Narrow" w:hAnsi="Arial Narrow" w:cs="Arial"/>
                <w:b/>
                <w:snapToGrid w:val="0"/>
                <w:sz w:val="20"/>
                <w:szCs w:val="20"/>
                <w:lang w:eastAsia="en-US"/>
              </w:rPr>
            </w:pPr>
            <w:r w:rsidRPr="00B51ACB">
              <w:rPr>
                <w:rFonts w:ascii="Arial Narrow" w:hAnsi="Arial Narrow" w:cs="Arial"/>
                <w:snapToGrid w:val="0"/>
                <w:sz w:val="20"/>
                <w:szCs w:val="20"/>
                <w:lang w:eastAsia="en-US"/>
              </w:rPr>
              <w:t xml:space="preserve">(ii) details of prior systemic drug therapy [dosage, date of commencement and duration of therapy]; </w:t>
            </w:r>
            <w:r w:rsidRPr="00B51ACB">
              <w:rPr>
                <w:rFonts w:ascii="Arial Narrow" w:hAnsi="Arial Narrow" w:cs="Arial"/>
                <w:b/>
                <w:snapToGrid w:val="0"/>
                <w:sz w:val="20"/>
                <w:szCs w:val="20"/>
                <w:lang w:eastAsia="en-US"/>
              </w:rPr>
              <w:t>AND</w:t>
            </w:r>
          </w:p>
          <w:p w:rsidR="004D1F39" w:rsidRPr="00B51ACB" w:rsidRDefault="004D1F39">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(iii) the signed patient acknowledgement.</w:t>
            </w:r>
          </w:p>
          <w:p w:rsidR="004D1F39" w:rsidRPr="00B51ACB" w:rsidRDefault="004D1F39">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 xml:space="preserve">A maximum quantity and number of repeats to provide for an initial course of this drug consisting of 6 doses to be administered at weeks 0 (160mg), 2 (80mg), 4 (40mg), 6 (40mg), 8 (40mg) and 10 (40mg) will be authorised. </w:t>
            </w:r>
          </w:p>
          <w:p w:rsidR="004D1F39" w:rsidRPr="00B51ACB" w:rsidRDefault="004D1F39">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 xml:space="preserve">All tests and assessments should be performed preferably whilst still on treatment, but no longer than 1 month following cessation of the most recent prior treatment.  The most recent Mayo clinic or partial Mayo clinic score must be no more than 1 month old at the time of application. </w:t>
            </w:r>
          </w:p>
          <w:p w:rsidR="004D1F39" w:rsidRPr="00B51ACB" w:rsidRDefault="004D1F39">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 xml:space="preserve">Patients who fail to achieve a partial Mayo clinic score less than or equal to 2, with no subscore greater than 1, within the first 12 weeks of receiving this drug for UC, or have failed to maintain a partial Mayo clinic score less than or equal to 2, with no subscore greater than 1, with continuing treatment with this drug, will not be eligible to receive further PBS-subsidised treatment with this drug. </w:t>
            </w:r>
          </w:p>
          <w:p w:rsidR="004D1F39" w:rsidRPr="00B51ACB" w:rsidRDefault="004D1F39">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 xml:space="preserve">A partial Mayo clinic assessment of the patient's response to this initial course of treatment must be made up to 12 weeks after the first dose (2 weeks following the sixth dose) so that there is adequate time for a response to be demonstrated. </w:t>
            </w:r>
          </w:p>
          <w:p w:rsidR="004D1F39" w:rsidRPr="00B51ACB" w:rsidRDefault="004D1F39">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 xml:space="preserve">The patient must have signed a patient acknowledgement indicating they understand and acknowledge that the PBS-subsidised treatment will cease if they do not meet the predetermined response criterion for ongoing PBS-subsidised treatment, as outlined in the restriction for continuing treatment. </w:t>
            </w:r>
          </w:p>
          <w:p w:rsidR="004D1F39" w:rsidRPr="00B51ACB" w:rsidRDefault="004D1F39">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 xml:space="preserve">If treatment with any of the above-mentioned drugs is contraindicated according to the relevant TGA-approved Product Information, please provide details at the time of application. If intolerance to treatment develops during the relevant period of use, which is of a severity necessitating permanent treatment withdrawal, please provide details of the degree of this toxicity at the time of application. </w:t>
            </w:r>
          </w:p>
          <w:p w:rsidR="004D1F39" w:rsidRPr="00B51ACB" w:rsidRDefault="004D1F39">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Patients may qualify for PBS-subsidised treatment under this restriction once only.</w:t>
            </w:r>
          </w:p>
        </w:tc>
      </w:tr>
      <w:tr w:rsidR="004D1F39" w:rsidRPr="00B51ACB" w:rsidTr="00A61A4A">
        <w:trPr>
          <w:trHeight w:val="20"/>
        </w:trPr>
        <w:tc>
          <w:tcPr>
            <w:tcW w:w="849" w:type="pct"/>
            <w:tcBorders>
              <w:top w:val="single" w:sz="4" w:space="0" w:color="auto"/>
              <w:left w:val="single" w:sz="4" w:space="0" w:color="auto"/>
              <w:bottom w:val="single" w:sz="4" w:space="0" w:color="auto"/>
              <w:right w:val="single" w:sz="4" w:space="0" w:color="auto"/>
            </w:tcBorders>
            <w:hideMark/>
          </w:tcPr>
          <w:p w:rsidR="004D1F39" w:rsidRPr="00B51ACB" w:rsidRDefault="004D1F39" w:rsidP="00F30D63">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lastRenderedPageBreak/>
              <w:t>Clinical criteria</w:t>
            </w:r>
          </w:p>
        </w:tc>
        <w:tc>
          <w:tcPr>
            <w:tcW w:w="4151" w:type="pct"/>
            <w:tcBorders>
              <w:top w:val="single" w:sz="4" w:space="0" w:color="auto"/>
              <w:left w:val="single" w:sz="4" w:space="0" w:color="auto"/>
              <w:bottom w:val="single" w:sz="4" w:space="0" w:color="auto"/>
              <w:right w:val="single" w:sz="4" w:space="0" w:color="auto"/>
            </w:tcBorders>
          </w:tcPr>
          <w:p w:rsidR="004D1F39" w:rsidRPr="00B51ACB" w:rsidRDefault="004D1F39" w:rsidP="00247B39">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 xml:space="preserve">Patient must have failed to achieve an adequate response to a 5-aminosalicylate oral preparation in a standard dose for induction of remission for 3 or more months or have intolerance necessitating permanent treatment withdrawal, </w:t>
            </w:r>
            <w:r w:rsidRPr="00B51ACB">
              <w:rPr>
                <w:rFonts w:ascii="Arial Narrow" w:hAnsi="Arial Narrow" w:cs="Arial"/>
                <w:b/>
                <w:snapToGrid w:val="0"/>
                <w:sz w:val="20"/>
                <w:szCs w:val="20"/>
                <w:lang w:eastAsia="en-US"/>
              </w:rPr>
              <w:t>AND</w:t>
            </w:r>
          </w:p>
          <w:p w:rsidR="004D1F39" w:rsidRPr="00B51ACB" w:rsidRDefault="004D1F39">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 xml:space="preserve">Patient must have failed to achieve an adequate response to azathioprine at a dose of at least 2 mg per kg daily for 3 or more months or have intolerance necessitating permanent treatment withdrawal; </w:t>
            </w:r>
            <w:r w:rsidRPr="00B51ACB">
              <w:rPr>
                <w:rFonts w:ascii="Arial Narrow" w:hAnsi="Arial Narrow" w:cs="Arial"/>
                <w:b/>
                <w:snapToGrid w:val="0"/>
                <w:sz w:val="20"/>
                <w:szCs w:val="20"/>
                <w:lang w:eastAsia="en-US"/>
              </w:rPr>
              <w:t xml:space="preserve">OR </w:t>
            </w:r>
          </w:p>
          <w:p w:rsidR="004D1F39" w:rsidRPr="00B51ACB" w:rsidRDefault="004D1F39">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 xml:space="preserve">Patient must have failed to achieve an adequate response to 6-mercaptopurine at a dose of at least 1 mg per kg daily for 3 or more months or have intolerance necessitating permanent treatment withdrawal; </w:t>
            </w:r>
            <w:r w:rsidRPr="00B51ACB">
              <w:rPr>
                <w:rFonts w:ascii="Arial Narrow" w:hAnsi="Arial Narrow" w:cs="Arial"/>
                <w:b/>
                <w:snapToGrid w:val="0"/>
                <w:sz w:val="20"/>
                <w:szCs w:val="20"/>
                <w:lang w:eastAsia="en-US"/>
              </w:rPr>
              <w:t>OR</w:t>
            </w:r>
            <w:r w:rsidRPr="00B51ACB">
              <w:rPr>
                <w:rFonts w:ascii="Arial Narrow" w:hAnsi="Arial Narrow" w:cs="Arial"/>
                <w:snapToGrid w:val="0"/>
                <w:sz w:val="20"/>
                <w:szCs w:val="20"/>
                <w:lang w:eastAsia="en-US"/>
              </w:rPr>
              <w:t xml:space="preserve"> </w:t>
            </w:r>
          </w:p>
          <w:p w:rsidR="004D1F39" w:rsidRPr="00B51ACB" w:rsidRDefault="004D1F39">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 xml:space="preserve">Patient must have failed to achieve an adequate response to a tapered course of oral steroids, starting at a dose of at least 40 mg prednisolone (or equivalent), over a 6 week period or have intolerance necessitating permanent treatment withdrawal, </w:t>
            </w:r>
            <w:r w:rsidRPr="00B51ACB">
              <w:rPr>
                <w:rFonts w:ascii="Arial Narrow" w:hAnsi="Arial Narrow" w:cs="Arial"/>
                <w:b/>
                <w:snapToGrid w:val="0"/>
                <w:sz w:val="20"/>
                <w:szCs w:val="20"/>
                <w:lang w:eastAsia="en-US"/>
              </w:rPr>
              <w:t>AND</w:t>
            </w:r>
          </w:p>
          <w:p w:rsidR="004D1F39" w:rsidRPr="00B51ACB" w:rsidRDefault="004D1F39">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 xml:space="preserve">Patient must have a Mayo clinic score greater than or equal to 6; </w:t>
            </w:r>
            <w:r w:rsidRPr="00B51ACB">
              <w:rPr>
                <w:rFonts w:ascii="Arial Narrow" w:hAnsi="Arial Narrow" w:cs="Arial"/>
                <w:b/>
                <w:snapToGrid w:val="0"/>
                <w:sz w:val="20"/>
                <w:szCs w:val="20"/>
                <w:lang w:eastAsia="en-US"/>
              </w:rPr>
              <w:t>OR</w:t>
            </w:r>
          </w:p>
          <w:p w:rsidR="004D1F39" w:rsidRPr="00B51ACB" w:rsidRDefault="004D1F39">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Patient must have a partial Mayo clinic score greater than or equal to 6, provided the rectal bleeding and stool frequency subscores are both greater than or equal to 2 (endoscopy subscore is not required for a partial Mayo clinic score).</w:t>
            </w:r>
          </w:p>
        </w:tc>
      </w:tr>
      <w:tr w:rsidR="004D1F39" w:rsidRPr="00B51ACB" w:rsidTr="00A61A4A">
        <w:trPr>
          <w:trHeight w:val="205"/>
        </w:trPr>
        <w:tc>
          <w:tcPr>
            <w:tcW w:w="849" w:type="pct"/>
            <w:tcBorders>
              <w:top w:val="single" w:sz="4" w:space="0" w:color="auto"/>
              <w:left w:val="single" w:sz="4" w:space="0" w:color="auto"/>
              <w:bottom w:val="single" w:sz="4" w:space="0" w:color="auto"/>
              <w:right w:val="single" w:sz="4" w:space="0" w:color="auto"/>
            </w:tcBorders>
            <w:hideMark/>
          </w:tcPr>
          <w:p w:rsidR="004D1F39" w:rsidRPr="00B51ACB" w:rsidRDefault="004D1F39" w:rsidP="00F30D63">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Population criteria</w:t>
            </w:r>
          </w:p>
        </w:tc>
        <w:tc>
          <w:tcPr>
            <w:tcW w:w="4151" w:type="pct"/>
            <w:tcBorders>
              <w:top w:val="single" w:sz="4" w:space="0" w:color="auto"/>
              <w:left w:val="single" w:sz="4" w:space="0" w:color="auto"/>
              <w:bottom w:val="single" w:sz="4" w:space="0" w:color="auto"/>
              <w:right w:val="single" w:sz="4" w:space="0" w:color="auto"/>
            </w:tcBorders>
          </w:tcPr>
          <w:p w:rsidR="004D1F39" w:rsidRPr="00B51ACB" w:rsidRDefault="004D1F39" w:rsidP="00247B39">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For patients 18 years old and older</w:t>
            </w:r>
          </w:p>
        </w:tc>
      </w:tr>
    </w:tbl>
    <w:p w:rsidR="00153066" w:rsidRPr="00B51ACB" w:rsidRDefault="00153066" w:rsidP="00F30D63">
      <w:pPr>
        <w:ind w:firstLine="720"/>
        <w:jc w:val="both"/>
        <w:rPr>
          <w:rFonts w:ascii="Arial" w:hAnsi="Arial" w:cs="Arial"/>
          <w:sz w:val="22"/>
          <w:szCs w:val="22"/>
        </w:rPr>
      </w:pP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9"/>
        <w:gridCol w:w="6926"/>
      </w:tblGrid>
      <w:tr w:rsidR="004D1F39" w:rsidRPr="00B51ACB" w:rsidTr="00A61A4A">
        <w:trPr>
          <w:trHeight w:val="2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D1F39" w:rsidRPr="00B51ACB" w:rsidRDefault="004D1F39" w:rsidP="00247B39">
            <w:pPr>
              <w:jc w:val="both"/>
              <w:rPr>
                <w:rFonts w:ascii="Arial Narrow" w:hAnsi="Arial Narrow" w:cs="Arial"/>
                <w:snapToGrid w:val="0"/>
                <w:sz w:val="20"/>
                <w:szCs w:val="20"/>
                <w:lang w:eastAsia="en-US"/>
              </w:rPr>
            </w:pPr>
            <w:r w:rsidRPr="00B51ACB">
              <w:rPr>
                <w:rFonts w:ascii="Arial Narrow" w:hAnsi="Arial Narrow" w:cs="Arial"/>
                <w:bCs/>
                <w:snapToGrid w:val="0"/>
                <w:sz w:val="20"/>
                <w:szCs w:val="20"/>
                <w:lang w:eastAsia="en-US"/>
              </w:rPr>
              <w:t>Treatment phase: Maintenance treatment</w:t>
            </w:r>
          </w:p>
        </w:tc>
      </w:tr>
      <w:tr w:rsidR="004D1F39" w:rsidRPr="00B51ACB" w:rsidTr="00A61A4A">
        <w:trPr>
          <w:trHeight w:val="20"/>
        </w:trPr>
        <w:tc>
          <w:tcPr>
            <w:tcW w:w="850" w:type="pct"/>
            <w:tcBorders>
              <w:top w:val="single" w:sz="4" w:space="0" w:color="auto"/>
              <w:left w:val="single" w:sz="4" w:space="0" w:color="auto"/>
              <w:bottom w:val="single" w:sz="4" w:space="0" w:color="auto"/>
              <w:right w:val="single" w:sz="4" w:space="0" w:color="auto"/>
            </w:tcBorders>
            <w:hideMark/>
          </w:tcPr>
          <w:p w:rsidR="004D1F39" w:rsidRPr="00B51ACB" w:rsidRDefault="004D1F39" w:rsidP="00F30D63">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lastRenderedPageBreak/>
              <w:t>Episodicity</w:t>
            </w:r>
          </w:p>
        </w:tc>
        <w:tc>
          <w:tcPr>
            <w:tcW w:w="4150" w:type="pct"/>
            <w:tcBorders>
              <w:top w:val="single" w:sz="4" w:space="0" w:color="auto"/>
              <w:left w:val="single" w:sz="4" w:space="0" w:color="auto"/>
              <w:bottom w:val="single" w:sz="4" w:space="0" w:color="auto"/>
              <w:right w:val="single" w:sz="4" w:space="0" w:color="auto"/>
            </w:tcBorders>
          </w:tcPr>
          <w:p w:rsidR="004D1F39" w:rsidRPr="00B51ACB" w:rsidRDefault="004D1F39" w:rsidP="00247B39">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Maximum 5 repeats, 12 weeks after the initial course (maximum 24 weeks)</w:t>
            </w:r>
          </w:p>
        </w:tc>
      </w:tr>
      <w:tr w:rsidR="004D1F39" w:rsidRPr="00B51ACB" w:rsidTr="00A61A4A">
        <w:trPr>
          <w:trHeight w:val="20"/>
        </w:trPr>
        <w:tc>
          <w:tcPr>
            <w:tcW w:w="850" w:type="pct"/>
            <w:tcBorders>
              <w:top w:val="single" w:sz="4" w:space="0" w:color="auto"/>
              <w:left w:val="single" w:sz="4" w:space="0" w:color="auto"/>
              <w:bottom w:val="single" w:sz="4" w:space="0" w:color="auto"/>
              <w:right w:val="single" w:sz="4" w:space="0" w:color="auto"/>
            </w:tcBorders>
            <w:hideMark/>
          </w:tcPr>
          <w:p w:rsidR="004D1F39" w:rsidRPr="00B51ACB" w:rsidRDefault="004D1F39" w:rsidP="00F30D63">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Condition</w:t>
            </w:r>
          </w:p>
        </w:tc>
        <w:tc>
          <w:tcPr>
            <w:tcW w:w="4150" w:type="pct"/>
            <w:tcBorders>
              <w:top w:val="single" w:sz="4" w:space="0" w:color="auto"/>
              <w:left w:val="single" w:sz="4" w:space="0" w:color="auto"/>
              <w:bottom w:val="single" w:sz="4" w:space="0" w:color="auto"/>
              <w:right w:val="single" w:sz="4" w:space="0" w:color="auto"/>
            </w:tcBorders>
          </w:tcPr>
          <w:p w:rsidR="004D1F39" w:rsidRPr="00B51ACB" w:rsidRDefault="004D1F39" w:rsidP="00247B39">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Moderate to severe UC</w:t>
            </w:r>
          </w:p>
        </w:tc>
      </w:tr>
      <w:tr w:rsidR="004D1F39" w:rsidRPr="00B51ACB" w:rsidTr="00A61A4A">
        <w:trPr>
          <w:trHeight w:val="20"/>
        </w:trPr>
        <w:tc>
          <w:tcPr>
            <w:tcW w:w="850" w:type="pct"/>
            <w:tcBorders>
              <w:top w:val="single" w:sz="4" w:space="0" w:color="auto"/>
              <w:left w:val="single" w:sz="4" w:space="0" w:color="auto"/>
              <w:bottom w:val="single" w:sz="4" w:space="0" w:color="auto"/>
              <w:right w:val="single" w:sz="4" w:space="0" w:color="auto"/>
            </w:tcBorders>
            <w:hideMark/>
          </w:tcPr>
          <w:p w:rsidR="004D1F39" w:rsidRPr="00B51ACB" w:rsidRDefault="004D1F39" w:rsidP="00F30D63">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Treatment criteria</w:t>
            </w:r>
          </w:p>
        </w:tc>
        <w:tc>
          <w:tcPr>
            <w:tcW w:w="4150" w:type="pct"/>
            <w:tcBorders>
              <w:top w:val="single" w:sz="4" w:space="0" w:color="auto"/>
              <w:left w:val="single" w:sz="4" w:space="0" w:color="auto"/>
              <w:bottom w:val="single" w:sz="4" w:space="0" w:color="auto"/>
              <w:right w:val="single" w:sz="4" w:space="0" w:color="auto"/>
            </w:tcBorders>
          </w:tcPr>
          <w:p w:rsidR="004D1F39" w:rsidRPr="00B51ACB" w:rsidRDefault="004D1F39" w:rsidP="00247B39">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Must be treated by a gastroenterologist (code 87) or a consultant physician [internal medicine specialising in gastroenterology (code 81)] or a consultant physician [general medicine specialising in gastroenterology (code 82)].</w:t>
            </w:r>
          </w:p>
          <w:p w:rsidR="004D1F39" w:rsidRPr="00B51ACB" w:rsidRDefault="004D1F39">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 xml:space="preserve">Patients who have failed to maintain a partial Mayo clinic score less than or equal to 2, with no subscore greater than 1, with continuing treatment with this drug, will not be eligible to receive further PBS-subsidised treatment with this drug. </w:t>
            </w:r>
          </w:p>
          <w:p w:rsidR="004D1F39" w:rsidRPr="00B51ACB" w:rsidRDefault="004D1F39">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 xml:space="preserve">Patients are eligible to receive continuing treatment with this drug in courses of up to 24 weeks providing they continue to sustain the response. </w:t>
            </w:r>
          </w:p>
          <w:p w:rsidR="004D1F39" w:rsidRPr="00B51ACB" w:rsidRDefault="004D1F39">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Up to a maximum of 5 repeats will be authorised.  No applications for increased repeats will be authorised.</w:t>
            </w:r>
          </w:p>
        </w:tc>
      </w:tr>
      <w:tr w:rsidR="004D1F39" w:rsidRPr="00B51ACB" w:rsidTr="00A61A4A">
        <w:trPr>
          <w:trHeight w:val="20"/>
        </w:trPr>
        <w:tc>
          <w:tcPr>
            <w:tcW w:w="850" w:type="pct"/>
            <w:tcBorders>
              <w:top w:val="single" w:sz="4" w:space="0" w:color="auto"/>
              <w:left w:val="single" w:sz="4" w:space="0" w:color="auto"/>
              <w:bottom w:val="single" w:sz="4" w:space="0" w:color="auto"/>
              <w:right w:val="single" w:sz="4" w:space="0" w:color="auto"/>
            </w:tcBorders>
            <w:hideMark/>
          </w:tcPr>
          <w:p w:rsidR="004D1F39" w:rsidRPr="00B51ACB" w:rsidRDefault="004D1F39" w:rsidP="00F30D63">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Clinical criteria</w:t>
            </w:r>
          </w:p>
        </w:tc>
        <w:tc>
          <w:tcPr>
            <w:tcW w:w="4150" w:type="pct"/>
            <w:tcBorders>
              <w:top w:val="single" w:sz="4" w:space="0" w:color="auto"/>
              <w:left w:val="single" w:sz="4" w:space="0" w:color="auto"/>
              <w:bottom w:val="single" w:sz="4" w:space="0" w:color="auto"/>
              <w:right w:val="single" w:sz="4" w:space="0" w:color="auto"/>
            </w:tcBorders>
          </w:tcPr>
          <w:p w:rsidR="004D1F39" w:rsidRPr="00B51ACB" w:rsidRDefault="004D1F39" w:rsidP="00247B39">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 xml:space="preserve">Patient must have previously been issued with an authority prescription for this drug for this condition, </w:t>
            </w:r>
            <w:r w:rsidRPr="00B51ACB">
              <w:rPr>
                <w:rFonts w:ascii="Arial Narrow" w:hAnsi="Arial Narrow" w:cs="Arial"/>
                <w:b/>
                <w:snapToGrid w:val="0"/>
                <w:sz w:val="20"/>
                <w:szCs w:val="20"/>
                <w:lang w:eastAsia="en-US"/>
              </w:rPr>
              <w:t>AND</w:t>
            </w:r>
          </w:p>
          <w:p w:rsidR="004D1F39" w:rsidRPr="00B51ACB" w:rsidRDefault="004D1F39">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Patient must have demonstrated or sustained an adequate response to treatment by having a partial Mayo clinic score less than or equal to 2, with no subscore greater than 1 while receiving treatment with this drug.</w:t>
            </w:r>
          </w:p>
        </w:tc>
      </w:tr>
      <w:tr w:rsidR="004D1F39" w:rsidRPr="00B51ACB" w:rsidTr="00A61A4A">
        <w:trPr>
          <w:trHeight w:val="528"/>
        </w:trPr>
        <w:tc>
          <w:tcPr>
            <w:tcW w:w="850" w:type="pct"/>
            <w:tcBorders>
              <w:top w:val="single" w:sz="4" w:space="0" w:color="auto"/>
              <w:left w:val="single" w:sz="4" w:space="0" w:color="auto"/>
              <w:bottom w:val="single" w:sz="4" w:space="0" w:color="auto"/>
              <w:right w:val="single" w:sz="4" w:space="0" w:color="auto"/>
            </w:tcBorders>
            <w:hideMark/>
          </w:tcPr>
          <w:p w:rsidR="004D1F39" w:rsidRPr="00B51ACB" w:rsidRDefault="004D1F39" w:rsidP="00F30D63">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Population criteria</w:t>
            </w:r>
          </w:p>
        </w:tc>
        <w:tc>
          <w:tcPr>
            <w:tcW w:w="4150" w:type="pct"/>
            <w:tcBorders>
              <w:top w:val="single" w:sz="4" w:space="0" w:color="auto"/>
              <w:left w:val="single" w:sz="4" w:space="0" w:color="auto"/>
              <w:bottom w:val="single" w:sz="4" w:space="0" w:color="auto"/>
              <w:right w:val="single" w:sz="4" w:space="0" w:color="auto"/>
            </w:tcBorders>
          </w:tcPr>
          <w:p w:rsidR="004D1F39" w:rsidRPr="00B51ACB" w:rsidRDefault="004D1F39" w:rsidP="00247B39">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For patients 18 years old and older</w:t>
            </w:r>
          </w:p>
        </w:tc>
      </w:tr>
    </w:tbl>
    <w:p w:rsidR="004D1F39" w:rsidRPr="00B51ACB" w:rsidRDefault="004D1F39" w:rsidP="00F30D63">
      <w:pPr>
        <w:ind w:firstLine="720"/>
        <w:jc w:val="both"/>
        <w:rPr>
          <w:rFonts w:ascii="Arial" w:hAnsi="Arial" w:cs="Arial"/>
          <w:sz w:val="22"/>
          <w:szCs w:val="22"/>
        </w:rPr>
      </w:pP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9"/>
        <w:gridCol w:w="6926"/>
      </w:tblGrid>
      <w:tr w:rsidR="004D1F39" w:rsidRPr="00B51ACB" w:rsidTr="00A61A4A">
        <w:trPr>
          <w:trHeight w:val="196"/>
        </w:trPr>
        <w:tc>
          <w:tcPr>
            <w:tcW w:w="5000" w:type="pct"/>
            <w:gridSpan w:val="2"/>
            <w:tcBorders>
              <w:top w:val="single" w:sz="4" w:space="0" w:color="auto"/>
              <w:left w:val="single" w:sz="4" w:space="0" w:color="auto"/>
              <w:bottom w:val="single" w:sz="4" w:space="0" w:color="auto"/>
              <w:right w:val="single" w:sz="4" w:space="0" w:color="auto"/>
            </w:tcBorders>
          </w:tcPr>
          <w:p w:rsidR="004D1F39" w:rsidRPr="00B51ACB" w:rsidRDefault="004D1F39" w:rsidP="00247B39">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Treatment Phase: Initial PBS-subsidised treatment of moderate to severe ulcerative colitis in a patient who has previously received non-PBS-subsidised therapy with this drug (Grandfather).</w:t>
            </w:r>
          </w:p>
        </w:tc>
      </w:tr>
      <w:tr w:rsidR="004D1F39" w:rsidRPr="00B51ACB" w:rsidTr="00A61A4A">
        <w:trPr>
          <w:trHeight w:val="196"/>
        </w:trPr>
        <w:tc>
          <w:tcPr>
            <w:tcW w:w="850" w:type="pct"/>
            <w:tcBorders>
              <w:top w:val="single" w:sz="4" w:space="0" w:color="auto"/>
              <w:left w:val="single" w:sz="4" w:space="0" w:color="auto"/>
              <w:bottom w:val="single" w:sz="4" w:space="0" w:color="auto"/>
              <w:right w:val="single" w:sz="4" w:space="0" w:color="auto"/>
            </w:tcBorders>
          </w:tcPr>
          <w:p w:rsidR="004D1F39" w:rsidRPr="00B51ACB" w:rsidRDefault="004D1F39" w:rsidP="00F30D63">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Episodicity</w:t>
            </w:r>
          </w:p>
        </w:tc>
        <w:tc>
          <w:tcPr>
            <w:tcW w:w="4150" w:type="pct"/>
            <w:tcBorders>
              <w:top w:val="single" w:sz="4" w:space="0" w:color="auto"/>
              <w:left w:val="single" w:sz="4" w:space="0" w:color="auto"/>
              <w:bottom w:val="single" w:sz="4" w:space="0" w:color="auto"/>
              <w:right w:val="single" w:sz="4" w:space="0" w:color="auto"/>
            </w:tcBorders>
          </w:tcPr>
          <w:p w:rsidR="004D1F39" w:rsidRPr="00B51ACB" w:rsidRDefault="004D1F39" w:rsidP="00247B39">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Maximum 5 repeats, 12 weeks after the initial course (maximum 24 weeks)</w:t>
            </w:r>
          </w:p>
        </w:tc>
      </w:tr>
      <w:tr w:rsidR="004D1F39" w:rsidRPr="00B51ACB" w:rsidTr="00A61A4A">
        <w:trPr>
          <w:trHeight w:val="218"/>
        </w:trPr>
        <w:tc>
          <w:tcPr>
            <w:tcW w:w="850" w:type="pct"/>
            <w:tcBorders>
              <w:top w:val="single" w:sz="4" w:space="0" w:color="auto"/>
              <w:left w:val="single" w:sz="4" w:space="0" w:color="auto"/>
              <w:bottom w:val="single" w:sz="4" w:space="0" w:color="auto"/>
              <w:right w:val="single" w:sz="4" w:space="0" w:color="auto"/>
            </w:tcBorders>
          </w:tcPr>
          <w:p w:rsidR="004D1F39" w:rsidRPr="00B51ACB" w:rsidRDefault="004D1F39" w:rsidP="00F30D63">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Condition</w:t>
            </w:r>
          </w:p>
        </w:tc>
        <w:tc>
          <w:tcPr>
            <w:tcW w:w="4150" w:type="pct"/>
            <w:tcBorders>
              <w:top w:val="single" w:sz="4" w:space="0" w:color="auto"/>
              <w:left w:val="single" w:sz="4" w:space="0" w:color="auto"/>
              <w:bottom w:val="single" w:sz="4" w:space="0" w:color="auto"/>
              <w:right w:val="single" w:sz="4" w:space="0" w:color="auto"/>
            </w:tcBorders>
          </w:tcPr>
          <w:p w:rsidR="004D1F39" w:rsidRPr="00B51ACB" w:rsidRDefault="004D1F39" w:rsidP="00247B39">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Moderate to severe UC</w:t>
            </w:r>
          </w:p>
        </w:tc>
      </w:tr>
      <w:tr w:rsidR="004D1F39" w:rsidRPr="00B51ACB" w:rsidTr="00A61A4A">
        <w:trPr>
          <w:trHeight w:val="528"/>
        </w:trPr>
        <w:tc>
          <w:tcPr>
            <w:tcW w:w="850" w:type="pct"/>
            <w:tcBorders>
              <w:top w:val="single" w:sz="4" w:space="0" w:color="auto"/>
              <w:left w:val="single" w:sz="4" w:space="0" w:color="auto"/>
              <w:bottom w:val="single" w:sz="4" w:space="0" w:color="auto"/>
              <w:right w:val="single" w:sz="4" w:space="0" w:color="auto"/>
            </w:tcBorders>
          </w:tcPr>
          <w:p w:rsidR="004D1F39" w:rsidRPr="00B51ACB" w:rsidRDefault="004D1F39" w:rsidP="00F30D63">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Treatment criteria</w:t>
            </w:r>
          </w:p>
        </w:tc>
        <w:tc>
          <w:tcPr>
            <w:tcW w:w="4150" w:type="pct"/>
            <w:tcBorders>
              <w:top w:val="single" w:sz="4" w:space="0" w:color="auto"/>
              <w:left w:val="single" w:sz="4" w:space="0" w:color="auto"/>
              <w:bottom w:val="single" w:sz="4" w:space="0" w:color="auto"/>
              <w:right w:val="single" w:sz="4" w:space="0" w:color="auto"/>
            </w:tcBorders>
          </w:tcPr>
          <w:p w:rsidR="004D1F39" w:rsidRPr="00B51ACB" w:rsidRDefault="004D1F39" w:rsidP="00247B39">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Must be treated by a gastroenterologist (code 87) or a consultant physician [internal medicine specialising in gastroenterology (code 81)] or a consultant physician [general medicine specialising in gastroenterology (code 82)].</w:t>
            </w:r>
          </w:p>
          <w:p w:rsidR="004D1F39" w:rsidRPr="00B51ACB" w:rsidRDefault="004D1F39">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Applications for authorisation of initial treatment must be in writing and must include:</w:t>
            </w:r>
          </w:p>
          <w:p w:rsidR="004D1F39" w:rsidRPr="00B51ACB" w:rsidRDefault="004D1F39">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 xml:space="preserve">(a) a completed authority prescription form; </w:t>
            </w:r>
            <w:r w:rsidRPr="00B51ACB">
              <w:rPr>
                <w:rFonts w:ascii="Arial Narrow" w:hAnsi="Arial Narrow" w:cs="Arial"/>
                <w:b/>
                <w:snapToGrid w:val="0"/>
                <w:sz w:val="20"/>
                <w:szCs w:val="20"/>
                <w:lang w:eastAsia="en-US"/>
              </w:rPr>
              <w:t>AND</w:t>
            </w:r>
          </w:p>
          <w:p w:rsidR="004D1F39" w:rsidRPr="00B51ACB" w:rsidRDefault="004D1F39">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 xml:space="preserve">(b) a completed Ulcerative Colitis PBS Authority Application - Supporting Information Form which includes the following: </w:t>
            </w:r>
          </w:p>
          <w:p w:rsidR="004D1F39" w:rsidRPr="00B51ACB" w:rsidRDefault="004D1F39">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(i) the completed current and baseline Mayo clinic or partial Mayo clinic calculation sheet including the date of assessment of the patient's condition; A</w:t>
            </w:r>
            <w:r w:rsidRPr="00B51ACB">
              <w:rPr>
                <w:rFonts w:ascii="Arial Narrow" w:hAnsi="Arial Narrow" w:cs="Arial"/>
                <w:b/>
                <w:snapToGrid w:val="0"/>
                <w:sz w:val="20"/>
                <w:szCs w:val="20"/>
                <w:lang w:eastAsia="en-US"/>
              </w:rPr>
              <w:t xml:space="preserve">ND </w:t>
            </w:r>
          </w:p>
          <w:p w:rsidR="004D1F39" w:rsidRPr="00B51ACB" w:rsidRDefault="004D1F39">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 xml:space="preserve">(ii) the date of commencement of this drug; </w:t>
            </w:r>
            <w:r w:rsidRPr="00B51ACB">
              <w:rPr>
                <w:rFonts w:ascii="Arial Narrow" w:hAnsi="Arial Narrow" w:cs="Arial"/>
                <w:b/>
                <w:snapToGrid w:val="0"/>
                <w:sz w:val="20"/>
                <w:szCs w:val="20"/>
                <w:lang w:eastAsia="en-US"/>
              </w:rPr>
              <w:t>AND</w:t>
            </w:r>
          </w:p>
          <w:p w:rsidR="004D1F39" w:rsidRPr="00B51ACB" w:rsidRDefault="004D1F39">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(iii) the signed patient acknowledgement.</w:t>
            </w:r>
          </w:p>
          <w:p w:rsidR="004D1F39" w:rsidRPr="00B51ACB" w:rsidRDefault="004D1F39">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 xml:space="preserve">The current Mayo clinic or partial Mayo clinic assessment must be no more than 1 month old at the time of application. The baseline assessment must be from immediately prior to commencing treatment with this drug. </w:t>
            </w:r>
          </w:p>
          <w:p w:rsidR="004D1F39" w:rsidRPr="00B51ACB" w:rsidRDefault="004D1F39">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 xml:space="preserve">Patients are eligible to receive continuing treatment with this drug in courses of up to 24 weeks providing they continue to sustain the response. </w:t>
            </w:r>
          </w:p>
          <w:p w:rsidR="004D1F39" w:rsidRPr="00B51ACB" w:rsidRDefault="004D1F39">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 xml:space="preserve">Up to a maximum of 5 repeats will be authorised.  No applications for increased repeats will be authorised. </w:t>
            </w:r>
          </w:p>
          <w:p w:rsidR="004D1F39" w:rsidRPr="00B51ACB" w:rsidRDefault="004D1F39">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 xml:space="preserve">The patient must have signed a patient acknowledgement indicating they understand and acknowledge that the PBS-subsidised treatment will cease if they do not meet the predetermined response criterion for ongoing PBS-subsidised treatment, as outlined in the restriction for continuing treatment. </w:t>
            </w:r>
          </w:p>
          <w:p w:rsidR="004D1F39" w:rsidRPr="00B51ACB" w:rsidRDefault="004D1F39">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Patients may qualify for PBS-subsidised treatment under this restriction once only.  For continuing PBS-subsidised treatment, a Grandfathered patient must qualify under the Continuing treatment criteria.</w:t>
            </w:r>
          </w:p>
        </w:tc>
      </w:tr>
      <w:tr w:rsidR="004D1F39" w:rsidRPr="00B51ACB" w:rsidTr="00A61A4A">
        <w:trPr>
          <w:trHeight w:val="528"/>
        </w:trPr>
        <w:tc>
          <w:tcPr>
            <w:tcW w:w="850" w:type="pct"/>
            <w:tcBorders>
              <w:top w:val="single" w:sz="4" w:space="0" w:color="auto"/>
              <w:left w:val="single" w:sz="4" w:space="0" w:color="auto"/>
              <w:bottom w:val="single" w:sz="4" w:space="0" w:color="auto"/>
              <w:right w:val="single" w:sz="4" w:space="0" w:color="auto"/>
            </w:tcBorders>
          </w:tcPr>
          <w:p w:rsidR="004D1F39" w:rsidRPr="00B51ACB" w:rsidRDefault="004D1F39" w:rsidP="00F30D63">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Clinical criteria</w:t>
            </w:r>
          </w:p>
        </w:tc>
        <w:tc>
          <w:tcPr>
            <w:tcW w:w="4150" w:type="pct"/>
            <w:tcBorders>
              <w:top w:val="single" w:sz="4" w:space="0" w:color="auto"/>
              <w:left w:val="single" w:sz="4" w:space="0" w:color="auto"/>
              <w:bottom w:val="single" w:sz="4" w:space="0" w:color="auto"/>
              <w:right w:val="single" w:sz="4" w:space="0" w:color="auto"/>
            </w:tcBorders>
          </w:tcPr>
          <w:p w:rsidR="004D1F39" w:rsidRPr="00B51ACB" w:rsidRDefault="004D1F39" w:rsidP="00247B39">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 xml:space="preserve">Patient must have been receiving treatment with this drug prior to [DATE OF PBS LISTING], </w:t>
            </w:r>
            <w:r w:rsidRPr="00B51ACB">
              <w:rPr>
                <w:rFonts w:ascii="Arial Narrow" w:hAnsi="Arial Narrow" w:cs="Arial"/>
                <w:b/>
                <w:snapToGrid w:val="0"/>
                <w:sz w:val="20"/>
                <w:szCs w:val="20"/>
                <w:lang w:eastAsia="en-US"/>
              </w:rPr>
              <w:t>AND</w:t>
            </w:r>
          </w:p>
          <w:p w:rsidR="004D1F39" w:rsidRPr="00B51ACB" w:rsidRDefault="004D1F39">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 xml:space="preserve">Patient must have had a Mayo clinic score greater than or equal to 6 prior to commencing treatment with this drug; </w:t>
            </w:r>
            <w:r w:rsidRPr="00B51ACB">
              <w:rPr>
                <w:rFonts w:ascii="Arial Narrow" w:hAnsi="Arial Narrow" w:cs="Arial"/>
                <w:b/>
                <w:snapToGrid w:val="0"/>
                <w:sz w:val="20"/>
                <w:szCs w:val="20"/>
                <w:lang w:eastAsia="en-US"/>
              </w:rPr>
              <w:t>OR</w:t>
            </w:r>
          </w:p>
          <w:p w:rsidR="004D1F39" w:rsidRPr="00B51ACB" w:rsidRDefault="004D1F39">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 xml:space="preserve">Patient must have had a partial Mayo clinic score greater than or equal to 6, provided the rectal bleeding and stool frequency subscores were both greater than or equal to 2 </w:t>
            </w:r>
            <w:r w:rsidRPr="00B51ACB">
              <w:rPr>
                <w:rFonts w:ascii="Arial Narrow" w:hAnsi="Arial Narrow" w:cs="Arial"/>
                <w:snapToGrid w:val="0"/>
                <w:sz w:val="20"/>
                <w:szCs w:val="20"/>
                <w:lang w:eastAsia="en-US"/>
              </w:rPr>
              <w:lastRenderedPageBreak/>
              <w:t xml:space="preserve">(endoscopy subscore is not required for a partial Mayo score) prior to commencing treatment with this drug; </w:t>
            </w:r>
            <w:r w:rsidRPr="00B51ACB">
              <w:rPr>
                <w:rFonts w:ascii="Arial Narrow" w:hAnsi="Arial Narrow" w:cs="Arial"/>
                <w:b/>
                <w:snapToGrid w:val="0"/>
                <w:sz w:val="20"/>
                <w:szCs w:val="20"/>
                <w:lang w:eastAsia="en-US"/>
              </w:rPr>
              <w:t>OR</w:t>
            </w:r>
            <w:r w:rsidRPr="00B51ACB">
              <w:rPr>
                <w:rFonts w:ascii="Arial Narrow" w:hAnsi="Arial Narrow" w:cs="Arial"/>
                <w:snapToGrid w:val="0"/>
                <w:sz w:val="20"/>
                <w:szCs w:val="20"/>
                <w:lang w:eastAsia="en-US"/>
              </w:rPr>
              <w:t xml:space="preserve"> </w:t>
            </w:r>
          </w:p>
          <w:p w:rsidR="004D1F39" w:rsidRPr="00B51ACB" w:rsidRDefault="004D1F39">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 xml:space="preserve">Patient must have a documented history of moderate to severe refractory ulcerative colitis prior to having commenced treatment with this drug where a Mayo clinic or partial Mayo clinic baseline assessment is not available, </w:t>
            </w:r>
            <w:r w:rsidRPr="00B51ACB">
              <w:rPr>
                <w:rFonts w:ascii="Arial Narrow" w:hAnsi="Arial Narrow" w:cs="Arial"/>
                <w:b/>
                <w:snapToGrid w:val="0"/>
                <w:sz w:val="20"/>
                <w:szCs w:val="20"/>
                <w:lang w:eastAsia="en-US"/>
              </w:rPr>
              <w:t>AND</w:t>
            </w:r>
          </w:p>
          <w:p w:rsidR="004D1F39" w:rsidRPr="00B51ACB" w:rsidRDefault="004D1F39">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Patient must have demonstrated or sustained an adequate response to treatment by having a partial Mayo clinic score less than or equal to 2, with no subscore greater than 1 while receiving treatment with this drug.</w:t>
            </w:r>
          </w:p>
        </w:tc>
      </w:tr>
      <w:tr w:rsidR="004D1F39" w:rsidRPr="00B51ACB" w:rsidTr="00A61A4A">
        <w:trPr>
          <w:trHeight w:val="528"/>
        </w:trPr>
        <w:tc>
          <w:tcPr>
            <w:tcW w:w="850" w:type="pct"/>
            <w:tcBorders>
              <w:top w:val="single" w:sz="4" w:space="0" w:color="auto"/>
              <w:left w:val="single" w:sz="4" w:space="0" w:color="auto"/>
              <w:bottom w:val="single" w:sz="4" w:space="0" w:color="auto"/>
              <w:right w:val="single" w:sz="4" w:space="0" w:color="auto"/>
            </w:tcBorders>
          </w:tcPr>
          <w:p w:rsidR="004D1F39" w:rsidRPr="00B51ACB" w:rsidRDefault="004D1F39" w:rsidP="00F30D63">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lastRenderedPageBreak/>
              <w:t>Population criteria</w:t>
            </w:r>
          </w:p>
        </w:tc>
        <w:tc>
          <w:tcPr>
            <w:tcW w:w="4150" w:type="pct"/>
            <w:tcBorders>
              <w:top w:val="single" w:sz="4" w:space="0" w:color="auto"/>
              <w:left w:val="single" w:sz="4" w:space="0" w:color="auto"/>
              <w:bottom w:val="single" w:sz="4" w:space="0" w:color="auto"/>
              <w:right w:val="single" w:sz="4" w:space="0" w:color="auto"/>
            </w:tcBorders>
          </w:tcPr>
          <w:p w:rsidR="004D1F39" w:rsidRPr="00B51ACB" w:rsidRDefault="004D1F39" w:rsidP="00247B39">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Patient must be 18 years of age or older.</w:t>
            </w:r>
          </w:p>
        </w:tc>
      </w:tr>
    </w:tbl>
    <w:p w:rsidR="004D1F39" w:rsidRPr="00B51ACB" w:rsidRDefault="004D1F39" w:rsidP="00F30D63">
      <w:pPr>
        <w:ind w:firstLine="720"/>
        <w:jc w:val="both"/>
        <w:rPr>
          <w:rFonts w:ascii="Arial" w:hAnsi="Arial" w:cs="Arial"/>
          <w:b/>
          <w:sz w:val="22"/>
          <w:szCs w:val="22"/>
        </w:rPr>
      </w:pP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9"/>
        <w:gridCol w:w="6926"/>
      </w:tblGrid>
      <w:tr w:rsidR="004D1F39" w:rsidRPr="00B51ACB" w:rsidTr="00A61A4A">
        <w:trPr>
          <w:trHeight w:val="265"/>
        </w:trPr>
        <w:tc>
          <w:tcPr>
            <w:tcW w:w="5000" w:type="pct"/>
            <w:gridSpan w:val="2"/>
            <w:tcBorders>
              <w:top w:val="single" w:sz="4" w:space="0" w:color="auto"/>
              <w:left w:val="single" w:sz="4" w:space="0" w:color="auto"/>
              <w:bottom w:val="single" w:sz="4" w:space="0" w:color="auto"/>
              <w:right w:val="single" w:sz="4" w:space="0" w:color="auto"/>
            </w:tcBorders>
          </w:tcPr>
          <w:p w:rsidR="004D1F39" w:rsidRPr="00B51ACB" w:rsidRDefault="004D1F39" w:rsidP="00247B39">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Treatment Phase: Balance of supply</w:t>
            </w:r>
          </w:p>
        </w:tc>
      </w:tr>
      <w:tr w:rsidR="004D1F39" w:rsidRPr="00B51ACB" w:rsidTr="00A61A4A">
        <w:trPr>
          <w:trHeight w:val="283"/>
        </w:trPr>
        <w:tc>
          <w:tcPr>
            <w:tcW w:w="850" w:type="pct"/>
            <w:tcBorders>
              <w:top w:val="single" w:sz="4" w:space="0" w:color="auto"/>
              <w:left w:val="single" w:sz="4" w:space="0" w:color="auto"/>
              <w:bottom w:val="single" w:sz="4" w:space="0" w:color="auto"/>
              <w:right w:val="single" w:sz="4" w:space="0" w:color="auto"/>
            </w:tcBorders>
          </w:tcPr>
          <w:p w:rsidR="004D1F39" w:rsidRPr="00B51ACB" w:rsidRDefault="004D1F39" w:rsidP="00F30D63">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Episodicity</w:t>
            </w:r>
          </w:p>
        </w:tc>
        <w:tc>
          <w:tcPr>
            <w:tcW w:w="4150" w:type="pct"/>
            <w:tcBorders>
              <w:top w:val="single" w:sz="4" w:space="0" w:color="auto"/>
              <w:left w:val="single" w:sz="4" w:space="0" w:color="auto"/>
              <w:bottom w:val="single" w:sz="4" w:space="0" w:color="auto"/>
              <w:right w:val="single" w:sz="4" w:space="0" w:color="auto"/>
            </w:tcBorders>
          </w:tcPr>
          <w:p w:rsidR="004D1F39" w:rsidRPr="00B51ACB" w:rsidRDefault="004D1F39" w:rsidP="00247B39">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Maximum 5 repeats, 12 weeks after the initial course (maximum 24 weeks)</w:t>
            </w:r>
          </w:p>
        </w:tc>
      </w:tr>
      <w:tr w:rsidR="004D1F39" w:rsidRPr="00B51ACB" w:rsidTr="00A61A4A">
        <w:trPr>
          <w:trHeight w:val="273"/>
        </w:trPr>
        <w:tc>
          <w:tcPr>
            <w:tcW w:w="850" w:type="pct"/>
            <w:tcBorders>
              <w:top w:val="single" w:sz="4" w:space="0" w:color="auto"/>
              <w:left w:val="single" w:sz="4" w:space="0" w:color="auto"/>
              <w:bottom w:val="single" w:sz="4" w:space="0" w:color="auto"/>
              <w:right w:val="single" w:sz="4" w:space="0" w:color="auto"/>
            </w:tcBorders>
          </w:tcPr>
          <w:p w:rsidR="004D1F39" w:rsidRPr="00B51ACB" w:rsidRDefault="004D1F39" w:rsidP="00F30D63">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Condition</w:t>
            </w:r>
          </w:p>
        </w:tc>
        <w:tc>
          <w:tcPr>
            <w:tcW w:w="4150" w:type="pct"/>
            <w:tcBorders>
              <w:top w:val="single" w:sz="4" w:space="0" w:color="auto"/>
              <w:left w:val="single" w:sz="4" w:space="0" w:color="auto"/>
              <w:bottom w:val="single" w:sz="4" w:space="0" w:color="auto"/>
              <w:right w:val="single" w:sz="4" w:space="0" w:color="auto"/>
            </w:tcBorders>
          </w:tcPr>
          <w:p w:rsidR="004D1F39" w:rsidRPr="00B51ACB" w:rsidRDefault="004D1F39" w:rsidP="00247B39">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Moderate to severe UC</w:t>
            </w:r>
          </w:p>
        </w:tc>
      </w:tr>
      <w:tr w:rsidR="004D1F39" w:rsidRPr="00B51ACB" w:rsidTr="00A61A4A">
        <w:trPr>
          <w:trHeight w:val="528"/>
        </w:trPr>
        <w:tc>
          <w:tcPr>
            <w:tcW w:w="850" w:type="pct"/>
            <w:tcBorders>
              <w:top w:val="single" w:sz="4" w:space="0" w:color="auto"/>
              <w:left w:val="single" w:sz="4" w:space="0" w:color="auto"/>
              <w:bottom w:val="single" w:sz="4" w:space="0" w:color="auto"/>
              <w:right w:val="single" w:sz="4" w:space="0" w:color="auto"/>
            </w:tcBorders>
          </w:tcPr>
          <w:p w:rsidR="004D1F39" w:rsidRPr="00B51ACB" w:rsidRDefault="004D1F39" w:rsidP="00F30D63">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Treatment criteria</w:t>
            </w:r>
          </w:p>
        </w:tc>
        <w:tc>
          <w:tcPr>
            <w:tcW w:w="4150" w:type="pct"/>
            <w:tcBorders>
              <w:top w:val="single" w:sz="4" w:space="0" w:color="auto"/>
              <w:left w:val="single" w:sz="4" w:space="0" w:color="auto"/>
              <w:bottom w:val="single" w:sz="4" w:space="0" w:color="auto"/>
              <w:right w:val="single" w:sz="4" w:space="0" w:color="auto"/>
            </w:tcBorders>
          </w:tcPr>
          <w:p w:rsidR="004D1F39" w:rsidRPr="00B51ACB" w:rsidRDefault="004D1F39" w:rsidP="00247B39">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Must be treated by a gastroenterologist (code 87) or a consultant physician [internal medicine specialising in gastroenterology (code 81)] or a consultant physician [general medicine specialising in gastroenterology (code 82)].</w:t>
            </w:r>
          </w:p>
        </w:tc>
      </w:tr>
      <w:tr w:rsidR="004D1F39" w:rsidRPr="00B51ACB" w:rsidTr="00A61A4A">
        <w:trPr>
          <w:trHeight w:val="528"/>
        </w:trPr>
        <w:tc>
          <w:tcPr>
            <w:tcW w:w="850" w:type="pct"/>
            <w:tcBorders>
              <w:top w:val="single" w:sz="4" w:space="0" w:color="auto"/>
              <w:left w:val="single" w:sz="4" w:space="0" w:color="auto"/>
              <w:bottom w:val="single" w:sz="4" w:space="0" w:color="auto"/>
              <w:right w:val="single" w:sz="4" w:space="0" w:color="auto"/>
            </w:tcBorders>
          </w:tcPr>
          <w:p w:rsidR="004D1F39" w:rsidRPr="00B51ACB" w:rsidRDefault="004D1F39" w:rsidP="00F30D63">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Clinical criteria</w:t>
            </w:r>
          </w:p>
        </w:tc>
        <w:tc>
          <w:tcPr>
            <w:tcW w:w="4150" w:type="pct"/>
            <w:tcBorders>
              <w:top w:val="single" w:sz="4" w:space="0" w:color="auto"/>
              <w:left w:val="single" w:sz="4" w:space="0" w:color="auto"/>
              <w:bottom w:val="single" w:sz="4" w:space="0" w:color="auto"/>
              <w:right w:val="single" w:sz="4" w:space="0" w:color="auto"/>
            </w:tcBorders>
          </w:tcPr>
          <w:p w:rsidR="004D1F39" w:rsidRPr="00B51ACB" w:rsidRDefault="004D1F39" w:rsidP="00247B39">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 xml:space="preserve">Patient must have received insufficient therapy with this drug under the Initial treatment (new patient) restriction to complete the 6 doses (i.e. the initial infusion regimen at weeks 0, 2, 4, 6, 8 and 10 weeks); OR </w:t>
            </w:r>
          </w:p>
          <w:p w:rsidR="004D1F39" w:rsidRPr="00B51ACB" w:rsidRDefault="004D1F39">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 xml:space="preserve">Patient must have received insufficient therapy with this drug under the Continuing treatment restriction to complete 24 weeks of treatment; OR </w:t>
            </w:r>
          </w:p>
          <w:p w:rsidR="004D1F39" w:rsidRPr="00B51ACB" w:rsidRDefault="004D1F39">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Patient must have received insufficient therapy with this drug to complete 24 weeks of treatment under the Initial PBS-subsidised treatment restriction for patients who had previously received non-PBS subsidised treatment (Grandfathered patient), AND</w:t>
            </w:r>
          </w:p>
          <w:p w:rsidR="004D1F39" w:rsidRPr="00B51ACB" w:rsidRDefault="004D1F39">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The treatment must provide no more than the balance of up to 6 doses (new patients) or 5 repeats (Continuing patients or Grandfathered patients).</w:t>
            </w:r>
          </w:p>
        </w:tc>
      </w:tr>
      <w:tr w:rsidR="004D1F39" w:rsidRPr="00B51ACB" w:rsidTr="00A61A4A">
        <w:trPr>
          <w:trHeight w:val="338"/>
        </w:trPr>
        <w:tc>
          <w:tcPr>
            <w:tcW w:w="850" w:type="pct"/>
            <w:tcBorders>
              <w:top w:val="single" w:sz="4" w:space="0" w:color="auto"/>
              <w:left w:val="single" w:sz="4" w:space="0" w:color="auto"/>
              <w:bottom w:val="single" w:sz="4" w:space="0" w:color="auto"/>
              <w:right w:val="single" w:sz="4" w:space="0" w:color="auto"/>
            </w:tcBorders>
          </w:tcPr>
          <w:p w:rsidR="004D1F39" w:rsidRPr="00B51ACB" w:rsidRDefault="004D1F39" w:rsidP="00F30D63">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Population criteria</w:t>
            </w:r>
          </w:p>
        </w:tc>
        <w:tc>
          <w:tcPr>
            <w:tcW w:w="4150" w:type="pct"/>
            <w:tcBorders>
              <w:top w:val="single" w:sz="4" w:space="0" w:color="auto"/>
              <w:left w:val="single" w:sz="4" w:space="0" w:color="auto"/>
              <w:bottom w:val="single" w:sz="4" w:space="0" w:color="auto"/>
              <w:right w:val="single" w:sz="4" w:space="0" w:color="auto"/>
            </w:tcBorders>
          </w:tcPr>
          <w:p w:rsidR="004D1F39" w:rsidRPr="00B51ACB" w:rsidRDefault="004D1F39" w:rsidP="00247B39">
            <w:pPr>
              <w:jc w:val="both"/>
              <w:rPr>
                <w:rFonts w:ascii="Arial Narrow" w:hAnsi="Arial Narrow" w:cs="Arial"/>
                <w:snapToGrid w:val="0"/>
                <w:sz w:val="20"/>
                <w:szCs w:val="20"/>
                <w:lang w:eastAsia="en-US"/>
              </w:rPr>
            </w:pPr>
            <w:r w:rsidRPr="00B51ACB">
              <w:rPr>
                <w:rFonts w:ascii="Arial Narrow" w:hAnsi="Arial Narrow" w:cs="Arial"/>
                <w:snapToGrid w:val="0"/>
                <w:sz w:val="20"/>
                <w:szCs w:val="20"/>
                <w:lang w:eastAsia="en-US"/>
              </w:rPr>
              <w:t>Patient must be 18 years of age or older</w:t>
            </w:r>
          </w:p>
        </w:tc>
      </w:tr>
    </w:tbl>
    <w:p w:rsidR="004D1F39" w:rsidRPr="00B51ACB" w:rsidRDefault="004D1F39" w:rsidP="00F30D63">
      <w:pPr>
        <w:ind w:firstLine="720"/>
        <w:jc w:val="both"/>
        <w:rPr>
          <w:rFonts w:ascii="Arial Narrow" w:hAnsi="Arial Narrow" w:cs="Arial"/>
          <w:sz w:val="18"/>
          <w:szCs w:val="18"/>
        </w:rPr>
      </w:pPr>
      <w:r w:rsidRPr="00B51ACB">
        <w:rPr>
          <w:rFonts w:ascii="Arial Narrow" w:hAnsi="Arial Narrow" w:cs="Arial"/>
          <w:sz w:val="18"/>
          <w:szCs w:val="18"/>
        </w:rPr>
        <w:t>Source: July 2015 resubmission</w:t>
      </w:r>
    </w:p>
    <w:p w:rsidR="001149FE" w:rsidRPr="00B51ACB" w:rsidRDefault="001149FE">
      <w:pPr>
        <w:jc w:val="both"/>
        <w:rPr>
          <w:rFonts w:ascii="Arial" w:hAnsi="Arial"/>
          <w:b/>
          <w:sz w:val="22"/>
          <w:szCs w:val="22"/>
        </w:rPr>
      </w:pPr>
    </w:p>
    <w:p w:rsidR="001149FE" w:rsidRPr="00B51ACB" w:rsidRDefault="001149FE">
      <w:pPr>
        <w:keepNext/>
        <w:ind w:left="709"/>
        <w:contextualSpacing/>
        <w:jc w:val="both"/>
        <w:rPr>
          <w:rFonts w:ascii="Arial" w:hAnsi="Arial" w:cs="Arial"/>
          <w:i/>
          <w:snapToGrid w:val="0"/>
          <w:sz w:val="22"/>
          <w:szCs w:val="22"/>
          <w:lang w:eastAsia="en-US"/>
        </w:rPr>
      </w:pPr>
      <w:r w:rsidRPr="00B51ACB">
        <w:rPr>
          <w:rFonts w:ascii="Arial" w:hAnsi="Arial" w:cs="Arial"/>
          <w:i/>
          <w:snapToGrid w:val="0"/>
          <w:sz w:val="22"/>
          <w:szCs w:val="22"/>
          <w:lang w:eastAsia="en-US"/>
        </w:rPr>
        <w:t>For more detail on PBAC’s view, see section 7 “PBAC outcome”</w:t>
      </w:r>
    </w:p>
    <w:p w:rsidR="00BC764B" w:rsidRPr="00B51ACB" w:rsidRDefault="00BC764B">
      <w:pPr>
        <w:keepNext/>
        <w:jc w:val="both"/>
        <w:rPr>
          <w:rFonts w:ascii="Arial" w:hAnsi="Arial"/>
          <w:sz w:val="22"/>
          <w:szCs w:val="22"/>
        </w:rPr>
      </w:pPr>
    </w:p>
    <w:p w:rsidR="00BC764B" w:rsidRPr="00B51ACB" w:rsidRDefault="00BC764B">
      <w:pPr>
        <w:pStyle w:val="ListParagraph"/>
        <w:keepNext/>
        <w:jc w:val="both"/>
        <w:rPr>
          <w:rFonts w:ascii="Arial" w:hAnsi="Arial"/>
          <w:sz w:val="22"/>
          <w:szCs w:val="22"/>
        </w:rPr>
      </w:pPr>
    </w:p>
    <w:p w:rsidR="004D1F39" w:rsidRDefault="004D1F39" w:rsidP="00181333">
      <w:pPr>
        <w:pStyle w:val="Heading1"/>
      </w:pPr>
      <w:r w:rsidRPr="00B51ACB">
        <w:t>Clinical place for the proposed therapy</w:t>
      </w:r>
    </w:p>
    <w:p w:rsidR="007B2321" w:rsidRPr="00B51ACB" w:rsidRDefault="007B2321" w:rsidP="007B2321">
      <w:pPr>
        <w:pStyle w:val="ListParagraph"/>
        <w:keepNext/>
        <w:jc w:val="both"/>
        <w:rPr>
          <w:rFonts w:ascii="Arial" w:hAnsi="Arial"/>
          <w:b/>
          <w:sz w:val="22"/>
          <w:szCs w:val="22"/>
        </w:rPr>
      </w:pPr>
    </w:p>
    <w:p w:rsidR="009C2BD6" w:rsidRPr="00B51ACB" w:rsidRDefault="004D1F39" w:rsidP="00767CAC">
      <w:pPr>
        <w:pStyle w:val="ListParagraph"/>
        <w:numPr>
          <w:ilvl w:val="1"/>
          <w:numId w:val="1"/>
        </w:numPr>
        <w:jc w:val="both"/>
        <w:rPr>
          <w:rFonts w:ascii="Arial" w:hAnsi="Arial" w:cs="Arial"/>
          <w:snapToGrid w:val="0"/>
          <w:sz w:val="22"/>
          <w:szCs w:val="22"/>
          <w:lang w:eastAsia="en-US"/>
        </w:rPr>
      </w:pPr>
      <w:r w:rsidRPr="00B51ACB">
        <w:rPr>
          <w:rFonts w:ascii="Arial" w:hAnsi="Arial" w:cs="Arial"/>
          <w:snapToGrid w:val="0"/>
          <w:sz w:val="22"/>
          <w:szCs w:val="20"/>
          <w:lang w:eastAsia="en-US"/>
        </w:rPr>
        <w:t xml:space="preserve">The </w:t>
      </w:r>
      <w:r w:rsidR="00015292" w:rsidRPr="00B51ACB">
        <w:rPr>
          <w:rFonts w:ascii="Arial" w:hAnsi="Arial" w:cs="Arial"/>
          <w:snapToGrid w:val="0"/>
          <w:sz w:val="22"/>
          <w:szCs w:val="20"/>
          <w:lang w:eastAsia="en-US"/>
        </w:rPr>
        <w:t>minor</w:t>
      </w:r>
      <w:r w:rsidRPr="00B51ACB">
        <w:rPr>
          <w:rFonts w:ascii="Arial" w:hAnsi="Arial" w:cs="Arial"/>
          <w:snapToGrid w:val="0"/>
          <w:sz w:val="22"/>
          <w:szCs w:val="20"/>
          <w:lang w:eastAsia="en-US"/>
        </w:rPr>
        <w:t xml:space="preserve"> </w:t>
      </w:r>
      <w:r w:rsidR="008A4D3B" w:rsidRPr="00B51ACB">
        <w:rPr>
          <w:rFonts w:ascii="Arial" w:hAnsi="Arial" w:cs="Arial"/>
          <w:snapToGrid w:val="0"/>
          <w:sz w:val="22"/>
          <w:szCs w:val="20"/>
          <w:lang w:eastAsia="en-US"/>
        </w:rPr>
        <w:t xml:space="preserve">resubmission maintained its view </w:t>
      </w:r>
      <w:r w:rsidR="007E1EEF" w:rsidRPr="00B51ACB">
        <w:rPr>
          <w:rFonts w:ascii="Arial" w:hAnsi="Arial" w:cs="Arial"/>
          <w:snapToGrid w:val="0"/>
          <w:sz w:val="22"/>
          <w:szCs w:val="20"/>
          <w:lang w:eastAsia="en-US"/>
        </w:rPr>
        <w:t>that</w:t>
      </w:r>
      <w:r w:rsidR="00015292" w:rsidRPr="00B51ACB">
        <w:rPr>
          <w:rFonts w:ascii="Arial" w:hAnsi="Arial" w:cs="Arial"/>
          <w:snapToGrid w:val="0"/>
          <w:sz w:val="22"/>
          <w:szCs w:val="20"/>
          <w:lang w:eastAsia="en-US"/>
        </w:rPr>
        <w:t xml:space="preserve"> adalimumab</w:t>
      </w:r>
      <w:r w:rsidR="00360456" w:rsidRPr="00B51ACB">
        <w:rPr>
          <w:rFonts w:ascii="Arial" w:hAnsi="Arial" w:cs="Arial"/>
          <w:snapToGrid w:val="0"/>
          <w:sz w:val="22"/>
          <w:szCs w:val="20"/>
          <w:lang w:eastAsia="en-US"/>
        </w:rPr>
        <w:t xml:space="preserve"> </w:t>
      </w:r>
      <w:r w:rsidR="00015292" w:rsidRPr="00B51ACB">
        <w:rPr>
          <w:rFonts w:ascii="Arial" w:hAnsi="Arial" w:cs="Arial"/>
          <w:snapToGrid w:val="0"/>
          <w:sz w:val="22"/>
          <w:szCs w:val="20"/>
          <w:lang w:eastAsia="en-US"/>
        </w:rPr>
        <w:t xml:space="preserve">would provide an alternate treatment to infliximab or </w:t>
      </w:r>
      <w:r w:rsidR="002D15B6" w:rsidRPr="00B51ACB">
        <w:rPr>
          <w:rFonts w:ascii="Arial" w:hAnsi="Arial" w:cs="Arial"/>
          <w:snapToGrid w:val="0"/>
          <w:sz w:val="22"/>
          <w:szCs w:val="20"/>
          <w:lang w:eastAsia="en-US"/>
        </w:rPr>
        <w:t xml:space="preserve">vedolizumab </w:t>
      </w:r>
      <w:r w:rsidR="00015292" w:rsidRPr="00B51ACB">
        <w:rPr>
          <w:rFonts w:ascii="Arial" w:hAnsi="Arial" w:cs="Arial"/>
          <w:snapToGrid w:val="0"/>
          <w:sz w:val="22"/>
          <w:szCs w:val="20"/>
          <w:lang w:eastAsia="en-US"/>
        </w:rPr>
        <w:t>for moderate to severe UC patients</w:t>
      </w:r>
      <w:r w:rsidR="008A4D3B" w:rsidRPr="00B51ACB">
        <w:rPr>
          <w:rFonts w:ascii="Arial" w:hAnsi="Arial" w:cs="Arial"/>
          <w:snapToGrid w:val="0"/>
          <w:sz w:val="22"/>
          <w:szCs w:val="20"/>
          <w:lang w:eastAsia="en-US"/>
        </w:rPr>
        <w:t>; and that the availability of subcutaneously administered adalimumab would allow equity of access to UC patients, who may not be able to access an infusion clinic either for reasons of disruption of work and other activities or due to location outsi</w:t>
      </w:r>
      <w:r w:rsidR="009C2BD6" w:rsidRPr="00B51ACB">
        <w:rPr>
          <w:rFonts w:ascii="Arial" w:hAnsi="Arial" w:cs="Arial"/>
          <w:snapToGrid w:val="0"/>
          <w:sz w:val="22"/>
          <w:szCs w:val="20"/>
          <w:lang w:eastAsia="en-US"/>
        </w:rPr>
        <w:t>d</w:t>
      </w:r>
      <w:r w:rsidR="008A4D3B" w:rsidRPr="00B51ACB">
        <w:rPr>
          <w:rFonts w:ascii="Arial" w:hAnsi="Arial" w:cs="Arial"/>
          <w:snapToGrid w:val="0"/>
          <w:sz w:val="22"/>
          <w:szCs w:val="20"/>
          <w:lang w:eastAsia="en-US"/>
        </w:rPr>
        <w:t xml:space="preserve">e a major city. </w:t>
      </w:r>
      <w:r w:rsidR="009C2BD6" w:rsidRPr="00B51ACB">
        <w:rPr>
          <w:rFonts w:ascii="Arial" w:hAnsi="Arial" w:cs="Arial"/>
          <w:snapToGrid w:val="0"/>
          <w:sz w:val="22"/>
          <w:szCs w:val="20"/>
          <w:lang w:eastAsia="en-US"/>
        </w:rPr>
        <w:t xml:space="preserve">The resubmission </w:t>
      </w:r>
      <w:r w:rsidR="007E1EEF" w:rsidRPr="00B51ACB">
        <w:rPr>
          <w:rFonts w:ascii="Arial" w:hAnsi="Arial" w:cs="Arial"/>
          <w:snapToGrid w:val="0"/>
          <w:sz w:val="22"/>
          <w:szCs w:val="20"/>
          <w:lang w:eastAsia="en-US"/>
        </w:rPr>
        <w:t>stated</w:t>
      </w:r>
      <w:r w:rsidR="009C2BD6" w:rsidRPr="00B51ACB">
        <w:rPr>
          <w:rFonts w:ascii="Arial" w:hAnsi="Arial" w:cs="Arial"/>
          <w:snapToGrid w:val="0"/>
          <w:sz w:val="22"/>
          <w:szCs w:val="20"/>
          <w:lang w:eastAsia="en-US"/>
        </w:rPr>
        <w:t xml:space="preserve"> that positioning adalimumab as a second</w:t>
      </w:r>
      <w:r w:rsidR="005B3C0D" w:rsidRPr="00B51ACB">
        <w:rPr>
          <w:rFonts w:ascii="Arial" w:hAnsi="Arial" w:cs="Arial"/>
          <w:snapToGrid w:val="0"/>
          <w:sz w:val="22"/>
          <w:szCs w:val="20"/>
          <w:lang w:eastAsia="en-US"/>
        </w:rPr>
        <w:t>-</w:t>
      </w:r>
      <w:r w:rsidR="009C2BD6" w:rsidRPr="00B51ACB">
        <w:rPr>
          <w:rFonts w:ascii="Arial" w:hAnsi="Arial" w:cs="Arial"/>
          <w:snapToGrid w:val="0"/>
          <w:sz w:val="22"/>
          <w:szCs w:val="20"/>
          <w:lang w:eastAsia="en-US"/>
        </w:rPr>
        <w:t xml:space="preserve">line treatment in UC would not address </w:t>
      </w:r>
      <w:r w:rsidR="007E1EEF" w:rsidRPr="00B51ACB">
        <w:rPr>
          <w:rFonts w:ascii="Arial" w:hAnsi="Arial" w:cs="Arial"/>
          <w:snapToGrid w:val="0"/>
          <w:sz w:val="22"/>
          <w:szCs w:val="20"/>
          <w:lang w:eastAsia="en-US"/>
        </w:rPr>
        <w:t xml:space="preserve">the above-mentioned </w:t>
      </w:r>
      <w:r w:rsidR="009C2BD6" w:rsidRPr="00B51ACB">
        <w:rPr>
          <w:rFonts w:ascii="Arial" w:hAnsi="Arial" w:cs="Arial"/>
          <w:snapToGrid w:val="0"/>
          <w:sz w:val="22"/>
          <w:szCs w:val="20"/>
          <w:lang w:eastAsia="en-US"/>
        </w:rPr>
        <w:t>issue and may create additional barriers for patients who are forced to decline treatment with either of the available infusions, therefor</w:t>
      </w:r>
      <w:r w:rsidR="005B3C0D" w:rsidRPr="00B51ACB">
        <w:rPr>
          <w:rFonts w:ascii="Arial" w:hAnsi="Arial" w:cs="Arial"/>
          <w:snapToGrid w:val="0"/>
          <w:sz w:val="22"/>
          <w:szCs w:val="20"/>
          <w:lang w:eastAsia="en-US"/>
        </w:rPr>
        <w:t>e</w:t>
      </w:r>
      <w:r w:rsidR="009C2BD6" w:rsidRPr="00B51ACB">
        <w:rPr>
          <w:rFonts w:ascii="Arial" w:hAnsi="Arial" w:cs="Arial"/>
          <w:snapToGrid w:val="0"/>
          <w:sz w:val="22"/>
          <w:szCs w:val="20"/>
          <w:lang w:eastAsia="en-US"/>
        </w:rPr>
        <w:t xml:space="preserve"> denying them access to effective treatment.</w:t>
      </w:r>
    </w:p>
    <w:p w:rsidR="009C2BD6" w:rsidRPr="00B51ACB" w:rsidRDefault="009C2BD6">
      <w:pPr>
        <w:pStyle w:val="ListParagraph"/>
        <w:jc w:val="both"/>
        <w:rPr>
          <w:rFonts w:ascii="Arial" w:hAnsi="Arial" w:cs="Arial"/>
          <w:snapToGrid w:val="0"/>
          <w:sz w:val="22"/>
          <w:szCs w:val="22"/>
          <w:lang w:eastAsia="en-US"/>
        </w:rPr>
      </w:pPr>
    </w:p>
    <w:p w:rsidR="004D1F39" w:rsidRPr="00B51ACB" w:rsidRDefault="009C2BD6" w:rsidP="00767CAC">
      <w:pPr>
        <w:pStyle w:val="ListParagraph"/>
        <w:numPr>
          <w:ilvl w:val="1"/>
          <w:numId w:val="1"/>
        </w:numPr>
        <w:jc w:val="both"/>
        <w:rPr>
          <w:rFonts w:ascii="Arial" w:hAnsi="Arial" w:cs="Arial"/>
          <w:snapToGrid w:val="0"/>
          <w:sz w:val="22"/>
          <w:szCs w:val="22"/>
          <w:lang w:eastAsia="en-US"/>
        </w:rPr>
      </w:pPr>
      <w:r w:rsidRPr="00B51ACB">
        <w:rPr>
          <w:rFonts w:ascii="Arial" w:hAnsi="Arial" w:cs="Arial"/>
          <w:snapToGrid w:val="0"/>
          <w:sz w:val="22"/>
          <w:szCs w:val="20"/>
          <w:lang w:eastAsia="en-US"/>
        </w:rPr>
        <w:t xml:space="preserve">The resubmission further </w:t>
      </w:r>
      <w:r w:rsidR="001E20E9" w:rsidRPr="00B51ACB">
        <w:rPr>
          <w:rFonts w:ascii="Arial" w:hAnsi="Arial" w:cs="Arial"/>
          <w:snapToGrid w:val="0"/>
          <w:sz w:val="22"/>
          <w:szCs w:val="20"/>
          <w:lang w:eastAsia="en-US"/>
        </w:rPr>
        <w:t>provided</w:t>
      </w:r>
      <w:r w:rsidRPr="00B51ACB">
        <w:rPr>
          <w:rFonts w:ascii="Arial" w:hAnsi="Arial" w:cs="Arial"/>
          <w:snapToGrid w:val="0"/>
          <w:sz w:val="22"/>
          <w:szCs w:val="20"/>
          <w:lang w:eastAsia="en-US"/>
        </w:rPr>
        <w:t xml:space="preserve"> correspondence from the </w:t>
      </w:r>
      <w:r w:rsidR="00F53810">
        <w:rPr>
          <w:rFonts w:ascii="Arial" w:hAnsi="Arial" w:cs="Arial"/>
          <w:noProof/>
          <w:snapToGrid w:val="0"/>
          <w:color w:val="000000"/>
          <w:sz w:val="22"/>
          <w:szCs w:val="20"/>
          <w:highlight w:val="black"/>
          <w:lang w:eastAsia="en-US"/>
        </w:rPr>
        <w:t>''''''''''''''' '''''''''''''</w:t>
      </w:r>
      <w:r w:rsidRPr="00B51ACB">
        <w:rPr>
          <w:rFonts w:ascii="Arial" w:hAnsi="Arial" w:cs="Arial"/>
          <w:snapToGrid w:val="0"/>
          <w:sz w:val="22"/>
          <w:szCs w:val="20"/>
          <w:lang w:eastAsia="en-US"/>
        </w:rPr>
        <w:t xml:space="preserve"> of AIBDA, </w:t>
      </w:r>
      <w:r w:rsidR="00F53810">
        <w:rPr>
          <w:rFonts w:ascii="Arial" w:hAnsi="Arial" w:cs="Arial"/>
          <w:noProof/>
          <w:snapToGrid w:val="0"/>
          <w:color w:val="000000"/>
          <w:sz w:val="22"/>
          <w:szCs w:val="20"/>
          <w:highlight w:val="black"/>
          <w:lang w:eastAsia="en-US"/>
        </w:rPr>
        <w:t>'''''''' ''''''''''''''''''''' '''''''''''''</w:t>
      </w:r>
      <w:r w:rsidRPr="00B51ACB">
        <w:rPr>
          <w:rFonts w:ascii="Arial" w:hAnsi="Arial" w:cs="Arial"/>
          <w:snapToGrid w:val="0"/>
          <w:sz w:val="22"/>
          <w:szCs w:val="20"/>
          <w:lang w:eastAsia="en-US"/>
        </w:rPr>
        <w:t xml:space="preserve"> of AIBDA, and </w:t>
      </w:r>
      <w:r w:rsidR="00F53810">
        <w:rPr>
          <w:rFonts w:ascii="Arial" w:hAnsi="Arial" w:cs="Arial"/>
          <w:noProof/>
          <w:snapToGrid w:val="0"/>
          <w:color w:val="000000"/>
          <w:sz w:val="22"/>
          <w:szCs w:val="20"/>
          <w:highlight w:val="black"/>
          <w:lang w:eastAsia="en-US"/>
        </w:rPr>
        <w:t>'''''' ''''''''''''''''''''''''''</w:t>
      </w:r>
      <w:r w:rsidRPr="00B51ACB">
        <w:rPr>
          <w:rFonts w:ascii="Arial" w:hAnsi="Arial" w:cs="Arial"/>
          <w:snapToGrid w:val="0"/>
          <w:sz w:val="22"/>
          <w:szCs w:val="20"/>
          <w:lang w:eastAsia="en-US"/>
        </w:rPr>
        <w:t xml:space="preserve"> from Liverpool Hospital </w:t>
      </w:r>
      <w:r w:rsidR="008A6CA9" w:rsidRPr="00B51ACB">
        <w:rPr>
          <w:rFonts w:ascii="Arial" w:hAnsi="Arial" w:cs="Arial"/>
          <w:snapToGrid w:val="0"/>
          <w:sz w:val="22"/>
          <w:szCs w:val="20"/>
          <w:lang w:eastAsia="en-US"/>
        </w:rPr>
        <w:t>in supporting</w:t>
      </w:r>
      <w:r w:rsidR="001E20E9" w:rsidRPr="00B51ACB">
        <w:rPr>
          <w:rFonts w:ascii="Arial" w:hAnsi="Arial" w:cs="Arial"/>
          <w:snapToGrid w:val="0"/>
          <w:sz w:val="22"/>
          <w:szCs w:val="20"/>
          <w:lang w:eastAsia="en-US"/>
        </w:rPr>
        <w:t xml:space="preserve"> </w:t>
      </w:r>
      <w:r w:rsidR="005B3C0D" w:rsidRPr="00B51ACB">
        <w:rPr>
          <w:rFonts w:ascii="Arial" w:hAnsi="Arial" w:cs="Arial"/>
          <w:snapToGrid w:val="0"/>
          <w:sz w:val="22"/>
          <w:szCs w:val="20"/>
          <w:lang w:eastAsia="en-US"/>
        </w:rPr>
        <w:t xml:space="preserve">adalimumab’s </w:t>
      </w:r>
      <w:r w:rsidR="008A6CA9" w:rsidRPr="00B51ACB">
        <w:rPr>
          <w:rFonts w:ascii="Arial" w:hAnsi="Arial" w:cs="Arial"/>
          <w:snapToGrid w:val="0"/>
          <w:sz w:val="22"/>
          <w:szCs w:val="20"/>
          <w:lang w:eastAsia="en-US"/>
        </w:rPr>
        <w:t>clinical place as</w:t>
      </w:r>
      <w:r w:rsidR="001E20E9" w:rsidRPr="00B51ACB">
        <w:rPr>
          <w:rFonts w:ascii="Arial" w:hAnsi="Arial" w:cs="Arial"/>
          <w:snapToGrid w:val="0"/>
          <w:sz w:val="22"/>
          <w:szCs w:val="20"/>
          <w:lang w:eastAsia="en-US"/>
        </w:rPr>
        <w:t xml:space="preserve"> </w:t>
      </w:r>
      <w:r w:rsidR="00992ABA" w:rsidRPr="00B51ACB">
        <w:rPr>
          <w:rFonts w:ascii="Arial" w:hAnsi="Arial" w:cs="Arial"/>
          <w:snapToGrid w:val="0"/>
          <w:sz w:val="22"/>
          <w:szCs w:val="20"/>
          <w:lang w:eastAsia="en-US"/>
        </w:rPr>
        <w:t>first</w:t>
      </w:r>
      <w:r w:rsidR="005B3C0D" w:rsidRPr="00B51ACB">
        <w:rPr>
          <w:rFonts w:ascii="Arial" w:hAnsi="Arial" w:cs="Arial"/>
          <w:snapToGrid w:val="0"/>
          <w:sz w:val="22"/>
          <w:szCs w:val="20"/>
          <w:lang w:eastAsia="en-US"/>
        </w:rPr>
        <w:t>-</w:t>
      </w:r>
      <w:r w:rsidR="00992ABA" w:rsidRPr="00B51ACB">
        <w:rPr>
          <w:rFonts w:ascii="Arial" w:hAnsi="Arial" w:cs="Arial"/>
          <w:snapToGrid w:val="0"/>
          <w:sz w:val="22"/>
          <w:szCs w:val="20"/>
          <w:lang w:eastAsia="en-US"/>
        </w:rPr>
        <w:t xml:space="preserve">line </w:t>
      </w:r>
      <w:r w:rsidR="001E20E9" w:rsidRPr="00B51ACB">
        <w:rPr>
          <w:rFonts w:ascii="Arial" w:hAnsi="Arial" w:cs="Arial"/>
          <w:snapToGrid w:val="0"/>
          <w:sz w:val="22"/>
          <w:szCs w:val="20"/>
          <w:lang w:eastAsia="en-US"/>
        </w:rPr>
        <w:t>treatment</w:t>
      </w:r>
      <w:r w:rsidR="00992ABA" w:rsidRPr="00B51ACB">
        <w:rPr>
          <w:rFonts w:ascii="Arial" w:hAnsi="Arial" w:cs="Arial"/>
          <w:snapToGrid w:val="0"/>
          <w:sz w:val="22"/>
          <w:szCs w:val="20"/>
          <w:lang w:eastAsia="en-US"/>
        </w:rPr>
        <w:t>.</w:t>
      </w:r>
    </w:p>
    <w:p w:rsidR="004E51A5" w:rsidRPr="00B51ACB" w:rsidRDefault="004E51A5">
      <w:pPr>
        <w:pStyle w:val="ListParagraph"/>
        <w:jc w:val="both"/>
        <w:rPr>
          <w:rFonts w:ascii="Arial" w:hAnsi="Arial" w:cs="Arial"/>
          <w:snapToGrid w:val="0"/>
          <w:sz w:val="22"/>
          <w:szCs w:val="22"/>
          <w:lang w:eastAsia="en-US"/>
        </w:rPr>
      </w:pPr>
    </w:p>
    <w:p w:rsidR="00F30D63" w:rsidRPr="00B51ACB" w:rsidRDefault="00F30D63">
      <w:pPr>
        <w:keepNext/>
        <w:ind w:left="709"/>
        <w:contextualSpacing/>
        <w:jc w:val="both"/>
        <w:rPr>
          <w:rFonts w:ascii="Arial" w:hAnsi="Arial" w:cs="Arial"/>
          <w:i/>
          <w:snapToGrid w:val="0"/>
          <w:sz w:val="22"/>
          <w:szCs w:val="22"/>
          <w:lang w:eastAsia="en-US"/>
        </w:rPr>
      </w:pPr>
      <w:r w:rsidRPr="00B51ACB">
        <w:rPr>
          <w:rFonts w:ascii="Arial" w:hAnsi="Arial" w:cs="Arial"/>
          <w:i/>
          <w:snapToGrid w:val="0"/>
          <w:sz w:val="22"/>
          <w:szCs w:val="22"/>
          <w:lang w:eastAsia="en-US"/>
        </w:rPr>
        <w:t>For more detail on PBAC’s view, see section 7 “PBAC outcome”</w:t>
      </w:r>
    </w:p>
    <w:p w:rsidR="00F30D63" w:rsidRDefault="00F30D63">
      <w:pPr>
        <w:pStyle w:val="ListParagraph"/>
        <w:jc w:val="both"/>
        <w:rPr>
          <w:rFonts w:ascii="Arial" w:hAnsi="Arial" w:cs="Arial"/>
          <w:snapToGrid w:val="0"/>
          <w:sz w:val="22"/>
          <w:szCs w:val="22"/>
          <w:lang w:eastAsia="en-US"/>
        </w:rPr>
      </w:pPr>
    </w:p>
    <w:p w:rsidR="00EC29CE" w:rsidRPr="00B51ACB" w:rsidRDefault="00EC29CE">
      <w:pPr>
        <w:pStyle w:val="ListParagraph"/>
        <w:jc w:val="both"/>
        <w:rPr>
          <w:rFonts w:ascii="Arial" w:hAnsi="Arial" w:cs="Arial"/>
          <w:snapToGrid w:val="0"/>
          <w:sz w:val="22"/>
          <w:szCs w:val="22"/>
          <w:lang w:eastAsia="en-US"/>
        </w:rPr>
      </w:pPr>
    </w:p>
    <w:p w:rsidR="004D1F39" w:rsidRPr="00B51ACB" w:rsidRDefault="004D1F39" w:rsidP="00181333">
      <w:pPr>
        <w:pStyle w:val="Heading1"/>
      </w:pPr>
      <w:r w:rsidRPr="00B51ACB">
        <w:lastRenderedPageBreak/>
        <w:t>Comparator</w:t>
      </w:r>
    </w:p>
    <w:p w:rsidR="004D1F39" w:rsidRPr="00B51ACB" w:rsidRDefault="004D1F39">
      <w:pPr>
        <w:pStyle w:val="Header"/>
        <w:tabs>
          <w:tab w:val="clear" w:pos="4153"/>
          <w:tab w:val="clear" w:pos="8306"/>
        </w:tabs>
        <w:jc w:val="both"/>
        <w:rPr>
          <w:rFonts w:ascii="Arial" w:hAnsi="Arial"/>
          <w:sz w:val="22"/>
          <w:szCs w:val="22"/>
        </w:rPr>
      </w:pPr>
    </w:p>
    <w:p w:rsidR="004D1F39" w:rsidRPr="00B51ACB" w:rsidRDefault="00F16F3B" w:rsidP="00767CAC">
      <w:pPr>
        <w:pStyle w:val="ListParagraph"/>
        <w:numPr>
          <w:ilvl w:val="1"/>
          <w:numId w:val="1"/>
        </w:numPr>
        <w:jc w:val="both"/>
        <w:rPr>
          <w:rFonts w:ascii="Arial" w:hAnsi="Arial"/>
          <w:sz w:val="22"/>
          <w:szCs w:val="22"/>
        </w:rPr>
      </w:pPr>
      <w:r w:rsidRPr="00B51ACB">
        <w:rPr>
          <w:rFonts w:ascii="Arial" w:hAnsi="Arial"/>
          <w:sz w:val="22"/>
          <w:szCs w:val="22"/>
        </w:rPr>
        <w:t xml:space="preserve">No change made to the nominated </w:t>
      </w:r>
      <w:r w:rsidR="008A6CA9" w:rsidRPr="00B51ACB">
        <w:rPr>
          <w:rFonts w:ascii="Arial" w:hAnsi="Arial"/>
          <w:sz w:val="22"/>
          <w:szCs w:val="22"/>
        </w:rPr>
        <w:t>comparator, infliximab</w:t>
      </w:r>
      <w:r w:rsidRPr="00B51ACB">
        <w:rPr>
          <w:rFonts w:ascii="Arial" w:hAnsi="Arial"/>
          <w:sz w:val="22"/>
          <w:szCs w:val="22"/>
        </w:rPr>
        <w:t xml:space="preserve">. </w:t>
      </w:r>
      <w:r w:rsidR="005B3C0D" w:rsidRPr="00B51ACB">
        <w:rPr>
          <w:rFonts w:ascii="Arial" w:hAnsi="Arial"/>
          <w:sz w:val="22"/>
          <w:szCs w:val="22"/>
        </w:rPr>
        <w:t>T</w:t>
      </w:r>
      <w:r w:rsidR="004D1F39" w:rsidRPr="00B51ACB">
        <w:rPr>
          <w:rFonts w:ascii="Arial" w:hAnsi="Arial"/>
          <w:sz w:val="22"/>
          <w:szCs w:val="22"/>
        </w:rPr>
        <w:t>he PBAC</w:t>
      </w:r>
      <w:r w:rsidRPr="00B51ACB">
        <w:rPr>
          <w:rFonts w:ascii="Arial" w:hAnsi="Arial"/>
          <w:sz w:val="22"/>
          <w:szCs w:val="22"/>
        </w:rPr>
        <w:t xml:space="preserve"> </w:t>
      </w:r>
      <w:r w:rsidR="005B3C0D" w:rsidRPr="00B51ACB">
        <w:rPr>
          <w:rFonts w:ascii="Arial" w:hAnsi="Arial"/>
          <w:sz w:val="22"/>
          <w:szCs w:val="22"/>
        </w:rPr>
        <w:t xml:space="preserve">previously accepted </w:t>
      </w:r>
      <w:r w:rsidRPr="00B51ACB">
        <w:rPr>
          <w:rFonts w:ascii="Arial" w:hAnsi="Arial"/>
          <w:sz w:val="22"/>
          <w:szCs w:val="22"/>
        </w:rPr>
        <w:t xml:space="preserve">that infliximab </w:t>
      </w:r>
      <w:r w:rsidR="00D05F7A" w:rsidRPr="00B51ACB">
        <w:rPr>
          <w:rFonts w:ascii="Arial" w:hAnsi="Arial"/>
          <w:sz w:val="22"/>
          <w:szCs w:val="22"/>
        </w:rPr>
        <w:t xml:space="preserve">was </w:t>
      </w:r>
      <w:r w:rsidRPr="00B51ACB">
        <w:rPr>
          <w:rFonts w:ascii="Arial" w:hAnsi="Arial"/>
          <w:sz w:val="22"/>
          <w:szCs w:val="22"/>
        </w:rPr>
        <w:t>the appropriate comparator</w:t>
      </w:r>
      <w:r w:rsidR="004D1F39" w:rsidRPr="00B51ACB">
        <w:rPr>
          <w:rFonts w:ascii="Arial" w:hAnsi="Arial"/>
          <w:sz w:val="22"/>
          <w:szCs w:val="22"/>
        </w:rPr>
        <w:t>.</w:t>
      </w:r>
    </w:p>
    <w:p w:rsidR="00F30D63" w:rsidRPr="00B51ACB" w:rsidRDefault="00F30D63">
      <w:pPr>
        <w:keepNext/>
        <w:ind w:left="709"/>
        <w:contextualSpacing/>
        <w:jc w:val="both"/>
        <w:rPr>
          <w:rFonts w:ascii="Arial" w:hAnsi="Arial" w:cs="Arial"/>
          <w:i/>
          <w:snapToGrid w:val="0"/>
          <w:sz w:val="22"/>
          <w:szCs w:val="22"/>
          <w:lang w:eastAsia="en-US"/>
        </w:rPr>
      </w:pPr>
    </w:p>
    <w:p w:rsidR="00F30D63" w:rsidRPr="00B51ACB" w:rsidRDefault="00F30D63">
      <w:pPr>
        <w:keepNext/>
        <w:ind w:left="709"/>
        <w:contextualSpacing/>
        <w:jc w:val="both"/>
        <w:rPr>
          <w:rFonts w:ascii="Arial" w:hAnsi="Arial" w:cs="Arial"/>
          <w:i/>
          <w:snapToGrid w:val="0"/>
          <w:sz w:val="22"/>
          <w:szCs w:val="22"/>
          <w:lang w:eastAsia="en-US"/>
        </w:rPr>
      </w:pPr>
      <w:r w:rsidRPr="00B51ACB">
        <w:rPr>
          <w:rFonts w:ascii="Arial" w:hAnsi="Arial" w:cs="Arial"/>
          <w:i/>
          <w:snapToGrid w:val="0"/>
          <w:sz w:val="22"/>
          <w:szCs w:val="22"/>
          <w:lang w:eastAsia="en-US"/>
        </w:rPr>
        <w:t>For more detail on PBAC’s view, see section 7 “PBAC outcome”</w:t>
      </w:r>
    </w:p>
    <w:p w:rsidR="0073787F" w:rsidRPr="00B51ACB" w:rsidRDefault="0073787F">
      <w:pPr>
        <w:jc w:val="both"/>
        <w:rPr>
          <w:rFonts w:ascii="Arial" w:hAnsi="Arial"/>
          <w:sz w:val="22"/>
          <w:szCs w:val="22"/>
        </w:rPr>
      </w:pPr>
    </w:p>
    <w:p w:rsidR="001149FE" w:rsidRPr="00B51ACB" w:rsidRDefault="001149FE">
      <w:pPr>
        <w:jc w:val="both"/>
        <w:rPr>
          <w:rFonts w:ascii="Arial" w:hAnsi="Arial"/>
          <w:sz w:val="22"/>
          <w:szCs w:val="22"/>
        </w:rPr>
      </w:pPr>
    </w:p>
    <w:p w:rsidR="004D1F39" w:rsidRPr="00B51ACB" w:rsidRDefault="004D1F39" w:rsidP="00181333">
      <w:pPr>
        <w:pStyle w:val="Heading1"/>
      </w:pPr>
      <w:r w:rsidRPr="00B51ACB">
        <w:t>Consideration of the evidence</w:t>
      </w:r>
    </w:p>
    <w:p w:rsidR="004D1F39" w:rsidRPr="00B51ACB" w:rsidRDefault="004D1F39">
      <w:pPr>
        <w:pStyle w:val="ListParagraph"/>
        <w:jc w:val="both"/>
        <w:rPr>
          <w:rFonts w:ascii="Arial" w:hAnsi="Arial"/>
          <w:sz w:val="22"/>
          <w:szCs w:val="22"/>
        </w:rPr>
      </w:pPr>
    </w:p>
    <w:p w:rsidR="00D55D5D" w:rsidRPr="00181333" w:rsidRDefault="00D55D5D" w:rsidP="00181333">
      <w:pPr>
        <w:pStyle w:val="Heading2"/>
      </w:pPr>
      <w:r w:rsidRPr="00181333">
        <w:t>Sponsor hearing</w:t>
      </w:r>
    </w:p>
    <w:p w:rsidR="00D55D5D" w:rsidRPr="00B51ACB" w:rsidRDefault="00D55D5D" w:rsidP="00767CAC">
      <w:pPr>
        <w:numPr>
          <w:ilvl w:val="1"/>
          <w:numId w:val="1"/>
        </w:numPr>
        <w:contextualSpacing/>
        <w:jc w:val="both"/>
        <w:rPr>
          <w:rFonts w:ascii="Arial" w:hAnsi="Arial" w:cs="Arial"/>
          <w:bCs/>
          <w:snapToGrid w:val="0"/>
          <w:sz w:val="22"/>
          <w:szCs w:val="22"/>
          <w:lang w:eastAsia="en-US"/>
        </w:rPr>
      </w:pPr>
      <w:r w:rsidRPr="00B51ACB">
        <w:rPr>
          <w:rFonts w:ascii="Arial" w:hAnsi="Arial" w:cs="Arial"/>
          <w:bCs/>
          <w:snapToGrid w:val="0"/>
          <w:sz w:val="22"/>
          <w:szCs w:val="22"/>
          <w:lang w:eastAsia="en-US"/>
        </w:rPr>
        <w:t>There was no hearing for this item as it was a minor submission.</w:t>
      </w:r>
    </w:p>
    <w:p w:rsidR="00D55D5D" w:rsidRPr="00B51ACB" w:rsidRDefault="00D55D5D" w:rsidP="00656B0F">
      <w:pPr>
        <w:jc w:val="both"/>
        <w:rPr>
          <w:rFonts w:ascii="Arial" w:hAnsi="Arial" w:cs="Arial"/>
          <w:bCs/>
          <w:snapToGrid w:val="0"/>
          <w:sz w:val="22"/>
          <w:szCs w:val="22"/>
          <w:highlight w:val="yellow"/>
          <w:lang w:eastAsia="en-US"/>
        </w:rPr>
      </w:pPr>
    </w:p>
    <w:p w:rsidR="00D55D5D" w:rsidRPr="00B51ACB" w:rsidRDefault="00D55D5D" w:rsidP="00181333">
      <w:pPr>
        <w:pStyle w:val="Heading2"/>
      </w:pPr>
      <w:r w:rsidRPr="00B51ACB">
        <w:t>Consumer comments</w:t>
      </w:r>
    </w:p>
    <w:p w:rsidR="00D55D5D" w:rsidRPr="00B51ACB" w:rsidRDefault="00D55D5D" w:rsidP="00767CAC">
      <w:pPr>
        <w:numPr>
          <w:ilvl w:val="1"/>
          <w:numId w:val="1"/>
        </w:numPr>
        <w:contextualSpacing/>
        <w:jc w:val="both"/>
        <w:rPr>
          <w:rFonts w:ascii="Arial" w:hAnsi="Arial" w:cs="Arial"/>
          <w:bCs/>
          <w:snapToGrid w:val="0"/>
          <w:sz w:val="22"/>
          <w:szCs w:val="22"/>
          <w:lang w:eastAsia="en-US"/>
        </w:rPr>
      </w:pPr>
      <w:r w:rsidRPr="00B51ACB">
        <w:rPr>
          <w:rFonts w:ascii="Arial" w:hAnsi="Arial" w:cs="Arial"/>
          <w:bCs/>
          <w:snapToGrid w:val="0"/>
          <w:sz w:val="22"/>
          <w:szCs w:val="22"/>
          <w:lang w:eastAsia="en-US"/>
        </w:rPr>
        <w:t>The PBAC noted and welcomed the input from individuals (</w:t>
      </w:r>
      <w:r w:rsidR="00113BA7" w:rsidRPr="00B51ACB">
        <w:rPr>
          <w:rFonts w:ascii="Arial" w:hAnsi="Arial" w:cs="Arial"/>
          <w:bCs/>
          <w:snapToGrid w:val="0"/>
          <w:sz w:val="22"/>
          <w:szCs w:val="22"/>
          <w:lang w:eastAsia="en-US"/>
        </w:rPr>
        <w:t>3</w:t>
      </w:r>
      <w:r w:rsidRPr="00B51ACB">
        <w:rPr>
          <w:rFonts w:ascii="Arial" w:hAnsi="Arial" w:cs="Arial"/>
          <w:bCs/>
          <w:snapToGrid w:val="0"/>
          <w:sz w:val="22"/>
          <w:szCs w:val="22"/>
          <w:lang w:eastAsia="en-US"/>
        </w:rPr>
        <w:t>)</w:t>
      </w:r>
      <w:r w:rsidR="00055AC9" w:rsidRPr="00B51ACB">
        <w:rPr>
          <w:rFonts w:ascii="Arial" w:hAnsi="Arial" w:cs="Arial"/>
          <w:bCs/>
          <w:snapToGrid w:val="0"/>
          <w:sz w:val="22"/>
          <w:szCs w:val="22"/>
          <w:lang w:eastAsia="en-US"/>
        </w:rPr>
        <w:t xml:space="preserve"> and</w:t>
      </w:r>
      <w:r w:rsidRPr="00B51ACB">
        <w:rPr>
          <w:rFonts w:ascii="Arial" w:hAnsi="Arial" w:cs="Arial"/>
          <w:bCs/>
          <w:snapToGrid w:val="0"/>
          <w:sz w:val="22"/>
          <w:szCs w:val="22"/>
          <w:lang w:eastAsia="en-US"/>
        </w:rPr>
        <w:t xml:space="preserve"> health care professionals (</w:t>
      </w:r>
      <w:r w:rsidR="00D05F7A" w:rsidRPr="00B51ACB">
        <w:rPr>
          <w:rFonts w:ascii="Arial" w:hAnsi="Arial" w:cs="Arial"/>
          <w:bCs/>
          <w:snapToGrid w:val="0"/>
          <w:sz w:val="22"/>
          <w:szCs w:val="22"/>
          <w:lang w:eastAsia="en-US"/>
        </w:rPr>
        <w:t>3</w:t>
      </w:r>
      <w:r w:rsidRPr="00B51ACB">
        <w:rPr>
          <w:rFonts w:ascii="Arial" w:hAnsi="Arial" w:cs="Arial"/>
          <w:bCs/>
          <w:snapToGrid w:val="0"/>
          <w:sz w:val="22"/>
          <w:szCs w:val="22"/>
          <w:lang w:eastAsia="en-US"/>
        </w:rPr>
        <w:t xml:space="preserve">) via the Consumer Comments facility on the PBS website.  The comments described a range of benefits of treatment with </w:t>
      </w:r>
      <w:r w:rsidR="00D05F7A" w:rsidRPr="00B51ACB">
        <w:rPr>
          <w:rFonts w:ascii="Arial" w:hAnsi="Arial" w:cs="Arial"/>
          <w:bCs/>
          <w:snapToGrid w:val="0"/>
          <w:sz w:val="22"/>
          <w:szCs w:val="22"/>
          <w:lang w:eastAsia="en-US"/>
        </w:rPr>
        <w:t>adalimumab</w:t>
      </w:r>
      <w:r w:rsidR="00055AC9" w:rsidRPr="00B51ACB">
        <w:rPr>
          <w:rFonts w:ascii="Arial" w:hAnsi="Arial" w:cs="Arial"/>
          <w:bCs/>
          <w:snapToGrid w:val="0"/>
          <w:sz w:val="22"/>
          <w:szCs w:val="22"/>
          <w:lang w:eastAsia="en-US"/>
        </w:rPr>
        <w:t xml:space="preserve"> related to the different mode of administration compared with infliximab and vedolizumab,</w:t>
      </w:r>
      <w:r w:rsidR="00B66065" w:rsidRPr="00B51ACB">
        <w:rPr>
          <w:rFonts w:ascii="Arial" w:hAnsi="Arial" w:cs="Arial"/>
          <w:bCs/>
          <w:snapToGrid w:val="0"/>
          <w:sz w:val="22"/>
          <w:szCs w:val="22"/>
          <w:lang w:eastAsia="en-US"/>
        </w:rPr>
        <w:t xml:space="preserve"> </w:t>
      </w:r>
      <w:r w:rsidRPr="00B51ACB">
        <w:rPr>
          <w:rFonts w:ascii="Arial" w:hAnsi="Arial" w:cs="Arial"/>
          <w:bCs/>
          <w:snapToGrid w:val="0"/>
          <w:sz w:val="22"/>
          <w:szCs w:val="22"/>
          <w:lang w:eastAsia="en-US"/>
        </w:rPr>
        <w:t xml:space="preserve">including the </w:t>
      </w:r>
      <w:r w:rsidR="00374EFC" w:rsidRPr="00B51ACB">
        <w:rPr>
          <w:rFonts w:ascii="Arial" w:hAnsi="Arial" w:cs="Arial"/>
          <w:bCs/>
          <w:snapToGrid w:val="0"/>
          <w:sz w:val="22"/>
          <w:szCs w:val="22"/>
          <w:lang w:eastAsia="en-US"/>
        </w:rPr>
        <w:t>ability to self-inject</w:t>
      </w:r>
      <w:r w:rsidR="00CC7EF9" w:rsidRPr="00B51ACB">
        <w:rPr>
          <w:rFonts w:ascii="Arial" w:hAnsi="Arial" w:cs="Arial"/>
          <w:bCs/>
          <w:snapToGrid w:val="0"/>
          <w:sz w:val="22"/>
          <w:szCs w:val="22"/>
          <w:lang w:eastAsia="en-US"/>
        </w:rPr>
        <w:t xml:space="preserve"> </w:t>
      </w:r>
      <w:r w:rsidR="00273068" w:rsidRPr="00B51ACB">
        <w:rPr>
          <w:rFonts w:ascii="Arial" w:hAnsi="Arial" w:cs="Arial"/>
          <w:bCs/>
          <w:snapToGrid w:val="0"/>
          <w:sz w:val="22"/>
          <w:szCs w:val="22"/>
          <w:lang w:eastAsia="en-US"/>
        </w:rPr>
        <w:t>for</w:t>
      </w:r>
      <w:r w:rsidR="00CC7EF9" w:rsidRPr="00B51ACB">
        <w:rPr>
          <w:rFonts w:ascii="Arial" w:hAnsi="Arial" w:cs="Arial"/>
          <w:bCs/>
          <w:snapToGrid w:val="0"/>
          <w:sz w:val="22"/>
          <w:szCs w:val="22"/>
          <w:lang w:eastAsia="en-US"/>
        </w:rPr>
        <w:t xml:space="preserve"> better adherence to treatment</w:t>
      </w:r>
      <w:r w:rsidRPr="00B51ACB">
        <w:rPr>
          <w:rFonts w:ascii="Arial" w:hAnsi="Arial" w:cs="Arial"/>
          <w:bCs/>
          <w:snapToGrid w:val="0"/>
          <w:sz w:val="22"/>
          <w:szCs w:val="22"/>
          <w:lang w:eastAsia="en-US"/>
        </w:rPr>
        <w:t xml:space="preserve">, </w:t>
      </w:r>
      <w:r w:rsidR="00055AC9" w:rsidRPr="00B51ACB">
        <w:rPr>
          <w:rFonts w:ascii="Arial" w:hAnsi="Arial" w:cs="Arial"/>
          <w:bCs/>
          <w:snapToGrid w:val="0"/>
          <w:sz w:val="22"/>
          <w:szCs w:val="22"/>
          <w:lang w:eastAsia="en-US"/>
        </w:rPr>
        <w:t xml:space="preserve">reduction in time spent travelling and in hospital for infusions </w:t>
      </w:r>
      <w:r w:rsidR="008E4155" w:rsidRPr="00B51ACB">
        <w:rPr>
          <w:rFonts w:ascii="Arial" w:hAnsi="Arial" w:cs="Arial"/>
          <w:bCs/>
          <w:snapToGrid w:val="0"/>
          <w:sz w:val="22"/>
          <w:szCs w:val="22"/>
          <w:lang w:eastAsia="en-US"/>
        </w:rPr>
        <w:t xml:space="preserve">and </w:t>
      </w:r>
      <w:r w:rsidR="00055AC9" w:rsidRPr="00B51ACB">
        <w:rPr>
          <w:rFonts w:ascii="Arial" w:hAnsi="Arial" w:cs="Arial"/>
          <w:bCs/>
          <w:snapToGrid w:val="0"/>
          <w:sz w:val="22"/>
          <w:szCs w:val="22"/>
          <w:lang w:eastAsia="en-US"/>
        </w:rPr>
        <w:t>reduction in absence from employment.</w:t>
      </w:r>
    </w:p>
    <w:p w:rsidR="00656B0F" w:rsidRPr="00B51ACB" w:rsidRDefault="00656B0F" w:rsidP="00656B0F">
      <w:pPr>
        <w:keepNext/>
        <w:jc w:val="both"/>
        <w:rPr>
          <w:rFonts w:ascii="Arial" w:hAnsi="Arial"/>
          <w:b/>
          <w:i/>
          <w:sz w:val="22"/>
          <w:szCs w:val="22"/>
        </w:rPr>
      </w:pPr>
    </w:p>
    <w:p w:rsidR="00055AC9" w:rsidRPr="00B51ACB" w:rsidRDefault="00055AC9" w:rsidP="00181333">
      <w:pPr>
        <w:pStyle w:val="Heading2"/>
      </w:pPr>
      <w:r w:rsidRPr="00B51ACB">
        <w:t>Clinical trials</w:t>
      </w:r>
    </w:p>
    <w:p w:rsidR="00F30D63" w:rsidRPr="00B51ACB" w:rsidRDefault="00F30D63" w:rsidP="00767CAC">
      <w:pPr>
        <w:pStyle w:val="ListParagraph"/>
        <w:numPr>
          <w:ilvl w:val="1"/>
          <w:numId w:val="1"/>
        </w:numPr>
        <w:jc w:val="both"/>
        <w:rPr>
          <w:rFonts w:ascii="Arial" w:hAnsi="Arial"/>
          <w:sz w:val="22"/>
          <w:szCs w:val="22"/>
        </w:rPr>
      </w:pPr>
      <w:r w:rsidRPr="00B51ACB">
        <w:rPr>
          <w:rFonts w:ascii="Arial" w:hAnsi="Arial"/>
          <w:sz w:val="22"/>
          <w:szCs w:val="22"/>
        </w:rPr>
        <w:t xml:space="preserve">The minor resubmission did not present new clinical trials. The resubmission reproduced a summary of results of the indirect comparisons between adalimumab vs infliximab and adalimumab vs vedolizumab as below. </w:t>
      </w:r>
    </w:p>
    <w:p w:rsidR="00F30D63" w:rsidRPr="00B51ACB" w:rsidRDefault="00F30D63">
      <w:pPr>
        <w:rPr>
          <w:rFonts w:ascii="Arial Narrow" w:eastAsiaTheme="majorEastAsia" w:hAnsi="Arial Narrow" w:cs="Arial"/>
          <w:b/>
          <w:bCs/>
          <w:sz w:val="20"/>
          <w:szCs w:val="20"/>
          <w:lang w:eastAsia="en-US" w:bidi="en-US"/>
        </w:rPr>
      </w:pPr>
    </w:p>
    <w:p w:rsidR="00F30D63" w:rsidRPr="00B51ACB" w:rsidRDefault="00F30D63">
      <w:pPr>
        <w:pStyle w:val="Caption"/>
        <w:keepNext/>
        <w:spacing w:after="0"/>
        <w:ind w:left="709"/>
        <w:jc w:val="both"/>
        <w:rPr>
          <w:rFonts w:ascii="Arial Narrow" w:hAnsi="Arial Narrow" w:cs="Arial"/>
          <w:b w:val="0"/>
          <w:sz w:val="20"/>
          <w:szCs w:val="20"/>
        </w:rPr>
      </w:pPr>
      <w:r w:rsidRPr="00B51ACB">
        <w:rPr>
          <w:rFonts w:ascii="Arial Narrow" w:hAnsi="Arial Narrow" w:cs="Arial"/>
          <w:sz w:val="20"/>
          <w:szCs w:val="20"/>
        </w:rPr>
        <w:t>Table 2: Summary of results of the indirect comparisons (adalimumab vs infliximab) and (adalimumab vs vedolizumab)</w:t>
      </w:r>
    </w:p>
    <w:tbl>
      <w:tblPr>
        <w:tblStyle w:val="TableGrid"/>
        <w:tblW w:w="4591" w:type="pct"/>
        <w:tblInd w:w="737" w:type="dxa"/>
        <w:tblCellMar>
          <w:left w:w="28" w:type="dxa"/>
          <w:right w:w="28" w:type="dxa"/>
        </w:tblCellMar>
        <w:tblLook w:val="04A0" w:firstRow="1" w:lastRow="0" w:firstColumn="1" w:lastColumn="0" w:noHBand="0" w:noVBand="1"/>
        <w:tblCaption w:val="Table 2: Summary of results of the indirect comparisons (adalimumab vs infliximab) and (adalimumab vs vedolizumab)"/>
      </w:tblPr>
      <w:tblGrid>
        <w:gridCol w:w="1749"/>
        <w:gridCol w:w="2190"/>
        <w:gridCol w:w="1860"/>
        <w:gridCol w:w="2540"/>
      </w:tblGrid>
      <w:tr w:rsidR="00F30D63" w:rsidRPr="00B51ACB" w:rsidTr="00656B0F">
        <w:trPr>
          <w:trHeight w:val="343"/>
          <w:tblHeader/>
        </w:trPr>
        <w:tc>
          <w:tcPr>
            <w:tcW w:w="1049" w:type="pct"/>
            <w:tcBorders>
              <w:bottom w:val="single" w:sz="4" w:space="0" w:color="auto"/>
            </w:tcBorders>
            <w:shd w:val="clear" w:color="auto" w:fill="auto"/>
          </w:tcPr>
          <w:p w:rsidR="00F30D63" w:rsidRPr="00B51ACB" w:rsidRDefault="00F30D63">
            <w:pPr>
              <w:keepNext/>
              <w:jc w:val="both"/>
              <w:rPr>
                <w:rFonts w:ascii="Arial Narrow" w:hAnsi="Arial Narrow" w:cs="Arial"/>
                <w:sz w:val="20"/>
                <w:szCs w:val="20"/>
              </w:rPr>
            </w:pPr>
          </w:p>
        </w:tc>
        <w:tc>
          <w:tcPr>
            <w:tcW w:w="1313" w:type="pct"/>
            <w:tcBorders>
              <w:bottom w:val="single" w:sz="4" w:space="0" w:color="auto"/>
            </w:tcBorders>
            <w:shd w:val="clear" w:color="auto" w:fill="auto"/>
            <w:vAlign w:val="bottom"/>
          </w:tcPr>
          <w:p w:rsidR="00F30D63" w:rsidRPr="00B51ACB" w:rsidRDefault="00F30D63">
            <w:pPr>
              <w:keepNext/>
              <w:jc w:val="both"/>
              <w:rPr>
                <w:rFonts w:ascii="Arial Narrow" w:hAnsi="Arial Narrow" w:cs="Arial"/>
                <w:b/>
                <w:sz w:val="20"/>
                <w:szCs w:val="20"/>
              </w:rPr>
            </w:pPr>
            <w:r w:rsidRPr="00B51ACB">
              <w:rPr>
                <w:rFonts w:ascii="Arial Narrow" w:hAnsi="Arial Narrow" w:cs="Arial"/>
                <w:b/>
                <w:sz w:val="20"/>
                <w:szCs w:val="20"/>
              </w:rPr>
              <w:t>Induction Phase,</w:t>
            </w:r>
          </w:p>
          <w:p w:rsidR="00F30D63" w:rsidRPr="00B51ACB" w:rsidRDefault="00F30D63">
            <w:pPr>
              <w:keepNext/>
              <w:jc w:val="both"/>
              <w:rPr>
                <w:rFonts w:ascii="Arial Narrow" w:hAnsi="Arial Narrow" w:cs="Arial"/>
                <w:b/>
                <w:sz w:val="20"/>
                <w:szCs w:val="20"/>
              </w:rPr>
            </w:pPr>
            <w:r w:rsidRPr="00B51ACB">
              <w:rPr>
                <w:rFonts w:ascii="Arial Narrow" w:hAnsi="Arial Narrow" w:cs="Arial"/>
                <w:b/>
                <w:sz w:val="20"/>
                <w:szCs w:val="20"/>
              </w:rPr>
              <w:t>Indirect RR (95% CI)</w:t>
            </w:r>
          </w:p>
        </w:tc>
        <w:tc>
          <w:tcPr>
            <w:tcW w:w="1115" w:type="pct"/>
            <w:tcBorders>
              <w:bottom w:val="single" w:sz="4" w:space="0" w:color="auto"/>
            </w:tcBorders>
            <w:shd w:val="clear" w:color="auto" w:fill="auto"/>
            <w:vAlign w:val="bottom"/>
          </w:tcPr>
          <w:p w:rsidR="00F30D63" w:rsidRPr="00B51ACB" w:rsidRDefault="00F30D63">
            <w:pPr>
              <w:keepNext/>
              <w:jc w:val="both"/>
              <w:rPr>
                <w:rFonts w:ascii="Arial Narrow" w:hAnsi="Arial Narrow" w:cs="Arial"/>
                <w:b/>
                <w:sz w:val="20"/>
                <w:szCs w:val="20"/>
              </w:rPr>
            </w:pPr>
            <w:r w:rsidRPr="00B51ACB">
              <w:rPr>
                <w:rFonts w:ascii="Arial Narrow" w:hAnsi="Arial Narrow" w:cs="Arial"/>
                <w:b/>
                <w:sz w:val="20"/>
                <w:szCs w:val="20"/>
              </w:rPr>
              <w:t>Maintenance Phase</w:t>
            </w:r>
          </w:p>
          <w:p w:rsidR="00F30D63" w:rsidRPr="00B51ACB" w:rsidRDefault="00F30D63">
            <w:pPr>
              <w:keepNext/>
              <w:jc w:val="both"/>
              <w:rPr>
                <w:rFonts w:ascii="Arial Narrow" w:hAnsi="Arial Narrow" w:cs="Arial"/>
                <w:b/>
                <w:sz w:val="20"/>
                <w:szCs w:val="20"/>
              </w:rPr>
            </w:pPr>
            <w:r w:rsidRPr="00B51ACB">
              <w:rPr>
                <w:rFonts w:ascii="Arial Narrow" w:hAnsi="Arial Narrow" w:cs="Arial"/>
                <w:b/>
                <w:sz w:val="20"/>
                <w:szCs w:val="20"/>
              </w:rPr>
              <w:t>Indirect RR (95% CI)</w:t>
            </w:r>
          </w:p>
        </w:tc>
        <w:tc>
          <w:tcPr>
            <w:tcW w:w="1523" w:type="pct"/>
            <w:tcBorders>
              <w:bottom w:val="single" w:sz="4" w:space="0" w:color="auto"/>
            </w:tcBorders>
            <w:shd w:val="clear" w:color="auto" w:fill="auto"/>
            <w:vAlign w:val="bottom"/>
          </w:tcPr>
          <w:p w:rsidR="00F30D63" w:rsidRPr="00B51ACB" w:rsidRDefault="00F30D63">
            <w:pPr>
              <w:keepNext/>
              <w:jc w:val="both"/>
              <w:rPr>
                <w:rFonts w:ascii="Arial Narrow" w:hAnsi="Arial Narrow" w:cs="Arial"/>
                <w:b/>
                <w:sz w:val="20"/>
                <w:szCs w:val="20"/>
              </w:rPr>
            </w:pPr>
            <w:r w:rsidRPr="00B51ACB">
              <w:rPr>
                <w:rFonts w:ascii="Arial Narrow" w:hAnsi="Arial Narrow" w:cs="Arial"/>
                <w:b/>
                <w:sz w:val="20"/>
                <w:szCs w:val="20"/>
              </w:rPr>
              <w:t>Conclusion for adalimumab</w:t>
            </w:r>
          </w:p>
        </w:tc>
      </w:tr>
      <w:tr w:rsidR="00F30D63" w:rsidRPr="00B51ACB" w:rsidTr="00656B0F">
        <w:trPr>
          <w:trHeight w:val="172"/>
        </w:trPr>
        <w:tc>
          <w:tcPr>
            <w:tcW w:w="5000" w:type="pct"/>
            <w:gridSpan w:val="4"/>
            <w:shd w:val="clear" w:color="auto" w:fill="auto"/>
          </w:tcPr>
          <w:p w:rsidR="00F30D63" w:rsidRPr="00B51ACB" w:rsidRDefault="00F30D63" w:rsidP="00F30D63">
            <w:pPr>
              <w:keepNext/>
              <w:jc w:val="both"/>
              <w:rPr>
                <w:rFonts w:ascii="Arial Narrow" w:hAnsi="Arial Narrow" w:cs="Arial"/>
                <w:sz w:val="20"/>
                <w:szCs w:val="20"/>
              </w:rPr>
            </w:pPr>
            <w:r w:rsidRPr="00B51ACB">
              <w:rPr>
                <w:rFonts w:ascii="Arial Narrow" w:hAnsi="Arial Narrow" w:cs="Arial"/>
                <w:b/>
                <w:sz w:val="20"/>
                <w:szCs w:val="20"/>
              </w:rPr>
              <w:t>ITT population, adalimumab vs infliximab</w:t>
            </w:r>
          </w:p>
        </w:tc>
      </w:tr>
      <w:tr w:rsidR="00F30D63" w:rsidRPr="00B51ACB" w:rsidTr="00656B0F">
        <w:trPr>
          <w:trHeight w:val="52"/>
        </w:trPr>
        <w:tc>
          <w:tcPr>
            <w:tcW w:w="1049" w:type="pct"/>
            <w:shd w:val="clear" w:color="auto" w:fill="auto"/>
          </w:tcPr>
          <w:p w:rsidR="00F30D63" w:rsidRPr="00B51ACB" w:rsidRDefault="00F30D63" w:rsidP="00F30D63">
            <w:pPr>
              <w:keepNext/>
              <w:jc w:val="both"/>
              <w:rPr>
                <w:rFonts w:ascii="Arial Narrow" w:hAnsi="Arial Narrow" w:cs="Arial"/>
                <w:sz w:val="20"/>
                <w:szCs w:val="20"/>
              </w:rPr>
            </w:pPr>
            <w:r w:rsidRPr="00B51ACB">
              <w:rPr>
                <w:rFonts w:ascii="Arial Narrow" w:hAnsi="Arial Narrow" w:cs="Arial"/>
                <w:sz w:val="20"/>
                <w:szCs w:val="20"/>
              </w:rPr>
              <w:t>Clinical remission</w:t>
            </w:r>
          </w:p>
        </w:tc>
        <w:tc>
          <w:tcPr>
            <w:tcW w:w="1313" w:type="pct"/>
            <w:shd w:val="clear" w:color="auto" w:fill="auto"/>
          </w:tcPr>
          <w:p w:rsidR="00F30D63" w:rsidRPr="00B51ACB" w:rsidRDefault="00F53810" w:rsidP="00247B39">
            <w:pPr>
              <w:keepNext/>
              <w:jc w:val="both"/>
              <w:rPr>
                <w:rFonts w:ascii="Arial Narrow" w:hAnsi="Arial Narrow" w:cs="Arial"/>
                <w:sz w:val="20"/>
                <w:szCs w:val="20"/>
              </w:rPr>
            </w:pPr>
            <w:r>
              <w:rPr>
                <w:rFonts w:ascii="Arial Narrow" w:hAnsi="Arial Narrow" w:cs="Arial"/>
                <w:noProof/>
                <w:color w:val="000000"/>
                <w:sz w:val="20"/>
                <w:szCs w:val="20"/>
                <w:highlight w:val="black"/>
              </w:rPr>
              <w:t>''''''''''</w:t>
            </w:r>
            <w:r w:rsidR="00F30D63" w:rsidRPr="00B51ACB">
              <w:rPr>
                <w:rFonts w:ascii="Arial Narrow" w:hAnsi="Arial Narrow" w:cs="Arial"/>
                <w:sz w:val="20"/>
                <w:szCs w:val="20"/>
              </w:rPr>
              <w:t xml:space="preserve"> (</w:t>
            </w:r>
            <w:r>
              <w:rPr>
                <w:rFonts w:ascii="Arial Narrow" w:hAnsi="Arial Narrow" w:cs="Arial"/>
                <w:noProof/>
                <w:color w:val="000000"/>
                <w:sz w:val="20"/>
                <w:szCs w:val="20"/>
                <w:highlight w:val="black"/>
              </w:rPr>
              <w:t>'''''''''''</w:t>
            </w:r>
            <w:r w:rsidR="00F30D63" w:rsidRPr="00B51ACB">
              <w:rPr>
                <w:rFonts w:ascii="Arial Narrow" w:hAnsi="Arial Narrow" w:cs="Arial"/>
                <w:sz w:val="20"/>
                <w:szCs w:val="20"/>
              </w:rPr>
              <w:t xml:space="preserve">, </w:t>
            </w:r>
            <w:r>
              <w:rPr>
                <w:rFonts w:ascii="Arial Narrow" w:hAnsi="Arial Narrow" w:cs="Arial"/>
                <w:noProof/>
                <w:color w:val="000000"/>
                <w:sz w:val="20"/>
                <w:szCs w:val="20"/>
                <w:highlight w:val="black"/>
              </w:rPr>
              <w:t>'''''''''''</w:t>
            </w:r>
            <w:r w:rsidR="00F30D63" w:rsidRPr="00B51ACB">
              <w:rPr>
                <w:rFonts w:ascii="Arial Narrow" w:hAnsi="Arial Narrow" w:cs="Arial"/>
                <w:sz w:val="20"/>
                <w:szCs w:val="20"/>
              </w:rPr>
              <w:t>)</w:t>
            </w:r>
            <w:r w:rsidR="00F30D63" w:rsidRPr="00B51ACB">
              <w:rPr>
                <w:rFonts w:ascii="Arial Narrow" w:hAnsi="Arial Narrow" w:cs="Arial"/>
                <w:sz w:val="20"/>
                <w:szCs w:val="20"/>
                <w:vertAlign w:val="superscript"/>
              </w:rPr>
              <w:t>a</w:t>
            </w:r>
          </w:p>
        </w:tc>
        <w:tc>
          <w:tcPr>
            <w:tcW w:w="1115" w:type="pct"/>
            <w:shd w:val="clear" w:color="auto" w:fill="auto"/>
          </w:tcPr>
          <w:p w:rsidR="00F30D63" w:rsidRPr="00B51ACB" w:rsidRDefault="00F53810">
            <w:pPr>
              <w:keepNext/>
              <w:jc w:val="both"/>
              <w:rPr>
                <w:rFonts w:ascii="Arial Narrow" w:hAnsi="Arial Narrow" w:cs="Arial"/>
                <w:sz w:val="20"/>
                <w:szCs w:val="20"/>
              </w:rPr>
            </w:pPr>
            <w:r>
              <w:rPr>
                <w:rFonts w:ascii="Arial Narrow" w:hAnsi="Arial Narrow" w:cs="Arial"/>
                <w:noProof/>
                <w:color w:val="000000"/>
                <w:sz w:val="20"/>
                <w:szCs w:val="20"/>
                <w:highlight w:val="black"/>
              </w:rPr>
              <w:t>'''''''''''</w:t>
            </w:r>
            <w:r w:rsidR="00F30D63" w:rsidRPr="00B51ACB">
              <w:rPr>
                <w:rFonts w:ascii="Arial Narrow" w:hAnsi="Arial Narrow" w:cs="Arial"/>
                <w:sz w:val="20"/>
                <w:szCs w:val="20"/>
              </w:rPr>
              <w:t xml:space="preserve"> (</w:t>
            </w:r>
            <w:r>
              <w:rPr>
                <w:rFonts w:ascii="Arial Narrow" w:hAnsi="Arial Narrow" w:cs="Arial"/>
                <w:noProof/>
                <w:color w:val="000000"/>
                <w:sz w:val="20"/>
                <w:szCs w:val="20"/>
                <w:highlight w:val="black"/>
              </w:rPr>
              <w:t>''''''''''</w:t>
            </w:r>
            <w:r w:rsidR="00F30D63" w:rsidRPr="00B51ACB">
              <w:rPr>
                <w:rFonts w:ascii="Arial Narrow" w:hAnsi="Arial Narrow" w:cs="Arial"/>
                <w:sz w:val="20"/>
                <w:szCs w:val="20"/>
              </w:rPr>
              <w:t xml:space="preserve">, </w:t>
            </w:r>
            <w:r>
              <w:rPr>
                <w:rFonts w:ascii="Arial Narrow" w:hAnsi="Arial Narrow" w:cs="Arial"/>
                <w:noProof/>
                <w:color w:val="000000"/>
                <w:sz w:val="20"/>
                <w:szCs w:val="20"/>
                <w:highlight w:val="black"/>
              </w:rPr>
              <w:t>'''''''''''</w:t>
            </w:r>
            <w:r w:rsidR="00F30D63" w:rsidRPr="00B51ACB">
              <w:rPr>
                <w:rFonts w:ascii="Arial Narrow" w:hAnsi="Arial Narrow" w:cs="Arial"/>
                <w:sz w:val="20"/>
                <w:szCs w:val="20"/>
              </w:rPr>
              <w:t>)</w:t>
            </w:r>
            <w:r w:rsidR="00F30D63" w:rsidRPr="00B51ACB">
              <w:rPr>
                <w:rFonts w:ascii="Arial Narrow" w:hAnsi="Arial Narrow" w:cs="Arial"/>
                <w:sz w:val="20"/>
                <w:szCs w:val="20"/>
                <w:vertAlign w:val="superscript"/>
              </w:rPr>
              <w:t>a,c,d</w:t>
            </w:r>
          </w:p>
        </w:tc>
        <w:tc>
          <w:tcPr>
            <w:tcW w:w="1523" w:type="pct"/>
            <w:shd w:val="clear" w:color="auto" w:fill="auto"/>
          </w:tcPr>
          <w:p w:rsidR="00F30D63" w:rsidRPr="00B51ACB" w:rsidRDefault="00F30D63">
            <w:pPr>
              <w:keepNext/>
              <w:jc w:val="both"/>
              <w:rPr>
                <w:rFonts w:ascii="Arial Narrow" w:hAnsi="Arial Narrow" w:cs="Arial"/>
                <w:sz w:val="20"/>
                <w:szCs w:val="20"/>
              </w:rPr>
            </w:pPr>
            <w:r w:rsidRPr="00B51ACB">
              <w:rPr>
                <w:rFonts w:ascii="Arial Narrow" w:hAnsi="Arial Narrow" w:cs="Arial"/>
                <w:sz w:val="20"/>
                <w:szCs w:val="20"/>
              </w:rPr>
              <w:t>Non-inferior</w:t>
            </w:r>
          </w:p>
        </w:tc>
      </w:tr>
      <w:tr w:rsidR="00F30D63" w:rsidRPr="00B51ACB" w:rsidTr="00656B0F">
        <w:trPr>
          <w:trHeight w:val="254"/>
        </w:trPr>
        <w:tc>
          <w:tcPr>
            <w:tcW w:w="1049" w:type="pct"/>
            <w:tcBorders>
              <w:bottom w:val="single" w:sz="4" w:space="0" w:color="auto"/>
            </w:tcBorders>
            <w:shd w:val="clear" w:color="auto" w:fill="auto"/>
          </w:tcPr>
          <w:p w:rsidR="00F30D63" w:rsidRPr="00B51ACB" w:rsidRDefault="00F30D63" w:rsidP="00F30D63">
            <w:pPr>
              <w:keepNext/>
              <w:jc w:val="both"/>
              <w:rPr>
                <w:rFonts w:ascii="Arial Narrow" w:hAnsi="Arial Narrow" w:cs="Arial"/>
                <w:sz w:val="20"/>
                <w:szCs w:val="20"/>
              </w:rPr>
            </w:pPr>
            <w:r w:rsidRPr="00B51ACB">
              <w:rPr>
                <w:rFonts w:ascii="Arial Narrow" w:hAnsi="Arial Narrow" w:cs="Arial"/>
                <w:sz w:val="20"/>
                <w:szCs w:val="20"/>
              </w:rPr>
              <w:t>Clinical response</w:t>
            </w:r>
          </w:p>
        </w:tc>
        <w:tc>
          <w:tcPr>
            <w:tcW w:w="1313" w:type="pct"/>
            <w:tcBorders>
              <w:bottom w:val="single" w:sz="4" w:space="0" w:color="auto"/>
            </w:tcBorders>
            <w:shd w:val="clear" w:color="auto" w:fill="auto"/>
          </w:tcPr>
          <w:p w:rsidR="00F30D63" w:rsidRPr="00B51ACB" w:rsidRDefault="00F53810" w:rsidP="00247B39">
            <w:pPr>
              <w:keepNext/>
              <w:jc w:val="both"/>
              <w:rPr>
                <w:rFonts w:ascii="Arial Narrow" w:hAnsi="Arial Narrow" w:cs="Arial"/>
                <w:b/>
                <w:sz w:val="20"/>
                <w:szCs w:val="20"/>
              </w:rPr>
            </w:pPr>
            <w:r>
              <w:rPr>
                <w:rFonts w:ascii="Arial Narrow" w:hAnsi="Arial Narrow" w:cs="Arial"/>
                <w:b/>
                <w:noProof/>
                <w:color w:val="000000"/>
                <w:sz w:val="20"/>
                <w:szCs w:val="20"/>
                <w:highlight w:val="black"/>
              </w:rPr>
              <w:t>'''''''''</w:t>
            </w:r>
            <w:r w:rsidR="00F30D63" w:rsidRPr="00B51ACB">
              <w:rPr>
                <w:rFonts w:ascii="Arial Narrow" w:hAnsi="Arial Narrow" w:cs="Arial"/>
                <w:b/>
                <w:sz w:val="20"/>
                <w:szCs w:val="20"/>
              </w:rPr>
              <w:t xml:space="preserve"> (</w:t>
            </w:r>
            <w:r>
              <w:rPr>
                <w:rFonts w:ascii="Arial Narrow" w:hAnsi="Arial Narrow" w:cs="Arial"/>
                <w:b/>
                <w:noProof/>
                <w:color w:val="000000"/>
                <w:sz w:val="20"/>
                <w:szCs w:val="20"/>
                <w:highlight w:val="black"/>
              </w:rPr>
              <w:t>''''''''''</w:t>
            </w:r>
            <w:r w:rsidR="00F30D63" w:rsidRPr="00B51ACB">
              <w:rPr>
                <w:rFonts w:ascii="Arial Narrow" w:hAnsi="Arial Narrow" w:cs="Arial"/>
                <w:b/>
                <w:sz w:val="20"/>
                <w:szCs w:val="20"/>
              </w:rPr>
              <w:t xml:space="preserve">, </w:t>
            </w:r>
            <w:r>
              <w:rPr>
                <w:rFonts w:ascii="Arial Narrow" w:hAnsi="Arial Narrow" w:cs="Arial"/>
                <w:b/>
                <w:noProof/>
                <w:color w:val="000000"/>
                <w:sz w:val="20"/>
                <w:szCs w:val="20"/>
                <w:highlight w:val="black"/>
              </w:rPr>
              <w:t>'''''''''</w:t>
            </w:r>
            <w:r w:rsidR="00F30D63" w:rsidRPr="00B51ACB">
              <w:rPr>
                <w:rFonts w:ascii="Arial Narrow" w:hAnsi="Arial Narrow" w:cs="Arial"/>
                <w:b/>
                <w:sz w:val="20"/>
                <w:szCs w:val="20"/>
              </w:rPr>
              <w:t>)</w:t>
            </w:r>
            <w:r w:rsidR="00F30D63" w:rsidRPr="00B51ACB">
              <w:rPr>
                <w:rFonts w:ascii="Arial Narrow" w:hAnsi="Arial Narrow" w:cs="Arial"/>
                <w:b/>
                <w:sz w:val="20"/>
                <w:szCs w:val="20"/>
                <w:vertAlign w:val="superscript"/>
              </w:rPr>
              <w:t>a</w:t>
            </w:r>
          </w:p>
        </w:tc>
        <w:tc>
          <w:tcPr>
            <w:tcW w:w="1115" w:type="pct"/>
            <w:tcBorders>
              <w:bottom w:val="single" w:sz="4" w:space="0" w:color="auto"/>
            </w:tcBorders>
            <w:shd w:val="clear" w:color="auto" w:fill="auto"/>
          </w:tcPr>
          <w:p w:rsidR="00F30D63" w:rsidRPr="00B51ACB" w:rsidRDefault="00F53810">
            <w:pPr>
              <w:keepNext/>
              <w:jc w:val="both"/>
              <w:rPr>
                <w:rFonts w:ascii="Arial Narrow" w:hAnsi="Arial Narrow" w:cs="Arial"/>
                <w:sz w:val="20"/>
                <w:szCs w:val="20"/>
              </w:rPr>
            </w:pPr>
            <w:r>
              <w:rPr>
                <w:rFonts w:ascii="Arial Narrow" w:hAnsi="Arial Narrow" w:cs="Arial"/>
                <w:noProof/>
                <w:color w:val="000000"/>
                <w:sz w:val="20"/>
                <w:szCs w:val="20"/>
                <w:highlight w:val="black"/>
              </w:rPr>
              <w:t>''''''''''</w:t>
            </w:r>
            <w:r w:rsidR="00F30D63" w:rsidRPr="00B51ACB">
              <w:rPr>
                <w:rFonts w:ascii="Arial Narrow" w:hAnsi="Arial Narrow" w:cs="Arial"/>
                <w:sz w:val="20"/>
                <w:szCs w:val="20"/>
              </w:rPr>
              <w:t xml:space="preserve"> (</w:t>
            </w:r>
            <w:r>
              <w:rPr>
                <w:rFonts w:ascii="Arial Narrow" w:hAnsi="Arial Narrow" w:cs="Arial"/>
                <w:noProof/>
                <w:color w:val="000000"/>
                <w:sz w:val="20"/>
                <w:szCs w:val="20"/>
                <w:highlight w:val="black"/>
              </w:rPr>
              <w:t>'''''''''''</w:t>
            </w:r>
            <w:r w:rsidR="00F30D63" w:rsidRPr="00B51ACB">
              <w:rPr>
                <w:rFonts w:ascii="Arial Narrow" w:hAnsi="Arial Narrow" w:cs="Arial"/>
                <w:sz w:val="20"/>
                <w:szCs w:val="20"/>
              </w:rPr>
              <w:t xml:space="preserve">, </w:t>
            </w:r>
            <w:r>
              <w:rPr>
                <w:rFonts w:ascii="Arial Narrow" w:hAnsi="Arial Narrow" w:cs="Arial"/>
                <w:noProof/>
                <w:color w:val="000000"/>
                <w:sz w:val="20"/>
                <w:szCs w:val="20"/>
                <w:highlight w:val="black"/>
              </w:rPr>
              <w:t>''''''''''</w:t>
            </w:r>
            <w:r w:rsidR="00F30D63" w:rsidRPr="00B51ACB">
              <w:rPr>
                <w:rFonts w:ascii="Arial Narrow" w:hAnsi="Arial Narrow" w:cs="Arial"/>
                <w:sz w:val="20"/>
                <w:szCs w:val="20"/>
              </w:rPr>
              <w:t>)</w:t>
            </w:r>
            <w:r w:rsidR="00F30D63" w:rsidRPr="00B51ACB">
              <w:rPr>
                <w:rFonts w:ascii="Arial Narrow" w:hAnsi="Arial Narrow" w:cs="Arial"/>
                <w:sz w:val="20"/>
                <w:szCs w:val="20"/>
                <w:vertAlign w:val="superscript"/>
              </w:rPr>
              <w:t>a,c,d</w:t>
            </w:r>
          </w:p>
        </w:tc>
        <w:tc>
          <w:tcPr>
            <w:tcW w:w="1523" w:type="pct"/>
            <w:tcBorders>
              <w:bottom w:val="single" w:sz="4" w:space="0" w:color="auto"/>
            </w:tcBorders>
            <w:shd w:val="clear" w:color="auto" w:fill="auto"/>
          </w:tcPr>
          <w:p w:rsidR="00F30D63" w:rsidRPr="00B51ACB" w:rsidRDefault="00F30D63">
            <w:pPr>
              <w:keepNext/>
              <w:jc w:val="both"/>
              <w:rPr>
                <w:rFonts w:ascii="Arial Narrow" w:hAnsi="Arial Narrow" w:cs="Arial"/>
                <w:sz w:val="20"/>
                <w:szCs w:val="20"/>
              </w:rPr>
            </w:pPr>
            <w:r w:rsidRPr="00B51ACB">
              <w:rPr>
                <w:rFonts w:ascii="Arial Narrow" w:hAnsi="Arial Narrow" w:cs="Arial"/>
                <w:b/>
                <w:sz w:val="20"/>
                <w:szCs w:val="20"/>
              </w:rPr>
              <w:t>Inferior in IP</w:t>
            </w:r>
            <w:r w:rsidRPr="00B51ACB">
              <w:rPr>
                <w:rFonts w:ascii="Arial Narrow" w:hAnsi="Arial Narrow" w:cs="Arial"/>
                <w:sz w:val="20"/>
                <w:szCs w:val="20"/>
              </w:rPr>
              <w:t>/Non-inferior in MP</w:t>
            </w:r>
          </w:p>
        </w:tc>
      </w:tr>
      <w:tr w:rsidR="00F30D63" w:rsidRPr="00B51ACB" w:rsidTr="00656B0F">
        <w:trPr>
          <w:trHeight w:val="219"/>
        </w:trPr>
        <w:tc>
          <w:tcPr>
            <w:tcW w:w="5000" w:type="pct"/>
            <w:gridSpan w:val="4"/>
            <w:shd w:val="clear" w:color="auto" w:fill="auto"/>
          </w:tcPr>
          <w:p w:rsidR="00F30D63" w:rsidRPr="00B51ACB" w:rsidRDefault="00F30D63" w:rsidP="00F30D63">
            <w:pPr>
              <w:keepNext/>
              <w:jc w:val="both"/>
              <w:rPr>
                <w:rFonts w:ascii="Arial Narrow" w:hAnsi="Arial Narrow" w:cs="Arial"/>
                <w:b/>
                <w:sz w:val="20"/>
                <w:szCs w:val="20"/>
              </w:rPr>
            </w:pPr>
            <w:r w:rsidRPr="00B51ACB">
              <w:rPr>
                <w:rFonts w:ascii="Arial Narrow" w:hAnsi="Arial Narrow" w:cs="Arial"/>
                <w:b/>
                <w:sz w:val="20"/>
                <w:szCs w:val="20"/>
              </w:rPr>
              <w:t>TNFα antagonist naïve patients, adalimumab vs infliximab</w:t>
            </w:r>
          </w:p>
        </w:tc>
      </w:tr>
      <w:tr w:rsidR="00F30D63" w:rsidRPr="00B51ACB" w:rsidTr="00656B0F">
        <w:trPr>
          <w:trHeight w:val="175"/>
        </w:trPr>
        <w:tc>
          <w:tcPr>
            <w:tcW w:w="1049" w:type="pct"/>
            <w:shd w:val="clear" w:color="auto" w:fill="auto"/>
          </w:tcPr>
          <w:p w:rsidR="00F30D63" w:rsidRPr="00B51ACB" w:rsidRDefault="00F30D63" w:rsidP="00F30D63">
            <w:pPr>
              <w:keepNext/>
              <w:jc w:val="both"/>
              <w:rPr>
                <w:rFonts w:ascii="Arial Narrow" w:hAnsi="Arial Narrow" w:cs="Arial"/>
                <w:sz w:val="20"/>
                <w:szCs w:val="20"/>
              </w:rPr>
            </w:pPr>
            <w:r w:rsidRPr="00B51ACB">
              <w:rPr>
                <w:rFonts w:ascii="Arial Narrow" w:hAnsi="Arial Narrow" w:cs="Arial"/>
                <w:sz w:val="20"/>
                <w:szCs w:val="20"/>
              </w:rPr>
              <w:t>Clinical remission</w:t>
            </w:r>
          </w:p>
        </w:tc>
        <w:tc>
          <w:tcPr>
            <w:tcW w:w="1313" w:type="pct"/>
            <w:shd w:val="clear" w:color="auto" w:fill="auto"/>
          </w:tcPr>
          <w:p w:rsidR="00F30D63" w:rsidRPr="00B51ACB" w:rsidRDefault="00F53810" w:rsidP="00247B39">
            <w:pPr>
              <w:keepNext/>
              <w:jc w:val="both"/>
              <w:rPr>
                <w:rFonts w:ascii="Arial Narrow" w:hAnsi="Arial Narrow" w:cs="Arial"/>
                <w:sz w:val="20"/>
                <w:szCs w:val="20"/>
              </w:rPr>
            </w:pPr>
            <w:r>
              <w:rPr>
                <w:rFonts w:ascii="Arial Narrow" w:hAnsi="Arial Narrow" w:cs="Arial"/>
                <w:noProof/>
                <w:color w:val="000000"/>
                <w:sz w:val="20"/>
                <w:szCs w:val="20"/>
                <w:highlight w:val="black"/>
              </w:rPr>
              <w:t>'''''''''''</w:t>
            </w:r>
            <w:r w:rsidR="00F30D63" w:rsidRPr="00B51ACB">
              <w:rPr>
                <w:rFonts w:ascii="Arial Narrow" w:hAnsi="Arial Narrow" w:cs="Arial"/>
                <w:sz w:val="20"/>
                <w:szCs w:val="20"/>
              </w:rPr>
              <w:t xml:space="preserve"> (</w:t>
            </w:r>
            <w:r>
              <w:rPr>
                <w:rFonts w:ascii="Arial Narrow" w:hAnsi="Arial Narrow" w:cs="Arial"/>
                <w:noProof/>
                <w:color w:val="000000"/>
                <w:sz w:val="20"/>
                <w:szCs w:val="20"/>
                <w:highlight w:val="black"/>
              </w:rPr>
              <w:t>''''''''''</w:t>
            </w:r>
            <w:r w:rsidR="00F30D63" w:rsidRPr="00B51ACB">
              <w:rPr>
                <w:rFonts w:ascii="Arial Narrow" w:hAnsi="Arial Narrow" w:cs="Arial"/>
                <w:sz w:val="20"/>
                <w:szCs w:val="20"/>
              </w:rPr>
              <w:t xml:space="preserve">, </w:t>
            </w:r>
            <w:r>
              <w:rPr>
                <w:rFonts w:ascii="Arial Narrow" w:hAnsi="Arial Narrow" w:cs="Arial"/>
                <w:noProof/>
                <w:color w:val="000000"/>
                <w:sz w:val="20"/>
                <w:szCs w:val="20"/>
                <w:highlight w:val="black"/>
              </w:rPr>
              <w:t>'''''''''''</w:t>
            </w:r>
            <w:r w:rsidR="00F30D63" w:rsidRPr="00B51ACB">
              <w:rPr>
                <w:rFonts w:ascii="Arial Narrow" w:hAnsi="Arial Narrow" w:cs="Arial"/>
                <w:sz w:val="20"/>
                <w:szCs w:val="20"/>
              </w:rPr>
              <w:t>)</w:t>
            </w:r>
            <w:r w:rsidR="00F30D63" w:rsidRPr="00B51ACB">
              <w:rPr>
                <w:rFonts w:ascii="Arial Narrow" w:hAnsi="Arial Narrow" w:cs="Arial"/>
                <w:sz w:val="20"/>
                <w:szCs w:val="20"/>
                <w:vertAlign w:val="superscript"/>
              </w:rPr>
              <w:t>a</w:t>
            </w:r>
          </w:p>
        </w:tc>
        <w:tc>
          <w:tcPr>
            <w:tcW w:w="1115" w:type="pct"/>
            <w:shd w:val="clear" w:color="auto" w:fill="auto"/>
          </w:tcPr>
          <w:p w:rsidR="00F30D63" w:rsidRPr="00B51ACB" w:rsidRDefault="00F53810">
            <w:pPr>
              <w:keepNext/>
              <w:jc w:val="both"/>
              <w:rPr>
                <w:rFonts w:ascii="Arial Narrow" w:hAnsi="Arial Narrow" w:cs="Arial"/>
                <w:sz w:val="20"/>
                <w:szCs w:val="20"/>
              </w:rPr>
            </w:pPr>
            <w:r>
              <w:rPr>
                <w:rFonts w:ascii="Arial Narrow" w:hAnsi="Arial Narrow" w:cs="Arial"/>
                <w:noProof/>
                <w:color w:val="000000"/>
                <w:sz w:val="20"/>
                <w:szCs w:val="20"/>
                <w:highlight w:val="black"/>
              </w:rPr>
              <w:t>'''''''''''</w:t>
            </w:r>
            <w:r w:rsidR="00F30D63" w:rsidRPr="00B51ACB">
              <w:rPr>
                <w:rFonts w:ascii="Arial Narrow" w:hAnsi="Arial Narrow" w:cs="Arial"/>
                <w:sz w:val="20"/>
                <w:szCs w:val="20"/>
              </w:rPr>
              <w:t xml:space="preserve"> (</w:t>
            </w:r>
            <w:r>
              <w:rPr>
                <w:rFonts w:ascii="Arial Narrow" w:hAnsi="Arial Narrow" w:cs="Arial"/>
                <w:noProof/>
                <w:color w:val="000000"/>
                <w:sz w:val="20"/>
                <w:szCs w:val="20"/>
                <w:highlight w:val="black"/>
              </w:rPr>
              <w:t>''''''''''</w:t>
            </w:r>
            <w:r w:rsidR="00F30D63" w:rsidRPr="00B51ACB">
              <w:rPr>
                <w:rFonts w:ascii="Arial Narrow" w:hAnsi="Arial Narrow" w:cs="Arial"/>
                <w:sz w:val="20"/>
                <w:szCs w:val="20"/>
              </w:rPr>
              <w:t xml:space="preserve">, </w:t>
            </w:r>
            <w:r>
              <w:rPr>
                <w:rFonts w:ascii="Arial Narrow" w:hAnsi="Arial Narrow" w:cs="Arial"/>
                <w:noProof/>
                <w:color w:val="000000"/>
                <w:sz w:val="20"/>
                <w:szCs w:val="20"/>
                <w:highlight w:val="black"/>
              </w:rPr>
              <w:t>''''''''''</w:t>
            </w:r>
            <w:r w:rsidR="00F30D63" w:rsidRPr="00B51ACB">
              <w:rPr>
                <w:rFonts w:ascii="Arial Narrow" w:hAnsi="Arial Narrow" w:cs="Arial"/>
                <w:sz w:val="20"/>
                <w:szCs w:val="20"/>
              </w:rPr>
              <w:t>)</w:t>
            </w:r>
            <w:r w:rsidR="00F30D63" w:rsidRPr="00B51ACB">
              <w:rPr>
                <w:rFonts w:ascii="Arial Narrow" w:hAnsi="Arial Narrow" w:cs="Arial"/>
                <w:sz w:val="20"/>
                <w:szCs w:val="20"/>
                <w:vertAlign w:val="superscript"/>
              </w:rPr>
              <w:t>a,c,d</w:t>
            </w:r>
          </w:p>
        </w:tc>
        <w:tc>
          <w:tcPr>
            <w:tcW w:w="1523" w:type="pct"/>
            <w:shd w:val="clear" w:color="auto" w:fill="auto"/>
          </w:tcPr>
          <w:p w:rsidR="00F30D63" w:rsidRPr="00B51ACB" w:rsidRDefault="00F30D63">
            <w:pPr>
              <w:keepNext/>
              <w:jc w:val="both"/>
              <w:rPr>
                <w:rFonts w:ascii="Arial Narrow" w:hAnsi="Arial Narrow" w:cs="Arial"/>
                <w:sz w:val="20"/>
                <w:szCs w:val="20"/>
              </w:rPr>
            </w:pPr>
            <w:r w:rsidRPr="00B51ACB">
              <w:rPr>
                <w:rFonts w:ascii="Arial Narrow" w:hAnsi="Arial Narrow" w:cs="Arial"/>
                <w:sz w:val="20"/>
                <w:szCs w:val="20"/>
              </w:rPr>
              <w:t>Non-inferior</w:t>
            </w:r>
          </w:p>
        </w:tc>
      </w:tr>
      <w:tr w:rsidR="00F30D63" w:rsidRPr="00B51ACB" w:rsidTr="00656B0F">
        <w:trPr>
          <w:trHeight w:val="324"/>
        </w:trPr>
        <w:tc>
          <w:tcPr>
            <w:tcW w:w="1049" w:type="pct"/>
            <w:shd w:val="clear" w:color="auto" w:fill="auto"/>
          </w:tcPr>
          <w:p w:rsidR="00F30D63" w:rsidRPr="00B51ACB" w:rsidRDefault="00F30D63" w:rsidP="00F30D63">
            <w:pPr>
              <w:keepNext/>
              <w:jc w:val="both"/>
              <w:rPr>
                <w:rFonts w:ascii="Arial Narrow" w:hAnsi="Arial Narrow" w:cs="Arial"/>
                <w:sz w:val="20"/>
                <w:szCs w:val="20"/>
              </w:rPr>
            </w:pPr>
            <w:r w:rsidRPr="00B51ACB">
              <w:rPr>
                <w:rFonts w:ascii="Arial Narrow" w:hAnsi="Arial Narrow" w:cs="Arial"/>
                <w:sz w:val="20"/>
                <w:szCs w:val="20"/>
              </w:rPr>
              <w:t>Clinical response</w:t>
            </w:r>
          </w:p>
        </w:tc>
        <w:tc>
          <w:tcPr>
            <w:tcW w:w="1313" w:type="pct"/>
            <w:shd w:val="clear" w:color="auto" w:fill="auto"/>
          </w:tcPr>
          <w:p w:rsidR="00F30D63" w:rsidRPr="00B51ACB" w:rsidRDefault="00F53810" w:rsidP="00247B39">
            <w:pPr>
              <w:keepNext/>
              <w:jc w:val="both"/>
              <w:rPr>
                <w:rFonts w:ascii="Arial Narrow" w:hAnsi="Arial Narrow" w:cs="Arial"/>
                <w:b/>
                <w:sz w:val="20"/>
                <w:szCs w:val="20"/>
              </w:rPr>
            </w:pPr>
            <w:r>
              <w:rPr>
                <w:rFonts w:ascii="Arial Narrow" w:hAnsi="Arial Narrow" w:cs="Arial"/>
                <w:b/>
                <w:noProof/>
                <w:color w:val="000000"/>
                <w:sz w:val="20"/>
                <w:szCs w:val="20"/>
                <w:highlight w:val="black"/>
              </w:rPr>
              <w:t>'''''''''</w:t>
            </w:r>
            <w:r w:rsidR="00F30D63" w:rsidRPr="00B51ACB">
              <w:rPr>
                <w:rFonts w:ascii="Arial Narrow" w:hAnsi="Arial Narrow" w:cs="Arial"/>
                <w:b/>
                <w:sz w:val="20"/>
                <w:szCs w:val="20"/>
              </w:rPr>
              <w:t xml:space="preserve"> (</w:t>
            </w:r>
            <w:r>
              <w:rPr>
                <w:rFonts w:ascii="Arial Narrow" w:hAnsi="Arial Narrow" w:cs="Arial"/>
                <w:b/>
                <w:noProof/>
                <w:color w:val="000000"/>
                <w:sz w:val="20"/>
                <w:szCs w:val="20"/>
                <w:highlight w:val="black"/>
              </w:rPr>
              <w:t>'''''''''</w:t>
            </w:r>
            <w:r w:rsidR="00F30D63" w:rsidRPr="00B51ACB">
              <w:rPr>
                <w:rFonts w:ascii="Arial Narrow" w:hAnsi="Arial Narrow" w:cs="Arial"/>
                <w:b/>
                <w:sz w:val="20"/>
                <w:szCs w:val="20"/>
              </w:rPr>
              <w:t xml:space="preserve">, </w:t>
            </w:r>
            <w:r>
              <w:rPr>
                <w:rFonts w:ascii="Arial Narrow" w:hAnsi="Arial Narrow" w:cs="Arial"/>
                <w:b/>
                <w:noProof/>
                <w:color w:val="000000"/>
                <w:sz w:val="20"/>
                <w:szCs w:val="20"/>
                <w:highlight w:val="black"/>
              </w:rPr>
              <w:t>'''''''''</w:t>
            </w:r>
            <w:r w:rsidR="00F30D63" w:rsidRPr="00B51ACB">
              <w:rPr>
                <w:rFonts w:ascii="Arial Narrow" w:hAnsi="Arial Narrow" w:cs="Arial"/>
                <w:b/>
                <w:sz w:val="20"/>
                <w:szCs w:val="20"/>
              </w:rPr>
              <w:t>)</w:t>
            </w:r>
            <w:r w:rsidR="00F30D63" w:rsidRPr="00B51ACB">
              <w:rPr>
                <w:rFonts w:ascii="Arial Narrow" w:hAnsi="Arial Narrow" w:cs="Arial"/>
                <w:b/>
                <w:sz w:val="20"/>
                <w:szCs w:val="20"/>
                <w:vertAlign w:val="superscript"/>
              </w:rPr>
              <w:t>a</w:t>
            </w:r>
          </w:p>
        </w:tc>
        <w:tc>
          <w:tcPr>
            <w:tcW w:w="1115" w:type="pct"/>
            <w:shd w:val="clear" w:color="auto" w:fill="auto"/>
          </w:tcPr>
          <w:p w:rsidR="00F30D63" w:rsidRPr="00B51ACB" w:rsidRDefault="00F53810">
            <w:pPr>
              <w:keepNext/>
              <w:jc w:val="both"/>
              <w:rPr>
                <w:rFonts w:ascii="Arial Narrow" w:hAnsi="Arial Narrow" w:cs="Arial"/>
                <w:sz w:val="20"/>
                <w:szCs w:val="20"/>
              </w:rPr>
            </w:pPr>
            <w:r>
              <w:rPr>
                <w:rFonts w:ascii="Arial Narrow" w:hAnsi="Arial Narrow" w:cs="Arial"/>
                <w:noProof/>
                <w:color w:val="000000"/>
                <w:sz w:val="20"/>
                <w:szCs w:val="20"/>
                <w:highlight w:val="black"/>
              </w:rPr>
              <w:t>''''''''''</w:t>
            </w:r>
            <w:r w:rsidR="00F30D63" w:rsidRPr="00B51ACB">
              <w:rPr>
                <w:rFonts w:ascii="Arial Narrow" w:hAnsi="Arial Narrow" w:cs="Arial"/>
                <w:sz w:val="20"/>
                <w:szCs w:val="20"/>
              </w:rPr>
              <w:t xml:space="preserve"> (</w:t>
            </w:r>
            <w:r>
              <w:rPr>
                <w:rFonts w:ascii="Arial Narrow" w:hAnsi="Arial Narrow" w:cs="Arial"/>
                <w:noProof/>
                <w:color w:val="000000"/>
                <w:sz w:val="20"/>
                <w:szCs w:val="20"/>
                <w:highlight w:val="black"/>
              </w:rPr>
              <w:t>''''''''''''</w:t>
            </w:r>
            <w:r w:rsidR="00F30D63" w:rsidRPr="00B51ACB">
              <w:rPr>
                <w:rFonts w:ascii="Arial Narrow" w:hAnsi="Arial Narrow" w:cs="Arial"/>
                <w:sz w:val="20"/>
                <w:szCs w:val="20"/>
              </w:rPr>
              <w:t xml:space="preserve">, </w:t>
            </w:r>
            <w:r>
              <w:rPr>
                <w:rFonts w:ascii="Arial Narrow" w:hAnsi="Arial Narrow" w:cs="Arial"/>
                <w:noProof/>
                <w:color w:val="000000"/>
                <w:sz w:val="20"/>
                <w:szCs w:val="20"/>
                <w:highlight w:val="black"/>
              </w:rPr>
              <w:t>'''''''''''</w:t>
            </w:r>
            <w:r w:rsidR="00F30D63" w:rsidRPr="00B51ACB">
              <w:rPr>
                <w:rFonts w:ascii="Arial Narrow" w:hAnsi="Arial Narrow" w:cs="Arial"/>
                <w:sz w:val="20"/>
                <w:szCs w:val="20"/>
              </w:rPr>
              <w:t>)</w:t>
            </w:r>
            <w:r w:rsidR="00F30D63" w:rsidRPr="00B51ACB">
              <w:rPr>
                <w:rFonts w:ascii="Arial Narrow" w:hAnsi="Arial Narrow" w:cs="Arial"/>
                <w:sz w:val="20"/>
                <w:szCs w:val="20"/>
                <w:vertAlign w:val="superscript"/>
              </w:rPr>
              <w:t>a,c,d</w:t>
            </w:r>
          </w:p>
        </w:tc>
        <w:tc>
          <w:tcPr>
            <w:tcW w:w="1523" w:type="pct"/>
            <w:shd w:val="clear" w:color="auto" w:fill="auto"/>
          </w:tcPr>
          <w:p w:rsidR="00F30D63" w:rsidRPr="00B51ACB" w:rsidRDefault="00F30D63">
            <w:pPr>
              <w:keepNext/>
              <w:jc w:val="both"/>
              <w:rPr>
                <w:rFonts w:ascii="Arial Narrow" w:hAnsi="Arial Narrow" w:cs="Arial"/>
                <w:sz w:val="20"/>
                <w:szCs w:val="20"/>
              </w:rPr>
            </w:pPr>
            <w:r w:rsidRPr="00B51ACB">
              <w:rPr>
                <w:rFonts w:ascii="Arial Narrow" w:hAnsi="Arial Narrow" w:cs="Arial"/>
                <w:b/>
                <w:sz w:val="20"/>
                <w:szCs w:val="20"/>
              </w:rPr>
              <w:t>Inferior in IP</w:t>
            </w:r>
            <w:r w:rsidRPr="00B51ACB">
              <w:rPr>
                <w:rFonts w:ascii="Arial Narrow" w:hAnsi="Arial Narrow" w:cs="Arial"/>
                <w:sz w:val="20"/>
                <w:szCs w:val="20"/>
              </w:rPr>
              <w:t>/Non-inferior in MP</w:t>
            </w:r>
          </w:p>
        </w:tc>
      </w:tr>
      <w:tr w:rsidR="00F30D63" w:rsidRPr="00B51ACB" w:rsidTr="00656B0F">
        <w:trPr>
          <w:trHeight w:val="219"/>
        </w:trPr>
        <w:tc>
          <w:tcPr>
            <w:tcW w:w="5000" w:type="pct"/>
            <w:gridSpan w:val="4"/>
            <w:shd w:val="clear" w:color="auto" w:fill="auto"/>
          </w:tcPr>
          <w:p w:rsidR="00F30D63" w:rsidRPr="00B51ACB" w:rsidRDefault="00F30D63" w:rsidP="00F30D63">
            <w:pPr>
              <w:keepNext/>
              <w:jc w:val="both"/>
              <w:rPr>
                <w:rFonts w:ascii="Arial Narrow" w:hAnsi="Arial Narrow" w:cs="Arial"/>
                <w:b/>
                <w:sz w:val="20"/>
                <w:szCs w:val="20"/>
              </w:rPr>
            </w:pPr>
            <w:r w:rsidRPr="00B51ACB">
              <w:rPr>
                <w:rFonts w:ascii="Arial Narrow" w:hAnsi="Arial Narrow" w:cs="Arial"/>
                <w:b/>
                <w:sz w:val="20"/>
                <w:szCs w:val="20"/>
              </w:rPr>
              <w:t>ITT population, adalimumab vs vedolizumab</w:t>
            </w:r>
          </w:p>
        </w:tc>
      </w:tr>
      <w:tr w:rsidR="00F30D63" w:rsidRPr="00B51ACB" w:rsidTr="00656B0F">
        <w:trPr>
          <w:trHeight w:val="219"/>
        </w:trPr>
        <w:tc>
          <w:tcPr>
            <w:tcW w:w="1049" w:type="pct"/>
            <w:shd w:val="clear" w:color="auto" w:fill="auto"/>
          </w:tcPr>
          <w:p w:rsidR="00F30D63" w:rsidRPr="00B51ACB" w:rsidRDefault="00F30D63" w:rsidP="00F30D63">
            <w:pPr>
              <w:keepNext/>
              <w:jc w:val="both"/>
              <w:rPr>
                <w:rFonts w:ascii="Arial Narrow" w:hAnsi="Arial Narrow" w:cs="Arial"/>
                <w:sz w:val="20"/>
                <w:szCs w:val="20"/>
              </w:rPr>
            </w:pPr>
            <w:r w:rsidRPr="00B51ACB">
              <w:rPr>
                <w:rFonts w:ascii="Arial Narrow" w:hAnsi="Arial Narrow" w:cs="Arial"/>
                <w:sz w:val="20"/>
                <w:szCs w:val="20"/>
              </w:rPr>
              <w:t>Clinical remission</w:t>
            </w:r>
          </w:p>
        </w:tc>
        <w:tc>
          <w:tcPr>
            <w:tcW w:w="1313" w:type="pct"/>
            <w:shd w:val="clear" w:color="auto" w:fill="auto"/>
          </w:tcPr>
          <w:p w:rsidR="00F30D63" w:rsidRPr="00B51ACB" w:rsidRDefault="00F53810" w:rsidP="00247B39">
            <w:pPr>
              <w:keepNext/>
              <w:jc w:val="both"/>
              <w:rPr>
                <w:rFonts w:ascii="Arial Narrow" w:hAnsi="Arial Narrow" w:cs="Arial"/>
                <w:sz w:val="20"/>
                <w:szCs w:val="20"/>
              </w:rPr>
            </w:pPr>
            <w:r>
              <w:rPr>
                <w:rFonts w:ascii="Arial Narrow" w:hAnsi="Arial Narrow" w:cs="Arial"/>
                <w:noProof/>
                <w:color w:val="000000"/>
                <w:sz w:val="20"/>
                <w:szCs w:val="20"/>
                <w:highlight w:val="black"/>
              </w:rPr>
              <w:t>''''''''''</w:t>
            </w:r>
            <w:r w:rsidR="00F30D63" w:rsidRPr="00B51ACB">
              <w:rPr>
                <w:rFonts w:ascii="Arial Narrow" w:hAnsi="Arial Narrow" w:cs="Arial"/>
                <w:sz w:val="20"/>
                <w:szCs w:val="20"/>
              </w:rPr>
              <w:t xml:space="preserve"> (</w:t>
            </w:r>
            <w:r>
              <w:rPr>
                <w:rFonts w:ascii="Arial Narrow" w:hAnsi="Arial Narrow" w:cs="Arial"/>
                <w:noProof/>
                <w:color w:val="000000"/>
                <w:sz w:val="20"/>
                <w:szCs w:val="20"/>
                <w:highlight w:val="black"/>
              </w:rPr>
              <w:t>''''''''''</w:t>
            </w:r>
            <w:r w:rsidR="00F30D63" w:rsidRPr="00B51ACB">
              <w:rPr>
                <w:rFonts w:ascii="Arial Narrow" w:hAnsi="Arial Narrow" w:cs="Arial"/>
                <w:sz w:val="20"/>
                <w:szCs w:val="20"/>
              </w:rPr>
              <w:t xml:space="preserve">, </w:t>
            </w:r>
            <w:r>
              <w:rPr>
                <w:rFonts w:ascii="Arial Narrow" w:hAnsi="Arial Narrow" w:cs="Arial"/>
                <w:noProof/>
                <w:color w:val="000000"/>
                <w:sz w:val="20"/>
                <w:szCs w:val="20"/>
                <w:highlight w:val="black"/>
              </w:rPr>
              <w:t>'''''''''''</w:t>
            </w:r>
            <w:r w:rsidR="00F30D63" w:rsidRPr="00B51ACB">
              <w:rPr>
                <w:rFonts w:ascii="Arial Narrow" w:hAnsi="Arial Narrow" w:cs="Arial"/>
                <w:sz w:val="20"/>
                <w:szCs w:val="20"/>
              </w:rPr>
              <w:t>)</w:t>
            </w:r>
            <w:r w:rsidR="00F30D63" w:rsidRPr="00B51ACB">
              <w:rPr>
                <w:rFonts w:ascii="Arial Narrow" w:hAnsi="Arial Narrow" w:cs="Arial"/>
                <w:sz w:val="20"/>
                <w:szCs w:val="20"/>
                <w:vertAlign w:val="superscript"/>
              </w:rPr>
              <w:t>b</w:t>
            </w:r>
          </w:p>
        </w:tc>
        <w:tc>
          <w:tcPr>
            <w:tcW w:w="1115" w:type="pct"/>
            <w:shd w:val="clear" w:color="auto" w:fill="auto"/>
          </w:tcPr>
          <w:p w:rsidR="00F30D63" w:rsidRPr="00B51ACB" w:rsidRDefault="00F53810">
            <w:pPr>
              <w:keepNext/>
              <w:jc w:val="both"/>
              <w:rPr>
                <w:rFonts w:ascii="Arial Narrow" w:hAnsi="Arial Narrow" w:cs="Arial"/>
                <w:i/>
                <w:sz w:val="20"/>
                <w:szCs w:val="20"/>
              </w:rPr>
            </w:pPr>
            <w:r>
              <w:rPr>
                <w:rFonts w:ascii="Arial Narrow" w:hAnsi="Arial Narrow" w:cs="Arial"/>
                <w:i/>
                <w:noProof/>
                <w:color w:val="000000"/>
                <w:sz w:val="20"/>
                <w:szCs w:val="20"/>
                <w:highlight w:val="black"/>
              </w:rPr>
              <w:t>''''''''''</w:t>
            </w:r>
            <w:r w:rsidR="00F30D63" w:rsidRPr="00B51ACB">
              <w:rPr>
                <w:rFonts w:ascii="Arial Narrow" w:hAnsi="Arial Narrow" w:cs="Arial"/>
                <w:i/>
                <w:sz w:val="20"/>
                <w:szCs w:val="20"/>
              </w:rPr>
              <w:t xml:space="preserve"> (</w:t>
            </w:r>
            <w:r>
              <w:rPr>
                <w:rFonts w:ascii="Arial Narrow" w:hAnsi="Arial Narrow" w:cs="Arial"/>
                <w:i/>
                <w:noProof/>
                <w:color w:val="000000"/>
                <w:sz w:val="20"/>
                <w:szCs w:val="20"/>
                <w:highlight w:val="black"/>
              </w:rPr>
              <w:t>'''''''''''</w:t>
            </w:r>
            <w:r w:rsidR="00F30D63" w:rsidRPr="00B51ACB">
              <w:rPr>
                <w:rFonts w:ascii="Arial Narrow" w:hAnsi="Arial Narrow" w:cs="Arial"/>
                <w:i/>
                <w:sz w:val="20"/>
                <w:szCs w:val="20"/>
              </w:rPr>
              <w:t xml:space="preserve">, </w:t>
            </w:r>
            <w:r>
              <w:rPr>
                <w:rFonts w:ascii="Arial Narrow" w:hAnsi="Arial Narrow" w:cs="Arial"/>
                <w:i/>
                <w:noProof/>
                <w:color w:val="000000"/>
                <w:sz w:val="20"/>
                <w:szCs w:val="20"/>
                <w:highlight w:val="black"/>
              </w:rPr>
              <w:t>''''''''''</w:t>
            </w:r>
            <w:r w:rsidR="00F30D63" w:rsidRPr="00B51ACB">
              <w:rPr>
                <w:rFonts w:ascii="Arial Narrow" w:hAnsi="Arial Narrow" w:cs="Arial"/>
                <w:i/>
                <w:sz w:val="20"/>
                <w:szCs w:val="20"/>
              </w:rPr>
              <w:t>)</w:t>
            </w:r>
            <w:r w:rsidR="00F30D63" w:rsidRPr="00B51ACB">
              <w:rPr>
                <w:rFonts w:ascii="Arial Narrow" w:hAnsi="Arial Narrow" w:cs="Arial"/>
                <w:i/>
                <w:sz w:val="20"/>
                <w:szCs w:val="20"/>
                <w:vertAlign w:val="superscript"/>
              </w:rPr>
              <w:t>a,c</w:t>
            </w:r>
          </w:p>
        </w:tc>
        <w:tc>
          <w:tcPr>
            <w:tcW w:w="1523" w:type="pct"/>
            <w:shd w:val="clear" w:color="auto" w:fill="auto"/>
          </w:tcPr>
          <w:p w:rsidR="00F30D63" w:rsidRPr="00B51ACB" w:rsidRDefault="00F30D63">
            <w:pPr>
              <w:keepNext/>
              <w:jc w:val="both"/>
              <w:rPr>
                <w:rFonts w:ascii="Arial Narrow" w:hAnsi="Arial Narrow" w:cs="Arial"/>
                <w:sz w:val="20"/>
                <w:szCs w:val="20"/>
              </w:rPr>
            </w:pPr>
            <w:r w:rsidRPr="00B51ACB">
              <w:rPr>
                <w:rFonts w:ascii="Arial Narrow" w:hAnsi="Arial Narrow" w:cs="Arial"/>
                <w:sz w:val="20"/>
                <w:szCs w:val="20"/>
              </w:rPr>
              <w:t>Non-inferior</w:t>
            </w:r>
          </w:p>
        </w:tc>
      </w:tr>
      <w:tr w:rsidR="00F30D63" w:rsidRPr="00B51ACB" w:rsidTr="00656B0F">
        <w:trPr>
          <w:trHeight w:val="231"/>
        </w:trPr>
        <w:tc>
          <w:tcPr>
            <w:tcW w:w="1049" w:type="pct"/>
            <w:tcBorders>
              <w:bottom w:val="single" w:sz="4" w:space="0" w:color="auto"/>
            </w:tcBorders>
            <w:shd w:val="clear" w:color="auto" w:fill="auto"/>
          </w:tcPr>
          <w:p w:rsidR="00F30D63" w:rsidRPr="00B51ACB" w:rsidRDefault="00F30D63" w:rsidP="00F30D63">
            <w:pPr>
              <w:keepNext/>
              <w:jc w:val="both"/>
              <w:rPr>
                <w:rFonts w:ascii="Arial Narrow" w:hAnsi="Arial Narrow" w:cs="Arial"/>
                <w:sz w:val="20"/>
                <w:szCs w:val="20"/>
              </w:rPr>
            </w:pPr>
            <w:r w:rsidRPr="00B51ACB">
              <w:rPr>
                <w:rFonts w:ascii="Arial Narrow" w:hAnsi="Arial Narrow" w:cs="Arial"/>
                <w:sz w:val="20"/>
                <w:szCs w:val="20"/>
              </w:rPr>
              <w:t>Clinical response</w:t>
            </w:r>
          </w:p>
        </w:tc>
        <w:tc>
          <w:tcPr>
            <w:tcW w:w="1313" w:type="pct"/>
            <w:tcBorders>
              <w:bottom w:val="single" w:sz="4" w:space="0" w:color="auto"/>
            </w:tcBorders>
            <w:shd w:val="clear" w:color="auto" w:fill="auto"/>
          </w:tcPr>
          <w:p w:rsidR="00F30D63" w:rsidRPr="00B51ACB" w:rsidRDefault="00F53810" w:rsidP="00247B39">
            <w:pPr>
              <w:keepNext/>
              <w:jc w:val="both"/>
              <w:rPr>
                <w:rFonts w:ascii="Arial Narrow" w:hAnsi="Arial Narrow" w:cs="Arial"/>
                <w:sz w:val="20"/>
                <w:szCs w:val="20"/>
              </w:rPr>
            </w:pPr>
            <w:r>
              <w:rPr>
                <w:rFonts w:ascii="Arial Narrow" w:hAnsi="Arial Narrow" w:cs="Arial"/>
                <w:noProof/>
                <w:color w:val="000000"/>
                <w:sz w:val="20"/>
                <w:szCs w:val="20"/>
                <w:highlight w:val="black"/>
              </w:rPr>
              <w:t>''''''''''''</w:t>
            </w:r>
            <w:r w:rsidR="00F30D63" w:rsidRPr="00B51ACB">
              <w:rPr>
                <w:rFonts w:ascii="Arial Narrow" w:hAnsi="Arial Narrow" w:cs="Arial"/>
                <w:sz w:val="20"/>
                <w:szCs w:val="20"/>
              </w:rPr>
              <w:t xml:space="preserve"> (</w:t>
            </w:r>
            <w:r>
              <w:rPr>
                <w:rFonts w:ascii="Arial Narrow" w:hAnsi="Arial Narrow" w:cs="Arial"/>
                <w:noProof/>
                <w:color w:val="000000"/>
                <w:sz w:val="20"/>
                <w:szCs w:val="20"/>
                <w:highlight w:val="black"/>
              </w:rPr>
              <w:t>''''''''''</w:t>
            </w:r>
            <w:r w:rsidR="00F30D63" w:rsidRPr="00B51ACB">
              <w:rPr>
                <w:rFonts w:ascii="Arial Narrow" w:hAnsi="Arial Narrow" w:cs="Arial"/>
                <w:sz w:val="20"/>
                <w:szCs w:val="20"/>
              </w:rPr>
              <w:t xml:space="preserve">, </w:t>
            </w:r>
            <w:r>
              <w:rPr>
                <w:rFonts w:ascii="Arial Narrow" w:hAnsi="Arial Narrow" w:cs="Arial"/>
                <w:noProof/>
                <w:color w:val="000000"/>
                <w:sz w:val="20"/>
                <w:szCs w:val="20"/>
                <w:highlight w:val="black"/>
              </w:rPr>
              <w:t>''''''''''</w:t>
            </w:r>
            <w:r w:rsidR="00F30D63" w:rsidRPr="00B51ACB">
              <w:rPr>
                <w:rFonts w:ascii="Arial Narrow" w:hAnsi="Arial Narrow" w:cs="Arial"/>
                <w:sz w:val="20"/>
                <w:szCs w:val="20"/>
              </w:rPr>
              <w:t>)</w:t>
            </w:r>
            <w:r w:rsidR="00F30D63" w:rsidRPr="00B51ACB">
              <w:rPr>
                <w:rFonts w:ascii="Arial Narrow" w:hAnsi="Arial Narrow" w:cs="Arial"/>
                <w:sz w:val="20"/>
                <w:szCs w:val="20"/>
                <w:vertAlign w:val="superscript"/>
              </w:rPr>
              <w:t>b</w:t>
            </w:r>
          </w:p>
        </w:tc>
        <w:tc>
          <w:tcPr>
            <w:tcW w:w="1115" w:type="pct"/>
            <w:tcBorders>
              <w:bottom w:val="single" w:sz="4" w:space="0" w:color="auto"/>
            </w:tcBorders>
            <w:shd w:val="clear" w:color="auto" w:fill="auto"/>
          </w:tcPr>
          <w:p w:rsidR="00F30D63" w:rsidRPr="00B51ACB" w:rsidRDefault="00F30D63">
            <w:pPr>
              <w:keepNext/>
              <w:jc w:val="both"/>
              <w:rPr>
                <w:rFonts w:ascii="Arial Narrow" w:hAnsi="Arial Narrow" w:cs="Arial"/>
                <w:sz w:val="20"/>
                <w:szCs w:val="20"/>
              </w:rPr>
            </w:pPr>
            <w:r w:rsidRPr="00B51ACB">
              <w:rPr>
                <w:rFonts w:ascii="Arial Narrow" w:hAnsi="Arial Narrow" w:cs="Arial"/>
                <w:sz w:val="20"/>
                <w:szCs w:val="20"/>
              </w:rPr>
              <w:t>NR</w:t>
            </w:r>
          </w:p>
        </w:tc>
        <w:tc>
          <w:tcPr>
            <w:tcW w:w="1523" w:type="pct"/>
            <w:tcBorders>
              <w:bottom w:val="single" w:sz="4" w:space="0" w:color="auto"/>
            </w:tcBorders>
            <w:shd w:val="clear" w:color="auto" w:fill="auto"/>
          </w:tcPr>
          <w:p w:rsidR="00F30D63" w:rsidRPr="00B51ACB" w:rsidRDefault="00F30D63">
            <w:pPr>
              <w:keepNext/>
              <w:jc w:val="both"/>
              <w:rPr>
                <w:rFonts w:ascii="Arial Narrow" w:hAnsi="Arial Narrow" w:cs="Arial"/>
                <w:sz w:val="20"/>
                <w:szCs w:val="20"/>
              </w:rPr>
            </w:pPr>
            <w:r w:rsidRPr="00B51ACB">
              <w:rPr>
                <w:rFonts w:ascii="Arial Narrow" w:hAnsi="Arial Narrow" w:cs="Arial"/>
                <w:sz w:val="20"/>
                <w:szCs w:val="20"/>
              </w:rPr>
              <w:t>Non-inferior</w:t>
            </w:r>
          </w:p>
        </w:tc>
      </w:tr>
    </w:tbl>
    <w:p w:rsidR="00F30D63" w:rsidRPr="00B51ACB" w:rsidRDefault="00F30D63" w:rsidP="00F30D63">
      <w:pPr>
        <w:spacing w:after="120"/>
        <w:ind w:left="709"/>
        <w:jc w:val="both"/>
        <w:rPr>
          <w:rFonts w:ascii="Arial Narrow" w:hAnsi="Arial Narrow" w:cs="Arial"/>
          <w:sz w:val="16"/>
          <w:szCs w:val="16"/>
        </w:rPr>
      </w:pPr>
      <w:r w:rsidRPr="00B51ACB">
        <w:rPr>
          <w:rFonts w:ascii="Arial Narrow" w:eastAsia="SimSun" w:hAnsi="Arial Narrow" w:cs="Arial"/>
          <w:sz w:val="16"/>
          <w:szCs w:val="16"/>
        </w:rPr>
        <w:t xml:space="preserve">IP = induction phase; </w:t>
      </w:r>
      <w:r w:rsidRPr="00B51ACB">
        <w:rPr>
          <w:rFonts w:ascii="Arial Narrow" w:hAnsi="Arial Narrow" w:cs="Arial"/>
          <w:sz w:val="16"/>
          <w:szCs w:val="16"/>
        </w:rPr>
        <w:t xml:space="preserve">ITT = intention to treat; </w:t>
      </w:r>
      <w:r w:rsidRPr="00B51ACB">
        <w:rPr>
          <w:rFonts w:ascii="Arial Narrow" w:eastAsia="SimSun" w:hAnsi="Arial Narrow" w:cs="Arial"/>
          <w:sz w:val="16"/>
          <w:szCs w:val="16"/>
        </w:rPr>
        <w:t xml:space="preserve">MP = maintenance phase; </w:t>
      </w:r>
      <w:r w:rsidRPr="00B51ACB">
        <w:rPr>
          <w:rFonts w:ascii="Arial Narrow" w:hAnsi="Arial Narrow" w:cs="Arial"/>
          <w:sz w:val="16"/>
          <w:szCs w:val="16"/>
        </w:rPr>
        <w:t xml:space="preserve">RR= relative risk; NR = not reported. a: excludes Probert (2003), b: excludes Suzuki (2013); c: excludes ULTRA 1; d: excludes ACT2  </w:t>
      </w:r>
      <w:r w:rsidRPr="00B51ACB">
        <w:rPr>
          <w:rFonts w:ascii="Arial Narrow" w:hAnsi="Arial Narrow" w:cs="Arial"/>
          <w:b/>
          <w:sz w:val="16"/>
          <w:szCs w:val="16"/>
        </w:rPr>
        <w:t>Bold</w:t>
      </w:r>
      <w:r w:rsidRPr="00B51ACB">
        <w:rPr>
          <w:rFonts w:ascii="Arial Narrow" w:hAnsi="Arial Narrow" w:cs="Arial"/>
          <w:sz w:val="16"/>
          <w:szCs w:val="16"/>
        </w:rPr>
        <w:t xml:space="preserve"> indicates statistically significant.</w:t>
      </w:r>
    </w:p>
    <w:p w:rsidR="00F30D63" w:rsidRPr="00B51ACB" w:rsidRDefault="00F30D63">
      <w:pPr>
        <w:pStyle w:val="TableFooter"/>
        <w:keepNext/>
        <w:widowControl/>
        <w:ind w:left="709"/>
        <w:rPr>
          <w:sz w:val="16"/>
          <w:szCs w:val="16"/>
        </w:rPr>
      </w:pPr>
      <w:r w:rsidRPr="00B51ACB">
        <w:rPr>
          <w:sz w:val="16"/>
          <w:szCs w:val="16"/>
        </w:rPr>
        <w:t xml:space="preserve">Source: Table 5, </w:t>
      </w:r>
      <w:r w:rsidR="00D10BAD">
        <w:rPr>
          <w:sz w:val="16"/>
          <w:szCs w:val="16"/>
        </w:rPr>
        <w:t>Public Summary Document</w:t>
      </w:r>
      <w:r w:rsidRPr="00B51ACB">
        <w:rPr>
          <w:sz w:val="16"/>
          <w:szCs w:val="16"/>
        </w:rPr>
        <w:t xml:space="preserve"> – July 2015 (and Table B-23 pp118 – 119 and Table B-24 pp123 -124 of the re-submission; tables A-18 and A-19, pp34-35 in the Attachment A, of the re-submission. b: ULTRA 1, ULTRA 2, Suzuki (2013), GEMINI I trials).</w:t>
      </w:r>
    </w:p>
    <w:p w:rsidR="004D1F39" w:rsidRPr="00B51ACB" w:rsidRDefault="004D1F39">
      <w:pPr>
        <w:jc w:val="both"/>
        <w:rPr>
          <w:rFonts w:ascii="Arial" w:hAnsi="Arial"/>
          <w:sz w:val="22"/>
          <w:szCs w:val="22"/>
        </w:rPr>
      </w:pPr>
    </w:p>
    <w:p w:rsidR="004D1F39" w:rsidRPr="00B51ACB" w:rsidRDefault="004D1F39" w:rsidP="00181333">
      <w:pPr>
        <w:pStyle w:val="Heading2"/>
      </w:pPr>
      <w:r w:rsidRPr="00B51ACB">
        <w:t>Clinical claim</w:t>
      </w:r>
    </w:p>
    <w:p w:rsidR="008A6CA9" w:rsidRPr="00B51ACB" w:rsidRDefault="008A6CA9" w:rsidP="00767CAC">
      <w:pPr>
        <w:pStyle w:val="ListParagraph"/>
        <w:numPr>
          <w:ilvl w:val="1"/>
          <w:numId w:val="1"/>
        </w:numPr>
        <w:jc w:val="both"/>
        <w:rPr>
          <w:rFonts w:ascii="Arial" w:hAnsi="Arial"/>
          <w:sz w:val="22"/>
          <w:szCs w:val="22"/>
        </w:rPr>
      </w:pPr>
      <w:r w:rsidRPr="00B51ACB">
        <w:rPr>
          <w:rFonts w:ascii="Arial" w:hAnsi="Arial"/>
          <w:sz w:val="22"/>
          <w:szCs w:val="22"/>
        </w:rPr>
        <w:t xml:space="preserve">The current resubmission </w:t>
      </w:r>
      <w:r w:rsidR="00594B70" w:rsidRPr="00B51ACB">
        <w:rPr>
          <w:rFonts w:ascii="Arial" w:hAnsi="Arial"/>
          <w:sz w:val="22"/>
          <w:szCs w:val="22"/>
        </w:rPr>
        <w:t xml:space="preserve">stated </w:t>
      </w:r>
      <w:r w:rsidRPr="00B51ACB">
        <w:rPr>
          <w:rFonts w:ascii="Arial" w:hAnsi="Arial"/>
          <w:sz w:val="22"/>
          <w:szCs w:val="22"/>
        </w:rPr>
        <w:t>that</w:t>
      </w:r>
      <w:r w:rsidR="00F30D63" w:rsidRPr="00B51ACB">
        <w:rPr>
          <w:rFonts w:ascii="Arial" w:hAnsi="Arial"/>
          <w:sz w:val="22"/>
          <w:szCs w:val="22"/>
        </w:rPr>
        <w:t>,</w:t>
      </w:r>
      <w:r w:rsidRPr="00B51ACB">
        <w:rPr>
          <w:rFonts w:ascii="Arial" w:hAnsi="Arial"/>
          <w:sz w:val="22"/>
          <w:szCs w:val="22"/>
        </w:rPr>
        <w:t xml:space="preserve"> according to the July 2015 submission</w:t>
      </w:r>
      <w:r w:rsidR="00F30D63" w:rsidRPr="00B51ACB">
        <w:rPr>
          <w:rFonts w:ascii="Arial" w:hAnsi="Arial"/>
          <w:sz w:val="22"/>
          <w:szCs w:val="22"/>
        </w:rPr>
        <w:t>,</w:t>
      </w:r>
      <w:r w:rsidRPr="00B51ACB">
        <w:rPr>
          <w:rFonts w:ascii="Arial" w:hAnsi="Arial"/>
          <w:sz w:val="22"/>
          <w:szCs w:val="22"/>
        </w:rPr>
        <w:t xml:space="preserve"> the evaluators and the ESC had concluded adalimumab is non-inferior to infliximab and </w:t>
      </w:r>
      <w:r w:rsidRPr="00B51ACB">
        <w:rPr>
          <w:rFonts w:ascii="Arial" w:hAnsi="Arial"/>
          <w:sz w:val="22"/>
          <w:szCs w:val="22"/>
        </w:rPr>
        <w:lastRenderedPageBreak/>
        <w:t xml:space="preserve">vedolizumab in the maintenance of remission, </w:t>
      </w:r>
      <w:r w:rsidR="009956C3" w:rsidRPr="00B51ACB">
        <w:rPr>
          <w:rFonts w:ascii="Arial" w:hAnsi="Arial"/>
          <w:sz w:val="22"/>
          <w:szCs w:val="22"/>
        </w:rPr>
        <w:t xml:space="preserve">which the submission argued is </w:t>
      </w:r>
      <w:r w:rsidRPr="00B51ACB">
        <w:rPr>
          <w:rFonts w:ascii="Arial" w:hAnsi="Arial"/>
          <w:sz w:val="22"/>
          <w:szCs w:val="22"/>
        </w:rPr>
        <w:t xml:space="preserve">the most relevant clinical outcome in UC. </w:t>
      </w:r>
    </w:p>
    <w:p w:rsidR="008A6CA9" w:rsidRPr="00B51ACB" w:rsidRDefault="008A6CA9">
      <w:pPr>
        <w:pStyle w:val="ListParagraph"/>
        <w:jc w:val="both"/>
        <w:rPr>
          <w:rFonts w:ascii="Arial" w:hAnsi="Arial"/>
          <w:sz w:val="22"/>
          <w:szCs w:val="22"/>
        </w:rPr>
      </w:pPr>
    </w:p>
    <w:p w:rsidR="008A6CA9" w:rsidRPr="00B51ACB" w:rsidRDefault="008A6CA9" w:rsidP="00767CAC">
      <w:pPr>
        <w:pStyle w:val="ListParagraph"/>
        <w:numPr>
          <w:ilvl w:val="1"/>
          <w:numId w:val="1"/>
        </w:numPr>
        <w:jc w:val="both"/>
        <w:rPr>
          <w:rFonts w:ascii="Arial" w:hAnsi="Arial"/>
          <w:sz w:val="22"/>
          <w:szCs w:val="22"/>
        </w:rPr>
      </w:pPr>
      <w:r w:rsidRPr="00B51ACB">
        <w:rPr>
          <w:rFonts w:ascii="Arial" w:hAnsi="Arial"/>
          <w:sz w:val="22"/>
          <w:szCs w:val="22"/>
        </w:rPr>
        <w:t xml:space="preserve">The resubmission also </w:t>
      </w:r>
      <w:r w:rsidR="00664639" w:rsidRPr="00B51ACB">
        <w:rPr>
          <w:rFonts w:ascii="Arial" w:hAnsi="Arial"/>
          <w:sz w:val="22"/>
          <w:szCs w:val="22"/>
        </w:rPr>
        <w:t xml:space="preserve">stated </w:t>
      </w:r>
      <w:r w:rsidRPr="00B51ACB">
        <w:rPr>
          <w:rFonts w:ascii="Arial" w:hAnsi="Arial"/>
          <w:sz w:val="22"/>
          <w:szCs w:val="22"/>
        </w:rPr>
        <w:t>that non-inferiority was conducted for all remission endpoints and for clinical response in the maintenance phase. The same conclusion applied when a subgroup of biologic naïve patients was analysed. Non-inferiority was also concluded for the comparison of adalimumab and vedolizumab.</w:t>
      </w:r>
    </w:p>
    <w:p w:rsidR="00FC6FFC" w:rsidRPr="00B51ACB" w:rsidRDefault="00FC6FFC">
      <w:pPr>
        <w:pStyle w:val="ListParagraph"/>
        <w:jc w:val="both"/>
        <w:rPr>
          <w:rFonts w:ascii="Arial" w:hAnsi="Arial" w:cs="Arial"/>
          <w:sz w:val="20"/>
          <w:szCs w:val="20"/>
        </w:rPr>
      </w:pPr>
    </w:p>
    <w:p w:rsidR="003F0ACA" w:rsidRPr="00B51ACB" w:rsidRDefault="006F03CC" w:rsidP="00767CAC">
      <w:pPr>
        <w:pStyle w:val="ListParagraph"/>
        <w:numPr>
          <w:ilvl w:val="1"/>
          <w:numId w:val="1"/>
        </w:numPr>
        <w:jc w:val="both"/>
        <w:rPr>
          <w:rFonts w:ascii="Arial" w:hAnsi="Arial"/>
          <w:sz w:val="22"/>
          <w:szCs w:val="22"/>
        </w:rPr>
      </w:pPr>
      <w:r w:rsidRPr="00B51ACB">
        <w:rPr>
          <w:rFonts w:ascii="Arial" w:hAnsi="Arial"/>
          <w:sz w:val="22"/>
          <w:szCs w:val="22"/>
        </w:rPr>
        <w:t>R</w:t>
      </w:r>
      <w:r w:rsidR="003F0ACA" w:rsidRPr="00B51ACB">
        <w:rPr>
          <w:rFonts w:ascii="Arial" w:hAnsi="Arial"/>
          <w:sz w:val="22"/>
          <w:szCs w:val="22"/>
        </w:rPr>
        <w:t>egarding th</w:t>
      </w:r>
      <w:r w:rsidR="00C31FFF" w:rsidRPr="00B51ACB">
        <w:rPr>
          <w:rFonts w:ascii="Arial" w:hAnsi="Arial"/>
          <w:sz w:val="22"/>
          <w:szCs w:val="22"/>
        </w:rPr>
        <w:t>e</w:t>
      </w:r>
      <w:r w:rsidR="003F0ACA" w:rsidRPr="00B51ACB">
        <w:rPr>
          <w:rFonts w:ascii="Arial" w:hAnsi="Arial"/>
          <w:sz w:val="22"/>
          <w:szCs w:val="22"/>
        </w:rPr>
        <w:t xml:space="preserve"> claim</w:t>
      </w:r>
      <w:r w:rsidR="00C31FFF" w:rsidRPr="00B51ACB">
        <w:rPr>
          <w:rFonts w:ascii="Arial" w:hAnsi="Arial"/>
          <w:sz w:val="22"/>
          <w:szCs w:val="22"/>
        </w:rPr>
        <w:t>s above</w:t>
      </w:r>
      <w:r w:rsidR="005B3C0D" w:rsidRPr="00B51ACB">
        <w:rPr>
          <w:rFonts w:ascii="Arial" w:hAnsi="Arial"/>
          <w:sz w:val="22"/>
          <w:szCs w:val="22"/>
        </w:rPr>
        <w:t>,</w:t>
      </w:r>
      <w:r w:rsidR="003F0ACA" w:rsidRPr="00B51ACB">
        <w:rPr>
          <w:rFonts w:ascii="Arial" w:hAnsi="Arial"/>
          <w:sz w:val="22"/>
          <w:szCs w:val="22"/>
        </w:rPr>
        <w:t xml:space="preserve"> the PBAC </w:t>
      </w:r>
      <w:r w:rsidRPr="00B51ACB">
        <w:rPr>
          <w:rFonts w:ascii="Arial" w:hAnsi="Arial"/>
          <w:sz w:val="22"/>
          <w:szCs w:val="22"/>
        </w:rPr>
        <w:t xml:space="preserve">previously </w:t>
      </w:r>
      <w:r w:rsidR="003F0ACA" w:rsidRPr="00B51ACB">
        <w:rPr>
          <w:rFonts w:ascii="Arial" w:hAnsi="Arial"/>
          <w:sz w:val="22"/>
          <w:szCs w:val="22"/>
        </w:rPr>
        <w:t>considered that the indirect comparison presented in the submission provided low certainty evidence for the claim o</w:t>
      </w:r>
      <w:r w:rsidR="005B3C0D" w:rsidRPr="00B51ACB">
        <w:rPr>
          <w:rFonts w:ascii="Arial" w:hAnsi="Arial"/>
          <w:sz w:val="22"/>
          <w:szCs w:val="22"/>
        </w:rPr>
        <w:t>f</w:t>
      </w:r>
      <w:r w:rsidR="003F0ACA" w:rsidRPr="00B51ACB">
        <w:rPr>
          <w:rFonts w:ascii="Arial" w:hAnsi="Arial"/>
          <w:sz w:val="22"/>
          <w:szCs w:val="22"/>
        </w:rPr>
        <w:t xml:space="preserve"> non-inferiority between adalimumab and infliximab, both in the remission phase and in the maintenance phase.</w:t>
      </w:r>
      <w:r w:rsidR="00C31FFF" w:rsidRPr="00B51ACB">
        <w:rPr>
          <w:rFonts w:ascii="Arial" w:hAnsi="Arial"/>
          <w:sz w:val="22"/>
          <w:szCs w:val="22"/>
        </w:rPr>
        <w:t xml:space="preserve"> The PBAC noted that an indirect comparison of </w:t>
      </w:r>
      <w:r w:rsidR="005B3C0D" w:rsidRPr="00B51ACB">
        <w:rPr>
          <w:rFonts w:ascii="Arial" w:hAnsi="Arial"/>
          <w:sz w:val="22"/>
          <w:szCs w:val="22"/>
        </w:rPr>
        <w:t>adalimumab</w:t>
      </w:r>
      <w:r w:rsidR="00C31FFF" w:rsidRPr="00B51ACB">
        <w:rPr>
          <w:rFonts w:ascii="Arial" w:hAnsi="Arial"/>
          <w:sz w:val="22"/>
          <w:szCs w:val="22"/>
        </w:rPr>
        <w:t xml:space="preserve"> and vedolizumab resulted in a non-significant point estimate that favoured vedolizumab (RR </w:t>
      </w:r>
      <w:r w:rsidR="00F53810">
        <w:rPr>
          <w:rFonts w:ascii="Arial" w:hAnsi="Arial"/>
          <w:noProof/>
          <w:color w:val="000000"/>
          <w:sz w:val="22"/>
          <w:szCs w:val="22"/>
          <w:highlight w:val="black"/>
        </w:rPr>
        <w:t>''''''''''</w:t>
      </w:r>
      <w:r w:rsidR="00C31FFF" w:rsidRPr="00B51ACB">
        <w:rPr>
          <w:rFonts w:ascii="Arial" w:hAnsi="Arial"/>
          <w:sz w:val="22"/>
          <w:szCs w:val="22"/>
        </w:rPr>
        <w:t xml:space="preserve">, 95% CI: </w:t>
      </w:r>
      <w:r w:rsidR="00F53810">
        <w:rPr>
          <w:rFonts w:ascii="Arial" w:hAnsi="Arial"/>
          <w:noProof/>
          <w:color w:val="000000"/>
          <w:sz w:val="22"/>
          <w:szCs w:val="22"/>
          <w:highlight w:val="black"/>
        </w:rPr>
        <w:t>''''''''''</w:t>
      </w:r>
      <w:r w:rsidR="00C31FFF" w:rsidRPr="00B51ACB">
        <w:rPr>
          <w:rFonts w:ascii="Arial" w:hAnsi="Arial"/>
          <w:sz w:val="22"/>
          <w:szCs w:val="22"/>
        </w:rPr>
        <w:t xml:space="preserve">, </w:t>
      </w:r>
      <w:r w:rsidR="00F53810">
        <w:rPr>
          <w:rFonts w:ascii="Arial" w:hAnsi="Arial"/>
          <w:noProof/>
          <w:color w:val="000000"/>
          <w:sz w:val="22"/>
          <w:szCs w:val="22"/>
          <w:highlight w:val="black"/>
        </w:rPr>
        <w:t>''''''''''''</w:t>
      </w:r>
      <w:r w:rsidR="00C31FFF" w:rsidRPr="00B51ACB">
        <w:rPr>
          <w:rFonts w:ascii="Arial" w:hAnsi="Arial"/>
          <w:sz w:val="22"/>
          <w:szCs w:val="22"/>
        </w:rPr>
        <w:t>)</w:t>
      </w:r>
      <w:r w:rsidR="004D0819" w:rsidRPr="00B51ACB">
        <w:rPr>
          <w:rFonts w:ascii="Arial" w:hAnsi="Arial"/>
          <w:sz w:val="22"/>
          <w:szCs w:val="22"/>
        </w:rPr>
        <w:t xml:space="preserve"> (July 2015 PSD, paragraph 7.7)</w:t>
      </w:r>
      <w:r w:rsidR="00C31FFF" w:rsidRPr="00B51ACB">
        <w:rPr>
          <w:rFonts w:ascii="Arial" w:hAnsi="Arial"/>
          <w:sz w:val="22"/>
          <w:szCs w:val="22"/>
        </w:rPr>
        <w:t>.</w:t>
      </w:r>
    </w:p>
    <w:p w:rsidR="003F0ACA" w:rsidRPr="00B51ACB" w:rsidRDefault="003F0ACA">
      <w:pPr>
        <w:pStyle w:val="ListParagraph"/>
        <w:jc w:val="both"/>
        <w:rPr>
          <w:rFonts w:ascii="Arial" w:hAnsi="Arial"/>
          <w:sz w:val="22"/>
          <w:szCs w:val="22"/>
        </w:rPr>
      </w:pPr>
    </w:p>
    <w:p w:rsidR="004D1F39" w:rsidRPr="00B51ACB" w:rsidRDefault="00761493" w:rsidP="00767CAC">
      <w:pPr>
        <w:pStyle w:val="ListParagraph"/>
        <w:numPr>
          <w:ilvl w:val="1"/>
          <w:numId w:val="1"/>
        </w:numPr>
        <w:jc w:val="both"/>
        <w:rPr>
          <w:rFonts w:ascii="Arial" w:hAnsi="Arial"/>
          <w:sz w:val="22"/>
          <w:szCs w:val="22"/>
        </w:rPr>
      </w:pPr>
      <w:r w:rsidRPr="00B51ACB">
        <w:rPr>
          <w:rFonts w:ascii="Arial" w:hAnsi="Arial"/>
          <w:sz w:val="22"/>
          <w:szCs w:val="22"/>
        </w:rPr>
        <w:t>At its November 2015 meeting, t</w:t>
      </w:r>
      <w:r w:rsidR="004D1F39" w:rsidRPr="00B51ACB">
        <w:rPr>
          <w:rFonts w:ascii="Arial" w:hAnsi="Arial"/>
          <w:sz w:val="22"/>
          <w:szCs w:val="22"/>
        </w:rPr>
        <w:t xml:space="preserve">he PBAC </w:t>
      </w:r>
      <w:r w:rsidR="00935E1C" w:rsidRPr="00B51ACB">
        <w:rPr>
          <w:rFonts w:ascii="Arial" w:hAnsi="Arial"/>
          <w:sz w:val="22"/>
          <w:szCs w:val="22"/>
        </w:rPr>
        <w:t>maintained its view that</w:t>
      </w:r>
      <w:r w:rsidR="004D1F39" w:rsidRPr="00B51ACB">
        <w:rPr>
          <w:rFonts w:ascii="Arial" w:hAnsi="Arial"/>
          <w:sz w:val="22"/>
          <w:szCs w:val="22"/>
        </w:rPr>
        <w:t xml:space="preserve"> the</w:t>
      </w:r>
      <w:r w:rsidR="00935E1C" w:rsidRPr="00B51ACB">
        <w:rPr>
          <w:rFonts w:ascii="Arial" w:hAnsi="Arial"/>
          <w:sz w:val="22"/>
          <w:szCs w:val="22"/>
        </w:rPr>
        <w:t xml:space="preserve"> indirect comparison provided low certainty evidence for the claim on non-inferiority between adalimumab and infliximab, both in the remission phase and in the maintenance phase</w:t>
      </w:r>
      <w:r w:rsidR="004D0819" w:rsidRPr="00B51ACB">
        <w:rPr>
          <w:rFonts w:ascii="Arial" w:hAnsi="Arial"/>
          <w:sz w:val="22"/>
          <w:szCs w:val="22"/>
        </w:rPr>
        <w:t xml:space="preserve"> (November 2015 PSD, paragraph 7.5)</w:t>
      </w:r>
      <w:r w:rsidR="00935E1C" w:rsidRPr="00B51ACB">
        <w:rPr>
          <w:rFonts w:ascii="Arial" w:hAnsi="Arial"/>
          <w:sz w:val="22"/>
          <w:szCs w:val="22"/>
        </w:rPr>
        <w:t>.</w:t>
      </w:r>
    </w:p>
    <w:p w:rsidR="00D73AAE" w:rsidRPr="00B51ACB" w:rsidRDefault="00D73AAE">
      <w:pPr>
        <w:pStyle w:val="ListParagraph"/>
        <w:jc w:val="both"/>
        <w:rPr>
          <w:rFonts w:ascii="Arial" w:hAnsi="Arial"/>
          <w:sz w:val="22"/>
          <w:szCs w:val="22"/>
        </w:rPr>
      </w:pPr>
    </w:p>
    <w:p w:rsidR="004D1F39" w:rsidRPr="00B51ACB" w:rsidRDefault="004D1F39" w:rsidP="00181333">
      <w:pPr>
        <w:pStyle w:val="Heading2"/>
      </w:pPr>
      <w:r w:rsidRPr="00B51ACB">
        <w:t>Economic analysis</w:t>
      </w:r>
    </w:p>
    <w:p w:rsidR="004D1F39" w:rsidRPr="00B51ACB" w:rsidRDefault="00761493" w:rsidP="00767CAC">
      <w:pPr>
        <w:pStyle w:val="ListParagraph"/>
        <w:numPr>
          <w:ilvl w:val="1"/>
          <w:numId w:val="1"/>
        </w:numPr>
        <w:jc w:val="both"/>
        <w:rPr>
          <w:rFonts w:ascii="Arial" w:hAnsi="Arial"/>
          <w:sz w:val="22"/>
          <w:szCs w:val="22"/>
        </w:rPr>
      </w:pPr>
      <w:r w:rsidRPr="00B51ACB">
        <w:rPr>
          <w:rFonts w:ascii="Arial" w:hAnsi="Arial"/>
          <w:sz w:val="22"/>
          <w:szCs w:val="22"/>
        </w:rPr>
        <w:t>T</w:t>
      </w:r>
      <w:r w:rsidR="004D1F39" w:rsidRPr="00B51ACB">
        <w:rPr>
          <w:rFonts w:ascii="Arial" w:hAnsi="Arial"/>
          <w:sz w:val="22"/>
          <w:szCs w:val="22"/>
        </w:rPr>
        <w:t xml:space="preserve">here was no </w:t>
      </w:r>
      <w:r w:rsidRPr="00B51ACB">
        <w:rPr>
          <w:rFonts w:ascii="Arial" w:hAnsi="Arial"/>
          <w:sz w:val="22"/>
          <w:szCs w:val="22"/>
        </w:rPr>
        <w:t xml:space="preserve">new </w:t>
      </w:r>
      <w:r w:rsidR="004D1F39" w:rsidRPr="00B51ACB">
        <w:rPr>
          <w:rFonts w:ascii="Arial" w:hAnsi="Arial"/>
          <w:sz w:val="22"/>
          <w:szCs w:val="22"/>
        </w:rPr>
        <w:t>economic comparison presented.</w:t>
      </w:r>
    </w:p>
    <w:p w:rsidR="004D040C" w:rsidRPr="00B51ACB" w:rsidRDefault="004D040C" w:rsidP="007F32CE">
      <w:pPr>
        <w:jc w:val="both"/>
        <w:rPr>
          <w:rFonts w:ascii="Arial" w:hAnsi="Arial"/>
          <w:sz w:val="22"/>
          <w:szCs w:val="22"/>
        </w:rPr>
      </w:pPr>
    </w:p>
    <w:p w:rsidR="007D4AF1" w:rsidRPr="00B51ACB" w:rsidRDefault="007D4AF1" w:rsidP="00767CAC">
      <w:pPr>
        <w:numPr>
          <w:ilvl w:val="1"/>
          <w:numId w:val="1"/>
        </w:numPr>
        <w:contextualSpacing/>
        <w:jc w:val="both"/>
        <w:rPr>
          <w:rFonts w:ascii="Arial" w:hAnsi="Arial" w:cs="Arial"/>
          <w:bCs/>
          <w:snapToGrid w:val="0"/>
          <w:sz w:val="22"/>
          <w:szCs w:val="22"/>
          <w:lang w:eastAsia="en-US"/>
        </w:rPr>
      </w:pPr>
      <w:r w:rsidRPr="00B51ACB">
        <w:rPr>
          <w:rFonts w:ascii="Arial" w:hAnsi="Arial" w:cs="Arial"/>
          <w:bCs/>
          <w:snapToGrid w:val="0"/>
          <w:sz w:val="22"/>
          <w:szCs w:val="22"/>
          <w:lang w:eastAsia="en-US"/>
        </w:rPr>
        <w:t xml:space="preserve">The PBAC noted the current minor re-submission offered a </w:t>
      </w:r>
      <w:r w:rsidR="00F53810">
        <w:rPr>
          <w:rFonts w:ascii="Arial" w:hAnsi="Arial" w:cs="Arial"/>
          <w:bCs/>
          <w:noProof/>
          <w:snapToGrid w:val="0"/>
          <w:color w:val="000000"/>
          <w:sz w:val="22"/>
          <w:szCs w:val="22"/>
          <w:highlight w:val="black"/>
          <w:lang w:eastAsia="en-US"/>
        </w:rPr>
        <w:t>''''''</w:t>
      </w:r>
      <w:r w:rsidRPr="00B51ACB">
        <w:rPr>
          <w:rFonts w:ascii="Arial" w:hAnsi="Arial" w:cs="Arial"/>
          <w:bCs/>
          <w:snapToGrid w:val="0"/>
          <w:sz w:val="22"/>
          <w:szCs w:val="22"/>
          <w:lang w:eastAsia="en-US"/>
        </w:rPr>
        <w:t xml:space="preserve">% reduction to the published DPMQ for </w:t>
      </w:r>
      <w:r w:rsidR="00F53810">
        <w:rPr>
          <w:rFonts w:ascii="Arial" w:hAnsi="Arial" w:cs="Arial"/>
          <w:bCs/>
          <w:noProof/>
          <w:snapToGrid w:val="0"/>
          <w:color w:val="000000"/>
          <w:sz w:val="22"/>
          <w:szCs w:val="22"/>
          <w:highlight w:val="black"/>
          <w:lang w:eastAsia="en-US"/>
        </w:rPr>
        <w:t>''''</w:t>
      </w:r>
      <w:r w:rsidRPr="00B51ACB">
        <w:rPr>
          <w:rFonts w:ascii="Arial" w:hAnsi="Arial" w:cs="Arial"/>
          <w:bCs/>
          <w:snapToGrid w:val="0"/>
          <w:sz w:val="22"/>
          <w:szCs w:val="22"/>
          <w:lang w:eastAsia="en-US"/>
        </w:rPr>
        <w:t>-pack adalimumab 40 mg.</w:t>
      </w:r>
    </w:p>
    <w:p w:rsidR="007D4AF1" w:rsidRPr="00B51ACB" w:rsidRDefault="007D4AF1" w:rsidP="007F32CE">
      <w:pPr>
        <w:pStyle w:val="ListParagraph"/>
        <w:rPr>
          <w:rFonts w:ascii="Arial" w:hAnsi="Arial" w:cs="Arial"/>
          <w:bCs/>
          <w:snapToGrid w:val="0"/>
          <w:sz w:val="22"/>
          <w:szCs w:val="22"/>
          <w:lang w:eastAsia="en-US"/>
        </w:rPr>
      </w:pPr>
    </w:p>
    <w:p w:rsidR="007D4AF1" w:rsidRPr="00B51ACB" w:rsidRDefault="004D040C" w:rsidP="00767CAC">
      <w:pPr>
        <w:numPr>
          <w:ilvl w:val="1"/>
          <w:numId w:val="1"/>
        </w:numPr>
        <w:contextualSpacing/>
        <w:jc w:val="both"/>
        <w:rPr>
          <w:rFonts w:ascii="Arial" w:hAnsi="Arial" w:cs="Arial"/>
          <w:bCs/>
          <w:snapToGrid w:val="0"/>
          <w:sz w:val="22"/>
          <w:szCs w:val="22"/>
          <w:lang w:eastAsia="en-US"/>
        </w:rPr>
      </w:pPr>
      <w:r w:rsidRPr="00B51ACB">
        <w:rPr>
          <w:rFonts w:ascii="Arial" w:hAnsi="Arial" w:cs="Arial"/>
          <w:bCs/>
          <w:snapToGrid w:val="0"/>
          <w:sz w:val="22"/>
          <w:szCs w:val="22"/>
          <w:lang w:eastAsia="en-US"/>
        </w:rPr>
        <w:t xml:space="preserve">The PBAC </w:t>
      </w:r>
      <w:r w:rsidR="007D4AF1" w:rsidRPr="00B51ACB">
        <w:rPr>
          <w:rFonts w:ascii="Arial" w:hAnsi="Arial" w:cs="Arial"/>
          <w:bCs/>
          <w:snapToGrid w:val="0"/>
          <w:sz w:val="22"/>
          <w:szCs w:val="22"/>
          <w:lang w:eastAsia="en-US"/>
        </w:rPr>
        <w:t xml:space="preserve">further </w:t>
      </w:r>
      <w:r w:rsidRPr="00B51ACB">
        <w:rPr>
          <w:rFonts w:ascii="Arial" w:hAnsi="Arial" w:cs="Arial"/>
          <w:bCs/>
          <w:snapToGrid w:val="0"/>
          <w:sz w:val="22"/>
          <w:szCs w:val="22"/>
          <w:lang w:eastAsia="en-US"/>
        </w:rPr>
        <w:t xml:space="preserve">noted the current minor re-submission offered a </w:t>
      </w:r>
      <w:r w:rsidR="00F53810">
        <w:rPr>
          <w:rFonts w:ascii="Arial" w:hAnsi="Arial" w:cs="Arial"/>
          <w:bCs/>
          <w:noProof/>
          <w:snapToGrid w:val="0"/>
          <w:color w:val="000000"/>
          <w:sz w:val="22"/>
          <w:szCs w:val="22"/>
          <w:highlight w:val="black"/>
          <w:lang w:eastAsia="en-US"/>
        </w:rPr>
        <w:t>''''''</w:t>
      </w:r>
      <w:r w:rsidRPr="00B51ACB">
        <w:rPr>
          <w:rFonts w:ascii="Arial" w:hAnsi="Arial" w:cs="Arial"/>
          <w:bCs/>
          <w:snapToGrid w:val="0"/>
          <w:sz w:val="22"/>
          <w:szCs w:val="22"/>
          <w:lang w:eastAsia="en-US"/>
        </w:rPr>
        <w:t xml:space="preserve">% reduction to the published DPMQ for </w:t>
      </w:r>
      <w:r w:rsidR="00F53810">
        <w:rPr>
          <w:rFonts w:ascii="Arial" w:hAnsi="Arial" w:cs="Arial"/>
          <w:bCs/>
          <w:noProof/>
          <w:snapToGrid w:val="0"/>
          <w:color w:val="000000"/>
          <w:sz w:val="22"/>
          <w:szCs w:val="22"/>
          <w:highlight w:val="black"/>
          <w:lang w:eastAsia="en-US"/>
        </w:rPr>
        <w:t>'''</w:t>
      </w:r>
      <w:r w:rsidRPr="00B51ACB">
        <w:rPr>
          <w:rFonts w:ascii="Arial" w:hAnsi="Arial" w:cs="Arial"/>
          <w:bCs/>
          <w:snapToGrid w:val="0"/>
          <w:sz w:val="22"/>
          <w:szCs w:val="22"/>
          <w:lang w:eastAsia="en-US"/>
        </w:rPr>
        <w:t>-pack adalimumab 40 mg</w:t>
      </w:r>
      <w:r w:rsidR="007D4AF1" w:rsidRPr="00B51ACB">
        <w:rPr>
          <w:rFonts w:ascii="Arial" w:hAnsi="Arial" w:cs="Arial"/>
          <w:bCs/>
          <w:snapToGrid w:val="0"/>
          <w:sz w:val="22"/>
          <w:szCs w:val="22"/>
          <w:lang w:eastAsia="en-US"/>
        </w:rPr>
        <w:t xml:space="preserve"> while the previous submission offered the same price as infliximab</w:t>
      </w:r>
      <w:r w:rsidRPr="00B51ACB">
        <w:rPr>
          <w:rFonts w:ascii="Arial" w:hAnsi="Arial" w:cs="Arial"/>
          <w:bCs/>
          <w:snapToGrid w:val="0"/>
          <w:sz w:val="22"/>
          <w:szCs w:val="22"/>
          <w:lang w:eastAsia="en-US"/>
        </w:rPr>
        <w:t>.</w:t>
      </w:r>
      <w:r w:rsidR="007D4AF1" w:rsidRPr="00B51ACB">
        <w:rPr>
          <w:rFonts w:ascii="Arial" w:hAnsi="Arial" w:cs="Arial"/>
          <w:bCs/>
          <w:snapToGrid w:val="0"/>
          <w:sz w:val="22"/>
          <w:szCs w:val="22"/>
          <w:lang w:eastAsia="en-US"/>
        </w:rPr>
        <w:t xml:space="preserve"> Given that inferiority (compared with infliximab) in the maintenance phase is also likely, there is no basis to accept the same price of infliximab. In the absence of a modelled economic evaluation of the cost savings per health outcome foregone, the PBAC considered that a reduction in price of adalimumab of around </w:t>
      </w:r>
      <w:r w:rsidR="00F53810">
        <w:rPr>
          <w:rFonts w:ascii="Arial" w:hAnsi="Arial" w:cs="Arial"/>
          <w:bCs/>
          <w:noProof/>
          <w:snapToGrid w:val="0"/>
          <w:color w:val="000000"/>
          <w:sz w:val="22"/>
          <w:szCs w:val="22"/>
          <w:highlight w:val="black"/>
          <w:lang w:eastAsia="en-US"/>
        </w:rPr>
        <w:t>''''''</w:t>
      </w:r>
      <w:r w:rsidR="007D4AF1" w:rsidRPr="00B51ACB">
        <w:rPr>
          <w:rFonts w:ascii="Arial" w:hAnsi="Arial" w:cs="Arial"/>
          <w:bCs/>
          <w:snapToGrid w:val="0"/>
          <w:sz w:val="22"/>
          <w:szCs w:val="22"/>
          <w:lang w:eastAsia="en-US"/>
        </w:rPr>
        <w:t xml:space="preserve">% in the maintenance treatment phase </w:t>
      </w:r>
      <w:r w:rsidR="003D069F" w:rsidRPr="00B51ACB">
        <w:rPr>
          <w:rFonts w:ascii="Arial" w:hAnsi="Arial" w:cs="Arial"/>
          <w:bCs/>
          <w:snapToGrid w:val="0"/>
          <w:sz w:val="22"/>
          <w:szCs w:val="22"/>
          <w:lang w:eastAsia="en-US"/>
        </w:rPr>
        <w:t xml:space="preserve">(compared with infliximab) </w:t>
      </w:r>
      <w:r w:rsidR="007D4AF1" w:rsidRPr="00B51ACB">
        <w:rPr>
          <w:rFonts w:ascii="Arial" w:hAnsi="Arial" w:cs="Arial"/>
          <w:bCs/>
          <w:snapToGrid w:val="0"/>
          <w:sz w:val="22"/>
          <w:szCs w:val="22"/>
          <w:lang w:eastAsia="en-US"/>
        </w:rPr>
        <w:t>is likely to be reasonable.</w:t>
      </w:r>
    </w:p>
    <w:p w:rsidR="004D1F39" w:rsidRPr="00B51ACB" w:rsidRDefault="004D1F39">
      <w:pPr>
        <w:jc w:val="both"/>
        <w:rPr>
          <w:rFonts w:ascii="Arial" w:hAnsi="Arial"/>
          <w:sz w:val="22"/>
          <w:szCs w:val="22"/>
        </w:rPr>
      </w:pPr>
    </w:p>
    <w:p w:rsidR="004D1F39" w:rsidRPr="00B51ACB" w:rsidRDefault="004D1F39" w:rsidP="00181333">
      <w:pPr>
        <w:pStyle w:val="Heading2"/>
      </w:pPr>
      <w:r w:rsidRPr="00B51ACB">
        <w:t>Estimated PBS usage &amp; financial implications</w:t>
      </w:r>
    </w:p>
    <w:p w:rsidR="004D1F39" w:rsidRPr="00B51ACB" w:rsidRDefault="004D1F39">
      <w:pPr>
        <w:ind w:left="720" w:hanging="720"/>
        <w:jc w:val="both"/>
        <w:rPr>
          <w:rFonts w:ascii="Arial" w:hAnsi="Arial"/>
          <w:sz w:val="22"/>
          <w:szCs w:val="22"/>
        </w:rPr>
      </w:pPr>
    </w:p>
    <w:p w:rsidR="0091642B" w:rsidRPr="00B51ACB" w:rsidRDefault="004D1F39" w:rsidP="00767CAC">
      <w:pPr>
        <w:pStyle w:val="ListParagraph"/>
        <w:numPr>
          <w:ilvl w:val="1"/>
          <w:numId w:val="1"/>
        </w:numPr>
        <w:jc w:val="both"/>
        <w:rPr>
          <w:rFonts w:ascii="Arial" w:hAnsi="Arial"/>
          <w:color w:val="000000" w:themeColor="text1"/>
          <w:sz w:val="22"/>
          <w:szCs w:val="22"/>
        </w:rPr>
      </w:pPr>
      <w:r w:rsidRPr="00B51ACB">
        <w:rPr>
          <w:rFonts w:ascii="Arial" w:hAnsi="Arial"/>
          <w:sz w:val="22"/>
          <w:szCs w:val="22"/>
        </w:rPr>
        <w:t xml:space="preserve">The minor resubmission </w:t>
      </w:r>
      <w:r w:rsidR="007E1EEF" w:rsidRPr="00B51ACB">
        <w:rPr>
          <w:rFonts w:ascii="Arial" w:hAnsi="Arial"/>
          <w:sz w:val="22"/>
          <w:szCs w:val="22"/>
        </w:rPr>
        <w:t xml:space="preserve">provided a comparison table of net cost to PBS/RPBS between </w:t>
      </w:r>
      <w:r w:rsidR="004D0819" w:rsidRPr="00B51ACB">
        <w:rPr>
          <w:rFonts w:ascii="Arial" w:hAnsi="Arial"/>
          <w:sz w:val="22"/>
          <w:szCs w:val="22"/>
        </w:rPr>
        <w:t xml:space="preserve">the </w:t>
      </w:r>
      <w:r w:rsidR="007E1EEF" w:rsidRPr="00B51ACB">
        <w:rPr>
          <w:rFonts w:ascii="Arial" w:hAnsi="Arial"/>
          <w:sz w:val="22"/>
          <w:szCs w:val="22"/>
        </w:rPr>
        <w:t xml:space="preserve">July 15, November 15 and March 16 submissions. </w:t>
      </w:r>
    </w:p>
    <w:p w:rsidR="0091642B" w:rsidRPr="00B51ACB" w:rsidRDefault="0091642B">
      <w:pPr>
        <w:pStyle w:val="ListParagraph"/>
        <w:jc w:val="both"/>
        <w:rPr>
          <w:rFonts w:ascii="Arial" w:hAnsi="Arial"/>
          <w:sz w:val="22"/>
          <w:szCs w:val="22"/>
        </w:rPr>
      </w:pPr>
    </w:p>
    <w:p w:rsidR="0091642B" w:rsidRPr="00B51ACB" w:rsidRDefault="009956C3">
      <w:pPr>
        <w:pStyle w:val="Caption"/>
        <w:keepNext/>
        <w:spacing w:after="0"/>
        <w:ind w:firstLine="709"/>
        <w:jc w:val="both"/>
        <w:rPr>
          <w:rFonts w:ascii="Arial Narrow" w:hAnsi="Arial Narrow" w:cs="Arial"/>
          <w:sz w:val="20"/>
          <w:szCs w:val="20"/>
        </w:rPr>
      </w:pPr>
      <w:r w:rsidRPr="00B51ACB">
        <w:rPr>
          <w:rFonts w:ascii="Arial Narrow" w:hAnsi="Arial Narrow" w:cs="Arial"/>
          <w:sz w:val="20"/>
          <w:szCs w:val="20"/>
        </w:rPr>
        <w:lastRenderedPageBreak/>
        <w:t xml:space="preserve">Table 3: </w:t>
      </w:r>
      <w:r w:rsidR="0091642B" w:rsidRPr="00B51ACB">
        <w:rPr>
          <w:rFonts w:ascii="Arial Narrow" w:hAnsi="Arial Narrow" w:cs="Arial"/>
          <w:sz w:val="20"/>
          <w:szCs w:val="20"/>
        </w:rPr>
        <w:t xml:space="preserve">Estimated </w:t>
      </w:r>
      <w:r w:rsidR="00E0477B" w:rsidRPr="00B51ACB">
        <w:rPr>
          <w:rFonts w:ascii="Arial Narrow" w:hAnsi="Arial Narrow" w:cs="Arial"/>
          <w:sz w:val="20"/>
          <w:szCs w:val="20"/>
        </w:rPr>
        <w:t>use and financial implications</w:t>
      </w:r>
    </w:p>
    <w:tbl>
      <w:tblPr>
        <w:tblW w:w="4563"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95"/>
        <w:gridCol w:w="1063"/>
        <w:gridCol w:w="1121"/>
        <w:gridCol w:w="1261"/>
        <w:gridCol w:w="1291"/>
        <w:gridCol w:w="1157"/>
      </w:tblGrid>
      <w:tr w:rsidR="00E0477B" w:rsidRPr="00B51ACB" w:rsidTr="00E0477B">
        <w:trPr>
          <w:tblHeader/>
        </w:trPr>
        <w:tc>
          <w:tcPr>
            <w:tcW w:w="1445" w:type="pct"/>
            <w:shd w:val="clear" w:color="auto" w:fill="auto"/>
            <w:vAlign w:val="center"/>
          </w:tcPr>
          <w:p w:rsidR="00E0477B" w:rsidRPr="00B51ACB" w:rsidRDefault="00E0477B">
            <w:pPr>
              <w:keepNext/>
              <w:tabs>
                <w:tab w:val="left" w:pos="142"/>
              </w:tabs>
              <w:ind w:right="93"/>
              <w:jc w:val="center"/>
              <w:rPr>
                <w:rFonts w:ascii="Arial Narrow" w:hAnsi="Arial Narrow"/>
                <w:b/>
                <w:sz w:val="20"/>
                <w:szCs w:val="20"/>
              </w:rPr>
            </w:pPr>
          </w:p>
        </w:tc>
        <w:tc>
          <w:tcPr>
            <w:tcW w:w="641" w:type="pct"/>
            <w:shd w:val="clear" w:color="auto" w:fill="auto"/>
            <w:vAlign w:val="center"/>
          </w:tcPr>
          <w:p w:rsidR="00E0477B" w:rsidRPr="00B51ACB" w:rsidRDefault="00E0477B">
            <w:pPr>
              <w:keepNext/>
              <w:ind w:right="93"/>
              <w:jc w:val="center"/>
              <w:rPr>
                <w:rFonts w:ascii="Arial Narrow" w:hAnsi="Arial Narrow"/>
                <w:b/>
                <w:sz w:val="20"/>
                <w:szCs w:val="20"/>
              </w:rPr>
            </w:pPr>
            <w:r w:rsidRPr="00B51ACB">
              <w:rPr>
                <w:rFonts w:ascii="Arial Narrow" w:hAnsi="Arial Narrow"/>
                <w:b/>
                <w:sz w:val="20"/>
                <w:szCs w:val="20"/>
              </w:rPr>
              <w:t>Year 1</w:t>
            </w:r>
          </w:p>
        </w:tc>
        <w:tc>
          <w:tcPr>
            <w:tcW w:w="676" w:type="pct"/>
            <w:shd w:val="clear" w:color="auto" w:fill="auto"/>
            <w:vAlign w:val="center"/>
          </w:tcPr>
          <w:p w:rsidR="00E0477B" w:rsidRPr="00B51ACB" w:rsidRDefault="00E0477B">
            <w:pPr>
              <w:keepNext/>
              <w:ind w:right="93"/>
              <w:jc w:val="center"/>
              <w:rPr>
                <w:rFonts w:ascii="Arial Narrow" w:hAnsi="Arial Narrow"/>
                <w:b/>
                <w:sz w:val="20"/>
                <w:szCs w:val="20"/>
              </w:rPr>
            </w:pPr>
            <w:r w:rsidRPr="00B51ACB">
              <w:rPr>
                <w:rFonts w:ascii="Arial Narrow" w:hAnsi="Arial Narrow"/>
                <w:b/>
                <w:sz w:val="20"/>
                <w:szCs w:val="20"/>
              </w:rPr>
              <w:t>Year 2</w:t>
            </w:r>
          </w:p>
        </w:tc>
        <w:tc>
          <w:tcPr>
            <w:tcW w:w="761" w:type="pct"/>
            <w:shd w:val="clear" w:color="auto" w:fill="auto"/>
            <w:vAlign w:val="center"/>
          </w:tcPr>
          <w:p w:rsidR="00E0477B" w:rsidRPr="00B51ACB" w:rsidRDefault="00E0477B">
            <w:pPr>
              <w:keepNext/>
              <w:ind w:right="93"/>
              <w:jc w:val="center"/>
              <w:rPr>
                <w:rFonts w:ascii="Arial Narrow" w:hAnsi="Arial Narrow"/>
                <w:b/>
                <w:sz w:val="20"/>
                <w:szCs w:val="20"/>
              </w:rPr>
            </w:pPr>
            <w:r w:rsidRPr="00B51ACB">
              <w:rPr>
                <w:rFonts w:ascii="Arial Narrow" w:hAnsi="Arial Narrow"/>
                <w:b/>
                <w:sz w:val="20"/>
                <w:szCs w:val="20"/>
              </w:rPr>
              <w:t>Year 3</w:t>
            </w:r>
          </w:p>
        </w:tc>
        <w:tc>
          <w:tcPr>
            <w:tcW w:w="779" w:type="pct"/>
            <w:shd w:val="clear" w:color="auto" w:fill="auto"/>
            <w:vAlign w:val="center"/>
          </w:tcPr>
          <w:p w:rsidR="00E0477B" w:rsidRPr="00B51ACB" w:rsidRDefault="00E0477B">
            <w:pPr>
              <w:keepNext/>
              <w:ind w:right="93"/>
              <w:jc w:val="center"/>
              <w:rPr>
                <w:rFonts w:ascii="Arial Narrow" w:hAnsi="Arial Narrow"/>
                <w:b/>
                <w:sz w:val="20"/>
                <w:szCs w:val="20"/>
              </w:rPr>
            </w:pPr>
            <w:r w:rsidRPr="00B51ACB">
              <w:rPr>
                <w:rFonts w:ascii="Arial Narrow" w:hAnsi="Arial Narrow"/>
                <w:b/>
                <w:sz w:val="20"/>
                <w:szCs w:val="20"/>
              </w:rPr>
              <w:t>Year 4</w:t>
            </w:r>
          </w:p>
        </w:tc>
        <w:tc>
          <w:tcPr>
            <w:tcW w:w="698" w:type="pct"/>
            <w:shd w:val="clear" w:color="auto" w:fill="auto"/>
            <w:vAlign w:val="center"/>
          </w:tcPr>
          <w:p w:rsidR="00E0477B" w:rsidRPr="00B51ACB" w:rsidRDefault="00E0477B">
            <w:pPr>
              <w:keepNext/>
              <w:ind w:right="93"/>
              <w:jc w:val="center"/>
              <w:rPr>
                <w:rFonts w:ascii="Arial Narrow" w:hAnsi="Arial Narrow"/>
                <w:b/>
                <w:sz w:val="20"/>
                <w:szCs w:val="20"/>
              </w:rPr>
            </w:pPr>
            <w:r w:rsidRPr="00B51ACB">
              <w:rPr>
                <w:rFonts w:ascii="Arial Narrow" w:hAnsi="Arial Narrow"/>
                <w:b/>
                <w:sz w:val="20"/>
                <w:szCs w:val="20"/>
              </w:rPr>
              <w:t>Year 5</w:t>
            </w:r>
          </w:p>
        </w:tc>
      </w:tr>
      <w:tr w:rsidR="00E0477B" w:rsidRPr="00B51ACB" w:rsidTr="00E0477B">
        <w:tc>
          <w:tcPr>
            <w:tcW w:w="1445" w:type="pct"/>
            <w:shd w:val="clear" w:color="auto" w:fill="auto"/>
            <w:vAlign w:val="center"/>
          </w:tcPr>
          <w:p w:rsidR="00E0477B" w:rsidRPr="00B51ACB" w:rsidRDefault="00E0477B" w:rsidP="00F30D63">
            <w:pPr>
              <w:keepNext/>
              <w:tabs>
                <w:tab w:val="left" w:pos="142"/>
              </w:tabs>
              <w:ind w:right="93"/>
              <w:rPr>
                <w:rFonts w:ascii="Arial Narrow" w:hAnsi="Arial Narrow"/>
                <w:sz w:val="20"/>
                <w:szCs w:val="20"/>
              </w:rPr>
            </w:pPr>
            <w:r w:rsidRPr="00B51ACB">
              <w:rPr>
                <w:rFonts w:ascii="Arial Narrow" w:hAnsi="Arial Narrow"/>
                <w:sz w:val="20"/>
                <w:szCs w:val="20"/>
              </w:rPr>
              <w:t xml:space="preserve">Number treated </w:t>
            </w:r>
          </w:p>
        </w:tc>
        <w:tc>
          <w:tcPr>
            <w:tcW w:w="641" w:type="pct"/>
            <w:shd w:val="clear" w:color="auto" w:fill="auto"/>
            <w:vAlign w:val="center"/>
          </w:tcPr>
          <w:p w:rsidR="00E0477B" w:rsidRPr="00F53810" w:rsidRDefault="00F53810" w:rsidP="00247B39">
            <w:pPr>
              <w:keepNext/>
              <w:ind w:right="93"/>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76" w:type="pct"/>
            <w:shd w:val="clear" w:color="auto" w:fill="auto"/>
            <w:vAlign w:val="center"/>
          </w:tcPr>
          <w:p w:rsidR="00E0477B" w:rsidRPr="00F53810" w:rsidRDefault="00F53810">
            <w:pPr>
              <w:keepNext/>
              <w:ind w:right="93"/>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61" w:type="pct"/>
            <w:shd w:val="clear" w:color="auto" w:fill="auto"/>
            <w:vAlign w:val="center"/>
          </w:tcPr>
          <w:p w:rsidR="00E0477B" w:rsidRPr="00F53810" w:rsidRDefault="00F53810">
            <w:pPr>
              <w:keepNext/>
              <w:ind w:right="93"/>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79" w:type="pct"/>
            <w:shd w:val="clear" w:color="auto" w:fill="auto"/>
            <w:vAlign w:val="center"/>
          </w:tcPr>
          <w:p w:rsidR="00E0477B" w:rsidRPr="00F53810" w:rsidRDefault="00F53810">
            <w:pPr>
              <w:keepNext/>
              <w:ind w:right="93"/>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98" w:type="pct"/>
            <w:shd w:val="clear" w:color="auto" w:fill="auto"/>
            <w:vAlign w:val="center"/>
          </w:tcPr>
          <w:p w:rsidR="00E0477B" w:rsidRPr="00F53810" w:rsidRDefault="00F53810">
            <w:pPr>
              <w:keepNext/>
              <w:ind w:right="93"/>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040041" w:rsidRPr="00B51ACB" w:rsidTr="00040041">
        <w:tc>
          <w:tcPr>
            <w:tcW w:w="5000" w:type="pct"/>
            <w:gridSpan w:val="6"/>
            <w:shd w:val="clear" w:color="auto" w:fill="auto"/>
            <w:vAlign w:val="center"/>
          </w:tcPr>
          <w:p w:rsidR="00040041" w:rsidRPr="00B51ACB" w:rsidRDefault="00040041" w:rsidP="00F30D63">
            <w:pPr>
              <w:keepNext/>
              <w:ind w:right="93"/>
              <w:rPr>
                <w:rFonts w:ascii="Arial Narrow" w:hAnsi="Arial Narrow"/>
                <w:sz w:val="20"/>
                <w:szCs w:val="20"/>
              </w:rPr>
            </w:pPr>
            <w:r w:rsidRPr="00B51ACB">
              <w:rPr>
                <w:rFonts w:ascii="Arial Narrow" w:hAnsi="Arial Narrow"/>
                <w:b/>
                <w:bCs/>
                <w:color w:val="000000"/>
                <w:sz w:val="20"/>
                <w:szCs w:val="20"/>
              </w:rPr>
              <w:t>Major Re-submission July 2015</w:t>
            </w:r>
            <w:r w:rsidRPr="00B51ACB">
              <w:rPr>
                <w:rFonts w:ascii="Arial Narrow" w:hAnsi="Arial Narrow" w:cs="Calibri"/>
                <w:b/>
                <w:bCs/>
                <w:color w:val="000000"/>
                <w:sz w:val="20"/>
                <w:szCs w:val="20"/>
              </w:rPr>
              <w:t>  </w:t>
            </w:r>
          </w:p>
        </w:tc>
      </w:tr>
      <w:tr w:rsidR="00E0477B" w:rsidRPr="00B51ACB" w:rsidTr="00181F4B">
        <w:tc>
          <w:tcPr>
            <w:tcW w:w="1445" w:type="pct"/>
            <w:shd w:val="clear" w:color="auto" w:fill="auto"/>
            <w:vAlign w:val="center"/>
          </w:tcPr>
          <w:p w:rsidR="00E0477B" w:rsidRPr="00B51ACB" w:rsidRDefault="00E0477B" w:rsidP="00F30D63">
            <w:pPr>
              <w:keepNext/>
              <w:tabs>
                <w:tab w:val="left" w:pos="142"/>
              </w:tabs>
              <w:ind w:right="93"/>
              <w:rPr>
                <w:rFonts w:ascii="Arial Narrow" w:hAnsi="Arial Narrow"/>
                <w:sz w:val="20"/>
                <w:szCs w:val="20"/>
              </w:rPr>
            </w:pPr>
            <w:r w:rsidRPr="00B51ACB">
              <w:rPr>
                <w:rFonts w:ascii="Arial Narrow" w:hAnsi="Arial Narrow"/>
                <w:sz w:val="20"/>
                <w:szCs w:val="20"/>
              </w:rPr>
              <w:t>Total cost to PBS</w:t>
            </w:r>
            <w:r w:rsidR="00181F4B" w:rsidRPr="00B51ACB">
              <w:rPr>
                <w:rFonts w:ascii="Arial Narrow" w:hAnsi="Arial Narrow"/>
                <w:sz w:val="20"/>
                <w:szCs w:val="20"/>
              </w:rPr>
              <w:t>/RPBS (excluding co-payments)</w:t>
            </w:r>
          </w:p>
        </w:tc>
        <w:tc>
          <w:tcPr>
            <w:tcW w:w="641" w:type="pct"/>
            <w:shd w:val="clear" w:color="auto" w:fill="auto"/>
            <w:vAlign w:val="center"/>
          </w:tcPr>
          <w:p w:rsidR="00E0477B" w:rsidRPr="00B51ACB" w:rsidRDefault="00E0477B" w:rsidP="00247B39">
            <w:pPr>
              <w:keepNext/>
              <w:jc w:val="right"/>
              <w:rPr>
                <w:rFonts w:ascii="Arial Narrow" w:hAnsi="Arial Narrow"/>
                <w:bCs/>
                <w:sz w:val="20"/>
                <w:szCs w:val="20"/>
              </w:rPr>
            </w:pPr>
            <w:r w:rsidRPr="00B51ACB">
              <w:rPr>
                <w:rFonts w:ascii="Arial Narrow" w:hAnsi="Arial Narrow"/>
                <w:bCs/>
                <w:sz w:val="20"/>
                <w:szCs w:val="20"/>
              </w:rPr>
              <w:t>$</w:t>
            </w:r>
            <w:r w:rsidR="00F53810">
              <w:rPr>
                <w:rFonts w:ascii="Arial Narrow" w:hAnsi="Arial Narrow"/>
                <w:bCs/>
                <w:noProof/>
                <w:color w:val="000000"/>
                <w:sz w:val="20"/>
                <w:szCs w:val="20"/>
                <w:highlight w:val="black"/>
              </w:rPr>
              <w:t>''''''''''''''''''''''''''</w:t>
            </w:r>
          </w:p>
        </w:tc>
        <w:tc>
          <w:tcPr>
            <w:tcW w:w="676" w:type="pct"/>
            <w:shd w:val="clear" w:color="auto" w:fill="auto"/>
            <w:vAlign w:val="center"/>
          </w:tcPr>
          <w:p w:rsidR="00E0477B" w:rsidRPr="00B51ACB" w:rsidRDefault="00E0477B">
            <w:pPr>
              <w:keepNext/>
              <w:jc w:val="right"/>
              <w:rPr>
                <w:rFonts w:ascii="Arial Narrow" w:hAnsi="Arial Narrow"/>
                <w:bCs/>
                <w:sz w:val="20"/>
                <w:szCs w:val="20"/>
              </w:rPr>
            </w:pPr>
            <w:r w:rsidRPr="00B51ACB">
              <w:rPr>
                <w:rFonts w:ascii="Arial Narrow" w:hAnsi="Arial Narrow"/>
                <w:bCs/>
                <w:sz w:val="20"/>
                <w:szCs w:val="20"/>
              </w:rPr>
              <w:t>$</w:t>
            </w:r>
            <w:r w:rsidR="00F53810">
              <w:rPr>
                <w:rFonts w:ascii="Arial Narrow" w:hAnsi="Arial Narrow"/>
                <w:bCs/>
                <w:noProof/>
                <w:color w:val="000000"/>
                <w:sz w:val="20"/>
                <w:szCs w:val="20"/>
                <w:highlight w:val="black"/>
              </w:rPr>
              <w:t>'''''''''''''''''''''''''''''</w:t>
            </w:r>
          </w:p>
        </w:tc>
        <w:tc>
          <w:tcPr>
            <w:tcW w:w="761" w:type="pct"/>
            <w:shd w:val="clear" w:color="auto" w:fill="auto"/>
            <w:vAlign w:val="center"/>
          </w:tcPr>
          <w:p w:rsidR="00E0477B" w:rsidRPr="00B51ACB" w:rsidRDefault="00E0477B">
            <w:pPr>
              <w:keepNext/>
              <w:jc w:val="right"/>
              <w:rPr>
                <w:rFonts w:ascii="Arial Narrow" w:hAnsi="Arial Narrow"/>
                <w:bCs/>
                <w:sz w:val="20"/>
                <w:szCs w:val="20"/>
              </w:rPr>
            </w:pPr>
            <w:r w:rsidRPr="00B51ACB">
              <w:rPr>
                <w:rFonts w:ascii="Arial Narrow" w:hAnsi="Arial Narrow"/>
                <w:bCs/>
                <w:sz w:val="20"/>
                <w:szCs w:val="20"/>
              </w:rPr>
              <w:t>$</w:t>
            </w:r>
            <w:r w:rsidR="00F53810">
              <w:rPr>
                <w:rFonts w:ascii="Arial Narrow" w:hAnsi="Arial Narrow"/>
                <w:bCs/>
                <w:noProof/>
                <w:color w:val="000000"/>
                <w:sz w:val="20"/>
                <w:szCs w:val="20"/>
                <w:highlight w:val="black"/>
              </w:rPr>
              <w:t>''''''''''''''''''''''''''''</w:t>
            </w:r>
          </w:p>
        </w:tc>
        <w:tc>
          <w:tcPr>
            <w:tcW w:w="779" w:type="pct"/>
            <w:shd w:val="clear" w:color="auto" w:fill="auto"/>
            <w:vAlign w:val="center"/>
          </w:tcPr>
          <w:p w:rsidR="00E0477B" w:rsidRPr="00B51ACB" w:rsidRDefault="00E0477B">
            <w:pPr>
              <w:keepNext/>
              <w:jc w:val="right"/>
              <w:rPr>
                <w:rFonts w:ascii="Arial Narrow" w:hAnsi="Arial Narrow"/>
                <w:bCs/>
                <w:sz w:val="20"/>
                <w:szCs w:val="20"/>
              </w:rPr>
            </w:pPr>
            <w:r w:rsidRPr="00B51ACB">
              <w:rPr>
                <w:rFonts w:ascii="Arial Narrow" w:hAnsi="Arial Narrow"/>
                <w:bCs/>
                <w:sz w:val="20"/>
                <w:szCs w:val="20"/>
              </w:rPr>
              <w:t>$</w:t>
            </w:r>
            <w:r w:rsidR="00F53810">
              <w:rPr>
                <w:rFonts w:ascii="Arial Narrow" w:hAnsi="Arial Narrow"/>
                <w:bCs/>
                <w:noProof/>
                <w:color w:val="000000"/>
                <w:sz w:val="20"/>
                <w:szCs w:val="20"/>
                <w:highlight w:val="black"/>
              </w:rPr>
              <w:t>'''''''''''''''''''''''''''''</w:t>
            </w:r>
          </w:p>
        </w:tc>
        <w:tc>
          <w:tcPr>
            <w:tcW w:w="698" w:type="pct"/>
            <w:shd w:val="clear" w:color="auto" w:fill="auto"/>
            <w:vAlign w:val="center"/>
          </w:tcPr>
          <w:p w:rsidR="00E0477B" w:rsidRPr="00B51ACB" w:rsidRDefault="00E0477B">
            <w:pPr>
              <w:keepNext/>
              <w:jc w:val="right"/>
              <w:rPr>
                <w:rFonts w:ascii="Arial Narrow" w:hAnsi="Arial Narrow"/>
                <w:bCs/>
                <w:sz w:val="20"/>
                <w:szCs w:val="20"/>
              </w:rPr>
            </w:pPr>
            <w:r w:rsidRPr="00B51ACB">
              <w:rPr>
                <w:rFonts w:ascii="Arial Narrow" w:hAnsi="Arial Narrow"/>
                <w:bCs/>
                <w:sz w:val="20"/>
                <w:szCs w:val="20"/>
              </w:rPr>
              <w:t>$</w:t>
            </w:r>
            <w:r w:rsidR="00F53810">
              <w:rPr>
                <w:rFonts w:ascii="Arial Narrow" w:hAnsi="Arial Narrow"/>
                <w:bCs/>
                <w:noProof/>
                <w:color w:val="000000"/>
                <w:sz w:val="20"/>
                <w:szCs w:val="20"/>
                <w:highlight w:val="black"/>
              </w:rPr>
              <w:t>''''''''''''''''''''''''''</w:t>
            </w:r>
          </w:p>
        </w:tc>
      </w:tr>
      <w:tr w:rsidR="00E0477B" w:rsidRPr="00B51ACB" w:rsidTr="00181F4B">
        <w:tc>
          <w:tcPr>
            <w:tcW w:w="1445" w:type="pct"/>
            <w:shd w:val="clear" w:color="auto" w:fill="auto"/>
            <w:vAlign w:val="center"/>
          </w:tcPr>
          <w:p w:rsidR="00E0477B" w:rsidRPr="00B51ACB" w:rsidRDefault="00E0477B" w:rsidP="00F30D63">
            <w:pPr>
              <w:keepNext/>
              <w:tabs>
                <w:tab w:val="left" w:pos="142"/>
              </w:tabs>
              <w:ind w:right="93"/>
              <w:rPr>
                <w:rFonts w:ascii="Arial Narrow" w:hAnsi="Arial Narrow"/>
                <w:sz w:val="20"/>
                <w:szCs w:val="20"/>
              </w:rPr>
            </w:pPr>
            <w:r w:rsidRPr="00B51ACB">
              <w:rPr>
                <w:rFonts w:ascii="Arial Narrow" w:hAnsi="Arial Narrow"/>
                <w:bCs/>
                <w:sz w:val="20"/>
                <w:szCs w:val="20"/>
              </w:rPr>
              <w:t>Net cost PBS/RPBS</w:t>
            </w:r>
            <w:r w:rsidR="00181F4B" w:rsidRPr="00B51ACB">
              <w:rPr>
                <w:rFonts w:ascii="Arial Narrow" w:hAnsi="Arial Narrow"/>
                <w:bCs/>
                <w:sz w:val="20"/>
                <w:szCs w:val="20"/>
              </w:rPr>
              <w:t xml:space="preserve"> (</w:t>
            </w:r>
            <w:r w:rsidR="00181F4B" w:rsidRPr="00B51ACB">
              <w:rPr>
                <w:rFonts w:ascii="Arial Narrow" w:hAnsi="Arial Narrow"/>
                <w:sz w:val="20"/>
                <w:szCs w:val="20"/>
              </w:rPr>
              <w:t>excluding co-payments)</w:t>
            </w:r>
          </w:p>
        </w:tc>
        <w:tc>
          <w:tcPr>
            <w:tcW w:w="641" w:type="pct"/>
            <w:shd w:val="clear" w:color="auto" w:fill="auto"/>
            <w:vAlign w:val="center"/>
          </w:tcPr>
          <w:p w:rsidR="00E0477B" w:rsidRPr="00B51ACB" w:rsidRDefault="00E0477B" w:rsidP="00247B39">
            <w:pPr>
              <w:keepNext/>
              <w:jc w:val="right"/>
              <w:rPr>
                <w:rFonts w:ascii="Arial Narrow" w:hAnsi="Arial Narrow"/>
                <w:i/>
                <w:sz w:val="20"/>
                <w:szCs w:val="20"/>
              </w:rPr>
            </w:pPr>
            <w:r w:rsidRPr="00B51ACB">
              <w:rPr>
                <w:rFonts w:ascii="Arial Narrow" w:hAnsi="Arial Narrow"/>
                <w:bCs/>
                <w:sz w:val="20"/>
                <w:szCs w:val="20"/>
              </w:rPr>
              <w:t>$</w:t>
            </w:r>
            <w:r w:rsidR="00F53810">
              <w:rPr>
                <w:rFonts w:ascii="Arial Narrow" w:hAnsi="Arial Narrow"/>
                <w:bCs/>
                <w:noProof/>
                <w:color w:val="000000"/>
                <w:sz w:val="20"/>
                <w:szCs w:val="20"/>
                <w:highlight w:val="black"/>
              </w:rPr>
              <w:t>''''''''''''''''''''''</w:t>
            </w:r>
          </w:p>
        </w:tc>
        <w:tc>
          <w:tcPr>
            <w:tcW w:w="676" w:type="pct"/>
            <w:shd w:val="clear" w:color="auto" w:fill="auto"/>
            <w:vAlign w:val="center"/>
          </w:tcPr>
          <w:p w:rsidR="00E0477B" w:rsidRPr="00B51ACB" w:rsidRDefault="00E0477B">
            <w:pPr>
              <w:keepNext/>
              <w:jc w:val="right"/>
              <w:rPr>
                <w:rFonts w:ascii="Arial Narrow" w:hAnsi="Arial Narrow"/>
                <w:i/>
                <w:sz w:val="20"/>
                <w:szCs w:val="20"/>
              </w:rPr>
            </w:pPr>
            <w:r w:rsidRPr="00B51ACB">
              <w:rPr>
                <w:rFonts w:ascii="Arial Narrow" w:hAnsi="Arial Narrow"/>
                <w:bCs/>
                <w:sz w:val="20"/>
                <w:szCs w:val="20"/>
              </w:rPr>
              <w:t>$</w:t>
            </w:r>
            <w:r w:rsidR="00F53810">
              <w:rPr>
                <w:rFonts w:ascii="Arial Narrow" w:hAnsi="Arial Narrow"/>
                <w:bCs/>
                <w:noProof/>
                <w:color w:val="000000"/>
                <w:sz w:val="20"/>
                <w:szCs w:val="20"/>
                <w:highlight w:val="black"/>
              </w:rPr>
              <w:t>'''''''''''''''''''''</w:t>
            </w:r>
          </w:p>
        </w:tc>
        <w:tc>
          <w:tcPr>
            <w:tcW w:w="761" w:type="pct"/>
            <w:shd w:val="clear" w:color="auto" w:fill="auto"/>
            <w:vAlign w:val="center"/>
          </w:tcPr>
          <w:p w:rsidR="00E0477B" w:rsidRPr="00B51ACB" w:rsidRDefault="00E0477B">
            <w:pPr>
              <w:keepNext/>
              <w:jc w:val="right"/>
              <w:rPr>
                <w:rFonts w:ascii="Arial Narrow" w:hAnsi="Arial Narrow"/>
                <w:i/>
                <w:sz w:val="20"/>
                <w:szCs w:val="20"/>
              </w:rPr>
            </w:pPr>
            <w:r w:rsidRPr="00B51ACB">
              <w:rPr>
                <w:rFonts w:ascii="Arial Narrow" w:hAnsi="Arial Narrow"/>
                <w:bCs/>
                <w:sz w:val="20"/>
                <w:szCs w:val="20"/>
              </w:rPr>
              <w:t>$</w:t>
            </w:r>
            <w:r w:rsidR="00F53810">
              <w:rPr>
                <w:rFonts w:ascii="Arial Narrow" w:hAnsi="Arial Narrow"/>
                <w:bCs/>
                <w:noProof/>
                <w:color w:val="000000"/>
                <w:sz w:val="20"/>
                <w:szCs w:val="20"/>
                <w:highlight w:val="black"/>
              </w:rPr>
              <w:t>'''''''''''''''''''''''</w:t>
            </w:r>
          </w:p>
        </w:tc>
        <w:tc>
          <w:tcPr>
            <w:tcW w:w="779" w:type="pct"/>
            <w:shd w:val="clear" w:color="auto" w:fill="auto"/>
            <w:vAlign w:val="center"/>
          </w:tcPr>
          <w:p w:rsidR="00E0477B" w:rsidRPr="00B51ACB" w:rsidRDefault="00E0477B">
            <w:pPr>
              <w:keepNext/>
              <w:jc w:val="right"/>
              <w:rPr>
                <w:rFonts w:ascii="Arial Narrow" w:hAnsi="Arial Narrow"/>
                <w:i/>
                <w:sz w:val="20"/>
                <w:szCs w:val="20"/>
              </w:rPr>
            </w:pPr>
            <w:r w:rsidRPr="00B51ACB">
              <w:rPr>
                <w:rFonts w:ascii="Arial Narrow" w:hAnsi="Arial Narrow"/>
                <w:bCs/>
                <w:sz w:val="20"/>
                <w:szCs w:val="20"/>
              </w:rPr>
              <w:t>$</w:t>
            </w:r>
            <w:r w:rsidR="00F53810">
              <w:rPr>
                <w:rFonts w:ascii="Arial Narrow" w:hAnsi="Arial Narrow"/>
                <w:bCs/>
                <w:noProof/>
                <w:color w:val="000000"/>
                <w:sz w:val="20"/>
                <w:szCs w:val="20"/>
                <w:highlight w:val="black"/>
              </w:rPr>
              <w:t>''''''''''''''''''''''''''</w:t>
            </w:r>
          </w:p>
        </w:tc>
        <w:tc>
          <w:tcPr>
            <w:tcW w:w="698" w:type="pct"/>
            <w:shd w:val="clear" w:color="auto" w:fill="auto"/>
            <w:vAlign w:val="center"/>
          </w:tcPr>
          <w:p w:rsidR="00E0477B" w:rsidRPr="00B51ACB" w:rsidRDefault="00E0477B">
            <w:pPr>
              <w:keepNext/>
              <w:jc w:val="right"/>
              <w:rPr>
                <w:rFonts w:ascii="Arial Narrow" w:hAnsi="Arial Narrow"/>
                <w:i/>
                <w:sz w:val="20"/>
                <w:szCs w:val="20"/>
              </w:rPr>
            </w:pPr>
            <w:r w:rsidRPr="00B51ACB">
              <w:rPr>
                <w:rFonts w:ascii="Arial Narrow" w:hAnsi="Arial Narrow"/>
                <w:bCs/>
                <w:sz w:val="20"/>
                <w:szCs w:val="20"/>
              </w:rPr>
              <w:t>$</w:t>
            </w:r>
            <w:r w:rsidR="00F53810">
              <w:rPr>
                <w:rFonts w:ascii="Arial Narrow" w:hAnsi="Arial Narrow"/>
                <w:bCs/>
                <w:noProof/>
                <w:color w:val="000000"/>
                <w:sz w:val="20"/>
                <w:szCs w:val="20"/>
                <w:highlight w:val="black"/>
              </w:rPr>
              <w:t>'''''''''''''''''''''''''</w:t>
            </w:r>
          </w:p>
        </w:tc>
      </w:tr>
      <w:tr w:rsidR="00E0477B" w:rsidRPr="00B51ACB" w:rsidTr="001149FE">
        <w:tc>
          <w:tcPr>
            <w:tcW w:w="5000" w:type="pct"/>
            <w:gridSpan w:val="6"/>
            <w:shd w:val="clear" w:color="auto" w:fill="auto"/>
            <w:vAlign w:val="center"/>
          </w:tcPr>
          <w:p w:rsidR="00E0477B" w:rsidRPr="00B51ACB" w:rsidRDefault="00E0477B" w:rsidP="00F30D63">
            <w:pPr>
              <w:keepNext/>
              <w:rPr>
                <w:rFonts w:ascii="Arial Narrow" w:hAnsi="Arial Narrow"/>
                <w:b/>
                <w:bCs/>
                <w:sz w:val="20"/>
                <w:szCs w:val="20"/>
              </w:rPr>
            </w:pPr>
            <w:r w:rsidRPr="00B51ACB">
              <w:rPr>
                <w:rFonts w:ascii="Arial Narrow" w:hAnsi="Arial Narrow"/>
                <w:b/>
                <w:bCs/>
                <w:sz w:val="20"/>
                <w:szCs w:val="20"/>
              </w:rPr>
              <w:t>Minor Re-submission November 2015</w:t>
            </w:r>
          </w:p>
        </w:tc>
      </w:tr>
      <w:tr w:rsidR="00181F4B" w:rsidRPr="00B51ACB" w:rsidTr="00E0477B">
        <w:tc>
          <w:tcPr>
            <w:tcW w:w="1445" w:type="pct"/>
            <w:shd w:val="clear" w:color="auto" w:fill="auto"/>
            <w:vAlign w:val="center"/>
          </w:tcPr>
          <w:p w:rsidR="00181F4B" w:rsidRPr="00B51ACB" w:rsidRDefault="00181F4B" w:rsidP="00F30D63">
            <w:pPr>
              <w:keepNext/>
              <w:tabs>
                <w:tab w:val="left" w:pos="142"/>
              </w:tabs>
              <w:ind w:right="93"/>
              <w:rPr>
                <w:rFonts w:ascii="Arial Narrow" w:hAnsi="Arial Narrow"/>
                <w:sz w:val="20"/>
                <w:szCs w:val="20"/>
              </w:rPr>
            </w:pPr>
            <w:r w:rsidRPr="00B51ACB">
              <w:rPr>
                <w:rFonts w:ascii="Arial Narrow" w:hAnsi="Arial Narrow"/>
                <w:sz w:val="20"/>
                <w:szCs w:val="20"/>
              </w:rPr>
              <w:t>Total cost to PBS/RPBS (excluding co-payments)</w:t>
            </w:r>
          </w:p>
        </w:tc>
        <w:tc>
          <w:tcPr>
            <w:tcW w:w="641" w:type="pct"/>
            <w:shd w:val="clear" w:color="auto" w:fill="auto"/>
            <w:vAlign w:val="center"/>
          </w:tcPr>
          <w:p w:rsidR="00181F4B" w:rsidRPr="00B51ACB" w:rsidRDefault="00181F4B" w:rsidP="00247B39">
            <w:pPr>
              <w:jc w:val="right"/>
              <w:rPr>
                <w:rFonts w:ascii="Arial Narrow" w:hAnsi="Arial Narrow"/>
                <w:color w:val="000000"/>
                <w:sz w:val="20"/>
                <w:szCs w:val="20"/>
              </w:rPr>
            </w:pPr>
            <w:r w:rsidRPr="00B51ACB">
              <w:rPr>
                <w:rFonts w:ascii="Arial Narrow" w:hAnsi="Arial Narrow"/>
                <w:color w:val="000000"/>
                <w:sz w:val="20"/>
                <w:szCs w:val="20"/>
              </w:rPr>
              <w:t>$</w:t>
            </w:r>
            <w:r w:rsidR="00F53810">
              <w:rPr>
                <w:rFonts w:ascii="Arial Narrow" w:hAnsi="Arial Narrow"/>
                <w:noProof/>
                <w:color w:val="000000"/>
                <w:sz w:val="20"/>
                <w:szCs w:val="20"/>
                <w:highlight w:val="black"/>
              </w:rPr>
              <w:t>''''''''''''''''''''''''''''</w:t>
            </w:r>
          </w:p>
        </w:tc>
        <w:tc>
          <w:tcPr>
            <w:tcW w:w="676" w:type="pct"/>
            <w:shd w:val="clear" w:color="auto" w:fill="auto"/>
            <w:vAlign w:val="center"/>
          </w:tcPr>
          <w:p w:rsidR="00181F4B" w:rsidRPr="00B51ACB" w:rsidRDefault="00181F4B">
            <w:pPr>
              <w:jc w:val="right"/>
              <w:rPr>
                <w:rFonts w:ascii="Arial Narrow" w:hAnsi="Arial Narrow"/>
                <w:color w:val="000000"/>
                <w:sz w:val="20"/>
                <w:szCs w:val="20"/>
              </w:rPr>
            </w:pPr>
            <w:r w:rsidRPr="00B51ACB">
              <w:rPr>
                <w:rFonts w:ascii="Arial Narrow" w:hAnsi="Arial Narrow"/>
                <w:color w:val="000000"/>
                <w:sz w:val="20"/>
                <w:szCs w:val="20"/>
              </w:rPr>
              <w:t>$</w:t>
            </w:r>
            <w:r w:rsidR="00F53810">
              <w:rPr>
                <w:rFonts w:ascii="Arial Narrow" w:hAnsi="Arial Narrow"/>
                <w:noProof/>
                <w:color w:val="000000"/>
                <w:sz w:val="20"/>
                <w:szCs w:val="20"/>
                <w:highlight w:val="black"/>
              </w:rPr>
              <w:t>'''''''''''''''''''''''''''</w:t>
            </w:r>
          </w:p>
        </w:tc>
        <w:tc>
          <w:tcPr>
            <w:tcW w:w="761" w:type="pct"/>
            <w:shd w:val="clear" w:color="auto" w:fill="auto"/>
            <w:vAlign w:val="center"/>
          </w:tcPr>
          <w:p w:rsidR="00181F4B" w:rsidRPr="00B51ACB" w:rsidRDefault="00181F4B">
            <w:pPr>
              <w:jc w:val="right"/>
              <w:rPr>
                <w:rFonts w:ascii="Arial Narrow" w:hAnsi="Arial Narrow"/>
                <w:color w:val="000000"/>
                <w:sz w:val="20"/>
                <w:szCs w:val="20"/>
              </w:rPr>
            </w:pPr>
            <w:r w:rsidRPr="00B51ACB">
              <w:rPr>
                <w:rFonts w:ascii="Arial Narrow" w:hAnsi="Arial Narrow"/>
                <w:color w:val="000000"/>
                <w:sz w:val="20"/>
                <w:szCs w:val="20"/>
              </w:rPr>
              <w:t>$</w:t>
            </w:r>
            <w:r w:rsidR="00F53810">
              <w:rPr>
                <w:rFonts w:ascii="Arial Narrow" w:hAnsi="Arial Narrow"/>
                <w:noProof/>
                <w:color w:val="000000"/>
                <w:sz w:val="20"/>
                <w:szCs w:val="20"/>
                <w:highlight w:val="black"/>
              </w:rPr>
              <w:t>''''''''''''''''''''''''''</w:t>
            </w:r>
          </w:p>
        </w:tc>
        <w:tc>
          <w:tcPr>
            <w:tcW w:w="779" w:type="pct"/>
            <w:shd w:val="clear" w:color="auto" w:fill="auto"/>
            <w:vAlign w:val="center"/>
          </w:tcPr>
          <w:p w:rsidR="00181F4B" w:rsidRPr="00B51ACB" w:rsidRDefault="00181F4B">
            <w:pPr>
              <w:jc w:val="right"/>
              <w:rPr>
                <w:rFonts w:ascii="Arial Narrow" w:hAnsi="Arial Narrow"/>
                <w:color w:val="000000"/>
                <w:sz w:val="20"/>
                <w:szCs w:val="20"/>
              </w:rPr>
            </w:pPr>
            <w:r w:rsidRPr="00B51ACB">
              <w:rPr>
                <w:rFonts w:ascii="Arial Narrow" w:hAnsi="Arial Narrow"/>
                <w:color w:val="000000"/>
                <w:sz w:val="20"/>
                <w:szCs w:val="20"/>
              </w:rPr>
              <w:t>$</w:t>
            </w:r>
            <w:r w:rsidR="00F53810">
              <w:rPr>
                <w:rFonts w:ascii="Arial Narrow" w:hAnsi="Arial Narrow"/>
                <w:noProof/>
                <w:color w:val="000000"/>
                <w:sz w:val="20"/>
                <w:szCs w:val="20"/>
                <w:highlight w:val="black"/>
              </w:rPr>
              <w:t>'''''''''''''''''''''''''</w:t>
            </w:r>
          </w:p>
        </w:tc>
        <w:tc>
          <w:tcPr>
            <w:tcW w:w="698" w:type="pct"/>
            <w:shd w:val="clear" w:color="auto" w:fill="auto"/>
            <w:vAlign w:val="center"/>
          </w:tcPr>
          <w:p w:rsidR="00181F4B" w:rsidRPr="00B51ACB" w:rsidRDefault="00181F4B">
            <w:pPr>
              <w:jc w:val="right"/>
              <w:rPr>
                <w:rFonts w:ascii="Arial Narrow" w:hAnsi="Arial Narrow"/>
                <w:color w:val="000000"/>
                <w:sz w:val="20"/>
                <w:szCs w:val="20"/>
              </w:rPr>
            </w:pPr>
            <w:r w:rsidRPr="00B51ACB">
              <w:rPr>
                <w:rFonts w:ascii="Arial Narrow" w:hAnsi="Arial Narrow"/>
                <w:color w:val="000000"/>
                <w:sz w:val="20"/>
                <w:szCs w:val="20"/>
              </w:rPr>
              <w:t>$</w:t>
            </w:r>
            <w:r w:rsidR="00F53810">
              <w:rPr>
                <w:rFonts w:ascii="Arial Narrow" w:hAnsi="Arial Narrow"/>
                <w:noProof/>
                <w:color w:val="000000"/>
                <w:sz w:val="20"/>
                <w:szCs w:val="20"/>
                <w:highlight w:val="black"/>
              </w:rPr>
              <w:t>''''''''''''''''''''''''''</w:t>
            </w:r>
          </w:p>
        </w:tc>
      </w:tr>
      <w:tr w:rsidR="00181F4B" w:rsidRPr="00B51ACB" w:rsidTr="00E0477B">
        <w:tc>
          <w:tcPr>
            <w:tcW w:w="1445" w:type="pct"/>
            <w:shd w:val="clear" w:color="auto" w:fill="auto"/>
            <w:vAlign w:val="center"/>
          </w:tcPr>
          <w:p w:rsidR="00181F4B" w:rsidRPr="00B51ACB" w:rsidRDefault="00181F4B" w:rsidP="00F30D63">
            <w:pPr>
              <w:keepNext/>
              <w:tabs>
                <w:tab w:val="left" w:pos="142"/>
              </w:tabs>
              <w:ind w:right="93"/>
              <w:rPr>
                <w:rFonts w:ascii="Arial Narrow" w:hAnsi="Arial Narrow"/>
                <w:sz w:val="20"/>
                <w:szCs w:val="20"/>
              </w:rPr>
            </w:pPr>
            <w:r w:rsidRPr="00B51ACB">
              <w:rPr>
                <w:rFonts w:ascii="Arial Narrow" w:hAnsi="Arial Narrow"/>
                <w:bCs/>
                <w:sz w:val="20"/>
                <w:szCs w:val="20"/>
              </w:rPr>
              <w:t>Net cost PBS/RPBS (</w:t>
            </w:r>
            <w:r w:rsidRPr="00B51ACB">
              <w:rPr>
                <w:rFonts w:ascii="Arial Narrow" w:hAnsi="Arial Narrow"/>
                <w:sz w:val="20"/>
                <w:szCs w:val="20"/>
              </w:rPr>
              <w:t>excluding co-payments)</w:t>
            </w:r>
          </w:p>
        </w:tc>
        <w:tc>
          <w:tcPr>
            <w:tcW w:w="641" w:type="pct"/>
            <w:shd w:val="clear" w:color="auto" w:fill="auto"/>
            <w:vAlign w:val="center"/>
          </w:tcPr>
          <w:p w:rsidR="00181F4B" w:rsidRPr="00B51ACB" w:rsidRDefault="00181F4B" w:rsidP="00247B39">
            <w:pPr>
              <w:jc w:val="right"/>
              <w:rPr>
                <w:rFonts w:ascii="Arial Narrow" w:hAnsi="Arial Narrow"/>
                <w:color w:val="000000"/>
                <w:sz w:val="20"/>
                <w:szCs w:val="20"/>
              </w:rPr>
            </w:pPr>
            <w:r w:rsidRPr="00B51ACB">
              <w:rPr>
                <w:rFonts w:ascii="Arial Narrow" w:hAnsi="Arial Narrow"/>
                <w:color w:val="000000"/>
                <w:sz w:val="20"/>
                <w:szCs w:val="20"/>
              </w:rPr>
              <w:t>-$</w:t>
            </w:r>
            <w:r w:rsidR="00F53810">
              <w:rPr>
                <w:rFonts w:ascii="Arial Narrow" w:hAnsi="Arial Narrow"/>
                <w:noProof/>
                <w:color w:val="000000"/>
                <w:sz w:val="20"/>
                <w:szCs w:val="20"/>
                <w:highlight w:val="black"/>
              </w:rPr>
              <w:t>'''''''''''''''''''</w:t>
            </w:r>
          </w:p>
        </w:tc>
        <w:tc>
          <w:tcPr>
            <w:tcW w:w="676" w:type="pct"/>
            <w:shd w:val="clear" w:color="auto" w:fill="auto"/>
            <w:vAlign w:val="center"/>
          </w:tcPr>
          <w:p w:rsidR="00181F4B" w:rsidRPr="00B51ACB" w:rsidRDefault="00181F4B">
            <w:pPr>
              <w:jc w:val="right"/>
              <w:rPr>
                <w:rFonts w:ascii="Arial Narrow" w:hAnsi="Arial Narrow"/>
                <w:color w:val="000000"/>
                <w:sz w:val="20"/>
                <w:szCs w:val="20"/>
              </w:rPr>
            </w:pPr>
            <w:r w:rsidRPr="00B51ACB">
              <w:rPr>
                <w:rFonts w:ascii="Arial Narrow" w:hAnsi="Arial Narrow"/>
                <w:color w:val="000000"/>
                <w:sz w:val="20"/>
                <w:szCs w:val="20"/>
              </w:rPr>
              <w:t>$</w:t>
            </w:r>
            <w:r w:rsidR="00F53810">
              <w:rPr>
                <w:rFonts w:ascii="Arial Narrow" w:hAnsi="Arial Narrow"/>
                <w:noProof/>
                <w:color w:val="000000"/>
                <w:sz w:val="20"/>
                <w:szCs w:val="20"/>
                <w:highlight w:val="black"/>
              </w:rPr>
              <w:t>'''''''''''''''''''''</w:t>
            </w:r>
          </w:p>
        </w:tc>
        <w:tc>
          <w:tcPr>
            <w:tcW w:w="761" w:type="pct"/>
            <w:shd w:val="clear" w:color="auto" w:fill="auto"/>
            <w:vAlign w:val="center"/>
          </w:tcPr>
          <w:p w:rsidR="00181F4B" w:rsidRPr="00B51ACB" w:rsidRDefault="00181F4B">
            <w:pPr>
              <w:jc w:val="right"/>
              <w:rPr>
                <w:rFonts w:ascii="Arial Narrow" w:hAnsi="Arial Narrow"/>
                <w:color w:val="000000"/>
                <w:sz w:val="20"/>
                <w:szCs w:val="20"/>
              </w:rPr>
            </w:pPr>
            <w:r w:rsidRPr="00B51ACB">
              <w:rPr>
                <w:rFonts w:ascii="Arial Narrow" w:hAnsi="Arial Narrow"/>
                <w:color w:val="000000"/>
                <w:sz w:val="20"/>
                <w:szCs w:val="20"/>
              </w:rPr>
              <w:t>$</w:t>
            </w:r>
            <w:r w:rsidR="00F53810">
              <w:rPr>
                <w:rFonts w:ascii="Arial Narrow" w:hAnsi="Arial Narrow"/>
                <w:noProof/>
                <w:color w:val="000000"/>
                <w:sz w:val="20"/>
                <w:szCs w:val="20"/>
                <w:highlight w:val="black"/>
              </w:rPr>
              <w:t>''''''''''''''''''''''</w:t>
            </w:r>
          </w:p>
        </w:tc>
        <w:tc>
          <w:tcPr>
            <w:tcW w:w="779" w:type="pct"/>
            <w:shd w:val="clear" w:color="auto" w:fill="auto"/>
            <w:vAlign w:val="center"/>
          </w:tcPr>
          <w:p w:rsidR="00181F4B" w:rsidRPr="00B51ACB" w:rsidRDefault="00181F4B">
            <w:pPr>
              <w:jc w:val="right"/>
              <w:rPr>
                <w:rFonts w:ascii="Arial Narrow" w:hAnsi="Arial Narrow"/>
                <w:color w:val="000000"/>
                <w:sz w:val="20"/>
                <w:szCs w:val="20"/>
              </w:rPr>
            </w:pPr>
            <w:r w:rsidRPr="00B51ACB">
              <w:rPr>
                <w:rFonts w:ascii="Arial Narrow" w:hAnsi="Arial Narrow"/>
                <w:color w:val="000000"/>
                <w:sz w:val="20"/>
                <w:szCs w:val="20"/>
              </w:rPr>
              <w:t>$</w:t>
            </w:r>
            <w:r w:rsidR="00F53810">
              <w:rPr>
                <w:rFonts w:ascii="Arial Narrow" w:hAnsi="Arial Narrow"/>
                <w:noProof/>
                <w:color w:val="000000"/>
                <w:sz w:val="20"/>
                <w:szCs w:val="20"/>
                <w:highlight w:val="black"/>
              </w:rPr>
              <w:t>'''''''''''''''''''''</w:t>
            </w:r>
          </w:p>
        </w:tc>
        <w:tc>
          <w:tcPr>
            <w:tcW w:w="698" w:type="pct"/>
            <w:shd w:val="clear" w:color="auto" w:fill="auto"/>
            <w:vAlign w:val="center"/>
          </w:tcPr>
          <w:p w:rsidR="00181F4B" w:rsidRPr="00B51ACB" w:rsidRDefault="00181F4B">
            <w:pPr>
              <w:jc w:val="right"/>
              <w:rPr>
                <w:rFonts w:ascii="Arial Narrow" w:hAnsi="Arial Narrow"/>
                <w:color w:val="000000"/>
                <w:sz w:val="20"/>
                <w:szCs w:val="20"/>
              </w:rPr>
            </w:pPr>
            <w:r w:rsidRPr="00B51ACB">
              <w:rPr>
                <w:rFonts w:ascii="Arial Narrow" w:hAnsi="Arial Narrow"/>
                <w:color w:val="000000"/>
                <w:sz w:val="20"/>
                <w:szCs w:val="20"/>
              </w:rPr>
              <w:t>$</w:t>
            </w:r>
            <w:r w:rsidR="00F53810">
              <w:rPr>
                <w:rFonts w:ascii="Arial Narrow" w:hAnsi="Arial Narrow"/>
                <w:noProof/>
                <w:color w:val="000000"/>
                <w:sz w:val="20"/>
                <w:szCs w:val="20"/>
                <w:highlight w:val="black"/>
              </w:rPr>
              <w:t>'''''''''''''''''''''''</w:t>
            </w:r>
          </w:p>
        </w:tc>
      </w:tr>
      <w:tr w:rsidR="00E0477B" w:rsidRPr="00B51ACB" w:rsidTr="00E0477B">
        <w:tc>
          <w:tcPr>
            <w:tcW w:w="5000" w:type="pct"/>
            <w:gridSpan w:val="6"/>
            <w:shd w:val="clear" w:color="auto" w:fill="auto"/>
            <w:vAlign w:val="center"/>
          </w:tcPr>
          <w:p w:rsidR="00E0477B" w:rsidRPr="00B51ACB" w:rsidRDefault="00E0477B" w:rsidP="00F30D63">
            <w:pPr>
              <w:rPr>
                <w:rFonts w:ascii="Arial Narrow" w:hAnsi="Arial Narrow"/>
                <w:color w:val="000000"/>
                <w:sz w:val="20"/>
                <w:szCs w:val="20"/>
              </w:rPr>
            </w:pPr>
            <w:r w:rsidRPr="00B51ACB">
              <w:rPr>
                <w:rFonts w:ascii="Arial Narrow" w:hAnsi="Arial Narrow"/>
                <w:b/>
                <w:bCs/>
                <w:sz w:val="20"/>
                <w:szCs w:val="20"/>
              </w:rPr>
              <w:t>Minor Re-submission March 2016</w:t>
            </w:r>
          </w:p>
        </w:tc>
      </w:tr>
      <w:tr w:rsidR="00181F4B" w:rsidRPr="00B51ACB" w:rsidTr="00E0477B">
        <w:tc>
          <w:tcPr>
            <w:tcW w:w="1445" w:type="pct"/>
            <w:shd w:val="clear" w:color="auto" w:fill="auto"/>
            <w:vAlign w:val="center"/>
          </w:tcPr>
          <w:p w:rsidR="00181F4B" w:rsidRPr="00B51ACB" w:rsidRDefault="00181F4B" w:rsidP="00F30D63">
            <w:pPr>
              <w:keepNext/>
              <w:tabs>
                <w:tab w:val="left" w:pos="142"/>
              </w:tabs>
              <w:ind w:right="93"/>
              <w:rPr>
                <w:rFonts w:ascii="Arial Narrow" w:hAnsi="Arial Narrow"/>
                <w:sz w:val="20"/>
                <w:szCs w:val="20"/>
              </w:rPr>
            </w:pPr>
            <w:r w:rsidRPr="00B51ACB">
              <w:rPr>
                <w:rFonts w:ascii="Arial Narrow" w:hAnsi="Arial Narrow"/>
                <w:sz w:val="20"/>
                <w:szCs w:val="20"/>
              </w:rPr>
              <w:t>Total cost to PBS/RPBS (excluding co-payments)</w:t>
            </w:r>
          </w:p>
        </w:tc>
        <w:tc>
          <w:tcPr>
            <w:tcW w:w="641" w:type="pct"/>
            <w:shd w:val="clear" w:color="auto" w:fill="auto"/>
            <w:vAlign w:val="center"/>
          </w:tcPr>
          <w:p w:rsidR="00181F4B" w:rsidRPr="00B51ACB" w:rsidRDefault="00181F4B" w:rsidP="00247B39">
            <w:pPr>
              <w:keepNext/>
              <w:jc w:val="right"/>
              <w:rPr>
                <w:rFonts w:ascii="Arial Narrow" w:hAnsi="Arial Narrow" w:cs="Arial"/>
                <w:sz w:val="20"/>
                <w:szCs w:val="20"/>
              </w:rPr>
            </w:pPr>
            <w:r w:rsidRPr="00B51ACB">
              <w:rPr>
                <w:rFonts w:ascii="Arial Narrow" w:hAnsi="Arial Narrow" w:cs="Arial"/>
                <w:color w:val="000000"/>
                <w:sz w:val="20"/>
                <w:szCs w:val="20"/>
              </w:rPr>
              <w:t>$</w:t>
            </w:r>
            <w:r w:rsidR="00F53810">
              <w:rPr>
                <w:rFonts w:ascii="Arial Narrow" w:hAnsi="Arial Narrow" w:cs="Arial"/>
                <w:noProof/>
                <w:color w:val="000000"/>
                <w:sz w:val="20"/>
                <w:szCs w:val="20"/>
                <w:highlight w:val="black"/>
              </w:rPr>
              <w:t>'''''''''''''''''''''''</w:t>
            </w:r>
          </w:p>
        </w:tc>
        <w:tc>
          <w:tcPr>
            <w:tcW w:w="676" w:type="pct"/>
            <w:shd w:val="clear" w:color="auto" w:fill="auto"/>
            <w:vAlign w:val="center"/>
          </w:tcPr>
          <w:p w:rsidR="00181F4B" w:rsidRPr="00B51ACB" w:rsidRDefault="00181F4B">
            <w:pPr>
              <w:keepNext/>
              <w:jc w:val="right"/>
              <w:rPr>
                <w:rFonts w:ascii="Arial Narrow" w:hAnsi="Arial Narrow" w:cs="Arial"/>
                <w:sz w:val="20"/>
                <w:szCs w:val="20"/>
              </w:rPr>
            </w:pPr>
            <w:r w:rsidRPr="00B51ACB">
              <w:rPr>
                <w:rFonts w:ascii="Arial Narrow" w:hAnsi="Arial Narrow" w:cs="Arial"/>
                <w:color w:val="000000"/>
                <w:sz w:val="20"/>
                <w:szCs w:val="20"/>
              </w:rPr>
              <w:t>$</w:t>
            </w:r>
            <w:r w:rsidR="00F53810">
              <w:rPr>
                <w:rFonts w:ascii="Arial Narrow" w:hAnsi="Arial Narrow" w:cs="Arial"/>
                <w:noProof/>
                <w:color w:val="000000"/>
                <w:sz w:val="20"/>
                <w:szCs w:val="20"/>
                <w:highlight w:val="black"/>
              </w:rPr>
              <w:t>''''''''''''''''''''''''</w:t>
            </w:r>
          </w:p>
        </w:tc>
        <w:tc>
          <w:tcPr>
            <w:tcW w:w="761" w:type="pct"/>
            <w:shd w:val="clear" w:color="auto" w:fill="auto"/>
            <w:vAlign w:val="center"/>
          </w:tcPr>
          <w:p w:rsidR="00181F4B" w:rsidRPr="00B51ACB" w:rsidRDefault="00181F4B">
            <w:pPr>
              <w:keepNext/>
              <w:jc w:val="right"/>
              <w:rPr>
                <w:rFonts w:ascii="Arial Narrow" w:hAnsi="Arial Narrow" w:cs="Arial"/>
                <w:sz w:val="20"/>
                <w:szCs w:val="20"/>
              </w:rPr>
            </w:pPr>
            <w:r w:rsidRPr="00B51ACB">
              <w:rPr>
                <w:rFonts w:ascii="Arial Narrow" w:hAnsi="Arial Narrow" w:cs="Arial"/>
                <w:color w:val="000000"/>
                <w:sz w:val="20"/>
                <w:szCs w:val="20"/>
              </w:rPr>
              <w:t>$</w:t>
            </w:r>
            <w:r w:rsidR="00F53810">
              <w:rPr>
                <w:rFonts w:ascii="Arial Narrow" w:hAnsi="Arial Narrow" w:cs="Arial"/>
                <w:noProof/>
                <w:color w:val="000000"/>
                <w:sz w:val="20"/>
                <w:szCs w:val="20"/>
                <w:highlight w:val="black"/>
              </w:rPr>
              <w:t>''''''''''''''''''''''''''</w:t>
            </w:r>
          </w:p>
        </w:tc>
        <w:tc>
          <w:tcPr>
            <w:tcW w:w="779" w:type="pct"/>
            <w:shd w:val="clear" w:color="auto" w:fill="auto"/>
            <w:vAlign w:val="center"/>
          </w:tcPr>
          <w:p w:rsidR="00181F4B" w:rsidRPr="00B51ACB" w:rsidRDefault="00181F4B">
            <w:pPr>
              <w:keepNext/>
              <w:jc w:val="right"/>
              <w:rPr>
                <w:rFonts w:ascii="Arial Narrow" w:hAnsi="Arial Narrow" w:cs="Arial"/>
                <w:sz w:val="20"/>
                <w:szCs w:val="20"/>
              </w:rPr>
            </w:pPr>
            <w:r w:rsidRPr="00B51ACB">
              <w:rPr>
                <w:rFonts w:ascii="Arial Narrow" w:hAnsi="Arial Narrow" w:cs="Arial"/>
                <w:color w:val="000000"/>
                <w:sz w:val="20"/>
                <w:szCs w:val="20"/>
              </w:rPr>
              <w:t>$</w:t>
            </w:r>
            <w:r w:rsidR="00F53810">
              <w:rPr>
                <w:rFonts w:ascii="Arial Narrow" w:hAnsi="Arial Narrow" w:cs="Arial"/>
                <w:noProof/>
                <w:color w:val="000000"/>
                <w:sz w:val="20"/>
                <w:szCs w:val="20"/>
                <w:highlight w:val="black"/>
              </w:rPr>
              <w:t>'''''''''''''''''''''''''</w:t>
            </w:r>
          </w:p>
        </w:tc>
        <w:tc>
          <w:tcPr>
            <w:tcW w:w="698" w:type="pct"/>
            <w:shd w:val="clear" w:color="auto" w:fill="auto"/>
            <w:vAlign w:val="center"/>
          </w:tcPr>
          <w:p w:rsidR="00181F4B" w:rsidRPr="00B51ACB" w:rsidRDefault="00181F4B">
            <w:pPr>
              <w:keepNext/>
              <w:jc w:val="right"/>
              <w:rPr>
                <w:rFonts w:ascii="Arial Narrow" w:hAnsi="Arial Narrow" w:cs="Arial"/>
                <w:sz w:val="20"/>
                <w:szCs w:val="20"/>
              </w:rPr>
            </w:pPr>
            <w:r w:rsidRPr="00B51ACB">
              <w:rPr>
                <w:rFonts w:ascii="Arial Narrow" w:hAnsi="Arial Narrow" w:cs="Arial"/>
                <w:color w:val="000000"/>
                <w:sz w:val="20"/>
                <w:szCs w:val="20"/>
              </w:rPr>
              <w:t>$</w:t>
            </w:r>
            <w:r w:rsidR="00F53810">
              <w:rPr>
                <w:rFonts w:ascii="Arial Narrow" w:hAnsi="Arial Narrow" w:cs="Arial"/>
                <w:noProof/>
                <w:color w:val="000000"/>
                <w:sz w:val="20"/>
                <w:szCs w:val="20"/>
                <w:highlight w:val="black"/>
              </w:rPr>
              <w:t>'''''''''''''''''''''''''''''</w:t>
            </w:r>
          </w:p>
        </w:tc>
      </w:tr>
      <w:tr w:rsidR="00181F4B" w:rsidRPr="00B51ACB" w:rsidTr="00E0477B">
        <w:tc>
          <w:tcPr>
            <w:tcW w:w="1445" w:type="pct"/>
            <w:shd w:val="clear" w:color="auto" w:fill="auto"/>
            <w:vAlign w:val="center"/>
          </w:tcPr>
          <w:p w:rsidR="00181F4B" w:rsidRPr="00B51ACB" w:rsidRDefault="00181F4B" w:rsidP="00F30D63">
            <w:pPr>
              <w:keepNext/>
              <w:tabs>
                <w:tab w:val="left" w:pos="142"/>
              </w:tabs>
              <w:ind w:right="93"/>
              <w:rPr>
                <w:rFonts w:ascii="Arial Narrow" w:hAnsi="Arial Narrow"/>
                <w:sz w:val="20"/>
                <w:szCs w:val="20"/>
              </w:rPr>
            </w:pPr>
            <w:r w:rsidRPr="00B51ACB">
              <w:rPr>
                <w:rFonts w:ascii="Arial Narrow" w:hAnsi="Arial Narrow"/>
                <w:bCs/>
                <w:sz w:val="20"/>
                <w:szCs w:val="20"/>
              </w:rPr>
              <w:t>Net cost PBS/RPBS (</w:t>
            </w:r>
            <w:r w:rsidRPr="00B51ACB">
              <w:rPr>
                <w:rFonts w:ascii="Arial Narrow" w:hAnsi="Arial Narrow"/>
                <w:sz w:val="20"/>
                <w:szCs w:val="20"/>
              </w:rPr>
              <w:t>excluding co-payments)</w:t>
            </w:r>
          </w:p>
        </w:tc>
        <w:tc>
          <w:tcPr>
            <w:tcW w:w="641" w:type="pct"/>
            <w:shd w:val="clear" w:color="auto" w:fill="auto"/>
            <w:vAlign w:val="center"/>
          </w:tcPr>
          <w:p w:rsidR="00181F4B" w:rsidRPr="00B51ACB" w:rsidRDefault="00181F4B" w:rsidP="00247B39">
            <w:pPr>
              <w:keepNext/>
              <w:jc w:val="right"/>
              <w:rPr>
                <w:rFonts w:ascii="Arial Narrow" w:hAnsi="Arial Narrow" w:cs="Arial"/>
                <w:color w:val="000000"/>
                <w:sz w:val="20"/>
                <w:szCs w:val="20"/>
              </w:rPr>
            </w:pPr>
            <w:r w:rsidRPr="00B51ACB">
              <w:rPr>
                <w:rFonts w:ascii="Arial Narrow" w:hAnsi="Arial Narrow" w:cs="Arial"/>
                <w:color w:val="000000"/>
                <w:sz w:val="20"/>
                <w:szCs w:val="20"/>
              </w:rPr>
              <w:t>-$</w:t>
            </w:r>
            <w:r w:rsidR="00F53810">
              <w:rPr>
                <w:rFonts w:ascii="Arial Narrow" w:hAnsi="Arial Narrow" w:cs="Arial"/>
                <w:noProof/>
                <w:color w:val="000000"/>
                <w:sz w:val="20"/>
                <w:szCs w:val="20"/>
                <w:highlight w:val="black"/>
              </w:rPr>
              <w:t>''''''''''''''''''</w:t>
            </w:r>
          </w:p>
        </w:tc>
        <w:tc>
          <w:tcPr>
            <w:tcW w:w="676" w:type="pct"/>
            <w:shd w:val="clear" w:color="auto" w:fill="auto"/>
            <w:vAlign w:val="center"/>
          </w:tcPr>
          <w:p w:rsidR="00181F4B" w:rsidRPr="00B51ACB" w:rsidRDefault="00181F4B">
            <w:pPr>
              <w:keepNext/>
              <w:jc w:val="right"/>
              <w:rPr>
                <w:rFonts w:ascii="Arial Narrow" w:hAnsi="Arial Narrow" w:cs="Arial"/>
                <w:color w:val="000000"/>
                <w:sz w:val="20"/>
                <w:szCs w:val="20"/>
              </w:rPr>
            </w:pPr>
            <w:r w:rsidRPr="00B51ACB">
              <w:rPr>
                <w:rFonts w:ascii="Arial Narrow" w:hAnsi="Arial Narrow" w:cs="Arial"/>
                <w:color w:val="000000"/>
                <w:sz w:val="20"/>
                <w:szCs w:val="20"/>
              </w:rPr>
              <w:t>-$</w:t>
            </w:r>
            <w:r w:rsidR="00F53810">
              <w:rPr>
                <w:rFonts w:ascii="Arial Narrow" w:hAnsi="Arial Narrow" w:cs="Arial"/>
                <w:noProof/>
                <w:color w:val="000000"/>
                <w:sz w:val="20"/>
                <w:szCs w:val="20"/>
                <w:highlight w:val="black"/>
              </w:rPr>
              <w:t>''''''''''''''''''''</w:t>
            </w:r>
          </w:p>
        </w:tc>
        <w:tc>
          <w:tcPr>
            <w:tcW w:w="761" w:type="pct"/>
            <w:shd w:val="clear" w:color="auto" w:fill="auto"/>
            <w:vAlign w:val="center"/>
          </w:tcPr>
          <w:p w:rsidR="00181F4B" w:rsidRPr="00B51ACB" w:rsidRDefault="00181F4B">
            <w:pPr>
              <w:keepNext/>
              <w:jc w:val="right"/>
              <w:rPr>
                <w:rFonts w:ascii="Arial Narrow" w:hAnsi="Arial Narrow" w:cs="Arial"/>
                <w:color w:val="000000"/>
                <w:sz w:val="20"/>
                <w:szCs w:val="20"/>
              </w:rPr>
            </w:pPr>
            <w:r w:rsidRPr="00B51ACB">
              <w:rPr>
                <w:rFonts w:ascii="Arial Narrow" w:hAnsi="Arial Narrow" w:cs="Arial"/>
                <w:color w:val="000000"/>
                <w:sz w:val="20"/>
                <w:szCs w:val="20"/>
              </w:rPr>
              <w:t>$</w:t>
            </w:r>
            <w:r w:rsidR="00F53810">
              <w:rPr>
                <w:rFonts w:ascii="Arial Narrow" w:hAnsi="Arial Narrow" w:cs="Arial"/>
                <w:noProof/>
                <w:color w:val="000000"/>
                <w:sz w:val="20"/>
                <w:szCs w:val="20"/>
                <w:highlight w:val="black"/>
              </w:rPr>
              <w:t>'''''''''''''''''</w:t>
            </w:r>
          </w:p>
        </w:tc>
        <w:tc>
          <w:tcPr>
            <w:tcW w:w="779" w:type="pct"/>
            <w:shd w:val="clear" w:color="auto" w:fill="auto"/>
            <w:vAlign w:val="center"/>
          </w:tcPr>
          <w:p w:rsidR="00181F4B" w:rsidRPr="00B51ACB" w:rsidRDefault="00181F4B">
            <w:pPr>
              <w:keepNext/>
              <w:jc w:val="right"/>
              <w:rPr>
                <w:rFonts w:ascii="Arial Narrow" w:hAnsi="Arial Narrow" w:cs="Arial"/>
                <w:color w:val="000000"/>
                <w:sz w:val="20"/>
                <w:szCs w:val="20"/>
              </w:rPr>
            </w:pPr>
            <w:r w:rsidRPr="00B51ACB">
              <w:rPr>
                <w:rFonts w:ascii="Arial Narrow" w:hAnsi="Arial Narrow" w:cs="Arial"/>
                <w:color w:val="000000"/>
                <w:sz w:val="20"/>
                <w:szCs w:val="20"/>
              </w:rPr>
              <w:t>$</w:t>
            </w:r>
            <w:r w:rsidR="00F53810">
              <w:rPr>
                <w:rFonts w:ascii="Arial Narrow" w:hAnsi="Arial Narrow" w:cs="Arial"/>
                <w:noProof/>
                <w:color w:val="000000"/>
                <w:sz w:val="20"/>
                <w:szCs w:val="20"/>
                <w:highlight w:val="black"/>
              </w:rPr>
              <w:t>'''''''''''''''''''''</w:t>
            </w:r>
          </w:p>
        </w:tc>
        <w:tc>
          <w:tcPr>
            <w:tcW w:w="698" w:type="pct"/>
            <w:shd w:val="clear" w:color="auto" w:fill="auto"/>
            <w:vAlign w:val="center"/>
          </w:tcPr>
          <w:p w:rsidR="00181F4B" w:rsidRPr="00B51ACB" w:rsidRDefault="00181F4B">
            <w:pPr>
              <w:keepNext/>
              <w:jc w:val="right"/>
              <w:rPr>
                <w:rFonts w:ascii="Arial Narrow" w:hAnsi="Arial Narrow" w:cs="Arial"/>
                <w:color w:val="000000"/>
                <w:sz w:val="20"/>
                <w:szCs w:val="20"/>
              </w:rPr>
            </w:pPr>
            <w:r w:rsidRPr="00B51ACB">
              <w:rPr>
                <w:rFonts w:ascii="Arial Narrow" w:hAnsi="Arial Narrow" w:cs="Arial"/>
                <w:color w:val="000000"/>
                <w:sz w:val="20"/>
                <w:szCs w:val="20"/>
              </w:rPr>
              <w:t>$</w:t>
            </w:r>
            <w:r w:rsidR="00F53810">
              <w:rPr>
                <w:rFonts w:ascii="Arial Narrow" w:hAnsi="Arial Narrow" w:cs="Arial"/>
                <w:noProof/>
                <w:color w:val="000000"/>
                <w:sz w:val="20"/>
                <w:szCs w:val="20"/>
                <w:highlight w:val="black"/>
              </w:rPr>
              <w:t>''''''''''''''''''</w:t>
            </w:r>
          </w:p>
        </w:tc>
      </w:tr>
    </w:tbl>
    <w:p w:rsidR="00B24347" w:rsidRPr="00B51ACB" w:rsidRDefault="00E0477B" w:rsidP="00F30D63">
      <w:pPr>
        <w:pStyle w:val="ListParagraph"/>
        <w:jc w:val="both"/>
        <w:rPr>
          <w:rFonts w:ascii="Arial" w:hAnsi="Arial"/>
          <w:color w:val="000000" w:themeColor="text1"/>
          <w:sz w:val="22"/>
          <w:szCs w:val="22"/>
        </w:rPr>
      </w:pPr>
      <w:r w:rsidRPr="00B51ACB">
        <w:rPr>
          <w:rFonts w:ascii="Arial Narrow" w:hAnsi="Arial Narrow"/>
          <w:color w:val="000000" w:themeColor="text1"/>
          <w:sz w:val="18"/>
          <w:szCs w:val="18"/>
        </w:rPr>
        <w:t>Source: Table 5 of the re-submission p12 and Section E attachment of the minor re-submission</w:t>
      </w:r>
    </w:p>
    <w:p w:rsidR="00040041" w:rsidRDefault="00040041">
      <w:pPr>
        <w:pStyle w:val="ListParagraph"/>
        <w:jc w:val="both"/>
        <w:rPr>
          <w:rFonts w:ascii="Arial" w:hAnsi="Arial"/>
          <w:color w:val="000000" w:themeColor="text1"/>
          <w:sz w:val="22"/>
          <w:szCs w:val="22"/>
        </w:rPr>
      </w:pPr>
    </w:p>
    <w:p w:rsidR="002F3F14" w:rsidRDefault="002F3F14">
      <w:pPr>
        <w:pStyle w:val="ListParagraph"/>
        <w:jc w:val="both"/>
        <w:rPr>
          <w:rFonts w:ascii="Arial" w:hAnsi="Arial"/>
          <w:color w:val="000000" w:themeColor="text1"/>
          <w:sz w:val="22"/>
          <w:szCs w:val="22"/>
        </w:rPr>
      </w:pPr>
      <w:r>
        <w:rPr>
          <w:rFonts w:ascii="Arial" w:hAnsi="Arial"/>
          <w:color w:val="000000" w:themeColor="text1"/>
          <w:sz w:val="22"/>
          <w:szCs w:val="22"/>
        </w:rPr>
        <w:t>The redacted table shows that</w:t>
      </w:r>
      <w:r w:rsidR="00BD71C7">
        <w:rPr>
          <w:rFonts w:ascii="Arial" w:hAnsi="Arial"/>
          <w:color w:val="000000" w:themeColor="text1"/>
          <w:sz w:val="22"/>
          <w:szCs w:val="22"/>
        </w:rPr>
        <w:t xml:space="preserve"> at year 5, the</w:t>
      </w:r>
      <w:r>
        <w:rPr>
          <w:rFonts w:ascii="Arial" w:hAnsi="Arial"/>
          <w:color w:val="000000" w:themeColor="text1"/>
          <w:sz w:val="22"/>
          <w:szCs w:val="22"/>
        </w:rPr>
        <w:t xml:space="preserve"> estimated number of patients was less than 10,000 </w:t>
      </w:r>
      <w:r w:rsidR="00BD71C7">
        <w:rPr>
          <w:rFonts w:ascii="Arial" w:hAnsi="Arial"/>
          <w:color w:val="000000" w:themeColor="text1"/>
          <w:sz w:val="22"/>
          <w:szCs w:val="22"/>
        </w:rPr>
        <w:t xml:space="preserve">and </w:t>
      </w:r>
      <w:r>
        <w:rPr>
          <w:rFonts w:ascii="Arial" w:hAnsi="Arial"/>
          <w:color w:val="000000" w:themeColor="text1"/>
          <w:sz w:val="22"/>
          <w:szCs w:val="22"/>
        </w:rPr>
        <w:t>the net cost to the PBS would be less than $10 million.</w:t>
      </w:r>
    </w:p>
    <w:p w:rsidR="002F3F14" w:rsidRPr="00B51ACB" w:rsidRDefault="002F3F14">
      <w:pPr>
        <w:pStyle w:val="ListParagraph"/>
        <w:jc w:val="both"/>
        <w:rPr>
          <w:rFonts w:ascii="Arial" w:hAnsi="Arial"/>
          <w:color w:val="000000" w:themeColor="text1"/>
          <w:sz w:val="22"/>
          <w:szCs w:val="22"/>
        </w:rPr>
      </w:pPr>
    </w:p>
    <w:p w:rsidR="004D1F39" w:rsidRPr="00B51ACB" w:rsidRDefault="0091642B" w:rsidP="00767CAC">
      <w:pPr>
        <w:pStyle w:val="ListParagraph"/>
        <w:numPr>
          <w:ilvl w:val="1"/>
          <w:numId w:val="1"/>
        </w:numPr>
        <w:jc w:val="both"/>
        <w:rPr>
          <w:rFonts w:ascii="Arial" w:hAnsi="Arial"/>
          <w:color w:val="000000" w:themeColor="text1"/>
          <w:sz w:val="22"/>
          <w:szCs w:val="22"/>
        </w:rPr>
      </w:pPr>
      <w:r w:rsidRPr="00B51ACB">
        <w:rPr>
          <w:rFonts w:ascii="Arial" w:hAnsi="Arial"/>
          <w:color w:val="000000" w:themeColor="text1"/>
          <w:sz w:val="22"/>
          <w:szCs w:val="22"/>
        </w:rPr>
        <w:t xml:space="preserve">The resubmission </w:t>
      </w:r>
      <w:r w:rsidR="009D0BBD" w:rsidRPr="00B51ACB">
        <w:rPr>
          <w:rFonts w:ascii="Arial" w:hAnsi="Arial"/>
          <w:color w:val="000000" w:themeColor="text1"/>
          <w:sz w:val="22"/>
          <w:szCs w:val="22"/>
        </w:rPr>
        <w:t>acknowledged</w:t>
      </w:r>
      <w:r w:rsidRPr="00B51ACB">
        <w:rPr>
          <w:rFonts w:ascii="Arial" w:hAnsi="Arial"/>
          <w:color w:val="000000" w:themeColor="text1"/>
          <w:sz w:val="22"/>
          <w:szCs w:val="22"/>
        </w:rPr>
        <w:t xml:space="preserve"> that t</w:t>
      </w:r>
      <w:r w:rsidR="004D1F39" w:rsidRPr="00B51ACB">
        <w:rPr>
          <w:rFonts w:ascii="Arial" w:hAnsi="Arial"/>
          <w:color w:val="000000" w:themeColor="text1"/>
          <w:sz w:val="22"/>
          <w:szCs w:val="22"/>
        </w:rPr>
        <w:t xml:space="preserve">hese </w:t>
      </w:r>
      <w:r w:rsidR="00040041" w:rsidRPr="00B51ACB">
        <w:rPr>
          <w:rFonts w:ascii="Arial" w:hAnsi="Arial"/>
          <w:color w:val="000000" w:themeColor="text1"/>
          <w:sz w:val="22"/>
          <w:szCs w:val="22"/>
        </w:rPr>
        <w:t xml:space="preserve">financial </w:t>
      </w:r>
      <w:r w:rsidR="004D1F39" w:rsidRPr="00B51ACB">
        <w:rPr>
          <w:rFonts w:ascii="Arial" w:hAnsi="Arial"/>
          <w:color w:val="000000" w:themeColor="text1"/>
          <w:sz w:val="22"/>
          <w:szCs w:val="22"/>
        </w:rPr>
        <w:t>implications only assumed a reduced use of infliximab and did not factor the market share of adalimumab with the recent listing of vedolizumab.</w:t>
      </w:r>
      <w:r w:rsidRPr="00B51ACB">
        <w:rPr>
          <w:rFonts w:ascii="Arial" w:hAnsi="Arial"/>
          <w:color w:val="000000" w:themeColor="text1"/>
          <w:sz w:val="22"/>
          <w:szCs w:val="22"/>
        </w:rPr>
        <w:t xml:space="preserve"> The resubmission stated that</w:t>
      </w:r>
      <w:r w:rsidR="00040041" w:rsidRPr="00B51ACB">
        <w:rPr>
          <w:rFonts w:ascii="Arial" w:hAnsi="Arial"/>
          <w:color w:val="000000" w:themeColor="text1"/>
          <w:sz w:val="22"/>
          <w:szCs w:val="22"/>
        </w:rPr>
        <w:t>,</w:t>
      </w:r>
      <w:r w:rsidRPr="00B51ACB">
        <w:rPr>
          <w:rFonts w:ascii="Arial" w:hAnsi="Arial"/>
          <w:color w:val="000000" w:themeColor="text1"/>
          <w:sz w:val="22"/>
          <w:szCs w:val="22"/>
        </w:rPr>
        <w:t xml:space="preserve"> to date</w:t>
      </w:r>
      <w:r w:rsidR="00040041" w:rsidRPr="00B51ACB">
        <w:rPr>
          <w:rFonts w:ascii="Arial" w:hAnsi="Arial"/>
          <w:color w:val="000000" w:themeColor="text1"/>
          <w:sz w:val="22"/>
          <w:szCs w:val="22"/>
        </w:rPr>
        <w:t>,</w:t>
      </w:r>
      <w:r w:rsidRPr="00B51ACB">
        <w:rPr>
          <w:rFonts w:ascii="Arial" w:hAnsi="Arial"/>
          <w:color w:val="000000" w:themeColor="text1"/>
          <w:sz w:val="22"/>
          <w:szCs w:val="22"/>
        </w:rPr>
        <w:t xml:space="preserve"> vedolizumab still cannot be appropriately estimated due to the lag in the availability of the PBS item data.</w:t>
      </w:r>
    </w:p>
    <w:p w:rsidR="001A44EB" w:rsidRPr="00B51ACB" w:rsidRDefault="001A44EB">
      <w:pPr>
        <w:pStyle w:val="ListParagraph"/>
        <w:jc w:val="both"/>
        <w:rPr>
          <w:rFonts w:ascii="Arial" w:hAnsi="Arial"/>
          <w:b/>
          <w:i/>
          <w:sz w:val="22"/>
          <w:szCs w:val="22"/>
        </w:rPr>
      </w:pPr>
    </w:p>
    <w:p w:rsidR="001149FE" w:rsidRPr="00B51ACB" w:rsidRDefault="001149FE" w:rsidP="00EC29CE">
      <w:pPr>
        <w:ind w:firstLine="720"/>
        <w:contextualSpacing/>
        <w:jc w:val="both"/>
        <w:rPr>
          <w:rFonts w:ascii="Arial" w:hAnsi="Arial" w:cs="Arial"/>
          <w:i/>
          <w:snapToGrid w:val="0"/>
          <w:sz w:val="22"/>
          <w:szCs w:val="22"/>
          <w:lang w:eastAsia="en-US"/>
        </w:rPr>
      </w:pPr>
      <w:r w:rsidRPr="00B51ACB">
        <w:rPr>
          <w:rFonts w:ascii="Arial" w:hAnsi="Arial" w:cs="Arial"/>
          <w:i/>
          <w:snapToGrid w:val="0"/>
          <w:sz w:val="22"/>
          <w:szCs w:val="22"/>
          <w:lang w:eastAsia="en-US"/>
        </w:rPr>
        <w:t>For more detail on PBAC’s view, see section 7 “PBAC outcome”</w:t>
      </w:r>
    </w:p>
    <w:p w:rsidR="001149FE" w:rsidRPr="00B51ACB" w:rsidRDefault="001149FE">
      <w:pPr>
        <w:ind w:firstLine="709"/>
        <w:jc w:val="both"/>
        <w:rPr>
          <w:rFonts w:ascii="Arial Narrow" w:hAnsi="Arial Narrow" w:cs="Arial"/>
          <w:snapToGrid w:val="0"/>
          <w:sz w:val="22"/>
          <w:szCs w:val="22"/>
          <w:lang w:eastAsia="en-US"/>
        </w:rPr>
      </w:pPr>
    </w:p>
    <w:p w:rsidR="001149FE" w:rsidRPr="00B51ACB" w:rsidRDefault="001149FE">
      <w:pPr>
        <w:ind w:firstLine="709"/>
        <w:jc w:val="both"/>
        <w:rPr>
          <w:rFonts w:ascii="Arial Narrow" w:hAnsi="Arial Narrow" w:cs="Arial"/>
          <w:snapToGrid w:val="0"/>
          <w:sz w:val="22"/>
          <w:szCs w:val="22"/>
          <w:lang w:eastAsia="en-US"/>
        </w:rPr>
      </w:pPr>
    </w:p>
    <w:p w:rsidR="001149FE" w:rsidRPr="00B51ACB" w:rsidRDefault="001149FE" w:rsidP="00181333">
      <w:pPr>
        <w:pStyle w:val="Heading1"/>
        <w:rPr>
          <w:snapToGrid w:val="0"/>
          <w:lang w:eastAsia="en-US"/>
        </w:rPr>
      </w:pPr>
      <w:r w:rsidRPr="00B51ACB">
        <w:rPr>
          <w:snapToGrid w:val="0"/>
          <w:lang w:eastAsia="en-US"/>
        </w:rPr>
        <w:t>PBAC Outcome</w:t>
      </w:r>
    </w:p>
    <w:p w:rsidR="001149FE" w:rsidRPr="00B51ACB" w:rsidRDefault="001149FE">
      <w:pPr>
        <w:contextualSpacing/>
        <w:jc w:val="both"/>
        <w:rPr>
          <w:rFonts w:ascii="Arial" w:hAnsi="Arial" w:cs="Arial"/>
          <w:b/>
          <w:bCs/>
          <w:snapToGrid w:val="0"/>
          <w:sz w:val="22"/>
          <w:szCs w:val="22"/>
          <w:lang w:eastAsia="en-US"/>
        </w:rPr>
      </w:pPr>
    </w:p>
    <w:p w:rsidR="00BE0804" w:rsidRDefault="00BE0804" w:rsidP="00767CAC">
      <w:pPr>
        <w:pStyle w:val="ListParagraph"/>
        <w:numPr>
          <w:ilvl w:val="1"/>
          <w:numId w:val="1"/>
        </w:numPr>
        <w:jc w:val="both"/>
        <w:rPr>
          <w:rFonts w:ascii="Arial" w:hAnsi="Arial" w:cs="Arial"/>
          <w:bCs/>
          <w:snapToGrid w:val="0"/>
          <w:sz w:val="22"/>
          <w:szCs w:val="22"/>
          <w:lang w:eastAsia="en-US"/>
        </w:rPr>
      </w:pPr>
      <w:r w:rsidRPr="00B51ACB">
        <w:rPr>
          <w:rFonts w:ascii="Arial" w:hAnsi="Arial" w:cs="Arial"/>
          <w:bCs/>
          <w:snapToGrid w:val="0"/>
          <w:sz w:val="22"/>
          <w:szCs w:val="22"/>
          <w:lang w:eastAsia="en-US"/>
        </w:rPr>
        <w:t xml:space="preserve">The PBAC recommended the listing of adalimumab on the General Schedule for the treatment of moderate to severe ulcerative colitis (UC) on the basis of a clinical need for subcutaneous therapy for this condition. In making this recommendation, the PBAC considered that while </w:t>
      </w:r>
      <w:r w:rsidR="00B53145">
        <w:rPr>
          <w:rFonts w:ascii="Arial" w:hAnsi="Arial" w:cs="Arial"/>
          <w:bCs/>
          <w:snapToGrid w:val="0"/>
          <w:sz w:val="22"/>
          <w:szCs w:val="22"/>
          <w:lang w:eastAsia="en-US"/>
        </w:rPr>
        <w:t xml:space="preserve">adalimumab is </w:t>
      </w:r>
      <w:r w:rsidRPr="00B51ACB">
        <w:rPr>
          <w:rFonts w:ascii="Arial" w:hAnsi="Arial" w:cs="Arial"/>
          <w:bCs/>
          <w:snapToGrid w:val="0"/>
          <w:sz w:val="22"/>
          <w:szCs w:val="22"/>
          <w:lang w:eastAsia="en-US"/>
        </w:rPr>
        <w:t>inferior to infliximab for this indication, listing will allow clinicians to choose from a range of bDMARDs with different modes of administration for the treatment of individual patients. The PBAC considered that the inferiority should be reflected in the pric</w:t>
      </w:r>
      <w:r>
        <w:rPr>
          <w:rFonts w:ascii="Arial" w:hAnsi="Arial" w:cs="Arial"/>
          <w:bCs/>
          <w:snapToGrid w:val="0"/>
          <w:sz w:val="22"/>
          <w:szCs w:val="22"/>
          <w:lang w:eastAsia="en-US"/>
        </w:rPr>
        <w:t>ing</w:t>
      </w:r>
      <w:r w:rsidRPr="00B51ACB">
        <w:rPr>
          <w:rFonts w:ascii="Arial" w:hAnsi="Arial" w:cs="Arial"/>
          <w:bCs/>
          <w:snapToGrid w:val="0"/>
          <w:sz w:val="22"/>
          <w:szCs w:val="22"/>
          <w:lang w:eastAsia="en-US"/>
        </w:rPr>
        <w:t xml:space="preserve"> of adalimumab.</w:t>
      </w:r>
    </w:p>
    <w:p w:rsidR="00BE0804" w:rsidRDefault="00BE0804" w:rsidP="00BE0804">
      <w:pPr>
        <w:pStyle w:val="ListParagraph"/>
        <w:jc w:val="both"/>
        <w:rPr>
          <w:rFonts w:ascii="Arial" w:hAnsi="Arial" w:cs="Arial"/>
          <w:bCs/>
          <w:snapToGrid w:val="0"/>
          <w:sz w:val="22"/>
          <w:szCs w:val="22"/>
          <w:lang w:eastAsia="en-US"/>
        </w:rPr>
      </w:pPr>
    </w:p>
    <w:p w:rsidR="00B9793C" w:rsidRDefault="003930FC" w:rsidP="00767CAC">
      <w:pPr>
        <w:pStyle w:val="ListParagraph"/>
        <w:numPr>
          <w:ilvl w:val="1"/>
          <w:numId w:val="1"/>
        </w:numPr>
        <w:jc w:val="both"/>
        <w:rPr>
          <w:rFonts w:ascii="Arial" w:hAnsi="Arial" w:cs="Arial"/>
          <w:bCs/>
          <w:snapToGrid w:val="0"/>
          <w:sz w:val="22"/>
          <w:szCs w:val="22"/>
          <w:lang w:eastAsia="en-US"/>
        </w:rPr>
      </w:pPr>
      <w:r w:rsidRPr="00B51ACB">
        <w:rPr>
          <w:rFonts w:ascii="Arial" w:hAnsi="Arial" w:cs="Arial"/>
          <w:bCs/>
          <w:snapToGrid w:val="0"/>
          <w:sz w:val="22"/>
          <w:szCs w:val="22"/>
          <w:lang w:eastAsia="en-US"/>
        </w:rPr>
        <w:t xml:space="preserve">The PBAC </w:t>
      </w:r>
      <w:r w:rsidR="003A1E91" w:rsidRPr="00B51ACB">
        <w:rPr>
          <w:rFonts w:ascii="Arial" w:hAnsi="Arial" w:cs="Arial"/>
          <w:bCs/>
          <w:snapToGrid w:val="0"/>
          <w:sz w:val="22"/>
          <w:szCs w:val="22"/>
          <w:lang w:eastAsia="en-US"/>
        </w:rPr>
        <w:t xml:space="preserve">therefore </w:t>
      </w:r>
      <w:r w:rsidRPr="00B51ACB">
        <w:rPr>
          <w:rFonts w:ascii="Arial" w:hAnsi="Arial" w:cs="Arial"/>
          <w:bCs/>
          <w:snapToGrid w:val="0"/>
          <w:sz w:val="22"/>
          <w:szCs w:val="22"/>
          <w:lang w:eastAsia="en-US"/>
        </w:rPr>
        <w:t xml:space="preserve">recommended extending the current listing </w:t>
      </w:r>
      <w:r w:rsidR="00B51ACB" w:rsidRPr="00B51ACB">
        <w:rPr>
          <w:rFonts w:ascii="Arial" w:hAnsi="Arial" w:cs="Arial"/>
          <w:bCs/>
          <w:snapToGrid w:val="0"/>
          <w:sz w:val="22"/>
          <w:szCs w:val="22"/>
          <w:lang w:eastAsia="en-US"/>
        </w:rPr>
        <w:t>based on</w:t>
      </w:r>
      <w:r w:rsidRPr="00B51ACB">
        <w:rPr>
          <w:rFonts w:ascii="Arial" w:hAnsi="Arial" w:cs="Arial"/>
          <w:bCs/>
          <w:snapToGrid w:val="0"/>
          <w:sz w:val="22"/>
          <w:szCs w:val="22"/>
          <w:lang w:eastAsia="en-US"/>
        </w:rPr>
        <w:t xml:space="preserve"> the offered </w:t>
      </w:r>
      <w:r w:rsidR="00F53810">
        <w:rPr>
          <w:rFonts w:ascii="Arial" w:hAnsi="Arial" w:cs="Arial"/>
          <w:bCs/>
          <w:noProof/>
          <w:snapToGrid w:val="0"/>
          <w:color w:val="000000"/>
          <w:sz w:val="22"/>
          <w:szCs w:val="22"/>
          <w:highlight w:val="black"/>
          <w:lang w:eastAsia="en-US"/>
        </w:rPr>
        <w:t>''''''</w:t>
      </w:r>
      <w:r w:rsidRPr="00B51ACB">
        <w:rPr>
          <w:rFonts w:ascii="Arial" w:hAnsi="Arial" w:cs="Arial"/>
          <w:bCs/>
          <w:snapToGrid w:val="0"/>
          <w:sz w:val="22"/>
          <w:szCs w:val="22"/>
          <w:lang w:eastAsia="en-US"/>
        </w:rPr>
        <w:t xml:space="preserve">% price reduction of the </w:t>
      </w:r>
      <w:r w:rsidR="00F53810">
        <w:rPr>
          <w:rFonts w:ascii="Arial" w:hAnsi="Arial" w:cs="Arial"/>
          <w:bCs/>
          <w:noProof/>
          <w:snapToGrid w:val="0"/>
          <w:color w:val="000000"/>
          <w:sz w:val="22"/>
          <w:szCs w:val="22"/>
          <w:highlight w:val="black"/>
          <w:lang w:eastAsia="en-US"/>
        </w:rPr>
        <w:t>'''</w:t>
      </w:r>
      <w:r w:rsidRPr="00B51ACB">
        <w:rPr>
          <w:rFonts w:ascii="Arial" w:hAnsi="Arial" w:cs="Arial"/>
          <w:bCs/>
          <w:snapToGrid w:val="0"/>
          <w:sz w:val="22"/>
          <w:szCs w:val="22"/>
          <w:lang w:eastAsia="en-US"/>
        </w:rPr>
        <w:t xml:space="preserve">-pack and that the price of the </w:t>
      </w:r>
      <w:r w:rsidR="00F53810">
        <w:rPr>
          <w:rFonts w:ascii="Arial" w:hAnsi="Arial" w:cs="Arial"/>
          <w:bCs/>
          <w:noProof/>
          <w:snapToGrid w:val="0"/>
          <w:color w:val="000000"/>
          <w:sz w:val="22"/>
          <w:szCs w:val="22"/>
          <w:highlight w:val="black"/>
          <w:lang w:eastAsia="en-US"/>
        </w:rPr>
        <w:t>'''</w:t>
      </w:r>
      <w:r w:rsidRPr="00B51ACB">
        <w:rPr>
          <w:rFonts w:ascii="Arial" w:hAnsi="Arial" w:cs="Arial"/>
          <w:bCs/>
          <w:snapToGrid w:val="0"/>
          <w:sz w:val="22"/>
          <w:szCs w:val="22"/>
          <w:lang w:eastAsia="en-US"/>
        </w:rPr>
        <w:t xml:space="preserve">-pack is </w:t>
      </w:r>
      <w:r w:rsidR="00B51ACB" w:rsidRPr="00B51ACB">
        <w:rPr>
          <w:rFonts w:ascii="Arial" w:hAnsi="Arial" w:cs="Arial"/>
          <w:bCs/>
          <w:snapToGrid w:val="0"/>
          <w:sz w:val="22"/>
          <w:szCs w:val="22"/>
          <w:lang w:eastAsia="en-US"/>
        </w:rPr>
        <w:t xml:space="preserve">reduced by </w:t>
      </w:r>
      <w:r w:rsidRPr="00B51ACB">
        <w:rPr>
          <w:rFonts w:ascii="Arial" w:hAnsi="Arial" w:cs="Arial"/>
          <w:bCs/>
          <w:snapToGrid w:val="0"/>
          <w:sz w:val="22"/>
          <w:szCs w:val="22"/>
          <w:lang w:eastAsia="en-US"/>
        </w:rPr>
        <w:t xml:space="preserve">around </w:t>
      </w:r>
      <w:r w:rsidR="00F53810">
        <w:rPr>
          <w:rFonts w:ascii="Arial" w:hAnsi="Arial" w:cs="Arial"/>
          <w:bCs/>
          <w:noProof/>
          <w:snapToGrid w:val="0"/>
          <w:color w:val="000000"/>
          <w:sz w:val="22"/>
          <w:szCs w:val="22"/>
          <w:highlight w:val="black"/>
          <w:lang w:eastAsia="en-US"/>
        </w:rPr>
        <w:t>''''''</w:t>
      </w:r>
      <w:r w:rsidRPr="00B51ACB">
        <w:rPr>
          <w:rFonts w:ascii="Arial" w:hAnsi="Arial" w:cs="Arial"/>
          <w:bCs/>
          <w:snapToGrid w:val="0"/>
          <w:sz w:val="22"/>
          <w:szCs w:val="22"/>
          <w:lang w:eastAsia="en-US"/>
        </w:rPr>
        <w:t>% compar</w:t>
      </w:r>
      <w:r w:rsidR="00B51ACB" w:rsidRPr="00B51ACB">
        <w:rPr>
          <w:rFonts w:ascii="Arial" w:hAnsi="Arial" w:cs="Arial"/>
          <w:bCs/>
          <w:snapToGrid w:val="0"/>
          <w:sz w:val="22"/>
          <w:szCs w:val="22"/>
          <w:lang w:eastAsia="en-US"/>
        </w:rPr>
        <w:t>ed</w:t>
      </w:r>
      <w:r w:rsidRPr="00B51ACB">
        <w:rPr>
          <w:rFonts w:ascii="Arial" w:hAnsi="Arial" w:cs="Arial"/>
          <w:bCs/>
          <w:snapToGrid w:val="0"/>
          <w:sz w:val="22"/>
          <w:szCs w:val="22"/>
          <w:lang w:eastAsia="en-US"/>
        </w:rPr>
        <w:t xml:space="preserve"> </w:t>
      </w:r>
      <w:r w:rsidR="00B51ACB" w:rsidRPr="00B51ACB">
        <w:rPr>
          <w:rFonts w:ascii="Arial" w:hAnsi="Arial" w:cs="Arial"/>
          <w:bCs/>
          <w:snapToGrid w:val="0"/>
          <w:sz w:val="22"/>
          <w:szCs w:val="22"/>
          <w:lang w:eastAsia="en-US"/>
        </w:rPr>
        <w:t xml:space="preserve">to the equi-effective </w:t>
      </w:r>
      <w:r w:rsidRPr="00B51ACB">
        <w:rPr>
          <w:rFonts w:ascii="Arial" w:hAnsi="Arial" w:cs="Arial"/>
          <w:bCs/>
          <w:snapToGrid w:val="0"/>
          <w:sz w:val="22"/>
          <w:szCs w:val="22"/>
          <w:lang w:eastAsia="en-US"/>
        </w:rPr>
        <w:t>dose of infliximab.</w:t>
      </w:r>
      <w:r w:rsidR="00B9793C" w:rsidRPr="00B51ACB">
        <w:rPr>
          <w:rFonts w:ascii="Arial" w:hAnsi="Arial" w:cs="Arial"/>
          <w:bCs/>
          <w:snapToGrid w:val="0"/>
          <w:sz w:val="22"/>
          <w:szCs w:val="22"/>
          <w:lang w:eastAsia="en-US"/>
        </w:rPr>
        <w:t xml:space="preserve"> </w:t>
      </w:r>
    </w:p>
    <w:p w:rsidR="00B53145" w:rsidRPr="00B53145" w:rsidRDefault="00B53145" w:rsidP="00B53145">
      <w:pPr>
        <w:pStyle w:val="ListParagraph"/>
        <w:rPr>
          <w:rFonts w:ascii="Arial" w:hAnsi="Arial" w:cs="Arial"/>
          <w:bCs/>
          <w:snapToGrid w:val="0"/>
          <w:sz w:val="22"/>
          <w:szCs w:val="22"/>
          <w:lang w:eastAsia="en-US"/>
        </w:rPr>
      </w:pPr>
    </w:p>
    <w:p w:rsidR="00B53145" w:rsidRPr="00B51ACB" w:rsidRDefault="00B53145" w:rsidP="00767CAC">
      <w:pPr>
        <w:numPr>
          <w:ilvl w:val="1"/>
          <w:numId w:val="1"/>
        </w:numPr>
        <w:contextualSpacing/>
        <w:jc w:val="both"/>
        <w:rPr>
          <w:rFonts w:ascii="Arial" w:hAnsi="Arial" w:cs="Arial"/>
          <w:bCs/>
          <w:snapToGrid w:val="0"/>
          <w:sz w:val="22"/>
          <w:szCs w:val="22"/>
          <w:lang w:eastAsia="en-US"/>
        </w:rPr>
      </w:pPr>
      <w:r w:rsidRPr="00B51ACB">
        <w:rPr>
          <w:rFonts w:ascii="Arial" w:hAnsi="Arial" w:cs="Arial"/>
          <w:bCs/>
          <w:snapToGrid w:val="0"/>
          <w:sz w:val="22"/>
          <w:szCs w:val="22"/>
          <w:lang w:eastAsia="en-US"/>
        </w:rPr>
        <w:t>The PBAC recommendation was based the following comparable doses: adalimumab 160 mg at week 0 and 80 mg week 2, then 40 mg fortnightly thereafter and infliximab 5 mg/kg (weeks 0, 2, and 6 then every 8 weeks thereafter).</w:t>
      </w:r>
    </w:p>
    <w:p w:rsidR="00B9793C" w:rsidRPr="00B51ACB" w:rsidRDefault="00B9793C" w:rsidP="00BE0804">
      <w:pPr>
        <w:pStyle w:val="ListParagraph"/>
        <w:jc w:val="both"/>
        <w:rPr>
          <w:rFonts w:ascii="Arial" w:hAnsi="Arial" w:cs="Arial"/>
          <w:bCs/>
          <w:snapToGrid w:val="0"/>
          <w:sz w:val="22"/>
          <w:szCs w:val="22"/>
          <w:lang w:eastAsia="en-US"/>
        </w:rPr>
      </w:pPr>
    </w:p>
    <w:p w:rsidR="00B9793C" w:rsidRPr="00B51ACB" w:rsidRDefault="00B9793C" w:rsidP="00767CAC">
      <w:pPr>
        <w:pStyle w:val="ListParagraph"/>
        <w:numPr>
          <w:ilvl w:val="1"/>
          <w:numId w:val="1"/>
        </w:numPr>
        <w:jc w:val="both"/>
        <w:rPr>
          <w:rFonts w:ascii="Arial" w:hAnsi="Arial" w:cs="Arial"/>
          <w:bCs/>
          <w:snapToGrid w:val="0"/>
          <w:sz w:val="22"/>
          <w:szCs w:val="22"/>
          <w:lang w:eastAsia="en-US"/>
        </w:rPr>
      </w:pPr>
      <w:r w:rsidRPr="00B51ACB">
        <w:rPr>
          <w:rFonts w:ascii="Arial" w:hAnsi="Arial" w:cs="Arial"/>
          <w:bCs/>
          <w:snapToGrid w:val="0"/>
          <w:sz w:val="22"/>
          <w:szCs w:val="22"/>
          <w:lang w:eastAsia="en-US"/>
        </w:rPr>
        <w:lastRenderedPageBreak/>
        <w:t xml:space="preserve">The PBAC recalled that it previously considered </w:t>
      </w:r>
      <w:r w:rsidR="00B51ACB" w:rsidRPr="00B51ACB">
        <w:rPr>
          <w:rFonts w:ascii="Arial" w:hAnsi="Arial" w:cs="Arial"/>
          <w:bCs/>
          <w:snapToGrid w:val="0"/>
          <w:sz w:val="22"/>
          <w:szCs w:val="22"/>
          <w:lang w:eastAsia="en-US"/>
        </w:rPr>
        <w:t xml:space="preserve">that </w:t>
      </w:r>
      <w:r w:rsidRPr="00B51ACB">
        <w:rPr>
          <w:rFonts w:ascii="Arial" w:hAnsi="Arial" w:cs="Arial"/>
          <w:bCs/>
          <w:snapToGrid w:val="0"/>
          <w:sz w:val="22"/>
          <w:szCs w:val="22"/>
          <w:lang w:eastAsia="en-US"/>
        </w:rPr>
        <w:t>MBS item 14245 ($97.95) was the most appropriate cost to use to account for the avoided administration cost of infliximab infusions.</w:t>
      </w:r>
    </w:p>
    <w:p w:rsidR="00A8575D" w:rsidRPr="00B51ACB" w:rsidRDefault="00A8575D">
      <w:pPr>
        <w:ind w:left="720"/>
        <w:contextualSpacing/>
        <w:jc w:val="both"/>
        <w:rPr>
          <w:rFonts w:ascii="Arial" w:hAnsi="Arial" w:cs="Arial"/>
          <w:bCs/>
          <w:snapToGrid w:val="0"/>
          <w:sz w:val="22"/>
          <w:szCs w:val="22"/>
          <w:lang w:eastAsia="en-US"/>
        </w:rPr>
      </w:pPr>
    </w:p>
    <w:p w:rsidR="003A1E91" w:rsidRPr="00B51ACB" w:rsidRDefault="003A1E91" w:rsidP="00767CAC">
      <w:pPr>
        <w:numPr>
          <w:ilvl w:val="1"/>
          <w:numId w:val="1"/>
        </w:numPr>
        <w:contextualSpacing/>
        <w:jc w:val="both"/>
        <w:rPr>
          <w:rFonts w:ascii="Arial" w:hAnsi="Arial" w:cs="Arial"/>
          <w:bCs/>
          <w:snapToGrid w:val="0"/>
          <w:sz w:val="22"/>
          <w:szCs w:val="22"/>
          <w:lang w:eastAsia="en-US"/>
        </w:rPr>
      </w:pPr>
      <w:r w:rsidRPr="00B51ACB">
        <w:rPr>
          <w:rFonts w:ascii="Arial" w:hAnsi="Arial" w:cs="Arial"/>
          <w:bCs/>
          <w:snapToGrid w:val="0"/>
          <w:sz w:val="22"/>
          <w:szCs w:val="22"/>
          <w:lang w:eastAsia="en-US"/>
        </w:rPr>
        <w:t>The PBAC noted that there were no new data presented in the minor re-submission. The PBAC therefore reaffirmed its view on the indirect comparison presented in the July 2015 submission, which was based on the three RCTs comparing adalimumab with placebo (ULTRA1, ULTRA2 and Suzuki 2004) and the three RCTs comparing infliximab with placebo (ACT1, ACT2 and Probert); specifically, that the comparison provided low certainty evidence for the claim on non-inferiority between adalimumab and infliximab, in the maintenance phase. The PBAC noted that the November 2015 re-submission acknowledged that adalimumab is inferior to infliximab in the induction phase.</w:t>
      </w:r>
    </w:p>
    <w:p w:rsidR="003A1E91" w:rsidRPr="00B51ACB" w:rsidRDefault="003A1E91" w:rsidP="00BE0804">
      <w:pPr>
        <w:pStyle w:val="ListParagraph"/>
        <w:jc w:val="both"/>
        <w:rPr>
          <w:rFonts w:ascii="Arial" w:hAnsi="Arial" w:cs="Arial"/>
          <w:bCs/>
          <w:snapToGrid w:val="0"/>
          <w:sz w:val="22"/>
          <w:szCs w:val="22"/>
          <w:lang w:eastAsia="en-US"/>
        </w:rPr>
      </w:pPr>
    </w:p>
    <w:p w:rsidR="001149FE" w:rsidRPr="00B51ACB" w:rsidRDefault="00D237FD" w:rsidP="00767CAC">
      <w:pPr>
        <w:numPr>
          <w:ilvl w:val="1"/>
          <w:numId w:val="1"/>
        </w:numPr>
        <w:contextualSpacing/>
        <w:jc w:val="both"/>
        <w:rPr>
          <w:rFonts w:ascii="Arial" w:hAnsi="Arial" w:cs="Arial"/>
          <w:bCs/>
          <w:snapToGrid w:val="0"/>
          <w:sz w:val="22"/>
          <w:szCs w:val="22"/>
          <w:lang w:eastAsia="en-US"/>
        </w:rPr>
      </w:pPr>
      <w:r w:rsidRPr="00B51ACB">
        <w:rPr>
          <w:rFonts w:ascii="Arial" w:hAnsi="Arial" w:cs="Arial"/>
          <w:bCs/>
          <w:snapToGrid w:val="0"/>
          <w:sz w:val="22"/>
          <w:szCs w:val="22"/>
          <w:lang w:eastAsia="en-US"/>
        </w:rPr>
        <w:t>The PBAC noted that infliximab and vedo</w:t>
      </w:r>
      <w:r w:rsidR="00613406" w:rsidRPr="00B51ACB">
        <w:rPr>
          <w:rFonts w:ascii="Arial" w:hAnsi="Arial" w:cs="Arial"/>
          <w:bCs/>
          <w:snapToGrid w:val="0"/>
          <w:sz w:val="22"/>
          <w:szCs w:val="22"/>
          <w:lang w:eastAsia="en-US"/>
        </w:rPr>
        <w:t xml:space="preserve">lizumab are currently PBS-listed for the treatment of UC, and </w:t>
      </w:r>
      <w:r w:rsidR="00016AE0" w:rsidRPr="00B51ACB">
        <w:rPr>
          <w:rFonts w:ascii="Arial" w:hAnsi="Arial" w:cs="Arial"/>
          <w:bCs/>
          <w:snapToGrid w:val="0"/>
          <w:sz w:val="22"/>
          <w:szCs w:val="22"/>
          <w:lang w:eastAsia="en-US"/>
        </w:rPr>
        <w:t xml:space="preserve">that </w:t>
      </w:r>
      <w:r w:rsidR="00613406" w:rsidRPr="00B51ACB">
        <w:rPr>
          <w:rFonts w:ascii="Arial" w:hAnsi="Arial" w:cs="Arial"/>
          <w:bCs/>
          <w:snapToGrid w:val="0"/>
          <w:sz w:val="22"/>
          <w:szCs w:val="22"/>
          <w:lang w:eastAsia="en-US"/>
        </w:rPr>
        <w:t>both</w:t>
      </w:r>
      <w:r w:rsidR="00016AE0" w:rsidRPr="00B51ACB">
        <w:rPr>
          <w:rFonts w:ascii="Arial" w:hAnsi="Arial" w:cs="Arial"/>
          <w:bCs/>
          <w:snapToGrid w:val="0"/>
          <w:sz w:val="22"/>
          <w:szCs w:val="22"/>
          <w:lang w:eastAsia="en-US"/>
        </w:rPr>
        <w:t xml:space="preserve"> drugs</w:t>
      </w:r>
      <w:r w:rsidR="00613406" w:rsidRPr="00B51ACB">
        <w:rPr>
          <w:rFonts w:ascii="Arial" w:hAnsi="Arial" w:cs="Arial"/>
          <w:bCs/>
          <w:snapToGrid w:val="0"/>
          <w:sz w:val="22"/>
          <w:szCs w:val="22"/>
          <w:lang w:eastAsia="en-US"/>
        </w:rPr>
        <w:t xml:space="preserve"> are administered by intravenous infusion</w:t>
      </w:r>
      <w:r w:rsidR="00A8575D" w:rsidRPr="00B51ACB">
        <w:rPr>
          <w:rFonts w:ascii="Arial" w:hAnsi="Arial" w:cs="Arial"/>
          <w:bCs/>
          <w:snapToGrid w:val="0"/>
          <w:sz w:val="22"/>
          <w:szCs w:val="22"/>
          <w:lang w:eastAsia="en-US"/>
        </w:rPr>
        <w:t>s</w:t>
      </w:r>
      <w:r w:rsidR="00613406" w:rsidRPr="00B51ACB">
        <w:rPr>
          <w:rFonts w:ascii="Arial" w:hAnsi="Arial" w:cs="Arial"/>
          <w:bCs/>
          <w:snapToGrid w:val="0"/>
          <w:sz w:val="22"/>
          <w:szCs w:val="22"/>
          <w:lang w:eastAsia="en-US"/>
        </w:rPr>
        <w:t xml:space="preserve">. The PBAC </w:t>
      </w:r>
      <w:r w:rsidRPr="00B51ACB">
        <w:rPr>
          <w:rFonts w:ascii="Arial" w:hAnsi="Arial" w:cs="Arial"/>
          <w:bCs/>
          <w:snapToGrid w:val="0"/>
          <w:sz w:val="22"/>
          <w:szCs w:val="22"/>
          <w:lang w:eastAsia="en-US"/>
        </w:rPr>
        <w:t>acknowledged there is a clinical need for subcutaneous therapies</w:t>
      </w:r>
      <w:r w:rsidR="00613406" w:rsidRPr="00B51ACB">
        <w:rPr>
          <w:rFonts w:ascii="Arial" w:hAnsi="Arial" w:cs="Arial"/>
          <w:bCs/>
          <w:snapToGrid w:val="0"/>
          <w:sz w:val="22"/>
          <w:szCs w:val="22"/>
          <w:lang w:eastAsia="en-US"/>
        </w:rPr>
        <w:t xml:space="preserve"> for ease of administration</w:t>
      </w:r>
      <w:r w:rsidRPr="00B51ACB">
        <w:rPr>
          <w:rFonts w:ascii="Arial" w:hAnsi="Arial" w:cs="Arial"/>
          <w:bCs/>
          <w:snapToGrid w:val="0"/>
          <w:sz w:val="22"/>
          <w:szCs w:val="22"/>
          <w:lang w:eastAsia="en-US"/>
        </w:rPr>
        <w:t xml:space="preserve"> </w:t>
      </w:r>
      <w:r w:rsidR="00613406" w:rsidRPr="00B51ACB">
        <w:rPr>
          <w:rFonts w:ascii="Arial" w:hAnsi="Arial" w:cs="Arial"/>
          <w:bCs/>
          <w:snapToGrid w:val="0"/>
          <w:sz w:val="22"/>
          <w:szCs w:val="22"/>
          <w:lang w:eastAsia="en-US"/>
        </w:rPr>
        <w:t>for</w:t>
      </w:r>
      <w:r w:rsidRPr="00B51ACB">
        <w:rPr>
          <w:rFonts w:ascii="Arial" w:hAnsi="Arial" w:cs="Arial"/>
          <w:bCs/>
          <w:snapToGrid w:val="0"/>
          <w:sz w:val="22"/>
          <w:szCs w:val="22"/>
          <w:lang w:eastAsia="en-US"/>
        </w:rPr>
        <w:t xml:space="preserve"> </w:t>
      </w:r>
      <w:r w:rsidR="00A8575D" w:rsidRPr="00B51ACB">
        <w:rPr>
          <w:rFonts w:ascii="Arial" w:hAnsi="Arial" w:cs="Arial"/>
          <w:bCs/>
          <w:snapToGrid w:val="0"/>
          <w:sz w:val="22"/>
          <w:szCs w:val="22"/>
          <w:lang w:eastAsia="en-US"/>
        </w:rPr>
        <w:t>the</w:t>
      </w:r>
      <w:r w:rsidR="00613406" w:rsidRPr="00B51ACB">
        <w:rPr>
          <w:rFonts w:ascii="Arial" w:hAnsi="Arial" w:cs="Arial"/>
          <w:bCs/>
          <w:snapToGrid w:val="0"/>
          <w:sz w:val="22"/>
          <w:szCs w:val="22"/>
          <w:lang w:eastAsia="en-US"/>
        </w:rPr>
        <w:t xml:space="preserve"> condition</w:t>
      </w:r>
      <w:r w:rsidR="00CB43D1" w:rsidRPr="00B51ACB">
        <w:rPr>
          <w:rFonts w:ascii="Arial" w:hAnsi="Arial" w:cs="Arial"/>
          <w:bCs/>
          <w:snapToGrid w:val="0"/>
          <w:sz w:val="22"/>
          <w:szCs w:val="22"/>
          <w:lang w:eastAsia="en-US"/>
        </w:rPr>
        <w:t>.</w:t>
      </w:r>
      <w:r w:rsidRPr="00B51ACB">
        <w:rPr>
          <w:rFonts w:ascii="Arial" w:hAnsi="Arial" w:cs="Arial"/>
          <w:bCs/>
          <w:snapToGrid w:val="0"/>
          <w:sz w:val="22"/>
          <w:szCs w:val="22"/>
          <w:lang w:eastAsia="en-US"/>
        </w:rPr>
        <w:t xml:space="preserve"> </w:t>
      </w:r>
      <w:r w:rsidR="00613406" w:rsidRPr="00B51ACB">
        <w:rPr>
          <w:rFonts w:ascii="Arial" w:hAnsi="Arial" w:cs="Arial"/>
          <w:bCs/>
          <w:snapToGrid w:val="0"/>
          <w:sz w:val="22"/>
          <w:szCs w:val="22"/>
          <w:lang w:eastAsia="en-US"/>
        </w:rPr>
        <w:t xml:space="preserve">The PBAC welcomed the input received from </w:t>
      </w:r>
      <w:r w:rsidR="00CC7EF9" w:rsidRPr="00B51ACB">
        <w:rPr>
          <w:rFonts w:ascii="Arial" w:hAnsi="Arial" w:cs="Arial"/>
          <w:bCs/>
          <w:snapToGrid w:val="0"/>
          <w:sz w:val="22"/>
          <w:szCs w:val="22"/>
          <w:lang w:eastAsia="en-US"/>
        </w:rPr>
        <w:t>three individuals and three</w:t>
      </w:r>
      <w:r w:rsidR="00613406" w:rsidRPr="00B51ACB">
        <w:rPr>
          <w:rFonts w:ascii="Arial" w:hAnsi="Arial" w:cs="Arial"/>
          <w:bCs/>
          <w:snapToGrid w:val="0"/>
          <w:sz w:val="22"/>
          <w:szCs w:val="22"/>
          <w:lang w:eastAsia="en-US"/>
        </w:rPr>
        <w:t xml:space="preserve"> Health Professionals in support of the listing.</w:t>
      </w:r>
    </w:p>
    <w:p w:rsidR="00230C30" w:rsidRPr="00B51ACB" w:rsidRDefault="00230C30">
      <w:pPr>
        <w:ind w:left="720"/>
        <w:contextualSpacing/>
        <w:jc w:val="both"/>
        <w:rPr>
          <w:rFonts w:ascii="Arial" w:hAnsi="Arial" w:cs="Arial"/>
          <w:bCs/>
          <w:snapToGrid w:val="0"/>
          <w:sz w:val="22"/>
          <w:szCs w:val="22"/>
          <w:lang w:eastAsia="en-US"/>
        </w:rPr>
      </w:pPr>
    </w:p>
    <w:p w:rsidR="00230C30" w:rsidRPr="00B51ACB" w:rsidRDefault="0073787F" w:rsidP="00767CAC">
      <w:pPr>
        <w:numPr>
          <w:ilvl w:val="1"/>
          <w:numId w:val="1"/>
        </w:numPr>
        <w:contextualSpacing/>
        <w:jc w:val="both"/>
        <w:rPr>
          <w:rFonts w:ascii="Arial" w:hAnsi="Arial" w:cs="Arial"/>
          <w:bCs/>
          <w:snapToGrid w:val="0"/>
          <w:sz w:val="22"/>
          <w:szCs w:val="22"/>
          <w:lang w:eastAsia="en-US"/>
        </w:rPr>
      </w:pPr>
      <w:r w:rsidRPr="00B51ACB">
        <w:rPr>
          <w:rFonts w:ascii="Arial" w:hAnsi="Arial" w:cs="Arial"/>
          <w:bCs/>
          <w:snapToGrid w:val="0"/>
          <w:sz w:val="22"/>
          <w:szCs w:val="22"/>
          <w:lang w:eastAsia="en-US"/>
        </w:rPr>
        <w:t>The PBAC recommended that the listing and restriction wording for adalimumab should be aligned with that of infliximab and vedolizumab in the treatment of UC</w:t>
      </w:r>
      <w:r w:rsidR="00C355B7">
        <w:rPr>
          <w:rFonts w:ascii="Arial" w:hAnsi="Arial" w:cs="Arial"/>
          <w:bCs/>
          <w:snapToGrid w:val="0"/>
          <w:sz w:val="22"/>
          <w:szCs w:val="22"/>
          <w:lang w:eastAsia="en-US"/>
        </w:rPr>
        <w:t>, where appropriate.</w:t>
      </w:r>
      <w:r w:rsidR="003A533D">
        <w:rPr>
          <w:rFonts w:ascii="Arial" w:hAnsi="Arial" w:cs="Arial"/>
          <w:bCs/>
          <w:snapToGrid w:val="0"/>
          <w:sz w:val="22"/>
          <w:szCs w:val="22"/>
          <w:lang w:eastAsia="en-US"/>
        </w:rPr>
        <w:t xml:space="preserve"> </w:t>
      </w:r>
      <w:r w:rsidR="00637C92">
        <w:rPr>
          <w:rFonts w:ascii="Arial" w:hAnsi="Arial" w:cs="Arial"/>
          <w:bCs/>
          <w:snapToGrid w:val="0"/>
          <w:sz w:val="22"/>
          <w:szCs w:val="22"/>
          <w:lang w:eastAsia="en-US"/>
        </w:rPr>
        <w:t xml:space="preserve">The PBAC recommended that the adalimumab listing for ulcerative colitis be silent on the age of the patient. </w:t>
      </w:r>
    </w:p>
    <w:p w:rsidR="0073787F" w:rsidRPr="00B51ACB" w:rsidRDefault="0073787F">
      <w:pPr>
        <w:ind w:left="720"/>
        <w:contextualSpacing/>
        <w:jc w:val="both"/>
        <w:rPr>
          <w:rFonts w:ascii="Arial" w:hAnsi="Arial" w:cs="Arial"/>
          <w:bCs/>
          <w:snapToGrid w:val="0"/>
          <w:sz w:val="22"/>
          <w:szCs w:val="22"/>
          <w:lang w:eastAsia="en-US"/>
        </w:rPr>
      </w:pPr>
    </w:p>
    <w:p w:rsidR="0073787F" w:rsidRPr="00B51ACB" w:rsidRDefault="0073787F" w:rsidP="00767CAC">
      <w:pPr>
        <w:numPr>
          <w:ilvl w:val="1"/>
          <w:numId w:val="1"/>
        </w:numPr>
        <w:contextualSpacing/>
        <w:jc w:val="both"/>
        <w:rPr>
          <w:rFonts w:ascii="Arial" w:hAnsi="Arial" w:cs="Arial"/>
          <w:bCs/>
          <w:snapToGrid w:val="0"/>
          <w:sz w:val="22"/>
          <w:szCs w:val="22"/>
          <w:lang w:eastAsia="en-US"/>
        </w:rPr>
      </w:pPr>
      <w:r w:rsidRPr="00B51ACB">
        <w:rPr>
          <w:rFonts w:ascii="Arial" w:hAnsi="Arial" w:cs="Arial"/>
          <w:bCs/>
          <w:snapToGrid w:val="0"/>
          <w:sz w:val="22"/>
          <w:szCs w:val="22"/>
          <w:lang w:eastAsia="en-US"/>
        </w:rPr>
        <w:t xml:space="preserve">The PBAC also recommended a flow on change to the current Note for treatment of adult patients with moderate to severe ulcerative to reflect the addition of adalimumab to the PBS-subsidised therapies for this condition. Currently, within the same treatment cycle a patient cannot trial and fail, or cease to respond to, the same PBS-subsidised infliximab or vedolizumab more than twice. As a consequence of the listing of adalimumab, it should be read as ‘Within the same treatment cycle, a patient cannot trial and fail, or cease to respond to, the same PBS-subsidised infliximab, vedolizumab or </w:t>
      </w:r>
      <w:r w:rsidRPr="00B51ACB">
        <w:rPr>
          <w:rFonts w:ascii="Arial" w:hAnsi="Arial" w:cs="Arial"/>
          <w:bCs/>
          <w:i/>
          <w:snapToGrid w:val="0"/>
          <w:sz w:val="22"/>
          <w:szCs w:val="22"/>
          <w:lang w:eastAsia="en-US"/>
        </w:rPr>
        <w:t>adalimumab</w:t>
      </w:r>
      <w:r w:rsidRPr="00B51ACB">
        <w:rPr>
          <w:rFonts w:ascii="Arial" w:hAnsi="Arial" w:cs="Arial"/>
          <w:bCs/>
          <w:snapToGrid w:val="0"/>
          <w:sz w:val="22"/>
          <w:szCs w:val="22"/>
          <w:lang w:eastAsia="en-US"/>
        </w:rPr>
        <w:t xml:space="preserve"> more than </w:t>
      </w:r>
      <w:r w:rsidRPr="00B51ACB">
        <w:rPr>
          <w:rFonts w:ascii="Arial" w:hAnsi="Arial" w:cs="Arial"/>
          <w:bCs/>
          <w:i/>
          <w:snapToGrid w:val="0"/>
          <w:sz w:val="22"/>
          <w:szCs w:val="22"/>
          <w:lang w:eastAsia="en-US"/>
        </w:rPr>
        <w:t>once’</w:t>
      </w:r>
      <w:r w:rsidRPr="00B51ACB">
        <w:rPr>
          <w:rFonts w:ascii="Arial" w:hAnsi="Arial" w:cs="Arial"/>
          <w:bCs/>
          <w:snapToGrid w:val="0"/>
          <w:sz w:val="22"/>
          <w:szCs w:val="22"/>
          <w:lang w:eastAsia="en-US"/>
        </w:rPr>
        <w:t>.</w:t>
      </w:r>
    </w:p>
    <w:p w:rsidR="006F4478" w:rsidRPr="00B51ACB" w:rsidRDefault="006F4478">
      <w:pPr>
        <w:contextualSpacing/>
        <w:jc w:val="both"/>
        <w:rPr>
          <w:rFonts w:ascii="Arial" w:hAnsi="Arial" w:cs="Arial"/>
          <w:bCs/>
          <w:snapToGrid w:val="0"/>
          <w:sz w:val="22"/>
          <w:szCs w:val="22"/>
          <w:lang w:eastAsia="en-US"/>
        </w:rPr>
      </w:pPr>
    </w:p>
    <w:p w:rsidR="00821B36" w:rsidRPr="00B51ACB" w:rsidRDefault="008B697A" w:rsidP="00767CAC">
      <w:pPr>
        <w:numPr>
          <w:ilvl w:val="1"/>
          <w:numId w:val="1"/>
        </w:numPr>
        <w:contextualSpacing/>
        <w:jc w:val="both"/>
        <w:rPr>
          <w:rFonts w:ascii="Arial" w:hAnsi="Arial"/>
          <w:sz w:val="22"/>
          <w:szCs w:val="22"/>
        </w:rPr>
      </w:pPr>
      <w:r w:rsidRPr="00B51ACB">
        <w:rPr>
          <w:rFonts w:ascii="Arial" w:hAnsi="Arial"/>
          <w:sz w:val="22"/>
          <w:szCs w:val="22"/>
        </w:rPr>
        <w:t>T</w:t>
      </w:r>
      <w:r w:rsidR="00821B36" w:rsidRPr="00B51ACB">
        <w:rPr>
          <w:rFonts w:ascii="Arial" w:hAnsi="Arial"/>
          <w:sz w:val="22"/>
          <w:szCs w:val="22"/>
        </w:rPr>
        <w:t xml:space="preserve">he PBAC </w:t>
      </w:r>
      <w:r w:rsidR="00F81EDA" w:rsidRPr="00B51ACB">
        <w:rPr>
          <w:rFonts w:ascii="Arial" w:hAnsi="Arial"/>
          <w:sz w:val="22"/>
          <w:szCs w:val="22"/>
        </w:rPr>
        <w:t>recommended that the</w:t>
      </w:r>
      <w:r w:rsidR="003402BC" w:rsidRPr="00B51ACB">
        <w:rPr>
          <w:rFonts w:ascii="Arial" w:hAnsi="Arial"/>
          <w:sz w:val="22"/>
          <w:szCs w:val="22"/>
        </w:rPr>
        <w:t xml:space="preserve"> Early Supply Rule</w:t>
      </w:r>
      <w:r w:rsidR="00821B36" w:rsidRPr="00B51ACB">
        <w:rPr>
          <w:rFonts w:ascii="Arial" w:hAnsi="Arial"/>
          <w:sz w:val="22"/>
          <w:szCs w:val="22"/>
        </w:rPr>
        <w:t xml:space="preserve"> </w:t>
      </w:r>
      <w:r w:rsidR="00F81EDA" w:rsidRPr="00B51ACB">
        <w:rPr>
          <w:rFonts w:ascii="Arial" w:hAnsi="Arial"/>
          <w:sz w:val="22"/>
          <w:szCs w:val="22"/>
        </w:rPr>
        <w:t xml:space="preserve">should </w:t>
      </w:r>
      <w:r w:rsidR="00821B36" w:rsidRPr="00B51ACB">
        <w:rPr>
          <w:rFonts w:ascii="Arial" w:hAnsi="Arial"/>
          <w:sz w:val="22"/>
          <w:szCs w:val="22"/>
        </w:rPr>
        <w:t>appl</w:t>
      </w:r>
      <w:r w:rsidR="00F81EDA" w:rsidRPr="00B51ACB">
        <w:rPr>
          <w:rFonts w:ascii="Arial" w:hAnsi="Arial"/>
          <w:sz w:val="22"/>
          <w:szCs w:val="22"/>
        </w:rPr>
        <w:t>y</w:t>
      </w:r>
      <w:r w:rsidR="00821B36" w:rsidRPr="00B51ACB">
        <w:rPr>
          <w:rFonts w:ascii="Arial" w:hAnsi="Arial"/>
          <w:sz w:val="22"/>
          <w:szCs w:val="22"/>
        </w:rPr>
        <w:t xml:space="preserve"> to adalimumab for the treatment of </w:t>
      </w:r>
      <w:r w:rsidR="003402BC" w:rsidRPr="00B51ACB">
        <w:rPr>
          <w:rFonts w:ascii="Arial" w:hAnsi="Arial"/>
          <w:sz w:val="22"/>
          <w:szCs w:val="22"/>
        </w:rPr>
        <w:t>UC</w:t>
      </w:r>
      <w:r w:rsidR="00821B36" w:rsidRPr="00B51ACB">
        <w:rPr>
          <w:rFonts w:ascii="Arial" w:hAnsi="Arial"/>
          <w:sz w:val="22"/>
          <w:szCs w:val="22"/>
        </w:rPr>
        <w:t>.</w:t>
      </w:r>
    </w:p>
    <w:p w:rsidR="008B697A" w:rsidRPr="00B51ACB" w:rsidRDefault="008B697A">
      <w:pPr>
        <w:ind w:left="720"/>
        <w:contextualSpacing/>
        <w:jc w:val="both"/>
        <w:rPr>
          <w:rFonts w:ascii="Arial" w:hAnsi="Arial"/>
          <w:sz w:val="22"/>
          <w:szCs w:val="22"/>
        </w:rPr>
      </w:pPr>
    </w:p>
    <w:p w:rsidR="008B697A" w:rsidRPr="00B51ACB" w:rsidRDefault="008B697A" w:rsidP="00767CAC">
      <w:pPr>
        <w:numPr>
          <w:ilvl w:val="1"/>
          <w:numId w:val="1"/>
        </w:numPr>
        <w:contextualSpacing/>
        <w:jc w:val="both"/>
        <w:rPr>
          <w:rFonts w:ascii="Arial" w:hAnsi="Arial"/>
          <w:sz w:val="22"/>
          <w:szCs w:val="22"/>
        </w:rPr>
      </w:pPr>
      <w:r w:rsidRPr="00B51ACB">
        <w:rPr>
          <w:rFonts w:ascii="Arial" w:hAnsi="Arial"/>
          <w:sz w:val="22"/>
          <w:szCs w:val="22"/>
        </w:rPr>
        <w:t>The PBAC advised that adalimumab is not suitable for prescribing by nurse practitioners.</w:t>
      </w:r>
    </w:p>
    <w:p w:rsidR="00CC7EF9" w:rsidRPr="00B51ACB" w:rsidRDefault="00CC7EF9" w:rsidP="001A11D6">
      <w:pPr>
        <w:ind w:left="720"/>
        <w:contextualSpacing/>
        <w:jc w:val="both"/>
        <w:rPr>
          <w:rFonts w:ascii="Arial" w:hAnsi="Arial"/>
          <w:sz w:val="22"/>
          <w:szCs w:val="22"/>
        </w:rPr>
      </w:pPr>
    </w:p>
    <w:p w:rsidR="003A533D" w:rsidRPr="003A533D" w:rsidRDefault="003A533D" w:rsidP="00767CAC">
      <w:pPr>
        <w:keepNext/>
        <w:numPr>
          <w:ilvl w:val="1"/>
          <w:numId w:val="1"/>
        </w:numPr>
        <w:contextualSpacing/>
        <w:jc w:val="both"/>
        <w:rPr>
          <w:rFonts w:ascii="Arial" w:hAnsi="Arial"/>
          <w:sz w:val="22"/>
          <w:szCs w:val="22"/>
          <w:u w:val="single"/>
        </w:rPr>
      </w:pPr>
      <w:r w:rsidRPr="003A533D">
        <w:rPr>
          <w:rFonts w:ascii="Arial" w:hAnsi="Arial"/>
          <w:sz w:val="22"/>
          <w:szCs w:val="22"/>
          <w:u w:val="single"/>
        </w:rPr>
        <w:t>Advice to the Minister under subsection 101(3BA) of the Act</w:t>
      </w:r>
    </w:p>
    <w:p w:rsidR="008B697A" w:rsidRPr="003A533D" w:rsidRDefault="003A533D" w:rsidP="00B96FD5">
      <w:pPr>
        <w:pStyle w:val="ListParagraph"/>
        <w:jc w:val="both"/>
        <w:rPr>
          <w:rFonts w:ascii="Arial" w:hAnsi="Arial"/>
          <w:sz w:val="22"/>
          <w:szCs w:val="22"/>
        </w:rPr>
      </w:pPr>
      <w:r w:rsidRPr="003A533D">
        <w:rPr>
          <w:rFonts w:ascii="Arial" w:hAnsi="Arial"/>
          <w:sz w:val="22"/>
          <w:szCs w:val="22"/>
        </w:rPr>
        <w:t>In accordance with subsection 101(3BA) of the Act the PBAC advised that it is of the</w:t>
      </w:r>
      <w:r>
        <w:rPr>
          <w:rFonts w:ascii="Arial" w:hAnsi="Arial"/>
          <w:sz w:val="22"/>
          <w:szCs w:val="22"/>
        </w:rPr>
        <w:t> </w:t>
      </w:r>
      <w:r w:rsidRPr="003A533D">
        <w:rPr>
          <w:rFonts w:ascii="Arial" w:hAnsi="Arial"/>
          <w:sz w:val="22"/>
          <w:szCs w:val="22"/>
        </w:rPr>
        <w:t>opinion that, on the basis if the material available to it at its November 2014 meeting,</w:t>
      </w:r>
      <w:r>
        <w:rPr>
          <w:rFonts w:ascii="Arial" w:hAnsi="Arial"/>
          <w:sz w:val="22"/>
          <w:szCs w:val="22"/>
        </w:rPr>
        <w:t xml:space="preserve"> </w:t>
      </w:r>
      <w:r w:rsidRPr="003A533D">
        <w:rPr>
          <w:rFonts w:ascii="Arial" w:hAnsi="Arial"/>
          <w:sz w:val="22"/>
          <w:szCs w:val="22"/>
        </w:rPr>
        <w:t>adalimumab should not be treated as interchangeable on an individual patient basis</w:t>
      </w:r>
      <w:r>
        <w:rPr>
          <w:rFonts w:ascii="Arial" w:hAnsi="Arial"/>
          <w:sz w:val="22"/>
          <w:szCs w:val="22"/>
        </w:rPr>
        <w:t xml:space="preserve"> </w:t>
      </w:r>
      <w:r w:rsidRPr="003A533D">
        <w:rPr>
          <w:rFonts w:ascii="Arial" w:hAnsi="Arial"/>
          <w:sz w:val="22"/>
          <w:szCs w:val="22"/>
        </w:rPr>
        <w:t>with any other drugs.</w:t>
      </w:r>
    </w:p>
    <w:p w:rsidR="001149FE" w:rsidRDefault="001149FE">
      <w:pPr>
        <w:jc w:val="both"/>
        <w:rPr>
          <w:rFonts w:ascii="Arial" w:hAnsi="Arial" w:cs="Arial"/>
          <w:b/>
          <w:bCs/>
          <w:snapToGrid w:val="0"/>
          <w:sz w:val="22"/>
          <w:szCs w:val="22"/>
          <w:highlight w:val="yellow"/>
          <w:lang w:eastAsia="en-US"/>
        </w:rPr>
      </w:pPr>
    </w:p>
    <w:p w:rsidR="001149FE" w:rsidRPr="00B51ACB" w:rsidRDefault="001149FE">
      <w:pPr>
        <w:jc w:val="both"/>
        <w:rPr>
          <w:rFonts w:ascii="Arial" w:hAnsi="Arial" w:cs="Arial"/>
          <w:b/>
          <w:bCs/>
          <w:snapToGrid w:val="0"/>
          <w:sz w:val="22"/>
          <w:szCs w:val="22"/>
          <w:lang w:eastAsia="en-US"/>
        </w:rPr>
      </w:pPr>
      <w:r w:rsidRPr="00B51ACB">
        <w:rPr>
          <w:rFonts w:ascii="Arial" w:hAnsi="Arial" w:cs="Arial"/>
          <w:b/>
          <w:bCs/>
          <w:snapToGrid w:val="0"/>
          <w:sz w:val="22"/>
          <w:szCs w:val="22"/>
          <w:lang w:eastAsia="en-US"/>
        </w:rPr>
        <w:t>Outcome:</w:t>
      </w:r>
    </w:p>
    <w:p w:rsidR="003E4105" w:rsidRPr="00B51ACB" w:rsidRDefault="001149FE" w:rsidP="00F30D63">
      <w:pPr>
        <w:jc w:val="both"/>
        <w:rPr>
          <w:rFonts w:ascii="Arial" w:hAnsi="Arial" w:cs="Arial"/>
          <w:bCs/>
          <w:snapToGrid w:val="0"/>
          <w:sz w:val="22"/>
          <w:szCs w:val="22"/>
          <w:lang w:eastAsia="en-US"/>
        </w:rPr>
      </w:pPr>
      <w:r w:rsidRPr="00B51ACB">
        <w:rPr>
          <w:rFonts w:ascii="Arial" w:hAnsi="Arial" w:cs="Arial"/>
          <w:bCs/>
          <w:snapToGrid w:val="0"/>
          <w:sz w:val="22"/>
          <w:szCs w:val="22"/>
          <w:lang w:eastAsia="en-US"/>
        </w:rPr>
        <w:t>Recommended</w:t>
      </w:r>
    </w:p>
    <w:p w:rsidR="001149FE" w:rsidRPr="00B51ACB" w:rsidRDefault="001149FE" w:rsidP="00181333">
      <w:pPr>
        <w:pStyle w:val="Heading1"/>
        <w:rPr>
          <w:i/>
          <w:snapToGrid w:val="0"/>
          <w:lang w:eastAsia="en-US"/>
        </w:rPr>
      </w:pPr>
      <w:r w:rsidRPr="00B51ACB">
        <w:rPr>
          <w:snapToGrid w:val="0"/>
          <w:lang w:eastAsia="en-US"/>
        </w:rPr>
        <w:t>Recommended listing</w:t>
      </w:r>
    </w:p>
    <w:p w:rsidR="001149FE" w:rsidRPr="00B51ACB" w:rsidRDefault="001149FE">
      <w:pPr>
        <w:ind w:firstLine="720"/>
        <w:jc w:val="both"/>
        <w:rPr>
          <w:rFonts w:ascii="Arial" w:hAnsi="Arial" w:cs="Arial"/>
          <w:bCs/>
          <w:snapToGrid w:val="0"/>
          <w:sz w:val="22"/>
          <w:szCs w:val="22"/>
          <w:lang w:eastAsia="en-US"/>
        </w:rPr>
      </w:pPr>
    </w:p>
    <w:p w:rsidR="001149FE" w:rsidRPr="00181333" w:rsidRDefault="00207F75" w:rsidP="00767CAC">
      <w:pPr>
        <w:pStyle w:val="ListParagraph"/>
        <w:numPr>
          <w:ilvl w:val="1"/>
          <w:numId w:val="1"/>
        </w:numPr>
        <w:jc w:val="both"/>
        <w:rPr>
          <w:rFonts w:ascii="Arial" w:hAnsi="Arial"/>
          <w:i/>
          <w:sz w:val="22"/>
          <w:szCs w:val="22"/>
        </w:rPr>
      </w:pPr>
      <w:r w:rsidRPr="00B51ACB">
        <w:rPr>
          <w:rFonts w:ascii="Arial" w:hAnsi="Arial" w:cs="Arial"/>
          <w:bCs/>
          <w:snapToGrid w:val="0"/>
          <w:sz w:val="22"/>
          <w:szCs w:val="22"/>
          <w:lang w:eastAsia="en-US"/>
        </w:rPr>
        <w:t>A</w:t>
      </w:r>
      <w:r w:rsidR="00747D27" w:rsidRPr="00B51ACB">
        <w:rPr>
          <w:rFonts w:ascii="Arial" w:hAnsi="Arial" w:cs="Arial"/>
          <w:bCs/>
          <w:snapToGrid w:val="0"/>
          <w:sz w:val="22"/>
          <w:szCs w:val="22"/>
          <w:lang w:eastAsia="en-US"/>
        </w:rPr>
        <w:t>mend</w:t>
      </w:r>
      <w:r w:rsidRPr="00B51ACB">
        <w:rPr>
          <w:rFonts w:ascii="Arial" w:hAnsi="Arial" w:cs="Arial"/>
          <w:bCs/>
          <w:snapToGrid w:val="0"/>
          <w:sz w:val="22"/>
          <w:szCs w:val="22"/>
          <w:lang w:eastAsia="en-US"/>
        </w:rPr>
        <w:t xml:space="preserve"> existing listing with the new indication. </w:t>
      </w:r>
      <w:r w:rsidR="00C355B7">
        <w:rPr>
          <w:rFonts w:ascii="Arial" w:hAnsi="Arial" w:cs="Arial"/>
          <w:snapToGrid w:val="0"/>
          <w:sz w:val="22"/>
        </w:rPr>
        <w:t>Restriction to be finalised.</w:t>
      </w:r>
    </w:p>
    <w:p w:rsidR="00181333" w:rsidRPr="00181333" w:rsidRDefault="00181333" w:rsidP="00181333">
      <w:pPr>
        <w:jc w:val="both"/>
        <w:rPr>
          <w:rFonts w:ascii="Arial" w:hAnsi="Arial"/>
          <w:sz w:val="22"/>
          <w:szCs w:val="22"/>
        </w:rPr>
      </w:pPr>
    </w:p>
    <w:p w:rsidR="00181333" w:rsidRPr="00F02905" w:rsidRDefault="00181333" w:rsidP="00181333">
      <w:pPr>
        <w:pStyle w:val="ListParagraph"/>
        <w:jc w:val="both"/>
        <w:rPr>
          <w:rFonts w:ascii="Arial" w:hAnsi="Arial"/>
          <w:sz w:val="22"/>
          <w:szCs w:val="22"/>
        </w:rPr>
      </w:pPr>
    </w:p>
    <w:p w:rsidR="00767CAC" w:rsidRDefault="00767CAC" w:rsidP="00767CAC">
      <w:pPr>
        <w:pStyle w:val="Heading1"/>
      </w:pPr>
      <w:r w:rsidRPr="00632206">
        <w:t>Context for Decision</w:t>
      </w:r>
    </w:p>
    <w:p w:rsidR="00767CAC" w:rsidRDefault="00767CAC" w:rsidP="00767CAC">
      <w:pPr>
        <w:ind w:left="720"/>
        <w:jc w:val="both"/>
        <w:rPr>
          <w:rFonts w:ascii="Arial" w:hAnsi="Arial" w:cs="Arial"/>
          <w:sz w:val="22"/>
        </w:rPr>
      </w:pPr>
    </w:p>
    <w:p w:rsidR="00767CAC" w:rsidRDefault="00767CAC" w:rsidP="00767CAC">
      <w:pPr>
        <w:ind w:left="720"/>
        <w:jc w:val="both"/>
        <w:rPr>
          <w:rFonts w:ascii="Arial" w:hAnsi="Arial" w:cs="Arial"/>
          <w:sz w:val="22"/>
        </w:rPr>
      </w:pPr>
      <w:r w:rsidRPr="004304F6">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767CAC" w:rsidRDefault="00767CAC" w:rsidP="00767CAC">
      <w:pPr>
        <w:ind w:left="720"/>
        <w:jc w:val="both"/>
        <w:rPr>
          <w:rFonts w:ascii="Arial" w:hAnsi="Arial" w:cs="Arial"/>
          <w:sz w:val="22"/>
        </w:rPr>
      </w:pPr>
    </w:p>
    <w:p w:rsidR="00767CAC" w:rsidRDefault="00767CAC" w:rsidP="00767CAC">
      <w:pPr>
        <w:pStyle w:val="Heading1"/>
      </w:pPr>
      <w:r w:rsidRPr="00451386">
        <w:t>Sponsor’s Comment</w:t>
      </w:r>
    </w:p>
    <w:p w:rsidR="003F131E" w:rsidRDefault="003F131E" w:rsidP="00767CAC">
      <w:pPr>
        <w:pStyle w:val="Heading1"/>
        <w:numPr>
          <w:ilvl w:val="0"/>
          <w:numId w:val="0"/>
        </w:numPr>
      </w:pPr>
    </w:p>
    <w:p w:rsidR="00C363C7" w:rsidRPr="00C363C7" w:rsidRDefault="00C363C7" w:rsidP="00255E53">
      <w:pPr>
        <w:ind w:left="720"/>
        <w:jc w:val="both"/>
      </w:pPr>
      <w:r w:rsidRPr="00C363C7">
        <w:rPr>
          <w:rFonts w:ascii="Arial" w:hAnsi="Arial" w:cs="Arial"/>
          <w:bCs/>
          <w:sz w:val="22"/>
          <w:lang w:val="en-GB"/>
        </w:rPr>
        <w:t>AbbVie welcomes the PBAC decision to recommend Humira for first line treatment in UC and as the first subcutaneous option, offering patients an effective and convenient treatment.</w:t>
      </w:r>
    </w:p>
    <w:sectPr w:rsidR="00C363C7" w:rsidRPr="00C363C7"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810" w:rsidRDefault="00F53810">
      <w:r>
        <w:separator/>
      </w:r>
    </w:p>
    <w:p w:rsidR="00F53810" w:rsidRDefault="00F53810"/>
  </w:endnote>
  <w:endnote w:type="continuationSeparator" w:id="0">
    <w:p w:rsidR="00F53810" w:rsidRDefault="00F53810">
      <w:r>
        <w:continuationSeparator/>
      </w:r>
    </w:p>
    <w:p w:rsidR="00F53810" w:rsidRDefault="00F538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6726A" w:rsidTr="005A3173">
      <w:trPr>
        <w:trHeight w:val="151"/>
      </w:trPr>
      <w:tc>
        <w:tcPr>
          <w:tcW w:w="2250" w:type="pct"/>
          <w:tcBorders>
            <w:top w:val="nil"/>
            <w:left w:val="nil"/>
            <w:bottom w:val="single" w:sz="4" w:space="0" w:color="4F81BD"/>
            <w:right w:val="nil"/>
          </w:tcBorders>
        </w:tcPr>
        <w:p w:rsidR="0006726A" w:rsidRPr="005A3173" w:rsidRDefault="0006726A"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6726A" w:rsidRPr="005A3173" w:rsidRDefault="0006726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6726A" w:rsidRPr="005A3173" w:rsidRDefault="0006726A" w:rsidP="005A3173">
          <w:pPr>
            <w:pStyle w:val="Header"/>
            <w:spacing w:line="276" w:lineRule="auto"/>
            <w:rPr>
              <w:rFonts w:ascii="Calibri" w:eastAsia="MS Gothic" w:hAnsi="Calibri"/>
              <w:b/>
              <w:bCs/>
              <w:color w:val="4F81BD"/>
            </w:rPr>
          </w:pPr>
        </w:p>
      </w:tc>
    </w:tr>
    <w:tr w:rsidR="0006726A" w:rsidTr="005A3173">
      <w:trPr>
        <w:trHeight w:val="150"/>
      </w:trPr>
      <w:tc>
        <w:tcPr>
          <w:tcW w:w="2250" w:type="pct"/>
          <w:tcBorders>
            <w:top w:val="single" w:sz="4" w:space="0" w:color="4F81BD"/>
            <w:left w:val="nil"/>
            <w:bottom w:val="nil"/>
            <w:right w:val="nil"/>
          </w:tcBorders>
        </w:tcPr>
        <w:p w:rsidR="0006726A" w:rsidRPr="005A3173" w:rsidRDefault="0006726A" w:rsidP="005A3173">
          <w:pPr>
            <w:pStyle w:val="Header"/>
            <w:spacing w:line="276" w:lineRule="auto"/>
            <w:rPr>
              <w:rFonts w:ascii="Calibri" w:eastAsia="MS Gothic" w:hAnsi="Calibri"/>
              <w:b/>
              <w:bCs/>
              <w:color w:val="4F81BD"/>
            </w:rPr>
          </w:pPr>
        </w:p>
      </w:tc>
      <w:tc>
        <w:tcPr>
          <w:tcW w:w="0" w:type="auto"/>
          <w:vMerge/>
          <w:vAlign w:val="center"/>
          <w:hideMark/>
        </w:tcPr>
        <w:p w:rsidR="0006726A" w:rsidRPr="005A3173" w:rsidRDefault="0006726A" w:rsidP="005A3173">
          <w:pPr>
            <w:rPr>
              <w:rFonts w:ascii="Calibri" w:hAnsi="Calibri"/>
              <w:color w:val="365F91"/>
              <w:sz w:val="22"/>
              <w:szCs w:val="22"/>
            </w:rPr>
          </w:pPr>
        </w:p>
      </w:tc>
      <w:tc>
        <w:tcPr>
          <w:tcW w:w="2250" w:type="pct"/>
          <w:tcBorders>
            <w:top w:val="single" w:sz="4" w:space="0" w:color="4F81BD"/>
            <w:left w:val="nil"/>
            <w:bottom w:val="nil"/>
            <w:right w:val="nil"/>
          </w:tcBorders>
        </w:tcPr>
        <w:p w:rsidR="0006726A" w:rsidRPr="005A3173" w:rsidRDefault="0006726A" w:rsidP="005A3173">
          <w:pPr>
            <w:pStyle w:val="Header"/>
            <w:spacing w:line="276" w:lineRule="auto"/>
            <w:rPr>
              <w:rFonts w:ascii="Calibri" w:eastAsia="MS Gothic" w:hAnsi="Calibri"/>
              <w:b/>
              <w:bCs/>
              <w:color w:val="4F81BD"/>
            </w:rPr>
          </w:pPr>
        </w:p>
      </w:tc>
    </w:tr>
  </w:tbl>
  <w:p w:rsidR="0006726A" w:rsidRDefault="0006726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6726A" w:rsidRDefault="0006726A">
    <w:pPr>
      <w:pStyle w:val="Footer"/>
    </w:pPr>
  </w:p>
  <w:p w:rsidR="0006726A" w:rsidRDefault="0006726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417368"/>
      <w:docPartObj>
        <w:docPartGallery w:val="Page Numbers (Bottom of Page)"/>
        <w:docPartUnique/>
      </w:docPartObj>
    </w:sdtPr>
    <w:sdtEndPr>
      <w:rPr>
        <w:noProof/>
      </w:rPr>
    </w:sdtEndPr>
    <w:sdtContent>
      <w:p w:rsidR="0006726A" w:rsidRDefault="0006726A">
        <w:pPr>
          <w:pStyle w:val="Footer"/>
          <w:jc w:val="center"/>
        </w:pPr>
      </w:p>
      <w:p w:rsidR="0006726A" w:rsidRPr="00EC29CE" w:rsidRDefault="0006726A" w:rsidP="00EC29CE">
        <w:pPr>
          <w:pStyle w:val="Footer"/>
          <w:jc w:val="center"/>
        </w:pPr>
        <w:r w:rsidRPr="003237E3">
          <w:rPr>
            <w:rFonts w:ascii="Arial" w:hAnsi="Arial" w:cs="Arial"/>
            <w:sz w:val="22"/>
          </w:rPr>
          <w:fldChar w:fldCharType="begin"/>
        </w:r>
        <w:r w:rsidRPr="003237E3">
          <w:rPr>
            <w:rFonts w:ascii="Arial" w:hAnsi="Arial" w:cs="Arial"/>
            <w:sz w:val="22"/>
          </w:rPr>
          <w:instrText xml:space="preserve"> PAGE   \* MERGEFORMAT </w:instrText>
        </w:r>
        <w:r w:rsidRPr="003237E3">
          <w:rPr>
            <w:rFonts w:ascii="Arial" w:hAnsi="Arial" w:cs="Arial"/>
            <w:sz w:val="22"/>
          </w:rPr>
          <w:fldChar w:fldCharType="separate"/>
        </w:r>
        <w:r w:rsidR="006E5808">
          <w:rPr>
            <w:rFonts w:ascii="Arial" w:hAnsi="Arial" w:cs="Arial"/>
            <w:noProof/>
            <w:sz w:val="22"/>
          </w:rPr>
          <w:t>2</w:t>
        </w:r>
        <w:r w:rsidRPr="003237E3">
          <w:rPr>
            <w:rFonts w:ascii="Arial" w:hAnsi="Arial" w:cs="Arial"/>
            <w:noProof/>
            <w:sz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06726A" w:rsidTr="005A3173">
      <w:trPr>
        <w:trHeight w:val="151"/>
      </w:trPr>
      <w:tc>
        <w:tcPr>
          <w:tcW w:w="2250" w:type="pct"/>
          <w:tcBorders>
            <w:top w:val="nil"/>
            <w:left w:val="nil"/>
            <w:bottom w:val="single" w:sz="4" w:space="0" w:color="4F81BD"/>
            <w:right w:val="nil"/>
          </w:tcBorders>
        </w:tcPr>
        <w:p w:rsidR="0006726A" w:rsidRPr="005A3173" w:rsidRDefault="0006726A"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6726A" w:rsidRPr="005A3173" w:rsidRDefault="0006726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6726A" w:rsidRPr="005A3173" w:rsidRDefault="0006726A" w:rsidP="005A3173">
          <w:pPr>
            <w:pStyle w:val="Header"/>
            <w:spacing w:line="276" w:lineRule="auto"/>
            <w:rPr>
              <w:rFonts w:ascii="Calibri" w:eastAsia="MS Gothic" w:hAnsi="Calibri"/>
              <w:b/>
              <w:bCs/>
              <w:color w:val="4F81BD"/>
            </w:rPr>
          </w:pPr>
        </w:p>
      </w:tc>
    </w:tr>
    <w:tr w:rsidR="0006726A" w:rsidTr="005A3173">
      <w:trPr>
        <w:trHeight w:val="150"/>
      </w:trPr>
      <w:tc>
        <w:tcPr>
          <w:tcW w:w="2250" w:type="pct"/>
          <w:tcBorders>
            <w:top w:val="single" w:sz="4" w:space="0" w:color="4F81BD"/>
            <w:left w:val="nil"/>
            <w:bottom w:val="nil"/>
            <w:right w:val="nil"/>
          </w:tcBorders>
        </w:tcPr>
        <w:p w:rsidR="0006726A" w:rsidRPr="005A3173" w:rsidRDefault="0006726A" w:rsidP="005A3173">
          <w:pPr>
            <w:pStyle w:val="Header"/>
            <w:spacing w:line="276" w:lineRule="auto"/>
            <w:rPr>
              <w:rFonts w:ascii="Calibri" w:eastAsia="MS Gothic" w:hAnsi="Calibri"/>
              <w:b/>
              <w:bCs/>
              <w:color w:val="4F81BD"/>
            </w:rPr>
          </w:pPr>
        </w:p>
      </w:tc>
      <w:tc>
        <w:tcPr>
          <w:tcW w:w="0" w:type="auto"/>
          <w:vMerge/>
          <w:vAlign w:val="center"/>
          <w:hideMark/>
        </w:tcPr>
        <w:p w:rsidR="0006726A" w:rsidRPr="005A3173" w:rsidRDefault="0006726A" w:rsidP="005A3173">
          <w:pPr>
            <w:rPr>
              <w:rFonts w:ascii="Calibri" w:hAnsi="Calibri"/>
              <w:color w:val="365F91"/>
              <w:sz w:val="22"/>
              <w:szCs w:val="22"/>
            </w:rPr>
          </w:pPr>
        </w:p>
      </w:tc>
      <w:tc>
        <w:tcPr>
          <w:tcW w:w="2250" w:type="pct"/>
          <w:tcBorders>
            <w:top w:val="single" w:sz="4" w:space="0" w:color="4F81BD"/>
            <w:left w:val="nil"/>
            <w:bottom w:val="nil"/>
            <w:right w:val="nil"/>
          </w:tcBorders>
        </w:tcPr>
        <w:p w:rsidR="0006726A" w:rsidRPr="005A3173" w:rsidRDefault="0006726A"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6726A" w:rsidTr="005A3173">
      <w:trPr>
        <w:trHeight w:val="151"/>
      </w:trPr>
      <w:tc>
        <w:tcPr>
          <w:tcW w:w="2250" w:type="pct"/>
          <w:tcBorders>
            <w:top w:val="nil"/>
            <w:left w:val="nil"/>
            <w:bottom w:val="single" w:sz="4" w:space="0" w:color="4F81BD"/>
            <w:right w:val="nil"/>
          </w:tcBorders>
        </w:tcPr>
        <w:p w:rsidR="0006726A" w:rsidRPr="005A3173" w:rsidRDefault="0006726A"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6726A" w:rsidRPr="005A3173" w:rsidRDefault="0006726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6726A" w:rsidRPr="005A3173" w:rsidRDefault="0006726A" w:rsidP="005A3173">
          <w:pPr>
            <w:pStyle w:val="Header"/>
            <w:spacing w:line="276" w:lineRule="auto"/>
            <w:rPr>
              <w:rFonts w:ascii="Calibri" w:eastAsia="MS Gothic" w:hAnsi="Calibri"/>
              <w:b/>
              <w:bCs/>
              <w:color w:val="4F81BD"/>
            </w:rPr>
          </w:pPr>
        </w:p>
      </w:tc>
    </w:tr>
    <w:tr w:rsidR="0006726A" w:rsidTr="005A3173">
      <w:trPr>
        <w:trHeight w:val="150"/>
      </w:trPr>
      <w:tc>
        <w:tcPr>
          <w:tcW w:w="2250" w:type="pct"/>
          <w:tcBorders>
            <w:top w:val="single" w:sz="4" w:space="0" w:color="4F81BD"/>
            <w:left w:val="nil"/>
            <w:bottom w:val="nil"/>
            <w:right w:val="nil"/>
          </w:tcBorders>
        </w:tcPr>
        <w:p w:rsidR="0006726A" w:rsidRPr="005A3173" w:rsidRDefault="0006726A" w:rsidP="005A3173">
          <w:pPr>
            <w:pStyle w:val="Header"/>
            <w:spacing w:line="276" w:lineRule="auto"/>
            <w:rPr>
              <w:rFonts w:ascii="Calibri" w:eastAsia="MS Gothic" w:hAnsi="Calibri"/>
              <w:b/>
              <w:bCs/>
              <w:color w:val="4F81BD"/>
            </w:rPr>
          </w:pPr>
        </w:p>
      </w:tc>
      <w:tc>
        <w:tcPr>
          <w:tcW w:w="0" w:type="auto"/>
          <w:vMerge/>
          <w:vAlign w:val="center"/>
          <w:hideMark/>
        </w:tcPr>
        <w:p w:rsidR="0006726A" w:rsidRPr="005A3173" w:rsidRDefault="0006726A" w:rsidP="005A3173">
          <w:pPr>
            <w:rPr>
              <w:rFonts w:ascii="Calibri" w:hAnsi="Calibri"/>
              <w:color w:val="365F91"/>
              <w:sz w:val="22"/>
              <w:szCs w:val="22"/>
            </w:rPr>
          </w:pPr>
        </w:p>
      </w:tc>
      <w:tc>
        <w:tcPr>
          <w:tcW w:w="2250" w:type="pct"/>
          <w:tcBorders>
            <w:top w:val="single" w:sz="4" w:space="0" w:color="4F81BD"/>
            <w:left w:val="nil"/>
            <w:bottom w:val="nil"/>
            <w:right w:val="nil"/>
          </w:tcBorders>
        </w:tcPr>
        <w:p w:rsidR="0006726A" w:rsidRPr="005A3173" w:rsidRDefault="0006726A" w:rsidP="005A3173">
          <w:pPr>
            <w:pStyle w:val="Header"/>
            <w:spacing w:line="276" w:lineRule="auto"/>
            <w:rPr>
              <w:rFonts w:ascii="Calibri" w:eastAsia="MS Gothic" w:hAnsi="Calibri"/>
              <w:b/>
              <w:bCs/>
              <w:color w:val="4F81BD"/>
            </w:rPr>
          </w:pPr>
        </w:p>
      </w:tc>
    </w:tr>
  </w:tbl>
  <w:p w:rsidR="0006726A" w:rsidRPr="007C0F57" w:rsidRDefault="0006726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06726A" w:rsidRPr="007C0F57" w:rsidRDefault="0006726A" w:rsidP="007C0F57">
    <w:pPr>
      <w:pStyle w:val="Footer"/>
      <w:jc w:val="center"/>
      <w:rPr>
        <w:b/>
        <w:i/>
        <w:sz w:val="20"/>
        <w:szCs w:val="20"/>
      </w:rPr>
    </w:pPr>
    <w:r w:rsidRPr="007C0F57">
      <w:rPr>
        <w:b/>
        <w:i/>
        <w:sz w:val="20"/>
        <w:szCs w:val="20"/>
      </w:rPr>
      <w:t>Commercial-in-Confidence</w:t>
    </w:r>
  </w:p>
  <w:p w:rsidR="0006726A" w:rsidRDefault="0006726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810" w:rsidRDefault="00F53810">
      <w:r>
        <w:separator/>
      </w:r>
    </w:p>
    <w:p w:rsidR="00F53810" w:rsidRDefault="00F53810"/>
  </w:footnote>
  <w:footnote w:type="continuationSeparator" w:id="0">
    <w:p w:rsidR="00F53810" w:rsidRDefault="00F53810">
      <w:r>
        <w:continuationSeparator/>
      </w:r>
    </w:p>
    <w:p w:rsidR="00F53810" w:rsidRDefault="00F5381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06726A" w:rsidRPr="008E0D90" w:rsidTr="00A06225">
      <w:trPr>
        <w:trHeight w:val="151"/>
      </w:trPr>
      <w:tc>
        <w:tcPr>
          <w:tcW w:w="2389" w:type="pct"/>
          <w:tcBorders>
            <w:top w:val="nil"/>
            <w:left w:val="nil"/>
            <w:bottom w:val="single" w:sz="4" w:space="0" w:color="4F81BD"/>
            <w:right w:val="nil"/>
          </w:tcBorders>
        </w:tcPr>
        <w:p w:rsidR="0006726A" w:rsidRPr="00A06225" w:rsidRDefault="0006726A">
          <w:pPr>
            <w:pStyle w:val="Header"/>
            <w:spacing w:line="276" w:lineRule="auto"/>
            <w:rPr>
              <w:rFonts w:ascii="Cambria" w:eastAsia="MS Gothic" w:hAnsi="Cambria"/>
              <w:b/>
              <w:bCs/>
              <w:color w:val="4F81BD"/>
            </w:rPr>
          </w:pPr>
        </w:p>
      </w:tc>
      <w:tc>
        <w:tcPr>
          <w:tcW w:w="333" w:type="pct"/>
          <w:vMerge w:val="restart"/>
          <w:noWrap/>
          <w:vAlign w:val="center"/>
          <w:hideMark/>
        </w:tcPr>
        <w:p w:rsidR="0006726A" w:rsidRPr="00A06225" w:rsidRDefault="0006726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6726A" w:rsidRPr="00A06225" w:rsidRDefault="0006726A">
          <w:pPr>
            <w:pStyle w:val="Header"/>
            <w:spacing w:line="276" w:lineRule="auto"/>
            <w:rPr>
              <w:rFonts w:ascii="Cambria" w:eastAsia="MS Gothic" w:hAnsi="Cambria"/>
              <w:b/>
              <w:bCs/>
              <w:color w:val="4F81BD"/>
            </w:rPr>
          </w:pPr>
        </w:p>
      </w:tc>
    </w:tr>
    <w:tr w:rsidR="0006726A" w:rsidRPr="008E0D90" w:rsidTr="00A06225">
      <w:trPr>
        <w:trHeight w:val="150"/>
      </w:trPr>
      <w:tc>
        <w:tcPr>
          <w:tcW w:w="2389" w:type="pct"/>
          <w:tcBorders>
            <w:top w:val="single" w:sz="4" w:space="0" w:color="4F81BD"/>
            <w:left w:val="nil"/>
            <w:bottom w:val="nil"/>
            <w:right w:val="nil"/>
          </w:tcBorders>
        </w:tcPr>
        <w:p w:rsidR="0006726A" w:rsidRPr="00A06225" w:rsidRDefault="0006726A">
          <w:pPr>
            <w:pStyle w:val="Header"/>
            <w:spacing w:line="276" w:lineRule="auto"/>
            <w:rPr>
              <w:rFonts w:ascii="Cambria" w:eastAsia="MS Gothic" w:hAnsi="Cambria"/>
              <w:b/>
              <w:bCs/>
              <w:color w:val="4F81BD"/>
            </w:rPr>
          </w:pPr>
        </w:p>
      </w:tc>
      <w:tc>
        <w:tcPr>
          <w:tcW w:w="0" w:type="auto"/>
          <w:vMerge/>
          <w:vAlign w:val="center"/>
          <w:hideMark/>
        </w:tcPr>
        <w:p w:rsidR="0006726A" w:rsidRPr="00A06225" w:rsidRDefault="0006726A">
          <w:pPr>
            <w:rPr>
              <w:rFonts w:ascii="Cambria" w:hAnsi="Cambria"/>
              <w:color w:val="4F81BD"/>
              <w:sz w:val="22"/>
              <w:szCs w:val="22"/>
            </w:rPr>
          </w:pPr>
        </w:p>
      </w:tc>
      <w:tc>
        <w:tcPr>
          <w:tcW w:w="2278" w:type="pct"/>
          <w:tcBorders>
            <w:top w:val="single" w:sz="4" w:space="0" w:color="4F81BD"/>
            <w:left w:val="nil"/>
            <w:bottom w:val="nil"/>
            <w:right w:val="nil"/>
          </w:tcBorders>
        </w:tcPr>
        <w:p w:rsidR="0006726A" w:rsidRPr="00A06225" w:rsidRDefault="0006726A">
          <w:pPr>
            <w:pStyle w:val="Header"/>
            <w:spacing w:line="276" w:lineRule="auto"/>
            <w:rPr>
              <w:rFonts w:ascii="Cambria" w:eastAsia="MS Gothic" w:hAnsi="Cambria"/>
              <w:b/>
              <w:bCs/>
              <w:color w:val="4F81BD"/>
            </w:rPr>
          </w:pPr>
        </w:p>
      </w:tc>
    </w:tr>
  </w:tbl>
  <w:p w:rsidR="0006726A" w:rsidRDefault="0006726A">
    <w:pPr>
      <w:pStyle w:val="Header"/>
    </w:pPr>
  </w:p>
  <w:p w:rsidR="0006726A" w:rsidRDefault="0006726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26A" w:rsidRPr="00150152" w:rsidRDefault="0006726A" w:rsidP="00181333">
    <w:pPr>
      <w:pStyle w:val="Header"/>
      <w:ind w:left="360"/>
      <w:jc w:val="center"/>
      <w:rPr>
        <w:rFonts w:ascii="Arial" w:hAnsi="Arial" w:cs="Arial"/>
        <w:i/>
        <w:color w:val="808080"/>
        <w:sz w:val="22"/>
      </w:rPr>
    </w:pPr>
    <w:r>
      <w:rPr>
        <w:rFonts w:ascii="Arial" w:hAnsi="Arial" w:cs="Arial"/>
        <w:i/>
        <w:color w:val="808080"/>
        <w:sz w:val="22"/>
      </w:rPr>
      <w:t>Public Summary Document –</w:t>
    </w:r>
    <w:r w:rsidRPr="00DF217D">
      <w:rPr>
        <w:rFonts w:ascii="Arial" w:hAnsi="Arial" w:cs="Arial"/>
        <w:i/>
        <w:color w:val="808080"/>
        <w:sz w:val="22"/>
      </w:rPr>
      <w:t xml:space="preserve"> </w:t>
    </w:r>
    <w:r>
      <w:rPr>
        <w:rFonts w:ascii="Arial" w:hAnsi="Arial" w:cs="Arial"/>
        <w:i/>
        <w:color w:val="808080"/>
        <w:sz w:val="22"/>
      </w:rPr>
      <w:t xml:space="preserve">March 2016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06726A" w:rsidRDefault="0006726A"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810" w:rsidRDefault="00F538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1">
    <w:nsid w:val="784D033C"/>
    <w:multiLevelType w:val="multilevel"/>
    <w:tmpl w:val="C5D03156"/>
    <w:lvl w:ilvl="0">
      <w:start w:val="1"/>
      <w:numFmt w:val="decimal"/>
      <w:pStyle w:val="Heading1"/>
      <w:lvlText w:val="%1"/>
      <w:lvlJc w:val="left"/>
      <w:pPr>
        <w:ind w:left="720" w:hanging="720"/>
      </w:pPr>
      <w:rPr>
        <w:rFonts w:hint="default"/>
        <w:b/>
        <w:i w:val="0"/>
      </w:rPr>
    </w:lvl>
    <w:lvl w:ilvl="1">
      <w:start w:val="1"/>
      <w:numFmt w:val="decimal"/>
      <w:lvlText w:val="%1.%2"/>
      <w:lvlJc w:val="left"/>
      <w:pPr>
        <w:ind w:left="720" w:hanging="720"/>
      </w:pPr>
      <w:rPr>
        <w:rFonts w:ascii="Arial" w:hAnsi="Arial" w:cs="Arial"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lvlOverride w:ilvl="0">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7955"/>
    <w:rsid w:val="00013FD4"/>
    <w:rsid w:val="00015292"/>
    <w:rsid w:val="00016AE0"/>
    <w:rsid w:val="0002464A"/>
    <w:rsid w:val="00027784"/>
    <w:rsid w:val="0003106B"/>
    <w:rsid w:val="00040041"/>
    <w:rsid w:val="000421A1"/>
    <w:rsid w:val="0004240E"/>
    <w:rsid w:val="000430FF"/>
    <w:rsid w:val="00045E26"/>
    <w:rsid w:val="000514B5"/>
    <w:rsid w:val="00055AC9"/>
    <w:rsid w:val="00060E64"/>
    <w:rsid w:val="00064E09"/>
    <w:rsid w:val="00066755"/>
    <w:rsid w:val="0006726A"/>
    <w:rsid w:val="00080CD1"/>
    <w:rsid w:val="000969AD"/>
    <w:rsid w:val="00097178"/>
    <w:rsid w:val="000B2B78"/>
    <w:rsid w:val="000B558D"/>
    <w:rsid w:val="000C461C"/>
    <w:rsid w:val="000C6996"/>
    <w:rsid w:val="000D23BA"/>
    <w:rsid w:val="000E3533"/>
    <w:rsid w:val="000E681E"/>
    <w:rsid w:val="000F2507"/>
    <w:rsid w:val="000F4E6A"/>
    <w:rsid w:val="00104A05"/>
    <w:rsid w:val="00110645"/>
    <w:rsid w:val="001107BF"/>
    <w:rsid w:val="00113BA7"/>
    <w:rsid w:val="001149FE"/>
    <w:rsid w:val="0012417C"/>
    <w:rsid w:val="00142395"/>
    <w:rsid w:val="00142613"/>
    <w:rsid w:val="00142714"/>
    <w:rsid w:val="001452ED"/>
    <w:rsid w:val="00153066"/>
    <w:rsid w:val="00163E74"/>
    <w:rsid w:val="00181333"/>
    <w:rsid w:val="00181F4B"/>
    <w:rsid w:val="001830CE"/>
    <w:rsid w:val="00196307"/>
    <w:rsid w:val="001979F6"/>
    <w:rsid w:val="001A11D6"/>
    <w:rsid w:val="001A1C47"/>
    <w:rsid w:val="001A383D"/>
    <w:rsid w:val="001A44EB"/>
    <w:rsid w:val="001B017F"/>
    <w:rsid w:val="001B01DF"/>
    <w:rsid w:val="001B5129"/>
    <w:rsid w:val="001C1195"/>
    <w:rsid w:val="001C2539"/>
    <w:rsid w:val="001E20E9"/>
    <w:rsid w:val="001F261A"/>
    <w:rsid w:val="001F40B8"/>
    <w:rsid w:val="00200812"/>
    <w:rsid w:val="00205A52"/>
    <w:rsid w:val="00207F75"/>
    <w:rsid w:val="00213CFB"/>
    <w:rsid w:val="00221D2F"/>
    <w:rsid w:val="00230C30"/>
    <w:rsid w:val="00236806"/>
    <w:rsid w:val="00247B39"/>
    <w:rsid w:val="00255E53"/>
    <w:rsid w:val="002566F3"/>
    <w:rsid w:val="00271BA1"/>
    <w:rsid w:val="00273068"/>
    <w:rsid w:val="00277505"/>
    <w:rsid w:val="00281C7E"/>
    <w:rsid w:val="0029144E"/>
    <w:rsid w:val="002918A1"/>
    <w:rsid w:val="0029458F"/>
    <w:rsid w:val="00296EA6"/>
    <w:rsid w:val="002A104C"/>
    <w:rsid w:val="002A4960"/>
    <w:rsid w:val="002B1AE6"/>
    <w:rsid w:val="002B30F8"/>
    <w:rsid w:val="002C212F"/>
    <w:rsid w:val="002D15B6"/>
    <w:rsid w:val="002D6AB8"/>
    <w:rsid w:val="002D7BC1"/>
    <w:rsid w:val="002E0B25"/>
    <w:rsid w:val="002E3153"/>
    <w:rsid w:val="002E72CA"/>
    <w:rsid w:val="002F3F14"/>
    <w:rsid w:val="00303DD1"/>
    <w:rsid w:val="003215E7"/>
    <w:rsid w:val="003237E3"/>
    <w:rsid w:val="003237EE"/>
    <w:rsid w:val="00326E79"/>
    <w:rsid w:val="003367EF"/>
    <w:rsid w:val="003402BC"/>
    <w:rsid w:val="00341AE4"/>
    <w:rsid w:val="003427A8"/>
    <w:rsid w:val="00360456"/>
    <w:rsid w:val="00367147"/>
    <w:rsid w:val="003715AA"/>
    <w:rsid w:val="00374EFC"/>
    <w:rsid w:val="00381EA0"/>
    <w:rsid w:val="003872C6"/>
    <w:rsid w:val="003872CF"/>
    <w:rsid w:val="003930FC"/>
    <w:rsid w:val="0039782C"/>
    <w:rsid w:val="003A04BA"/>
    <w:rsid w:val="003A1E91"/>
    <w:rsid w:val="003A533D"/>
    <w:rsid w:val="003A5B4A"/>
    <w:rsid w:val="003B1D36"/>
    <w:rsid w:val="003B23C5"/>
    <w:rsid w:val="003B2A75"/>
    <w:rsid w:val="003B3DDB"/>
    <w:rsid w:val="003C6D07"/>
    <w:rsid w:val="003D069F"/>
    <w:rsid w:val="003D4AC4"/>
    <w:rsid w:val="003D63B7"/>
    <w:rsid w:val="003E4105"/>
    <w:rsid w:val="003E468B"/>
    <w:rsid w:val="003E7EA3"/>
    <w:rsid w:val="003F0ACA"/>
    <w:rsid w:val="003F131E"/>
    <w:rsid w:val="003F5C8C"/>
    <w:rsid w:val="00402198"/>
    <w:rsid w:val="00412590"/>
    <w:rsid w:val="00424F92"/>
    <w:rsid w:val="004465BD"/>
    <w:rsid w:val="00466ADA"/>
    <w:rsid w:val="00466F68"/>
    <w:rsid w:val="00476245"/>
    <w:rsid w:val="004841C5"/>
    <w:rsid w:val="00485940"/>
    <w:rsid w:val="004947EB"/>
    <w:rsid w:val="00495443"/>
    <w:rsid w:val="004A5A85"/>
    <w:rsid w:val="004B5640"/>
    <w:rsid w:val="004C1BD7"/>
    <w:rsid w:val="004C691D"/>
    <w:rsid w:val="004D040C"/>
    <w:rsid w:val="004D0819"/>
    <w:rsid w:val="004D1F39"/>
    <w:rsid w:val="004D5235"/>
    <w:rsid w:val="004E51A5"/>
    <w:rsid w:val="004E692D"/>
    <w:rsid w:val="00501554"/>
    <w:rsid w:val="00514CD7"/>
    <w:rsid w:val="00517F9B"/>
    <w:rsid w:val="00520C9E"/>
    <w:rsid w:val="0052515F"/>
    <w:rsid w:val="005319B2"/>
    <w:rsid w:val="00532053"/>
    <w:rsid w:val="00532C74"/>
    <w:rsid w:val="00534E2E"/>
    <w:rsid w:val="005354D5"/>
    <w:rsid w:val="0054041C"/>
    <w:rsid w:val="00543C2D"/>
    <w:rsid w:val="00544552"/>
    <w:rsid w:val="00551445"/>
    <w:rsid w:val="00552857"/>
    <w:rsid w:val="00560217"/>
    <w:rsid w:val="005623D6"/>
    <w:rsid w:val="005649C1"/>
    <w:rsid w:val="005760AC"/>
    <w:rsid w:val="0058061A"/>
    <w:rsid w:val="00581932"/>
    <w:rsid w:val="00594B70"/>
    <w:rsid w:val="005963BB"/>
    <w:rsid w:val="005A2FEC"/>
    <w:rsid w:val="005A3173"/>
    <w:rsid w:val="005A3223"/>
    <w:rsid w:val="005A3DA3"/>
    <w:rsid w:val="005A52C4"/>
    <w:rsid w:val="005A5576"/>
    <w:rsid w:val="005B0576"/>
    <w:rsid w:val="005B3C0D"/>
    <w:rsid w:val="005C1090"/>
    <w:rsid w:val="005D03AB"/>
    <w:rsid w:val="005D5017"/>
    <w:rsid w:val="005E65E3"/>
    <w:rsid w:val="005F111A"/>
    <w:rsid w:val="005F53B7"/>
    <w:rsid w:val="00601A91"/>
    <w:rsid w:val="00602BA3"/>
    <w:rsid w:val="00613406"/>
    <w:rsid w:val="0061352B"/>
    <w:rsid w:val="00614159"/>
    <w:rsid w:val="00617C00"/>
    <w:rsid w:val="006263BF"/>
    <w:rsid w:val="0062748A"/>
    <w:rsid w:val="00630A2C"/>
    <w:rsid w:val="00637C92"/>
    <w:rsid w:val="00651169"/>
    <w:rsid w:val="00653D69"/>
    <w:rsid w:val="00656B0F"/>
    <w:rsid w:val="00664639"/>
    <w:rsid w:val="00670A76"/>
    <w:rsid w:val="006711AA"/>
    <w:rsid w:val="00672B57"/>
    <w:rsid w:val="00675622"/>
    <w:rsid w:val="006906DB"/>
    <w:rsid w:val="00695261"/>
    <w:rsid w:val="006A12A5"/>
    <w:rsid w:val="006A58B6"/>
    <w:rsid w:val="006B0D94"/>
    <w:rsid w:val="006B41C7"/>
    <w:rsid w:val="006B485D"/>
    <w:rsid w:val="006C708E"/>
    <w:rsid w:val="006D013E"/>
    <w:rsid w:val="006D6EC7"/>
    <w:rsid w:val="006E5808"/>
    <w:rsid w:val="006E7867"/>
    <w:rsid w:val="006E7AA1"/>
    <w:rsid w:val="006F03CC"/>
    <w:rsid w:val="006F4478"/>
    <w:rsid w:val="006F5125"/>
    <w:rsid w:val="00706C13"/>
    <w:rsid w:val="007174BB"/>
    <w:rsid w:val="007359AE"/>
    <w:rsid w:val="0073787F"/>
    <w:rsid w:val="00740232"/>
    <w:rsid w:val="00747D27"/>
    <w:rsid w:val="00754003"/>
    <w:rsid w:val="00761493"/>
    <w:rsid w:val="00761660"/>
    <w:rsid w:val="0076420C"/>
    <w:rsid w:val="00766794"/>
    <w:rsid w:val="00767CAC"/>
    <w:rsid w:val="00770489"/>
    <w:rsid w:val="007753C2"/>
    <w:rsid w:val="007838B8"/>
    <w:rsid w:val="007A7818"/>
    <w:rsid w:val="007B2321"/>
    <w:rsid w:val="007C0F57"/>
    <w:rsid w:val="007C40B6"/>
    <w:rsid w:val="007C729F"/>
    <w:rsid w:val="007D1228"/>
    <w:rsid w:val="007D27FB"/>
    <w:rsid w:val="007D28CD"/>
    <w:rsid w:val="007D4AF1"/>
    <w:rsid w:val="007E1D28"/>
    <w:rsid w:val="007E1EEF"/>
    <w:rsid w:val="007E4BB9"/>
    <w:rsid w:val="007F00BA"/>
    <w:rsid w:val="007F2641"/>
    <w:rsid w:val="007F32CE"/>
    <w:rsid w:val="007F7C36"/>
    <w:rsid w:val="00805E22"/>
    <w:rsid w:val="00806796"/>
    <w:rsid w:val="008174A8"/>
    <w:rsid w:val="00820747"/>
    <w:rsid w:val="00821B36"/>
    <w:rsid w:val="00821ED2"/>
    <w:rsid w:val="00825C4D"/>
    <w:rsid w:val="00826F6D"/>
    <w:rsid w:val="00827CEA"/>
    <w:rsid w:val="00832D00"/>
    <w:rsid w:val="0084198D"/>
    <w:rsid w:val="00843CD9"/>
    <w:rsid w:val="00856DDD"/>
    <w:rsid w:val="00863E68"/>
    <w:rsid w:val="00882085"/>
    <w:rsid w:val="00883188"/>
    <w:rsid w:val="00897D58"/>
    <w:rsid w:val="008A1956"/>
    <w:rsid w:val="008A4937"/>
    <w:rsid w:val="008A4D3B"/>
    <w:rsid w:val="008A6CA9"/>
    <w:rsid w:val="008B697A"/>
    <w:rsid w:val="008D01FB"/>
    <w:rsid w:val="008D3C82"/>
    <w:rsid w:val="008D447E"/>
    <w:rsid w:val="008D6BA1"/>
    <w:rsid w:val="008D7A41"/>
    <w:rsid w:val="008E3680"/>
    <w:rsid w:val="008E4155"/>
    <w:rsid w:val="008E5870"/>
    <w:rsid w:val="008F1434"/>
    <w:rsid w:val="008F7355"/>
    <w:rsid w:val="009067B7"/>
    <w:rsid w:val="00913F8C"/>
    <w:rsid w:val="0091642B"/>
    <w:rsid w:val="00930937"/>
    <w:rsid w:val="00933E6C"/>
    <w:rsid w:val="00935E1C"/>
    <w:rsid w:val="00942160"/>
    <w:rsid w:val="009538AC"/>
    <w:rsid w:val="009602C5"/>
    <w:rsid w:val="009643A5"/>
    <w:rsid w:val="0096687C"/>
    <w:rsid w:val="009735EF"/>
    <w:rsid w:val="00974C21"/>
    <w:rsid w:val="009766C4"/>
    <w:rsid w:val="009778C8"/>
    <w:rsid w:val="00992ABA"/>
    <w:rsid w:val="009956C3"/>
    <w:rsid w:val="009A5438"/>
    <w:rsid w:val="009B0F67"/>
    <w:rsid w:val="009C0EF9"/>
    <w:rsid w:val="009C2BD6"/>
    <w:rsid w:val="009C703C"/>
    <w:rsid w:val="009D0BBD"/>
    <w:rsid w:val="009D2645"/>
    <w:rsid w:val="009D29F8"/>
    <w:rsid w:val="009D3CAA"/>
    <w:rsid w:val="009E3F12"/>
    <w:rsid w:val="009F4E46"/>
    <w:rsid w:val="009F5B65"/>
    <w:rsid w:val="009F5F2E"/>
    <w:rsid w:val="00A06225"/>
    <w:rsid w:val="00A076A7"/>
    <w:rsid w:val="00A128E6"/>
    <w:rsid w:val="00A35DE1"/>
    <w:rsid w:val="00A37C8D"/>
    <w:rsid w:val="00A46F78"/>
    <w:rsid w:val="00A5273B"/>
    <w:rsid w:val="00A53A9D"/>
    <w:rsid w:val="00A55FEE"/>
    <w:rsid w:val="00A61A4A"/>
    <w:rsid w:val="00A62C1A"/>
    <w:rsid w:val="00A63481"/>
    <w:rsid w:val="00A6426D"/>
    <w:rsid w:val="00A70622"/>
    <w:rsid w:val="00A70977"/>
    <w:rsid w:val="00A72092"/>
    <w:rsid w:val="00A77121"/>
    <w:rsid w:val="00A8390C"/>
    <w:rsid w:val="00A8575D"/>
    <w:rsid w:val="00A928BD"/>
    <w:rsid w:val="00AA174D"/>
    <w:rsid w:val="00AA2FD1"/>
    <w:rsid w:val="00AA4D1C"/>
    <w:rsid w:val="00AB798A"/>
    <w:rsid w:val="00AC193C"/>
    <w:rsid w:val="00AC3BEA"/>
    <w:rsid w:val="00AC5206"/>
    <w:rsid w:val="00AD41A2"/>
    <w:rsid w:val="00AE11A5"/>
    <w:rsid w:val="00AE13E2"/>
    <w:rsid w:val="00AF1BB4"/>
    <w:rsid w:val="00AF1C12"/>
    <w:rsid w:val="00AF5212"/>
    <w:rsid w:val="00AF68CC"/>
    <w:rsid w:val="00B02406"/>
    <w:rsid w:val="00B205AA"/>
    <w:rsid w:val="00B22E84"/>
    <w:rsid w:val="00B24347"/>
    <w:rsid w:val="00B24CC4"/>
    <w:rsid w:val="00B24D2D"/>
    <w:rsid w:val="00B25F75"/>
    <w:rsid w:val="00B35E3C"/>
    <w:rsid w:val="00B377AC"/>
    <w:rsid w:val="00B43E90"/>
    <w:rsid w:val="00B467DC"/>
    <w:rsid w:val="00B51ACB"/>
    <w:rsid w:val="00B53145"/>
    <w:rsid w:val="00B56118"/>
    <w:rsid w:val="00B62B62"/>
    <w:rsid w:val="00B63EC9"/>
    <w:rsid w:val="00B66065"/>
    <w:rsid w:val="00B660AA"/>
    <w:rsid w:val="00B6773F"/>
    <w:rsid w:val="00B67D5B"/>
    <w:rsid w:val="00B801BA"/>
    <w:rsid w:val="00B8423D"/>
    <w:rsid w:val="00B84D5C"/>
    <w:rsid w:val="00B96403"/>
    <w:rsid w:val="00B96FD5"/>
    <w:rsid w:val="00B976DA"/>
    <w:rsid w:val="00B9793C"/>
    <w:rsid w:val="00BA440D"/>
    <w:rsid w:val="00BB69F5"/>
    <w:rsid w:val="00BB7EC3"/>
    <w:rsid w:val="00BC150A"/>
    <w:rsid w:val="00BC4B9A"/>
    <w:rsid w:val="00BC764B"/>
    <w:rsid w:val="00BC7D43"/>
    <w:rsid w:val="00BD71C7"/>
    <w:rsid w:val="00BD784C"/>
    <w:rsid w:val="00BE0804"/>
    <w:rsid w:val="00BE60EB"/>
    <w:rsid w:val="00BF4CB6"/>
    <w:rsid w:val="00C00DA7"/>
    <w:rsid w:val="00C11C35"/>
    <w:rsid w:val="00C11F1B"/>
    <w:rsid w:val="00C12768"/>
    <w:rsid w:val="00C27B58"/>
    <w:rsid w:val="00C31FFF"/>
    <w:rsid w:val="00C355B7"/>
    <w:rsid w:val="00C35996"/>
    <w:rsid w:val="00C363C7"/>
    <w:rsid w:val="00C4672B"/>
    <w:rsid w:val="00C46850"/>
    <w:rsid w:val="00C52F72"/>
    <w:rsid w:val="00C5342C"/>
    <w:rsid w:val="00C575B9"/>
    <w:rsid w:val="00C6256A"/>
    <w:rsid w:val="00C6402C"/>
    <w:rsid w:val="00C66D3A"/>
    <w:rsid w:val="00C72335"/>
    <w:rsid w:val="00C91449"/>
    <w:rsid w:val="00C92D10"/>
    <w:rsid w:val="00CB43D1"/>
    <w:rsid w:val="00CC7EF9"/>
    <w:rsid w:val="00CE10C4"/>
    <w:rsid w:val="00CE27B5"/>
    <w:rsid w:val="00D0321E"/>
    <w:rsid w:val="00D05F7A"/>
    <w:rsid w:val="00D10BAD"/>
    <w:rsid w:val="00D1455A"/>
    <w:rsid w:val="00D15214"/>
    <w:rsid w:val="00D15805"/>
    <w:rsid w:val="00D237FD"/>
    <w:rsid w:val="00D23B7C"/>
    <w:rsid w:val="00D3280C"/>
    <w:rsid w:val="00D329CA"/>
    <w:rsid w:val="00D3406A"/>
    <w:rsid w:val="00D41279"/>
    <w:rsid w:val="00D4608C"/>
    <w:rsid w:val="00D469B2"/>
    <w:rsid w:val="00D54094"/>
    <w:rsid w:val="00D55D5D"/>
    <w:rsid w:val="00D56C51"/>
    <w:rsid w:val="00D70CD7"/>
    <w:rsid w:val="00D73AAE"/>
    <w:rsid w:val="00D741EB"/>
    <w:rsid w:val="00D84934"/>
    <w:rsid w:val="00D91271"/>
    <w:rsid w:val="00D93567"/>
    <w:rsid w:val="00DA2CB5"/>
    <w:rsid w:val="00DA4BAC"/>
    <w:rsid w:val="00DA7555"/>
    <w:rsid w:val="00DD5BB2"/>
    <w:rsid w:val="00DE077F"/>
    <w:rsid w:val="00DE6D27"/>
    <w:rsid w:val="00DF217D"/>
    <w:rsid w:val="00DF26A7"/>
    <w:rsid w:val="00DF50EE"/>
    <w:rsid w:val="00E00179"/>
    <w:rsid w:val="00E015E2"/>
    <w:rsid w:val="00E0477B"/>
    <w:rsid w:val="00E050FC"/>
    <w:rsid w:val="00E164B3"/>
    <w:rsid w:val="00E16910"/>
    <w:rsid w:val="00E16D51"/>
    <w:rsid w:val="00E3267B"/>
    <w:rsid w:val="00E53CA9"/>
    <w:rsid w:val="00E65E54"/>
    <w:rsid w:val="00E80155"/>
    <w:rsid w:val="00E82BA5"/>
    <w:rsid w:val="00E848C0"/>
    <w:rsid w:val="00E91B96"/>
    <w:rsid w:val="00E941A1"/>
    <w:rsid w:val="00E95CE3"/>
    <w:rsid w:val="00EA2825"/>
    <w:rsid w:val="00EB5088"/>
    <w:rsid w:val="00EC0192"/>
    <w:rsid w:val="00EC29CE"/>
    <w:rsid w:val="00EC5B64"/>
    <w:rsid w:val="00EC65BA"/>
    <w:rsid w:val="00ED1644"/>
    <w:rsid w:val="00ED5688"/>
    <w:rsid w:val="00EF44A0"/>
    <w:rsid w:val="00EF4FED"/>
    <w:rsid w:val="00F032C5"/>
    <w:rsid w:val="00F050BD"/>
    <w:rsid w:val="00F05657"/>
    <w:rsid w:val="00F11D17"/>
    <w:rsid w:val="00F16F3B"/>
    <w:rsid w:val="00F25578"/>
    <w:rsid w:val="00F258E5"/>
    <w:rsid w:val="00F300BC"/>
    <w:rsid w:val="00F30D63"/>
    <w:rsid w:val="00F3334E"/>
    <w:rsid w:val="00F50EC4"/>
    <w:rsid w:val="00F53810"/>
    <w:rsid w:val="00F57A6D"/>
    <w:rsid w:val="00F638CC"/>
    <w:rsid w:val="00F64CC1"/>
    <w:rsid w:val="00F80B8E"/>
    <w:rsid w:val="00F81EDA"/>
    <w:rsid w:val="00F8247A"/>
    <w:rsid w:val="00F9629A"/>
    <w:rsid w:val="00FA5883"/>
    <w:rsid w:val="00FA6055"/>
    <w:rsid w:val="00FB0F50"/>
    <w:rsid w:val="00FB322F"/>
    <w:rsid w:val="00FB442F"/>
    <w:rsid w:val="00FC1929"/>
    <w:rsid w:val="00FC5B46"/>
    <w:rsid w:val="00FC6FFC"/>
    <w:rsid w:val="00FD3DC0"/>
    <w:rsid w:val="00FD4242"/>
    <w:rsid w:val="00FF00BD"/>
    <w:rsid w:val="00FF1ED4"/>
    <w:rsid w:val="00FF2801"/>
    <w:rsid w:val="00FF2B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181333"/>
    <w:pPr>
      <w:numPr>
        <w:numId w:val="1"/>
      </w:numPr>
      <w:jc w:val="both"/>
      <w:outlineLvl w:val="0"/>
    </w:pPr>
    <w:rPr>
      <w:rFonts w:ascii="Arial" w:hAnsi="Arial"/>
      <w:b/>
      <w:sz w:val="22"/>
      <w:szCs w:val="22"/>
    </w:rPr>
  </w:style>
  <w:style w:type="paragraph" w:styleId="Heading2">
    <w:name w:val="heading 2"/>
    <w:basedOn w:val="Normal"/>
    <w:next w:val="Normal"/>
    <w:qFormat/>
    <w:rsid w:val="00181333"/>
    <w:pPr>
      <w:spacing w:after="200" w:line="276" w:lineRule="auto"/>
      <w:jc w:val="both"/>
      <w:outlineLvl w:val="1"/>
    </w:pPr>
    <w:rPr>
      <w:rFonts w:ascii="Arial" w:hAnsi="Arial" w:cs="Arial"/>
      <w:b/>
      <w:bCs/>
      <w:i/>
      <w:snapToGrid w:val="0"/>
      <w:sz w:val="22"/>
      <w:szCs w:val="22"/>
      <w:lang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Caption">
    <w:name w:val="caption"/>
    <w:basedOn w:val="Normal"/>
    <w:next w:val="Normal"/>
    <w:uiPriority w:val="35"/>
    <w:qFormat/>
    <w:rsid w:val="003F0ACA"/>
    <w:pPr>
      <w:spacing w:after="200"/>
    </w:pPr>
    <w:rPr>
      <w:rFonts w:ascii="Calibri" w:eastAsiaTheme="majorEastAsia" w:hAnsi="Calibri" w:cstheme="majorBidi"/>
      <w:b/>
      <w:bCs/>
      <w:szCs w:val="18"/>
      <w:lang w:eastAsia="en-US" w:bidi="en-US"/>
    </w:rPr>
  </w:style>
  <w:style w:type="paragraph" w:customStyle="1" w:styleId="TableFooter">
    <w:name w:val="Table Footer"/>
    <w:basedOn w:val="Normal"/>
    <w:qFormat/>
    <w:rsid w:val="003F0ACA"/>
    <w:pPr>
      <w:widowControl w:val="0"/>
      <w:jc w:val="both"/>
    </w:pPr>
    <w:rPr>
      <w:rFonts w:ascii="Arial Narrow" w:hAnsi="Arial Narrow" w:cs="Arial"/>
      <w:snapToGrid w:val="0"/>
      <w:sz w:val="18"/>
      <w:szCs w:val="20"/>
      <w:lang w:eastAsia="en-US"/>
    </w:rPr>
  </w:style>
  <w:style w:type="character" w:customStyle="1" w:styleId="ListParagraphChar">
    <w:name w:val="List Paragraph Char"/>
    <w:aliases w:val="BulletPoints Char"/>
    <w:link w:val="ListParagraph"/>
    <w:uiPriority w:val="72"/>
    <w:rsid w:val="00A46F78"/>
    <w:rPr>
      <w:sz w:val="24"/>
      <w:szCs w:val="24"/>
    </w:rPr>
  </w:style>
  <w:style w:type="paragraph" w:customStyle="1" w:styleId="TableNotes0">
    <w:name w:val="TableNotes"/>
    <w:basedOn w:val="Normal"/>
    <w:link w:val="TableNotesChar"/>
    <w:rsid w:val="0091642B"/>
    <w:pPr>
      <w:keepNext/>
      <w:tabs>
        <w:tab w:val="left" w:pos="1559"/>
      </w:tabs>
    </w:pPr>
    <w:rPr>
      <w:rFonts w:ascii="Calibri" w:eastAsia="SimSun" w:hAnsi="Calibri"/>
      <w:sz w:val="16"/>
      <w:szCs w:val="20"/>
      <w:lang w:eastAsia="zh-CN"/>
    </w:rPr>
  </w:style>
  <w:style w:type="character" w:customStyle="1" w:styleId="TableNotesChar">
    <w:name w:val="TableNotes Char"/>
    <w:link w:val="TableNotes0"/>
    <w:rsid w:val="0091642B"/>
    <w:rPr>
      <w:rFonts w:ascii="Calibri" w:eastAsia="SimSun" w:hAnsi="Calibri"/>
      <w:sz w:val="16"/>
      <w:lang w:eastAsia="zh-CN"/>
    </w:rPr>
  </w:style>
  <w:style w:type="paragraph" w:styleId="BodyText">
    <w:name w:val="Body Text"/>
    <w:basedOn w:val="Normal"/>
    <w:link w:val="BodyTextChar"/>
    <w:rsid w:val="003B3DDB"/>
    <w:pPr>
      <w:spacing w:after="120"/>
    </w:pPr>
  </w:style>
  <w:style w:type="character" w:customStyle="1" w:styleId="BodyTextChar">
    <w:name w:val="Body Text Char"/>
    <w:basedOn w:val="DefaultParagraphFont"/>
    <w:link w:val="BodyText"/>
    <w:rsid w:val="003B3DDB"/>
    <w:rPr>
      <w:sz w:val="24"/>
      <w:szCs w:val="24"/>
    </w:rPr>
  </w:style>
  <w:style w:type="paragraph" w:styleId="Revision">
    <w:name w:val="Revision"/>
    <w:hidden/>
    <w:uiPriority w:val="71"/>
    <w:rsid w:val="00205A52"/>
    <w:rPr>
      <w:sz w:val="24"/>
      <w:szCs w:val="24"/>
    </w:rPr>
  </w:style>
  <w:style w:type="paragraph" w:customStyle="1" w:styleId="PBACheading1">
    <w:name w:val="PBAC heading 1"/>
    <w:qFormat/>
    <w:rsid w:val="001149FE"/>
    <w:pPr>
      <w:ind w:left="720" w:hanging="720"/>
    </w:pPr>
    <w:rPr>
      <w:rFonts w:ascii="Arial" w:hAnsi="Arial" w:cs="Arial"/>
      <w:snapToGrid w:val="0"/>
      <w:sz w:val="22"/>
      <w:szCs w:val="22"/>
      <w:lang w:eastAsia="en-US"/>
    </w:rPr>
  </w:style>
  <w:style w:type="paragraph" w:styleId="Title">
    <w:name w:val="Title"/>
    <w:basedOn w:val="Normal"/>
    <w:next w:val="Normal"/>
    <w:link w:val="TitleChar"/>
    <w:qFormat/>
    <w:rsid w:val="00181333"/>
    <w:pPr>
      <w:ind w:left="720" w:hanging="720"/>
      <w:outlineLvl w:val="0"/>
    </w:pPr>
    <w:rPr>
      <w:rFonts w:ascii="Arial" w:hAnsi="Arial"/>
      <w:b/>
      <w:sz w:val="28"/>
      <w:szCs w:val="28"/>
    </w:rPr>
  </w:style>
  <w:style w:type="character" w:customStyle="1" w:styleId="TitleChar">
    <w:name w:val="Title Char"/>
    <w:basedOn w:val="DefaultParagraphFont"/>
    <w:link w:val="Title"/>
    <w:rsid w:val="00181333"/>
    <w:rPr>
      <w:rFonts w:ascii="Arial" w:hAnsi="Arial"/>
      <w:b/>
      <w:sz w:val="28"/>
      <w:szCs w:val="28"/>
    </w:rPr>
  </w:style>
  <w:style w:type="paragraph" w:customStyle="1" w:styleId="ProcedureStep">
    <w:name w:val="ProcedureStep"/>
    <w:basedOn w:val="Normal"/>
    <w:rsid w:val="00767CAC"/>
    <w:pPr>
      <w:numPr>
        <w:numId w:val="2"/>
      </w:numPr>
      <w:spacing w:before="60" w:after="60" w:line="300" w:lineRule="atLeast"/>
      <w:ind w:right="567"/>
    </w:pPr>
    <w:rPr>
      <w:rFonts w:ascii="Tahoma" w:hAnsi="Tahoma"/>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181333"/>
    <w:pPr>
      <w:numPr>
        <w:numId w:val="1"/>
      </w:numPr>
      <w:jc w:val="both"/>
      <w:outlineLvl w:val="0"/>
    </w:pPr>
    <w:rPr>
      <w:rFonts w:ascii="Arial" w:hAnsi="Arial"/>
      <w:b/>
      <w:sz w:val="22"/>
      <w:szCs w:val="22"/>
    </w:rPr>
  </w:style>
  <w:style w:type="paragraph" w:styleId="Heading2">
    <w:name w:val="heading 2"/>
    <w:basedOn w:val="Normal"/>
    <w:next w:val="Normal"/>
    <w:qFormat/>
    <w:rsid w:val="00181333"/>
    <w:pPr>
      <w:spacing w:after="200" w:line="276" w:lineRule="auto"/>
      <w:jc w:val="both"/>
      <w:outlineLvl w:val="1"/>
    </w:pPr>
    <w:rPr>
      <w:rFonts w:ascii="Arial" w:hAnsi="Arial" w:cs="Arial"/>
      <w:b/>
      <w:bCs/>
      <w:i/>
      <w:snapToGrid w:val="0"/>
      <w:sz w:val="22"/>
      <w:szCs w:val="22"/>
      <w:lang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Caption">
    <w:name w:val="caption"/>
    <w:basedOn w:val="Normal"/>
    <w:next w:val="Normal"/>
    <w:uiPriority w:val="35"/>
    <w:qFormat/>
    <w:rsid w:val="003F0ACA"/>
    <w:pPr>
      <w:spacing w:after="200"/>
    </w:pPr>
    <w:rPr>
      <w:rFonts w:ascii="Calibri" w:eastAsiaTheme="majorEastAsia" w:hAnsi="Calibri" w:cstheme="majorBidi"/>
      <w:b/>
      <w:bCs/>
      <w:szCs w:val="18"/>
      <w:lang w:eastAsia="en-US" w:bidi="en-US"/>
    </w:rPr>
  </w:style>
  <w:style w:type="paragraph" w:customStyle="1" w:styleId="TableFooter">
    <w:name w:val="Table Footer"/>
    <w:basedOn w:val="Normal"/>
    <w:qFormat/>
    <w:rsid w:val="003F0ACA"/>
    <w:pPr>
      <w:widowControl w:val="0"/>
      <w:jc w:val="both"/>
    </w:pPr>
    <w:rPr>
      <w:rFonts w:ascii="Arial Narrow" w:hAnsi="Arial Narrow" w:cs="Arial"/>
      <w:snapToGrid w:val="0"/>
      <w:sz w:val="18"/>
      <w:szCs w:val="20"/>
      <w:lang w:eastAsia="en-US"/>
    </w:rPr>
  </w:style>
  <w:style w:type="character" w:customStyle="1" w:styleId="ListParagraphChar">
    <w:name w:val="List Paragraph Char"/>
    <w:aliases w:val="BulletPoints Char"/>
    <w:link w:val="ListParagraph"/>
    <w:uiPriority w:val="72"/>
    <w:rsid w:val="00A46F78"/>
    <w:rPr>
      <w:sz w:val="24"/>
      <w:szCs w:val="24"/>
    </w:rPr>
  </w:style>
  <w:style w:type="paragraph" w:customStyle="1" w:styleId="TableNotes0">
    <w:name w:val="TableNotes"/>
    <w:basedOn w:val="Normal"/>
    <w:link w:val="TableNotesChar"/>
    <w:rsid w:val="0091642B"/>
    <w:pPr>
      <w:keepNext/>
      <w:tabs>
        <w:tab w:val="left" w:pos="1559"/>
      </w:tabs>
    </w:pPr>
    <w:rPr>
      <w:rFonts w:ascii="Calibri" w:eastAsia="SimSun" w:hAnsi="Calibri"/>
      <w:sz w:val="16"/>
      <w:szCs w:val="20"/>
      <w:lang w:eastAsia="zh-CN"/>
    </w:rPr>
  </w:style>
  <w:style w:type="character" w:customStyle="1" w:styleId="TableNotesChar">
    <w:name w:val="TableNotes Char"/>
    <w:link w:val="TableNotes0"/>
    <w:rsid w:val="0091642B"/>
    <w:rPr>
      <w:rFonts w:ascii="Calibri" w:eastAsia="SimSun" w:hAnsi="Calibri"/>
      <w:sz w:val="16"/>
      <w:lang w:eastAsia="zh-CN"/>
    </w:rPr>
  </w:style>
  <w:style w:type="paragraph" w:styleId="BodyText">
    <w:name w:val="Body Text"/>
    <w:basedOn w:val="Normal"/>
    <w:link w:val="BodyTextChar"/>
    <w:rsid w:val="003B3DDB"/>
    <w:pPr>
      <w:spacing w:after="120"/>
    </w:pPr>
  </w:style>
  <w:style w:type="character" w:customStyle="1" w:styleId="BodyTextChar">
    <w:name w:val="Body Text Char"/>
    <w:basedOn w:val="DefaultParagraphFont"/>
    <w:link w:val="BodyText"/>
    <w:rsid w:val="003B3DDB"/>
    <w:rPr>
      <w:sz w:val="24"/>
      <w:szCs w:val="24"/>
    </w:rPr>
  </w:style>
  <w:style w:type="paragraph" w:styleId="Revision">
    <w:name w:val="Revision"/>
    <w:hidden/>
    <w:uiPriority w:val="71"/>
    <w:rsid w:val="00205A52"/>
    <w:rPr>
      <w:sz w:val="24"/>
      <w:szCs w:val="24"/>
    </w:rPr>
  </w:style>
  <w:style w:type="paragraph" w:customStyle="1" w:styleId="PBACheading1">
    <w:name w:val="PBAC heading 1"/>
    <w:qFormat/>
    <w:rsid w:val="001149FE"/>
    <w:pPr>
      <w:ind w:left="720" w:hanging="720"/>
    </w:pPr>
    <w:rPr>
      <w:rFonts w:ascii="Arial" w:hAnsi="Arial" w:cs="Arial"/>
      <w:snapToGrid w:val="0"/>
      <w:sz w:val="22"/>
      <w:szCs w:val="22"/>
      <w:lang w:eastAsia="en-US"/>
    </w:rPr>
  </w:style>
  <w:style w:type="paragraph" w:styleId="Title">
    <w:name w:val="Title"/>
    <w:basedOn w:val="Normal"/>
    <w:next w:val="Normal"/>
    <w:link w:val="TitleChar"/>
    <w:qFormat/>
    <w:rsid w:val="00181333"/>
    <w:pPr>
      <w:ind w:left="720" w:hanging="720"/>
      <w:outlineLvl w:val="0"/>
    </w:pPr>
    <w:rPr>
      <w:rFonts w:ascii="Arial" w:hAnsi="Arial"/>
      <w:b/>
      <w:sz w:val="28"/>
      <w:szCs w:val="28"/>
    </w:rPr>
  </w:style>
  <w:style w:type="character" w:customStyle="1" w:styleId="TitleChar">
    <w:name w:val="Title Char"/>
    <w:basedOn w:val="DefaultParagraphFont"/>
    <w:link w:val="Title"/>
    <w:rsid w:val="00181333"/>
    <w:rPr>
      <w:rFonts w:ascii="Arial" w:hAnsi="Arial"/>
      <w:b/>
      <w:sz w:val="28"/>
      <w:szCs w:val="28"/>
    </w:rPr>
  </w:style>
  <w:style w:type="paragraph" w:customStyle="1" w:styleId="ProcedureStep">
    <w:name w:val="ProcedureStep"/>
    <w:basedOn w:val="Normal"/>
    <w:rsid w:val="00767CAC"/>
    <w:pPr>
      <w:numPr>
        <w:numId w:val="2"/>
      </w:numPr>
      <w:spacing w:before="60" w:after="60" w:line="300" w:lineRule="atLeast"/>
      <w:ind w:right="567"/>
    </w:pPr>
    <w:rPr>
      <w:rFonts w:ascii="Tahoma" w:hAnsi="Tahoma"/>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42111466">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8A19F-F73E-47ED-895F-62A8B1FE0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4750</Words>
  <Characters>27196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2016-06-20T04:00:00Z</dcterms:created>
  <dcterms:modified xsi:type="dcterms:W3CDTF">2016-06-22T00:19:00Z</dcterms:modified>
</cp:coreProperties>
</file>