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F4" w:rsidRPr="0066049E" w:rsidRDefault="00F103F4" w:rsidP="0066049E">
      <w:pPr>
        <w:pStyle w:val="Title"/>
      </w:pPr>
      <w:r w:rsidRPr="0066049E">
        <w:t>4.07</w:t>
      </w:r>
      <w:r w:rsidR="007C0F57" w:rsidRPr="0066049E">
        <w:tab/>
      </w:r>
      <w:r w:rsidRPr="0066049E">
        <w:t>USTEKINUMAB</w:t>
      </w:r>
    </w:p>
    <w:p w:rsidR="00F103F4" w:rsidRPr="0066049E" w:rsidRDefault="00F103F4" w:rsidP="0066049E">
      <w:pPr>
        <w:pStyle w:val="Title"/>
        <w:ind w:firstLine="0"/>
      </w:pPr>
      <w:r w:rsidRPr="0066049E">
        <w:t>45</w:t>
      </w:r>
      <w:r w:rsidR="009920A4" w:rsidRPr="0066049E">
        <w:t> mg/0.5 </w:t>
      </w:r>
      <w:r w:rsidRPr="0066049E">
        <w:t>mL injection, 1 x 0.5</w:t>
      </w:r>
      <w:r w:rsidR="009920A4" w:rsidRPr="0066049E">
        <w:t> </w:t>
      </w:r>
      <w:r w:rsidRPr="0066049E">
        <w:t>mL vial</w:t>
      </w:r>
    </w:p>
    <w:p w:rsidR="00F103F4" w:rsidRPr="0066049E" w:rsidRDefault="00F103F4" w:rsidP="0066049E">
      <w:pPr>
        <w:pStyle w:val="Title"/>
        <w:ind w:firstLine="0"/>
      </w:pPr>
      <w:r w:rsidRPr="0066049E">
        <w:t>Stelara®</w:t>
      </w:r>
      <w:r w:rsidR="009920A4" w:rsidRPr="0066049E">
        <w:t xml:space="preserve">, </w:t>
      </w:r>
      <w:r w:rsidRPr="0066049E">
        <w:t>Janssen-Cilag Pty Ltd</w:t>
      </w:r>
      <w:r w:rsidR="002F1439" w:rsidRPr="0066049E">
        <w:t>.</w:t>
      </w:r>
    </w:p>
    <w:p w:rsidR="00CE10C4" w:rsidRDefault="00CE10C4" w:rsidP="0066049E">
      <w:pPr>
        <w:pStyle w:val="NoSpacing"/>
        <w:spacing w:line="480" w:lineRule="auto"/>
      </w:pPr>
    </w:p>
    <w:p w:rsidR="00CE10C4" w:rsidRPr="00882085" w:rsidRDefault="00CE10C4" w:rsidP="0066049E">
      <w:pPr>
        <w:pStyle w:val="Heading1"/>
      </w:pPr>
      <w:r w:rsidRPr="0066049E">
        <w:t>Purpose</w:t>
      </w:r>
      <w:r w:rsidRPr="00882085">
        <w:t xml:space="preserve"> of </w:t>
      </w:r>
      <w:r w:rsidR="0004240E" w:rsidRPr="00882085">
        <w:t>Application</w:t>
      </w:r>
    </w:p>
    <w:p w:rsidR="006A12A5" w:rsidRPr="00882085" w:rsidRDefault="006A12A5" w:rsidP="00882085">
      <w:pPr>
        <w:jc w:val="both"/>
        <w:rPr>
          <w:rFonts w:ascii="Arial" w:hAnsi="Arial"/>
          <w:sz w:val="22"/>
          <w:szCs w:val="22"/>
        </w:rPr>
      </w:pPr>
    </w:p>
    <w:p w:rsidR="00EF44A0" w:rsidRPr="00200882" w:rsidRDefault="00027873" w:rsidP="00F52282">
      <w:pPr>
        <w:pStyle w:val="ListParagraph"/>
        <w:numPr>
          <w:ilvl w:val="1"/>
          <w:numId w:val="1"/>
        </w:numPr>
        <w:jc w:val="both"/>
      </w:pPr>
      <w:r>
        <w:rPr>
          <w:rFonts w:ascii="Arial" w:hAnsi="Arial"/>
          <w:sz w:val="22"/>
          <w:szCs w:val="22"/>
        </w:rPr>
        <w:t xml:space="preserve">PBAC reconsideration of the </w:t>
      </w:r>
      <w:r w:rsidR="004142C1">
        <w:rPr>
          <w:rFonts w:ascii="Arial" w:hAnsi="Arial"/>
          <w:sz w:val="22"/>
          <w:szCs w:val="22"/>
        </w:rPr>
        <w:t>minor resubmission for ustekinumab in psoriatic arthritis</w:t>
      </w:r>
      <w:r w:rsidR="00922051">
        <w:rPr>
          <w:rFonts w:ascii="Arial" w:hAnsi="Arial"/>
          <w:sz w:val="22"/>
          <w:szCs w:val="22"/>
        </w:rPr>
        <w:t xml:space="preserve"> (PsA)</w:t>
      </w:r>
      <w:r w:rsidR="004142C1">
        <w:rPr>
          <w:rFonts w:ascii="Arial" w:hAnsi="Arial"/>
          <w:sz w:val="22"/>
          <w:szCs w:val="22"/>
        </w:rPr>
        <w:t xml:space="preserve"> </w:t>
      </w:r>
      <w:r>
        <w:rPr>
          <w:rFonts w:ascii="Arial" w:hAnsi="Arial"/>
          <w:sz w:val="22"/>
          <w:szCs w:val="22"/>
        </w:rPr>
        <w:t xml:space="preserve">that </w:t>
      </w:r>
      <w:r w:rsidR="004142C1">
        <w:rPr>
          <w:rFonts w:ascii="Arial" w:hAnsi="Arial"/>
          <w:sz w:val="22"/>
          <w:szCs w:val="22"/>
        </w:rPr>
        <w:t xml:space="preserve">was </w:t>
      </w:r>
      <w:r w:rsidR="00200882">
        <w:rPr>
          <w:rFonts w:ascii="Arial" w:hAnsi="Arial"/>
          <w:sz w:val="22"/>
          <w:szCs w:val="22"/>
        </w:rPr>
        <w:t>deferred</w:t>
      </w:r>
      <w:r w:rsidR="00CC22C1">
        <w:rPr>
          <w:rFonts w:ascii="Arial" w:hAnsi="Arial"/>
          <w:sz w:val="22"/>
          <w:szCs w:val="22"/>
        </w:rPr>
        <w:t xml:space="preserve"> by PBAC in July 2015</w:t>
      </w:r>
      <w:r>
        <w:rPr>
          <w:rFonts w:ascii="Arial" w:hAnsi="Arial"/>
          <w:sz w:val="22"/>
          <w:szCs w:val="22"/>
        </w:rPr>
        <w:t xml:space="preserve"> and</w:t>
      </w:r>
      <w:r w:rsidR="00CC22C1">
        <w:rPr>
          <w:rFonts w:ascii="Arial" w:hAnsi="Arial"/>
          <w:sz w:val="22"/>
          <w:szCs w:val="22"/>
        </w:rPr>
        <w:t xml:space="preserve"> </w:t>
      </w:r>
      <w:r>
        <w:rPr>
          <w:rFonts w:ascii="Arial" w:hAnsi="Arial"/>
          <w:sz w:val="22"/>
          <w:szCs w:val="22"/>
        </w:rPr>
        <w:t xml:space="preserve">that </w:t>
      </w:r>
      <w:r w:rsidR="004142C1">
        <w:rPr>
          <w:rFonts w:ascii="Arial" w:hAnsi="Arial"/>
          <w:sz w:val="22"/>
          <w:szCs w:val="22"/>
        </w:rPr>
        <w:t xml:space="preserve">sought to address the issues raised </w:t>
      </w:r>
      <w:r>
        <w:rPr>
          <w:rFonts w:ascii="Arial" w:hAnsi="Arial"/>
          <w:sz w:val="22"/>
          <w:szCs w:val="22"/>
        </w:rPr>
        <w:t>when PBAC rejected an application for ustekinumab for PsA in November 2014 (refer</w:t>
      </w:r>
      <w:r w:rsidR="004142C1">
        <w:rPr>
          <w:rFonts w:ascii="Arial" w:hAnsi="Arial"/>
          <w:sz w:val="22"/>
          <w:szCs w:val="22"/>
        </w:rPr>
        <w:t xml:space="preserve"> ustekinumab </w:t>
      </w:r>
      <w:r w:rsidR="006016E7">
        <w:rPr>
          <w:rFonts w:ascii="Arial" w:hAnsi="Arial"/>
          <w:sz w:val="22"/>
          <w:szCs w:val="22"/>
        </w:rPr>
        <w:t>Public Summary Document</w:t>
      </w:r>
      <w:r w:rsidR="004142C1">
        <w:rPr>
          <w:rFonts w:ascii="Arial" w:hAnsi="Arial"/>
          <w:sz w:val="22"/>
          <w:szCs w:val="22"/>
        </w:rPr>
        <w:t xml:space="preserve"> from the November 2014 meeting</w:t>
      </w:r>
      <w:r w:rsidR="004245B6">
        <w:rPr>
          <w:rFonts w:ascii="Arial" w:hAnsi="Arial"/>
          <w:sz w:val="22"/>
          <w:szCs w:val="22"/>
        </w:rPr>
        <w:t>)</w:t>
      </w:r>
      <w:r w:rsidR="004142C1">
        <w:rPr>
          <w:rFonts w:ascii="Arial" w:hAnsi="Arial"/>
          <w:sz w:val="22"/>
          <w:szCs w:val="22"/>
        </w:rPr>
        <w:t>.</w:t>
      </w:r>
    </w:p>
    <w:p w:rsidR="00200882" w:rsidRDefault="00200882" w:rsidP="0066049E">
      <w:pPr>
        <w:pStyle w:val="BodyText"/>
      </w:pPr>
    </w:p>
    <w:p w:rsidR="00614159" w:rsidRPr="00882085" w:rsidRDefault="006A12A5" w:rsidP="0066049E">
      <w:pPr>
        <w:pStyle w:val="Heading1"/>
      </w:pPr>
      <w:r w:rsidRPr="00882085">
        <w:t>Requested listing</w:t>
      </w:r>
    </w:p>
    <w:p w:rsidR="006A12A5" w:rsidRPr="009920A4" w:rsidRDefault="006A12A5" w:rsidP="00882085">
      <w:pPr>
        <w:jc w:val="both"/>
        <w:rPr>
          <w:rFonts w:ascii="Arial" w:hAnsi="Arial"/>
          <w:sz w:val="22"/>
          <w:szCs w:val="22"/>
        </w:rPr>
      </w:pPr>
    </w:p>
    <w:p w:rsidR="004142C1" w:rsidRDefault="004142C1" w:rsidP="00F52282">
      <w:pPr>
        <w:numPr>
          <w:ilvl w:val="1"/>
          <w:numId w:val="1"/>
        </w:numPr>
        <w:contextualSpacing/>
        <w:jc w:val="both"/>
        <w:rPr>
          <w:rFonts w:ascii="Arial" w:hAnsi="Arial" w:cs="Arial"/>
          <w:bCs/>
          <w:snapToGrid w:val="0"/>
          <w:sz w:val="22"/>
          <w:szCs w:val="20"/>
          <w:lang w:eastAsia="en-US"/>
        </w:rPr>
      </w:pPr>
      <w:r>
        <w:rPr>
          <w:rFonts w:ascii="Arial" w:hAnsi="Arial"/>
          <w:sz w:val="22"/>
          <w:szCs w:val="22"/>
        </w:rPr>
        <w:t xml:space="preserve">The July 2015 minor resubmission requested the same PBS listing for PsA as that proposed in the November 2014 major submission.  </w:t>
      </w:r>
      <w:r w:rsidRPr="00891F63">
        <w:rPr>
          <w:rFonts w:ascii="Arial" w:hAnsi="Arial" w:cs="Arial"/>
          <w:bCs/>
          <w:snapToGrid w:val="0"/>
          <w:sz w:val="22"/>
          <w:szCs w:val="20"/>
          <w:lang w:eastAsia="en-US"/>
        </w:rPr>
        <w:t xml:space="preserve">The </w:t>
      </w:r>
      <w:r>
        <w:rPr>
          <w:rFonts w:ascii="Arial" w:hAnsi="Arial" w:cs="Arial"/>
          <w:snapToGrid w:val="0"/>
          <w:sz w:val="22"/>
          <w:szCs w:val="22"/>
          <w:lang w:eastAsia="en-US"/>
        </w:rPr>
        <w:t>requested</w:t>
      </w:r>
      <w:r w:rsidRPr="00891F63">
        <w:rPr>
          <w:rFonts w:ascii="Arial" w:hAnsi="Arial" w:cs="Arial"/>
          <w:bCs/>
          <w:snapToGrid w:val="0"/>
          <w:sz w:val="22"/>
          <w:szCs w:val="20"/>
          <w:lang w:eastAsia="en-US"/>
        </w:rPr>
        <w:t xml:space="preserve"> restriction </w:t>
      </w:r>
      <w:r>
        <w:rPr>
          <w:rFonts w:ascii="Arial" w:hAnsi="Arial" w:cs="Arial"/>
          <w:bCs/>
          <w:snapToGrid w:val="0"/>
          <w:sz w:val="22"/>
          <w:szCs w:val="20"/>
          <w:lang w:eastAsia="en-US"/>
        </w:rPr>
        <w:t>is similar in content to the current</w:t>
      </w:r>
      <w:r w:rsidRPr="00891F63">
        <w:rPr>
          <w:rFonts w:ascii="Arial" w:hAnsi="Arial" w:cs="Arial"/>
          <w:bCs/>
          <w:snapToGrid w:val="0"/>
          <w:sz w:val="22"/>
          <w:szCs w:val="20"/>
          <w:lang w:eastAsia="en-US"/>
        </w:rPr>
        <w:t xml:space="preserve"> PBS listing</w:t>
      </w:r>
      <w:r>
        <w:rPr>
          <w:rFonts w:ascii="Arial" w:hAnsi="Arial" w:cs="Arial"/>
          <w:bCs/>
          <w:snapToGrid w:val="0"/>
          <w:sz w:val="22"/>
          <w:szCs w:val="20"/>
          <w:lang w:eastAsia="en-US"/>
        </w:rPr>
        <w:t>s for</w:t>
      </w:r>
      <w:r w:rsidRPr="00891F63">
        <w:rPr>
          <w:rFonts w:ascii="Arial" w:hAnsi="Arial" w:cs="Arial"/>
          <w:bCs/>
          <w:snapToGrid w:val="0"/>
          <w:sz w:val="22"/>
          <w:szCs w:val="20"/>
          <w:lang w:eastAsia="en-US"/>
        </w:rPr>
        <w:t xml:space="preserve"> adali</w:t>
      </w:r>
      <w:r>
        <w:rPr>
          <w:rFonts w:ascii="Arial" w:hAnsi="Arial" w:cs="Arial"/>
          <w:bCs/>
          <w:snapToGrid w:val="0"/>
          <w:sz w:val="22"/>
          <w:szCs w:val="20"/>
          <w:lang w:eastAsia="en-US"/>
        </w:rPr>
        <w:t>mumab, etanercept, golimumab,</w:t>
      </w:r>
      <w:r w:rsidRPr="00891F63">
        <w:rPr>
          <w:rFonts w:ascii="Arial" w:hAnsi="Arial" w:cs="Arial"/>
          <w:bCs/>
          <w:snapToGrid w:val="0"/>
          <w:sz w:val="22"/>
          <w:szCs w:val="20"/>
          <w:lang w:eastAsia="en-US"/>
        </w:rPr>
        <w:t xml:space="preserve"> </w:t>
      </w:r>
      <w:r w:rsidRPr="00253104">
        <w:rPr>
          <w:rFonts w:ascii="Arial" w:hAnsi="Arial" w:cs="Arial"/>
          <w:bCs/>
          <w:snapToGrid w:val="0"/>
          <w:sz w:val="22"/>
          <w:szCs w:val="20"/>
          <w:lang w:eastAsia="en-US"/>
        </w:rPr>
        <w:t>infliximab and certolizumab for</w:t>
      </w:r>
      <w:r>
        <w:rPr>
          <w:rFonts w:ascii="Arial" w:hAnsi="Arial" w:cs="Arial"/>
          <w:bCs/>
          <w:snapToGrid w:val="0"/>
          <w:sz w:val="22"/>
          <w:szCs w:val="20"/>
          <w:lang w:eastAsia="en-US"/>
        </w:rPr>
        <w:t xml:space="preserve"> PsA</w:t>
      </w:r>
      <w:r w:rsidRPr="00891F63">
        <w:rPr>
          <w:rFonts w:ascii="Arial" w:hAnsi="Arial" w:cs="Arial"/>
          <w:bCs/>
          <w:snapToGrid w:val="0"/>
          <w:sz w:val="22"/>
          <w:szCs w:val="20"/>
          <w:lang w:eastAsia="en-US"/>
        </w:rPr>
        <w:t xml:space="preserve"> (except for the proposed </w:t>
      </w:r>
      <w:r w:rsidR="009920A4">
        <w:rPr>
          <w:rFonts w:ascii="Arial" w:hAnsi="Arial" w:cs="Arial"/>
          <w:bCs/>
          <w:snapToGrid w:val="0"/>
          <w:sz w:val="22"/>
          <w:szCs w:val="20"/>
          <w:lang w:eastAsia="en-US"/>
        </w:rPr>
        <w:t>duration of initial treatment).</w:t>
      </w:r>
    </w:p>
    <w:p w:rsidR="004142C1" w:rsidRPr="006E5401" w:rsidRDefault="004142C1" w:rsidP="009920A4">
      <w:pPr>
        <w:contextualSpacing/>
        <w:jc w:val="both"/>
        <w:rPr>
          <w:rFonts w:ascii="Arial" w:hAnsi="Arial" w:cs="Arial"/>
          <w:bCs/>
          <w:snapToGrid w:val="0"/>
          <w:sz w:val="22"/>
          <w:szCs w:val="20"/>
          <w:lang w:eastAsia="en-US"/>
        </w:rPr>
      </w:pPr>
    </w:p>
    <w:tbl>
      <w:tblPr>
        <w:tblW w:w="8363" w:type="dxa"/>
        <w:tblInd w:w="737" w:type="dxa"/>
        <w:tblLayout w:type="fixed"/>
        <w:tblCellMar>
          <w:left w:w="28" w:type="dxa"/>
          <w:right w:w="28" w:type="dxa"/>
        </w:tblCellMar>
        <w:tblLook w:val="0000" w:firstRow="0" w:lastRow="0" w:firstColumn="0" w:lastColumn="0" w:noHBand="0" w:noVBand="0"/>
      </w:tblPr>
      <w:tblGrid>
        <w:gridCol w:w="2835"/>
        <w:gridCol w:w="709"/>
        <w:gridCol w:w="567"/>
        <w:gridCol w:w="1762"/>
        <w:gridCol w:w="1275"/>
        <w:gridCol w:w="1215"/>
      </w:tblGrid>
      <w:tr w:rsidR="004142C1" w:rsidRPr="0039782C" w:rsidTr="00F34597">
        <w:trPr>
          <w:cantSplit/>
        </w:trPr>
        <w:tc>
          <w:tcPr>
            <w:tcW w:w="2835" w:type="dxa"/>
            <w:tcBorders>
              <w:bottom w:val="single" w:sz="4" w:space="0" w:color="auto"/>
            </w:tcBorders>
          </w:tcPr>
          <w:p w:rsidR="004142C1" w:rsidRPr="0039782C" w:rsidRDefault="004142C1" w:rsidP="00CC22C1">
            <w:pPr>
              <w:keepNext/>
              <w:jc w:val="both"/>
              <w:rPr>
                <w:rFonts w:ascii="Arial Narrow" w:hAnsi="Arial Narrow" w:cs="Arial"/>
                <w:b/>
                <w:sz w:val="20"/>
                <w:szCs w:val="20"/>
              </w:rPr>
            </w:pPr>
            <w:r w:rsidRPr="0039782C">
              <w:rPr>
                <w:rFonts w:ascii="Arial Narrow" w:hAnsi="Arial Narrow" w:cs="Arial"/>
                <w:b/>
                <w:sz w:val="20"/>
                <w:szCs w:val="20"/>
              </w:rPr>
              <w:t>Name, Restriction,</w:t>
            </w:r>
          </w:p>
          <w:p w:rsidR="004142C1" w:rsidRPr="0039782C" w:rsidRDefault="004142C1" w:rsidP="00CC22C1">
            <w:pPr>
              <w:keepNext/>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709" w:type="dxa"/>
            <w:tcBorders>
              <w:bottom w:val="single" w:sz="4" w:space="0" w:color="auto"/>
            </w:tcBorders>
          </w:tcPr>
          <w:p w:rsidR="004142C1" w:rsidRPr="0039782C" w:rsidRDefault="004142C1" w:rsidP="00CC22C1">
            <w:pPr>
              <w:keepNext/>
              <w:ind w:left="-26"/>
              <w:jc w:val="center"/>
              <w:rPr>
                <w:rFonts w:ascii="Arial Narrow" w:hAnsi="Arial Narrow" w:cs="Arial"/>
                <w:b/>
                <w:sz w:val="20"/>
                <w:szCs w:val="20"/>
              </w:rPr>
            </w:pPr>
            <w:r w:rsidRPr="0039782C">
              <w:rPr>
                <w:rFonts w:ascii="Arial Narrow" w:hAnsi="Arial Narrow" w:cs="Arial"/>
                <w:b/>
                <w:sz w:val="20"/>
                <w:szCs w:val="20"/>
              </w:rPr>
              <w:t>Max.</w:t>
            </w:r>
          </w:p>
          <w:p w:rsidR="004142C1" w:rsidRPr="0039782C" w:rsidRDefault="004142C1" w:rsidP="00CC22C1">
            <w:pPr>
              <w:keepNext/>
              <w:ind w:left="-26"/>
              <w:jc w:val="center"/>
              <w:rPr>
                <w:rFonts w:ascii="Arial Narrow" w:hAnsi="Arial Narrow" w:cs="Arial"/>
                <w:b/>
                <w:sz w:val="20"/>
                <w:szCs w:val="20"/>
              </w:rPr>
            </w:pPr>
            <w:r w:rsidRPr="0039782C">
              <w:rPr>
                <w:rFonts w:ascii="Arial Narrow" w:hAnsi="Arial Narrow" w:cs="Arial"/>
                <w:b/>
                <w:sz w:val="20"/>
                <w:szCs w:val="20"/>
              </w:rPr>
              <w:t>Qty</w:t>
            </w:r>
          </w:p>
        </w:tc>
        <w:tc>
          <w:tcPr>
            <w:tcW w:w="567" w:type="dxa"/>
            <w:tcBorders>
              <w:bottom w:val="single" w:sz="4" w:space="0" w:color="auto"/>
            </w:tcBorders>
          </w:tcPr>
          <w:p w:rsidR="004142C1" w:rsidRPr="0039782C" w:rsidRDefault="004142C1" w:rsidP="00CC22C1">
            <w:pPr>
              <w:keepNext/>
              <w:ind w:left="-108"/>
              <w:jc w:val="center"/>
              <w:rPr>
                <w:rFonts w:ascii="Arial Narrow" w:hAnsi="Arial Narrow" w:cs="Arial"/>
                <w:b/>
                <w:sz w:val="20"/>
                <w:szCs w:val="20"/>
              </w:rPr>
            </w:pPr>
            <w:r w:rsidRPr="0039782C">
              <w:rPr>
                <w:rFonts w:ascii="Arial Narrow" w:hAnsi="Arial Narrow" w:cs="Arial"/>
                <w:b/>
                <w:sz w:val="20"/>
                <w:szCs w:val="20"/>
              </w:rPr>
              <w:t>№.of</w:t>
            </w:r>
          </w:p>
          <w:p w:rsidR="004142C1" w:rsidRPr="0039782C" w:rsidRDefault="004142C1" w:rsidP="00CC22C1">
            <w:pPr>
              <w:keepNext/>
              <w:ind w:left="-108"/>
              <w:jc w:val="center"/>
              <w:rPr>
                <w:rFonts w:ascii="Arial Narrow" w:hAnsi="Arial Narrow" w:cs="Arial"/>
                <w:b/>
                <w:sz w:val="20"/>
                <w:szCs w:val="20"/>
              </w:rPr>
            </w:pPr>
            <w:r w:rsidRPr="0039782C">
              <w:rPr>
                <w:rFonts w:ascii="Arial Narrow" w:hAnsi="Arial Narrow" w:cs="Arial"/>
                <w:b/>
                <w:sz w:val="20"/>
                <w:szCs w:val="20"/>
              </w:rPr>
              <w:t>Rpts</w:t>
            </w:r>
          </w:p>
        </w:tc>
        <w:tc>
          <w:tcPr>
            <w:tcW w:w="1762" w:type="dxa"/>
            <w:tcBorders>
              <w:bottom w:val="single" w:sz="4" w:space="0" w:color="auto"/>
            </w:tcBorders>
            <w:vAlign w:val="center"/>
          </w:tcPr>
          <w:p w:rsidR="004142C1" w:rsidRPr="0039782C" w:rsidRDefault="004142C1" w:rsidP="00CC22C1">
            <w:pPr>
              <w:keepNext/>
              <w:jc w:val="center"/>
              <w:rPr>
                <w:rFonts w:ascii="Arial Narrow" w:hAnsi="Arial Narrow" w:cs="Arial"/>
                <w:b/>
                <w:sz w:val="20"/>
                <w:szCs w:val="20"/>
              </w:rPr>
            </w:pPr>
            <w:r w:rsidRPr="00443DF0">
              <w:rPr>
                <w:rFonts w:ascii="Arial Narrow" w:hAnsi="Arial Narrow" w:cs="Arial"/>
                <w:b/>
                <w:sz w:val="20"/>
                <w:szCs w:val="20"/>
              </w:rPr>
              <w:t>Dispensed Price for Max. Qty</w:t>
            </w:r>
          </w:p>
        </w:tc>
        <w:tc>
          <w:tcPr>
            <w:tcW w:w="2490" w:type="dxa"/>
            <w:gridSpan w:val="2"/>
            <w:tcBorders>
              <w:bottom w:val="single" w:sz="4" w:space="0" w:color="auto"/>
            </w:tcBorders>
          </w:tcPr>
          <w:p w:rsidR="004142C1" w:rsidRPr="0039782C" w:rsidRDefault="004142C1" w:rsidP="00CC22C1">
            <w:pPr>
              <w:keepNext/>
              <w:jc w:val="center"/>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4142C1" w:rsidRPr="00260CE3" w:rsidTr="00F34597">
        <w:trPr>
          <w:cantSplit/>
        </w:trPr>
        <w:tc>
          <w:tcPr>
            <w:tcW w:w="2835" w:type="dxa"/>
            <w:tcBorders>
              <w:top w:val="single" w:sz="4" w:space="0" w:color="auto"/>
            </w:tcBorders>
          </w:tcPr>
          <w:p w:rsidR="004142C1" w:rsidRPr="00BC067D" w:rsidRDefault="004142C1" w:rsidP="00CC22C1">
            <w:pPr>
              <w:keepNext/>
              <w:jc w:val="both"/>
              <w:rPr>
                <w:rFonts w:ascii="Arial Narrow" w:hAnsi="Arial Narrow" w:cs="Arial"/>
                <w:snapToGrid w:val="0"/>
                <w:sz w:val="20"/>
                <w:szCs w:val="20"/>
                <w:u w:val="single"/>
                <w:lang w:eastAsia="en-US"/>
              </w:rPr>
            </w:pPr>
            <w:r w:rsidRPr="00BC067D">
              <w:rPr>
                <w:rFonts w:ascii="Arial Narrow" w:hAnsi="Arial Narrow" w:cs="Arial"/>
                <w:snapToGrid w:val="0"/>
                <w:sz w:val="20"/>
                <w:szCs w:val="20"/>
                <w:u w:val="single"/>
                <w:lang w:eastAsia="en-US"/>
              </w:rPr>
              <w:t>Initial therapy</w:t>
            </w:r>
          </w:p>
          <w:p w:rsidR="004142C1" w:rsidRPr="00BC067D" w:rsidRDefault="004142C1" w:rsidP="00CC22C1">
            <w:pPr>
              <w:keepNext/>
              <w:jc w:val="both"/>
              <w:rPr>
                <w:rFonts w:ascii="Arial Narrow" w:hAnsi="Arial Narrow" w:cs="Arial"/>
                <w:snapToGrid w:val="0"/>
                <w:sz w:val="20"/>
                <w:szCs w:val="20"/>
                <w:lang w:eastAsia="en-US"/>
              </w:rPr>
            </w:pPr>
            <w:r w:rsidRPr="00BC067D">
              <w:rPr>
                <w:rFonts w:ascii="Arial Narrow" w:hAnsi="Arial Narrow" w:cs="Arial"/>
                <w:smallCaps/>
                <w:snapToGrid w:val="0"/>
                <w:sz w:val="20"/>
                <w:szCs w:val="20"/>
                <w:lang w:eastAsia="en-US"/>
              </w:rPr>
              <w:t>Ustekinumab</w:t>
            </w:r>
          </w:p>
          <w:p w:rsidR="004142C1" w:rsidRPr="00EB5081" w:rsidRDefault="004142C1" w:rsidP="009920A4">
            <w:pPr>
              <w:keepNext/>
              <w:ind w:left="-108"/>
              <w:jc w:val="both"/>
              <w:rPr>
                <w:rFonts w:ascii="Arial Narrow" w:hAnsi="Arial Narrow" w:cs="Arial"/>
                <w:sz w:val="20"/>
                <w:szCs w:val="20"/>
              </w:rPr>
            </w:pPr>
            <w:r w:rsidRPr="00EB5081">
              <w:rPr>
                <w:rFonts w:ascii="Arial Narrow" w:hAnsi="Arial Narrow" w:cs="Arial"/>
                <w:snapToGrid w:val="0"/>
                <w:sz w:val="20"/>
                <w:szCs w:val="20"/>
                <w:lang w:eastAsia="en-US"/>
              </w:rPr>
              <w:t xml:space="preserve">  Injection 45</w:t>
            </w:r>
            <w:r w:rsidR="009920A4">
              <w:rPr>
                <w:rFonts w:ascii="Arial Narrow" w:hAnsi="Arial Narrow" w:cs="Arial"/>
                <w:snapToGrid w:val="0"/>
                <w:sz w:val="20"/>
                <w:szCs w:val="20"/>
                <w:lang w:eastAsia="en-US"/>
              </w:rPr>
              <w:t> </w:t>
            </w:r>
            <w:r w:rsidRPr="00EB5081">
              <w:rPr>
                <w:rFonts w:ascii="Arial Narrow" w:hAnsi="Arial Narrow" w:cs="Arial"/>
                <w:snapToGrid w:val="0"/>
                <w:sz w:val="20"/>
                <w:szCs w:val="20"/>
                <w:lang w:eastAsia="en-US"/>
              </w:rPr>
              <w:t>mg/0.5</w:t>
            </w:r>
            <w:r w:rsidR="009920A4">
              <w:rPr>
                <w:rFonts w:ascii="Arial Narrow" w:hAnsi="Arial Narrow" w:cs="Arial"/>
                <w:snapToGrid w:val="0"/>
                <w:sz w:val="20"/>
                <w:szCs w:val="20"/>
                <w:lang w:eastAsia="en-US"/>
              </w:rPr>
              <w:t> </w:t>
            </w:r>
            <w:r w:rsidRPr="00EB5081">
              <w:rPr>
                <w:rFonts w:ascii="Arial Narrow" w:hAnsi="Arial Narrow" w:cs="Arial"/>
                <w:snapToGrid w:val="0"/>
                <w:sz w:val="20"/>
                <w:szCs w:val="20"/>
                <w:lang w:eastAsia="en-US"/>
              </w:rPr>
              <w:t>ml, 1x0.5</w:t>
            </w:r>
            <w:r w:rsidR="009920A4">
              <w:rPr>
                <w:rFonts w:ascii="Arial Narrow" w:hAnsi="Arial Narrow" w:cs="Arial"/>
                <w:snapToGrid w:val="0"/>
                <w:sz w:val="20"/>
                <w:szCs w:val="20"/>
                <w:lang w:eastAsia="en-US"/>
              </w:rPr>
              <w:t> </w:t>
            </w:r>
            <w:r w:rsidRPr="00EB5081">
              <w:rPr>
                <w:rFonts w:ascii="Arial Narrow" w:hAnsi="Arial Narrow" w:cs="Arial"/>
                <w:snapToGrid w:val="0"/>
                <w:sz w:val="20"/>
                <w:szCs w:val="20"/>
                <w:lang w:eastAsia="en-US"/>
              </w:rPr>
              <w:t>ml vial</w:t>
            </w:r>
          </w:p>
        </w:tc>
        <w:tc>
          <w:tcPr>
            <w:tcW w:w="709" w:type="dxa"/>
          </w:tcPr>
          <w:p w:rsidR="004142C1" w:rsidRPr="00EB5081" w:rsidRDefault="004142C1" w:rsidP="00CC22C1">
            <w:pPr>
              <w:keepNext/>
              <w:ind w:left="-108"/>
              <w:jc w:val="center"/>
              <w:rPr>
                <w:rFonts w:ascii="Arial Narrow" w:hAnsi="Arial Narrow" w:cs="Arial"/>
                <w:sz w:val="20"/>
                <w:szCs w:val="20"/>
              </w:rPr>
            </w:pPr>
          </w:p>
          <w:p w:rsidR="004142C1" w:rsidRPr="00260CE3" w:rsidRDefault="004142C1" w:rsidP="00CC22C1">
            <w:pPr>
              <w:keepNext/>
              <w:ind w:left="-108"/>
              <w:jc w:val="center"/>
              <w:rPr>
                <w:rFonts w:ascii="Arial Narrow" w:hAnsi="Arial Narrow" w:cs="Arial"/>
                <w:sz w:val="20"/>
                <w:szCs w:val="20"/>
              </w:rPr>
            </w:pPr>
            <w:r>
              <w:rPr>
                <w:rFonts w:ascii="Arial Narrow" w:hAnsi="Arial Narrow" w:cs="Arial"/>
                <w:sz w:val="20"/>
                <w:szCs w:val="20"/>
              </w:rPr>
              <w:t>1</w:t>
            </w:r>
          </w:p>
        </w:tc>
        <w:tc>
          <w:tcPr>
            <w:tcW w:w="567" w:type="dxa"/>
          </w:tcPr>
          <w:p w:rsidR="004142C1" w:rsidRPr="00260CE3" w:rsidRDefault="004142C1" w:rsidP="00CC22C1">
            <w:pPr>
              <w:keepNext/>
              <w:ind w:left="-108"/>
              <w:jc w:val="center"/>
              <w:rPr>
                <w:rFonts w:ascii="Arial Narrow" w:hAnsi="Arial Narrow" w:cs="Arial"/>
                <w:sz w:val="20"/>
                <w:szCs w:val="20"/>
              </w:rPr>
            </w:pPr>
          </w:p>
          <w:p w:rsidR="004142C1" w:rsidRPr="00A547CF" w:rsidRDefault="004142C1" w:rsidP="00CC22C1">
            <w:pPr>
              <w:keepNext/>
              <w:ind w:left="-108"/>
              <w:jc w:val="center"/>
              <w:rPr>
                <w:rFonts w:ascii="Arial Narrow" w:hAnsi="Arial Narrow" w:cs="Arial"/>
                <w:i/>
                <w:iCs/>
                <w:sz w:val="20"/>
                <w:szCs w:val="20"/>
              </w:rPr>
            </w:pPr>
            <w:r w:rsidRPr="00A547CF">
              <w:rPr>
                <w:rFonts w:ascii="Arial Narrow" w:hAnsi="Arial Narrow" w:cs="Arial"/>
                <w:i/>
                <w:iCs/>
                <w:sz w:val="20"/>
                <w:szCs w:val="20"/>
              </w:rPr>
              <w:t>2</w:t>
            </w:r>
          </w:p>
        </w:tc>
        <w:tc>
          <w:tcPr>
            <w:tcW w:w="1762" w:type="dxa"/>
            <w:vAlign w:val="center"/>
          </w:tcPr>
          <w:p w:rsidR="004142C1" w:rsidRPr="00260CE3" w:rsidRDefault="004142C1" w:rsidP="00CC22C1">
            <w:pPr>
              <w:keepNext/>
              <w:jc w:val="center"/>
              <w:rPr>
                <w:rFonts w:ascii="Arial Narrow" w:hAnsi="Arial Narrow" w:cs="Arial"/>
                <w:sz w:val="20"/>
                <w:szCs w:val="20"/>
              </w:rPr>
            </w:pPr>
          </w:p>
          <w:p w:rsidR="004142C1" w:rsidRDefault="004142C1" w:rsidP="00CC22C1">
            <w:pPr>
              <w:keepNext/>
              <w:jc w:val="center"/>
              <w:rPr>
                <w:rFonts w:ascii="Arial Narrow" w:hAnsi="Arial Narrow" w:cs="Arial"/>
                <w:sz w:val="20"/>
                <w:szCs w:val="20"/>
              </w:rPr>
            </w:pPr>
            <w:r>
              <w:rPr>
                <w:rFonts w:ascii="Arial Narrow" w:hAnsi="Arial Narrow" w:cs="Arial"/>
                <w:sz w:val="20"/>
                <w:szCs w:val="20"/>
              </w:rPr>
              <w:t>Publi</w:t>
            </w:r>
            <w:r w:rsidR="00F34597">
              <w:rPr>
                <w:rFonts w:ascii="Arial Narrow" w:hAnsi="Arial Narrow" w:cs="Arial"/>
                <w:sz w:val="20"/>
                <w:szCs w:val="20"/>
              </w:rPr>
              <w:t>shed</w:t>
            </w:r>
            <w:r>
              <w:rPr>
                <w:rFonts w:ascii="Arial Narrow" w:hAnsi="Arial Narrow" w:cs="Arial"/>
                <w:sz w:val="20"/>
                <w:szCs w:val="20"/>
              </w:rPr>
              <w:t>: $</w:t>
            </w:r>
            <w:r w:rsidR="00946E10">
              <w:rPr>
                <w:rFonts w:ascii="Arial Narrow" w:hAnsi="Arial Narrow" w:cs="Arial"/>
                <w:noProof/>
                <w:color w:val="000000"/>
                <w:sz w:val="20"/>
                <w:szCs w:val="20"/>
                <w:highlight w:val="black"/>
              </w:rPr>
              <w:t>'''''''''''''''''''''</w:t>
            </w:r>
            <w:r w:rsidR="009920A4">
              <w:rPr>
                <w:rFonts w:ascii="Arial Narrow" w:hAnsi="Arial Narrow" w:cs="Arial"/>
                <w:sz w:val="20"/>
                <w:szCs w:val="20"/>
              </w:rPr>
              <w:t xml:space="preserve"> </w:t>
            </w:r>
            <w:r w:rsidRPr="00BC6553">
              <w:rPr>
                <w:rFonts w:ascii="Arial Narrow" w:hAnsi="Arial Narrow" w:cs="Arial"/>
                <w:sz w:val="20"/>
                <w:szCs w:val="20"/>
                <w:vertAlign w:val="superscript"/>
              </w:rPr>
              <w:t>#</w:t>
            </w:r>
          </w:p>
          <w:p w:rsidR="004142C1" w:rsidRDefault="004142C1" w:rsidP="009920A4">
            <w:pPr>
              <w:keepNext/>
              <w:jc w:val="center"/>
              <w:rPr>
                <w:rFonts w:ascii="Arial Narrow" w:hAnsi="Arial Narrow" w:cs="Arial"/>
                <w:sz w:val="20"/>
                <w:szCs w:val="20"/>
              </w:rPr>
            </w:pPr>
            <w:r>
              <w:rPr>
                <w:rFonts w:ascii="Arial Narrow" w:hAnsi="Arial Narrow" w:cs="Arial"/>
                <w:sz w:val="20"/>
                <w:szCs w:val="20"/>
              </w:rPr>
              <w:t>Effective:*</w:t>
            </w:r>
          </w:p>
          <w:p w:rsidR="009920A4" w:rsidRPr="00260CE3" w:rsidRDefault="009920A4" w:rsidP="009920A4">
            <w:pPr>
              <w:keepNext/>
              <w:jc w:val="center"/>
              <w:rPr>
                <w:rFonts w:ascii="Arial Narrow" w:hAnsi="Arial Narrow" w:cs="Arial"/>
                <w:sz w:val="20"/>
                <w:szCs w:val="20"/>
              </w:rPr>
            </w:pPr>
          </w:p>
        </w:tc>
        <w:tc>
          <w:tcPr>
            <w:tcW w:w="1275" w:type="dxa"/>
          </w:tcPr>
          <w:p w:rsidR="004142C1" w:rsidRDefault="004142C1" w:rsidP="00CC22C1">
            <w:pPr>
              <w:keepNext/>
              <w:jc w:val="center"/>
              <w:rPr>
                <w:rFonts w:ascii="Arial Narrow" w:hAnsi="Arial Narrow" w:cs="Arial"/>
                <w:sz w:val="20"/>
                <w:szCs w:val="20"/>
              </w:rPr>
            </w:pPr>
          </w:p>
          <w:p w:rsidR="004142C1" w:rsidRPr="00260CE3" w:rsidRDefault="004142C1" w:rsidP="00CC22C1">
            <w:pPr>
              <w:keepNext/>
              <w:jc w:val="center"/>
              <w:rPr>
                <w:rFonts w:ascii="Arial Narrow" w:hAnsi="Arial Narrow" w:cs="Arial"/>
                <w:sz w:val="20"/>
                <w:szCs w:val="20"/>
              </w:rPr>
            </w:pPr>
            <w:r>
              <w:rPr>
                <w:rFonts w:ascii="Arial Narrow" w:hAnsi="Arial Narrow" w:cs="Arial"/>
                <w:sz w:val="20"/>
                <w:szCs w:val="20"/>
              </w:rPr>
              <w:t>Stelara</w:t>
            </w:r>
          </w:p>
        </w:tc>
        <w:tc>
          <w:tcPr>
            <w:tcW w:w="1215" w:type="dxa"/>
          </w:tcPr>
          <w:p w:rsidR="004142C1" w:rsidRDefault="004142C1" w:rsidP="00CC22C1">
            <w:pPr>
              <w:keepNext/>
              <w:jc w:val="center"/>
              <w:rPr>
                <w:rFonts w:ascii="Arial Narrow" w:hAnsi="Arial Narrow" w:cs="Arial"/>
                <w:sz w:val="20"/>
                <w:szCs w:val="20"/>
              </w:rPr>
            </w:pPr>
          </w:p>
          <w:p w:rsidR="004142C1" w:rsidRPr="00260CE3" w:rsidRDefault="004142C1" w:rsidP="00CC22C1">
            <w:pPr>
              <w:keepNext/>
              <w:jc w:val="center"/>
              <w:rPr>
                <w:rFonts w:ascii="Arial Narrow" w:hAnsi="Arial Narrow" w:cs="Arial"/>
                <w:sz w:val="20"/>
                <w:szCs w:val="20"/>
              </w:rPr>
            </w:pPr>
            <w:r>
              <w:rPr>
                <w:rFonts w:ascii="Arial Narrow" w:hAnsi="Arial Narrow" w:cs="Arial"/>
                <w:sz w:val="20"/>
                <w:szCs w:val="20"/>
              </w:rPr>
              <w:t>Janssen-Cilag</w:t>
            </w:r>
          </w:p>
        </w:tc>
      </w:tr>
      <w:tr w:rsidR="004142C1" w:rsidRPr="008A54E7" w:rsidTr="00F34597">
        <w:trPr>
          <w:cantSplit/>
        </w:trPr>
        <w:tc>
          <w:tcPr>
            <w:tcW w:w="2835" w:type="dxa"/>
          </w:tcPr>
          <w:p w:rsidR="004142C1" w:rsidRPr="005A6A0A" w:rsidRDefault="004142C1" w:rsidP="00CC22C1">
            <w:pPr>
              <w:keepNext/>
              <w:jc w:val="both"/>
              <w:rPr>
                <w:rFonts w:ascii="Arial Narrow" w:hAnsi="Arial Narrow" w:cs="Arial"/>
                <w:snapToGrid w:val="0"/>
                <w:sz w:val="20"/>
                <w:szCs w:val="20"/>
                <w:u w:val="single"/>
                <w:lang w:eastAsia="en-US"/>
              </w:rPr>
            </w:pPr>
            <w:r w:rsidRPr="005A6A0A">
              <w:rPr>
                <w:rFonts w:ascii="Arial Narrow" w:hAnsi="Arial Narrow" w:cs="Arial"/>
                <w:snapToGrid w:val="0"/>
                <w:sz w:val="20"/>
                <w:szCs w:val="20"/>
                <w:u w:val="single"/>
                <w:lang w:eastAsia="en-US"/>
              </w:rPr>
              <w:t>Continuing therapy</w:t>
            </w:r>
          </w:p>
          <w:p w:rsidR="004142C1" w:rsidRPr="005A6A0A" w:rsidRDefault="004142C1" w:rsidP="00CC22C1">
            <w:pPr>
              <w:keepNext/>
              <w:jc w:val="both"/>
              <w:rPr>
                <w:rFonts w:ascii="Arial Narrow" w:hAnsi="Arial Narrow" w:cs="Arial"/>
                <w:snapToGrid w:val="0"/>
                <w:sz w:val="20"/>
                <w:szCs w:val="20"/>
                <w:lang w:eastAsia="en-US"/>
              </w:rPr>
            </w:pPr>
            <w:r w:rsidRPr="005A6A0A">
              <w:rPr>
                <w:rFonts w:ascii="Arial Narrow" w:hAnsi="Arial Narrow" w:cs="Arial"/>
                <w:smallCaps/>
                <w:snapToGrid w:val="0"/>
                <w:sz w:val="20"/>
                <w:szCs w:val="20"/>
                <w:lang w:eastAsia="en-US"/>
              </w:rPr>
              <w:t>Ustekinumab</w:t>
            </w:r>
          </w:p>
          <w:p w:rsidR="004142C1" w:rsidRPr="005A6A0A" w:rsidRDefault="004142C1" w:rsidP="009920A4">
            <w:pPr>
              <w:keepNext/>
              <w:ind w:left="-108"/>
              <w:jc w:val="both"/>
              <w:rPr>
                <w:rFonts w:ascii="Arial Narrow" w:hAnsi="Arial Narrow" w:cs="Arial"/>
                <w:sz w:val="20"/>
                <w:szCs w:val="20"/>
              </w:rPr>
            </w:pPr>
            <w:r w:rsidRPr="005A6A0A">
              <w:rPr>
                <w:rFonts w:ascii="Arial Narrow" w:hAnsi="Arial Narrow" w:cs="Arial"/>
                <w:snapToGrid w:val="0"/>
                <w:sz w:val="20"/>
                <w:szCs w:val="20"/>
                <w:lang w:eastAsia="en-US"/>
              </w:rPr>
              <w:t xml:space="preserve">  Injection 45</w:t>
            </w:r>
            <w:r w:rsidR="009920A4">
              <w:rPr>
                <w:rFonts w:ascii="Arial Narrow" w:hAnsi="Arial Narrow" w:cs="Arial"/>
                <w:snapToGrid w:val="0"/>
                <w:sz w:val="20"/>
                <w:szCs w:val="20"/>
                <w:lang w:eastAsia="en-US"/>
              </w:rPr>
              <w:t> </w:t>
            </w:r>
            <w:r w:rsidRPr="005A6A0A">
              <w:rPr>
                <w:rFonts w:ascii="Arial Narrow" w:hAnsi="Arial Narrow" w:cs="Arial"/>
                <w:snapToGrid w:val="0"/>
                <w:sz w:val="20"/>
                <w:szCs w:val="20"/>
                <w:lang w:eastAsia="en-US"/>
              </w:rPr>
              <w:t>mg/0.5m</w:t>
            </w:r>
            <w:r w:rsidR="009920A4">
              <w:rPr>
                <w:rFonts w:ascii="Arial Narrow" w:hAnsi="Arial Narrow" w:cs="Arial"/>
                <w:snapToGrid w:val="0"/>
                <w:sz w:val="20"/>
                <w:szCs w:val="20"/>
                <w:lang w:eastAsia="en-US"/>
              </w:rPr>
              <w:t> </w:t>
            </w:r>
            <w:r w:rsidRPr="005A6A0A">
              <w:rPr>
                <w:rFonts w:ascii="Arial Narrow" w:hAnsi="Arial Narrow" w:cs="Arial"/>
                <w:snapToGrid w:val="0"/>
                <w:sz w:val="20"/>
                <w:szCs w:val="20"/>
                <w:lang w:eastAsia="en-US"/>
              </w:rPr>
              <w:t>l, 1x0.5</w:t>
            </w:r>
            <w:r w:rsidR="009920A4">
              <w:rPr>
                <w:rFonts w:ascii="Arial Narrow" w:hAnsi="Arial Narrow" w:cs="Arial"/>
                <w:snapToGrid w:val="0"/>
                <w:sz w:val="20"/>
                <w:szCs w:val="20"/>
                <w:lang w:eastAsia="en-US"/>
              </w:rPr>
              <w:t> </w:t>
            </w:r>
            <w:r w:rsidRPr="005A6A0A">
              <w:rPr>
                <w:rFonts w:ascii="Arial Narrow" w:hAnsi="Arial Narrow" w:cs="Arial"/>
                <w:snapToGrid w:val="0"/>
                <w:sz w:val="20"/>
                <w:szCs w:val="20"/>
                <w:lang w:eastAsia="en-US"/>
              </w:rPr>
              <w:t>ml vial</w:t>
            </w:r>
          </w:p>
        </w:tc>
        <w:tc>
          <w:tcPr>
            <w:tcW w:w="709" w:type="dxa"/>
          </w:tcPr>
          <w:p w:rsidR="004142C1" w:rsidRPr="00F31141" w:rsidRDefault="004142C1" w:rsidP="00CC22C1">
            <w:pPr>
              <w:keepNext/>
              <w:ind w:left="-108"/>
              <w:jc w:val="center"/>
              <w:rPr>
                <w:rFonts w:ascii="Arial Narrow" w:hAnsi="Arial Narrow" w:cs="Arial"/>
                <w:sz w:val="20"/>
                <w:szCs w:val="20"/>
              </w:rPr>
            </w:pPr>
          </w:p>
          <w:p w:rsidR="004142C1" w:rsidRPr="00F31141" w:rsidRDefault="004142C1" w:rsidP="00CC22C1">
            <w:pPr>
              <w:keepNext/>
              <w:ind w:left="-108"/>
              <w:jc w:val="center"/>
              <w:rPr>
                <w:rFonts w:ascii="Arial Narrow" w:hAnsi="Arial Narrow" w:cs="Arial"/>
                <w:sz w:val="20"/>
                <w:szCs w:val="20"/>
              </w:rPr>
            </w:pPr>
            <w:r w:rsidRPr="00F31141">
              <w:rPr>
                <w:rFonts w:ascii="Arial Narrow" w:hAnsi="Arial Narrow" w:cs="Arial"/>
                <w:sz w:val="20"/>
                <w:szCs w:val="20"/>
              </w:rPr>
              <w:t>1</w:t>
            </w:r>
          </w:p>
        </w:tc>
        <w:tc>
          <w:tcPr>
            <w:tcW w:w="567" w:type="dxa"/>
          </w:tcPr>
          <w:p w:rsidR="004142C1" w:rsidRPr="00F31141" w:rsidRDefault="004142C1" w:rsidP="00CC22C1">
            <w:pPr>
              <w:keepNext/>
              <w:ind w:left="-108"/>
              <w:jc w:val="center"/>
              <w:rPr>
                <w:rFonts w:ascii="Arial Narrow" w:hAnsi="Arial Narrow" w:cs="Arial"/>
                <w:sz w:val="20"/>
                <w:szCs w:val="20"/>
              </w:rPr>
            </w:pPr>
          </w:p>
          <w:p w:rsidR="004142C1" w:rsidRPr="00F31141" w:rsidRDefault="004142C1" w:rsidP="00CC22C1">
            <w:pPr>
              <w:keepNext/>
              <w:ind w:left="-108"/>
              <w:jc w:val="center"/>
              <w:rPr>
                <w:rFonts w:ascii="Arial Narrow" w:hAnsi="Arial Narrow" w:cs="Arial"/>
                <w:sz w:val="20"/>
                <w:szCs w:val="20"/>
              </w:rPr>
            </w:pPr>
            <w:r w:rsidRPr="00F31141">
              <w:rPr>
                <w:rFonts w:ascii="Arial Narrow" w:hAnsi="Arial Narrow" w:cs="Arial"/>
                <w:sz w:val="20"/>
                <w:szCs w:val="20"/>
              </w:rPr>
              <w:t>1</w:t>
            </w:r>
          </w:p>
        </w:tc>
        <w:tc>
          <w:tcPr>
            <w:tcW w:w="1762" w:type="dxa"/>
            <w:vAlign w:val="center"/>
          </w:tcPr>
          <w:p w:rsidR="004142C1" w:rsidRPr="00260CE3" w:rsidRDefault="004142C1" w:rsidP="00CC22C1">
            <w:pPr>
              <w:keepNext/>
              <w:jc w:val="center"/>
              <w:rPr>
                <w:rFonts w:ascii="Arial Narrow" w:hAnsi="Arial Narrow" w:cs="Arial"/>
                <w:sz w:val="20"/>
                <w:szCs w:val="20"/>
              </w:rPr>
            </w:pPr>
          </w:p>
          <w:p w:rsidR="004142C1" w:rsidRDefault="004142C1" w:rsidP="00CC22C1">
            <w:pPr>
              <w:keepNext/>
              <w:jc w:val="center"/>
              <w:rPr>
                <w:rFonts w:ascii="Arial Narrow" w:hAnsi="Arial Narrow" w:cs="Arial"/>
                <w:sz w:val="20"/>
                <w:szCs w:val="20"/>
              </w:rPr>
            </w:pPr>
            <w:r>
              <w:rPr>
                <w:rFonts w:ascii="Arial Narrow" w:hAnsi="Arial Narrow" w:cs="Arial"/>
                <w:sz w:val="20"/>
                <w:szCs w:val="20"/>
              </w:rPr>
              <w:t>Publi</w:t>
            </w:r>
            <w:r w:rsidR="00F34597">
              <w:rPr>
                <w:rFonts w:ascii="Arial Narrow" w:hAnsi="Arial Narrow" w:cs="Arial"/>
                <w:sz w:val="20"/>
                <w:szCs w:val="20"/>
              </w:rPr>
              <w:t>shed</w:t>
            </w:r>
            <w:r w:rsidR="009920A4">
              <w:rPr>
                <w:rFonts w:ascii="Arial Narrow" w:hAnsi="Arial Narrow" w:cs="Arial"/>
                <w:sz w:val="20"/>
                <w:szCs w:val="20"/>
              </w:rPr>
              <w:t>: $</w:t>
            </w:r>
            <w:r w:rsidR="00946E10">
              <w:rPr>
                <w:rFonts w:ascii="Arial Narrow" w:hAnsi="Arial Narrow" w:cs="Arial"/>
                <w:noProof/>
                <w:color w:val="000000"/>
                <w:sz w:val="20"/>
                <w:szCs w:val="20"/>
                <w:highlight w:val="black"/>
              </w:rPr>
              <w:t>'''''''''''''''''''</w:t>
            </w:r>
            <w:r w:rsidR="009920A4">
              <w:rPr>
                <w:rFonts w:ascii="Arial Narrow" w:hAnsi="Arial Narrow" w:cs="Arial"/>
                <w:sz w:val="20"/>
                <w:szCs w:val="20"/>
              </w:rPr>
              <w:t xml:space="preserve"> </w:t>
            </w:r>
            <w:r w:rsidR="009920A4" w:rsidRPr="00BC6553">
              <w:rPr>
                <w:rFonts w:ascii="Arial Narrow" w:hAnsi="Arial Narrow" w:cs="Arial"/>
                <w:sz w:val="20"/>
                <w:szCs w:val="20"/>
                <w:vertAlign w:val="superscript"/>
              </w:rPr>
              <w:t>#</w:t>
            </w:r>
          </w:p>
          <w:p w:rsidR="004142C1" w:rsidRDefault="004142C1" w:rsidP="00BC6553">
            <w:pPr>
              <w:keepNext/>
              <w:jc w:val="center"/>
              <w:rPr>
                <w:rFonts w:ascii="Arial Narrow" w:hAnsi="Arial Narrow" w:cs="Arial"/>
                <w:sz w:val="20"/>
                <w:szCs w:val="20"/>
              </w:rPr>
            </w:pPr>
            <w:r>
              <w:rPr>
                <w:rFonts w:ascii="Arial Narrow" w:hAnsi="Arial Narrow" w:cs="Arial"/>
                <w:sz w:val="20"/>
                <w:szCs w:val="20"/>
              </w:rPr>
              <w:t>Effective:</w:t>
            </w:r>
            <w:r w:rsidR="009920A4">
              <w:rPr>
                <w:rFonts w:ascii="Arial Narrow" w:hAnsi="Arial Narrow" w:cs="Arial"/>
                <w:sz w:val="20"/>
                <w:szCs w:val="20"/>
              </w:rPr>
              <w:t xml:space="preserve"> </w:t>
            </w:r>
            <w:r w:rsidR="00BC6553">
              <w:rPr>
                <w:rFonts w:ascii="Arial Narrow" w:hAnsi="Arial Narrow" w:cs="Arial"/>
                <w:sz w:val="20"/>
                <w:szCs w:val="20"/>
              </w:rPr>
              <w:t>*</w:t>
            </w:r>
          </w:p>
          <w:p w:rsidR="009920A4" w:rsidRPr="00260CE3" w:rsidRDefault="009920A4" w:rsidP="00BC6553">
            <w:pPr>
              <w:keepNext/>
              <w:jc w:val="center"/>
              <w:rPr>
                <w:rFonts w:ascii="Arial Narrow" w:hAnsi="Arial Narrow" w:cs="Arial"/>
                <w:sz w:val="20"/>
                <w:szCs w:val="20"/>
              </w:rPr>
            </w:pPr>
          </w:p>
        </w:tc>
        <w:tc>
          <w:tcPr>
            <w:tcW w:w="1275" w:type="dxa"/>
          </w:tcPr>
          <w:p w:rsidR="004142C1" w:rsidRDefault="004142C1" w:rsidP="00CC22C1">
            <w:pPr>
              <w:keepNext/>
              <w:jc w:val="center"/>
              <w:rPr>
                <w:rFonts w:ascii="Arial Narrow" w:hAnsi="Arial Narrow" w:cs="Arial"/>
                <w:sz w:val="20"/>
                <w:szCs w:val="20"/>
              </w:rPr>
            </w:pPr>
          </w:p>
          <w:p w:rsidR="004142C1" w:rsidRPr="00260CE3" w:rsidRDefault="004142C1" w:rsidP="00CC22C1">
            <w:pPr>
              <w:keepNext/>
              <w:jc w:val="center"/>
              <w:rPr>
                <w:rFonts w:ascii="Arial Narrow" w:hAnsi="Arial Narrow" w:cs="Arial"/>
                <w:sz w:val="20"/>
                <w:szCs w:val="20"/>
              </w:rPr>
            </w:pPr>
            <w:r>
              <w:rPr>
                <w:rFonts w:ascii="Arial Narrow" w:hAnsi="Arial Narrow" w:cs="Arial"/>
                <w:sz w:val="20"/>
                <w:szCs w:val="20"/>
              </w:rPr>
              <w:t>Stelara</w:t>
            </w:r>
          </w:p>
        </w:tc>
        <w:tc>
          <w:tcPr>
            <w:tcW w:w="1215" w:type="dxa"/>
          </w:tcPr>
          <w:p w:rsidR="004142C1" w:rsidRDefault="004142C1" w:rsidP="00CC22C1">
            <w:pPr>
              <w:keepNext/>
              <w:jc w:val="center"/>
              <w:rPr>
                <w:rFonts w:ascii="Arial Narrow" w:hAnsi="Arial Narrow" w:cs="Arial"/>
                <w:sz w:val="20"/>
                <w:szCs w:val="20"/>
              </w:rPr>
            </w:pPr>
          </w:p>
          <w:p w:rsidR="004142C1" w:rsidRPr="00260CE3" w:rsidRDefault="004142C1" w:rsidP="00CC22C1">
            <w:pPr>
              <w:keepNext/>
              <w:jc w:val="center"/>
              <w:rPr>
                <w:rFonts w:ascii="Arial Narrow" w:hAnsi="Arial Narrow" w:cs="Arial"/>
                <w:sz w:val="20"/>
                <w:szCs w:val="20"/>
              </w:rPr>
            </w:pPr>
            <w:r>
              <w:rPr>
                <w:rFonts w:ascii="Arial Narrow" w:hAnsi="Arial Narrow" w:cs="Arial"/>
                <w:sz w:val="20"/>
                <w:szCs w:val="20"/>
              </w:rPr>
              <w:t>Janssen-Cilag</w:t>
            </w:r>
          </w:p>
        </w:tc>
      </w:tr>
      <w:tr w:rsidR="004142C1" w:rsidRPr="005A6A0A" w:rsidTr="00CC22C1">
        <w:trPr>
          <w:cantSplit/>
        </w:trPr>
        <w:tc>
          <w:tcPr>
            <w:tcW w:w="8363" w:type="dxa"/>
            <w:gridSpan w:val="6"/>
          </w:tcPr>
          <w:p w:rsidR="004142C1" w:rsidRPr="00CB3C35" w:rsidRDefault="004142C1" w:rsidP="00CC22C1">
            <w:pPr>
              <w:rPr>
                <w:rFonts w:ascii="Arial Narrow" w:hAnsi="Arial Narrow"/>
                <w:b/>
                <w:sz w:val="20"/>
                <w:szCs w:val="20"/>
              </w:rPr>
            </w:pPr>
            <w:r w:rsidRPr="00CB3C35">
              <w:rPr>
                <w:rFonts w:ascii="Arial Narrow" w:hAnsi="Arial Narrow"/>
                <w:b/>
                <w:sz w:val="20"/>
                <w:szCs w:val="20"/>
                <w:u w:val="single"/>
              </w:rPr>
              <w:t>Authority required</w:t>
            </w:r>
          </w:p>
          <w:p w:rsidR="004142C1" w:rsidRPr="00CB3C35" w:rsidRDefault="004142C1" w:rsidP="00F52282">
            <w:pPr>
              <w:pStyle w:val="ListParagraph"/>
              <w:keepNext/>
              <w:numPr>
                <w:ilvl w:val="0"/>
                <w:numId w:val="2"/>
              </w:numPr>
              <w:ind w:left="256" w:hanging="256"/>
              <w:rPr>
                <w:rFonts w:ascii="Arial Narrow" w:hAnsi="Arial Narrow"/>
                <w:sz w:val="20"/>
                <w:szCs w:val="20"/>
              </w:rPr>
            </w:pPr>
            <w:r w:rsidRPr="00CB3C35">
              <w:rPr>
                <w:rFonts w:ascii="Arial Narrow" w:hAnsi="Arial Narrow"/>
                <w:sz w:val="20"/>
                <w:szCs w:val="20"/>
              </w:rPr>
              <w:t>Initial 1 (new patients)</w:t>
            </w:r>
          </w:p>
          <w:p w:rsidR="004142C1" w:rsidRDefault="004142C1" w:rsidP="00F52282">
            <w:pPr>
              <w:pStyle w:val="ListParagraph"/>
              <w:keepNext/>
              <w:numPr>
                <w:ilvl w:val="0"/>
                <w:numId w:val="2"/>
              </w:numPr>
              <w:ind w:left="256" w:hanging="256"/>
              <w:rPr>
                <w:rFonts w:ascii="Arial Narrow" w:hAnsi="Arial Narrow"/>
                <w:sz w:val="20"/>
                <w:szCs w:val="20"/>
              </w:rPr>
            </w:pPr>
            <w:r w:rsidRPr="00CB3C35">
              <w:rPr>
                <w:rFonts w:ascii="Arial Narrow" w:hAnsi="Arial Narrow"/>
                <w:sz w:val="20"/>
                <w:szCs w:val="20"/>
              </w:rPr>
              <w:t>Initial 2 (swapping therapy or  re-commencement after a treatment break)</w:t>
            </w:r>
          </w:p>
          <w:p w:rsidR="004142C1" w:rsidRPr="00CB3C35" w:rsidRDefault="004142C1" w:rsidP="00F52282">
            <w:pPr>
              <w:pStyle w:val="ListParagraph"/>
              <w:keepNext/>
              <w:numPr>
                <w:ilvl w:val="0"/>
                <w:numId w:val="2"/>
              </w:numPr>
              <w:ind w:left="256" w:hanging="256"/>
              <w:rPr>
                <w:rFonts w:ascii="Arial Narrow" w:hAnsi="Arial Narrow"/>
                <w:sz w:val="20"/>
                <w:szCs w:val="20"/>
              </w:rPr>
            </w:pPr>
            <w:r w:rsidRPr="00CB3C35">
              <w:rPr>
                <w:rFonts w:ascii="Arial Narrow" w:hAnsi="Arial Narrow"/>
                <w:sz w:val="20"/>
                <w:szCs w:val="20"/>
              </w:rPr>
              <w:t>Continuing treatment for all patients</w:t>
            </w:r>
          </w:p>
          <w:p w:rsidR="00BC6553" w:rsidRPr="009A720F" w:rsidRDefault="00BC6553" w:rsidP="00BC6553">
            <w:pPr>
              <w:jc w:val="both"/>
              <w:rPr>
                <w:rFonts w:ascii="Arial Narrow" w:hAnsi="Arial Narrow" w:cs="Arial"/>
                <w:iCs/>
                <w:sz w:val="18"/>
                <w:szCs w:val="20"/>
              </w:rPr>
            </w:pPr>
            <w:r w:rsidRPr="009A720F">
              <w:rPr>
                <w:rFonts w:ascii="Arial Narrow" w:hAnsi="Arial Narrow" w:cs="Arial"/>
                <w:sz w:val="18"/>
                <w:szCs w:val="20"/>
                <w:vertAlign w:val="superscript"/>
              </w:rPr>
              <w:t>#</w:t>
            </w:r>
            <w:r w:rsidRPr="009A720F">
              <w:rPr>
                <w:rFonts w:ascii="Arial Narrow" w:hAnsi="Arial Narrow" w:cs="Arial"/>
                <w:iCs/>
                <w:sz w:val="18"/>
                <w:szCs w:val="20"/>
              </w:rPr>
              <w:t>This is the same price as in the November 2014 major submission.  The minor submission has not updated this price to take consideration of the increase in dispensing fee in 2015, as reflected in th</w:t>
            </w:r>
            <w:r w:rsidR="0063436B" w:rsidRPr="009A720F">
              <w:rPr>
                <w:rFonts w:ascii="Arial Narrow" w:hAnsi="Arial Narrow" w:cs="Arial"/>
                <w:iCs/>
                <w:sz w:val="18"/>
                <w:szCs w:val="20"/>
              </w:rPr>
              <w:t>e current PBS price of $</w:t>
            </w:r>
            <w:r w:rsidR="00946E10">
              <w:rPr>
                <w:rFonts w:ascii="Arial Narrow" w:hAnsi="Arial Narrow" w:cs="Arial"/>
                <w:iCs/>
                <w:noProof/>
                <w:color w:val="000000"/>
                <w:sz w:val="18"/>
                <w:szCs w:val="20"/>
                <w:highlight w:val="black"/>
              </w:rPr>
              <w:t>'''''''''''''''''''''''</w:t>
            </w:r>
            <w:r w:rsidR="009920A4" w:rsidRPr="009A720F">
              <w:rPr>
                <w:rFonts w:ascii="Arial Narrow" w:hAnsi="Arial Narrow" w:cs="Arial"/>
                <w:iCs/>
                <w:sz w:val="18"/>
                <w:szCs w:val="20"/>
              </w:rPr>
              <w:t xml:space="preserve"> for ustekinumab for psoriasis.</w:t>
            </w:r>
          </w:p>
          <w:p w:rsidR="004142C1" w:rsidRPr="00CB3C35" w:rsidRDefault="00BC6553" w:rsidP="009920A4">
            <w:pPr>
              <w:jc w:val="both"/>
              <w:rPr>
                <w:rFonts w:ascii="Arial Narrow" w:hAnsi="Arial Narrow" w:cs="Arial"/>
                <w:sz w:val="18"/>
                <w:szCs w:val="20"/>
                <w:vertAlign w:val="superscript"/>
              </w:rPr>
            </w:pPr>
            <w:r>
              <w:rPr>
                <w:rFonts w:ascii="Arial Narrow" w:hAnsi="Arial Narrow" w:cs="Arial"/>
                <w:sz w:val="18"/>
                <w:szCs w:val="20"/>
              </w:rPr>
              <w:t>*</w:t>
            </w:r>
            <w:r w:rsidR="009920A4">
              <w:rPr>
                <w:rFonts w:ascii="Arial Narrow" w:hAnsi="Arial Narrow" w:cs="Arial"/>
                <w:sz w:val="18"/>
                <w:szCs w:val="20"/>
              </w:rPr>
              <w:t xml:space="preserve"> </w:t>
            </w:r>
            <w:r w:rsidR="004142C1" w:rsidRPr="00B84392">
              <w:rPr>
                <w:rFonts w:ascii="Arial Narrow" w:hAnsi="Arial Narrow" w:cs="Arial"/>
                <w:sz w:val="18"/>
                <w:szCs w:val="20"/>
              </w:rPr>
              <w:t>Effective price to be determined based on cost</w:t>
            </w:r>
            <w:r w:rsidR="009920A4" w:rsidRPr="00B84392">
              <w:rPr>
                <w:rFonts w:ascii="Arial Narrow" w:hAnsi="Arial Narrow" w:cs="Arial"/>
                <w:sz w:val="18"/>
                <w:szCs w:val="20"/>
              </w:rPr>
              <w:t>-minimisation of ustekinumab 45 </w:t>
            </w:r>
            <w:r w:rsidR="004142C1" w:rsidRPr="00B84392">
              <w:rPr>
                <w:rFonts w:ascii="Arial Narrow" w:hAnsi="Arial Narrow" w:cs="Arial"/>
                <w:sz w:val="18"/>
                <w:szCs w:val="20"/>
              </w:rPr>
              <w:t>mg to certolizumab 200</w:t>
            </w:r>
            <w:r w:rsidR="009920A4" w:rsidRPr="00B84392">
              <w:rPr>
                <w:rFonts w:ascii="Arial Narrow" w:hAnsi="Arial Narrow" w:cs="Arial"/>
                <w:sz w:val="18"/>
                <w:szCs w:val="20"/>
              </w:rPr>
              <w:t> </w:t>
            </w:r>
            <w:r w:rsidR="004142C1" w:rsidRPr="00B84392">
              <w:rPr>
                <w:rFonts w:ascii="Arial Narrow" w:hAnsi="Arial Narrow" w:cs="Arial"/>
                <w:sz w:val="18"/>
                <w:szCs w:val="20"/>
              </w:rPr>
              <w:t>mg.  If recommended, the PBS listing for psoriatic arthritis is contingent on a special pricing arrangement being granted, whereby the ustekinumab published price is the same for both the psoriasis and ps</w:t>
            </w:r>
            <w:r w:rsidR="009920A4" w:rsidRPr="00B84392">
              <w:rPr>
                <w:rFonts w:ascii="Arial Narrow" w:hAnsi="Arial Narrow" w:cs="Arial"/>
                <w:sz w:val="18"/>
                <w:szCs w:val="20"/>
              </w:rPr>
              <w:t>oriatic arthritis restrictions.</w:t>
            </w:r>
          </w:p>
        </w:tc>
      </w:tr>
    </w:tbl>
    <w:p w:rsidR="009920A4" w:rsidRDefault="009920A4" w:rsidP="009920A4">
      <w:pPr>
        <w:jc w:val="both"/>
        <w:rPr>
          <w:rFonts w:ascii="Arial" w:hAnsi="Arial" w:cs="Arial"/>
          <w:sz w:val="22"/>
          <w:szCs w:val="22"/>
        </w:rPr>
      </w:pPr>
    </w:p>
    <w:p w:rsidR="002536EA" w:rsidRDefault="002536EA" w:rsidP="002536EA">
      <w:pPr>
        <w:ind w:left="720"/>
        <w:jc w:val="both"/>
        <w:rPr>
          <w:rFonts w:ascii="Arial" w:hAnsi="Arial"/>
          <w:i/>
          <w:sz w:val="22"/>
          <w:szCs w:val="22"/>
        </w:rPr>
      </w:pPr>
      <w:r>
        <w:rPr>
          <w:rFonts w:ascii="Arial" w:hAnsi="Arial"/>
          <w:i/>
          <w:sz w:val="22"/>
          <w:szCs w:val="22"/>
        </w:rPr>
        <w:t>For more detail on PBAC’s view, see section 6 “PBAC outcome”</w:t>
      </w:r>
      <w:r w:rsidR="004245B6">
        <w:rPr>
          <w:rFonts w:ascii="Arial" w:hAnsi="Arial"/>
          <w:i/>
          <w:sz w:val="22"/>
          <w:szCs w:val="22"/>
        </w:rPr>
        <w:t>.</w:t>
      </w:r>
    </w:p>
    <w:p w:rsidR="002536EA" w:rsidRDefault="002536EA" w:rsidP="0066049E">
      <w:pPr>
        <w:spacing w:line="480" w:lineRule="auto"/>
        <w:jc w:val="both"/>
        <w:rPr>
          <w:rFonts w:ascii="Arial" w:hAnsi="Arial" w:cs="Arial"/>
          <w:sz w:val="22"/>
          <w:szCs w:val="22"/>
        </w:rPr>
      </w:pPr>
    </w:p>
    <w:p w:rsidR="00CE10C4" w:rsidRPr="00882085" w:rsidRDefault="00CE10C4" w:rsidP="0066049E">
      <w:pPr>
        <w:pStyle w:val="Heading1"/>
      </w:pPr>
      <w:r w:rsidRPr="00882085">
        <w:t>Background</w:t>
      </w:r>
    </w:p>
    <w:p w:rsidR="004142C1" w:rsidRPr="009920A4" w:rsidRDefault="004142C1" w:rsidP="004142C1">
      <w:pPr>
        <w:jc w:val="both"/>
        <w:rPr>
          <w:rFonts w:ascii="Arial" w:hAnsi="Arial" w:cs="Arial"/>
          <w:iCs/>
          <w:sz w:val="22"/>
          <w:szCs w:val="22"/>
        </w:rPr>
      </w:pPr>
    </w:p>
    <w:p w:rsidR="004142C1" w:rsidRDefault="004142C1" w:rsidP="00F52282">
      <w:pPr>
        <w:pStyle w:val="ListParagraph"/>
        <w:numPr>
          <w:ilvl w:val="1"/>
          <w:numId w:val="1"/>
        </w:numPr>
        <w:jc w:val="both"/>
        <w:rPr>
          <w:rFonts w:ascii="Arial" w:hAnsi="Arial"/>
          <w:sz w:val="22"/>
          <w:szCs w:val="22"/>
        </w:rPr>
      </w:pPr>
      <w:r>
        <w:rPr>
          <w:rFonts w:ascii="Arial" w:hAnsi="Arial"/>
          <w:sz w:val="22"/>
          <w:szCs w:val="22"/>
        </w:rPr>
        <w:t>In</w:t>
      </w:r>
      <w:r w:rsidRPr="00281A4F">
        <w:rPr>
          <w:rFonts w:ascii="Arial" w:hAnsi="Arial"/>
          <w:sz w:val="22"/>
          <w:szCs w:val="22"/>
        </w:rPr>
        <w:t xml:space="preserve"> November 2014</w:t>
      </w:r>
      <w:r>
        <w:rPr>
          <w:rFonts w:ascii="Arial" w:hAnsi="Arial"/>
          <w:sz w:val="22"/>
          <w:szCs w:val="22"/>
        </w:rPr>
        <w:t xml:space="preserve">, </w:t>
      </w:r>
      <w:r w:rsidRPr="00281A4F">
        <w:rPr>
          <w:rFonts w:ascii="Arial" w:hAnsi="Arial"/>
          <w:sz w:val="22"/>
          <w:szCs w:val="22"/>
        </w:rPr>
        <w:t>the PBAC rejected a</w:t>
      </w:r>
      <w:r w:rsidRPr="00752320">
        <w:rPr>
          <w:rFonts w:ascii="Arial" w:hAnsi="Arial"/>
          <w:sz w:val="22"/>
          <w:szCs w:val="22"/>
        </w:rPr>
        <w:t xml:space="preserve"> major submission for ustekinumab for</w:t>
      </w:r>
      <w:r>
        <w:rPr>
          <w:rFonts w:ascii="Arial" w:hAnsi="Arial"/>
          <w:sz w:val="22"/>
          <w:szCs w:val="22"/>
        </w:rPr>
        <w:t xml:space="preserve"> PsA as</w:t>
      </w:r>
      <w:r w:rsidRPr="00752320">
        <w:rPr>
          <w:rFonts w:ascii="Arial" w:hAnsi="Arial"/>
          <w:sz w:val="22"/>
          <w:szCs w:val="22"/>
        </w:rPr>
        <w:t xml:space="preserve"> </w:t>
      </w:r>
      <w:r>
        <w:rPr>
          <w:rFonts w:ascii="Arial" w:hAnsi="Arial"/>
          <w:sz w:val="22"/>
          <w:szCs w:val="22"/>
        </w:rPr>
        <w:t>u</w:t>
      </w:r>
      <w:r w:rsidRPr="00752320">
        <w:rPr>
          <w:rFonts w:ascii="Arial" w:hAnsi="Arial"/>
          <w:sz w:val="22"/>
          <w:szCs w:val="22"/>
        </w:rPr>
        <w:t>stekinumab was</w:t>
      </w:r>
      <w:r>
        <w:rPr>
          <w:rFonts w:ascii="Arial" w:hAnsi="Arial"/>
          <w:sz w:val="22"/>
          <w:szCs w:val="22"/>
        </w:rPr>
        <w:t xml:space="preserve"> considered </w:t>
      </w:r>
      <w:r w:rsidRPr="00752320">
        <w:rPr>
          <w:rFonts w:ascii="Arial" w:hAnsi="Arial"/>
          <w:sz w:val="22"/>
          <w:szCs w:val="22"/>
        </w:rPr>
        <w:t>inferior to adalimumab</w:t>
      </w:r>
      <w:r w:rsidRPr="00281A4F">
        <w:rPr>
          <w:rFonts w:ascii="Arial" w:hAnsi="Arial"/>
          <w:sz w:val="22"/>
          <w:szCs w:val="22"/>
        </w:rPr>
        <w:t xml:space="preserve"> (the nominated comparator)</w:t>
      </w:r>
      <w:r w:rsidRPr="00752320">
        <w:rPr>
          <w:rFonts w:ascii="Arial" w:hAnsi="Arial"/>
          <w:sz w:val="22"/>
          <w:szCs w:val="22"/>
        </w:rPr>
        <w:t xml:space="preserve">, </w:t>
      </w:r>
      <w:r w:rsidRPr="00200882">
        <w:rPr>
          <w:rFonts w:ascii="Arial" w:hAnsi="Arial" w:cs="Arial"/>
          <w:sz w:val="22"/>
          <w:szCs w:val="22"/>
        </w:rPr>
        <w:t xml:space="preserve">particularly in terms of </w:t>
      </w:r>
      <w:r w:rsidR="00D338E2">
        <w:rPr>
          <w:rFonts w:ascii="Arial" w:hAnsi="Arial" w:cs="Arial"/>
          <w:sz w:val="22"/>
          <w:szCs w:val="22"/>
        </w:rPr>
        <w:t xml:space="preserve">the </w:t>
      </w:r>
      <w:r w:rsidRPr="00200882">
        <w:rPr>
          <w:rFonts w:ascii="Arial" w:hAnsi="Arial" w:cs="Arial"/>
          <w:sz w:val="22"/>
          <w:szCs w:val="22"/>
        </w:rPr>
        <w:t>joint</w:t>
      </w:r>
      <w:r w:rsidR="00D338E2">
        <w:rPr>
          <w:rFonts w:ascii="Arial" w:hAnsi="Arial" w:cs="Arial"/>
          <w:sz w:val="22"/>
          <w:szCs w:val="22"/>
        </w:rPr>
        <w:t xml:space="preserve"> count</w:t>
      </w:r>
      <w:r w:rsidRPr="00200882">
        <w:rPr>
          <w:rFonts w:ascii="Arial" w:hAnsi="Arial" w:cs="Arial"/>
          <w:sz w:val="22"/>
          <w:szCs w:val="22"/>
        </w:rPr>
        <w:t xml:space="preserve"> response. The PBAC also questioned the clinical need for ustekinumab, despite its different mechanism of action to the </w:t>
      </w:r>
      <w:r w:rsidRPr="00200882">
        <w:rPr>
          <w:rFonts w:ascii="Arial" w:hAnsi="Arial" w:cs="Arial"/>
          <w:iCs/>
          <w:sz w:val="22"/>
          <w:szCs w:val="22"/>
        </w:rPr>
        <w:t xml:space="preserve">tumour </w:t>
      </w:r>
      <w:r w:rsidRPr="00200882">
        <w:rPr>
          <w:rFonts w:ascii="Arial" w:hAnsi="Arial" w:cs="Arial"/>
          <w:iCs/>
          <w:sz w:val="22"/>
          <w:szCs w:val="22"/>
        </w:rPr>
        <w:lastRenderedPageBreak/>
        <w:t>necrosis factor</w:t>
      </w:r>
      <w:r w:rsidRPr="00200882">
        <w:rPr>
          <w:rFonts w:ascii="Arial" w:hAnsi="Arial" w:cs="Arial"/>
          <w:sz w:val="22"/>
          <w:szCs w:val="22"/>
        </w:rPr>
        <w:noBreakHyphen/>
        <w:t>α (TNF</w:t>
      </w:r>
      <w:r w:rsidR="00200882">
        <w:rPr>
          <w:rFonts w:ascii="Arial" w:hAnsi="Arial" w:cs="Arial"/>
          <w:sz w:val="22"/>
          <w:szCs w:val="22"/>
        </w:rPr>
        <w:t>-</w:t>
      </w:r>
      <w:r w:rsidRPr="00200882">
        <w:rPr>
          <w:rFonts w:ascii="Arial" w:hAnsi="Arial" w:cs="Arial"/>
          <w:sz w:val="22"/>
          <w:szCs w:val="22"/>
        </w:rPr>
        <w:t>α) inhibitor agents currently PBS listed for the treatment of PsA (see November</w:t>
      </w:r>
      <w:r w:rsidRPr="00752320">
        <w:rPr>
          <w:rFonts w:ascii="Arial" w:hAnsi="Arial"/>
          <w:sz w:val="22"/>
          <w:szCs w:val="22"/>
        </w:rPr>
        <w:t xml:space="preserve"> 2014 PBAC meeting minutes</w:t>
      </w:r>
      <w:r>
        <w:rPr>
          <w:rFonts w:ascii="Arial" w:hAnsi="Arial"/>
          <w:sz w:val="22"/>
          <w:szCs w:val="22"/>
        </w:rPr>
        <w:t xml:space="preserve"> – ustekinumab </w:t>
      </w:r>
      <w:r w:rsidRPr="00752320">
        <w:rPr>
          <w:rFonts w:ascii="Arial" w:hAnsi="Arial"/>
          <w:sz w:val="22"/>
          <w:szCs w:val="22"/>
        </w:rPr>
        <w:t>for further detail</w:t>
      </w:r>
      <w:r w:rsidRPr="00281A4F">
        <w:rPr>
          <w:rFonts w:ascii="Arial" w:hAnsi="Arial"/>
          <w:sz w:val="22"/>
          <w:szCs w:val="22"/>
        </w:rPr>
        <w:t>s</w:t>
      </w:r>
      <w:r w:rsidRPr="00752320">
        <w:rPr>
          <w:rFonts w:ascii="Arial" w:hAnsi="Arial"/>
          <w:sz w:val="22"/>
          <w:szCs w:val="22"/>
        </w:rPr>
        <w:t>)</w:t>
      </w:r>
      <w:r w:rsidRPr="00281A4F">
        <w:rPr>
          <w:rFonts w:ascii="Arial" w:hAnsi="Arial"/>
          <w:sz w:val="22"/>
          <w:szCs w:val="22"/>
        </w:rPr>
        <w:t xml:space="preserve">.  At the same meeting, </w:t>
      </w:r>
      <w:r>
        <w:rPr>
          <w:rFonts w:ascii="Arial" w:hAnsi="Arial"/>
          <w:sz w:val="22"/>
          <w:szCs w:val="22"/>
        </w:rPr>
        <w:t xml:space="preserve">the </w:t>
      </w:r>
      <w:r w:rsidRPr="00652B29">
        <w:rPr>
          <w:rFonts w:ascii="Arial" w:hAnsi="Arial"/>
          <w:sz w:val="22"/>
          <w:szCs w:val="22"/>
        </w:rPr>
        <w:t xml:space="preserve">PBAC </w:t>
      </w:r>
      <w:r>
        <w:rPr>
          <w:rFonts w:ascii="Arial" w:hAnsi="Arial"/>
          <w:sz w:val="22"/>
          <w:szCs w:val="22"/>
        </w:rPr>
        <w:t xml:space="preserve">also considered a submission for </w:t>
      </w:r>
      <w:r w:rsidRPr="00652B29">
        <w:rPr>
          <w:rFonts w:ascii="Arial" w:hAnsi="Arial"/>
          <w:sz w:val="22"/>
          <w:szCs w:val="22"/>
        </w:rPr>
        <w:t xml:space="preserve">certolizumab for </w:t>
      </w:r>
      <w:r>
        <w:rPr>
          <w:rFonts w:ascii="Arial" w:hAnsi="Arial"/>
          <w:sz w:val="22"/>
          <w:szCs w:val="22"/>
        </w:rPr>
        <w:t>PsA</w:t>
      </w:r>
      <w:r w:rsidRPr="00652B29">
        <w:rPr>
          <w:rFonts w:ascii="Arial" w:hAnsi="Arial"/>
          <w:sz w:val="22"/>
          <w:szCs w:val="22"/>
        </w:rPr>
        <w:t xml:space="preserve">, </w:t>
      </w:r>
      <w:r>
        <w:rPr>
          <w:rFonts w:ascii="Arial" w:hAnsi="Arial"/>
          <w:sz w:val="22"/>
          <w:szCs w:val="22"/>
        </w:rPr>
        <w:t xml:space="preserve">which was recommended </w:t>
      </w:r>
      <w:r w:rsidRPr="00652B29">
        <w:rPr>
          <w:rFonts w:ascii="Arial" w:hAnsi="Arial"/>
          <w:sz w:val="22"/>
          <w:szCs w:val="22"/>
        </w:rPr>
        <w:t>on a cost</w:t>
      </w:r>
      <w:r w:rsidR="009920A4">
        <w:rPr>
          <w:rFonts w:ascii="Arial" w:hAnsi="Arial"/>
          <w:sz w:val="22"/>
          <w:szCs w:val="22"/>
        </w:rPr>
        <w:t>-</w:t>
      </w:r>
      <w:r w:rsidRPr="00652B29">
        <w:rPr>
          <w:rFonts w:ascii="Arial" w:hAnsi="Arial"/>
          <w:sz w:val="22"/>
          <w:szCs w:val="22"/>
        </w:rPr>
        <w:t xml:space="preserve">minimisation basis </w:t>
      </w:r>
      <w:r>
        <w:rPr>
          <w:rFonts w:ascii="Arial" w:hAnsi="Arial"/>
          <w:sz w:val="22"/>
          <w:szCs w:val="22"/>
        </w:rPr>
        <w:t>versus</w:t>
      </w:r>
      <w:r w:rsidRPr="00652B29">
        <w:rPr>
          <w:rFonts w:ascii="Arial" w:hAnsi="Arial"/>
          <w:sz w:val="22"/>
          <w:szCs w:val="22"/>
        </w:rPr>
        <w:t xml:space="preserve"> adalimumab.</w:t>
      </w:r>
      <w:r>
        <w:rPr>
          <w:rFonts w:ascii="Arial" w:hAnsi="Arial"/>
          <w:sz w:val="22"/>
          <w:szCs w:val="22"/>
        </w:rPr>
        <w:t xml:space="preserve"> </w:t>
      </w:r>
      <w:r w:rsidR="009920A4">
        <w:rPr>
          <w:rFonts w:ascii="Arial" w:hAnsi="Arial"/>
          <w:sz w:val="22"/>
          <w:szCs w:val="22"/>
        </w:rPr>
        <w:t xml:space="preserve"> </w:t>
      </w:r>
      <w:r>
        <w:rPr>
          <w:rFonts w:ascii="Arial" w:hAnsi="Arial"/>
          <w:sz w:val="22"/>
          <w:szCs w:val="22"/>
        </w:rPr>
        <w:t xml:space="preserve">The recommended dose of certolizumab was </w:t>
      </w:r>
      <w:r w:rsidRPr="00281A4F">
        <w:rPr>
          <w:rFonts w:ascii="Arial" w:hAnsi="Arial"/>
          <w:sz w:val="22"/>
          <w:szCs w:val="22"/>
        </w:rPr>
        <w:t>400</w:t>
      </w:r>
      <w:r w:rsidR="009920A4">
        <w:rPr>
          <w:rFonts w:ascii="Arial" w:hAnsi="Arial"/>
          <w:sz w:val="22"/>
          <w:szCs w:val="22"/>
        </w:rPr>
        <w:t> mg (two injections of 200 </w:t>
      </w:r>
      <w:r w:rsidRPr="00281A4F">
        <w:rPr>
          <w:rFonts w:ascii="Arial" w:hAnsi="Arial"/>
          <w:sz w:val="22"/>
          <w:szCs w:val="22"/>
        </w:rPr>
        <w:t xml:space="preserve">mg each) </w:t>
      </w:r>
      <w:r>
        <w:rPr>
          <w:rFonts w:ascii="Arial" w:hAnsi="Arial"/>
          <w:sz w:val="22"/>
          <w:szCs w:val="22"/>
        </w:rPr>
        <w:t>delivered</w:t>
      </w:r>
      <w:r w:rsidRPr="00281A4F">
        <w:rPr>
          <w:rFonts w:ascii="Arial" w:hAnsi="Arial"/>
          <w:sz w:val="22"/>
          <w:szCs w:val="22"/>
        </w:rPr>
        <w:t xml:space="preserve"> at Weeks 0, </w:t>
      </w:r>
      <w:r w:rsidR="009920A4">
        <w:rPr>
          <w:rFonts w:ascii="Arial" w:hAnsi="Arial"/>
          <w:sz w:val="22"/>
          <w:szCs w:val="22"/>
        </w:rPr>
        <w:t>2 and 4, followed by either 200 mg every 2 weeks or 400 </w:t>
      </w:r>
      <w:r w:rsidRPr="00281A4F">
        <w:rPr>
          <w:rFonts w:ascii="Arial" w:hAnsi="Arial"/>
          <w:sz w:val="22"/>
          <w:szCs w:val="22"/>
        </w:rPr>
        <w:t>mg every 4 weeks.</w:t>
      </w:r>
    </w:p>
    <w:p w:rsidR="004142C1" w:rsidRPr="009920A4" w:rsidRDefault="004142C1" w:rsidP="004142C1">
      <w:pPr>
        <w:rPr>
          <w:rFonts w:ascii="Arial" w:hAnsi="Arial"/>
          <w:sz w:val="22"/>
          <w:szCs w:val="22"/>
        </w:rPr>
      </w:pPr>
    </w:p>
    <w:p w:rsidR="00BB7EC3" w:rsidRPr="00946E10" w:rsidRDefault="004142C1" w:rsidP="00F52282">
      <w:pPr>
        <w:numPr>
          <w:ilvl w:val="1"/>
          <w:numId w:val="1"/>
        </w:numPr>
        <w:contextualSpacing/>
        <w:jc w:val="both"/>
        <w:rPr>
          <w:rFonts w:ascii="Arial" w:hAnsi="Arial"/>
          <w:sz w:val="22"/>
          <w:szCs w:val="22"/>
        </w:rPr>
      </w:pPr>
      <w:r w:rsidRPr="00B45BEA">
        <w:rPr>
          <w:rFonts w:ascii="Arial" w:hAnsi="Arial" w:cs="Arial"/>
          <w:bCs/>
          <w:snapToGrid w:val="0"/>
          <w:sz w:val="22"/>
          <w:szCs w:val="22"/>
          <w:lang w:val="en-GB"/>
        </w:rPr>
        <w:t xml:space="preserve">In July 2015, the PBAC deferred making a recommendation regarding the request to list ustekinumab as an Authority Required benefit for the treatment of PsA, as acceptance of the submission’s claim that ustekinumab is non-inferior to certolizumab and inferior to adalimumab required the PBAC to accept that certolizumab is also inferior to adalimumab, a finding which would be inconsistent with the PBAC recommendation for certolizumab from November 2014.  </w:t>
      </w:r>
      <w:r w:rsidR="00946E10">
        <w:rPr>
          <w:rFonts w:ascii="Arial" w:hAnsi="Arial" w:cs="Arial"/>
          <w:bCs/>
          <w:noProof/>
          <w:snapToGrid w:val="0"/>
          <w:color w:val="000000"/>
          <w:sz w:val="22"/>
          <w:szCs w:val="22"/>
          <w:highlight w:val="black"/>
          <w:lang w:val="en-GB"/>
        </w:rPr>
        <w:t xml:space="preserve">''''''''' '''''''''''''' ''''''''''''''' ''''''''' ''''''''''''''''''''''''''''' ''''''''''''''' '''''''''' '''''''' '''''''''''''''''' ''''' '''''''''''''''''''''''''''''''' ''''''''' ''''''''''''' ''' ''''''''''''''''''' '''''''''''''''''''''''''' '''''''''''''''''''' ''''''' ''''''''''''''''''''''''''''' ''''''''''''''''''''''''''''''' ''''' '''''''''''''''''''''''''''''' '''''''''''''''''''''''''''''' ''''''''''''''''''''''''' '''''''''''''''''''''''' '''''''''' ''''''''''''''''''''' '''''' ''''''''''' '''''''''' ''''''''''''''''''''''''''' ''' '''''''''''''''''''''''''''' ''''''' ''''''''' '''''''''''''''''''''''''''' ''''' ''''''' '''''''''''''''''''' ''''''''' ''''''''''''''''''''''''' '''''' '''''''''''''''''' '''''''''''''''' ''''' ''' '''''''''''''''''' ''' '''''''''''''''''''''''''''''''''''''' ''''' ''''''''''''''' ''''' '''''''' ''''''''''''''''''' ''''''' '''''''''''''''''''''''''''''''''' </w:t>
      </w:r>
    </w:p>
    <w:p w:rsidR="002403FA" w:rsidRDefault="002403FA" w:rsidP="00AC6A9F">
      <w:pPr>
        <w:contextualSpacing/>
        <w:jc w:val="both"/>
        <w:rPr>
          <w:rFonts w:ascii="Arial" w:hAnsi="Arial" w:cs="Arial"/>
          <w:sz w:val="22"/>
          <w:szCs w:val="22"/>
        </w:rPr>
      </w:pPr>
    </w:p>
    <w:p w:rsidR="00200882" w:rsidRPr="00200882" w:rsidRDefault="00200882" w:rsidP="00F52282">
      <w:pPr>
        <w:numPr>
          <w:ilvl w:val="1"/>
          <w:numId w:val="1"/>
        </w:numPr>
        <w:contextualSpacing/>
        <w:jc w:val="both"/>
        <w:rPr>
          <w:rFonts w:ascii="Arial" w:hAnsi="Arial" w:cs="Arial"/>
          <w:sz w:val="22"/>
          <w:szCs w:val="22"/>
        </w:rPr>
      </w:pPr>
      <w:r w:rsidRPr="00200882">
        <w:rPr>
          <w:rFonts w:ascii="Arial" w:hAnsi="Arial" w:cs="Arial"/>
          <w:sz w:val="22"/>
          <w:szCs w:val="22"/>
        </w:rPr>
        <w:t xml:space="preserve">The Pharmaceutical Benefits Division of the Department of Health commissioned </w:t>
      </w:r>
      <w:r w:rsidR="009C6FD3">
        <w:rPr>
          <w:rFonts w:ascii="Arial" w:hAnsi="Arial" w:cs="Arial"/>
          <w:sz w:val="22"/>
          <w:szCs w:val="22"/>
        </w:rPr>
        <w:t>a report</w:t>
      </w:r>
      <w:r w:rsidRPr="00200882">
        <w:rPr>
          <w:rFonts w:ascii="Arial" w:hAnsi="Arial" w:cs="Arial"/>
          <w:sz w:val="22"/>
          <w:szCs w:val="22"/>
        </w:rPr>
        <w:t xml:space="preserve"> to review the c</w:t>
      </w:r>
      <w:r w:rsidR="00CC22C1">
        <w:rPr>
          <w:rFonts w:ascii="Arial" w:hAnsi="Arial" w:cs="Arial"/>
          <w:sz w:val="22"/>
          <w:szCs w:val="22"/>
        </w:rPr>
        <w:t>laims presented in the minor re</w:t>
      </w:r>
      <w:r w:rsidRPr="00200882">
        <w:rPr>
          <w:rFonts w:ascii="Arial" w:hAnsi="Arial" w:cs="Arial"/>
          <w:sz w:val="22"/>
          <w:szCs w:val="22"/>
        </w:rPr>
        <w:t>submission</w:t>
      </w:r>
      <w:r w:rsidR="00676B1F">
        <w:rPr>
          <w:rFonts w:ascii="Arial" w:hAnsi="Arial" w:cs="Arial"/>
          <w:sz w:val="22"/>
          <w:szCs w:val="22"/>
        </w:rPr>
        <w:t>.</w:t>
      </w:r>
    </w:p>
    <w:p w:rsidR="00200882" w:rsidRDefault="00200882" w:rsidP="0066049E">
      <w:pPr>
        <w:pStyle w:val="Header"/>
        <w:tabs>
          <w:tab w:val="clear" w:pos="4153"/>
          <w:tab w:val="clear" w:pos="8306"/>
        </w:tabs>
        <w:spacing w:line="480" w:lineRule="auto"/>
        <w:jc w:val="both"/>
        <w:rPr>
          <w:rFonts w:ascii="Arial" w:hAnsi="Arial"/>
          <w:sz w:val="22"/>
          <w:szCs w:val="22"/>
        </w:rPr>
      </w:pPr>
    </w:p>
    <w:p w:rsidR="00200882" w:rsidRPr="00882085" w:rsidRDefault="00200882" w:rsidP="0066049E">
      <w:pPr>
        <w:pStyle w:val="Heading1"/>
      </w:pPr>
      <w:r w:rsidRPr="00882085">
        <w:t>Comparator</w:t>
      </w:r>
    </w:p>
    <w:p w:rsidR="00200882" w:rsidRPr="009920A4" w:rsidRDefault="00200882" w:rsidP="00200882">
      <w:pPr>
        <w:pStyle w:val="Header"/>
        <w:tabs>
          <w:tab w:val="clear" w:pos="4153"/>
          <w:tab w:val="clear" w:pos="8306"/>
        </w:tabs>
        <w:jc w:val="both"/>
        <w:rPr>
          <w:rFonts w:ascii="Arial" w:hAnsi="Arial"/>
          <w:sz w:val="22"/>
          <w:szCs w:val="22"/>
        </w:rPr>
      </w:pPr>
    </w:p>
    <w:p w:rsidR="00200882" w:rsidRPr="00B45BEA" w:rsidRDefault="00200882" w:rsidP="00F52282">
      <w:pPr>
        <w:numPr>
          <w:ilvl w:val="1"/>
          <w:numId w:val="1"/>
        </w:numPr>
        <w:contextualSpacing/>
        <w:jc w:val="both"/>
        <w:rPr>
          <w:rFonts w:ascii="Arial" w:hAnsi="Arial"/>
          <w:sz w:val="22"/>
          <w:szCs w:val="22"/>
        </w:rPr>
      </w:pPr>
      <w:r w:rsidRPr="00B45BEA">
        <w:rPr>
          <w:rFonts w:ascii="Arial" w:hAnsi="Arial"/>
          <w:sz w:val="22"/>
          <w:szCs w:val="22"/>
        </w:rPr>
        <w:t>The PBAC has previously accepted adalimumab as the appropriate comparator and accepted certolizum</w:t>
      </w:r>
      <w:r w:rsidR="009920A4">
        <w:rPr>
          <w:rFonts w:ascii="Arial" w:hAnsi="Arial"/>
          <w:sz w:val="22"/>
          <w:szCs w:val="22"/>
        </w:rPr>
        <w:t>ab as an additional comparator.</w:t>
      </w:r>
    </w:p>
    <w:p w:rsidR="00200882" w:rsidRDefault="00200882" w:rsidP="00200882">
      <w:pPr>
        <w:rPr>
          <w:rFonts w:ascii="Arial" w:hAnsi="Arial" w:cs="Arial"/>
          <w:sz w:val="22"/>
          <w:szCs w:val="22"/>
        </w:rPr>
      </w:pPr>
    </w:p>
    <w:p w:rsidR="002536EA" w:rsidRDefault="002536EA" w:rsidP="002536EA">
      <w:pPr>
        <w:ind w:left="720"/>
        <w:jc w:val="both"/>
        <w:rPr>
          <w:rFonts w:ascii="Arial" w:hAnsi="Arial"/>
          <w:i/>
          <w:sz w:val="22"/>
          <w:szCs w:val="22"/>
        </w:rPr>
      </w:pPr>
      <w:r>
        <w:rPr>
          <w:rFonts w:ascii="Arial" w:hAnsi="Arial"/>
          <w:i/>
          <w:sz w:val="22"/>
          <w:szCs w:val="22"/>
        </w:rPr>
        <w:t>For more detail on PBAC’s vie</w:t>
      </w:r>
      <w:r w:rsidR="004245B6">
        <w:rPr>
          <w:rFonts w:ascii="Arial" w:hAnsi="Arial"/>
          <w:i/>
          <w:sz w:val="22"/>
          <w:szCs w:val="22"/>
        </w:rPr>
        <w:t>w, see section 6 “PBAC outcome”.</w:t>
      </w:r>
    </w:p>
    <w:p w:rsidR="009920A4" w:rsidRDefault="009920A4" w:rsidP="0066049E">
      <w:pPr>
        <w:spacing w:line="480" w:lineRule="auto"/>
        <w:rPr>
          <w:rFonts w:ascii="Arial" w:hAnsi="Arial" w:cs="Arial"/>
          <w:sz w:val="22"/>
          <w:szCs w:val="22"/>
        </w:rPr>
      </w:pPr>
    </w:p>
    <w:p w:rsidR="000B558D" w:rsidRPr="00882085" w:rsidRDefault="002F1439" w:rsidP="0066049E">
      <w:pPr>
        <w:pStyle w:val="Heading1"/>
      </w:pPr>
      <w:r>
        <w:t>PBAC c</w:t>
      </w:r>
      <w:r w:rsidR="00D84934">
        <w:t>onsideration of the evidence</w:t>
      </w:r>
    </w:p>
    <w:p w:rsidR="00BB7EC3" w:rsidRDefault="00BB7EC3" w:rsidP="00F9629A">
      <w:pPr>
        <w:jc w:val="both"/>
        <w:rPr>
          <w:rFonts w:ascii="Arial" w:hAnsi="Arial"/>
          <w:sz w:val="22"/>
          <w:szCs w:val="22"/>
        </w:rPr>
      </w:pPr>
    </w:p>
    <w:p w:rsidR="00C51728" w:rsidRPr="00C51728" w:rsidRDefault="00C51728" w:rsidP="00C51728">
      <w:pPr>
        <w:pStyle w:val="Heading2"/>
        <w:rPr>
          <w:rFonts w:cs="Arial"/>
          <w:b w:val="0"/>
        </w:rPr>
      </w:pPr>
      <w:r w:rsidRPr="00C51728">
        <w:rPr>
          <w:rFonts w:cs="Arial"/>
        </w:rPr>
        <w:t>Sponsor hearing</w:t>
      </w:r>
    </w:p>
    <w:p w:rsidR="00C51728" w:rsidRPr="004245B6" w:rsidRDefault="00C51728" w:rsidP="00C51728">
      <w:pPr>
        <w:rPr>
          <w:rFonts w:ascii="Arial" w:hAnsi="Arial" w:cs="Arial"/>
          <w:sz w:val="22"/>
          <w:szCs w:val="22"/>
        </w:rPr>
      </w:pPr>
    </w:p>
    <w:p w:rsidR="00C51728" w:rsidRPr="00C51728" w:rsidRDefault="00C51728" w:rsidP="002F1439">
      <w:pPr>
        <w:numPr>
          <w:ilvl w:val="1"/>
          <w:numId w:val="1"/>
        </w:numPr>
        <w:spacing w:line="480" w:lineRule="auto"/>
        <w:jc w:val="both"/>
        <w:rPr>
          <w:rFonts w:ascii="Arial" w:hAnsi="Arial" w:cs="Arial"/>
          <w:sz w:val="22"/>
          <w:szCs w:val="22"/>
        </w:rPr>
      </w:pPr>
      <w:r w:rsidRPr="00C51728">
        <w:rPr>
          <w:rFonts w:ascii="Arial" w:hAnsi="Arial" w:cs="Arial"/>
          <w:sz w:val="22"/>
          <w:szCs w:val="22"/>
        </w:rPr>
        <w:t>There was no hearing for this item</w:t>
      </w:r>
      <w:r>
        <w:rPr>
          <w:rFonts w:ascii="Arial" w:hAnsi="Arial" w:cs="Arial"/>
          <w:sz w:val="22"/>
          <w:szCs w:val="22"/>
        </w:rPr>
        <w:t xml:space="preserve"> as it was a minor submission</w:t>
      </w:r>
      <w:r w:rsidR="004245B6">
        <w:rPr>
          <w:rFonts w:ascii="Arial" w:hAnsi="Arial" w:cs="Arial"/>
          <w:sz w:val="22"/>
          <w:szCs w:val="22"/>
        </w:rPr>
        <w:t>.</w:t>
      </w:r>
    </w:p>
    <w:p w:rsidR="00C51728" w:rsidRPr="0066049E" w:rsidRDefault="00C51728" w:rsidP="004245B6">
      <w:pPr>
        <w:pStyle w:val="Heading2"/>
        <w:keepNext w:val="0"/>
        <w:rPr>
          <w:rFonts w:cs="Arial"/>
          <w:b w:val="0"/>
          <w:szCs w:val="22"/>
        </w:rPr>
      </w:pPr>
      <w:r w:rsidRPr="0066049E">
        <w:rPr>
          <w:rFonts w:cs="Arial"/>
          <w:szCs w:val="22"/>
        </w:rPr>
        <w:t>Consumer comments</w:t>
      </w:r>
    </w:p>
    <w:p w:rsidR="00C51728" w:rsidRPr="004245B6" w:rsidRDefault="00C51728" w:rsidP="00C51728">
      <w:pPr>
        <w:rPr>
          <w:rFonts w:ascii="Arial" w:hAnsi="Arial" w:cs="Arial"/>
          <w:sz w:val="22"/>
          <w:szCs w:val="22"/>
        </w:rPr>
      </w:pPr>
    </w:p>
    <w:p w:rsidR="00C51728" w:rsidRPr="00C51728" w:rsidRDefault="00C51728" w:rsidP="00C51728">
      <w:pPr>
        <w:pStyle w:val="ListParagraph"/>
        <w:numPr>
          <w:ilvl w:val="1"/>
          <w:numId w:val="1"/>
        </w:numPr>
        <w:jc w:val="both"/>
        <w:rPr>
          <w:rFonts w:ascii="Arial" w:hAnsi="Arial" w:cs="Arial"/>
          <w:sz w:val="22"/>
          <w:szCs w:val="22"/>
        </w:rPr>
      </w:pPr>
      <w:r w:rsidRPr="00C51728">
        <w:rPr>
          <w:rFonts w:ascii="Arial" w:hAnsi="Arial" w:cs="Arial"/>
          <w:sz w:val="22"/>
          <w:szCs w:val="22"/>
        </w:rPr>
        <w:t>The PBAC noted that no consumer commen</w:t>
      </w:r>
      <w:r w:rsidR="004245B6">
        <w:rPr>
          <w:rFonts w:ascii="Arial" w:hAnsi="Arial" w:cs="Arial"/>
          <w:sz w:val="22"/>
          <w:szCs w:val="22"/>
        </w:rPr>
        <w:t>ts were received for this item.</w:t>
      </w:r>
    </w:p>
    <w:p w:rsidR="00C51728" w:rsidRPr="00C51728" w:rsidRDefault="00C51728" w:rsidP="0066049E">
      <w:pPr>
        <w:pStyle w:val="BodyText"/>
        <w:spacing w:after="0"/>
      </w:pPr>
    </w:p>
    <w:p w:rsidR="00D84934" w:rsidRPr="0066049E" w:rsidRDefault="00D84934" w:rsidP="0066049E">
      <w:pPr>
        <w:pStyle w:val="Heading2"/>
        <w:rPr>
          <w:rFonts w:cs="Arial"/>
          <w:b w:val="0"/>
          <w:szCs w:val="22"/>
        </w:rPr>
      </w:pPr>
      <w:r w:rsidRPr="0066049E">
        <w:rPr>
          <w:rFonts w:cs="Arial"/>
          <w:b w:val="0"/>
          <w:szCs w:val="22"/>
        </w:rPr>
        <w:t>Clinical trials</w:t>
      </w:r>
    </w:p>
    <w:p w:rsidR="00397CEB" w:rsidRPr="00397CEB" w:rsidRDefault="00397CEB" w:rsidP="00397CEB">
      <w:pPr>
        <w:jc w:val="both"/>
        <w:rPr>
          <w:rFonts w:ascii="Arial" w:hAnsi="Arial"/>
          <w:sz w:val="22"/>
          <w:szCs w:val="22"/>
        </w:rPr>
      </w:pPr>
    </w:p>
    <w:p w:rsidR="00397CEB" w:rsidRPr="00397CEB" w:rsidRDefault="00397CEB" w:rsidP="00F52282">
      <w:pPr>
        <w:pStyle w:val="ListParagraph"/>
        <w:numPr>
          <w:ilvl w:val="1"/>
          <w:numId w:val="1"/>
        </w:numPr>
        <w:jc w:val="both"/>
        <w:rPr>
          <w:rFonts w:ascii="Arial" w:hAnsi="Arial" w:cs="Arial"/>
          <w:i/>
          <w:iCs/>
          <w:sz w:val="22"/>
          <w:szCs w:val="22"/>
        </w:rPr>
      </w:pPr>
      <w:r w:rsidRPr="00397CEB">
        <w:rPr>
          <w:rFonts w:ascii="Arial" w:hAnsi="Arial" w:cs="Arial"/>
          <w:sz w:val="22"/>
          <w:szCs w:val="22"/>
        </w:rPr>
        <w:t xml:space="preserve">The </w:t>
      </w:r>
      <w:r w:rsidR="00CC22C1">
        <w:rPr>
          <w:rFonts w:ascii="Arial" w:hAnsi="Arial" w:cs="Arial"/>
          <w:sz w:val="22"/>
          <w:szCs w:val="22"/>
        </w:rPr>
        <w:t>original</w:t>
      </w:r>
      <w:r w:rsidRPr="00397CEB">
        <w:rPr>
          <w:rFonts w:ascii="Arial" w:hAnsi="Arial" w:cs="Arial"/>
          <w:sz w:val="22"/>
          <w:szCs w:val="22"/>
        </w:rPr>
        <w:t xml:space="preserve"> subm</w:t>
      </w:r>
      <w:r w:rsidR="009920A4">
        <w:rPr>
          <w:rFonts w:ascii="Arial" w:hAnsi="Arial" w:cs="Arial"/>
          <w:sz w:val="22"/>
          <w:szCs w:val="22"/>
        </w:rPr>
        <w:t>ission was based on two placebo-</w:t>
      </w:r>
      <w:r w:rsidRPr="00397CEB">
        <w:rPr>
          <w:rFonts w:ascii="Arial" w:hAnsi="Arial" w:cs="Arial"/>
          <w:sz w:val="22"/>
          <w:szCs w:val="22"/>
        </w:rPr>
        <w:t>controlled trials of ustekinumab (PSUMMIT-1</w:t>
      </w:r>
      <w:r w:rsidR="009920A4">
        <w:rPr>
          <w:rFonts w:ascii="Arial" w:hAnsi="Arial" w:cs="Arial"/>
          <w:sz w:val="22"/>
          <w:szCs w:val="22"/>
        </w:rPr>
        <w:t xml:space="preserve"> and PSUMMIT-2) and two placebo-</w:t>
      </w:r>
      <w:r w:rsidRPr="00397CEB">
        <w:rPr>
          <w:rFonts w:ascii="Arial" w:hAnsi="Arial" w:cs="Arial"/>
          <w:sz w:val="22"/>
          <w:szCs w:val="22"/>
        </w:rPr>
        <w:t>controlled trials of adalimumab (ADEPT trial and Geno</w:t>
      </w:r>
      <w:r>
        <w:rPr>
          <w:rFonts w:ascii="Arial" w:hAnsi="Arial" w:cs="Arial"/>
          <w:sz w:val="22"/>
          <w:szCs w:val="22"/>
        </w:rPr>
        <w:t>vese 2007).  While the minor re</w:t>
      </w:r>
      <w:r w:rsidRPr="00397CEB">
        <w:rPr>
          <w:rFonts w:ascii="Arial" w:hAnsi="Arial" w:cs="Arial"/>
          <w:sz w:val="22"/>
          <w:szCs w:val="22"/>
        </w:rPr>
        <w:t>submission did not include any new clinical trials for ustekinumab and adalimumab, the efficacy results from</w:t>
      </w:r>
      <w:r w:rsidR="009920A4">
        <w:rPr>
          <w:rFonts w:ascii="Arial" w:hAnsi="Arial" w:cs="Arial"/>
          <w:sz w:val="22"/>
          <w:szCs w:val="22"/>
        </w:rPr>
        <w:t xml:space="preserve"> one placebo-</w:t>
      </w:r>
      <w:r w:rsidRPr="00397CEB">
        <w:rPr>
          <w:rFonts w:ascii="Arial" w:hAnsi="Arial" w:cs="Arial"/>
          <w:sz w:val="22"/>
          <w:szCs w:val="22"/>
        </w:rPr>
        <w:t>controlled trial of certolizumab were additionally presented to provide evidence for the additional comparator</w:t>
      </w:r>
      <w:r w:rsidR="00095F74">
        <w:rPr>
          <w:rFonts w:ascii="Arial" w:hAnsi="Arial" w:cs="Arial"/>
          <w:sz w:val="22"/>
          <w:szCs w:val="22"/>
        </w:rPr>
        <w:t>.  This trial</w:t>
      </w:r>
      <w:r w:rsidRPr="00397CEB">
        <w:rPr>
          <w:rFonts w:ascii="Arial" w:hAnsi="Arial" w:cs="Arial"/>
          <w:sz w:val="22"/>
          <w:szCs w:val="22"/>
        </w:rPr>
        <w:t xml:space="preserve"> has previously been considered by the PBAC (PBAC Public Summary Document for certolizumab, November 2014)</w:t>
      </w:r>
      <w:r w:rsidR="00B45BEA">
        <w:rPr>
          <w:rFonts w:ascii="Arial" w:hAnsi="Arial" w:cs="Arial"/>
          <w:sz w:val="22"/>
          <w:szCs w:val="22"/>
        </w:rPr>
        <w:t>.</w:t>
      </w:r>
    </w:p>
    <w:p w:rsidR="00397CEB" w:rsidRPr="004245B6" w:rsidRDefault="00397CEB" w:rsidP="00C81299">
      <w:pPr>
        <w:spacing w:line="720" w:lineRule="auto"/>
        <w:rPr>
          <w:rFonts w:ascii="Arial" w:hAnsi="Arial" w:cs="Arial"/>
          <w:iCs/>
          <w:sz w:val="22"/>
          <w:szCs w:val="22"/>
        </w:rPr>
      </w:pPr>
    </w:p>
    <w:p w:rsidR="00397CEB" w:rsidRPr="00C51728" w:rsidRDefault="00397CEB" w:rsidP="00397CEB">
      <w:pPr>
        <w:pStyle w:val="TableHeader"/>
        <w:ind w:firstLine="720"/>
        <w:rPr>
          <w:rFonts w:ascii="Arial Narrow" w:hAnsi="Arial Narrow"/>
        </w:rPr>
      </w:pPr>
      <w:r w:rsidRPr="00C51728">
        <w:rPr>
          <w:rFonts w:ascii="Arial Narrow" w:hAnsi="Arial Narrow"/>
        </w:rPr>
        <w:t>Certolizumab trial presented in the minor resubmission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41"/>
        <w:gridCol w:w="4984"/>
        <w:gridCol w:w="2020"/>
      </w:tblGrid>
      <w:tr w:rsidR="00397CEB" w:rsidRPr="00C73C47" w:rsidTr="00CC22C1">
        <w:trPr>
          <w:tblHeader/>
        </w:trPr>
        <w:tc>
          <w:tcPr>
            <w:tcW w:w="1341" w:type="dxa"/>
            <w:shd w:val="clear" w:color="auto" w:fill="auto"/>
          </w:tcPr>
          <w:p w:rsidR="00397CEB" w:rsidRPr="00C73C47" w:rsidRDefault="00397CEB" w:rsidP="00CC22C1">
            <w:pPr>
              <w:rPr>
                <w:rFonts w:ascii="Arial Narrow" w:hAnsi="Arial Narrow"/>
                <w:b/>
                <w:sz w:val="20"/>
              </w:rPr>
            </w:pPr>
            <w:r w:rsidRPr="00C73C47">
              <w:rPr>
                <w:rFonts w:ascii="Arial Narrow" w:hAnsi="Arial Narrow"/>
                <w:b/>
                <w:sz w:val="20"/>
              </w:rPr>
              <w:t>Trial IDs</w:t>
            </w:r>
          </w:p>
        </w:tc>
        <w:tc>
          <w:tcPr>
            <w:tcW w:w="4984" w:type="dxa"/>
            <w:shd w:val="clear" w:color="auto" w:fill="auto"/>
          </w:tcPr>
          <w:p w:rsidR="00397CEB" w:rsidRPr="00C73C47" w:rsidRDefault="00397CEB" w:rsidP="00CC22C1">
            <w:pPr>
              <w:rPr>
                <w:rFonts w:ascii="Arial Narrow" w:hAnsi="Arial Narrow"/>
                <w:b/>
                <w:sz w:val="20"/>
              </w:rPr>
            </w:pPr>
            <w:r w:rsidRPr="00C73C47">
              <w:rPr>
                <w:rFonts w:ascii="Arial Narrow" w:hAnsi="Arial Narrow"/>
                <w:b/>
                <w:sz w:val="20"/>
              </w:rPr>
              <w:t>Protocol title/Publication title</w:t>
            </w:r>
          </w:p>
        </w:tc>
        <w:tc>
          <w:tcPr>
            <w:tcW w:w="2020" w:type="dxa"/>
          </w:tcPr>
          <w:p w:rsidR="00397CEB" w:rsidRPr="00C73C47" w:rsidRDefault="00397CEB" w:rsidP="00CC22C1">
            <w:pPr>
              <w:rPr>
                <w:rFonts w:ascii="Arial Narrow" w:hAnsi="Arial Narrow"/>
                <w:b/>
                <w:sz w:val="20"/>
              </w:rPr>
            </w:pPr>
            <w:r w:rsidRPr="00C73C47">
              <w:rPr>
                <w:rFonts w:ascii="Arial Narrow" w:hAnsi="Arial Narrow"/>
                <w:b/>
                <w:sz w:val="20"/>
              </w:rPr>
              <w:t>Publication citation</w:t>
            </w:r>
          </w:p>
        </w:tc>
      </w:tr>
      <w:tr w:rsidR="009920A4" w:rsidRPr="00C73C47" w:rsidTr="009920A4">
        <w:trPr>
          <w:trHeight w:val="928"/>
        </w:trPr>
        <w:tc>
          <w:tcPr>
            <w:tcW w:w="1341" w:type="dxa"/>
            <w:shd w:val="clear" w:color="auto" w:fill="auto"/>
          </w:tcPr>
          <w:p w:rsidR="009920A4" w:rsidRPr="00C73C47" w:rsidRDefault="009920A4" w:rsidP="00CC22C1">
            <w:pPr>
              <w:rPr>
                <w:rFonts w:ascii="Arial Narrow" w:hAnsi="Arial Narrow"/>
                <w:b/>
                <w:sz w:val="20"/>
              </w:rPr>
            </w:pPr>
            <w:r w:rsidRPr="00C73C47">
              <w:rPr>
                <w:rFonts w:ascii="Arial Narrow" w:hAnsi="Arial Narrow"/>
                <w:b/>
                <w:sz w:val="20"/>
              </w:rPr>
              <w:t>RAPID-PsA</w:t>
            </w:r>
          </w:p>
          <w:p w:rsidR="009920A4" w:rsidRPr="00C73C47" w:rsidRDefault="009920A4" w:rsidP="00CC22C1">
            <w:pPr>
              <w:rPr>
                <w:rFonts w:ascii="Arial Narrow" w:hAnsi="Arial Narrow"/>
                <w:sz w:val="20"/>
              </w:rPr>
            </w:pPr>
            <w:r w:rsidRPr="00C73C47">
              <w:rPr>
                <w:rFonts w:ascii="Arial Narrow" w:hAnsi="Arial Narrow"/>
                <w:sz w:val="20"/>
              </w:rPr>
              <w:t>PSA001</w:t>
            </w:r>
          </w:p>
          <w:p w:rsidR="009920A4" w:rsidRPr="00C73C47" w:rsidRDefault="009920A4" w:rsidP="00CC22C1">
            <w:pPr>
              <w:rPr>
                <w:rFonts w:ascii="Arial Narrow" w:hAnsi="Arial Narrow"/>
                <w:sz w:val="20"/>
              </w:rPr>
            </w:pPr>
            <w:r w:rsidRPr="00C73C47">
              <w:rPr>
                <w:rFonts w:ascii="Arial Narrow" w:hAnsi="Arial Narrow"/>
                <w:sz w:val="20"/>
              </w:rPr>
              <w:t>NCT01087788</w:t>
            </w:r>
          </w:p>
        </w:tc>
        <w:tc>
          <w:tcPr>
            <w:tcW w:w="4984" w:type="dxa"/>
            <w:shd w:val="clear" w:color="auto" w:fill="auto"/>
          </w:tcPr>
          <w:p w:rsidR="009920A4" w:rsidRPr="00C73C47" w:rsidRDefault="009920A4" w:rsidP="009920A4">
            <w:pPr>
              <w:rPr>
                <w:rFonts w:ascii="Arial Narrow" w:hAnsi="Arial Narrow"/>
                <w:sz w:val="20"/>
              </w:rPr>
            </w:pPr>
            <w:r w:rsidRPr="00C73C47">
              <w:rPr>
                <w:rFonts w:ascii="Arial Narrow" w:hAnsi="Arial Narrow"/>
                <w:sz w:val="20"/>
              </w:rPr>
              <w:t>Mease</w:t>
            </w:r>
            <w:r>
              <w:rPr>
                <w:rFonts w:ascii="Arial Narrow" w:hAnsi="Arial Narrow"/>
                <w:sz w:val="20"/>
              </w:rPr>
              <w:t xml:space="preserve">, P, Fleischmann, R, et al. </w:t>
            </w:r>
            <w:r w:rsidRPr="00C73C47">
              <w:rPr>
                <w:rFonts w:ascii="Arial Narrow" w:hAnsi="Arial Narrow"/>
                <w:sz w:val="20"/>
              </w:rPr>
              <w:t xml:space="preserve"> Effect of certolizumab pegol on signs and symptoms in patients with psoriatic arthritis: 24-week results of a Phase 3 double-blind randomised placebo-controlled study (RAPID-PsA).</w:t>
            </w:r>
          </w:p>
        </w:tc>
        <w:tc>
          <w:tcPr>
            <w:tcW w:w="2020" w:type="dxa"/>
          </w:tcPr>
          <w:p w:rsidR="009920A4" w:rsidRPr="00C73C47" w:rsidRDefault="009920A4" w:rsidP="009920A4">
            <w:pPr>
              <w:rPr>
                <w:rFonts w:ascii="Arial Narrow" w:hAnsi="Arial Narrow"/>
                <w:sz w:val="20"/>
              </w:rPr>
            </w:pPr>
            <w:r w:rsidRPr="00C73C47">
              <w:rPr>
                <w:rFonts w:ascii="Arial Narrow" w:hAnsi="Arial Narrow"/>
                <w:sz w:val="20"/>
              </w:rPr>
              <w:t>Ann Rheum Dis</w:t>
            </w:r>
            <w:r>
              <w:rPr>
                <w:rFonts w:ascii="Arial Narrow" w:hAnsi="Arial Narrow"/>
                <w:sz w:val="20"/>
              </w:rPr>
              <w:t xml:space="preserve"> 2014;</w:t>
            </w:r>
            <w:r w:rsidRPr="00C73C47">
              <w:rPr>
                <w:rFonts w:ascii="Arial Narrow" w:hAnsi="Arial Narrow"/>
                <w:sz w:val="20"/>
              </w:rPr>
              <w:t xml:space="preserve"> 73:48-55.</w:t>
            </w:r>
          </w:p>
        </w:tc>
      </w:tr>
    </w:tbl>
    <w:p w:rsidR="00397CEB" w:rsidRPr="00922051" w:rsidRDefault="00397CEB" w:rsidP="00397CEB">
      <w:pPr>
        <w:pStyle w:val="tablenotes"/>
        <w:ind w:firstLine="720"/>
        <w:rPr>
          <w:rFonts w:ascii="Arial Narrow" w:hAnsi="Arial Narrow"/>
          <w:sz w:val="18"/>
          <w:szCs w:val="18"/>
        </w:rPr>
      </w:pPr>
      <w:r w:rsidRPr="00922051">
        <w:rPr>
          <w:rFonts w:ascii="Arial Narrow" w:hAnsi="Arial Narrow"/>
          <w:sz w:val="18"/>
          <w:szCs w:val="18"/>
        </w:rPr>
        <w:t>Source: November 2014 PBAC Public Summary Document for certolizumab</w:t>
      </w:r>
    </w:p>
    <w:p w:rsidR="00D84934" w:rsidRPr="009920A4" w:rsidRDefault="00D84934" w:rsidP="00397CEB">
      <w:pPr>
        <w:jc w:val="both"/>
        <w:rPr>
          <w:rFonts w:ascii="Arial" w:hAnsi="Arial"/>
          <w:sz w:val="22"/>
          <w:szCs w:val="22"/>
        </w:rPr>
      </w:pPr>
    </w:p>
    <w:p w:rsidR="005A3173" w:rsidRPr="0066049E" w:rsidRDefault="005A3173" w:rsidP="0066049E">
      <w:pPr>
        <w:pStyle w:val="Heading2"/>
        <w:rPr>
          <w:rFonts w:cs="Arial"/>
          <w:b w:val="0"/>
        </w:rPr>
      </w:pPr>
      <w:r w:rsidRPr="0066049E">
        <w:rPr>
          <w:rFonts w:cs="Arial"/>
          <w:b w:val="0"/>
        </w:rPr>
        <w:t>Comparative effectiveness</w:t>
      </w:r>
    </w:p>
    <w:p w:rsidR="005A3173" w:rsidRPr="00882085" w:rsidRDefault="005A3173" w:rsidP="00882085">
      <w:pPr>
        <w:jc w:val="both"/>
        <w:rPr>
          <w:rFonts w:ascii="Arial" w:hAnsi="Arial"/>
          <w:sz w:val="22"/>
          <w:szCs w:val="22"/>
        </w:rPr>
      </w:pPr>
    </w:p>
    <w:p w:rsidR="009B0F67" w:rsidRPr="00B45BEA" w:rsidRDefault="00B45BEA" w:rsidP="00F52282">
      <w:pPr>
        <w:pStyle w:val="ListParagraph"/>
        <w:numPr>
          <w:ilvl w:val="1"/>
          <w:numId w:val="1"/>
        </w:numPr>
        <w:jc w:val="both"/>
        <w:rPr>
          <w:rFonts w:ascii="Arial" w:hAnsi="Arial" w:cs="Arial"/>
          <w:sz w:val="22"/>
          <w:szCs w:val="22"/>
        </w:rPr>
      </w:pPr>
      <w:r w:rsidRPr="00B45BEA">
        <w:rPr>
          <w:rFonts w:ascii="Arial" w:hAnsi="Arial" w:cs="Arial"/>
          <w:sz w:val="22"/>
          <w:szCs w:val="22"/>
        </w:rPr>
        <w:t xml:space="preserve">The PBAC previously accepted </w:t>
      </w:r>
      <w:r w:rsidR="009920A4">
        <w:rPr>
          <w:rFonts w:ascii="Arial" w:hAnsi="Arial" w:cs="Arial"/>
          <w:sz w:val="22"/>
          <w:szCs w:val="22"/>
        </w:rPr>
        <w:t xml:space="preserve">the </w:t>
      </w:r>
      <w:r w:rsidRPr="00B45BEA">
        <w:rPr>
          <w:rFonts w:ascii="Arial" w:hAnsi="Arial" w:cs="Arial"/>
          <w:sz w:val="22"/>
          <w:szCs w:val="22"/>
        </w:rPr>
        <w:t>ACR50 response as the most relevant outcome for assessing</w:t>
      </w:r>
      <w:r w:rsidR="009920A4">
        <w:rPr>
          <w:rFonts w:ascii="Arial" w:hAnsi="Arial" w:cs="Arial"/>
          <w:sz w:val="22"/>
          <w:szCs w:val="22"/>
        </w:rPr>
        <w:t xml:space="preserve"> response to treatment for PsA.</w:t>
      </w:r>
    </w:p>
    <w:p w:rsidR="00882839" w:rsidRPr="00882839" w:rsidRDefault="00882839" w:rsidP="00882839">
      <w:pPr>
        <w:jc w:val="both"/>
        <w:rPr>
          <w:rFonts w:ascii="Arial" w:hAnsi="Arial" w:cs="Arial"/>
          <w:sz w:val="22"/>
          <w:szCs w:val="22"/>
        </w:rPr>
      </w:pPr>
    </w:p>
    <w:p w:rsidR="002A6F27" w:rsidRPr="00200882" w:rsidRDefault="00CC22C1" w:rsidP="00F52282">
      <w:pPr>
        <w:pStyle w:val="ListParagraph"/>
        <w:numPr>
          <w:ilvl w:val="1"/>
          <w:numId w:val="1"/>
        </w:numPr>
        <w:jc w:val="both"/>
        <w:rPr>
          <w:rFonts w:ascii="Arial" w:hAnsi="Arial" w:cs="Arial"/>
          <w:sz w:val="22"/>
          <w:szCs w:val="22"/>
        </w:rPr>
      </w:pPr>
      <w:r>
        <w:rPr>
          <w:rFonts w:ascii="Arial" w:hAnsi="Arial" w:cs="Arial"/>
          <w:sz w:val="22"/>
          <w:szCs w:val="22"/>
        </w:rPr>
        <w:t>Table 1 (</w:t>
      </w:r>
      <w:r w:rsidR="002A6F27" w:rsidRPr="00200882">
        <w:rPr>
          <w:rFonts w:ascii="Arial" w:hAnsi="Arial" w:cs="Arial"/>
          <w:sz w:val="22"/>
          <w:szCs w:val="22"/>
        </w:rPr>
        <w:t>p15</w:t>
      </w:r>
      <w:r>
        <w:rPr>
          <w:rFonts w:ascii="Arial" w:hAnsi="Arial" w:cs="Arial"/>
          <w:sz w:val="22"/>
          <w:szCs w:val="22"/>
        </w:rPr>
        <w:t>)</w:t>
      </w:r>
      <w:r w:rsidR="002A6F27" w:rsidRPr="00200882">
        <w:rPr>
          <w:rFonts w:ascii="Arial" w:hAnsi="Arial" w:cs="Arial"/>
          <w:sz w:val="22"/>
          <w:szCs w:val="22"/>
        </w:rPr>
        <w:t xml:space="preserve"> of the minor resubmission presented indirect comparisons of </w:t>
      </w:r>
      <w:r w:rsidR="00106625">
        <w:rPr>
          <w:rFonts w:ascii="Arial" w:hAnsi="Arial" w:cs="Arial"/>
          <w:sz w:val="22"/>
          <w:szCs w:val="22"/>
        </w:rPr>
        <w:t>ustekinumab (</w:t>
      </w:r>
      <w:r w:rsidR="002A6F27" w:rsidRPr="00200882">
        <w:rPr>
          <w:rFonts w:ascii="Arial" w:hAnsi="Arial" w:cs="Arial"/>
          <w:sz w:val="22"/>
          <w:szCs w:val="22"/>
        </w:rPr>
        <w:t>UST</w:t>
      </w:r>
      <w:r w:rsidR="00106625">
        <w:rPr>
          <w:rFonts w:ascii="Arial" w:hAnsi="Arial" w:cs="Arial"/>
          <w:sz w:val="22"/>
          <w:szCs w:val="22"/>
        </w:rPr>
        <w:t>)</w:t>
      </w:r>
      <w:r w:rsidR="002A6F27" w:rsidRPr="00200882">
        <w:rPr>
          <w:rFonts w:ascii="Arial" w:hAnsi="Arial" w:cs="Arial"/>
          <w:sz w:val="22"/>
          <w:szCs w:val="22"/>
        </w:rPr>
        <w:t xml:space="preserve"> (at 24 weeks) to </w:t>
      </w:r>
      <w:r w:rsidR="00106625">
        <w:rPr>
          <w:rFonts w:ascii="Arial" w:hAnsi="Arial" w:cs="Arial"/>
          <w:sz w:val="22"/>
          <w:szCs w:val="22"/>
        </w:rPr>
        <w:t>adalimumab (</w:t>
      </w:r>
      <w:r w:rsidR="002A6F27" w:rsidRPr="00200882">
        <w:rPr>
          <w:rFonts w:ascii="Arial" w:hAnsi="Arial" w:cs="Arial"/>
          <w:sz w:val="22"/>
          <w:szCs w:val="22"/>
        </w:rPr>
        <w:t>ADA</w:t>
      </w:r>
      <w:r w:rsidR="00106625">
        <w:rPr>
          <w:rFonts w:ascii="Arial" w:hAnsi="Arial" w:cs="Arial"/>
          <w:sz w:val="22"/>
          <w:szCs w:val="22"/>
        </w:rPr>
        <w:t>)</w:t>
      </w:r>
      <w:r w:rsidR="002A6F27" w:rsidRPr="00200882">
        <w:rPr>
          <w:rFonts w:ascii="Arial" w:hAnsi="Arial" w:cs="Arial"/>
          <w:sz w:val="22"/>
          <w:szCs w:val="22"/>
        </w:rPr>
        <w:t xml:space="preserve"> (at 12 weeks) and </w:t>
      </w:r>
      <w:r w:rsidR="00106625">
        <w:rPr>
          <w:rFonts w:ascii="Arial" w:hAnsi="Arial" w:cs="Arial"/>
          <w:sz w:val="22"/>
          <w:szCs w:val="22"/>
        </w:rPr>
        <w:t>certolizumab (</w:t>
      </w:r>
      <w:r w:rsidR="002A6F27" w:rsidRPr="00200882">
        <w:rPr>
          <w:rFonts w:ascii="Arial" w:hAnsi="Arial" w:cs="Arial"/>
          <w:sz w:val="22"/>
          <w:szCs w:val="22"/>
        </w:rPr>
        <w:t>CZP</w:t>
      </w:r>
      <w:r w:rsidR="00106625">
        <w:rPr>
          <w:rFonts w:ascii="Arial" w:hAnsi="Arial" w:cs="Arial"/>
          <w:sz w:val="22"/>
          <w:szCs w:val="22"/>
        </w:rPr>
        <w:t>)</w:t>
      </w:r>
      <w:r w:rsidR="002A6F27" w:rsidRPr="00200882">
        <w:rPr>
          <w:rFonts w:ascii="Arial" w:hAnsi="Arial" w:cs="Arial"/>
          <w:sz w:val="22"/>
          <w:szCs w:val="22"/>
        </w:rPr>
        <w:t xml:space="preserve"> (at 12 weeks) for the outcome of ACR50</w:t>
      </w:r>
      <w:r w:rsidR="00D835F9">
        <w:rPr>
          <w:rStyle w:val="FootnoteReference"/>
          <w:rFonts w:ascii="Arial" w:hAnsi="Arial" w:cs="Arial"/>
          <w:sz w:val="22"/>
          <w:szCs w:val="22"/>
        </w:rPr>
        <w:footnoteReference w:id="1"/>
      </w:r>
      <w:r w:rsidR="00ED09A4">
        <w:rPr>
          <w:rFonts w:ascii="Arial" w:hAnsi="Arial" w:cs="Arial"/>
          <w:sz w:val="22"/>
          <w:szCs w:val="22"/>
        </w:rPr>
        <w:t xml:space="preserve"> in tumour necrosis factor-α (TNF-α) inhibitor </w:t>
      </w:r>
      <w:r w:rsidR="002A6F27" w:rsidRPr="00200882">
        <w:rPr>
          <w:rFonts w:ascii="Arial" w:hAnsi="Arial" w:cs="Arial"/>
          <w:sz w:val="22"/>
          <w:szCs w:val="22"/>
        </w:rPr>
        <w:t>naïve patients. Two points of concern about the indirect comparisons were that:</w:t>
      </w:r>
    </w:p>
    <w:p w:rsidR="002A6F27" w:rsidRPr="00200882" w:rsidRDefault="002A6F27" w:rsidP="00F52282">
      <w:pPr>
        <w:pStyle w:val="ListParagraph"/>
        <w:widowControl w:val="0"/>
        <w:numPr>
          <w:ilvl w:val="0"/>
          <w:numId w:val="4"/>
        </w:numPr>
        <w:snapToGrid w:val="0"/>
        <w:jc w:val="both"/>
        <w:rPr>
          <w:rFonts w:ascii="Arial" w:hAnsi="Arial" w:cs="Arial"/>
          <w:sz w:val="22"/>
          <w:szCs w:val="22"/>
        </w:rPr>
      </w:pPr>
      <w:r w:rsidRPr="00200882">
        <w:rPr>
          <w:rFonts w:ascii="Arial" w:hAnsi="Arial" w:cs="Arial"/>
          <w:sz w:val="22"/>
          <w:szCs w:val="22"/>
        </w:rPr>
        <w:t>The comparison use</w:t>
      </w:r>
      <w:r w:rsidR="009920A4">
        <w:rPr>
          <w:rFonts w:ascii="Arial" w:hAnsi="Arial" w:cs="Arial"/>
          <w:sz w:val="22"/>
          <w:szCs w:val="22"/>
        </w:rPr>
        <w:t>d</w:t>
      </w:r>
      <w:r w:rsidRPr="00200882">
        <w:rPr>
          <w:rFonts w:ascii="Arial" w:hAnsi="Arial" w:cs="Arial"/>
          <w:sz w:val="22"/>
          <w:szCs w:val="22"/>
        </w:rPr>
        <w:t xml:space="preserve"> data for UST at 24 weeks and ADA and CZP at 12 weeks. The primary outcome in the UST trials was ACR20 at 24 weeks, which is consistent with the proposed PBS restriction, indicating that assessment of the patient's response to the initial course of treatment must be made after at least 24 weeks so that there is adequate time for a response to be demonstrated, co</w:t>
      </w:r>
      <w:r w:rsidR="009920A4">
        <w:rPr>
          <w:rFonts w:ascii="Arial" w:hAnsi="Arial" w:cs="Arial"/>
          <w:sz w:val="22"/>
          <w:szCs w:val="22"/>
        </w:rPr>
        <w:t>mpared to assessment of patient’s</w:t>
      </w:r>
      <w:r w:rsidRPr="00200882">
        <w:rPr>
          <w:rFonts w:ascii="Arial" w:hAnsi="Arial" w:cs="Arial"/>
          <w:sz w:val="22"/>
          <w:szCs w:val="22"/>
        </w:rPr>
        <w:t xml:space="preserve"> response on CZP or ADA at 12 weeks. </w:t>
      </w:r>
      <w:r w:rsidRPr="002A6F27">
        <w:rPr>
          <w:rFonts w:ascii="Arial" w:hAnsi="Arial" w:cs="Arial"/>
          <w:sz w:val="22"/>
          <w:szCs w:val="22"/>
        </w:rPr>
        <w:t>Publications for the UST trials present</w:t>
      </w:r>
      <w:r w:rsidR="009920A4">
        <w:rPr>
          <w:rFonts w:ascii="Arial" w:hAnsi="Arial" w:cs="Arial"/>
          <w:sz w:val="22"/>
          <w:szCs w:val="22"/>
        </w:rPr>
        <w:t>ed</w:t>
      </w:r>
      <w:r w:rsidRPr="002A6F27">
        <w:rPr>
          <w:rFonts w:ascii="Arial" w:hAnsi="Arial" w:cs="Arial"/>
          <w:sz w:val="22"/>
          <w:szCs w:val="22"/>
        </w:rPr>
        <w:t xml:space="preserve"> ACR20 response over time (</w:t>
      </w:r>
      <w:r w:rsidR="00734E10" w:rsidRPr="00734E10">
        <w:rPr>
          <w:rFonts w:ascii="Arial" w:hAnsi="Arial"/>
          <w:sz w:val="22"/>
        </w:rPr>
        <w:t>Figure 1</w:t>
      </w:r>
      <w:r w:rsidRPr="002A6F27">
        <w:rPr>
          <w:rFonts w:ascii="Arial" w:hAnsi="Arial" w:cs="Arial"/>
          <w:sz w:val="22"/>
          <w:szCs w:val="22"/>
        </w:rPr>
        <w:t xml:space="preserve">) and in both studies, the response rates </w:t>
      </w:r>
      <w:r w:rsidR="009920A4">
        <w:rPr>
          <w:rFonts w:ascii="Arial" w:hAnsi="Arial" w:cs="Arial"/>
          <w:sz w:val="22"/>
          <w:szCs w:val="22"/>
        </w:rPr>
        <w:t>across</w:t>
      </w:r>
      <w:r w:rsidRPr="002A6F27">
        <w:rPr>
          <w:rFonts w:ascii="Arial" w:hAnsi="Arial" w:cs="Arial"/>
          <w:sz w:val="22"/>
          <w:szCs w:val="22"/>
        </w:rPr>
        <w:t xml:space="preserve"> all patients were similar at 12 and 24 weeks for the recommended 45</w:t>
      </w:r>
      <w:r w:rsidR="00543496">
        <w:rPr>
          <w:rFonts w:ascii="Arial" w:hAnsi="Arial" w:cs="Arial"/>
          <w:sz w:val="22"/>
          <w:szCs w:val="22"/>
        </w:rPr>
        <w:t> </w:t>
      </w:r>
      <w:r w:rsidRPr="002A6F27">
        <w:rPr>
          <w:rFonts w:ascii="Arial" w:hAnsi="Arial" w:cs="Arial"/>
          <w:sz w:val="22"/>
          <w:szCs w:val="22"/>
        </w:rPr>
        <w:t>mg dose. Assessment of patient response at 24 weeks as opposed to 12 weeks may have been justified based o</w:t>
      </w:r>
      <w:r w:rsidR="00D835F9">
        <w:rPr>
          <w:rFonts w:ascii="Arial" w:hAnsi="Arial" w:cs="Arial"/>
          <w:sz w:val="22"/>
          <w:szCs w:val="22"/>
        </w:rPr>
        <w:t xml:space="preserve">n subgroup results observed in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 xml:space="preserve">naïve patients enrolled in PSUMMIT-2, in which response rates increased between weeks 12 and 24 by 10-15%. However, this was not observed in the PSUMMIT-1 trial which only enrolled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naïve patients. Response rate curves were not presented for ACR50.</w:t>
      </w:r>
    </w:p>
    <w:p w:rsidR="002A6F27" w:rsidRPr="00200882" w:rsidRDefault="002A6F27" w:rsidP="00F52282">
      <w:pPr>
        <w:pStyle w:val="ListParagraph"/>
        <w:widowControl w:val="0"/>
        <w:numPr>
          <w:ilvl w:val="0"/>
          <w:numId w:val="4"/>
        </w:numPr>
        <w:snapToGrid w:val="0"/>
        <w:jc w:val="both"/>
        <w:rPr>
          <w:rFonts w:ascii="Arial" w:hAnsi="Arial" w:cs="Arial"/>
          <w:sz w:val="22"/>
          <w:szCs w:val="22"/>
        </w:rPr>
      </w:pPr>
      <w:r w:rsidRPr="00200882">
        <w:rPr>
          <w:rFonts w:ascii="Arial" w:hAnsi="Arial" w:cs="Arial"/>
          <w:sz w:val="22"/>
          <w:szCs w:val="22"/>
        </w:rPr>
        <w:t xml:space="preserve">That results included in the meta-analysis of UST trials included all patients enrolled in the PSUMMIT-2, rather than restricted to </w:t>
      </w:r>
      <w:r w:rsidR="009A720F">
        <w:rPr>
          <w:rFonts w:ascii="Arial" w:hAnsi="Arial" w:cs="Arial"/>
          <w:sz w:val="22"/>
          <w:szCs w:val="22"/>
        </w:rPr>
        <w:t>TNF-α</w:t>
      </w:r>
      <w:r w:rsidR="009A720F" w:rsidRPr="00200882">
        <w:rPr>
          <w:rFonts w:ascii="Arial" w:hAnsi="Arial" w:cs="Arial"/>
          <w:sz w:val="22"/>
          <w:szCs w:val="22"/>
        </w:rPr>
        <w:t xml:space="preserve"> </w:t>
      </w:r>
      <w:r w:rsidRPr="00200882">
        <w:rPr>
          <w:rFonts w:ascii="Arial" w:hAnsi="Arial" w:cs="Arial"/>
          <w:sz w:val="22"/>
          <w:szCs w:val="22"/>
        </w:rPr>
        <w:t>naïve patients, as for the ADA and CZP data included in the analyses and in previous considerations of bDMARDs (including CZP) in psoriatic arthritis to the PBAC.</w:t>
      </w:r>
    </w:p>
    <w:p w:rsidR="002A6F27" w:rsidRPr="004245B6" w:rsidRDefault="002A6F27" w:rsidP="002A6F27">
      <w:pPr>
        <w:rPr>
          <w:rFonts w:ascii="Arial" w:hAnsi="Arial" w:cs="Arial"/>
          <w:sz w:val="22"/>
          <w:szCs w:val="22"/>
        </w:rPr>
      </w:pPr>
    </w:p>
    <w:p w:rsidR="002A6F27" w:rsidRPr="002A6F27" w:rsidRDefault="002A6F27" w:rsidP="00F52282">
      <w:pPr>
        <w:keepNext/>
        <w:ind w:firstLine="720"/>
        <w:rPr>
          <w:rStyle w:val="CommentReference"/>
          <w:rFonts w:ascii="Arial Narrow" w:hAnsi="Arial Narrow" w:cs="Arial"/>
          <w:b/>
          <w:sz w:val="20"/>
          <w:szCs w:val="22"/>
        </w:rPr>
      </w:pPr>
      <w:bookmarkStart w:id="0" w:name="_Ref429412681"/>
      <w:r w:rsidRPr="002A6F27">
        <w:rPr>
          <w:rStyle w:val="CommentReference"/>
          <w:rFonts w:ascii="Arial Narrow" w:hAnsi="Arial Narrow" w:cs="Arial"/>
          <w:b/>
          <w:sz w:val="20"/>
          <w:szCs w:val="22"/>
        </w:rPr>
        <w:lastRenderedPageBreak/>
        <w:t xml:space="preserve">Figure </w:t>
      </w:r>
      <w:r w:rsidR="00734E10">
        <w:rPr>
          <w:rStyle w:val="CommentReference"/>
          <w:rFonts w:ascii="Arial Narrow" w:hAnsi="Arial Narrow" w:cs="Arial"/>
          <w:b/>
          <w:noProof/>
          <w:sz w:val="20"/>
          <w:szCs w:val="22"/>
        </w:rPr>
        <w:t>1</w:t>
      </w:r>
      <w:bookmarkEnd w:id="0"/>
      <w:r w:rsidRPr="002A6F27">
        <w:rPr>
          <w:rStyle w:val="CommentReference"/>
          <w:rFonts w:ascii="Arial Narrow" w:hAnsi="Arial Narrow" w:cs="Arial"/>
          <w:b/>
          <w:sz w:val="20"/>
          <w:szCs w:val="22"/>
        </w:rPr>
        <w:t xml:space="preserve">: ACR20 response rates </w:t>
      </w:r>
      <w:r w:rsidR="00696A88">
        <w:rPr>
          <w:rStyle w:val="CommentReference"/>
          <w:rFonts w:ascii="Arial Narrow" w:hAnsi="Arial Narrow" w:cs="Arial"/>
          <w:b/>
          <w:sz w:val="20"/>
          <w:szCs w:val="22"/>
        </w:rPr>
        <w:t>from</w:t>
      </w:r>
      <w:r w:rsidRPr="002A6F27">
        <w:rPr>
          <w:rStyle w:val="CommentReference"/>
          <w:rFonts w:ascii="Arial Narrow" w:hAnsi="Arial Narrow" w:cs="Arial"/>
          <w:b/>
          <w:sz w:val="20"/>
          <w:szCs w:val="22"/>
        </w:rPr>
        <w:t xml:space="preserve"> ustekinumab trials over time</w:t>
      </w:r>
    </w:p>
    <w:tbl>
      <w:tblPr>
        <w:tblStyle w:val="TableGrid"/>
        <w:tblW w:w="0" w:type="auto"/>
        <w:jc w:val="right"/>
        <w:tblInd w:w="817" w:type="dxa"/>
        <w:tblLook w:val="04A0" w:firstRow="1" w:lastRow="0" w:firstColumn="1" w:lastColumn="0" w:noHBand="0" w:noVBand="1"/>
      </w:tblPr>
      <w:tblGrid>
        <w:gridCol w:w="4344"/>
        <w:gridCol w:w="4081"/>
      </w:tblGrid>
      <w:tr w:rsidR="00F52282" w:rsidRPr="00200882" w:rsidTr="00882839">
        <w:trPr>
          <w:trHeight w:val="58"/>
          <w:jc w:val="right"/>
        </w:trPr>
        <w:tc>
          <w:tcPr>
            <w:tcW w:w="4233" w:type="dxa"/>
            <w:tcBorders>
              <w:top w:val="single" w:sz="4" w:space="0" w:color="auto"/>
              <w:left w:val="single" w:sz="4" w:space="0" w:color="auto"/>
              <w:bottom w:val="single" w:sz="4" w:space="0" w:color="auto"/>
              <w:right w:val="single" w:sz="4" w:space="0" w:color="auto"/>
            </w:tcBorders>
            <w:hideMark/>
          </w:tcPr>
          <w:p w:rsidR="002A6F27" w:rsidRPr="00832B59" w:rsidRDefault="002A6F27" w:rsidP="00CC22C1">
            <w:pPr>
              <w:pStyle w:val="Tabletext"/>
              <w:keepNext/>
              <w:jc w:val="center"/>
              <w:rPr>
                <w:rStyle w:val="CommentReference"/>
                <w:rFonts w:ascii="Arial Narrow" w:hAnsi="Arial Narrow" w:cs="Arial"/>
                <w:sz w:val="20"/>
                <w:szCs w:val="20"/>
              </w:rPr>
            </w:pPr>
            <w:r w:rsidRPr="00832B59">
              <w:rPr>
                <w:rStyle w:val="CommentReference"/>
                <w:rFonts w:ascii="Arial Narrow" w:hAnsi="Arial Narrow" w:cs="Arial"/>
                <w:sz w:val="20"/>
                <w:szCs w:val="20"/>
              </w:rPr>
              <w:t>PSUMMIT-1 ACR20 results</w:t>
            </w:r>
            <w:r w:rsidRPr="00832B59">
              <w:rPr>
                <w:rStyle w:val="CommentReference"/>
                <w:rFonts w:ascii="Arial Narrow" w:hAnsi="Arial Narrow" w:cs="Arial"/>
                <w:sz w:val="20"/>
                <w:szCs w:val="20"/>
              </w:rPr>
              <w:br/>
              <w:t xml:space="preserve">All patients </w:t>
            </w:r>
            <w:r w:rsidRPr="003B102E">
              <w:rPr>
                <w:rStyle w:val="CommentReference"/>
                <w:rFonts w:cs="Arial"/>
                <w:sz w:val="20"/>
                <w:szCs w:val="20"/>
              </w:rPr>
              <w:t>(</w:t>
            </w:r>
            <w:r w:rsidR="0068497D" w:rsidRPr="003B102E">
              <w:rPr>
                <w:rFonts w:cs="Arial"/>
              </w:rPr>
              <w:t>TNF-α</w:t>
            </w:r>
            <w:r w:rsidR="0068497D" w:rsidRPr="002A6F27">
              <w:rPr>
                <w:rFonts w:cs="Arial"/>
                <w:sz w:val="22"/>
                <w:szCs w:val="22"/>
              </w:rPr>
              <w:t xml:space="preserve"> </w:t>
            </w:r>
            <w:r w:rsidRPr="00832B59">
              <w:rPr>
                <w:rStyle w:val="CommentReference"/>
                <w:rFonts w:ascii="Arial Narrow" w:hAnsi="Arial Narrow" w:cs="Arial"/>
                <w:sz w:val="20"/>
                <w:szCs w:val="20"/>
              </w:rPr>
              <w:t>naïve)</w:t>
            </w:r>
          </w:p>
        </w:tc>
        <w:tc>
          <w:tcPr>
            <w:tcW w:w="3977" w:type="dxa"/>
            <w:tcBorders>
              <w:top w:val="single" w:sz="4" w:space="0" w:color="auto"/>
              <w:left w:val="single" w:sz="4" w:space="0" w:color="auto"/>
              <w:bottom w:val="single" w:sz="4" w:space="0" w:color="auto"/>
              <w:right w:val="single" w:sz="4" w:space="0" w:color="auto"/>
            </w:tcBorders>
            <w:hideMark/>
          </w:tcPr>
          <w:p w:rsidR="002A6F27" w:rsidRPr="00832B59" w:rsidRDefault="002A6F27" w:rsidP="00CC22C1">
            <w:pPr>
              <w:pStyle w:val="Tabletext"/>
              <w:keepNext/>
              <w:jc w:val="center"/>
              <w:rPr>
                <w:rStyle w:val="CommentReference"/>
                <w:rFonts w:ascii="Arial Narrow" w:hAnsi="Arial Narrow" w:cs="Arial"/>
                <w:sz w:val="20"/>
                <w:szCs w:val="20"/>
              </w:rPr>
            </w:pPr>
            <w:r w:rsidRPr="00832B59">
              <w:rPr>
                <w:rStyle w:val="CommentReference"/>
                <w:rFonts w:ascii="Arial Narrow" w:hAnsi="Arial Narrow" w:cs="Arial"/>
                <w:sz w:val="20"/>
                <w:szCs w:val="20"/>
              </w:rPr>
              <w:t>PSUMMIT-2 ACR20 results,</w:t>
            </w:r>
            <w:r w:rsidRPr="00832B59">
              <w:rPr>
                <w:rStyle w:val="CommentReference"/>
                <w:rFonts w:ascii="Arial Narrow" w:hAnsi="Arial Narrow" w:cs="Arial"/>
                <w:sz w:val="20"/>
                <w:szCs w:val="20"/>
              </w:rPr>
              <w:br/>
              <w:t>All patients (</w:t>
            </w:r>
            <w:r w:rsidR="0068497D" w:rsidRPr="0007275C">
              <w:rPr>
                <w:rFonts w:cs="Arial"/>
              </w:rPr>
              <w:t>TNF-α</w:t>
            </w:r>
            <w:r w:rsidR="0068497D" w:rsidRPr="002A6F27">
              <w:rPr>
                <w:rFonts w:cs="Arial"/>
                <w:sz w:val="22"/>
                <w:szCs w:val="22"/>
              </w:rPr>
              <w:t xml:space="preserve"> </w:t>
            </w:r>
            <w:r w:rsidRPr="00832B59">
              <w:rPr>
                <w:rStyle w:val="CommentReference"/>
                <w:rFonts w:ascii="Arial Narrow" w:hAnsi="Arial Narrow" w:cs="Arial"/>
                <w:sz w:val="20"/>
                <w:szCs w:val="20"/>
              </w:rPr>
              <w:t xml:space="preserve">naïve and </w:t>
            </w:r>
            <w:r w:rsidR="0068497D" w:rsidRPr="0007275C">
              <w:rPr>
                <w:rFonts w:cs="Arial"/>
              </w:rPr>
              <w:t>TNF-α</w:t>
            </w:r>
            <w:r w:rsidR="0068497D" w:rsidRPr="002A6F27">
              <w:rPr>
                <w:rFonts w:cs="Arial"/>
                <w:sz w:val="22"/>
                <w:szCs w:val="22"/>
              </w:rPr>
              <w:t xml:space="preserve"> </w:t>
            </w:r>
            <w:r w:rsidRPr="00832B59">
              <w:rPr>
                <w:rStyle w:val="CommentReference"/>
                <w:rFonts w:ascii="Arial Narrow" w:hAnsi="Arial Narrow" w:cs="Arial"/>
                <w:sz w:val="20"/>
                <w:szCs w:val="20"/>
              </w:rPr>
              <w:t>experienced)</w:t>
            </w:r>
          </w:p>
        </w:tc>
      </w:tr>
      <w:tr w:rsidR="00F52282" w:rsidRPr="00200882" w:rsidTr="00882839">
        <w:trPr>
          <w:trHeight w:val="170"/>
          <w:jc w:val="right"/>
        </w:trPr>
        <w:tc>
          <w:tcPr>
            <w:tcW w:w="4233" w:type="dxa"/>
            <w:tcBorders>
              <w:top w:val="single" w:sz="4" w:space="0" w:color="auto"/>
              <w:left w:val="single" w:sz="4" w:space="0" w:color="auto"/>
              <w:bottom w:val="single" w:sz="4" w:space="0" w:color="auto"/>
              <w:right w:val="single" w:sz="4" w:space="0" w:color="auto"/>
            </w:tcBorders>
            <w:vAlign w:val="center"/>
            <w:hideMark/>
          </w:tcPr>
          <w:p w:rsidR="002A6F27" w:rsidRPr="00832B59" w:rsidRDefault="002A6F27" w:rsidP="00CC22C1">
            <w:pPr>
              <w:snapToGrid w:val="0"/>
              <w:jc w:val="center"/>
              <w:rPr>
                <w:rFonts w:ascii="Arial Narrow" w:hAnsi="Arial Narrow" w:cs="Arial"/>
                <w:sz w:val="20"/>
                <w:szCs w:val="20"/>
              </w:rPr>
            </w:pPr>
            <w:r w:rsidRPr="00832B59">
              <w:rPr>
                <w:rFonts w:ascii="Arial Narrow" w:hAnsi="Arial Narrow" w:cs="Arial"/>
                <w:noProof/>
                <w:sz w:val="20"/>
                <w:szCs w:val="20"/>
              </w:rPr>
              <w:drawing>
                <wp:inline distT="0" distB="0" distL="0" distR="0" wp14:anchorId="6FAE6350" wp14:editId="1024EE33">
                  <wp:extent cx="2695575" cy="1234112"/>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7390" cy="1234943"/>
                          </a:xfrm>
                          <a:prstGeom prst="rect">
                            <a:avLst/>
                          </a:prstGeom>
                          <a:noFill/>
                          <a:ln>
                            <a:noFill/>
                          </a:ln>
                        </pic:spPr>
                      </pic:pic>
                    </a:graphicData>
                  </a:graphic>
                </wp:inline>
              </w:drawing>
            </w:r>
          </w:p>
        </w:tc>
        <w:tc>
          <w:tcPr>
            <w:tcW w:w="3977" w:type="dxa"/>
            <w:tcBorders>
              <w:top w:val="single" w:sz="4" w:space="0" w:color="auto"/>
              <w:left w:val="single" w:sz="4" w:space="0" w:color="auto"/>
              <w:bottom w:val="single" w:sz="4" w:space="0" w:color="auto"/>
              <w:right w:val="single" w:sz="4" w:space="0" w:color="auto"/>
            </w:tcBorders>
            <w:hideMark/>
          </w:tcPr>
          <w:p w:rsidR="002A6F27" w:rsidRPr="00832B59" w:rsidRDefault="002A6F27" w:rsidP="00CC22C1">
            <w:pPr>
              <w:snapToGrid w:val="0"/>
              <w:rPr>
                <w:rFonts w:ascii="Arial Narrow" w:hAnsi="Arial Narrow" w:cs="Arial"/>
                <w:sz w:val="20"/>
                <w:szCs w:val="20"/>
              </w:rPr>
            </w:pPr>
            <w:r w:rsidRPr="00832B59">
              <w:rPr>
                <w:rFonts w:ascii="Arial Narrow" w:hAnsi="Arial Narrow" w:cs="Arial"/>
                <w:noProof/>
                <w:sz w:val="20"/>
                <w:szCs w:val="20"/>
              </w:rPr>
              <w:drawing>
                <wp:inline distT="0" distB="0" distL="0" distR="0" wp14:anchorId="73D2D0D9" wp14:editId="79A3091E">
                  <wp:extent cx="2524125" cy="1542588"/>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0">
                            <a:extLst>
                              <a:ext uri="{28A0092B-C50C-407E-A947-70E740481C1C}">
                                <a14:useLocalDpi xmlns:a14="http://schemas.microsoft.com/office/drawing/2010/main" val="0"/>
                              </a:ext>
                            </a:extLst>
                          </a:blip>
                          <a:srcRect t="13080"/>
                          <a:stretch>
                            <a:fillRect/>
                          </a:stretch>
                        </pic:blipFill>
                        <pic:spPr bwMode="auto">
                          <a:xfrm>
                            <a:off x="0" y="0"/>
                            <a:ext cx="2527119" cy="1544418"/>
                          </a:xfrm>
                          <a:prstGeom prst="rect">
                            <a:avLst/>
                          </a:prstGeom>
                          <a:noFill/>
                          <a:ln>
                            <a:noFill/>
                          </a:ln>
                        </pic:spPr>
                      </pic:pic>
                    </a:graphicData>
                  </a:graphic>
                </wp:inline>
              </w:drawing>
            </w:r>
          </w:p>
        </w:tc>
      </w:tr>
      <w:tr w:rsidR="00F52282" w:rsidRPr="00200882" w:rsidTr="00882839">
        <w:trPr>
          <w:trHeight w:val="42"/>
          <w:jc w:val="right"/>
        </w:trPr>
        <w:tc>
          <w:tcPr>
            <w:tcW w:w="4233" w:type="dxa"/>
            <w:tcBorders>
              <w:top w:val="single" w:sz="4" w:space="0" w:color="auto"/>
              <w:left w:val="single" w:sz="4" w:space="0" w:color="auto"/>
              <w:bottom w:val="single" w:sz="4" w:space="0" w:color="auto"/>
              <w:right w:val="single" w:sz="4" w:space="0" w:color="auto"/>
            </w:tcBorders>
            <w:hideMark/>
          </w:tcPr>
          <w:p w:rsidR="002A6F27" w:rsidRPr="00832B59" w:rsidRDefault="002A6F27" w:rsidP="00CC22C1">
            <w:pPr>
              <w:pStyle w:val="Tabletext"/>
              <w:keepNext/>
              <w:jc w:val="center"/>
              <w:rPr>
                <w:rStyle w:val="CommentReference"/>
                <w:rFonts w:ascii="Arial Narrow" w:hAnsi="Arial Narrow" w:cs="Arial"/>
                <w:sz w:val="20"/>
                <w:szCs w:val="20"/>
              </w:rPr>
            </w:pPr>
            <w:r w:rsidRPr="00832B59">
              <w:rPr>
                <w:rStyle w:val="CommentReference"/>
                <w:rFonts w:ascii="Arial Narrow" w:hAnsi="Arial Narrow" w:cs="Arial"/>
                <w:sz w:val="20"/>
                <w:szCs w:val="20"/>
              </w:rPr>
              <w:t xml:space="preserve">PSUMMIT-2 ACR20 results, </w:t>
            </w:r>
            <w:r w:rsidR="0068497D" w:rsidRPr="0007275C">
              <w:rPr>
                <w:rFonts w:cs="Arial"/>
              </w:rPr>
              <w:t>TNF-α</w:t>
            </w:r>
            <w:r w:rsidR="0068497D" w:rsidRPr="002A6F27">
              <w:rPr>
                <w:rFonts w:cs="Arial"/>
                <w:sz w:val="22"/>
                <w:szCs w:val="22"/>
              </w:rPr>
              <w:t xml:space="preserve"> </w:t>
            </w:r>
            <w:r w:rsidRPr="00832B59">
              <w:rPr>
                <w:rStyle w:val="CommentReference"/>
                <w:rFonts w:ascii="Arial Narrow" w:hAnsi="Arial Narrow" w:cs="Arial"/>
                <w:sz w:val="20"/>
                <w:szCs w:val="20"/>
              </w:rPr>
              <w:t>naïve</w:t>
            </w:r>
          </w:p>
        </w:tc>
        <w:tc>
          <w:tcPr>
            <w:tcW w:w="3977" w:type="dxa"/>
            <w:tcBorders>
              <w:top w:val="single" w:sz="4" w:space="0" w:color="auto"/>
              <w:left w:val="single" w:sz="4" w:space="0" w:color="auto"/>
              <w:bottom w:val="single" w:sz="4" w:space="0" w:color="auto"/>
              <w:right w:val="single" w:sz="4" w:space="0" w:color="auto"/>
            </w:tcBorders>
            <w:hideMark/>
          </w:tcPr>
          <w:p w:rsidR="002A6F27" w:rsidRPr="00832B59" w:rsidRDefault="002A6F27" w:rsidP="00CC22C1">
            <w:pPr>
              <w:pStyle w:val="Tabletext"/>
              <w:keepNext/>
              <w:jc w:val="center"/>
              <w:rPr>
                <w:rStyle w:val="CommentReference"/>
                <w:rFonts w:ascii="Arial Narrow" w:hAnsi="Arial Narrow" w:cs="Arial"/>
                <w:sz w:val="20"/>
                <w:szCs w:val="20"/>
              </w:rPr>
            </w:pPr>
            <w:r w:rsidRPr="00832B59">
              <w:rPr>
                <w:rStyle w:val="CommentReference"/>
                <w:rFonts w:ascii="Arial Narrow" w:hAnsi="Arial Narrow" w:cs="Arial"/>
                <w:sz w:val="20"/>
                <w:szCs w:val="20"/>
              </w:rPr>
              <w:t xml:space="preserve">PSUMMIT-2 ACR20 results, </w:t>
            </w:r>
            <w:r w:rsidR="0068497D" w:rsidRPr="0007275C">
              <w:rPr>
                <w:rFonts w:cs="Arial"/>
              </w:rPr>
              <w:t>TNF-α</w:t>
            </w:r>
            <w:r w:rsidR="0068497D" w:rsidRPr="002A6F27">
              <w:rPr>
                <w:rFonts w:cs="Arial"/>
                <w:sz w:val="22"/>
                <w:szCs w:val="22"/>
              </w:rPr>
              <w:t xml:space="preserve"> </w:t>
            </w:r>
            <w:r w:rsidRPr="00832B59">
              <w:rPr>
                <w:rStyle w:val="CommentReference"/>
                <w:rFonts w:ascii="Arial Narrow" w:hAnsi="Arial Narrow" w:cs="Arial"/>
                <w:sz w:val="20"/>
                <w:szCs w:val="20"/>
              </w:rPr>
              <w:t>experienced</w:t>
            </w:r>
          </w:p>
        </w:tc>
      </w:tr>
      <w:tr w:rsidR="002A6F27" w:rsidRPr="00200882" w:rsidTr="00882839">
        <w:trPr>
          <w:trHeight w:val="172"/>
          <w:jc w:val="right"/>
        </w:trPr>
        <w:tc>
          <w:tcPr>
            <w:tcW w:w="8210" w:type="dxa"/>
            <w:gridSpan w:val="2"/>
            <w:tcBorders>
              <w:top w:val="single" w:sz="4" w:space="0" w:color="auto"/>
              <w:left w:val="single" w:sz="4" w:space="0" w:color="auto"/>
              <w:bottom w:val="single" w:sz="4" w:space="0" w:color="auto"/>
              <w:right w:val="single" w:sz="4" w:space="0" w:color="auto"/>
            </w:tcBorders>
            <w:hideMark/>
          </w:tcPr>
          <w:p w:rsidR="002A6F27" w:rsidRPr="00832B59" w:rsidRDefault="002A6F27" w:rsidP="00CC22C1">
            <w:pPr>
              <w:snapToGrid w:val="0"/>
              <w:jc w:val="center"/>
              <w:rPr>
                <w:rFonts w:ascii="Arial Narrow" w:hAnsi="Arial Narrow" w:cs="Arial"/>
                <w:sz w:val="20"/>
                <w:szCs w:val="20"/>
              </w:rPr>
            </w:pPr>
            <w:r w:rsidRPr="00832B59">
              <w:rPr>
                <w:rFonts w:ascii="Arial Narrow" w:hAnsi="Arial Narrow" w:cs="Arial"/>
                <w:noProof/>
                <w:sz w:val="20"/>
                <w:szCs w:val="20"/>
              </w:rPr>
              <w:drawing>
                <wp:inline distT="0" distB="0" distL="0" distR="0" wp14:anchorId="7EA1C080" wp14:editId="1E62F167">
                  <wp:extent cx="5200650" cy="15830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7598" cy="1582169"/>
                          </a:xfrm>
                          <a:prstGeom prst="rect">
                            <a:avLst/>
                          </a:prstGeom>
                          <a:noFill/>
                          <a:ln>
                            <a:noFill/>
                          </a:ln>
                        </pic:spPr>
                      </pic:pic>
                    </a:graphicData>
                  </a:graphic>
                </wp:inline>
              </w:drawing>
            </w:r>
          </w:p>
        </w:tc>
      </w:tr>
    </w:tbl>
    <w:p w:rsidR="002A6F27" w:rsidRPr="002A6F27" w:rsidRDefault="002A6F27" w:rsidP="002A6F27">
      <w:pPr>
        <w:pStyle w:val="TableFooter"/>
        <w:ind w:firstLine="720"/>
        <w:rPr>
          <w:sz w:val="20"/>
          <w:szCs w:val="22"/>
        </w:rPr>
      </w:pPr>
      <w:r w:rsidRPr="002A6F27">
        <w:rPr>
          <w:sz w:val="20"/>
          <w:szCs w:val="22"/>
        </w:rPr>
        <w:t>Source: Figure 2A, McInnes et al</w:t>
      </w:r>
      <w:r w:rsidR="00922051">
        <w:rPr>
          <w:sz w:val="20"/>
          <w:szCs w:val="22"/>
          <w:vertAlign w:val="superscript"/>
        </w:rPr>
        <w:t>1</w:t>
      </w:r>
      <w:r w:rsidRPr="002A6F27">
        <w:rPr>
          <w:sz w:val="20"/>
          <w:szCs w:val="22"/>
        </w:rPr>
        <w:t xml:space="preserve"> and Figures 1A, 1D and 1E, Ritchlin et al</w:t>
      </w:r>
      <w:r w:rsidR="00922051">
        <w:rPr>
          <w:sz w:val="20"/>
          <w:szCs w:val="22"/>
          <w:vertAlign w:val="superscript"/>
        </w:rPr>
        <w:t>2</w:t>
      </w:r>
    </w:p>
    <w:p w:rsidR="002A6F27" w:rsidRPr="00200882" w:rsidRDefault="002A6F27" w:rsidP="002A6F27">
      <w:pPr>
        <w:rPr>
          <w:rFonts w:ascii="Arial" w:hAnsi="Arial" w:cs="Arial"/>
          <w:sz w:val="22"/>
          <w:szCs w:val="22"/>
        </w:rPr>
      </w:pPr>
    </w:p>
    <w:p w:rsidR="00734E10" w:rsidRPr="00734E10" w:rsidRDefault="00734E10" w:rsidP="00B84392">
      <w:pPr>
        <w:pStyle w:val="ListParagraph"/>
        <w:jc w:val="both"/>
        <w:rPr>
          <w:rFonts w:ascii="Arial" w:hAnsi="Arial"/>
          <w:sz w:val="22"/>
          <w:szCs w:val="22"/>
        </w:rPr>
      </w:pPr>
      <w:r w:rsidRPr="00734E10">
        <w:rPr>
          <w:rFonts w:ascii="Arial" w:hAnsi="Arial"/>
          <w:sz w:val="22"/>
          <w:szCs w:val="22"/>
        </w:rPr>
        <w:br w:type="page"/>
      </w:r>
    </w:p>
    <w:p w:rsidR="002A6F27" w:rsidRPr="00F52282" w:rsidRDefault="00734E10" w:rsidP="00F52282">
      <w:pPr>
        <w:pStyle w:val="ListParagraph"/>
        <w:numPr>
          <w:ilvl w:val="1"/>
          <w:numId w:val="1"/>
        </w:numPr>
        <w:jc w:val="both"/>
        <w:rPr>
          <w:rFonts w:ascii="Arial" w:hAnsi="Arial" w:cs="Arial"/>
          <w:sz w:val="22"/>
          <w:szCs w:val="22"/>
        </w:rPr>
      </w:pPr>
      <w:r w:rsidRPr="00734E10">
        <w:rPr>
          <w:rFonts w:ascii="Arial" w:hAnsi="Arial"/>
          <w:sz w:val="22"/>
          <w:szCs w:val="22"/>
        </w:rPr>
        <w:lastRenderedPageBreak/>
        <w:t>Table</w:t>
      </w:r>
      <w:r w:rsidRPr="002A6F27">
        <w:rPr>
          <w:rStyle w:val="CommentReference"/>
          <w:rFonts w:ascii="Arial Narrow" w:hAnsi="Arial Narrow" w:cs="Arial"/>
          <w:b/>
          <w:sz w:val="20"/>
          <w:szCs w:val="20"/>
        </w:rPr>
        <w:t xml:space="preserve"> </w:t>
      </w:r>
      <w:r>
        <w:rPr>
          <w:rStyle w:val="CommentReference"/>
          <w:rFonts w:ascii="Arial Narrow" w:hAnsi="Arial Narrow" w:cs="Arial"/>
          <w:b/>
          <w:noProof/>
          <w:sz w:val="20"/>
          <w:szCs w:val="20"/>
        </w:rPr>
        <w:t>1</w:t>
      </w:r>
      <w:r w:rsidR="002A6F27" w:rsidRPr="00F52282">
        <w:rPr>
          <w:rFonts w:ascii="Arial" w:hAnsi="Arial" w:cs="Arial"/>
          <w:sz w:val="22"/>
          <w:szCs w:val="22"/>
        </w:rPr>
        <w:t xml:space="preserve"> below presents a comparison of UST (at 24 weeks) to ADA (at 24 weeks) and CZP (at 24 weeks) for the outcome of ACR50 restricted to </w:t>
      </w:r>
      <w:r w:rsidR="009A720F">
        <w:rPr>
          <w:rFonts w:ascii="Arial" w:hAnsi="Arial" w:cs="Arial"/>
          <w:sz w:val="22"/>
          <w:szCs w:val="22"/>
        </w:rPr>
        <w:t>TNF-α</w:t>
      </w:r>
      <w:r w:rsidR="009A720F" w:rsidRPr="009A720F">
        <w:rPr>
          <w:rFonts w:ascii="Arial" w:hAnsi="Arial" w:cs="Arial"/>
          <w:sz w:val="22"/>
          <w:szCs w:val="22"/>
        </w:rPr>
        <w:t xml:space="preserve"> </w:t>
      </w:r>
      <w:r w:rsidR="002A6F27" w:rsidRPr="003B102E">
        <w:rPr>
          <w:rFonts w:ascii="Arial" w:hAnsi="Arial" w:cs="Arial"/>
          <w:sz w:val="22"/>
          <w:szCs w:val="22"/>
        </w:rPr>
        <w:t xml:space="preserve">naïve </w:t>
      </w:r>
      <w:r w:rsidR="002A6F27" w:rsidRPr="00F52282">
        <w:rPr>
          <w:rFonts w:ascii="Arial" w:hAnsi="Arial" w:cs="Arial"/>
          <w:sz w:val="22"/>
          <w:szCs w:val="22"/>
        </w:rPr>
        <w:t xml:space="preserve">patients to ensure comparisons across the same time point and in similar, </w:t>
      </w:r>
      <w:r w:rsidR="009A720F">
        <w:rPr>
          <w:rFonts w:ascii="Arial" w:hAnsi="Arial" w:cs="Arial"/>
          <w:sz w:val="22"/>
          <w:szCs w:val="22"/>
        </w:rPr>
        <w:t>TNF-α</w:t>
      </w:r>
      <w:r w:rsidR="009A720F" w:rsidRPr="00F52282">
        <w:rPr>
          <w:rFonts w:ascii="Arial" w:hAnsi="Arial" w:cs="Arial"/>
          <w:sz w:val="22"/>
          <w:szCs w:val="22"/>
        </w:rPr>
        <w:t xml:space="preserve"> </w:t>
      </w:r>
      <w:r w:rsidR="002A6F27" w:rsidRPr="00F52282">
        <w:rPr>
          <w:rFonts w:ascii="Arial" w:hAnsi="Arial" w:cs="Arial"/>
          <w:sz w:val="22"/>
          <w:szCs w:val="22"/>
        </w:rPr>
        <w:t>naïve, populations.</w:t>
      </w:r>
    </w:p>
    <w:p w:rsidR="002A6F27" w:rsidRPr="00200882" w:rsidRDefault="002A6F27" w:rsidP="002A6F27">
      <w:pPr>
        <w:rPr>
          <w:rFonts w:ascii="Arial" w:hAnsi="Arial" w:cs="Arial"/>
          <w:sz w:val="22"/>
          <w:szCs w:val="22"/>
        </w:rPr>
      </w:pPr>
    </w:p>
    <w:p w:rsidR="002A6F27" w:rsidRPr="002A6F27" w:rsidRDefault="002A6F27" w:rsidP="00B84392">
      <w:pPr>
        <w:keepNext/>
        <w:ind w:firstLine="720"/>
        <w:rPr>
          <w:rStyle w:val="CommentReference"/>
          <w:rFonts w:ascii="Arial Narrow" w:hAnsi="Arial Narrow" w:cs="Arial"/>
          <w:b/>
          <w:sz w:val="20"/>
          <w:szCs w:val="20"/>
        </w:rPr>
      </w:pPr>
      <w:bookmarkStart w:id="1" w:name="_Ref429412723"/>
      <w:r w:rsidRPr="002A6F27">
        <w:rPr>
          <w:rStyle w:val="CommentReference"/>
          <w:rFonts w:ascii="Arial Narrow" w:hAnsi="Arial Narrow" w:cs="Arial"/>
          <w:b/>
          <w:sz w:val="20"/>
          <w:szCs w:val="20"/>
        </w:rPr>
        <w:t xml:space="preserve">Table </w:t>
      </w:r>
      <w:r w:rsidR="00734E10">
        <w:rPr>
          <w:rStyle w:val="CommentReference"/>
          <w:rFonts w:ascii="Arial Narrow" w:hAnsi="Arial Narrow" w:cs="Arial"/>
          <w:b/>
          <w:noProof/>
          <w:sz w:val="20"/>
          <w:szCs w:val="20"/>
        </w:rPr>
        <w:t>1</w:t>
      </w:r>
      <w:bookmarkEnd w:id="1"/>
      <w:r w:rsidRPr="002A6F27">
        <w:rPr>
          <w:rStyle w:val="CommentReference"/>
          <w:rFonts w:ascii="Arial Narrow" w:hAnsi="Arial Narrow" w:cs="Arial"/>
          <w:b/>
          <w:sz w:val="20"/>
          <w:szCs w:val="20"/>
        </w:rPr>
        <w:t>: Indirect comparison of UST, ADA and CZP in naïve patients at 24 weeks</w:t>
      </w:r>
    </w:p>
    <w:tbl>
      <w:tblPr>
        <w:tblW w:w="4567"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6"/>
        <w:gridCol w:w="746"/>
        <w:gridCol w:w="718"/>
        <w:gridCol w:w="702"/>
        <w:gridCol w:w="415"/>
        <w:gridCol w:w="261"/>
        <w:gridCol w:w="751"/>
        <w:gridCol w:w="783"/>
        <w:gridCol w:w="616"/>
        <w:gridCol w:w="110"/>
        <w:gridCol w:w="718"/>
        <w:gridCol w:w="737"/>
        <w:gridCol w:w="739"/>
      </w:tblGrid>
      <w:tr w:rsidR="00543496" w:rsidRPr="00607721" w:rsidTr="00543496">
        <w:tc>
          <w:tcPr>
            <w:tcW w:w="679" w:type="pct"/>
            <w:vMerge w:val="restart"/>
            <w:tcBorders>
              <w:top w:val="single" w:sz="4" w:space="0" w:color="000000"/>
              <w:left w:val="single" w:sz="4" w:space="0" w:color="000000"/>
              <w:right w:val="single" w:sz="4" w:space="0" w:color="000000"/>
            </w:tcBorders>
          </w:tcPr>
          <w:p w:rsidR="00543496" w:rsidRPr="00607721" w:rsidRDefault="00543496" w:rsidP="00CC22C1">
            <w:pPr>
              <w:pStyle w:val="TableHeader"/>
              <w:rPr>
                <w:rFonts w:ascii="Arial Narrow" w:hAnsi="Arial Narrow"/>
              </w:rPr>
            </w:pPr>
          </w:p>
        </w:tc>
        <w:tc>
          <w:tcPr>
            <w:tcW w:w="2564" w:type="pct"/>
            <w:gridSpan w:val="7"/>
            <w:tcBorders>
              <w:top w:val="single" w:sz="4" w:space="0" w:color="000000"/>
              <w:left w:val="single" w:sz="4" w:space="0" w:color="000000"/>
              <w:bottom w:val="single" w:sz="4" w:space="0" w:color="000000"/>
              <w:right w:val="single" w:sz="4" w:space="0" w:color="000000"/>
            </w:tcBorders>
            <w:hideMark/>
          </w:tcPr>
          <w:p w:rsidR="00543496" w:rsidRPr="00607721" w:rsidRDefault="00543496" w:rsidP="00CC22C1">
            <w:pPr>
              <w:pStyle w:val="TableHeader"/>
              <w:jc w:val="center"/>
              <w:rPr>
                <w:rFonts w:ascii="Arial Narrow" w:hAnsi="Arial Narrow"/>
              </w:rPr>
            </w:pPr>
            <w:r w:rsidRPr="00607721">
              <w:rPr>
                <w:rFonts w:ascii="Arial Narrow" w:hAnsi="Arial Narrow"/>
              </w:rPr>
              <w:t>Ustekinumab, 45</w:t>
            </w:r>
            <w:r>
              <w:rPr>
                <w:rFonts w:ascii="Arial Narrow" w:hAnsi="Arial Narrow"/>
              </w:rPr>
              <w:t> </w:t>
            </w:r>
            <w:r w:rsidRPr="00607721">
              <w:rPr>
                <w:rFonts w:ascii="Arial Narrow" w:hAnsi="Arial Narrow"/>
              </w:rPr>
              <w:t>mg</w:t>
            </w:r>
          </w:p>
          <w:p w:rsidR="00543496" w:rsidRPr="00607721" w:rsidRDefault="00543496" w:rsidP="00CC22C1">
            <w:pPr>
              <w:pStyle w:val="TableHeader"/>
              <w:jc w:val="center"/>
              <w:rPr>
                <w:rFonts w:ascii="Arial Narrow" w:hAnsi="Arial Narrow"/>
              </w:rPr>
            </w:pPr>
            <w:r w:rsidRPr="00607721">
              <w:rPr>
                <w:rFonts w:ascii="Arial Narrow" w:hAnsi="Arial Narrow"/>
              </w:rPr>
              <w:t>(24 weeks)</w:t>
            </w:r>
          </w:p>
        </w:tc>
        <w:tc>
          <w:tcPr>
            <w:tcW w:w="871" w:type="pct"/>
            <w:gridSpan w:val="3"/>
            <w:tcBorders>
              <w:top w:val="single" w:sz="4" w:space="0" w:color="000000"/>
              <w:left w:val="single" w:sz="4" w:space="0" w:color="000000"/>
              <w:bottom w:val="single" w:sz="4" w:space="0" w:color="000000"/>
              <w:right w:val="single" w:sz="4" w:space="0" w:color="000000"/>
            </w:tcBorders>
            <w:hideMark/>
          </w:tcPr>
          <w:p w:rsidR="00543496" w:rsidRPr="00607721" w:rsidRDefault="00543496" w:rsidP="00CC22C1">
            <w:pPr>
              <w:pStyle w:val="TableHeader"/>
              <w:jc w:val="center"/>
              <w:rPr>
                <w:rFonts w:ascii="Arial Narrow" w:hAnsi="Arial Narrow"/>
              </w:rPr>
            </w:pPr>
            <w:r w:rsidRPr="00607721">
              <w:rPr>
                <w:rFonts w:ascii="Arial Narrow" w:hAnsi="Arial Narrow"/>
              </w:rPr>
              <w:t>Adalimumab</w:t>
            </w:r>
          </w:p>
          <w:p w:rsidR="00543496" w:rsidRPr="00607721" w:rsidRDefault="00543496" w:rsidP="00CC22C1">
            <w:pPr>
              <w:pStyle w:val="TableHeader"/>
              <w:jc w:val="center"/>
              <w:rPr>
                <w:rFonts w:ascii="Arial Narrow" w:hAnsi="Arial Narrow"/>
              </w:rPr>
            </w:pPr>
            <w:r w:rsidRPr="00607721">
              <w:rPr>
                <w:rFonts w:ascii="Arial Narrow" w:hAnsi="Arial Narrow"/>
              </w:rPr>
              <w:t>(24 weeks)</w:t>
            </w:r>
          </w:p>
        </w:tc>
        <w:tc>
          <w:tcPr>
            <w:tcW w:w="887" w:type="pct"/>
            <w:gridSpan w:val="2"/>
            <w:tcBorders>
              <w:top w:val="single" w:sz="4" w:space="0" w:color="000000"/>
              <w:left w:val="single" w:sz="4" w:space="0" w:color="000000"/>
              <w:bottom w:val="single" w:sz="4" w:space="0" w:color="000000"/>
              <w:right w:val="single" w:sz="4" w:space="0" w:color="000000"/>
            </w:tcBorders>
            <w:hideMark/>
          </w:tcPr>
          <w:p w:rsidR="00543496" w:rsidRPr="00607721" w:rsidRDefault="00543496" w:rsidP="00CC22C1">
            <w:pPr>
              <w:pStyle w:val="TableHeader"/>
              <w:jc w:val="center"/>
              <w:rPr>
                <w:rFonts w:ascii="Arial Narrow" w:hAnsi="Arial Narrow"/>
              </w:rPr>
            </w:pPr>
            <w:r w:rsidRPr="00607721">
              <w:rPr>
                <w:rFonts w:ascii="Arial Narrow" w:hAnsi="Arial Narrow"/>
              </w:rPr>
              <w:t>Certolizumab</w:t>
            </w:r>
          </w:p>
          <w:p w:rsidR="00543496" w:rsidRPr="00607721" w:rsidRDefault="00543496" w:rsidP="00CC22C1">
            <w:pPr>
              <w:pStyle w:val="TableHeader"/>
              <w:jc w:val="center"/>
              <w:rPr>
                <w:rFonts w:ascii="Arial Narrow" w:hAnsi="Arial Narrow"/>
              </w:rPr>
            </w:pPr>
            <w:r w:rsidRPr="00607721">
              <w:rPr>
                <w:rFonts w:ascii="Arial Narrow" w:hAnsi="Arial Narrow"/>
              </w:rPr>
              <w:t>(24 weeks)</w:t>
            </w:r>
          </w:p>
        </w:tc>
      </w:tr>
      <w:tr w:rsidR="00543496" w:rsidRPr="00607721" w:rsidTr="00543496">
        <w:tc>
          <w:tcPr>
            <w:tcW w:w="679" w:type="pct"/>
            <w:vMerge/>
            <w:tcBorders>
              <w:left w:val="single" w:sz="4" w:space="0" w:color="000000"/>
              <w:right w:val="single" w:sz="4" w:space="0" w:color="000000"/>
            </w:tcBorders>
            <w:vAlign w:val="center"/>
            <w:hideMark/>
          </w:tcPr>
          <w:p w:rsidR="00543496" w:rsidRPr="00607721" w:rsidRDefault="00543496" w:rsidP="00CC22C1">
            <w:pPr>
              <w:rPr>
                <w:rFonts w:ascii="Arial Narrow" w:hAnsi="Arial Narrow" w:cs="Arial"/>
                <w:b/>
                <w:sz w:val="20"/>
                <w:szCs w:val="20"/>
              </w:rPr>
            </w:pPr>
          </w:p>
        </w:tc>
        <w:tc>
          <w:tcPr>
            <w:tcW w:w="874" w:type="pct"/>
            <w:gridSpan w:val="2"/>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Header"/>
              <w:jc w:val="center"/>
              <w:rPr>
                <w:rFonts w:ascii="Arial Narrow" w:hAnsi="Arial Narrow"/>
                <w:b w:val="0"/>
              </w:rPr>
            </w:pPr>
            <w:r w:rsidRPr="00607721">
              <w:rPr>
                <w:rFonts w:ascii="Arial Narrow" w:hAnsi="Arial Narrow"/>
              </w:rPr>
              <w:t>PSUMMIT-1</w:t>
            </w:r>
          </w:p>
        </w:tc>
        <w:tc>
          <w:tcPr>
            <w:tcW w:w="837" w:type="pct"/>
            <w:gridSpan w:val="3"/>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Header"/>
              <w:jc w:val="center"/>
              <w:rPr>
                <w:rFonts w:ascii="Arial Narrow" w:hAnsi="Arial Narrow"/>
              </w:rPr>
            </w:pPr>
            <w:r w:rsidRPr="00607721">
              <w:rPr>
                <w:rFonts w:ascii="Arial Narrow" w:hAnsi="Arial Narrow"/>
              </w:rPr>
              <w:t>PSUMMIT-2</w:t>
            </w:r>
            <w:r w:rsidRPr="00607721">
              <w:rPr>
                <w:rFonts w:ascii="Arial Narrow" w:hAnsi="Arial Narrow"/>
                <w:b w:val="0"/>
              </w:rPr>
              <w:t>*</w:t>
            </w:r>
          </w:p>
        </w:tc>
        <w:tc>
          <w:tcPr>
            <w:tcW w:w="853" w:type="pct"/>
            <w:gridSpan w:val="2"/>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Header"/>
              <w:jc w:val="center"/>
              <w:rPr>
                <w:rFonts w:ascii="Arial Narrow" w:hAnsi="Arial Narrow"/>
              </w:rPr>
            </w:pPr>
            <w:r w:rsidRPr="00607721">
              <w:rPr>
                <w:rFonts w:ascii="Arial Narrow" w:hAnsi="Arial Narrow"/>
              </w:rPr>
              <w:t>Meta-analysis</w:t>
            </w:r>
          </w:p>
        </w:tc>
        <w:tc>
          <w:tcPr>
            <w:tcW w:w="871" w:type="pct"/>
            <w:gridSpan w:val="3"/>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Header"/>
              <w:jc w:val="center"/>
              <w:rPr>
                <w:rFonts w:ascii="Arial Narrow" w:hAnsi="Arial Narrow"/>
              </w:rPr>
            </w:pPr>
            <w:r w:rsidRPr="00607721">
              <w:rPr>
                <w:rFonts w:ascii="Arial Narrow" w:hAnsi="Arial Narrow"/>
              </w:rPr>
              <w:t>ADEPT</w:t>
            </w:r>
          </w:p>
        </w:tc>
        <w:tc>
          <w:tcPr>
            <w:tcW w:w="887" w:type="pct"/>
            <w:gridSpan w:val="2"/>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Header"/>
              <w:jc w:val="center"/>
              <w:rPr>
                <w:rFonts w:ascii="Arial Narrow" w:hAnsi="Arial Narrow"/>
              </w:rPr>
            </w:pPr>
            <w:r w:rsidRPr="00607721">
              <w:rPr>
                <w:rFonts w:ascii="Arial Narrow" w:hAnsi="Arial Narrow"/>
              </w:rPr>
              <w:t>RAPID-PsA</w:t>
            </w:r>
            <w:r w:rsidRPr="00607721">
              <w:rPr>
                <w:rFonts w:ascii="Arial Narrow" w:hAnsi="Arial Narrow"/>
                <w:b w:val="0"/>
              </w:rPr>
              <w:t>*</w:t>
            </w:r>
          </w:p>
        </w:tc>
      </w:tr>
      <w:tr w:rsidR="00543496" w:rsidRPr="00607721" w:rsidTr="00543496">
        <w:trPr>
          <w:trHeight w:val="249"/>
        </w:trPr>
        <w:tc>
          <w:tcPr>
            <w:tcW w:w="679" w:type="pct"/>
            <w:vMerge/>
            <w:tcBorders>
              <w:left w:val="single" w:sz="4" w:space="0" w:color="000000"/>
              <w:bottom w:val="single" w:sz="4" w:space="0" w:color="000000"/>
              <w:right w:val="single" w:sz="4" w:space="0" w:color="000000"/>
            </w:tcBorders>
          </w:tcPr>
          <w:p w:rsidR="00543496" w:rsidRPr="00607721" w:rsidRDefault="00543496" w:rsidP="00CC22C1">
            <w:pPr>
              <w:pStyle w:val="Tabletext"/>
              <w:rPr>
                <w:rFonts w:ascii="Arial Narrow" w:hAnsi="Arial Narrow" w:cs="Arial"/>
              </w:rPr>
            </w:pPr>
          </w:p>
        </w:tc>
        <w:tc>
          <w:tcPr>
            <w:tcW w:w="448"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UST</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PBO</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UST</w:t>
            </w:r>
          </w:p>
        </w:tc>
        <w:tc>
          <w:tcPr>
            <w:tcW w:w="411" w:type="pct"/>
            <w:gridSpan w:val="2"/>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PBO</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UST</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PBO</w:t>
            </w:r>
          </w:p>
        </w:tc>
        <w:tc>
          <w:tcPr>
            <w:tcW w:w="437" w:type="pct"/>
            <w:gridSpan w:val="2"/>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ADA</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PBO</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CZP</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543496" w:rsidRPr="00607721" w:rsidRDefault="00543496" w:rsidP="00CC22C1">
            <w:pPr>
              <w:pStyle w:val="Tabletext"/>
              <w:jc w:val="center"/>
              <w:rPr>
                <w:rFonts w:ascii="Arial Narrow" w:hAnsi="Arial Narrow" w:cs="Arial"/>
                <w:b/>
              </w:rPr>
            </w:pPr>
            <w:r w:rsidRPr="00607721">
              <w:rPr>
                <w:rFonts w:ascii="Arial Narrow" w:hAnsi="Arial Narrow" w:cs="Arial"/>
                <w:b/>
              </w:rPr>
              <w:t>PBO</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rPr>
                <w:rFonts w:ascii="Arial Narrow" w:hAnsi="Arial Narrow" w:cs="Arial"/>
                <w:b/>
              </w:rPr>
            </w:pPr>
            <w:r w:rsidRPr="00607721">
              <w:rPr>
                <w:rFonts w:ascii="Arial Narrow" w:hAnsi="Arial Narrow" w:cs="Arial"/>
                <w:b/>
              </w:rPr>
              <w:t>ACR50, n/N (%)</w:t>
            </w:r>
          </w:p>
        </w:tc>
        <w:tc>
          <w:tcPr>
            <w:tcW w:w="448"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51/205 (24.9)</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18/206 (8.7)</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w:t>
            </w:r>
          </w:p>
        </w:tc>
        <w:tc>
          <w:tcPr>
            <w:tcW w:w="411"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w:t>
            </w:r>
          </w:p>
        </w:tc>
        <w:tc>
          <w:tcPr>
            <w:tcW w:w="428" w:type="pct"/>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w:t>
            </w:r>
          </w:p>
        </w:tc>
        <w:tc>
          <w:tcPr>
            <w:tcW w:w="437"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59/153 (38.6)</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10/162 (6.2)</w:t>
            </w:r>
          </w:p>
        </w:tc>
        <w:tc>
          <w:tcPr>
            <w:tcW w:w="442"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 xml:space="preserve">91/219 </w:t>
            </w:r>
            <w:r w:rsidRPr="00607721">
              <w:rPr>
                <w:rFonts w:ascii="Arial Narrow" w:hAnsi="Arial Narrow" w:cs="Arial"/>
              </w:rPr>
              <w:br/>
              <w:t>(41.6)</w:t>
            </w:r>
          </w:p>
        </w:tc>
        <w:tc>
          <w:tcPr>
            <w:tcW w:w="444"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16/110</w:t>
            </w:r>
            <w:r w:rsidRPr="00607721">
              <w:rPr>
                <w:rFonts w:ascii="Arial Narrow" w:hAnsi="Arial Narrow" w:cs="Arial"/>
              </w:rPr>
              <w:br/>
              <w:t>(14.5)</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rPr>
                <w:rFonts w:ascii="Arial Narrow" w:hAnsi="Arial Narrow" w:cs="Arial"/>
                <w:b/>
              </w:rPr>
            </w:pPr>
            <w:r w:rsidRPr="00607721">
              <w:rPr>
                <w:rFonts w:ascii="Arial Narrow" w:hAnsi="Arial Narrow" w:cs="Arial"/>
                <w:b/>
              </w:rPr>
              <w:t xml:space="preserve">RR </w:t>
            </w:r>
            <w:r w:rsidRPr="00607721">
              <w:rPr>
                <w:rFonts w:ascii="Arial Narrow" w:hAnsi="Arial Narrow" w:cs="Arial"/>
                <w:b/>
              </w:rPr>
              <w:br/>
              <w:t>[95% CI]</w:t>
            </w:r>
          </w:p>
        </w:tc>
        <w:tc>
          <w:tcPr>
            <w:tcW w:w="874"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AC6A9F">
              <w:rPr>
                <w:rFonts w:ascii="Arial Narrow" w:hAnsi="Arial Narrow" w:cs="Arial"/>
              </w:rPr>
              <w:t>2.85</w:t>
            </w:r>
            <w:r w:rsidRPr="00AC6A9F">
              <w:rPr>
                <w:rFonts w:ascii="Arial Narrow" w:hAnsi="Arial Narrow" w:cs="Arial"/>
              </w:rPr>
              <w:br/>
              <w:t>[1.72, 4.70]</w:t>
            </w:r>
          </w:p>
        </w:tc>
        <w:tc>
          <w:tcPr>
            <w:tcW w:w="837" w:type="pct"/>
            <w:gridSpan w:val="3"/>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w:t>
            </w:r>
            <w:r>
              <w:rPr>
                <w:rFonts w:ascii="Arial Narrow" w:hAnsi="Arial Narrow" w:cs="Arial"/>
                <w:noProof/>
                <w:color w:val="000000"/>
                <w:highlight w:val="black"/>
              </w:rPr>
              <w:br/>
              <w:t>''''''''''''' ''''''''''''''</w:t>
            </w:r>
          </w:p>
        </w:tc>
        <w:tc>
          <w:tcPr>
            <w:tcW w:w="85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w:t>
            </w:r>
            <w:r>
              <w:rPr>
                <w:rFonts w:ascii="Arial Narrow" w:hAnsi="Arial Narrow" w:cs="Arial"/>
                <w:noProof/>
                <w:color w:val="000000"/>
                <w:highlight w:val="black"/>
              </w:rPr>
              <w:br/>
              <w:t>'''''''''''''' ''''''''''''</w:t>
            </w:r>
          </w:p>
        </w:tc>
        <w:tc>
          <w:tcPr>
            <w:tcW w:w="871" w:type="pct"/>
            <w:gridSpan w:val="3"/>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AC6A9F">
              <w:rPr>
                <w:rFonts w:ascii="Arial Narrow" w:hAnsi="Arial Narrow" w:cs="Arial"/>
              </w:rPr>
              <w:t>6.25</w:t>
            </w:r>
            <w:r w:rsidRPr="00AC6A9F">
              <w:rPr>
                <w:rFonts w:ascii="Arial Narrow" w:hAnsi="Arial Narrow" w:cs="Arial"/>
              </w:rPr>
              <w:br/>
              <w:t>[3.32, 11.76]</w:t>
            </w:r>
          </w:p>
        </w:tc>
        <w:tc>
          <w:tcPr>
            <w:tcW w:w="887"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AC6A9F">
              <w:rPr>
                <w:rFonts w:ascii="Arial Narrow" w:hAnsi="Arial Narrow" w:cs="Arial"/>
              </w:rPr>
              <w:t>2.86</w:t>
            </w:r>
            <w:r w:rsidRPr="00AC6A9F">
              <w:rPr>
                <w:rFonts w:ascii="Arial Narrow" w:hAnsi="Arial Narrow" w:cs="Arial"/>
              </w:rPr>
              <w:br/>
              <w:t>[1.77, 4.61]</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rPr>
                <w:rFonts w:ascii="Arial Narrow" w:hAnsi="Arial Narrow" w:cs="Arial"/>
                <w:b/>
              </w:rPr>
            </w:pPr>
            <w:r w:rsidRPr="00607721">
              <w:rPr>
                <w:rFonts w:ascii="Arial Narrow" w:hAnsi="Arial Narrow" w:cs="Arial"/>
                <w:b/>
              </w:rPr>
              <w:t>RD (%) [95% CI]</w:t>
            </w:r>
          </w:p>
        </w:tc>
        <w:tc>
          <w:tcPr>
            <w:tcW w:w="874"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607721">
              <w:rPr>
                <w:rFonts w:ascii="Arial Narrow" w:hAnsi="Arial Narrow" w:cs="Arial"/>
              </w:rPr>
              <w:t>16 [9, 23]</w:t>
            </w:r>
          </w:p>
        </w:tc>
        <w:tc>
          <w:tcPr>
            <w:tcW w:w="837" w:type="pct"/>
            <w:gridSpan w:val="3"/>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 '''''''''</w:t>
            </w:r>
          </w:p>
        </w:tc>
        <w:tc>
          <w:tcPr>
            <w:tcW w:w="85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 '''''''''</w:t>
            </w:r>
          </w:p>
        </w:tc>
        <w:tc>
          <w:tcPr>
            <w:tcW w:w="871" w:type="pct"/>
            <w:gridSpan w:val="3"/>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AC6A9F">
              <w:rPr>
                <w:rFonts w:ascii="Arial Narrow" w:hAnsi="Arial Narrow" w:cs="Arial"/>
              </w:rPr>
              <w:t>32 [24, 41]</w:t>
            </w:r>
          </w:p>
        </w:tc>
        <w:tc>
          <w:tcPr>
            <w:tcW w:w="887"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AC6A9F">
              <w:rPr>
                <w:rFonts w:ascii="Arial Narrow" w:hAnsi="Arial Narrow" w:cs="Arial"/>
              </w:rPr>
              <w:t>27 [18, 36]</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tcPr>
          <w:p w:rsidR="002A6F27" w:rsidRPr="00607721" w:rsidRDefault="002A6F27" w:rsidP="00CC22C1">
            <w:pPr>
              <w:pStyle w:val="Tabletext"/>
              <w:rPr>
                <w:rFonts w:ascii="Arial Narrow" w:hAnsi="Arial Narrow" w:cs="Arial"/>
                <w:b/>
              </w:rPr>
            </w:pPr>
            <w:r w:rsidRPr="00607721">
              <w:rPr>
                <w:rFonts w:ascii="Arial Narrow" w:hAnsi="Arial Narrow" w:cs="Arial"/>
                <w:b/>
              </w:rPr>
              <w:t>OR</w:t>
            </w:r>
            <w:r w:rsidRPr="00607721">
              <w:rPr>
                <w:rFonts w:ascii="Arial Narrow" w:hAnsi="Arial Narrow" w:cs="Arial"/>
                <w:b/>
              </w:rPr>
              <w:br/>
              <w:t>[95% CI]</w:t>
            </w:r>
          </w:p>
        </w:tc>
        <w:tc>
          <w:tcPr>
            <w:tcW w:w="874" w:type="pct"/>
            <w:gridSpan w:val="2"/>
            <w:tcBorders>
              <w:top w:val="single" w:sz="4" w:space="0" w:color="000000"/>
              <w:left w:val="single" w:sz="4" w:space="0" w:color="000000"/>
              <w:bottom w:val="single" w:sz="4" w:space="0" w:color="000000"/>
              <w:right w:val="single" w:sz="4" w:space="0" w:color="000000"/>
            </w:tcBorders>
            <w:vAlign w:val="center"/>
          </w:tcPr>
          <w:p w:rsidR="002A6F27" w:rsidRPr="00607721" w:rsidRDefault="002A6F27" w:rsidP="00CC22C1">
            <w:pPr>
              <w:pStyle w:val="Tabletext"/>
              <w:jc w:val="center"/>
              <w:rPr>
                <w:rFonts w:ascii="Arial Narrow" w:hAnsi="Arial Narrow" w:cs="Arial"/>
              </w:rPr>
            </w:pPr>
            <w:r w:rsidRPr="00AC6A9F">
              <w:rPr>
                <w:rFonts w:ascii="Arial Narrow" w:hAnsi="Arial Narrow" w:cs="Arial"/>
              </w:rPr>
              <w:t>3.46</w:t>
            </w:r>
            <w:r w:rsidRPr="00AC6A9F">
              <w:rPr>
                <w:rFonts w:ascii="Arial Narrow" w:hAnsi="Arial Narrow" w:cs="Arial"/>
              </w:rPr>
              <w:br/>
              <w:t>[1.94, 6.17]</w:t>
            </w:r>
          </w:p>
        </w:tc>
        <w:tc>
          <w:tcPr>
            <w:tcW w:w="837" w:type="pct"/>
            <w:gridSpan w:val="3"/>
            <w:tcBorders>
              <w:top w:val="single" w:sz="4" w:space="0" w:color="000000"/>
              <w:left w:val="single" w:sz="4" w:space="0" w:color="000000"/>
              <w:bottom w:val="single" w:sz="4" w:space="0" w:color="000000"/>
              <w:right w:val="single" w:sz="4" w:space="0" w:color="000000"/>
            </w:tcBorders>
            <w:vAlign w:val="center"/>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w:t>
            </w:r>
            <w:r>
              <w:rPr>
                <w:rFonts w:ascii="Arial Narrow" w:hAnsi="Arial Narrow" w:cs="Arial"/>
                <w:noProof/>
                <w:color w:val="000000"/>
                <w:highlight w:val="black"/>
              </w:rPr>
              <w:br/>
              <w:t>'''''''''''' ''''''''''''''</w:t>
            </w:r>
          </w:p>
        </w:tc>
        <w:tc>
          <w:tcPr>
            <w:tcW w:w="853" w:type="pct"/>
            <w:gridSpan w:val="2"/>
            <w:tcBorders>
              <w:top w:val="single" w:sz="4" w:space="0" w:color="000000"/>
              <w:left w:val="single" w:sz="4" w:space="0" w:color="000000"/>
              <w:bottom w:val="single" w:sz="4" w:space="0" w:color="000000"/>
              <w:right w:val="single" w:sz="4" w:space="0" w:color="000000"/>
            </w:tcBorders>
            <w:vAlign w:val="center"/>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w:t>
            </w:r>
            <w:r>
              <w:rPr>
                <w:rFonts w:ascii="Arial Narrow" w:hAnsi="Arial Narrow" w:cs="Arial"/>
                <w:noProof/>
                <w:color w:val="000000"/>
                <w:highlight w:val="black"/>
              </w:rPr>
              <w:br/>
              <w:t>''''''''''''''' '''''''''''''</w:t>
            </w:r>
          </w:p>
        </w:tc>
        <w:tc>
          <w:tcPr>
            <w:tcW w:w="871" w:type="pct"/>
            <w:gridSpan w:val="3"/>
            <w:tcBorders>
              <w:top w:val="single" w:sz="4" w:space="0" w:color="000000"/>
              <w:left w:val="single" w:sz="4" w:space="0" w:color="000000"/>
              <w:bottom w:val="single" w:sz="4" w:space="0" w:color="000000"/>
              <w:right w:val="single" w:sz="4" w:space="0" w:color="000000"/>
            </w:tcBorders>
            <w:vAlign w:val="center"/>
          </w:tcPr>
          <w:p w:rsidR="002A6F27" w:rsidRPr="00607721" w:rsidRDefault="002A6F27" w:rsidP="00CC22C1">
            <w:pPr>
              <w:pStyle w:val="Tabletext"/>
              <w:jc w:val="center"/>
              <w:rPr>
                <w:rFonts w:ascii="Arial Narrow" w:hAnsi="Arial Narrow" w:cs="Arial"/>
              </w:rPr>
            </w:pPr>
            <w:r w:rsidRPr="00AC6A9F">
              <w:rPr>
                <w:rFonts w:ascii="Arial Narrow" w:hAnsi="Arial Narrow" w:cs="Arial"/>
              </w:rPr>
              <w:t>9.54</w:t>
            </w:r>
            <w:r w:rsidRPr="00AC6A9F">
              <w:rPr>
                <w:rFonts w:ascii="Arial Narrow" w:hAnsi="Arial Narrow" w:cs="Arial"/>
              </w:rPr>
              <w:br/>
              <w:t>[4.65, 19.56]</w:t>
            </w:r>
          </w:p>
        </w:tc>
        <w:tc>
          <w:tcPr>
            <w:tcW w:w="887" w:type="pct"/>
            <w:gridSpan w:val="2"/>
            <w:tcBorders>
              <w:top w:val="single" w:sz="4" w:space="0" w:color="000000"/>
              <w:left w:val="single" w:sz="4" w:space="0" w:color="000000"/>
              <w:bottom w:val="single" w:sz="4" w:space="0" w:color="000000"/>
              <w:right w:val="single" w:sz="4" w:space="0" w:color="000000"/>
            </w:tcBorders>
            <w:vAlign w:val="center"/>
          </w:tcPr>
          <w:p w:rsidR="002A6F27" w:rsidRPr="00607721" w:rsidRDefault="002A6F27" w:rsidP="00CC22C1">
            <w:pPr>
              <w:pStyle w:val="Tabletext"/>
              <w:jc w:val="center"/>
              <w:rPr>
                <w:rFonts w:ascii="Arial Narrow" w:hAnsi="Arial Narrow" w:cs="Arial"/>
              </w:rPr>
            </w:pPr>
            <w:r w:rsidRPr="00AC6A9F">
              <w:rPr>
                <w:rFonts w:ascii="Arial Narrow" w:hAnsi="Arial Narrow" w:cs="Arial"/>
              </w:rPr>
              <w:t>4.18</w:t>
            </w:r>
            <w:r w:rsidRPr="00AC6A9F">
              <w:rPr>
                <w:rFonts w:ascii="Arial Narrow" w:hAnsi="Arial Narrow" w:cs="Arial"/>
              </w:rPr>
              <w:br/>
              <w:t>[2.31, 7.57]</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hideMark/>
          </w:tcPr>
          <w:p w:rsidR="002A6F27" w:rsidRPr="00607721" w:rsidRDefault="002A6F27" w:rsidP="00CC22C1">
            <w:pPr>
              <w:pStyle w:val="TableHeader"/>
              <w:keepNext/>
              <w:rPr>
                <w:rFonts w:ascii="Arial Narrow" w:hAnsi="Arial Narrow"/>
              </w:rPr>
            </w:pPr>
            <w:r w:rsidRPr="00607721">
              <w:rPr>
                <w:rFonts w:ascii="Arial Narrow" w:hAnsi="Arial Narrow"/>
              </w:rPr>
              <w:t>Indirect comparison</w:t>
            </w:r>
          </w:p>
        </w:tc>
        <w:tc>
          <w:tcPr>
            <w:tcW w:w="1551"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Header"/>
              <w:keepNext/>
              <w:jc w:val="center"/>
              <w:rPr>
                <w:rFonts w:ascii="Arial Narrow" w:hAnsi="Arial Narrow"/>
              </w:rPr>
            </w:pPr>
            <w:r w:rsidRPr="00607721">
              <w:rPr>
                <w:rFonts w:ascii="Arial Narrow" w:hAnsi="Arial Narrow"/>
              </w:rPr>
              <w:t>UST 45</w:t>
            </w:r>
            <w:r w:rsidR="00543496">
              <w:rPr>
                <w:rFonts w:ascii="Arial Narrow" w:hAnsi="Arial Narrow"/>
              </w:rPr>
              <w:t> </w:t>
            </w:r>
            <w:r w:rsidRPr="00607721">
              <w:rPr>
                <w:rFonts w:ascii="Arial Narrow" w:hAnsi="Arial Narrow"/>
              </w:rPr>
              <w:t>mg (treatment naive) vs. CZP (treatment naïve)</w:t>
            </w:r>
          </w:p>
        </w:tc>
        <w:tc>
          <w:tcPr>
            <w:tcW w:w="1384"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Header"/>
              <w:keepNext/>
              <w:jc w:val="center"/>
              <w:rPr>
                <w:rFonts w:ascii="Arial Narrow" w:hAnsi="Arial Narrow"/>
              </w:rPr>
            </w:pPr>
            <w:r w:rsidRPr="00607721">
              <w:rPr>
                <w:rFonts w:ascii="Arial Narrow" w:hAnsi="Arial Narrow"/>
              </w:rPr>
              <w:t>UST</w:t>
            </w:r>
            <w:r w:rsidR="00543496">
              <w:rPr>
                <w:rFonts w:ascii="Arial Narrow" w:hAnsi="Arial Narrow"/>
              </w:rPr>
              <w:t xml:space="preserve"> </w:t>
            </w:r>
            <w:r w:rsidRPr="00607721">
              <w:rPr>
                <w:rFonts w:ascii="Arial Narrow" w:hAnsi="Arial Narrow"/>
              </w:rPr>
              <w:t>45</w:t>
            </w:r>
            <w:r w:rsidR="00543496">
              <w:rPr>
                <w:rFonts w:ascii="Arial Narrow" w:hAnsi="Arial Narrow"/>
              </w:rPr>
              <w:t> </w:t>
            </w:r>
            <w:r w:rsidRPr="00607721">
              <w:rPr>
                <w:rFonts w:ascii="Arial Narrow" w:hAnsi="Arial Narrow"/>
              </w:rPr>
              <w:t>mg (treatment naive) vs. ADA</w:t>
            </w:r>
          </w:p>
        </w:tc>
        <w:tc>
          <w:tcPr>
            <w:tcW w:w="1386"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Header"/>
              <w:keepNext/>
              <w:jc w:val="center"/>
              <w:rPr>
                <w:rFonts w:ascii="Arial Narrow" w:hAnsi="Arial Narrow"/>
              </w:rPr>
            </w:pPr>
            <w:r w:rsidRPr="00607721">
              <w:rPr>
                <w:rFonts w:ascii="Arial Narrow" w:hAnsi="Arial Narrow"/>
              </w:rPr>
              <w:t xml:space="preserve">CZP (treatment naive) </w:t>
            </w:r>
            <w:r w:rsidRPr="00607721">
              <w:rPr>
                <w:rFonts w:ascii="Arial Narrow" w:hAnsi="Arial Narrow"/>
              </w:rPr>
              <w:br/>
              <w:t>vs. ADA</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keepNext/>
              <w:rPr>
                <w:rFonts w:ascii="Arial Narrow" w:hAnsi="Arial Narrow" w:cs="Arial"/>
                <w:b/>
              </w:rPr>
            </w:pPr>
            <w:r w:rsidRPr="00607721">
              <w:rPr>
                <w:rFonts w:ascii="Arial Narrow" w:hAnsi="Arial Narrow" w:cs="Arial"/>
                <w:b/>
              </w:rPr>
              <w:t>RR [95% CI]</w:t>
            </w:r>
          </w:p>
        </w:tc>
        <w:tc>
          <w:tcPr>
            <w:tcW w:w="1551"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keepNext/>
              <w:jc w:val="center"/>
              <w:rPr>
                <w:rFonts w:ascii="Arial Narrow" w:hAnsi="Arial Narrow" w:cs="Arial"/>
                <w:highlight w:val="black"/>
              </w:rPr>
            </w:pPr>
            <w:r>
              <w:rPr>
                <w:rFonts w:ascii="Arial Narrow" w:hAnsi="Arial Narrow" w:cs="Arial"/>
                <w:noProof/>
                <w:color w:val="000000"/>
                <w:highlight w:val="black"/>
              </w:rPr>
              <w:t>'''''''''' ''''''''''''''' ''''''''''''</w:t>
            </w:r>
          </w:p>
        </w:tc>
        <w:tc>
          <w:tcPr>
            <w:tcW w:w="1384"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keepNext/>
              <w:jc w:val="center"/>
              <w:rPr>
                <w:rFonts w:ascii="Arial Narrow" w:hAnsi="Arial Narrow" w:cs="Arial"/>
                <w:highlight w:val="black"/>
              </w:rPr>
            </w:pPr>
            <w:r>
              <w:rPr>
                <w:rFonts w:ascii="Arial Narrow" w:hAnsi="Arial Narrow" w:cs="Arial"/>
                <w:noProof/>
                <w:color w:val="000000"/>
                <w:highlight w:val="black"/>
              </w:rPr>
              <w:t>'''''''''' ''''''''''''' '''''''''''</w:t>
            </w:r>
          </w:p>
        </w:tc>
        <w:tc>
          <w:tcPr>
            <w:tcW w:w="1386"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keepNext/>
              <w:jc w:val="center"/>
              <w:rPr>
                <w:rFonts w:ascii="Arial Narrow" w:hAnsi="Arial Narrow" w:cs="Arial"/>
              </w:rPr>
            </w:pPr>
            <w:r w:rsidRPr="00AC6A9F">
              <w:rPr>
                <w:rFonts w:ascii="Arial Narrow" w:hAnsi="Arial Narrow" w:cs="Arial"/>
              </w:rPr>
              <w:t>0.46 [0.21, 1.01]</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keepNext/>
              <w:rPr>
                <w:rFonts w:ascii="Arial Narrow" w:hAnsi="Arial Narrow" w:cs="Arial"/>
                <w:b/>
              </w:rPr>
            </w:pPr>
            <w:r w:rsidRPr="00607721">
              <w:rPr>
                <w:rFonts w:ascii="Arial Narrow" w:hAnsi="Arial Narrow" w:cs="Arial"/>
                <w:b/>
              </w:rPr>
              <w:t>RD (%) [95% CI]</w:t>
            </w:r>
          </w:p>
        </w:tc>
        <w:tc>
          <w:tcPr>
            <w:tcW w:w="1551"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keepNext/>
              <w:jc w:val="center"/>
              <w:rPr>
                <w:rFonts w:ascii="Arial Narrow" w:hAnsi="Arial Narrow" w:cs="Arial"/>
                <w:highlight w:val="black"/>
              </w:rPr>
            </w:pPr>
            <w:r>
              <w:rPr>
                <w:rFonts w:ascii="Arial Narrow" w:hAnsi="Arial Narrow" w:cs="Arial"/>
                <w:noProof/>
                <w:color w:val="000000"/>
                <w:highlight w:val="black"/>
              </w:rPr>
              <w:t>'''''''' ''''''''''' '''''</w:t>
            </w:r>
          </w:p>
        </w:tc>
        <w:tc>
          <w:tcPr>
            <w:tcW w:w="1384"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keepNext/>
              <w:jc w:val="center"/>
              <w:rPr>
                <w:rFonts w:ascii="Arial Narrow" w:hAnsi="Arial Narrow" w:cs="Arial"/>
                <w:highlight w:val="black"/>
              </w:rPr>
            </w:pPr>
            <w:r>
              <w:rPr>
                <w:rFonts w:ascii="Arial Narrow" w:hAnsi="Arial Narrow" w:cs="Arial"/>
                <w:noProof/>
                <w:color w:val="000000"/>
                <w:highlight w:val="black"/>
              </w:rPr>
              <w:t>''''''''' '''''''''' ''''''''''</w:t>
            </w:r>
          </w:p>
        </w:tc>
        <w:tc>
          <w:tcPr>
            <w:tcW w:w="1386"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keepNext/>
              <w:jc w:val="center"/>
              <w:rPr>
                <w:rFonts w:ascii="Arial Narrow" w:hAnsi="Arial Narrow" w:cs="Arial"/>
              </w:rPr>
            </w:pPr>
            <w:r w:rsidRPr="00AC6A9F">
              <w:rPr>
                <w:rFonts w:ascii="Arial Narrow" w:hAnsi="Arial Narrow" w:cs="Arial"/>
              </w:rPr>
              <w:t>-5 [-17, 7]</w:t>
            </w:r>
          </w:p>
        </w:tc>
      </w:tr>
      <w:tr w:rsidR="002A6F27" w:rsidRPr="00607721" w:rsidTr="00543496">
        <w:tc>
          <w:tcPr>
            <w:tcW w:w="679" w:type="pct"/>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543496">
            <w:pPr>
              <w:pStyle w:val="Tabletext"/>
              <w:rPr>
                <w:rFonts w:ascii="Arial Narrow" w:hAnsi="Arial Narrow" w:cs="Arial"/>
                <w:b/>
              </w:rPr>
            </w:pPr>
            <w:r w:rsidRPr="00607721">
              <w:rPr>
                <w:rFonts w:ascii="Arial Narrow" w:hAnsi="Arial Narrow" w:cs="Arial"/>
                <w:b/>
              </w:rPr>
              <w:t>OR</w:t>
            </w:r>
            <w:r w:rsidR="00543496">
              <w:rPr>
                <w:rFonts w:ascii="Arial Narrow" w:hAnsi="Arial Narrow" w:cs="Arial"/>
                <w:b/>
              </w:rPr>
              <w:br/>
            </w:r>
            <w:r w:rsidRPr="00607721">
              <w:rPr>
                <w:rFonts w:ascii="Arial Narrow" w:hAnsi="Arial Narrow" w:cs="Arial"/>
                <w:b/>
              </w:rPr>
              <w:t>[95% CI]</w:t>
            </w:r>
          </w:p>
        </w:tc>
        <w:tc>
          <w:tcPr>
            <w:tcW w:w="1551"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 ''''''''''''</w:t>
            </w:r>
          </w:p>
        </w:tc>
        <w:tc>
          <w:tcPr>
            <w:tcW w:w="1384"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946E10" w:rsidRDefault="00946E10" w:rsidP="00CC22C1">
            <w:pPr>
              <w:pStyle w:val="Tabletext"/>
              <w:jc w:val="center"/>
              <w:rPr>
                <w:rFonts w:ascii="Arial Narrow" w:hAnsi="Arial Narrow" w:cs="Arial"/>
                <w:highlight w:val="black"/>
              </w:rPr>
            </w:pPr>
            <w:r>
              <w:rPr>
                <w:rFonts w:ascii="Arial Narrow" w:hAnsi="Arial Narrow" w:cs="Arial"/>
                <w:noProof/>
                <w:color w:val="000000"/>
                <w:highlight w:val="black"/>
              </w:rPr>
              <w:t>''''''''''' '''''''''''''' '''''''''''''''</w:t>
            </w:r>
          </w:p>
        </w:tc>
        <w:tc>
          <w:tcPr>
            <w:tcW w:w="1386" w:type="pct"/>
            <w:gridSpan w:val="4"/>
            <w:tcBorders>
              <w:top w:val="single" w:sz="4" w:space="0" w:color="000000"/>
              <w:left w:val="single" w:sz="4" w:space="0" w:color="000000"/>
              <w:bottom w:val="single" w:sz="4" w:space="0" w:color="000000"/>
              <w:right w:val="single" w:sz="4" w:space="0" w:color="000000"/>
            </w:tcBorders>
            <w:vAlign w:val="center"/>
            <w:hideMark/>
          </w:tcPr>
          <w:p w:rsidR="002A6F27" w:rsidRPr="00607721" w:rsidRDefault="002A6F27" w:rsidP="00CC22C1">
            <w:pPr>
              <w:pStyle w:val="Tabletext"/>
              <w:jc w:val="center"/>
              <w:rPr>
                <w:rFonts w:ascii="Arial Narrow" w:hAnsi="Arial Narrow" w:cs="Arial"/>
              </w:rPr>
            </w:pPr>
            <w:r w:rsidRPr="00AC6A9F">
              <w:rPr>
                <w:rFonts w:ascii="Arial Narrow" w:hAnsi="Arial Narrow" w:cs="Arial"/>
              </w:rPr>
              <w:t>0.44 [0.17, 1.11]</w:t>
            </w:r>
          </w:p>
        </w:tc>
      </w:tr>
    </w:tbl>
    <w:p w:rsidR="002A6F27" w:rsidRPr="00607721" w:rsidRDefault="00543496" w:rsidP="002A6F27">
      <w:pPr>
        <w:pStyle w:val="TableFooter"/>
        <w:ind w:firstLine="720"/>
      </w:pPr>
      <w:r>
        <w:t>* treatment-</w:t>
      </w:r>
      <w:r w:rsidR="002A6F27" w:rsidRPr="00607721">
        <w:t>naïve subgroup</w:t>
      </w:r>
    </w:p>
    <w:p w:rsidR="002A6F27" w:rsidRPr="00607721" w:rsidRDefault="002A6F27" w:rsidP="002A6F27">
      <w:pPr>
        <w:pStyle w:val="TableFooter"/>
        <w:ind w:firstLine="720"/>
      </w:pPr>
      <w:r w:rsidRPr="00607721">
        <w:t>** statistically significant result</w:t>
      </w:r>
    </w:p>
    <w:p w:rsidR="002A6F27" w:rsidRPr="00607721" w:rsidRDefault="002A6F27" w:rsidP="002A6F27">
      <w:pPr>
        <w:pStyle w:val="TableFooter"/>
        <w:ind w:left="720"/>
      </w:pPr>
      <w:r w:rsidRPr="00607721">
        <w:t>ACR50=American College of Rheumatology 50% response; ADA=adalimumab; CZP=certolizumab; OR=odds ratio; RD=risk difference; RR=risk ratio; PBO=placebo; UST=ustekinumab</w:t>
      </w:r>
    </w:p>
    <w:p w:rsidR="002A6F27" w:rsidRPr="00607721" w:rsidRDefault="002A6F27" w:rsidP="002A6F27">
      <w:pPr>
        <w:pStyle w:val="TableFooter"/>
        <w:ind w:left="720"/>
      </w:pPr>
      <w:r w:rsidRPr="00607721">
        <w:t>Source:</w:t>
      </w:r>
      <w:r w:rsidRPr="00607721">
        <w:rPr>
          <w:i/>
        </w:rPr>
        <w:t xml:space="preserve"> </w:t>
      </w:r>
      <w:r w:rsidRPr="00607721">
        <w:t>Analyses were conducted during the evaluation, including random effects meta-analysis using Review Manager 5.3 (I</w:t>
      </w:r>
      <w:r w:rsidRPr="00607721">
        <w:rPr>
          <w:vertAlign w:val="superscript"/>
        </w:rPr>
        <w:t>2</w:t>
      </w:r>
      <w:r w:rsidRPr="00607721">
        <w:t>=0%) and indirect comparisons using CADTH Indirect Treatment Comparisons program, using data from McInnes et al</w:t>
      </w:r>
      <w:r w:rsidR="00607721" w:rsidRPr="00607721">
        <w:rPr>
          <w:vertAlign w:val="superscript"/>
        </w:rPr>
        <w:t>1</w:t>
      </w:r>
      <w:r w:rsidRPr="00607721">
        <w:t>, Ritchlin et al</w:t>
      </w:r>
      <w:r w:rsidR="00F52282" w:rsidRPr="00607721">
        <w:rPr>
          <w:rStyle w:val="FootnoteReference"/>
        </w:rPr>
        <w:footnoteReference w:id="2"/>
      </w:r>
      <w:r w:rsidRPr="00607721">
        <w:t>, Mease et al</w:t>
      </w:r>
      <w:r w:rsidR="00F52282" w:rsidRPr="00607721">
        <w:rPr>
          <w:rStyle w:val="FootnoteReference"/>
        </w:rPr>
        <w:footnoteReference w:id="3"/>
      </w:r>
      <w:r w:rsidRPr="00607721">
        <w:t xml:space="preserve"> and Mease et a</w:t>
      </w:r>
      <w:r w:rsidR="00F52282" w:rsidRPr="00607721">
        <w:t>l</w:t>
      </w:r>
      <w:r w:rsidR="00F52282" w:rsidRPr="00607721">
        <w:rPr>
          <w:rStyle w:val="FootnoteReference"/>
        </w:rPr>
        <w:footnoteReference w:id="4"/>
      </w:r>
      <w:r w:rsidRPr="00607721">
        <w:t>.</w:t>
      </w:r>
    </w:p>
    <w:p w:rsidR="002A6F27" w:rsidRPr="00200882" w:rsidRDefault="002A6F27" w:rsidP="002A6F27">
      <w:pPr>
        <w:rPr>
          <w:rFonts w:ascii="Arial" w:hAnsi="Arial" w:cs="Arial"/>
          <w:sz w:val="22"/>
          <w:szCs w:val="22"/>
        </w:rPr>
      </w:pPr>
    </w:p>
    <w:p w:rsidR="00734E10" w:rsidRPr="00B84392" w:rsidRDefault="00734E10" w:rsidP="00B84392">
      <w:pPr>
        <w:jc w:val="both"/>
        <w:rPr>
          <w:rFonts w:ascii="Arial" w:hAnsi="Arial"/>
          <w:iCs/>
          <w:sz w:val="22"/>
          <w:szCs w:val="22"/>
        </w:rPr>
      </w:pPr>
      <w:r w:rsidRPr="00B84392">
        <w:rPr>
          <w:rFonts w:ascii="Arial" w:hAnsi="Arial"/>
          <w:iCs/>
          <w:sz w:val="22"/>
          <w:szCs w:val="22"/>
        </w:rPr>
        <w:br w:type="page"/>
      </w:r>
    </w:p>
    <w:p w:rsidR="000161E8" w:rsidRPr="000161E8" w:rsidRDefault="00734E10" w:rsidP="00607721">
      <w:pPr>
        <w:pStyle w:val="ListParagraph"/>
        <w:numPr>
          <w:ilvl w:val="1"/>
          <w:numId w:val="1"/>
        </w:numPr>
        <w:jc w:val="both"/>
        <w:rPr>
          <w:rFonts w:ascii="Arial" w:hAnsi="Arial" w:cs="Arial"/>
          <w:sz w:val="22"/>
          <w:szCs w:val="22"/>
        </w:rPr>
      </w:pPr>
      <w:r w:rsidRPr="00734E10">
        <w:rPr>
          <w:rFonts w:ascii="Arial" w:hAnsi="Arial"/>
          <w:iCs/>
          <w:sz w:val="22"/>
          <w:szCs w:val="22"/>
        </w:rPr>
        <w:lastRenderedPageBreak/>
        <w:t>Table</w:t>
      </w:r>
      <w:r w:rsidRPr="002A6F27">
        <w:rPr>
          <w:rStyle w:val="CommentReference"/>
          <w:rFonts w:ascii="Arial Narrow" w:hAnsi="Arial Narrow" w:cs="Arial"/>
          <w:b/>
          <w:sz w:val="20"/>
          <w:szCs w:val="20"/>
        </w:rPr>
        <w:t xml:space="preserve"> </w:t>
      </w:r>
      <w:r>
        <w:rPr>
          <w:rStyle w:val="CommentReference"/>
          <w:rFonts w:ascii="Arial Narrow" w:hAnsi="Arial Narrow" w:cs="Arial"/>
          <w:b/>
          <w:noProof/>
          <w:sz w:val="20"/>
          <w:szCs w:val="20"/>
        </w:rPr>
        <w:t>1</w:t>
      </w:r>
      <w:r w:rsidR="00607721" w:rsidRPr="002A6F27">
        <w:rPr>
          <w:rFonts w:ascii="Arial" w:hAnsi="Arial" w:cs="Arial"/>
          <w:iCs/>
          <w:sz w:val="22"/>
          <w:szCs w:val="22"/>
        </w:rPr>
        <w:t xml:space="preserve"> indicates that UST was significantly inferior to ADA in terms of the OR and RD, with</w:t>
      </w:r>
      <w:r w:rsidR="00607721" w:rsidRPr="002A6F27">
        <w:rPr>
          <w:rFonts w:ascii="Arial" w:hAnsi="Arial" w:cs="Arial"/>
          <w:sz w:val="22"/>
          <w:szCs w:val="22"/>
        </w:rPr>
        <w:t xml:space="preserve"> a trend towards inferiority when measured by RR (upper limit = </w:t>
      </w:r>
      <w:r w:rsidR="00946E10">
        <w:rPr>
          <w:rFonts w:ascii="Arial" w:hAnsi="Arial" w:cs="Arial"/>
          <w:noProof/>
          <w:color w:val="000000"/>
          <w:sz w:val="22"/>
          <w:szCs w:val="22"/>
          <w:highlight w:val="black"/>
        </w:rPr>
        <w:t>''''''''''''</w:t>
      </w:r>
      <w:r w:rsidR="00607721" w:rsidRPr="002A6F27">
        <w:rPr>
          <w:rFonts w:ascii="Arial" w:hAnsi="Arial" w:cs="Arial"/>
          <w:sz w:val="22"/>
          <w:szCs w:val="22"/>
        </w:rPr>
        <w:t xml:space="preserve">). </w:t>
      </w:r>
      <w:r w:rsidR="000161E8">
        <w:rPr>
          <w:rFonts w:ascii="Arial" w:hAnsi="Arial" w:cs="Arial"/>
          <w:sz w:val="22"/>
          <w:szCs w:val="22"/>
        </w:rPr>
        <w:t xml:space="preserve">It </w:t>
      </w:r>
      <w:r w:rsidR="00543496">
        <w:rPr>
          <w:rFonts w:ascii="Arial" w:hAnsi="Arial" w:cs="Arial"/>
          <w:sz w:val="22"/>
          <w:szCs w:val="22"/>
        </w:rPr>
        <w:t>wa</w:t>
      </w:r>
      <w:r w:rsidR="000161E8">
        <w:rPr>
          <w:rFonts w:ascii="Arial" w:hAnsi="Arial" w:cs="Arial"/>
          <w:sz w:val="22"/>
          <w:szCs w:val="22"/>
        </w:rPr>
        <w:t xml:space="preserve">s noted that these results are at 24 weeks. </w:t>
      </w:r>
      <w:r w:rsidR="000161E8" w:rsidRPr="002C741E">
        <w:rPr>
          <w:rFonts w:ascii="Arial" w:hAnsi="Arial" w:cs="Arial"/>
          <w:snapToGrid w:val="0"/>
          <w:sz w:val="22"/>
          <w:szCs w:val="22"/>
          <w:lang w:eastAsia="en-US"/>
        </w:rPr>
        <w:t xml:space="preserve">The PBAC </w:t>
      </w:r>
      <w:r w:rsidR="000161E8">
        <w:rPr>
          <w:rFonts w:ascii="Arial" w:hAnsi="Arial" w:cs="Arial"/>
          <w:snapToGrid w:val="0"/>
          <w:sz w:val="22"/>
          <w:szCs w:val="22"/>
          <w:lang w:eastAsia="en-US"/>
        </w:rPr>
        <w:t xml:space="preserve">previously </w:t>
      </w:r>
      <w:r w:rsidR="000161E8" w:rsidRPr="008373AA">
        <w:rPr>
          <w:rFonts w:ascii="Arial" w:hAnsi="Arial" w:cs="Arial"/>
          <w:snapToGrid w:val="0"/>
          <w:sz w:val="22"/>
          <w:szCs w:val="22"/>
          <w:lang w:eastAsia="en-US"/>
        </w:rPr>
        <w:t xml:space="preserve">agreed that </w:t>
      </w:r>
      <w:r w:rsidR="000161E8">
        <w:rPr>
          <w:rFonts w:ascii="Arial" w:hAnsi="Arial" w:cs="Arial"/>
          <w:snapToGrid w:val="0"/>
          <w:sz w:val="22"/>
          <w:szCs w:val="22"/>
          <w:lang w:eastAsia="en-US"/>
        </w:rPr>
        <w:t>this was problematic as it could lead to patients experiencing</w:t>
      </w:r>
      <w:r w:rsidR="000161E8" w:rsidRPr="008373AA">
        <w:rPr>
          <w:rFonts w:ascii="Arial" w:hAnsi="Arial" w:cs="Arial"/>
          <w:snapToGrid w:val="0"/>
          <w:sz w:val="22"/>
          <w:szCs w:val="22"/>
          <w:lang w:eastAsia="en-US"/>
        </w:rPr>
        <w:t xml:space="preserve"> a delay of up to 3</w:t>
      </w:r>
      <w:r w:rsidR="000161E8">
        <w:rPr>
          <w:rFonts w:ascii="Arial" w:hAnsi="Arial" w:cs="Arial"/>
          <w:snapToGrid w:val="0"/>
          <w:sz w:val="22"/>
          <w:szCs w:val="22"/>
          <w:lang w:eastAsia="en-US"/>
        </w:rPr>
        <w:t> </w:t>
      </w:r>
      <w:r w:rsidR="000161E8" w:rsidRPr="008373AA">
        <w:rPr>
          <w:rFonts w:ascii="Arial" w:hAnsi="Arial" w:cs="Arial"/>
          <w:snapToGrid w:val="0"/>
          <w:sz w:val="22"/>
          <w:szCs w:val="22"/>
          <w:lang w:eastAsia="en-US"/>
        </w:rPr>
        <w:t>months in access to potentially more effective therapy.</w:t>
      </w:r>
    </w:p>
    <w:p w:rsidR="000161E8" w:rsidRPr="000161E8" w:rsidRDefault="000161E8" w:rsidP="000161E8">
      <w:pPr>
        <w:jc w:val="both"/>
        <w:rPr>
          <w:rFonts w:ascii="Arial" w:hAnsi="Arial" w:cs="Arial"/>
          <w:sz w:val="22"/>
          <w:szCs w:val="22"/>
        </w:rPr>
      </w:pPr>
    </w:p>
    <w:p w:rsidR="00607721" w:rsidRPr="002A6F27" w:rsidRDefault="00607721" w:rsidP="00607721">
      <w:pPr>
        <w:pStyle w:val="ListParagraph"/>
        <w:numPr>
          <w:ilvl w:val="1"/>
          <w:numId w:val="1"/>
        </w:numPr>
        <w:jc w:val="both"/>
        <w:rPr>
          <w:rFonts w:ascii="Arial" w:hAnsi="Arial" w:cs="Arial"/>
          <w:sz w:val="22"/>
          <w:szCs w:val="22"/>
        </w:rPr>
      </w:pPr>
      <w:r w:rsidRPr="002A6F27">
        <w:rPr>
          <w:rFonts w:ascii="Arial" w:hAnsi="Arial" w:cs="Arial"/>
          <w:sz w:val="22"/>
          <w:szCs w:val="22"/>
        </w:rPr>
        <w:t xml:space="preserve">CZP was not </w:t>
      </w:r>
      <w:r w:rsidR="00543496">
        <w:rPr>
          <w:rFonts w:ascii="Arial" w:hAnsi="Arial" w:cs="Arial"/>
          <w:sz w:val="22"/>
          <w:szCs w:val="22"/>
        </w:rPr>
        <w:t xml:space="preserve">significantly </w:t>
      </w:r>
      <w:r w:rsidRPr="002A6F27">
        <w:rPr>
          <w:rFonts w:ascii="Arial" w:hAnsi="Arial" w:cs="Arial"/>
          <w:sz w:val="22"/>
          <w:szCs w:val="22"/>
        </w:rPr>
        <w:t xml:space="preserve">inferior to ADA on any measure, although the upper limit for RR was </w:t>
      </w:r>
      <w:r w:rsidRPr="009C5F80">
        <w:rPr>
          <w:rFonts w:ascii="Arial" w:hAnsi="Arial" w:cs="Arial"/>
          <w:sz w:val="22"/>
          <w:szCs w:val="22"/>
        </w:rPr>
        <w:t>1.01.</w:t>
      </w:r>
      <w:r w:rsidRPr="002A6F27">
        <w:rPr>
          <w:rFonts w:ascii="Arial" w:hAnsi="Arial" w:cs="Arial"/>
          <w:sz w:val="22"/>
          <w:szCs w:val="22"/>
        </w:rPr>
        <w:t xml:space="preserve"> For the compar</w:t>
      </w:r>
      <w:r w:rsidR="00543496">
        <w:rPr>
          <w:rFonts w:ascii="Arial" w:hAnsi="Arial" w:cs="Arial"/>
          <w:sz w:val="22"/>
          <w:szCs w:val="22"/>
        </w:rPr>
        <w:t>ison of UST to CZP in treatment-</w:t>
      </w:r>
      <w:r w:rsidRPr="002A6F27">
        <w:rPr>
          <w:rFonts w:ascii="Arial" w:hAnsi="Arial" w:cs="Arial"/>
          <w:sz w:val="22"/>
          <w:szCs w:val="22"/>
        </w:rPr>
        <w:t xml:space="preserve">naïve patients enrolled in the trials, RR and OR support the conclusion of non-inferiority, while RD provides less convincing support for this conclusion </w:t>
      </w:r>
      <w:r w:rsidR="00946E10">
        <w:rPr>
          <w:rFonts w:ascii="Arial" w:hAnsi="Arial" w:cs="Arial"/>
          <w:noProof/>
          <w:color w:val="000000"/>
          <w:sz w:val="22"/>
          <w:szCs w:val="22"/>
          <w:highlight w:val="black"/>
        </w:rPr>
        <w:t>''''''''''' ''''''''''' '''''' ''''''''' '''</w:t>
      </w:r>
      <w:r w:rsidRPr="002A6F27">
        <w:rPr>
          <w:rFonts w:ascii="Arial" w:hAnsi="Arial" w:cs="Arial"/>
          <w:sz w:val="22"/>
          <w:szCs w:val="22"/>
        </w:rPr>
        <w:t>).</w:t>
      </w:r>
    </w:p>
    <w:p w:rsidR="00607721" w:rsidRPr="00607721" w:rsidRDefault="00607721" w:rsidP="00607721">
      <w:pPr>
        <w:jc w:val="both"/>
        <w:rPr>
          <w:rFonts w:ascii="Arial" w:hAnsi="Arial" w:cs="Arial"/>
          <w:sz w:val="22"/>
          <w:szCs w:val="22"/>
        </w:rPr>
      </w:pPr>
    </w:p>
    <w:p w:rsidR="002A6F27" w:rsidRPr="002A6F27" w:rsidRDefault="002A6F27" w:rsidP="00F52282">
      <w:pPr>
        <w:pStyle w:val="ListParagraph"/>
        <w:numPr>
          <w:ilvl w:val="1"/>
          <w:numId w:val="1"/>
        </w:numPr>
        <w:jc w:val="both"/>
        <w:rPr>
          <w:rFonts w:ascii="Arial" w:hAnsi="Arial" w:cs="Arial"/>
          <w:sz w:val="22"/>
          <w:szCs w:val="22"/>
        </w:rPr>
      </w:pPr>
      <w:r w:rsidRPr="002A6F27">
        <w:rPr>
          <w:rFonts w:ascii="Arial" w:hAnsi="Arial" w:cs="Arial"/>
          <w:sz w:val="22"/>
          <w:szCs w:val="22"/>
        </w:rPr>
        <w:t xml:space="preserve">Table 2 below presents the comparison of UST and CZP for ACR50 at 24 weeks using all available data for all patients (i.e. both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 xml:space="preserve">naïve and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experienced) who were recruited to the trials. This was conducted to examine whether different conclusions are reached based on indirect comparisons of subgroup analyses or the ITT populations.</w:t>
      </w:r>
    </w:p>
    <w:p w:rsidR="002A6F27" w:rsidRPr="002A6F27" w:rsidRDefault="002A6F27" w:rsidP="002A6F27">
      <w:pPr>
        <w:rPr>
          <w:rFonts w:ascii="Arial" w:hAnsi="Arial" w:cs="Arial"/>
          <w:sz w:val="22"/>
          <w:szCs w:val="22"/>
        </w:rPr>
      </w:pPr>
    </w:p>
    <w:p w:rsidR="002A6F27" w:rsidRPr="002A6F27" w:rsidRDefault="002A6F27" w:rsidP="002A6F27">
      <w:pPr>
        <w:keepNext/>
        <w:ind w:firstLine="720"/>
        <w:rPr>
          <w:rStyle w:val="CommentReference"/>
          <w:rFonts w:ascii="Arial Narrow" w:hAnsi="Arial Narrow" w:cs="Arial"/>
          <w:b/>
          <w:sz w:val="20"/>
          <w:szCs w:val="20"/>
        </w:rPr>
      </w:pPr>
      <w:bookmarkStart w:id="2" w:name="_Ref429412777"/>
      <w:r w:rsidRPr="002A6F27">
        <w:rPr>
          <w:rStyle w:val="CommentReference"/>
          <w:rFonts w:ascii="Arial Narrow" w:hAnsi="Arial Narrow" w:cs="Arial"/>
          <w:b/>
          <w:sz w:val="20"/>
          <w:szCs w:val="20"/>
        </w:rPr>
        <w:t xml:space="preserve">Table </w:t>
      </w:r>
      <w:r w:rsidR="00734E10">
        <w:rPr>
          <w:rStyle w:val="CommentReference"/>
          <w:rFonts w:ascii="Arial Narrow" w:hAnsi="Arial Narrow" w:cs="Arial"/>
          <w:b/>
          <w:noProof/>
          <w:sz w:val="20"/>
          <w:szCs w:val="20"/>
        </w:rPr>
        <w:t>2</w:t>
      </w:r>
      <w:bookmarkEnd w:id="2"/>
      <w:r w:rsidRPr="002A6F27">
        <w:rPr>
          <w:rStyle w:val="CommentReference"/>
          <w:rFonts w:ascii="Arial Narrow" w:hAnsi="Arial Narrow" w:cs="Arial"/>
          <w:b/>
          <w:sz w:val="20"/>
          <w:szCs w:val="20"/>
        </w:rPr>
        <w:t>: Indirect comparison of UST and CZP in all patients at 24 weeks</w:t>
      </w:r>
    </w:p>
    <w:tbl>
      <w:tblPr>
        <w:tblW w:w="4601"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708"/>
        <w:gridCol w:w="852"/>
        <w:gridCol w:w="961"/>
        <w:gridCol w:w="881"/>
        <w:gridCol w:w="869"/>
        <w:gridCol w:w="934"/>
        <w:gridCol w:w="810"/>
        <w:gridCol w:w="930"/>
      </w:tblGrid>
      <w:tr w:rsidR="002A6F27" w:rsidRPr="002A6F27" w:rsidTr="00543496">
        <w:tc>
          <w:tcPr>
            <w:tcW w:w="917" w:type="pct"/>
            <w:vMerge w:val="restart"/>
            <w:tcBorders>
              <w:top w:val="single" w:sz="4" w:space="0" w:color="000000"/>
              <w:left w:val="single" w:sz="4" w:space="0" w:color="000000"/>
              <w:bottom w:val="single" w:sz="4" w:space="0" w:color="000000"/>
              <w:right w:val="single" w:sz="4" w:space="0" w:color="000000"/>
            </w:tcBorders>
          </w:tcPr>
          <w:p w:rsidR="002A6F27" w:rsidRPr="002A6F27" w:rsidRDefault="002A6F27" w:rsidP="00CC22C1">
            <w:pPr>
              <w:pStyle w:val="TableHeader"/>
              <w:rPr>
                <w:rFonts w:ascii="Arial Narrow" w:hAnsi="Arial Narrow"/>
              </w:rPr>
            </w:pPr>
          </w:p>
        </w:tc>
        <w:tc>
          <w:tcPr>
            <w:tcW w:w="3060" w:type="pct"/>
            <w:gridSpan w:val="6"/>
            <w:tcBorders>
              <w:top w:val="single" w:sz="4" w:space="0" w:color="000000"/>
              <w:left w:val="single" w:sz="4" w:space="0" w:color="000000"/>
              <w:bottom w:val="single" w:sz="4" w:space="0" w:color="000000"/>
              <w:right w:val="single" w:sz="4" w:space="0" w:color="000000"/>
            </w:tcBorders>
            <w:hideMark/>
          </w:tcPr>
          <w:p w:rsidR="002A6F27" w:rsidRPr="002A6F27" w:rsidRDefault="002A6F27" w:rsidP="00CC22C1">
            <w:pPr>
              <w:pStyle w:val="TableHeader"/>
              <w:jc w:val="center"/>
              <w:rPr>
                <w:rFonts w:ascii="Arial Narrow" w:hAnsi="Arial Narrow"/>
              </w:rPr>
            </w:pPr>
            <w:r w:rsidRPr="002A6F27">
              <w:rPr>
                <w:rFonts w:ascii="Arial Narrow" w:hAnsi="Arial Narrow"/>
              </w:rPr>
              <w:t>Ustekinumab, 45</w:t>
            </w:r>
            <w:r w:rsidR="00543496">
              <w:rPr>
                <w:rFonts w:ascii="Arial Narrow" w:hAnsi="Arial Narrow"/>
              </w:rPr>
              <w:t> </w:t>
            </w:r>
            <w:r w:rsidRPr="002A6F27">
              <w:rPr>
                <w:rFonts w:ascii="Arial Narrow" w:hAnsi="Arial Narrow"/>
              </w:rPr>
              <w:t>mg</w:t>
            </w:r>
          </w:p>
          <w:p w:rsidR="002A6F27" w:rsidRPr="002A6F27" w:rsidRDefault="002A6F27" w:rsidP="00CC22C1">
            <w:pPr>
              <w:pStyle w:val="TableHeader"/>
              <w:jc w:val="center"/>
              <w:rPr>
                <w:rFonts w:ascii="Arial Narrow" w:hAnsi="Arial Narrow"/>
              </w:rPr>
            </w:pPr>
            <w:r w:rsidRPr="002A6F27">
              <w:rPr>
                <w:rFonts w:ascii="Arial Narrow" w:hAnsi="Arial Narrow"/>
              </w:rPr>
              <w:t>(24 weeks)</w:t>
            </w:r>
          </w:p>
        </w:tc>
        <w:tc>
          <w:tcPr>
            <w:tcW w:w="1023" w:type="pct"/>
            <w:gridSpan w:val="2"/>
            <w:tcBorders>
              <w:top w:val="single" w:sz="4" w:space="0" w:color="000000"/>
              <w:left w:val="single" w:sz="4" w:space="0" w:color="000000"/>
              <w:bottom w:val="single" w:sz="4" w:space="0" w:color="000000"/>
              <w:right w:val="single" w:sz="4" w:space="0" w:color="000000"/>
            </w:tcBorders>
            <w:hideMark/>
          </w:tcPr>
          <w:p w:rsidR="002A6F27" w:rsidRPr="002A6F27" w:rsidRDefault="002A6F27" w:rsidP="00CC22C1">
            <w:pPr>
              <w:pStyle w:val="TableHeader"/>
              <w:jc w:val="center"/>
              <w:rPr>
                <w:rFonts w:ascii="Arial Narrow" w:hAnsi="Arial Narrow"/>
              </w:rPr>
            </w:pPr>
            <w:r w:rsidRPr="002A6F27">
              <w:rPr>
                <w:rFonts w:ascii="Arial Narrow" w:hAnsi="Arial Narrow"/>
              </w:rPr>
              <w:t>Certolizumab</w:t>
            </w:r>
          </w:p>
          <w:p w:rsidR="002A6F27" w:rsidRPr="002A6F27" w:rsidRDefault="002A6F27" w:rsidP="00CC22C1">
            <w:pPr>
              <w:pStyle w:val="TableHeader"/>
              <w:jc w:val="center"/>
              <w:rPr>
                <w:rFonts w:ascii="Arial Narrow" w:hAnsi="Arial Narrow"/>
              </w:rPr>
            </w:pPr>
            <w:r w:rsidRPr="002A6F27">
              <w:rPr>
                <w:rFonts w:ascii="Arial Narrow" w:hAnsi="Arial Narrow"/>
              </w:rPr>
              <w:t>(24 weeks)</w:t>
            </w:r>
          </w:p>
        </w:tc>
      </w:tr>
      <w:tr w:rsidR="002A6F27" w:rsidRPr="002A6F27" w:rsidTr="00543496">
        <w:tc>
          <w:tcPr>
            <w:tcW w:w="917" w:type="pct"/>
            <w:vMerge/>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rPr>
                <w:rFonts w:ascii="Arial Narrow" w:hAnsi="Arial Narrow" w:cs="Arial"/>
                <w:b/>
                <w:sz w:val="20"/>
                <w:szCs w:val="20"/>
              </w:rPr>
            </w:pPr>
          </w:p>
        </w:tc>
        <w:tc>
          <w:tcPr>
            <w:tcW w:w="917"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PSUMMIT-1</w:t>
            </w:r>
          </w:p>
          <w:p w:rsidR="002A6F27" w:rsidRPr="002A6F27" w:rsidRDefault="002A6F27" w:rsidP="00CC22C1">
            <w:pPr>
              <w:pStyle w:val="TableHeader"/>
              <w:jc w:val="center"/>
              <w:rPr>
                <w:rFonts w:ascii="Arial Narrow" w:hAnsi="Arial Narrow"/>
              </w:rPr>
            </w:pPr>
            <w:r w:rsidRPr="002A6F27">
              <w:rPr>
                <w:rFonts w:ascii="Arial Narrow" w:hAnsi="Arial Narrow"/>
                <w:b w:val="0"/>
              </w:rPr>
              <w:t>Treatment naïve</w:t>
            </w:r>
          </w:p>
        </w:tc>
        <w:tc>
          <w:tcPr>
            <w:tcW w:w="108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PSUMMIT-2</w:t>
            </w:r>
          </w:p>
          <w:p w:rsidR="002A6F27" w:rsidRPr="002A6F27" w:rsidRDefault="002A6F27" w:rsidP="00CC22C1">
            <w:pPr>
              <w:pStyle w:val="TableHeader"/>
              <w:jc w:val="center"/>
              <w:rPr>
                <w:rFonts w:ascii="Arial Narrow" w:hAnsi="Arial Narrow"/>
              </w:rPr>
            </w:pPr>
            <w:r w:rsidRPr="002A6F27">
              <w:rPr>
                <w:rFonts w:ascii="Arial Narrow" w:hAnsi="Arial Narrow"/>
                <w:b w:val="0"/>
              </w:rPr>
              <w:t>Treatment experienced &amp; naïve</w:t>
            </w:r>
          </w:p>
        </w:tc>
        <w:tc>
          <w:tcPr>
            <w:tcW w:w="1060"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Meta-analysis</w:t>
            </w:r>
          </w:p>
          <w:p w:rsidR="002A6F27" w:rsidRPr="002A6F27" w:rsidRDefault="002A6F27" w:rsidP="00CC22C1">
            <w:pPr>
              <w:pStyle w:val="TableHeader"/>
              <w:jc w:val="center"/>
              <w:rPr>
                <w:rFonts w:ascii="Arial Narrow" w:hAnsi="Arial Narrow"/>
              </w:rPr>
            </w:pPr>
            <w:r w:rsidRPr="002A6F27">
              <w:rPr>
                <w:rFonts w:ascii="Arial Narrow" w:hAnsi="Arial Narrow"/>
                <w:b w:val="0"/>
              </w:rPr>
              <w:t>Treatment experienced &amp; naïve</w:t>
            </w:r>
          </w:p>
        </w:tc>
        <w:tc>
          <w:tcPr>
            <w:tcW w:w="102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RAPID-PsA</w:t>
            </w:r>
          </w:p>
          <w:p w:rsidR="002A6F27" w:rsidRPr="002A6F27" w:rsidRDefault="002A6F27" w:rsidP="00CC22C1">
            <w:pPr>
              <w:pStyle w:val="TableHeader"/>
              <w:jc w:val="center"/>
              <w:rPr>
                <w:rFonts w:ascii="Arial Narrow" w:hAnsi="Arial Narrow"/>
              </w:rPr>
            </w:pPr>
            <w:r w:rsidRPr="002A6F27">
              <w:rPr>
                <w:rFonts w:ascii="Arial Narrow" w:hAnsi="Arial Narrow"/>
                <w:b w:val="0"/>
              </w:rPr>
              <w:t>Treatment experienced &amp; naïve</w:t>
            </w:r>
          </w:p>
        </w:tc>
      </w:tr>
      <w:tr w:rsidR="002A6F27" w:rsidRPr="002A6F27" w:rsidTr="00543496">
        <w:tc>
          <w:tcPr>
            <w:tcW w:w="917" w:type="pct"/>
            <w:vMerge/>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rPr>
                <w:rFonts w:ascii="Arial Narrow" w:hAnsi="Arial Narrow" w:cs="Arial"/>
                <w:b/>
                <w:sz w:val="20"/>
                <w:szCs w:val="20"/>
              </w:rPr>
            </w:pP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UST</w:t>
            </w:r>
          </w:p>
        </w:tc>
        <w:tc>
          <w:tcPr>
            <w:tcW w:w="501"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PBO</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UST</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PBO</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UST</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PBO</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CZP</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Header"/>
              <w:jc w:val="center"/>
              <w:rPr>
                <w:rFonts w:ascii="Arial Narrow" w:hAnsi="Arial Narrow"/>
              </w:rPr>
            </w:pPr>
            <w:r w:rsidRPr="002A6F27">
              <w:rPr>
                <w:rFonts w:ascii="Arial Narrow" w:hAnsi="Arial Narrow"/>
              </w:rPr>
              <w:t>PBO</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rPr>
                <w:rFonts w:ascii="Arial Narrow" w:hAnsi="Arial Narrow" w:cs="Arial"/>
                <w:b/>
              </w:rPr>
            </w:pPr>
            <w:r w:rsidRPr="002A6F27">
              <w:rPr>
                <w:rFonts w:ascii="Arial Narrow" w:hAnsi="Arial Narrow" w:cs="Arial"/>
                <w:b/>
              </w:rPr>
              <w:t xml:space="preserve">ACR 50, n/N </w:t>
            </w:r>
            <w:r w:rsidRPr="002A6F27">
              <w:rPr>
                <w:rFonts w:ascii="Arial Narrow" w:hAnsi="Arial Narrow" w:cs="Arial"/>
                <w:b/>
              </w:rPr>
              <w:br/>
              <w:t>(%)</w:t>
            </w:r>
          </w:p>
        </w:tc>
        <w:tc>
          <w:tcPr>
            <w:tcW w:w="416"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543496">
            <w:pPr>
              <w:pStyle w:val="Tabletext"/>
              <w:ind w:left="-108" w:right="-109"/>
              <w:jc w:val="center"/>
              <w:rPr>
                <w:rFonts w:ascii="Arial Narrow" w:hAnsi="Arial Narrow" w:cs="Arial"/>
              </w:rPr>
            </w:pPr>
            <w:r w:rsidRPr="002A6F27">
              <w:rPr>
                <w:rFonts w:ascii="Arial Narrow" w:hAnsi="Arial Narrow" w:cs="Arial"/>
              </w:rPr>
              <w:t>51/205 (24.9)</w:t>
            </w:r>
          </w:p>
        </w:tc>
        <w:tc>
          <w:tcPr>
            <w:tcW w:w="501"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 xml:space="preserve">18/206 </w:t>
            </w:r>
            <w:r w:rsidRPr="002A6F27">
              <w:rPr>
                <w:rFonts w:ascii="Arial Narrow" w:hAnsi="Arial Narrow" w:cs="Arial"/>
              </w:rPr>
              <w:br/>
              <w:t>(8.7)</w:t>
            </w:r>
          </w:p>
        </w:tc>
        <w:tc>
          <w:tcPr>
            <w:tcW w:w="565"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18/103 (17.5)</w:t>
            </w:r>
          </w:p>
        </w:tc>
        <w:tc>
          <w:tcPr>
            <w:tcW w:w="518"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 xml:space="preserve">7/104 </w:t>
            </w:r>
            <w:r w:rsidRPr="002A6F27">
              <w:rPr>
                <w:rFonts w:ascii="Arial Narrow" w:hAnsi="Arial Narrow" w:cs="Arial"/>
              </w:rPr>
              <w:br/>
              <w:t>(6.7)</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69/308</w:t>
            </w:r>
            <w:r w:rsidRPr="009C5F80">
              <w:rPr>
                <w:rFonts w:ascii="Arial Narrow" w:hAnsi="Arial Narrow" w:cs="Arial"/>
              </w:rPr>
              <w:br/>
              <w:t>(22.4)</w:t>
            </w:r>
          </w:p>
        </w:tc>
        <w:tc>
          <w:tcPr>
            <w:tcW w:w="549"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 xml:space="preserve">25/310 </w:t>
            </w:r>
            <w:r w:rsidRPr="009C5F80">
              <w:rPr>
                <w:rFonts w:ascii="Arial Narrow" w:hAnsi="Arial Narrow" w:cs="Arial"/>
              </w:rPr>
              <w:br/>
              <w:t>(8.1)</w:t>
            </w:r>
          </w:p>
        </w:tc>
        <w:tc>
          <w:tcPr>
            <w:tcW w:w="476"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115/273 (42.1)</w:t>
            </w:r>
          </w:p>
        </w:tc>
        <w:tc>
          <w:tcPr>
            <w:tcW w:w="54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17/136 (12.5)</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rPr>
                <w:rFonts w:ascii="Arial Narrow" w:hAnsi="Arial Narrow" w:cs="Arial"/>
                <w:b/>
              </w:rPr>
            </w:pPr>
            <w:r w:rsidRPr="002A6F27">
              <w:rPr>
                <w:rFonts w:ascii="Arial Narrow" w:hAnsi="Arial Narrow" w:cs="Arial"/>
                <w:b/>
              </w:rPr>
              <w:t>RR [95% CI]</w:t>
            </w:r>
          </w:p>
        </w:tc>
        <w:tc>
          <w:tcPr>
            <w:tcW w:w="917"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2.85 [1.72, 4.70]</w:t>
            </w:r>
          </w:p>
        </w:tc>
        <w:tc>
          <w:tcPr>
            <w:tcW w:w="108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2.60 [1.13, 5.95]</w:t>
            </w:r>
          </w:p>
        </w:tc>
        <w:tc>
          <w:tcPr>
            <w:tcW w:w="1060"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2.78 [1.81, 4.27]</w:t>
            </w:r>
          </w:p>
        </w:tc>
        <w:tc>
          <w:tcPr>
            <w:tcW w:w="102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3.37 [2.11, 5.37]</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rPr>
                <w:rFonts w:ascii="Arial Narrow" w:hAnsi="Arial Narrow" w:cs="Arial"/>
                <w:b/>
              </w:rPr>
            </w:pPr>
            <w:r w:rsidRPr="002A6F27">
              <w:rPr>
                <w:rFonts w:ascii="Arial Narrow" w:hAnsi="Arial Narrow" w:cs="Arial"/>
                <w:b/>
              </w:rPr>
              <w:t>RD (%) [95% CI]</w:t>
            </w:r>
          </w:p>
        </w:tc>
        <w:tc>
          <w:tcPr>
            <w:tcW w:w="917"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16 [9, 23]</w:t>
            </w:r>
          </w:p>
        </w:tc>
        <w:tc>
          <w:tcPr>
            <w:tcW w:w="108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2A6F27">
              <w:rPr>
                <w:rFonts w:ascii="Arial Narrow" w:hAnsi="Arial Narrow" w:cs="Arial"/>
              </w:rPr>
              <w:t>11 [2, 20]</w:t>
            </w:r>
          </w:p>
        </w:tc>
        <w:tc>
          <w:tcPr>
            <w:tcW w:w="1060"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14 [9, 20]</w:t>
            </w:r>
          </w:p>
        </w:tc>
        <w:tc>
          <w:tcPr>
            <w:tcW w:w="1023" w:type="pct"/>
            <w:gridSpan w:val="2"/>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30 [22, 38]</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tcPr>
          <w:p w:rsidR="002A6F27" w:rsidRPr="002A6F27" w:rsidRDefault="002A6F27" w:rsidP="00543496">
            <w:pPr>
              <w:pStyle w:val="Tabletext"/>
              <w:rPr>
                <w:rFonts w:ascii="Arial Narrow" w:hAnsi="Arial Narrow" w:cs="Arial"/>
                <w:b/>
              </w:rPr>
            </w:pPr>
            <w:r w:rsidRPr="002A6F27">
              <w:rPr>
                <w:rFonts w:ascii="Arial Narrow" w:hAnsi="Arial Narrow" w:cs="Arial"/>
                <w:b/>
              </w:rPr>
              <w:t>OR</w:t>
            </w:r>
            <w:r w:rsidR="00543496">
              <w:rPr>
                <w:rFonts w:ascii="Arial Narrow" w:hAnsi="Arial Narrow" w:cs="Arial"/>
                <w:b/>
              </w:rPr>
              <w:t xml:space="preserve"> </w:t>
            </w:r>
            <w:r w:rsidRPr="002A6F27">
              <w:rPr>
                <w:rFonts w:ascii="Arial Narrow" w:hAnsi="Arial Narrow" w:cs="Arial"/>
                <w:b/>
              </w:rPr>
              <w:t>[95% CI]</w:t>
            </w:r>
          </w:p>
        </w:tc>
        <w:tc>
          <w:tcPr>
            <w:tcW w:w="917" w:type="pct"/>
            <w:gridSpan w:val="2"/>
            <w:tcBorders>
              <w:top w:val="single" w:sz="4" w:space="0" w:color="000000"/>
              <w:left w:val="single" w:sz="4" w:space="0" w:color="000000"/>
              <w:bottom w:val="single" w:sz="4" w:space="0" w:color="000000"/>
              <w:right w:val="single" w:sz="4" w:space="0" w:color="000000"/>
            </w:tcBorders>
            <w:vAlign w:val="center"/>
          </w:tcPr>
          <w:p w:rsidR="002A6F27" w:rsidRPr="002A6F27" w:rsidRDefault="002A6F27" w:rsidP="00CC22C1">
            <w:pPr>
              <w:pStyle w:val="Tabletext"/>
              <w:jc w:val="center"/>
              <w:rPr>
                <w:rFonts w:ascii="Arial Narrow" w:hAnsi="Arial Narrow" w:cs="Arial"/>
              </w:rPr>
            </w:pPr>
            <w:r w:rsidRPr="009C5F80">
              <w:rPr>
                <w:rFonts w:ascii="Arial Narrow" w:hAnsi="Arial Narrow" w:cs="Arial"/>
              </w:rPr>
              <w:t>3.46 [1.94, 6.17]</w:t>
            </w:r>
          </w:p>
        </w:tc>
        <w:tc>
          <w:tcPr>
            <w:tcW w:w="1083" w:type="pct"/>
            <w:gridSpan w:val="2"/>
            <w:tcBorders>
              <w:top w:val="single" w:sz="4" w:space="0" w:color="000000"/>
              <w:left w:val="single" w:sz="4" w:space="0" w:color="000000"/>
              <w:bottom w:val="single" w:sz="4" w:space="0" w:color="000000"/>
              <w:right w:val="single" w:sz="4" w:space="0" w:color="000000"/>
            </w:tcBorders>
            <w:vAlign w:val="center"/>
          </w:tcPr>
          <w:p w:rsidR="002A6F27" w:rsidRPr="002A6F27" w:rsidRDefault="002A6F27" w:rsidP="00CC22C1">
            <w:pPr>
              <w:pStyle w:val="Tabletext"/>
              <w:jc w:val="center"/>
              <w:rPr>
                <w:rFonts w:ascii="Arial Narrow" w:hAnsi="Arial Narrow" w:cs="Arial"/>
              </w:rPr>
            </w:pPr>
            <w:r w:rsidRPr="009C5F80">
              <w:rPr>
                <w:rFonts w:ascii="Arial Narrow" w:hAnsi="Arial Narrow" w:cs="Arial"/>
              </w:rPr>
              <w:t>2.93 [1.17, 7.37]</w:t>
            </w:r>
          </w:p>
        </w:tc>
        <w:tc>
          <w:tcPr>
            <w:tcW w:w="1060" w:type="pct"/>
            <w:gridSpan w:val="2"/>
            <w:tcBorders>
              <w:top w:val="single" w:sz="4" w:space="0" w:color="000000"/>
              <w:left w:val="single" w:sz="4" w:space="0" w:color="000000"/>
              <w:bottom w:val="single" w:sz="4" w:space="0" w:color="000000"/>
              <w:right w:val="single" w:sz="4" w:space="0" w:color="000000"/>
            </w:tcBorders>
            <w:vAlign w:val="center"/>
          </w:tcPr>
          <w:p w:rsidR="002A6F27" w:rsidRPr="002A6F27" w:rsidRDefault="002A6F27" w:rsidP="00CC22C1">
            <w:pPr>
              <w:pStyle w:val="Tabletext"/>
              <w:jc w:val="center"/>
              <w:rPr>
                <w:rFonts w:ascii="Arial Narrow" w:hAnsi="Arial Narrow" w:cs="Arial"/>
              </w:rPr>
            </w:pPr>
            <w:r w:rsidRPr="009C5F80">
              <w:rPr>
                <w:rFonts w:ascii="Arial Narrow" w:hAnsi="Arial Narrow" w:cs="Arial"/>
              </w:rPr>
              <w:t>3.30 [2.02, 5.39]</w:t>
            </w:r>
          </w:p>
        </w:tc>
        <w:tc>
          <w:tcPr>
            <w:tcW w:w="1023" w:type="pct"/>
            <w:gridSpan w:val="2"/>
            <w:tcBorders>
              <w:top w:val="single" w:sz="4" w:space="0" w:color="000000"/>
              <w:left w:val="single" w:sz="4" w:space="0" w:color="000000"/>
              <w:bottom w:val="single" w:sz="4" w:space="0" w:color="000000"/>
              <w:right w:val="single" w:sz="4" w:space="0" w:color="000000"/>
            </w:tcBorders>
            <w:vAlign w:val="center"/>
          </w:tcPr>
          <w:p w:rsidR="002A6F27" w:rsidRPr="002A6F27" w:rsidRDefault="002A6F27" w:rsidP="00CC22C1">
            <w:pPr>
              <w:pStyle w:val="Tabletext"/>
              <w:jc w:val="center"/>
              <w:rPr>
                <w:rFonts w:ascii="Arial Narrow" w:hAnsi="Arial Narrow" w:cs="Arial"/>
              </w:rPr>
            </w:pPr>
            <w:r w:rsidRPr="009C5F80">
              <w:rPr>
                <w:rFonts w:ascii="Arial Narrow" w:hAnsi="Arial Narrow" w:cs="Arial"/>
              </w:rPr>
              <w:t>5.09 [2.90, 8.94]</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hideMark/>
          </w:tcPr>
          <w:p w:rsidR="002A6F27" w:rsidRPr="002A6F27" w:rsidRDefault="002A6F27" w:rsidP="00CC22C1">
            <w:pPr>
              <w:pStyle w:val="Tabletext"/>
              <w:keepNext/>
              <w:rPr>
                <w:rFonts w:ascii="Arial Narrow" w:hAnsi="Arial Narrow" w:cs="Arial"/>
                <w:b/>
              </w:rPr>
            </w:pPr>
            <w:r w:rsidRPr="002A6F27">
              <w:rPr>
                <w:rFonts w:ascii="Arial Narrow" w:hAnsi="Arial Narrow" w:cs="Arial"/>
                <w:b/>
              </w:rPr>
              <w:t>Indirect comparison</w:t>
            </w:r>
          </w:p>
        </w:tc>
        <w:tc>
          <w:tcPr>
            <w:tcW w:w="4083" w:type="pct"/>
            <w:gridSpan w:val="8"/>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keepNext/>
              <w:jc w:val="center"/>
              <w:rPr>
                <w:rFonts w:ascii="Arial Narrow" w:hAnsi="Arial Narrow" w:cs="Arial"/>
                <w:b/>
                <w:highlight w:val="yellow"/>
              </w:rPr>
            </w:pPr>
            <w:r w:rsidRPr="002A6F27">
              <w:rPr>
                <w:rFonts w:ascii="Arial Narrow" w:hAnsi="Arial Narrow" w:cs="Arial"/>
                <w:b/>
              </w:rPr>
              <w:t>UST 45</w:t>
            </w:r>
            <w:r w:rsidR="00543496">
              <w:rPr>
                <w:rFonts w:ascii="Arial Narrow" w:hAnsi="Arial Narrow" w:cs="Arial"/>
                <w:b/>
              </w:rPr>
              <w:t> </w:t>
            </w:r>
            <w:r w:rsidRPr="002A6F27">
              <w:rPr>
                <w:rFonts w:ascii="Arial Narrow" w:hAnsi="Arial Narrow" w:cs="Arial"/>
                <w:b/>
              </w:rPr>
              <w:t>mg vs. CZP</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keepNext/>
              <w:rPr>
                <w:rFonts w:ascii="Arial Narrow" w:hAnsi="Arial Narrow" w:cs="Arial"/>
                <w:b/>
              </w:rPr>
            </w:pPr>
            <w:r w:rsidRPr="002A6F27">
              <w:rPr>
                <w:rFonts w:ascii="Arial Narrow" w:hAnsi="Arial Narrow" w:cs="Arial"/>
                <w:b/>
              </w:rPr>
              <w:t>RR [95% CI]</w:t>
            </w:r>
          </w:p>
        </w:tc>
        <w:tc>
          <w:tcPr>
            <w:tcW w:w="4083" w:type="pct"/>
            <w:gridSpan w:val="8"/>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keepNext/>
              <w:jc w:val="center"/>
              <w:rPr>
                <w:rFonts w:ascii="Arial Narrow" w:hAnsi="Arial Narrow" w:cs="Arial"/>
              </w:rPr>
            </w:pPr>
            <w:r w:rsidRPr="009C5F80">
              <w:rPr>
                <w:rFonts w:ascii="Arial Narrow" w:hAnsi="Arial Narrow" w:cs="Arial"/>
              </w:rPr>
              <w:t>0.83 [0.44, 1.56]</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keepNext/>
              <w:rPr>
                <w:rFonts w:ascii="Arial Narrow" w:hAnsi="Arial Narrow" w:cs="Arial"/>
                <w:b/>
              </w:rPr>
            </w:pPr>
            <w:r w:rsidRPr="002A6F27">
              <w:rPr>
                <w:rFonts w:ascii="Arial Narrow" w:hAnsi="Arial Narrow" w:cs="Arial"/>
                <w:b/>
              </w:rPr>
              <w:t>RD (%) [95% CI]</w:t>
            </w:r>
          </w:p>
        </w:tc>
        <w:tc>
          <w:tcPr>
            <w:tcW w:w="4083" w:type="pct"/>
            <w:gridSpan w:val="8"/>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keepNext/>
              <w:jc w:val="center"/>
              <w:rPr>
                <w:rFonts w:ascii="Arial Narrow" w:hAnsi="Arial Narrow" w:cs="Arial"/>
              </w:rPr>
            </w:pPr>
            <w:r w:rsidRPr="009C5F80">
              <w:rPr>
                <w:rFonts w:ascii="Arial Narrow" w:hAnsi="Arial Narrow" w:cs="Arial"/>
              </w:rPr>
              <w:t>-16 [-26, -6]**</w:t>
            </w:r>
          </w:p>
        </w:tc>
      </w:tr>
      <w:tr w:rsidR="002A6F27" w:rsidRPr="002A6F27" w:rsidTr="00543496">
        <w:tc>
          <w:tcPr>
            <w:tcW w:w="917" w:type="pct"/>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rPr>
                <w:rFonts w:ascii="Arial Narrow" w:hAnsi="Arial Narrow" w:cs="Arial"/>
                <w:b/>
              </w:rPr>
            </w:pPr>
            <w:r w:rsidRPr="002A6F27">
              <w:rPr>
                <w:rFonts w:ascii="Arial Narrow" w:hAnsi="Arial Narrow" w:cs="Arial"/>
                <w:b/>
              </w:rPr>
              <w:t>OR [95% CI]</w:t>
            </w:r>
          </w:p>
        </w:tc>
        <w:tc>
          <w:tcPr>
            <w:tcW w:w="4083" w:type="pct"/>
            <w:gridSpan w:val="8"/>
            <w:tcBorders>
              <w:top w:val="single" w:sz="4" w:space="0" w:color="000000"/>
              <w:left w:val="single" w:sz="4" w:space="0" w:color="000000"/>
              <w:bottom w:val="single" w:sz="4" w:space="0" w:color="000000"/>
              <w:right w:val="single" w:sz="4" w:space="0" w:color="000000"/>
            </w:tcBorders>
            <w:vAlign w:val="center"/>
            <w:hideMark/>
          </w:tcPr>
          <w:p w:rsidR="002A6F27" w:rsidRPr="002A6F27" w:rsidRDefault="002A6F27" w:rsidP="00CC22C1">
            <w:pPr>
              <w:pStyle w:val="Tabletext"/>
              <w:jc w:val="center"/>
              <w:rPr>
                <w:rFonts w:ascii="Arial Narrow" w:hAnsi="Arial Narrow" w:cs="Arial"/>
              </w:rPr>
            </w:pPr>
            <w:r w:rsidRPr="009C5F80">
              <w:rPr>
                <w:rFonts w:ascii="Arial Narrow" w:hAnsi="Arial Narrow" w:cs="Arial"/>
              </w:rPr>
              <w:t>0.65 [0.31, 1.36]</w:t>
            </w:r>
          </w:p>
        </w:tc>
      </w:tr>
    </w:tbl>
    <w:p w:rsidR="002A6F27" w:rsidRPr="00607721" w:rsidRDefault="002A6F27" w:rsidP="002A6F27">
      <w:pPr>
        <w:pStyle w:val="TableFooter"/>
        <w:ind w:left="720"/>
      </w:pPr>
      <w:r w:rsidRPr="00607721">
        <w:t>ACR50=American College of Rheumatology 50% response; CZP=certolizumab; OR=odds ratio; RD=risk difference; RR=risk ratio; PBO=placebo; UST=ustekinumab</w:t>
      </w:r>
    </w:p>
    <w:p w:rsidR="002A6F27" w:rsidRPr="00607721" w:rsidRDefault="002A6F27" w:rsidP="002A6F27">
      <w:pPr>
        <w:pStyle w:val="TableFooter"/>
        <w:ind w:left="720"/>
      </w:pPr>
      <w:r w:rsidRPr="00607721">
        <w:t>Source: Analyses were conducted during the evaluation, including random effects meta-analysis using Review Manager 5.3 (I</w:t>
      </w:r>
      <w:r w:rsidRPr="00607721">
        <w:rPr>
          <w:vertAlign w:val="superscript"/>
        </w:rPr>
        <w:t>2</w:t>
      </w:r>
      <w:r w:rsidRPr="00607721">
        <w:t>=0%) and indirect comparisons using CADTH Indirect Treatment Comparisons program, using data from McInnes et al</w:t>
      </w:r>
      <w:r w:rsidR="00922051" w:rsidRPr="00607721">
        <w:rPr>
          <w:vertAlign w:val="superscript"/>
        </w:rPr>
        <w:t>1</w:t>
      </w:r>
      <w:r w:rsidRPr="00607721">
        <w:t>, Ritchlin et al</w:t>
      </w:r>
      <w:r w:rsidR="00922051" w:rsidRPr="00607721">
        <w:rPr>
          <w:vertAlign w:val="superscript"/>
        </w:rPr>
        <w:t>2</w:t>
      </w:r>
      <w:r w:rsidRPr="00607721">
        <w:t xml:space="preserve"> and Mease et al</w:t>
      </w:r>
      <w:r w:rsidR="00922051" w:rsidRPr="00607721">
        <w:rPr>
          <w:vertAlign w:val="superscript"/>
        </w:rPr>
        <w:t>3</w:t>
      </w:r>
      <w:r w:rsidRPr="00607721">
        <w:t>.</w:t>
      </w:r>
    </w:p>
    <w:p w:rsidR="002A6F27" w:rsidRPr="00200882" w:rsidRDefault="002A6F27" w:rsidP="002A6F27">
      <w:pPr>
        <w:rPr>
          <w:rFonts w:ascii="Arial" w:hAnsi="Arial" w:cs="Arial"/>
          <w:sz w:val="22"/>
          <w:szCs w:val="22"/>
        </w:rPr>
      </w:pPr>
    </w:p>
    <w:p w:rsidR="002A6F27" w:rsidRPr="002A6F27" w:rsidRDefault="002A6F27" w:rsidP="00F52282">
      <w:pPr>
        <w:pStyle w:val="ListParagraph"/>
        <w:numPr>
          <w:ilvl w:val="1"/>
          <w:numId w:val="1"/>
        </w:numPr>
        <w:jc w:val="both"/>
        <w:rPr>
          <w:rFonts w:ascii="Arial" w:hAnsi="Arial" w:cs="Arial"/>
          <w:sz w:val="22"/>
          <w:szCs w:val="22"/>
        </w:rPr>
      </w:pPr>
      <w:r w:rsidRPr="002A6F27">
        <w:rPr>
          <w:rFonts w:ascii="Arial" w:hAnsi="Arial" w:cs="Arial"/>
          <w:sz w:val="22"/>
          <w:szCs w:val="22"/>
        </w:rPr>
        <w:t xml:space="preserve">In the comparison of UST and CZP using all patients enrolled in the trials (i.e. both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 xml:space="preserve">naïve and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 xml:space="preserve">experienced), RR and OR support the conclusion of non-inferiority between these products, however the RD scale suggests that UST is inferior to CZP </w:t>
      </w:r>
      <w:r w:rsidRPr="009C5F80">
        <w:rPr>
          <w:rFonts w:ascii="Arial" w:hAnsi="Arial" w:cs="Arial"/>
          <w:sz w:val="22"/>
          <w:szCs w:val="22"/>
        </w:rPr>
        <w:t>(-16, 95% CI: -26, -6</w:t>
      </w:r>
      <w:r w:rsidRPr="002A6F27">
        <w:rPr>
          <w:rFonts w:ascii="Arial" w:hAnsi="Arial" w:cs="Arial"/>
          <w:sz w:val="22"/>
          <w:szCs w:val="22"/>
        </w:rPr>
        <w:t>) (</w:t>
      </w:r>
      <w:r w:rsidR="00734E10" w:rsidRPr="00734E10">
        <w:rPr>
          <w:rFonts w:ascii="Arial" w:hAnsi="Arial"/>
          <w:sz w:val="22"/>
          <w:szCs w:val="22"/>
        </w:rPr>
        <w:t>Table 2</w:t>
      </w:r>
      <w:r w:rsidRPr="002A6F27">
        <w:rPr>
          <w:rFonts w:ascii="Arial" w:hAnsi="Arial" w:cs="Arial"/>
          <w:sz w:val="22"/>
          <w:szCs w:val="22"/>
        </w:rPr>
        <w:t>).</w:t>
      </w:r>
    </w:p>
    <w:p w:rsidR="002A6F27" w:rsidRPr="002A6F27" w:rsidRDefault="002A6F27" w:rsidP="002A6F27">
      <w:pPr>
        <w:rPr>
          <w:rFonts w:ascii="Arial" w:hAnsi="Arial" w:cs="Arial"/>
          <w:sz w:val="22"/>
          <w:szCs w:val="22"/>
        </w:rPr>
      </w:pPr>
    </w:p>
    <w:p w:rsidR="002A6F27" w:rsidRPr="002A6F27" w:rsidRDefault="002A6F27" w:rsidP="00F52282">
      <w:pPr>
        <w:pStyle w:val="ListParagraph"/>
        <w:numPr>
          <w:ilvl w:val="1"/>
          <w:numId w:val="1"/>
        </w:numPr>
        <w:jc w:val="both"/>
        <w:rPr>
          <w:rFonts w:ascii="Arial" w:hAnsi="Arial" w:cs="Arial"/>
          <w:sz w:val="22"/>
          <w:szCs w:val="22"/>
        </w:rPr>
      </w:pPr>
      <w:r w:rsidRPr="002A6F27">
        <w:rPr>
          <w:rFonts w:ascii="Arial" w:hAnsi="Arial" w:cs="Arial"/>
          <w:sz w:val="22"/>
          <w:szCs w:val="22"/>
        </w:rPr>
        <w:t xml:space="preserve">The results of the indirect comparisons based on the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naïve subgroup and ITT populations support the conclusion of non-inferiority</w:t>
      </w:r>
      <w:r w:rsidR="00106625">
        <w:rPr>
          <w:rFonts w:ascii="Arial" w:hAnsi="Arial" w:cs="Arial"/>
          <w:sz w:val="22"/>
          <w:szCs w:val="22"/>
        </w:rPr>
        <w:t xml:space="preserve"> of ustekinumab to certolizumab</w:t>
      </w:r>
      <w:r w:rsidRPr="002A6F27">
        <w:rPr>
          <w:rFonts w:ascii="Arial" w:hAnsi="Arial" w:cs="Arial"/>
          <w:sz w:val="22"/>
          <w:szCs w:val="22"/>
        </w:rPr>
        <w:t xml:space="preserve"> on the basis of RR and OR. Indirect comparisons on the RD scale are less supportive of this conclusion: in the </w:t>
      </w:r>
      <w:r w:rsidR="009A720F">
        <w:rPr>
          <w:rFonts w:ascii="Arial" w:hAnsi="Arial" w:cs="Arial"/>
          <w:sz w:val="22"/>
          <w:szCs w:val="22"/>
        </w:rPr>
        <w:t>TNF-α</w:t>
      </w:r>
      <w:r w:rsidR="009A720F" w:rsidRPr="002A6F27">
        <w:rPr>
          <w:rFonts w:ascii="Arial" w:hAnsi="Arial" w:cs="Arial"/>
          <w:sz w:val="22"/>
          <w:szCs w:val="22"/>
        </w:rPr>
        <w:t xml:space="preserve"> </w:t>
      </w:r>
      <w:r w:rsidRPr="002A6F27">
        <w:rPr>
          <w:rFonts w:ascii="Arial" w:hAnsi="Arial" w:cs="Arial"/>
          <w:sz w:val="22"/>
          <w:szCs w:val="22"/>
        </w:rPr>
        <w:t xml:space="preserve">naïve subgroup, the upper limit of the </w:t>
      </w:r>
      <w:r w:rsidRPr="002A6F27">
        <w:rPr>
          <w:rFonts w:ascii="Arial" w:hAnsi="Arial" w:cs="Arial"/>
          <w:sz w:val="22"/>
          <w:szCs w:val="22"/>
        </w:rPr>
        <w:lastRenderedPageBreak/>
        <w:t xml:space="preserve">95% CI was </w:t>
      </w:r>
      <w:r w:rsidR="00946E10">
        <w:rPr>
          <w:rFonts w:ascii="Arial" w:hAnsi="Arial" w:cs="Arial"/>
          <w:noProof/>
          <w:color w:val="000000"/>
          <w:sz w:val="22"/>
          <w:szCs w:val="22"/>
          <w:highlight w:val="black"/>
        </w:rPr>
        <w:t xml:space="preserve">'''' </w:t>
      </w:r>
      <w:r w:rsidRPr="002A6F27">
        <w:rPr>
          <w:rFonts w:ascii="Arial" w:hAnsi="Arial" w:cs="Arial"/>
          <w:sz w:val="22"/>
          <w:szCs w:val="22"/>
        </w:rPr>
        <w:t>and UST was significantly inferior to CZP in indirect comparisons based on the ITT population.</w:t>
      </w:r>
    </w:p>
    <w:p w:rsidR="002A6F27" w:rsidRPr="002A6F27" w:rsidRDefault="002A6F27" w:rsidP="002A6F27">
      <w:pPr>
        <w:rPr>
          <w:rFonts w:ascii="Arial" w:hAnsi="Arial" w:cs="Arial"/>
          <w:sz w:val="22"/>
          <w:szCs w:val="22"/>
        </w:rPr>
      </w:pPr>
    </w:p>
    <w:p w:rsidR="002A6F27" w:rsidRPr="002A6F27" w:rsidRDefault="002A6F27" w:rsidP="00F52282">
      <w:pPr>
        <w:pStyle w:val="ListParagraph"/>
        <w:numPr>
          <w:ilvl w:val="1"/>
          <w:numId w:val="1"/>
        </w:numPr>
        <w:jc w:val="both"/>
        <w:rPr>
          <w:rFonts w:ascii="Arial" w:hAnsi="Arial" w:cs="Arial"/>
          <w:sz w:val="22"/>
          <w:szCs w:val="22"/>
        </w:rPr>
      </w:pPr>
      <w:r w:rsidRPr="002A6F27">
        <w:rPr>
          <w:rFonts w:ascii="Arial" w:hAnsi="Arial" w:cs="Arial"/>
          <w:sz w:val="22"/>
          <w:szCs w:val="22"/>
        </w:rPr>
        <w:t>As the claim is made on the basis of indirect comparisons, there is an assumption of exchangeability between the populations and settings in the trials that are being indirectly compared. As it appears that the CZP trial in psoriatic arthritis is clinically heterogeneous to the UST evidence in terms of placebo response rate then this assumption of exchangeability may not hold.</w:t>
      </w:r>
    </w:p>
    <w:p w:rsidR="002A6F27" w:rsidRPr="004245B6" w:rsidRDefault="002A6F27" w:rsidP="002A6F27">
      <w:pPr>
        <w:rPr>
          <w:rFonts w:ascii="Arial" w:hAnsi="Arial" w:cs="Arial"/>
          <w:sz w:val="22"/>
          <w:szCs w:val="22"/>
        </w:rPr>
      </w:pPr>
    </w:p>
    <w:p w:rsidR="002A6F27" w:rsidRPr="00200882" w:rsidRDefault="00C630DE" w:rsidP="00F52282">
      <w:pPr>
        <w:pStyle w:val="ListParagraph"/>
        <w:numPr>
          <w:ilvl w:val="1"/>
          <w:numId w:val="1"/>
        </w:numPr>
        <w:jc w:val="both"/>
        <w:rPr>
          <w:rFonts w:ascii="Arial" w:hAnsi="Arial" w:cs="Arial"/>
          <w:sz w:val="22"/>
          <w:szCs w:val="22"/>
        </w:rPr>
      </w:pPr>
      <w:r>
        <w:rPr>
          <w:rFonts w:ascii="Arial" w:hAnsi="Arial" w:cs="Arial"/>
          <w:sz w:val="22"/>
          <w:szCs w:val="22"/>
        </w:rPr>
        <w:t>The</w:t>
      </w:r>
      <w:r w:rsidR="00106625">
        <w:rPr>
          <w:rFonts w:ascii="Arial" w:hAnsi="Arial" w:cs="Arial"/>
          <w:sz w:val="22"/>
          <w:szCs w:val="22"/>
        </w:rPr>
        <w:t xml:space="preserve"> review of the minor re</w:t>
      </w:r>
      <w:r w:rsidR="002A6F27" w:rsidRPr="00200882">
        <w:rPr>
          <w:rFonts w:ascii="Arial" w:hAnsi="Arial" w:cs="Arial"/>
          <w:sz w:val="22"/>
          <w:szCs w:val="22"/>
        </w:rPr>
        <w:t xml:space="preserve">submission additionally presented a plot of the actual response rates in the trials for ACR50, at 24 weeks, reproduced in </w:t>
      </w:r>
      <w:r w:rsidR="00734E10" w:rsidRPr="00734E10">
        <w:rPr>
          <w:rFonts w:ascii="Arial" w:hAnsi="Arial"/>
          <w:sz w:val="22"/>
          <w:szCs w:val="22"/>
        </w:rPr>
        <w:t>Figure 2</w:t>
      </w:r>
      <w:r w:rsidR="002A6F27" w:rsidRPr="00200882">
        <w:rPr>
          <w:rFonts w:ascii="Arial" w:hAnsi="Arial" w:cs="Arial"/>
          <w:sz w:val="22"/>
          <w:szCs w:val="22"/>
        </w:rPr>
        <w:t xml:space="preserve">, below, for </w:t>
      </w:r>
      <w:r w:rsidR="009A720F">
        <w:rPr>
          <w:rFonts w:ascii="Arial" w:hAnsi="Arial" w:cs="Arial"/>
          <w:sz w:val="22"/>
          <w:szCs w:val="22"/>
        </w:rPr>
        <w:t>TNF-α</w:t>
      </w:r>
      <w:r w:rsidR="009A720F" w:rsidRPr="00200882">
        <w:rPr>
          <w:rFonts w:ascii="Arial" w:hAnsi="Arial" w:cs="Arial"/>
          <w:sz w:val="22"/>
          <w:szCs w:val="22"/>
        </w:rPr>
        <w:t xml:space="preserve"> </w:t>
      </w:r>
      <w:r w:rsidR="002A6F27" w:rsidRPr="00200882">
        <w:rPr>
          <w:rFonts w:ascii="Arial" w:hAnsi="Arial" w:cs="Arial"/>
          <w:sz w:val="22"/>
          <w:szCs w:val="22"/>
        </w:rPr>
        <w:t xml:space="preserve">naïve patients in all trials, except PSUMMIT-2 (as data for </w:t>
      </w:r>
      <w:r w:rsidR="009A720F">
        <w:rPr>
          <w:rFonts w:ascii="Arial" w:hAnsi="Arial" w:cs="Arial"/>
          <w:sz w:val="22"/>
          <w:szCs w:val="22"/>
        </w:rPr>
        <w:t>TNF-α</w:t>
      </w:r>
      <w:r w:rsidR="009A720F" w:rsidRPr="00200882">
        <w:rPr>
          <w:rFonts w:ascii="Arial" w:hAnsi="Arial" w:cs="Arial"/>
          <w:sz w:val="22"/>
          <w:szCs w:val="22"/>
        </w:rPr>
        <w:t xml:space="preserve"> </w:t>
      </w:r>
      <w:r w:rsidR="002A6F27" w:rsidRPr="00200882">
        <w:rPr>
          <w:rFonts w:ascii="Arial" w:hAnsi="Arial" w:cs="Arial"/>
          <w:sz w:val="22"/>
          <w:szCs w:val="22"/>
        </w:rPr>
        <w:t>naïve patients could not be separately identified). It was noted that the absolute response in the active treatment arm of the CZP trial was similar to responses observed with the other listed bDMARDs, while response rates due to active treatment in the UST trials were substantially lower. The placebo response rate in the CZP trial was higher than the placebo rates in all of the other trials. Without understanding the reason for the higher placebo response rate observed in the CZP trial, the review concluded that it is ‘impossible’ to determine whether the usual assumption of homogeneous effects in the RR or OR scales is reasonable (Attachment</w:t>
      </w:r>
      <w:r w:rsidR="00922051">
        <w:rPr>
          <w:rFonts w:ascii="Arial" w:hAnsi="Arial" w:cs="Arial"/>
          <w:sz w:val="22"/>
          <w:szCs w:val="22"/>
        </w:rPr>
        <w:t xml:space="preserve"> 1</w:t>
      </w:r>
      <w:r w:rsidR="002A6F27" w:rsidRPr="00200882">
        <w:rPr>
          <w:rFonts w:ascii="Arial" w:hAnsi="Arial" w:cs="Arial"/>
          <w:sz w:val="22"/>
          <w:szCs w:val="22"/>
        </w:rPr>
        <w:t>, pp5-6).</w:t>
      </w:r>
    </w:p>
    <w:p w:rsidR="002A6F27" w:rsidRPr="00200882" w:rsidRDefault="002A6F27" w:rsidP="002A6F27">
      <w:pPr>
        <w:rPr>
          <w:rFonts w:ascii="Arial" w:hAnsi="Arial" w:cs="Arial"/>
          <w:sz w:val="22"/>
          <w:szCs w:val="22"/>
        </w:rPr>
      </w:pPr>
    </w:p>
    <w:p w:rsidR="002A6F27" w:rsidRPr="002A6F27" w:rsidRDefault="002A6F27" w:rsidP="00F52282">
      <w:pPr>
        <w:keepNext/>
        <w:ind w:firstLine="720"/>
        <w:rPr>
          <w:rStyle w:val="CommentReference"/>
          <w:rFonts w:ascii="Arial Narrow" w:hAnsi="Arial Narrow" w:cs="Arial"/>
          <w:b/>
          <w:sz w:val="20"/>
          <w:szCs w:val="20"/>
        </w:rPr>
      </w:pPr>
      <w:bookmarkStart w:id="3" w:name="_Ref429990793"/>
      <w:r w:rsidRPr="002A6F27">
        <w:rPr>
          <w:rStyle w:val="CommentReference"/>
          <w:rFonts w:ascii="Arial Narrow" w:hAnsi="Arial Narrow" w:cs="Arial"/>
          <w:b/>
          <w:sz w:val="20"/>
          <w:szCs w:val="20"/>
        </w:rPr>
        <w:t xml:space="preserve">Figure </w:t>
      </w:r>
      <w:r w:rsidR="00734E10">
        <w:rPr>
          <w:rStyle w:val="CommentReference"/>
          <w:rFonts w:ascii="Arial Narrow" w:hAnsi="Arial Narrow" w:cs="Arial"/>
          <w:b/>
          <w:noProof/>
          <w:sz w:val="20"/>
          <w:szCs w:val="20"/>
        </w:rPr>
        <w:t>2</w:t>
      </w:r>
      <w:bookmarkEnd w:id="3"/>
      <w:r w:rsidRPr="002A6F27">
        <w:rPr>
          <w:rStyle w:val="CommentReference"/>
          <w:rFonts w:ascii="Arial Narrow" w:hAnsi="Arial Narrow" w:cs="Arial"/>
          <w:b/>
          <w:sz w:val="20"/>
          <w:szCs w:val="20"/>
        </w:rPr>
        <w:t>: Actual ACR50 response rates in the included trials at 24 weeks</w:t>
      </w:r>
    </w:p>
    <w:p w:rsidR="002A6F27" w:rsidRPr="00200882" w:rsidRDefault="002A6F27" w:rsidP="002A6F27">
      <w:pPr>
        <w:jc w:val="right"/>
        <w:rPr>
          <w:rFonts w:ascii="Arial" w:hAnsi="Arial" w:cs="Arial"/>
          <w:sz w:val="22"/>
          <w:szCs w:val="22"/>
        </w:rPr>
      </w:pPr>
      <w:r w:rsidRPr="003A2D06">
        <w:rPr>
          <w:rFonts w:ascii="Arial" w:hAnsi="Arial" w:cs="Arial"/>
          <w:noProof/>
          <w:sz w:val="22"/>
          <w:szCs w:val="22"/>
        </w:rPr>
        <w:drawing>
          <wp:inline distT="0" distB="0" distL="0" distR="0" wp14:anchorId="54D3BC7B" wp14:editId="59F2A023">
            <wp:extent cx="5318361" cy="2895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4886" cy="2899152"/>
                    </a:xfrm>
                    <a:prstGeom prst="rect">
                      <a:avLst/>
                    </a:prstGeom>
                    <a:noFill/>
                    <a:ln>
                      <a:noFill/>
                    </a:ln>
                  </pic:spPr>
                </pic:pic>
              </a:graphicData>
            </a:graphic>
          </wp:inline>
        </w:drawing>
      </w:r>
    </w:p>
    <w:p w:rsidR="002A6F27" w:rsidRPr="003A2D06" w:rsidRDefault="002A6F27" w:rsidP="00F52282">
      <w:pPr>
        <w:pStyle w:val="TableFooter"/>
        <w:ind w:left="720"/>
        <w:rPr>
          <w:sz w:val="20"/>
        </w:rPr>
      </w:pPr>
      <w:r w:rsidRPr="003A2D06">
        <w:rPr>
          <w:sz w:val="20"/>
        </w:rPr>
        <w:t>Source: Figure 1, p6 of report “Statistical issues surrounding the evaluation of biological disease modifying anti-rheumatic drugs (bDMARDs) for psoriatic arthritis” (Attachment 1)</w:t>
      </w:r>
    </w:p>
    <w:p w:rsidR="00106625" w:rsidRPr="003A2D06" w:rsidRDefault="00106625" w:rsidP="00F52282">
      <w:pPr>
        <w:pStyle w:val="TableFooter"/>
        <w:ind w:left="720"/>
        <w:rPr>
          <w:sz w:val="20"/>
        </w:rPr>
      </w:pPr>
      <w:r w:rsidRPr="003A2D06">
        <w:rPr>
          <w:sz w:val="20"/>
        </w:rPr>
        <w:t>ETC = etanercept, ADA = adalimumab, INX = infliximab, GOL = golimumab, CZP = certolizumab, UST = ustekinumab</w:t>
      </w:r>
    </w:p>
    <w:p w:rsidR="002A6F27" w:rsidRPr="00200882" w:rsidRDefault="002A6F27" w:rsidP="002A6F27">
      <w:pPr>
        <w:rPr>
          <w:rFonts w:ascii="Arial" w:hAnsi="Arial" w:cs="Arial"/>
          <w:sz w:val="22"/>
          <w:szCs w:val="22"/>
        </w:rPr>
      </w:pPr>
    </w:p>
    <w:p w:rsidR="002A6F27" w:rsidRPr="002A6F27" w:rsidRDefault="002A6F27" w:rsidP="00F52282">
      <w:pPr>
        <w:pStyle w:val="ListParagraph"/>
        <w:numPr>
          <w:ilvl w:val="1"/>
          <w:numId w:val="1"/>
        </w:numPr>
        <w:jc w:val="both"/>
        <w:rPr>
          <w:rFonts w:ascii="Arial" w:hAnsi="Arial" w:cs="Arial"/>
          <w:sz w:val="22"/>
          <w:szCs w:val="22"/>
        </w:rPr>
      </w:pPr>
      <w:r w:rsidRPr="002A6F27">
        <w:rPr>
          <w:rFonts w:ascii="Arial" w:hAnsi="Arial" w:cs="Arial"/>
          <w:sz w:val="22"/>
          <w:szCs w:val="22"/>
        </w:rPr>
        <w:t>There is uncertainty in the evidence presented to support the claim of non-inferiority of UST and CZP. This is due to uncertain exchangeability of the trials</w:t>
      </w:r>
      <w:r w:rsidR="00C57A74">
        <w:rPr>
          <w:rFonts w:ascii="Arial" w:hAnsi="Arial" w:cs="Arial"/>
          <w:sz w:val="22"/>
          <w:szCs w:val="22"/>
        </w:rPr>
        <w:t xml:space="preserve"> as indicated by apparent differences</w:t>
      </w:r>
      <w:r w:rsidRPr="002A6F27">
        <w:rPr>
          <w:rFonts w:ascii="Arial" w:hAnsi="Arial" w:cs="Arial"/>
          <w:sz w:val="22"/>
          <w:szCs w:val="22"/>
        </w:rPr>
        <w:t xml:space="preserve"> in the placebo arms of the trials. The placebo ACR50 response rate at 24 weeks was observed to be 15% in the CZP trial and 7-9% in the UST trials. The placebo response rates were also substantially higher than those observed in the ADA, etanercept, infliximab and golimumab trials (4-6%)</w:t>
      </w:r>
      <w:r>
        <w:rPr>
          <w:rFonts w:ascii="Arial" w:hAnsi="Arial" w:cs="Arial"/>
          <w:sz w:val="22"/>
          <w:szCs w:val="22"/>
        </w:rPr>
        <w:t>.</w:t>
      </w:r>
      <w:r w:rsidR="00C57A74">
        <w:rPr>
          <w:rFonts w:ascii="Arial" w:hAnsi="Arial" w:cs="Arial"/>
          <w:sz w:val="22"/>
          <w:szCs w:val="22"/>
        </w:rPr>
        <w:t xml:space="preserve"> It was noted that UST </w:t>
      </w:r>
      <w:r w:rsidR="00C57A74">
        <w:rPr>
          <w:rFonts w:ascii="Arial" w:hAnsi="Arial" w:cs="Arial"/>
          <w:sz w:val="22"/>
          <w:szCs w:val="22"/>
        </w:rPr>
        <w:lastRenderedPageBreak/>
        <w:t>and CZP trials were clustered together chronologically and so may be more comparable than the cluster of</w:t>
      </w:r>
      <w:bookmarkStart w:id="4" w:name="_GoBack"/>
      <w:bookmarkEnd w:id="4"/>
      <w:r w:rsidR="00387335">
        <w:rPr>
          <w:rFonts w:ascii="Arial" w:hAnsi="Arial" w:cs="Arial"/>
          <w:sz w:val="22"/>
          <w:szCs w:val="22"/>
        </w:rPr>
        <w:t xml:space="preserve"> </w:t>
      </w:r>
      <w:r w:rsidR="00387335">
        <w:rPr>
          <w:rFonts w:ascii="Arial" w:hAnsi="Arial" w:cs="Arial"/>
          <w:sz w:val="22"/>
          <w:szCs w:val="22"/>
        </w:rPr>
        <w:t>earlier</w:t>
      </w:r>
      <w:r w:rsidR="00C57A74">
        <w:rPr>
          <w:rFonts w:ascii="Arial" w:hAnsi="Arial" w:cs="Arial"/>
          <w:sz w:val="22"/>
          <w:szCs w:val="22"/>
        </w:rPr>
        <w:t xml:space="preserve"> trials of bDMARDs. </w:t>
      </w:r>
    </w:p>
    <w:p w:rsidR="002A6F27" w:rsidRDefault="002A6F27" w:rsidP="00B45BEA">
      <w:pPr>
        <w:jc w:val="both"/>
        <w:rPr>
          <w:rFonts w:ascii="Arial" w:hAnsi="Arial"/>
          <w:sz w:val="22"/>
          <w:szCs w:val="22"/>
        </w:rPr>
      </w:pPr>
    </w:p>
    <w:p w:rsidR="00B45BEA" w:rsidRPr="0066049E" w:rsidRDefault="00B45BEA" w:rsidP="0066049E">
      <w:pPr>
        <w:pStyle w:val="Heading2"/>
        <w:rPr>
          <w:rFonts w:cs="Arial"/>
          <w:b w:val="0"/>
        </w:rPr>
      </w:pPr>
      <w:r w:rsidRPr="0066049E">
        <w:rPr>
          <w:rFonts w:cs="Arial"/>
          <w:b w:val="0"/>
        </w:rPr>
        <w:t>Comparative harms</w:t>
      </w:r>
    </w:p>
    <w:p w:rsidR="00B45BEA" w:rsidRDefault="00B45BEA" w:rsidP="00B45BEA">
      <w:pPr>
        <w:jc w:val="both"/>
        <w:rPr>
          <w:rFonts w:ascii="Arial" w:hAnsi="Arial"/>
          <w:sz w:val="22"/>
          <w:szCs w:val="22"/>
        </w:rPr>
      </w:pPr>
    </w:p>
    <w:p w:rsidR="00B45BEA" w:rsidRPr="002536EA" w:rsidRDefault="00B45BEA" w:rsidP="00B45BEA">
      <w:pPr>
        <w:pStyle w:val="ListParagraph"/>
        <w:numPr>
          <w:ilvl w:val="1"/>
          <w:numId w:val="1"/>
        </w:numPr>
        <w:jc w:val="both"/>
        <w:rPr>
          <w:rFonts w:ascii="Arial" w:hAnsi="Arial"/>
          <w:sz w:val="22"/>
          <w:szCs w:val="22"/>
        </w:rPr>
      </w:pPr>
      <w:r w:rsidRPr="002536EA">
        <w:rPr>
          <w:rFonts w:ascii="Arial" w:hAnsi="Arial"/>
          <w:sz w:val="22"/>
          <w:szCs w:val="22"/>
        </w:rPr>
        <w:t>The PBAC ha</w:t>
      </w:r>
      <w:r w:rsidR="00A47AD3" w:rsidRPr="002536EA">
        <w:rPr>
          <w:rFonts w:ascii="Arial" w:hAnsi="Arial"/>
          <w:sz w:val="22"/>
          <w:szCs w:val="22"/>
        </w:rPr>
        <w:t>s</w:t>
      </w:r>
      <w:r w:rsidRPr="002536EA">
        <w:rPr>
          <w:rFonts w:ascii="Arial" w:hAnsi="Arial"/>
          <w:sz w:val="22"/>
          <w:szCs w:val="22"/>
        </w:rPr>
        <w:t xml:space="preserve"> previously accepted that the safety profiles of ustekinumab versus adalimumab and adalimumab v</w:t>
      </w:r>
      <w:r w:rsidR="00543496" w:rsidRPr="002536EA">
        <w:rPr>
          <w:rFonts w:ascii="Arial" w:hAnsi="Arial"/>
          <w:sz w:val="22"/>
          <w:szCs w:val="22"/>
        </w:rPr>
        <w:t>ersus certolizumab are similar.</w:t>
      </w:r>
    </w:p>
    <w:p w:rsidR="00B84392" w:rsidRDefault="00B84392" w:rsidP="00882085">
      <w:pPr>
        <w:jc w:val="both"/>
        <w:rPr>
          <w:rFonts w:ascii="Arial" w:hAnsi="Arial"/>
          <w:b/>
          <w:i/>
          <w:sz w:val="22"/>
          <w:szCs w:val="22"/>
        </w:rPr>
      </w:pPr>
    </w:p>
    <w:p w:rsidR="005A3173" w:rsidRPr="0066049E" w:rsidRDefault="005A3173" w:rsidP="0066049E">
      <w:pPr>
        <w:pStyle w:val="Heading2"/>
        <w:rPr>
          <w:rFonts w:cs="Arial"/>
          <w:b w:val="0"/>
        </w:rPr>
      </w:pPr>
      <w:r w:rsidRPr="0066049E">
        <w:rPr>
          <w:rFonts w:cs="Arial"/>
          <w:b w:val="0"/>
        </w:rPr>
        <w:t>Clinical claim</w:t>
      </w:r>
    </w:p>
    <w:p w:rsidR="005A3173" w:rsidRPr="00882085" w:rsidRDefault="005A3173" w:rsidP="00882085">
      <w:pPr>
        <w:ind w:left="720" w:hanging="720"/>
        <w:jc w:val="both"/>
        <w:rPr>
          <w:rFonts w:ascii="Arial" w:hAnsi="Arial"/>
          <w:sz w:val="22"/>
          <w:szCs w:val="22"/>
        </w:rPr>
      </w:pPr>
    </w:p>
    <w:p w:rsidR="00BB7EC3" w:rsidRDefault="00FF2801" w:rsidP="00E858B4">
      <w:pPr>
        <w:pStyle w:val="ListParagraph"/>
        <w:numPr>
          <w:ilvl w:val="1"/>
          <w:numId w:val="1"/>
        </w:numPr>
        <w:jc w:val="both"/>
        <w:rPr>
          <w:rFonts w:ascii="Arial" w:hAnsi="Arial"/>
          <w:sz w:val="22"/>
          <w:szCs w:val="22"/>
        </w:rPr>
      </w:pPr>
      <w:r w:rsidRPr="00B45BEA">
        <w:rPr>
          <w:rFonts w:ascii="Arial" w:hAnsi="Arial"/>
          <w:sz w:val="22"/>
          <w:szCs w:val="22"/>
        </w:rPr>
        <w:t>The submission claimed</w:t>
      </w:r>
      <w:r w:rsidR="00BB7EC3" w:rsidRPr="00B45BEA">
        <w:rPr>
          <w:rFonts w:ascii="Arial" w:hAnsi="Arial"/>
          <w:sz w:val="22"/>
          <w:szCs w:val="22"/>
        </w:rPr>
        <w:t xml:space="preserve"> </w:t>
      </w:r>
      <w:r w:rsidR="00B45BEA">
        <w:rPr>
          <w:rFonts w:ascii="Arial" w:hAnsi="Arial"/>
          <w:sz w:val="22"/>
          <w:szCs w:val="22"/>
        </w:rPr>
        <w:t>that ustekinumab is inferior to adalimumab and non-inferior to certolizumab with reg</w:t>
      </w:r>
      <w:r w:rsidR="00543496">
        <w:rPr>
          <w:rFonts w:ascii="Arial" w:hAnsi="Arial"/>
          <w:sz w:val="22"/>
          <w:szCs w:val="22"/>
        </w:rPr>
        <w:t>ards to clinical effectiveness.</w:t>
      </w:r>
    </w:p>
    <w:p w:rsidR="00B45BEA" w:rsidRDefault="00B45BEA" w:rsidP="00E858B4">
      <w:pPr>
        <w:jc w:val="both"/>
        <w:rPr>
          <w:rFonts w:ascii="Arial" w:hAnsi="Arial"/>
          <w:sz w:val="22"/>
          <w:szCs w:val="22"/>
        </w:rPr>
      </w:pPr>
    </w:p>
    <w:p w:rsidR="00B45BEA" w:rsidRPr="00543496" w:rsidRDefault="00B45BEA" w:rsidP="00E858B4">
      <w:pPr>
        <w:numPr>
          <w:ilvl w:val="1"/>
          <w:numId w:val="1"/>
        </w:numPr>
        <w:contextualSpacing/>
        <w:jc w:val="both"/>
        <w:rPr>
          <w:rFonts w:ascii="Arial" w:hAnsi="Arial" w:cs="Arial"/>
          <w:bCs/>
          <w:snapToGrid w:val="0"/>
          <w:sz w:val="22"/>
          <w:szCs w:val="22"/>
          <w:lang w:val="en-GB"/>
        </w:rPr>
      </w:pPr>
      <w:r>
        <w:rPr>
          <w:rFonts w:ascii="Arial" w:hAnsi="Arial"/>
          <w:sz w:val="22"/>
          <w:szCs w:val="22"/>
        </w:rPr>
        <w:t xml:space="preserve">In July 2015, the PBAC </w:t>
      </w:r>
      <w:r>
        <w:rPr>
          <w:rFonts w:ascii="Arial" w:hAnsi="Arial" w:cs="Arial"/>
          <w:bCs/>
          <w:snapToGrid w:val="0"/>
          <w:sz w:val="22"/>
          <w:szCs w:val="22"/>
          <w:lang w:val="en-GB"/>
        </w:rPr>
        <w:t>considered</w:t>
      </w:r>
      <w:r w:rsidRPr="002C741E">
        <w:rPr>
          <w:rFonts w:ascii="Arial" w:hAnsi="Arial" w:cs="Arial"/>
          <w:bCs/>
          <w:snapToGrid w:val="0"/>
          <w:sz w:val="22"/>
          <w:szCs w:val="22"/>
          <w:lang w:val="en-GB"/>
        </w:rPr>
        <w:t xml:space="preserve"> that the clinical claim </w:t>
      </w:r>
      <w:r>
        <w:rPr>
          <w:rFonts w:ascii="Arial" w:hAnsi="Arial" w:cs="Arial"/>
          <w:bCs/>
          <w:snapToGrid w:val="0"/>
          <w:sz w:val="22"/>
          <w:szCs w:val="22"/>
          <w:lang w:val="en-GB"/>
        </w:rPr>
        <w:t xml:space="preserve">may not be adequately supported </w:t>
      </w:r>
      <w:r w:rsidRPr="002C741E">
        <w:rPr>
          <w:rFonts w:ascii="Arial" w:hAnsi="Arial" w:cs="Arial"/>
          <w:bCs/>
          <w:snapToGrid w:val="0"/>
          <w:sz w:val="22"/>
          <w:szCs w:val="22"/>
          <w:lang w:val="en-GB"/>
        </w:rPr>
        <w:t>due to the following exchangeability issues</w:t>
      </w:r>
      <w:r>
        <w:rPr>
          <w:rFonts w:ascii="Arial" w:hAnsi="Arial" w:cs="Arial"/>
          <w:bCs/>
          <w:snapToGrid w:val="0"/>
          <w:sz w:val="22"/>
          <w:szCs w:val="22"/>
          <w:lang w:val="en-GB"/>
        </w:rPr>
        <w:t xml:space="preserve"> between the ustekinumab and certolizumab trials</w:t>
      </w:r>
      <w:r w:rsidRPr="002C741E">
        <w:rPr>
          <w:rFonts w:ascii="Arial" w:hAnsi="Arial" w:cs="Arial"/>
          <w:bCs/>
          <w:snapToGrid w:val="0"/>
          <w:sz w:val="22"/>
          <w:szCs w:val="22"/>
          <w:lang w:val="en-GB"/>
        </w:rPr>
        <w:t>:</w:t>
      </w:r>
    </w:p>
    <w:p w:rsidR="00B45BEA" w:rsidRPr="00543496" w:rsidRDefault="00B45BEA" w:rsidP="00E858B4">
      <w:pPr>
        <w:pStyle w:val="ListParagraph"/>
        <w:numPr>
          <w:ilvl w:val="0"/>
          <w:numId w:val="3"/>
        </w:numPr>
        <w:ind w:left="993" w:hanging="284"/>
        <w:jc w:val="both"/>
        <w:rPr>
          <w:rFonts w:ascii="Arial" w:hAnsi="Arial" w:cs="Arial"/>
          <w:bCs/>
          <w:snapToGrid w:val="0"/>
          <w:sz w:val="22"/>
          <w:szCs w:val="22"/>
          <w:lang w:val="en-GB"/>
        </w:rPr>
      </w:pPr>
      <w:r w:rsidRPr="00543496">
        <w:rPr>
          <w:rFonts w:ascii="Arial" w:hAnsi="Arial" w:cs="Arial"/>
          <w:snapToGrid w:val="0"/>
          <w:sz w:val="22"/>
          <w:szCs w:val="22"/>
          <w:lang w:eastAsia="en-US"/>
        </w:rPr>
        <w:t>ustekinumab patients appear to have more severe disease at baseline than certolizumab patients;</w:t>
      </w:r>
    </w:p>
    <w:p w:rsidR="00B45BEA" w:rsidRPr="002C741E" w:rsidRDefault="00B45BEA" w:rsidP="00E858B4">
      <w:pPr>
        <w:pStyle w:val="ListParagraph"/>
        <w:numPr>
          <w:ilvl w:val="0"/>
          <w:numId w:val="3"/>
        </w:numPr>
        <w:tabs>
          <w:tab w:val="left" w:pos="993"/>
        </w:tabs>
        <w:ind w:left="993" w:hanging="284"/>
        <w:jc w:val="both"/>
        <w:rPr>
          <w:rFonts w:ascii="Arial" w:hAnsi="Arial" w:cs="Arial"/>
          <w:snapToGrid w:val="0"/>
          <w:sz w:val="22"/>
          <w:szCs w:val="22"/>
          <w:lang w:eastAsia="en-US"/>
        </w:rPr>
      </w:pPr>
      <w:r w:rsidRPr="00543496">
        <w:rPr>
          <w:rFonts w:ascii="Arial" w:hAnsi="Arial" w:cs="Arial"/>
          <w:snapToGrid w:val="0"/>
          <w:sz w:val="22"/>
          <w:szCs w:val="22"/>
          <w:lang w:eastAsia="en-US"/>
        </w:rPr>
        <w:t>the placebo (</w:t>
      </w:r>
      <w:r w:rsidRPr="002C741E">
        <w:rPr>
          <w:rFonts w:ascii="Arial" w:hAnsi="Arial" w:cs="Arial"/>
          <w:snapToGrid w:val="0"/>
          <w:sz w:val="22"/>
          <w:szCs w:val="22"/>
          <w:lang w:eastAsia="en-US"/>
        </w:rPr>
        <w:t>common reference) ACR50 response rates differed across ustekinumab, adalimumab and certolizumab trials; and</w:t>
      </w:r>
    </w:p>
    <w:p w:rsidR="00B45BEA" w:rsidRPr="008373AA" w:rsidRDefault="00B45BEA" w:rsidP="00E858B4">
      <w:pPr>
        <w:pStyle w:val="ListParagraph"/>
        <w:numPr>
          <w:ilvl w:val="0"/>
          <w:numId w:val="3"/>
        </w:numPr>
        <w:tabs>
          <w:tab w:val="left" w:pos="993"/>
        </w:tabs>
        <w:ind w:left="993" w:hanging="284"/>
        <w:jc w:val="both"/>
        <w:rPr>
          <w:rFonts w:ascii="Arial" w:hAnsi="Arial" w:cs="Arial"/>
          <w:snapToGrid w:val="0"/>
          <w:sz w:val="22"/>
          <w:szCs w:val="22"/>
          <w:lang w:eastAsia="en-US"/>
        </w:rPr>
      </w:pPr>
      <w:r>
        <w:rPr>
          <w:rFonts w:ascii="Arial" w:hAnsi="Arial" w:cs="Arial"/>
          <w:snapToGrid w:val="0"/>
          <w:sz w:val="22"/>
          <w:szCs w:val="22"/>
          <w:lang w:eastAsia="en-US"/>
        </w:rPr>
        <w:t>t</w:t>
      </w:r>
      <w:r w:rsidRPr="002C741E">
        <w:rPr>
          <w:rFonts w:ascii="Arial" w:hAnsi="Arial" w:cs="Arial"/>
          <w:snapToGrid w:val="0"/>
          <w:sz w:val="22"/>
          <w:szCs w:val="22"/>
          <w:lang w:eastAsia="en-US"/>
        </w:rPr>
        <w:t xml:space="preserve">he assessment of treatment response for certolizumab and adalimumab was at 12 weeks whilst response was assessed at 24 weeks for ustekinumab. The PBAC </w:t>
      </w:r>
      <w:r w:rsidRPr="008373AA">
        <w:rPr>
          <w:rFonts w:ascii="Arial" w:hAnsi="Arial" w:cs="Arial"/>
          <w:snapToGrid w:val="0"/>
          <w:sz w:val="22"/>
          <w:szCs w:val="22"/>
          <w:lang w:eastAsia="en-US"/>
        </w:rPr>
        <w:t>agreed that</w:t>
      </w:r>
      <w:r w:rsidR="0013365A">
        <w:rPr>
          <w:rFonts w:ascii="Arial" w:hAnsi="Arial" w:cs="Arial"/>
          <w:snapToGrid w:val="0"/>
          <w:sz w:val="22"/>
          <w:szCs w:val="22"/>
          <w:lang w:eastAsia="en-US"/>
        </w:rPr>
        <w:t>,</w:t>
      </w:r>
      <w:r w:rsidRPr="008373AA">
        <w:rPr>
          <w:rFonts w:ascii="Arial" w:hAnsi="Arial" w:cs="Arial"/>
          <w:snapToGrid w:val="0"/>
          <w:sz w:val="22"/>
          <w:szCs w:val="22"/>
          <w:lang w:eastAsia="en-US"/>
        </w:rPr>
        <w:t xml:space="preserve"> should patients not respond to ustekinumab</w:t>
      </w:r>
      <w:r w:rsidR="0013365A">
        <w:rPr>
          <w:rFonts w:ascii="Arial" w:hAnsi="Arial" w:cs="Arial"/>
          <w:snapToGrid w:val="0"/>
          <w:sz w:val="22"/>
          <w:szCs w:val="22"/>
          <w:lang w:eastAsia="en-US"/>
        </w:rPr>
        <w:t>,</w:t>
      </w:r>
      <w:r w:rsidRPr="008373AA">
        <w:rPr>
          <w:rFonts w:ascii="Arial" w:hAnsi="Arial" w:cs="Arial"/>
          <w:snapToGrid w:val="0"/>
          <w:sz w:val="22"/>
          <w:szCs w:val="22"/>
          <w:lang w:eastAsia="en-US"/>
        </w:rPr>
        <w:t xml:space="preserve"> they would be taking an extra 12 weeks of ineffective therapy and experience a delay of up to 3</w:t>
      </w:r>
      <w:r>
        <w:rPr>
          <w:rFonts w:ascii="Arial" w:hAnsi="Arial" w:cs="Arial"/>
          <w:snapToGrid w:val="0"/>
          <w:sz w:val="22"/>
          <w:szCs w:val="22"/>
          <w:lang w:eastAsia="en-US"/>
        </w:rPr>
        <w:t> </w:t>
      </w:r>
      <w:r w:rsidRPr="008373AA">
        <w:rPr>
          <w:rFonts w:ascii="Arial" w:hAnsi="Arial" w:cs="Arial"/>
          <w:snapToGrid w:val="0"/>
          <w:sz w:val="22"/>
          <w:szCs w:val="22"/>
          <w:lang w:eastAsia="en-US"/>
        </w:rPr>
        <w:t>months in access to potentially more effective therapy.</w:t>
      </w:r>
      <w:r>
        <w:rPr>
          <w:rFonts w:ascii="Arial" w:hAnsi="Arial" w:cs="Arial"/>
          <w:snapToGrid w:val="0"/>
          <w:sz w:val="22"/>
          <w:szCs w:val="22"/>
          <w:lang w:eastAsia="en-US"/>
        </w:rPr>
        <w:t xml:space="preserve"> The pre-PBAC response claimed that only patients already unsuitable for TNF</w:t>
      </w:r>
      <w:r w:rsidR="009A720F">
        <w:rPr>
          <w:rFonts w:ascii="Arial" w:hAnsi="Arial" w:cs="Arial"/>
          <w:snapToGrid w:val="0"/>
          <w:sz w:val="22"/>
          <w:szCs w:val="22"/>
          <w:lang w:eastAsia="en-US"/>
        </w:rPr>
        <w:t>-</w:t>
      </w:r>
      <w:r w:rsidRPr="005E677D">
        <w:rPr>
          <w:rFonts w:ascii="Arial" w:hAnsi="Arial" w:cs="Arial"/>
          <w:bCs/>
          <w:snapToGrid w:val="0"/>
          <w:sz w:val="22"/>
          <w:szCs w:val="22"/>
          <w:lang w:val="en-GB"/>
        </w:rPr>
        <w:t>α</w:t>
      </w:r>
      <w:r>
        <w:rPr>
          <w:rFonts w:ascii="Arial" w:hAnsi="Arial" w:cs="Arial"/>
          <w:bCs/>
          <w:snapToGrid w:val="0"/>
          <w:sz w:val="22"/>
          <w:szCs w:val="22"/>
          <w:lang w:val="en-GB"/>
        </w:rPr>
        <w:t xml:space="preserve"> inhibitor therapy would receive ustekinumab. However, this argument appeared to contradict the requested restriction which would allow for both first and subsequent line therapy.</w:t>
      </w:r>
    </w:p>
    <w:p w:rsidR="00B45BEA" w:rsidRDefault="00B45BEA" w:rsidP="00B45BEA">
      <w:pPr>
        <w:jc w:val="both"/>
        <w:rPr>
          <w:rFonts w:ascii="Arial" w:hAnsi="Arial"/>
          <w:sz w:val="22"/>
          <w:szCs w:val="22"/>
        </w:rPr>
      </w:pPr>
    </w:p>
    <w:p w:rsidR="00922051" w:rsidRDefault="00C630DE" w:rsidP="00E858B4">
      <w:pPr>
        <w:pStyle w:val="ListParagraph"/>
        <w:numPr>
          <w:ilvl w:val="1"/>
          <w:numId w:val="1"/>
        </w:numPr>
        <w:jc w:val="both"/>
        <w:rPr>
          <w:rFonts w:ascii="Arial" w:hAnsi="Arial"/>
          <w:sz w:val="22"/>
          <w:szCs w:val="22"/>
        </w:rPr>
      </w:pPr>
      <w:r>
        <w:rPr>
          <w:rFonts w:ascii="Arial" w:hAnsi="Arial"/>
          <w:sz w:val="22"/>
          <w:szCs w:val="22"/>
        </w:rPr>
        <w:t>The</w:t>
      </w:r>
      <w:r w:rsidR="00922051">
        <w:rPr>
          <w:rFonts w:ascii="Arial" w:hAnsi="Arial"/>
          <w:sz w:val="22"/>
          <w:szCs w:val="22"/>
        </w:rPr>
        <w:t xml:space="preserve"> </w:t>
      </w:r>
      <w:r w:rsidR="00AD67F5">
        <w:rPr>
          <w:rFonts w:ascii="Arial" w:hAnsi="Arial"/>
          <w:sz w:val="22"/>
          <w:szCs w:val="22"/>
        </w:rPr>
        <w:t xml:space="preserve">commissioned </w:t>
      </w:r>
      <w:r w:rsidR="00922051">
        <w:rPr>
          <w:rFonts w:ascii="Arial" w:hAnsi="Arial"/>
          <w:sz w:val="22"/>
          <w:szCs w:val="22"/>
        </w:rPr>
        <w:t>report concluded that it is difficult to support the claim that ustekinumab and certolizumab are non-inferior to each other, noting that it is also difficult to conclude that uste</w:t>
      </w:r>
      <w:r w:rsidR="0013365A">
        <w:rPr>
          <w:rFonts w:ascii="Arial" w:hAnsi="Arial"/>
          <w:sz w:val="22"/>
          <w:szCs w:val="22"/>
        </w:rPr>
        <w:t>kinumab is definitely inferior.</w:t>
      </w:r>
    </w:p>
    <w:p w:rsidR="00922051" w:rsidRDefault="00922051" w:rsidP="00E858B4">
      <w:pPr>
        <w:jc w:val="both"/>
        <w:rPr>
          <w:rFonts w:ascii="Arial" w:hAnsi="Arial"/>
          <w:sz w:val="22"/>
          <w:szCs w:val="22"/>
        </w:rPr>
      </w:pPr>
    </w:p>
    <w:p w:rsidR="002536EA" w:rsidRDefault="002536EA" w:rsidP="00E858B4">
      <w:pPr>
        <w:ind w:left="720"/>
        <w:jc w:val="both"/>
        <w:rPr>
          <w:rFonts w:ascii="Arial" w:hAnsi="Arial"/>
          <w:i/>
          <w:sz w:val="22"/>
          <w:szCs w:val="22"/>
        </w:rPr>
      </w:pPr>
      <w:r>
        <w:rPr>
          <w:rFonts w:ascii="Arial" w:hAnsi="Arial"/>
          <w:i/>
          <w:sz w:val="22"/>
          <w:szCs w:val="22"/>
        </w:rPr>
        <w:t>For more detail on PBAC’s vie</w:t>
      </w:r>
      <w:r w:rsidR="004245B6">
        <w:rPr>
          <w:rFonts w:ascii="Arial" w:hAnsi="Arial"/>
          <w:i/>
          <w:sz w:val="22"/>
          <w:szCs w:val="22"/>
        </w:rPr>
        <w:t>w, see section 6 “PBAC outcome”.</w:t>
      </w:r>
    </w:p>
    <w:p w:rsidR="002536EA" w:rsidRPr="00B45BEA" w:rsidRDefault="002536EA" w:rsidP="00B45BEA">
      <w:pPr>
        <w:jc w:val="both"/>
        <w:rPr>
          <w:rFonts w:ascii="Arial" w:hAnsi="Arial"/>
          <w:sz w:val="22"/>
          <w:szCs w:val="22"/>
        </w:rPr>
      </w:pPr>
    </w:p>
    <w:p w:rsidR="005A3173" w:rsidRPr="00882085" w:rsidRDefault="005A3173" w:rsidP="0066049E">
      <w:pPr>
        <w:pStyle w:val="Heading2"/>
      </w:pPr>
      <w:r w:rsidRPr="00882085">
        <w:t>Economic analysis</w:t>
      </w:r>
    </w:p>
    <w:p w:rsidR="005A3173" w:rsidRPr="00882085" w:rsidRDefault="005A3173" w:rsidP="00D84934">
      <w:pPr>
        <w:pStyle w:val="NoSpacing"/>
      </w:pPr>
    </w:p>
    <w:p w:rsidR="009B0F67" w:rsidRPr="00B45BEA" w:rsidRDefault="00B45BEA" w:rsidP="00F52282">
      <w:pPr>
        <w:pStyle w:val="ListParagraph"/>
        <w:numPr>
          <w:ilvl w:val="1"/>
          <w:numId w:val="1"/>
        </w:numPr>
        <w:jc w:val="both"/>
        <w:rPr>
          <w:rFonts w:ascii="Arial" w:hAnsi="Arial"/>
          <w:sz w:val="22"/>
          <w:szCs w:val="22"/>
        </w:rPr>
      </w:pPr>
      <w:r w:rsidRPr="00B45BEA">
        <w:rPr>
          <w:rFonts w:ascii="Arial" w:hAnsi="Arial"/>
          <w:sz w:val="22"/>
          <w:szCs w:val="22"/>
        </w:rPr>
        <w:t>It was previously proposed that the price for ustekinumab be based on a cost-minimisation analysis of ustekinumab 45</w:t>
      </w:r>
      <w:r w:rsidR="0013365A">
        <w:rPr>
          <w:rFonts w:ascii="Arial" w:hAnsi="Arial"/>
          <w:sz w:val="22"/>
          <w:szCs w:val="22"/>
        </w:rPr>
        <w:t> </w:t>
      </w:r>
      <w:r w:rsidRPr="00B45BEA">
        <w:rPr>
          <w:rFonts w:ascii="Arial" w:hAnsi="Arial"/>
          <w:sz w:val="22"/>
          <w:szCs w:val="22"/>
        </w:rPr>
        <w:t>mg versus certolizumab 200</w:t>
      </w:r>
      <w:r w:rsidR="0013365A">
        <w:rPr>
          <w:rFonts w:ascii="Arial" w:hAnsi="Arial"/>
          <w:sz w:val="22"/>
          <w:szCs w:val="22"/>
        </w:rPr>
        <w:t> </w:t>
      </w:r>
      <w:r w:rsidRPr="00B45BEA">
        <w:rPr>
          <w:rFonts w:ascii="Arial" w:hAnsi="Arial"/>
          <w:sz w:val="22"/>
          <w:szCs w:val="22"/>
        </w:rPr>
        <w:t>mg</w:t>
      </w:r>
      <w:r w:rsidR="00A47AD3">
        <w:rPr>
          <w:rFonts w:ascii="Arial" w:hAnsi="Arial"/>
          <w:sz w:val="22"/>
          <w:szCs w:val="22"/>
        </w:rPr>
        <w:t>, both given according to the regimens recommended in their Product Information</w:t>
      </w:r>
      <w:r w:rsidR="0013365A">
        <w:rPr>
          <w:rFonts w:ascii="Arial" w:hAnsi="Arial"/>
          <w:sz w:val="22"/>
          <w:szCs w:val="22"/>
        </w:rPr>
        <w:t>.</w:t>
      </w:r>
    </w:p>
    <w:p w:rsidR="005963BB" w:rsidRDefault="005963BB" w:rsidP="00C00DA7">
      <w:pPr>
        <w:jc w:val="both"/>
        <w:rPr>
          <w:rFonts w:ascii="Arial" w:hAnsi="Arial"/>
          <w:sz w:val="22"/>
          <w:szCs w:val="22"/>
        </w:rPr>
      </w:pPr>
    </w:p>
    <w:p w:rsidR="002536EA" w:rsidRDefault="002536EA" w:rsidP="002536EA">
      <w:pPr>
        <w:ind w:left="720"/>
        <w:jc w:val="both"/>
        <w:rPr>
          <w:rFonts w:ascii="Arial" w:hAnsi="Arial"/>
          <w:i/>
          <w:sz w:val="22"/>
          <w:szCs w:val="22"/>
        </w:rPr>
      </w:pPr>
      <w:r>
        <w:rPr>
          <w:rFonts w:ascii="Arial" w:hAnsi="Arial"/>
          <w:i/>
          <w:sz w:val="22"/>
          <w:szCs w:val="22"/>
        </w:rPr>
        <w:t>For more detail on PBAC’s vie</w:t>
      </w:r>
      <w:r w:rsidR="004245B6">
        <w:rPr>
          <w:rFonts w:ascii="Arial" w:hAnsi="Arial"/>
          <w:i/>
          <w:sz w:val="22"/>
          <w:szCs w:val="22"/>
        </w:rPr>
        <w:t>w, see section 6 “PBAC outcome”.</w:t>
      </w:r>
    </w:p>
    <w:p w:rsidR="002536EA" w:rsidRPr="004245B6" w:rsidRDefault="002536EA" w:rsidP="004245B6">
      <w:pPr>
        <w:jc w:val="both"/>
        <w:rPr>
          <w:rFonts w:ascii="Arial" w:hAnsi="Arial"/>
          <w:sz w:val="22"/>
          <w:szCs w:val="22"/>
        </w:rPr>
      </w:pPr>
    </w:p>
    <w:p w:rsidR="005A3173" w:rsidRPr="00882085" w:rsidRDefault="005A3173" w:rsidP="0066049E">
      <w:pPr>
        <w:pStyle w:val="Heading2"/>
      </w:pPr>
      <w:r w:rsidRPr="00882085">
        <w:t>Estimated PBS usage &amp; financial implications</w:t>
      </w:r>
    </w:p>
    <w:p w:rsidR="00C00DA7" w:rsidRPr="004245B6" w:rsidRDefault="00C00DA7" w:rsidP="00200882">
      <w:pPr>
        <w:jc w:val="both"/>
        <w:rPr>
          <w:rFonts w:ascii="Arial" w:hAnsi="Arial"/>
          <w:sz w:val="22"/>
          <w:szCs w:val="22"/>
        </w:rPr>
      </w:pPr>
    </w:p>
    <w:p w:rsidR="00200882" w:rsidRPr="00200882" w:rsidRDefault="00200882" w:rsidP="00F52282">
      <w:pPr>
        <w:pStyle w:val="ListParagraph"/>
        <w:numPr>
          <w:ilvl w:val="1"/>
          <w:numId w:val="1"/>
        </w:numPr>
        <w:jc w:val="both"/>
        <w:rPr>
          <w:rFonts w:ascii="Arial" w:hAnsi="Arial"/>
          <w:sz w:val="22"/>
          <w:szCs w:val="22"/>
        </w:rPr>
      </w:pPr>
      <w:r w:rsidRPr="00200882">
        <w:rPr>
          <w:rFonts w:ascii="Arial" w:hAnsi="Arial"/>
          <w:sz w:val="22"/>
          <w:szCs w:val="22"/>
        </w:rPr>
        <w:t xml:space="preserve">A DUSC review on the utilisation of bDMARDs for PsA </w:t>
      </w:r>
      <w:r w:rsidR="00A47AD3">
        <w:rPr>
          <w:rFonts w:ascii="Arial" w:hAnsi="Arial"/>
          <w:sz w:val="22"/>
          <w:szCs w:val="22"/>
        </w:rPr>
        <w:t>has been</w:t>
      </w:r>
      <w:r w:rsidRPr="00200882">
        <w:rPr>
          <w:rFonts w:ascii="Arial" w:hAnsi="Arial"/>
          <w:sz w:val="22"/>
          <w:szCs w:val="22"/>
        </w:rPr>
        <w:t xml:space="preserve"> </w:t>
      </w:r>
      <w:r>
        <w:rPr>
          <w:rFonts w:ascii="Arial" w:hAnsi="Arial"/>
          <w:sz w:val="22"/>
          <w:szCs w:val="22"/>
        </w:rPr>
        <w:t xml:space="preserve">conducted and </w:t>
      </w:r>
      <w:r w:rsidR="00AD67F5">
        <w:rPr>
          <w:rFonts w:ascii="Arial" w:hAnsi="Arial"/>
          <w:sz w:val="22"/>
          <w:szCs w:val="22"/>
        </w:rPr>
        <w:t>was</w:t>
      </w:r>
      <w:r>
        <w:rPr>
          <w:rFonts w:ascii="Arial" w:hAnsi="Arial"/>
          <w:sz w:val="22"/>
          <w:szCs w:val="22"/>
        </w:rPr>
        <w:t xml:space="preserve"> considered at </w:t>
      </w:r>
      <w:r w:rsidR="0013365A">
        <w:rPr>
          <w:rFonts w:ascii="Arial" w:hAnsi="Arial"/>
          <w:sz w:val="22"/>
          <w:szCs w:val="22"/>
        </w:rPr>
        <w:t>the November 2015 PBAC meeting.</w:t>
      </w:r>
    </w:p>
    <w:p w:rsidR="00AD67F5" w:rsidRDefault="00AD67F5" w:rsidP="004245B6">
      <w:pPr>
        <w:rPr>
          <w:rFonts w:ascii="Arial" w:hAnsi="Arial"/>
          <w:sz w:val="22"/>
          <w:szCs w:val="22"/>
        </w:rPr>
      </w:pPr>
    </w:p>
    <w:p w:rsidR="00B84392" w:rsidRDefault="00B84392" w:rsidP="004245B6">
      <w:pPr>
        <w:rPr>
          <w:rFonts w:ascii="Arial" w:hAnsi="Arial"/>
          <w:sz w:val="22"/>
          <w:szCs w:val="22"/>
        </w:rPr>
      </w:pPr>
    </w:p>
    <w:p w:rsidR="00B84392" w:rsidRPr="004245B6" w:rsidRDefault="00B84392" w:rsidP="004245B6">
      <w:pPr>
        <w:rPr>
          <w:rFonts w:ascii="Arial" w:hAnsi="Arial"/>
          <w:sz w:val="22"/>
          <w:szCs w:val="22"/>
        </w:rPr>
      </w:pPr>
    </w:p>
    <w:p w:rsidR="00C51728" w:rsidRDefault="00C51728" w:rsidP="0066049E">
      <w:pPr>
        <w:pStyle w:val="Heading1"/>
      </w:pPr>
      <w:r w:rsidRPr="002255D9">
        <w:lastRenderedPageBreak/>
        <w:t>PBAC outcome</w:t>
      </w:r>
    </w:p>
    <w:p w:rsidR="00C51728" w:rsidRPr="004245B6" w:rsidRDefault="00C51728" w:rsidP="00C51728">
      <w:pPr>
        <w:jc w:val="both"/>
        <w:rPr>
          <w:rFonts w:ascii="Arial" w:hAnsi="Arial" w:cs="Arial"/>
          <w:sz w:val="22"/>
          <w:szCs w:val="22"/>
        </w:rPr>
      </w:pPr>
    </w:p>
    <w:p w:rsidR="00324708" w:rsidRPr="00946E10" w:rsidRDefault="00C51728" w:rsidP="00AD67F5">
      <w:pPr>
        <w:pStyle w:val="ListParagraph"/>
        <w:numPr>
          <w:ilvl w:val="1"/>
          <w:numId w:val="1"/>
        </w:numPr>
        <w:jc w:val="both"/>
        <w:rPr>
          <w:rFonts w:ascii="Arial" w:hAnsi="Arial" w:cs="Arial"/>
          <w:sz w:val="22"/>
          <w:szCs w:val="22"/>
        </w:rPr>
      </w:pPr>
      <w:r>
        <w:rPr>
          <w:rFonts w:ascii="Arial" w:hAnsi="Arial" w:cs="Arial"/>
          <w:sz w:val="22"/>
          <w:szCs w:val="22"/>
        </w:rPr>
        <w:t xml:space="preserve">The PBAC recommended an Authority Required listing of ustekinumab for the treatment of psoriatic arthritis </w:t>
      </w:r>
      <w:r w:rsidR="003B102E">
        <w:rPr>
          <w:rFonts w:ascii="Arial" w:hAnsi="Arial" w:cs="Arial"/>
          <w:sz w:val="22"/>
          <w:szCs w:val="22"/>
        </w:rPr>
        <w:t xml:space="preserve">(PsA) </w:t>
      </w:r>
      <w:r w:rsidRPr="00B84392">
        <w:rPr>
          <w:rFonts w:ascii="Arial" w:hAnsi="Arial" w:cs="Arial"/>
          <w:sz w:val="22"/>
          <w:szCs w:val="22"/>
        </w:rPr>
        <w:t>on a cost-minimisation basis with certolizumab</w:t>
      </w:r>
      <w:r>
        <w:rPr>
          <w:rFonts w:ascii="Arial" w:hAnsi="Arial" w:cs="Arial"/>
          <w:sz w:val="22"/>
          <w:szCs w:val="22"/>
        </w:rPr>
        <w:t xml:space="preserve">. </w:t>
      </w:r>
      <w:r w:rsidR="004245B6">
        <w:rPr>
          <w:rFonts w:ascii="Arial" w:hAnsi="Arial" w:cs="Arial"/>
          <w:sz w:val="22"/>
          <w:szCs w:val="22"/>
        </w:rPr>
        <w:t xml:space="preserve"> </w:t>
      </w:r>
      <w:r w:rsidRPr="00B84392">
        <w:rPr>
          <w:rFonts w:ascii="Arial" w:hAnsi="Arial" w:cs="Arial"/>
          <w:sz w:val="22"/>
          <w:szCs w:val="22"/>
        </w:rPr>
        <w:t>The equi-effective doses are UST 45</w:t>
      </w:r>
      <w:r w:rsidR="004245B6" w:rsidRPr="00B84392">
        <w:rPr>
          <w:rFonts w:ascii="Arial" w:hAnsi="Arial" w:cs="Arial"/>
          <w:sz w:val="22"/>
          <w:szCs w:val="22"/>
        </w:rPr>
        <w:t> </w:t>
      </w:r>
      <w:r w:rsidRPr="00B84392">
        <w:rPr>
          <w:rFonts w:ascii="Arial" w:hAnsi="Arial" w:cs="Arial"/>
          <w:sz w:val="22"/>
          <w:szCs w:val="22"/>
        </w:rPr>
        <w:t xml:space="preserve">mg administered at weeks 0, 4 and then every 12 weeks thereafter equals CZP </w:t>
      </w:r>
      <w:r w:rsidR="00324708" w:rsidRPr="00B84392">
        <w:rPr>
          <w:rFonts w:ascii="Arial" w:hAnsi="Arial" w:cs="Arial"/>
          <w:sz w:val="22"/>
          <w:szCs w:val="22"/>
        </w:rPr>
        <w:t>400</w:t>
      </w:r>
      <w:r w:rsidR="004245B6" w:rsidRPr="00B84392">
        <w:rPr>
          <w:rFonts w:ascii="Arial" w:hAnsi="Arial" w:cs="Arial"/>
          <w:sz w:val="22"/>
          <w:szCs w:val="22"/>
        </w:rPr>
        <w:t> </w:t>
      </w:r>
      <w:r w:rsidR="00324708" w:rsidRPr="00B84392">
        <w:rPr>
          <w:rFonts w:ascii="Arial" w:hAnsi="Arial" w:cs="Arial"/>
          <w:sz w:val="22"/>
          <w:szCs w:val="22"/>
        </w:rPr>
        <w:t>mg at week</w:t>
      </w:r>
      <w:r w:rsidR="004245B6" w:rsidRPr="00B84392">
        <w:rPr>
          <w:rFonts w:ascii="Arial" w:hAnsi="Arial" w:cs="Arial"/>
          <w:sz w:val="22"/>
          <w:szCs w:val="22"/>
        </w:rPr>
        <w:t>s</w:t>
      </w:r>
      <w:r w:rsidR="00324708" w:rsidRPr="00B84392">
        <w:rPr>
          <w:rFonts w:ascii="Arial" w:hAnsi="Arial" w:cs="Arial"/>
          <w:sz w:val="22"/>
          <w:szCs w:val="22"/>
        </w:rPr>
        <w:t xml:space="preserve"> 0, 2 and 4 followed by </w:t>
      </w:r>
      <w:r w:rsidR="004245B6" w:rsidRPr="00B84392">
        <w:rPr>
          <w:rFonts w:ascii="Arial" w:hAnsi="Arial" w:cs="Arial"/>
          <w:sz w:val="22"/>
          <w:szCs w:val="22"/>
        </w:rPr>
        <w:t>200 </w:t>
      </w:r>
      <w:r w:rsidRPr="00B84392">
        <w:rPr>
          <w:rFonts w:ascii="Arial" w:hAnsi="Arial" w:cs="Arial"/>
          <w:sz w:val="22"/>
          <w:szCs w:val="22"/>
        </w:rPr>
        <w:t>mg</w:t>
      </w:r>
      <w:r w:rsidR="00324708" w:rsidRPr="00B84392">
        <w:rPr>
          <w:rFonts w:ascii="Arial" w:hAnsi="Arial" w:cs="Arial"/>
          <w:sz w:val="22"/>
          <w:szCs w:val="22"/>
        </w:rPr>
        <w:t xml:space="preserve"> every 2 weeks</w:t>
      </w:r>
      <w:r w:rsidR="00173C7B" w:rsidRPr="00B84392">
        <w:rPr>
          <w:rFonts w:ascii="Arial" w:hAnsi="Arial" w:cs="Arial"/>
          <w:sz w:val="22"/>
          <w:szCs w:val="22"/>
        </w:rPr>
        <w:t xml:space="preserve"> or 400</w:t>
      </w:r>
      <w:r w:rsidR="004245B6" w:rsidRPr="00B84392">
        <w:rPr>
          <w:rFonts w:ascii="Arial" w:hAnsi="Arial" w:cs="Arial"/>
          <w:sz w:val="22"/>
          <w:szCs w:val="22"/>
        </w:rPr>
        <w:t> </w:t>
      </w:r>
      <w:r w:rsidR="00173C7B" w:rsidRPr="00B84392">
        <w:rPr>
          <w:rFonts w:ascii="Arial" w:hAnsi="Arial" w:cs="Arial"/>
          <w:sz w:val="22"/>
          <w:szCs w:val="22"/>
        </w:rPr>
        <w:t>mg every 4 weeks</w:t>
      </w:r>
      <w:r w:rsidR="004245B6" w:rsidRPr="00B84392">
        <w:rPr>
          <w:rFonts w:ascii="Arial" w:hAnsi="Arial" w:cs="Arial"/>
          <w:sz w:val="22"/>
          <w:szCs w:val="22"/>
        </w:rPr>
        <w:t>.</w:t>
      </w:r>
    </w:p>
    <w:p w:rsidR="00324708" w:rsidRDefault="00324708" w:rsidP="00C51728">
      <w:pPr>
        <w:jc w:val="both"/>
        <w:rPr>
          <w:rFonts w:ascii="Arial" w:hAnsi="Arial" w:cs="Arial"/>
          <w:sz w:val="22"/>
          <w:szCs w:val="22"/>
        </w:rPr>
      </w:pPr>
    </w:p>
    <w:p w:rsidR="004756BD" w:rsidRDefault="004756BD" w:rsidP="00AD67F5">
      <w:pPr>
        <w:pStyle w:val="ListParagraph"/>
        <w:numPr>
          <w:ilvl w:val="1"/>
          <w:numId w:val="1"/>
        </w:numPr>
        <w:jc w:val="both"/>
        <w:rPr>
          <w:rFonts w:ascii="Arial" w:hAnsi="Arial" w:cs="Arial"/>
          <w:sz w:val="22"/>
          <w:szCs w:val="22"/>
        </w:rPr>
      </w:pPr>
      <w:r>
        <w:rPr>
          <w:rFonts w:ascii="Arial" w:hAnsi="Arial" w:cs="Arial"/>
          <w:sz w:val="22"/>
          <w:szCs w:val="22"/>
        </w:rPr>
        <w:t>The PBAC considered that the restriction as requested is appropriate</w:t>
      </w:r>
      <w:r w:rsidR="00C66DF8">
        <w:rPr>
          <w:rFonts w:ascii="Arial" w:hAnsi="Arial" w:cs="Arial"/>
          <w:sz w:val="22"/>
          <w:szCs w:val="22"/>
        </w:rPr>
        <w:t>,</w:t>
      </w:r>
      <w:r>
        <w:rPr>
          <w:rFonts w:ascii="Arial" w:hAnsi="Arial" w:cs="Arial"/>
          <w:sz w:val="22"/>
          <w:szCs w:val="22"/>
        </w:rPr>
        <w:t xml:space="preserve"> </w:t>
      </w:r>
      <w:r w:rsidRPr="00734E10">
        <w:rPr>
          <w:rFonts w:ascii="Arial" w:hAnsi="Arial" w:cs="Arial"/>
          <w:sz w:val="22"/>
          <w:szCs w:val="22"/>
        </w:rPr>
        <w:t xml:space="preserve">despite </w:t>
      </w:r>
      <w:r w:rsidR="004245B6" w:rsidRPr="00734E10">
        <w:rPr>
          <w:rFonts w:ascii="Arial" w:hAnsi="Arial" w:cs="Arial"/>
          <w:sz w:val="22"/>
          <w:szCs w:val="22"/>
        </w:rPr>
        <w:t xml:space="preserve">accepting </w:t>
      </w:r>
      <w:r w:rsidR="00C66DF8" w:rsidRPr="00734E10">
        <w:rPr>
          <w:rFonts w:ascii="Arial" w:hAnsi="Arial" w:cs="Arial"/>
          <w:sz w:val="22"/>
          <w:szCs w:val="22"/>
        </w:rPr>
        <w:t xml:space="preserve">that ustekinumab is </w:t>
      </w:r>
      <w:r w:rsidR="00C66DF8" w:rsidRPr="00B84392">
        <w:rPr>
          <w:rFonts w:ascii="Arial" w:hAnsi="Arial" w:cs="Arial"/>
          <w:sz w:val="22"/>
          <w:szCs w:val="22"/>
        </w:rPr>
        <w:t>non-inferior to certolizumab and</w:t>
      </w:r>
      <w:r w:rsidR="00C66DF8" w:rsidRPr="00734E10">
        <w:rPr>
          <w:rFonts w:ascii="Arial" w:hAnsi="Arial" w:cs="Arial"/>
          <w:sz w:val="22"/>
          <w:szCs w:val="22"/>
        </w:rPr>
        <w:t xml:space="preserve"> inferior to adalimumab, </w:t>
      </w:r>
      <w:r w:rsidR="00BF3256">
        <w:rPr>
          <w:rFonts w:ascii="Arial" w:hAnsi="Arial" w:cs="Arial"/>
          <w:sz w:val="22"/>
          <w:szCs w:val="22"/>
        </w:rPr>
        <w:t xml:space="preserve">as it </w:t>
      </w:r>
      <w:r>
        <w:rPr>
          <w:rFonts w:ascii="Arial" w:hAnsi="Arial" w:cs="Arial"/>
          <w:sz w:val="22"/>
          <w:szCs w:val="22"/>
        </w:rPr>
        <w:t xml:space="preserve">will allow clinicians to choose from a range of bDMARDs for the treatment of </w:t>
      </w:r>
      <w:r w:rsidR="00C66DF8">
        <w:rPr>
          <w:rFonts w:ascii="Arial" w:hAnsi="Arial" w:cs="Arial"/>
          <w:sz w:val="22"/>
          <w:szCs w:val="22"/>
        </w:rPr>
        <w:t xml:space="preserve">individual </w:t>
      </w:r>
      <w:r w:rsidR="004245B6">
        <w:rPr>
          <w:rFonts w:ascii="Arial" w:hAnsi="Arial" w:cs="Arial"/>
          <w:sz w:val="22"/>
          <w:szCs w:val="22"/>
        </w:rPr>
        <w:t>patients.</w:t>
      </w:r>
    </w:p>
    <w:p w:rsidR="004C4861" w:rsidRPr="004245B6" w:rsidRDefault="004C4861" w:rsidP="00322F8D">
      <w:pPr>
        <w:rPr>
          <w:rFonts w:ascii="Arial" w:hAnsi="Arial" w:cs="Arial"/>
          <w:sz w:val="22"/>
          <w:szCs w:val="22"/>
        </w:rPr>
      </w:pPr>
    </w:p>
    <w:p w:rsidR="004C4861" w:rsidRDefault="004C4861" w:rsidP="004C4861">
      <w:pPr>
        <w:pStyle w:val="ListParagraph"/>
        <w:numPr>
          <w:ilvl w:val="1"/>
          <w:numId w:val="1"/>
        </w:numPr>
        <w:jc w:val="both"/>
        <w:rPr>
          <w:rFonts w:ascii="Arial" w:hAnsi="Arial" w:cs="Arial"/>
          <w:sz w:val="22"/>
          <w:szCs w:val="22"/>
        </w:rPr>
      </w:pPr>
      <w:r>
        <w:rPr>
          <w:rFonts w:ascii="Arial" w:hAnsi="Arial" w:cs="Arial"/>
          <w:sz w:val="22"/>
          <w:szCs w:val="22"/>
        </w:rPr>
        <w:t>The PBAC considered that certolizumab</w:t>
      </w:r>
      <w:r w:rsidR="00814ECE">
        <w:rPr>
          <w:rFonts w:ascii="Arial" w:hAnsi="Arial" w:cs="Arial"/>
          <w:sz w:val="22"/>
          <w:szCs w:val="22"/>
        </w:rPr>
        <w:t xml:space="preserve"> and adalimumab are</w:t>
      </w:r>
      <w:r>
        <w:rPr>
          <w:rFonts w:ascii="Arial" w:hAnsi="Arial" w:cs="Arial"/>
          <w:sz w:val="22"/>
          <w:szCs w:val="22"/>
        </w:rPr>
        <w:t xml:space="preserve"> the appropriate comparator</w:t>
      </w:r>
      <w:r w:rsidR="00814ECE">
        <w:rPr>
          <w:rFonts w:ascii="Arial" w:hAnsi="Arial" w:cs="Arial"/>
          <w:sz w:val="22"/>
          <w:szCs w:val="22"/>
        </w:rPr>
        <w:t>s</w:t>
      </w:r>
      <w:r w:rsidR="004245B6">
        <w:rPr>
          <w:rFonts w:ascii="Arial" w:hAnsi="Arial" w:cs="Arial"/>
          <w:sz w:val="22"/>
          <w:szCs w:val="22"/>
        </w:rPr>
        <w:t>.</w:t>
      </w:r>
    </w:p>
    <w:p w:rsidR="004C4861" w:rsidRPr="004245B6" w:rsidRDefault="004C4861" w:rsidP="00322F8D">
      <w:pPr>
        <w:jc w:val="both"/>
        <w:rPr>
          <w:rFonts w:ascii="Arial" w:hAnsi="Arial" w:cs="Arial"/>
          <w:sz w:val="22"/>
          <w:szCs w:val="22"/>
        </w:rPr>
      </w:pPr>
    </w:p>
    <w:p w:rsidR="004756BD" w:rsidRDefault="004756BD" w:rsidP="00AD67F5">
      <w:pPr>
        <w:pStyle w:val="ListParagraph"/>
        <w:numPr>
          <w:ilvl w:val="1"/>
          <w:numId w:val="1"/>
        </w:numPr>
        <w:jc w:val="both"/>
        <w:rPr>
          <w:rFonts w:ascii="Arial" w:hAnsi="Arial" w:cs="Arial"/>
          <w:sz w:val="22"/>
          <w:szCs w:val="22"/>
        </w:rPr>
      </w:pPr>
      <w:r>
        <w:rPr>
          <w:rFonts w:ascii="Arial" w:hAnsi="Arial" w:cs="Arial"/>
          <w:sz w:val="22"/>
          <w:szCs w:val="22"/>
        </w:rPr>
        <w:t>The PBAC recalled it previously accepted that the safety profiles of ustekinumab versus adalimumab and adalimumab v</w:t>
      </w:r>
      <w:r w:rsidR="009F6E31">
        <w:rPr>
          <w:rFonts w:ascii="Arial" w:hAnsi="Arial" w:cs="Arial"/>
          <w:sz w:val="22"/>
          <w:szCs w:val="22"/>
        </w:rPr>
        <w:t>ersus certolizumab are similar.</w:t>
      </w:r>
    </w:p>
    <w:p w:rsidR="004756BD" w:rsidRDefault="004756BD" w:rsidP="00C51728">
      <w:pPr>
        <w:jc w:val="both"/>
        <w:rPr>
          <w:rFonts w:ascii="Arial" w:hAnsi="Arial" w:cs="Arial"/>
          <w:sz w:val="22"/>
          <w:szCs w:val="22"/>
        </w:rPr>
      </w:pPr>
    </w:p>
    <w:p w:rsidR="00C51728" w:rsidRDefault="00676B1F" w:rsidP="00AD67F5">
      <w:pPr>
        <w:pStyle w:val="ListParagraph"/>
        <w:numPr>
          <w:ilvl w:val="1"/>
          <w:numId w:val="1"/>
        </w:numPr>
        <w:jc w:val="both"/>
        <w:rPr>
          <w:rFonts w:ascii="Arial" w:hAnsi="Arial" w:cs="Arial"/>
          <w:sz w:val="22"/>
          <w:szCs w:val="22"/>
        </w:rPr>
      </w:pPr>
      <w:r>
        <w:rPr>
          <w:rFonts w:ascii="Arial" w:hAnsi="Arial" w:cs="Arial"/>
          <w:sz w:val="22"/>
          <w:szCs w:val="22"/>
        </w:rPr>
        <w:t xml:space="preserve">The PBAC accepted the clinical claim as presented in the July 2015 resubmission that UST is </w:t>
      </w:r>
      <w:r w:rsidRPr="00B84392">
        <w:rPr>
          <w:rFonts w:ascii="Arial" w:hAnsi="Arial" w:cs="Arial"/>
          <w:sz w:val="22"/>
          <w:szCs w:val="22"/>
        </w:rPr>
        <w:t>non-inferior to CZP and</w:t>
      </w:r>
      <w:r>
        <w:rPr>
          <w:rFonts w:ascii="Arial" w:hAnsi="Arial" w:cs="Arial"/>
          <w:sz w:val="22"/>
          <w:szCs w:val="22"/>
        </w:rPr>
        <w:t xml:space="preserve"> inferior to ADA. This places both UST </w:t>
      </w:r>
      <w:r w:rsidRPr="00B84392">
        <w:rPr>
          <w:rFonts w:ascii="Arial" w:hAnsi="Arial" w:cs="Arial"/>
          <w:sz w:val="22"/>
          <w:szCs w:val="22"/>
        </w:rPr>
        <w:t>and CZP</w:t>
      </w:r>
      <w:r>
        <w:rPr>
          <w:rFonts w:ascii="Arial" w:hAnsi="Arial" w:cs="Arial"/>
          <w:sz w:val="22"/>
          <w:szCs w:val="22"/>
        </w:rPr>
        <w:t xml:space="preserve"> in the south-west quadrant of the cost-effectiveness plane compared to other bDMARDs for </w:t>
      </w:r>
      <w:r w:rsidR="009D0D7F">
        <w:rPr>
          <w:rFonts w:ascii="Arial" w:hAnsi="Arial" w:cs="Arial"/>
          <w:sz w:val="22"/>
          <w:szCs w:val="22"/>
        </w:rPr>
        <w:t>PsA</w:t>
      </w:r>
      <w:r w:rsidR="009F6E31">
        <w:rPr>
          <w:rFonts w:ascii="Arial" w:hAnsi="Arial" w:cs="Arial"/>
          <w:sz w:val="22"/>
          <w:szCs w:val="22"/>
        </w:rPr>
        <w:t>.</w:t>
      </w:r>
    </w:p>
    <w:p w:rsidR="00676B1F" w:rsidRDefault="00676B1F" w:rsidP="00C51728">
      <w:pPr>
        <w:jc w:val="both"/>
        <w:rPr>
          <w:rFonts w:ascii="Arial" w:hAnsi="Arial" w:cs="Arial"/>
          <w:sz w:val="22"/>
          <w:szCs w:val="22"/>
        </w:rPr>
      </w:pPr>
    </w:p>
    <w:p w:rsidR="00676B1F" w:rsidRPr="00B84392" w:rsidRDefault="00AD67F5" w:rsidP="00AD67F5">
      <w:pPr>
        <w:pStyle w:val="ListParagraph"/>
        <w:numPr>
          <w:ilvl w:val="1"/>
          <w:numId w:val="1"/>
        </w:numPr>
        <w:jc w:val="both"/>
        <w:rPr>
          <w:rFonts w:ascii="Arial" w:hAnsi="Arial" w:cs="Arial"/>
          <w:sz w:val="20"/>
          <w:szCs w:val="22"/>
        </w:rPr>
      </w:pPr>
      <w:r w:rsidRPr="00B84392">
        <w:rPr>
          <w:rFonts w:ascii="Arial" w:hAnsi="Arial" w:cs="Arial"/>
          <w:sz w:val="22"/>
        </w:rPr>
        <w:t xml:space="preserve">The PBAC advised, under Section 101(3BA) of the </w:t>
      </w:r>
      <w:r w:rsidRPr="00B84392">
        <w:rPr>
          <w:rFonts w:ascii="Arial" w:hAnsi="Arial" w:cs="Arial"/>
          <w:i/>
          <w:sz w:val="22"/>
        </w:rPr>
        <w:t>National Health Act 1953</w:t>
      </w:r>
      <w:r w:rsidRPr="00B84392">
        <w:rPr>
          <w:rFonts w:ascii="Arial" w:hAnsi="Arial" w:cs="Arial"/>
          <w:sz w:val="22"/>
        </w:rPr>
        <w:t xml:space="preserve">, that ustekinumab and </w:t>
      </w:r>
      <w:r w:rsidR="00FE4F87" w:rsidRPr="00B84392">
        <w:rPr>
          <w:rFonts w:ascii="Arial" w:hAnsi="Arial" w:cs="Arial"/>
          <w:sz w:val="22"/>
        </w:rPr>
        <w:t xml:space="preserve">certolizumab for the treatment of PsA </w:t>
      </w:r>
      <w:r w:rsidRPr="00B84392">
        <w:rPr>
          <w:rFonts w:ascii="Arial" w:hAnsi="Arial" w:cs="Arial"/>
          <w:sz w:val="22"/>
        </w:rPr>
        <w:t>should be treated as interchangeable on an individual patient basis.</w:t>
      </w:r>
    </w:p>
    <w:p w:rsidR="00AD67F5" w:rsidRPr="009F6E31" w:rsidRDefault="00AD67F5" w:rsidP="00AD67F5">
      <w:pPr>
        <w:rPr>
          <w:rFonts w:ascii="Arial" w:hAnsi="Arial" w:cs="Arial"/>
          <w:sz w:val="22"/>
          <w:szCs w:val="22"/>
        </w:rPr>
      </w:pPr>
    </w:p>
    <w:p w:rsidR="00AD67F5" w:rsidRPr="00933F6D" w:rsidRDefault="00AD67F5" w:rsidP="00AD67F5">
      <w:pPr>
        <w:pStyle w:val="ListParagraph"/>
        <w:numPr>
          <w:ilvl w:val="1"/>
          <w:numId w:val="1"/>
        </w:numPr>
        <w:jc w:val="both"/>
        <w:rPr>
          <w:rFonts w:ascii="Arial" w:hAnsi="Arial" w:cs="Arial"/>
          <w:sz w:val="22"/>
          <w:szCs w:val="22"/>
        </w:rPr>
      </w:pPr>
      <w:r w:rsidRPr="00933F6D">
        <w:rPr>
          <w:rFonts w:ascii="Arial" w:hAnsi="Arial" w:cs="Arial"/>
          <w:sz w:val="22"/>
          <w:szCs w:val="22"/>
        </w:rPr>
        <w:t>The PBAC advised that ustekinumab is not suitable for pres</w:t>
      </w:r>
      <w:r w:rsidR="009F6E31">
        <w:rPr>
          <w:rFonts w:ascii="Arial" w:hAnsi="Arial" w:cs="Arial"/>
          <w:sz w:val="22"/>
          <w:szCs w:val="22"/>
        </w:rPr>
        <w:t>cribing by nurse practitioners.</w:t>
      </w:r>
    </w:p>
    <w:p w:rsidR="00AD67F5" w:rsidRPr="009F6E31" w:rsidRDefault="00AD67F5" w:rsidP="00AD67F5">
      <w:pPr>
        <w:rPr>
          <w:rFonts w:ascii="Arial" w:hAnsi="Arial" w:cs="Arial"/>
          <w:sz w:val="22"/>
          <w:szCs w:val="22"/>
        </w:rPr>
      </w:pPr>
    </w:p>
    <w:p w:rsidR="00AD67F5" w:rsidRPr="00933F6D" w:rsidRDefault="00AD67F5" w:rsidP="00AD67F5">
      <w:pPr>
        <w:pStyle w:val="ListParagraph"/>
        <w:numPr>
          <w:ilvl w:val="1"/>
          <w:numId w:val="1"/>
        </w:numPr>
        <w:jc w:val="both"/>
        <w:rPr>
          <w:rFonts w:ascii="Arial" w:hAnsi="Arial" w:cs="Arial"/>
          <w:sz w:val="22"/>
          <w:szCs w:val="22"/>
        </w:rPr>
      </w:pPr>
      <w:r w:rsidRPr="00933F6D">
        <w:rPr>
          <w:rFonts w:ascii="Arial" w:hAnsi="Arial" w:cs="Arial"/>
          <w:sz w:val="22"/>
          <w:szCs w:val="22"/>
        </w:rPr>
        <w:t>The PBAC recommended that the Safety Ne</w:t>
      </w:r>
      <w:r w:rsidR="009F6E31">
        <w:rPr>
          <w:rFonts w:ascii="Arial" w:hAnsi="Arial" w:cs="Arial"/>
          <w:sz w:val="22"/>
          <w:szCs w:val="22"/>
        </w:rPr>
        <w:t>t 20 Day Rule should not apply.</w:t>
      </w:r>
    </w:p>
    <w:p w:rsidR="00AD67F5" w:rsidRPr="009F6E31" w:rsidRDefault="00AD67F5" w:rsidP="00AD67F5">
      <w:pPr>
        <w:rPr>
          <w:rFonts w:ascii="Arial" w:hAnsi="Arial" w:cs="Arial"/>
          <w:sz w:val="22"/>
          <w:szCs w:val="22"/>
        </w:rPr>
      </w:pPr>
    </w:p>
    <w:p w:rsidR="00AD67F5" w:rsidRPr="00933F6D" w:rsidRDefault="00AD67F5" w:rsidP="00AD67F5">
      <w:pPr>
        <w:pStyle w:val="ListParagraph"/>
        <w:numPr>
          <w:ilvl w:val="1"/>
          <w:numId w:val="1"/>
        </w:numPr>
        <w:jc w:val="both"/>
        <w:rPr>
          <w:rFonts w:ascii="Arial" w:hAnsi="Arial" w:cs="Arial"/>
          <w:sz w:val="22"/>
          <w:szCs w:val="22"/>
        </w:rPr>
      </w:pPr>
      <w:r w:rsidRPr="00933F6D">
        <w:rPr>
          <w:rFonts w:ascii="Arial" w:hAnsi="Arial" w:cs="Arial"/>
          <w:sz w:val="22"/>
          <w:szCs w:val="22"/>
        </w:rPr>
        <w:t xml:space="preserve">The PBAC noted flow-on restriction changes to </w:t>
      </w:r>
      <w:r w:rsidR="00933F6D" w:rsidRPr="00933F6D">
        <w:rPr>
          <w:rFonts w:ascii="Arial" w:hAnsi="Arial" w:cs="Arial"/>
          <w:sz w:val="22"/>
          <w:szCs w:val="22"/>
        </w:rPr>
        <w:t>adalimumab, certolizumab, etaner</w:t>
      </w:r>
      <w:r w:rsidR="009F6E31">
        <w:rPr>
          <w:rFonts w:ascii="Arial" w:hAnsi="Arial" w:cs="Arial"/>
          <w:sz w:val="22"/>
          <w:szCs w:val="22"/>
        </w:rPr>
        <w:t>cept, golimumab and infliximab.</w:t>
      </w:r>
    </w:p>
    <w:p w:rsidR="00933F6D" w:rsidRPr="00933F6D" w:rsidRDefault="00933F6D" w:rsidP="00933F6D">
      <w:pPr>
        <w:jc w:val="both"/>
        <w:rPr>
          <w:rFonts w:ascii="Arial" w:hAnsi="Arial" w:cs="Arial"/>
          <w:sz w:val="20"/>
          <w:szCs w:val="22"/>
        </w:rPr>
      </w:pPr>
    </w:p>
    <w:p w:rsidR="00C51728" w:rsidRPr="009444F9" w:rsidRDefault="00C51728" w:rsidP="0066049E">
      <w:pPr>
        <w:pStyle w:val="Heading2"/>
        <w:rPr>
          <w:snapToGrid w:val="0"/>
          <w:lang w:val="en-GB"/>
        </w:rPr>
      </w:pPr>
      <w:r w:rsidRPr="009444F9">
        <w:rPr>
          <w:snapToGrid w:val="0"/>
          <w:lang w:val="en-GB"/>
        </w:rPr>
        <w:t>Outcome:</w:t>
      </w:r>
    </w:p>
    <w:p w:rsidR="00C51728" w:rsidRDefault="009F6E31" w:rsidP="00C51728">
      <w:pPr>
        <w:widowControl w:val="0"/>
        <w:jc w:val="both"/>
        <w:rPr>
          <w:rFonts w:ascii="Arial" w:hAnsi="Arial" w:cs="Arial"/>
          <w:bCs/>
          <w:snapToGrid w:val="0"/>
          <w:sz w:val="22"/>
          <w:szCs w:val="22"/>
          <w:lang w:val="en-GB"/>
        </w:rPr>
      </w:pPr>
      <w:r>
        <w:rPr>
          <w:rFonts w:ascii="Arial" w:hAnsi="Arial" w:cs="Arial"/>
          <w:bCs/>
          <w:snapToGrid w:val="0"/>
          <w:sz w:val="22"/>
          <w:szCs w:val="22"/>
          <w:lang w:val="en-GB"/>
        </w:rPr>
        <w:t>Recommended</w:t>
      </w:r>
    </w:p>
    <w:p w:rsidR="00C51728" w:rsidRDefault="00C51728" w:rsidP="00C51728">
      <w:pPr>
        <w:widowControl w:val="0"/>
        <w:jc w:val="both"/>
        <w:rPr>
          <w:rFonts w:ascii="Arial" w:hAnsi="Arial" w:cs="Arial"/>
          <w:bCs/>
          <w:snapToGrid w:val="0"/>
          <w:sz w:val="22"/>
          <w:szCs w:val="22"/>
          <w:lang w:val="en-GB"/>
        </w:rPr>
      </w:pPr>
    </w:p>
    <w:p w:rsidR="00C51728" w:rsidRPr="002325D5" w:rsidRDefault="00C51728" w:rsidP="0066049E">
      <w:pPr>
        <w:pStyle w:val="Heading1"/>
        <w:rPr>
          <w:snapToGrid w:val="0"/>
        </w:rPr>
      </w:pPr>
      <w:r w:rsidRPr="002325D5">
        <w:rPr>
          <w:snapToGrid w:val="0"/>
        </w:rPr>
        <w:t>Recommended listing</w:t>
      </w:r>
    </w:p>
    <w:p w:rsidR="00C51728" w:rsidRDefault="00C51728" w:rsidP="00C51728">
      <w:pPr>
        <w:widowControl w:val="0"/>
        <w:jc w:val="both"/>
        <w:rPr>
          <w:rFonts w:ascii="Arial" w:hAnsi="Arial" w:cs="Arial"/>
          <w:bCs/>
          <w:snapToGrid w:val="0"/>
          <w:sz w:val="22"/>
          <w:szCs w:val="22"/>
        </w:rPr>
      </w:pPr>
    </w:p>
    <w:p w:rsidR="00C51728" w:rsidRDefault="00933F6D" w:rsidP="00C51728">
      <w:pPr>
        <w:numPr>
          <w:ilvl w:val="1"/>
          <w:numId w:val="1"/>
        </w:numPr>
        <w:jc w:val="both"/>
        <w:rPr>
          <w:rFonts w:ascii="Arial" w:hAnsi="Arial" w:cs="Arial"/>
          <w:bCs/>
          <w:snapToGrid w:val="0"/>
          <w:sz w:val="22"/>
          <w:szCs w:val="22"/>
        </w:rPr>
      </w:pPr>
      <w:r>
        <w:rPr>
          <w:rFonts w:ascii="Arial" w:hAnsi="Arial" w:cs="Arial"/>
          <w:bCs/>
          <w:snapToGrid w:val="0"/>
          <w:sz w:val="22"/>
          <w:szCs w:val="22"/>
        </w:rPr>
        <w:t>Add new item</w:t>
      </w:r>
    </w:p>
    <w:p w:rsidR="006F50C7" w:rsidRDefault="006F50C7" w:rsidP="006F50C7">
      <w:pPr>
        <w:jc w:val="both"/>
        <w:rPr>
          <w:rFonts w:ascii="Arial" w:hAnsi="Arial" w:cs="Arial"/>
          <w:bCs/>
          <w:snapToGrid w:val="0"/>
          <w:sz w:val="22"/>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C43F67" w:rsidRPr="00260CE3" w:rsidTr="00D81B14">
        <w:trPr>
          <w:gridAfter w:val="1"/>
          <w:wAfter w:w="1701" w:type="dxa"/>
          <w:trHeight w:val="471"/>
        </w:trPr>
        <w:tc>
          <w:tcPr>
            <w:tcW w:w="3261" w:type="dxa"/>
            <w:gridSpan w:val="2"/>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Max.</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№.of</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835" w:type="dxa"/>
            <w:gridSpan w:val="2"/>
            <w:tcBorders>
              <w:bottom w:val="single" w:sz="4" w:space="0" w:color="auto"/>
            </w:tcBorders>
          </w:tcPr>
          <w:p w:rsidR="00C43F67" w:rsidRPr="00260CE3" w:rsidRDefault="00C43F67" w:rsidP="00027873">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C43F67" w:rsidRPr="00260CE3" w:rsidTr="00D81B14">
        <w:trPr>
          <w:gridAfter w:val="1"/>
          <w:wAfter w:w="1701" w:type="dxa"/>
          <w:trHeight w:val="577"/>
        </w:trPr>
        <w:tc>
          <w:tcPr>
            <w:tcW w:w="3261" w:type="dxa"/>
            <w:gridSpan w:val="2"/>
          </w:tcPr>
          <w:p w:rsidR="00C43F67" w:rsidRPr="00260CE3" w:rsidRDefault="00C43F67" w:rsidP="00027873">
            <w:pPr>
              <w:keepNext/>
              <w:ind w:left="-108"/>
              <w:jc w:val="both"/>
              <w:rPr>
                <w:rFonts w:ascii="Arial Narrow" w:hAnsi="Arial Narrow" w:cs="Arial"/>
                <w:sz w:val="20"/>
                <w:szCs w:val="20"/>
              </w:rPr>
            </w:pPr>
            <w:r>
              <w:rPr>
                <w:rFonts w:ascii="Arial Narrow" w:hAnsi="Arial Narrow" w:cs="Arial"/>
                <w:smallCaps/>
                <w:sz w:val="20"/>
                <w:szCs w:val="20"/>
              </w:rPr>
              <w:t>USTEKINUMAB</w:t>
            </w: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Injection 45 mg/0.5 mL, 1 x 0.5 mL vial</w:t>
            </w:r>
          </w:p>
        </w:tc>
        <w:tc>
          <w:tcPr>
            <w:tcW w:w="567" w:type="dxa"/>
          </w:tcPr>
          <w:p w:rsidR="00C43F67" w:rsidRPr="00260CE3" w:rsidRDefault="00C43F67" w:rsidP="00027873">
            <w:pPr>
              <w:keepNext/>
              <w:ind w:left="-108"/>
              <w:jc w:val="both"/>
              <w:rPr>
                <w:rFonts w:ascii="Arial Narrow" w:hAnsi="Arial Narrow" w:cs="Arial"/>
                <w:sz w:val="20"/>
                <w:szCs w:val="20"/>
              </w:rPr>
            </w:pP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C43F67" w:rsidRPr="00260CE3" w:rsidRDefault="00C43F67" w:rsidP="00027873">
            <w:pPr>
              <w:keepNext/>
              <w:ind w:left="-108"/>
              <w:jc w:val="both"/>
              <w:rPr>
                <w:rFonts w:ascii="Arial Narrow" w:hAnsi="Arial Narrow" w:cs="Arial"/>
                <w:sz w:val="20"/>
                <w:szCs w:val="20"/>
              </w:rPr>
            </w:pP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2</w:t>
            </w:r>
          </w:p>
        </w:tc>
        <w:tc>
          <w:tcPr>
            <w:tcW w:w="1559" w:type="dxa"/>
          </w:tcPr>
          <w:p w:rsidR="00C43F67" w:rsidRPr="00260CE3" w:rsidRDefault="00C43F67" w:rsidP="00027873">
            <w:pPr>
              <w:keepNext/>
              <w:jc w:val="both"/>
              <w:rPr>
                <w:rFonts w:ascii="Arial Narrow" w:hAnsi="Arial Narrow" w:cs="Arial"/>
                <w:sz w:val="20"/>
                <w:szCs w:val="20"/>
              </w:rPr>
            </w:pPr>
            <w:r>
              <w:rPr>
                <w:rFonts w:ascii="Arial Narrow" w:hAnsi="Arial Narrow" w:cs="Arial"/>
                <w:sz w:val="20"/>
                <w:szCs w:val="20"/>
              </w:rPr>
              <w:t>Stelara</w:t>
            </w:r>
          </w:p>
        </w:tc>
        <w:tc>
          <w:tcPr>
            <w:tcW w:w="1276" w:type="dxa"/>
          </w:tcPr>
          <w:p w:rsidR="00C43F67" w:rsidRPr="00260CE3" w:rsidRDefault="00C43F67" w:rsidP="00027873">
            <w:pPr>
              <w:keepNext/>
              <w:jc w:val="both"/>
              <w:rPr>
                <w:rFonts w:ascii="Arial Narrow" w:hAnsi="Arial Narrow" w:cs="Arial"/>
                <w:sz w:val="20"/>
                <w:szCs w:val="20"/>
              </w:rPr>
            </w:pPr>
            <w:r>
              <w:rPr>
                <w:rFonts w:ascii="Arial Narrow" w:hAnsi="Arial Narrow" w:cs="Arial"/>
                <w:sz w:val="20"/>
                <w:szCs w:val="20"/>
              </w:rPr>
              <w:t>Janssen-Cilag</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E730A3">
            <w:pPr>
              <w:rPr>
                <w:rFonts w:ascii="Arial Narrow" w:hAnsi="Arial Narrow" w:cs="Arial"/>
                <w:sz w:val="20"/>
                <w:szCs w:val="20"/>
              </w:rPr>
            </w:pPr>
            <w:r w:rsidRPr="00260CE3">
              <w:rPr>
                <w:rFonts w:ascii="Arial Narrow" w:hAnsi="Arial Narrow" w:cs="Arial"/>
                <w:sz w:val="20"/>
                <w:szCs w:val="20"/>
              </w:rPr>
              <w:t>GENERAL – General Schedule (Code GE)</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50C7" w:rsidRPr="00260CE3" w:rsidRDefault="006F50C7" w:rsidP="0002787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027873">
            <w:pPr>
              <w:jc w:val="both"/>
              <w:rPr>
                <w:rFonts w:ascii="Arial Narrow" w:hAnsi="Arial Narrow" w:cs="Arial"/>
                <w:b/>
                <w:sz w:val="20"/>
                <w:szCs w:val="20"/>
              </w:rPr>
            </w:pPr>
            <w:r w:rsidRPr="00260CE3">
              <w:rPr>
                <w:rFonts w:ascii="Arial Narrow" w:hAnsi="Arial Narrow" w:cs="Arial"/>
                <w:b/>
                <w:sz w:val="20"/>
                <w:szCs w:val="20"/>
              </w:rPr>
              <w:lastRenderedPageBreak/>
              <w:t>Episodicity:</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027873">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Pr>
                <w:rFonts w:ascii="Arial Narrow" w:hAnsi="Arial Narrow" w:cs="Arial"/>
                <w:sz w:val="20"/>
                <w:szCs w:val="20"/>
              </w:rPr>
              <w:t>Severe</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027873">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Pr>
                <w:rFonts w:ascii="Arial Narrow" w:hAnsi="Arial Narrow" w:cs="Arial"/>
                <w:sz w:val="20"/>
                <w:szCs w:val="20"/>
              </w:rPr>
              <w:t>Psoriatic arthritis</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027873">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Pr>
                <w:rFonts w:ascii="Arial Narrow" w:hAnsi="Arial Narrow" w:cs="Arial"/>
                <w:sz w:val="20"/>
                <w:szCs w:val="20"/>
              </w:rPr>
              <w:t>Severe psoriatic arthritis</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i/>
                <w:sz w:val="20"/>
                <w:szCs w:val="20"/>
              </w:rPr>
            </w:pPr>
            <w:r w:rsidRPr="00260CE3">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Pr>
                <w:rFonts w:ascii="Arial Narrow" w:hAnsi="Arial Narrow" w:cs="Arial"/>
                <w:sz w:val="20"/>
                <w:szCs w:val="20"/>
              </w:rPr>
              <w:t xml:space="preserve">Initial treatment – Initial 1 (new patient or patient recommencing treatment after a break of 5 years or more) </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CD28F3" w:rsidRDefault="006F50C7" w:rsidP="00E730A3">
            <w:pPr>
              <w:jc w:val="both"/>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F50C7" w:rsidRPr="00106BCF" w:rsidRDefault="006F50C7" w:rsidP="0002787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F50C7" w:rsidRPr="00106BCF" w:rsidRDefault="006F50C7" w:rsidP="00027873">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0"/>
                  </w:checkBox>
                </w:ffData>
              </w:fldChar>
            </w:r>
            <w:bookmarkStart w:id="5" w:name="Check3"/>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bookmarkEnd w:id="5"/>
            <w:r w:rsidRPr="00106BCF">
              <w:rPr>
                <w:rFonts w:ascii="Arial Narrow" w:hAnsi="Arial Narrow" w:cs="Arial"/>
                <w:sz w:val="20"/>
                <w:szCs w:val="20"/>
              </w:rPr>
              <w:t>Authority Required - Telephone</w:t>
            </w:r>
          </w:p>
          <w:p w:rsidR="006F50C7" w:rsidRPr="00106BCF" w:rsidRDefault="006F50C7" w:rsidP="0002787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50C7" w:rsidRPr="00106BCF" w:rsidRDefault="006F50C7" w:rsidP="00027873">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bookmarkStart w:id="6" w:name="Check5"/>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bookmarkEnd w:id="6"/>
            <w:r w:rsidRPr="00106BCF">
              <w:rPr>
                <w:rFonts w:ascii="Arial Narrow" w:hAnsi="Arial Narrow" w:cs="Arial"/>
                <w:sz w:val="20"/>
                <w:szCs w:val="20"/>
              </w:rPr>
              <w:t>Authority Required - Electronic</w:t>
            </w:r>
          </w:p>
          <w:p w:rsidR="006F50C7" w:rsidRPr="00260CE3"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6F50C7" w:rsidRDefault="006F50C7" w:rsidP="006F50C7">
            <w:pPr>
              <w:rPr>
                <w:rFonts w:ascii="Arial Narrow" w:hAnsi="Arial Narrow" w:cs="Arial"/>
                <w:b/>
                <w:sz w:val="20"/>
                <w:szCs w:val="20"/>
              </w:rPr>
            </w:pPr>
            <w:r w:rsidRPr="00260CE3">
              <w:rPr>
                <w:rFonts w:ascii="Arial Narrow" w:hAnsi="Arial Narrow" w:cs="Arial"/>
                <w:b/>
                <w:sz w:val="20"/>
                <w:szCs w:val="20"/>
              </w:rPr>
              <w:t>Treatment criteria</w:t>
            </w:r>
            <w:r>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6F50C7" w:rsidRDefault="006F50C7" w:rsidP="00027873">
            <w:pPr>
              <w:rPr>
                <w:rFonts w:ascii="Arial Narrow" w:hAnsi="Arial Narrow" w:cs="Arial"/>
                <w:sz w:val="20"/>
                <w:szCs w:val="20"/>
              </w:rPr>
            </w:pPr>
            <w:r>
              <w:rPr>
                <w:rFonts w:ascii="Arial Narrow" w:hAnsi="Arial Narrow" w:cs="Arial"/>
                <w:sz w:val="20"/>
                <w:szCs w:val="20"/>
              </w:rPr>
              <w:t>Must be treated by a rheumatologist; OR</w:t>
            </w:r>
          </w:p>
          <w:p w:rsidR="006F50C7" w:rsidRDefault="006F50C7" w:rsidP="00027873">
            <w:pPr>
              <w:rPr>
                <w:rFonts w:ascii="Arial Narrow" w:hAnsi="Arial Narrow" w:cs="Arial"/>
                <w:sz w:val="20"/>
                <w:szCs w:val="20"/>
              </w:rPr>
            </w:pPr>
          </w:p>
          <w:p w:rsidR="006F50C7" w:rsidRPr="00260CE3" w:rsidRDefault="006F50C7" w:rsidP="006F50C7">
            <w:pPr>
              <w:rPr>
                <w:rFonts w:ascii="Arial Narrow" w:hAnsi="Arial Narrow" w:cs="Arial"/>
                <w:sz w:val="20"/>
                <w:szCs w:val="20"/>
              </w:rPr>
            </w:pPr>
            <w:r>
              <w:rPr>
                <w:rFonts w:ascii="Arial Narrow" w:hAnsi="Arial Narrow" w:cs="Arial"/>
                <w:sz w:val="20"/>
                <w:szCs w:val="20"/>
              </w:rPr>
              <w:t>Must be treated by a clinical immunologist with expertise in the management of psoriatic arthritis.</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6F50C7" w:rsidRDefault="006F50C7" w:rsidP="006F50C7">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F50C7" w:rsidRDefault="006F50C7" w:rsidP="00027873">
            <w:pPr>
              <w:jc w:val="both"/>
              <w:rPr>
                <w:rFonts w:ascii="Arial Narrow" w:hAnsi="Arial Narrow" w:cs="Arial"/>
                <w:sz w:val="20"/>
                <w:szCs w:val="20"/>
              </w:rPr>
            </w:pPr>
            <w:r>
              <w:rPr>
                <w:rFonts w:ascii="Arial Narrow" w:hAnsi="Arial Narrow" w:cs="Arial"/>
                <w:sz w:val="20"/>
                <w:szCs w:val="20"/>
              </w:rPr>
              <w:t xml:space="preserve">Patient must have severe active psoriatic arthritis; AND </w:t>
            </w:r>
          </w:p>
          <w:p w:rsidR="006F50C7" w:rsidRDefault="006F50C7" w:rsidP="00027873">
            <w:pPr>
              <w:jc w:val="both"/>
              <w:rPr>
                <w:rFonts w:ascii="Arial Narrow" w:hAnsi="Arial Narrow" w:cs="Arial"/>
                <w:sz w:val="20"/>
                <w:szCs w:val="20"/>
              </w:rPr>
            </w:pPr>
          </w:p>
          <w:p w:rsidR="006F50C7" w:rsidRDefault="006F50C7" w:rsidP="00027873">
            <w:pPr>
              <w:jc w:val="both"/>
              <w:rPr>
                <w:rFonts w:ascii="Arial Narrow" w:hAnsi="Arial Narrow" w:cs="Arial"/>
                <w:sz w:val="20"/>
                <w:szCs w:val="20"/>
              </w:rPr>
            </w:pPr>
            <w:r>
              <w:rPr>
                <w:rFonts w:ascii="Arial Narrow" w:hAnsi="Arial Narrow" w:cs="Arial"/>
                <w:sz w:val="20"/>
                <w:szCs w:val="20"/>
              </w:rPr>
              <w:t xml:space="preserve">Patient must have received no prior PBS-subsidised treatment with a biological agent for this condition; OR </w:t>
            </w:r>
          </w:p>
          <w:p w:rsidR="006F50C7" w:rsidRDefault="006F50C7" w:rsidP="00027873">
            <w:pPr>
              <w:jc w:val="both"/>
              <w:rPr>
                <w:rFonts w:ascii="Arial Narrow" w:hAnsi="Arial Narrow" w:cs="Arial"/>
                <w:sz w:val="20"/>
                <w:szCs w:val="20"/>
              </w:rPr>
            </w:pPr>
          </w:p>
          <w:p w:rsidR="006F50C7" w:rsidRDefault="006F50C7" w:rsidP="00027873">
            <w:pPr>
              <w:jc w:val="both"/>
              <w:rPr>
                <w:rFonts w:ascii="Arial Narrow" w:hAnsi="Arial Narrow" w:cs="Arial"/>
                <w:sz w:val="20"/>
                <w:szCs w:val="20"/>
              </w:rPr>
            </w:pPr>
            <w:r>
              <w:rPr>
                <w:rFonts w:ascii="Arial Narrow" w:hAnsi="Arial Narrow" w:cs="Arial"/>
                <w:sz w:val="20"/>
                <w:szCs w:val="20"/>
              </w:rPr>
              <w:t xml:space="preserve">Patient must have received no PBS-subsidised treatment with a biological agent for at least 5 years if they have previously received PBS-subsidised treatment for this condition; AND </w:t>
            </w:r>
          </w:p>
          <w:p w:rsidR="006F50C7" w:rsidRDefault="006F50C7" w:rsidP="00027873">
            <w:pPr>
              <w:jc w:val="both"/>
              <w:rPr>
                <w:rFonts w:ascii="Arial Narrow" w:hAnsi="Arial Narrow" w:cs="Arial"/>
                <w:sz w:val="20"/>
                <w:szCs w:val="20"/>
              </w:rPr>
            </w:pPr>
          </w:p>
          <w:p w:rsidR="006F50C7" w:rsidRDefault="006F50C7" w:rsidP="00027873">
            <w:pPr>
              <w:jc w:val="both"/>
              <w:rPr>
                <w:rFonts w:ascii="Arial Narrow" w:hAnsi="Arial Narrow" w:cs="Arial"/>
                <w:sz w:val="20"/>
                <w:szCs w:val="20"/>
              </w:rPr>
            </w:pPr>
            <w:r>
              <w:rPr>
                <w:rFonts w:ascii="Arial Narrow" w:hAnsi="Arial Narrow" w:cs="Arial"/>
                <w:sz w:val="20"/>
                <w:szCs w:val="20"/>
              </w:rPr>
              <w:t>Patient must have failed to achieve adequate response to methotrexate at a dose of at least 20 mg weekly for a minimum period of 3 months; AND</w:t>
            </w:r>
          </w:p>
          <w:p w:rsidR="006F50C7" w:rsidRDefault="006F50C7" w:rsidP="00027873">
            <w:pPr>
              <w:jc w:val="both"/>
              <w:rPr>
                <w:rFonts w:ascii="Arial Narrow" w:hAnsi="Arial Narrow" w:cs="Arial"/>
                <w:sz w:val="20"/>
                <w:szCs w:val="20"/>
              </w:rPr>
            </w:pPr>
          </w:p>
          <w:p w:rsidR="006F50C7" w:rsidRDefault="006F50C7" w:rsidP="00027873">
            <w:pPr>
              <w:jc w:val="both"/>
              <w:rPr>
                <w:rFonts w:ascii="Arial Narrow" w:hAnsi="Arial Narrow" w:cs="Arial"/>
                <w:sz w:val="20"/>
                <w:szCs w:val="20"/>
              </w:rPr>
            </w:pPr>
            <w:r>
              <w:rPr>
                <w:rFonts w:ascii="Arial Narrow" w:hAnsi="Arial Narrow" w:cs="Arial"/>
                <w:sz w:val="20"/>
                <w:szCs w:val="20"/>
              </w:rPr>
              <w:t xml:space="preserve">Patient must have failed to achieve an adequate response to sulfasalazine at a dose of at least 2 g per day for a minimum period of 3 months; OR </w:t>
            </w:r>
          </w:p>
          <w:p w:rsidR="006F50C7" w:rsidRDefault="006F50C7" w:rsidP="00027873">
            <w:pPr>
              <w:jc w:val="both"/>
              <w:rPr>
                <w:rFonts w:ascii="Arial Narrow" w:hAnsi="Arial Narrow" w:cs="Arial"/>
                <w:sz w:val="20"/>
                <w:szCs w:val="20"/>
              </w:rPr>
            </w:pPr>
          </w:p>
          <w:p w:rsidR="006F50C7" w:rsidRDefault="006F50C7" w:rsidP="00027873">
            <w:pPr>
              <w:jc w:val="both"/>
              <w:rPr>
                <w:rFonts w:ascii="Arial Narrow" w:hAnsi="Arial Narrow" w:cs="Arial"/>
                <w:sz w:val="20"/>
                <w:szCs w:val="20"/>
              </w:rPr>
            </w:pPr>
            <w:r>
              <w:rPr>
                <w:rFonts w:ascii="Arial Narrow" w:hAnsi="Arial Narrow" w:cs="Arial"/>
                <w:sz w:val="20"/>
                <w:szCs w:val="20"/>
              </w:rPr>
              <w:t>Patient must have failed to achieve an adequate response to leflunomide at a dose of up to 20 mg daily for a minimum period of 3 months; AND</w:t>
            </w:r>
          </w:p>
          <w:p w:rsidR="006F50C7" w:rsidRDefault="006F50C7" w:rsidP="00027873">
            <w:pPr>
              <w:jc w:val="both"/>
              <w:rPr>
                <w:rFonts w:ascii="Arial Narrow" w:hAnsi="Arial Narrow" w:cs="Arial"/>
                <w:sz w:val="20"/>
                <w:szCs w:val="20"/>
              </w:rPr>
            </w:pPr>
          </w:p>
          <w:p w:rsidR="006F50C7" w:rsidRPr="00260CE3" w:rsidRDefault="006F50C7" w:rsidP="00B84392">
            <w:pPr>
              <w:jc w:val="both"/>
              <w:rPr>
                <w:rFonts w:ascii="Arial Narrow" w:hAnsi="Arial Narrow" w:cs="Arial"/>
                <w:sz w:val="20"/>
                <w:szCs w:val="20"/>
              </w:rPr>
            </w:pPr>
            <w:r>
              <w:rPr>
                <w:rFonts w:ascii="Arial Narrow" w:hAnsi="Arial Narrow" w:cs="Arial"/>
                <w:sz w:val="20"/>
                <w:szCs w:val="20"/>
              </w:rPr>
              <w:t xml:space="preserve">Patient must not receive more than </w:t>
            </w:r>
            <w:r w:rsidR="00B84392">
              <w:rPr>
                <w:rFonts w:ascii="Arial Narrow" w:hAnsi="Arial Narrow" w:cs="Arial"/>
                <w:sz w:val="20"/>
                <w:szCs w:val="20"/>
              </w:rPr>
              <w:t>28</w:t>
            </w:r>
            <w:r>
              <w:rPr>
                <w:rFonts w:ascii="Arial Narrow" w:hAnsi="Arial Narrow" w:cs="Arial"/>
                <w:sz w:val="20"/>
                <w:szCs w:val="20"/>
              </w:rPr>
              <w:t xml:space="preserve"> weeks of t</w:t>
            </w:r>
            <w:r w:rsidR="008041EE">
              <w:rPr>
                <w:rFonts w:ascii="Arial Narrow" w:hAnsi="Arial Narrow" w:cs="Arial"/>
                <w:sz w:val="20"/>
                <w:szCs w:val="20"/>
              </w:rPr>
              <w:t>reatment under this restriction</w:t>
            </w:r>
            <w:r w:rsidR="00E449F9">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8041EE" w:rsidRDefault="006F50C7" w:rsidP="008041EE">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8041EE" w:rsidP="00E730A3">
            <w:pPr>
              <w:rPr>
                <w:rFonts w:ascii="Arial Narrow" w:hAnsi="Arial Narrow" w:cs="Arial"/>
                <w:sz w:val="20"/>
                <w:szCs w:val="20"/>
              </w:rPr>
            </w:pPr>
            <w:r>
              <w:rPr>
                <w:rFonts w:ascii="Arial Narrow" w:hAnsi="Arial Narrow" w:cs="Arial"/>
                <w:sz w:val="20"/>
                <w:szCs w:val="20"/>
              </w:rPr>
              <w:t>Patient must be an adult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sz w:val="20"/>
                <w:szCs w:val="20"/>
              </w:rPr>
            </w:pPr>
            <w:r w:rsidRPr="00260CE3">
              <w:rPr>
                <w:rFonts w:ascii="Arial Narrow" w:hAnsi="Arial Narrow" w:cs="Arial"/>
                <w:b/>
                <w:sz w:val="20"/>
                <w:szCs w:val="20"/>
              </w:rPr>
              <w:t>Foreword</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8041EE" w:rsidP="00027873">
            <w:pPr>
              <w:rPr>
                <w:rFonts w:ascii="Arial Narrow" w:hAnsi="Arial Narrow" w:cs="Arial"/>
                <w:sz w:val="20"/>
                <w:szCs w:val="20"/>
              </w:rPr>
            </w:pPr>
            <w:r>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8041EE" w:rsidRDefault="006F50C7" w:rsidP="008041EE">
            <w:pPr>
              <w:jc w:val="both"/>
              <w:rPr>
                <w:rFonts w:ascii="Arial Narrow" w:hAnsi="Arial Narrow" w:cs="Arial"/>
                <w:b/>
                <w:sz w:val="20"/>
                <w:szCs w:val="20"/>
              </w:rPr>
            </w:pPr>
            <w:r w:rsidRPr="00260CE3">
              <w:rPr>
                <w:rFonts w:ascii="Arial Narrow" w:hAnsi="Arial Narrow" w:cs="Arial"/>
                <w:b/>
                <w:sz w:val="20"/>
                <w:szCs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8041EE" w:rsidP="00027873">
            <w:pPr>
              <w:rPr>
                <w:rFonts w:ascii="Arial Narrow" w:hAnsi="Arial Narrow" w:cs="Arial"/>
                <w:sz w:val="20"/>
                <w:szCs w:val="20"/>
              </w:rPr>
            </w:pPr>
            <w:r>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6D3173" w:rsidRDefault="006F50C7" w:rsidP="006D3173">
            <w:pPr>
              <w:jc w:val="both"/>
              <w:rPr>
                <w:rFonts w:ascii="Arial Narrow" w:hAnsi="Arial Narrow" w:cs="Arial"/>
                <w:b/>
                <w:sz w:val="20"/>
                <w:szCs w:val="20"/>
              </w:rPr>
            </w:pPr>
            <w:r w:rsidRPr="00260CE3">
              <w:rPr>
                <w:rFonts w:ascii="Arial Narrow" w:hAnsi="Arial Narrow" w:cs="Arial"/>
                <w:b/>
                <w:sz w:val="20"/>
                <w:szCs w:val="20"/>
              </w:rPr>
              <w:t>Prescriber Instruction</w:t>
            </w:r>
            <w:r w:rsidR="006D3173">
              <w:rPr>
                <w:rFonts w:ascii="Arial Narrow" w:hAnsi="Arial Narrow" w:cs="Arial"/>
                <w:b/>
                <w:sz w:val="20"/>
                <w:szCs w:val="20"/>
              </w:rPr>
              <w:t>s</w:t>
            </w:r>
          </w:p>
        </w:tc>
        <w:tc>
          <w:tcPr>
            <w:tcW w:w="6379" w:type="dxa"/>
            <w:gridSpan w:val="6"/>
            <w:tcBorders>
              <w:top w:val="single" w:sz="4" w:space="0" w:color="auto"/>
              <w:left w:val="single" w:sz="4" w:space="0" w:color="auto"/>
              <w:bottom w:val="single" w:sz="4" w:space="0" w:color="auto"/>
              <w:right w:val="single" w:sz="4" w:space="0" w:color="auto"/>
            </w:tcBorders>
          </w:tcPr>
          <w:p w:rsidR="006F50C7" w:rsidRDefault="008041EE" w:rsidP="00027873">
            <w:pPr>
              <w:rPr>
                <w:rFonts w:ascii="Arial Narrow" w:hAnsi="Arial Narrow" w:cs="Arial"/>
                <w:sz w:val="20"/>
                <w:szCs w:val="20"/>
              </w:rPr>
            </w:pPr>
            <w:r>
              <w:rPr>
                <w:rFonts w:ascii="Arial Narrow" w:hAnsi="Arial Narrow" w:cs="Arial"/>
                <w:sz w:val="20"/>
                <w:szCs w:val="20"/>
              </w:rPr>
              <w:t>For the purpose of this restriction ‘biological agent’ means adalimumab, certolizumab pegol, etanercept, golimumab, inflixi</w:t>
            </w:r>
            <w:r w:rsidR="00E730A3">
              <w:rPr>
                <w:rFonts w:ascii="Arial Narrow" w:hAnsi="Arial Narrow" w:cs="Arial"/>
                <w:sz w:val="20"/>
                <w:szCs w:val="20"/>
              </w:rPr>
              <w:t>mab or ustekinumab.</w:t>
            </w:r>
          </w:p>
          <w:p w:rsidR="008041EE" w:rsidRDefault="008041EE" w:rsidP="00027873">
            <w:pPr>
              <w:rPr>
                <w:rFonts w:ascii="Arial Narrow" w:hAnsi="Arial Narrow" w:cs="Arial"/>
                <w:sz w:val="20"/>
                <w:szCs w:val="20"/>
              </w:rPr>
            </w:pPr>
          </w:p>
          <w:p w:rsidR="008041EE" w:rsidRDefault="008041EE" w:rsidP="00027873">
            <w:pPr>
              <w:rPr>
                <w:rFonts w:ascii="Arial Narrow" w:hAnsi="Arial Narrow" w:cs="Arial"/>
                <w:sz w:val="20"/>
                <w:szCs w:val="20"/>
              </w:rPr>
            </w:pPr>
            <w:r>
              <w:rPr>
                <w:rFonts w:ascii="Arial Narrow" w:hAnsi="Arial Narrow" w:cs="Arial"/>
                <w:sz w:val="20"/>
                <w:szCs w:val="20"/>
              </w:rPr>
              <w:t>Where treatment with methotrexate, sulfasalazine or leflunomide is contraindicated according to the relevant TGA-approved Product Information, details must be provi</w:t>
            </w:r>
            <w:r w:rsidR="00E730A3">
              <w:rPr>
                <w:rFonts w:ascii="Arial Narrow" w:hAnsi="Arial Narrow" w:cs="Arial"/>
                <w:sz w:val="20"/>
                <w:szCs w:val="20"/>
              </w:rPr>
              <w:t>ded at the time of application.</w:t>
            </w:r>
          </w:p>
          <w:p w:rsidR="008041EE" w:rsidRDefault="008041EE" w:rsidP="00027873">
            <w:pPr>
              <w:rPr>
                <w:rFonts w:ascii="Arial Narrow" w:hAnsi="Arial Narrow" w:cs="Arial"/>
                <w:sz w:val="20"/>
                <w:szCs w:val="20"/>
              </w:rPr>
            </w:pPr>
          </w:p>
          <w:p w:rsidR="008041EE" w:rsidRDefault="008041EE" w:rsidP="008041EE">
            <w:pPr>
              <w:rPr>
                <w:rFonts w:ascii="Arial Narrow" w:hAnsi="Arial Narrow" w:cs="Arial"/>
                <w:sz w:val="20"/>
                <w:szCs w:val="20"/>
              </w:rPr>
            </w:pPr>
            <w:r>
              <w:rPr>
                <w:rFonts w:ascii="Arial Narrow" w:hAnsi="Arial Narrow" w:cs="Arial"/>
                <w:sz w:val="20"/>
                <w:szCs w:val="20"/>
              </w:rPr>
              <w:t xml:space="preserve">Where intolerance to treatment with methotrexate, sulfasalazine or leflunomide developed during the relevant period of use, which was of a severity to necessitate permanent treatment </w:t>
            </w:r>
            <w:r w:rsidR="006D3173">
              <w:rPr>
                <w:rFonts w:ascii="Arial Narrow" w:hAnsi="Arial Narrow" w:cs="Arial"/>
                <w:sz w:val="20"/>
                <w:szCs w:val="20"/>
              </w:rPr>
              <w:t>withdrawal, details of the degree of this toxicity must be provi</w:t>
            </w:r>
            <w:r w:rsidR="00E730A3">
              <w:rPr>
                <w:rFonts w:ascii="Arial Narrow" w:hAnsi="Arial Narrow" w:cs="Arial"/>
                <w:sz w:val="20"/>
                <w:szCs w:val="20"/>
              </w:rPr>
              <w:t>ded at the time of application.</w:t>
            </w:r>
          </w:p>
          <w:p w:rsidR="006D3173" w:rsidRDefault="006D3173" w:rsidP="008041EE">
            <w:pPr>
              <w:rPr>
                <w:rFonts w:ascii="Arial Narrow" w:hAnsi="Arial Narrow" w:cs="Arial"/>
                <w:sz w:val="20"/>
                <w:szCs w:val="20"/>
              </w:rPr>
            </w:pPr>
          </w:p>
          <w:p w:rsidR="006D3173" w:rsidRDefault="006D3173" w:rsidP="008041EE">
            <w:pPr>
              <w:rPr>
                <w:rFonts w:ascii="Arial Narrow" w:hAnsi="Arial Narrow" w:cs="Arial"/>
                <w:sz w:val="20"/>
                <w:szCs w:val="20"/>
              </w:rPr>
            </w:pPr>
            <w:r>
              <w:rPr>
                <w:rFonts w:ascii="Arial Narrow" w:hAnsi="Arial Narrow" w:cs="Arial"/>
                <w:sz w:val="20"/>
                <w:szCs w:val="20"/>
              </w:rPr>
              <w:t xml:space="preserve">The following initiation criteria indicate failure to achieve an adequate response and </w:t>
            </w:r>
            <w:r>
              <w:rPr>
                <w:rFonts w:ascii="Arial Narrow" w:hAnsi="Arial Narrow" w:cs="Arial"/>
                <w:sz w:val="20"/>
                <w:szCs w:val="20"/>
              </w:rPr>
              <w:lastRenderedPageBreak/>
              <w:t xml:space="preserve">must be demonstrated in all patients at the time of the initial application: </w:t>
            </w:r>
          </w:p>
          <w:p w:rsidR="006D3173" w:rsidRDefault="006D3173" w:rsidP="008041EE">
            <w:pPr>
              <w:rPr>
                <w:rFonts w:ascii="Arial Narrow" w:hAnsi="Arial Narrow" w:cs="Arial"/>
                <w:sz w:val="20"/>
                <w:szCs w:val="20"/>
              </w:rPr>
            </w:pPr>
          </w:p>
          <w:p w:rsidR="006D3173" w:rsidRDefault="006D3173" w:rsidP="008041EE">
            <w:pPr>
              <w:rPr>
                <w:rFonts w:ascii="Arial Narrow" w:hAnsi="Arial Narrow" w:cs="Arial"/>
                <w:sz w:val="20"/>
                <w:szCs w:val="20"/>
              </w:rPr>
            </w:pPr>
            <w:r>
              <w:rPr>
                <w:rFonts w:ascii="Arial Narrow" w:hAnsi="Arial Narrow" w:cs="Arial"/>
                <w:sz w:val="20"/>
                <w:szCs w:val="20"/>
              </w:rPr>
              <w:t>an elevated erythrocyte sediment</w:t>
            </w:r>
            <w:r w:rsidR="00173C7B">
              <w:rPr>
                <w:rFonts w:ascii="Arial Narrow" w:hAnsi="Arial Narrow" w:cs="Arial"/>
                <w:sz w:val="20"/>
                <w:szCs w:val="20"/>
              </w:rPr>
              <w:t>ation rate (ESR) greater than 25</w:t>
            </w:r>
            <w:r>
              <w:rPr>
                <w:rFonts w:ascii="Arial Narrow" w:hAnsi="Arial Narrow" w:cs="Arial"/>
                <w:sz w:val="20"/>
                <w:szCs w:val="20"/>
              </w:rPr>
              <w:t xml:space="preserve"> mm per hour or a C-reactive protein (CRP) level greater than 15 mg per L; and</w:t>
            </w:r>
          </w:p>
          <w:p w:rsidR="006D3173" w:rsidRDefault="006D3173" w:rsidP="008041EE">
            <w:pPr>
              <w:rPr>
                <w:rFonts w:ascii="Arial Narrow" w:hAnsi="Arial Narrow" w:cs="Arial"/>
                <w:sz w:val="20"/>
                <w:szCs w:val="20"/>
              </w:rPr>
            </w:pPr>
            <w:r>
              <w:rPr>
                <w:rFonts w:ascii="Arial Narrow" w:hAnsi="Arial Narrow" w:cs="Arial"/>
                <w:sz w:val="20"/>
                <w:szCs w:val="20"/>
              </w:rPr>
              <w:t>either</w:t>
            </w:r>
          </w:p>
          <w:p w:rsidR="006D3173" w:rsidRDefault="006D3173" w:rsidP="008041EE">
            <w:pPr>
              <w:rPr>
                <w:rFonts w:ascii="Arial Narrow" w:hAnsi="Arial Narrow" w:cs="Arial"/>
                <w:sz w:val="20"/>
                <w:szCs w:val="20"/>
              </w:rPr>
            </w:pPr>
          </w:p>
          <w:p w:rsidR="006D3173" w:rsidRDefault="006D3173" w:rsidP="006D3173">
            <w:pPr>
              <w:pStyle w:val="ListParagraph"/>
              <w:numPr>
                <w:ilvl w:val="0"/>
                <w:numId w:val="11"/>
              </w:numPr>
              <w:rPr>
                <w:rFonts w:ascii="Arial Narrow" w:hAnsi="Arial Narrow" w:cs="Arial"/>
                <w:sz w:val="20"/>
                <w:szCs w:val="20"/>
              </w:rPr>
            </w:pPr>
            <w:r>
              <w:rPr>
                <w:rFonts w:ascii="Arial Narrow" w:hAnsi="Arial Narrow" w:cs="Arial"/>
                <w:sz w:val="20"/>
                <w:szCs w:val="20"/>
              </w:rPr>
              <w:t xml:space="preserve">An active joint count of at least 20 active (swollen and tender) joints; or </w:t>
            </w:r>
          </w:p>
          <w:p w:rsidR="006D3173" w:rsidRDefault="006D3173" w:rsidP="006D3173">
            <w:pPr>
              <w:pStyle w:val="ListParagraph"/>
              <w:numPr>
                <w:ilvl w:val="0"/>
                <w:numId w:val="11"/>
              </w:numPr>
              <w:rPr>
                <w:rFonts w:ascii="Arial Narrow" w:hAnsi="Arial Narrow" w:cs="Arial"/>
                <w:sz w:val="20"/>
                <w:szCs w:val="20"/>
              </w:rPr>
            </w:pPr>
            <w:r>
              <w:rPr>
                <w:rFonts w:ascii="Arial Narrow" w:hAnsi="Arial Narrow" w:cs="Arial"/>
                <w:sz w:val="20"/>
                <w:szCs w:val="20"/>
              </w:rPr>
              <w:t>At least 4 active joints from the following list of major joints:</w:t>
            </w:r>
          </w:p>
          <w:p w:rsidR="006D3173" w:rsidRDefault="006D3173" w:rsidP="006D3173">
            <w:pPr>
              <w:pStyle w:val="ListParagraph"/>
              <w:numPr>
                <w:ilvl w:val="0"/>
                <w:numId w:val="12"/>
              </w:numPr>
              <w:rPr>
                <w:rFonts w:ascii="Arial Narrow" w:hAnsi="Arial Narrow" w:cs="Arial"/>
                <w:sz w:val="20"/>
                <w:szCs w:val="20"/>
              </w:rPr>
            </w:pPr>
            <w:r>
              <w:rPr>
                <w:rFonts w:ascii="Arial Narrow" w:hAnsi="Arial Narrow" w:cs="Arial"/>
                <w:sz w:val="20"/>
                <w:szCs w:val="20"/>
              </w:rPr>
              <w:t>Elbow, wrist, knee and/or ankle (assessed as swollen and tender); and/or</w:t>
            </w:r>
          </w:p>
          <w:p w:rsidR="006D3173" w:rsidRDefault="006D3173" w:rsidP="006D3173">
            <w:pPr>
              <w:pStyle w:val="ListParagraph"/>
              <w:numPr>
                <w:ilvl w:val="0"/>
                <w:numId w:val="12"/>
              </w:numPr>
              <w:rPr>
                <w:rFonts w:ascii="Arial Narrow" w:hAnsi="Arial Narrow" w:cs="Arial"/>
                <w:sz w:val="20"/>
                <w:szCs w:val="20"/>
              </w:rPr>
            </w:pPr>
            <w:r>
              <w:rPr>
                <w:rFonts w:ascii="Arial Narrow" w:hAnsi="Arial Narrow" w:cs="Arial"/>
                <w:sz w:val="20"/>
                <w:szCs w:val="20"/>
              </w:rPr>
              <w:t>Shoulder and/or hip (assessed as pain in passive movement and restriction of passive movement, where pain and limitation of movement are due to active disease and not irreversible damage such as joint destruction or bony overgrowth).</w:t>
            </w:r>
          </w:p>
          <w:p w:rsidR="006D3173" w:rsidRDefault="006D3173" w:rsidP="006D3173">
            <w:pPr>
              <w:rPr>
                <w:rFonts w:ascii="Arial Narrow" w:hAnsi="Arial Narrow" w:cs="Arial"/>
                <w:sz w:val="20"/>
                <w:szCs w:val="20"/>
              </w:rPr>
            </w:pPr>
          </w:p>
          <w:p w:rsidR="006D3173" w:rsidRDefault="006D3173" w:rsidP="006D3173">
            <w:pPr>
              <w:rPr>
                <w:rFonts w:ascii="Arial Narrow" w:hAnsi="Arial Narrow" w:cs="Arial"/>
                <w:sz w:val="20"/>
                <w:szCs w:val="20"/>
              </w:rPr>
            </w:pPr>
            <w:r>
              <w:rPr>
                <w:rFonts w:ascii="Arial Narrow" w:hAnsi="Arial Narrow" w:cs="Arial"/>
                <w:sz w:val="20"/>
                <w:szCs w:val="20"/>
              </w:rPr>
              <w:t xml:space="preserve">If the above requirement to demonstrate an elevated ESR or CRP cannot be met, the application must state the reasons why this criterion cannot be satisfied. </w:t>
            </w:r>
          </w:p>
          <w:p w:rsidR="006D3173" w:rsidRDefault="006D3173" w:rsidP="006D3173">
            <w:pPr>
              <w:rPr>
                <w:rFonts w:ascii="Arial Narrow" w:hAnsi="Arial Narrow" w:cs="Arial"/>
                <w:sz w:val="20"/>
                <w:szCs w:val="20"/>
              </w:rPr>
            </w:pPr>
          </w:p>
          <w:p w:rsidR="006D3173" w:rsidRDefault="006D3173" w:rsidP="006D3173">
            <w:pPr>
              <w:rPr>
                <w:rFonts w:ascii="Arial Narrow" w:hAnsi="Arial Narrow" w:cs="Arial"/>
                <w:sz w:val="20"/>
                <w:szCs w:val="20"/>
              </w:rPr>
            </w:pPr>
            <w:r>
              <w:rPr>
                <w:rFonts w:ascii="Arial Narrow" w:hAnsi="Arial Narrow" w:cs="Arial"/>
                <w:sz w:val="20"/>
                <w:szCs w:val="20"/>
              </w:rPr>
              <w:t xml:space="preserve">The authority application must be made in writing and must include: </w:t>
            </w:r>
          </w:p>
          <w:p w:rsidR="006D3173" w:rsidRDefault="006D3173" w:rsidP="006D3173">
            <w:pPr>
              <w:pStyle w:val="ListParagraph"/>
              <w:numPr>
                <w:ilvl w:val="0"/>
                <w:numId w:val="13"/>
              </w:numPr>
              <w:rPr>
                <w:rFonts w:ascii="Arial Narrow" w:hAnsi="Arial Narrow" w:cs="Arial"/>
                <w:sz w:val="20"/>
                <w:szCs w:val="20"/>
              </w:rPr>
            </w:pPr>
            <w:r>
              <w:rPr>
                <w:rFonts w:ascii="Arial Narrow" w:hAnsi="Arial Narrow" w:cs="Arial"/>
                <w:sz w:val="20"/>
                <w:szCs w:val="20"/>
              </w:rPr>
              <w:t>A completed authority prescription form; and</w:t>
            </w:r>
          </w:p>
          <w:p w:rsidR="006D3173" w:rsidRDefault="006D3173" w:rsidP="006D3173">
            <w:pPr>
              <w:pStyle w:val="ListParagraph"/>
              <w:numPr>
                <w:ilvl w:val="0"/>
                <w:numId w:val="13"/>
              </w:numPr>
              <w:rPr>
                <w:rFonts w:ascii="Arial Narrow" w:hAnsi="Arial Narrow" w:cs="Arial"/>
                <w:sz w:val="20"/>
                <w:szCs w:val="20"/>
              </w:rPr>
            </w:pPr>
            <w:r>
              <w:rPr>
                <w:rFonts w:ascii="Arial Narrow" w:hAnsi="Arial Narrow" w:cs="Arial"/>
                <w:sz w:val="20"/>
                <w:szCs w:val="20"/>
              </w:rPr>
              <w:t xml:space="preserve">A completed psoriatic arthritis PBS Authority Application – Supporting Information Form; and </w:t>
            </w:r>
          </w:p>
          <w:p w:rsidR="006D3173" w:rsidRPr="006D3173" w:rsidRDefault="006D3173" w:rsidP="006D3173">
            <w:pPr>
              <w:pStyle w:val="ListParagraph"/>
              <w:numPr>
                <w:ilvl w:val="0"/>
                <w:numId w:val="13"/>
              </w:numPr>
              <w:rPr>
                <w:rFonts w:ascii="Arial Narrow" w:hAnsi="Arial Narrow" w:cs="Arial"/>
                <w:sz w:val="20"/>
                <w:szCs w:val="20"/>
              </w:rPr>
            </w:pPr>
            <w:r>
              <w:rPr>
                <w:rFonts w:ascii="Arial Narrow" w:hAnsi="Arial Narrow" w:cs="Arial"/>
                <w:sz w:val="20"/>
                <w:szCs w:val="20"/>
              </w:rPr>
              <w:t>A signed patient acknowledgement</w:t>
            </w:r>
            <w:r w:rsidR="00E730A3">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027873">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6F50C7" w:rsidRPr="00260CE3" w:rsidRDefault="006F50C7" w:rsidP="006D3173">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D3173" w:rsidRDefault="006D3173" w:rsidP="00027873">
            <w:pPr>
              <w:rPr>
                <w:rFonts w:ascii="Arial Narrow" w:hAnsi="Arial Narrow" w:cs="Arial"/>
                <w:sz w:val="20"/>
                <w:szCs w:val="20"/>
              </w:rPr>
            </w:pPr>
            <w:r>
              <w:rPr>
                <w:rFonts w:ascii="Arial Narrow" w:hAnsi="Arial Narrow" w:cs="Arial"/>
                <w:sz w:val="20"/>
                <w:szCs w:val="20"/>
              </w:rPr>
              <w:t xml:space="preserve">No increase in the maximum quantity or number of units may be authorised. </w:t>
            </w:r>
          </w:p>
          <w:p w:rsidR="006D3173" w:rsidRDefault="006D3173" w:rsidP="00027873">
            <w:pPr>
              <w:rPr>
                <w:rFonts w:ascii="Arial Narrow" w:hAnsi="Arial Narrow" w:cs="Arial"/>
                <w:sz w:val="20"/>
                <w:szCs w:val="20"/>
              </w:rPr>
            </w:pPr>
          </w:p>
          <w:p w:rsidR="006D3173" w:rsidRDefault="006D3173" w:rsidP="00027873">
            <w:pPr>
              <w:rPr>
                <w:rFonts w:ascii="Arial Narrow" w:hAnsi="Arial Narrow" w:cs="Arial"/>
                <w:sz w:val="20"/>
                <w:szCs w:val="20"/>
              </w:rPr>
            </w:pPr>
            <w:r>
              <w:rPr>
                <w:rFonts w:ascii="Arial Narrow" w:hAnsi="Arial Narrow" w:cs="Arial"/>
                <w:sz w:val="20"/>
                <w:szCs w:val="20"/>
              </w:rPr>
              <w:t xml:space="preserve">No increase in the maximum number of repeats may be authorised. </w:t>
            </w:r>
          </w:p>
          <w:p w:rsidR="006D3173" w:rsidRDefault="006D3173" w:rsidP="00027873">
            <w:pPr>
              <w:rPr>
                <w:rFonts w:ascii="Arial Narrow" w:hAnsi="Arial Narrow" w:cs="Arial"/>
                <w:sz w:val="20"/>
                <w:szCs w:val="20"/>
              </w:rPr>
            </w:pPr>
          </w:p>
          <w:p w:rsidR="006D3173" w:rsidRPr="00260CE3" w:rsidRDefault="006D3173" w:rsidP="00027873">
            <w:pPr>
              <w:rPr>
                <w:rFonts w:ascii="Arial Narrow" w:hAnsi="Arial Narrow" w:cs="Arial"/>
                <w:sz w:val="20"/>
                <w:szCs w:val="20"/>
              </w:rPr>
            </w:pPr>
            <w:r>
              <w:rPr>
                <w:rFonts w:ascii="Arial Narrow" w:hAnsi="Arial Narrow" w:cs="Arial"/>
                <w:sz w:val="20"/>
                <w:szCs w:val="20"/>
              </w:rPr>
              <w:t xml:space="preserve">Special Pricing Arrangements apply. </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6D3173" w:rsidRDefault="006F50C7" w:rsidP="006D3173">
            <w:pPr>
              <w:jc w:val="both"/>
              <w:rPr>
                <w:rFonts w:ascii="Arial Narrow" w:hAnsi="Arial Narrow" w:cs="Arial"/>
                <w:b/>
                <w:sz w:val="20"/>
                <w:szCs w:val="20"/>
              </w:rPr>
            </w:pPr>
            <w:r w:rsidRPr="00260CE3">
              <w:rPr>
                <w:rFonts w:ascii="Arial Narrow" w:hAnsi="Arial Narrow" w:cs="Arial"/>
                <w:b/>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D3173" w:rsidP="00027873">
            <w:pPr>
              <w:rPr>
                <w:rFonts w:ascii="Arial Narrow" w:hAnsi="Arial Narrow" w:cs="Arial"/>
                <w:sz w:val="20"/>
                <w:szCs w:val="20"/>
              </w:rPr>
            </w:pPr>
            <w:r>
              <w:rPr>
                <w:rFonts w:ascii="Arial Narrow" w:hAnsi="Arial Narrow" w:cs="Arial"/>
                <w:sz w:val="20"/>
                <w:szCs w:val="20"/>
              </w:rPr>
              <w:t>-</w:t>
            </w:r>
          </w:p>
        </w:tc>
      </w:tr>
    </w:tbl>
    <w:p w:rsidR="008041EE" w:rsidRDefault="008041EE" w:rsidP="006F50C7">
      <w:pPr>
        <w:jc w:val="both"/>
        <w:rPr>
          <w:rFonts w:ascii="Arial" w:hAnsi="Arial" w:cs="Arial"/>
          <w:bCs/>
          <w:snapToGrid w:val="0"/>
          <w:sz w:val="22"/>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C43F67" w:rsidRPr="00260CE3" w:rsidTr="00D81B14">
        <w:trPr>
          <w:gridAfter w:val="1"/>
          <w:wAfter w:w="1701" w:type="dxa"/>
          <w:trHeight w:val="471"/>
        </w:trPr>
        <w:tc>
          <w:tcPr>
            <w:tcW w:w="3261" w:type="dxa"/>
            <w:gridSpan w:val="2"/>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Max.</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№.of</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835" w:type="dxa"/>
            <w:gridSpan w:val="2"/>
            <w:tcBorders>
              <w:bottom w:val="single" w:sz="4" w:space="0" w:color="auto"/>
            </w:tcBorders>
          </w:tcPr>
          <w:p w:rsidR="00C43F67" w:rsidRPr="00260CE3" w:rsidRDefault="00C43F67" w:rsidP="00027873">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C43F67" w:rsidRPr="00260CE3" w:rsidTr="00D81B14">
        <w:trPr>
          <w:gridAfter w:val="1"/>
          <w:wAfter w:w="1701" w:type="dxa"/>
          <w:trHeight w:val="577"/>
        </w:trPr>
        <w:tc>
          <w:tcPr>
            <w:tcW w:w="3261" w:type="dxa"/>
            <w:gridSpan w:val="2"/>
          </w:tcPr>
          <w:p w:rsidR="00C43F67" w:rsidRPr="00260CE3" w:rsidRDefault="00C43F67" w:rsidP="00027873">
            <w:pPr>
              <w:keepNext/>
              <w:ind w:left="-108"/>
              <w:jc w:val="both"/>
              <w:rPr>
                <w:rFonts w:ascii="Arial Narrow" w:hAnsi="Arial Narrow" w:cs="Arial"/>
                <w:sz w:val="20"/>
                <w:szCs w:val="20"/>
              </w:rPr>
            </w:pPr>
            <w:r>
              <w:rPr>
                <w:rFonts w:ascii="Arial Narrow" w:hAnsi="Arial Narrow" w:cs="Arial"/>
                <w:smallCaps/>
                <w:sz w:val="20"/>
                <w:szCs w:val="20"/>
              </w:rPr>
              <w:t>USTEKINUMAB</w:t>
            </w:r>
          </w:p>
          <w:p w:rsidR="00C43F67" w:rsidRPr="00260CE3" w:rsidRDefault="00C43F67" w:rsidP="00E730A3">
            <w:pPr>
              <w:keepNext/>
              <w:ind w:left="-108"/>
              <w:jc w:val="both"/>
              <w:rPr>
                <w:rFonts w:ascii="Arial Narrow" w:hAnsi="Arial Narrow" w:cs="Arial"/>
                <w:sz w:val="20"/>
                <w:szCs w:val="20"/>
              </w:rPr>
            </w:pPr>
            <w:r>
              <w:rPr>
                <w:rFonts w:ascii="Arial Narrow" w:hAnsi="Arial Narrow" w:cs="Arial"/>
                <w:sz w:val="20"/>
                <w:szCs w:val="20"/>
              </w:rPr>
              <w:t>Injection 45 mg/0.5 mL, 1 x 0.5 mL vial</w:t>
            </w:r>
          </w:p>
        </w:tc>
        <w:tc>
          <w:tcPr>
            <w:tcW w:w="567" w:type="dxa"/>
          </w:tcPr>
          <w:p w:rsidR="00C43F67" w:rsidRPr="00260CE3" w:rsidRDefault="00C43F67" w:rsidP="00027873">
            <w:pPr>
              <w:keepNext/>
              <w:ind w:left="-108"/>
              <w:jc w:val="both"/>
              <w:rPr>
                <w:rFonts w:ascii="Arial Narrow" w:hAnsi="Arial Narrow" w:cs="Arial"/>
                <w:sz w:val="20"/>
                <w:szCs w:val="20"/>
              </w:rPr>
            </w:pP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C43F67" w:rsidRPr="00260CE3" w:rsidRDefault="00C43F67" w:rsidP="00027873">
            <w:pPr>
              <w:keepNext/>
              <w:ind w:left="-108"/>
              <w:jc w:val="both"/>
              <w:rPr>
                <w:rFonts w:ascii="Arial Narrow" w:hAnsi="Arial Narrow" w:cs="Arial"/>
                <w:sz w:val="20"/>
                <w:szCs w:val="20"/>
              </w:rPr>
            </w:pP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2</w:t>
            </w:r>
          </w:p>
        </w:tc>
        <w:tc>
          <w:tcPr>
            <w:tcW w:w="1559" w:type="dxa"/>
          </w:tcPr>
          <w:p w:rsidR="00C43F67" w:rsidRPr="00260CE3" w:rsidRDefault="00C43F67" w:rsidP="00027873">
            <w:pPr>
              <w:keepNext/>
              <w:jc w:val="both"/>
              <w:rPr>
                <w:rFonts w:ascii="Arial Narrow" w:hAnsi="Arial Narrow" w:cs="Arial"/>
                <w:sz w:val="20"/>
                <w:szCs w:val="20"/>
              </w:rPr>
            </w:pPr>
            <w:r>
              <w:rPr>
                <w:rFonts w:ascii="Arial Narrow" w:hAnsi="Arial Narrow" w:cs="Arial"/>
                <w:sz w:val="20"/>
                <w:szCs w:val="20"/>
              </w:rPr>
              <w:t>Stelara</w:t>
            </w:r>
          </w:p>
        </w:tc>
        <w:tc>
          <w:tcPr>
            <w:tcW w:w="1276" w:type="dxa"/>
          </w:tcPr>
          <w:p w:rsidR="00C43F67" w:rsidRPr="00260CE3" w:rsidRDefault="00C43F67" w:rsidP="00027873">
            <w:pPr>
              <w:keepNext/>
              <w:jc w:val="both"/>
              <w:rPr>
                <w:rFonts w:ascii="Arial Narrow" w:hAnsi="Arial Narrow" w:cs="Arial"/>
                <w:sz w:val="20"/>
                <w:szCs w:val="20"/>
              </w:rPr>
            </w:pPr>
            <w:r>
              <w:rPr>
                <w:rFonts w:ascii="Arial Narrow" w:hAnsi="Arial Narrow" w:cs="Arial"/>
                <w:sz w:val="20"/>
                <w:szCs w:val="20"/>
              </w:rPr>
              <w:t>Janssen-Cilag</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E730A3">
            <w:pPr>
              <w:rPr>
                <w:rFonts w:ascii="Arial Narrow" w:hAnsi="Arial Narrow" w:cs="Arial"/>
                <w:sz w:val="20"/>
                <w:szCs w:val="20"/>
              </w:rPr>
            </w:pPr>
            <w:r w:rsidRPr="00260CE3">
              <w:rPr>
                <w:rFonts w:ascii="Arial Narrow" w:hAnsi="Arial Narrow" w:cs="Arial"/>
                <w:sz w:val="20"/>
                <w:szCs w:val="20"/>
              </w:rPr>
              <w:t>GENERAL – General Schedule (Code GE)</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E449F9">
              <w:rPr>
                <w:rFonts w:ascii="Arial Narrow" w:hAnsi="Arial Narrow" w:cs="Arial"/>
                <w:sz w:val="20"/>
                <w:szCs w:val="20"/>
              </w:rPr>
              <w:fldChar w:fldCharType="begin">
                <w:ffData>
                  <w:name w:val=""/>
                  <w:enabled/>
                  <w:calcOnExit w:val="0"/>
                  <w:checkBox>
                    <w:sizeAuto/>
                    <w:default w:val="1"/>
                  </w:checkBox>
                </w:ffData>
              </w:fldChar>
            </w:r>
            <w:r w:rsidR="00E449F9">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00E449F9">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50C7" w:rsidRPr="00260CE3" w:rsidRDefault="006F50C7" w:rsidP="0002787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E449F9"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E449F9" w:rsidRPr="00260CE3" w:rsidRDefault="00E449F9" w:rsidP="00027873">
            <w:pPr>
              <w:jc w:val="both"/>
              <w:rPr>
                <w:rFonts w:ascii="Arial Narrow" w:hAnsi="Arial Narrow" w:cs="Arial"/>
                <w:b/>
                <w:sz w:val="20"/>
                <w:szCs w:val="20"/>
              </w:rPr>
            </w:pPr>
            <w:r w:rsidRPr="00260CE3">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E449F9" w:rsidRPr="00260CE3" w:rsidRDefault="00E449F9" w:rsidP="00027873">
            <w:pPr>
              <w:rPr>
                <w:rFonts w:ascii="Arial Narrow" w:hAnsi="Arial Narrow" w:cs="Arial"/>
                <w:sz w:val="20"/>
                <w:szCs w:val="20"/>
              </w:rPr>
            </w:pPr>
            <w:r>
              <w:rPr>
                <w:rFonts w:ascii="Arial Narrow" w:hAnsi="Arial Narrow" w:cs="Arial"/>
                <w:sz w:val="20"/>
                <w:szCs w:val="20"/>
              </w:rPr>
              <w:t>-</w:t>
            </w:r>
          </w:p>
        </w:tc>
      </w:tr>
      <w:tr w:rsidR="00E449F9"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E449F9" w:rsidRPr="00260CE3" w:rsidRDefault="00E449F9" w:rsidP="00027873">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449F9" w:rsidRPr="00260CE3" w:rsidRDefault="00E449F9" w:rsidP="00027873">
            <w:pPr>
              <w:rPr>
                <w:rFonts w:ascii="Arial Narrow" w:hAnsi="Arial Narrow" w:cs="Arial"/>
                <w:sz w:val="20"/>
                <w:szCs w:val="20"/>
              </w:rPr>
            </w:pPr>
            <w:r>
              <w:rPr>
                <w:rFonts w:ascii="Arial Narrow" w:hAnsi="Arial Narrow" w:cs="Arial"/>
                <w:sz w:val="20"/>
                <w:szCs w:val="20"/>
              </w:rPr>
              <w:t>Severe</w:t>
            </w:r>
          </w:p>
        </w:tc>
      </w:tr>
      <w:tr w:rsidR="00E449F9"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E449F9" w:rsidRPr="00260CE3" w:rsidRDefault="00E449F9" w:rsidP="00027873">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449F9" w:rsidRPr="00260CE3" w:rsidRDefault="00E449F9" w:rsidP="00027873">
            <w:pPr>
              <w:rPr>
                <w:rFonts w:ascii="Arial Narrow" w:hAnsi="Arial Narrow" w:cs="Arial"/>
                <w:sz w:val="20"/>
                <w:szCs w:val="20"/>
              </w:rPr>
            </w:pPr>
            <w:r>
              <w:rPr>
                <w:rFonts w:ascii="Arial Narrow" w:hAnsi="Arial Narrow" w:cs="Arial"/>
                <w:sz w:val="20"/>
                <w:szCs w:val="20"/>
              </w:rPr>
              <w:t>Psoriatic arthritis</w:t>
            </w:r>
          </w:p>
        </w:tc>
      </w:tr>
      <w:tr w:rsidR="00E449F9"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E449F9" w:rsidRPr="00260CE3" w:rsidRDefault="00E449F9" w:rsidP="00027873">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449F9" w:rsidRPr="00260CE3" w:rsidRDefault="00E449F9" w:rsidP="00027873">
            <w:pPr>
              <w:rPr>
                <w:rFonts w:ascii="Arial Narrow" w:hAnsi="Arial Narrow" w:cs="Arial"/>
                <w:sz w:val="20"/>
                <w:szCs w:val="20"/>
              </w:rPr>
            </w:pPr>
            <w:r>
              <w:rPr>
                <w:rFonts w:ascii="Arial Narrow" w:hAnsi="Arial Narrow" w:cs="Arial"/>
                <w:sz w:val="20"/>
                <w:szCs w:val="20"/>
              </w:rPr>
              <w:t>Severe psoriatic arthritis</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E449F9" w:rsidRDefault="006F50C7" w:rsidP="00027873">
            <w:pPr>
              <w:jc w:val="both"/>
              <w:rPr>
                <w:rFonts w:ascii="Arial Narrow" w:hAnsi="Arial Narrow" w:cs="Arial"/>
                <w:b/>
                <w:sz w:val="20"/>
                <w:szCs w:val="20"/>
              </w:rPr>
            </w:pPr>
            <w:r w:rsidRPr="00260CE3">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E449F9" w:rsidP="00027873">
            <w:pPr>
              <w:rPr>
                <w:rFonts w:ascii="Arial Narrow" w:hAnsi="Arial Narrow" w:cs="Arial"/>
                <w:sz w:val="20"/>
                <w:szCs w:val="20"/>
              </w:rPr>
            </w:pPr>
            <w:r>
              <w:rPr>
                <w:rFonts w:ascii="Arial Narrow" w:hAnsi="Arial Narrow" w:cs="Arial"/>
                <w:sz w:val="20"/>
                <w:szCs w:val="20"/>
              </w:rPr>
              <w:t xml:space="preserve">Initial treatment – Initial 2 (change or recommencement of treatment) </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CD28F3" w:rsidRDefault="006F50C7" w:rsidP="00E730A3">
            <w:pPr>
              <w:jc w:val="both"/>
              <w:rPr>
                <w:rFonts w:ascii="Arial Narrow" w:hAnsi="Arial Narrow" w:cs="Arial"/>
                <w:i/>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F50C7" w:rsidRPr="00106BCF" w:rsidRDefault="00E449F9" w:rsidP="0002787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r w:rsidR="006F50C7" w:rsidRPr="00106BCF">
              <w:rPr>
                <w:rFonts w:ascii="Arial Narrow" w:hAnsi="Arial Narrow" w:cs="Arial"/>
                <w:sz w:val="20"/>
                <w:szCs w:val="20"/>
              </w:rPr>
              <w:t>Authority Required - In Writing</w:t>
            </w:r>
          </w:p>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50C7" w:rsidRPr="00260CE3"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E449F9" w:rsidRDefault="006F50C7" w:rsidP="00E449F9">
            <w:pPr>
              <w:rPr>
                <w:rFonts w:ascii="Arial Narrow" w:hAnsi="Arial Narrow" w:cs="Arial"/>
                <w:b/>
                <w:sz w:val="20"/>
                <w:szCs w:val="20"/>
              </w:rPr>
            </w:pPr>
            <w:r w:rsidRPr="00260CE3">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E449F9" w:rsidRDefault="00E449F9" w:rsidP="00E449F9">
            <w:pPr>
              <w:rPr>
                <w:rFonts w:ascii="Arial Narrow" w:hAnsi="Arial Narrow" w:cs="Arial"/>
                <w:sz w:val="20"/>
                <w:szCs w:val="20"/>
              </w:rPr>
            </w:pPr>
            <w:r>
              <w:rPr>
                <w:rFonts w:ascii="Arial Narrow" w:hAnsi="Arial Narrow" w:cs="Arial"/>
                <w:sz w:val="20"/>
                <w:szCs w:val="20"/>
              </w:rPr>
              <w:t>Must be treated by a rheumatologist; OR</w:t>
            </w:r>
          </w:p>
          <w:p w:rsidR="00E449F9" w:rsidRDefault="00E449F9" w:rsidP="00E449F9">
            <w:pPr>
              <w:rPr>
                <w:rFonts w:ascii="Arial Narrow" w:hAnsi="Arial Narrow" w:cs="Arial"/>
                <w:sz w:val="20"/>
                <w:szCs w:val="20"/>
              </w:rPr>
            </w:pPr>
          </w:p>
          <w:p w:rsidR="006F50C7" w:rsidRPr="00260CE3" w:rsidRDefault="00E449F9" w:rsidP="00E449F9">
            <w:pPr>
              <w:rPr>
                <w:rFonts w:ascii="Arial Narrow" w:hAnsi="Arial Narrow" w:cs="Arial"/>
                <w:sz w:val="20"/>
                <w:szCs w:val="20"/>
              </w:rPr>
            </w:pPr>
            <w:r>
              <w:rPr>
                <w:rFonts w:ascii="Arial Narrow" w:hAnsi="Arial Narrow" w:cs="Arial"/>
                <w:sz w:val="20"/>
                <w:szCs w:val="20"/>
              </w:rPr>
              <w:t xml:space="preserve">Must be treated by a clinical immunologist with expertise in the management of </w:t>
            </w:r>
            <w:r>
              <w:rPr>
                <w:rFonts w:ascii="Arial Narrow" w:hAnsi="Arial Narrow" w:cs="Arial"/>
                <w:sz w:val="20"/>
                <w:szCs w:val="20"/>
              </w:rPr>
              <w:lastRenderedPageBreak/>
              <w:t>psoriatic arthritis.</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sz w:val="20"/>
                <w:szCs w:val="20"/>
              </w:rPr>
            </w:pPr>
            <w:r w:rsidRPr="00260CE3">
              <w:rPr>
                <w:rFonts w:ascii="Arial Narrow" w:hAnsi="Arial Narrow" w:cs="Arial"/>
                <w:b/>
                <w:sz w:val="20"/>
                <w:szCs w:val="20"/>
              </w:rPr>
              <w:lastRenderedPageBreak/>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6F50C7" w:rsidRDefault="00E449F9" w:rsidP="00027873">
            <w:pPr>
              <w:rPr>
                <w:rFonts w:ascii="Arial Narrow" w:hAnsi="Arial Narrow" w:cs="Arial"/>
                <w:sz w:val="20"/>
                <w:szCs w:val="20"/>
              </w:rPr>
            </w:pPr>
            <w:r>
              <w:rPr>
                <w:rFonts w:ascii="Arial Narrow" w:hAnsi="Arial Narrow" w:cs="Arial"/>
                <w:sz w:val="20"/>
                <w:szCs w:val="20"/>
              </w:rPr>
              <w:t xml:space="preserve">Patient must have a documented history of severe active psoriatic arthritis; AND </w:t>
            </w:r>
          </w:p>
          <w:p w:rsidR="00E449F9" w:rsidRDefault="00E449F9" w:rsidP="00027873">
            <w:pPr>
              <w:rPr>
                <w:rFonts w:ascii="Arial Narrow" w:hAnsi="Arial Narrow" w:cs="Arial"/>
                <w:sz w:val="20"/>
                <w:szCs w:val="20"/>
              </w:rPr>
            </w:pPr>
          </w:p>
          <w:p w:rsidR="00E449F9" w:rsidRDefault="00E449F9" w:rsidP="00027873">
            <w:pPr>
              <w:rPr>
                <w:rFonts w:ascii="Arial Narrow" w:hAnsi="Arial Narrow" w:cs="Arial"/>
                <w:sz w:val="20"/>
                <w:szCs w:val="20"/>
              </w:rPr>
            </w:pPr>
            <w:r>
              <w:rPr>
                <w:rFonts w:ascii="Arial Narrow" w:hAnsi="Arial Narrow" w:cs="Arial"/>
                <w:sz w:val="20"/>
                <w:szCs w:val="20"/>
              </w:rPr>
              <w:t>Patient must have received prior PBS-subsidised treatment with a biological agent for this condition in the Treatment Cycle; AND</w:t>
            </w:r>
          </w:p>
          <w:p w:rsidR="00E449F9" w:rsidRDefault="00E449F9" w:rsidP="00027873">
            <w:pPr>
              <w:rPr>
                <w:rFonts w:ascii="Arial Narrow" w:hAnsi="Arial Narrow" w:cs="Arial"/>
                <w:sz w:val="20"/>
                <w:szCs w:val="20"/>
              </w:rPr>
            </w:pPr>
          </w:p>
          <w:p w:rsidR="00E449F9" w:rsidRDefault="00E449F9" w:rsidP="00027873">
            <w:pPr>
              <w:rPr>
                <w:rFonts w:ascii="Arial Narrow" w:hAnsi="Arial Narrow" w:cs="Arial"/>
                <w:sz w:val="20"/>
                <w:szCs w:val="20"/>
              </w:rPr>
            </w:pPr>
            <w:r>
              <w:rPr>
                <w:rFonts w:ascii="Arial Narrow" w:hAnsi="Arial Narrow" w:cs="Arial"/>
                <w:sz w:val="20"/>
                <w:szCs w:val="20"/>
              </w:rPr>
              <w:t xml:space="preserve">Patient must not have already failed, or ceased to respond to, PBS-subsidised treatment with 3 biological agents within this Treatment Cycle; AND </w:t>
            </w:r>
          </w:p>
          <w:p w:rsidR="00E449F9" w:rsidRDefault="00E449F9" w:rsidP="00027873">
            <w:pPr>
              <w:rPr>
                <w:rFonts w:ascii="Arial Narrow" w:hAnsi="Arial Narrow" w:cs="Arial"/>
                <w:sz w:val="20"/>
                <w:szCs w:val="20"/>
              </w:rPr>
            </w:pPr>
          </w:p>
          <w:p w:rsidR="00E449F9" w:rsidRDefault="00E449F9" w:rsidP="00027873">
            <w:pPr>
              <w:rPr>
                <w:rFonts w:ascii="Arial Narrow" w:hAnsi="Arial Narrow" w:cs="Arial"/>
                <w:sz w:val="20"/>
                <w:szCs w:val="20"/>
              </w:rPr>
            </w:pPr>
            <w:r>
              <w:rPr>
                <w:rFonts w:ascii="Arial Narrow" w:hAnsi="Arial Narrow" w:cs="Arial"/>
                <w:sz w:val="20"/>
                <w:szCs w:val="20"/>
              </w:rPr>
              <w:t xml:space="preserve">Patient must not have failed, or ceased to respond to, PBS-subsidised treatment with this drug during the current Treatment Cycle; AND </w:t>
            </w:r>
          </w:p>
          <w:p w:rsidR="00E449F9" w:rsidRDefault="00E449F9" w:rsidP="00027873">
            <w:pPr>
              <w:rPr>
                <w:rFonts w:ascii="Arial Narrow" w:hAnsi="Arial Narrow" w:cs="Arial"/>
                <w:sz w:val="20"/>
                <w:szCs w:val="20"/>
              </w:rPr>
            </w:pPr>
          </w:p>
          <w:p w:rsidR="006F50C7" w:rsidRPr="00260CE3" w:rsidRDefault="00E449F9" w:rsidP="00B84392">
            <w:pPr>
              <w:rPr>
                <w:rFonts w:ascii="Arial Narrow" w:hAnsi="Arial Narrow" w:cs="Arial"/>
                <w:sz w:val="20"/>
                <w:szCs w:val="20"/>
              </w:rPr>
            </w:pPr>
            <w:r>
              <w:rPr>
                <w:rFonts w:ascii="Arial Narrow" w:hAnsi="Arial Narrow" w:cs="Arial"/>
                <w:sz w:val="20"/>
                <w:szCs w:val="20"/>
              </w:rPr>
              <w:t xml:space="preserve">Patient must not receive more than </w:t>
            </w:r>
            <w:r w:rsidR="00B84392">
              <w:rPr>
                <w:rFonts w:ascii="Arial Narrow" w:hAnsi="Arial Narrow" w:cs="Arial"/>
                <w:sz w:val="20"/>
                <w:szCs w:val="20"/>
              </w:rPr>
              <w:t>28</w:t>
            </w:r>
            <w:r>
              <w:rPr>
                <w:rFonts w:ascii="Arial Narrow" w:hAnsi="Arial Narrow" w:cs="Arial"/>
                <w:sz w:val="20"/>
                <w:szCs w:val="20"/>
              </w:rPr>
              <w:t xml:space="preserve"> weeks of treatment under this restriction.</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E449F9" w:rsidRDefault="006F50C7" w:rsidP="00E449F9">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E449F9" w:rsidP="00E730A3">
            <w:pPr>
              <w:rPr>
                <w:rFonts w:ascii="Arial Narrow" w:hAnsi="Arial Narrow" w:cs="Arial"/>
                <w:sz w:val="20"/>
                <w:szCs w:val="20"/>
              </w:rPr>
            </w:pPr>
            <w:r>
              <w:rPr>
                <w:rFonts w:ascii="Arial Narrow" w:hAnsi="Arial Narrow" w:cs="Arial"/>
                <w:sz w:val="20"/>
                <w:szCs w:val="20"/>
              </w:rPr>
              <w:t>Patient must be an adult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E449F9" w:rsidRDefault="006F50C7" w:rsidP="00E449F9">
            <w:pPr>
              <w:jc w:val="both"/>
              <w:rPr>
                <w:rFonts w:ascii="Arial Narrow" w:hAnsi="Arial Narrow" w:cs="Arial"/>
                <w:b/>
                <w:sz w:val="20"/>
                <w:szCs w:val="20"/>
              </w:rPr>
            </w:pPr>
            <w:r w:rsidRPr="00260CE3">
              <w:rPr>
                <w:rFonts w:ascii="Arial Narrow" w:hAnsi="Arial Narrow" w:cs="Arial"/>
                <w:b/>
                <w:sz w:val="20"/>
                <w:szCs w:val="20"/>
              </w:rPr>
              <w:t>Foreword</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E449F9" w:rsidP="00027873">
            <w:pPr>
              <w:rPr>
                <w:rFonts w:ascii="Arial Narrow" w:hAnsi="Arial Narrow" w:cs="Arial"/>
                <w:sz w:val="20"/>
                <w:szCs w:val="20"/>
              </w:rPr>
            </w:pPr>
            <w:r>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E449F9" w:rsidRDefault="006F50C7" w:rsidP="00E449F9">
            <w:pPr>
              <w:jc w:val="both"/>
              <w:rPr>
                <w:rFonts w:ascii="Arial Narrow" w:hAnsi="Arial Narrow" w:cs="Arial"/>
                <w:b/>
                <w:sz w:val="20"/>
                <w:szCs w:val="20"/>
              </w:rPr>
            </w:pPr>
            <w:r w:rsidRPr="00260CE3">
              <w:rPr>
                <w:rFonts w:ascii="Arial Narrow" w:hAnsi="Arial Narrow" w:cs="Arial"/>
                <w:b/>
                <w:sz w:val="20"/>
                <w:szCs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E449F9" w:rsidP="00027873">
            <w:pPr>
              <w:rPr>
                <w:rFonts w:ascii="Arial Narrow" w:hAnsi="Arial Narrow" w:cs="Arial"/>
                <w:sz w:val="20"/>
                <w:szCs w:val="20"/>
              </w:rPr>
            </w:pPr>
            <w:r>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19574A" w:rsidRDefault="006F50C7" w:rsidP="0019574A">
            <w:pPr>
              <w:jc w:val="both"/>
              <w:rPr>
                <w:rFonts w:ascii="Arial Narrow" w:hAnsi="Arial Narrow" w:cs="Arial"/>
                <w:b/>
                <w:sz w:val="20"/>
                <w:szCs w:val="20"/>
              </w:rPr>
            </w:pPr>
            <w:r w:rsidRPr="00260CE3">
              <w:rPr>
                <w:rFonts w:ascii="Arial Narrow" w:hAnsi="Arial Narrow" w:cs="Arial"/>
                <w:b/>
                <w:sz w:val="20"/>
                <w:szCs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E449F9" w:rsidRDefault="00E449F9" w:rsidP="00E449F9">
            <w:pPr>
              <w:rPr>
                <w:rFonts w:ascii="Arial Narrow" w:hAnsi="Arial Narrow" w:cs="Arial"/>
                <w:sz w:val="20"/>
                <w:szCs w:val="20"/>
              </w:rPr>
            </w:pPr>
            <w:r>
              <w:rPr>
                <w:rFonts w:ascii="Arial Narrow" w:hAnsi="Arial Narrow" w:cs="Arial"/>
                <w:sz w:val="20"/>
                <w:szCs w:val="20"/>
              </w:rPr>
              <w:t xml:space="preserve">For the purpose of this restriction ‘biological agent’ means adalimumab, certolizumab pegol, etanercept, golimumab, infliximab or ustekinumab. </w:t>
            </w:r>
          </w:p>
          <w:p w:rsidR="006F50C7" w:rsidRDefault="006F50C7" w:rsidP="00027873">
            <w:pPr>
              <w:rPr>
                <w:rFonts w:ascii="Arial Narrow" w:hAnsi="Arial Narrow" w:cs="Arial"/>
                <w:sz w:val="20"/>
                <w:szCs w:val="20"/>
              </w:rPr>
            </w:pPr>
          </w:p>
          <w:p w:rsidR="00E449F9" w:rsidRDefault="00E449F9" w:rsidP="00027873">
            <w:pPr>
              <w:rPr>
                <w:rFonts w:ascii="Arial Narrow" w:hAnsi="Arial Narrow" w:cs="Arial"/>
                <w:sz w:val="20"/>
                <w:szCs w:val="20"/>
              </w:rPr>
            </w:pPr>
            <w:r>
              <w:rPr>
                <w:rFonts w:ascii="Arial Narrow" w:hAnsi="Arial Narrow" w:cs="Arial"/>
                <w:sz w:val="20"/>
                <w:szCs w:val="20"/>
              </w:rPr>
              <w:t xml:space="preserve">The authority application must be made in writing and must include: </w:t>
            </w:r>
          </w:p>
          <w:p w:rsidR="00E449F9" w:rsidRDefault="00E449F9" w:rsidP="00027873">
            <w:pPr>
              <w:rPr>
                <w:rFonts w:ascii="Arial Narrow" w:hAnsi="Arial Narrow" w:cs="Arial"/>
                <w:sz w:val="20"/>
                <w:szCs w:val="20"/>
              </w:rPr>
            </w:pPr>
          </w:p>
          <w:p w:rsidR="00E449F9" w:rsidRDefault="00E449F9" w:rsidP="00E449F9">
            <w:pPr>
              <w:pStyle w:val="ListParagraph"/>
              <w:numPr>
                <w:ilvl w:val="0"/>
                <w:numId w:val="14"/>
              </w:numPr>
              <w:rPr>
                <w:rFonts w:ascii="Arial Narrow" w:hAnsi="Arial Narrow" w:cs="Arial"/>
                <w:sz w:val="20"/>
                <w:szCs w:val="20"/>
              </w:rPr>
            </w:pPr>
            <w:r>
              <w:rPr>
                <w:rFonts w:ascii="Arial Narrow" w:hAnsi="Arial Narrow" w:cs="Arial"/>
                <w:sz w:val="20"/>
                <w:szCs w:val="20"/>
              </w:rPr>
              <w:t>A completed authority prescription form; and</w:t>
            </w:r>
          </w:p>
          <w:p w:rsidR="00E449F9" w:rsidRDefault="00E449F9" w:rsidP="00E449F9">
            <w:pPr>
              <w:pStyle w:val="ListParagraph"/>
              <w:numPr>
                <w:ilvl w:val="0"/>
                <w:numId w:val="14"/>
              </w:numPr>
              <w:rPr>
                <w:rFonts w:ascii="Arial Narrow" w:hAnsi="Arial Narrow" w:cs="Arial"/>
                <w:sz w:val="20"/>
                <w:szCs w:val="20"/>
              </w:rPr>
            </w:pPr>
            <w:r>
              <w:rPr>
                <w:rFonts w:ascii="Arial Narrow" w:hAnsi="Arial Narrow" w:cs="Arial"/>
                <w:sz w:val="20"/>
                <w:szCs w:val="20"/>
              </w:rPr>
              <w:t xml:space="preserve">A completed Psoriatic Arthritis PBS Authority Application – Supporting Information Form. </w:t>
            </w:r>
          </w:p>
          <w:p w:rsidR="00E449F9" w:rsidRDefault="00E449F9" w:rsidP="00E449F9">
            <w:pPr>
              <w:rPr>
                <w:rFonts w:ascii="Arial Narrow" w:hAnsi="Arial Narrow" w:cs="Arial"/>
                <w:sz w:val="20"/>
                <w:szCs w:val="20"/>
              </w:rPr>
            </w:pPr>
          </w:p>
          <w:p w:rsidR="00E449F9" w:rsidRDefault="00E449F9" w:rsidP="00E449F9">
            <w:pPr>
              <w:rPr>
                <w:rFonts w:ascii="Arial Narrow" w:hAnsi="Arial Narrow" w:cs="Arial"/>
                <w:sz w:val="20"/>
                <w:szCs w:val="20"/>
              </w:rPr>
            </w:pPr>
            <w:r>
              <w:rPr>
                <w:rFonts w:ascii="Arial Narrow" w:hAnsi="Arial Narrow" w:cs="Arial"/>
                <w:sz w:val="20"/>
                <w:szCs w:val="20"/>
              </w:rPr>
              <w:t xml:space="preserve">Application for a patient who has previously received PBS-subsidised treatment with this drug within this Treatment Cycle and who wishes to recommence therapy with this drug within this same Cycle must be accompanied by evidence of a response to the patient’s more recent course of PBS-subsidised treatment with this drug. </w:t>
            </w:r>
          </w:p>
          <w:p w:rsidR="00E449F9" w:rsidRDefault="00E449F9" w:rsidP="00E449F9">
            <w:pPr>
              <w:rPr>
                <w:rFonts w:ascii="Arial Narrow" w:hAnsi="Arial Narrow" w:cs="Arial"/>
                <w:sz w:val="20"/>
                <w:szCs w:val="20"/>
              </w:rPr>
            </w:pPr>
          </w:p>
          <w:p w:rsidR="00E449F9" w:rsidRDefault="00E449F9" w:rsidP="00E449F9">
            <w:pPr>
              <w:rPr>
                <w:rFonts w:ascii="Arial Narrow" w:hAnsi="Arial Narrow" w:cs="Arial"/>
                <w:sz w:val="20"/>
                <w:szCs w:val="20"/>
              </w:rPr>
            </w:pPr>
            <w:r>
              <w:rPr>
                <w:rFonts w:ascii="Arial Narrow" w:hAnsi="Arial Narrow" w:cs="Arial"/>
                <w:sz w:val="20"/>
                <w:szCs w:val="20"/>
              </w:rPr>
              <w:t xml:space="preserve">Where the most recent course of PBS-subsidised treatment was approved under either of the initial treatment restrictions (i.e. for patients with no prior PBS-subsidised biological therapy or, under this restriction, for patients who have received previous PBS-subsidised biological therapy), the patient must have been assessed for response following a minimum of 12 weeks of therapy. This assessment must have been submitted no later than 4 weeks from the date that course was ceased. </w:t>
            </w:r>
          </w:p>
          <w:p w:rsidR="00E449F9" w:rsidRDefault="00E449F9" w:rsidP="00E449F9">
            <w:pPr>
              <w:rPr>
                <w:rFonts w:ascii="Arial Narrow" w:hAnsi="Arial Narrow" w:cs="Arial"/>
                <w:sz w:val="20"/>
                <w:szCs w:val="20"/>
              </w:rPr>
            </w:pPr>
          </w:p>
          <w:p w:rsidR="00E449F9" w:rsidRDefault="00E449F9" w:rsidP="00E449F9">
            <w:pPr>
              <w:rPr>
                <w:rFonts w:ascii="Arial Narrow" w:hAnsi="Arial Narrow" w:cs="Arial"/>
                <w:sz w:val="20"/>
                <w:szCs w:val="20"/>
              </w:rPr>
            </w:pPr>
            <w:r>
              <w:rPr>
                <w:rFonts w:ascii="Arial Narrow" w:hAnsi="Arial Narrow" w:cs="Arial"/>
                <w:sz w:val="20"/>
                <w:szCs w:val="20"/>
              </w:rPr>
              <w:t xml:space="preserve">Where the most recent course of PBS-subsidised treatment with this drug was approved under the continuing treatment criteria, the patient must have been assessed for response, and the </w:t>
            </w:r>
            <w:r w:rsidR="0019574A">
              <w:rPr>
                <w:rFonts w:ascii="Arial Narrow" w:hAnsi="Arial Narrow" w:cs="Arial"/>
                <w:sz w:val="20"/>
                <w:szCs w:val="20"/>
              </w:rPr>
              <w:t xml:space="preserve">assessment submitted no later than 4 weeks from the date that course was ceased. </w:t>
            </w:r>
          </w:p>
          <w:p w:rsidR="0019574A" w:rsidRDefault="0019574A" w:rsidP="00E449F9">
            <w:pPr>
              <w:rPr>
                <w:rFonts w:ascii="Arial Narrow" w:hAnsi="Arial Narrow" w:cs="Arial"/>
                <w:sz w:val="20"/>
                <w:szCs w:val="20"/>
              </w:rPr>
            </w:pPr>
          </w:p>
          <w:p w:rsidR="0019574A" w:rsidRDefault="0019574A" w:rsidP="00E449F9">
            <w:pPr>
              <w:rPr>
                <w:rFonts w:ascii="Arial Narrow" w:hAnsi="Arial Narrow" w:cs="Arial"/>
                <w:sz w:val="20"/>
                <w:szCs w:val="20"/>
              </w:rPr>
            </w:pPr>
            <w:r>
              <w:rPr>
                <w:rFonts w:ascii="Arial Narrow" w:hAnsi="Arial Narrow" w:cs="Arial"/>
                <w:sz w:val="20"/>
                <w:szCs w:val="20"/>
              </w:rPr>
              <w:t xml:space="preserve">Where a response assessment was no submitted within these timeframes, the patient will be deemed to have failed to respond to treatment. </w:t>
            </w:r>
          </w:p>
          <w:p w:rsidR="0019574A" w:rsidRDefault="0019574A" w:rsidP="00E449F9">
            <w:pPr>
              <w:rPr>
                <w:rFonts w:ascii="Arial Narrow" w:hAnsi="Arial Narrow" w:cs="Arial"/>
                <w:sz w:val="20"/>
                <w:szCs w:val="20"/>
              </w:rPr>
            </w:pPr>
          </w:p>
          <w:p w:rsidR="0019574A" w:rsidRDefault="0019574A" w:rsidP="00E449F9">
            <w:pPr>
              <w:rPr>
                <w:rFonts w:ascii="Arial Narrow" w:hAnsi="Arial Narrow" w:cs="Arial"/>
                <w:sz w:val="20"/>
                <w:szCs w:val="20"/>
              </w:rPr>
            </w:pPr>
            <w:r>
              <w:rPr>
                <w:rFonts w:ascii="Arial Narrow" w:hAnsi="Arial Narrow" w:cs="Arial"/>
                <w:sz w:val="20"/>
                <w:szCs w:val="20"/>
              </w:rPr>
              <w:t>An adequate response to treatment is defined as:</w:t>
            </w:r>
          </w:p>
          <w:p w:rsidR="0019574A" w:rsidRDefault="0019574A" w:rsidP="00E449F9">
            <w:pPr>
              <w:rPr>
                <w:rFonts w:ascii="Arial Narrow" w:hAnsi="Arial Narrow" w:cs="Arial"/>
                <w:sz w:val="20"/>
                <w:szCs w:val="20"/>
              </w:rPr>
            </w:pPr>
          </w:p>
          <w:p w:rsidR="0019574A" w:rsidRDefault="0019574A" w:rsidP="00E449F9">
            <w:pPr>
              <w:rPr>
                <w:rFonts w:ascii="Arial Narrow" w:hAnsi="Arial Narrow" w:cs="Arial"/>
                <w:sz w:val="20"/>
                <w:szCs w:val="20"/>
              </w:rPr>
            </w:pPr>
            <w:r>
              <w:rPr>
                <w:rFonts w:ascii="Arial Narrow" w:hAnsi="Arial Narrow" w:cs="Arial"/>
                <w:sz w:val="20"/>
                <w:szCs w:val="20"/>
              </w:rPr>
              <w:t>An erythrocyte sedimentation rate (ESR) no greater than 2</w:t>
            </w:r>
            <w:r w:rsidR="00D81B14">
              <w:rPr>
                <w:rFonts w:ascii="Arial Narrow" w:hAnsi="Arial Narrow" w:cs="Arial"/>
                <w:sz w:val="20"/>
                <w:szCs w:val="20"/>
              </w:rPr>
              <w:t>5</w:t>
            </w:r>
            <w:r>
              <w:rPr>
                <w:rFonts w:ascii="Arial Narrow" w:hAnsi="Arial Narrow" w:cs="Arial"/>
                <w:sz w:val="20"/>
                <w:szCs w:val="20"/>
              </w:rPr>
              <w:t xml:space="preserve"> mm per hour or a C-reactive protein (CRP) level no greater than 15 mg per L or either marker reduced by at least 20% from baseline; and </w:t>
            </w:r>
          </w:p>
          <w:p w:rsidR="0019574A" w:rsidRDefault="0019574A" w:rsidP="00E449F9">
            <w:pPr>
              <w:rPr>
                <w:rFonts w:ascii="Arial Narrow" w:hAnsi="Arial Narrow" w:cs="Arial"/>
                <w:sz w:val="20"/>
                <w:szCs w:val="20"/>
              </w:rPr>
            </w:pPr>
          </w:p>
          <w:p w:rsidR="0019574A" w:rsidRDefault="0019574A" w:rsidP="00E449F9">
            <w:pPr>
              <w:rPr>
                <w:rFonts w:ascii="Arial Narrow" w:hAnsi="Arial Narrow" w:cs="Arial"/>
                <w:sz w:val="20"/>
                <w:szCs w:val="20"/>
              </w:rPr>
            </w:pPr>
            <w:r>
              <w:rPr>
                <w:rFonts w:ascii="Arial Narrow" w:hAnsi="Arial Narrow" w:cs="Arial"/>
                <w:sz w:val="20"/>
                <w:szCs w:val="20"/>
              </w:rPr>
              <w:t xml:space="preserve">Either of the following: </w:t>
            </w:r>
          </w:p>
          <w:p w:rsidR="0019574A" w:rsidRDefault="0019574A" w:rsidP="00E449F9">
            <w:pPr>
              <w:rPr>
                <w:rFonts w:ascii="Arial Narrow" w:hAnsi="Arial Narrow" w:cs="Arial"/>
                <w:sz w:val="20"/>
                <w:szCs w:val="20"/>
              </w:rPr>
            </w:pPr>
          </w:p>
          <w:p w:rsidR="0019574A" w:rsidRDefault="0019574A" w:rsidP="0019574A">
            <w:pPr>
              <w:pStyle w:val="ListParagraph"/>
              <w:numPr>
                <w:ilvl w:val="0"/>
                <w:numId w:val="15"/>
              </w:numPr>
              <w:rPr>
                <w:rFonts w:ascii="Arial Narrow" w:hAnsi="Arial Narrow" w:cs="Arial"/>
                <w:sz w:val="20"/>
                <w:szCs w:val="20"/>
              </w:rPr>
            </w:pPr>
            <w:r>
              <w:rPr>
                <w:rFonts w:ascii="Arial Narrow" w:hAnsi="Arial Narrow" w:cs="Arial"/>
                <w:sz w:val="20"/>
                <w:szCs w:val="20"/>
              </w:rPr>
              <w:t xml:space="preserve">A reduction in the total active (swollen and tender) joint count by at least 50% from baseline, where baseline is at least 20 active joints; or </w:t>
            </w:r>
          </w:p>
          <w:p w:rsidR="0019574A" w:rsidRDefault="0019574A" w:rsidP="0019574A">
            <w:pPr>
              <w:pStyle w:val="ListParagraph"/>
              <w:numPr>
                <w:ilvl w:val="0"/>
                <w:numId w:val="15"/>
              </w:numPr>
              <w:rPr>
                <w:rFonts w:ascii="Arial Narrow" w:hAnsi="Arial Narrow" w:cs="Arial"/>
                <w:sz w:val="20"/>
                <w:szCs w:val="20"/>
              </w:rPr>
            </w:pPr>
            <w:r>
              <w:rPr>
                <w:rFonts w:ascii="Arial Narrow" w:hAnsi="Arial Narrow" w:cs="Arial"/>
                <w:sz w:val="20"/>
                <w:szCs w:val="20"/>
              </w:rPr>
              <w:t>A reduction in the number of the following major active joints, from at least 4, by at least 50%:</w:t>
            </w:r>
          </w:p>
          <w:p w:rsidR="0019574A" w:rsidRDefault="0019574A" w:rsidP="0019574A">
            <w:pPr>
              <w:pStyle w:val="ListParagraph"/>
              <w:numPr>
                <w:ilvl w:val="0"/>
                <w:numId w:val="16"/>
              </w:numPr>
              <w:rPr>
                <w:rFonts w:ascii="Arial Narrow" w:hAnsi="Arial Narrow" w:cs="Arial"/>
                <w:sz w:val="20"/>
                <w:szCs w:val="20"/>
              </w:rPr>
            </w:pPr>
            <w:r>
              <w:rPr>
                <w:rFonts w:ascii="Arial Narrow" w:hAnsi="Arial Narrow" w:cs="Arial"/>
                <w:sz w:val="20"/>
                <w:szCs w:val="20"/>
              </w:rPr>
              <w:t>Elbow, wrist, knee and/or ankle (assessed as swollen and tender); and/or</w:t>
            </w:r>
          </w:p>
          <w:p w:rsidR="0019574A" w:rsidRDefault="0019574A" w:rsidP="0019574A">
            <w:pPr>
              <w:pStyle w:val="ListParagraph"/>
              <w:numPr>
                <w:ilvl w:val="0"/>
                <w:numId w:val="16"/>
              </w:numPr>
              <w:rPr>
                <w:rFonts w:ascii="Arial Narrow" w:hAnsi="Arial Narrow" w:cs="Arial"/>
                <w:sz w:val="20"/>
                <w:szCs w:val="20"/>
              </w:rPr>
            </w:pPr>
            <w:r>
              <w:rPr>
                <w:rFonts w:ascii="Arial Narrow" w:hAnsi="Arial Narrow" w:cs="Arial"/>
                <w:sz w:val="20"/>
                <w:szCs w:val="20"/>
              </w:rPr>
              <w:t xml:space="preserve">Shoulder and/or hip (assessed as pain in passive movement and restriction of passive movement, where pain and limitation of movement are due to active disease and not irreversible damage such as joint destruction or bony overgrowth). </w:t>
            </w:r>
          </w:p>
          <w:p w:rsidR="0019574A" w:rsidRDefault="0019574A" w:rsidP="0019574A">
            <w:pPr>
              <w:rPr>
                <w:rFonts w:ascii="Arial Narrow" w:hAnsi="Arial Narrow" w:cs="Arial"/>
                <w:sz w:val="20"/>
                <w:szCs w:val="20"/>
              </w:rPr>
            </w:pPr>
          </w:p>
          <w:p w:rsidR="0019574A" w:rsidRDefault="0019574A" w:rsidP="0019574A">
            <w:pPr>
              <w:rPr>
                <w:rFonts w:ascii="Arial Narrow" w:hAnsi="Arial Narrow" w:cs="Arial"/>
                <w:sz w:val="20"/>
                <w:szCs w:val="20"/>
              </w:rPr>
            </w:pPr>
            <w:r>
              <w:rPr>
                <w:rFonts w:ascii="Arial Narrow" w:hAnsi="Arial Narrow" w:cs="Arial"/>
                <w:sz w:val="20"/>
                <w:szCs w:val="20"/>
              </w:rPr>
              <w:t xml:space="preserve">The assessment of the patient’s response to this initial course of treatment must be made following a minimum of 12 weeks of treatment and submitted to the Department of Human Services no later than 4 weeks from the cessation of the treatment course. If the response assessment is not submitted within these timeframes, the patient will be deemed to have failed this course of treatment. </w:t>
            </w:r>
          </w:p>
          <w:p w:rsidR="0019574A" w:rsidRDefault="0019574A" w:rsidP="0019574A">
            <w:pPr>
              <w:rPr>
                <w:rFonts w:ascii="Arial Narrow" w:hAnsi="Arial Narrow" w:cs="Arial"/>
                <w:sz w:val="20"/>
                <w:szCs w:val="20"/>
              </w:rPr>
            </w:pPr>
          </w:p>
          <w:p w:rsidR="0019574A" w:rsidRDefault="0019574A" w:rsidP="0019574A">
            <w:pPr>
              <w:rPr>
                <w:rFonts w:ascii="Arial Narrow" w:hAnsi="Arial Narrow" w:cs="Arial"/>
                <w:sz w:val="20"/>
                <w:szCs w:val="20"/>
              </w:rPr>
            </w:pPr>
            <w:r>
              <w:rPr>
                <w:rFonts w:ascii="Arial Narrow" w:hAnsi="Arial Narrow" w:cs="Arial"/>
                <w:sz w:val="20"/>
                <w:szCs w:val="20"/>
              </w:rPr>
              <w:t xml:space="preserve">Details of toxicities, including severity, which will be accepted as a reason for exempting a patient from the requirement for 3 months treatment with methotrexate, sulfasalazine or leflunomide can be found on the Department of Human Services website (www.humanservices.gov.au). </w:t>
            </w:r>
          </w:p>
          <w:p w:rsidR="0019574A" w:rsidRDefault="0019574A" w:rsidP="0019574A">
            <w:pPr>
              <w:rPr>
                <w:rFonts w:ascii="Arial Narrow" w:hAnsi="Arial Narrow" w:cs="Arial"/>
                <w:sz w:val="20"/>
                <w:szCs w:val="20"/>
              </w:rPr>
            </w:pPr>
          </w:p>
          <w:p w:rsidR="0019574A" w:rsidRPr="0019574A" w:rsidRDefault="0019574A" w:rsidP="00E730A3">
            <w:pPr>
              <w:rPr>
                <w:rFonts w:ascii="Arial Narrow" w:hAnsi="Arial Narrow" w:cs="Arial"/>
                <w:sz w:val="20"/>
                <w:szCs w:val="20"/>
              </w:rPr>
            </w:pPr>
            <w:r>
              <w:rPr>
                <w:rFonts w:ascii="Arial Narrow" w:hAnsi="Arial Narrow" w:cs="Arial"/>
                <w:sz w:val="20"/>
                <w:szCs w:val="20"/>
              </w:rPr>
              <w:t>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PBS-subsidised biological agent was approved in this Cycle and the date of the first application under the new Cycle.</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19574A" w:rsidRDefault="006F50C7" w:rsidP="0019574A">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19574A" w:rsidRDefault="0019574A" w:rsidP="0019574A">
            <w:pPr>
              <w:rPr>
                <w:rFonts w:ascii="Arial Narrow" w:hAnsi="Arial Narrow" w:cs="Arial"/>
                <w:sz w:val="20"/>
                <w:szCs w:val="20"/>
              </w:rPr>
            </w:pPr>
            <w:r>
              <w:rPr>
                <w:rFonts w:ascii="Arial Narrow" w:hAnsi="Arial Narrow" w:cs="Arial"/>
                <w:sz w:val="20"/>
                <w:szCs w:val="20"/>
              </w:rPr>
              <w:t xml:space="preserve">No increase in the maximum quantity or number of units may be authorised. </w:t>
            </w:r>
          </w:p>
          <w:p w:rsidR="0019574A" w:rsidRDefault="0019574A" w:rsidP="0019574A">
            <w:pPr>
              <w:rPr>
                <w:rFonts w:ascii="Arial Narrow" w:hAnsi="Arial Narrow" w:cs="Arial"/>
                <w:sz w:val="20"/>
                <w:szCs w:val="20"/>
              </w:rPr>
            </w:pPr>
          </w:p>
          <w:p w:rsidR="0019574A" w:rsidRDefault="0019574A" w:rsidP="0019574A">
            <w:pPr>
              <w:rPr>
                <w:rFonts w:ascii="Arial Narrow" w:hAnsi="Arial Narrow" w:cs="Arial"/>
                <w:sz w:val="20"/>
                <w:szCs w:val="20"/>
              </w:rPr>
            </w:pPr>
            <w:r>
              <w:rPr>
                <w:rFonts w:ascii="Arial Narrow" w:hAnsi="Arial Narrow" w:cs="Arial"/>
                <w:sz w:val="20"/>
                <w:szCs w:val="20"/>
              </w:rPr>
              <w:t xml:space="preserve">No increase in the maximum number of repeats may be authorised. </w:t>
            </w:r>
          </w:p>
          <w:p w:rsidR="0019574A" w:rsidRDefault="0019574A" w:rsidP="0019574A">
            <w:pPr>
              <w:rPr>
                <w:rFonts w:ascii="Arial Narrow" w:hAnsi="Arial Narrow" w:cs="Arial"/>
                <w:sz w:val="20"/>
                <w:szCs w:val="20"/>
              </w:rPr>
            </w:pPr>
          </w:p>
          <w:p w:rsidR="006F50C7" w:rsidRPr="00260CE3" w:rsidRDefault="0019574A" w:rsidP="0019574A">
            <w:pPr>
              <w:rPr>
                <w:rFonts w:ascii="Arial Narrow" w:hAnsi="Arial Narrow" w:cs="Arial"/>
                <w:sz w:val="20"/>
                <w:szCs w:val="20"/>
              </w:rPr>
            </w:pPr>
            <w:r>
              <w:rPr>
                <w:rFonts w:ascii="Arial Narrow" w:hAnsi="Arial Narrow" w:cs="Arial"/>
                <w:sz w:val="20"/>
                <w:szCs w:val="20"/>
              </w:rPr>
              <w:t>Special Pricing Arrangements apply.</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D81B14">
            <w:pPr>
              <w:jc w:val="both"/>
              <w:rPr>
                <w:rFonts w:ascii="Arial Narrow" w:hAnsi="Arial Narrow" w:cs="Arial"/>
                <w:i/>
                <w:sz w:val="20"/>
                <w:szCs w:val="20"/>
              </w:rPr>
            </w:pPr>
            <w:r w:rsidRPr="00260CE3">
              <w:rPr>
                <w:rFonts w:ascii="Arial Narrow" w:hAnsi="Arial Narrow" w:cs="Arial"/>
                <w:b/>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19574A" w:rsidP="00027873">
            <w:pPr>
              <w:rPr>
                <w:rFonts w:ascii="Arial Narrow" w:hAnsi="Arial Narrow" w:cs="Arial"/>
                <w:sz w:val="20"/>
                <w:szCs w:val="20"/>
              </w:rPr>
            </w:pPr>
            <w:r>
              <w:rPr>
                <w:rFonts w:ascii="Arial Narrow" w:hAnsi="Arial Narrow" w:cs="Arial"/>
                <w:sz w:val="20"/>
                <w:szCs w:val="20"/>
              </w:rPr>
              <w:t>-</w:t>
            </w:r>
          </w:p>
        </w:tc>
      </w:tr>
    </w:tbl>
    <w:p w:rsidR="006F50C7" w:rsidRDefault="006F50C7" w:rsidP="006F50C7">
      <w:pPr>
        <w:jc w:val="both"/>
        <w:rPr>
          <w:rFonts w:ascii="Arial" w:hAnsi="Arial" w:cs="Arial"/>
          <w:bCs/>
          <w:snapToGrid w:val="0"/>
          <w:sz w:val="22"/>
          <w:szCs w:val="22"/>
        </w:rPr>
      </w:pPr>
    </w:p>
    <w:tbl>
      <w:tblPr>
        <w:tblW w:w="9214" w:type="dxa"/>
        <w:tblInd w:w="108" w:type="dxa"/>
        <w:tblLayout w:type="fixed"/>
        <w:tblLook w:val="0000" w:firstRow="0" w:lastRow="0" w:firstColumn="0" w:lastColumn="0" w:noHBand="0" w:noVBand="0"/>
      </w:tblPr>
      <w:tblGrid>
        <w:gridCol w:w="2835"/>
        <w:gridCol w:w="426"/>
        <w:gridCol w:w="567"/>
        <w:gridCol w:w="850"/>
        <w:gridCol w:w="1559"/>
        <w:gridCol w:w="1276"/>
        <w:gridCol w:w="1701"/>
      </w:tblGrid>
      <w:tr w:rsidR="00C43F67" w:rsidRPr="00260CE3" w:rsidTr="00027873">
        <w:trPr>
          <w:gridAfter w:val="1"/>
          <w:wAfter w:w="1701" w:type="dxa"/>
          <w:cantSplit/>
          <w:trHeight w:val="471"/>
        </w:trPr>
        <w:tc>
          <w:tcPr>
            <w:tcW w:w="3261" w:type="dxa"/>
            <w:gridSpan w:val="2"/>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Max.</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№.of</w:t>
            </w:r>
          </w:p>
          <w:p w:rsidR="00C43F67" w:rsidRPr="00260CE3" w:rsidRDefault="00C43F67" w:rsidP="00027873">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2835" w:type="dxa"/>
            <w:gridSpan w:val="2"/>
            <w:tcBorders>
              <w:bottom w:val="single" w:sz="4" w:space="0" w:color="auto"/>
            </w:tcBorders>
          </w:tcPr>
          <w:p w:rsidR="00C43F67" w:rsidRPr="00260CE3" w:rsidRDefault="00C43F67" w:rsidP="00027873">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C43F67" w:rsidRPr="00260CE3" w:rsidTr="00027873">
        <w:trPr>
          <w:gridAfter w:val="1"/>
          <w:wAfter w:w="1701" w:type="dxa"/>
          <w:cantSplit/>
          <w:trHeight w:val="577"/>
        </w:trPr>
        <w:tc>
          <w:tcPr>
            <w:tcW w:w="3261" w:type="dxa"/>
            <w:gridSpan w:val="2"/>
          </w:tcPr>
          <w:p w:rsidR="00C43F67" w:rsidRPr="00260CE3" w:rsidRDefault="00C43F67" w:rsidP="00027873">
            <w:pPr>
              <w:keepNext/>
              <w:ind w:left="-108"/>
              <w:jc w:val="both"/>
              <w:rPr>
                <w:rFonts w:ascii="Arial Narrow" w:hAnsi="Arial Narrow" w:cs="Arial"/>
                <w:sz w:val="20"/>
                <w:szCs w:val="20"/>
              </w:rPr>
            </w:pPr>
            <w:r>
              <w:rPr>
                <w:rFonts w:ascii="Arial Narrow" w:hAnsi="Arial Narrow" w:cs="Arial"/>
                <w:smallCaps/>
                <w:sz w:val="20"/>
                <w:szCs w:val="20"/>
              </w:rPr>
              <w:t>USTEKINUMAB</w:t>
            </w:r>
          </w:p>
          <w:p w:rsidR="00C43F67" w:rsidRPr="00260CE3" w:rsidRDefault="00C43F67" w:rsidP="00E730A3">
            <w:pPr>
              <w:keepNext/>
              <w:ind w:left="-108"/>
              <w:jc w:val="both"/>
              <w:rPr>
                <w:rFonts w:ascii="Arial Narrow" w:hAnsi="Arial Narrow" w:cs="Arial"/>
                <w:sz w:val="20"/>
                <w:szCs w:val="20"/>
              </w:rPr>
            </w:pPr>
            <w:r>
              <w:rPr>
                <w:rFonts w:ascii="Arial Narrow" w:hAnsi="Arial Narrow" w:cs="Arial"/>
                <w:sz w:val="20"/>
                <w:szCs w:val="20"/>
              </w:rPr>
              <w:t>Injection 45 mg/0.5 mL, 1 x 0.5 mL vial</w:t>
            </w:r>
          </w:p>
        </w:tc>
        <w:tc>
          <w:tcPr>
            <w:tcW w:w="567" w:type="dxa"/>
          </w:tcPr>
          <w:p w:rsidR="00C43F67" w:rsidRPr="00260CE3" w:rsidRDefault="00C43F67" w:rsidP="00027873">
            <w:pPr>
              <w:keepNext/>
              <w:ind w:left="-108"/>
              <w:jc w:val="both"/>
              <w:rPr>
                <w:rFonts w:ascii="Arial Narrow" w:hAnsi="Arial Narrow" w:cs="Arial"/>
                <w:sz w:val="20"/>
                <w:szCs w:val="20"/>
              </w:rPr>
            </w:pP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C43F67" w:rsidRPr="00260CE3" w:rsidRDefault="00C43F67" w:rsidP="00027873">
            <w:pPr>
              <w:keepNext/>
              <w:ind w:left="-108"/>
              <w:jc w:val="both"/>
              <w:rPr>
                <w:rFonts w:ascii="Arial Narrow" w:hAnsi="Arial Narrow" w:cs="Arial"/>
                <w:sz w:val="20"/>
                <w:szCs w:val="20"/>
              </w:rPr>
            </w:pPr>
          </w:p>
          <w:p w:rsidR="00C43F67" w:rsidRPr="00260CE3" w:rsidRDefault="00C43F67" w:rsidP="00027873">
            <w:pPr>
              <w:keepNext/>
              <w:ind w:left="-108"/>
              <w:jc w:val="both"/>
              <w:rPr>
                <w:rFonts w:ascii="Arial Narrow" w:hAnsi="Arial Narrow" w:cs="Arial"/>
                <w:sz w:val="20"/>
                <w:szCs w:val="20"/>
              </w:rPr>
            </w:pPr>
            <w:r>
              <w:rPr>
                <w:rFonts w:ascii="Arial Narrow" w:hAnsi="Arial Narrow" w:cs="Arial"/>
                <w:sz w:val="20"/>
                <w:szCs w:val="20"/>
              </w:rPr>
              <w:t>1</w:t>
            </w:r>
          </w:p>
        </w:tc>
        <w:tc>
          <w:tcPr>
            <w:tcW w:w="1559" w:type="dxa"/>
          </w:tcPr>
          <w:p w:rsidR="00C43F67" w:rsidRPr="00260CE3" w:rsidRDefault="00C43F67" w:rsidP="00027873">
            <w:pPr>
              <w:keepNext/>
              <w:jc w:val="both"/>
              <w:rPr>
                <w:rFonts w:ascii="Arial Narrow" w:hAnsi="Arial Narrow" w:cs="Arial"/>
                <w:sz w:val="20"/>
                <w:szCs w:val="20"/>
              </w:rPr>
            </w:pPr>
            <w:r>
              <w:rPr>
                <w:rFonts w:ascii="Arial Narrow" w:hAnsi="Arial Narrow" w:cs="Arial"/>
                <w:sz w:val="20"/>
                <w:szCs w:val="20"/>
              </w:rPr>
              <w:t>Stelara</w:t>
            </w:r>
          </w:p>
        </w:tc>
        <w:tc>
          <w:tcPr>
            <w:tcW w:w="1276" w:type="dxa"/>
          </w:tcPr>
          <w:p w:rsidR="00C43F67" w:rsidRPr="00260CE3" w:rsidRDefault="00C43F67" w:rsidP="00027873">
            <w:pPr>
              <w:keepNext/>
              <w:jc w:val="both"/>
              <w:rPr>
                <w:rFonts w:ascii="Arial Narrow" w:hAnsi="Arial Narrow" w:cs="Arial"/>
                <w:sz w:val="20"/>
                <w:szCs w:val="20"/>
              </w:rPr>
            </w:pPr>
            <w:r>
              <w:rPr>
                <w:rFonts w:ascii="Arial Narrow" w:hAnsi="Arial Narrow" w:cs="Arial"/>
                <w:sz w:val="20"/>
                <w:szCs w:val="20"/>
              </w:rPr>
              <w:t>Janssen-Cilag</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E730A3">
            <w:pPr>
              <w:rPr>
                <w:rFonts w:ascii="Arial Narrow" w:hAnsi="Arial Narrow" w:cs="Arial"/>
                <w:sz w:val="20"/>
                <w:szCs w:val="20"/>
              </w:rPr>
            </w:pPr>
            <w:r w:rsidRPr="00260CE3">
              <w:rPr>
                <w:rFonts w:ascii="Arial Narrow" w:hAnsi="Arial Narrow" w:cs="Arial"/>
                <w:sz w:val="20"/>
                <w:szCs w:val="20"/>
              </w:rPr>
              <w:t>GENERAL – General Schedule (Code GE)</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19574A">
              <w:rPr>
                <w:rFonts w:ascii="Arial Narrow" w:hAnsi="Arial Narrow" w:cs="Arial"/>
                <w:sz w:val="20"/>
                <w:szCs w:val="20"/>
              </w:rPr>
              <w:fldChar w:fldCharType="begin">
                <w:ffData>
                  <w:name w:val=""/>
                  <w:enabled/>
                  <w:calcOnExit w:val="0"/>
                  <w:checkBox>
                    <w:sizeAuto/>
                    <w:default w:val="1"/>
                  </w:checkBox>
                </w:ffData>
              </w:fldChar>
            </w:r>
            <w:r w:rsidR="0019574A">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0019574A">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F50C7" w:rsidRPr="00260CE3" w:rsidRDefault="006F50C7" w:rsidP="00027873">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027873">
            <w:pPr>
              <w:jc w:val="both"/>
              <w:rPr>
                <w:rFonts w:ascii="Arial Narrow" w:hAnsi="Arial Narrow" w:cs="Arial"/>
                <w:b/>
                <w:sz w:val="20"/>
                <w:szCs w:val="20"/>
              </w:rPr>
            </w:pPr>
            <w:r w:rsidRPr="00260CE3">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6F50C7" w:rsidP="00027873">
            <w:pPr>
              <w:rPr>
                <w:rFonts w:ascii="Arial Narrow" w:hAnsi="Arial Narrow" w:cs="Arial"/>
                <w:sz w:val="20"/>
                <w:szCs w:val="20"/>
              </w:rPr>
            </w:pPr>
          </w:p>
        </w:tc>
      </w:tr>
      <w:tr w:rsidR="0019574A"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574A" w:rsidRPr="00260CE3" w:rsidRDefault="0019574A" w:rsidP="00027873">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19574A" w:rsidRPr="00260CE3" w:rsidRDefault="0019574A" w:rsidP="00027873">
            <w:pPr>
              <w:rPr>
                <w:rFonts w:ascii="Arial Narrow" w:hAnsi="Arial Narrow" w:cs="Arial"/>
                <w:sz w:val="20"/>
                <w:szCs w:val="20"/>
              </w:rPr>
            </w:pPr>
            <w:r>
              <w:rPr>
                <w:rFonts w:ascii="Arial Narrow" w:hAnsi="Arial Narrow" w:cs="Arial"/>
                <w:sz w:val="20"/>
                <w:szCs w:val="20"/>
              </w:rPr>
              <w:t>Severe</w:t>
            </w:r>
          </w:p>
        </w:tc>
      </w:tr>
      <w:tr w:rsidR="0019574A"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574A" w:rsidRPr="00260CE3" w:rsidRDefault="0019574A" w:rsidP="00027873">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19574A" w:rsidRPr="00260CE3" w:rsidRDefault="0019574A" w:rsidP="00027873">
            <w:pPr>
              <w:rPr>
                <w:rFonts w:ascii="Arial Narrow" w:hAnsi="Arial Narrow" w:cs="Arial"/>
                <w:sz w:val="20"/>
                <w:szCs w:val="20"/>
              </w:rPr>
            </w:pPr>
            <w:r>
              <w:rPr>
                <w:rFonts w:ascii="Arial Narrow" w:hAnsi="Arial Narrow" w:cs="Arial"/>
                <w:sz w:val="20"/>
                <w:szCs w:val="20"/>
              </w:rPr>
              <w:t>Psoriatic arthritis</w:t>
            </w:r>
          </w:p>
        </w:tc>
      </w:tr>
      <w:tr w:rsidR="0019574A"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574A" w:rsidRPr="00260CE3" w:rsidRDefault="0019574A" w:rsidP="00027873">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19574A" w:rsidRPr="00260CE3" w:rsidRDefault="0019574A" w:rsidP="00027873">
            <w:pPr>
              <w:rPr>
                <w:rFonts w:ascii="Arial Narrow" w:hAnsi="Arial Narrow" w:cs="Arial"/>
                <w:sz w:val="20"/>
                <w:szCs w:val="20"/>
              </w:rPr>
            </w:pPr>
            <w:r>
              <w:rPr>
                <w:rFonts w:ascii="Arial Narrow" w:hAnsi="Arial Narrow" w:cs="Arial"/>
                <w:sz w:val="20"/>
                <w:szCs w:val="20"/>
              </w:rPr>
              <w:t>Severe psoriatic arthritis</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19574A" w:rsidRDefault="006F50C7" w:rsidP="00027873">
            <w:pPr>
              <w:jc w:val="both"/>
              <w:rPr>
                <w:rFonts w:ascii="Arial Narrow" w:hAnsi="Arial Narrow" w:cs="Arial"/>
                <w:b/>
                <w:sz w:val="20"/>
                <w:szCs w:val="20"/>
              </w:rPr>
            </w:pPr>
            <w:r w:rsidRPr="00260CE3">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19574A" w:rsidP="00027873">
            <w:pPr>
              <w:rPr>
                <w:rFonts w:ascii="Arial Narrow" w:hAnsi="Arial Narrow" w:cs="Arial"/>
                <w:sz w:val="20"/>
                <w:szCs w:val="20"/>
              </w:rPr>
            </w:pPr>
            <w:r>
              <w:rPr>
                <w:rFonts w:ascii="Arial Narrow" w:hAnsi="Arial Narrow" w:cs="Arial"/>
                <w:sz w:val="20"/>
                <w:szCs w:val="20"/>
              </w:rPr>
              <w:t xml:space="preserve">Continuing treatment </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CD28F3" w:rsidRDefault="006F50C7" w:rsidP="00E730A3">
            <w:pPr>
              <w:jc w:val="both"/>
              <w:rPr>
                <w:rFonts w:ascii="Arial Narrow" w:hAnsi="Arial Narrow" w:cs="Arial"/>
                <w:i/>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F50C7" w:rsidRPr="00106BCF" w:rsidRDefault="0019574A" w:rsidP="0002787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Pr>
                <w:rFonts w:ascii="Arial Narrow" w:hAnsi="Arial Narrow" w:cs="Arial"/>
                <w:sz w:val="20"/>
                <w:szCs w:val="20"/>
              </w:rPr>
              <w:fldChar w:fldCharType="end"/>
            </w:r>
            <w:r w:rsidR="006F50C7" w:rsidRPr="00106BCF">
              <w:rPr>
                <w:rFonts w:ascii="Arial Narrow" w:hAnsi="Arial Narrow" w:cs="Arial"/>
                <w:sz w:val="20"/>
                <w:szCs w:val="20"/>
              </w:rPr>
              <w:t>Authority Required - In Writing</w:t>
            </w:r>
          </w:p>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F50C7" w:rsidRPr="00106BCF"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F50C7" w:rsidRPr="00260CE3" w:rsidRDefault="006F50C7" w:rsidP="00027873">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E4B9F">
              <w:rPr>
                <w:rFonts w:ascii="Arial Narrow" w:hAnsi="Arial Narrow" w:cs="Arial"/>
                <w:sz w:val="20"/>
                <w:szCs w:val="20"/>
              </w:rPr>
            </w:r>
            <w:r w:rsidR="001E4B9F">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19574A"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19574A" w:rsidRPr="00E449F9" w:rsidRDefault="0019574A" w:rsidP="00027873">
            <w:pPr>
              <w:rPr>
                <w:rFonts w:ascii="Arial Narrow" w:hAnsi="Arial Narrow" w:cs="Arial"/>
                <w:b/>
                <w:sz w:val="20"/>
                <w:szCs w:val="20"/>
              </w:rPr>
            </w:pPr>
            <w:r w:rsidRPr="00260CE3">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19574A" w:rsidRDefault="0019574A" w:rsidP="00027873">
            <w:pPr>
              <w:rPr>
                <w:rFonts w:ascii="Arial Narrow" w:hAnsi="Arial Narrow" w:cs="Arial"/>
                <w:sz w:val="20"/>
                <w:szCs w:val="20"/>
              </w:rPr>
            </w:pPr>
            <w:r>
              <w:rPr>
                <w:rFonts w:ascii="Arial Narrow" w:hAnsi="Arial Narrow" w:cs="Arial"/>
                <w:sz w:val="20"/>
                <w:szCs w:val="20"/>
              </w:rPr>
              <w:t>Must be treated by a rheumatologist; OR</w:t>
            </w:r>
          </w:p>
          <w:p w:rsidR="0019574A" w:rsidRDefault="0019574A" w:rsidP="00027873">
            <w:pPr>
              <w:rPr>
                <w:rFonts w:ascii="Arial Narrow" w:hAnsi="Arial Narrow" w:cs="Arial"/>
                <w:sz w:val="20"/>
                <w:szCs w:val="20"/>
              </w:rPr>
            </w:pPr>
          </w:p>
          <w:p w:rsidR="0019574A" w:rsidRPr="00260CE3" w:rsidRDefault="0019574A" w:rsidP="00027873">
            <w:pPr>
              <w:rPr>
                <w:rFonts w:ascii="Arial Narrow" w:hAnsi="Arial Narrow" w:cs="Arial"/>
                <w:sz w:val="20"/>
                <w:szCs w:val="20"/>
              </w:rPr>
            </w:pPr>
            <w:r>
              <w:rPr>
                <w:rFonts w:ascii="Arial Narrow" w:hAnsi="Arial Narrow" w:cs="Arial"/>
                <w:sz w:val="20"/>
                <w:szCs w:val="20"/>
              </w:rPr>
              <w:t>Must be treated by a clinical immunologist with expertise in the management of psoriatic arthritis.</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D81B14" w:rsidRDefault="006F50C7" w:rsidP="00D81B14">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19574A" w:rsidRDefault="0019574A" w:rsidP="0019574A">
            <w:pPr>
              <w:rPr>
                <w:rFonts w:ascii="Arial Narrow" w:hAnsi="Arial Narrow" w:cs="Arial"/>
                <w:sz w:val="20"/>
                <w:szCs w:val="20"/>
              </w:rPr>
            </w:pPr>
            <w:r>
              <w:rPr>
                <w:rFonts w:ascii="Arial Narrow" w:hAnsi="Arial Narrow" w:cs="Arial"/>
                <w:sz w:val="20"/>
                <w:szCs w:val="20"/>
              </w:rPr>
              <w:t xml:space="preserve">Patient must have a documented history of severe active psoriatic arthritis; AND </w:t>
            </w:r>
          </w:p>
          <w:p w:rsidR="0019574A" w:rsidRDefault="0019574A" w:rsidP="0019574A">
            <w:pPr>
              <w:rPr>
                <w:rFonts w:ascii="Arial Narrow" w:hAnsi="Arial Narrow" w:cs="Arial"/>
                <w:sz w:val="20"/>
                <w:szCs w:val="20"/>
              </w:rPr>
            </w:pPr>
          </w:p>
          <w:p w:rsidR="00B84392" w:rsidRDefault="00D81B14" w:rsidP="00027873">
            <w:pPr>
              <w:rPr>
                <w:rFonts w:ascii="Arial Narrow" w:hAnsi="Arial Narrow" w:cs="Arial"/>
                <w:sz w:val="20"/>
                <w:szCs w:val="20"/>
              </w:rPr>
            </w:pPr>
            <w:r>
              <w:rPr>
                <w:rFonts w:ascii="Arial Narrow" w:hAnsi="Arial Narrow" w:cs="Arial"/>
                <w:sz w:val="20"/>
                <w:szCs w:val="20"/>
              </w:rPr>
              <w:t xml:space="preserve">Patient must have received this drug as their most recent course of PBS-subsidised treatment with a biological agent for this condition in the current Treatment Cycle; </w:t>
            </w:r>
          </w:p>
          <w:p w:rsidR="00B84392" w:rsidRDefault="00B84392" w:rsidP="00027873">
            <w:pPr>
              <w:rPr>
                <w:rFonts w:ascii="Arial Narrow" w:hAnsi="Arial Narrow" w:cs="Arial"/>
                <w:sz w:val="20"/>
                <w:szCs w:val="20"/>
              </w:rPr>
            </w:pPr>
          </w:p>
          <w:p w:rsidR="00D81B14" w:rsidRDefault="00D81B14" w:rsidP="00027873">
            <w:pPr>
              <w:rPr>
                <w:rFonts w:ascii="Arial Narrow" w:hAnsi="Arial Narrow" w:cs="Arial"/>
                <w:sz w:val="20"/>
                <w:szCs w:val="20"/>
              </w:rPr>
            </w:pPr>
            <w:r>
              <w:rPr>
                <w:rFonts w:ascii="Arial Narrow" w:hAnsi="Arial Narrow" w:cs="Arial"/>
                <w:sz w:val="20"/>
                <w:szCs w:val="20"/>
              </w:rPr>
              <w:t xml:space="preserve">AND </w:t>
            </w:r>
          </w:p>
          <w:p w:rsidR="00D81B14" w:rsidRDefault="00D81B14" w:rsidP="00027873">
            <w:pPr>
              <w:rPr>
                <w:rFonts w:ascii="Arial Narrow" w:hAnsi="Arial Narrow" w:cs="Arial"/>
                <w:sz w:val="20"/>
                <w:szCs w:val="20"/>
              </w:rPr>
            </w:pPr>
          </w:p>
          <w:p w:rsidR="00D81B14" w:rsidRDefault="00D81B14" w:rsidP="00027873">
            <w:pPr>
              <w:rPr>
                <w:rFonts w:ascii="Arial Narrow" w:hAnsi="Arial Narrow" w:cs="Arial"/>
                <w:sz w:val="20"/>
                <w:szCs w:val="20"/>
              </w:rPr>
            </w:pPr>
            <w:r>
              <w:rPr>
                <w:rFonts w:ascii="Arial Narrow" w:hAnsi="Arial Narrow" w:cs="Arial"/>
                <w:sz w:val="20"/>
                <w:szCs w:val="20"/>
              </w:rPr>
              <w:t xml:space="preserve">Patient must demonstrate, at the time of application, an adequate response to treatment with this drug; AND </w:t>
            </w:r>
          </w:p>
          <w:p w:rsidR="00D81B14" w:rsidRDefault="00D81B14" w:rsidP="00027873">
            <w:pPr>
              <w:rPr>
                <w:rFonts w:ascii="Arial Narrow" w:hAnsi="Arial Narrow" w:cs="Arial"/>
                <w:sz w:val="20"/>
                <w:szCs w:val="20"/>
              </w:rPr>
            </w:pPr>
          </w:p>
          <w:p w:rsidR="006F50C7" w:rsidRPr="00260CE3" w:rsidRDefault="00D81B14" w:rsidP="00D81B14">
            <w:pPr>
              <w:rPr>
                <w:rFonts w:ascii="Arial Narrow" w:hAnsi="Arial Narrow" w:cs="Arial"/>
                <w:sz w:val="20"/>
                <w:szCs w:val="20"/>
              </w:rPr>
            </w:pPr>
            <w:r>
              <w:rPr>
                <w:rFonts w:ascii="Arial Narrow" w:hAnsi="Arial Narrow" w:cs="Arial"/>
                <w:sz w:val="20"/>
                <w:szCs w:val="20"/>
              </w:rPr>
              <w:t>Patient must not receive more than 24 weeks of treatment per continuing treatment course authorised under this restriction.</w:t>
            </w:r>
          </w:p>
        </w:tc>
      </w:tr>
      <w:tr w:rsidR="00D81B14"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D81B14" w:rsidRPr="00E449F9" w:rsidRDefault="00D81B14" w:rsidP="00027873">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9" w:type="dxa"/>
            <w:gridSpan w:val="6"/>
            <w:tcBorders>
              <w:top w:val="single" w:sz="4" w:space="0" w:color="auto"/>
              <w:left w:val="single" w:sz="4" w:space="0" w:color="auto"/>
              <w:bottom w:val="single" w:sz="4" w:space="0" w:color="auto"/>
              <w:right w:val="single" w:sz="4" w:space="0" w:color="auto"/>
            </w:tcBorders>
          </w:tcPr>
          <w:p w:rsidR="00D81B14" w:rsidRPr="00260CE3" w:rsidRDefault="00D81B14" w:rsidP="00E730A3">
            <w:pPr>
              <w:rPr>
                <w:rFonts w:ascii="Arial Narrow" w:hAnsi="Arial Narrow" w:cs="Arial"/>
                <w:sz w:val="20"/>
                <w:szCs w:val="20"/>
              </w:rPr>
            </w:pPr>
            <w:r>
              <w:rPr>
                <w:rFonts w:ascii="Arial Narrow" w:hAnsi="Arial Narrow" w:cs="Arial"/>
                <w:sz w:val="20"/>
                <w:szCs w:val="20"/>
              </w:rPr>
              <w:t>Patient must be an adult</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D81B14" w:rsidRDefault="006F50C7" w:rsidP="00D81B14">
            <w:pPr>
              <w:jc w:val="both"/>
              <w:rPr>
                <w:rFonts w:ascii="Arial Narrow" w:hAnsi="Arial Narrow" w:cs="Arial"/>
                <w:b/>
                <w:sz w:val="20"/>
                <w:szCs w:val="20"/>
              </w:rPr>
            </w:pPr>
            <w:r w:rsidRPr="00260CE3">
              <w:rPr>
                <w:rFonts w:ascii="Arial Narrow" w:hAnsi="Arial Narrow" w:cs="Arial"/>
                <w:b/>
                <w:sz w:val="20"/>
                <w:szCs w:val="20"/>
              </w:rPr>
              <w:t>Foreword</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D81B14" w:rsidP="00027873">
            <w:pPr>
              <w:rPr>
                <w:rFonts w:ascii="Arial Narrow" w:hAnsi="Arial Narrow" w:cs="Arial"/>
                <w:sz w:val="20"/>
                <w:szCs w:val="20"/>
              </w:rPr>
            </w:pPr>
            <w:r>
              <w:rPr>
                <w:rFonts w:ascii="Arial Narrow" w:hAnsi="Arial Narrow" w:cs="Arial"/>
                <w:sz w:val="20"/>
                <w:szCs w:val="20"/>
              </w:rPr>
              <w:t>-</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D81B14">
            <w:pPr>
              <w:jc w:val="both"/>
              <w:rPr>
                <w:rFonts w:ascii="Arial Narrow" w:hAnsi="Arial Narrow" w:cs="Arial"/>
                <w:sz w:val="20"/>
                <w:szCs w:val="20"/>
              </w:rPr>
            </w:pPr>
            <w:r w:rsidRPr="00260CE3">
              <w:rPr>
                <w:rFonts w:ascii="Arial Narrow" w:hAnsi="Arial Narrow" w:cs="Arial"/>
                <w:b/>
                <w:sz w:val="20"/>
                <w:szCs w:val="20"/>
              </w:rPr>
              <w:t>Definitions</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D81B14" w:rsidP="00027873">
            <w:pPr>
              <w:rPr>
                <w:rFonts w:ascii="Arial Narrow" w:hAnsi="Arial Narrow" w:cs="Arial"/>
                <w:sz w:val="20"/>
                <w:szCs w:val="20"/>
              </w:rPr>
            </w:pPr>
            <w:r>
              <w:rPr>
                <w:rFonts w:ascii="Arial Narrow" w:hAnsi="Arial Narrow" w:cs="Arial"/>
                <w:sz w:val="20"/>
                <w:szCs w:val="20"/>
              </w:rPr>
              <w:t>-</w:t>
            </w:r>
          </w:p>
        </w:tc>
      </w:tr>
      <w:tr w:rsidR="006F50C7" w:rsidRPr="00260CE3" w:rsidTr="00D81B14">
        <w:trPr>
          <w:trHeight w:val="360"/>
        </w:trPr>
        <w:tc>
          <w:tcPr>
            <w:tcW w:w="2835" w:type="dxa"/>
            <w:tcBorders>
              <w:top w:val="single" w:sz="4" w:space="0" w:color="auto"/>
              <w:left w:val="single" w:sz="4" w:space="0" w:color="auto"/>
              <w:bottom w:val="single" w:sz="4" w:space="0" w:color="auto"/>
              <w:right w:val="single" w:sz="4" w:space="0" w:color="auto"/>
            </w:tcBorders>
          </w:tcPr>
          <w:p w:rsidR="006F50C7" w:rsidRPr="00260CE3" w:rsidRDefault="006F50C7" w:rsidP="00E730A3">
            <w:pPr>
              <w:jc w:val="both"/>
              <w:rPr>
                <w:rFonts w:ascii="Arial Narrow" w:hAnsi="Arial Narrow" w:cs="Arial"/>
                <w:sz w:val="20"/>
                <w:szCs w:val="20"/>
              </w:rPr>
            </w:pPr>
            <w:r w:rsidRPr="00260CE3">
              <w:rPr>
                <w:rFonts w:ascii="Arial Narrow" w:hAnsi="Arial Narrow" w:cs="Arial"/>
                <w:b/>
                <w:sz w:val="20"/>
                <w:szCs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D81B14" w:rsidRDefault="00D81B14" w:rsidP="00D81B14">
            <w:pPr>
              <w:rPr>
                <w:rFonts w:ascii="Arial Narrow" w:hAnsi="Arial Narrow" w:cs="Arial"/>
                <w:sz w:val="20"/>
                <w:szCs w:val="20"/>
              </w:rPr>
            </w:pPr>
            <w:r>
              <w:rPr>
                <w:rFonts w:ascii="Arial Narrow" w:hAnsi="Arial Narrow" w:cs="Arial"/>
                <w:sz w:val="20"/>
                <w:szCs w:val="20"/>
              </w:rPr>
              <w:t xml:space="preserve">For the purpose of this restriction ‘biological agent’ means adalimumab, certolizumab pegol, etanercept, golimumab, infliximab or ustekinumab. </w:t>
            </w:r>
          </w:p>
          <w:p w:rsidR="006F50C7" w:rsidRDefault="006F50C7" w:rsidP="00027873">
            <w:pPr>
              <w:rPr>
                <w:rFonts w:ascii="Arial Narrow" w:hAnsi="Arial Narrow" w:cs="Arial"/>
                <w:sz w:val="20"/>
                <w:szCs w:val="20"/>
              </w:rPr>
            </w:pPr>
          </w:p>
          <w:p w:rsidR="00D81B14" w:rsidRDefault="00D81B14" w:rsidP="00D81B14">
            <w:pPr>
              <w:rPr>
                <w:rFonts w:ascii="Arial Narrow" w:hAnsi="Arial Narrow" w:cs="Arial"/>
                <w:sz w:val="20"/>
                <w:szCs w:val="20"/>
              </w:rPr>
            </w:pPr>
            <w:r>
              <w:rPr>
                <w:rFonts w:ascii="Arial Narrow" w:hAnsi="Arial Narrow" w:cs="Arial"/>
                <w:sz w:val="20"/>
                <w:szCs w:val="20"/>
              </w:rPr>
              <w:t>An adequate response to treatment is defined as:</w:t>
            </w:r>
          </w:p>
          <w:p w:rsidR="00D81B14" w:rsidRDefault="00D81B14" w:rsidP="00D81B14">
            <w:pPr>
              <w:rPr>
                <w:rFonts w:ascii="Arial Narrow" w:hAnsi="Arial Narrow" w:cs="Arial"/>
                <w:sz w:val="20"/>
                <w:szCs w:val="20"/>
              </w:rPr>
            </w:pPr>
          </w:p>
          <w:p w:rsidR="00D81B14" w:rsidRDefault="00D81B14" w:rsidP="00D81B14">
            <w:pPr>
              <w:rPr>
                <w:rFonts w:ascii="Arial Narrow" w:hAnsi="Arial Narrow" w:cs="Arial"/>
                <w:sz w:val="20"/>
                <w:szCs w:val="20"/>
              </w:rPr>
            </w:pPr>
            <w:r>
              <w:rPr>
                <w:rFonts w:ascii="Arial Narrow" w:hAnsi="Arial Narrow" w:cs="Arial"/>
                <w:sz w:val="20"/>
                <w:szCs w:val="20"/>
              </w:rPr>
              <w:t xml:space="preserve">An erythrocyte sedimentation rate (ESR) no greater than 25 mm per hour or a C-reactive protein (CRP) level no greater than 15 mg per L or either marker reduced by at least 20% from baseline; and </w:t>
            </w:r>
          </w:p>
          <w:p w:rsidR="00D81B14" w:rsidRDefault="00D81B14" w:rsidP="00D81B14">
            <w:pPr>
              <w:rPr>
                <w:rFonts w:ascii="Arial Narrow" w:hAnsi="Arial Narrow" w:cs="Arial"/>
                <w:sz w:val="20"/>
                <w:szCs w:val="20"/>
              </w:rPr>
            </w:pPr>
          </w:p>
          <w:p w:rsidR="00D81B14" w:rsidRDefault="00D81B14" w:rsidP="00D81B14">
            <w:pPr>
              <w:rPr>
                <w:rFonts w:ascii="Arial Narrow" w:hAnsi="Arial Narrow" w:cs="Arial"/>
                <w:sz w:val="20"/>
                <w:szCs w:val="20"/>
              </w:rPr>
            </w:pPr>
            <w:r>
              <w:rPr>
                <w:rFonts w:ascii="Arial Narrow" w:hAnsi="Arial Narrow" w:cs="Arial"/>
                <w:sz w:val="20"/>
                <w:szCs w:val="20"/>
              </w:rPr>
              <w:t xml:space="preserve">Either of the following: </w:t>
            </w:r>
          </w:p>
          <w:p w:rsidR="00D81B14" w:rsidRDefault="00D81B14" w:rsidP="00D81B14">
            <w:pPr>
              <w:rPr>
                <w:rFonts w:ascii="Arial Narrow" w:hAnsi="Arial Narrow" w:cs="Arial"/>
                <w:sz w:val="20"/>
                <w:szCs w:val="20"/>
              </w:rPr>
            </w:pPr>
          </w:p>
          <w:p w:rsidR="00D81B14" w:rsidRDefault="00D81B14" w:rsidP="00173C7B">
            <w:pPr>
              <w:pStyle w:val="ListParagraph"/>
              <w:numPr>
                <w:ilvl w:val="0"/>
                <w:numId w:val="18"/>
              </w:numPr>
              <w:rPr>
                <w:rFonts w:ascii="Arial Narrow" w:hAnsi="Arial Narrow" w:cs="Arial"/>
                <w:sz w:val="20"/>
                <w:szCs w:val="20"/>
              </w:rPr>
            </w:pPr>
            <w:r>
              <w:rPr>
                <w:rFonts w:ascii="Arial Narrow" w:hAnsi="Arial Narrow" w:cs="Arial"/>
                <w:sz w:val="20"/>
                <w:szCs w:val="20"/>
              </w:rPr>
              <w:t xml:space="preserve">A reduction in the total active (swollen and tender) joint count by at least 50% from baseline, where baseline is at least 20 active joints; or </w:t>
            </w:r>
          </w:p>
          <w:p w:rsidR="00D81B14" w:rsidRDefault="00D81B14" w:rsidP="00173C7B">
            <w:pPr>
              <w:pStyle w:val="ListParagraph"/>
              <w:numPr>
                <w:ilvl w:val="0"/>
                <w:numId w:val="18"/>
              </w:numPr>
              <w:rPr>
                <w:rFonts w:ascii="Arial Narrow" w:hAnsi="Arial Narrow" w:cs="Arial"/>
                <w:sz w:val="20"/>
                <w:szCs w:val="20"/>
              </w:rPr>
            </w:pPr>
            <w:r>
              <w:rPr>
                <w:rFonts w:ascii="Arial Narrow" w:hAnsi="Arial Narrow" w:cs="Arial"/>
                <w:sz w:val="20"/>
                <w:szCs w:val="20"/>
              </w:rPr>
              <w:t>A reduction in the number of the following major active joints, from at least 4, by at least 50%:</w:t>
            </w:r>
          </w:p>
          <w:p w:rsidR="00D81B14" w:rsidRDefault="00D81B14" w:rsidP="00173C7B">
            <w:pPr>
              <w:pStyle w:val="ListParagraph"/>
              <w:numPr>
                <w:ilvl w:val="0"/>
                <w:numId w:val="19"/>
              </w:numPr>
              <w:rPr>
                <w:rFonts w:ascii="Arial Narrow" w:hAnsi="Arial Narrow" w:cs="Arial"/>
                <w:sz w:val="20"/>
                <w:szCs w:val="20"/>
              </w:rPr>
            </w:pPr>
            <w:r>
              <w:rPr>
                <w:rFonts w:ascii="Arial Narrow" w:hAnsi="Arial Narrow" w:cs="Arial"/>
                <w:sz w:val="20"/>
                <w:szCs w:val="20"/>
              </w:rPr>
              <w:t>Elbow, wrist, knee and/or ankle (assessed as swollen and tender); and/or</w:t>
            </w:r>
          </w:p>
          <w:p w:rsidR="00D81B14" w:rsidRDefault="00D81B14" w:rsidP="00173C7B">
            <w:pPr>
              <w:pStyle w:val="ListParagraph"/>
              <w:numPr>
                <w:ilvl w:val="0"/>
                <w:numId w:val="19"/>
              </w:numPr>
              <w:rPr>
                <w:rFonts w:ascii="Arial Narrow" w:hAnsi="Arial Narrow" w:cs="Arial"/>
                <w:sz w:val="20"/>
                <w:szCs w:val="20"/>
              </w:rPr>
            </w:pPr>
            <w:r>
              <w:rPr>
                <w:rFonts w:ascii="Arial Narrow" w:hAnsi="Arial Narrow" w:cs="Arial"/>
                <w:sz w:val="20"/>
                <w:szCs w:val="20"/>
              </w:rPr>
              <w:t xml:space="preserve">Shoulder and/or hip (assessed as pain in passive movement and restriction of passive movement, where pain and limitation of movement are due to active disease and not irreversible damage such as joint destruction or bony overgrowth). </w:t>
            </w:r>
          </w:p>
          <w:p w:rsidR="00D81B14" w:rsidRDefault="00D81B14" w:rsidP="00027873">
            <w:pPr>
              <w:rPr>
                <w:rFonts w:ascii="Arial Narrow" w:hAnsi="Arial Narrow" w:cs="Arial"/>
                <w:sz w:val="20"/>
                <w:szCs w:val="20"/>
              </w:rPr>
            </w:pPr>
          </w:p>
          <w:p w:rsidR="00D81B14" w:rsidRDefault="00D81B14" w:rsidP="00027873">
            <w:pPr>
              <w:rPr>
                <w:rFonts w:ascii="Arial Narrow" w:hAnsi="Arial Narrow" w:cs="Arial"/>
                <w:sz w:val="20"/>
                <w:szCs w:val="20"/>
              </w:rPr>
            </w:pPr>
            <w:r>
              <w:rPr>
                <w:rFonts w:ascii="Arial Narrow" w:hAnsi="Arial Narrow" w:cs="Arial"/>
                <w:sz w:val="20"/>
                <w:szCs w:val="20"/>
              </w:rPr>
              <w:t xml:space="preserve">The same indices of disease severity used to establish baseline at the commencement of treatment with each initial treatment application must be provided for all subsequent continuing treatment applications. </w:t>
            </w:r>
          </w:p>
          <w:p w:rsidR="00D81B14" w:rsidRDefault="00D81B14" w:rsidP="00027873">
            <w:pPr>
              <w:rPr>
                <w:rFonts w:ascii="Arial Narrow" w:hAnsi="Arial Narrow" w:cs="Arial"/>
                <w:sz w:val="20"/>
                <w:szCs w:val="20"/>
              </w:rPr>
            </w:pPr>
          </w:p>
          <w:p w:rsidR="00D81B14" w:rsidRDefault="00D81B14" w:rsidP="00027873">
            <w:pPr>
              <w:rPr>
                <w:rFonts w:ascii="Arial Narrow" w:hAnsi="Arial Narrow" w:cs="Arial"/>
                <w:sz w:val="20"/>
                <w:szCs w:val="20"/>
              </w:rPr>
            </w:pPr>
            <w:r>
              <w:rPr>
                <w:rFonts w:ascii="Arial Narrow" w:hAnsi="Arial Narrow" w:cs="Arial"/>
                <w:sz w:val="20"/>
                <w:szCs w:val="20"/>
              </w:rPr>
              <w:t xml:space="preserve">All application for continuing treatment with this drug must include a measurement of response to the most recent course of PBS-subsidised therapy. This assessment must be submitted no later than 4 weeks from the cessation of that treatment course. </w:t>
            </w:r>
            <w:r>
              <w:rPr>
                <w:rFonts w:ascii="Arial Narrow" w:hAnsi="Arial Narrow" w:cs="Arial"/>
                <w:sz w:val="20"/>
                <w:szCs w:val="20"/>
              </w:rPr>
              <w:lastRenderedPageBreak/>
              <w:t xml:space="preserve">If the application is the first application for continuing treatment with this drug, it must be accompanied by an assessment of response to a minimum of 12 weeks of treatment with the initial treatment course. </w:t>
            </w:r>
          </w:p>
          <w:p w:rsidR="00D81B14" w:rsidRDefault="00D81B14" w:rsidP="00027873">
            <w:pPr>
              <w:rPr>
                <w:rFonts w:ascii="Arial Narrow" w:hAnsi="Arial Narrow" w:cs="Arial"/>
                <w:sz w:val="20"/>
                <w:szCs w:val="20"/>
              </w:rPr>
            </w:pPr>
          </w:p>
          <w:p w:rsidR="00D81B14" w:rsidRDefault="00D81B14" w:rsidP="00027873">
            <w:pPr>
              <w:rPr>
                <w:rFonts w:ascii="Arial Narrow" w:hAnsi="Arial Narrow" w:cs="Arial"/>
                <w:sz w:val="20"/>
                <w:szCs w:val="20"/>
              </w:rPr>
            </w:pPr>
            <w:r>
              <w:rPr>
                <w:rFonts w:ascii="Arial Narrow" w:hAnsi="Arial Narrow" w:cs="Arial"/>
                <w:sz w:val="20"/>
                <w:szCs w:val="20"/>
              </w:rPr>
              <w:t xml:space="preserve">Where a response assessment is not submitted within these timeframes, the patient will be deemed to have failed to respond to treatment with this drug. </w:t>
            </w:r>
          </w:p>
          <w:p w:rsidR="00D81B14" w:rsidRDefault="00D81B14" w:rsidP="00027873">
            <w:pPr>
              <w:rPr>
                <w:rFonts w:ascii="Arial Narrow" w:hAnsi="Arial Narrow" w:cs="Arial"/>
                <w:sz w:val="20"/>
                <w:szCs w:val="20"/>
              </w:rPr>
            </w:pPr>
          </w:p>
          <w:p w:rsidR="00D81B14" w:rsidRDefault="00D81B14" w:rsidP="00D81B14">
            <w:pPr>
              <w:rPr>
                <w:rFonts w:ascii="Arial Narrow" w:hAnsi="Arial Narrow" w:cs="Arial"/>
                <w:sz w:val="20"/>
                <w:szCs w:val="20"/>
              </w:rPr>
            </w:pPr>
            <w:r>
              <w:rPr>
                <w:rFonts w:ascii="Arial Narrow" w:hAnsi="Arial Narrow" w:cs="Arial"/>
                <w:sz w:val="20"/>
                <w:szCs w:val="20"/>
              </w:rPr>
              <w:t xml:space="preserve">The authority application must be made in writing and must include: </w:t>
            </w:r>
          </w:p>
          <w:p w:rsidR="00D81B14" w:rsidRDefault="00D81B14" w:rsidP="00D81B14">
            <w:pPr>
              <w:rPr>
                <w:rFonts w:ascii="Arial Narrow" w:hAnsi="Arial Narrow" w:cs="Arial"/>
                <w:sz w:val="20"/>
                <w:szCs w:val="20"/>
              </w:rPr>
            </w:pPr>
          </w:p>
          <w:p w:rsidR="00D81B14" w:rsidRDefault="00D81B14" w:rsidP="00D81B14">
            <w:pPr>
              <w:pStyle w:val="ListParagraph"/>
              <w:numPr>
                <w:ilvl w:val="0"/>
                <w:numId w:val="17"/>
              </w:numPr>
              <w:rPr>
                <w:rFonts w:ascii="Arial Narrow" w:hAnsi="Arial Narrow" w:cs="Arial"/>
                <w:sz w:val="20"/>
                <w:szCs w:val="20"/>
              </w:rPr>
            </w:pPr>
            <w:r>
              <w:rPr>
                <w:rFonts w:ascii="Arial Narrow" w:hAnsi="Arial Narrow" w:cs="Arial"/>
                <w:sz w:val="20"/>
                <w:szCs w:val="20"/>
              </w:rPr>
              <w:t>A completed authority prescription form; and</w:t>
            </w:r>
          </w:p>
          <w:p w:rsidR="00D81B14" w:rsidRDefault="00D81B14" w:rsidP="00D81B14">
            <w:pPr>
              <w:pStyle w:val="ListParagraph"/>
              <w:numPr>
                <w:ilvl w:val="0"/>
                <w:numId w:val="17"/>
              </w:numPr>
              <w:rPr>
                <w:rFonts w:ascii="Arial Narrow" w:hAnsi="Arial Narrow" w:cs="Arial"/>
                <w:sz w:val="20"/>
                <w:szCs w:val="20"/>
              </w:rPr>
            </w:pPr>
            <w:r>
              <w:rPr>
                <w:rFonts w:ascii="Arial Narrow" w:hAnsi="Arial Narrow" w:cs="Arial"/>
                <w:sz w:val="20"/>
                <w:szCs w:val="20"/>
              </w:rPr>
              <w:t xml:space="preserve">A completed Psoriatic Arthritis PBS Authority Application – Supporting Information Form. </w:t>
            </w:r>
          </w:p>
          <w:p w:rsidR="00D81B14" w:rsidRDefault="00D81B14" w:rsidP="00027873">
            <w:pPr>
              <w:rPr>
                <w:rFonts w:ascii="Arial Narrow" w:hAnsi="Arial Narrow" w:cs="Arial"/>
                <w:sz w:val="20"/>
                <w:szCs w:val="20"/>
              </w:rPr>
            </w:pPr>
          </w:p>
          <w:p w:rsidR="00D81B14" w:rsidRPr="00260CE3" w:rsidRDefault="00D81B14" w:rsidP="00027873">
            <w:pPr>
              <w:rPr>
                <w:rFonts w:ascii="Arial Narrow" w:hAnsi="Arial Narrow" w:cs="Arial"/>
                <w:sz w:val="20"/>
                <w:szCs w:val="20"/>
              </w:rPr>
            </w:pPr>
            <w:r>
              <w:rPr>
                <w:rFonts w:ascii="Arial Narrow" w:hAnsi="Arial Narrow" w:cs="Arial"/>
                <w:sz w:val="20"/>
                <w:szCs w:val="20"/>
              </w:rPr>
              <w:t xml:space="preserve">Patients who fail to demonstrate a response to treatment with this drug under this restriction will not be eligible to receive further PBS-subsidised treatment with this drug in this Treatment Cycle. Patients may re-trial this drug after a minimum of 5 years have elapsed between the date the last prescription for a PBS-subsidised biological agent was approved in this Cycle and the date of the first application under the new Cycle. </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D81B14" w:rsidRDefault="006F50C7" w:rsidP="00027873">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6F50C7" w:rsidRPr="00260CE3" w:rsidRDefault="006F50C7" w:rsidP="00027873">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D81B14" w:rsidRDefault="00D81B14" w:rsidP="00D81B14">
            <w:pPr>
              <w:rPr>
                <w:rFonts w:ascii="Arial Narrow" w:hAnsi="Arial Narrow" w:cs="Arial"/>
                <w:sz w:val="20"/>
                <w:szCs w:val="20"/>
              </w:rPr>
            </w:pPr>
            <w:r>
              <w:rPr>
                <w:rFonts w:ascii="Arial Narrow" w:hAnsi="Arial Narrow" w:cs="Arial"/>
                <w:sz w:val="20"/>
                <w:szCs w:val="20"/>
              </w:rPr>
              <w:t xml:space="preserve">No increase in the maximum quantity or number of units may be authorised. </w:t>
            </w:r>
          </w:p>
          <w:p w:rsidR="00D81B14" w:rsidRDefault="00D81B14" w:rsidP="00D81B14">
            <w:pPr>
              <w:rPr>
                <w:rFonts w:ascii="Arial Narrow" w:hAnsi="Arial Narrow" w:cs="Arial"/>
                <w:sz w:val="20"/>
                <w:szCs w:val="20"/>
              </w:rPr>
            </w:pPr>
          </w:p>
          <w:p w:rsidR="00D81B14" w:rsidRDefault="00D81B14" w:rsidP="00D81B14">
            <w:pPr>
              <w:rPr>
                <w:rFonts w:ascii="Arial Narrow" w:hAnsi="Arial Narrow" w:cs="Arial"/>
                <w:sz w:val="20"/>
                <w:szCs w:val="20"/>
              </w:rPr>
            </w:pPr>
            <w:r>
              <w:rPr>
                <w:rFonts w:ascii="Arial Narrow" w:hAnsi="Arial Narrow" w:cs="Arial"/>
                <w:sz w:val="20"/>
                <w:szCs w:val="20"/>
              </w:rPr>
              <w:t xml:space="preserve">No increase in the maximum number of repeats may be authorised. </w:t>
            </w:r>
          </w:p>
          <w:p w:rsidR="00D81B14" w:rsidRDefault="00D81B14" w:rsidP="00D81B14">
            <w:pPr>
              <w:rPr>
                <w:rFonts w:ascii="Arial Narrow" w:hAnsi="Arial Narrow" w:cs="Arial"/>
                <w:sz w:val="20"/>
                <w:szCs w:val="20"/>
              </w:rPr>
            </w:pPr>
          </w:p>
          <w:p w:rsidR="006F50C7" w:rsidRPr="00260CE3" w:rsidRDefault="00D81B14" w:rsidP="00D81B14">
            <w:pPr>
              <w:rPr>
                <w:rFonts w:ascii="Arial Narrow" w:hAnsi="Arial Narrow" w:cs="Arial"/>
                <w:sz w:val="20"/>
                <w:szCs w:val="20"/>
              </w:rPr>
            </w:pPr>
            <w:r>
              <w:rPr>
                <w:rFonts w:ascii="Arial Narrow" w:hAnsi="Arial Narrow" w:cs="Arial"/>
                <w:sz w:val="20"/>
                <w:szCs w:val="20"/>
              </w:rPr>
              <w:t>Special Pricing Arrangements apply.</w:t>
            </w:r>
          </w:p>
        </w:tc>
      </w:tr>
      <w:tr w:rsidR="006F50C7" w:rsidRPr="00260CE3" w:rsidTr="00027873">
        <w:trPr>
          <w:cantSplit/>
          <w:trHeight w:val="360"/>
        </w:trPr>
        <w:tc>
          <w:tcPr>
            <w:tcW w:w="2835" w:type="dxa"/>
            <w:tcBorders>
              <w:top w:val="single" w:sz="4" w:space="0" w:color="auto"/>
              <w:left w:val="single" w:sz="4" w:space="0" w:color="auto"/>
              <w:bottom w:val="single" w:sz="4" w:space="0" w:color="auto"/>
              <w:right w:val="single" w:sz="4" w:space="0" w:color="auto"/>
            </w:tcBorders>
          </w:tcPr>
          <w:p w:rsidR="006F50C7" w:rsidRPr="00D81B14" w:rsidRDefault="006F50C7" w:rsidP="00D81B14">
            <w:pPr>
              <w:jc w:val="both"/>
              <w:rPr>
                <w:rFonts w:ascii="Arial Narrow" w:hAnsi="Arial Narrow" w:cs="Arial"/>
                <w:b/>
                <w:sz w:val="20"/>
                <w:szCs w:val="20"/>
              </w:rPr>
            </w:pPr>
            <w:r w:rsidRPr="00260CE3">
              <w:rPr>
                <w:rFonts w:ascii="Arial Narrow" w:hAnsi="Arial Narrow" w:cs="Arial"/>
                <w:b/>
                <w:sz w:val="20"/>
                <w:szCs w:val="20"/>
              </w:rPr>
              <w:t>Cautions</w:t>
            </w:r>
          </w:p>
        </w:tc>
        <w:tc>
          <w:tcPr>
            <w:tcW w:w="6379" w:type="dxa"/>
            <w:gridSpan w:val="6"/>
            <w:tcBorders>
              <w:top w:val="single" w:sz="4" w:space="0" w:color="auto"/>
              <w:left w:val="single" w:sz="4" w:space="0" w:color="auto"/>
              <w:bottom w:val="single" w:sz="4" w:space="0" w:color="auto"/>
              <w:right w:val="single" w:sz="4" w:space="0" w:color="auto"/>
            </w:tcBorders>
          </w:tcPr>
          <w:p w:rsidR="006F50C7" w:rsidRPr="00260CE3" w:rsidRDefault="00D81B14" w:rsidP="00027873">
            <w:pPr>
              <w:rPr>
                <w:rFonts w:ascii="Arial Narrow" w:hAnsi="Arial Narrow" w:cs="Arial"/>
                <w:sz w:val="20"/>
                <w:szCs w:val="20"/>
              </w:rPr>
            </w:pPr>
            <w:r>
              <w:rPr>
                <w:rFonts w:ascii="Arial Narrow" w:hAnsi="Arial Narrow" w:cs="Arial"/>
                <w:sz w:val="20"/>
                <w:szCs w:val="20"/>
              </w:rPr>
              <w:t>-</w:t>
            </w:r>
          </w:p>
        </w:tc>
      </w:tr>
    </w:tbl>
    <w:p w:rsidR="006F50C7" w:rsidRDefault="006F50C7" w:rsidP="006F50C7">
      <w:pPr>
        <w:jc w:val="both"/>
        <w:rPr>
          <w:rFonts w:ascii="Arial" w:hAnsi="Arial" w:cs="Arial"/>
          <w:bCs/>
          <w:snapToGrid w:val="0"/>
          <w:sz w:val="22"/>
          <w:szCs w:val="22"/>
        </w:rPr>
      </w:pPr>
    </w:p>
    <w:p w:rsidR="006D3173" w:rsidRDefault="0019574A" w:rsidP="006F50C7">
      <w:pPr>
        <w:jc w:val="both"/>
        <w:rPr>
          <w:rFonts w:ascii="Arial" w:hAnsi="Arial" w:cs="Arial"/>
          <w:bCs/>
          <w:snapToGrid w:val="0"/>
          <w:sz w:val="22"/>
          <w:szCs w:val="22"/>
        </w:rPr>
      </w:pPr>
      <w:r>
        <w:rPr>
          <w:rFonts w:ascii="Arial" w:hAnsi="Arial" w:cs="Arial"/>
          <w:bCs/>
          <w:snapToGrid w:val="0"/>
          <w:sz w:val="22"/>
          <w:szCs w:val="22"/>
        </w:rPr>
        <w:t>The following note will appear on all</w:t>
      </w:r>
      <w:r w:rsidR="00173C7B">
        <w:rPr>
          <w:rFonts w:ascii="Arial" w:hAnsi="Arial" w:cs="Arial"/>
          <w:bCs/>
          <w:snapToGrid w:val="0"/>
          <w:sz w:val="22"/>
          <w:szCs w:val="22"/>
        </w:rPr>
        <w:t xml:space="preserve"> above</w:t>
      </w:r>
      <w:r w:rsidR="00E730A3">
        <w:rPr>
          <w:rFonts w:ascii="Arial" w:hAnsi="Arial" w:cs="Arial"/>
          <w:bCs/>
          <w:snapToGrid w:val="0"/>
          <w:sz w:val="22"/>
          <w:szCs w:val="22"/>
        </w:rPr>
        <w:t xml:space="preserve"> restrictions:</w:t>
      </w:r>
    </w:p>
    <w:p w:rsidR="0019574A" w:rsidRDefault="0019574A" w:rsidP="006F50C7">
      <w:pPr>
        <w:jc w:val="both"/>
        <w:rPr>
          <w:rFonts w:ascii="Arial" w:hAnsi="Arial" w:cs="Arial"/>
          <w:bCs/>
          <w:snapToGrid w:val="0"/>
          <w:sz w:val="22"/>
          <w:szCs w:val="22"/>
        </w:rPr>
      </w:pP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Any queries concerning the arrangements to prescribe may be directed to the Department of Human Services on 1800 700 270 (hours of operation 8 a.m. to 5 p.m. EST Monday to Friday).</w:t>
      </w:r>
    </w:p>
    <w:p w:rsidR="0019574A" w:rsidRPr="00173C7B" w:rsidRDefault="0019574A" w:rsidP="0019574A">
      <w:pPr>
        <w:shd w:val="clear" w:color="auto" w:fill="EEEEEE"/>
        <w:rPr>
          <w:rFonts w:ascii="Arial Narrow" w:hAnsi="Arial Narrow" w:cs="Arial"/>
          <w:color w:val="222222"/>
          <w:sz w:val="20"/>
          <w:szCs w:val="20"/>
        </w:rPr>
      </w:pP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Prescribing information (including Authority Application forms and other relevant documentation as applicable) is available on the Department of Human Services website at www.humanservices.gov.au</w:t>
      </w: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Applications for authority to prescribe should be forwarded to:</w:t>
      </w:r>
    </w:p>
    <w:p w:rsidR="0019574A" w:rsidRPr="00173C7B" w:rsidRDefault="0019574A" w:rsidP="0019574A">
      <w:pPr>
        <w:shd w:val="clear" w:color="auto" w:fill="EEEEEE"/>
        <w:rPr>
          <w:rFonts w:ascii="Arial Narrow" w:hAnsi="Arial Narrow" w:cs="Arial"/>
          <w:color w:val="222222"/>
          <w:sz w:val="20"/>
          <w:szCs w:val="20"/>
        </w:rPr>
      </w:pP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Department of Human Services</w:t>
      </w: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Complex Drugs</w:t>
      </w: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Reply Paid 9826</w:t>
      </w:r>
    </w:p>
    <w:p w:rsidR="0019574A" w:rsidRPr="00173C7B" w:rsidRDefault="0019574A" w:rsidP="0019574A">
      <w:pPr>
        <w:shd w:val="clear" w:color="auto" w:fill="EEEEEE"/>
        <w:rPr>
          <w:rFonts w:ascii="Arial Narrow" w:hAnsi="Arial Narrow" w:cs="Arial"/>
          <w:color w:val="222222"/>
          <w:sz w:val="20"/>
          <w:szCs w:val="20"/>
        </w:rPr>
      </w:pPr>
      <w:r w:rsidRPr="00173C7B">
        <w:rPr>
          <w:rFonts w:ascii="Arial Narrow" w:hAnsi="Arial Narrow" w:cs="Arial"/>
          <w:color w:val="222222"/>
          <w:sz w:val="20"/>
          <w:szCs w:val="20"/>
        </w:rPr>
        <w:t>HOBART TAS 7001</w:t>
      </w:r>
    </w:p>
    <w:p w:rsidR="0019574A" w:rsidRDefault="0019574A" w:rsidP="006F50C7">
      <w:pPr>
        <w:jc w:val="both"/>
        <w:rPr>
          <w:rFonts w:ascii="Arial" w:hAnsi="Arial" w:cs="Arial"/>
          <w:bCs/>
          <w:snapToGrid w:val="0"/>
          <w:sz w:val="22"/>
          <w:szCs w:val="22"/>
        </w:rPr>
      </w:pPr>
    </w:p>
    <w:p w:rsidR="006D3173" w:rsidRDefault="006D3173" w:rsidP="006F50C7">
      <w:pPr>
        <w:jc w:val="both"/>
        <w:rPr>
          <w:rFonts w:ascii="Arial" w:hAnsi="Arial" w:cs="Arial"/>
          <w:bCs/>
          <w:snapToGrid w:val="0"/>
          <w:sz w:val="22"/>
          <w:szCs w:val="22"/>
        </w:rPr>
      </w:pPr>
      <w:r>
        <w:rPr>
          <w:rFonts w:ascii="Arial" w:hAnsi="Arial" w:cs="Arial"/>
          <w:bCs/>
          <w:snapToGrid w:val="0"/>
          <w:sz w:val="22"/>
          <w:szCs w:val="22"/>
        </w:rPr>
        <w:t>The following note will be added to all</w:t>
      </w:r>
      <w:r w:rsidR="00173C7B">
        <w:rPr>
          <w:rFonts w:ascii="Arial" w:hAnsi="Arial" w:cs="Arial"/>
          <w:bCs/>
          <w:snapToGrid w:val="0"/>
          <w:sz w:val="22"/>
          <w:szCs w:val="22"/>
        </w:rPr>
        <w:t xml:space="preserve"> above</w:t>
      </w:r>
      <w:r>
        <w:rPr>
          <w:rFonts w:ascii="Arial" w:hAnsi="Arial" w:cs="Arial"/>
          <w:bCs/>
          <w:snapToGrid w:val="0"/>
          <w:sz w:val="22"/>
          <w:szCs w:val="22"/>
        </w:rPr>
        <w:t xml:space="preserve"> restrictions</w:t>
      </w:r>
      <w:r w:rsidR="00E449F9">
        <w:rPr>
          <w:rFonts w:ascii="Arial" w:hAnsi="Arial" w:cs="Arial"/>
          <w:bCs/>
          <w:snapToGrid w:val="0"/>
          <w:sz w:val="22"/>
          <w:szCs w:val="22"/>
        </w:rPr>
        <w:t xml:space="preserve"> and flo</w:t>
      </w:r>
      <w:r w:rsidR="0019574A">
        <w:rPr>
          <w:rFonts w:ascii="Arial" w:hAnsi="Arial" w:cs="Arial"/>
          <w:bCs/>
          <w:snapToGrid w:val="0"/>
          <w:sz w:val="22"/>
          <w:szCs w:val="22"/>
        </w:rPr>
        <w:t xml:space="preserve">w-on changes made to </w:t>
      </w:r>
      <w:r w:rsidR="00AD2FC3">
        <w:rPr>
          <w:rFonts w:ascii="Arial" w:hAnsi="Arial" w:cs="Arial"/>
          <w:bCs/>
          <w:snapToGrid w:val="0"/>
          <w:sz w:val="22"/>
          <w:szCs w:val="22"/>
        </w:rPr>
        <w:t>adalimumab, certolizumab, etanercept, golimumab and infliximab</w:t>
      </w:r>
      <w:r w:rsidR="00E730A3">
        <w:rPr>
          <w:rFonts w:ascii="Arial" w:hAnsi="Arial" w:cs="Arial"/>
          <w:bCs/>
          <w:snapToGrid w:val="0"/>
          <w:sz w:val="22"/>
          <w:szCs w:val="22"/>
        </w:rPr>
        <w:t>:</w:t>
      </w:r>
    </w:p>
    <w:p w:rsidR="006D3173" w:rsidRDefault="006D3173" w:rsidP="006F50C7">
      <w:pPr>
        <w:jc w:val="both"/>
        <w:rPr>
          <w:rFonts w:ascii="Arial" w:hAnsi="Arial" w:cs="Arial"/>
          <w:bCs/>
          <w:snapToGrid w:val="0"/>
          <w:sz w:val="22"/>
          <w:szCs w:val="22"/>
        </w:rPr>
      </w:pP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TREATMENT OF ADULT PATIENTS WITH SEVERE ACTIVE PSORIATIC ARTHRITIS</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 xml:space="preserve">The following information applies to the prescribing under the Pharmaceutical Benefits Scheme (PBS) of the biological agents adalimumab, certolizumab </w:t>
      </w:r>
      <w:r w:rsidR="00E449F9" w:rsidRPr="00173C7B">
        <w:rPr>
          <w:rFonts w:ascii="Arial Narrow" w:hAnsi="Arial Narrow" w:cs="Arial"/>
          <w:color w:val="222222"/>
          <w:sz w:val="20"/>
          <w:szCs w:val="20"/>
        </w:rPr>
        <w:t xml:space="preserve">pegol, etanercept, golimumab, </w:t>
      </w:r>
      <w:r w:rsidRPr="00173C7B">
        <w:rPr>
          <w:rFonts w:ascii="Arial Narrow" w:hAnsi="Arial Narrow" w:cs="Arial"/>
          <w:color w:val="222222"/>
          <w:sz w:val="20"/>
          <w:szCs w:val="20"/>
        </w:rPr>
        <w:t xml:space="preserve">infliximab </w:t>
      </w:r>
      <w:r w:rsidR="00E449F9" w:rsidRPr="00173C7B">
        <w:rPr>
          <w:rFonts w:ascii="Arial Narrow" w:hAnsi="Arial Narrow" w:cs="Arial"/>
          <w:color w:val="222222"/>
          <w:sz w:val="20"/>
          <w:szCs w:val="20"/>
        </w:rPr>
        <w:t xml:space="preserve">and ustekinumab </w:t>
      </w:r>
      <w:r w:rsidRPr="00173C7B">
        <w:rPr>
          <w:rFonts w:ascii="Arial Narrow" w:hAnsi="Arial Narrow" w:cs="Arial"/>
          <w:color w:val="222222"/>
          <w:sz w:val="20"/>
          <w:szCs w:val="20"/>
        </w:rPr>
        <w:t>for adult patients with severe active psoriatic arthritis.</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are eligible for PBS-subsidised treatment with only 1 of the above biological agents at any 1 time.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lastRenderedPageBreak/>
        <w:t>Where the term 'biological agents' appears in notes and restrictions, it refers to adalimumab, certolizumab p</w:t>
      </w:r>
      <w:r w:rsidR="00E449F9" w:rsidRPr="00173C7B">
        <w:rPr>
          <w:rFonts w:ascii="Arial Narrow" w:hAnsi="Arial Narrow" w:cs="Arial"/>
          <w:color w:val="222222"/>
          <w:sz w:val="20"/>
          <w:szCs w:val="20"/>
        </w:rPr>
        <w:t xml:space="preserve">egol, etanercept, golimumab, </w:t>
      </w:r>
      <w:r w:rsidRPr="00173C7B">
        <w:rPr>
          <w:rFonts w:ascii="Arial Narrow" w:hAnsi="Arial Narrow" w:cs="Arial"/>
          <w:color w:val="222222"/>
          <w:sz w:val="20"/>
          <w:szCs w:val="20"/>
        </w:rPr>
        <w:t>infliximab</w:t>
      </w:r>
      <w:r w:rsidR="00E449F9" w:rsidRPr="00173C7B">
        <w:rPr>
          <w:rFonts w:ascii="Arial Narrow" w:hAnsi="Arial Narrow" w:cs="Arial"/>
          <w:color w:val="222222"/>
          <w:sz w:val="20"/>
          <w:szCs w:val="20"/>
        </w:rPr>
        <w:t xml:space="preserve"> and ustekinumab</w:t>
      </w:r>
      <w:r w:rsidRPr="00173C7B">
        <w:rPr>
          <w:rFonts w:ascii="Arial Narrow" w:hAnsi="Arial Narrow" w:cs="Arial"/>
          <w:color w:val="222222"/>
          <w:sz w:val="20"/>
          <w:szCs w:val="20"/>
        </w:rPr>
        <w:t xml:space="preserve"> only.</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receiving PBS-subsidised treatment for psoriatic arthritis are able to commence a 'Biological Treatment Cycle' (Cycle), where they may trial biological agents without having to experience a disease flare when swapping to the alternate agent. Under these interchangeability arrangements, within a single Cycle, patients may receive long-term treatment with a biological agent as long as they sustain a response to therapy.</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Following demonstration of response to initial treatment, these biological agents are available under the PBS for continuing treatment as set out in the continuing treatment restriction for each agent.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Once patients have either failed or ceased to sustain a response to treatment 3 times, they are deemed to have completed a single Cycle and they must have, at a minimum, a 5-year break in PBS-subsidised biological therapy before they are eligible to commence another Cycle [further details are under '(5) Re-commencement of treatment after a 5-year break in PBS-subsidised therapy' below].</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The duration of the break in therapy will be measured from the date the last approval for PBS-subsidised treatment was granted in the most recent Cycle to the date of the first application for initial treatment with a biological agent under the new Cycle.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Within the same Cycle, patients are not allowed to fail, or cease to respond to, the same PBS-subsidised biological agent more than once. Therefore once a patient fails to meet the response criteria for any biological agent, they must change to an alternate agent which they have not previously failed, if they wish to continue PBS-subsidised biological treatment.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for whom a break in PBS-subsidised therapy of less than 5 years has occurred, and, who have failed therapy fewer than 3 times within a particular treatment Cycle, as defined in the relevant restriction, may commence a further course of treatment within that Cycle.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for whom a break in PBS-subsidised therapy of 5 years or more has occurred, and, who have failed therapy fewer than 3 times within a particular treatment Cycle, as defined in the relevant restriction, are eligible to commence a new Cycle.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There is no limit to the number of Biological Treatment Cycles a patient may undertake in their lifetime.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How to prescribe biological agents for the treatment of severe active psoriatic arthritis.</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(1) Initial treatment.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Applications for initial treatment should be made where: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(i) patients have received no prior PBS-subsidised biological treatment and wish to commence such therapy (Initial 1); and</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(ii) patients have received prior PBS-subsidised biological therapy and wish to trial an alternate agent (Initial 2) [further details are under 'Swapping therapy' below]; and</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lastRenderedPageBreak/>
        <w:t>(iii) patients wish to re-commence treatment with a specific biological agent following a break in PBS-subsidised therapy with that specific agent (Initial 2).</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All applications for initial treatment for non-grandfather patients will be limited to provide for a maximum of 16 weeks of therapy for adalimumab, etanercept</w:t>
      </w:r>
      <w:r w:rsidR="00E449F9" w:rsidRPr="00173C7B">
        <w:rPr>
          <w:rFonts w:ascii="Arial Narrow" w:hAnsi="Arial Narrow" w:cs="Arial"/>
          <w:color w:val="222222"/>
          <w:sz w:val="20"/>
          <w:szCs w:val="20"/>
        </w:rPr>
        <w:t xml:space="preserve">, golimumab and ustekinumab, </w:t>
      </w:r>
      <w:r w:rsidRPr="00173C7B">
        <w:rPr>
          <w:rFonts w:ascii="Arial Narrow" w:hAnsi="Arial Narrow" w:cs="Arial"/>
          <w:color w:val="222222"/>
          <w:sz w:val="20"/>
          <w:szCs w:val="20"/>
        </w:rPr>
        <w:t>18 to 20 weeks of therapy for certolizumab pegol (depending upon the dosing regimen), and 22 weeks of therapy for infliximab. It is recommended that patients be reviewed in the month prior to completing their course of initial treatment to ensure uninterrupted biological agent supply.</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must be assessed for response to any course of PBS-subsidised initial treatment following a minimum of 12 weeks of therapy and this assessment must be submitted to the Department of Human Services no later than 4 weeks from the date that course was ceased. Where a response assessment is not submitted within these timeframes, patients will be deemed to have failed to respond to treatment with that biological agent.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Grandfather patients - certolizumab pegol only.</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For patients who commenced treatment with certolizumab pegol for psoriatic arthritis prior to 1 April 2015, applications for initial PBS-subsidised treatment as continuing therapy may be made under the relevant initial treatment restriction (Initial 3). These patients access the PBS interchangeability arrangements in the same way as new patients who have not been treated with any biological agent prior to PBS listing of that agent.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Applications for initial PBS-subsidised treatment for grandfather patients will provide for a maximum of 24 weeks of treatment for all agents. Approval will be based on the criteria included in the relevant restriction.</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(2) Continuing treatment.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Following the completion of an initial treatment course with a specific biological agent, patients may qualify to receive up to 24 weeks of continuing treatment with that drug providing they have demonstrated an adequate response to treatment.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are eligible to receive continuing biological treatment with the same drug in courses of up to 24 weeks providing they continue to sustain the response.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must be assessed for response to a course of continuing therapy, and the assessment must be submitted to the Department of Human Services no later than 4 weeks from the date that course was ceased. Where a response assessment is not submitted within these timeframes, patients will be deemed to have failed to respond to treatment with that biological agent.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(3) Swapping therapy.</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Once an authority for initial treatment with the first PBS-subsidised biological agent is approved, patients may swap to an alternate biological agent without having to re-qualify with respect to either the indices of disease severity (i.e. erythrocyte sedimentation rate (ESR) or C-reactive protein (CRP) level, and active joint count) or the prior non-biological therapy requirements.</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may swap to an alternate biological agent at any time, regardless of whether they are receiving therapy (initial or continuing) with a biological agent at the time of the application or not.</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lastRenderedPageBreak/>
        <w:t>Within a Treatment Cycle patients may alternate between therapy with any biological agent of their choice (1 at a time) providing:</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(i) they have not received PBS-subsidised treatment with that particular biological agent previously; or</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(ii) they have demonstrated an adequate response to that particular biological agent if they have previously trialled it on the PBS; and</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(iii) they have not previously failed to respond to treatment 3 times in this Treatment Cycle.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To ensure patients receive the maximum treatment opportunities allowed under the interchangeability arrangements, it is important that they are assessed for response to every course of treatment approved, within the timeframes specified in the relevant restriction.</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To avoid confusion, applications for patients who wish to swap to an alternate biological agent should be accompanied by the approved authority prescription or remaining repeats for the biological agent the patient is ceasing.</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(4) Baseline measurements to determine response.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The Department of Human Services will determine whether a response to treatment has been demonstrated based on the baseline measurements of the indices of disease severity submitted with the first authority application for a biological agent. However, prescribers may provide new baseline measurements any time that an initial treatment application is submitted within a treatment Cycle and these revised baseline measurements will be used to assess response.</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To ensure consistency in determining response, the same indices of disease severity used to establish baseline at the commencement of treatment with each initial treatment application must be provided for all subsequent continuing treatment applications. Therefore, where only an ESR or CRP level is provided at baseline, an ESR or CRP level respectively must be provided to determine response. Similarly, where the baseline active joint count is based on total active joints (i.e. 20 or more active joints), response will be determined according to a reduction in the total number of active joints.</w:t>
      </w:r>
    </w:p>
    <w:p w:rsidR="006D3173" w:rsidRPr="00173C7B" w:rsidRDefault="006D3173" w:rsidP="006D3173">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(5) Re-commencement of treatment after a 5-year break in PBS-subsidised therapy.</w:t>
      </w:r>
    </w:p>
    <w:p w:rsidR="009329A5" w:rsidRDefault="006D3173" w:rsidP="002F1439">
      <w:pPr>
        <w:shd w:val="clear" w:color="auto" w:fill="EEEEEE"/>
        <w:spacing w:after="240" w:line="300" w:lineRule="atLeast"/>
        <w:rPr>
          <w:rFonts w:ascii="Arial Narrow" w:hAnsi="Arial Narrow" w:cs="Arial"/>
          <w:color w:val="222222"/>
          <w:sz w:val="20"/>
          <w:szCs w:val="20"/>
        </w:rPr>
      </w:pPr>
      <w:r w:rsidRPr="00173C7B">
        <w:rPr>
          <w:rFonts w:ascii="Arial Narrow" w:hAnsi="Arial Narrow" w:cs="Arial"/>
          <w:color w:val="222222"/>
          <w:sz w:val="20"/>
          <w:szCs w:val="20"/>
        </w:rPr>
        <w:t>Patients who wish to trial a second or subsequent treatment Cycle following a break in PBS-subsidised biological therapy of at least 5 years, must requalify for initial treatment with respect to both the indices of disease severity. Patients must have received treatment with methotrexate and sulfasalazine or leflunomide, at an adequate dose, for a minimum of 3 months at the time the ESR or CRP levels and the active joint counts are measured.</w:t>
      </w:r>
    </w:p>
    <w:p w:rsidR="009329A5" w:rsidRDefault="009329A5" w:rsidP="0066049E">
      <w:pPr>
        <w:pStyle w:val="Heading1"/>
        <w:rPr>
          <w:rFonts w:eastAsia="SimSun"/>
          <w:lang w:eastAsia="en-US"/>
        </w:rPr>
      </w:pPr>
      <w:r>
        <w:rPr>
          <w:rFonts w:eastAsia="SimSun"/>
          <w:lang w:eastAsia="en-US"/>
        </w:rPr>
        <w:t>Context for Decision</w:t>
      </w:r>
    </w:p>
    <w:p w:rsidR="009329A5" w:rsidRDefault="009329A5" w:rsidP="009329A5">
      <w:pPr>
        <w:ind w:left="720"/>
        <w:contextualSpacing/>
        <w:rPr>
          <w:b/>
        </w:rPr>
      </w:pPr>
    </w:p>
    <w:p w:rsidR="009329A5" w:rsidRDefault="009329A5" w:rsidP="009329A5">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329A5" w:rsidRDefault="009329A5" w:rsidP="0066049E">
      <w:pPr>
        <w:spacing w:line="480" w:lineRule="auto"/>
      </w:pPr>
    </w:p>
    <w:p w:rsidR="009329A5" w:rsidRDefault="009329A5" w:rsidP="0066049E">
      <w:pPr>
        <w:pStyle w:val="Heading1"/>
        <w:rPr>
          <w:rFonts w:eastAsia="SimSun"/>
          <w:lang w:eastAsia="en-US"/>
        </w:rPr>
      </w:pPr>
      <w:r>
        <w:rPr>
          <w:rFonts w:eastAsia="SimSun"/>
          <w:lang w:eastAsia="en-US"/>
        </w:rPr>
        <w:lastRenderedPageBreak/>
        <w:t>Sponsor’s Comment</w:t>
      </w:r>
    </w:p>
    <w:p w:rsidR="009329A5" w:rsidRDefault="009329A5" w:rsidP="009329A5">
      <w:pPr>
        <w:jc w:val="both"/>
        <w:rPr>
          <w:rFonts w:ascii="Arial" w:hAnsi="Arial" w:cs="Arial"/>
          <w:bCs/>
          <w:snapToGrid w:val="0"/>
          <w:sz w:val="22"/>
          <w:szCs w:val="22"/>
          <w:lang w:eastAsia="en-US"/>
        </w:rPr>
      </w:pPr>
    </w:p>
    <w:p w:rsidR="00933F6D" w:rsidRPr="0066049E" w:rsidRDefault="0066049E" w:rsidP="0066049E">
      <w:pPr>
        <w:ind w:firstLine="720"/>
        <w:rPr>
          <w:rFonts w:ascii="Arial" w:hAnsi="Arial" w:cs="Arial"/>
          <w:sz w:val="22"/>
          <w:szCs w:val="20"/>
        </w:rPr>
      </w:pPr>
      <w:r w:rsidRPr="0066049E">
        <w:rPr>
          <w:rFonts w:ascii="Arial" w:hAnsi="Arial" w:cs="Arial"/>
          <w:sz w:val="22"/>
          <w:szCs w:val="20"/>
        </w:rPr>
        <w:t xml:space="preserve">The sponsor had no comment. </w:t>
      </w:r>
    </w:p>
    <w:sectPr w:rsidR="00933F6D" w:rsidRPr="0066049E" w:rsidSect="00922051">
      <w:headerReference w:type="even" r:id="rId13"/>
      <w:headerReference w:type="default" r:id="rId14"/>
      <w:footerReference w:type="even" r:id="rId15"/>
      <w:footerReference w:type="default" r:id="rId16"/>
      <w:footerReference w:type="first" r:id="rId17"/>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E10" w:rsidRDefault="00946E10">
      <w:r>
        <w:separator/>
      </w:r>
    </w:p>
    <w:p w:rsidR="00946E10" w:rsidRDefault="00946E10"/>
  </w:endnote>
  <w:endnote w:type="continuationSeparator" w:id="0">
    <w:p w:rsidR="00946E10" w:rsidRDefault="00946E10">
      <w:r>
        <w:continuationSeparator/>
      </w:r>
    </w:p>
    <w:p w:rsidR="00946E10" w:rsidRDefault="0094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6A9F" w:rsidTr="005A3173">
      <w:trPr>
        <w:trHeight w:val="151"/>
      </w:trPr>
      <w:tc>
        <w:tcPr>
          <w:tcW w:w="2250" w:type="pct"/>
          <w:tcBorders>
            <w:top w:val="nil"/>
            <w:left w:val="nil"/>
            <w:bottom w:val="single" w:sz="4" w:space="0" w:color="4F81BD"/>
            <w:right w:val="nil"/>
          </w:tcBorders>
        </w:tcPr>
        <w:p w:rsidR="00AC6A9F" w:rsidRPr="005A3173" w:rsidRDefault="00AC6A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6A9F" w:rsidRPr="005A3173" w:rsidRDefault="00AC6A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6A9F" w:rsidRPr="005A3173" w:rsidRDefault="00AC6A9F" w:rsidP="005A3173">
          <w:pPr>
            <w:pStyle w:val="Header"/>
            <w:spacing w:line="276" w:lineRule="auto"/>
            <w:rPr>
              <w:rFonts w:ascii="Calibri" w:eastAsia="MS Gothic" w:hAnsi="Calibri"/>
              <w:b/>
              <w:bCs/>
              <w:color w:val="4F81BD"/>
            </w:rPr>
          </w:pPr>
        </w:p>
      </w:tc>
    </w:tr>
    <w:tr w:rsidR="00AC6A9F" w:rsidTr="005A3173">
      <w:trPr>
        <w:trHeight w:val="150"/>
      </w:trPr>
      <w:tc>
        <w:tcPr>
          <w:tcW w:w="2250" w:type="pct"/>
          <w:tcBorders>
            <w:top w:val="single" w:sz="4" w:space="0" w:color="4F81BD"/>
            <w:left w:val="nil"/>
            <w:bottom w:val="nil"/>
            <w:right w:val="nil"/>
          </w:tcBorders>
        </w:tcPr>
        <w:p w:rsidR="00AC6A9F" w:rsidRPr="005A3173" w:rsidRDefault="00AC6A9F" w:rsidP="005A3173">
          <w:pPr>
            <w:pStyle w:val="Header"/>
            <w:spacing w:line="276" w:lineRule="auto"/>
            <w:rPr>
              <w:rFonts w:ascii="Calibri" w:eastAsia="MS Gothic" w:hAnsi="Calibri"/>
              <w:b/>
              <w:bCs/>
              <w:color w:val="4F81BD"/>
            </w:rPr>
          </w:pPr>
        </w:p>
      </w:tc>
      <w:tc>
        <w:tcPr>
          <w:tcW w:w="0" w:type="auto"/>
          <w:vMerge/>
          <w:vAlign w:val="center"/>
          <w:hideMark/>
        </w:tcPr>
        <w:p w:rsidR="00AC6A9F" w:rsidRPr="005A3173" w:rsidRDefault="00AC6A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6A9F" w:rsidRPr="005A3173" w:rsidRDefault="00AC6A9F" w:rsidP="005A3173">
          <w:pPr>
            <w:pStyle w:val="Header"/>
            <w:spacing w:line="276" w:lineRule="auto"/>
            <w:rPr>
              <w:rFonts w:ascii="Calibri" w:eastAsia="MS Gothic" w:hAnsi="Calibri"/>
              <w:b/>
              <w:bCs/>
              <w:color w:val="4F81BD"/>
            </w:rPr>
          </w:pPr>
        </w:p>
      </w:tc>
    </w:tr>
  </w:tbl>
  <w:p w:rsidR="00AC6A9F" w:rsidRDefault="00AC6A9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C6A9F" w:rsidRDefault="00AC6A9F">
    <w:pPr>
      <w:pStyle w:val="Footer"/>
    </w:pPr>
  </w:p>
  <w:p w:rsidR="00AC6A9F" w:rsidRDefault="00AC6A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05313"/>
      <w:docPartObj>
        <w:docPartGallery w:val="Page Numbers (Bottom of Page)"/>
        <w:docPartUnique/>
      </w:docPartObj>
    </w:sdtPr>
    <w:sdtEndPr>
      <w:rPr>
        <w:noProof/>
      </w:rPr>
    </w:sdtEndPr>
    <w:sdtContent>
      <w:p w:rsidR="00AC6A9F" w:rsidRDefault="00AC6A9F">
        <w:pPr>
          <w:pStyle w:val="Footer"/>
          <w:jc w:val="center"/>
        </w:pPr>
        <w:r>
          <w:fldChar w:fldCharType="begin"/>
        </w:r>
        <w:r>
          <w:instrText xml:space="preserve"> PAGE   \* MERGEFORMAT </w:instrText>
        </w:r>
        <w:r>
          <w:fldChar w:fldCharType="separate"/>
        </w:r>
        <w:r w:rsidR="001E4B9F">
          <w:rPr>
            <w:noProof/>
          </w:rPr>
          <w:t>8</w:t>
        </w:r>
        <w:r>
          <w:rPr>
            <w:noProof/>
          </w:rPr>
          <w:fldChar w:fldCharType="end"/>
        </w:r>
      </w:p>
    </w:sdtContent>
  </w:sdt>
  <w:p w:rsidR="00AC6A9F" w:rsidRDefault="00AC6A9F"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AC6A9F" w:rsidTr="005A3173">
      <w:trPr>
        <w:trHeight w:val="151"/>
      </w:trPr>
      <w:tc>
        <w:tcPr>
          <w:tcW w:w="2250" w:type="pct"/>
          <w:tcBorders>
            <w:top w:val="nil"/>
            <w:left w:val="nil"/>
            <w:bottom w:val="single" w:sz="4" w:space="0" w:color="4F81BD"/>
            <w:right w:val="nil"/>
          </w:tcBorders>
        </w:tcPr>
        <w:p w:rsidR="00AC6A9F" w:rsidRPr="005A3173" w:rsidRDefault="00AC6A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6A9F" w:rsidRPr="005A3173" w:rsidRDefault="00AC6A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6A9F" w:rsidRPr="005A3173" w:rsidRDefault="00AC6A9F" w:rsidP="005A3173">
          <w:pPr>
            <w:pStyle w:val="Header"/>
            <w:spacing w:line="276" w:lineRule="auto"/>
            <w:rPr>
              <w:rFonts w:ascii="Calibri" w:eastAsia="MS Gothic" w:hAnsi="Calibri"/>
              <w:b/>
              <w:bCs/>
              <w:color w:val="4F81BD"/>
            </w:rPr>
          </w:pPr>
        </w:p>
      </w:tc>
    </w:tr>
    <w:tr w:rsidR="00AC6A9F" w:rsidTr="005A3173">
      <w:trPr>
        <w:trHeight w:val="150"/>
      </w:trPr>
      <w:tc>
        <w:tcPr>
          <w:tcW w:w="2250" w:type="pct"/>
          <w:tcBorders>
            <w:top w:val="single" w:sz="4" w:space="0" w:color="4F81BD"/>
            <w:left w:val="nil"/>
            <w:bottom w:val="nil"/>
            <w:right w:val="nil"/>
          </w:tcBorders>
        </w:tcPr>
        <w:p w:rsidR="00AC6A9F" w:rsidRPr="005A3173" w:rsidRDefault="00AC6A9F" w:rsidP="005A3173">
          <w:pPr>
            <w:pStyle w:val="Header"/>
            <w:spacing w:line="276" w:lineRule="auto"/>
            <w:rPr>
              <w:rFonts w:ascii="Calibri" w:eastAsia="MS Gothic" w:hAnsi="Calibri"/>
              <w:b/>
              <w:bCs/>
              <w:color w:val="4F81BD"/>
            </w:rPr>
          </w:pPr>
        </w:p>
      </w:tc>
      <w:tc>
        <w:tcPr>
          <w:tcW w:w="0" w:type="auto"/>
          <w:vMerge/>
          <w:vAlign w:val="center"/>
          <w:hideMark/>
        </w:tcPr>
        <w:p w:rsidR="00AC6A9F" w:rsidRPr="005A3173" w:rsidRDefault="00AC6A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6A9F" w:rsidRPr="005A3173" w:rsidRDefault="00AC6A9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AC6A9F" w:rsidTr="005A3173">
      <w:trPr>
        <w:trHeight w:val="151"/>
      </w:trPr>
      <w:tc>
        <w:tcPr>
          <w:tcW w:w="2250" w:type="pct"/>
          <w:tcBorders>
            <w:top w:val="nil"/>
            <w:left w:val="nil"/>
            <w:bottom w:val="single" w:sz="4" w:space="0" w:color="4F81BD"/>
            <w:right w:val="nil"/>
          </w:tcBorders>
        </w:tcPr>
        <w:p w:rsidR="00AC6A9F" w:rsidRPr="005A3173" w:rsidRDefault="00AC6A9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AC6A9F" w:rsidRPr="005A3173" w:rsidRDefault="00AC6A9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AC6A9F" w:rsidRPr="005A3173" w:rsidRDefault="00AC6A9F" w:rsidP="005A3173">
          <w:pPr>
            <w:pStyle w:val="Header"/>
            <w:spacing w:line="276" w:lineRule="auto"/>
            <w:rPr>
              <w:rFonts w:ascii="Calibri" w:eastAsia="MS Gothic" w:hAnsi="Calibri"/>
              <w:b/>
              <w:bCs/>
              <w:color w:val="4F81BD"/>
            </w:rPr>
          </w:pPr>
        </w:p>
      </w:tc>
    </w:tr>
    <w:tr w:rsidR="00AC6A9F" w:rsidTr="005A3173">
      <w:trPr>
        <w:trHeight w:val="150"/>
      </w:trPr>
      <w:tc>
        <w:tcPr>
          <w:tcW w:w="2250" w:type="pct"/>
          <w:tcBorders>
            <w:top w:val="single" w:sz="4" w:space="0" w:color="4F81BD"/>
            <w:left w:val="nil"/>
            <w:bottom w:val="nil"/>
            <w:right w:val="nil"/>
          </w:tcBorders>
        </w:tcPr>
        <w:p w:rsidR="00AC6A9F" w:rsidRPr="005A3173" w:rsidRDefault="00AC6A9F" w:rsidP="005A3173">
          <w:pPr>
            <w:pStyle w:val="Header"/>
            <w:spacing w:line="276" w:lineRule="auto"/>
            <w:rPr>
              <w:rFonts w:ascii="Calibri" w:eastAsia="MS Gothic" w:hAnsi="Calibri"/>
              <w:b/>
              <w:bCs/>
              <w:color w:val="4F81BD"/>
            </w:rPr>
          </w:pPr>
        </w:p>
      </w:tc>
      <w:tc>
        <w:tcPr>
          <w:tcW w:w="0" w:type="auto"/>
          <w:vMerge/>
          <w:vAlign w:val="center"/>
          <w:hideMark/>
        </w:tcPr>
        <w:p w:rsidR="00AC6A9F" w:rsidRPr="005A3173" w:rsidRDefault="00AC6A9F" w:rsidP="005A3173">
          <w:pPr>
            <w:rPr>
              <w:rFonts w:ascii="Calibri" w:hAnsi="Calibri"/>
              <w:color w:val="365F91"/>
              <w:sz w:val="22"/>
              <w:szCs w:val="22"/>
            </w:rPr>
          </w:pPr>
        </w:p>
      </w:tc>
      <w:tc>
        <w:tcPr>
          <w:tcW w:w="2250" w:type="pct"/>
          <w:tcBorders>
            <w:top w:val="single" w:sz="4" w:space="0" w:color="4F81BD"/>
            <w:left w:val="nil"/>
            <w:bottom w:val="nil"/>
            <w:right w:val="nil"/>
          </w:tcBorders>
        </w:tcPr>
        <w:p w:rsidR="00AC6A9F" w:rsidRPr="005A3173" w:rsidRDefault="00AC6A9F" w:rsidP="005A3173">
          <w:pPr>
            <w:pStyle w:val="Header"/>
            <w:spacing w:line="276" w:lineRule="auto"/>
            <w:rPr>
              <w:rFonts w:ascii="Calibri" w:eastAsia="MS Gothic" w:hAnsi="Calibri"/>
              <w:b/>
              <w:bCs/>
              <w:color w:val="4F81BD"/>
            </w:rPr>
          </w:pPr>
        </w:p>
      </w:tc>
    </w:tr>
  </w:tbl>
  <w:p w:rsidR="00AC6A9F" w:rsidRPr="007C0F57" w:rsidRDefault="00AC6A9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AC6A9F" w:rsidRPr="007C0F57" w:rsidRDefault="00AC6A9F" w:rsidP="007C0F57">
    <w:pPr>
      <w:pStyle w:val="Footer"/>
      <w:jc w:val="center"/>
      <w:rPr>
        <w:b/>
        <w:i/>
        <w:sz w:val="20"/>
        <w:szCs w:val="20"/>
      </w:rPr>
    </w:pPr>
    <w:r w:rsidRPr="007C0F57">
      <w:rPr>
        <w:b/>
        <w:i/>
        <w:sz w:val="20"/>
        <w:szCs w:val="20"/>
      </w:rPr>
      <w:t>Commercial-in-Confidence</w:t>
    </w:r>
  </w:p>
  <w:p w:rsidR="00AC6A9F" w:rsidRDefault="00AC6A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E10" w:rsidRDefault="00946E10">
      <w:r>
        <w:separator/>
      </w:r>
    </w:p>
    <w:p w:rsidR="00946E10" w:rsidRDefault="00946E10"/>
  </w:footnote>
  <w:footnote w:type="continuationSeparator" w:id="0">
    <w:p w:rsidR="00946E10" w:rsidRDefault="00946E10">
      <w:r>
        <w:continuationSeparator/>
      </w:r>
    </w:p>
    <w:p w:rsidR="00946E10" w:rsidRDefault="00946E10"/>
  </w:footnote>
  <w:footnote w:id="1">
    <w:p w:rsidR="00AC6A9F" w:rsidRPr="00D835F9" w:rsidRDefault="00AC6A9F">
      <w:pPr>
        <w:pStyle w:val="FootnoteText"/>
        <w:rPr>
          <w:rFonts w:ascii="Arial Narrow" w:hAnsi="Arial Narrow"/>
        </w:rPr>
      </w:pPr>
      <w:r w:rsidRPr="00D835F9">
        <w:rPr>
          <w:rStyle w:val="FootnoteReference"/>
          <w:rFonts w:ascii="Arial Narrow" w:hAnsi="Arial Narrow"/>
          <w:sz w:val="18"/>
        </w:rPr>
        <w:footnoteRef/>
      </w:r>
      <w:r w:rsidRPr="00D835F9">
        <w:rPr>
          <w:rFonts w:ascii="Arial Narrow" w:hAnsi="Arial Narrow"/>
          <w:sz w:val="18"/>
        </w:rPr>
        <w:t xml:space="preserve"> McInnes IB, Kavanaugh A, Gottlieb AB, Puig L, Rahman P, Ritchlin C, et al. Efficacy and safety of ustekinumab in patients with active psoriatic arthritis: 1 year results of the phase 3, multicentre, double-blind, placebo-controlled PSUMMIT 1 trial. Lancet (London, England). 2013 Aug 31;382(9894):780-9.</w:t>
      </w:r>
    </w:p>
  </w:footnote>
  <w:footnote w:id="2">
    <w:p w:rsidR="00AC6A9F" w:rsidRPr="00F52282" w:rsidRDefault="00AC6A9F">
      <w:pPr>
        <w:pStyle w:val="FootnoteText"/>
        <w:rPr>
          <w:rFonts w:ascii="Arial Narrow" w:hAnsi="Arial Narrow"/>
          <w:sz w:val="18"/>
        </w:rPr>
      </w:pPr>
      <w:r>
        <w:rPr>
          <w:rStyle w:val="FootnoteReference"/>
          <w:rFonts w:ascii="Arial Narrow" w:hAnsi="Arial Narrow"/>
          <w:sz w:val="18"/>
        </w:rPr>
        <w:t>2</w:t>
      </w:r>
      <w:r w:rsidRPr="00F52282">
        <w:rPr>
          <w:rFonts w:ascii="Arial Narrow" w:hAnsi="Arial Narrow"/>
          <w:sz w:val="18"/>
        </w:rPr>
        <w:t xml:space="preserve"> Ritchlin C, Rahman P, Kavanaugh A, McInnes IB, Puig L, Li S, et al. Efficacy and safety of the anti-IL-12/23 p40 monoclonal antibody, ustekinumab, in patients with active psoriatic arthritis despite conventional non-biological and biological anti-tumour necrosis factor therapy: 6-month and 1-year results of the phase 3, multicentre, double-blind, placebo-controlled, randomised PSUMMIT 2 trial. Annals of the Rheumatic Diseases. 2014 Jun;73(6):990-9.</w:t>
      </w:r>
    </w:p>
  </w:footnote>
  <w:footnote w:id="3">
    <w:p w:rsidR="00AC6A9F" w:rsidRPr="00F52282" w:rsidRDefault="00AC6A9F" w:rsidP="00F52282">
      <w:pPr>
        <w:pStyle w:val="EndNoteBibliography"/>
        <w:rPr>
          <w:rFonts w:ascii="Arial Narrow" w:hAnsi="Arial Narrow"/>
          <w:sz w:val="18"/>
        </w:rPr>
      </w:pPr>
      <w:r w:rsidRPr="00922051">
        <w:rPr>
          <w:rFonts w:ascii="Arial Narrow" w:hAnsi="Arial Narrow"/>
          <w:sz w:val="18"/>
          <w:vertAlign w:val="superscript"/>
        </w:rPr>
        <w:t>3</w:t>
      </w:r>
      <w:r>
        <w:rPr>
          <w:rFonts w:ascii="Arial Narrow" w:hAnsi="Arial Narrow"/>
          <w:sz w:val="18"/>
        </w:rPr>
        <w:t xml:space="preserve"> </w:t>
      </w:r>
      <w:r w:rsidRPr="00F52282">
        <w:rPr>
          <w:rFonts w:ascii="Arial Narrow" w:hAnsi="Arial Narrow"/>
          <w:sz w:val="18"/>
        </w:rPr>
        <w:t>Mease PJ, Gladman DD, Ritchlin CT, Ruderman EM, Steinfeld SD, Choy EH, et al. Adalimumab for the treatment of patients with moderately to severely active psoriatic arthritis: results of a double-blind, randomized, placebo-controlled trial. Arthritis and rheumatism. 2005 Oct;52(10):3279-89.</w:t>
      </w:r>
    </w:p>
  </w:footnote>
  <w:footnote w:id="4">
    <w:p w:rsidR="00AC6A9F" w:rsidRDefault="00AC6A9F" w:rsidP="004245B6">
      <w:pPr>
        <w:pStyle w:val="EndNoteBibliography"/>
      </w:pPr>
      <w:r>
        <w:rPr>
          <w:rStyle w:val="FootnoteReference"/>
          <w:rFonts w:ascii="Arial Narrow" w:hAnsi="Arial Narrow"/>
          <w:sz w:val="18"/>
        </w:rPr>
        <w:t>4</w:t>
      </w:r>
      <w:r w:rsidRPr="00F52282">
        <w:rPr>
          <w:rFonts w:ascii="Arial Narrow" w:hAnsi="Arial Narrow"/>
          <w:sz w:val="18"/>
        </w:rPr>
        <w:t xml:space="preserve"> Mease PJ, Fleischmann R, Deodhar AA, Wollenhaupt J, Khraishi M, Kielar D, et al. Effect of certolizumab pegol on signs and symptoms in patients with psoriatic arthritis: 24-week results of a Phase 3 double-blind randomised placebo-controlled study (RAPID-PsA). Annals of the Rheumatic Diseases. 2014 Jan;73(1):48-55.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AC6A9F" w:rsidRPr="008E0D90" w:rsidTr="00A06225">
      <w:trPr>
        <w:trHeight w:val="151"/>
      </w:trPr>
      <w:tc>
        <w:tcPr>
          <w:tcW w:w="2389" w:type="pct"/>
          <w:tcBorders>
            <w:top w:val="nil"/>
            <w:left w:val="nil"/>
            <w:bottom w:val="single" w:sz="4" w:space="0" w:color="4F81BD"/>
            <w:right w:val="nil"/>
          </w:tcBorders>
        </w:tcPr>
        <w:p w:rsidR="00AC6A9F" w:rsidRPr="00A06225" w:rsidRDefault="00AC6A9F">
          <w:pPr>
            <w:pStyle w:val="Header"/>
            <w:spacing w:line="276" w:lineRule="auto"/>
            <w:rPr>
              <w:rFonts w:ascii="Cambria" w:eastAsia="MS Gothic" w:hAnsi="Cambria"/>
              <w:b/>
              <w:bCs/>
              <w:color w:val="4F81BD"/>
            </w:rPr>
          </w:pPr>
        </w:p>
      </w:tc>
      <w:tc>
        <w:tcPr>
          <w:tcW w:w="333" w:type="pct"/>
          <w:vMerge w:val="restart"/>
          <w:noWrap/>
          <w:vAlign w:val="center"/>
          <w:hideMark/>
        </w:tcPr>
        <w:p w:rsidR="00AC6A9F" w:rsidRPr="00A06225" w:rsidRDefault="00AC6A9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AC6A9F" w:rsidRPr="00A06225" w:rsidRDefault="00AC6A9F">
          <w:pPr>
            <w:pStyle w:val="Header"/>
            <w:spacing w:line="276" w:lineRule="auto"/>
            <w:rPr>
              <w:rFonts w:ascii="Cambria" w:eastAsia="MS Gothic" w:hAnsi="Cambria"/>
              <w:b/>
              <w:bCs/>
              <w:color w:val="4F81BD"/>
            </w:rPr>
          </w:pPr>
        </w:p>
      </w:tc>
    </w:tr>
    <w:tr w:rsidR="00AC6A9F" w:rsidRPr="008E0D90" w:rsidTr="00A06225">
      <w:trPr>
        <w:trHeight w:val="150"/>
      </w:trPr>
      <w:tc>
        <w:tcPr>
          <w:tcW w:w="2389" w:type="pct"/>
          <w:tcBorders>
            <w:top w:val="single" w:sz="4" w:space="0" w:color="4F81BD"/>
            <w:left w:val="nil"/>
            <w:bottom w:val="nil"/>
            <w:right w:val="nil"/>
          </w:tcBorders>
        </w:tcPr>
        <w:p w:rsidR="00AC6A9F" w:rsidRPr="00A06225" w:rsidRDefault="00AC6A9F">
          <w:pPr>
            <w:pStyle w:val="Header"/>
            <w:spacing w:line="276" w:lineRule="auto"/>
            <w:rPr>
              <w:rFonts w:ascii="Cambria" w:eastAsia="MS Gothic" w:hAnsi="Cambria"/>
              <w:b/>
              <w:bCs/>
              <w:color w:val="4F81BD"/>
            </w:rPr>
          </w:pPr>
        </w:p>
      </w:tc>
      <w:tc>
        <w:tcPr>
          <w:tcW w:w="0" w:type="auto"/>
          <w:vMerge/>
          <w:vAlign w:val="center"/>
          <w:hideMark/>
        </w:tcPr>
        <w:p w:rsidR="00AC6A9F" w:rsidRPr="00A06225" w:rsidRDefault="00AC6A9F">
          <w:pPr>
            <w:rPr>
              <w:rFonts w:ascii="Cambria" w:hAnsi="Cambria"/>
              <w:color w:val="4F81BD"/>
              <w:sz w:val="22"/>
              <w:szCs w:val="22"/>
            </w:rPr>
          </w:pPr>
        </w:p>
      </w:tc>
      <w:tc>
        <w:tcPr>
          <w:tcW w:w="2278" w:type="pct"/>
          <w:tcBorders>
            <w:top w:val="single" w:sz="4" w:space="0" w:color="4F81BD"/>
            <w:left w:val="nil"/>
            <w:bottom w:val="nil"/>
            <w:right w:val="nil"/>
          </w:tcBorders>
        </w:tcPr>
        <w:p w:rsidR="00AC6A9F" w:rsidRPr="00A06225" w:rsidRDefault="00AC6A9F">
          <w:pPr>
            <w:pStyle w:val="Header"/>
            <w:spacing w:line="276" w:lineRule="auto"/>
            <w:rPr>
              <w:rFonts w:ascii="Cambria" w:eastAsia="MS Gothic" w:hAnsi="Cambria"/>
              <w:b/>
              <w:bCs/>
              <w:color w:val="4F81BD"/>
            </w:rPr>
          </w:pPr>
        </w:p>
      </w:tc>
    </w:tr>
  </w:tbl>
  <w:p w:rsidR="00AC6A9F" w:rsidRDefault="00AC6A9F">
    <w:pPr>
      <w:pStyle w:val="Header"/>
    </w:pPr>
  </w:p>
  <w:p w:rsidR="00AC6A9F" w:rsidRDefault="00AC6A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A9F" w:rsidRDefault="00AC6A9F" w:rsidP="00C81299">
    <w:pPr>
      <w:pStyle w:val="NoSpacing"/>
      <w:jc w:val="center"/>
      <w:rPr>
        <w:rFonts w:cs="Arial"/>
        <w:i/>
        <w:color w:val="808080"/>
        <w:szCs w:val="24"/>
      </w:rPr>
    </w:pPr>
    <w:r w:rsidRPr="00C81299">
      <w:rPr>
        <w:rFonts w:cs="Arial"/>
        <w:i/>
        <w:color w:val="808080"/>
        <w:szCs w:val="24"/>
      </w:rPr>
      <w:t>Public Summary Document – November 2015 PBAC Meeting</w:t>
    </w:r>
  </w:p>
  <w:p w:rsidR="00AC6A9F" w:rsidRDefault="00AC6A9F" w:rsidP="00C81299">
    <w:pPr>
      <w:pStyle w:val="No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7A3F"/>
    <w:multiLevelType w:val="hybridMultilevel"/>
    <w:tmpl w:val="526440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26A4945"/>
    <w:multiLevelType w:val="hybridMultilevel"/>
    <w:tmpl w:val="4BCC5B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nsid w:val="0B880291"/>
    <w:multiLevelType w:val="hybridMultilevel"/>
    <w:tmpl w:val="47723E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nsid w:val="39510868"/>
    <w:multiLevelType w:val="hybridMultilevel"/>
    <w:tmpl w:val="5C8CFE04"/>
    <w:lvl w:ilvl="0" w:tplc="8DB4BE6C">
      <w:start w:val="1"/>
      <w:numFmt w:val="lowerLetter"/>
      <w:lvlText w:val="(%1)"/>
      <w:lvlJc w:val="left"/>
      <w:pPr>
        <w:ind w:hanging="356"/>
      </w:pPr>
      <w:rPr>
        <w:rFonts w:ascii="Calibri" w:eastAsia="Calibri" w:hAnsi="Calibri" w:hint="default"/>
        <w:sz w:val="22"/>
        <w:szCs w:val="22"/>
      </w:rPr>
    </w:lvl>
    <w:lvl w:ilvl="1" w:tplc="DC50ACFE">
      <w:start w:val="1"/>
      <w:numFmt w:val="bullet"/>
      <w:lvlText w:val="•"/>
      <w:lvlJc w:val="left"/>
      <w:rPr>
        <w:rFonts w:hint="default"/>
      </w:rPr>
    </w:lvl>
    <w:lvl w:ilvl="2" w:tplc="3000007A">
      <w:start w:val="1"/>
      <w:numFmt w:val="bullet"/>
      <w:lvlText w:val="•"/>
      <w:lvlJc w:val="left"/>
      <w:rPr>
        <w:rFonts w:hint="default"/>
      </w:rPr>
    </w:lvl>
    <w:lvl w:ilvl="3" w:tplc="B1521BD4">
      <w:start w:val="1"/>
      <w:numFmt w:val="bullet"/>
      <w:lvlText w:val="•"/>
      <w:lvlJc w:val="left"/>
      <w:rPr>
        <w:rFonts w:hint="default"/>
      </w:rPr>
    </w:lvl>
    <w:lvl w:ilvl="4" w:tplc="151E6186">
      <w:start w:val="1"/>
      <w:numFmt w:val="bullet"/>
      <w:lvlText w:val="•"/>
      <w:lvlJc w:val="left"/>
      <w:rPr>
        <w:rFonts w:hint="default"/>
      </w:rPr>
    </w:lvl>
    <w:lvl w:ilvl="5" w:tplc="B1DCD6EE">
      <w:start w:val="1"/>
      <w:numFmt w:val="bullet"/>
      <w:lvlText w:val="•"/>
      <w:lvlJc w:val="left"/>
      <w:rPr>
        <w:rFonts w:hint="default"/>
      </w:rPr>
    </w:lvl>
    <w:lvl w:ilvl="6" w:tplc="2B4C8296">
      <w:start w:val="1"/>
      <w:numFmt w:val="bullet"/>
      <w:lvlText w:val="•"/>
      <w:lvlJc w:val="left"/>
      <w:rPr>
        <w:rFonts w:hint="default"/>
      </w:rPr>
    </w:lvl>
    <w:lvl w:ilvl="7" w:tplc="40A4298C">
      <w:start w:val="1"/>
      <w:numFmt w:val="bullet"/>
      <w:lvlText w:val="•"/>
      <w:lvlJc w:val="left"/>
      <w:rPr>
        <w:rFonts w:hint="default"/>
      </w:rPr>
    </w:lvl>
    <w:lvl w:ilvl="8" w:tplc="6ED67992">
      <w:start w:val="1"/>
      <w:numFmt w:val="bullet"/>
      <w:lvlText w:val="•"/>
      <w:lvlJc w:val="left"/>
      <w:rPr>
        <w:rFonts w:hint="default"/>
      </w:rPr>
    </w:lvl>
  </w:abstractNum>
  <w:abstractNum w:abstractNumId="4">
    <w:nsid w:val="3A0F189B"/>
    <w:multiLevelType w:val="hybridMultilevel"/>
    <w:tmpl w:val="933ABF74"/>
    <w:lvl w:ilvl="0" w:tplc="8C1C75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E836C6B"/>
    <w:multiLevelType w:val="hybridMultilevel"/>
    <w:tmpl w:val="4266D1D6"/>
    <w:lvl w:ilvl="0" w:tplc="8BEE8FF6">
      <w:start w:val="1"/>
      <w:numFmt w:val="decimal"/>
      <w:lvlText w:val="%1)"/>
      <w:lvlJc w:val="left"/>
      <w:pPr>
        <w:ind w:hanging="356"/>
      </w:pPr>
      <w:rPr>
        <w:rFonts w:ascii="Calibri" w:eastAsia="Calibri" w:hAnsi="Calibri" w:hint="default"/>
        <w:sz w:val="22"/>
        <w:szCs w:val="22"/>
      </w:rPr>
    </w:lvl>
    <w:lvl w:ilvl="1" w:tplc="64C65896">
      <w:start w:val="1"/>
      <w:numFmt w:val="bullet"/>
      <w:lvlText w:val="•"/>
      <w:lvlJc w:val="left"/>
      <w:rPr>
        <w:rFonts w:hint="default"/>
      </w:rPr>
    </w:lvl>
    <w:lvl w:ilvl="2" w:tplc="CCBA7C4A">
      <w:start w:val="1"/>
      <w:numFmt w:val="bullet"/>
      <w:lvlText w:val="•"/>
      <w:lvlJc w:val="left"/>
      <w:rPr>
        <w:rFonts w:hint="default"/>
      </w:rPr>
    </w:lvl>
    <w:lvl w:ilvl="3" w:tplc="ABE85428">
      <w:start w:val="1"/>
      <w:numFmt w:val="bullet"/>
      <w:lvlText w:val="•"/>
      <w:lvlJc w:val="left"/>
      <w:rPr>
        <w:rFonts w:hint="default"/>
      </w:rPr>
    </w:lvl>
    <w:lvl w:ilvl="4" w:tplc="14CC3C4C">
      <w:start w:val="1"/>
      <w:numFmt w:val="bullet"/>
      <w:lvlText w:val="•"/>
      <w:lvlJc w:val="left"/>
      <w:rPr>
        <w:rFonts w:hint="default"/>
      </w:rPr>
    </w:lvl>
    <w:lvl w:ilvl="5" w:tplc="7FBE20D6">
      <w:start w:val="1"/>
      <w:numFmt w:val="bullet"/>
      <w:lvlText w:val="•"/>
      <w:lvlJc w:val="left"/>
      <w:rPr>
        <w:rFonts w:hint="default"/>
      </w:rPr>
    </w:lvl>
    <w:lvl w:ilvl="6" w:tplc="30C8DD9A">
      <w:start w:val="1"/>
      <w:numFmt w:val="bullet"/>
      <w:lvlText w:val="•"/>
      <w:lvlJc w:val="left"/>
      <w:rPr>
        <w:rFonts w:hint="default"/>
      </w:rPr>
    </w:lvl>
    <w:lvl w:ilvl="7" w:tplc="EDB4C862">
      <w:start w:val="1"/>
      <w:numFmt w:val="bullet"/>
      <w:lvlText w:val="•"/>
      <w:lvlJc w:val="left"/>
      <w:rPr>
        <w:rFonts w:hint="default"/>
      </w:rPr>
    </w:lvl>
    <w:lvl w:ilvl="8" w:tplc="D39A50BC">
      <w:start w:val="1"/>
      <w:numFmt w:val="bullet"/>
      <w:lvlText w:val="•"/>
      <w:lvlJc w:val="left"/>
      <w:rPr>
        <w:rFonts w:hint="default"/>
      </w:rPr>
    </w:lvl>
  </w:abstractNum>
  <w:abstractNum w:abstractNumId="6">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7">
    <w:nsid w:val="552A67D8"/>
    <w:multiLevelType w:val="hybridMultilevel"/>
    <w:tmpl w:val="5498BD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5E2031E"/>
    <w:multiLevelType w:val="hybridMultilevel"/>
    <w:tmpl w:val="905E060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D09651C"/>
    <w:multiLevelType w:val="hybridMultilevel"/>
    <w:tmpl w:val="933ABF74"/>
    <w:lvl w:ilvl="0" w:tplc="8C1C75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EC86315"/>
    <w:multiLevelType w:val="hybridMultilevel"/>
    <w:tmpl w:val="F3D61FDC"/>
    <w:lvl w:ilvl="0" w:tplc="85F8FB5C">
      <w:start w:val="1"/>
      <w:numFmt w:val="bullet"/>
      <w:lvlText w:val="•"/>
      <w:lvlJc w:val="left"/>
      <w:pPr>
        <w:ind w:hanging="361"/>
      </w:pPr>
      <w:rPr>
        <w:rFonts w:ascii="Arial" w:eastAsia="Arial" w:hAnsi="Arial" w:hint="default"/>
        <w:w w:val="131"/>
        <w:sz w:val="22"/>
        <w:szCs w:val="22"/>
      </w:rPr>
    </w:lvl>
    <w:lvl w:ilvl="1" w:tplc="B8AE94DE">
      <w:start w:val="1"/>
      <w:numFmt w:val="bullet"/>
      <w:lvlText w:val="•"/>
      <w:lvlJc w:val="left"/>
      <w:rPr>
        <w:rFonts w:hint="default"/>
      </w:rPr>
    </w:lvl>
    <w:lvl w:ilvl="2" w:tplc="B2C6F038">
      <w:start w:val="1"/>
      <w:numFmt w:val="bullet"/>
      <w:lvlText w:val="•"/>
      <w:lvlJc w:val="left"/>
      <w:rPr>
        <w:rFonts w:hint="default"/>
      </w:rPr>
    </w:lvl>
    <w:lvl w:ilvl="3" w:tplc="4EFA39F8">
      <w:start w:val="1"/>
      <w:numFmt w:val="bullet"/>
      <w:lvlText w:val="•"/>
      <w:lvlJc w:val="left"/>
      <w:rPr>
        <w:rFonts w:hint="default"/>
      </w:rPr>
    </w:lvl>
    <w:lvl w:ilvl="4" w:tplc="38DEF510">
      <w:start w:val="1"/>
      <w:numFmt w:val="bullet"/>
      <w:lvlText w:val="•"/>
      <w:lvlJc w:val="left"/>
      <w:rPr>
        <w:rFonts w:hint="default"/>
      </w:rPr>
    </w:lvl>
    <w:lvl w:ilvl="5" w:tplc="15748C14">
      <w:start w:val="1"/>
      <w:numFmt w:val="bullet"/>
      <w:lvlText w:val="•"/>
      <w:lvlJc w:val="left"/>
      <w:rPr>
        <w:rFonts w:hint="default"/>
      </w:rPr>
    </w:lvl>
    <w:lvl w:ilvl="6" w:tplc="4A564FF4">
      <w:start w:val="1"/>
      <w:numFmt w:val="bullet"/>
      <w:lvlText w:val="•"/>
      <w:lvlJc w:val="left"/>
      <w:rPr>
        <w:rFonts w:hint="default"/>
      </w:rPr>
    </w:lvl>
    <w:lvl w:ilvl="7" w:tplc="BCFED154">
      <w:start w:val="1"/>
      <w:numFmt w:val="bullet"/>
      <w:lvlText w:val="•"/>
      <w:lvlJc w:val="left"/>
      <w:rPr>
        <w:rFonts w:hint="default"/>
      </w:rPr>
    </w:lvl>
    <w:lvl w:ilvl="8" w:tplc="3C561386">
      <w:start w:val="1"/>
      <w:numFmt w:val="bullet"/>
      <w:lvlText w:val="•"/>
      <w:lvlJc w:val="left"/>
      <w:rPr>
        <w:rFonts w:hint="default"/>
      </w:rPr>
    </w:lvl>
  </w:abstractNum>
  <w:abstractNum w:abstractNumId="11">
    <w:nsid w:val="60781C0A"/>
    <w:multiLevelType w:val="hybridMultilevel"/>
    <w:tmpl w:val="5498BD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2175109"/>
    <w:multiLevelType w:val="hybridMultilevel"/>
    <w:tmpl w:val="BC90965A"/>
    <w:lvl w:ilvl="0" w:tplc="B84EFF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5C623A1"/>
    <w:multiLevelType w:val="hybridMultilevel"/>
    <w:tmpl w:val="DBB42952"/>
    <w:lvl w:ilvl="0" w:tplc="02C454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862475E"/>
    <w:multiLevelType w:val="hybridMultilevel"/>
    <w:tmpl w:val="40CC1F68"/>
    <w:lvl w:ilvl="0" w:tplc="5EDA3DAC">
      <w:start w:val="1"/>
      <w:numFmt w:val="decimal"/>
      <w:lvlText w:val="%1."/>
      <w:lvlJc w:val="left"/>
      <w:pPr>
        <w:ind w:hanging="567"/>
      </w:pPr>
      <w:rPr>
        <w:rFonts w:ascii="Calibri" w:eastAsia="Calibri" w:hAnsi="Calibri" w:hint="default"/>
        <w:i/>
        <w:sz w:val="22"/>
        <w:szCs w:val="22"/>
      </w:rPr>
    </w:lvl>
    <w:lvl w:ilvl="1" w:tplc="53BCC4A4">
      <w:start w:val="1"/>
      <w:numFmt w:val="lowerLetter"/>
      <w:lvlText w:val="%2."/>
      <w:lvlJc w:val="left"/>
      <w:pPr>
        <w:ind w:hanging="567"/>
      </w:pPr>
      <w:rPr>
        <w:rFonts w:ascii="Calibri" w:eastAsia="Calibri" w:hAnsi="Calibri" w:hint="default"/>
        <w:i/>
        <w:spacing w:val="-1"/>
        <w:sz w:val="22"/>
        <w:szCs w:val="22"/>
      </w:rPr>
    </w:lvl>
    <w:lvl w:ilvl="2" w:tplc="50367D14">
      <w:start w:val="1"/>
      <w:numFmt w:val="bullet"/>
      <w:lvlText w:val="•"/>
      <w:lvlJc w:val="left"/>
      <w:rPr>
        <w:rFonts w:hint="default"/>
      </w:rPr>
    </w:lvl>
    <w:lvl w:ilvl="3" w:tplc="C42C6160">
      <w:start w:val="1"/>
      <w:numFmt w:val="bullet"/>
      <w:lvlText w:val="•"/>
      <w:lvlJc w:val="left"/>
      <w:rPr>
        <w:rFonts w:hint="default"/>
      </w:rPr>
    </w:lvl>
    <w:lvl w:ilvl="4" w:tplc="2C80B330">
      <w:start w:val="1"/>
      <w:numFmt w:val="bullet"/>
      <w:lvlText w:val="•"/>
      <w:lvlJc w:val="left"/>
      <w:rPr>
        <w:rFonts w:hint="default"/>
      </w:rPr>
    </w:lvl>
    <w:lvl w:ilvl="5" w:tplc="B046DE08">
      <w:start w:val="1"/>
      <w:numFmt w:val="bullet"/>
      <w:lvlText w:val="•"/>
      <w:lvlJc w:val="left"/>
      <w:rPr>
        <w:rFonts w:hint="default"/>
      </w:rPr>
    </w:lvl>
    <w:lvl w:ilvl="6" w:tplc="5D6E9F2C">
      <w:start w:val="1"/>
      <w:numFmt w:val="bullet"/>
      <w:lvlText w:val="•"/>
      <w:lvlJc w:val="left"/>
      <w:rPr>
        <w:rFonts w:hint="default"/>
      </w:rPr>
    </w:lvl>
    <w:lvl w:ilvl="7" w:tplc="F1BA0D30">
      <w:start w:val="1"/>
      <w:numFmt w:val="bullet"/>
      <w:lvlText w:val="•"/>
      <w:lvlJc w:val="left"/>
      <w:rPr>
        <w:rFonts w:hint="default"/>
      </w:rPr>
    </w:lvl>
    <w:lvl w:ilvl="8" w:tplc="5C58359E">
      <w:start w:val="1"/>
      <w:numFmt w:val="bullet"/>
      <w:lvlText w:val="•"/>
      <w:lvlJc w:val="left"/>
      <w:rPr>
        <w:rFonts w:hint="default"/>
      </w:rPr>
    </w:lvl>
  </w:abstractNum>
  <w:abstractNum w:abstractNumId="15">
    <w:nsid w:val="7831457E"/>
    <w:multiLevelType w:val="hybridMultilevel"/>
    <w:tmpl w:val="57F231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784D033C"/>
    <w:multiLevelType w:val="multilevel"/>
    <w:tmpl w:val="F28A5C98"/>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B2177E8"/>
    <w:multiLevelType w:val="hybridMultilevel"/>
    <w:tmpl w:val="4AB8C67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DB302FC"/>
    <w:multiLevelType w:val="hybridMultilevel"/>
    <w:tmpl w:val="526440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7"/>
  </w:num>
  <w:num w:numId="3">
    <w:abstractNumId w:val="1"/>
  </w:num>
  <w:num w:numId="4">
    <w:abstractNumId w:val="15"/>
  </w:num>
  <w:num w:numId="5">
    <w:abstractNumId w:val="10"/>
  </w:num>
  <w:num w:numId="6">
    <w:abstractNumId w:val="3"/>
  </w:num>
  <w:num w:numId="7">
    <w:abstractNumId w:val="5"/>
  </w:num>
  <w:num w:numId="8">
    <w:abstractNumId w:val="14"/>
  </w:num>
  <w:num w:numId="9">
    <w:abstractNumId w:val="2"/>
  </w:num>
  <w:num w:numId="10">
    <w:abstractNumId w:val="6"/>
  </w:num>
  <w:num w:numId="11">
    <w:abstractNumId w:val="12"/>
  </w:num>
  <w:num w:numId="12">
    <w:abstractNumId w:val="13"/>
  </w:num>
  <w:num w:numId="13">
    <w:abstractNumId w:val="8"/>
  </w:num>
  <w:num w:numId="14">
    <w:abstractNumId w:val="0"/>
  </w:num>
  <w:num w:numId="15">
    <w:abstractNumId w:val="7"/>
  </w:num>
  <w:num w:numId="16">
    <w:abstractNumId w:val="4"/>
  </w:num>
  <w:num w:numId="17">
    <w:abstractNumId w:val="18"/>
  </w:num>
  <w:num w:numId="18">
    <w:abstractNumId w:val="11"/>
  </w:num>
  <w:num w:numId="19">
    <w:abstractNumId w:val="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161E8"/>
    <w:rsid w:val="0002464A"/>
    <w:rsid w:val="00027873"/>
    <w:rsid w:val="0003106B"/>
    <w:rsid w:val="000421A1"/>
    <w:rsid w:val="0004240E"/>
    <w:rsid w:val="00045E26"/>
    <w:rsid w:val="000514B5"/>
    <w:rsid w:val="00060E64"/>
    <w:rsid w:val="00066755"/>
    <w:rsid w:val="00077380"/>
    <w:rsid w:val="00084D37"/>
    <w:rsid w:val="00095F74"/>
    <w:rsid w:val="000969AD"/>
    <w:rsid w:val="000B558D"/>
    <w:rsid w:val="000C6996"/>
    <w:rsid w:val="000D23BA"/>
    <w:rsid w:val="000E50F9"/>
    <w:rsid w:val="000E681E"/>
    <w:rsid w:val="000F4E6A"/>
    <w:rsid w:val="00106625"/>
    <w:rsid w:val="001107BF"/>
    <w:rsid w:val="0012417C"/>
    <w:rsid w:val="0013365A"/>
    <w:rsid w:val="00142395"/>
    <w:rsid w:val="00142714"/>
    <w:rsid w:val="001452ED"/>
    <w:rsid w:val="00173C7B"/>
    <w:rsid w:val="001830CE"/>
    <w:rsid w:val="00191630"/>
    <w:rsid w:val="0019574A"/>
    <w:rsid w:val="00196307"/>
    <w:rsid w:val="001B017F"/>
    <w:rsid w:val="001B5129"/>
    <w:rsid w:val="001C1195"/>
    <w:rsid w:val="001E4B9F"/>
    <w:rsid w:val="00200882"/>
    <w:rsid w:val="00213CFB"/>
    <w:rsid w:val="00215BB4"/>
    <w:rsid w:val="00230D9C"/>
    <w:rsid w:val="002403FA"/>
    <w:rsid w:val="002536EA"/>
    <w:rsid w:val="00256CAB"/>
    <w:rsid w:val="00271BA1"/>
    <w:rsid w:val="00277505"/>
    <w:rsid w:val="0029458F"/>
    <w:rsid w:val="002A104C"/>
    <w:rsid w:val="002A4960"/>
    <w:rsid w:val="002A6F27"/>
    <w:rsid w:val="002B1AE6"/>
    <w:rsid w:val="002B30F8"/>
    <w:rsid w:val="002C212F"/>
    <w:rsid w:val="002E3153"/>
    <w:rsid w:val="002E72CA"/>
    <w:rsid w:val="002E75B5"/>
    <w:rsid w:val="002E75CB"/>
    <w:rsid w:val="002F1439"/>
    <w:rsid w:val="00322F8D"/>
    <w:rsid w:val="00324708"/>
    <w:rsid w:val="00326E79"/>
    <w:rsid w:val="003367EF"/>
    <w:rsid w:val="00341ADF"/>
    <w:rsid w:val="00341AE4"/>
    <w:rsid w:val="003872CF"/>
    <w:rsid w:val="00387335"/>
    <w:rsid w:val="0039782C"/>
    <w:rsid w:val="00397CEB"/>
    <w:rsid w:val="003A2D06"/>
    <w:rsid w:val="003A5B4A"/>
    <w:rsid w:val="003B102E"/>
    <w:rsid w:val="003B23C5"/>
    <w:rsid w:val="003B2A75"/>
    <w:rsid w:val="003D4AC4"/>
    <w:rsid w:val="003D63B7"/>
    <w:rsid w:val="003E468B"/>
    <w:rsid w:val="003F5C8C"/>
    <w:rsid w:val="004142C1"/>
    <w:rsid w:val="004245B6"/>
    <w:rsid w:val="004252CB"/>
    <w:rsid w:val="004465BD"/>
    <w:rsid w:val="00466ADA"/>
    <w:rsid w:val="004756BD"/>
    <w:rsid w:val="00476245"/>
    <w:rsid w:val="00485940"/>
    <w:rsid w:val="00485961"/>
    <w:rsid w:val="0049580C"/>
    <w:rsid w:val="004A5A85"/>
    <w:rsid w:val="004B1AB0"/>
    <w:rsid w:val="004B5640"/>
    <w:rsid w:val="004C1BD7"/>
    <w:rsid w:val="004C4861"/>
    <w:rsid w:val="004C691D"/>
    <w:rsid w:val="004C7C6D"/>
    <w:rsid w:val="004E3BC5"/>
    <w:rsid w:val="004E692D"/>
    <w:rsid w:val="004F50BD"/>
    <w:rsid w:val="00501554"/>
    <w:rsid w:val="00514CD7"/>
    <w:rsid w:val="005319B2"/>
    <w:rsid w:val="005327AD"/>
    <w:rsid w:val="00532C74"/>
    <w:rsid w:val="00534E2E"/>
    <w:rsid w:val="00543496"/>
    <w:rsid w:val="00544552"/>
    <w:rsid w:val="00581932"/>
    <w:rsid w:val="00595434"/>
    <w:rsid w:val="005963BB"/>
    <w:rsid w:val="005A3173"/>
    <w:rsid w:val="005A3223"/>
    <w:rsid w:val="005A3DA3"/>
    <w:rsid w:val="005A52C4"/>
    <w:rsid w:val="005D03AB"/>
    <w:rsid w:val="005D5017"/>
    <w:rsid w:val="006016E7"/>
    <w:rsid w:val="00601A91"/>
    <w:rsid w:val="00602BA3"/>
    <w:rsid w:val="00607721"/>
    <w:rsid w:val="00614159"/>
    <w:rsid w:val="00617C00"/>
    <w:rsid w:val="006263BF"/>
    <w:rsid w:val="0062748A"/>
    <w:rsid w:val="00630A2C"/>
    <w:rsid w:val="0063436B"/>
    <w:rsid w:val="00651169"/>
    <w:rsid w:val="00653D69"/>
    <w:rsid w:val="0066049E"/>
    <w:rsid w:val="00670A76"/>
    <w:rsid w:val="00670DBA"/>
    <w:rsid w:val="006711AA"/>
    <w:rsid w:val="00672B57"/>
    <w:rsid w:val="00675622"/>
    <w:rsid w:val="0067645C"/>
    <w:rsid w:val="00676B1F"/>
    <w:rsid w:val="0068497D"/>
    <w:rsid w:val="006906DB"/>
    <w:rsid w:val="00696A88"/>
    <w:rsid w:val="006A12A5"/>
    <w:rsid w:val="006A700E"/>
    <w:rsid w:val="006B0D94"/>
    <w:rsid w:val="006B485D"/>
    <w:rsid w:val="006C708E"/>
    <w:rsid w:val="006D3173"/>
    <w:rsid w:val="006D6EC7"/>
    <w:rsid w:val="006E5D3B"/>
    <w:rsid w:val="006F50C7"/>
    <w:rsid w:val="006F5125"/>
    <w:rsid w:val="006F5C72"/>
    <w:rsid w:val="006F73A3"/>
    <w:rsid w:val="00700BD9"/>
    <w:rsid w:val="007174BB"/>
    <w:rsid w:val="00734E10"/>
    <w:rsid w:val="00754E0F"/>
    <w:rsid w:val="0076420C"/>
    <w:rsid w:val="0077506D"/>
    <w:rsid w:val="007753C2"/>
    <w:rsid w:val="007838B8"/>
    <w:rsid w:val="007C0F57"/>
    <w:rsid w:val="007C40B6"/>
    <w:rsid w:val="007C729F"/>
    <w:rsid w:val="007E1D28"/>
    <w:rsid w:val="007E7D2A"/>
    <w:rsid w:val="007F2641"/>
    <w:rsid w:val="007F7C36"/>
    <w:rsid w:val="008041EE"/>
    <w:rsid w:val="00806796"/>
    <w:rsid w:val="008110CD"/>
    <w:rsid w:val="00814ECE"/>
    <w:rsid w:val="0082477B"/>
    <w:rsid w:val="00826F6D"/>
    <w:rsid w:val="00832B59"/>
    <w:rsid w:val="00856DDD"/>
    <w:rsid w:val="00863E68"/>
    <w:rsid w:val="008774FD"/>
    <w:rsid w:val="00882085"/>
    <w:rsid w:val="00882839"/>
    <w:rsid w:val="00883188"/>
    <w:rsid w:val="00885E79"/>
    <w:rsid w:val="00897D58"/>
    <w:rsid w:val="008A1956"/>
    <w:rsid w:val="008A4937"/>
    <w:rsid w:val="008A50A8"/>
    <w:rsid w:val="008A5864"/>
    <w:rsid w:val="008C5F2A"/>
    <w:rsid w:val="008D3C82"/>
    <w:rsid w:val="008D447E"/>
    <w:rsid w:val="008D7A41"/>
    <w:rsid w:val="008E3680"/>
    <w:rsid w:val="008E5870"/>
    <w:rsid w:val="008F06B3"/>
    <w:rsid w:val="008F1434"/>
    <w:rsid w:val="008F7355"/>
    <w:rsid w:val="009067B7"/>
    <w:rsid w:val="00922051"/>
    <w:rsid w:val="00930937"/>
    <w:rsid w:val="009329A5"/>
    <w:rsid w:val="00933E6C"/>
    <w:rsid w:val="00933F6D"/>
    <w:rsid w:val="00942160"/>
    <w:rsid w:val="00946E10"/>
    <w:rsid w:val="009602C5"/>
    <w:rsid w:val="00964C23"/>
    <w:rsid w:val="00974C21"/>
    <w:rsid w:val="009920A4"/>
    <w:rsid w:val="009A720F"/>
    <w:rsid w:val="009B0F67"/>
    <w:rsid w:val="009B2DD8"/>
    <w:rsid w:val="009B5E97"/>
    <w:rsid w:val="009C3ED5"/>
    <w:rsid w:val="009C5F80"/>
    <w:rsid w:val="009C6FD3"/>
    <w:rsid w:val="009C703C"/>
    <w:rsid w:val="009D0D7F"/>
    <w:rsid w:val="009D3CAA"/>
    <w:rsid w:val="009F4E46"/>
    <w:rsid w:val="009F5B65"/>
    <w:rsid w:val="009F5F2E"/>
    <w:rsid w:val="009F6E31"/>
    <w:rsid w:val="00A0030A"/>
    <w:rsid w:val="00A06225"/>
    <w:rsid w:val="00A128E6"/>
    <w:rsid w:val="00A37C8D"/>
    <w:rsid w:val="00A47AD3"/>
    <w:rsid w:val="00A5273B"/>
    <w:rsid w:val="00A53A9D"/>
    <w:rsid w:val="00A542FF"/>
    <w:rsid w:val="00A55FEE"/>
    <w:rsid w:val="00A61FA4"/>
    <w:rsid w:val="00A62C1A"/>
    <w:rsid w:val="00A6426D"/>
    <w:rsid w:val="00A70622"/>
    <w:rsid w:val="00A70977"/>
    <w:rsid w:val="00A8390C"/>
    <w:rsid w:val="00A928BD"/>
    <w:rsid w:val="00AA4D1C"/>
    <w:rsid w:val="00AC5206"/>
    <w:rsid w:val="00AC6A9F"/>
    <w:rsid w:val="00AD2FC3"/>
    <w:rsid w:val="00AD67F5"/>
    <w:rsid w:val="00AE11A5"/>
    <w:rsid w:val="00AE13E2"/>
    <w:rsid w:val="00AF68CC"/>
    <w:rsid w:val="00B205AA"/>
    <w:rsid w:val="00B22E84"/>
    <w:rsid w:val="00B238CA"/>
    <w:rsid w:val="00B25F75"/>
    <w:rsid w:val="00B43E90"/>
    <w:rsid w:val="00B45BEA"/>
    <w:rsid w:val="00B56118"/>
    <w:rsid w:val="00B6773F"/>
    <w:rsid w:val="00B801BA"/>
    <w:rsid w:val="00B84392"/>
    <w:rsid w:val="00BB69F5"/>
    <w:rsid w:val="00BB7EC3"/>
    <w:rsid w:val="00BC4B9A"/>
    <w:rsid w:val="00BC6553"/>
    <w:rsid w:val="00BC7A37"/>
    <w:rsid w:val="00BD784C"/>
    <w:rsid w:val="00BF31CB"/>
    <w:rsid w:val="00BF3256"/>
    <w:rsid w:val="00BF4CB6"/>
    <w:rsid w:val="00C00DA7"/>
    <w:rsid w:val="00C12768"/>
    <w:rsid w:val="00C16C7C"/>
    <w:rsid w:val="00C2133D"/>
    <w:rsid w:val="00C27B58"/>
    <w:rsid w:val="00C35996"/>
    <w:rsid w:val="00C43F67"/>
    <w:rsid w:val="00C51728"/>
    <w:rsid w:val="00C5342C"/>
    <w:rsid w:val="00C57A74"/>
    <w:rsid w:val="00C60FE0"/>
    <w:rsid w:val="00C6256A"/>
    <w:rsid w:val="00C630DE"/>
    <w:rsid w:val="00C66DF8"/>
    <w:rsid w:val="00C81299"/>
    <w:rsid w:val="00C91449"/>
    <w:rsid w:val="00C92D10"/>
    <w:rsid w:val="00CB39DF"/>
    <w:rsid w:val="00CC22C1"/>
    <w:rsid w:val="00CE10C4"/>
    <w:rsid w:val="00CE27B5"/>
    <w:rsid w:val="00D0321E"/>
    <w:rsid w:val="00D1455A"/>
    <w:rsid w:val="00D26605"/>
    <w:rsid w:val="00D3280C"/>
    <w:rsid w:val="00D338E2"/>
    <w:rsid w:val="00D3406A"/>
    <w:rsid w:val="00D469B2"/>
    <w:rsid w:val="00D741EB"/>
    <w:rsid w:val="00D81B14"/>
    <w:rsid w:val="00D835F9"/>
    <w:rsid w:val="00D84934"/>
    <w:rsid w:val="00D91271"/>
    <w:rsid w:val="00DA2CB5"/>
    <w:rsid w:val="00DA4BAC"/>
    <w:rsid w:val="00DE2620"/>
    <w:rsid w:val="00DE6D27"/>
    <w:rsid w:val="00DF217D"/>
    <w:rsid w:val="00DF26A7"/>
    <w:rsid w:val="00E164B3"/>
    <w:rsid w:val="00E16910"/>
    <w:rsid w:val="00E35F74"/>
    <w:rsid w:val="00E449F9"/>
    <w:rsid w:val="00E65E54"/>
    <w:rsid w:val="00E730A3"/>
    <w:rsid w:val="00E80155"/>
    <w:rsid w:val="00E848C0"/>
    <w:rsid w:val="00E858B4"/>
    <w:rsid w:val="00E91B96"/>
    <w:rsid w:val="00E941A1"/>
    <w:rsid w:val="00E95CE3"/>
    <w:rsid w:val="00EA2825"/>
    <w:rsid w:val="00EB5088"/>
    <w:rsid w:val="00ED09A4"/>
    <w:rsid w:val="00ED1644"/>
    <w:rsid w:val="00EF44A0"/>
    <w:rsid w:val="00EF4FED"/>
    <w:rsid w:val="00F050BD"/>
    <w:rsid w:val="00F05657"/>
    <w:rsid w:val="00F103F4"/>
    <w:rsid w:val="00F1151A"/>
    <w:rsid w:val="00F25578"/>
    <w:rsid w:val="00F258E5"/>
    <w:rsid w:val="00F300BC"/>
    <w:rsid w:val="00F3334E"/>
    <w:rsid w:val="00F34597"/>
    <w:rsid w:val="00F50EC4"/>
    <w:rsid w:val="00F52282"/>
    <w:rsid w:val="00F57A6D"/>
    <w:rsid w:val="00F638CC"/>
    <w:rsid w:val="00F64CC1"/>
    <w:rsid w:val="00F8247A"/>
    <w:rsid w:val="00F9629A"/>
    <w:rsid w:val="00FA5883"/>
    <w:rsid w:val="00FA6055"/>
    <w:rsid w:val="00FB322F"/>
    <w:rsid w:val="00FB442F"/>
    <w:rsid w:val="00FC1929"/>
    <w:rsid w:val="00FC5B46"/>
    <w:rsid w:val="00FE4F87"/>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66049E"/>
    <w:pPr>
      <w:numPr>
        <w:numId w:val="1"/>
      </w:numPr>
      <w:ind w:left="0" w:firstLine="0"/>
      <w:outlineLvl w:val="0"/>
    </w:pPr>
    <w:rPr>
      <w:rFonts w:ascii="Arial" w:hAnsi="Arial"/>
      <w:b/>
      <w:sz w:val="22"/>
      <w:szCs w:val="22"/>
    </w:rPr>
  </w:style>
  <w:style w:type="paragraph" w:styleId="Heading2">
    <w:name w:val="heading 2"/>
    <w:basedOn w:val="Normal"/>
    <w:next w:val="Normal"/>
    <w:link w:val="Heading2Char"/>
    <w:uiPriority w:val="1"/>
    <w:qFormat/>
    <w:rsid w:val="0066049E"/>
    <w:pPr>
      <w:keepNext/>
      <w:outlineLvl w:val="1"/>
    </w:pPr>
    <w:rPr>
      <w:rFonts w:ascii="Arial" w:hAnsi="Arial"/>
      <w:b/>
      <w:sz w:val="22"/>
    </w:rPr>
  </w:style>
  <w:style w:type="paragraph" w:styleId="Heading3">
    <w:name w:val="heading 3"/>
    <w:basedOn w:val="Normal"/>
    <w:next w:val="Normal"/>
    <w:link w:val="Heading3Char"/>
    <w:uiPriority w:val="1"/>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F52282"/>
    <w:pPr>
      <w:keepNext/>
      <w:widowControl w:val="0"/>
      <w:spacing w:before="240" w:after="60"/>
      <w:jc w:val="both"/>
      <w:outlineLvl w:val="3"/>
    </w:pPr>
    <w:rPr>
      <w:rFonts w:ascii="Arial" w:hAnsi="Arial" w:cs="Arial"/>
      <w:b/>
      <w:bCs/>
      <w:i/>
      <w:snapToGrid w:val="0"/>
      <w:sz w:val="26"/>
      <w:szCs w:val="28"/>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rsid w:val="00F52282"/>
    <w:pPr>
      <w:keepNext/>
      <w:widowControl w:val="0"/>
      <w:jc w:val="center"/>
      <w:outlineLvl w:val="6"/>
    </w:pPr>
    <w:rPr>
      <w:rFonts w:ascii="Arial" w:hAnsi="Arial" w:cs="Arial"/>
      <w:b/>
      <w:snapToGrid w:val="0"/>
      <w:sz w:val="20"/>
      <w:szCs w:val="20"/>
      <w:lang w:eastAsia="en-US"/>
    </w:rPr>
  </w:style>
  <w:style w:type="paragraph" w:styleId="Heading8">
    <w:name w:val="heading 8"/>
    <w:basedOn w:val="Normal"/>
    <w:next w:val="Normal"/>
    <w:link w:val="Heading8Char"/>
    <w:rsid w:val="00F52282"/>
    <w:pPr>
      <w:keepNext/>
      <w:widowControl w:val="0"/>
      <w:jc w:val="right"/>
      <w:outlineLvl w:val="7"/>
    </w:pPr>
    <w:rPr>
      <w:rFonts w:ascii="Arial" w:hAnsi="Arial" w:cs="Arial"/>
      <w:b/>
      <w:snapToGrid w:val="0"/>
      <w:sz w:val="22"/>
      <w:szCs w:val="20"/>
      <w:lang w:eastAsia="en-US"/>
    </w:rPr>
  </w:style>
  <w:style w:type="paragraph" w:styleId="Heading9">
    <w:name w:val="heading 9"/>
    <w:basedOn w:val="Normal"/>
    <w:next w:val="Normal"/>
    <w:link w:val="Heading9Char"/>
    <w:rsid w:val="00F52282"/>
    <w:pPr>
      <w:keepNext/>
      <w:widowControl w:val="0"/>
      <w:jc w:val="center"/>
      <w:outlineLvl w:val="8"/>
    </w:pPr>
    <w:rPr>
      <w:rFonts w:ascii="Arial" w:hAnsi="Arial" w:cs="Arial"/>
      <w:b/>
      <w:snapToGrid w:val="0"/>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uiPriority w:val="1"/>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Header">
    <w:name w:val="Table Header"/>
    <w:basedOn w:val="Normal"/>
    <w:uiPriority w:val="3"/>
    <w:qFormat/>
    <w:rsid w:val="00397CEB"/>
    <w:pPr>
      <w:widowControl w:val="0"/>
      <w:jc w:val="both"/>
    </w:pPr>
    <w:rPr>
      <w:rFonts w:ascii="Arial" w:hAnsi="Arial" w:cs="Arial"/>
      <w:b/>
      <w:snapToGrid w:val="0"/>
      <w:sz w:val="20"/>
      <w:szCs w:val="20"/>
      <w:lang w:eastAsia="en-US"/>
    </w:rPr>
  </w:style>
  <w:style w:type="paragraph" w:customStyle="1" w:styleId="PBACHeading1">
    <w:name w:val="PBAC Heading 1"/>
    <w:qFormat/>
    <w:rsid w:val="00397CEB"/>
    <w:pPr>
      <w:ind w:left="720" w:hanging="720"/>
    </w:pPr>
    <w:rPr>
      <w:rFonts w:ascii="Arial" w:hAnsi="Arial" w:cs="Arial"/>
      <w:b/>
      <w:snapToGrid w:val="0"/>
      <w:sz w:val="22"/>
      <w:szCs w:val="22"/>
      <w:lang w:eastAsia="en-US"/>
    </w:rPr>
  </w:style>
  <w:style w:type="paragraph" w:customStyle="1" w:styleId="TableFooter">
    <w:name w:val="Table Footer"/>
    <w:basedOn w:val="Normal"/>
    <w:uiPriority w:val="4"/>
    <w:qFormat/>
    <w:rsid w:val="00200882"/>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rsid w:val="00200882"/>
    <w:rPr>
      <w:rFonts w:ascii="Arial" w:hAnsi="Arial"/>
      <w:lang w:eastAsia="en-US"/>
    </w:rPr>
  </w:style>
  <w:style w:type="paragraph" w:styleId="FootnoteText">
    <w:name w:val="footnote text"/>
    <w:basedOn w:val="Normal"/>
    <w:link w:val="FootnoteTextChar"/>
    <w:uiPriority w:val="99"/>
    <w:unhideWhenUsed/>
    <w:rsid w:val="00200882"/>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uiPriority w:val="99"/>
    <w:rsid w:val="00200882"/>
    <w:rPr>
      <w:rFonts w:ascii="Arial" w:hAnsi="Arial" w:cs="Arial"/>
      <w:snapToGrid w:val="0"/>
      <w:lang w:eastAsia="en-US"/>
    </w:rPr>
  </w:style>
  <w:style w:type="character" w:styleId="FootnoteReference">
    <w:name w:val="footnote reference"/>
    <w:basedOn w:val="DefaultParagraphFont"/>
    <w:uiPriority w:val="99"/>
    <w:unhideWhenUsed/>
    <w:rsid w:val="00200882"/>
    <w:rPr>
      <w:vertAlign w:val="superscript"/>
    </w:rPr>
  </w:style>
  <w:style w:type="paragraph" w:customStyle="1" w:styleId="EndNoteBibliography">
    <w:name w:val="EndNote Bibliography"/>
    <w:basedOn w:val="Normal"/>
    <w:link w:val="EndNoteBibliographyChar"/>
    <w:rsid w:val="00F52282"/>
    <w:pPr>
      <w:widowControl w:val="0"/>
      <w:jc w:val="both"/>
    </w:pPr>
    <w:rPr>
      <w:rFonts w:ascii="Arial" w:hAnsi="Arial" w:cs="Arial"/>
      <w:noProof/>
      <w:snapToGrid w:val="0"/>
      <w:sz w:val="20"/>
      <w:szCs w:val="20"/>
      <w:lang w:val="en-US" w:eastAsia="en-US"/>
    </w:rPr>
  </w:style>
  <w:style w:type="character" w:customStyle="1" w:styleId="EndNoteBibliographyChar">
    <w:name w:val="EndNote Bibliography Char"/>
    <w:basedOn w:val="DefaultParagraphFont"/>
    <w:link w:val="EndNoteBibliography"/>
    <w:rsid w:val="00F52282"/>
    <w:rPr>
      <w:rFonts w:ascii="Arial" w:hAnsi="Arial" w:cs="Arial"/>
      <w:noProof/>
      <w:snapToGrid w:val="0"/>
      <w:lang w:val="en-US" w:eastAsia="en-US"/>
    </w:rPr>
  </w:style>
  <w:style w:type="paragraph" w:styleId="BodyText">
    <w:name w:val="Body Text"/>
    <w:basedOn w:val="Normal"/>
    <w:link w:val="BodyTextChar"/>
    <w:uiPriority w:val="1"/>
    <w:qFormat/>
    <w:rsid w:val="00F52282"/>
    <w:pPr>
      <w:spacing w:after="120"/>
    </w:pPr>
  </w:style>
  <w:style w:type="character" w:customStyle="1" w:styleId="BodyTextChar">
    <w:name w:val="Body Text Char"/>
    <w:basedOn w:val="DefaultParagraphFont"/>
    <w:link w:val="BodyText"/>
    <w:uiPriority w:val="1"/>
    <w:rsid w:val="00F52282"/>
    <w:rPr>
      <w:sz w:val="24"/>
      <w:szCs w:val="24"/>
    </w:rPr>
  </w:style>
  <w:style w:type="character" w:customStyle="1" w:styleId="Heading4Char">
    <w:name w:val="Heading 4 Char"/>
    <w:basedOn w:val="DefaultParagraphFont"/>
    <w:link w:val="Heading4"/>
    <w:rsid w:val="00F52282"/>
    <w:rPr>
      <w:rFonts w:ascii="Arial" w:hAnsi="Arial" w:cs="Arial"/>
      <w:b/>
      <w:bCs/>
      <w:i/>
      <w:snapToGrid w:val="0"/>
      <w:sz w:val="26"/>
      <w:szCs w:val="28"/>
      <w:lang w:eastAsia="en-US"/>
    </w:rPr>
  </w:style>
  <w:style w:type="character" w:customStyle="1" w:styleId="Heading7Char">
    <w:name w:val="Heading 7 Char"/>
    <w:basedOn w:val="DefaultParagraphFont"/>
    <w:link w:val="Heading7"/>
    <w:rsid w:val="00F52282"/>
    <w:rPr>
      <w:rFonts w:ascii="Arial" w:hAnsi="Arial" w:cs="Arial"/>
      <w:b/>
      <w:snapToGrid w:val="0"/>
      <w:lang w:eastAsia="en-US"/>
    </w:rPr>
  </w:style>
  <w:style w:type="character" w:customStyle="1" w:styleId="Heading8Char">
    <w:name w:val="Heading 8 Char"/>
    <w:basedOn w:val="DefaultParagraphFont"/>
    <w:link w:val="Heading8"/>
    <w:rsid w:val="00F52282"/>
    <w:rPr>
      <w:rFonts w:ascii="Arial" w:hAnsi="Arial" w:cs="Arial"/>
      <w:b/>
      <w:snapToGrid w:val="0"/>
      <w:sz w:val="22"/>
      <w:lang w:eastAsia="en-US"/>
    </w:rPr>
  </w:style>
  <w:style w:type="character" w:customStyle="1" w:styleId="Heading9Char">
    <w:name w:val="Heading 9 Char"/>
    <w:basedOn w:val="DefaultParagraphFont"/>
    <w:link w:val="Heading9"/>
    <w:rsid w:val="00F52282"/>
    <w:rPr>
      <w:rFonts w:ascii="Arial" w:hAnsi="Arial" w:cs="Arial"/>
      <w:b/>
      <w:snapToGrid w:val="0"/>
      <w:color w:val="000000"/>
      <w:lang w:eastAsia="en-US"/>
    </w:rPr>
  </w:style>
  <w:style w:type="character" w:customStyle="1" w:styleId="Heading2Char">
    <w:name w:val="Heading 2 Char"/>
    <w:link w:val="Heading2"/>
    <w:uiPriority w:val="1"/>
    <w:rsid w:val="0066049E"/>
    <w:rPr>
      <w:rFonts w:ascii="Arial" w:hAnsi="Arial"/>
      <w:b/>
      <w:sz w:val="22"/>
      <w:szCs w:val="24"/>
    </w:rPr>
  </w:style>
  <w:style w:type="paragraph" w:styleId="Caption">
    <w:name w:val="caption"/>
    <w:basedOn w:val="Normal"/>
    <w:next w:val="Normal"/>
    <w:link w:val="CaptionChar"/>
    <w:uiPriority w:val="35"/>
    <w:unhideWhenUsed/>
    <w:rsid w:val="00F52282"/>
    <w:pPr>
      <w:widowControl w:val="0"/>
      <w:spacing w:after="200"/>
      <w:jc w:val="both"/>
    </w:pPr>
    <w:rPr>
      <w:rFonts w:ascii="Arial" w:hAnsi="Arial" w:cs="Arial"/>
      <w:b/>
      <w:bCs/>
      <w:snapToGrid w:val="0"/>
      <w:color w:val="4F81BD" w:themeColor="accent1"/>
      <w:sz w:val="18"/>
      <w:szCs w:val="18"/>
      <w:lang w:eastAsia="en-US"/>
    </w:rPr>
  </w:style>
  <w:style w:type="character" w:customStyle="1" w:styleId="CaptionChar">
    <w:name w:val="Caption Char"/>
    <w:link w:val="Caption"/>
    <w:uiPriority w:val="35"/>
    <w:rsid w:val="00F52282"/>
    <w:rPr>
      <w:rFonts w:ascii="Arial" w:hAnsi="Arial" w:cs="Arial"/>
      <w:b/>
      <w:bCs/>
      <w:snapToGrid w:val="0"/>
      <w:color w:val="4F81BD" w:themeColor="accent1"/>
      <w:sz w:val="18"/>
      <w:szCs w:val="18"/>
      <w:lang w:eastAsia="en-US"/>
    </w:rPr>
  </w:style>
  <w:style w:type="paragraph" w:styleId="Title">
    <w:name w:val="Title"/>
    <w:basedOn w:val="Normal"/>
    <w:next w:val="Normal"/>
    <w:link w:val="TitleChar"/>
    <w:rsid w:val="0066049E"/>
    <w:pPr>
      <w:ind w:left="720" w:hanging="720"/>
      <w:outlineLvl w:val="0"/>
    </w:pPr>
    <w:rPr>
      <w:rFonts w:ascii="Arial" w:hAnsi="Arial"/>
      <w:b/>
      <w:sz w:val="28"/>
      <w:szCs w:val="28"/>
    </w:rPr>
  </w:style>
  <w:style w:type="character" w:customStyle="1" w:styleId="TitleChar">
    <w:name w:val="Title Char"/>
    <w:basedOn w:val="DefaultParagraphFont"/>
    <w:link w:val="Title"/>
    <w:rsid w:val="0066049E"/>
    <w:rPr>
      <w:rFonts w:ascii="Arial" w:hAnsi="Arial"/>
      <w:b/>
      <w:sz w:val="28"/>
      <w:szCs w:val="28"/>
    </w:rPr>
  </w:style>
  <w:style w:type="paragraph" w:customStyle="1" w:styleId="RegularText">
    <w:name w:val="Regular Text"/>
    <w:basedOn w:val="BodyText"/>
    <w:link w:val="RegularTextChar"/>
    <w:rsid w:val="00F52282"/>
    <w:pPr>
      <w:widowControl w:val="0"/>
      <w:spacing w:after="0"/>
    </w:pPr>
    <w:rPr>
      <w:rFonts w:ascii="Arial" w:hAnsi="Arial" w:cs="Arial"/>
      <w:b/>
      <w:snapToGrid w:val="0"/>
      <w:sz w:val="22"/>
      <w:lang w:eastAsia="en-US"/>
    </w:rPr>
  </w:style>
  <w:style w:type="character" w:customStyle="1" w:styleId="RegularTextChar">
    <w:name w:val="Regular Text Char"/>
    <w:basedOn w:val="BodyTextChar"/>
    <w:link w:val="RegularText"/>
    <w:rsid w:val="00F52282"/>
    <w:rPr>
      <w:rFonts w:ascii="Arial" w:hAnsi="Arial" w:cs="Arial"/>
      <w:b/>
      <w:snapToGrid w:val="0"/>
      <w:sz w:val="22"/>
      <w:szCs w:val="24"/>
      <w:lang w:eastAsia="en-US"/>
    </w:rPr>
  </w:style>
  <w:style w:type="paragraph" w:customStyle="1" w:styleId="Corpsdetextemarge">
    <w:name w:val="Corps de texte marge"/>
    <w:basedOn w:val="BodyText"/>
    <w:uiPriority w:val="99"/>
    <w:rsid w:val="00F52282"/>
    <w:pPr>
      <w:spacing w:after="0"/>
      <w:jc w:val="both"/>
    </w:pPr>
    <w:rPr>
      <w:rFonts w:ascii="Times" w:hAnsi="Times"/>
      <w:szCs w:val="20"/>
      <w:lang w:val="en-US" w:eastAsia="en-US"/>
    </w:rPr>
  </w:style>
  <w:style w:type="paragraph" w:styleId="NormalWeb">
    <w:name w:val="Normal (Web)"/>
    <w:basedOn w:val="Normal"/>
    <w:uiPriority w:val="99"/>
    <w:rsid w:val="00F52282"/>
    <w:pPr>
      <w:spacing w:before="100" w:after="100"/>
    </w:pPr>
    <w:rPr>
      <w:szCs w:val="20"/>
      <w:lang w:val="en-GB" w:eastAsia="en-US"/>
    </w:rPr>
  </w:style>
  <w:style w:type="paragraph" w:styleId="TOC2">
    <w:name w:val="toc 2"/>
    <w:basedOn w:val="Normal"/>
    <w:next w:val="Normal"/>
    <w:autoRedefine/>
    <w:uiPriority w:val="39"/>
    <w:rsid w:val="00F52282"/>
    <w:pPr>
      <w:widowControl w:val="0"/>
      <w:tabs>
        <w:tab w:val="left" w:pos="880"/>
        <w:tab w:val="right" w:leader="dot" w:pos="9016"/>
      </w:tabs>
      <w:spacing w:before="120"/>
      <w:ind w:left="220"/>
    </w:pPr>
    <w:rPr>
      <w:rFonts w:ascii="Arial" w:hAnsi="Arial" w:cs="Arial"/>
      <w:iCs/>
      <w:snapToGrid w:val="0"/>
      <w:sz w:val="20"/>
      <w:szCs w:val="20"/>
      <w:lang w:eastAsia="en-US"/>
    </w:rPr>
  </w:style>
  <w:style w:type="paragraph" w:styleId="TOC1">
    <w:name w:val="toc 1"/>
    <w:basedOn w:val="Normal"/>
    <w:next w:val="Normal"/>
    <w:autoRedefine/>
    <w:uiPriority w:val="39"/>
    <w:rsid w:val="00F52282"/>
    <w:pPr>
      <w:widowControl w:val="0"/>
      <w:spacing w:before="240" w:after="120"/>
    </w:pPr>
    <w:rPr>
      <w:rFonts w:ascii="Arial" w:hAnsi="Arial" w:cs="Arial"/>
      <w:bCs/>
      <w:snapToGrid w:val="0"/>
      <w:sz w:val="20"/>
      <w:szCs w:val="20"/>
      <w:lang w:eastAsia="en-US"/>
    </w:rPr>
  </w:style>
  <w:style w:type="character" w:styleId="Hyperlink">
    <w:name w:val="Hyperlink"/>
    <w:basedOn w:val="DefaultParagraphFont"/>
    <w:uiPriority w:val="99"/>
    <w:unhideWhenUsed/>
    <w:rsid w:val="00F52282"/>
    <w:rPr>
      <w:color w:val="0000FF" w:themeColor="hyperlink"/>
      <w:u w:val="single"/>
    </w:rPr>
  </w:style>
  <w:style w:type="paragraph" w:styleId="TOCHeading">
    <w:name w:val="TOC Heading"/>
    <w:basedOn w:val="Heading1"/>
    <w:next w:val="Normal"/>
    <w:uiPriority w:val="39"/>
    <w:unhideWhenUsed/>
    <w:rsid w:val="00F52282"/>
    <w:pPr>
      <w:keepLines/>
      <w:spacing w:before="480" w:line="276" w:lineRule="auto"/>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F52282"/>
    <w:pPr>
      <w:widowControl w:val="0"/>
      <w:ind w:left="440"/>
    </w:pPr>
    <w:rPr>
      <w:rFonts w:asciiTheme="minorHAnsi" w:hAnsiTheme="minorHAnsi" w:cs="Arial"/>
      <w:snapToGrid w:val="0"/>
      <w:sz w:val="20"/>
      <w:szCs w:val="20"/>
      <w:lang w:eastAsia="en-US"/>
    </w:rPr>
  </w:style>
  <w:style w:type="character" w:customStyle="1" w:styleId="BalloonTextChar">
    <w:name w:val="Balloon Text Char"/>
    <w:basedOn w:val="DefaultParagraphFont"/>
    <w:link w:val="BalloonText"/>
    <w:uiPriority w:val="99"/>
    <w:rsid w:val="00F52282"/>
    <w:rPr>
      <w:rFonts w:ascii="Tahoma" w:hAnsi="Tahoma" w:cs="Tahoma"/>
      <w:sz w:val="16"/>
      <w:szCs w:val="16"/>
    </w:rPr>
  </w:style>
  <w:style w:type="character" w:customStyle="1" w:styleId="BodyText3Char">
    <w:name w:val="Body Text 3 Char"/>
    <w:basedOn w:val="DefaultParagraphFont"/>
    <w:link w:val="BodyText3"/>
    <w:rsid w:val="00F52282"/>
    <w:rPr>
      <w:sz w:val="16"/>
      <w:szCs w:val="16"/>
    </w:rPr>
  </w:style>
  <w:style w:type="paragraph" w:styleId="TOC4">
    <w:name w:val="toc 4"/>
    <w:basedOn w:val="Normal"/>
    <w:next w:val="Normal"/>
    <w:autoRedefine/>
    <w:rsid w:val="00F52282"/>
    <w:pPr>
      <w:widowControl w:val="0"/>
      <w:ind w:left="660"/>
    </w:pPr>
    <w:rPr>
      <w:rFonts w:asciiTheme="minorHAnsi" w:hAnsiTheme="minorHAnsi" w:cs="Arial"/>
      <w:snapToGrid w:val="0"/>
      <w:sz w:val="20"/>
      <w:szCs w:val="20"/>
      <w:lang w:eastAsia="en-US"/>
    </w:rPr>
  </w:style>
  <w:style w:type="paragraph" w:styleId="TOC5">
    <w:name w:val="toc 5"/>
    <w:basedOn w:val="Normal"/>
    <w:next w:val="Normal"/>
    <w:autoRedefine/>
    <w:rsid w:val="00F52282"/>
    <w:pPr>
      <w:widowControl w:val="0"/>
      <w:ind w:left="880"/>
    </w:pPr>
    <w:rPr>
      <w:rFonts w:asciiTheme="minorHAnsi" w:hAnsiTheme="minorHAnsi" w:cs="Arial"/>
      <w:snapToGrid w:val="0"/>
      <w:sz w:val="20"/>
      <w:szCs w:val="20"/>
      <w:lang w:eastAsia="en-US"/>
    </w:rPr>
  </w:style>
  <w:style w:type="paragraph" w:styleId="TOC6">
    <w:name w:val="toc 6"/>
    <w:basedOn w:val="Normal"/>
    <w:next w:val="Normal"/>
    <w:autoRedefine/>
    <w:rsid w:val="00F52282"/>
    <w:pPr>
      <w:widowControl w:val="0"/>
      <w:ind w:left="1100"/>
    </w:pPr>
    <w:rPr>
      <w:rFonts w:asciiTheme="minorHAnsi" w:hAnsiTheme="minorHAnsi" w:cs="Arial"/>
      <w:snapToGrid w:val="0"/>
      <w:sz w:val="20"/>
      <w:szCs w:val="20"/>
      <w:lang w:eastAsia="en-US"/>
    </w:rPr>
  </w:style>
  <w:style w:type="paragraph" w:styleId="TOC7">
    <w:name w:val="toc 7"/>
    <w:basedOn w:val="Normal"/>
    <w:next w:val="Normal"/>
    <w:autoRedefine/>
    <w:rsid w:val="00F52282"/>
    <w:pPr>
      <w:widowControl w:val="0"/>
      <w:ind w:left="1320"/>
    </w:pPr>
    <w:rPr>
      <w:rFonts w:asciiTheme="minorHAnsi" w:hAnsiTheme="minorHAnsi" w:cs="Arial"/>
      <w:snapToGrid w:val="0"/>
      <w:sz w:val="20"/>
      <w:szCs w:val="20"/>
      <w:lang w:eastAsia="en-US"/>
    </w:rPr>
  </w:style>
  <w:style w:type="paragraph" w:styleId="TOC8">
    <w:name w:val="toc 8"/>
    <w:basedOn w:val="Normal"/>
    <w:next w:val="Normal"/>
    <w:autoRedefine/>
    <w:rsid w:val="00F52282"/>
    <w:pPr>
      <w:widowControl w:val="0"/>
      <w:ind w:left="1540"/>
    </w:pPr>
    <w:rPr>
      <w:rFonts w:asciiTheme="minorHAnsi" w:hAnsiTheme="minorHAnsi" w:cs="Arial"/>
      <w:snapToGrid w:val="0"/>
      <w:sz w:val="20"/>
      <w:szCs w:val="20"/>
      <w:lang w:eastAsia="en-US"/>
    </w:rPr>
  </w:style>
  <w:style w:type="paragraph" w:styleId="TOC9">
    <w:name w:val="toc 9"/>
    <w:basedOn w:val="Normal"/>
    <w:next w:val="Normal"/>
    <w:autoRedefine/>
    <w:rsid w:val="00F52282"/>
    <w:pPr>
      <w:widowControl w:val="0"/>
      <w:ind w:left="1760"/>
    </w:pPr>
    <w:rPr>
      <w:rFonts w:asciiTheme="minorHAnsi" w:hAnsiTheme="minorHAnsi" w:cs="Arial"/>
      <w:snapToGrid w:val="0"/>
      <w:sz w:val="20"/>
      <w:szCs w:val="20"/>
      <w:lang w:eastAsia="en-US"/>
    </w:rPr>
  </w:style>
  <w:style w:type="paragraph" w:customStyle="1" w:styleId="TableText0">
    <w:name w:val="TableText"/>
    <w:basedOn w:val="Normal"/>
    <w:rsid w:val="00F52282"/>
    <w:pPr>
      <w:keepNext/>
      <w:spacing w:before="40" w:after="40"/>
    </w:pPr>
    <w:rPr>
      <w:rFonts w:ascii="Arial Narrow" w:hAnsi="Arial Narrow" w:cs="Arial Narrow"/>
      <w:sz w:val="20"/>
      <w:szCs w:val="20"/>
      <w:lang w:eastAsia="en-US"/>
    </w:rPr>
  </w:style>
  <w:style w:type="paragraph" w:customStyle="1" w:styleId="TableName">
    <w:name w:val="TableName"/>
    <w:basedOn w:val="Normal"/>
    <w:rsid w:val="00F52282"/>
    <w:pPr>
      <w:keepNext/>
      <w:spacing w:before="120" w:after="120"/>
      <w:ind w:left="1800" w:hanging="1080"/>
    </w:pPr>
    <w:rPr>
      <w:rFonts w:ascii="Arial Narrow" w:hAnsi="Arial Narrow" w:cs="Arial Narrow"/>
      <w:b/>
      <w:bCs/>
      <w:sz w:val="22"/>
      <w:szCs w:val="22"/>
      <w:lang w:eastAsia="en-US"/>
    </w:rPr>
  </w:style>
  <w:style w:type="paragraph" w:customStyle="1" w:styleId="TableNotes18">
    <w:name w:val="TableNotes+18"/>
    <w:basedOn w:val="TableText0"/>
    <w:rsid w:val="00F52282"/>
    <w:pPr>
      <w:keepNext w:val="0"/>
      <w:keepLines/>
      <w:spacing w:before="0" w:after="360"/>
      <w:ind w:left="720"/>
    </w:pPr>
    <w:rPr>
      <w:sz w:val="18"/>
      <w:szCs w:val="18"/>
    </w:rPr>
  </w:style>
  <w:style w:type="paragraph" w:customStyle="1" w:styleId="TableNotes0">
    <w:name w:val="TableNotes+0"/>
    <w:basedOn w:val="TableNotes18"/>
    <w:rsid w:val="00F52282"/>
    <w:pPr>
      <w:keepNext/>
      <w:spacing w:after="0"/>
    </w:pPr>
  </w:style>
  <w:style w:type="paragraph" w:styleId="Revision">
    <w:name w:val="Revision"/>
    <w:hidden/>
    <w:uiPriority w:val="99"/>
    <w:rsid w:val="00F52282"/>
    <w:rPr>
      <w:rFonts w:ascii="Arial" w:hAnsi="Arial" w:cs="Arial"/>
      <w:snapToGrid w:val="0"/>
      <w:sz w:val="22"/>
      <w:lang w:eastAsia="en-US"/>
    </w:rPr>
  </w:style>
  <w:style w:type="paragraph" w:styleId="BodyTextIndent">
    <w:name w:val="Body Text Indent"/>
    <w:basedOn w:val="Normal"/>
    <w:link w:val="BodyTextIndentChar"/>
    <w:rsid w:val="00F52282"/>
    <w:pPr>
      <w:widowControl w:val="0"/>
      <w:spacing w:after="120"/>
      <w:ind w:left="283"/>
      <w:jc w:val="both"/>
    </w:pPr>
    <w:rPr>
      <w:rFonts w:ascii="Arial" w:hAnsi="Arial" w:cs="Arial"/>
      <w:snapToGrid w:val="0"/>
      <w:sz w:val="22"/>
      <w:szCs w:val="20"/>
      <w:lang w:eastAsia="en-US"/>
    </w:rPr>
  </w:style>
  <w:style w:type="character" w:customStyle="1" w:styleId="BodyTextIndentChar">
    <w:name w:val="Body Text Indent Char"/>
    <w:basedOn w:val="DefaultParagraphFont"/>
    <w:link w:val="BodyTextIndent"/>
    <w:rsid w:val="00F52282"/>
    <w:rPr>
      <w:rFonts w:ascii="Arial" w:hAnsi="Arial" w:cs="Arial"/>
      <w:snapToGrid w:val="0"/>
      <w:sz w:val="22"/>
      <w:lang w:eastAsia="en-US"/>
    </w:rPr>
  </w:style>
  <w:style w:type="character" w:customStyle="1" w:styleId="SubtitleChar1">
    <w:name w:val="Subtitle Char1"/>
    <w:basedOn w:val="DefaultParagraphFont"/>
    <w:rsid w:val="00F52282"/>
    <w:rPr>
      <w:rFonts w:asciiTheme="majorHAnsi" w:eastAsiaTheme="majorEastAsia" w:hAnsiTheme="majorHAnsi" w:cstheme="majorBidi"/>
      <w:i/>
      <w:iCs/>
      <w:snapToGrid w:val="0"/>
      <w:color w:val="4F81BD" w:themeColor="accent1"/>
      <w:spacing w:val="15"/>
      <w:sz w:val="24"/>
      <w:szCs w:val="24"/>
      <w:lang w:eastAsia="en-US"/>
    </w:rPr>
  </w:style>
  <w:style w:type="table" w:customStyle="1" w:styleId="TableGrid1">
    <w:name w:val="Table Grid1"/>
    <w:basedOn w:val="TableNormal"/>
    <w:next w:val="TableGrid"/>
    <w:uiPriority w:val="59"/>
    <w:rsid w:val="00F5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Heading Char"/>
    <w:link w:val="TableHeading"/>
    <w:rsid w:val="00F52282"/>
    <w:rPr>
      <w:rFonts w:ascii="Arial Narrow" w:hAnsi="Arial Narrow" w:cs="Arial Narrow"/>
      <w:b/>
      <w:bCs/>
      <w:lang w:eastAsia="en-US"/>
    </w:rPr>
  </w:style>
  <w:style w:type="character" w:styleId="FollowedHyperlink">
    <w:name w:val="FollowedHyperlink"/>
    <w:basedOn w:val="DefaultParagraphFont"/>
    <w:uiPriority w:val="99"/>
    <w:unhideWhenUsed/>
    <w:rsid w:val="00F52282"/>
    <w:rPr>
      <w:color w:val="800080" w:themeColor="followedHyperlink"/>
      <w:u w:val="single"/>
    </w:rPr>
  </w:style>
  <w:style w:type="character" w:customStyle="1" w:styleId="Heading1Char">
    <w:name w:val="Heading 1 Char"/>
    <w:basedOn w:val="DefaultParagraphFont"/>
    <w:link w:val="Heading1"/>
    <w:uiPriority w:val="1"/>
    <w:rsid w:val="0066049E"/>
    <w:rPr>
      <w:rFonts w:ascii="Arial" w:hAnsi="Arial"/>
      <w:b/>
      <w:sz w:val="22"/>
      <w:szCs w:val="22"/>
    </w:rPr>
  </w:style>
  <w:style w:type="paragraph" w:customStyle="1" w:styleId="EndNoteBibliographyTitle">
    <w:name w:val="EndNote Bibliography Title"/>
    <w:basedOn w:val="Normal"/>
    <w:link w:val="EndNoteBibliographyTitleChar"/>
    <w:rsid w:val="00F52282"/>
    <w:pPr>
      <w:widowControl w:val="0"/>
      <w:jc w:val="center"/>
    </w:pPr>
    <w:rPr>
      <w:rFonts w:ascii="Arial" w:hAnsi="Arial" w:cs="Arial"/>
      <w:noProof/>
      <w:snapToGrid w:val="0"/>
      <w:sz w:val="20"/>
      <w:szCs w:val="20"/>
      <w:lang w:val="en-US" w:eastAsia="en-US"/>
    </w:rPr>
  </w:style>
  <w:style w:type="character" w:customStyle="1" w:styleId="EndNoteBibliographyTitleChar">
    <w:name w:val="EndNote Bibliography Title Char"/>
    <w:basedOn w:val="DefaultParagraphFont"/>
    <w:link w:val="EndNoteBibliographyTitle"/>
    <w:rsid w:val="00F52282"/>
    <w:rPr>
      <w:rFonts w:ascii="Arial" w:hAnsi="Arial" w:cs="Arial"/>
      <w:noProof/>
      <w:snapToGrid w:val="0"/>
      <w:lang w:val="en-US" w:eastAsia="en-US"/>
    </w:rPr>
  </w:style>
  <w:style w:type="paragraph" w:customStyle="1" w:styleId="TableParagraph">
    <w:name w:val="Table Paragraph"/>
    <w:basedOn w:val="Normal"/>
    <w:uiPriority w:val="1"/>
    <w:qFormat/>
    <w:rsid w:val="00F52282"/>
    <w:pPr>
      <w:widowControl w:val="0"/>
    </w:pPr>
    <w:rPr>
      <w:rFonts w:asciiTheme="minorHAnsi" w:eastAsiaTheme="minorHAnsi" w:hAnsiTheme="minorHAnsi" w:cstheme="minorBidi"/>
      <w:sz w:val="22"/>
      <w:szCs w:val="22"/>
      <w:lang w:val="en-US" w:eastAsia="en-US"/>
    </w:rPr>
  </w:style>
  <w:style w:type="paragraph" w:customStyle="1" w:styleId="Body">
    <w:name w:val="Body"/>
    <w:rsid w:val="00F52282"/>
    <w:pPr>
      <w:widowControl w:val="0"/>
      <w:jc w:val="both"/>
    </w:pPr>
    <w:rPr>
      <w:rFonts w:ascii="Arial" w:eastAsia="Arial Unicode MS" w:hAnsi="Arial Unicode MS" w:cs="Arial Unicode MS"/>
      <w:color w:val="000000"/>
      <w:sz w:val="22"/>
      <w:szCs w:val="22"/>
      <w:u w:color="000000"/>
    </w:rPr>
  </w:style>
  <w:style w:type="paragraph" w:customStyle="1" w:styleId="Default">
    <w:name w:val="Default"/>
    <w:rsid w:val="00F52282"/>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882839"/>
    <w:rPr>
      <w:sz w:val="20"/>
      <w:szCs w:val="20"/>
    </w:rPr>
  </w:style>
  <w:style w:type="character" w:customStyle="1" w:styleId="EndnoteTextChar">
    <w:name w:val="Endnote Text Char"/>
    <w:basedOn w:val="DefaultParagraphFont"/>
    <w:link w:val="EndnoteText"/>
    <w:rsid w:val="00882839"/>
  </w:style>
  <w:style w:type="character" w:styleId="EndnoteReference">
    <w:name w:val="endnote reference"/>
    <w:basedOn w:val="DefaultParagraphFont"/>
    <w:rsid w:val="00882839"/>
    <w:rPr>
      <w:vertAlign w:val="superscript"/>
    </w:rPr>
  </w:style>
  <w:style w:type="character" w:customStyle="1" w:styleId="ListParagraphChar">
    <w:name w:val="List Paragraph Char"/>
    <w:link w:val="ListParagraph"/>
    <w:uiPriority w:val="72"/>
    <w:rsid w:val="00C517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annotation reference" w:qFormat="1"/>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66049E"/>
    <w:pPr>
      <w:numPr>
        <w:numId w:val="1"/>
      </w:numPr>
      <w:ind w:left="0" w:firstLine="0"/>
      <w:outlineLvl w:val="0"/>
    </w:pPr>
    <w:rPr>
      <w:rFonts w:ascii="Arial" w:hAnsi="Arial"/>
      <w:b/>
      <w:sz w:val="22"/>
      <w:szCs w:val="22"/>
    </w:rPr>
  </w:style>
  <w:style w:type="paragraph" w:styleId="Heading2">
    <w:name w:val="heading 2"/>
    <w:basedOn w:val="Normal"/>
    <w:next w:val="Normal"/>
    <w:link w:val="Heading2Char"/>
    <w:uiPriority w:val="1"/>
    <w:qFormat/>
    <w:rsid w:val="0066049E"/>
    <w:pPr>
      <w:keepNext/>
      <w:outlineLvl w:val="1"/>
    </w:pPr>
    <w:rPr>
      <w:rFonts w:ascii="Arial" w:hAnsi="Arial"/>
      <w:b/>
      <w:sz w:val="22"/>
    </w:rPr>
  </w:style>
  <w:style w:type="paragraph" w:styleId="Heading3">
    <w:name w:val="heading 3"/>
    <w:basedOn w:val="Normal"/>
    <w:next w:val="Normal"/>
    <w:link w:val="Heading3Char"/>
    <w:uiPriority w:val="1"/>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F52282"/>
    <w:pPr>
      <w:keepNext/>
      <w:widowControl w:val="0"/>
      <w:spacing w:before="240" w:after="60"/>
      <w:jc w:val="both"/>
      <w:outlineLvl w:val="3"/>
    </w:pPr>
    <w:rPr>
      <w:rFonts w:ascii="Arial" w:hAnsi="Arial" w:cs="Arial"/>
      <w:b/>
      <w:bCs/>
      <w:i/>
      <w:snapToGrid w:val="0"/>
      <w:sz w:val="26"/>
      <w:szCs w:val="28"/>
      <w:lang w:eastAsia="en-US"/>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rsid w:val="00F52282"/>
    <w:pPr>
      <w:keepNext/>
      <w:widowControl w:val="0"/>
      <w:jc w:val="center"/>
      <w:outlineLvl w:val="6"/>
    </w:pPr>
    <w:rPr>
      <w:rFonts w:ascii="Arial" w:hAnsi="Arial" w:cs="Arial"/>
      <w:b/>
      <w:snapToGrid w:val="0"/>
      <w:sz w:val="20"/>
      <w:szCs w:val="20"/>
      <w:lang w:eastAsia="en-US"/>
    </w:rPr>
  </w:style>
  <w:style w:type="paragraph" w:styleId="Heading8">
    <w:name w:val="heading 8"/>
    <w:basedOn w:val="Normal"/>
    <w:next w:val="Normal"/>
    <w:link w:val="Heading8Char"/>
    <w:rsid w:val="00F52282"/>
    <w:pPr>
      <w:keepNext/>
      <w:widowControl w:val="0"/>
      <w:jc w:val="right"/>
      <w:outlineLvl w:val="7"/>
    </w:pPr>
    <w:rPr>
      <w:rFonts w:ascii="Arial" w:hAnsi="Arial" w:cs="Arial"/>
      <w:b/>
      <w:snapToGrid w:val="0"/>
      <w:sz w:val="22"/>
      <w:szCs w:val="20"/>
      <w:lang w:eastAsia="en-US"/>
    </w:rPr>
  </w:style>
  <w:style w:type="paragraph" w:styleId="Heading9">
    <w:name w:val="heading 9"/>
    <w:basedOn w:val="Normal"/>
    <w:next w:val="Normal"/>
    <w:link w:val="Heading9Char"/>
    <w:rsid w:val="00F52282"/>
    <w:pPr>
      <w:keepNext/>
      <w:widowControl w:val="0"/>
      <w:jc w:val="center"/>
      <w:outlineLvl w:val="8"/>
    </w:pPr>
    <w:rPr>
      <w:rFonts w:ascii="Arial" w:hAnsi="Arial" w:cs="Arial"/>
      <w:b/>
      <w:snapToGrid w:val="0"/>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link w:val="TableHeadingChar"/>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link w:val="BodyText3Char"/>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uiPriority w:val="1"/>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Header">
    <w:name w:val="Table Header"/>
    <w:basedOn w:val="Normal"/>
    <w:uiPriority w:val="3"/>
    <w:qFormat/>
    <w:rsid w:val="00397CEB"/>
    <w:pPr>
      <w:widowControl w:val="0"/>
      <w:jc w:val="both"/>
    </w:pPr>
    <w:rPr>
      <w:rFonts w:ascii="Arial" w:hAnsi="Arial" w:cs="Arial"/>
      <w:b/>
      <w:snapToGrid w:val="0"/>
      <w:sz w:val="20"/>
      <w:szCs w:val="20"/>
      <w:lang w:eastAsia="en-US"/>
    </w:rPr>
  </w:style>
  <w:style w:type="paragraph" w:customStyle="1" w:styleId="PBACHeading1">
    <w:name w:val="PBAC Heading 1"/>
    <w:qFormat/>
    <w:rsid w:val="00397CEB"/>
    <w:pPr>
      <w:ind w:left="720" w:hanging="720"/>
    </w:pPr>
    <w:rPr>
      <w:rFonts w:ascii="Arial" w:hAnsi="Arial" w:cs="Arial"/>
      <w:b/>
      <w:snapToGrid w:val="0"/>
      <w:sz w:val="22"/>
      <w:szCs w:val="22"/>
      <w:lang w:eastAsia="en-US"/>
    </w:rPr>
  </w:style>
  <w:style w:type="paragraph" w:customStyle="1" w:styleId="TableFooter">
    <w:name w:val="Table Footer"/>
    <w:basedOn w:val="Normal"/>
    <w:uiPriority w:val="4"/>
    <w:qFormat/>
    <w:rsid w:val="00200882"/>
    <w:pPr>
      <w:widowControl w:val="0"/>
      <w:jc w:val="both"/>
    </w:pPr>
    <w:rPr>
      <w:rFonts w:ascii="Arial Narrow" w:hAnsi="Arial Narrow" w:cs="Arial"/>
      <w:snapToGrid w:val="0"/>
      <w:sz w:val="18"/>
      <w:szCs w:val="20"/>
      <w:lang w:eastAsia="en-US"/>
    </w:rPr>
  </w:style>
  <w:style w:type="character" w:customStyle="1" w:styleId="TabletextChar">
    <w:name w:val="Table text Char"/>
    <w:link w:val="Tabletext"/>
    <w:rsid w:val="00200882"/>
    <w:rPr>
      <w:rFonts w:ascii="Arial" w:hAnsi="Arial"/>
      <w:lang w:eastAsia="en-US"/>
    </w:rPr>
  </w:style>
  <w:style w:type="paragraph" w:styleId="FootnoteText">
    <w:name w:val="footnote text"/>
    <w:basedOn w:val="Normal"/>
    <w:link w:val="FootnoteTextChar"/>
    <w:uiPriority w:val="99"/>
    <w:unhideWhenUsed/>
    <w:rsid w:val="00200882"/>
    <w:pPr>
      <w:widowControl w:val="0"/>
      <w:jc w:val="both"/>
    </w:pPr>
    <w:rPr>
      <w:rFonts w:ascii="Arial" w:hAnsi="Arial" w:cs="Arial"/>
      <w:snapToGrid w:val="0"/>
      <w:sz w:val="20"/>
      <w:szCs w:val="20"/>
      <w:lang w:eastAsia="en-US"/>
    </w:rPr>
  </w:style>
  <w:style w:type="character" w:customStyle="1" w:styleId="FootnoteTextChar">
    <w:name w:val="Footnote Text Char"/>
    <w:basedOn w:val="DefaultParagraphFont"/>
    <w:link w:val="FootnoteText"/>
    <w:uiPriority w:val="99"/>
    <w:rsid w:val="00200882"/>
    <w:rPr>
      <w:rFonts w:ascii="Arial" w:hAnsi="Arial" w:cs="Arial"/>
      <w:snapToGrid w:val="0"/>
      <w:lang w:eastAsia="en-US"/>
    </w:rPr>
  </w:style>
  <w:style w:type="character" w:styleId="FootnoteReference">
    <w:name w:val="footnote reference"/>
    <w:basedOn w:val="DefaultParagraphFont"/>
    <w:uiPriority w:val="99"/>
    <w:unhideWhenUsed/>
    <w:rsid w:val="00200882"/>
    <w:rPr>
      <w:vertAlign w:val="superscript"/>
    </w:rPr>
  </w:style>
  <w:style w:type="paragraph" w:customStyle="1" w:styleId="EndNoteBibliography">
    <w:name w:val="EndNote Bibliography"/>
    <w:basedOn w:val="Normal"/>
    <w:link w:val="EndNoteBibliographyChar"/>
    <w:rsid w:val="00F52282"/>
    <w:pPr>
      <w:widowControl w:val="0"/>
      <w:jc w:val="both"/>
    </w:pPr>
    <w:rPr>
      <w:rFonts w:ascii="Arial" w:hAnsi="Arial" w:cs="Arial"/>
      <w:noProof/>
      <w:snapToGrid w:val="0"/>
      <w:sz w:val="20"/>
      <w:szCs w:val="20"/>
      <w:lang w:val="en-US" w:eastAsia="en-US"/>
    </w:rPr>
  </w:style>
  <w:style w:type="character" w:customStyle="1" w:styleId="EndNoteBibliographyChar">
    <w:name w:val="EndNote Bibliography Char"/>
    <w:basedOn w:val="DefaultParagraphFont"/>
    <w:link w:val="EndNoteBibliography"/>
    <w:rsid w:val="00F52282"/>
    <w:rPr>
      <w:rFonts w:ascii="Arial" w:hAnsi="Arial" w:cs="Arial"/>
      <w:noProof/>
      <w:snapToGrid w:val="0"/>
      <w:lang w:val="en-US" w:eastAsia="en-US"/>
    </w:rPr>
  </w:style>
  <w:style w:type="paragraph" w:styleId="BodyText">
    <w:name w:val="Body Text"/>
    <w:basedOn w:val="Normal"/>
    <w:link w:val="BodyTextChar"/>
    <w:uiPriority w:val="1"/>
    <w:qFormat/>
    <w:rsid w:val="00F52282"/>
    <w:pPr>
      <w:spacing w:after="120"/>
    </w:pPr>
  </w:style>
  <w:style w:type="character" w:customStyle="1" w:styleId="BodyTextChar">
    <w:name w:val="Body Text Char"/>
    <w:basedOn w:val="DefaultParagraphFont"/>
    <w:link w:val="BodyText"/>
    <w:uiPriority w:val="1"/>
    <w:rsid w:val="00F52282"/>
    <w:rPr>
      <w:sz w:val="24"/>
      <w:szCs w:val="24"/>
    </w:rPr>
  </w:style>
  <w:style w:type="character" w:customStyle="1" w:styleId="Heading4Char">
    <w:name w:val="Heading 4 Char"/>
    <w:basedOn w:val="DefaultParagraphFont"/>
    <w:link w:val="Heading4"/>
    <w:rsid w:val="00F52282"/>
    <w:rPr>
      <w:rFonts w:ascii="Arial" w:hAnsi="Arial" w:cs="Arial"/>
      <w:b/>
      <w:bCs/>
      <w:i/>
      <w:snapToGrid w:val="0"/>
      <w:sz w:val="26"/>
      <w:szCs w:val="28"/>
      <w:lang w:eastAsia="en-US"/>
    </w:rPr>
  </w:style>
  <w:style w:type="character" w:customStyle="1" w:styleId="Heading7Char">
    <w:name w:val="Heading 7 Char"/>
    <w:basedOn w:val="DefaultParagraphFont"/>
    <w:link w:val="Heading7"/>
    <w:rsid w:val="00F52282"/>
    <w:rPr>
      <w:rFonts w:ascii="Arial" w:hAnsi="Arial" w:cs="Arial"/>
      <w:b/>
      <w:snapToGrid w:val="0"/>
      <w:lang w:eastAsia="en-US"/>
    </w:rPr>
  </w:style>
  <w:style w:type="character" w:customStyle="1" w:styleId="Heading8Char">
    <w:name w:val="Heading 8 Char"/>
    <w:basedOn w:val="DefaultParagraphFont"/>
    <w:link w:val="Heading8"/>
    <w:rsid w:val="00F52282"/>
    <w:rPr>
      <w:rFonts w:ascii="Arial" w:hAnsi="Arial" w:cs="Arial"/>
      <w:b/>
      <w:snapToGrid w:val="0"/>
      <w:sz w:val="22"/>
      <w:lang w:eastAsia="en-US"/>
    </w:rPr>
  </w:style>
  <w:style w:type="character" w:customStyle="1" w:styleId="Heading9Char">
    <w:name w:val="Heading 9 Char"/>
    <w:basedOn w:val="DefaultParagraphFont"/>
    <w:link w:val="Heading9"/>
    <w:rsid w:val="00F52282"/>
    <w:rPr>
      <w:rFonts w:ascii="Arial" w:hAnsi="Arial" w:cs="Arial"/>
      <w:b/>
      <w:snapToGrid w:val="0"/>
      <w:color w:val="000000"/>
      <w:lang w:eastAsia="en-US"/>
    </w:rPr>
  </w:style>
  <w:style w:type="character" w:customStyle="1" w:styleId="Heading2Char">
    <w:name w:val="Heading 2 Char"/>
    <w:link w:val="Heading2"/>
    <w:uiPriority w:val="1"/>
    <w:rsid w:val="0066049E"/>
    <w:rPr>
      <w:rFonts w:ascii="Arial" w:hAnsi="Arial"/>
      <w:b/>
      <w:sz w:val="22"/>
      <w:szCs w:val="24"/>
    </w:rPr>
  </w:style>
  <w:style w:type="paragraph" w:styleId="Caption">
    <w:name w:val="caption"/>
    <w:basedOn w:val="Normal"/>
    <w:next w:val="Normal"/>
    <w:link w:val="CaptionChar"/>
    <w:uiPriority w:val="35"/>
    <w:unhideWhenUsed/>
    <w:rsid w:val="00F52282"/>
    <w:pPr>
      <w:widowControl w:val="0"/>
      <w:spacing w:after="200"/>
      <w:jc w:val="both"/>
    </w:pPr>
    <w:rPr>
      <w:rFonts w:ascii="Arial" w:hAnsi="Arial" w:cs="Arial"/>
      <w:b/>
      <w:bCs/>
      <w:snapToGrid w:val="0"/>
      <w:color w:val="4F81BD" w:themeColor="accent1"/>
      <w:sz w:val="18"/>
      <w:szCs w:val="18"/>
      <w:lang w:eastAsia="en-US"/>
    </w:rPr>
  </w:style>
  <w:style w:type="character" w:customStyle="1" w:styleId="CaptionChar">
    <w:name w:val="Caption Char"/>
    <w:link w:val="Caption"/>
    <w:uiPriority w:val="35"/>
    <w:rsid w:val="00F52282"/>
    <w:rPr>
      <w:rFonts w:ascii="Arial" w:hAnsi="Arial" w:cs="Arial"/>
      <w:b/>
      <w:bCs/>
      <w:snapToGrid w:val="0"/>
      <w:color w:val="4F81BD" w:themeColor="accent1"/>
      <w:sz w:val="18"/>
      <w:szCs w:val="18"/>
      <w:lang w:eastAsia="en-US"/>
    </w:rPr>
  </w:style>
  <w:style w:type="paragraph" w:styleId="Title">
    <w:name w:val="Title"/>
    <w:basedOn w:val="Normal"/>
    <w:next w:val="Normal"/>
    <w:link w:val="TitleChar"/>
    <w:rsid w:val="0066049E"/>
    <w:pPr>
      <w:ind w:left="720" w:hanging="720"/>
      <w:outlineLvl w:val="0"/>
    </w:pPr>
    <w:rPr>
      <w:rFonts w:ascii="Arial" w:hAnsi="Arial"/>
      <w:b/>
      <w:sz w:val="28"/>
      <w:szCs w:val="28"/>
    </w:rPr>
  </w:style>
  <w:style w:type="character" w:customStyle="1" w:styleId="TitleChar">
    <w:name w:val="Title Char"/>
    <w:basedOn w:val="DefaultParagraphFont"/>
    <w:link w:val="Title"/>
    <w:rsid w:val="0066049E"/>
    <w:rPr>
      <w:rFonts w:ascii="Arial" w:hAnsi="Arial"/>
      <w:b/>
      <w:sz w:val="28"/>
      <w:szCs w:val="28"/>
    </w:rPr>
  </w:style>
  <w:style w:type="paragraph" w:customStyle="1" w:styleId="RegularText">
    <w:name w:val="Regular Text"/>
    <w:basedOn w:val="BodyText"/>
    <w:link w:val="RegularTextChar"/>
    <w:rsid w:val="00F52282"/>
    <w:pPr>
      <w:widowControl w:val="0"/>
      <w:spacing w:after="0"/>
    </w:pPr>
    <w:rPr>
      <w:rFonts w:ascii="Arial" w:hAnsi="Arial" w:cs="Arial"/>
      <w:b/>
      <w:snapToGrid w:val="0"/>
      <w:sz w:val="22"/>
      <w:lang w:eastAsia="en-US"/>
    </w:rPr>
  </w:style>
  <w:style w:type="character" w:customStyle="1" w:styleId="RegularTextChar">
    <w:name w:val="Regular Text Char"/>
    <w:basedOn w:val="BodyTextChar"/>
    <w:link w:val="RegularText"/>
    <w:rsid w:val="00F52282"/>
    <w:rPr>
      <w:rFonts w:ascii="Arial" w:hAnsi="Arial" w:cs="Arial"/>
      <w:b/>
      <w:snapToGrid w:val="0"/>
      <w:sz w:val="22"/>
      <w:szCs w:val="24"/>
      <w:lang w:eastAsia="en-US"/>
    </w:rPr>
  </w:style>
  <w:style w:type="paragraph" w:customStyle="1" w:styleId="Corpsdetextemarge">
    <w:name w:val="Corps de texte marge"/>
    <w:basedOn w:val="BodyText"/>
    <w:uiPriority w:val="99"/>
    <w:rsid w:val="00F52282"/>
    <w:pPr>
      <w:spacing w:after="0"/>
      <w:jc w:val="both"/>
    </w:pPr>
    <w:rPr>
      <w:rFonts w:ascii="Times" w:hAnsi="Times"/>
      <w:szCs w:val="20"/>
      <w:lang w:val="en-US" w:eastAsia="en-US"/>
    </w:rPr>
  </w:style>
  <w:style w:type="paragraph" w:styleId="NormalWeb">
    <w:name w:val="Normal (Web)"/>
    <w:basedOn w:val="Normal"/>
    <w:uiPriority w:val="99"/>
    <w:rsid w:val="00F52282"/>
    <w:pPr>
      <w:spacing w:before="100" w:after="100"/>
    </w:pPr>
    <w:rPr>
      <w:szCs w:val="20"/>
      <w:lang w:val="en-GB" w:eastAsia="en-US"/>
    </w:rPr>
  </w:style>
  <w:style w:type="paragraph" w:styleId="TOC2">
    <w:name w:val="toc 2"/>
    <w:basedOn w:val="Normal"/>
    <w:next w:val="Normal"/>
    <w:autoRedefine/>
    <w:uiPriority w:val="39"/>
    <w:rsid w:val="00F52282"/>
    <w:pPr>
      <w:widowControl w:val="0"/>
      <w:tabs>
        <w:tab w:val="left" w:pos="880"/>
        <w:tab w:val="right" w:leader="dot" w:pos="9016"/>
      </w:tabs>
      <w:spacing w:before="120"/>
      <w:ind w:left="220"/>
    </w:pPr>
    <w:rPr>
      <w:rFonts w:ascii="Arial" w:hAnsi="Arial" w:cs="Arial"/>
      <w:iCs/>
      <w:snapToGrid w:val="0"/>
      <w:sz w:val="20"/>
      <w:szCs w:val="20"/>
      <w:lang w:eastAsia="en-US"/>
    </w:rPr>
  </w:style>
  <w:style w:type="paragraph" w:styleId="TOC1">
    <w:name w:val="toc 1"/>
    <w:basedOn w:val="Normal"/>
    <w:next w:val="Normal"/>
    <w:autoRedefine/>
    <w:uiPriority w:val="39"/>
    <w:rsid w:val="00F52282"/>
    <w:pPr>
      <w:widowControl w:val="0"/>
      <w:spacing w:before="240" w:after="120"/>
    </w:pPr>
    <w:rPr>
      <w:rFonts w:ascii="Arial" w:hAnsi="Arial" w:cs="Arial"/>
      <w:bCs/>
      <w:snapToGrid w:val="0"/>
      <w:sz w:val="20"/>
      <w:szCs w:val="20"/>
      <w:lang w:eastAsia="en-US"/>
    </w:rPr>
  </w:style>
  <w:style w:type="character" w:styleId="Hyperlink">
    <w:name w:val="Hyperlink"/>
    <w:basedOn w:val="DefaultParagraphFont"/>
    <w:uiPriority w:val="99"/>
    <w:unhideWhenUsed/>
    <w:rsid w:val="00F52282"/>
    <w:rPr>
      <w:color w:val="0000FF" w:themeColor="hyperlink"/>
      <w:u w:val="single"/>
    </w:rPr>
  </w:style>
  <w:style w:type="paragraph" w:styleId="TOCHeading">
    <w:name w:val="TOC Heading"/>
    <w:basedOn w:val="Heading1"/>
    <w:next w:val="Normal"/>
    <w:uiPriority w:val="39"/>
    <w:unhideWhenUsed/>
    <w:rsid w:val="00F52282"/>
    <w:pPr>
      <w:keepLines/>
      <w:spacing w:before="480" w:line="276" w:lineRule="auto"/>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F52282"/>
    <w:pPr>
      <w:widowControl w:val="0"/>
      <w:ind w:left="440"/>
    </w:pPr>
    <w:rPr>
      <w:rFonts w:asciiTheme="minorHAnsi" w:hAnsiTheme="minorHAnsi" w:cs="Arial"/>
      <w:snapToGrid w:val="0"/>
      <w:sz w:val="20"/>
      <w:szCs w:val="20"/>
      <w:lang w:eastAsia="en-US"/>
    </w:rPr>
  </w:style>
  <w:style w:type="character" w:customStyle="1" w:styleId="BalloonTextChar">
    <w:name w:val="Balloon Text Char"/>
    <w:basedOn w:val="DefaultParagraphFont"/>
    <w:link w:val="BalloonText"/>
    <w:uiPriority w:val="99"/>
    <w:rsid w:val="00F52282"/>
    <w:rPr>
      <w:rFonts w:ascii="Tahoma" w:hAnsi="Tahoma" w:cs="Tahoma"/>
      <w:sz w:val="16"/>
      <w:szCs w:val="16"/>
    </w:rPr>
  </w:style>
  <w:style w:type="character" w:customStyle="1" w:styleId="BodyText3Char">
    <w:name w:val="Body Text 3 Char"/>
    <w:basedOn w:val="DefaultParagraphFont"/>
    <w:link w:val="BodyText3"/>
    <w:rsid w:val="00F52282"/>
    <w:rPr>
      <w:sz w:val="16"/>
      <w:szCs w:val="16"/>
    </w:rPr>
  </w:style>
  <w:style w:type="paragraph" w:styleId="TOC4">
    <w:name w:val="toc 4"/>
    <w:basedOn w:val="Normal"/>
    <w:next w:val="Normal"/>
    <w:autoRedefine/>
    <w:rsid w:val="00F52282"/>
    <w:pPr>
      <w:widowControl w:val="0"/>
      <w:ind w:left="660"/>
    </w:pPr>
    <w:rPr>
      <w:rFonts w:asciiTheme="minorHAnsi" w:hAnsiTheme="minorHAnsi" w:cs="Arial"/>
      <w:snapToGrid w:val="0"/>
      <w:sz w:val="20"/>
      <w:szCs w:val="20"/>
      <w:lang w:eastAsia="en-US"/>
    </w:rPr>
  </w:style>
  <w:style w:type="paragraph" w:styleId="TOC5">
    <w:name w:val="toc 5"/>
    <w:basedOn w:val="Normal"/>
    <w:next w:val="Normal"/>
    <w:autoRedefine/>
    <w:rsid w:val="00F52282"/>
    <w:pPr>
      <w:widowControl w:val="0"/>
      <w:ind w:left="880"/>
    </w:pPr>
    <w:rPr>
      <w:rFonts w:asciiTheme="minorHAnsi" w:hAnsiTheme="minorHAnsi" w:cs="Arial"/>
      <w:snapToGrid w:val="0"/>
      <w:sz w:val="20"/>
      <w:szCs w:val="20"/>
      <w:lang w:eastAsia="en-US"/>
    </w:rPr>
  </w:style>
  <w:style w:type="paragraph" w:styleId="TOC6">
    <w:name w:val="toc 6"/>
    <w:basedOn w:val="Normal"/>
    <w:next w:val="Normal"/>
    <w:autoRedefine/>
    <w:rsid w:val="00F52282"/>
    <w:pPr>
      <w:widowControl w:val="0"/>
      <w:ind w:left="1100"/>
    </w:pPr>
    <w:rPr>
      <w:rFonts w:asciiTheme="minorHAnsi" w:hAnsiTheme="minorHAnsi" w:cs="Arial"/>
      <w:snapToGrid w:val="0"/>
      <w:sz w:val="20"/>
      <w:szCs w:val="20"/>
      <w:lang w:eastAsia="en-US"/>
    </w:rPr>
  </w:style>
  <w:style w:type="paragraph" w:styleId="TOC7">
    <w:name w:val="toc 7"/>
    <w:basedOn w:val="Normal"/>
    <w:next w:val="Normal"/>
    <w:autoRedefine/>
    <w:rsid w:val="00F52282"/>
    <w:pPr>
      <w:widowControl w:val="0"/>
      <w:ind w:left="1320"/>
    </w:pPr>
    <w:rPr>
      <w:rFonts w:asciiTheme="minorHAnsi" w:hAnsiTheme="minorHAnsi" w:cs="Arial"/>
      <w:snapToGrid w:val="0"/>
      <w:sz w:val="20"/>
      <w:szCs w:val="20"/>
      <w:lang w:eastAsia="en-US"/>
    </w:rPr>
  </w:style>
  <w:style w:type="paragraph" w:styleId="TOC8">
    <w:name w:val="toc 8"/>
    <w:basedOn w:val="Normal"/>
    <w:next w:val="Normal"/>
    <w:autoRedefine/>
    <w:rsid w:val="00F52282"/>
    <w:pPr>
      <w:widowControl w:val="0"/>
      <w:ind w:left="1540"/>
    </w:pPr>
    <w:rPr>
      <w:rFonts w:asciiTheme="minorHAnsi" w:hAnsiTheme="minorHAnsi" w:cs="Arial"/>
      <w:snapToGrid w:val="0"/>
      <w:sz w:val="20"/>
      <w:szCs w:val="20"/>
      <w:lang w:eastAsia="en-US"/>
    </w:rPr>
  </w:style>
  <w:style w:type="paragraph" w:styleId="TOC9">
    <w:name w:val="toc 9"/>
    <w:basedOn w:val="Normal"/>
    <w:next w:val="Normal"/>
    <w:autoRedefine/>
    <w:rsid w:val="00F52282"/>
    <w:pPr>
      <w:widowControl w:val="0"/>
      <w:ind w:left="1760"/>
    </w:pPr>
    <w:rPr>
      <w:rFonts w:asciiTheme="minorHAnsi" w:hAnsiTheme="minorHAnsi" w:cs="Arial"/>
      <w:snapToGrid w:val="0"/>
      <w:sz w:val="20"/>
      <w:szCs w:val="20"/>
      <w:lang w:eastAsia="en-US"/>
    </w:rPr>
  </w:style>
  <w:style w:type="paragraph" w:customStyle="1" w:styleId="TableText0">
    <w:name w:val="TableText"/>
    <w:basedOn w:val="Normal"/>
    <w:rsid w:val="00F52282"/>
    <w:pPr>
      <w:keepNext/>
      <w:spacing w:before="40" w:after="40"/>
    </w:pPr>
    <w:rPr>
      <w:rFonts w:ascii="Arial Narrow" w:hAnsi="Arial Narrow" w:cs="Arial Narrow"/>
      <w:sz w:val="20"/>
      <w:szCs w:val="20"/>
      <w:lang w:eastAsia="en-US"/>
    </w:rPr>
  </w:style>
  <w:style w:type="paragraph" w:customStyle="1" w:styleId="TableName">
    <w:name w:val="TableName"/>
    <w:basedOn w:val="Normal"/>
    <w:rsid w:val="00F52282"/>
    <w:pPr>
      <w:keepNext/>
      <w:spacing w:before="120" w:after="120"/>
      <w:ind w:left="1800" w:hanging="1080"/>
    </w:pPr>
    <w:rPr>
      <w:rFonts w:ascii="Arial Narrow" w:hAnsi="Arial Narrow" w:cs="Arial Narrow"/>
      <w:b/>
      <w:bCs/>
      <w:sz w:val="22"/>
      <w:szCs w:val="22"/>
      <w:lang w:eastAsia="en-US"/>
    </w:rPr>
  </w:style>
  <w:style w:type="paragraph" w:customStyle="1" w:styleId="TableNotes18">
    <w:name w:val="TableNotes+18"/>
    <w:basedOn w:val="TableText0"/>
    <w:rsid w:val="00F52282"/>
    <w:pPr>
      <w:keepNext w:val="0"/>
      <w:keepLines/>
      <w:spacing w:before="0" w:after="360"/>
      <w:ind w:left="720"/>
    </w:pPr>
    <w:rPr>
      <w:sz w:val="18"/>
      <w:szCs w:val="18"/>
    </w:rPr>
  </w:style>
  <w:style w:type="paragraph" w:customStyle="1" w:styleId="TableNotes0">
    <w:name w:val="TableNotes+0"/>
    <w:basedOn w:val="TableNotes18"/>
    <w:rsid w:val="00F52282"/>
    <w:pPr>
      <w:keepNext/>
      <w:spacing w:after="0"/>
    </w:pPr>
  </w:style>
  <w:style w:type="paragraph" w:styleId="Revision">
    <w:name w:val="Revision"/>
    <w:hidden/>
    <w:uiPriority w:val="99"/>
    <w:rsid w:val="00F52282"/>
    <w:rPr>
      <w:rFonts w:ascii="Arial" w:hAnsi="Arial" w:cs="Arial"/>
      <w:snapToGrid w:val="0"/>
      <w:sz w:val="22"/>
      <w:lang w:eastAsia="en-US"/>
    </w:rPr>
  </w:style>
  <w:style w:type="paragraph" w:styleId="BodyTextIndent">
    <w:name w:val="Body Text Indent"/>
    <w:basedOn w:val="Normal"/>
    <w:link w:val="BodyTextIndentChar"/>
    <w:rsid w:val="00F52282"/>
    <w:pPr>
      <w:widowControl w:val="0"/>
      <w:spacing w:after="120"/>
      <w:ind w:left="283"/>
      <w:jc w:val="both"/>
    </w:pPr>
    <w:rPr>
      <w:rFonts w:ascii="Arial" w:hAnsi="Arial" w:cs="Arial"/>
      <w:snapToGrid w:val="0"/>
      <w:sz w:val="22"/>
      <w:szCs w:val="20"/>
      <w:lang w:eastAsia="en-US"/>
    </w:rPr>
  </w:style>
  <w:style w:type="character" w:customStyle="1" w:styleId="BodyTextIndentChar">
    <w:name w:val="Body Text Indent Char"/>
    <w:basedOn w:val="DefaultParagraphFont"/>
    <w:link w:val="BodyTextIndent"/>
    <w:rsid w:val="00F52282"/>
    <w:rPr>
      <w:rFonts w:ascii="Arial" w:hAnsi="Arial" w:cs="Arial"/>
      <w:snapToGrid w:val="0"/>
      <w:sz w:val="22"/>
      <w:lang w:eastAsia="en-US"/>
    </w:rPr>
  </w:style>
  <w:style w:type="character" w:customStyle="1" w:styleId="SubtitleChar1">
    <w:name w:val="Subtitle Char1"/>
    <w:basedOn w:val="DefaultParagraphFont"/>
    <w:rsid w:val="00F52282"/>
    <w:rPr>
      <w:rFonts w:asciiTheme="majorHAnsi" w:eastAsiaTheme="majorEastAsia" w:hAnsiTheme="majorHAnsi" w:cstheme="majorBidi"/>
      <w:i/>
      <w:iCs/>
      <w:snapToGrid w:val="0"/>
      <w:color w:val="4F81BD" w:themeColor="accent1"/>
      <w:spacing w:val="15"/>
      <w:sz w:val="24"/>
      <w:szCs w:val="24"/>
      <w:lang w:eastAsia="en-US"/>
    </w:rPr>
  </w:style>
  <w:style w:type="table" w:customStyle="1" w:styleId="TableGrid1">
    <w:name w:val="Table Grid1"/>
    <w:basedOn w:val="TableNormal"/>
    <w:next w:val="TableGrid"/>
    <w:uiPriority w:val="59"/>
    <w:rsid w:val="00F5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Heading Char"/>
    <w:link w:val="TableHeading"/>
    <w:rsid w:val="00F52282"/>
    <w:rPr>
      <w:rFonts w:ascii="Arial Narrow" w:hAnsi="Arial Narrow" w:cs="Arial Narrow"/>
      <w:b/>
      <w:bCs/>
      <w:lang w:eastAsia="en-US"/>
    </w:rPr>
  </w:style>
  <w:style w:type="character" w:styleId="FollowedHyperlink">
    <w:name w:val="FollowedHyperlink"/>
    <w:basedOn w:val="DefaultParagraphFont"/>
    <w:uiPriority w:val="99"/>
    <w:unhideWhenUsed/>
    <w:rsid w:val="00F52282"/>
    <w:rPr>
      <w:color w:val="800080" w:themeColor="followedHyperlink"/>
      <w:u w:val="single"/>
    </w:rPr>
  </w:style>
  <w:style w:type="character" w:customStyle="1" w:styleId="Heading1Char">
    <w:name w:val="Heading 1 Char"/>
    <w:basedOn w:val="DefaultParagraphFont"/>
    <w:link w:val="Heading1"/>
    <w:uiPriority w:val="1"/>
    <w:rsid w:val="0066049E"/>
    <w:rPr>
      <w:rFonts w:ascii="Arial" w:hAnsi="Arial"/>
      <w:b/>
      <w:sz w:val="22"/>
      <w:szCs w:val="22"/>
    </w:rPr>
  </w:style>
  <w:style w:type="paragraph" w:customStyle="1" w:styleId="EndNoteBibliographyTitle">
    <w:name w:val="EndNote Bibliography Title"/>
    <w:basedOn w:val="Normal"/>
    <w:link w:val="EndNoteBibliographyTitleChar"/>
    <w:rsid w:val="00F52282"/>
    <w:pPr>
      <w:widowControl w:val="0"/>
      <w:jc w:val="center"/>
    </w:pPr>
    <w:rPr>
      <w:rFonts w:ascii="Arial" w:hAnsi="Arial" w:cs="Arial"/>
      <w:noProof/>
      <w:snapToGrid w:val="0"/>
      <w:sz w:val="20"/>
      <w:szCs w:val="20"/>
      <w:lang w:val="en-US" w:eastAsia="en-US"/>
    </w:rPr>
  </w:style>
  <w:style w:type="character" w:customStyle="1" w:styleId="EndNoteBibliographyTitleChar">
    <w:name w:val="EndNote Bibliography Title Char"/>
    <w:basedOn w:val="DefaultParagraphFont"/>
    <w:link w:val="EndNoteBibliographyTitle"/>
    <w:rsid w:val="00F52282"/>
    <w:rPr>
      <w:rFonts w:ascii="Arial" w:hAnsi="Arial" w:cs="Arial"/>
      <w:noProof/>
      <w:snapToGrid w:val="0"/>
      <w:lang w:val="en-US" w:eastAsia="en-US"/>
    </w:rPr>
  </w:style>
  <w:style w:type="paragraph" w:customStyle="1" w:styleId="TableParagraph">
    <w:name w:val="Table Paragraph"/>
    <w:basedOn w:val="Normal"/>
    <w:uiPriority w:val="1"/>
    <w:qFormat/>
    <w:rsid w:val="00F52282"/>
    <w:pPr>
      <w:widowControl w:val="0"/>
    </w:pPr>
    <w:rPr>
      <w:rFonts w:asciiTheme="minorHAnsi" w:eastAsiaTheme="minorHAnsi" w:hAnsiTheme="minorHAnsi" w:cstheme="minorBidi"/>
      <w:sz w:val="22"/>
      <w:szCs w:val="22"/>
      <w:lang w:val="en-US" w:eastAsia="en-US"/>
    </w:rPr>
  </w:style>
  <w:style w:type="paragraph" w:customStyle="1" w:styleId="Body">
    <w:name w:val="Body"/>
    <w:rsid w:val="00F52282"/>
    <w:pPr>
      <w:widowControl w:val="0"/>
      <w:jc w:val="both"/>
    </w:pPr>
    <w:rPr>
      <w:rFonts w:ascii="Arial" w:eastAsia="Arial Unicode MS" w:hAnsi="Arial Unicode MS" w:cs="Arial Unicode MS"/>
      <w:color w:val="000000"/>
      <w:sz w:val="22"/>
      <w:szCs w:val="22"/>
      <w:u w:color="000000"/>
    </w:rPr>
  </w:style>
  <w:style w:type="paragraph" w:customStyle="1" w:styleId="Default">
    <w:name w:val="Default"/>
    <w:rsid w:val="00F52282"/>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rsid w:val="00882839"/>
    <w:rPr>
      <w:sz w:val="20"/>
      <w:szCs w:val="20"/>
    </w:rPr>
  </w:style>
  <w:style w:type="character" w:customStyle="1" w:styleId="EndnoteTextChar">
    <w:name w:val="Endnote Text Char"/>
    <w:basedOn w:val="DefaultParagraphFont"/>
    <w:link w:val="EndnoteText"/>
    <w:rsid w:val="00882839"/>
  </w:style>
  <w:style w:type="character" w:styleId="EndnoteReference">
    <w:name w:val="endnote reference"/>
    <w:basedOn w:val="DefaultParagraphFont"/>
    <w:rsid w:val="00882839"/>
    <w:rPr>
      <w:vertAlign w:val="superscript"/>
    </w:rPr>
  </w:style>
  <w:style w:type="character" w:customStyle="1" w:styleId="ListParagraphChar">
    <w:name w:val="List Paragraph Char"/>
    <w:link w:val="ListParagraph"/>
    <w:uiPriority w:val="72"/>
    <w:rsid w:val="00C51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31109663">
      <w:bodyDiv w:val="1"/>
      <w:marLeft w:val="0"/>
      <w:marRight w:val="0"/>
      <w:marTop w:val="0"/>
      <w:marBottom w:val="0"/>
      <w:divBdr>
        <w:top w:val="none" w:sz="0" w:space="0" w:color="auto"/>
        <w:left w:val="none" w:sz="0" w:space="0" w:color="auto"/>
        <w:bottom w:val="none" w:sz="0" w:space="0" w:color="auto"/>
        <w:right w:val="none" w:sz="0" w:space="0" w:color="auto"/>
      </w:divBdr>
    </w:div>
    <w:div w:id="74260735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1685357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4047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6053C-1088-447E-904B-1B01CCFC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6478</Words>
  <Characters>36990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4.07	USTEKINUMAB</vt:lpstr>
    </vt:vector>
  </TitlesOfParts>
  <LinksUpToDate>false</LinksUpToDate>
  <CharactersWithSpaces>43382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4.07	USTEKINUMAB</dc:title>
  <dc:creator/>
  <cp:lastModifiedBy/>
  <cp:revision>1</cp:revision>
  <dcterms:created xsi:type="dcterms:W3CDTF">2016-03-03T03:04:00Z</dcterms:created>
  <dcterms:modified xsi:type="dcterms:W3CDTF">2016-03-03T04:23:00Z</dcterms:modified>
</cp:coreProperties>
</file>