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7B58" w:rsidRDefault="0094376B" w:rsidP="002B027D">
      <w:pPr>
        <w:pStyle w:val="PSDTitle"/>
      </w:pPr>
      <w:bookmarkStart w:id="0" w:name="_GoBack"/>
      <w:bookmarkEnd w:id="0"/>
      <w:r>
        <w:t>4.09</w:t>
      </w:r>
      <w:r w:rsidR="007C0F57" w:rsidRPr="006D6EC7">
        <w:tab/>
      </w:r>
      <w:r w:rsidR="00853571" w:rsidRPr="00853571">
        <w:t>TESTOSTERONE</w:t>
      </w:r>
    </w:p>
    <w:p w:rsidR="00D3280C" w:rsidRPr="006D6EC7" w:rsidRDefault="000F6186" w:rsidP="00C27B58">
      <w:pPr>
        <w:ind w:left="720"/>
        <w:rPr>
          <w:rFonts w:ascii="Arial" w:hAnsi="Arial"/>
          <w:b/>
          <w:sz w:val="28"/>
          <w:szCs w:val="28"/>
        </w:rPr>
      </w:pPr>
      <w:r>
        <w:rPr>
          <w:rFonts w:ascii="Arial" w:hAnsi="Arial"/>
          <w:b/>
          <w:sz w:val="28"/>
          <w:szCs w:val="28"/>
        </w:rPr>
        <w:t>National LGBTI Health Alliance</w:t>
      </w:r>
    </w:p>
    <w:p w:rsidR="00CE10C4" w:rsidRDefault="00CE10C4" w:rsidP="00C27B58">
      <w:pPr>
        <w:pStyle w:val="NoSpacing"/>
      </w:pPr>
    </w:p>
    <w:p w:rsidR="00646483" w:rsidRDefault="00646483" w:rsidP="00C27B58">
      <w:pPr>
        <w:pStyle w:val="NoSpacing"/>
      </w:pPr>
    </w:p>
    <w:p w:rsidR="00CE10C4" w:rsidRPr="00882085" w:rsidRDefault="00CE10C4" w:rsidP="002B027D">
      <w:pPr>
        <w:pStyle w:val="PSDheading1"/>
      </w:pPr>
      <w:r w:rsidRPr="00882085">
        <w:t xml:space="preserve">Purpose of </w:t>
      </w:r>
      <w:r w:rsidR="0004240E" w:rsidRPr="00882085">
        <w:t>Application</w:t>
      </w:r>
    </w:p>
    <w:p w:rsidR="006A12A5" w:rsidRPr="00882085" w:rsidRDefault="006A12A5" w:rsidP="00882085">
      <w:pPr>
        <w:jc w:val="both"/>
        <w:rPr>
          <w:rFonts w:ascii="Arial" w:hAnsi="Arial"/>
          <w:sz w:val="22"/>
          <w:szCs w:val="22"/>
        </w:rPr>
      </w:pPr>
    </w:p>
    <w:p w:rsidR="002B027D" w:rsidRPr="00302DFB" w:rsidRDefault="00EF44A0" w:rsidP="00302DFB">
      <w:pPr>
        <w:pStyle w:val="ListParagraph"/>
        <w:numPr>
          <w:ilvl w:val="1"/>
          <w:numId w:val="25"/>
        </w:numPr>
        <w:jc w:val="both"/>
        <w:rPr>
          <w:rFonts w:ascii="Arial" w:hAnsi="Arial"/>
          <w:sz w:val="22"/>
          <w:szCs w:val="22"/>
        </w:rPr>
      </w:pPr>
      <w:r>
        <w:rPr>
          <w:rFonts w:ascii="Arial" w:hAnsi="Arial"/>
          <w:sz w:val="22"/>
          <w:szCs w:val="22"/>
        </w:rPr>
        <w:t xml:space="preserve">The </w:t>
      </w:r>
      <w:r w:rsidR="00306328">
        <w:rPr>
          <w:rFonts w:ascii="Arial" w:hAnsi="Arial"/>
          <w:sz w:val="22"/>
          <w:szCs w:val="22"/>
        </w:rPr>
        <w:t xml:space="preserve">PBAC considered the outcomes of a stakeholder meeting with the National LGBTI Health Alliance (the Alliance) held on 18 September 2015.  The Alliance had made a </w:t>
      </w:r>
      <w:r>
        <w:rPr>
          <w:rFonts w:ascii="Arial" w:hAnsi="Arial"/>
          <w:sz w:val="22"/>
          <w:szCs w:val="22"/>
        </w:rPr>
        <w:t xml:space="preserve">minor submission </w:t>
      </w:r>
      <w:r w:rsidR="00306328">
        <w:rPr>
          <w:rFonts w:ascii="Arial" w:hAnsi="Arial"/>
          <w:sz w:val="22"/>
          <w:szCs w:val="22"/>
        </w:rPr>
        <w:t xml:space="preserve">to the </w:t>
      </w:r>
      <w:r w:rsidR="00853571">
        <w:rPr>
          <w:rFonts w:ascii="Arial" w:hAnsi="Arial"/>
          <w:sz w:val="22"/>
          <w:szCs w:val="22"/>
        </w:rPr>
        <w:t xml:space="preserve">requested </w:t>
      </w:r>
      <w:r w:rsidR="00DF53DD">
        <w:rPr>
          <w:rFonts w:ascii="Arial" w:hAnsi="Arial"/>
          <w:sz w:val="22"/>
          <w:szCs w:val="22"/>
        </w:rPr>
        <w:t>c</w:t>
      </w:r>
      <w:r w:rsidR="00853571">
        <w:rPr>
          <w:rFonts w:ascii="Arial" w:hAnsi="Arial"/>
          <w:sz w:val="22"/>
          <w:szCs w:val="22"/>
        </w:rPr>
        <w:t xml:space="preserve">hanges to the </w:t>
      </w:r>
      <w:r w:rsidR="00542FD1">
        <w:rPr>
          <w:rFonts w:ascii="Arial" w:hAnsi="Arial"/>
          <w:sz w:val="22"/>
          <w:szCs w:val="22"/>
        </w:rPr>
        <w:t xml:space="preserve">restrictions that </w:t>
      </w:r>
      <w:proofErr w:type="gramStart"/>
      <w:r w:rsidR="00542FD1">
        <w:rPr>
          <w:rFonts w:ascii="Arial" w:hAnsi="Arial"/>
          <w:sz w:val="22"/>
          <w:szCs w:val="22"/>
        </w:rPr>
        <w:t>are applied</w:t>
      </w:r>
      <w:proofErr w:type="gramEnd"/>
      <w:r w:rsidR="00542FD1">
        <w:rPr>
          <w:rFonts w:ascii="Arial" w:hAnsi="Arial"/>
          <w:sz w:val="22"/>
          <w:szCs w:val="22"/>
        </w:rPr>
        <w:t xml:space="preserve"> to </w:t>
      </w:r>
      <w:r w:rsidR="00853571">
        <w:rPr>
          <w:rFonts w:ascii="Arial" w:hAnsi="Arial"/>
          <w:sz w:val="22"/>
          <w:szCs w:val="22"/>
        </w:rPr>
        <w:t>testosterone for the treatment of androgen deficiency</w:t>
      </w:r>
      <w:r w:rsidR="00DF53DD">
        <w:rPr>
          <w:rFonts w:ascii="Arial" w:hAnsi="Arial"/>
          <w:sz w:val="22"/>
          <w:szCs w:val="22"/>
        </w:rPr>
        <w:t xml:space="preserve"> to enable access by transgender and intersex patients.</w:t>
      </w:r>
      <w:r w:rsidR="00306328">
        <w:rPr>
          <w:rFonts w:ascii="Arial" w:hAnsi="Arial"/>
          <w:sz w:val="22"/>
          <w:szCs w:val="22"/>
        </w:rPr>
        <w:t xml:space="preserve">  </w:t>
      </w:r>
      <w:r w:rsidR="00306328" w:rsidRPr="00306328">
        <w:rPr>
          <w:rFonts w:ascii="Arial" w:hAnsi="Arial"/>
          <w:bCs/>
          <w:sz w:val="22"/>
          <w:szCs w:val="22"/>
        </w:rPr>
        <w:t>The purpose of this meeting was to determine an appropriate restriction arrangement for testosterone for transgender (</w:t>
      </w:r>
      <w:proofErr w:type="gramStart"/>
      <w:r w:rsidR="00306328" w:rsidRPr="00306328">
        <w:rPr>
          <w:rFonts w:ascii="Arial" w:hAnsi="Arial"/>
          <w:bCs/>
          <w:sz w:val="22"/>
          <w:szCs w:val="22"/>
        </w:rPr>
        <w:t>trans</w:t>
      </w:r>
      <w:proofErr w:type="gramEnd"/>
      <w:r w:rsidR="00306328" w:rsidRPr="00306328">
        <w:rPr>
          <w:rFonts w:ascii="Arial" w:hAnsi="Arial"/>
          <w:bCs/>
          <w:sz w:val="22"/>
          <w:szCs w:val="22"/>
        </w:rPr>
        <w:t xml:space="preserve">) and intersex populations. </w:t>
      </w:r>
    </w:p>
    <w:p w:rsidR="00302DFB" w:rsidRPr="00302DFB" w:rsidRDefault="00302DFB" w:rsidP="00302DFB">
      <w:pPr>
        <w:pStyle w:val="ListParagraph"/>
        <w:spacing w:line="480" w:lineRule="auto"/>
        <w:jc w:val="both"/>
        <w:rPr>
          <w:rFonts w:ascii="Arial" w:hAnsi="Arial"/>
          <w:sz w:val="22"/>
          <w:szCs w:val="22"/>
        </w:rPr>
      </w:pPr>
    </w:p>
    <w:p w:rsidR="00614159" w:rsidRPr="00882085" w:rsidRDefault="006A12A5" w:rsidP="002B027D">
      <w:pPr>
        <w:pStyle w:val="PSDheading1"/>
      </w:pPr>
      <w:r w:rsidRPr="00882085">
        <w:t>Requested listing</w:t>
      </w:r>
    </w:p>
    <w:p w:rsidR="006A12A5" w:rsidRPr="00882085" w:rsidRDefault="006A12A5" w:rsidP="00882085">
      <w:pPr>
        <w:jc w:val="both"/>
        <w:rPr>
          <w:rFonts w:ascii="Arial" w:hAnsi="Arial"/>
          <w:b/>
          <w:sz w:val="22"/>
          <w:szCs w:val="22"/>
        </w:rPr>
      </w:pPr>
    </w:p>
    <w:p w:rsidR="00646483" w:rsidRDefault="00BB4DB8">
      <w:pPr>
        <w:pStyle w:val="ListParagraph"/>
        <w:numPr>
          <w:ilvl w:val="1"/>
          <w:numId w:val="25"/>
        </w:numPr>
        <w:jc w:val="both"/>
        <w:rPr>
          <w:rFonts w:ascii="Arial" w:hAnsi="Arial"/>
          <w:sz w:val="22"/>
          <w:szCs w:val="22"/>
        </w:rPr>
      </w:pPr>
      <w:r w:rsidRPr="00BB4DB8">
        <w:rPr>
          <w:rFonts w:ascii="Arial" w:hAnsi="Arial"/>
          <w:sz w:val="22"/>
          <w:szCs w:val="22"/>
        </w:rPr>
        <w:t xml:space="preserve">The submission requested changes to the revised restrictions </w:t>
      </w:r>
      <w:r w:rsidR="00646483">
        <w:rPr>
          <w:rFonts w:ascii="Arial" w:hAnsi="Arial"/>
          <w:sz w:val="22"/>
          <w:szCs w:val="22"/>
        </w:rPr>
        <w:t xml:space="preserve">for </w:t>
      </w:r>
      <w:proofErr w:type="gramStart"/>
      <w:r w:rsidR="00646483" w:rsidRPr="00A03363">
        <w:rPr>
          <w:rFonts w:ascii="Arial" w:hAnsi="Arial"/>
          <w:sz w:val="22"/>
          <w:szCs w:val="22"/>
        </w:rPr>
        <w:t xml:space="preserve">testosterone </w:t>
      </w:r>
      <w:r w:rsidRPr="00BB4DB8">
        <w:rPr>
          <w:rFonts w:ascii="Arial" w:hAnsi="Arial"/>
          <w:sz w:val="22"/>
          <w:szCs w:val="22"/>
        </w:rPr>
        <w:t>which</w:t>
      </w:r>
      <w:proofErr w:type="gramEnd"/>
      <w:r w:rsidRPr="00BB4DB8">
        <w:rPr>
          <w:rFonts w:ascii="Arial" w:hAnsi="Arial"/>
          <w:sz w:val="22"/>
          <w:szCs w:val="22"/>
        </w:rPr>
        <w:t xml:space="preserve"> came into effect </w:t>
      </w:r>
      <w:r w:rsidR="00646483">
        <w:rPr>
          <w:rFonts w:ascii="Arial" w:hAnsi="Arial"/>
          <w:sz w:val="22"/>
          <w:szCs w:val="22"/>
        </w:rPr>
        <w:t>on</w:t>
      </w:r>
      <w:r w:rsidRPr="00BB4DB8">
        <w:rPr>
          <w:rFonts w:ascii="Arial" w:hAnsi="Arial"/>
          <w:sz w:val="22"/>
          <w:szCs w:val="22"/>
        </w:rPr>
        <w:t xml:space="preserve"> 1 April 2015</w:t>
      </w:r>
      <w:r>
        <w:rPr>
          <w:rFonts w:ascii="Arial" w:hAnsi="Arial"/>
          <w:sz w:val="22"/>
          <w:szCs w:val="22"/>
        </w:rPr>
        <w:t>.</w:t>
      </w:r>
      <w:r w:rsidDel="00BB4DB8">
        <w:rPr>
          <w:rFonts w:ascii="Arial" w:hAnsi="Arial"/>
          <w:sz w:val="22"/>
          <w:szCs w:val="22"/>
        </w:rPr>
        <w:t xml:space="preserve"> </w:t>
      </w:r>
    </w:p>
    <w:p w:rsidR="00BB4DB8" w:rsidRPr="00646483" w:rsidRDefault="00BB4DB8" w:rsidP="004C4781">
      <w:pPr>
        <w:pStyle w:val="ListParagraph"/>
        <w:jc w:val="both"/>
        <w:rPr>
          <w:rFonts w:ascii="Arial" w:hAnsi="Arial"/>
          <w:sz w:val="22"/>
          <w:szCs w:val="22"/>
        </w:rPr>
      </w:pPr>
    </w:p>
    <w:p w:rsidR="00BB4DB8" w:rsidRPr="00DF53DD" w:rsidRDefault="00BB4DB8" w:rsidP="00BB4DB8">
      <w:pPr>
        <w:pStyle w:val="ListParagraph"/>
        <w:numPr>
          <w:ilvl w:val="1"/>
          <w:numId w:val="25"/>
        </w:numPr>
        <w:jc w:val="both"/>
        <w:rPr>
          <w:rFonts w:ascii="Arial" w:hAnsi="Arial"/>
          <w:b/>
          <w:sz w:val="22"/>
          <w:szCs w:val="22"/>
        </w:rPr>
      </w:pPr>
      <w:r>
        <w:rPr>
          <w:rFonts w:ascii="Arial" w:hAnsi="Arial"/>
          <w:sz w:val="22"/>
          <w:szCs w:val="22"/>
        </w:rPr>
        <w:t>The submission requested restoring the ability of General Practitioners (GP) to prescribe testosterone without consultation with a specialist when treating androgen deficiency in patients:</w:t>
      </w:r>
    </w:p>
    <w:p w:rsidR="00BB4DB8" w:rsidRPr="003F3DAC" w:rsidRDefault="00BB4DB8" w:rsidP="00BB4DB8">
      <w:pPr>
        <w:pStyle w:val="ListParagraph"/>
        <w:numPr>
          <w:ilvl w:val="0"/>
          <w:numId w:val="45"/>
        </w:numPr>
        <w:ind w:left="1134" w:hanging="425"/>
        <w:jc w:val="both"/>
        <w:rPr>
          <w:rFonts w:ascii="Arial" w:hAnsi="Arial"/>
          <w:sz w:val="22"/>
          <w:szCs w:val="22"/>
        </w:rPr>
      </w:pPr>
      <w:r>
        <w:rPr>
          <w:rFonts w:ascii="Arial" w:hAnsi="Arial"/>
          <w:sz w:val="22"/>
          <w:szCs w:val="22"/>
        </w:rPr>
        <w:t xml:space="preserve">who cannot produce testosterone within the normal male range due to absent or non-functioning testes (including trans patients and patients with intersex characteristics </w:t>
      </w:r>
      <w:r w:rsidRPr="003F3DAC">
        <w:rPr>
          <w:rFonts w:ascii="Arial" w:hAnsi="Arial"/>
          <w:sz w:val="22"/>
          <w:szCs w:val="22"/>
        </w:rPr>
        <w:t>with</w:t>
      </w:r>
      <w:r>
        <w:rPr>
          <w:rFonts w:ascii="Arial" w:hAnsi="Arial"/>
          <w:sz w:val="22"/>
          <w:szCs w:val="22"/>
        </w:rPr>
        <w:t xml:space="preserve"> </w:t>
      </w:r>
      <w:r w:rsidRPr="003F3DAC">
        <w:rPr>
          <w:rFonts w:ascii="Arial" w:hAnsi="Arial"/>
          <w:sz w:val="22"/>
          <w:szCs w:val="22"/>
        </w:rPr>
        <w:t>a</w:t>
      </w:r>
      <w:r>
        <w:rPr>
          <w:rFonts w:ascii="Arial" w:hAnsi="Arial"/>
          <w:sz w:val="22"/>
          <w:szCs w:val="22"/>
        </w:rPr>
        <w:t xml:space="preserve"> </w:t>
      </w:r>
      <w:r w:rsidRPr="003F3DAC">
        <w:rPr>
          <w:rFonts w:ascii="Arial" w:hAnsi="Arial"/>
          <w:sz w:val="22"/>
          <w:szCs w:val="22"/>
        </w:rPr>
        <w:t>current</w:t>
      </w:r>
      <w:r>
        <w:rPr>
          <w:rFonts w:ascii="Arial" w:hAnsi="Arial"/>
          <w:sz w:val="22"/>
          <w:szCs w:val="22"/>
        </w:rPr>
        <w:t xml:space="preserve"> </w:t>
      </w:r>
      <w:r w:rsidRPr="003F3DAC">
        <w:rPr>
          <w:rFonts w:ascii="Arial" w:hAnsi="Arial"/>
          <w:sz w:val="22"/>
          <w:szCs w:val="22"/>
        </w:rPr>
        <w:t>testosterone</w:t>
      </w:r>
      <w:r>
        <w:rPr>
          <w:rFonts w:ascii="Arial" w:hAnsi="Arial"/>
          <w:sz w:val="22"/>
          <w:szCs w:val="22"/>
        </w:rPr>
        <w:t xml:space="preserve"> </w:t>
      </w:r>
      <w:r w:rsidRPr="003F3DAC">
        <w:rPr>
          <w:rFonts w:ascii="Arial" w:hAnsi="Arial"/>
          <w:sz w:val="22"/>
          <w:szCs w:val="22"/>
        </w:rPr>
        <w:t>prescription</w:t>
      </w:r>
      <w:r>
        <w:rPr>
          <w:rFonts w:ascii="Arial" w:hAnsi="Arial"/>
          <w:sz w:val="22"/>
          <w:szCs w:val="22"/>
        </w:rPr>
        <w:t xml:space="preserve"> </w:t>
      </w:r>
      <w:r w:rsidRPr="003F3DAC">
        <w:rPr>
          <w:rFonts w:ascii="Arial" w:hAnsi="Arial"/>
          <w:sz w:val="22"/>
          <w:szCs w:val="22"/>
        </w:rPr>
        <w:t>who</w:t>
      </w:r>
      <w:r>
        <w:rPr>
          <w:rFonts w:ascii="Arial" w:hAnsi="Arial"/>
          <w:sz w:val="22"/>
          <w:szCs w:val="22"/>
        </w:rPr>
        <w:t xml:space="preserve"> </w:t>
      </w:r>
      <w:r w:rsidRPr="003F3DAC">
        <w:rPr>
          <w:rFonts w:ascii="Arial" w:hAnsi="Arial"/>
          <w:sz w:val="22"/>
          <w:szCs w:val="22"/>
        </w:rPr>
        <w:t>are</w:t>
      </w:r>
      <w:r>
        <w:rPr>
          <w:rFonts w:ascii="Arial" w:hAnsi="Arial"/>
          <w:sz w:val="22"/>
          <w:szCs w:val="22"/>
        </w:rPr>
        <w:t xml:space="preserve"> </w:t>
      </w:r>
      <w:r w:rsidRPr="003F3DAC">
        <w:rPr>
          <w:rFonts w:ascii="Arial" w:hAnsi="Arial"/>
          <w:sz w:val="22"/>
          <w:szCs w:val="22"/>
        </w:rPr>
        <w:t>thus</w:t>
      </w:r>
      <w:r>
        <w:rPr>
          <w:rFonts w:ascii="Arial" w:hAnsi="Arial"/>
          <w:sz w:val="22"/>
          <w:szCs w:val="22"/>
        </w:rPr>
        <w:t xml:space="preserve"> </w:t>
      </w:r>
      <w:r w:rsidRPr="003F3DAC">
        <w:rPr>
          <w:rFonts w:ascii="Arial" w:hAnsi="Arial"/>
          <w:sz w:val="22"/>
          <w:szCs w:val="22"/>
        </w:rPr>
        <w:t>unable</w:t>
      </w:r>
      <w:r>
        <w:rPr>
          <w:rFonts w:ascii="Arial" w:hAnsi="Arial"/>
          <w:sz w:val="22"/>
          <w:szCs w:val="22"/>
        </w:rPr>
        <w:t xml:space="preserve"> </w:t>
      </w:r>
      <w:r w:rsidRPr="003F3DAC">
        <w:rPr>
          <w:rFonts w:ascii="Arial" w:hAnsi="Arial"/>
          <w:sz w:val="22"/>
          <w:szCs w:val="22"/>
        </w:rPr>
        <w:t>to</w:t>
      </w:r>
      <w:r>
        <w:rPr>
          <w:rFonts w:ascii="Arial" w:hAnsi="Arial"/>
          <w:sz w:val="22"/>
          <w:szCs w:val="22"/>
        </w:rPr>
        <w:t xml:space="preserve"> </w:t>
      </w:r>
      <w:r w:rsidRPr="003F3DAC">
        <w:rPr>
          <w:rFonts w:ascii="Arial" w:hAnsi="Arial"/>
          <w:sz w:val="22"/>
          <w:szCs w:val="22"/>
        </w:rPr>
        <w:t>document</w:t>
      </w:r>
      <w:r>
        <w:rPr>
          <w:rFonts w:ascii="Arial" w:hAnsi="Arial"/>
          <w:sz w:val="22"/>
          <w:szCs w:val="22"/>
        </w:rPr>
        <w:t xml:space="preserve"> </w:t>
      </w:r>
      <w:r w:rsidRPr="003F3DAC">
        <w:rPr>
          <w:rFonts w:ascii="Arial" w:hAnsi="Arial"/>
          <w:sz w:val="22"/>
          <w:szCs w:val="22"/>
        </w:rPr>
        <w:t>low</w:t>
      </w:r>
      <w:r>
        <w:rPr>
          <w:rFonts w:ascii="Arial" w:hAnsi="Arial"/>
          <w:sz w:val="22"/>
          <w:szCs w:val="22"/>
        </w:rPr>
        <w:t xml:space="preserve"> </w:t>
      </w:r>
      <w:r w:rsidRPr="003F3DAC">
        <w:rPr>
          <w:rFonts w:ascii="Arial" w:hAnsi="Arial"/>
          <w:sz w:val="22"/>
          <w:szCs w:val="22"/>
        </w:rPr>
        <w:t>testosterone</w:t>
      </w:r>
      <w:r>
        <w:rPr>
          <w:rFonts w:ascii="Arial" w:hAnsi="Arial"/>
          <w:sz w:val="22"/>
          <w:szCs w:val="22"/>
        </w:rPr>
        <w:t xml:space="preserve"> </w:t>
      </w:r>
      <w:r w:rsidRPr="003F3DAC">
        <w:rPr>
          <w:rFonts w:ascii="Arial" w:hAnsi="Arial"/>
          <w:sz w:val="22"/>
          <w:szCs w:val="22"/>
        </w:rPr>
        <w:t>despite</w:t>
      </w:r>
      <w:r>
        <w:rPr>
          <w:rFonts w:ascii="Arial" w:hAnsi="Arial"/>
          <w:sz w:val="22"/>
          <w:szCs w:val="22"/>
        </w:rPr>
        <w:t xml:space="preserve"> </w:t>
      </w:r>
      <w:r w:rsidRPr="003F3DAC">
        <w:rPr>
          <w:rFonts w:ascii="Arial" w:hAnsi="Arial"/>
          <w:sz w:val="22"/>
          <w:szCs w:val="22"/>
        </w:rPr>
        <w:t>requiring</w:t>
      </w:r>
      <w:r>
        <w:rPr>
          <w:rFonts w:ascii="Arial" w:hAnsi="Arial"/>
          <w:sz w:val="22"/>
          <w:szCs w:val="22"/>
        </w:rPr>
        <w:t xml:space="preserve"> </w:t>
      </w:r>
      <w:r w:rsidRPr="003F3DAC">
        <w:rPr>
          <w:rFonts w:ascii="Arial" w:hAnsi="Arial"/>
          <w:sz w:val="22"/>
          <w:szCs w:val="22"/>
        </w:rPr>
        <w:t>ongoing,</w:t>
      </w:r>
      <w:r>
        <w:rPr>
          <w:rFonts w:ascii="Arial" w:hAnsi="Arial"/>
          <w:sz w:val="22"/>
          <w:szCs w:val="22"/>
        </w:rPr>
        <w:t xml:space="preserve"> </w:t>
      </w:r>
      <w:r w:rsidRPr="003F3DAC">
        <w:rPr>
          <w:rFonts w:ascii="Arial" w:hAnsi="Arial"/>
          <w:sz w:val="22"/>
          <w:szCs w:val="22"/>
        </w:rPr>
        <w:t>lifelong</w:t>
      </w:r>
      <w:r>
        <w:rPr>
          <w:rFonts w:ascii="Arial" w:hAnsi="Arial"/>
          <w:sz w:val="22"/>
          <w:szCs w:val="22"/>
        </w:rPr>
        <w:t xml:space="preserve"> </w:t>
      </w:r>
      <w:r w:rsidRPr="003F3DAC">
        <w:rPr>
          <w:rFonts w:ascii="Arial" w:hAnsi="Arial"/>
          <w:sz w:val="22"/>
          <w:szCs w:val="22"/>
        </w:rPr>
        <w:t>administration</w:t>
      </w:r>
      <w:r>
        <w:rPr>
          <w:rFonts w:ascii="Arial" w:hAnsi="Arial"/>
          <w:sz w:val="22"/>
          <w:szCs w:val="22"/>
        </w:rPr>
        <w:t xml:space="preserve"> </w:t>
      </w:r>
      <w:r w:rsidRPr="003F3DAC">
        <w:rPr>
          <w:rFonts w:ascii="Arial" w:hAnsi="Arial"/>
          <w:sz w:val="22"/>
          <w:szCs w:val="22"/>
        </w:rPr>
        <w:t>of</w:t>
      </w:r>
      <w:r>
        <w:rPr>
          <w:rFonts w:ascii="Arial" w:hAnsi="Arial"/>
          <w:sz w:val="22"/>
          <w:szCs w:val="22"/>
        </w:rPr>
        <w:t xml:space="preserve"> </w:t>
      </w:r>
      <w:r w:rsidRPr="003F3DAC">
        <w:rPr>
          <w:rFonts w:ascii="Arial" w:hAnsi="Arial"/>
          <w:sz w:val="22"/>
          <w:szCs w:val="22"/>
        </w:rPr>
        <w:t>testosterone ;</w:t>
      </w:r>
    </w:p>
    <w:p w:rsidR="00BB4DB8" w:rsidRPr="00DF53DD" w:rsidRDefault="00BB4DB8" w:rsidP="00BB4DB8">
      <w:pPr>
        <w:pStyle w:val="ListParagraph"/>
        <w:numPr>
          <w:ilvl w:val="0"/>
          <w:numId w:val="45"/>
        </w:numPr>
        <w:ind w:left="1134" w:hanging="425"/>
        <w:jc w:val="both"/>
        <w:rPr>
          <w:rFonts w:ascii="Arial" w:hAnsi="Arial"/>
          <w:b/>
          <w:sz w:val="22"/>
          <w:szCs w:val="22"/>
        </w:rPr>
      </w:pPr>
      <w:r>
        <w:rPr>
          <w:rFonts w:ascii="Arial" w:hAnsi="Arial"/>
          <w:sz w:val="22"/>
          <w:szCs w:val="22"/>
        </w:rPr>
        <w:t xml:space="preserve">undergoing gender affirmation; and  </w:t>
      </w:r>
    </w:p>
    <w:p w:rsidR="00BB4DB8" w:rsidRPr="002223CA" w:rsidRDefault="00BB4DB8" w:rsidP="00BB4DB8">
      <w:pPr>
        <w:pStyle w:val="ListParagraph"/>
        <w:numPr>
          <w:ilvl w:val="0"/>
          <w:numId w:val="45"/>
        </w:numPr>
        <w:ind w:left="1134" w:hanging="425"/>
        <w:jc w:val="both"/>
        <w:rPr>
          <w:rFonts w:ascii="Arial" w:hAnsi="Arial"/>
          <w:b/>
          <w:sz w:val="22"/>
          <w:szCs w:val="22"/>
        </w:rPr>
      </w:pPr>
      <w:proofErr w:type="gramStart"/>
      <w:r w:rsidRPr="00DB3E0F">
        <w:rPr>
          <w:rFonts w:ascii="Arial" w:hAnsi="Arial"/>
          <w:sz w:val="22"/>
          <w:szCs w:val="22"/>
        </w:rPr>
        <w:t>with</w:t>
      </w:r>
      <w:proofErr w:type="gramEnd"/>
      <w:r w:rsidRPr="00DB3E0F">
        <w:rPr>
          <w:rFonts w:ascii="Arial" w:hAnsi="Arial"/>
          <w:sz w:val="22"/>
          <w:szCs w:val="22"/>
        </w:rPr>
        <w:t xml:space="preserve"> intersex characteristics who give informed consent on their own behalf</w:t>
      </w:r>
      <w:r>
        <w:rPr>
          <w:rFonts w:ascii="Arial" w:hAnsi="Arial"/>
          <w:sz w:val="22"/>
          <w:szCs w:val="22"/>
        </w:rPr>
        <w:t xml:space="preserve"> (excluding involuntary and coerced treatment of patients with intersex variations).</w:t>
      </w:r>
    </w:p>
    <w:p w:rsidR="00BB4DB8" w:rsidRPr="002223CA" w:rsidRDefault="00BB4DB8" w:rsidP="00BB4DB8">
      <w:pPr>
        <w:jc w:val="both"/>
        <w:rPr>
          <w:rFonts w:ascii="Arial" w:hAnsi="Arial"/>
          <w:b/>
          <w:sz w:val="22"/>
          <w:szCs w:val="22"/>
        </w:rPr>
      </w:pPr>
    </w:p>
    <w:p w:rsidR="00BB4DB8" w:rsidRPr="002223CA" w:rsidRDefault="00BB4DB8" w:rsidP="00BB4DB8">
      <w:pPr>
        <w:pStyle w:val="ListParagraph"/>
        <w:numPr>
          <w:ilvl w:val="1"/>
          <w:numId w:val="25"/>
        </w:numPr>
        <w:jc w:val="both"/>
        <w:rPr>
          <w:rFonts w:ascii="Arial" w:hAnsi="Arial"/>
          <w:sz w:val="22"/>
          <w:szCs w:val="22"/>
        </w:rPr>
      </w:pPr>
      <w:r>
        <w:rPr>
          <w:rFonts w:ascii="Arial" w:hAnsi="Arial"/>
          <w:sz w:val="22"/>
          <w:szCs w:val="22"/>
        </w:rPr>
        <w:t xml:space="preserve">The submission requested that </w:t>
      </w:r>
      <w:r w:rsidRPr="002223CA">
        <w:rPr>
          <w:rFonts w:ascii="Arial" w:hAnsi="Arial"/>
          <w:sz w:val="22"/>
          <w:szCs w:val="22"/>
        </w:rPr>
        <w:t>GP consultation with a (non</w:t>
      </w:r>
      <w:r>
        <w:rPr>
          <w:rFonts w:ascii="Arial" w:hAnsi="Arial"/>
          <w:sz w:val="22"/>
          <w:szCs w:val="22"/>
        </w:rPr>
        <w:t>-</w:t>
      </w:r>
      <w:r w:rsidRPr="002223CA">
        <w:rPr>
          <w:rFonts w:ascii="Arial" w:hAnsi="Arial"/>
          <w:sz w:val="22"/>
          <w:szCs w:val="22"/>
        </w:rPr>
        <w:t>GP) specialist for populations a, b, and c (above) should only be required where BOTH of the following two criteria are met:</w:t>
      </w:r>
    </w:p>
    <w:p w:rsidR="00BB4DB8" w:rsidRPr="002223CA" w:rsidRDefault="00BB4DB8" w:rsidP="00BB4DB8">
      <w:pPr>
        <w:pStyle w:val="ListParagraph"/>
        <w:numPr>
          <w:ilvl w:val="0"/>
          <w:numId w:val="49"/>
        </w:numPr>
        <w:ind w:left="1134" w:hanging="425"/>
        <w:jc w:val="both"/>
        <w:rPr>
          <w:rFonts w:ascii="Arial" w:hAnsi="Arial"/>
          <w:sz w:val="22"/>
          <w:szCs w:val="22"/>
        </w:rPr>
      </w:pPr>
      <w:r w:rsidRPr="002223CA">
        <w:rPr>
          <w:rFonts w:ascii="Arial" w:hAnsi="Arial"/>
          <w:sz w:val="22"/>
          <w:szCs w:val="22"/>
        </w:rPr>
        <w:t>routine monitoring or indicated assessment identifies a medical need beyond the individual</w:t>
      </w:r>
      <w:r>
        <w:rPr>
          <w:rFonts w:ascii="Arial" w:hAnsi="Arial"/>
          <w:sz w:val="22"/>
          <w:szCs w:val="22"/>
        </w:rPr>
        <w:t xml:space="preserve"> </w:t>
      </w:r>
      <w:r w:rsidRPr="002223CA">
        <w:rPr>
          <w:rFonts w:ascii="Arial" w:hAnsi="Arial"/>
          <w:sz w:val="22"/>
          <w:szCs w:val="22"/>
        </w:rPr>
        <w:t>GPs scope of practice and experience, as determined on a case-by-case basis; and</w:t>
      </w:r>
    </w:p>
    <w:p w:rsidR="00BB4DB8" w:rsidRPr="002223CA" w:rsidRDefault="00BB4DB8" w:rsidP="00BB4DB8">
      <w:pPr>
        <w:pStyle w:val="ListParagraph"/>
        <w:numPr>
          <w:ilvl w:val="0"/>
          <w:numId w:val="49"/>
        </w:numPr>
        <w:ind w:left="1134" w:hanging="425"/>
        <w:jc w:val="both"/>
        <w:rPr>
          <w:rFonts w:ascii="Arial" w:hAnsi="Arial"/>
          <w:sz w:val="22"/>
          <w:szCs w:val="22"/>
        </w:rPr>
      </w:pPr>
      <w:proofErr w:type="gramStart"/>
      <w:r w:rsidRPr="002223CA">
        <w:rPr>
          <w:rFonts w:ascii="Arial" w:hAnsi="Arial"/>
          <w:sz w:val="22"/>
          <w:szCs w:val="22"/>
        </w:rPr>
        <w:t>the</w:t>
      </w:r>
      <w:proofErr w:type="gramEnd"/>
      <w:r w:rsidRPr="002223CA">
        <w:rPr>
          <w:rFonts w:ascii="Arial" w:hAnsi="Arial"/>
          <w:sz w:val="22"/>
          <w:szCs w:val="22"/>
        </w:rPr>
        <w:t xml:space="preserve"> consultation is with a specialist endocrinologist with specific expertise in testosterone therapy for the specific patient population (e.g., an endocrinologist with specific expertise in testosterone therapy for trans men will be consulted in the case of a trans man patient).</w:t>
      </w:r>
    </w:p>
    <w:p w:rsidR="00BB4DB8" w:rsidRDefault="00BB4DB8" w:rsidP="00BB4DB8">
      <w:pPr>
        <w:pStyle w:val="NoSpacing"/>
      </w:pPr>
    </w:p>
    <w:p w:rsidR="00BB4DB8" w:rsidRDefault="00BB4DB8" w:rsidP="00BB4DB8">
      <w:pPr>
        <w:pStyle w:val="ListParagraph"/>
        <w:numPr>
          <w:ilvl w:val="1"/>
          <w:numId w:val="25"/>
        </w:numPr>
        <w:jc w:val="both"/>
        <w:rPr>
          <w:rFonts w:ascii="Arial" w:hAnsi="Arial"/>
          <w:sz w:val="22"/>
          <w:szCs w:val="22"/>
        </w:rPr>
      </w:pPr>
      <w:r w:rsidRPr="002223CA">
        <w:rPr>
          <w:rFonts w:ascii="Arial" w:hAnsi="Arial"/>
          <w:sz w:val="22"/>
          <w:szCs w:val="22"/>
        </w:rPr>
        <w:t xml:space="preserve">In addition, the </w:t>
      </w:r>
      <w:r>
        <w:rPr>
          <w:rFonts w:ascii="Arial" w:hAnsi="Arial"/>
          <w:sz w:val="22"/>
          <w:szCs w:val="22"/>
        </w:rPr>
        <w:t>submission requested changes to the restriction to comply with federal anti-discrimination legislation:</w:t>
      </w:r>
    </w:p>
    <w:p w:rsidR="00BB4DB8" w:rsidRDefault="00BB4DB8" w:rsidP="004C4781">
      <w:pPr>
        <w:pStyle w:val="ListParagraph"/>
        <w:numPr>
          <w:ilvl w:val="0"/>
          <w:numId w:val="51"/>
        </w:numPr>
        <w:ind w:left="1134" w:hanging="425"/>
        <w:jc w:val="both"/>
        <w:rPr>
          <w:rFonts w:ascii="Arial" w:hAnsi="Arial"/>
          <w:sz w:val="22"/>
          <w:szCs w:val="22"/>
        </w:rPr>
      </w:pPr>
      <w:r>
        <w:rPr>
          <w:rFonts w:ascii="Arial" w:hAnsi="Arial"/>
          <w:sz w:val="22"/>
          <w:szCs w:val="22"/>
        </w:rPr>
        <w:t>the removal of the requirement for patients prescribed testosterone to be “male”;</w:t>
      </w:r>
    </w:p>
    <w:p w:rsidR="00646483" w:rsidRDefault="00BB4DB8" w:rsidP="004C4781">
      <w:pPr>
        <w:pStyle w:val="ListParagraph"/>
        <w:numPr>
          <w:ilvl w:val="0"/>
          <w:numId w:val="51"/>
        </w:numPr>
        <w:ind w:left="1134" w:hanging="425"/>
        <w:jc w:val="both"/>
        <w:rPr>
          <w:rFonts w:ascii="Arial" w:hAnsi="Arial"/>
          <w:sz w:val="22"/>
          <w:szCs w:val="22"/>
        </w:rPr>
      </w:pPr>
      <w:r>
        <w:rPr>
          <w:rFonts w:ascii="Arial" w:hAnsi="Arial"/>
          <w:sz w:val="22"/>
          <w:szCs w:val="22"/>
        </w:rPr>
        <w:t xml:space="preserve">restrict testosterone prescribing on the PBS by endocrinologists, urologists, and sexual health </w:t>
      </w:r>
      <w:r w:rsidRPr="00DB3E0F">
        <w:rPr>
          <w:rFonts w:ascii="Arial" w:hAnsi="Arial"/>
          <w:sz w:val="22"/>
          <w:szCs w:val="22"/>
        </w:rPr>
        <w:t>physicians for patients with intersex characteristics to only those who have given informed consent on their own behalf, inclu</w:t>
      </w:r>
      <w:r>
        <w:rPr>
          <w:rFonts w:ascii="Arial" w:hAnsi="Arial"/>
          <w:sz w:val="22"/>
          <w:szCs w:val="22"/>
        </w:rPr>
        <w:t xml:space="preserve">ding paediatric puberty induction and </w:t>
      </w:r>
      <w:proofErr w:type="spellStart"/>
      <w:r>
        <w:rPr>
          <w:rFonts w:ascii="Arial" w:hAnsi="Arial"/>
          <w:sz w:val="22"/>
          <w:szCs w:val="22"/>
        </w:rPr>
        <w:t>micropenis</w:t>
      </w:r>
      <w:proofErr w:type="spellEnd"/>
      <w:r>
        <w:rPr>
          <w:rFonts w:ascii="Arial" w:hAnsi="Arial"/>
          <w:sz w:val="22"/>
          <w:szCs w:val="22"/>
        </w:rPr>
        <w:t>; and</w:t>
      </w:r>
    </w:p>
    <w:p w:rsidR="00BB4DB8" w:rsidRPr="004C4781" w:rsidRDefault="00BB4DB8" w:rsidP="004C4781">
      <w:pPr>
        <w:pStyle w:val="ListParagraph"/>
        <w:numPr>
          <w:ilvl w:val="0"/>
          <w:numId w:val="51"/>
        </w:numPr>
        <w:ind w:left="1134" w:hanging="425"/>
        <w:jc w:val="both"/>
        <w:rPr>
          <w:rFonts w:ascii="Arial" w:hAnsi="Arial"/>
          <w:sz w:val="22"/>
          <w:szCs w:val="22"/>
        </w:rPr>
      </w:pPr>
      <w:proofErr w:type="gramStart"/>
      <w:r w:rsidRPr="004C4781">
        <w:rPr>
          <w:rFonts w:ascii="Arial" w:hAnsi="Arial"/>
          <w:sz w:val="22"/>
          <w:szCs w:val="22"/>
        </w:rPr>
        <w:lastRenderedPageBreak/>
        <w:t>permit</w:t>
      </w:r>
      <w:proofErr w:type="gramEnd"/>
      <w:r w:rsidRPr="004C4781">
        <w:rPr>
          <w:rFonts w:ascii="Arial" w:hAnsi="Arial"/>
          <w:sz w:val="22"/>
          <w:szCs w:val="22"/>
        </w:rPr>
        <w:t xml:space="preserve"> testosterone prescribing on the PBS for puberty induction and </w:t>
      </w:r>
      <w:proofErr w:type="spellStart"/>
      <w:r w:rsidRPr="004C4781">
        <w:rPr>
          <w:rFonts w:ascii="Arial" w:hAnsi="Arial"/>
          <w:sz w:val="22"/>
          <w:szCs w:val="22"/>
        </w:rPr>
        <w:t>micropenis</w:t>
      </w:r>
      <w:proofErr w:type="spellEnd"/>
      <w:r w:rsidRPr="004C4781">
        <w:rPr>
          <w:rFonts w:ascii="Arial" w:hAnsi="Arial"/>
          <w:sz w:val="22"/>
          <w:szCs w:val="22"/>
        </w:rPr>
        <w:t xml:space="preserve"> for patients with intersex variations who are over 18 years of age and can give informed consent on their own behalf.</w:t>
      </w:r>
    </w:p>
    <w:p w:rsidR="00BB4DB8" w:rsidRDefault="00BB4DB8" w:rsidP="004C4781">
      <w:pPr>
        <w:pStyle w:val="ListParagraph"/>
        <w:jc w:val="both"/>
        <w:rPr>
          <w:rFonts w:ascii="Arial" w:hAnsi="Arial"/>
          <w:sz w:val="22"/>
          <w:szCs w:val="22"/>
        </w:rPr>
      </w:pPr>
    </w:p>
    <w:p w:rsidR="00BB7EC3" w:rsidRPr="00882085" w:rsidRDefault="00BB7EC3" w:rsidP="00882085">
      <w:pPr>
        <w:jc w:val="both"/>
        <w:rPr>
          <w:rFonts w:ascii="Arial" w:hAnsi="Arial"/>
          <w:b/>
          <w:sz w:val="22"/>
          <w:szCs w:val="22"/>
        </w:rPr>
      </w:pPr>
    </w:p>
    <w:p w:rsidR="00CE10C4" w:rsidRPr="00882085" w:rsidRDefault="00CE10C4" w:rsidP="002B027D">
      <w:pPr>
        <w:pStyle w:val="PSDheading1"/>
      </w:pPr>
      <w:r w:rsidRPr="00882085">
        <w:t>Background</w:t>
      </w:r>
    </w:p>
    <w:p w:rsidR="000F6186" w:rsidRPr="00614432" w:rsidRDefault="000F6186" w:rsidP="00614432">
      <w:pPr>
        <w:jc w:val="both"/>
        <w:rPr>
          <w:rFonts w:ascii="Arial" w:hAnsi="Arial"/>
          <w:sz w:val="22"/>
          <w:szCs w:val="22"/>
        </w:rPr>
      </w:pPr>
    </w:p>
    <w:p w:rsidR="00766FB8" w:rsidRPr="00766FB8" w:rsidRDefault="00766FB8" w:rsidP="00766FB8">
      <w:pPr>
        <w:pStyle w:val="ListParagraph"/>
        <w:numPr>
          <w:ilvl w:val="1"/>
          <w:numId w:val="25"/>
        </w:numPr>
        <w:jc w:val="both"/>
        <w:rPr>
          <w:rFonts w:ascii="Arial" w:hAnsi="Arial"/>
          <w:sz w:val="22"/>
          <w:szCs w:val="22"/>
        </w:rPr>
      </w:pPr>
      <w:r w:rsidRPr="00766FB8">
        <w:rPr>
          <w:rFonts w:ascii="Arial" w:hAnsi="Arial"/>
          <w:bCs/>
          <w:sz w:val="22"/>
          <w:szCs w:val="22"/>
        </w:rPr>
        <w:t xml:space="preserve">At its October 2012 meeting, the Drug Utilisation Sub-Committee (DUSC) reviewed the utilisation of PBS listed testosterone. The analysis highlighted that utilisation of testosterone had doubled over the previous five years, that there was a trend towards more general practitioners (GPs) initiating therapy, and that there may have been some use of testosterone that was not within the PBS restriction. </w:t>
      </w:r>
    </w:p>
    <w:p w:rsidR="00766FB8" w:rsidRPr="00766FB8" w:rsidRDefault="00766FB8" w:rsidP="00766FB8">
      <w:pPr>
        <w:pStyle w:val="ListParagraph"/>
        <w:jc w:val="both"/>
        <w:rPr>
          <w:rFonts w:ascii="Arial" w:hAnsi="Arial"/>
          <w:sz w:val="22"/>
          <w:szCs w:val="22"/>
        </w:rPr>
      </w:pPr>
    </w:p>
    <w:p w:rsidR="00766FB8" w:rsidRPr="00766FB8" w:rsidRDefault="00766FB8" w:rsidP="00766FB8">
      <w:pPr>
        <w:pStyle w:val="ListParagraph"/>
        <w:numPr>
          <w:ilvl w:val="1"/>
          <w:numId w:val="25"/>
        </w:numPr>
        <w:jc w:val="both"/>
        <w:rPr>
          <w:rFonts w:ascii="Arial" w:hAnsi="Arial"/>
          <w:sz w:val="22"/>
          <w:szCs w:val="22"/>
        </w:rPr>
      </w:pPr>
      <w:r w:rsidRPr="00766FB8">
        <w:rPr>
          <w:rFonts w:ascii="Arial" w:hAnsi="Arial"/>
          <w:bCs/>
          <w:sz w:val="22"/>
          <w:szCs w:val="22"/>
        </w:rPr>
        <w:t xml:space="preserve">In its August 2013 consideration of the DUSC analysis report, the PBAC noted that though the proportion of GPs writing the first testosterone prescription for a patient increased only slightly (62% in 2005 to 68% in 2011), almost all of the growth in new patients treated was due to initiations by GPs(84%), rather than by specialists. </w:t>
      </w:r>
    </w:p>
    <w:p w:rsidR="00766FB8" w:rsidRPr="00766FB8" w:rsidRDefault="00766FB8" w:rsidP="00766FB8">
      <w:pPr>
        <w:pStyle w:val="ListParagraph"/>
        <w:rPr>
          <w:rFonts w:ascii="Arial" w:hAnsi="Arial"/>
          <w:bCs/>
          <w:sz w:val="22"/>
          <w:szCs w:val="22"/>
        </w:rPr>
      </w:pPr>
    </w:p>
    <w:p w:rsidR="00766FB8" w:rsidRPr="00766FB8" w:rsidRDefault="00766FB8" w:rsidP="00766FB8">
      <w:pPr>
        <w:pStyle w:val="ListParagraph"/>
        <w:numPr>
          <w:ilvl w:val="1"/>
          <w:numId w:val="25"/>
        </w:numPr>
        <w:jc w:val="both"/>
        <w:rPr>
          <w:rFonts w:ascii="Arial" w:hAnsi="Arial"/>
          <w:sz w:val="22"/>
          <w:szCs w:val="22"/>
        </w:rPr>
      </w:pPr>
      <w:r w:rsidRPr="00766FB8">
        <w:rPr>
          <w:rFonts w:ascii="Arial" w:hAnsi="Arial"/>
          <w:bCs/>
          <w:sz w:val="22"/>
          <w:szCs w:val="22"/>
        </w:rPr>
        <w:t xml:space="preserve">In July 2014, the PBAC made recommendations regarding the PBS restrictions for testosterone products, including: </w:t>
      </w:r>
    </w:p>
    <w:p w:rsidR="00766FB8" w:rsidRPr="00766FB8" w:rsidRDefault="00766FB8" w:rsidP="00614432">
      <w:pPr>
        <w:pStyle w:val="ListParagraph"/>
        <w:numPr>
          <w:ilvl w:val="0"/>
          <w:numId w:val="57"/>
        </w:numPr>
        <w:ind w:left="993" w:hanging="284"/>
        <w:jc w:val="both"/>
        <w:rPr>
          <w:rFonts w:ascii="Arial" w:hAnsi="Arial"/>
          <w:bCs/>
          <w:sz w:val="22"/>
          <w:szCs w:val="22"/>
        </w:rPr>
      </w:pPr>
      <w:r w:rsidRPr="00766FB8">
        <w:rPr>
          <w:rFonts w:ascii="Arial" w:hAnsi="Arial"/>
          <w:bCs/>
          <w:sz w:val="22"/>
          <w:szCs w:val="22"/>
        </w:rPr>
        <w:t xml:space="preserve">Patients prescribed testosterone must be treated by one of the following specialists; </w:t>
      </w:r>
    </w:p>
    <w:p w:rsidR="00766FB8" w:rsidRPr="00766FB8" w:rsidRDefault="00766FB8" w:rsidP="00614432">
      <w:pPr>
        <w:pStyle w:val="ListParagraph"/>
        <w:numPr>
          <w:ilvl w:val="1"/>
          <w:numId w:val="57"/>
        </w:numPr>
        <w:ind w:left="1276" w:hanging="283"/>
        <w:jc w:val="both"/>
        <w:rPr>
          <w:rFonts w:ascii="Arial" w:hAnsi="Arial"/>
          <w:bCs/>
          <w:sz w:val="22"/>
          <w:szCs w:val="22"/>
        </w:rPr>
      </w:pPr>
      <w:r w:rsidRPr="00766FB8">
        <w:rPr>
          <w:rFonts w:ascii="Arial" w:hAnsi="Arial"/>
          <w:bCs/>
          <w:sz w:val="22"/>
          <w:szCs w:val="22"/>
        </w:rPr>
        <w:t xml:space="preserve">paediatric endocrinologist, specialist paediatrician, specialist general paediatrician specialist endocrinologist, specialist urologist; or </w:t>
      </w:r>
    </w:p>
    <w:p w:rsidR="00766FB8" w:rsidRPr="00766FB8" w:rsidRDefault="00766FB8" w:rsidP="00614432">
      <w:pPr>
        <w:pStyle w:val="ListParagraph"/>
        <w:numPr>
          <w:ilvl w:val="0"/>
          <w:numId w:val="57"/>
        </w:numPr>
        <w:ind w:left="993" w:hanging="284"/>
        <w:jc w:val="both"/>
        <w:rPr>
          <w:rFonts w:ascii="Arial" w:hAnsi="Arial"/>
          <w:bCs/>
          <w:sz w:val="22"/>
          <w:szCs w:val="22"/>
        </w:rPr>
      </w:pPr>
      <w:r w:rsidRPr="00766FB8">
        <w:rPr>
          <w:rFonts w:ascii="Arial" w:hAnsi="Arial"/>
          <w:bCs/>
          <w:sz w:val="22"/>
          <w:szCs w:val="22"/>
        </w:rPr>
        <w:t xml:space="preserve">Patients must be treated by a GP in consultation with one of the above specialists; or </w:t>
      </w:r>
    </w:p>
    <w:p w:rsidR="00766FB8" w:rsidRPr="00766FB8" w:rsidRDefault="00766FB8" w:rsidP="00614432">
      <w:pPr>
        <w:pStyle w:val="ListParagraph"/>
        <w:numPr>
          <w:ilvl w:val="0"/>
          <w:numId w:val="57"/>
        </w:numPr>
        <w:ind w:left="993" w:hanging="284"/>
        <w:jc w:val="both"/>
        <w:rPr>
          <w:rFonts w:ascii="Arial" w:hAnsi="Arial"/>
          <w:bCs/>
          <w:sz w:val="22"/>
          <w:szCs w:val="22"/>
        </w:rPr>
      </w:pPr>
      <w:r w:rsidRPr="00766FB8">
        <w:rPr>
          <w:rFonts w:ascii="Arial" w:hAnsi="Arial"/>
          <w:bCs/>
          <w:sz w:val="22"/>
          <w:szCs w:val="22"/>
        </w:rPr>
        <w:t xml:space="preserve">Patients must have an appointment to </w:t>
      </w:r>
      <w:proofErr w:type="gramStart"/>
      <w:r w:rsidRPr="00766FB8">
        <w:rPr>
          <w:rFonts w:ascii="Arial" w:hAnsi="Arial"/>
          <w:bCs/>
          <w:sz w:val="22"/>
          <w:szCs w:val="22"/>
        </w:rPr>
        <w:t>be assessed</w:t>
      </w:r>
      <w:proofErr w:type="gramEnd"/>
      <w:r w:rsidRPr="00766FB8">
        <w:rPr>
          <w:rFonts w:ascii="Arial" w:hAnsi="Arial"/>
          <w:bCs/>
          <w:sz w:val="22"/>
          <w:szCs w:val="22"/>
        </w:rPr>
        <w:t xml:space="preserve"> by one of the aforementioned specialists. </w:t>
      </w:r>
    </w:p>
    <w:p w:rsidR="00766FB8" w:rsidRDefault="00766FB8" w:rsidP="00766FB8">
      <w:pPr>
        <w:pStyle w:val="ListParagraph"/>
        <w:jc w:val="both"/>
        <w:rPr>
          <w:rFonts w:ascii="Arial" w:hAnsi="Arial"/>
          <w:bCs/>
          <w:sz w:val="22"/>
          <w:szCs w:val="22"/>
        </w:rPr>
      </w:pPr>
    </w:p>
    <w:p w:rsidR="00766FB8" w:rsidRPr="00766FB8" w:rsidRDefault="00766FB8" w:rsidP="00766FB8">
      <w:pPr>
        <w:pStyle w:val="ListParagraph"/>
        <w:numPr>
          <w:ilvl w:val="1"/>
          <w:numId w:val="25"/>
        </w:numPr>
        <w:jc w:val="both"/>
        <w:rPr>
          <w:rFonts w:ascii="Arial" w:hAnsi="Arial"/>
          <w:sz w:val="22"/>
          <w:szCs w:val="22"/>
        </w:rPr>
      </w:pPr>
      <w:r w:rsidRPr="00766FB8">
        <w:rPr>
          <w:rFonts w:ascii="Arial" w:hAnsi="Arial"/>
          <w:bCs/>
          <w:sz w:val="22"/>
          <w:szCs w:val="22"/>
        </w:rPr>
        <w:t xml:space="preserve">The revised restrictions recommended by the PBAC </w:t>
      </w:r>
      <w:proofErr w:type="gramStart"/>
      <w:r w:rsidRPr="00766FB8">
        <w:rPr>
          <w:rFonts w:ascii="Arial" w:hAnsi="Arial"/>
          <w:bCs/>
          <w:sz w:val="22"/>
          <w:szCs w:val="22"/>
        </w:rPr>
        <w:t>were implemented</w:t>
      </w:r>
      <w:proofErr w:type="gramEnd"/>
      <w:r w:rsidRPr="00766FB8">
        <w:rPr>
          <w:rFonts w:ascii="Arial" w:hAnsi="Arial"/>
          <w:bCs/>
          <w:sz w:val="22"/>
          <w:szCs w:val="22"/>
        </w:rPr>
        <w:t xml:space="preserve"> on 1 April 2015. </w:t>
      </w:r>
    </w:p>
    <w:p w:rsidR="00766FB8" w:rsidRPr="00766FB8" w:rsidRDefault="00766FB8" w:rsidP="00766FB8">
      <w:pPr>
        <w:pStyle w:val="ListParagraph"/>
        <w:jc w:val="both"/>
        <w:rPr>
          <w:rFonts w:ascii="Arial" w:hAnsi="Arial"/>
          <w:sz w:val="22"/>
          <w:szCs w:val="22"/>
        </w:rPr>
      </w:pPr>
    </w:p>
    <w:p w:rsidR="00766FB8" w:rsidRPr="00766FB8" w:rsidRDefault="00766FB8" w:rsidP="00766FB8">
      <w:pPr>
        <w:pStyle w:val="ListParagraph"/>
        <w:numPr>
          <w:ilvl w:val="1"/>
          <w:numId w:val="25"/>
        </w:numPr>
        <w:jc w:val="both"/>
        <w:rPr>
          <w:rFonts w:ascii="Arial" w:hAnsi="Arial"/>
          <w:sz w:val="22"/>
          <w:szCs w:val="22"/>
        </w:rPr>
      </w:pPr>
      <w:r w:rsidRPr="00766FB8">
        <w:rPr>
          <w:rFonts w:ascii="Arial" w:hAnsi="Arial"/>
          <w:bCs/>
          <w:sz w:val="22"/>
          <w:szCs w:val="22"/>
        </w:rPr>
        <w:t>In July 2015, the PBAC considered a minor submission from the National LGBTI Health Alliance (the Alliance) that requested changes to the newly revised PBS restrictions. The submission requested that the ability of GPs to prescribe testosterone without consultation with a specialist be restored when treating androgen deficiency in the following populations:</w:t>
      </w:r>
    </w:p>
    <w:p w:rsidR="00766FB8" w:rsidRPr="00766FB8" w:rsidRDefault="00766FB8" w:rsidP="00614432">
      <w:pPr>
        <w:pStyle w:val="ListParagraph"/>
        <w:numPr>
          <w:ilvl w:val="0"/>
          <w:numId w:val="57"/>
        </w:numPr>
        <w:ind w:left="993" w:hanging="284"/>
        <w:jc w:val="both"/>
        <w:rPr>
          <w:rFonts w:ascii="Arial" w:hAnsi="Arial"/>
          <w:bCs/>
          <w:sz w:val="22"/>
          <w:szCs w:val="22"/>
        </w:rPr>
      </w:pPr>
      <w:r w:rsidRPr="00766FB8">
        <w:rPr>
          <w:rFonts w:ascii="Arial" w:hAnsi="Arial"/>
          <w:bCs/>
          <w:sz w:val="22"/>
          <w:szCs w:val="22"/>
        </w:rPr>
        <w:t>Patients who cannot produce testosterone within the normal male range due to absent or non-functioning testes;</w:t>
      </w:r>
    </w:p>
    <w:p w:rsidR="00766FB8" w:rsidRPr="00766FB8" w:rsidRDefault="00766FB8" w:rsidP="00614432">
      <w:pPr>
        <w:pStyle w:val="ListParagraph"/>
        <w:numPr>
          <w:ilvl w:val="0"/>
          <w:numId w:val="57"/>
        </w:numPr>
        <w:ind w:left="993" w:hanging="284"/>
        <w:jc w:val="both"/>
        <w:rPr>
          <w:rFonts w:ascii="Arial" w:hAnsi="Arial"/>
          <w:bCs/>
          <w:sz w:val="22"/>
          <w:szCs w:val="22"/>
        </w:rPr>
      </w:pPr>
      <w:r w:rsidRPr="00766FB8">
        <w:rPr>
          <w:rFonts w:ascii="Arial" w:hAnsi="Arial"/>
          <w:bCs/>
          <w:sz w:val="22"/>
          <w:szCs w:val="22"/>
        </w:rPr>
        <w:t xml:space="preserve">Patients undergoing gender affirmation; and </w:t>
      </w:r>
    </w:p>
    <w:p w:rsidR="00766FB8" w:rsidRPr="00766FB8" w:rsidRDefault="00766FB8" w:rsidP="00614432">
      <w:pPr>
        <w:pStyle w:val="ListParagraph"/>
        <w:numPr>
          <w:ilvl w:val="0"/>
          <w:numId w:val="57"/>
        </w:numPr>
        <w:ind w:left="993" w:hanging="284"/>
        <w:jc w:val="both"/>
        <w:rPr>
          <w:rFonts w:ascii="Arial" w:hAnsi="Arial"/>
          <w:bCs/>
          <w:sz w:val="22"/>
          <w:szCs w:val="22"/>
        </w:rPr>
      </w:pPr>
      <w:r w:rsidRPr="00766FB8">
        <w:rPr>
          <w:rFonts w:ascii="Arial" w:hAnsi="Arial"/>
          <w:bCs/>
          <w:sz w:val="22"/>
          <w:szCs w:val="22"/>
        </w:rPr>
        <w:t xml:space="preserve">Patients with intersex characteristics who give informed consent on their own behalf. </w:t>
      </w:r>
    </w:p>
    <w:p w:rsidR="00766FB8" w:rsidRPr="00766FB8" w:rsidRDefault="00766FB8" w:rsidP="00766FB8">
      <w:pPr>
        <w:jc w:val="both"/>
        <w:rPr>
          <w:rFonts w:ascii="Arial" w:hAnsi="Arial"/>
          <w:bCs/>
          <w:sz w:val="22"/>
          <w:szCs w:val="22"/>
        </w:rPr>
      </w:pPr>
    </w:p>
    <w:p w:rsidR="00D37F3A" w:rsidRPr="00D37F3A" w:rsidRDefault="00766FB8" w:rsidP="00D37F3A">
      <w:pPr>
        <w:pStyle w:val="ListParagraph"/>
        <w:numPr>
          <w:ilvl w:val="1"/>
          <w:numId w:val="25"/>
        </w:numPr>
        <w:jc w:val="both"/>
        <w:rPr>
          <w:rFonts w:ascii="Arial" w:hAnsi="Arial"/>
          <w:sz w:val="22"/>
          <w:szCs w:val="22"/>
        </w:rPr>
      </w:pPr>
      <w:r w:rsidRPr="00766FB8">
        <w:rPr>
          <w:rFonts w:ascii="Arial" w:hAnsi="Arial"/>
          <w:bCs/>
          <w:sz w:val="22"/>
          <w:szCs w:val="22"/>
        </w:rPr>
        <w:t>The submission also noted that the gender specific population criterion  “the patient must be male” was contrary to the intent of amendments to the Sex Discrimination Act 1984, and requested</w:t>
      </w:r>
      <w:r w:rsidR="00D37F3A">
        <w:rPr>
          <w:rFonts w:ascii="Arial" w:hAnsi="Arial"/>
          <w:bCs/>
          <w:sz w:val="22"/>
          <w:szCs w:val="22"/>
        </w:rPr>
        <w:t xml:space="preserve"> that the criteria be removed.</w:t>
      </w:r>
    </w:p>
    <w:p w:rsidR="00D37F3A" w:rsidRPr="00D37F3A" w:rsidRDefault="00D37F3A" w:rsidP="00D37F3A">
      <w:pPr>
        <w:pStyle w:val="ListParagraph"/>
        <w:jc w:val="both"/>
        <w:rPr>
          <w:rFonts w:ascii="Arial" w:hAnsi="Arial"/>
          <w:sz w:val="22"/>
          <w:szCs w:val="22"/>
        </w:rPr>
      </w:pPr>
    </w:p>
    <w:p w:rsidR="00766FB8" w:rsidRPr="00766FB8" w:rsidRDefault="00766FB8" w:rsidP="00766FB8">
      <w:pPr>
        <w:pStyle w:val="ListParagraph"/>
        <w:numPr>
          <w:ilvl w:val="1"/>
          <w:numId w:val="25"/>
        </w:numPr>
        <w:jc w:val="both"/>
        <w:rPr>
          <w:rFonts w:ascii="Arial" w:hAnsi="Arial"/>
          <w:sz w:val="22"/>
          <w:szCs w:val="22"/>
        </w:rPr>
      </w:pPr>
      <w:r w:rsidRPr="00766FB8">
        <w:rPr>
          <w:rFonts w:ascii="Arial" w:hAnsi="Arial"/>
          <w:bCs/>
          <w:sz w:val="22"/>
          <w:szCs w:val="22"/>
        </w:rPr>
        <w:t xml:space="preserve">Due to the complex nature of the submission, the PBAC recommended holding a stakeholder meeting with the Alliance to determine an appropriate restriction arrangement for testosterone for </w:t>
      </w:r>
      <w:proofErr w:type="gramStart"/>
      <w:r w:rsidRPr="00766FB8">
        <w:rPr>
          <w:rFonts w:ascii="Arial" w:hAnsi="Arial"/>
          <w:bCs/>
          <w:sz w:val="22"/>
          <w:szCs w:val="22"/>
        </w:rPr>
        <w:t>trans</w:t>
      </w:r>
      <w:proofErr w:type="gramEnd"/>
      <w:r w:rsidRPr="00766FB8">
        <w:rPr>
          <w:rFonts w:ascii="Arial" w:hAnsi="Arial"/>
          <w:bCs/>
          <w:sz w:val="22"/>
          <w:szCs w:val="22"/>
        </w:rPr>
        <w:t xml:space="preserve"> and intersex populations.</w:t>
      </w:r>
    </w:p>
    <w:p w:rsidR="004D62C7" w:rsidRPr="00882085" w:rsidRDefault="004D62C7" w:rsidP="00302DFB">
      <w:pPr>
        <w:pStyle w:val="ListParagraph"/>
        <w:spacing w:line="480" w:lineRule="auto"/>
        <w:jc w:val="both"/>
        <w:rPr>
          <w:rFonts w:ascii="Arial" w:hAnsi="Arial"/>
          <w:sz w:val="22"/>
          <w:szCs w:val="22"/>
        </w:rPr>
      </w:pPr>
    </w:p>
    <w:p w:rsidR="00B641AB" w:rsidRDefault="00B641AB" w:rsidP="00B641AB">
      <w:pPr>
        <w:pStyle w:val="ListParagraph"/>
        <w:jc w:val="both"/>
        <w:rPr>
          <w:rFonts w:ascii="Arial" w:hAnsi="Arial"/>
          <w:sz w:val="22"/>
          <w:szCs w:val="22"/>
        </w:rPr>
      </w:pPr>
    </w:p>
    <w:p w:rsidR="00B641AB" w:rsidRPr="00B641AB" w:rsidRDefault="00766FB8" w:rsidP="002B027D">
      <w:pPr>
        <w:pStyle w:val="PSDheading1"/>
      </w:pPr>
      <w:r>
        <w:t>Stakeholder meeting</w:t>
      </w:r>
    </w:p>
    <w:p w:rsidR="00B641AB" w:rsidRPr="00B641AB" w:rsidRDefault="00B641AB" w:rsidP="00B641AB">
      <w:pPr>
        <w:pStyle w:val="ListParagraph"/>
        <w:jc w:val="both"/>
        <w:rPr>
          <w:rFonts w:ascii="Arial" w:hAnsi="Arial"/>
          <w:sz w:val="22"/>
          <w:szCs w:val="22"/>
        </w:rPr>
      </w:pPr>
    </w:p>
    <w:p w:rsidR="00766FB8" w:rsidRDefault="00053357" w:rsidP="00766FB8">
      <w:pPr>
        <w:pStyle w:val="ListParagraph"/>
        <w:numPr>
          <w:ilvl w:val="1"/>
          <w:numId w:val="25"/>
        </w:numPr>
        <w:jc w:val="both"/>
        <w:rPr>
          <w:rFonts w:ascii="Arial" w:hAnsi="Arial"/>
          <w:sz w:val="22"/>
          <w:szCs w:val="22"/>
        </w:rPr>
      </w:pPr>
      <w:r w:rsidRPr="00766FB8">
        <w:rPr>
          <w:rFonts w:ascii="Arial" w:hAnsi="Arial"/>
          <w:sz w:val="22"/>
          <w:szCs w:val="22"/>
        </w:rPr>
        <w:t xml:space="preserve">The changes requested by the LGBTI Alliance </w:t>
      </w:r>
      <w:proofErr w:type="gramStart"/>
      <w:r w:rsidRPr="00766FB8">
        <w:rPr>
          <w:rFonts w:ascii="Arial" w:hAnsi="Arial"/>
          <w:sz w:val="22"/>
          <w:szCs w:val="22"/>
        </w:rPr>
        <w:t>are intended</w:t>
      </w:r>
      <w:proofErr w:type="gramEnd"/>
      <w:r w:rsidRPr="00766FB8">
        <w:rPr>
          <w:rFonts w:ascii="Arial" w:hAnsi="Arial"/>
          <w:sz w:val="22"/>
          <w:szCs w:val="22"/>
        </w:rPr>
        <w:t xml:space="preserve"> to ensure initial and continuing access to testosterone on the </w:t>
      </w:r>
      <w:r w:rsidR="0018738F" w:rsidRPr="00766FB8">
        <w:rPr>
          <w:rFonts w:ascii="Arial" w:hAnsi="Arial"/>
          <w:sz w:val="22"/>
          <w:szCs w:val="22"/>
        </w:rPr>
        <w:t xml:space="preserve">PBS for consenting intersex and </w:t>
      </w:r>
      <w:r w:rsidRPr="00766FB8">
        <w:rPr>
          <w:rFonts w:ascii="Arial" w:hAnsi="Arial"/>
          <w:sz w:val="22"/>
          <w:szCs w:val="22"/>
        </w:rPr>
        <w:t xml:space="preserve">transgender patients within a primary care setting. </w:t>
      </w:r>
    </w:p>
    <w:p w:rsidR="00766FB8" w:rsidRDefault="00766FB8" w:rsidP="00766FB8">
      <w:pPr>
        <w:pStyle w:val="ListParagraph"/>
        <w:jc w:val="both"/>
        <w:rPr>
          <w:rFonts w:ascii="Arial" w:hAnsi="Arial"/>
          <w:sz w:val="22"/>
          <w:szCs w:val="22"/>
        </w:rPr>
      </w:pPr>
    </w:p>
    <w:p w:rsidR="00766FB8" w:rsidRPr="00766FB8" w:rsidRDefault="00766FB8" w:rsidP="00766FB8">
      <w:pPr>
        <w:pStyle w:val="ListParagraph"/>
        <w:numPr>
          <w:ilvl w:val="1"/>
          <w:numId w:val="25"/>
        </w:numPr>
        <w:jc w:val="both"/>
        <w:rPr>
          <w:rFonts w:ascii="Arial" w:hAnsi="Arial"/>
          <w:sz w:val="22"/>
          <w:szCs w:val="22"/>
        </w:rPr>
      </w:pPr>
      <w:r>
        <w:rPr>
          <w:rFonts w:ascii="Arial" w:hAnsi="Arial"/>
          <w:bCs/>
          <w:sz w:val="22"/>
          <w:szCs w:val="22"/>
        </w:rPr>
        <w:t>Regarding current practice, t</w:t>
      </w:r>
      <w:r w:rsidRPr="00766FB8">
        <w:rPr>
          <w:rFonts w:ascii="Arial" w:hAnsi="Arial"/>
          <w:bCs/>
          <w:sz w:val="22"/>
          <w:szCs w:val="22"/>
        </w:rPr>
        <w:t xml:space="preserve">he Alliance explained that transgender and intersex populations utilise PBS listed testosterone to aid in either gender affirmation or gender reparation; this treatment is primarily initiated and maintained via GPs, and generally requires lifelong administration of testosterone.  The alliance further outlined that non-binary patients (individuals who do not identify as male or female) use testosterone intermittently, where they move in and out of treatment as necessary to achieve a preferred muscular aesthetic. The Alliance posited that in clinical </w:t>
      </w:r>
      <w:proofErr w:type="gramStart"/>
      <w:r w:rsidRPr="00766FB8">
        <w:rPr>
          <w:rFonts w:ascii="Arial" w:hAnsi="Arial"/>
          <w:bCs/>
          <w:sz w:val="22"/>
          <w:szCs w:val="22"/>
        </w:rPr>
        <w:t>settings</w:t>
      </w:r>
      <w:proofErr w:type="gramEnd"/>
      <w:r w:rsidRPr="00766FB8">
        <w:rPr>
          <w:rFonts w:ascii="Arial" w:hAnsi="Arial"/>
          <w:bCs/>
          <w:sz w:val="22"/>
          <w:szCs w:val="22"/>
        </w:rPr>
        <w:t xml:space="preserve"> there is insufficient awareness around the appropriate treatment of non-binary population and, as a result, some patients are declined treatment. </w:t>
      </w:r>
    </w:p>
    <w:p w:rsidR="00766FB8" w:rsidRPr="00766FB8" w:rsidRDefault="00766FB8" w:rsidP="00766FB8">
      <w:pPr>
        <w:pStyle w:val="ListParagraph"/>
        <w:rPr>
          <w:rFonts w:ascii="Arial" w:hAnsi="Arial"/>
          <w:bCs/>
          <w:sz w:val="22"/>
          <w:szCs w:val="22"/>
        </w:rPr>
      </w:pPr>
    </w:p>
    <w:p w:rsidR="00766FB8" w:rsidRPr="00766FB8" w:rsidRDefault="00766FB8" w:rsidP="00766FB8">
      <w:pPr>
        <w:pStyle w:val="ListParagraph"/>
        <w:numPr>
          <w:ilvl w:val="1"/>
          <w:numId w:val="25"/>
        </w:numPr>
        <w:jc w:val="both"/>
        <w:rPr>
          <w:rFonts w:ascii="Arial" w:hAnsi="Arial"/>
          <w:sz w:val="22"/>
          <w:szCs w:val="22"/>
        </w:rPr>
      </w:pPr>
      <w:r w:rsidRPr="00766FB8">
        <w:rPr>
          <w:rFonts w:ascii="Arial" w:hAnsi="Arial"/>
          <w:bCs/>
          <w:sz w:val="22"/>
          <w:szCs w:val="22"/>
        </w:rPr>
        <w:t xml:space="preserve">The Alliance explained that GPs initiate testosterone treatment after the patient has undergone a psychiatric assessment with a psychiatrist or clinical psychologist; this assessment can range from 3-6 visits. In most instances there is no inclusion of specialists in the initiation of treatment; this is similar to international practice where GPs are the primary carers of </w:t>
      </w:r>
      <w:proofErr w:type="gramStart"/>
      <w:r w:rsidRPr="00766FB8">
        <w:rPr>
          <w:rFonts w:ascii="Arial" w:hAnsi="Arial"/>
          <w:bCs/>
          <w:sz w:val="22"/>
          <w:szCs w:val="22"/>
        </w:rPr>
        <w:t>trans</w:t>
      </w:r>
      <w:proofErr w:type="gramEnd"/>
      <w:r w:rsidRPr="00766FB8">
        <w:rPr>
          <w:rFonts w:ascii="Arial" w:hAnsi="Arial"/>
          <w:bCs/>
          <w:sz w:val="22"/>
          <w:szCs w:val="22"/>
        </w:rPr>
        <w:t xml:space="preserve"> and intersex patients, and guidelines for the appropriate clinical management of these patients are accessible online.</w:t>
      </w:r>
    </w:p>
    <w:p w:rsidR="00766FB8" w:rsidRPr="00766FB8" w:rsidRDefault="00766FB8" w:rsidP="00766FB8">
      <w:pPr>
        <w:pStyle w:val="ListParagraph"/>
        <w:rPr>
          <w:rFonts w:ascii="Arial" w:hAnsi="Arial"/>
          <w:bCs/>
          <w:sz w:val="22"/>
          <w:szCs w:val="22"/>
        </w:rPr>
      </w:pPr>
    </w:p>
    <w:p w:rsidR="00766FB8" w:rsidRPr="00766FB8" w:rsidRDefault="00766FB8" w:rsidP="00766FB8">
      <w:pPr>
        <w:pStyle w:val="ListParagraph"/>
        <w:numPr>
          <w:ilvl w:val="1"/>
          <w:numId w:val="25"/>
        </w:numPr>
        <w:jc w:val="both"/>
        <w:rPr>
          <w:rFonts w:ascii="Arial" w:hAnsi="Arial"/>
          <w:sz w:val="22"/>
          <w:szCs w:val="22"/>
        </w:rPr>
      </w:pPr>
      <w:r w:rsidRPr="00766FB8">
        <w:rPr>
          <w:rFonts w:ascii="Arial" w:hAnsi="Arial"/>
          <w:bCs/>
          <w:sz w:val="22"/>
          <w:szCs w:val="22"/>
        </w:rPr>
        <w:t xml:space="preserve">The Alliance highlighted that in Victoria there is a shared care arrangement between GPs and specialists particularly in Monash and Royal Children’s </w:t>
      </w:r>
      <w:proofErr w:type="gramStart"/>
      <w:r w:rsidRPr="00766FB8">
        <w:rPr>
          <w:rFonts w:ascii="Arial" w:hAnsi="Arial"/>
          <w:bCs/>
          <w:sz w:val="22"/>
          <w:szCs w:val="22"/>
        </w:rPr>
        <w:t>Hospital which</w:t>
      </w:r>
      <w:proofErr w:type="gramEnd"/>
      <w:r w:rsidRPr="00766FB8">
        <w:rPr>
          <w:rFonts w:ascii="Arial" w:hAnsi="Arial"/>
          <w:bCs/>
          <w:sz w:val="22"/>
          <w:szCs w:val="22"/>
        </w:rPr>
        <w:t xml:space="preserve"> has shown to be effective.</w:t>
      </w:r>
    </w:p>
    <w:p w:rsidR="00766FB8" w:rsidRPr="00766FB8" w:rsidRDefault="00766FB8" w:rsidP="00766FB8">
      <w:pPr>
        <w:pStyle w:val="ListParagraph"/>
        <w:rPr>
          <w:rFonts w:ascii="Arial" w:hAnsi="Arial"/>
          <w:bCs/>
          <w:sz w:val="22"/>
          <w:szCs w:val="22"/>
        </w:rPr>
      </w:pPr>
    </w:p>
    <w:p w:rsidR="00766FB8" w:rsidRPr="00766FB8" w:rsidRDefault="00766FB8" w:rsidP="00766FB8">
      <w:pPr>
        <w:pStyle w:val="ListParagraph"/>
        <w:numPr>
          <w:ilvl w:val="1"/>
          <w:numId w:val="25"/>
        </w:numPr>
        <w:jc w:val="both"/>
        <w:rPr>
          <w:rFonts w:ascii="Arial" w:hAnsi="Arial"/>
          <w:sz w:val="22"/>
          <w:szCs w:val="22"/>
        </w:rPr>
      </w:pPr>
      <w:r w:rsidRPr="00766FB8">
        <w:rPr>
          <w:rFonts w:ascii="Arial" w:hAnsi="Arial"/>
          <w:bCs/>
          <w:sz w:val="22"/>
          <w:szCs w:val="22"/>
        </w:rPr>
        <w:t xml:space="preserve">With regard to the prevalence of GPs initiating testosterone treatment for </w:t>
      </w:r>
      <w:proofErr w:type="gramStart"/>
      <w:r w:rsidRPr="00766FB8">
        <w:rPr>
          <w:rFonts w:ascii="Arial" w:hAnsi="Arial"/>
          <w:bCs/>
          <w:sz w:val="22"/>
          <w:szCs w:val="22"/>
        </w:rPr>
        <w:t>trans</w:t>
      </w:r>
      <w:proofErr w:type="gramEnd"/>
      <w:r w:rsidRPr="00766FB8">
        <w:rPr>
          <w:rFonts w:ascii="Arial" w:hAnsi="Arial"/>
          <w:bCs/>
          <w:sz w:val="22"/>
          <w:szCs w:val="22"/>
        </w:rPr>
        <w:t xml:space="preserve"> and intersex patients, the Alliance noted that the 2012 DUSC analysis may not have captured an increase due to the assumption that care of trans and intersex patients was undertaken by specialists.</w:t>
      </w:r>
    </w:p>
    <w:p w:rsidR="00766FB8" w:rsidRPr="00766FB8" w:rsidRDefault="00766FB8" w:rsidP="00766FB8">
      <w:pPr>
        <w:pStyle w:val="ListParagraph"/>
        <w:rPr>
          <w:rFonts w:ascii="Arial" w:hAnsi="Arial"/>
          <w:bCs/>
          <w:sz w:val="22"/>
          <w:szCs w:val="22"/>
        </w:rPr>
      </w:pPr>
    </w:p>
    <w:p w:rsidR="00766FB8" w:rsidRPr="00766FB8" w:rsidRDefault="00766FB8" w:rsidP="00766FB8">
      <w:pPr>
        <w:pStyle w:val="ListParagraph"/>
        <w:numPr>
          <w:ilvl w:val="1"/>
          <w:numId w:val="25"/>
        </w:numPr>
        <w:jc w:val="both"/>
        <w:rPr>
          <w:rFonts w:ascii="Arial" w:hAnsi="Arial"/>
          <w:sz w:val="22"/>
          <w:szCs w:val="22"/>
        </w:rPr>
      </w:pPr>
      <w:r w:rsidRPr="00766FB8">
        <w:rPr>
          <w:rFonts w:ascii="Arial" w:hAnsi="Arial"/>
          <w:bCs/>
          <w:sz w:val="22"/>
          <w:szCs w:val="22"/>
        </w:rPr>
        <w:t>The Alliance outlined their main concern with the revised restrictions was that prescribing had to be initiated at a specialist level. Intersex and transgender patients are reluctant to consult specialists and are more comfortable in the care of general practitioners.  The Alliance noted that restricting prescribing to specialists will reduce the accessibility of testosterone for these patients, particularly in rural and regional areas, and that restricted access to hormone treatment has the potential to result in adverse mental health outcomes for transgender and intersex patients.</w:t>
      </w:r>
    </w:p>
    <w:p w:rsidR="00766FB8" w:rsidRPr="00766FB8" w:rsidRDefault="00766FB8" w:rsidP="00766FB8">
      <w:pPr>
        <w:pStyle w:val="ListParagraph"/>
        <w:rPr>
          <w:rFonts w:ascii="Arial" w:hAnsi="Arial"/>
          <w:bCs/>
          <w:sz w:val="22"/>
          <w:szCs w:val="22"/>
        </w:rPr>
      </w:pPr>
    </w:p>
    <w:p w:rsidR="00766FB8" w:rsidRPr="00766FB8" w:rsidRDefault="00766FB8" w:rsidP="00766FB8">
      <w:pPr>
        <w:pStyle w:val="ListParagraph"/>
        <w:numPr>
          <w:ilvl w:val="1"/>
          <w:numId w:val="25"/>
        </w:numPr>
        <w:jc w:val="both"/>
        <w:rPr>
          <w:rFonts w:ascii="Arial" w:hAnsi="Arial"/>
          <w:sz w:val="22"/>
          <w:szCs w:val="22"/>
        </w:rPr>
      </w:pPr>
      <w:r w:rsidRPr="00766FB8">
        <w:rPr>
          <w:rFonts w:ascii="Arial" w:hAnsi="Arial"/>
          <w:bCs/>
          <w:sz w:val="22"/>
          <w:szCs w:val="22"/>
        </w:rPr>
        <w:t xml:space="preserve">The Alliance also explained that due to the increasing population of transgender and intersex individuals, there is an increasing demand for hormone treatment and waiting times for specialists can be significant. It was the Alliance’s position that this </w:t>
      </w:r>
      <w:proofErr w:type="gramStart"/>
      <w:r w:rsidRPr="00766FB8">
        <w:rPr>
          <w:rFonts w:ascii="Arial" w:hAnsi="Arial"/>
          <w:bCs/>
          <w:sz w:val="22"/>
          <w:szCs w:val="22"/>
        </w:rPr>
        <w:t>impacts</w:t>
      </w:r>
      <w:proofErr w:type="gramEnd"/>
      <w:r w:rsidRPr="00766FB8">
        <w:rPr>
          <w:rFonts w:ascii="Arial" w:hAnsi="Arial"/>
          <w:bCs/>
          <w:sz w:val="22"/>
          <w:szCs w:val="22"/>
        </w:rPr>
        <w:t xml:space="preserve"> both patients and the hospital system, as gender clinics are currently overwhelmed with patient appointments and consultations. The Alliance considered that allowing trained GPs to prescribe testosterone would reduce this burden. </w:t>
      </w:r>
    </w:p>
    <w:p w:rsidR="00766FB8" w:rsidRPr="00766FB8" w:rsidRDefault="00766FB8" w:rsidP="00766FB8">
      <w:pPr>
        <w:pStyle w:val="ListParagraph"/>
        <w:rPr>
          <w:rFonts w:ascii="Arial" w:hAnsi="Arial"/>
          <w:bCs/>
          <w:sz w:val="22"/>
          <w:szCs w:val="22"/>
        </w:rPr>
      </w:pPr>
    </w:p>
    <w:p w:rsidR="00766FB8" w:rsidRPr="00766FB8" w:rsidRDefault="00766FB8" w:rsidP="00766FB8">
      <w:pPr>
        <w:pStyle w:val="ListParagraph"/>
        <w:numPr>
          <w:ilvl w:val="1"/>
          <w:numId w:val="25"/>
        </w:numPr>
        <w:jc w:val="both"/>
        <w:rPr>
          <w:rFonts w:ascii="Arial" w:hAnsi="Arial"/>
          <w:sz w:val="22"/>
          <w:szCs w:val="22"/>
        </w:rPr>
      </w:pPr>
      <w:r w:rsidRPr="00766FB8">
        <w:rPr>
          <w:rFonts w:ascii="Arial" w:hAnsi="Arial"/>
          <w:bCs/>
          <w:sz w:val="22"/>
          <w:szCs w:val="22"/>
        </w:rPr>
        <w:t xml:space="preserve">The Alliance also explained that in restriction wording they would not like gender dysphoria to be </w:t>
      </w:r>
      <w:proofErr w:type="gramStart"/>
      <w:r w:rsidRPr="00766FB8">
        <w:rPr>
          <w:rFonts w:ascii="Arial" w:hAnsi="Arial"/>
          <w:bCs/>
          <w:sz w:val="22"/>
          <w:szCs w:val="22"/>
        </w:rPr>
        <w:t>used</w:t>
      </w:r>
      <w:proofErr w:type="gramEnd"/>
      <w:r w:rsidRPr="00766FB8">
        <w:rPr>
          <w:rFonts w:ascii="Arial" w:hAnsi="Arial"/>
          <w:bCs/>
          <w:sz w:val="22"/>
          <w:szCs w:val="22"/>
        </w:rPr>
        <w:t xml:space="preserve"> as it does not represent the patient population correctly. </w:t>
      </w:r>
      <w:r w:rsidRPr="00766FB8">
        <w:rPr>
          <w:rFonts w:ascii="Arial" w:hAnsi="Arial"/>
          <w:bCs/>
          <w:sz w:val="22"/>
          <w:szCs w:val="22"/>
        </w:rPr>
        <w:lastRenderedPageBreak/>
        <w:t>Gender affirmation and reparation more correctly explain the conditions under which the population utilise the hormone.</w:t>
      </w:r>
    </w:p>
    <w:p w:rsidR="00766FB8" w:rsidRPr="00766FB8" w:rsidRDefault="00766FB8" w:rsidP="00766FB8">
      <w:pPr>
        <w:pStyle w:val="ListParagraph"/>
        <w:rPr>
          <w:rFonts w:ascii="Arial" w:hAnsi="Arial"/>
          <w:bCs/>
          <w:sz w:val="22"/>
          <w:szCs w:val="22"/>
        </w:rPr>
      </w:pPr>
    </w:p>
    <w:p w:rsidR="00766FB8" w:rsidRPr="00D37F3A" w:rsidRDefault="00766FB8" w:rsidP="00766FB8">
      <w:pPr>
        <w:pStyle w:val="ListParagraph"/>
        <w:numPr>
          <w:ilvl w:val="1"/>
          <w:numId w:val="25"/>
        </w:numPr>
        <w:jc w:val="both"/>
        <w:rPr>
          <w:rFonts w:ascii="Arial" w:hAnsi="Arial"/>
          <w:sz w:val="22"/>
          <w:szCs w:val="22"/>
        </w:rPr>
      </w:pPr>
      <w:r w:rsidRPr="00766FB8">
        <w:rPr>
          <w:rFonts w:ascii="Arial" w:hAnsi="Arial"/>
          <w:bCs/>
          <w:sz w:val="22"/>
          <w:szCs w:val="22"/>
        </w:rPr>
        <w:t xml:space="preserve">PBAC representatives noted the concerns of the Alliance, and explained that the restrictions </w:t>
      </w:r>
      <w:proofErr w:type="gramStart"/>
      <w:r w:rsidRPr="00766FB8">
        <w:rPr>
          <w:rFonts w:ascii="Arial" w:hAnsi="Arial"/>
          <w:bCs/>
          <w:sz w:val="22"/>
          <w:szCs w:val="22"/>
        </w:rPr>
        <w:t>were revised</w:t>
      </w:r>
      <w:proofErr w:type="gramEnd"/>
      <w:r w:rsidRPr="00766FB8">
        <w:rPr>
          <w:rFonts w:ascii="Arial" w:hAnsi="Arial"/>
          <w:bCs/>
          <w:sz w:val="22"/>
          <w:szCs w:val="22"/>
        </w:rPr>
        <w:t xml:space="preserve"> to reduce the safety issues associated with the misuse of testosterone. While the effect of impeded testosterone access for transgender and intersex populations was inadvertent, the PBAC retained its safety concerns that led to the recommendat</w:t>
      </w:r>
      <w:r w:rsidR="00D37F3A">
        <w:rPr>
          <w:rFonts w:ascii="Arial" w:hAnsi="Arial"/>
          <w:bCs/>
          <w:sz w:val="22"/>
          <w:szCs w:val="22"/>
        </w:rPr>
        <w:t>ion to amend the restrictions.</w:t>
      </w:r>
    </w:p>
    <w:p w:rsidR="00D37F3A" w:rsidRPr="00D37F3A" w:rsidRDefault="00D37F3A" w:rsidP="00D37F3A">
      <w:pPr>
        <w:jc w:val="both"/>
        <w:rPr>
          <w:rFonts w:ascii="Arial" w:hAnsi="Arial"/>
          <w:sz w:val="22"/>
          <w:szCs w:val="22"/>
        </w:rPr>
      </w:pPr>
    </w:p>
    <w:p w:rsidR="00766FB8" w:rsidRPr="00766FB8" w:rsidRDefault="00766FB8" w:rsidP="00766FB8">
      <w:pPr>
        <w:pStyle w:val="ListParagraph"/>
        <w:numPr>
          <w:ilvl w:val="1"/>
          <w:numId w:val="25"/>
        </w:numPr>
        <w:jc w:val="both"/>
        <w:rPr>
          <w:rFonts w:ascii="Arial" w:hAnsi="Arial"/>
          <w:sz w:val="22"/>
          <w:szCs w:val="22"/>
        </w:rPr>
      </w:pPr>
      <w:r w:rsidRPr="00766FB8">
        <w:rPr>
          <w:rFonts w:ascii="Arial" w:hAnsi="Arial"/>
          <w:bCs/>
          <w:sz w:val="22"/>
          <w:szCs w:val="22"/>
        </w:rPr>
        <w:t xml:space="preserve">The PBAC representatives also advised that the current restriction wording for testosterone </w:t>
      </w:r>
      <w:proofErr w:type="gramStart"/>
      <w:r w:rsidRPr="00766FB8">
        <w:rPr>
          <w:rFonts w:ascii="Arial" w:hAnsi="Arial"/>
          <w:bCs/>
          <w:sz w:val="22"/>
          <w:szCs w:val="22"/>
        </w:rPr>
        <w:t>will</w:t>
      </w:r>
      <w:proofErr w:type="gramEnd"/>
      <w:r w:rsidRPr="00766FB8">
        <w:rPr>
          <w:rFonts w:ascii="Arial" w:hAnsi="Arial"/>
          <w:bCs/>
          <w:sz w:val="22"/>
          <w:szCs w:val="22"/>
        </w:rPr>
        <w:t xml:space="preserve"> be revised, with the removal of the criterion that ‘the patient must be male’. The PBAC considered this clinical criterion was an unintentional barrier to some transgender and intersex individuals. </w:t>
      </w:r>
    </w:p>
    <w:p w:rsidR="00766FB8" w:rsidRPr="00766FB8" w:rsidRDefault="00766FB8" w:rsidP="00766FB8">
      <w:pPr>
        <w:pStyle w:val="ListParagraph"/>
        <w:rPr>
          <w:rFonts w:ascii="Arial" w:hAnsi="Arial"/>
          <w:bCs/>
          <w:sz w:val="22"/>
          <w:szCs w:val="22"/>
        </w:rPr>
      </w:pPr>
    </w:p>
    <w:p w:rsidR="00766FB8" w:rsidRPr="00766FB8" w:rsidRDefault="00766FB8" w:rsidP="00766FB8">
      <w:pPr>
        <w:pStyle w:val="ListParagraph"/>
        <w:numPr>
          <w:ilvl w:val="1"/>
          <w:numId w:val="25"/>
        </w:numPr>
        <w:jc w:val="both"/>
        <w:rPr>
          <w:rFonts w:ascii="Arial" w:hAnsi="Arial"/>
          <w:sz w:val="22"/>
          <w:szCs w:val="22"/>
        </w:rPr>
      </w:pPr>
      <w:proofErr w:type="gramStart"/>
      <w:r w:rsidRPr="00766FB8">
        <w:rPr>
          <w:rFonts w:ascii="Arial" w:hAnsi="Arial"/>
          <w:bCs/>
          <w:sz w:val="22"/>
          <w:szCs w:val="22"/>
        </w:rPr>
        <w:t>Regarding potential ways forward, the Alliance noted that there is limited information about transgender and intersex patients available in Australia for treating clinicians, and advised that ANZPATH (Australian and New Zealand Professional Association for Transgender Health) are currently developing guidelines and an online training module that will provide Australian clinicians information about appropriate treatment of trans and intersex patients .These are being modelled on overseas programmes such as the UCSF guidelines in primary care.</w:t>
      </w:r>
      <w:proofErr w:type="gramEnd"/>
      <w:r w:rsidRPr="00766FB8">
        <w:rPr>
          <w:rFonts w:ascii="Arial" w:hAnsi="Arial"/>
          <w:bCs/>
          <w:sz w:val="22"/>
          <w:szCs w:val="22"/>
        </w:rPr>
        <w:t xml:space="preserve"> It was discussed that these online modules could be used to implement accreditation to designated </w:t>
      </w:r>
      <w:proofErr w:type="gramStart"/>
      <w:r w:rsidRPr="00766FB8">
        <w:rPr>
          <w:rFonts w:ascii="Arial" w:hAnsi="Arial"/>
          <w:bCs/>
          <w:sz w:val="22"/>
          <w:szCs w:val="22"/>
        </w:rPr>
        <w:t>GPs which</w:t>
      </w:r>
      <w:proofErr w:type="gramEnd"/>
      <w:r w:rsidRPr="00766FB8">
        <w:rPr>
          <w:rFonts w:ascii="Arial" w:hAnsi="Arial"/>
          <w:bCs/>
          <w:sz w:val="22"/>
          <w:szCs w:val="22"/>
        </w:rPr>
        <w:t xml:space="preserve"> would give them specialist prescribing rights, a notion currently in practice for GP’s treating HIV patients. It </w:t>
      </w:r>
      <w:proofErr w:type="gramStart"/>
      <w:r w:rsidRPr="00766FB8">
        <w:rPr>
          <w:rFonts w:ascii="Arial" w:hAnsi="Arial"/>
          <w:bCs/>
          <w:sz w:val="22"/>
          <w:szCs w:val="22"/>
        </w:rPr>
        <w:t>was also noted</w:t>
      </w:r>
      <w:proofErr w:type="gramEnd"/>
      <w:r w:rsidRPr="00766FB8">
        <w:rPr>
          <w:rFonts w:ascii="Arial" w:hAnsi="Arial"/>
          <w:bCs/>
          <w:sz w:val="22"/>
          <w:szCs w:val="22"/>
        </w:rPr>
        <w:t xml:space="preserve"> by the Alliance that these training programmes would need to include information on non-binary patients and their appropriate treatment. The Alliance considered that if an accreditation programme is implemented, shared care between rural GPs and accredited GPs would allow easier access for those living in remote regions. </w:t>
      </w:r>
    </w:p>
    <w:p w:rsidR="00766FB8" w:rsidRPr="00766FB8" w:rsidRDefault="00766FB8" w:rsidP="00766FB8">
      <w:pPr>
        <w:pStyle w:val="ListParagraph"/>
        <w:rPr>
          <w:rFonts w:ascii="Arial" w:hAnsi="Arial"/>
          <w:bCs/>
          <w:sz w:val="22"/>
          <w:szCs w:val="22"/>
        </w:rPr>
      </w:pPr>
    </w:p>
    <w:p w:rsidR="00766FB8" w:rsidRPr="00766FB8" w:rsidRDefault="00766FB8" w:rsidP="00766FB8">
      <w:pPr>
        <w:pStyle w:val="ListParagraph"/>
        <w:numPr>
          <w:ilvl w:val="1"/>
          <w:numId w:val="25"/>
        </w:numPr>
        <w:jc w:val="both"/>
        <w:rPr>
          <w:rFonts w:ascii="Arial" w:hAnsi="Arial"/>
          <w:sz w:val="22"/>
          <w:szCs w:val="22"/>
        </w:rPr>
      </w:pPr>
      <w:proofErr w:type="gramStart"/>
      <w:r w:rsidRPr="00766FB8">
        <w:rPr>
          <w:rFonts w:ascii="Arial" w:hAnsi="Arial"/>
          <w:bCs/>
          <w:sz w:val="22"/>
          <w:szCs w:val="22"/>
        </w:rPr>
        <w:t>The grandfathering of transgender and intersex patients across to the restrictions currently in place for testosterone maintenance was also discussed as a potential way to allow for continuity of care, however it was highlighted that this was not conventional practice for other restriction changes, and could be perceived as biased in that grandfathering was not permitted in the 1 April 2015 amendments.</w:t>
      </w:r>
      <w:proofErr w:type="gramEnd"/>
    </w:p>
    <w:p w:rsidR="004C4D8A" w:rsidRDefault="004C4D8A" w:rsidP="00302DFB">
      <w:pPr>
        <w:pStyle w:val="ListParagraph"/>
        <w:spacing w:line="480" w:lineRule="auto"/>
        <w:jc w:val="both"/>
        <w:rPr>
          <w:rFonts w:ascii="Arial" w:hAnsi="Arial"/>
          <w:sz w:val="22"/>
          <w:szCs w:val="22"/>
        </w:rPr>
      </w:pPr>
    </w:p>
    <w:p w:rsidR="00053357" w:rsidRDefault="00766FB8" w:rsidP="002B027D">
      <w:pPr>
        <w:pStyle w:val="PSDheading1"/>
      </w:pPr>
      <w:r>
        <w:t>PBAC discussion</w:t>
      </w:r>
    </w:p>
    <w:p w:rsidR="00053357" w:rsidRDefault="00053357" w:rsidP="00245DA6">
      <w:pPr>
        <w:pStyle w:val="ListParagraph"/>
        <w:jc w:val="both"/>
        <w:rPr>
          <w:rFonts w:ascii="Arial" w:hAnsi="Arial"/>
          <w:b/>
          <w:sz w:val="22"/>
          <w:szCs w:val="22"/>
        </w:rPr>
      </w:pPr>
    </w:p>
    <w:p w:rsidR="00C250A8" w:rsidRDefault="00C250A8" w:rsidP="00245DA6">
      <w:pPr>
        <w:pStyle w:val="ListParagraph"/>
        <w:numPr>
          <w:ilvl w:val="1"/>
          <w:numId w:val="25"/>
        </w:numPr>
        <w:jc w:val="both"/>
        <w:rPr>
          <w:rFonts w:ascii="Arial" w:hAnsi="Arial"/>
          <w:sz w:val="22"/>
          <w:szCs w:val="22"/>
        </w:rPr>
      </w:pPr>
      <w:r>
        <w:rPr>
          <w:rFonts w:ascii="Arial" w:hAnsi="Arial"/>
          <w:sz w:val="22"/>
          <w:szCs w:val="22"/>
        </w:rPr>
        <w:t>The PBAC noted the issues faced by intersex and transgender patients seeking to access testosterone on the PBS.  The Committee considered that it</w:t>
      </w:r>
      <w:r w:rsidR="00A94DD4">
        <w:rPr>
          <w:rFonts w:ascii="Arial" w:hAnsi="Arial"/>
          <w:sz w:val="22"/>
          <w:szCs w:val="22"/>
        </w:rPr>
        <w:t xml:space="preserve"> is</w:t>
      </w:r>
      <w:r>
        <w:rPr>
          <w:rFonts w:ascii="Arial" w:hAnsi="Arial"/>
          <w:sz w:val="22"/>
          <w:szCs w:val="22"/>
        </w:rPr>
        <w:t xml:space="preserve"> important to identify a means to balance facilitated access for this vulnerable patient group with the safety concerns that had driven the 1 April 2015 amendments. </w:t>
      </w:r>
    </w:p>
    <w:p w:rsidR="00C250A8" w:rsidRDefault="00C250A8" w:rsidP="00C250A8">
      <w:pPr>
        <w:pStyle w:val="ListParagraph"/>
        <w:jc w:val="both"/>
        <w:rPr>
          <w:rFonts w:ascii="Arial" w:hAnsi="Arial"/>
          <w:sz w:val="22"/>
          <w:szCs w:val="22"/>
        </w:rPr>
      </w:pPr>
    </w:p>
    <w:p w:rsidR="00C250A8" w:rsidRDefault="00C250A8" w:rsidP="00245DA6">
      <w:pPr>
        <w:pStyle w:val="ListParagraph"/>
        <w:numPr>
          <w:ilvl w:val="1"/>
          <w:numId w:val="25"/>
        </w:numPr>
        <w:jc w:val="both"/>
        <w:rPr>
          <w:rFonts w:ascii="Arial" w:hAnsi="Arial"/>
          <w:sz w:val="22"/>
          <w:szCs w:val="22"/>
        </w:rPr>
      </w:pPr>
      <w:r>
        <w:rPr>
          <w:rFonts w:ascii="Arial" w:hAnsi="Arial"/>
          <w:sz w:val="22"/>
          <w:szCs w:val="22"/>
        </w:rPr>
        <w:t xml:space="preserve">The PBAC noted the ongoing development of guidelines for treatment of intersex and transgender patients, as well as training for clinicians in primary healthcare settings.  The PBAC considered that these resources could be useful once </w:t>
      </w:r>
      <w:proofErr w:type="gramStart"/>
      <w:r>
        <w:rPr>
          <w:rFonts w:ascii="Arial" w:hAnsi="Arial"/>
          <w:sz w:val="22"/>
          <w:szCs w:val="22"/>
        </w:rPr>
        <w:t>deployed</w:t>
      </w:r>
      <w:proofErr w:type="gramEnd"/>
      <w:r w:rsidR="0093666E">
        <w:rPr>
          <w:rFonts w:ascii="Arial" w:hAnsi="Arial"/>
          <w:sz w:val="22"/>
          <w:szCs w:val="22"/>
        </w:rPr>
        <w:t>, and may help to identify GPs who have undertaken appropriate training for the purposes of PBS prescribing</w:t>
      </w:r>
      <w:r>
        <w:rPr>
          <w:rFonts w:ascii="Arial" w:hAnsi="Arial"/>
          <w:sz w:val="22"/>
          <w:szCs w:val="22"/>
        </w:rPr>
        <w:t>.</w:t>
      </w:r>
    </w:p>
    <w:p w:rsidR="00C250A8" w:rsidRPr="00C250A8" w:rsidRDefault="00C250A8" w:rsidP="00C250A8">
      <w:pPr>
        <w:pStyle w:val="ListParagraph"/>
        <w:rPr>
          <w:rFonts w:ascii="Arial" w:hAnsi="Arial"/>
          <w:sz w:val="22"/>
          <w:szCs w:val="22"/>
        </w:rPr>
      </w:pPr>
    </w:p>
    <w:p w:rsidR="00053357" w:rsidRDefault="00C250A8" w:rsidP="00245DA6">
      <w:pPr>
        <w:pStyle w:val="ListParagraph"/>
        <w:numPr>
          <w:ilvl w:val="1"/>
          <w:numId w:val="25"/>
        </w:numPr>
        <w:jc w:val="both"/>
        <w:rPr>
          <w:rFonts w:ascii="Arial" w:hAnsi="Arial"/>
          <w:sz w:val="22"/>
          <w:szCs w:val="22"/>
        </w:rPr>
      </w:pPr>
      <w:r>
        <w:rPr>
          <w:rFonts w:ascii="Arial" w:hAnsi="Arial"/>
          <w:sz w:val="22"/>
          <w:szCs w:val="22"/>
        </w:rPr>
        <w:t xml:space="preserve">The PBAC recalled that grandfathering arrangements had </w:t>
      </w:r>
      <w:r w:rsidR="0093666E">
        <w:rPr>
          <w:rFonts w:ascii="Arial" w:hAnsi="Arial"/>
          <w:sz w:val="22"/>
          <w:szCs w:val="22"/>
        </w:rPr>
        <w:t xml:space="preserve">intentionally not </w:t>
      </w:r>
      <w:r>
        <w:rPr>
          <w:rFonts w:ascii="Arial" w:hAnsi="Arial"/>
          <w:sz w:val="22"/>
          <w:szCs w:val="22"/>
        </w:rPr>
        <w:t xml:space="preserve">been included in the 1 April 2015 restriction changes, arising as they had from concerns </w:t>
      </w:r>
      <w:r w:rsidR="0093666E">
        <w:rPr>
          <w:rFonts w:ascii="Arial" w:hAnsi="Arial"/>
          <w:sz w:val="22"/>
          <w:szCs w:val="22"/>
        </w:rPr>
        <w:t>of</w:t>
      </w:r>
      <w:r>
        <w:rPr>
          <w:rFonts w:ascii="Arial" w:hAnsi="Arial"/>
          <w:sz w:val="22"/>
          <w:szCs w:val="22"/>
        </w:rPr>
        <w:t xml:space="preserve"> </w:t>
      </w:r>
      <w:r>
        <w:rPr>
          <w:rFonts w:ascii="Arial" w:hAnsi="Arial"/>
          <w:sz w:val="22"/>
          <w:szCs w:val="22"/>
        </w:rPr>
        <w:lastRenderedPageBreak/>
        <w:t>inappropriate utilisation</w:t>
      </w:r>
      <w:r w:rsidR="00053357">
        <w:rPr>
          <w:rFonts w:ascii="Arial" w:hAnsi="Arial"/>
          <w:sz w:val="22"/>
          <w:szCs w:val="22"/>
        </w:rPr>
        <w:t>.</w:t>
      </w:r>
      <w:r>
        <w:rPr>
          <w:rFonts w:ascii="Arial" w:hAnsi="Arial"/>
          <w:sz w:val="22"/>
          <w:szCs w:val="22"/>
        </w:rPr>
        <w:t xml:space="preserve">  The PBAC </w:t>
      </w:r>
      <w:r w:rsidR="0093666E">
        <w:rPr>
          <w:rFonts w:ascii="Arial" w:hAnsi="Arial"/>
          <w:sz w:val="22"/>
          <w:szCs w:val="22"/>
        </w:rPr>
        <w:t xml:space="preserve">considered it important </w:t>
      </w:r>
      <w:r>
        <w:rPr>
          <w:rFonts w:ascii="Arial" w:hAnsi="Arial"/>
          <w:sz w:val="22"/>
          <w:szCs w:val="22"/>
        </w:rPr>
        <w:t xml:space="preserve">that </w:t>
      </w:r>
      <w:r w:rsidR="0093666E">
        <w:rPr>
          <w:rFonts w:ascii="Arial" w:hAnsi="Arial"/>
          <w:sz w:val="22"/>
          <w:szCs w:val="22"/>
        </w:rPr>
        <w:t>further restrictions changes be equitable for all patients requiring appropriate treatment with PBS-subsidised testosterone.  The PBAC therefore considered that a grandfather restriction for intersex and transgender patients was not a feasible approach.</w:t>
      </w:r>
    </w:p>
    <w:p w:rsidR="0093666E" w:rsidRPr="0093666E" w:rsidRDefault="0093666E" w:rsidP="0093666E">
      <w:pPr>
        <w:jc w:val="both"/>
        <w:rPr>
          <w:rFonts w:ascii="Arial" w:hAnsi="Arial"/>
          <w:sz w:val="22"/>
          <w:szCs w:val="22"/>
        </w:rPr>
      </w:pPr>
    </w:p>
    <w:p w:rsidR="00053357" w:rsidRDefault="00053357" w:rsidP="00245DA6">
      <w:pPr>
        <w:pStyle w:val="ListParagraph"/>
        <w:jc w:val="both"/>
        <w:rPr>
          <w:rFonts w:ascii="Arial" w:hAnsi="Arial"/>
          <w:b/>
          <w:sz w:val="22"/>
          <w:szCs w:val="22"/>
        </w:rPr>
      </w:pPr>
    </w:p>
    <w:p w:rsidR="009278C3" w:rsidRPr="004C4D8A" w:rsidRDefault="00766FB8" w:rsidP="002B027D">
      <w:pPr>
        <w:pStyle w:val="PSDheading1"/>
      </w:pPr>
      <w:r>
        <w:t>PBAC outcome</w:t>
      </w:r>
    </w:p>
    <w:p w:rsidR="00CE10C4" w:rsidRPr="00882085" w:rsidRDefault="00CE10C4" w:rsidP="00882085">
      <w:pPr>
        <w:jc w:val="both"/>
        <w:rPr>
          <w:rFonts w:ascii="Arial" w:hAnsi="Arial"/>
          <w:sz w:val="22"/>
          <w:szCs w:val="22"/>
        </w:rPr>
      </w:pPr>
    </w:p>
    <w:p w:rsidR="006A12A5" w:rsidRPr="00882085" w:rsidRDefault="0093666E" w:rsidP="00826F6D">
      <w:pPr>
        <w:pStyle w:val="ListParagraph"/>
        <w:numPr>
          <w:ilvl w:val="1"/>
          <w:numId w:val="25"/>
        </w:numPr>
        <w:jc w:val="both"/>
        <w:rPr>
          <w:rFonts w:ascii="Arial" w:hAnsi="Arial"/>
          <w:sz w:val="22"/>
          <w:szCs w:val="22"/>
        </w:rPr>
      </w:pPr>
      <w:r>
        <w:rPr>
          <w:rFonts w:ascii="Arial" w:hAnsi="Arial"/>
          <w:sz w:val="22"/>
          <w:szCs w:val="22"/>
        </w:rPr>
        <w:t>The PBAC requested that the Department continue to work on amendments to PBS restrictions for testosterone products to facilitate access for intersex and transgender patients</w:t>
      </w:r>
      <w:r w:rsidR="003E2F6D">
        <w:rPr>
          <w:rFonts w:ascii="Arial" w:hAnsi="Arial"/>
          <w:sz w:val="22"/>
          <w:szCs w:val="22"/>
        </w:rPr>
        <w:t>.</w:t>
      </w:r>
    </w:p>
    <w:p w:rsidR="00C35996" w:rsidRPr="00882085" w:rsidRDefault="00C35996" w:rsidP="00882085">
      <w:pPr>
        <w:pStyle w:val="ListParagraph"/>
        <w:jc w:val="both"/>
        <w:rPr>
          <w:rFonts w:ascii="Arial" w:hAnsi="Arial"/>
          <w:sz w:val="22"/>
          <w:szCs w:val="22"/>
        </w:rPr>
      </w:pPr>
    </w:p>
    <w:sectPr w:rsidR="00C35996" w:rsidRPr="00882085" w:rsidSect="00C27B58">
      <w:headerReference w:type="even" r:id="rId9"/>
      <w:headerReference w:type="default" r:id="rId10"/>
      <w:footerReference w:type="even" r:id="rId11"/>
      <w:footerReference w:type="default" r:id="rId12"/>
      <w:footerReference w:type="first" r:id="rId13"/>
      <w:pgSz w:w="11906" w:h="16838"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5E23" w:rsidRDefault="00165E23">
      <w:r>
        <w:separator/>
      </w:r>
    </w:p>
    <w:p w:rsidR="00165E23" w:rsidRDefault="00165E23"/>
  </w:endnote>
  <w:endnote w:type="continuationSeparator" w:id="0">
    <w:p w:rsidR="00165E23" w:rsidRDefault="00165E23">
      <w:r>
        <w:continuationSeparator/>
      </w:r>
    </w:p>
    <w:p w:rsidR="00165E23" w:rsidRDefault="00165E2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F24F02" w:rsidTr="005A3173">
      <w:trPr>
        <w:trHeight w:val="151"/>
      </w:trPr>
      <w:tc>
        <w:tcPr>
          <w:tcW w:w="2250" w:type="pct"/>
          <w:tcBorders>
            <w:top w:val="nil"/>
            <w:left w:val="nil"/>
            <w:bottom w:val="single" w:sz="4" w:space="0" w:color="4F81BD"/>
            <w:right w:val="nil"/>
          </w:tcBorders>
        </w:tcPr>
        <w:p w:rsidR="00F24F02" w:rsidRPr="005A3173" w:rsidRDefault="00F24F02" w:rsidP="005A3173">
          <w:pPr>
            <w:pStyle w:val="Header"/>
            <w:spacing w:line="276" w:lineRule="auto"/>
            <w:rPr>
              <w:rFonts w:ascii="Calibri" w:eastAsia="MS Gothic" w:hAnsi="Calibri"/>
              <w:b/>
              <w:bCs/>
              <w:color w:val="4F81BD"/>
            </w:rPr>
          </w:pPr>
        </w:p>
      </w:tc>
      <w:tc>
        <w:tcPr>
          <w:tcW w:w="500" w:type="pct"/>
          <w:vMerge w:val="restart"/>
          <w:noWrap/>
          <w:vAlign w:val="center"/>
          <w:hideMark/>
        </w:tcPr>
        <w:p w:rsidR="00F24F02" w:rsidRPr="005A3173" w:rsidRDefault="00F24F02"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F24F02" w:rsidRPr="005A3173" w:rsidRDefault="00F24F02" w:rsidP="005A3173">
          <w:pPr>
            <w:pStyle w:val="Header"/>
            <w:spacing w:line="276" w:lineRule="auto"/>
            <w:rPr>
              <w:rFonts w:ascii="Calibri" w:eastAsia="MS Gothic" w:hAnsi="Calibri"/>
              <w:b/>
              <w:bCs/>
              <w:color w:val="4F81BD"/>
            </w:rPr>
          </w:pPr>
        </w:p>
      </w:tc>
    </w:tr>
    <w:tr w:rsidR="00F24F02" w:rsidTr="005A3173">
      <w:trPr>
        <w:trHeight w:val="150"/>
      </w:trPr>
      <w:tc>
        <w:tcPr>
          <w:tcW w:w="2250" w:type="pct"/>
          <w:tcBorders>
            <w:top w:val="single" w:sz="4" w:space="0" w:color="4F81BD"/>
            <w:left w:val="nil"/>
            <w:bottom w:val="nil"/>
            <w:right w:val="nil"/>
          </w:tcBorders>
        </w:tcPr>
        <w:p w:rsidR="00F24F02" w:rsidRPr="005A3173" w:rsidRDefault="00F24F02" w:rsidP="005A3173">
          <w:pPr>
            <w:pStyle w:val="Header"/>
            <w:spacing w:line="276" w:lineRule="auto"/>
            <w:rPr>
              <w:rFonts w:ascii="Calibri" w:eastAsia="MS Gothic" w:hAnsi="Calibri"/>
              <w:b/>
              <w:bCs/>
              <w:color w:val="4F81BD"/>
            </w:rPr>
          </w:pPr>
        </w:p>
      </w:tc>
      <w:tc>
        <w:tcPr>
          <w:tcW w:w="0" w:type="auto"/>
          <w:vMerge/>
          <w:vAlign w:val="center"/>
          <w:hideMark/>
        </w:tcPr>
        <w:p w:rsidR="00F24F02" w:rsidRPr="005A3173" w:rsidRDefault="00F24F02" w:rsidP="005A3173">
          <w:pPr>
            <w:rPr>
              <w:rFonts w:ascii="Calibri" w:hAnsi="Calibri"/>
              <w:color w:val="365F91"/>
              <w:sz w:val="22"/>
              <w:szCs w:val="22"/>
            </w:rPr>
          </w:pPr>
        </w:p>
      </w:tc>
      <w:tc>
        <w:tcPr>
          <w:tcW w:w="2250" w:type="pct"/>
          <w:tcBorders>
            <w:top w:val="single" w:sz="4" w:space="0" w:color="4F81BD"/>
            <w:left w:val="nil"/>
            <w:bottom w:val="nil"/>
            <w:right w:val="nil"/>
          </w:tcBorders>
        </w:tcPr>
        <w:p w:rsidR="00F24F02" w:rsidRPr="005A3173" w:rsidRDefault="00F24F02" w:rsidP="005A3173">
          <w:pPr>
            <w:pStyle w:val="Header"/>
            <w:spacing w:line="276" w:lineRule="auto"/>
            <w:rPr>
              <w:rFonts w:ascii="Calibri" w:eastAsia="MS Gothic" w:hAnsi="Calibri"/>
              <w:b/>
              <w:bCs/>
              <w:color w:val="4F81BD"/>
            </w:rPr>
          </w:pPr>
        </w:p>
      </w:tc>
    </w:tr>
  </w:tbl>
  <w:p w:rsidR="00F24F02" w:rsidRDefault="00F24F02"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C7F48">
      <w:rPr>
        <w:rStyle w:val="PageNumber"/>
        <w:noProof/>
      </w:rPr>
      <w:t>5</w:t>
    </w:r>
    <w:r>
      <w:rPr>
        <w:rStyle w:val="PageNumber"/>
      </w:rPr>
      <w:fldChar w:fldCharType="end"/>
    </w:r>
  </w:p>
  <w:p w:rsidR="00F24F02" w:rsidRDefault="00F24F02">
    <w:pPr>
      <w:pStyle w:val="Footer"/>
    </w:pPr>
  </w:p>
  <w:p w:rsidR="00F24F02" w:rsidRDefault="00F24F02"/>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04702957"/>
      <w:docPartObj>
        <w:docPartGallery w:val="Page Numbers (Bottom of Page)"/>
        <w:docPartUnique/>
      </w:docPartObj>
    </w:sdtPr>
    <w:sdtEndPr>
      <w:rPr>
        <w:rFonts w:ascii="Arial" w:hAnsi="Arial" w:cs="Arial"/>
        <w:noProof/>
        <w:sz w:val="22"/>
        <w:szCs w:val="22"/>
      </w:rPr>
    </w:sdtEndPr>
    <w:sdtContent>
      <w:p w:rsidR="00614432" w:rsidRPr="00614432" w:rsidRDefault="00614432">
        <w:pPr>
          <w:pStyle w:val="Footer"/>
          <w:jc w:val="center"/>
          <w:rPr>
            <w:rFonts w:ascii="Arial" w:hAnsi="Arial" w:cs="Arial"/>
            <w:sz w:val="22"/>
            <w:szCs w:val="22"/>
          </w:rPr>
        </w:pPr>
        <w:r w:rsidRPr="00614432">
          <w:rPr>
            <w:rFonts w:ascii="Arial" w:hAnsi="Arial" w:cs="Arial"/>
            <w:sz w:val="22"/>
            <w:szCs w:val="22"/>
          </w:rPr>
          <w:fldChar w:fldCharType="begin"/>
        </w:r>
        <w:r w:rsidRPr="00614432">
          <w:rPr>
            <w:rFonts w:ascii="Arial" w:hAnsi="Arial" w:cs="Arial"/>
            <w:sz w:val="22"/>
            <w:szCs w:val="22"/>
          </w:rPr>
          <w:instrText xml:space="preserve"> PAGE   \* MERGEFORMAT </w:instrText>
        </w:r>
        <w:r w:rsidRPr="00614432">
          <w:rPr>
            <w:rFonts w:ascii="Arial" w:hAnsi="Arial" w:cs="Arial"/>
            <w:sz w:val="22"/>
            <w:szCs w:val="22"/>
          </w:rPr>
          <w:fldChar w:fldCharType="separate"/>
        </w:r>
        <w:r w:rsidR="0094673A">
          <w:rPr>
            <w:rFonts w:ascii="Arial" w:hAnsi="Arial" w:cs="Arial"/>
            <w:noProof/>
            <w:sz w:val="22"/>
            <w:szCs w:val="22"/>
          </w:rPr>
          <w:t>1</w:t>
        </w:r>
        <w:r w:rsidRPr="00614432">
          <w:rPr>
            <w:rFonts w:ascii="Arial" w:hAnsi="Arial" w:cs="Arial"/>
            <w:noProof/>
            <w:sz w:val="22"/>
            <w:szCs w:val="22"/>
          </w:rPr>
          <w:fldChar w:fldCharType="end"/>
        </w:r>
      </w:p>
    </w:sdtContent>
  </w:sdt>
  <w:p w:rsidR="00F24F02" w:rsidRDefault="00F24F02" w:rsidP="00EF44A0">
    <w:pPr>
      <w:pStyle w:val="Footer"/>
      <w:jc w:val="center"/>
      <w:rPr>
        <w:rFonts w:ascii="Arial" w:hAnsi="Arial" w:cs="Arial"/>
        <w:b/>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ook w:val="04A0" w:firstRow="1" w:lastRow="0" w:firstColumn="1" w:lastColumn="0" w:noHBand="0" w:noVBand="1"/>
    </w:tblPr>
    <w:tblGrid>
      <w:gridCol w:w="3995"/>
      <w:gridCol w:w="1252"/>
      <w:gridCol w:w="3995"/>
    </w:tblGrid>
    <w:tr w:rsidR="00F24F02" w:rsidTr="005A3173">
      <w:trPr>
        <w:trHeight w:val="151"/>
      </w:trPr>
      <w:tc>
        <w:tcPr>
          <w:tcW w:w="2250" w:type="pct"/>
          <w:tcBorders>
            <w:top w:val="nil"/>
            <w:left w:val="nil"/>
            <w:bottom w:val="single" w:sz="4" w:space="0" w:color="4F81BD"/>
            <w:right w:val="nil"/>
          </w:tcBorders>
        </w:tcPr>
        <w:p w:rsidR="00F24F02" w:rsidRPr="005A3173" w:rsidRDefault="00F24F02" w:rsidP="005A3173">
          <w:pPr>
            <w:pStyle w:val="Header"/>
            <w:spacing w:line="276" w:lineRule="auto"/>
            <w:rPr>
              <w:rFonts w:ascii="Calibri" w:eastAsia="MS Gothic" w:hAnsi="Calibri"/>
              <w:b/>
              <w:bCs/>
              <w:color w:val="4F81BD"/>
            </w:rPr>
          </w:pPr>
        </w:p>
      </w:tc>
      <w:tc>
        <w:tcPr>
          <w:tcW w:w="500" w:type="pct"/>
          <w:vMerge w:val="restart"/>
          <w:noWrap/>
          <w:vAlign w:val="center"/>
          <w:hideMark/>
        </w:tcPr>
        <w:p w:rsidR="00F24F02" w:rsidRPr="005A3173" w:rsidRDefault="00F24F02"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F24F02" w:rsidRPr="005A3173" w:rsidRDefault="00F24F02" w:rsidP="005A3173">
          <w:pPr>
            <w:pStyle w:val="Header"/>
            <w:spacing w:line="276" w:lineRule="auto"/>
            <w:rPr>
              <w:rFonts w:ascii="Calibri" w:eastAsia="MS Gothic" w:hAnsi="Calibri"/>
              <w:b/>
              <w:bCs/>
              <w:color w:val="4F81BD"/>
            </w:rPr>
          </w:pPr>
        </w:p>
      </w:tc>
    </w:tr>
    <w:tr w:rsidR="00F24F02" w:rsidTr="005A3173">
      <w:trPr>
        <w:trHeight w:val="150"/>
      </w:trPr>
      <w:tc>
        <w:tcPr>
          <w:tcW w:w="2250" w:type="pct"/>
          <w:tcBorders>
            <w:top w:val="single" w:sz="4" w:space="0" w:color="4F81BD"/>
            <w:left w:val="nil"/>
            <w:bottom w:val="nil"/>
            <w:right w:val="nil"/>
          </w:tcBorders>
        </w:tcPr>
        <w:p w:rsidR="00F24F02" w:rsidRPr="005A3173" w:rsidRDefault="00F24F02" w:rsidP="005A3173">
          <w:pPr>
            <w:pStyle w:val="Header"/>
            <w:spacing w:line="276" w:lineRule="auto"/>
            <w:rPr>
              <w:rFonts w:ascii="Calibri" w:eastAsia="MS Gothic" w:hAnsi="Calibri"/>
              <w:b/>
              <w:bCs/>
              <w:color w:val="4F81BD"/>
            </w:rPr>
          </w:pPr>
        </w:p>
      </w:tc>
      <w:tc>
        <w:tcPr>
          <w:tcW w:w="0" w:type="auto"/>
          <w:vMerge/>
          <w:vAlign w:val="center"/>
          <w:hideMark/>
        </w:tcPr>
        <w:p w:rsidR="00F24F02" w:rsidRPr="005A3173" w:rsidRDefault="00F24F02" w:rsidP="005A3173">
          <w:pPr>
            <w:rPr>
              <w:rFonts w:ascii="Calibri" w:hAnsi="Calibri"/>
              <w:color w:val="365F91"/>
              <w:sz w:val="22"/>
              <w:szCs w:val="22"/>
            </w:rPr>
          </w:pPr>
        </w:p>
      </w:tc>
      <w:tc>
        <w:tcPr>
          <w:tcW w:w="2250" w:type="pct"/>
          <w:tcBorders>
            <w:top w:val="single" w:sz="4" w:space="0" w:color="4F81BD"/>
            <w:left w:val="nil"/>
            <w:bottom w:val="nil"/>
            <w:right w:val="nil"/>
          </w:tcBorders>
        </w:tcPr>
        <w:p w:rsidR="00F24F02" w:rsidRPr="005A3173" w:rsidRDefault="00F24F02" w:rsidP="005A3173">
          <w:pPr>
            <w:pStyle w:val="Header"/>
            <w:spacing w:line="276" w:lineRule="auto"/>
            <w:rPr>
              <w:rFonts w:ascii="Calibri" w:eastAsia="MS Gothic" w:hAnsi="Calibri"/>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F24F02" w:rsidTr="005A3173">
      <w:trPr>
        <w:trHeight w:val="151"/>
      </w:trPr>
      <w:tc>
        <w:tcPr>
          <w:tcW w:w="2250" w:type="pct"/>
          <w:tcBorders>
            <w:top w:val="nil"/>
            <w:left w:val="nil"/>
            <w:bottom w:val="single" w:sz="4" w:space="0" w:color="4F81BD"/>
            <w:right w:val="nil"/>
          </w:tcBorders>
        </w:tcPr>
        <w:p w:rsidR="00F24F02" w:rsidRPr="005A3173" w:rsidRDefault="00F24F02" w:rsidP="005A3173">
          <w:pPr>
            <w:pStyle w:val="Header"/>
            <w:spacing w:line="276" w:lineRule="auto"/>
            <w:rPr>
              <w:rFonts w:ascii="Calibri" w:eastAsia="MS Gothic" w:hAnsi="Calibri"/>
              <w:b/>
              <w:bCs/>
              <w:color w:val="4F81BD"/>
            </w:rPr>
          </w:pPr>
        </w:p>
      </w:tc>
      <w:tc>
        <w:tcPr>
          <w:tcW w:w="500" w:type="pct"/>
          <w:vMerge w:val="restart"/>
          <w:noWrap/>
          <w:vAlign w:val="center"/>
          <w:hideMark/>
        </w:tcPr>
        <w:p w:rsidR="00F24F02" w:rsidRPr="005A3173" w:rsidRDefault="00F24F02"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F24F02" w:rsidRPr="005A3173" w:rsidRDefault="00F24F02" w:rsidP="005A3173">
          <w:pPr>
            <w:pStyle w:val="Header"/>
            <w:spacing w:line="276" w:lineRule="auto"/>
            <w:rPr>
              <w:rFonts w:ascii="Calibri" w:eastAsia="MS Gothic" w:hAnsi="Calibri"/>
              <w:b/>
              <w:bCs/>
              <w:color w:val="4F81BD"/>
            </w:rPr>
          </w:pPr>
        </w:p>
      </w:tc>
    </w:tr>
    <w:tr w:rsidR="00F24F02" w:rsidTr="005A3173">
      <w:trPr>
        <w:trHeight w:val="150"/>
      </w:trPr>
      <w:tc>
        <w:tcPr>
          <w:tcW w:w="2250" w:type="pct"/>
          <w:tcBorders>
            <w:top w:val="single" w:sz="4" w:space="0" w:color="4F81BD"/>
            <w:left w:val="nil"/>
            <w:bottom w:val="nil"/>
            <w:right w:val="nil"/>
          </w:tcBorders>
        </w:tcPr>
        <w:p w:rsidR="00F24F02" w:rsidRPr="005A3173" w:rsidRDefault="00F24F02" w:rsidP="005A3173">
          <w:pPr>
            <w:pStyle w:val="Header"/>
            <w:spacing w:line="276" w:lineRule="auto"/>
            <w:rPr>
              <w:rFonts w:ascii="Calibri" w:eastAsia="MS Gothic" w:hAnsi="Calibri"/>
              <w:b/>
              <w:bCs/>
              <w:color w:val="4F81BD"/>
            </w:rPr>
          </w:pPr>
        </w:p>
      </w:tc>
      <w:tc>
        <w:tcPr>
          <w:tcW w:w="0" w:type="auto"/>
          <w:vMerge/>
          <w:vAlign w:val="center"/>
          <w:hideMark/>
        </w:tcPr>
        <w:p w:rsidR="00F24F02" w:rsidRPr="005A3173" w:rsidRDefault="00F24F02" w:rsidP="005A3173">
          <w:pPr>
            <w:rPr>
              <w:rFonts w:ascii="Calibri" w:hAnsi="Calibri"/>
              <w:color w:val="365F91"/>
              <w:sz w:val="22"/>
              <w:szCs w:val="22"/>
            </w:rPr>
          </w:pPr>
        </w:p>
      </w:tc>
      <w:tc>
        <w:tcPr>
          <w:tcW w:w="2250" w:type="pct"/>
          <w:tcBorders>
            <w:top w:val="single" w:sz="4" w:space="0" w:color="4F81BD"/>
            <w:left w:val="nil"/>
            <w:bottom w:val="nil"/>
            <w:right w:val="nil"/>
          </w:tcBorders>
        </w:tcPr>
        <w:p w:rsidR="00F24F02" w:rsidRPr="005A3173" w:rsidRDefault="00F24F02" w:rsidP="005A3173">
          <w:pPr>
            <w:pStyle w:val="Header"/>
            <w:spacing w:line="276" w:lineRule="auto"/>
            <w:rPr>
              <w:rFonts w:ascii="Calibri" w:eastAsia="MS Gothic" w:hAnsi="Calibri"/>
              <w:b/>
              <w:bCs/>
              <w:color w:val="4F81BD"/>
            </w:rPr>
          </w:pPr>
        </w:p>
      </w:tc>
    </w:tr>
  </w:tbl>
  <w:p w:rsidR="00F24F02" w:rsidRPr="007C0F57" w:rsidRDefault="00F24F02" w:rsidP="007C0F57">
    <w:pPr>
      <w:pStyle w:val="Foote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rPr>
        <w:rStyle w:val="PageNumber"/>
      </w:rPr>
      <w:fldChar w:fldCharType="begin"/>
    </w:r>
    <w:r>
      <w:rPr>
        <w:rStyle w:val="PageNumber"/>
      </w:rPr>
      <w:instrText xml:space="preserve"> PAGE </w:instrText>
    </w:r>
    <w:r>
      <w:rPr>
        <w:rStyle w:val="PageNumber"/>
      </w:rPr>
      <w:fldChar w:fldCharType="separate"/>
    </w:r>
    <w:r w:rsidR="000C7F48">
      <w:rPr>
        <w:rStyle w:val="PageNumber"/>
        <w:noProof/>
      </w:rPr>
      <w:t>5</w:t>
    </w:r>
    <w:r>
      <w:rPr>
        <w:rStyle w:val="PageNumber"/>
      </w:rPr>
      <w:fldChar w:fldCharType="end"/>
    </w:r>
    <w:r w:rsidRPr="007C0F57">
      <w:rPr>
        <w:b/>
        <w:i/>
        <w:sz w:val="20"/>
        <w:szCs w:val="20"/>
      </w:rPr>
      <w:t>BAC Meeting</w:t>
    </w:r>
  </w:p>
  <w:p w:rsidR="00F24F02" w:rsidRPr="007C0F57" w:rsidRDefault="00F24F02" w:rsidP="007C0F57">
    <w:pPr>
      <w:pStyle w:val="Footer"/>
      <w:jc w:val="center"/>
      <w:rPr>
        <w:b/>
        <w:i/>
        <w:sz w:val="20"/>
        <w:szCs w:val="20"/>
      </w:rPr>
    </w:pPr>
    <w:r w:rsidRPr="007C0F57">
      <w:rPr>
        <w:b/>
        <w:i/>
        <w:sz w:val="20"/>
        <w:szCs w:val="20"/>
      </w:rPr>
      <w:t>Commercial-in-Confidence</w:t>
    </w:r>
  </w:p>
  <w:p w:rsidR="00F24F02" w:rsidRDefault="00F24F0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5E23" w:rsidRDefault="00165E23">
      <w:r>
        <w:separator/>
      </w:r>
    </w:p>
    <w:p w:rsidR="00165E23" w:rsidRDefault="00165E23"/>
  </w:footnote>
  <w:footnote w:type="continuationSeparator" w:id="0">
    <w:p w:rsidR="00165E23" w:rsidRDefault="00165E23">
      <w:r>
        <w:continuationSeparator/>
      </w:r>
    </w:p>
    <w:p w:rsidR="00165E23" w:rsidRDefault="00165E2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4937" w:type="pct"/>
      <w:tblLook w:val="04A0" w:firstRow="1" w:lastRow="0" w:firstColumn="1" w:lastColumn="0" w:noHBand="0" w:noVBand="1"/>
    </w:tblPr>
    <w:tblGrid>
      <w:gridCol w:w="4038"/>
      <w:gridCol w:w="1252"/>
      <w:gridCol w:w="3836"/>
    </w:tblGrid>
    <w:tr w:rsidR="00F24F02" w:rsidRPr="008E0D90" w:rsidTr="00A06225">
      <w:trPr>
        <w:trHeight w:val="151"/>
      </w:trPr>
      <w:tc>
        <w:tcPr>
          <w:tcW w:w="2389" w:type="pct"/>
          <w:tcBorders>
            <w:top w:val="nil"/>
            <w:left w:val="nil"/>
            <w:bottom w:val="single" w:sz="4" w:space="0" w:color="4F81BD"/>
            <w:right w:val="nil"/>
          </w:tcBorders>
        </w:tcPr>
        <w:p w:rsidR="00F24F02" w:rsidRPr="00A06225" w:rsidRDefault="00F24F02">
          <w:pPr>
            <w:pStyle w:val="Header"/>
            <w:spacing w:line="276" w:lineRule="auto"/>
            <w:rPr>
              <w:rFonts w:ascii="Cambria" w:eastAsia="MS Gothic" w:hAnsi="Cambria"/>
              <w:b/>
              <w:bCs/>
              <w:color w:val="4F81BD"/>
            </w:rPr>
          </w:pPr>
        </w:p>
      </w:tc>
      <w:tc>
        <w:tcPr>
          <w:tcW w:w="333" w:type="pct"/>
          <w:vMerge w:val="restart"/>
          <w:noWrap/>
          <w:vAlign w:val="center"/>
          <w:hideMark/>
        </w:tcPr>
        <w:p w:rsidR="00F24F02" w:rsidRPr="00A06225" w:rsidRDefault="00F24F02"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rsidR="00F24F02" w:rsidRPr="00A06225" w:rsidRDefault="00F24F02">
          <w:pPr>
            <w:pStyle w:val="Header"/>
            <w:spacing w:line="276" w:lineRule="auto"/>
            <w:rPr>
              <w:rFonts w:ascii="Cambria" w:eastAsia="MS Gothic" w:hAnsi="Cambria"/>
              <w:b/>
              <w:bCs/>
              <w:color w:val="4F81BD"/>
            </w:rPr>
          </w:pPr>
        </w:p>
      </w:tc>
    </w:tr>
    <w:tr w:rsidR="00F24F02" w:rsidRPr="008E0D90" w:rsidTr="00A06225">
      <w:trPr>
        <w:trHeight w:val="150"/>
      </w:trPr>
      <w:tc>
        <w:tcPr>
          <w:tcW w:w="2389" w:type="pct"/>
          <w:tcBorders>
            <w:top w:val="single" w:sz="4" w:space="0" w:color="4F81BD"/>
            <w:left w:val="nil"/>
            <w:bottom w:val="nil"/>
            <w:right w:val="nil"/>
          </w:tcBorders>
        </w:tcPr>
        <w:p w:rsidR="00F24F02" w:rsidRPr="00A06225" w:rsidRDefault="00F24F02">
          <w:pPr>
            <w:pStyle w:val="Header"/>
            <w:spacing w:line="276" w:lineRule="auto"/>
            <w:rPr>
              <w:rFonts w:ascii="Cambria" w:eastAsia="MS Gothic" w:hAnsi="Cambria"/>
              <w:b/>
              <w:bCs/>
              <w:color w:val="4F81BD"/>
            </w:rPr>
          </w:pPr>
        </w:p>
      </w:tc>
      <w:tc>
        <w:tcPr>
          <w:tcW w:w="0" w:type="auto"/>
          <w:vMerge/>
          <w:vAlign w:val="center"/>
          <w:hideMark/>
        </w:tcPr>
        <w:p w:rsidR="00F24F02" w:rsidRPr="00A06225" w:rsidRDefault="00F24F02">
          <w:pPr>
            <w:rPr>
              <w:rFonts w:ascii="Cambria" w:hAnsi="Cambria"/>
              <w:color w:val="4F81BD"/>
              <w:sz w:val="22"/>
              <w:szCs w:val="22"/>
            </w:rPr>
          </w:pPr>
        </w:p>
      </w:tc>
      <w:tc>
        <w:tcPr>
          <w:tcW w:w="2278" w:type="pct"/>
          <w:tcBorders>
            <w:top w:val="single" w:sz="4" w:space="0" w:color="4F81BD"/>
            <w:left w:val="nil"/>
            <w:bottom w:val="nil"/>
            <w:right w:val="nil"/>
          </w:tcBorders>
        </w:tcPr>
        <w:p w:rsidR="00F24F02" w:rsidRPr="00A06225" w:rsidRDefault="00F24F02">
          <w:pPr>
            <w:pStyle w:val="Header"/>
            <w:spacing w:line="276" w:lineRule="auto"/>
            <w:rPr>
              <w:rFonts w:ascii="Cambria" w:eastAsia="MS Gothic" w:hAnsi="Cambria"/>
              <w:b/>
              <w:bCs/>
              <w:color w:val="4F81BD"/>
            </w:rPr>
          </w:pPr>
        </w:p>
      </w:tc>
    </w:tr>
  </w:tbl>
  <w:p w:rsidR="00F24F02" w:rsidRDefault="00F24F02">
    <w:pPr>
      <w:pStyle w:val="Header"/>
    </w:pPr>
  </w:p>
  <w:p w:rsidR="00F24F02" w:rsidRDefault="00F24F02"/>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6328" w:rsidRPr="00DF217D" w:rsidRDefault="002B027D" w:rsidP="00306328">
    <w:pPr>
      <w:pStyle w:val="Header"/>
      <w:ind w:left="360"/>
      <w:jc w:val="center"/>
      <w:rPr>
        <w:rFonts w:ascii="Arial" w:hAnsi="Arial" w:cs="Arial"/>
        <w:i/>
        <w:color w:val="808080"/>
        <w:sz w:val="22"/>
      </w:rPr>
    </w:pPr>
    <w:r>
      <w:rPr>
        <w:rFonts w:ascii="Arial" w:hAnsi="Arial" w:cs="Arial"/>
        <w:i/>
        <w:color w:val="808080"/>
        <w:sz w:val="22"/>
      </w:rPr>
      <w:t xml:space="preserve">Public Summary Document </w:t>
    </w:r>
    <w:r w:rsidR="00306328" w:rsidRPr="00DF217D">
      <w:rPr>
        <w:rFonts w:ascii="Arial" w:hAnsi="Arial" w:cs="Arial"/>
        <w:i/>
        <w:color w:val="808080"/>
        <w:sz w:val="22"/>
      </w:rPr>
      <w:t xml:space="preserve">– </w:t>
    </w:r>
    <w:r w:rsidR="00306328">
      <w:rPr>
        <w:rFonts w:ascii="Arial" w:hAnsi="Arial" w:cs="Arial"/>
        <w:i/>
        <w:color w:val="808080"/>
        <w:sz w:val="22"/>
      </w:rPr>
      <w:t xml:space="preserve">November 2015 </w:t>
    </w:r>
    <w:r w:rsidR="00306328" w:rsidRPr="00DF217D">
      <w:rPr>
        <w:rFonts w:ascii="Arial" w:hAnsi="Arial" w:cs="Arial"/>
        <w:i/>
        <w:color w:val="808080"/>
        <w:sz w:val="22"/>
      </w:rPr>
      <w:t>PBAC</w:t>
    </w:r>
    <w:r w:rsidR="00306328">
      <w:rPr>
        <w:rFonts w:ascii="Arial" w:hAnsi="Arial" w:cs="Arial"/>
        <w:i/>
        <w:color w:val="808080"/>
        <w:sz w:val="22"/>
      </w:rPr>
      <w:t xml:space="preserve"> </w:t>
    </w:r>
    <w:r w:rsidR="00306328" w:rsidRPr="00DF217D">
      <w:rPr>
        <w:rFonts w:ascii="Arial" w:hAnsi="Arial" w:cs="Arial"/>
        <w:i/>
        <w:color w:val="808080"/>
        <w:sz w:val="22"/>
      </w:rPr>
      <w:t>Meeting</w:t>
    </w:r>
  </w:p>
  <w:p w:rsidR="00306328" w:rsidRDefault="0030632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B79BA"/>
    <w:multiLevelType w:val="hybridMultilevel"/>
    <w:tmpl w:val="10F002FA"/>
    <w:lvl w:ilvl="0" w:tplc="33C8048E">
      <w:start w:val="1"/>
      <w:numFmt w:val="lowerLetter"/>
      <w:lvlText w:val="%1)"/>
      <w:lvlJc w:val="left"/>
      <w:pPr>
        <w:ind w:left="144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00AC0811"/>
    <w:multiLevelType w:val="hybridMultilevel"/>
    <w:tmpl w:val="9E3E2776"/>
    <w:lvl w:ilvl="0" w:tplc="369A0A56">
      <w:start w:val="1"/>
      <w:numFmt w:val="bullet"/>
      <w:lvlText w:val=""/>
      <w:lvlJc w:val="left"/>
      <w:pPr>
        <w:tabs>
          <w:tab w:val="num" w:pos="720"/>
        </w:tabs>
        <w:ind w:left="720" w:hanging="360"/>
      </w:pPr>
      <w:rPr>
        <w:rFonts w:ascii="Symbol" w:hAnsi="Symbol" w:hint="default"/>
      </w:rPr>
    </w:lvl>
    <w:lvl w:ilvl="1" w:tplc="E4321262" w:tentative="1">
      <w:start w:val="1"/>
      <w:numFmt w:val="bullet"/>
      <w:lvlText w:val="o"/>
      <w:lvlJc w:val="left"/>
      <w:pPr>
        <w:tabs>
          <w:tab w:val="num" w:pos="1440"/>
        </w:tabs>
        <w:ind w:left="1440" w:hanging="360"/>
      </w:pPr>
      <w:rPr>
        <w:rFonts w:ascii="Courier New" w:hAnsi="Courier New" w:cs="Courier New" w:hint="default"/>
      </w:rPr>
    </w:lvl>
    <w:lvl w:ilvl="2" w:tplc="8E7CC4D4" w:tentative="1">
      <w:start w:val="1"/>
      <w:numFmt w:val="bullet"/>
      <w:lvlText w:val=""/>
      <w:lvlJc w:val="left"/>
      <w:pPr>
        <w:tabs>
          <w:tab w:val="num" w:pos="2160"/>
        </w:tabs>
        <w:ind w:left="2160" w:hanging="360"/>
      </w:pPr>
      <w:rPr>
        <w:rFonts w:ascii="Wingdings" w:hAnsi="Wingdings" w:hint="default"/>
      </w:rPr>
    </w:lvl>
    <w:lvl w:ilvl="3" w:tplc="B172EB80" w:tentative="1">
      <w:start w:val="1"/>
      <w:numFmt w:val="bullet"/>
      <w:lvlText w:val=""/>
      <w:lvlJc w:val="left"/>
      <w:pPr>
        <w:tabs>
          <w:tab w:val="num" w:pos="2880"/>
        </w:tabs>
        <w:ind w:left="2880" w:hanging="360"/>
      </w:pPr>
      <w:rPr>
        <w:rFonts w:ascii="Symbol" w:hAnsi="Symbol" w:hint="default"/>
      </w:rPr>
    </w:lvl>
    <w:lvl w:ilvl="4" w:tplc="1F10EB0A" w:tentative="1">
      <w:start w:val="1"/>
      <w:numFmt w:val="bullet"/>
      <w:lvlText w:val="o"/>
      <w:lvlJc w:val="left"/>
      <w:pPr>
        <w:tabs>
          <w:tab w:val="num" w:pos="3600"/>
        </w:tabs>
        <w:ind w:left="3600" w:hanging="360"/>
      </w:pPr>
      <w:rPr>
        <w:rFonts w:ascii="Courier New" w:hAnsi="Courier New" w:cs="Courier New" w:hint="default"/>
      </w:rPr>
    </w:lvl>
    <w:lvl w:ilvl="5" w:tplc="7D4EB088" w:tentative="1">
      <w:start w:val="1"/>
      <w:numFmt w:val="bullet"/>
      <w:lvlText w:val=""/>
      <w:lvlJc w:val="left"/>
      <w:pPr>
        <w:tabs>
          <w:tab w:val="num" w:pos="4320"/>
        </w:tabs>
        <w:ind w:left="4320" w:hanging="360"/>
      </w:pPr>
      <w:rPr>
        <w:rFonts w:ascii="Wingdings" w:hAnsi="Wingdings" w:hint="default"/>
      </w:rPr>
    </w:lvl>
    <w:lvl w:ilvl="6" w:tplc="EF8EA542" w:tentative="1">
      <w:start w:val="1"/>
      <w:numFmt w:val="bullet"/>
      <w:lvlText w:val=""/>
      <w:lvlJc w:val="left"/>
      <w:pPr>
        <w:tabs>
          <w:tab w:val="num" w:pos="5040"/>
        </w:tabs>
        <w:ind w:left="5040" w:hanging="360"/>
      </w:pPr>
      <w:rPr>
        <w:rFonts w:ascii="Symbol" w:hAnsi="Symbol" w:hint="default"/>
      </w:rPr>
    </w:lvl>
    <w:lvl w:ilvl="7" w:tplc="5A12F5AE" w:tentative="1">
      <w:start w:val="1"/>
      <w:numFmt w:val="bullet"/>
      <w:lvlText w:val="o"/>
      <w:lvlJc w:val="left"/>
      <w:pPr>
        <w:tabs>
          <w:tab w:val="num" w:pos="5760"/>
        </w:tabs>
        <w:ind w:left="5760" w:hanging="360"/>
      </w:pPr>
      <w:rPr>
        <w:rFonts w:ascii="Courier New" w:hAnsi="Courier New" w:cs="Courier New" w:hint="default"/>
      </w:rPr>
    </w:lvl>
    <w:lvl w:ilvl="8" w:tplc="D292A61E" w:tentative="1">
      <w:start w:val="1"/>
      <w:numFmt w:val="bullet"/>
      <w:lvlText w:val=""/>
      <w:lvlJc w:val="left"/>
      <w:pPr>
        <w:tabs>
          <w:tab w:val="num" w:pos="6480"/>
        </w:tabs>
        <w:ind w:left="6480" w:hanging="360"/>
      </w:pPr>
      <w:rPr>
        <w:rFonts w:ascii="Wingdings" w:hAnsi="Wingdings" w:hint="default"/>
      </w:rPr>
    </w:lvl>
  </w:abstractNum>
  <w:abstractNum w:abstractNumId="2">
    <w:nsid w:val="06C9011D"/>
    <w:multiLevelType w:val="hybridMultilevel"/>
    <w:tmpl w:val="54025948"/>
    <w:lvl w:ilvl="0" w:tplc="48F662A2">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
    <w:nsid w:val="06FC2325"/>
    <w:multiLevelType w:val="hybridMultilevel"/>
    <w:tmpl w:val="10F002FA"/>
    <w:lvl w:ilvl="0" w:tplc="33C8048E">
      <w:start w:val="1"/>
      <w:numFmt w:val="lowerLetter"/>
      <w:lvlText w:val="%1)"/>
      <w:lvlJc w:val="left"/>
      <w:pPr>
        <w:ind w:left="144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09047E83"/>
    <w:multiLevelType w:val="hybridMultilevel"/>
    <w:tmpl w:val="10F002FA"/>
    <w:lvl w:ilvl="0" w:tplc="33C8048E">
      <w:start w:val="1"/>
      <w:numFmt w:val="lowerLetter"/>
      <w:lvlText w:val="%1)"/>
      <w:lvlJc w:val="left"/>
      <w:pPr>
        <w:ind w:left="144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nsid w:val="0B486DC1"/>
    <w:multiLevelType w:val="hybridMultilevel"/>
    <w:tmpl w:val="87AC74E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7">
    <w:nsid w:val="0CCB7669"/>
    <w:multiLevelType w:val="hybridMultilevel"/>
    <w:tmpl w:val="F4A28330"/>
    <w:lvl w:ilvl="0" w:tplc="83A001E2">
      <w:start w:val="2001"/>
      <w:numFmt w:val="bullet"/>
      <w:lvlText w:val="-"/>
      <w:lvlJc w:val="left"/>
      <w:pPr>
        <w:tabs>
          <w:tab w:val="num" w:pos="564"/>
        </w:tabs>
        <w:ind w:left="564"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0D9A0500"/>
    <w:multiLevelType w:val="hybridMultilevel"/>
    <w:tmpl w:val="B920B882"/>
    <w:lvl w:ilvl="0" w:tplc="7D3E3D18">
      <w:start w:val="1"/>
      <w:numFmt w:val="lowerRoman"/>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9">
    <w:nsid w:val="0ED53C7B"/>
    <w:multiLevelType w:val="hybridMultilevel"/>
    <w:tmpl w:val="3146A6DC"/>
    <w:lvl w:ilvl="0" w:tplc="11A68620">
      <w:start w:val="1"/>
      <w:numFmt w:val="bullet"/>
      <w:lvlText w:val=""/>
      <w:lvlJc w:val="left"/>
      <w:pPr>
        <w:tabs>
          <w:tab w:val="num" w:pos="1440"/>
        </w:tabs>
        <w:ind w:left="1440" w:hanging="360"/>
      </w:pPr>
      <w:rPr>
        <w:rFonts w:ascii="Symbol" w:hAnsi="Symbol" w:hint="default"/>
      </w:rPr>
    </w:lvl>
    <w:lvl w:ilvl="1" w:tplc="20407D32" w:tentative="1">
      <w:start w:val="1"/>
      <w:numFmt w:val="bullet"/>
      <w:lvlText w:val="o"/>
      <w:lvlJc w:val="left"/>
      <w:pPr>
        <w:tabs>
          <w:tab w:val="num" w:pos="2160"/>
        </w:tabs>
        <w:ind w:left="2160" w:hanging="360"/>
      </w:pPr>
      <w:rPr>
        <w:rFonts w:ascii="Courier New" w:hAnsi="Courier New" w:cs="Courier New" w:hint="default"/>
      </w:rPr>
    </w:lvl>
    <w:lvl w:ilvl="2" w:tplc="69AAF76E" w:tentative="1">
      <w:start w:val="1"/>
      <w:numFmt w:val="bullet"/>
      <w:lvlText w:val=""/>
      <w:lvlJc w:val="left"/>
      <w:pPr>
        <w:tabs>
          <w:tab w:val="num" w:pos="2880"/>
        </w:tabs>
        <w:ind w:left="2880" w:hanging="360"/>
      </w:pPr>
      <w:rPr>
        <w:rFonts w:ascii="Wingdings" w:hAnsi="Wingdings" w:hint="default"/>
      </w:rPr>
    </w:lvl>
    <w:lvl w:ilvl="3" w:tplc="D2DA9822" w:tentative="1">
      <w:start w:val="1"/>
      <w:numFmt w:val="bullet"/>
      <w:lvlText w:val=""/>
      <w:lvlJc w:val="left"/>
      <w:pPr>
        <w:tabs>
          <w:tab w:val="num" w:pos="3600"/>
        </w:tabs>
        <w:ind w:left="3600" w:hanging="360"/>
      </w:pPr>
      <w:rPr>
        <w:rFonts w:ascii="Symbol" w:hAnsi="Symbol" w:hint="default"/>
      </w:rPr>
    </w:lvl>
    <w:lvl w:ilvl="4" w:tplc="CD2A682A" w:tentative="1">
      <w:start w:val="1"/>
      <w:numFmt w:val="bullet"/>
      <w:lvlText w:val="o"/>
      <w:lvlJc w:val="left"/>
      <w:pPr>
        <w:tabs>
          <w:tab w:val="num" w:pos="4320"/>
        </w:tabs>
        <w:ind w:left="4320" w:hanging="360"/>
      </w:pPr>
      <w:rPr>
        <w:rFonts w:ascii="Courier New" w:hAnsi="Courier New" w:cs="Courier New" w:hint="default"/>
      </w:rPr>
    </w:lvl>
    <w:lvl w:ilvl="5" w:tplc="98B01800" w:tentative="1">
      <w:start w:val="1"/>
      <w:numFmt w:val="bullet"/>
      <w:lvlText w:val=""/>
      <w:lvlJc w:val="left"/>
      <w:pPr>
        <w:tabs>
          <w:tab w:val="num" w:pos="5040"/>
        </w:tabs>
        <w:ind w:left="5040" w:hanging="360"/>
      </w:pPr>
      <w:rPr>
        <w:rFonts w:ascii="Wingdings" w:hAnsi="Wingdings" w:hint="default"/>
      </w:rPr>
    </w:lvl>
    <w:lvl w:ilvl="6" w:tplc="2CD2F398" w:tentative="1">
      <w:start w:val="1"/>
      <w:numFmt w:val="bullet"/>
      <w:lvlText w:val=""/>
      <w:lvlJc w:val="left"/>
      <w:pPr>
        <w:tabs>
          <w:tab w:val="num" w:pos="5760"/>
        </w:tabs>
        <w:ind w:left="5760" w:hanging="360"/>
      </w:pPr>
      <w:rPr>
        <w:rFonts w:ascii="Symbol" w:hAnsi="Symbol" w:hint="default"/>
      </w:rPr>
    </w:lvl>
    <w:lvl w:ilvl="7" w:tplc="94EC8F56" w:tentative="1">
      <w:start w:val="1"/>
      <w:numFmt w:val="bullet"/>
      <w:lvlText w:val="o"/>
      <w:lvlJc w:val="left"/>
      <w:pPr>
        <w:tabs>
          <w:tab w:val="num" w:pos="6480"/>
        </w:tabs>
        <w:ind w:left="6480" w:hanging="360"/>
      </w:pPr>
      <w:rPr>
        <w:rFonts w:ascii="Courier New" w:hAnsi="Courier New" w:cs="Courier New" w:hint="default"/>
      </w:rPr>
    </w:lvl>
    <w:lvl w:ilvl="8" w:tplc="77740B72" w:tentative="1">
      <w:start w:val="1"/>
      <w:numFmt w:val="bullet"/>
      <w:lvlText w:val=""/>
      <w:lvlJc w:val="left"/>
      <w:pPr>
        <w:tabs>
          <w:tab w:val="num" w:pos="7200"/>
        </w:tabs>
        <w:ind w:left="7200" w:hanging="360"/>
      </w:pPr>
      <w:rPr>
        <w:rFonts w:ascii="Wingdings" w:hAnsi="Wingdings" w:hint="default"/>
      </w:rPr>
    </w:lvl>
  </w:abstractNum>
  <w:abstractNum w:abstractNumId="10">
    <w:nsid w:val="0F0015B3"/>
    <w:multiLevelType w:val="hybridMultilevel"/>
    <w:tmpl w:val="67C6A6E6"/>
    <w:lvl w:ilvl="0" w:tplc="18143B82">
      <w:start w:val="1"/>
      <w:numFmt w:val="bullet"/>
      <w:lvlText w:val=""/>
      <w:lvlJc w:val="left"/>
      <w:pPr>
        <w:tabs>
          <w:tab w:val="num" w:pos="720"/>
        </w:tabs>
        <w:ind w:left="720" w:hanging="360"/>
      </w:pPr>
      <w:rPr>
        <w:rFonts w:ascii="Symbol" w:hAnsi="Symbol" w:hint="default"/>
      </w:rPr>
    </w:lvl>
    <w:lvl w:ilvl="1" w:tplc="3BB87880" w:tentative="1">
      <w:start w:val="1"/>
      <w:numFmt w:val="bullet"/>
      <w:lvlText w:val="o"/>
      <w:lvlJc w:val="left"/>
      <w:pPr>
        <w:tabs>
          <w:tab w:val="num" w:pos="1440"/>
        </w:tabs>
        <w:ind w:left="1440" w:hanging="360"/>
      </w:pPr>
      <w:rPr>
        <w:rFonts w:ascii="Courier New" w:hAnsi="Courier New" w:cs="Courier New" w:hint="default"/>
      </w:rPr>
    </w:lvl>
    <w:lvl w:ilvl="2" w:tplc="32008766" w:tentative="1">
      <w:start w:val="1"/>
      <w:numFmt w:val="bullet"/>
      <w:lvlText w:val=""/>
      <w:lvlJc w:val="left"/>
      <w:pPr>
        <w:tabs>
          <w:tab w:val="num" w:pos="2160"/>
        </w:tabs>
        <w:ind w:left="2160" w:hanging="360"/>
      </w:pPr>
      <w:rPr>
        <w:rFonts w:ascii="Wingdings" w:hAnsi="Wingdings" w:hint="default"/>
      </w:rPr>
    </w:lvl>
    <w:lvl w:ilvl="3" w:tplc="E45AFFCC" w:tentative="1">
      <w:start w:val="1"/>
      <w:numFmt w:val="bullet"/>
      <w:lvlText w:val=""/>
      <w:lvlJc w:val="left"/>
      <w:pPr>
        <w:tabs>
          <w:tab w:val="num" w:pos="2880"/>
        </w:tabs>
        <w:ind w:left="2880" w:hanging="360"/>
      </w:pPr>
      <w:rPr>
        <w:rFonts w:ascii="Symbol" w:hAnsi="Symbol" w:hint="default"/>
      </w:rPr>
    </w:lvl>
    <w:lvl w:ilvl="4" w:tplc="E9C82456" w:tentative="1">
      <w:start w:val="1"/>
      <w:numFmt w:val="bullet"/>
      <w:lvlText w:val="o"/>
      <w:lvlJc w:val="left"/>
      <w:pPr>
        <w:tabs>
          <w:tab w:val="num" w:pos="3600"/>
        </w:tabs>
        <w:ind w:left="3600" w:hanging="360"/>
      </w:pPr>
      <w:rPr>
        <w:rFonts w:ascii="Courier New" w:hAnsi="Courier New" w:cs="Courier New" w:hint="default"/>
      </w:rPr>
    </w:lvl>
    <w:lvl w:ilvl="5" w:tplc="7640D61A" w:tentative="1">
      <w:start w:val="1"/>
      <w:numFmt w:val="bullet"/>
      <w:lvlText w:val=""/>
      <w:lvlJc w:val="left"/>
      <w:pPr>
        <w:tabs>
          <w:tab w:val="num" w:pos="4320"/>
        </w:tabs>
        <w:ind w:left="4320" w:hanging="360"/>
      </w:pPr>
      <w:rPr>
        <w:rFonts w:ascii="Wingdings" w:hAnsi="Wingdings" w:hint="default"/>
      </w:rPr>
    </w:lvl>
    <w:lvl w:ilvl="6" w:tplc="591CF4A6" w:tentative="1">
      <w:start w:val="1"/>
      <w:numFmt w:val="bullet"/>
      <w:lvlText w:val=""/>
      <w:lvlJc w:val="left"/>
      <w:pPr>
        <w:tabs>
          <w:tab w:val="num" w:pos="5040"/>
        </w:tabs>
        <w:ind w:left="5040" w:hanging="360"/>
      </w:pPr>
      <w:rPr>
        <w:rFonts w:ascii="Symbol" w:hAnsi="Symbol" w:hint="default"/>
      </w:rPr>
    </w:lvl>
    <w:lvl w:ilvl="7" w:tplc="0C2E83BC" w:tentative="1">
      <w:start w:val="1"/>
      <w:numFmt w:val="bullet"/>
      <w:lvlText w:val="o"/>
      <w:lvlJc w:val="left"/>
      <w:pPr>
        <w:tabs>
          <w:tab w:val="num" w:pos="5760"/>
        </w:tabs>
        <w:ind w:left="5760" w:hanging="360"/>
      </w:pPr>
      <w:rPr>
        <w:rFonts w:ascii="Courier New" w:hAnsi="Courier New" w:cs="Courier New" w:hint="default"/>
      </w:rPr>
    </w:lvl>
    <w:lvl w:ilvl="8" w:tplc="55C6FBAE" w:tentative="1">
      <w:start w:val="1"/>
      <w:numFmt w:val="bullet"/>
      <w:lvlText w:val=""/>
      <w:lvlJc w:val="left"/>
      <w:pPr>
        <w:tabs>
          <w:tab w:val="num" w:pos="6480"/>
        </w:tabs>
        <w:ind w:left="6480" w:hanging="360"/>
      </w:pPr>
      <w:rPr>
        <w:rFonts w:ascii="Wingdings" w:hAnsi="Wingdings" w:hint="default"/>
      </w:rPr>
    </w:lvl>
  </w:abstractNum>
  <w:abstractNum w:abstractNumId="11">
    <w:nsid w:val="108628D3"/>
    <w:multiLevelType w:val="hybridMultilevel"/>
    <w:tmpl w:val="6D444AB6"/>
    <w:lvl w:ilvl="0" w:tplc="5D4EED54">
      <w:numFmt w:val="bullet"/>
      <w:lvlText w:val="-"/>
      <w:lvlJc w:val="left"/>
      <w:pPr>
        <w:ind w:left="1140" w:hanging="360"/>
      </w:pPr>
      <w:rPr>
        <w:rFonts w:ascii="Arial" w:eastAsia="Times New Roman" w:hAnsi="Arial" w:cs="Arial" w:hint="default"/>
      </w:rPr>
    </w:lvl>
    <w:lvl w:ilvl="1" w:tplc="0C090003" w:tentative="1">
      <w:start w:val="1"/>
      <w:numFmt w:val="bullet"/>
      <w:lvlText w:val="o"/>
      <w:lvlJc w:val="left"/>
      <w:pPr>
        <w:ind w:left="1860" w:hanging="360"/>
      </w:pPr>
      <w:rPr>
        <w:rFonts w:ascii="Courier New" w:hAnsi="Courier New" w:cs="Courier New" w:hint="default"/>
      </w:rPr>
    </w:lvl>
    <w:lvl w:ilvl="2" w:tplc="0C090005" w:tentative="1">
      <w:start w:val="1"/>
      <w:numFmt w:val="bullet"/>
      <w:lvlText w:val=""/>
      <w:lvlJc w:val="left"/>
      <w:pPr>
        <w:ind w:left="2580" w:hanging="360"/>
      </w:pPr>
      <w:rPr>
        <w:rFonts w:ascii="Wingdings" w:hAnsi="Wingdings" w:hint="default"/>
      </w:rPr>
    </w:lvl>
    <w:lvl w:ilvl="3" w:tplc="0C090001" w:tentative="1">
      <w:start w:val="1"/>
      <w:numFmt w:val="bullet"/>
      <w:lvlText w:val=""/>
      <w:lvlJc w:val="left"/>
      <w:pPr>
        <w:ind w:left="3300" w:hanging="360"/>
      </w:pPr>
      <w:rPr>
        <w:rFonts w:ascii="Symbol" w:hAnsi="Symbol" w:hint="default"/>
      </w:rPr>
    </w:lvl>
    <w:lvl w:ilvl="4" w:tplc="0C090003" w:tentative="1">
      <w:start w:val="1"/>
      <w:numFmt w:val="bullet"/>
      <w:lvlText w:val="o"/>
      <w:lvlJc w:val="left"/>
      <w:pPr>
        <w:ind w:left="4020" w:hanging="360"/>
      </w:pPr>
      <w:rPr>
        <w:rFonts w:ascii="Courier New" w:hAnsi="Courier New" w:cs="Courier New" w:hint="default"/>
      </w:rPr>
    </w:lvl>
    <w:lvl w:ilvl="5" w:tplc="0C090005" w:tentative="1">
      <w:start w:val="1"/>
      <w:numFmt w:val="bullet"/>
      <w:lvlText w:val=""/>
      <w:lvlJc w:val="left"/>
      <w:pPr>
        <w:ind w:left="4740" w:hanging="360"/>
      </w:pPr>
      <w:rPr>
        <w:rFonts w:ascii="Wingdings" w:hAnsi="Wingdings" w:hint="default"/>
      </w:rPr>
    </w:lvl>
    <w:lvl w:ilvl="6" w:tplc="0C090001" w:tentative="1">
      <w:start w:val="1"/>
      <w:numFmt w:val="bullet"/>
      <w:lvlText w:val=""/>
      <w:lvlJc w:val="left"/>
      <w:pPr>
        <w:ind w:left="5460" w:hanging="360"/>
      </w:pPr>
      <w:rPr>
        <w:rFonts w:ascii="Symbol" w:hAnsi="Symbol" w:hint="default"/>
      </w:rPr>
    </w:lvl>
    <w:lvl w:ilvl="7" w:tplc="0C090003" w:tentative="1">
      <w:start w:val="1"/>
      <w:numFmt w:val="bullet"/>
      <w:lvlText w:val="o"/>
      <w:lvlJc w:val="left"/>
      <w:pPr>
        <w:ind w:left="6180" w:hanging="360"/>
      </w:pPr>
      <w:rPr>
        <w:rFonts w:ascii="Courier New" w:hAnsi="Courier New" w:cs="Courier New" w:hint="default"/>
      </w:rPr>
    </w:lvl>
    <w:lvl w:ilvl="8" w:tplc="0C090005" w:tentative="1">
      <w:start w:val="1"/>
      <w:numFmt w:val="bullet"/>
      <w:lvlText w:val=""/>
      <w:lvlJc w:val="left"/>
      <w:pPr>
        <w:ind w:left="6900" w:hanging="360"/>
      </w:pPr>
      <w:rPr>
        <w:rFonts w:ascii="Wingdings" w:hAnsi="Wingdings" w:hint="default"/>
      </w:rPr>
    </w:lvl>
  </w:abstractNum>
  <w:abstractNum w:abstractNumId="12">
    <w:nsid w:val="163061C4"/>
    <w:multiLevelType w:val="hybridMultilevel"/>
    <w:tmpl w:val="DA0CA69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3">
    <w:nsid w:val="17DD3355"/>
    <w:multiLevelType w:val="hybridMultilevel"/>
    <w:tmpl w:val="0CF8F39C"/>
    <w:lvl w:ilvl="0" w:tplc="A11C36BA">
      <w:start w:val="1"/>
      <w:numFmt w:val="decimal"/>
      <w:lvlText w:val="%1."/>
      <w:lvlJc w:val="left"/>
      <w:pPr>
        <w:tabs>
          <w:tab w:val="num" w:pos="1080"/>
        </w:tabs>
        <w:ind w:left="1080" w:hanging="720"/>
      </w:pPr>
      <w:rPr>
        <w:rFonts w:hint="default"/>
        <w:b w:val="0"/>
      </w:rPr>
    </w:lvl>
    <w:lvl w:ilvl="1" w:tplc="D0EC86D2" w:tentative="1">
      <w:start w:val="1"/>
      <w:numFmt w:val="lowerLetter"/>
      <w:lvlText w:val="%2."/>
      <w:lvlJc w:val="left"/>
      <w:pPr>
        <w:tabs>
          <w:tab w:val="num" w:pos="1440"/>
        </w:tabs>
        <w:ind w:left="1440" w:hanging="360"/>
      </w:pPr>
    </w:lvl>
    <w:lvl w:ilvl="2" w:tplc="8D14A0C2" w:tentative="1">
      <w:start w:val="1"/>
      <w:numFmt w:val="lowerRoman"/>
      <w:lvlText w:val="%3."/>
      <w:lvlJc w:val="right"/>
      <w:pPr>
        <w:tabs>
          <w:tab w:val="num" w:pos="2160"/>
        </w:tabs>
        <w:ind w:left="2160" w:hanging="180"/>
      </w:pPr>
    </w:lvl>
    <w:lvl w:ilvl="3" w:tplc="C4BE3906" w:tentative="1">
      <w:start w:val="1"/>
      <w:numFmt w:val="decimal"/>
      <w:lvlText w:val="%4."/>
      <w:lvlJc w:val="left"/>
      <w:pPr>
        <w:tabs>
          <w:tab w:val="num" w:pos="2880"/>
        </w:tabs>
        <w:ind w:left="2880" w:hanging="360"/>
      </w:pPr>
    </w:lvl>
    <w:lvl w:ilvl="4" w:tplc="1D220490" w:tentative="1">
      <w:start w:val="1"/>
      <w:numFmt w:val="lowerLetter"/>
      <w:lvlText w:val="%5."/>
      <w:lvlJc w:val="left"/>
      <w:pPr>
        <w:tabs>
          <w:tab w:val="num" w:pos="3600"/>
        </w:tabs>
        <w:ind w:left="3600" w:hanging="360"/>
      </w:pPr>
    </w:lvl>
    <w:lvl w:ilvl="5" w:tplc="676CFA04" w:tentative="1">
      <w:start w:val="1"/>
      <w:numFmt w:val="lowerRoman"/>
      <w:lvlText w:val="%6."/>
      <w:lvlJc w:val="right"/>
      <w:pPr>
        <w:tabs>
          <w:tab w:val="num" w:pos="4320"/>
        </w:tabs>
        <w:ind w:left="4320" w:hanging="180"/>
      </w:pPr>
    </w:lvl>
    <w:lvl w:ilvl="6" w:tplc="0558725C" w:tentative="1">
      <w:start w:val="1"/>
      <w:numFmt w:val="decimal"/>
      <w:lvlText w:val="%7."/>
      <w:lvlJc w:val="left"/>
      <w:pPr>
        <w:tabs>
          <w:tab w:val="num" w:pos="5040"/>
        </w:tabs>
        <w:ind w:left="5040" w:hanging="360"/>
      </w:pPr>
    </w:lvl>
    <w:lvl w:ilvl="7" w:tplc="ADE47330" w:tentative="1">
      <w:start w:val="1"/>
      <w:numFmt w:val="lowerLetter"/>
      <w:lvlText w:val="%8."/>
      <w:lvlJc w:val="left"/>
      <w:pPr>
        <w:tabs>
          <w:tab w:val="num" w:pos="5760"/>
        </w:tabs>
        <w:ind w:left="5760" w:hanging="360"/>
      </w:pPr>
    </w:lvl>
    <w:lvl w:ilvl="8" w:tplc="8346BE84" w:tentative="1">
      <w:start w:val="1"/>
      <w:numFmt w:val="lowerRoman"/>
      <w:lvlText w:val="%9."/>
      <w:lvlJc w:val="right"/>
      <w:pPr>
        <w:tabs>
          <w:tab w:val="num" w:pos="6480"/>
        </w:tabs>
        <w:ind w:left="6480" w:hanging="180"/>
      </w:pPr>
    </w:lvl>
  </w:abstractNum>
  <w:abstractNum w:abstractNumId="14">
    <w:nsid w:val="197F422C"/>
    <w:multiLevelType w:val="hybridMultilevel"/>
    <w:tmpl w:val="BCDA96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1E821623"/>
    <w:multiLevelType w:val="hybridMultilevel"/>
    <w:tmpl w:val="DFFEA42C"/>
    <w:lvl w:ilvl="0" w:tplc="27E62F28">
      <w:start w:val="1"/>
      <w:numFmt w:val="bullet"/>
      <w:lvlText w:val=""/>
      <w:lvlJc w:val="left"/>
      <w:pPr>
        <w:tabs>
          <w:tab w:val="num" w:pos="720"/>
        </w:tabs>
        <w:ind w:left="720" w:hanging="360"/>
      </w:pPr>
      <w:rPr>
        <w:rFonts w:ascii="Symbol" w:hAnsi="Symbol" w:hint="default"/>
      </w:rPr>
    </w:lvl>
    <w:lvl w:ilvl="1" w:tplc="869C860E" w:tentative="1">
      <w:start w:val="1"/>
      <w:numFmt w:val="bullet"/>
      <w:lvlText w:val="o"/>
      <w:lvlJc w:val="left"/>
      <w:pPr>
        <w:tabs>
          <w:tab w:val="num" w:pos="1440"/>
        </w:tabs>
        <w:ind w:left="1440" w:hanging="360"/>
      </w:pPr>
      <w:rPr>
        <w:rFonts w:ascii="Courier New" w:hAnsi="Courier New" w:cs="Courier New" w:hint="default"/>
      </w:rPr>
    </w:lvl>
    <w:lvl w:ilvl="2" w:tplc="41EE92A0" w:tentative="1">
      <w:start w:val="1"/>
      <w:numFmt w:val="bullet"/>
      <w:lvlText w:val=""/>
      <w:lvlJc w:val="left"/>
      <w:pPr>
        <w:tabs>
          <w:tab w:val="num" w:pos="2160"/>
        </w:tabs>
        <w:ind w:left="2160" w:hanging="360"/>
      </w:pPr>
      <w:rPr>
        <w:rFonts w:ascii="Wingdings" w:hAnsi="Wingdings" w:hint="default"/>
      </w:rPr>
    </w:lvl>
    <w:lvl w:ilvl="3" w:tplc="7BE80782" w:tentative="1">
      <w:start w:val="1"/>
      <w:numFmt w:val="bullet"/>
      <w:lvlText w:val=""/>
      <w:lvlJc w:val="left"/>
      <w:pPr>
        <w:tabs>
          <w:tab w:val="num" w:pos="2880"/>
        </w:tabs>
        <w:ind w:left="2880" w:hanging="360"/>
      </w:pPr>
      <w:rPr>
        <w:rFonts w:ascii="Symbol" w:hAnsi="Symbol" w:hint="default"/>
      </w:rPr>
    </w:lvl>
    <w:lvl w:ilvl="4" w:tplc="66BCBC84" w:tentative="1">
      <w:start w:val="1"/>
      <w:numFmt w:val="bullet"/>
      <w:lvlText w:val="o"/>
      <w:lvlJc w:val="left"/>
      <w:pPr>
        <w:tabs>
          <w:tab w:val="num" w:pos="3600"/>
        </w:tabs>
        <w:ind w:left="3600" w:hanging="360"/>
      </w:pPr>
      <w:rPr>
        <w:rFonts w:ascii="Courier New" w:hAnsi="Courier New" w:cs="Courier New" w:hint="default"/>
      </w:rPr>
    </w:lvl>
    <w:lvl w:ilvl="5" w:tplc="B920B2C2" w:tentative="1">
      <w:start w:val="1"/>
      <w:numFmt w:val="bullet"/>
      <w:lvlText w:val=""/>
      <w:lvlJc w:val="left"/>
      <w:pPr>
        <w:tabs>
          <w:tab w:val="num" w:pos="4320"/>
        </w:tabs>
        <w:ind w:left="4320" w:hanging="360"/>
      </w:pPr>
      <w:rPr>
        <w:rFonts w:ascii="Wingdings" w:hAnsi="Wingdings" w:hint="default"/>
      </w:rPr>
    </w:lvl>
    <w:lvl w:ilvl="6" w:tplc="59EE8322" w:tentative="1">
      <w:start w:val="1"/>
      <w:numFmt w:val="bullet"/>
      <w:lvlText w:val=""/>
      <w:lvlJc w:val="left"/>
      <w:pPr>
        <w:tabs>
          <w:tab w:val="num" w:pos="5040"/>
        </w:tabs>
        <w:ind w:left="5040" w:hanging="360"/>
      </w:pPr>
      <w:rPr>
        <w:rFonts w:ascii="Symbol" w:hAnsi="Symbol" w:hint="default"/>
      </w:rPr>
    </w:lvl>
    <w:lvl w:ilvl="7" w:tplc="52D41B08" w:tentative="1">
      <w:start w:val="1"/>
      <w:numFmt w:val="bullet"/>
      <w:lvlText w:val="o"/>
      <w:lvlJc w:val="left"/>
      <w:pPr>
        <w:tabs>
          <w:tab w:val="num" w:pos="5760"/>
        </w:tabs>
        <w:ind w:left="5760" w:hanging="360"/>
      </w:pPr>
      <w:rPr>
        <w:rFonts w:ascii="Courier New" w:hAnsi="Courier New" w:cs="Courier New" w:hint="default"/>
      </w:rPr>
    </w:lvl>
    <w:lvl w:ilvl="8" w:tplc="4ADC39B2" w:tentative="1">
      <w:start w:val="1"/>
      <w:numFmt w:val="bullet"/>
      <w:lvlText w:val=""/>
      <w:lvlJc w:val="left"/>
      <w:pPr>
        <w:tabs>
          <w:tab w:val="num" w:pos="6480"/>
        </w:tabs>
        <w:ind w:left="6480" w:hanging="360"/>
      </w:pPr>
      <w:rPr>
        <w:rFonts w:ascii="Wingdings" w:hAnsi="Wingdings" w:hint="default"/>
      </w:rPr>
    </w:lvl>
  </w:abstractNum>
  <w:abstractNum w:abstractNumId="16">
    <w:nsid w:val="1F8E53D6"/>
    <w:multiLevelType w:val="hybridMultilevel"/>
    <w:tmpl w:val="1AA23FC0"/>
    <w:lvl w:ilvl="0" w:tplc="0C090001">
      <w:start w:val="1"/>
      <w:numFmt w:val="bullet"/>
      <w:lvlText w:val=""/>
      <w:lvlJc w:val="left"/>
      <w:pPr>
        <w:ind w:left="1485" w:hanging="360"/>
      </w:pPr>
      <w:rPr>
        <w:rFonts w:ascii="Symbol" w:hAnsi="Symbol" w:hint="default"/>
      </w:rPr>
    </w:lvl>
    <w:lvl w:ilvl="1" w:tplc="0C090003" w:tentative="1">
      <w:start w:val="1"/>
      <w:numFmt w:val="bullet"/>
      <w:lvlText w:val="o"/>
      <w:lvlJc w:val="left"/>
      <w:pPr>
        <w:ind w:left="2205" w:hanging="360"/>
      </w:pPr>
      <w:rPr>
        <w:rFonts w:ascii="Courier New" w:hAnsi="Courier New" w:cs="Courier New" w:hint="default"/>
      </w:rPr>
    </w:lvl>
    <w:lvl w:ilvl="2" w:tplc="0C090005" w:tentative="1">
      <w:start w:val="1"/>
      <w:numFmt w:val="bullet"/>
      <w:lvlText w:val=""/>
      <w:lvlJc w:val="left"/>
      <w:pPr>
        <w:ind w:left="2925" w:hanging="360"/>
      </w:pPr>
      <w:rPr>
        <w:rFonts w:ascii="Wingdings" w:hAnsi="Wingdings" w:hint="default"/>
      </w:rPr>
    </w:lvl>
    <w:lvl w:ilvl="3" w:tplc="0C090001" w:tentative="1">
      <w:start w:val="1"/>
      <w:numFmt w:val="bullet"/>
      <w:lvlText w:val=""/>
      <w:lvlJc w:val="left"/>
      <w:pPr>
        <w:ind w:left="3645" w:hanging="360"/>
      </w:pPr>
      <w:rPr>
        <w:rFonts w:ascii="Symbol" w:hAnsi="Symbol" w:hint="default"/>
      </w:rPr>
    </w:lvl>
    <w:lvl w:ilvl="4" w:tplc="0C090003" w:tentative="1">
      <w:start w:val="1"/>
      <w:numFmt w:val="bullet"/>
      <w:lvlText w:val="o"/>
      <w:lvlJc w:val="left"/>
      <w:pPr>
        <w:ind w:left="4365" w:hanging="360"/>
      </w:pPr>
      <w:rPr>
        <w:rFonts w:ascii="Courier New" w:hAnsi="Courier New" w:cs="Courier New" w:hint="default"/>
      </w:rPr>
    </w:lvl>
    <w:lvl w:ilvl="5" w:tplc="0C090005" w:tentative="1">
      <w:start w:val="1"/>
      <w:numFmt w:val="bullet"/>
      <w:lvlText w:val=""/>
      <w:lvlJc w:val="left"/>
      <w:pPr>
        <w:ind w:left="5085" w:hanging="360"/>
      </w:pPr>
      <w:rPr>
        <w:rFonts w:ascii="Wingdings" w:hAnsi="Wingdings" w:hint="default"/>
      </w:rPr>
    </w:lvl>
    <w:lvl w:ilvl="6" w:tplc="0C090001" w:tentative="1">
      <w:start w:val="1"/>
      <w:numFmt w:val="bullet"/>
      <w:lvlText w:val=""/>
      <w:lvlJc w:val="left"/>
      <w:pPr>
        <w:ind w:left="5805" w:hanging="360"/>
      </w:pPr>
      <w:rPr>
        <w:rFonts w:ascii="Symbol" w:hAnsi="Symbol" w:hint="default"/>
      </w:rPr>
    </w:lvl>
    <w:lvl w:ilvl="7" w:tplc="0C090003" w:tentative="1">
      <w:start w:val="1"/>
      <w:numFmt w:val="bullet"/>
      <w:lvlText w:val="o"/>
      <w:lvlJc w:val="left"/>
      <w:pPr>
        <w:ind w:left="6525" w:hanging="360"/>
      </w:pPr>
      <w:rPr>
        <w:rFonts w:ascii="Courier New" w:hAnsi="Courier New" w:cs="Courier New" w:hint="default"/>
      </w:rPr>
    </w:lvl>
    <w:lvl w:ilvl="8" w:tplc="0C090005" w:tentative="1">
      <w:start w:val="1"/>
      <w:numFmt w:val="bullet"/>
      <w:lvlText w:val=""/>
      <w:lvlJc w:val="left"/>
      <w:pPr>
        <w:ind w:left="7245" w:hanging="360"/>
      </w:pPr>
      <w:rPr>
        <w:rFonts w:ascii="Wingdings" w:hAnsi="Wingdings" w:hint="default"/>
      </w:rPr>
    </w:lvl>
  </w:abstractNum>
  <w:abstractNum w:abstractNumId="17">
    <w:nsid w:val="1FD562B8"/>
    <w:multiLevelType w:val="multilevel"/>
    <w:tmpl w:val="EE1084A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nsid w:val="223878BE"/>
    <w:multiLevelType w:val="multilevel"/>
    <w:tmpl w:val="A50A1636"/>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520"/>
        </w:tabs>
        <w:ind w:left="2520" w:hanging="360"/>
      </w:pPr>
      <w:rPr>
        <w:rFonts w:ascii="Courier New" w:hAnsi="Courier New" w:cs="Courier New"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cs="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cs="Courier New" w:hint="default"/>
      </w:rPr>
    </w:lvl>
    <w:lvl w:ilvl="8">
      <w:start w:val="1"/>
      <w:numFmt w:val="bullet"/>
      <w:lvlText w:val=""/>
      <w:lvlJc w:val="left"/>
      <w:pPr>
        <w:tabs>
          <w:tab w:val="num" w:pos="7560"/>
        </w:tabs>
        <w:ind w:left="7560" w:hanging="360"/>
      </w:pPr>
      <w:rPr>
        <w:rFonts w:ascii="Wingdings" w:hAnsi="Wingdings" w:hint="default"/>
      </w:rPr>
    </w:lvl>
  </w:abstractNum>
  <w:abstractNum w:abstractNumId="19">
    <w:nsid w:val="23331BF7"/>
    <w:multiLevelType w:val="hybridMultilevel"/>
    <w:tmpl w:val="2E6086B8"/>
    <w:lvl w:ilvl="0" w:tplc="7D3E3D18">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nsid w:val="27EE0950"/>
    <w:multiLevelType w:val="hybridMultilevel"/>
    <w:tmpl w:val="AC7EEB62"/>
    <w:lvl w:ilvl="0" w:tplc="0EF635AE">
      <w:numFmt w:val="bullet"/>
      <w:lvlText w:val="-"/>
      <w:lvlJc w:val="left"/>
      <w:pPr>
        <w:ind w:left="720" w:hanging="360"/>
      </w:pPr>
      <w:rPr>
        <w:rFonts w:ascii="Arial" w:eastAsia="Times New Roman" w:hAnsi="Arial" w:cs="Aria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34E904E0"/>
    <w:multiLevelType w:val="hybridMultilevel"/>
    <w:tmpl w:val="B4FCD872"/>
    <w:lvl w:ilvl="0" w:tplc="21D66824">
      <w:start w:val="1"/>
      <w:numFmt w:val="lowerLetter"/>
      <w:lvlText w:val="(%1)"/>
      <w:lvlJc w:val="left"/>
      <w:pPr>
        <w:ind w:left="720" w:hanging="360"/>
      </w:pPr>
      <w:rPr>
        <w:rFonts w:hint="default"/>
        <w:i/>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nsid w:val="353D2333"/>
    <w:multiLevelType w:val="hybridMultilevel"/>
    <w:tmpl w:val="437C4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5594AD6"/>
    <w:multiLevelType w:val="hybridMultilevel"/>
    <w:tmpl w:val="7DB4DC82"/>
    <w:lvl w:ilvl="0" w:tplc="22B017EA">
      <w:start w:val="1"/>
      <w:numFmt w:val="decimal"/>
      <w:lvlText w:val="%1."/>
      <w:lvlJc w:val="left"/>
      <w:pPr>
        <w:tabs>
          <w:tab w:val="num" w:pos="1080"/>
        </w:tabs>
        <w:ind w:left="1080" w:hanging="720"/>
      </w:pPr>
      <w:rPr>
        <w:rFonts w:hint="default"/>
      </w:rPr>
    </w:lvl>
    <w:lvl w:ilvl="1" w:tplc="DF9E6316">
      <w:start w:val="1"/>
      <w:numFmt w:val="bullet"/>
      <w:lvlText w:val=""/>
      <w:lvlJc w:val="left"/>
      <w:pPr>
        <w:tabs>
          <w:tab w:val="num" w:pos="1440"/>
        </w:tabs>
        <w:ind w:left="1440" w:hanging="360"/>
      </w:pPr>
      <w:rPr>
        <w:rFonts w:ascii="Symbol" w:hAnsi="Symbol" w:hint="default"/>
      </w:rPr>
    </w:lvl>
    <w:lvl w:ilvl="2" w:tplc="C9926760" w:tentative="1">
      <w:start w:val="1"/>
      <w:numFmt w:val="lowerRoman"/>
      <w:lvlText w:val="%3."/>
      <w:lvlJc w:val="right"/>
      <w:pPr>
        <w:tabs>
          <w:tab w:val="num" w:pos="2160"/>
        </w:tabs>
        <w:ind w:left="2160" w:hanging="180"/>
      </w:pPr>
    </w:lvl>
    <w:lvl w:ilvl="3" w:tplc="4C4A2488" w:tentative="1">
      <w:start w:val="1"/>
      <w:numFmt w:val="decimal"/>
      <w:lvlText w:val="%4."/>
      <w:lvlJc w:val="left"/>
      <w:pPr>
        <w:tabs>
          <w:tab w:val="num" w:pos="2880"/>
        </w:tabs>
        <w:ind w:left="2880" w:hanging="360"/>
      </w:pPr>
    </w:lvl>
    <w:lvl w:ilvl="4" w:tplc="E2046DE8" w:tentative="1">
      <w:start w:val="1"/>
      <w:numFmt w:val="lowerLetter"/>
      <w:lvlText w:val="%5."/>
      <w:lvlJc w:val="left"/>
      <w:pPr>
        <w:tabs>
          <w:tab w:val="num" w:pos="3600"/>
        </w:tabs>
        <w:ind w:left="3600" w:hanging="360"/>
      </w:pPr>
    </w:lvl>
    <w:lvl w:ilvl="5" w:tplc="FC2E3076" w:tentative="1">
      <w:start w:val="1"/>
      <w:numFmt w:val="lowerRoman"/>
      <w:lvlText w:val="%6."/>
      <w:lvlJc w:val="right"/>
      <w:pPr>
        <w:tabs>
          <w:tab w:val="num" w:pos="4320"/>
        </w:tabs>
        <w:ind w:left="4320" w:hanging="180"/>
      </w:pPr>
    </w:lvl>
    <w:lvl w:ilvl="6" w:tplc="7C7E4D22" w:tentative="1">
      <w:start w:val="1"/>
      <w:numFmt w:val="decimal"/>
      <w:lvlText w:val="%7."/>
      <w:lvlJc w:val="left"/>
      <w:pPr>
        <w:tabs>
          <w:tab w:val="num" w:pos="5040"/>
        </w:tabs>
        <w:ind w:left="5040" w:hanging="360"/>
      </w:pPr>
    </w:lvl>
    <w:lvl w:ilvl="7" w:tplc="8A88F2DA" w:tentative="1">
      <w:start w:val="1"/>
      <w:numFmt w:val="lowerLetter"/>
      <w:lvlText w:val="%8."/>
      <w:lvlJc w:val="left"/>
      <w:pPr>
        <w:tabs>
          <w:tab w:val="num" w:pos="5760"/>
        </w:tabs>
        <w:ind w:left="5760" w:hanging="360"/>
      </w:pPr>
    </w:lvl>
    <w:lvl w:ilvl="8" w:tplc="4BF21BD6" w:tentative="1">
      <w:start w:val="1"/>
      <w:numFmt w:val="lowerRoman"/>
      <w:lvlText w:val="%9."/>
      <w:lvlJc w:val="right"/>
      <w:pPr>
        <w:tabs>
          <w:tab w:val="num" w:pos="6480"/>
        </w:tabs>
        <w:ind w:left="6480" w:hanging="180"/>
      </w:pPr>
    </w:lvl>
  </w:abstractNum>
  <w:abstractNum w:abstractNumId="24">
    <w:nsid w:val="35AF411A"/>
    <w:multiLevelType w:val="hybridMultilevel"/>
    <w:tmpl w:val="2E6086B8"/>
    <w:lvl w:ilvl="0" w:tplc="7D3E3D18">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nsid w:val="37D703EF"/>
    <w:multiLevelType w:val="hybridMultilevel"/>
    <w:tmpl w:val="52B2F7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3B6F5F56"/>
    <w:multiLevelType w:val="hybridMultilevel"/>
    <w:tmpl w:val="611C0734"/>
    <w:lvl w:ilvl="0" w:tplc="172C78AA">
      <w:start w:val="1"/>
      <w:numFmt w:val="bullet"/>
      <w:lvlText w:val=""/>
      <w:lvlJc w:val="left"/>
      <w:pPr>
        <w:tabs>
          <w:tab w:val="num" w:pos="1140"/>
        </w:tabs>
        <w:ind w:left="1140" w:hanging="360"/>
      </w:pPr>
      <w:rPr>
        <w:rFonts w:ascii="Symbol" w:hAnsi="Symbol" w:hint="default"/>
      </w:rPr>
    </w:lvl>
    <w:lvl w:ilvl="1" w:tplc="0C090003" w:tentative="1">
      <w:start w:val="1"/>
      <w:numFmt w:val="bullet"/>
      <w:lvlText w:val="o"/>
      <w:lvlJc w:val="left"/>
      <w:pPr>
        <w:tabs>
          <w:tab w:val="num" w:pos="2220"/>
        </w:tabs>
        <w:ind w:left="2220" w:hanging="360"/>
      </w:pPr>
      <w:rPr>
        <w:rFonts w:ascii="Courier New" w:hAnsi="Courier New" w:cs="Courier New" w:hint="default"/>
      </w:rPr>
    </w:lvl>
    <w:lvl w:ilvl="2" w:tplc="0C090005" w:tentative="1">
      <w:start w:val="1"/>
      <w:numFmt w:val="bullet"/>
      <w:lvlText w:val=""/>
      <w:lvlJc w:val="left"/>
      <w:pPr>
        <w:tabs>
          <w:tab w:val="num" w:pos="2940"/>
        </w:tabs>
        <w:ind w:left="2940" w:hanging="360"/>
      </w:pPr>
      <w:rPr>
        <w:rFonts w:ascii="Wingdings" w:hAnsi="Wingdings" w:hint="default"/>
      </w:rPr>
    </w:lvl>
    <w:lvl w:ilvl="3" w:tplc="0C090001" w:tentative="1">
      <w:start w:val="1"/>
      <w:numFmt w:val="bullet"/>
      <w:lvlText w:val=""/>
      <w:lvlJc w:val="left"/>
      <w:pPr>
        <w:tabs>
          <w:tab w:val="num" w:pos="3660"/>
        </w:tabs>
        <w:ind w:left="3660" w:hanging="360"/>
      </w:pPr>
      <w:rPr>
        <w:rFonts w:ascii="Symbol" w:hAnsi="Symbol" w:hint="default"/>
      </w:rPr>
    </w:lvl>
    <w:lvl w:ilvl="4" w:tplc="0C090003" w:tentative="1">
      <w:start w:val="1"/>
      <w:numFmt w:val="bullet"/>
      <w:lvlText w:val="o"/>
      <w:lvlJc w:val="left"/>
      <w:pPr>
        <w:tabs>
          <w:tab w:val="num" w:pos="4380"/>
        </w:tabs>
        <w:ind w:left="4380" w:hanging="360"/>
      </w:pPr>
      <w:rPr>
        <w:rFonts w:ascii="Courier New" w:hAnsi="Courier New" w:cs="Courier New" w:hint="default"/>
      </w:rPr>
    </w:lvl>
    <w:lvl w:ilvl="5" w:tplc="0C090005" w:tentative="1">
      <w:start w:val="1"/>
      <w:numFmt w:val="bullet"/>
      <w:lvlText w:val=""/>
      <w:lvlJc w:val="left"/>
      <w:pPr>
        <w:tabs>
          <w:tab w:val="num" w:pos="5100"/>
        </w:tabs>
        <w:ind w:left="5100" w:hanging="360"/>
      </w:pPr>
      <w:rPr>
        <w:rFonts w:ascii="Wingdings" w:hAnsi="Wingdings" w:hint="default"/>
      </w:rPr>
    </w:lvl>
    <w:lvl w:ilvl="6" w:tplc="0C090001" w:tentative="1">
      <w:start w:val="1"/>
      <w:numFmt w:val="bullet"/>
      <w:lvlText w:val=""/>
      <w:lvlJc w:val="left"/>
      <w:pPr>
        <w:tabs>
          <w:tab w:val="num" w:pos="5820"/>
        </w:tabs>
        <w:ind w:left="5820" w:hanging="360"/>
      </w:pPr>
      <w:rPr>
        <w:rFonts w:ascii="Symbol" w:hAnsi="Symbol" w:hint="default"/>
      </w:rPr>
    </w:lvl>
    <w:lvl w:ilvl="7" w:tplc="0C090003" w:tentative="1">
      <w:start w:val="1"/>
      <w:numFmt w:val="bullet"/>
      <w:lvlText w:val="o"/>
      <w:lvlJc w:val="left"/>
      <w:pPr>
        <w:tabs>
          <w:tab w:val="num" w:pos="6540"/>
        </w:tabs>
        <w:ind w:left="6540" w:hanging="360"/>
      </w:pPr>
      <w:rPr>
        <w:rFonts w:ascii="Courier New" w:hAnsi="Courier New" w:cs="Courier New" w:hint="default"/>
      </w:rPr>
    </w:lvl>
    <w:lvl w:ilvl="8" w:tplc="0C090005" w:tentative="1">
      <w:start w:val="1"/>
      <w:numFmt w:val="bullet"/>
      <w:lvlText w:val=""/>
      <w:lvlJc w:val="left"/>
      <w:pPr>
        <w:tabs>
          <w:tab w:val="num" w:pos="7260"/>
        </w:tabs>
        <w:ind w:left="7260" w:hanging="360"/>
      </w:pPr>
      <w:rPr>
        <w:rFonts w:ascii="Wingdings" w:hAnsi="Wingdings" w:hint="default"/>
      </w:rPr>
    </w:lvl>
  </w:abstractNum>
  <w:abstractNum w:abstractNumId="27">
    <w:nsid w:val="3D0D5913"/>
    <w:multiLevelType w:val="hybridMultilevel"/>
    <w:tmpl w:val="DB7C9EEC"/>
    <w:lvl w:ilvl="0" w:tplc="01B82BD6">
      <w:start w:val="1"/>
      <w:numFmt w:val="lowerLetter"/>
      <w:lvlText w:val="%1)"/>
      <w:lvlJc w:val="left"/>
      <w:pPr>
        <w:tabs>
          <w:tab w:val="num" w:pos="720"/>
        </w:tabs>
        <w:ind w:left="720" w:hanging="360"/>
      </w:pPr>
      <w:rPr>
        <w:rFonts w:hint="default"/>
      </w:rPr>
    </w:lvl>
    <w:lvl w:ilvl="1" w:tplc="0DA0F9B6" w:tentative="1">
      <w:start w:val="1"/>
      <w:numFmt w:val="lowerLetter"/>
      <w:lvlText w:val="%2."/>
      <w:lvlJc w:val="left"/>
      <w:pPr>
        <w:tabs>
          <w:tab w:val="num" w:pos="1440"/>
        </w:tabs>
        <w:ind w:left="1440" w:hanging="360"/>
      </w:pPr>
    </w:lvl>
    <w:lvl w:ilvl="2" w:tplc="6028710A" w:tentative="1">
      <w:start w:val="1"/>
      <w:numFmt w:val="lowerRoman"/>
      <w:lvlText w:val="%3."/>
      <w:lvlJc w:val="right"/>
      <w:pPr>
        <w:tabs>
          <w:tab w:val="num" w:pos="2160"/>
        </w:tabs>
        <w:ind w:left="2160" w:hanging="180"/>
      </w:pPr>
    </w:lvl>
    <w:lvl w:ilvl="3" w:tplc="1FD486B0" w:tentative="1">
      <w:start w:val="1"/>
      <w:numFmt w:val="decimal"/>
      <w:lvlText w:val="%4."/>
      <w:lvlJc w:val="left"/>
      <w:pPr>
        <w:tabs>
          <w:tab w:val="num" w:pos="2880"/>
        </w:tabs>
        <w:ind w:left="2880" w:hanging="360"/>
      </w:pPr>
    </w:lvl>
    <w:lvl w:ilvl="4" w:tplc="9BE2B8D4" w:tentative="1">
      <w:start w:val="1"/>
      <w:numFmt w:val="lowerLetter"/>
      <w:lvlText w:val="%5."/>
      <w:lvlJc w:val="left"/>
      <w:pPr>
        <w:tabs>
          <w:tab w:val="num" w:pos="3600"/>
        </w:tabs>
        <w:ind w:left="3600" w:hanging="360"/>
      </w:pPr>
    </w:lvl>
    <w:lvl w:ilvl="5" w:tplc="43E8AAE6" w:tentative="1">
      <w:start w:val="1"/>
      <w:numFmt w:val="lowerRoman"/>
      <w:lvlText w:val="%6."/>
      <w:lvlJc w:val="right"/>
      <w:pPr>
        <w:tabs>
          <w:tab w:val="num" w:pos="4320"/>
        </w:tabs>
        <w:ind w:left="4320" w:hanging="180"/>
      </w:pPr>
    </w:lvl>
    <w:lvl w:ilvl="6" w:tplc="BEA67336" w:tentative="1">
      <w:start w:val="1"/>
      <w:numFmt w:val="decimal"/>
      <w:lvlText w:val="%7."/>
      <w:lvlJc w:val="left"/>
      <w:pPr>
        <w:tabs>
          <w:tab w:val="num" w:pos="5040"/>
        </w:tabs>
        <w:ind w:left="5040" w:hanging="360"/>
      </w:pPr>
    </w:lvl>
    <w:lvl w:ilvl="7" w:tplc="3ACE5E54" w:tentative="1">
      <w:start w:val="1"/>
      <w:numFmt w:val="lowerLetter"/>
      <w:lvlText w:val="%8."/>
      <w:lvlJc w:val="left"/>
      <w:pPr>
        <w:tabs>
          <w:tab w:val="num" w:pos="5760"/>
        </w:tabs>
        <w:ind w:left="5760" w:hanging="360"/>
      </w:pPr>
    </w:lvl>
    <w:lvl w:ilvl="8" w:tplc="53A2C09C" w:tentative="1">
      <w:start w:val="1"/>
      <w:numFmt w:val="lowerRoman"/>
      <w:lvlText w:val="%9."/>
      <w:lvlJc w:val="right"/>
      <w:pPr>
        <w:tabs>
          <w:tab w:val="num" w:pos="6480"/>
        </w:tabs>
        <w:ind w:left="6480" w:hanging="180"/>
      </w:pPr>
    </w:lvl>
  </w:abstractNum>
  <w:abstractNum w:abstractNumId="28">
    <w:nsid w:val="3E0456BF"/>
    <w:multiLevelType w:val="hybridMultilevel"/>
    <w:tmpl w:val="5C4E9F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nsid w:val="49FF02A6"/>
    <w:multiLevelType w:val="hybridMultilevel"/>
    <w:tmpl w:val="17A6BABA"/>
    <w:lvl w:ilvl="0" w:tplc="9DD805DA">
      <w:start w:val="1"/>
      <w:numFmt w:val="bullet"/>
      <w:lvlText w:val=""/>
      <w:lvlJc w:val="left"/>
      <w:pPr>
        <w:tabs>
          <w:tab w:val="num" w:pos="720"/>
        </w:tabs>
        <w:ind w:left="720" w:hanging="360"/>
      </w:pPr>
      <w:rPr>
        <w:rFonts w:ascii="Symbol" w:hAnsi="Symbol" w:hint="default"/>
      </w:rPr>
    </w:lvl>
    <w:lvl w:ilvl="1" w:tplc="EA02E690" w:tentative="1">
      <w:start w:val="1"/>
      <w:numFmt w:val="bullet"/>
      <w:lvlText w:val="o"/>
      <w:lvlJc w:val="left"/>
      <w:pPr>
        <w:tabs>
          <w:tab w:val="num" w:pos="1440"/>
        </w:tabs>
        <w:ind w:left="1440" w:hanging="360"/>
      </w:pPr>
      <w:rPr>
        <w:rFonts w:ascii="Courier New" w:hAnsi="Courier New" w:cs="Courier New" w:hint="default"/>
      </w:rPr>
    </w:lvl>
    <w:lvl w:ilvl="2" w:tplc="C8EC9974" w:tentative="1">
      <w:start w:val="1"/>
      <w:numFmt w:val="bullet"/>
      <w:lvlText w:val=""/>
      <w:lvlJc w:val="left"/>
      <w:pPr>
        <w:tabs>
          <w:tab w:val="num" w:pos="2160"/>
        </w:tabs>
        <w:ind w:left="2160" w:hanging="360"/>
      </w:pPr>
      <w:rPr>
        <w:rFonts w:ascii="Wingdings" w:hAnsi="Wingdings" w:hint="default"/>
      </w:rPr>
    </w:lvl>
    <w:lvl w:ilvl="3" w:tplc="7602CA3C" w:tentative="1">
      <w:start w:val="1"/>
      <w:numFmt w:val="bullet"/>
      <w:lvlText w:val=""/>
      <w:lvlJc w:val="left"/>
      <w:pPr>
        <w:tabs>
          <w:tab w:val="num" w:pos="2880"/>
        </w:tabs>
        <w:ind w:left="2880" w:hanging="360"/>
      </w:pPr>
      <w:rPr>
        <w:rFonts w:ascii="Symbol" w:hAnsi="Symbol" w:hint="default"/>
      </w:rPr>
    </w:lvl>
    <w:lvl w:ilvl="4" w:tplc="DE7CEBFA" w:tentative="1">
      <w:start w:val="1"/>
      <w:numFmt w:val="bullet"/>
      <w:lvlText w:val="o"/>
      <w:lvlJc w:val="left"/>
      <w:pPr>
        <w:tabs>
          <w:tab w:val="num" w:pos="3600"/>
        </w:tabs>
        <w:ind w:left="3600" w:hanging="360"/>
      </w:pPr>
      <w:rPr>
        <w:rFonts w:ascii="Courier New" w:hAnsi="Courier New" w:cs="Courier New" w:hint="default"/>
      </w:rPr>
    </w:lvl>
    <w:lvl w:ilvl="5" w:tplc="58CE6F88" w:tentative="1">
      <w:start w:val="1"/>
      <w:numFmt w:val="bullet"/>
      <w:lvlText w:val=""/>
      <w:lvlJc w:val="left"/>
      <w:pPr>
        <w:tabs>
          <w:tab w:val="num" w:pos="4320"/>
        </w:tabs>
        <w:ind w:left="4320" w:hanging="360"/>
      </w:pPr>
      <w:rPr>
        <w:rFonts w:ascii="Wingdings" w:hAnsi="Wingdings" w:hint="default"/>
      </w:rPr>
    </w:lvl>
    <w:lvl w:ilvl="6" w:tplc="2DA8E5A8" w:tentative="1">
      <w:start w:val="1"/>
      <w:numFmt w:val="bullet"/>
      <w:lvlText w:val=""/>
      <w:lvlJc w:val="left"/>
      <w:pPr>
        <w:tabs>
          <w:tab w:val="num" w:pos="5040"/>
        </w:tabs>
        <w:ind w:left="5040" w:hanging="360"/>
      </w:pPr>
      <w:rPr>
        <w:rFonts w:ascii="Symbol" w:hAnsi="Symbol" w:hint="default"/>
      </w:rPr>
    </w:lvl>
    <w:lvl w:ilvl="7" w:tplc="23E461DE" w:tentative="1">
      <w:start w:val="1"/>
      <w:numFmt w:val="bullet"/>
      <w:lvlText w:val="o"/>
      <w:lvlJc w:val="left"/>
      <w:pPr>
        <w:tabs>
          <w:tab w:val="num" w:pos="5760"/>
        </w:tabs>
        <w:ind w:left="5760" w:hanging="360"/>
      </w:pPr>
      <w:rPr>
        <w:rFonts w:ascii="Courier New" w:hAnsi="Courier New" w:cs="Courier New" w:hint="default"/>
      </w:rPr>
    </w:lvl>
    <w:lvl w:ilvl="8" w:tplc="F3F22F68" w:tentative="1">
      <w:start w:val="1"/>
      <w:numFmt w:val="bullet"/>
      <w:lvlText w:val=""/>
      <w:lvlJc w:val="left"/>
      <w:pPr>
        <w:tabs>
          <w:tab w:val="num" w:pos="6480"/>
        </w:tabs>
        <w:ind w:left="6480" w:hanging="360"/>
      </w:pPr>
      <w:rPr>
        <w:rFonts w:ascii="Wingdings" w:hAnsi="Wingdings" w:hint="default"/>
      </w:rPr>
    </w:lvl>
  </w:abstractNum>
  <w:abstractNum w:abstractNumId="30">
    <w:nsid w:val="4A2B0988"/>
    <w:multiLevelType w:val="hybridMultilevel"/>
    <w:tmpl w:val="90AA54FC"/>
    <w:lvl w:ilvl="0" w:tplc="FFFFFFFF">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1">
    <w:nsid w:val="4B913F4A"/>
    <w:multiLevelType w:val="hybridMultilevel"/>
    <w:tmpl w:val="913C34B6"/>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32">
    <w:nsid w:val="4FCC14D5"/>
    <w:multiLevelType w:val="hybridMultilevel"/>
    <w:tmpl w:val="72827708"/>
    <w:lvl w:ilvl="0" w:tplc="0D527340">
      <w:start w:val="1"/>
      <w:numFmt w:val="decimal"/>
      <w:lvlText w:val="%1."/>
      <w:lvlJc w:val="left"/>
      <w:pPr>
        <w:tabs>
          <w:tab w:val="num" w:pos="360"/>
        </w:tabs>
        <w:ind w:left="360" w:hanging="360"/>
      </w:pPr>
      <w:rPr>
        <w:color w:val="auto"/>
      </w:rPr>
    </w:lvl>
    <w:lvl w:ilvl="1" w:tplc="0C090019">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33">
    <w:nsid w:val="4FCC15EB"/>
    <w:multiLevelType w:val="hybridMultilevel"/>
    <w:tmpl w:val="A9325130"/>
    <w:lvl w:ilvl="0" w:tplc="0C090005">
      <w:start w:val="1"/>
      <w:numFmt w:val="bullet"/>
      <w:lvlText w:val=""/>
      <w:lvlJc w:val="left"/>
      <w:pPr>
        <w:ind w:left="1921" w:hanging="360"/>
      </w:pPr>
      <w:rPr>
        <w:rFonts w:ascii="Wingdings" w:hAnsi="Wingdings" w:hint="default"/>
      </w:rPr>
    </w:lvl>
    <w:lvl w:ilvl="1" w:tplc="0C090003" w:tentative="1">
      <w:start w:val="1"/>
      <w:numFmt w:val="bullet"/>
      <w:lvlText w:val="o"/>
      <w:lvlJc w:val="left"/>
      <w:pPr>
        <w:ind w:left="4004" w:hanging="360"/>
      </w:pPr>
      <w:rPr>
        <w:rFonts w:ascii="Courier New" w:hAnsi="Courier New" w:cs="Courier New" w:hint="default"/>
      </w:rPr>
    </w:lvl>
    <w:lvl w:ilvl="2" w:tplc="0C090005" w:tentative="1">
      <w:start w:val="1"/>
      <w:numFmt w:val="bullet"/>
      <w:lvlText w:val=""/>
      <w:lvlJc w:val="left"/>
      <w:pPr>
        <w:ind w:left="4724" w:hanging="360"/>
      </w:pPr>
      <w:rPr>
        <w:rFonts w:ascii="Wingdings" w:hAnsi="Wingdings" w:hint="default"/>
      </w:rPr>
    </w:lvl>
    <w:lvl w:ilvl="3" w:tplc="0C090001" w:tentative="1">
      <w:start w:val="1"/>
      <w:numFmt w:val="bullet"/>
      <w:lvlText w:val=""/>
      <w:lvlJc w:val="left"/>
      <w:pPr>
        <w:ind w:left="5444" w:hanging="360"/>
      </w:pPr>
      <w:rPr>
        <w:rFonts w:ascii="Symbol" w:hAnsi="Symbol" w:hint="default"/>
      </w:rPr>
    </w:lvl>
    <w:lvl w:ilvl="4" w:tplc="0C090003" w:tentative="1">
      <w:start w:val="1"/>
      <w:numFmt w:val="bullet"/>
      <w:lvlText w:val="o"/>
      <w:lvlJc w:val="left"/>
      <w:pPr>
        <w:ind w:left="6164" w:hanging="360"/>
      </w:pPr>
      <w:rPr>
        <w:rFonts w:ascii="Courier New" w:hAnsi="Courier New" w:cs="Courier New" w:hint="default"/>
      </w:rPr>
    </w:lvl>
    <w:lvl w:ilvl="5" w:tplc="0C090005" w:tentative="1">
      <w:start w:val="1"/>
      <w:numFmt w:val="bullet"/>
      <w:lvlText w:val=""/>
      <w:lvlJc w:val="left"/>
      <w:pPr>
        <w:ind w:left="6884" w:hanging="360"/>
      </w:pPr>
      <w:rPr>
        <w:rFonts w:ascii="Wingdings" w:hAnsi="Wingdings" w:hint="default"/>
      </w:rPr>
    </w:lvl>
    <w:lvl w:ilvl="6" w:tplc="0C090001" w:tentative="1">
      <w:start w:val="1"/>
      <w:numFmt w:val="bullet"/>
      <w:lvlText w:val=""/>
      <w:lvlJc w:val="left"/>
      <w:pPr>
        <w:ind w:left="7604" w:hanging="360"/>
      </w:pPr>
      <w:rPr>
        <w:rFonts w:ascii="Symbol" w:hAnsi="Symbol" w:hint="default"/>
      </w:rPr>
    </w:lvl>
    <w:lvl w:ilvl="7" w:tplc="0C090003" w:tentative="1">
      <w:start w:val="1"/>
      <w:numFmt w:val="bullet"/>
      <w:lvlText w:val="o"/>
      <w:lvlJc w:val="left"/>
      <w:pPr>
        <w:ind w:left="8324" w:hanging="360"/>
      </w:pPr>
      <w:rPr>
        <w:rFonts w:ascii="Courier New" w:hAnsi="Courier New" w:cs="Courier New" w:hint="default"/>
      </w:rPr>
    </w:lvl>
    <w:lvl w:ilvl="8" w:tplc="0C090005" w:tentative="1">
      <w:start w:val="1"/>
      <w:numFmt w:val="bullet"/>
      <w:lvlText w:val=""/>
      <w:lvlJc w:val="left"/>
      <w:pPr>
        <w:ind w:left="9044" w:hanging="360"/>
      </w:pPr>
      <w:rPr>
        <w:rFonts w:ascii="Wingdings" w:hAnsi="Wingdings" w:hint="default"/>
      </w:rPr>
    </w:lvl>
  </w:abstractNum>
  <w:abstractNum w:abstractNumId="34">
    <w:nsid w:val="51822598"/>
    <w:multiLevelType w:val="multilevel"/>
    <w:tmpl w:val="A87079A4"/>
    <w:lvl w:ilvl="0">
      <w:start w:val="1"/>
      <w:numFmt w:val="lowerLetter"/>
      <w:lvlText w:val="(%1)"/>
      <w:lvlJc w:val="left"/>
      <w:pPr>
        <w:ind w:left="1788" w:hanging="795"/>
      </w:pPr>
      <w:rPr>
        <w:rFonts w:hint="default"/>
      </w:rPr>
    </w:lvl>
    <w:lvl w:ilvl="1" w:tentative="1">
      <w:start w:val="1"/>
      <w:numFmt w:val="lowerLetter"/>
      <w:lvlText w:val="%2."/>
      <w:lvlJc w:val="left"/>
      <w:pPr>
        <w:ind w:left="2073" w:hanging="360"/>
      </w:pPr>
    </w:lvl>
    <w:lvl w:ilvl="2" w:tentative="1">
      <w:start w:val="1"/>
      <w:numFmt w:val="lowerRoman"/>
      <w:lvlText w:val="%3."/>
      <w:lvlJc w:val="right"/>
      <w:pPr>
        <w:ind w:left="2793" w:hanging="180"/>
      </w:pPr>
    </w:lvl>
    <w:lvl w:ilvl="3" w:tentative="1">
      <w:start w:val="1"/>
      <w:numFmt w:val="decimal"/>
      <w:lvlText w:val="%4."/>
      <w:lvlJc w:val="left"/>
      <w:pPr>
        <w:ind w:left="3513" w:hanging="360"/>
      </w:pPr>
    </w:lvl>
    <w:lvl w:ilvl="4" w:tentative="1">
      <w:start w:val="1"/>
      <w:numFmt w:val="lowerLetter"/>
      <w:lvlText w:val="%5."/>
      <w:lvlJc w:val="left"/>
      <w:pPr>
        <w:ind w:left="4233" w:hanging="360"/>
      </w:pPr>
    </w:lvl>
    <w:lvl w:ilvl="5" w:tentative="1">
      <w:start w:val="1"/>
      <w:numFmt w:val="lowerRoman"/>
      <w:lvlText w:val="%6."/>
      <w:lvlJc w:val="right"/>
      <w:pPr>
        <w:ind w:left="4953" w:hanging="180"/>
      </w:pPr>
    </w:lvl>
    <w:lvl w:ilvl="6" w:tentative="1">
      <w:start w:val="1"/>
      <w:numFmt w:val="decimal"/>
      <w:lvlText w:val="%7."/>
      <w:lvlJc w:val="left"/>
      <w:pPr>
        <w:ind w:left="5673" w:hanging="360"/>
      </w:pPr>
    </w:lvl>
    <w:lvl w:ilvl="7" w:tentative="1">
      <w:start w:val="1"/>
      <w:numFmt w:val="lowerLetter"/>
      <w:lvlText w:val="%8."/>
      <w:lvlJc w:val="left"/>
      <w:pPr>
        <w:ind w:left="6393" w:hanging="360"/>
      </w:pPr>
    </w:lvl>
    <w:lvl w:ilvl="8" w:tentative="1">
      <w:start w:val="1"/>
      <w:numFmt w:val="lowerRoman"/>
      <w:lvlText w:val="%9."/>
      <w:lvlJc w:val="right"/>
      <w:pPr>
        <w:ind w:left="7113" w:hanging="180"/>
      </w:pPr>
    </w:lvl>
  </w:abstractNum>
  <w:abstractNum w:abstractNumId="35">
    <w:nsid w:val="51CF3102"/>
    <w:multiLevelType w:val="hybridMultilevel"/>
    <w:tmpl w:val="A8D09DBA"/>
    <w:lvl w:ilvl="0" w:tplc="5D4EED54">
      <w:numFmt w:val="bullet"/>
      <w:lvlText w:val="-"/>
      <w:lvlJc w:val="left"/>
      <w:pPr>
        <w:ind w:left="1849" w:hanging="360"/>
      </w:pPr>
      <w:rPr>
        <w:rFonts w:ascii="Arial" w:eastAsia="Times New Roman" w:hAnsi="Arial" w:cs="Aria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36">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nsid w:val="562D32C1"/>
    <w:multiLevelType w:val="hybridMultilevel"/>
    <w:tmpl w:val="B5CCE7EA"/>
    <w:lvl w:ilvl="0" w:tplc="A538F58C">
      <w:start w:val="1"/>
      <w:numFmt w:val="decimal"/>
      <w:lvlText w:val="%1."/>
      <w:lvlJc w:val="left"/>
      <w:pPr>
        <w:tabs>
          <w:tab w:val="num" w:pos="720"/>
        </w:tabs>
        <w:ind w:left="720" w:hanging="360"/>
      </w:pPr>
      <w:rPr>
        <w:rFonts w:hint="default"/>
        <w:i/>
        <w:color w:val="auto"/>
      </w:rPr>
    </w:lvl>
    <w:lvl w:ilvl="1" w:tplc="0C090019">
      <w:start w:val="1"/>
      <w:numFmt w:val="lowerLetter"/>
      <w:lvlText w:val="%2."/>
      <w:lvlJc w:val="left"/>
      <w:pPr>
        <w:tabs>
          <w:tab w:val="num" w:pos="1440"/>
        </w:tabs>
        <w:ind w:left="1440" w:hanging="360"/>
      </w:pPr>
    </w:lvl>
    <w:lvl w:ilvl="2" w:tplc="0C09001B">
      <w:start w:val="1"/>
      <w:numFmt w:val="lowerRoman"/>
      <w:lvlText w:val="%3."/>
      <w:lvlJc w:val="right"/>
      <w:pPr>
        <w:tabs>
          <w:tab w:val="num" w:pos="2160"/>
        </w:tabs>
        <w:ind w:left="2160" w:hanging="180"/>
      </w:pPr>
    </w:lvl>
    <w:lvl w:ilvl="3" w:tplc="0C09000F">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8">
    <w:nsid w:val="59BC5196"/>
    <w:multiLevelType w:val="multilevel"/>
    <w:tmpl w:val="722CA35A"/>
    <w:lvl w:ilvl="0">
      <w:start w:val="6"/>
      <w:numFmt w:val="decimal"/>
      <w:lvlText w:val="%1"/>
      <w:lvlJc w:val="left"/>
      <w:pPr>
        <w:ind w:left="360" w:hanging="360"/>
      </w:pPr>
      <w:rPr>
        <w:rFonts w:hint="default"/>
        <w:i w:val="0"/>
      </w:rPr>
    </w:lvl>
    <w:lvl w:ilvl="1">
      <w:start w:val="1"/>
      <w:numFmt w:val="decimal"/>
      <w:lvlText w:val="%1.%2"/>
      <w:lvlJc w:val="left"/>
      <w:pPr>
        <w:ind w:left="107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9">
    <w:nsid w:val="5ED00A85"/>
    <w:multiLevelType w:val="hybridMultilevel"/>
    <w:tmpl w:val="A1223F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nsid w:val="621E7215"/>
    <w:multiLevelType w:val="hybridMultilevel"/>
    <w:tmpl w:val="D8A6CFD4"/>
    <w:lvl w:ilvl="0" w:tplc="0C090001">
      <w:start w:val="1"/>
      <w:numFmt w:val="bullet"/>
      <w:lvlText w:val=""/>
      <w:lvlJc w:val="left"/>
      <w:pPr>
        <w:ind w:left="840" w:hanging="360"/>
      </w:pPr>
      <w:rPr>
        <w:rFonts w:ascii="Symbol" w:hAnsi="Symbol" w:hint="default"/>
      </w:rPr>
    </w:lvl>
    <w:lvl w:ilvl="1" w:tplc="0C090003" w:tentative="1">
      <w:start w:val="1"/>
      <w:numFmt w:val="bullet"/>
      <w:lvlText w:val="o"/>
      <w:lvlJc w:val="left"/>
      <w:pPr>
        <w:ind w:left="1560" w:hanging="360"/>
      </w:pPr>
      <w:rPr>
        <w:rFonts w:ascii="Courier New" w:hAnsi="Courier New" w:cs="Courier New" w:hint="default"/>
      </w:rPr>
    </w:lvl>
    <w:lvl w:ilvl="2" w:tplc="0C090005" w:tentative="1">
      <w:start w:val="1"/>
      <w:numFmt w:val="bullet"/>
      <w:lvlText w:val=""/>
      <w:lvlJc w:val="left"/>
      <w:pPr>
        <w:ind w:left="2280" w:hanging="360"/>
      </w:pPr>
      <w:rPr>
        <w:rFonts w:ascii="Wingdings" w:hAnsi="Wingdings" w:hint="default"/>
      </w:rPr>
    </w:lvl>
    <w:lvl w:ilvl="3" w:tplc="0C090001" w:tentative="1">
      <w:start w:val="1"/>
      <w:numFmt w:val="bullet"/>
      <w:lvlText w:val=""/>
      <w:lvlJc w:val="left"/>
      <w:pPr>
        <w:ind w:left="3000" w:hanging="360"/>
      </w:pPr>
      <w:rPr>
        <w:rFonts w:ascii="Symbol" w:hAnsi="Symbol" w:hint="default"/>
      </w:rPr>
    </w:lvl>
    <w:lvl w:ilvl="4" w:tplc="0C090003" w:tentative="1">
      <w:start w:val="1"/>
      <w:numFmt w:val="bullet"/>
      <w:lvlText w:val="o"/>
      <w:lvlJc w:val="left"/>
      <w:pPr>
        <w:ind w:left="3720" w:hanging="360"/>
      </w:pPr>
      <w:rPr>
        <w:rFonts w:ascii="Courier New" w:hAnsi="Courier New" w:cs="Courier New" w:hint="default"/>
      </w:rPr>
    </w:lvl>
    <w:lvl w:ilvl="5" w:tplc="0C090005" w:tentative="1">
      <w:start w:val="1"/>
      <w:numFmt w:val="bullet"/>
      <w:lvlText w:val=""/>
      <w:lvlJc w:val="left"/>
      <w:pPr>
        <w:ind w:left="4440" w:hanging="360"/>
      </w:pPr>
      <w:rPr>
        <w:rFonts w:ascii="Wingdings" w:hAnsi="Wingdings" w:hint="default"/>
      </w:rPr>
    </w:lvl>
    <w:lvl w:ilvl="6" w:tplc="0C090001" w:tentative="1">
      <w:start w:val="1"/>
      <w:numFmt w:val="bullet"/>
      <w:lvlText w:val=""/>
      <w:lvlJc w:val="left"/>
      <w:pPr>
        <w:ind w:left="5160" w:hanging="360"/>
      </w:pPr>
      <w:rPr>
        <w:rFonts w:ascii="Symbol" w:hAnsi="Symbol" w:hint="default"/>
      </w:rPr>
    </w:lvl>
    <w:lvl w:ilvl="7" w:tplc="0C090003" w:tentative="1">
      <w:start w:val="1"/>
      <w:numFmt w:val="bullet"/>
      <w:lvlText w:val="o"/>
      <w:lvlJc w:val="left"/>
      <w:pPr>
        <w:ind w:left="5880" w:hanging="360"/>
      </w:pPr>
      <w:rPr>
        <w:rFonts w:ascii="Courier New" w:hAnsi="Courier New" w:cs="Courier New" w:hint="default"/>
      </w:rPr>
    </w:lvl>
    <w:lvl w:ilvl="8" w:tplc="0C090005" w:tentative="1">
      <w:start w:val="1"/>
      <w:numFmt w:val="bullet"/>
      <w:lvlText w:val=""/>
      <w:lvlJc w:val="left"/>
      <w:pPr>
        <w:ind w:left="6600" w:hanging="360"/>
      </w:pPr>
      <w:rPr>
        <w:rFonts w:ascii="Wingdings" w:hAnsi="Wingdings" w:hint="default"/>
      </w:rPr>
    </w:lvl>
  </w:abstractNum>
  <w:abstractNum w:abstractNumId="41">
    <w:nsid w:val="62291859"/>
    <w:multiLevelType w:val="hybridMultilevel"/>
    <w:tmpl w:val="B4F22080"/>
    <w:lvl w:ilvl="0" w:tplc="39EC9AC8">
      <w:start w:val="1"/>
      <w:numFmt w:val="lowerLetter"/>
      <w:lvlText w:val="%1)"/>
      <w:lvlJc w:val="left"/>
      <w:pPr>
        <w:ind w:left="1440" w:hanging="360"/>
      </w:pPr>
      <w:rPr>
        <w:rFonts w:hint="default"/>
        <w:b w:val="0"/>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2">
    <w:nsid w:val="62A175B5"/>
    <w:multiLevelType w:val="hybridMultilevel"/>
    <w:tmpl w:val="08A63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69F10711"/>
    <w:multiLevelType w:val="hybridMultilevel"/>
    <w:tmpl w:val="54025948"/>
    <w:lvl w:ilvl="0" w:tplc="48F662A2">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4">
    <w:nsid w:val="6B905492"/>
    <w:multiLevelType w:val="hybridMultilevel"/>
    <w:tmpl w:val="2084D5D4"/>
    <w:lvl w:ilvl="0" w:tplc="513E3F20">
      <w:start w:val="4"/>
      <w:numFmt w:val="decimal"/>
      <w:lvlText w:val="%1."/>
      <w:lvlJc w:val="left"/>
      <w:pPr>
        <w:tabs>
          <w:tab w:val="num" w:pos="720"/>
        </w:tabs>
        <w:ind w:left="720" w:hanging="360"/>
      </w:pPr>
      <w:rPr>
        <w:rFonts w:hint="default"/>
      </w:rPr>
    </w:lvl>
    <w:lvl w:ilvl="1" w:tplc="02E6A8EE" w:tentative="1">
      <w:start w:val="1"/>
      <w:numFmt w:val="lowerLetter"/>
      <w:lvlText w:val="%2."/>
      <w:lvlJc w:val="left"/>
      <w:pPr>
        <w:tabs>
          <w:tab w:val="num" w:pos="1440"/>
        </w:tabs>
        <w:ind w:left="1440" w:hanging="360"/>
      </w:pPr>
    </w:lvl>
    <w:lvl w:ilvl="2" w:tplc="59C2CD90" w:tentative="1">
      <w:start w:val="1"/>
      <w:numFmt w:val="lowerRoman"/>
      <w:lvlText w:val="%3."/>
      <w:lvlJc w:val="right"/>
      <w:pPr>
        <w:tabs>
          <w:tab w:val="num" w:pos="2160"/>
        </w:tabs>
        <w:ind w:left="2160" w:hanging="180"/>
      </w:pPr>
    </w:lvl>
    <w:lvl w:ilvl="3" w:tplc="B706D67C" w:tentative="1">
      <w:start w:val="1"/>
      <w:numFmt w:val="decimal"/>
      <w:lvlText w:val="%4."/>
      <w:lvlJc w:val="left"/>
      <w:pPr>
        <w:tabs>
          <w:tab w:val="num" w:pos="2880"/>
        </w:tabs>
        <w:ind w:left="2880" w:hanging="360"/>
      </w:pPr>
    </w:lvl>
    <w:lvl w:ilvl="4" w:tplc="CF22E9E2" w:tentative="1">
      <w:start w:val="1"/>
      <w:numFmt w:val="lowerLetter"/>
      <w:lvlText w:val="%5."/>
      <w:lvlJc w:val="left"/>
      <w:pPr>
        <w:tabs>
          <w:tab w:val="num" w:pos="3600"/>
        </w:tabs>
        <w:ind w:left="3600" w:hanging="360"/>
      </w:pPr>
    </w:lvl>
    <w:lvl w:ilvl="5" w:tplc="2FF2CB52" w:tentative="1">
      <w:start w:val="1"/>
      <w:numFmt w:val="lowerRoman"/>
      <w:lvlText w:val="%6."/>
      <w:lvlJc w:val="right"/>
      <w:pPr>
        <w:tabs>
          <w:tab w:val="num" w:pos="4320"/>
        </w:tabs>
        <w:ind w:left="4320" w:hanging="180"/>
      </w:pPr>
    </w:lvl>
    <w:lvl w:ilvl="6" w:tplc="C0086DAC" w:tentative="1">
      <w:start w:val="1"/>
      <w:numFmt w:val="decimal"/>
      <w:lvlText w:val="%7."/>
      <w:lvlJc w:val="left"/>
      <w:pPr>
        <w:tabs>
          <w:tab w:val="num" w:pos="5040"/>
        </w:tabs>
        <w:ind w:left="5040" w:hanging="360"/>
      </w:pPr>
    </w:lvl>
    <w:lvl w:ilvl="7" w:tplc="E192646A" w:tentative="1">
      <w:start w:val="1"/>
      <w:numFmt w:val="lowerLetter"/>
      <w:lvlText w:val="%8."/>
      <w:lvlJc w:val="left"/>
      <w:pPr>
        <w:tabs>
          <w:tab w:val="num" w:pos="5760"/>
        </w:tabs>
        <w:ind w:left="5760" w:hanging="360"/>
      </w:pPr>
    </w:lvl>
    <w:lvl w:ilvl="8" w:tplc="A33818BA" w:tentative="1">
      <w:start w:val="1"/>
      <w:numFmt w:val="lowerRoman"/>
      <w:lvlText w:val="%9."/>
      <w:lvlJc w:val="right"/>
      <w:pPr>
        <w:tabs>
          <w:tab w:val="num" w:pos="6480"/>
        </w:tabs>
        <w:ind w:left="6480" w:hanging="180"/>
      </w:pPr>
    </w:lvl>
  </w:abstractNum>
  <w:abstractNum w:abstractNumId="45">
    <w:nsid w:val="6BA315B7"/>
    <w:multiLevelType w:val="hybridMultilevel"/>
    <w:tmpl w:val="601A325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6">
    <w:nsid w:val="6C2467E0"/>
    <w:multiLevelType w:val="hybridMultilevel"/>
    <w:tmpl w:val="9508BD8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7">
    <w:nsid w:val="6C6407F1"/>
    <w:multiLevelType w:val="hybridMultilevel"/>
    <w:tmpl w:val="CAE41E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6E452EBA"/>
    <w:multiLevelType w:val="hybridMultilevel"/>
    <w:tmpl w:val="0582D05A"/>
    <w:lvl w:ilvl="0" w:tplc="2E500086">
      <w:start w:val="1"/>
      <w:numFmt w:val="bullet"/>
      <w:lvlText w:val=""/>
      <w:lvlJc w:val="left"/>
      <w:pPr>
        <w:tabs>
          <w:tab w:val="num" w:pos="720"/>
        </w:tabs>
        <w:ind w:left="720" w:hanging="360"/>
      </w:pPr>
      <w:rPr>
        <w:rFonts w:ascii="Symbol" w:hAnsi="Symbol" w:hint="default"/>
      </w:rPr>
    </w:lvl>
    <w:lvl w:ilvl="1" w:tplc="6F5A277C" w:tentative="1">
      <w:start w:val="1"/>
      <w:numFmt w:val="bullet"/>
      <w:lvlText w:val="o"/>
      <w:lvlJc w:val="left"/>
      <w:pPr>
        <w:tabs>
          <w:tab w:val="num" w:pos="1440"/>
        </w:tabs>
        <w:ind w:left="1440" w:hanging="360"/>
      </w:pPr>
      <w:rPr>
        <w:rFonts w:ascii="Courier New" w:hAnsi="Courier New" w:cs="Courier New" w:hint="default"/>
      </w:rPr>
    </w:lvl>
    <w:lvl w:ilvl="2" w:tplc="40A2ED06" w:tentative="1">
      <w:start w:val="1"/>
      <w:numFmt w:val="bullet"/>
      <w:lvlText w:val=""/>
      <w:lvlJc w:val="left"/>
      <w:pPr>
        <w:tabs>
          <w:tab w:val="num" w:pos="2160"/>
        </w:tabs>
        <w:ind w:left="2160" w:hanging="360"/>
      </w:pPr>
      <w:rPr>
        <w:rFonts w:ascii="Wingdings" w:hAnsi="Wingdings" w:hint="default"/>
      </w:rPr>
    </w:lvl>
    <w:lvl w:ilvl="3" w:tplc="8CE4AD88" w:tentative="1">
      <w:start w:val="1"/>
      <w:numFmt w:val="bullet"/>
      <w:lvlText w:val=""/>
      <w:lvlJc w:val="left"/>
      <w:pPr>
        <w:tabs>
          <w:tab w:val="num" w:pos="2880"/>
        </w:tabs>
        <w:ind w:left="2880" w:hanging="360"/>
      </w:pPr>
      <w:rPr>
        <w:rFonts w:ascii="Symbol" w:hAnsi="Symbol" w:hint="default"/>
      </w:rPr>
    </w:lvl>
    <w:lvl w:ilvl="4" w:tplc="AB789EA2" w:tentative="1">
      <w:start w:val="1"/>
      <w:numFmt w:val="bullet"/>
      <w:lvlText w:val="o"/>
      <w:lvlJc w:val="left"/>
      <w:pPr>
        <w:tabs>
          <w:tab w:val="num" w:pos="3600"/>
        </w:tabs>
        <w:ind w:left="3600" w:hanging="360"/>
      </w:pPr>
      <w:rPr>
        <w:rFonts w:ascii="Courier New" w:hAnsi="Courier New" w:cs="Courier New" w:hint="default"/>
      </w:rPr>
    </w:lvl>
    <w:lvl w:ilvl="5" w:tplc="27D6AEFC" w:tentative="1">
      <w:start w:val="1"/>
      <w:numFmt w:val="bullet"/>
      <w:lvlText w:val=""/>
      <w:lvlJc w:val="left"/>
      <w:pPr>
        <w:tabs>
          <w:tab w:val="num" w:pos="4320"/>
        </w:tabs>
        <w:ind w:left="4320" w:hanging="360"/>
      </w:pPr>
      <w:rPr>
        <w:rFonts w:ascii="Wingdings" w:hAnsi="Wingdings" w:hint="default"/>
      </w:rPr>
    </w:lvl>
    <w:lvl w:ilvl="6" w:tplc="7EFC1546" w:tentative="1">
      <w:start w:val="1"/>
      <w:numFmt w:val="bullet"/>
      <w:lvlText w:val=""/>
      <w:lvlJc w:val="left"/>
      <w:pPr>
        <w:tabs>
          <w:tab w:val="num" w:pos="5040"/>
        </w:tabs>
        <w:ind w:left="5040" w:hanging="360"/>
      </w:pPr>
      <w:rPr>
        <w:rFonts w:ascii="Symbol" w:hAnsi="Symbol" w:hint="default"/>
      </w:rPr>
    </w:lvl>
    <w:lvl w:ilvl="7" w:tplc="9424ADAC" w:tentative="1">
      <w:start w:val="1"/>
      <w:numFmt w:val="bullet"/>
      <w:lvlText w:val="o"/>
      <w:lvlJc w:val="left"/>
      <w:pPr>
        <w:tabs>
          <w:tab w:val="num" w:pos="5760"/>
        </w:tabs>
        <w:ind w:left="5760" w:hanging="360"/>
      </w:pPr>
      <w:rPr>
        <w:rFonts w:ascii="Courier New" w:hAnsi="Courier New" w:cs="Courier New" w:hint="default"/>
      </w:rPr>
    </w:lvl>
    <w:lvl w:ilvl="8" w:tplc="2F346262" w:tentative="1">
      <w:start w:val="1"/>
      <w:numFmt w:val="bullet"/>
      <w:lvlText w:val=""/>
      <w:lvlJc w:val="left"/>
      <w:pPr>
        <w:tabs>
          <w:tab w:val="num" w:pos="6480"/>
        </w:tabs>
        <w:ind w:left="6480" w:hanging="360"/>
      </w:pPr>
      <w:rPr>
        <w:rFonts w:ascii="Wingdings" w:hAnsi="Wingdings" w:hint="default"/>
      </w:rPr>
    </w:lvl>
  </w:abstractNum>
  <w:abstractNum w:abstractNumId="49">
    <w:nsid w:val="6EBB4D7B"/>
    <w:multiLevelType w:val="hybridMultilevel"/>
    <w:tmpl w:val="5CD8634A"/>
    <w:lvl w:ilvl="0" w:tplc="172C78AA">
      <w:start w:val="1"/>
      <w:numFmt w:val="bullet"/>
      <w:lvlText w:val=""/>
      <w:lvlJc w:val="left"/>
      <w:pPr>
        <w:tabs>
          <w:tab w:val="num" w:pos="420"/>
        </w:tabs>
        <w:ind w:left="420" w:hanging="360"/>
      </w:pPr>
      <w:rPr>
        <w:rFonts w:ascii="Symbol" w:hAnsi="Symbol" w:hint="default"/>
      </w:rPr>
    </w:lvl>
    <w:lvl w:ilvl="1" w:tplc="0C090003" w:tentative="1">
      <w:start w:val="1"/>
      <w:numFmt w:val="bullet"/>
      <w:lvlText w:val="o"/>
      <w:lvlJc w:val="left"/>
      <w:pPr>
        <w:tabs>
          <w:tab w:val="num" w:pos="1500"/>
        </w:tabs>
        <w:ind w:left="1500" w:hanging="360"/>
      </w:pPr>
      <w:rPr>
        <w:rFonts w:ascii="Courier New" w:hAnsi="Courier New" w:cs="Courier New" w:hint="default"/>
      </w:rPr>
    </w:lvl>
    <w:lvl w:ilvl="2" w:tplc="0C090005" w:tentative="1">
      <w:start w:val="1"/>
      <w:numFmt w:val="bullet"/>
      <w:lvlText w:val=""/>
      <w:lvlJc w:val="left"/>
      <w:pPr>
        <w:tabs>
          <w:tab w:val="num" w:pos="2220"/>
        </w:tabs>
        <w:ind w:left="2220" w:hanging="360"/>
      </w:pPr>
      <w:rPr>
        <w:rFonts w:ascii="Wingdings" w:hAnsi="Wingdings" w:hint="default"/>
      </w:rPr>
    </w:lvl>
    <w:lvl w:ilvl="3" w:tplc="0C090001" w:tentative="1">
      <w:start w:val="1"/>
      <w:numFmt w:val="bullet"/>
      <w:lvlText w:val=""/>
      <w:lvlJc w:val="left"/>
      <w:pPr>
        <w:tabs>
          <w:tab w:val="num" w:pos="2940"/>
        </w:tabs>
        <w:ind w:left="2940" w:hanging="360"/>
      </w:pPr>
      <w:rPr>
        <w:rFonts w:ascii="Symbol" w:hAnsi="Symbol" w:hint="default"/>
      </w:rPr>
    </w:lvl>
    <w:lvl w:ilvl="4" w:tplc="0C090003" w:tentative="1">
      <w:start w:val="1"/>
      <w:numFmt w:val="bullet"/>
      <w:lvlText w:val="o"/>
      <w:lvlJc w:val="left"/>
      <w:pPr>
        <w:tabs>
          <w:tab w:val="num" w:pos="3660"/>
        </w:tabs>
        <w:ind w:left="3660" w:hanging="360"/>
      </w:pPr>
      <w:rPr>
        <w:rFonts w:ascii="Courier New" w:hAnsi="Courier New" w:cs="Courier New" w:hint="default"/>
      </w:rPr>
    </w:lvl>
    <w:lvl w:ilvl="5" w:tplc="0C090005" w:tentative="1">
      <w:start w:val="1"/>
      <w:numFmt w:val="bullet"/>
      <w:lvlText w:val=""/>
      <w:lvlJc w:val="left"/>
      <w:pPr>
        <w:tabs>
          <w:tab w:val="num" w:pos="4380"/>
        </w:tabs>
        <w:ind w:left="4380" w:hanging="360"/>
      </w:pPr>
      <w:rPr>
        <w:rFonts w:ascii="Wingdings" w:hAnsi="Wingdings" w:hint="default"/>
      </w:rPr>
    </w:lvl>
    <w:lvl w:ilvl="6" w:tplc="0C090001" w:tentative="1">
      <w:start w:val="1"/>
      <w:numFmt w:val="bullet"/>
      <w:lvlText w:val=""/>
      <w:lvlJc w:val="left"/>
      <w:pPr>
        <w:tabs>
          <w:tab w:val="num" w:pos="5100"/>
        </w:tabs>
        <w:ind w:left="5100" w:hanging="360"/>
      </w:pPr>
      <w:rPr>
        <w:rFonts w:ascii="Symbol" w:hAnsi="Symbol" w:hint="default"/>
      </w:rPr>
    </w:lvl>
    <w:lvl w:ilvl="7" w:tplc="0C090003" w:tentative="1">
      <w:start w:val="1"/>
      <w:numFmt w:val="bullet"/>
      <w:lvlText w:val="o"/>
      <w:lvlJc w:val="left"/>
      <w:pPr>
        <w:tabs>
          <w:tab w:val="num" w:pos="5820"/>
        </w:tabs>
        <w:ind w:left="5820" w:hanging="360"/>
      </w:pPr>
      <w:rPr>
        <w:rFonts w:ascii="Courier New" w:hAnsi="Courier New" w:cs="Courier New" w:hint="default"/>
      </w:rPr>
    </w:lvl>
    <w:lvl w:ilvl="8" w:tplc="0C090005" w:tentative="1">
      <w:start w:val="1"/>
      <w:numFmt w:val="bullet"/>
      <w:lvlText w:val=""/>
      <w:lvlJc w:val="left"/>
      <w:pPr>
        <w:tabs>
          <w:tab w:val="num" w:pos="6540"/>
        </w:tabs>
        <w:ind w:left="6540" w:hanging="360"/>
      </w:pPr>
      <w:rPr>
        <w:rFonts w:ascii="Wingdings" w:hAnsi="Wingdings" w:hint="default"/>
      </w:rPr>
    </w:lvl>
  </w:abstractNum>
  <w:abstractNum w:abstractNumId="50">
    <w:nsid w:val="76346CBF"/>
    <w:multiLevelType w:val="hybridMultilevel"/>
    <w:tmpl w:val="A87079A4"/>
    <w:lvl w:ilvl="0" w:tplc="0DBC61CE">
      <w:start w:val="1"/>
      <w:numFmt w:val="lowerLetter"/>
      <w:lvlText w:val="(%1)"/>
      <w:lvlJc w:val="left"/>
      <w:pPr>
        <w:ind w:left="1788" w:hanging="795"/>
      </w:pPr>
      <w:rPr>
        <w:rFonts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51">
    <w:nsid w:val="779D0873"/>
    <w:multiLevelType w:val="hybridMultilevel"/>
    <w:tmpl w:val="DB8E6D4A"/>
    <w:lvl w:ilvl="0" w:tplc="11FC3552">
      <w:start w:val="1"/>
      <w:numFmt w:val="bullet"/>
      <w:lvlText w:val=""/>
      <w:lvlJc w:val="left"/>
      <w:pPr>
        <w:tabs>
          <w:tab w:val="num" w:pos="1440"/>
        </w:tabs>
        <w:ind w:left="1440" w:hanging="360"/>
      </w:pPr>
      <w:rPr>
        <w:rFonts w:ascii="Symbol" w:hAnsi="Symbol" w:hint="default"/>
        <w:color w:val="auto"/>
      </w:rPr>
    </w:lvl>
    <w:lvl w:ilvl="1" w:tplc="0C090003" w:tentative="1">
      <w:start w:val="1"/>
      <w:numFmt w:val="bullet"/>
      <w:lvlText w:val="o"/>
      <w:lvlJc w:val="left"/>
      <w:pPr>
        <w:tabs>
          <w:tab w:val="num" w:pos="2520"/>
        </w:tabs>
        <w:ind w:left="2520" w:hanging="360"/>
      </w:pPr>
      <w:rPr>
        <w:rFonts w:ascii="Courier New" w:hAnsi="Courier New" w:cs="Courier New" w:hint="default"/>
      </w:rPr>
    </w:lvl>
    <w:lvl w:ilvl="2" w:tplc="0C090005" w:tentative="1">
      <w:start w:val="1"/>
      <w:numFmt w:val="bullet"/>
      <w:lvlText w:val=""/>
      <w:lvlJc w:val="left"/>
      <w:pPr>
        <w:tabs>
          <w:tab w:val="num" w:pos="3240"/>
        </w:tabs>
        <w:ind w:left="3240" w:hanging="360"/>
      </w:pPr>
      <w:rPr>
        <w:rFonts w:ascii="Wingdings" w:hAnsi="Wingdings" w:hint="default"/>
      </w:rPr>
    </w:lvl>
    <w:lvl w:ilvl="3" w:tplc="0C090001" w:tentative="1">
      <w:start w:val="1"/>
      <w:numFmt w:val="bullet"/>
      <w:lvlText w:val=""/>
      <w:lvlJc w:val="left"/>
      <w:pPr>
        <w:tabs>
          <w:tab w:val="num" w:pos="3960"/>
        </w:tabs>
        <w:ind w:left="3960" w:hanging="360"/>
      </w:pPr>
      <w:rPr>
        <w:rFonts w:ascii="Symbol" w:hAnsi="Symbol" w:hint="default"/>
      </w:rPr>
    </w:lvl>
    <w:lvl w:ilvl="4" w:tplc="0C090003" w:tentative="1">
      <w:start w:val="1"/>
      <w:numFmt w:val="bullet"/>
      <w:lvlText w:val="o"/>
      <w:lvlJc w:val="left"/>
      <w:pPr>
        <w:tabs>
          <w:tab w:val="num" w:pos="4680"/>
        </w:tabs>
        <w:ind w:left="4680" w:hanging="360"/>
      </w:pPr>
      <w:rPr>
        <w:rFonts w:ascii="Courier New" w:hAnsi="Courier New" w:cs="Courier New" w:hint="default"/>
      </w:rPr>
    </w:lvl>
    <w:lvl w:ilvl="5" w:tplc="0C090005" w:tentative="1">
      <w:start w:val="1"/>
      <w:numFmt w:val="bullet"/>
      <w:lvlText w:val=""/>
      <w:lvlJc w:val="left"/>
      <w:pPr>
        <w:tabs>
          <w:tab w:val="num" w:pos="5400"/>
        </w:tabs>
        <w:ind w:left="5400" w:hanging="360"/>
      </w:pPr>
      <w:rPr>
        <w:rFonts w:ascii="Wingdings" w:hAnsi="Wingdings" w:hint="default"/>
      </w:rPr>
    </w:lvl>
    <w:lvl w:ilvl="6" w:tplc="0C090001" w:tentative="1">
      <w:start w:val="1"/>
      <w:numFmt w:val="bullet"/>
      <w:lvlText w:val=""/>
      <w:lvlJc w:val="left"/>
      <w:pPr>
        <w:tabs>
          <w:tab w:val="num" w:pos="6120"/>
        </w:tabs>
        <w:ind w:left="6120" w:hanging="360"/>
      </w:pPr>
      <w:rPr>
        <w:rFonts w:ascii="Symbol" w:hAnsi="Symbol" w:hint="default"/>
      </w:rPr>
    </w:lvl>
    <w:lvl w:ilvl="7" w:tplc="0C090003" w:tentative="1">
      <w:start w:val="1"/>
      <w:numFmt w:val="bullet"/>
      <w:lvlText w:val="o"/>
      <w:lvlJc w:val="left"/>
      <w:pPr>
        <w:tabs>
          <w:tab w:val="num" w:pos="6840"/>
        </w:tabs>
        <w:ind w:left="6840" w:hanging="360"/>
      </w:pPr>
      <w:rPr>
        <w:rFonts w:ascii="Courier New" w:hAnsi="Courier New" w:cs="Courier New" w:hint="default"/>
      </w:rPr>
    </w:lvl>
    <w:lvl w:ilvl="8" w:tplc="0C090005" w:tentative="1">
      <w:start w:val="1"/>
      <w:numFmt w:val="bullet"/>
      <w:lvlText w:val=""/>
      <w:lvlJc w:val="left"/>
      <w:pPr>
        <w:tabs>
          <w:tab w:val="num" w:pos="7560"/>
        </w:tabs>
        <w:ind w:left="7560" w:hanging="360"/>
      </w:pPr>
      <w:rPr>
        <w:rFonts w:ascii="Wingdings" w:hAnsi="Wingdings" w:hint="default"/>
      </w:rPr>
    </w:lvl>
  </w:abstractNum>
  <w:abstractNum w:abstractNumId="52">
    <w:nsid w:val="784D033C"/>
    <w:multiLevelType w:val="multilevel"/>
    <w:tmpl w:val="88EEB0BA"/>
    <w:lvl w:ilvl="0">
      <w:start w:val="1"/>
      <w:numFmt w:val="decimal"/>
      <w:pStyle w:val="PSDheading1"/>
      <w:lvlText w:val="%1"/>
      <w:lvlJc w:val="left"/>
      <w:pPr>
        <w:ind w:left="720" w:hanging="720"/>
      </w:pPr>
      <w:rPr>
        <w:rFonts w:hint="default"/>
        <w:b/>
      </w:rPr>
    </w:lvl>
    <w:lvl w:ilvl="1">
      <w:start w:val="1"/>
      <w:numFmt w:val="decimal"/>
      <w:lvlText w:val="%1.%2"/>
      <w:lvlJc w:val="left"/>
      <w:pPr>
        <w:ind w:left="720" w:hanging="72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3">
    <w:nsid w:val="79DA634B"/>
    <w:multiLevelType w:val="hybridMultilevel"/>
    <w:tmpl w:val="E6B0A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7D101EF5"/>
    <w:multiLevelType w:val="hybridMultilevel"/>
    <w:tmpl w:val="408E12BC"/>
    <w:lvl w:ilvl="0" w:tplc="FC4E0402">
      <w:start w:val="1"/>
      <w:numFmt w:val="lowerLetter"/>
      <w:lvlText w:val="(%1)"/>
      <w:lvlJc w:val="left"/>
      <w:pPr>
        <w:ind w:left="1444" w:hanging="735"/>
      </w:pPr>
      <w:rPr>
        <w:rFonts w:hint="default"/>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num w:numId="1">
    <w:abstractNumId w:val="15"/>
  </w:num>
  <w:num w:numId="2">
    <w:abstractNumId w:val="48"/>
  </w:num>
  <w:num w:numId="3">
    <w:abstractNumId w:val="29"/>
  </w:num>
  <w:num w:numId="4">
    <w:abstractNumId w:val="1"/>
  </w:num>
  <w:num w:numId="5">
    <w:abstractNumId w:val="10"/>
  </w:num>
  <w:num w:numId="6">
    <w:abstractNumId w:val="27"/>
  </w:num>
  <w:num w:numId="7">
    <w:abstractNumId w:val="23"/>
  </w:num>
  <w:num w:numId="8">
    <w:abstractNumId w:val="9"/>
  </w:num>
  <w:num w:numId="9">
    <w:abstractNumId w:val="13"/>
  </w:num>
  <w:num w:numId="10">
    <w:abstractNumId w:val="44"/>
  </w:num>
  <w:num w:numId="11">
    <w:abstractNumId w:val="2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0"/>
  </w:num>
  <w:num w:numId="14">
    <w:abstractNumId w:val="49"/>
  </w:num>
  <w:num w:numId="15">
    <w:abstractNumId w:val="37"/>
  </w:num>
  <w:num w:numId="16">
    <w:abstractNumId w:val="32"/>
  </w:num>
  <w:num w:numId="17">
    <w:abstractNumId w:val="51"/>
  </w:num>
  <w:num w:numId="18">
    <w:abstractNumId w:val="18"/>
  </w:num>
  <w:num w:numId="19">
    <w:abstractNumId w:val="26"/>
  </w:num>
  <w:num w:numId="20">
    <w:abstractNumId w:val="7"/>
  </w:num>
  <w:num w:numId="21">
    <w:abstractNumId w:val="42"/>
  </w:num>
  <w:num w:numId="22">
    <w:abstractNumId w:val="47"/>
  </w:num>
  <w:num w:numId="23">
    <w:abstractNumId w:val="53"/>
  </w:num>
  <w:num w:numId="24">
    <w:abstractNumId w:val="22"/>
  </w:num>
  <w:num w:numId="25">
    <w:abstractNumId w:val="52"/>
  </w:num>
  <w:num w:numId="26">
    <w:abstractNumId w:val="38"/>
  </w:num>
  <w:num w:numId="27">
    <w:abstractNumId w:val="17"/>
  </w:num>
  <w:num w:numId="28">
    <w:abstractNumId w:val="11"/>
  </w:num>
  <w:num w:numId="29">
    <w:abstractNumId w:val="35"/>
  </w:num>
  <w:num w:numId="30">
    <w:abstractNumId w:val="6"/>
  </w:num>
  <w:num w:numId="31">
    <w:abstractNumId w:val="36"/>
  </w:num>
  <w:num w:numId="32">
    <w:abstractNumId w:val="50"/>
  </w:num>
  <w:num w:numId="33">
    <w:abstractNumId w:val="34"/>
  </w:num>
  <w:num w:numId="34">
    <w:abstractNumId w:val="54"/>
  </w:num>
  <w:num w:numId="35">
    <w:abstractNumId w:val="16"/>
  </w:num>
  <w:num w:numId="36">
    <w:abstractNumId w:val="31"/>
  </w:num>
  <w:num w:numId="37">
    <w:abstractNumId w:val="39"/>
  </w:num>
  <w:num w:numId="38">
    <w:abstractNumId w:val="14"/>
  </w:num>
  <w:num w:numId="39">
    <w:abstractNumId w:val="25"/>
  </w:num>
  <w:num w:numId="40">
    <w:abstractNumId w:val="2"/>
  </w:num>
  <w:num w:numId="41">
    <w:abstractNumId w:val="21"/>
  </w:num>
  <w:num w:numId="42">
    <w:abstractNumId w:val="43"/>
  </w:num>
  <w:num w:numId="43">
    <w:abstractNumId w:val="5"/>
  </w:num>
  <w:num w:numId="44">
    <w:abstractNumId w:val="45"/>
  </w:num>
  <w:num w:numId="45">
    <w:abstractNumId w:val="41"/>
  </w:num>
  <w:num w:numId="46">
    <w:abstractNumId w:val="19"/>
  </w:num>
  <w:num w:numId="47">
    <w:abstractNumId w:val="24"/>
  </w:num>
  <w:num w:numId="48">
    <w:abstractNumId w:val="46"/>
  </w:num>
  <w:num w:numId="49">
    <w:abstractNumId w:val="3"/>
  </w:num>
  <w:num w:numId="50">
    <w:abstractNumId w:val="4"/>
  </w:num>
  <w:num w:numId="51">
    <w:abstractNumId w:val="0"/>
  </w:num>
  <w:num w:numId="52">
    <w:abstractNumId w:val="28"/>
  </w:num>
  <w:num w:numId="53">
    <w:abstractNumId w:val="33"/>
  </w:num>
  <w:num w:numId="54">
    <w:abstractNumId w:val="40"/>
  </w:num>
  <w:num w:numId="55">
    <w:abstractNumId w:val="8"/>
  </w:num>
  <w:num w:numId="56">
    <w:abstractNumId w:val="12"/>
  </w:num>
  <w:num w:numId="57">
    <w:abstractNumId w:val="2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writeProtection w:recommended="1"/>
  <w:zoom w:percent="89"/>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240E"/>
    <w:rsid w:val="000025AD"/>
    <w:rsid w:val="0001257F"/>
    <w:rsid w:val="0002464A"/>
    <w:rsid w:val="0003106B"/>
    <w:rsid w:val="00037301"/>
    <w:rsid w:val="00041E5D"/>
    <w:rsid w:val="000421A1"/>
    <w:rsid w:val="0004240E"/>
    <w:rsid w:val="00045E26"/>
    <w:rsid w:val="000514B5"/>
    <w:rsid w:val="00053357"/>
    <w:rsid w:val="00060E64"/>
    <w:rsid w:val="00066755"/>
    <w:rsid w:val="000824B8"/>
    <w:rsid w:val="000969AD"/>
    <w:rsid w:val="000B558D"/>
    <w:rsid w:val="000C6996"/>
    <w:rsid w:val="000C7F48"/>
    <w:rsid w:val="000D23BA"/>
    <w:rsid w:val="000D60A8"/>
    <w:rsid w:val="000E1BDC"/>
    <w:rsid w:val="000E681E"/>
    <w:rsid w:val="000F4E6A"/>
    <w:rsid w:val="000F6186"/>
    <w:rsid w:val="001005D6"/>
    <w:rsid w:val="001107BF"/>
    <w:rsid w:val="001142CD"/>
    <w:rsid w:val="0012417C"/>
    <w:rsid w:val="00124963"/>
    <w:rsid w:val="00142395"/>
    <w:rsid w:val="00142714"/>
    <w:rsid w:val="001452ED"/>
    <w:rsid w:val="00165E23"/>
    <w:rsid w:val="001830CE"/>
    <w:rsid w:val="0018738F"/>
    <w:rsid w:val="00196307"/>
    <w:rsid w:val="001A6354"/>
    <w:rsid w:val="001B017F"/>
    <w:rsid w:val="001B5129"/>
    <w:rsid w:val="001C1195"/>
    <w:rsid w:val="001C167C"/>
    <w:rsid w:val="001C34E7"/>
    <w:rsid w:val="001F085A"/>
    <w:rsid w:val="00212514"/>
    <w:rsid w:val="00213CFB"/>
    <w:rsid w:val="002152A0"/>
    <w:rsid w:val="00245DA6"/>
    <w:rsid w:val="00247CF9"/>
    <w:rsid w:val="00271BA1"/>
    <w:rsid w:val="00277505"/>
    <w:rsid w:val="0029458F"/>
    <w:rsid w:val="002A104C"/>
    <w:rsid w:val="002A4960"/>
    <w:rsid w:val="002B027D"/>
    <w:rsid w:val="002B1AE6"/>
    <w:rsid w:val="002B30F8"/>
    <w:rsid w:val="002C212F"/>
    <w:rsid w:val="002D2FCE"/>
    <w:rsid w:val="002E3153"/>
    <w:rsid w:val="002E72CA"/>
    <w:rsid w:val="00302DFB"/>
    <w:rsid w:val="00306328"/>
    <w:rsid w:val="003070F8"/>
    <w:rsid w:val="00326E79"/>
    <w:rsid w:val="003350DD"/>
    <w:rsid w:val="003367EF"/>
    <w:rsid w:val="00341AE4"/>
    <w:rsid w:val="00357EC6"/>
    <w:rsid w:val="0038002D"/>
    <w:rsid w:val="003872CF"/>
    <w:rsid w:val="0039719C"/>
    <w:rsid w:val="0039782C"/>
    <w:rsid w:val="003A1B5A"/>
    <w:rsid w:val="003A53C0"/>
    <w:rsid w:val="003A5B4A"/>
    <w:rsid w:val="003B23C5"/>
    <w:rsid w:val="003B2A75"/>
    <w:rsid w:val="003B4C6C"/>
    <w:rsid w:val="003B76C0"/>
    <w:rsid w:val="003D4AC4"/>
    <w:rsid w:val="003D5EAA"/>
    <w:rsid w:val="003D63B7"/>
    <w:rsid w:val="003E2F6D"/>
    <w:rsid w:val="003E468B"/>
    <w:rsid w:val="003F3DAC"/>
    <w:rsid w:val="003F5C8C"/>
    <w:rsid w:val="004465BD"/>
    <w:rsid w:val="00457DDB"/>
    <w:rsid w:val="00466ADA"/>
    <w:rsid w:val="00476245"/>
    <w:rsid w:val="00485940"/>
    <w:rsid w:val="004A5A85"/>
    <w:rsid w:val="004B5640"/>
    <w:rsid w:val="004C0E70"/>
    <w:rsid w:val="004C1BD7"/>
    <w:rsid w:val="004C4781"/>
    <w:rsid w:val="004C4D8A"/>
    <w:rsid w:val="004C691D"/>
    <w:rsid w:val="004D62C7"/>
    <w:rsid w:val="004E692D"/>
    <w:rsid w:val="00501554"/>
    <w:rsid w:val="00504CAE"/>
    <w:rsid w:val="00514CD7"/>
    <w:rsid w:val="0052457D"/>
    <w:rsid w:val="005319B2"/>
    <w:rsid w:val="00532C74"/>
    <w:rsid w:val="00534E2E"/>
    <w:rsid w:val="00542FD1"/>
    <w:rsid w:val="00544552"/>
    <w:rsid w:val="00557A77"/>
    <w:rsid w:val="00581932"/>
    <w:rsid w:val="005963BB"/>
    <w:rsid w:val="005A3173"/>
    <w:rsid w:val="005A3223"/>
    <w:rsid w:val="005A3DA3"/>
    <w:rsid w:val="005A52C4"/>
    <w:rsid w:val="005C35BB"/>
    <w:rsid w:val="005D03AB"/>
    <w:rsid w:val="005D5017"/>
    <w:rsid w:val="00601A91"/>
    <w:rsid w:val="00602BA3"/>
    <w:rsid w:val="00612C8C"/>
    <w:rsid w:val="00612FDF"/>
    <w:rsid w:val="00614159"/>
    <w:rsid w:val="00614432"/>
    <w:rsid w:val="00617C00"/>
    <w:rsid w:val="006263BF"/>
    <w:rsid w:val="0062748A"/>
    <w:rsid w:val="00630A2C"/>
    <w:rsid w:val="00646483"/>
    <w:rsid w:val="00651169"/>
    <w:rsid w:val="00653D69"/>
    <w:rsid w:val="00660B49"/>
    <w:rsid w:val="00670A76"/>
    <w:rsid w:val="006711AA"/>
    <w:rsid w:val="00672B57"/>
    <w:rsid w:val="00675622"/>
    <w:rsid w:val="006906DB"/>
    <w:rsid w:val="006A12A5"/>
    <w:rsid w:val="006A65FC"/>
    <w:rsid w:val="006A6913"/>
    <w:rsid w:val="006B0D94"/>
    <w:rsid w:val="006B485D"/>
    <w:rsid w:val="006C708E"/>
    <w:rsid w:val="006D6EC7"/>
    <w:rsid w:val="006F5125"/>
    <w:rsid w:val="007174BB"/>
    <w:rsid w:val="007461AA"/>
    <w:rsid w:val="00753BEC"/>
    <w:rsid w:val="007628A1"/>
    <w:rsid w:val="0076420C"/>
    <w:rsid w:val="00766FB8"/>
    <w:rsid w:val="00773178"/>
    <w:rsid w:val="007753C2"/>
    <w:rsid w:val="00781848"/>
    <w:rsid w:val="007838B8"/>
    <w:rsid w:val="00784B0B"/>
    <w:rsid w:val="007C0F57"/>
    <w:rsid w:val="007C40B6"/>
    <w:rsid w:val="007C729F"/>
    <w:rsid w:val="007E1D28"/>
    <w:rsid w:val="007F2641"/>
    <w:rsid w:val="007F7C36"/>
    <w:rsid w:val="00806796"/>
    <w:rsid w:val="00826F6D"/>
    <w:rsid w:val="00853571"/>
    <w:rsid w:val="00856DDD"/>
    <w:rsid w:val="00863E68"/>
    <w:rsid w:val="008816B0"/>
    <w:rsid w:val="00882085"/>
    <w:rsid w:val="00883188"/>
    <w:rsid w:val="00897D58"/>
    <w:rsid w:val="008A1956"/>
    <w:rsid w:val="008A4937"/>
    <w:rsid w:val="008B2422"/>
    <w:rsid w:val="008D3C82"/>
    <w:rsid w:val="008D447E"/>
    <w:rsid w:val="008D7A41"/>
    <w:rsid w:val="008E3680"/>
    <w:rsid w:val="008E5870"/>
    <w:rsid w:val="008F1434"/>
    <w:rsid w:val="008F7355"/>
    <w:rsid w:val="009031CA"/>
    <w:rsid w:val="00904132"/>
    <w:rsid w:val="009067B7"/>
    <w:rsid w:val="00916B32"/>
    <w:rsid w:val="009278C3"/>
    <w:rsid w:val="00930937"/>
    <w:rsid w:val="00933E6C"/>
    <w:rsid w:val="00935CF0"/>
    <w:rsid w:val="0093666E"/>
    <w:rsid w:val="00942160"/>
    <w:rsid w:val="0094376B"/>
    <w:rsid w:val="0094673A"/>
    <w:rsid w:val="009602C5"/>
    <w:rsid w:val="00974C21"/>
    <w:rsid w:val="009B0F67"/>
    <w:rsid w:val="009C57DC"/>
    <w:rsid w:val="009C703C"/>
    <w:rsid w:val="009D3CAA"/>
    <w:rsid w:val="009E4077"/>
    <w:rsid w:val="009F4E46"/>
    <w:rsid w:val="009F5B65"/>
    <w:rsid w:val="009F5F2E"/>
    <w:rsid w:val="00A06225"/>
    <w:rsid w:val="00A128E6"/>
    <w:rsid w:val="00A16AF7"/>
    <w:rsid w:val="00A37C8D"/>
    <w:rsid w:val="00A5273B"/>
    <w:rsid w:val="00A53A9D"/>
    <w:rsid w:val="00A55FEE"/>
    <w:rsid w:val="00A56453"/>
    <w:rsid w:val="00A62C1A"/>
    <w:rsid w:val="00A6426D"/>
    <w:rsid w:val="00A661DD"/>
    <w:rsid w:val="00A70622"/>
    <w:rsid w:val="00A70977"/>
    <w:rsid w:val="00A8390C"/>
    <w:rsid w:val="00A928BD"/>
    <w:rsid w:val="00A94DD4"/>
    <w:rsid w:val="00AA4D1C"/>
    <w:rsid w:val="00AC5206"/>
    <w:rsid w:val="00AE11A5"/>
    <w:rsid w:val="00AE13E2"/>
    <w:rsid w:val="00AE18F4"/>
    <w:rsid w:val="00AE1ADB"/>
    <w:rsid w:val="00AF68CC"/>
    <w:rsid w:val="00B037C7"/>
    <w:rsid w:val="00B205AA"/>
    <w:rsid w:val="00B22E84"/>
    <w:rsid w:val="00B25F75"/>
    <w:rsid w:val="00B328A0"/>
    <w:rsid w:val="00B43E90"/>
    <w:rsid w:val="00B56118"/>
    <w:rsid w:val="00B641AB"/>
    <w:rsid w:val="00B6773F"/>
    <w:rsid w:val="00B801BA"/>
    <w:rsid w:val="00B9364C"/>
    <w:rsid w:val="00B93792"/>
    <w:rsid w:val="00BB4DB8"/>
    <w:rsid w:val="00BB69F5"/>
    <w:rsid w:val="00BB7EC3"/>
    <w:rsid w:val="00BC4B9A"/>
    <w:rsid w:val="00BD76B2"/>
    <w:rsid w:val="00BD784C"/>
    <w:rsid w:val="00BF3664"/>
    <w:rsid w:val="00BF4CB6"/>
    <w:rsid w:val="00BF77DF"/>
    <w:rsid w:val="00C00BDE"/>
    <w:rsid w:val="00C00DA7"/>
    <w:rsid w:val="00C12768"/>
    <w:rsid w:val="00C250A8"/>
    <w:rsid w:val="00C27B58"/>
    <w:rsid w:val="00C35996"/>
    <w:rsid w:val="00C5342C"/>
    <w:rsid w:val="00C6256A"/>
    <w:rsid w:val="00C711C2"/>
    <w:rsid w:val="00C91449"/>
    <w:rsid w:val="00C92D10"/>
    <w:rsid w:val="00CE10C4"/>
    <w:rsid w:val="00CE27B5"/>
    <w:rsid w:val="00D0321E"/>
    <w:rsid w:val="00D05908"/>
    <w:rsid w:val="00D1455A"/>
    <w:rsid w:val="00D3280C"/>
    <w:rsid w:val="00D3406A"/>
    <w:rsid w:val="00D37F3A"/>
    <w:rsid w:val="00D469B2"/>
    <w:rsid w:val="00D741EB"/>
    <w:rsid w:val="00D84934"/>
    <w:rsid w:val="00D91271"/>
    <w:rsid w:val="00D960CB"/>
    <w:rsid w:val="00DA2CB5"/>
    <w:rsid w:val="00DA4BAC"/>
    <w:rsid w:val="00DA7B0B"/>
    <w:rsid w:val="00DB3E0F"/>
    <w:rsid w:val="00DC7FAC"/>
    <w:rsid w:val="00DE6D27"/>
    <w:rsid w:val="00DF217D"/>
    <w:rsid w:val="00DF26A7"/>
    <w:rsid w:val="00DF53DD"/>
    <w:rsid w:val="00E0617D"/>
    <w:rsid w:val="00E164B3"/>
    <w:rsid w:val="00E16910"/>
    <w:rsid w:val="00E27000"/>
    <w:rsid w:val="00E4615E"/>
    <w:rsid w:val="00E65E54"/>
    <w:rsid w:val="00E71825"/>
    <w:rsid w:val="00E75057"/>
    <w:rsid w:val="00E80155"/>
    <w:rsid w:val="00E848C0"/>
    <w:rsid w:val="00E91B96"/>
    <w:rsid w:val="00E941A1"/>
    <w:rsid w:val="00E95CE3"/>
    <w:rsid w:val="00EA2825"/>
    <w:rsid w:val="00EB5088"/>
    <w:rsid w:val="00ED1644"/>
    <w:rsid w:val="00ED38E6"/>
    <w:rsid w:val="00EE107F"/>
    <w:rsid w:val="00EE27C8"/>
    <w:rsid w:val="00EF2A4E"/>
    <w:rsid w:val="00EF44A0"/>
    <w:rsid w:val="00EF4FED"/>
    <w:rsid w:val="00F050BD"/>
    <w:rsid w:val="00F05657"/>
    <w:rsid w:val="00F2174A"/>
    <w:rsid w:val="00F24F02"/>
    <w:rsid w:val="00F25578"/>
    <w:rsid w:val="00F258E5"/>
    <w:rsid w:val="00F300BC"/>
    <w:rsid w:val="00F3334E"/>
    <w:rsid w:val="00F50EC4"/>
    <w:rsid w:val="00F53BE9"/>
    <w:rsid w:val="00F57A6D"/>
    <w:rsid w:val="00F638CC"/>
    <w:rsid w:val="00F64CC1"/>
    <w:rsid w:val="00F8247A"/>
    <w:rsid w:val="00F863EC"/>
    <w:rsid w:val="00F9629A"/>
    <w:rsid w:val="00FA5883"/>
    <w:rsid w:val="00FA6055"/>
    <w:rsid w:val="00FB322F"/>
    <w:rsid w:val="00FB442F"/>
    <w:rsid w:val="00FC1929"/>
    <w:rsid w:val="00FC5B46"/>
    <w:rsid w:val="00FE1B80"/>
    <w:rsid w:val="00FF00BD"/>
    <w:rsid w:val="00FF1ED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annotation reference" w:uiPriority="99" w:qFormat="1"/>
    <w:lsdException w:name="Title" w:qFormat="1"/>
    <w:lsdException w:name="Subtitle" w:qFormat="1"/>
    <w:lsdException w:name="Strong" w:qFormat="1"/>
    <w:lsdException w:name="Emphasis" w:qFormat="1"/>
    <w:lsdException w:name="Table Grid" w:uiPriority="59"/>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sid w:val="00302DFB"/>
    <w:rPr>
      <w:sz w:val="24"/>
      <w:szCs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basedOn w:val="Normal"/>
    <w:uiPriority w:val="72"/>
    <w:qFormat/>
    <w:rsid w:val="00C35996"/>
    <w:pPr>
      <w:ind w:left="720"/>
      <w:contextualSpacing/>
    </w:p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uiPriority w:val="99"/>
    <w:qFormat/>
    <w:rsid w:val="00C27B58"/>
    <w:pPr>
      <w:jc w:val="both"/>
    </w:pPr>
    <w:rPr>
      <w:rFonts w:ascii="Arial" w:hAnsi="Arial"/>
      <w:sz w:val="22"/>
      <w:szCs w:val="22"/>
    </w:rPr>
  </w:style>
  <w:style w:type="paragraph" w:customStyle="1" w:styleId="PBACHeading1">
    <w:name w:val="PBAC Heading 1"/>
    <w:qFormat/>
    <w:rsid w:val="009031CA"/>
    <w:pPr>
      <w:ind w:left="720" w:hanging="720"/>
    </w:pPr>
    <w:rPr>
      <w:rFonts w:ascii="Arial" w:hAnsi="Arial" w:cs="Arial"/>
      <w:b/>
      <w:snapToGrid w:val="0"/>
      <w:sz w:val="22"/>
      <w:szCs w:val="22"/>
      <w:lang w:eastAsia="en-US"/>
    </w:rPr>
  </w:style>
  <w:style w:type="paragraph" w:customStyle="1" w:styleId="PSDTitle">
    <w:name w:val="PSD Title"/>
    <w:basedOn w:val="Normal"/>
    <w:qFormat/>
    <w:rsid w:val="002B027D"/>
    <w:rPr>
      <w:rFonts w:ascii="Arial" w:hAnsi="Arial"/>
      <w:b/>
      <w:sz w:val="28"/>
      <w:szCs w:val="28"/>
    </w:rPr>
  </w:style>
  <w:style w:type="paragraph" w:customStyle="1" w:styleId="PSDheading1">
    <w:name w:val="PSD heading 1"/>
    <w:basedOn w:val="ListParagraph"/>
    <w:qFormat/>
    <w:rsid w:val="002B027D"/>
    <w:pPr>
      <w:numPr>
        <w:numId w:val="25"/>
      </w:numPr>
      <w:jc w:val="both"/>
    </w:pPr>
    <w:rPr>
      <w:rFonts w:ascii="Arial" w:hAnsi="Arial"/>
      <w:b/>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annotation reference" w:uiPriority="99" w:qFormat="1"/>
    <w:lsdException w:name="Title" w:qFormat="1"/>
    <w:lsdException w:name="Subtitle" w:qFormat="1"/>
    <w:lsdException w:name="Strong" w:qFormat="1"/>
    <w:lsdException w:name="Emphasis" w:qFormat="1"/>
    <w:lsdException w:name="Table Grid" w:uiPriority="59"/>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sid w:val="00302DFB"/>
    <w:rPr>
      <w:sz w:val="24"/>
      <w:szCs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basedOn w:val="Normal"/>
    <w:uiPriority w:val="72"/>
    <w:qFormat/>
    <w:rsid w:val="00C35996"/>
    <w:pPr>
      <w:ind w:left="720"/>
      <w:contextualSpacing/>
    </w:p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uiPriority w:val="99"/>
    <w:qFormat/>
    <w:rsid w:val="00C27B58"/>
    <w:pPr>
      <w:jc w:val="both"/>
    </w:pPr>
    <w:rPr>
      <w:rFonts w:ascii="Arial" w:hAnsi="Arial"/>
      <w:sz w:val="22"/>
      <w:szCs w:val="22"/>
    </w:rPr>
  </w:style>
  <w:style w:type="paragraph" w:customStyle="1" w:styleId="PBACHeading1">
    <w:name w:val="PBAC Heading 1"/>
    <w:qFormat/>
    <w:rsid w:val="009031CA"/>
    <w:pPr>
      <w:ind w:left="720" w:hanging="720"/>
    </w:pPr>
    <w:rPr>
      <w:rFonts w:ascii="Arial" w:hAnsi="Arial" w:cs="Arial"/>
      <w:b/>
      <w:snapToGrid w:val="0"/>
      <w:sz w:val="22"/>
      <w:szCs w:val="22"/>
      <w:lang w:eastAsia="en-US"/>
    </w:rPr>
  </w:style>
  <w:style w:type="paragraph" w:customStyle="1" w:styleId="PSDTitle">
    <w:name w:val="PSD Title"/>
    <w:basedOn w:val="Normal"/>
    <w:qFormat/>
    <w:rsid w:val="002B027D"/>
    <w:rPr>
      <w:rFonts w:ascii="Arial" w:hAnsi="Arial"/>
      <w:b/>
      <w:sz w:val="28"/>
      <w:szCs w:val="28"/>
    </w:rPr>
  </w:style>
  <w:style w:type="paragraph" w:customStyle="1" w:styleId="PSDheading1">
    <w:name w:val="PSD heading 1"/>
    <w:basedOn w:val="ListParagraph"/>
    <w:qFormat/>
    <w:rsid w:val="002B027D"/>
    <w:pPr>
      <w:numPr>
        <w:numId w:val="25"/>
      </w:numPr>
      <w:jc w:val="both"/>
    </w:pPr>
    <w:rPr>
      <w:rFonts w:ascii="Arial" w:hAnsi="Arial"/>
      <w:b/>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6CEC47-61CB-48EC-B45A-618AA0FC5C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1BDD3705.dotm</Template>
  <TotalTime>23</TotalTime>
  <Pages>5</Pages>
  <Words>1780</Words>
  <Characters>10253</Characters>
  <Application>Microsoft Office Word</Application>
  <DocSecurity>2</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Dept Health And Ageing</Company>
  <LinksUpToDate>false</LinksUpToDate>
  <CharactersWithSpaces>12009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GONZALES, Mimiel</dc:creator>
  <cp:lastModifiedBy>Gonzales Mimiel</cp:lastModifiedBy>
  <cp:revision>10</cp:revision>
  <cp:lastPrinted>2016-02-29T01:28:00Z</cp:lastPrinted>
  <dcterms:created xsi:type="dcterms:W3CDTF">2016-02-04T04:58:00Z</dcterms:created>
  <dcterms:modified xsi:type="dcterms:W3CDTF">2016-02-29T01:28:00Z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
  </property>
  <property fmtid="{D5CDD505-2E9C-101B-9397-08002B2CF9AE}" pid="3" name="DraftType">
    <vt:lpwstr/>
  </property>
  <property fmtid="{D5CDD505-2E9C-101B-9397-08002B2CF9AE}" pid="4" name="WPLUSServerName">
    <vt:lpwstr/>
  </property>
  <property fmtid="{D5CDD505-2E9C-101B-9397-08002B2CF9AE}" pid="5" name="WPLUSDataBaseName">
    <vt:lpwstr/>
  </property>
  <property fmtid="{D5CDD505-2E9C-101B-9397-08002B2CF9AE}" pid="6" name="WPLUSDocumentUNID">
    <vt:lpwstr/>
  </property>
  <property fmtid="{D5CDD505-2E9C-101B-9397-08002B2CF9AE}" pid="7" name="NeverSavedToNT">
    <vt:lpwstr/>
  </property>
</Properties>
</file>