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527" w:rsidRPr="00D1689E" w:rsidRDefault="00993527" w:rsidP="00D1689E">
      <w:pPr>
        <w:pStyle w:val="Title"/>
      </w:pPr>
      <w:r w:rsidRPr="00D1689E">
        <w:t>3.04</w:t>
      </w:r>
      <w:r w:rsidRPr="00D1689E">
        <w:tab/>
        <w:t>STRONTIUM</w:t>
      </w:r>
    </w:p>
    <w:p w:rsidR="00993527" w:rsidRPr="00D1689E" w:rsidRDefault="00993527" w:rsidP="00D1689E">
      <w:pPr>
        <w:pStyle w:val="Title"/>
        <w:ind w:left="709"/>
      </w:pPr>
      <w:r w:rsidRPr="00D1689E">
        <w:t xml:space="preserve">Sachet containing granules for oral suspension containing strontium </w:t>
      </w:r>
      <w:proofErr w:type="spellStart"/>
      <w:r w:rsidRPr="00D1689E">
        <w:t>ranelate</w:t>
      </w:r>
      <w:proofErr w:type="spellEnd"/>
      <w:r w:rsidRPr="00D1689E">
        <w:t xml:space="preserve"> 2 g;</w:t>
      </w:r>
    </w:p>
    <w:p w:rsidR="00993527" w:rsidRPr="00D1689E" w:rsidRDefault="00993527" w:rsidP="00D1689E">
      <w:pPr>
        <w:pStyle w:val="Title"/>
        <w:ind w:firstLine="709"/>
      </w:pPr>
      <w:proofErr w:type="spellStart"/>
      <w:proofErr w:type="gramStart"/>
      <w:r w:rsidRPr="00D1689E">
        <w:t>Protos</w:t>
      </w:r>
      <w:proofErr w:type="spellEnd"/>
      <w:r w:rsidRPr="00D1689E">
        <w:t xml:space="preserve"> 2 g®; </w:t>
      </w:r>
      <w:proofErr w:type="spellStart"/>
      <w:r w:rsidRPr="00D1689E">
        <w:t>Servier</w:t>
      </w:r>
      <w:proofErr w:type="spellEnd"/>
      <w:r w:rsidRPr="00D1689E">
        <w:t xml:space="preserve"> Laboratories (Aust.) Pty Ltd.</w:t>
      </w:r>
      <w:proofErr w:type="gramEnd"/>
    </w:p>
    <w:p w:rsidR="00993527" w:rsidRDefault="00993527" w:rsidP="00882085">
      <w:pPr>
        <w:jc w:val="both"/>
        <w:rPr>
          <w:rFonts w:ascii="Arial" w:hAnsi="Arial"/>
          <w:b/>
          <w:sz w:val="22"/>
          <w:szCs w:val="22"/>
        </w:rPr>
      </w:pPr>
    </w:p>
    <w:p w:rsidR="00993527" w:rsidRDefault="00993527" w:rsidP="00882085">
      <w:pPr>
        <w:jc w:val="both"/>
        <w:rPr>
          <w:rFonts w:ascii="Arial" w:hAnsi="Arial"/>
          <w:b/>
          <w:sz w:val="22"/>
          <w:szCs w:val="22"/>
        </w:rPr>
      </w:pPr>
    </w:p>
    <w:p w:rsidR="00CE10C4" w:rsidRPr="00D1689E" w:rsidRDefault="00CE10C4" w:rsidP="00D1689E">
      <w:pPr>
        <w:pStyle w:val="Heading1"/>
      </w:pPr>
      <w:r w:rsidRPr="00D1689E">
        <w:t xml:space="preserve">Purpose of </w:t>
      </w:r>
      <w:r w:rsidR="00DD4ACB" w:rsidRPr="00D1689E">
        <w:t>item</w:t>
      </w:r>
    </w:p>
    <w:p w:rsidR="006A12A5" w:rsidRPr="0016695A" w:rsidRDefault="006A12A5" w:rsidP="00882085">
      <w:pPr>
        <w:jc w:val="both"/>
        <w:rPr>
          <w:rFonts w:ascii="Arial" w:hAnsi="Arial"/>
          <w:sz w:val="22"/>
          <w:szCs w:val="22"/>
        </w:rPr>
      </w:pPr>
    </w:p>
    <w:p w:rsidR="007B41A5" w:rsidRPr="0016695A" w:rsidRDefault="00993527" w:rsidP="00993527">
      <w:pPr>
        <w:pStyle w:val="ListParagraph"/>
        <w:numPr>
          <w:ilvl w:val="1"/>
          <w:numId w:val="25"/>
        </w:numPr>
        <w:jc w:val="both"/>
        <w:rPr>
          <w:rFonts w:ascii="Arial" w:hAnsi="Arial"/>
          <w:sz w:val="22"/>
          <w:szCs w:val="22"/>
        </w:rPr>
      </w:pPr>
      <w:r w:rsidRPr="0016695A">
        <w:rPr>
          <w:rFonts w:ascii="Arial" w:hAnsi="Arial"/>
          <w:sz w:val="22"/>
          <w:szCs w:val="22"/>
        </w:rPr>
        <w:t xml:space="preserve">The Minister </w:t>
      </w:r>
      <w:r w:rsidR="007B41A5" w:rsidRPr="0016695A">
        <w:rPr>
          <w:rFonts w:ascii="Arial" w:hAnsi="Arial"/>
          <w:sz w:val="22"/>
          <w:szCs w:val="22"/>
        </w:rPr>
        <w:t>(through the Delegate)</w:t>
      </w:r>
      <w:r w:rsidRPr="0016695A">
        <w:rPr>
          <w:rFonts w:ascii="Arial" w:hAnsi="Arial"/>
          <w:sz w:val="22"/>
          <w:szCs w:val="22"/>
        </w:rPr>
        <w:t xml:space="preserve"> requests</w:t>
      </w:r>
      <w:r w:rsidR="00923088" w:rsidRPr="0016695A">
        <w:rPr>
          <w:rFonts w:ascii="Arial" w:hAnsi="Arial"/>
          <w:sz w:val="22"/>
          <w:szCs w:val="22"/>
        </w:rPr>
        <w:t xml:space="preserve"> </w:t>
      </w:r>
      <w:r w:rsidRPr="0016695A">
        <w:rPr>
          <w:rFonts w:ascii="Arial" w:hAnsi="Arial"/>
          <w:sz w:val="22"/>
          <w:szCs w:val="22"/>
        </w:rPr>
        <w:t xml:space="preserve">the Pharmaceutical Benefits Advisory Committee (PBAC) provide </w:t>
      </w:r>
      <w:r w:rsidR="006A284C" w:rsidRPr="0016695A">
        <w:rPr>
          <w:rFonts w:ascii="Arial" w:hAnsi="Arial"/>
          <w:sz w:val="22"/>
          <w:szCs w:val="22"/>
        </w:rPr>
        <w:t xml:space="preserve">advice under Section </w:t>
      </w:r>
      <w:r w:rsidR="00923088" w:rsidRPr="0016695A">
        <w:rPr>
          <w:rFonts w:ascii="Arial" w:hAnsi="Arial"/>
          <w:sz w:val="22"/>
          <w:szCs w:val="22"/>
        </w:rPr>
        <w:t xml:space="preserve">101(4AAB) of the </w:t>
      </w:r>
      <w:r w:rsidR="00923088" w:rsidRPr="00E81079">
        <w:rPr>
          <w:rFonts w:ascii="Arial" w:hAnsi="Arial"/>
          <w:i/>
          <w:sz w:val="22"/>
          <w:szCs w:val="22"/>
        </w:rPr>
        <w:t>National Health Act 1953</w:t>
      </w:r>
      <w:r w:rsidR="00923088" w:rsidRPr="0016695A">
        <w:rPr>
          <w:rFonts w:ascii="Arial" w:hAnsi="Arial"/>
          <w:sz w:val="22"/>
          <w:szCs w:val="22"/>
        </w:rPr>
        <w:t xml:space="preserve"> (</w:t>
      </w:r>
      <w:r w:rsidR="00180C02" w:rsidRPr="0016695A">
        <w:rPr>
          <w:rFonts w:ascii="Arial" w:hAnsi="Arial"/>
          <w:sz w:val="22"/>
          <w:szCs w:val="22"/>
        </w:rPr>
        <w:t xml:space="preserve">the </w:t>
      </w:r>
      <w:r w:rsidR="00923088" w:rsidRPr="0016695A">
        <w:rPr>
          <w:rFonts w:ascii="Arial" w:hAnsi="Arial"/>
          <w:sz w:val="22"/>
          <w:szCs w:val="22"/>
        </w:rPr>
        <w:t xml:space="preserve">Act) in relation to the proposed revocation of the declaration that </w:t>
      </w:r>
      <w:r w:rsidR="007827A3" w:rsidRPr="0016695A">
        <w:rPr>
          <w:rFonts w:ascii="Arial" w:hAnsi="Arial"/>
          <w:sz w:val="22"/>
          <w:szCs w:val="22"/>
        </w:rPr>
        <w:t>strontium</w:t>
      </w:r>
      <w:r w:rsidR="007B41A5" w:rsidRPr="0016695A">
        <w:rPr>
          <w:rFonts w:ascii="Arial" w:hAnsi="Arial"/>
          <w:sz w:val="22"/>
          <w:szCs w:val="22"/>
        </w:rPr>
        <w:t xml:space="preserve"> is a drug to which Part VII of the Act applies.</w:t>
      </w:r>
    </w:p>
    <w:p w:rsidR="007827A3" w:rsidRPr="0016695A" w:rsidRDefault="007827A3" w:rsidP="0016695A">
      <w:pPr>
        <w:pStyle w:val="ListParagraph"/>
        <w:jc w:val="both"/>
        <w:rPr>
          <w:rFonts w:ascii="Arial" w:hAnsi="Arial"/>
          <w:sz w:val="22"/>
          <w:szCs w:val="22"/>
        </w:rPr>
      </w:pPr>
    </w:p>
    <w:p w:rsidR="007827A3" w:rsidRPr="0016695A" w:rsidRDefault="007827A3" w:rsidP="00993527">
      <w:pPr>
        <w:pStyle w:val="ListParagraph"/>
        <w:numPr>
          <w:ilvl w:val="1"/>
          <w:numId w:val="25"/>
        </w:numPr>
        <w:jc w:val="both"/>
        <w:rPr>
          <w:rFonts w:ascii="Arial" w:hAnsi="Arial"/>
          <w:sz w:val="22"/>
          <w:szCs w:val="22"/>
        </w:rPr>
      </w:pPr>
      <w:r w:rsidRPr="0016695A">
        <w:rPr>
          <w:rFonts w:ascii="Arial" w:hAnsi="Arial"/>
          <w:sz w:val="22"/>
          <w:szCs w:val="22"/>
        </w:rPr>
        <w:t xml:space="preserve">The Minister is seeking this advice prior to making a decision on whether to delist </w:t>
      </w:r>
      <w:r w:rsidR="005C5893" w:rsidRPr="0016695A">
        <w:rPr>
          <w:rFonts w:ascii="Arial" w:hAnsi="Arial"/>
          <w:sz w:val="22"/>
          <w:szCs w:val="22"/>
        </w:rPr>
        <w:t>strontium from the Schedule of Pharmaceutical Benefits (PBS).</w:t>
      </w:r>
    </w:p>
    <w:p w:rsidR="007B41A5" w:rsidRPr="0016695A" w:rsidRDefault="007B41A5" w:rsidP="007B41A5">
      <w:pPr>
        <w:jc w:val="both"/>
        <w:rPr>
          <w:rFonts w:ascii="Arial" w:hAnsi="Arial"/>
          <w:sz w:val="22"/>
          <w:szCs w:val="22"/>
        </w:rPr>
      </w:pPr>
    </w:p>
    <w:p w:rsidR="009826DD" w:rsidRPr="0016695A" w:rsidRDefault="009826DD" w:rsidP="00882085">
      <w:pPr>
        <w:jc w:val="both"/>
        <w:rPr>
          <w:rFonts w:ascii="Arial" w:hAnsi="Arial"/>
          <w:b/>
          <w:sz w:val="22"/>
          <w:szCs w:val="22"/>
        </w:rPr>
      </w:pPr>
    </w:p>
    <w:p w:rsidR="00CE10C4" w:rsidRPr="0016695A" w:rsidRDefault="00CE10C4" w:rsidP="00D1689E">
      <w:pPr>
        <w:pStyle w:val="Heading1"/>
      </w:pPr>
      <w:r w:rsidRPr="0016695A">
        <w:t>Background</w:t>
      </w:r>
    </w:p>
    <w:p w:rsidR="0069168E" w:rsidRPr="0016695A" w:rsidRDefault="0069168E" w:rsidP="00A9664B">
      <w:pPr>
        <w:jc w:val="both"/>
        <w:rPr>
          <w:rFonts w:ascii="Arial" w:hAnsi="Arial"/>
          <w:sz w:val="22"/>
          <w:szCs w:val="22"/>
        </w:rPr>
      </w:pPr>
    </w:p>
    <w:p w:rsidR="00A90093" w:rsidRPr="0016695A" w:rsidRDefault="0069168E" w:rsidP="00A9664B">
      <w:pPr>
        <w:pStyle w:val="ListParagraph"/>
        <w:numPr>
          <w:ilvl w:val="1"/>
          <w:numId w:val="25"/>
        </w:numPr>
        <w:jc w:val="both"/>
        <w:rPr>
          <w:rFonts w:ascii="Arial" w:hAnsi="Arial"/>
          <w:sz w:val="22"/>
          <w:szCs w:val="22"/>
        </w:rPr>
      </w:pPr>
      <w:r w:rsidRPr="0016695A">
        <w:rPr>
          <w:rFonts w:ascii="Arial" w:hAnsi="Arial"/>
          <w:sz w:val="22"/>
          <w:szCs w:val="22"/>
        </w:rPr>
        <w:t>In accordance with Section 101 (4AAA), t</w:t>
      </w:r>
      <w:r w:rsidR="00A9664B" w:rsidRPr="0016695A">
        <w:rPr>
          <w:rFonts w:ascii="Arial" w:hAnsi="Arial"/>
          <w:sz w:val="22"/>
          <w:szCs w:val="22"/>
        </w:rPr>
        <w:t xml:space="preserve">he Minister may, by legislative instrument, revoke or vary a declaration under subsection 85(2) in relation to a drug or medicinal preparation. </w:t>
      </w:r>
    </w:p>
    <w:p w:rsidR="00A90093" w:rsidRPr="0016695A" w:rsidRDefault="00A90093" w:rsidP="00A90093">
      <w:pPr>
        <w:pStyle w:val="ListParagraph"/>
        <w:jc w:val="both"/>
        <w:rPr>
          <w:rFonts w:ascii="Arial" w:hAnsi="Arial"/>
          <w:sz w:val="22"/>
          <w:szCs w:val="22"/>
        </w:rPr>
      </w:pPr>
      <w:r w:rsidRPr="0016695A">
        <w:rPr>
          <w:rFonts w:ascii="Arial" w:hAnsi="Arial"/>
          <w:sz w:val="22"/>
          <w:szCs w:val="22"/>
        </w:rPr>
        <w:t>Pursuant to</w:t>
      </w:r>
      <w:r w:rsidR="00993527" w:rsidRPr="0016695A">
        <w:rPr>
          <w:rFonts w:ascii="Arial" w:hAnsi="Arial"/>
          <w:sz w:val="22"/>
          <w:szCs w:val="22"/>
        </w:rPr>
        <w:t xml:space="preserve"> Section 101 </w:t>
      </w:r>
      <w:r w:rsidR="00A9664B" w:rsidRPr="0016695A">
        <w:rPr>
          <w:rFonts w:ascii="Arial" w:hAnsi="Arial"/>
          <w:sz w:val="22"/>
          <w:szCs w:val="22"/>
        </w:rPr>
        <w:t>(4AAB)</w:t>
      </w:r>
      <w:r w:rsidRPr="0016695A">
        <w:rPr>
          <w:rFonts w:ascii="Arial" w:hAnsi="Arial"/>
          <w:sz w:val="22"/>
          <w:szCs w:val="22"/>
        </w:rPr>
        <w:t>:</w:t>
      </w:r>
    </w:p>
    <w:p w:rsidR="00A9664B" w:rsidRPr="0016695A" w:rsidRDefault="00A9664B" w:rsidP="0016695A">
      <w:pPr>
        <w:pStyle w:val="ListParagraph"/>
        <w:ind w:left="1440" w:hanging="720"/>
        <w:jc w:val="both"/>
        <w:rPr>
          <w:rFonts w:ascii="Arial" w:hAnsi="Arial"/>
          <w:sz w:val="22"/>
          <w:szCs w:val="22"/>
        </w:rPr>
      </w:pPr>
      <w:r w:rsidRPr="0016695A">
        <w:rPr>
          <w:rFonts w:ascii="Arial" w:hAnsi="Arial"/>
          <w:sz w:val="22"/>
          <w:szCs w:val="22"/>
        </w:rPr>
        <w:t>If:</w:t>
      </w:r>
      <w:r w:rsidR="0016695A">
        <w:rPr>
          <w:rFonts w:ascii="Arial" w:hAnsi="Arial"/>
          <w:sz w:val="22"/>
          <w:szCs w:val="22"/>
        </w:rPr>
        <w:tab/>
      </w:r>
      <w:r w:rsidRPr="0016695A">
        <w:rPr>
          <w:rFonts w:ascii="Arial" w:hAnsi="Arial"/>
          <w:sz w:val="22"/>
          <w:szCs w:val="22"/>
        </w:rPr>
        <w:t>(a) under subsection (4AAA), the Minister proposes to revoke or vary a declaration under subsection 85(2) in relation to a drug or medicinal preparation; and</w:t>
      </w:r>
    </w:p>
    <w:p w:rsidR="00A9664B" w:rsidRPr="0016695A" w:rsidRDefault="00A9664B" w:rsidP="00993527">
      <w:pPr>
        <w:ind w:left="1440"/>
        <w:jc w:val="both"/>
        <w:rPr>
          <w:rFonts w:ascii="Arial" w:hAnsi="Arial"/>
          <w:sz w:val="22"/>
          <w:szCs w:val="22"/>
        </w:rPr>
      </w:pPr>
      <w:r w:rsidRPr="0016695A">
        <w:rPr>
          <w:rFonts w:ascii="Arial" w:hAnsi="Arial"/>
          <w:sz w:val="22"/>
          <w:szCs w:val="22"/>
        </w:rPr>
        <w:t xml:space="preserve">(b) </w:t>
      </w:r>
      <w:proofErr w:type="gramStart"/>
      <w:r w:rsidRPr="0016695A">
        <w:rPr>
          <w:rFonts w:ascii="Arial" w:hAnsi="Arial"/>
          <w:sz w:val="22"/>
          <w:szCs w:val="22"/>
        </w:rPr>
        <w:t>on</w:t>
      </w:r>
      <w:proofErr w:type="gramEnd"/>
      <w:r w:rsidRPr="0016695A">
        <w:rPr>
          <w:rFonts w:ascii="Arial" w:hAnsi="Arial"/>
          <w:sz w:val="22"/>
          <w:szCs w:val="22"/>
        </w:rPr>
        <w:t xml:space="preserve"> and after the day the revocation or variation comes into force, the drug or medicinal preparation would cease to be a listed drug;</w:t>
      </w:r>
    </w:p>
    <w:p w:rsidR="00A90093" w:rsidRPr="0016695A" w:rsidRDefault="00A90093" w:rsidP="00993527">
      <w:pPr>
        <w:ind w:left="720"/>
        <w:jc w:val="both"/>
        <w:rPr>
          <w:rFonts w:ascii="Arial" w:hAnsi="Arial"/>
          <w:sz w:val="22"/>
          <w:szCs w:val="22"/>
        </w:rPr>
      </w:pPr>
    </w:p>
    <w:p w:rsidR="00A9664B" w:rsidRPr="0016695A" w:rsidRDefault="00A9664B" w:rsidP="00993527">
      <w:pPr>
        <w:ind w:left="720"/>
        <w:jc w:val="both"/>
        <w:rPr>
          <w:rFonts w:ascii="Arial" w:hAnsi="Arial"/>
          <w:sz w:val="22"/>
          <w:szCs w:val="22"/>
        </w:rPr>
      </w:pPr>
      <w:proofErr w:type="gramStart"/>
      <w:r w:rsidRPr="0016695A">
        <w:rPr>
          <w:rFonts w:ascii="Arial" w:hAnsi="Arial"/>
          <w:sz w:val="22"/>
          <w:szCs w:val="22"/>
        </w:rPr>
        <w:t>then</w:t>
      </w:r>
      <w:proofErr w:type="gramEnd"/>
      <w:r w:rsidRPr="0016695A">
        <w:rPr>
          <w:rFonts w:ascii="Arial" w:hAnsi="Arial"/>
          <w:sz w:val="22"/>
          <w:szCs w:val="22"/>
        </w:rPr>
        <w:t>, before making the revocation or variation, the Minister must obtain the advice in writing of the Pharmaceutical Benefits Advisory Committee in relation to the proposed revocation or variation.</w:t>
      </w:r>
    </w:p>
    <w:p w:rsidR="00A9664B" w:rsidRPr="0016695A" w:rsidRDefault="00A9664B" w:rsidP="00882085">
      <w:pPr>
        <w:jc w:val="both"/>
        <w:rPr>
          <w:rFonts w:ascii="Arial" w:hAnsi="Arial"/>
          <w:sz w:val="22"/>
          <w:szCs w:val="22"/>
        </w:rPr>
      </w:pPr>
    </w:p>
    <w:p w:rsidR="00DD4ACB" w:rsidRPr="0016695A" w:rsidRDefault="00DD4ACB" w:rsidP="00923088">
      <w:pPr>
        <w:numPr>
          <w:ilvl w:val="1"/>
          <w:numId w:val="25"/>
        </w:numPr>
        <w:jc w:val="both"/>
        <w:rPr>
          <w:rFonts w:ascii="Arial" w:hAnsi="Arial"/>
          <w:sz w:val="22"/>
          <w:szCs w:val="22"/>
        </w:rPr>
      </w:pPr>
      <w:r w:rsidRPr="0016695A">
        <w:rPr>
          <w:rFonts w:ascii="Arial" w:hAnsi="Arial"/>
          <w:sz w:val="22"/>
          <w:szCs w:val="22"/>
        </w:rPr>
        <w:t xml:space="preserve">There have been 13 previous PBAC considerations of strontium </w:t>
      </w:r>
      <w:proofErr w:type="spellStart"/>
      <w:r w:rsidRPr="0016695A">
        <w:rPr>
          <w:rFonts w:ascii="Arial" w:hAnsi="Arial"/>
          <w:sz w:val="22"/>
          <w:szCs w:val="22"/>
        </w:rPr>
        <w:t>ranelate</w:t>
      </w:r>
      <w:proofErr w:type="spellEnd"/>
      <w:r w:rsidRPr="0016695A">
        <w:rPr>
          <w:rFonts w:ascii="Arial" w:hAnsi="Arial"/>
          <w:sz w:val="22"/>
          <w:szCs w:val="22"/>
        </w:rPr>
        <w:t xml:space="preserve">. At the July 2014 meeting, the PBAC indicated that it was inclined to recommend the delisting of strontium </w:t>
      </w:r>
      <w:proofErr w:type="spellStart"/>
      <w:r w:rsidRPr="0016695A">
        <w:rPr>
          <w:rFonts w:ascii="Arial" w:hAnsi="Arial"/>
          <w:sz w:val="22"/>
          <w:szCs w:val="22"/>
        </w:rPr>
        <w:t>ranelate</w:t>
      </w:r>
      <w:proofErr w:type="spellEnd"/>
      <w:r w:rsidRPr="0016695A">
        <w:rPr>
          <w:rFonts w:ascii="Arial" w:hAnsi="Arial"/>
          <w:sz w:val="22"/>
          <w:szCs w:val="22"/>
        </w:rPr>
        <w:t xml:space="preserve"> from the PBS. However, the PBAC </w:t>
      </w:r>
      <w:r w:rsidR="005C5893" w:rsidRPr="0016695A">
        <w:rPr>
          <w:rFonts w:ascii="Arial" w:hAnsi="Arial"/>
          <w:sz w:val="22"/>
          <w:szCs w:val="22"/>
        </w:rPr>
        <w:t xml:space="preserve">also </w:t>
      </w:r>
      <w:r w:rsidRPr="0016695A">
        <w:rPr>
          <w:rFonts w:ascii="Arial" w:hAnsi="Arial"/>
          <w:sz w:val="22"/>
          <w:szCs w:val="22"/>
        </w:rPr>
        <w:t xml:space="preserve">considered that it would be appropriate for the sponsor to </w:t>
      </w:r>
      <w:r w:rsidR="005C5893" w:rsidRPr="0016695A">
        <w:rPr>
          <w:rFonts w:ascii="Arial" w:hAnsi="Arial"/>
          <w:sz w:val="22"/>
          <w:szCs w:val="22"/>
        </w:rPr>
        <w:t xml:space="preserve">first </w:t>
      </w:r>
      <w:r w:rsidRPr="0016695A">
        <w:rPr>
          <w:rFonts w:ascii="Arial" w:hAnsi="Arial"/>
          <w:sz w:val="22"/>
          <w:szCs w:val="22"/>
        </w:rPr>
        <w:t xml:space="preserve">have the opportunity to establish the cost-effectiveness of strontium </w:t>
      </w:r>
      <w:proofErr w:type="spellStart"/>
      <w:r w:rsidRPr="0016695A">
        <w:rPr>
          <w:rFonts w:ascii="Arial" w:hAnsi="Arial"/>
          <w:sz w:val="22"/>
          <w:szCs w:val="22"/>
        </w:rPr>
        <w:t>ranelate</w:t>
      </w:r>
      <w:proofErr w:type="spellEnd"/>
      <w:r w:rsidRPr="0016695A">
        <w:rPr>
          <w:rFonts w:ascii="Arial" w:hAnsi="Arial"/>
          <w:sz w:val="22"/>
          <w:szCs w:val="22"/>
        </w:rPr>
        <w:t xml:space="preserve"> in a restricted PBS population (patients with severe established osteoporosis unable to use other treatments due to contraindication or intolerance).</w:t>
      </w:r>
    </w:p>
    <w:p w:rsidR="00DD4ACB" w:rsidRPr="0016695A" w:rsidRDefault="00DD4ACB" w:rsidP="00DD4ACB">
      <w:pPr>
        <w:ind w:left="720"/>
        <w:jc w:val="both"/>
        <w:rPr>
          <w:rFonts w:ascii="Arial" w:hAnsi="Arial"/>
          <w:sz w:val="22"/>
          <w:szCs w:val="22"/>
        </w:rPr>
      </w:pPr>
    </w:p>
    <w:p w:rsidR="00E31478" w:rsidRPr="0016695A" w:rsidRDefault="00DD4ACB" w:rsidP="00923088">
      <w:pPr>
        <w:numPr>
          <w:ilvl w:val="1"/>
          <w:numId w:val="25"/>
        </w:numPr>
        <w:jc w:val="both"/>
        <w:rPr>
          <w:rFonts w:ascii="Arial" w:hAnsi="Arial"/>
          <w:sz w:val="22"/>
          <w:szCs w:val="22"/>
        </w:rPr>
      </w:pPr>
      <w:r w:rsidRPr="0016695A">
        <w:rPr>
          <w:rFonts w:ascii="Arial" w:hAnsi="Arial"/>
          <w:sz w:val="22"/>
          <w:szCs w:val="22"/>
        </w:rPr>
        <w:t xml:space="preserve">At its most recent PBAC consideration in July 2015, the PBAC recommended that strontium </w:t>
      </w:r>
      <w:proofErr w:type="spellStart"/>
      <w:r w:rsidRPr="0016695A">
        <w:rPr>
          <w:rFonts w:ascii="Arial" w:hAnsi="Arial"/>
          <w:sz w:val="22"/>
          <w:szCs w:val="22"/>
        </w:rPr>
        <w:t>ranelate</w:t>
      </w:r>
      <w:proofErr w:type="spellEnd"/>
      <w:r w:rsidRPr="0016695A">
        <w:rPr>
          <w:rFonts w:ascii="Arial" w:hAnsi="Arial"/>
          <w:sz w:val="22"/>
          <w:szCs w:val="22"/>
        </w:rPr>
        <w:t xml:space="preserve"> remain listed on the PBS for the treatment of severe established osteoporosis in patients unable to use other osteoporosis medications and without cardiovascular contraindications. </w:t>
      </w:r>
    </w:p>
    <w:p w:rsidR="00E31478" w:rsidRPr="0016695A" w:rsidRDefault="00E31478" w:rsidP="00E31478">
      <w:pPr>
        <w:pStyle w:val="ListParagraph"/>
        <w:rPr>
          <w:rFonts w:ascii="Arial" w:hAnsi="Arial"/>
          <w:sz w:val="22"/>
          <w:szCs w:val="22"/>
        </w:rPr>
      </w:pPr>
    </w:p>
    <w:p w:rsidR="005C5893" w:rsidRPr="0016695A" w:rsidRDefault="005C5893" w:rsidP="00BE4B7F">
      <w:pPr>
        <w:numPr>
          <w:ilvl w:val="1"/>
          <w:numId w:val="25"/>
        </w:numPr>
        <w:jc w:val="both"/>
        <w:rPr>
          <w:rFonts w:ascii="Arial" w:hAnsi="Arial"/>
          <w:sz w:val="22"/>
          <w:szCs w:val="22"/>
        </w:rPr>
      </w:pPr>
      <w:r w:rsidRPr="0016695A">
        <w:rPr>
          <w:rFonts w:ascii="Arial" w:hAnsi="Arial"/>
          <w:sz w:val="22"/>
          <w:szCs w:val="22"/>
        </w:rPr>
        <w:t xml:space="preserve">The PBAC further considered that a pragmatic approach would be to recommend continued listing of strontium </w:t>
      </w:r>
      <w:proofErr w:type="spellStart"/>
      <w:r w:rsidRPr="0016695A">
        <w:rPr>
          <w:rFonts w:ascii="Arial" w:hAnsi="Arial"/>
          <w:sz w:val="22"/>
          <w:szCs w:val="22"/>
        </w:rPr>
        <w:t>ranelate</w:t>
      </w:r>
      <w:proofErr w:type="spellEnd"/>
      <w:r w:rsidRPr="0016695A">
        <w:rPr>
          <w:rFonts w:ascii="Arial" w:hAnsi="Arial"/>
          <w:sz w:val="22"/>
          <w:szCs w:val="22"/>
        </w:rPr>
        <w:t xml:space="preserve"> on the condition that the price is reduced such that the ICER would be less than </w:t>
      </w:r>
      <w:r w:rsidR="009E7B42" w:rsidRPr="009E7B42">
        <w:rPr>
          <w:rFonts w:ascii="Arial" w:hAnsi="Arial"/>
          <w:sz w:val="22"/>
          <w:szCs w:val="22"/>
        </w:rPr>
        <w:t>$</w:t>
      </w:r>
      <w:r w:rsidR="00BE4B7F" w:rsidRPr="009E7B42">
        <w:rPr>
          <w:rFonts w:ascii="Arial" w:hAnsi="Arial"/>
          <w:sz w:val="22"/>
          <w:szCs w:val="22"/>
        </w:rPr>
        <w:t>15,000- $45,000</w:t>
      </w:r>
      <w:r w:rsidRPr="0016695A">
        <w:rPr>
          <w:rFonts w:ascii="Arial" w:hAnsi="Arial"/>
          <w:sz w:val="22"/>
          <w:szCs w:val="22"/>
        </w:rPr>
        <w:t xml:space="preserve">/QALY. The PBAC considered that an ICER of less than </w:t>
      </w:r>
      <w:r w:rsidR="00BE4B7F" w:rsidRPr="009E7B42">
        <w:rPr>
          <w:rFonts w:ascii="Arial" w:hAnsi="Arial"/>
          <w:sz w:val="22"/>
          <w:szCs w:val="22"/>
        </w:rPr>
        <w:t>$15,000- $45,000</w:t>
      </w:r>
      <w:r w:rsidRPr="0016695A">
        <w:rPr>
          <w:rFonts w:ascii="Arial" w:hAnsi="Arial"/>
          <w:sz w:val="22"/>
          <w:szCs w:val="22"/>
        </w:rPr>
        <w:t xml:space="preserve">/QALY would be broadly in line with </w:t>
      </w:r>
      <w:r w:rsidRPr="0016695A">
        <w:rPr>
          <w:rFonts w:ascii="Arial" w:hAnsi="Arial"/>
          <w:sz w:val="22"/>
          <w:szCs w:val="22"/>
        </w:rPr>
        <w:lastRenderedPageBreak/>
        <w:t>previous PBAC considerations of drugs for this indication and in line with the ICER that the submission had initially proposed.</w:t>
      </w:r>
    </w:p>
    <w:p w:rsidR="005C5893" w:rsidRPr="0016695A" w:rsidRDefault="005C5893" w:rsidP="00E31478">
      <w:pPr>
        <w:pStyle w:val="ListParagraph"/>
        <w:rPr>
          <w:rFonts w:ascii="Arial" w:hAnsi="Arial"/>
          <w:sz w:val="22"/>
          <w:szCs w:val="22"/>
        </w:rPr>
      </w:pPr>
    </w:p>
    <w:p w:rsidR="005C5893" w:rsidRPr="0016695A" w:rsidRDefault="005C5893" w:rsidP="005C5893">
      <w:pPr>
        <w:numPr>
          <w:ilvl w:val="1"/>
          <w:numId w:val="25"/>
        </w:numPr>
        <w:jc w:val="both"/>
        <w:rPr>
          <w:rFonts w:ascii="Arial" w:hAnsi="Arial"/>
          <w:sz w:val="22"/>
          <w:szCs w:val="22"/>
        </w:rPr>
      </w:pPr>
      <w:r w:rsidRPr="0016695A">
        <w:rPr>
          <w:rFonts w:ascii="Arial" w:hAnsi="Arial"/>
          <w:sz w:val="22"/>
          <w:szCs w:val="22"/>
        </w:rPr>
        <w:t xml:space="preserve">A further reduction in the </w:t>
      </w:r>
      <w:r w:rsidR="0040488D">
        <w:rPr>
          <w:rFonts w:ascii="Arial" w:hAnsi="Arial"/>
          <w:sz w:val="22"/>
          <w:szCs w:val="22"/>
        </w:rPr>
        <w:t xml:space="preserve">offered </w:t>
      </w:r>
      <w:r w:rsidRPr="0016695A">
        <w:rPr>
          <w:rFonts w:ascii="Arial" w:hAnsi="Arial"/>
          <w:sz w:val="22"/>
          <w:szCs w:val="22"/>
        </w:rPr>
        <w:t>dispensed price for maximum quantity (DPMQ) price of $</w:t>
      </w:r>
      <w:r w:rsidR="006A03D9">
        <w:rPr>
          <w:rFonts w:ascii="Arial" w:hAnsi="Arial"/>
          <w:noProof/>
          <w:color w:val="000000"/>
          <w:sz w:val="22"/>
          <w:szCs w:val="22"/>
          <w:highlight w:val="black"/>
        </w:rPr>
        <w:t>'''''''''''''</w:t>
      </w:r>
      <w:r w:rsidRPr="0016695A">
        <w:rPr>
          <w:rFonts w:ascii="Arial" w:hAnsi="Arial"/>
          <w:sz w:val="22"/>
          <w:szCs w:val="22"/>
        </w:rPr>
        <w:t xml:space="preserve"> is required to achieve this ICER</w:t>
      </w:r>
      <w:r w:rsidR="0040488D">
        <w:rPr>
          <w:rFonts w:ascii="Arial" w:hAnsi="Arial"/>
          <w:sz w:val="22"/>
          <w:szCs w:val="22"/>
        </w:rPr>
        <w:t>.</w:t>
      </w:r>
      <w:r w:rsidRPr="0016695A">
        <w:rPr>
          <w:rFonts w:ascii="Arial" w:hAnsi="Arial"/>
          <w:sz w:val="22"/>
          <w:szCs w:val="22"/>
        </w:rPr>
        <w:t xml:space="preserve"> </w:t>
      </w:r>
    </w:p>
    <w:p w:rsidR="005C5893" w:rsidRPr="0016695A" w:rsidRDefault="005C5893" w:rsidP="00E31478">
      <w:pPr>
        <w:pStyle w:val="ListParagraph"/>
        <w:rPr>
          <w:rFonts w:ascii="Arial" w:hAnsi="Arial"/>
          <w:sz w:val="22"/>
          <w:szCs w:val="22"/>
        </w:rPr>
      </w:pPr>
    </w:p>
    <w:p w:rsidR="00E31478" w:rsidRPr="0016695A" w:rsidRDefault="00F575AC" w:rsidP="00923088">
      <w:pPr>
        <w:numPr>
          <w:ilvl w:val="1"/>
          <w:numId w:val="25"/>
        </w:numPr>
        <w:jc w:val="both"/>
        <w:rPr>
          <w:rFonts w:ascii="Arial" w:hAnsi="Arial"/>
          <w:sz w:val="22"/>
          <w:szCs w:val="22"/>
        </w:rPr>
      </w:pPr>
      <w:r w:rsidRPr="0016695A">
        <w:rPr>
          <w:rFonts w:ascii="Arial" w:hAnsi="Arial"/>
          <w:sz w:val="22"/>
          <w:szCs w:val="22"/>
        </w:rPr>
        <w:t>The following table outlines the results of the economic analysis from the July 2015 PBAC submission.</w:t>
      </w:r>
    </w:p>
    <w:p w:rsidR="00F575AC" w:rsidRDefault="00F575AC" w:rsidP="00F575AC">
      <w:pPr>
        <w:pStyle w:val="ListParagraph"/>
        <w:rPr>
          <w:rFonts w:ascii="Arial" w:hAnsi="Arial"/>
        </w:rPr>
      </w:pPr>
    </w:p>
    <w:p w:rsidR="00E31478" w:rsidRPr="00396166" w:rsidRDefault="00233084" w:rsidP="00E31478">
      <w:pPr>
        <w:pStyle w:val="ListParagraph"/>
        <w:rPr>
          <w:rFonts w:ascii="Arial Narrow" w:hAnsi="Arial Narrow"/>
          <w:b/>
          <w:sz w:val="20"/>
          <w:szCs w:val="20"/>
        </w:rPr>
      </w:pPr>
      <w:r w:rsidRPr="00396166">
        <w:rPr>
          <w:rFonts w:ascii="Arial Narrow" w:hAnsi="Arial Narrow"/>
          <w:b/>
          <w:sz w:val="20"/>
          <w:szCs w:val="20"/>
        </w:rPr>
        <w:t xml:space="preserve">Table 1: </w:t>
      </w:r>
      <w:r w:rsidR="00E31478" w:rsidRPr="00396166">
        <w:rPr>
          <w:rFonts w:ascii="Arial Narrow" w:hAnsi="Arial Narrow"/>
          <w:b/>
          <w:sz w:val="20"/>
          <w:szCs w:val="20"/>
        </w:rPr>
        <w:t>Results of economic analysis from July 2015 submission.</w:t>
      </w:r>
    </w:p>
    <w:tbl>
      <w:tblPr>
        <w:tblStyle w:val="TableGrid"/>
        <w:tblW w:w="0" w:type="auto"/>
        <w:tblInd w:w="817" w:type="dxa"/>
        <w:tblLook w:val="04A0" w:firstRow="1" w:lastRow="0" w:firstColumn="1" w:lastColumn="0" w:noHBand="0" w:noVBand="1"/>
        <w:tblCaption w:val="Table 1: Results of economic analysis from July 2015 submission."/>
      </w:tblPr>
      <w:tblGrid>
        <w:gridCol w:w="6662"/>
        <w:gridCol w:w="1701"/>
      </w:tblGrid>
      <w:tr w:rsidR="00E31478" w:rsidRPr="00396166" w:rsidTr="00DE6C24">
        <w:trPr>
          <w:tblHeader/>
        </w:trPr>
        <w:tc>
          <w:tcPr>
            <w:tcW w:w="6662" w:type="dxa"/>
          </w:tcPr>
          <w:p w:rsidR="00E31478" w:rsidRPr="00396166" w:rsidRDefault="00E31478" w:rsidP="00E31478">
            <w:pPr>
              <w:pStyle w:val="ListParagraph"/>
              <w:ind w:left="0"/>
              <w:rPr>
                <w:rFonts w:ascii="Arial Narrow" w:hAnsi="Arial Narrow"/>
                <w:b/>
                <w:sz w:val="20"/>
                <w:szCs w:val="20"/>
              </w:rPr>
            </w:pPr>
            <w:r w:rsidRPr="00396166">
              <w:rPr>
                <w:rFonts w:ascii="Arial Narrow" w:hAnsi="Arial Narrow"/>
                <w:b/>
                <w:sz w:val="20"/>
                <w:szCs w:val="20"/>
              </w:rPr>
              <w:t>Analysis</w:t>
            </w:r>
          </w:p>
        </w:tc>
        <w:tc>
          <w:tcPr>
            <w:tcW w:w="1701" w:type="dxa"/>
          </w:tcPr>
          <w:p w:rsidR="00E31478" w:rsidRPr="00396166" w:rsidRDefault="00E31478" w:rsidP="000209ED">
            <w:pPr>
              <w:pStyle w:val="ListParagraph"/>
              <w:ind w:left="0"/>
              <w:jc w:val="center"/>
              <w:rPr>
                <w:rFonts w:ascii="Arial Narrow" w:hAnsi="Arial Narrow"/>
                <w:b/>
                <w:sz w:val="20"/>
                <w:szCs w:val="20"/>
              </w:rPr>
            </w:pPr>
            <w:r w:rsidRPr="00396166">
              <w:rPr>
                <w:rFonts w:ascii="Arial Narrow" w:hAnsi="Arial Narrow"/>
                <w:b/>
                <w:sz w:val="20"/>
                <w:szCs w:val="20"/>
              </w:rPr>
              <w:t>ICER</w:t>
            </w:r>
          </w:p>
        </w:tc>
      </w:tr>
      <w:tr w:rsidR="00E31478" w:rsidRPr="00396166" w:rsidTr="00E31478">
        <w:tc>
          <w:tcPr>
            <w:tcW w:w="6662" w:type="dxa"/>
          </w:tcPr>
          <w:p w:rsidR="00E31478" w:rsidRPr="00396166" w:rsidRDefault="00E31478" w:rsidP="00E31478">
            <w:pPr>
              <w:pStyle w:val="ListParagraph"/>
              <w:ind w:left="0"/>
              <w:rPr>
                <w:rFonts w:ascii="Arial Narrow" w:hAnsi="Arial Narrow"/>
                <w:sz w:val="20"/>
                <w:szCs w:val="20"/>
              </w:rPr>
            </w:pPr>
            <w:r w:rsidRPr="00396166">
              <w:rPr>
                <w:rFonts w:ascii="Arial Narrow" w:hAnsi="Arial Narrow"/>
                <w:sz w:val="20"/>
                <w:szCs w:val="20"/>
              </w:rPr>
              <w:t>Submission base case.</w:t>
            </w:r>
          </w:p>
        </w:tc>
        <w:tc>
          <w:tcPr>
            <w:tcW w:w="1701" w:type="dxa"/>
          </w:tcPr>
          <w:p w:rsidR="00E31478" w:rsidRPr="00396166" w:rsidRDefault="00E31478" w:rsidP="000209ED">
            <w:pPr>
              <w:pStyle w:val="ListParagraph"/>
              <w:ind w:left="0"/>
              <w:jc w:val="center"/>
              <w:rPr>
                <w:rFonts w:ascii="Arial Narrow" w:hAnsi="Arial Narrow"/>
                <w:sz w:val="20"/>
                <w:szCs w:val="20"/>
              </w:rPr>
            </w:pPr>
            <w:r w:rsidRPr="00396166">
              <w:rPr>
                <w:rFonts w:ascii="Arial Narrow" w:hAnsi="Arial Narrow"/>
                <w:sz w:val="20"/>
                <w:szCs w:val="20"/>
              </w:rPr>
              <w:t>$</w:t>
            </w:r>
            <w:r w:rsidR="006A03D9">
              <w:rPr>
                <w:rFonts w:ascii="Arial Narrow" w:hAnsi="Arial Narrow"/>
                <w:noProof/>
                <w:color w:val="000000"/>
                <w:sz w:val="20"/>
                <w:szCs w:val="20"/>
                <w:highlight w:val="black"/>
              </w:rPr>
              <w:t>'''''''''''''''</w:t>
            </w:r>
          </w:p>
        </w:tc>
      </w:tr>
      <w:tr w:rsidR="00E31478" w:rsidRPr="00396166" w:rsidTr="00E31478">
        <w:tc>
          <w:tcPr>
            <w:tcW w:w="6662" w:type="dxa"/>
          </w:tcPr>
          <w:p w:rsidR="00E31478" w:rsidRPr="00396166" w:rsidRDefault="00E31478" w:rsidP="00E31478">
            <w:pPr>
              <w:pStyle w:val="ListParagraph"/>
              <w:ind w:left="0"/>
              <w:rPr>
                <w:rFonts w:ascii="Arial Narrow" w:hAnsi="Arial Narrow"/>
                <w:sz w:val="20"/>
                <w:szCs w:val="20"/>
              </w:rPr>
            </w:pPr>
            <w:r w:rsidRPr="00396166">
              <w:rPr>
                <w:rFonts w:ascii="Arial Narrow" w:hAnsi="Arial Narrow"/>
                <w:sz w:val="20"/>
                <w:szCs w:val="20"/>
              </w:rPr>
              <w:t>Commentary correction of errors, exclusion of non-significant effects and fracture recovery period of 3 years.</w:t>
            </w:r>
          </w:p>
        </w:tc>
        <w:tc>
          <w:tcPr>
            <w:tcW w:w="1701" w:type="dxa"/>
          </w:tcPr>
          <w:p w:rsidR="00E31478" w:rsidRPr="00396166" w:rsidRDefault="00E31478" w:rsidP="000209ED">
            <w:pPr>
              <w:pStyle w:val="ListParagraph"/>
              <w:ind w:left="0"/>
              <w:jc w:val="center"/>
              <w:rPr>
                <w:rFonts w:ascii="Arial Narrow" w:hAnsi="Arial Narrow"/>
                <w:sz w:val="20"/>
                <w:szCs w:val="20"/>
              </w:rPr>
            </w:pPr>
            <w:r w:rsidRPr="00396166">
              <w:rPr>
                <w:rFonts w:ascii="Arial Narrow" w:hAnsi="Arial Narrow"/>
                <w:sz w:val="20"/>
                <w:szCs w:val="20"/>
              </w:rPr>
              <w:t>$</w:t>
            </w:r>
            <w:r w:rsidR="006A03D9">
              <w:rPr>
                <w:rFonts w:ascii="Arial Narrow" w:hAnsi="Arial Narrow"/>
                <w:noProof/>
                <w:color w:val="000000"/>
                <w:sz w:val="20"/>
                <w:szCs w:val="20"/>
                <w:highlight w:val="black"/>
              </w:rPr>
              <w:t>''''''''''''''''</w:t>
            </w:r>
          </w:p>
        </w:tc>
      </w:tr>
      <w:tr w:rsidR="00E31478" w:rsidRPr="00396166" w:rsidTr="00E31478">
        <w:tc>
          <w:tcPr>
            <w:tcW w:w="6662" w:type="dxa"/>
          </w:tcPr>
          <w:p w:rsidR="00E31478" w:rsidRPr="009E7B42" w:rsidRDefault="00E31478" w:rsidP="00E31478">
            <w:pPr>
              <w:pStyle w:val="ListParagraph"/>
              <w:ind w:left="0"/>
              <w:rPr>
                <w:rFonts w:ascii="Arial Narrow" w:hAnsi="Arial Narrow"/>
                <w:sz w:val="20"/>
                <w:szCs w:val="20"/>
              </w:rPr>
            </w:pPr>
            <w:r w:rsidRPr="009E7B42">
              <w:rPr>
                <w:rFonts w:ascii="Arial Narrow" w:hAnsi="Arial Narrow"/>
                <w:sz w:val="20"/>
                <w:szCs w:val="20"/>
              </w:rPr>
              <w:t xml:space="preserve">Pre-Sub-Committee Response </w:t>
            </w:r>
            <w:r w:rsidR="006A03D9">
              <w:rPr>
                <w:rFonts w:ascii="Arial Narrow" w:hAnsi="Arial Narrow"/>
                <w:noProof/>
                <w:color w:val="000000"/>
                <w:sz w:val="20"/>
                <w:szCs w:val="20"/>
                <w:highlight w:val="black"/>
              </w:rPr>
              <w:t>''''''</w:t>
            </w:r>
            <w:r w:rsidRPr="009E7B42">
              <w:rPr>
                <w:rFonts w:ascii="Arial Narrow" w:hAnsi="Arial Narrow"/>
                <w:sz w:val="20"/>
                <w:szCs w:val="20"/>
              </w:rPr>
              <w:t>% price reduction of DPMQ to $</w:t>
            </w:r>
            <w:r w:rsidR="006A03D9">
              <w:rPr>
                <w:rFonts w:ascii="Arial Narrow" w:hAnsi="Arial Narrow"/>
                <w:noProof/>
                <w:color w:val="000000"/>
                <w:sz w:val="20"/>
                <w:szCs w:val="20"/>
                <w:highlight w:val="black"/>
              </w:rPr>
              <w:t>''''''''''''''</w:t>
            </w:r>
            <w:r w:rsidRPr="009E7B42">
              <w:rPr>
                <w:rFonts w:ascii="Arial Narrow" w:hAnsi="Arial Narrow"/>
                <w:sz w:val="20"/>
                <w:szCs w:val="20"/>
              </w:rPr>
              <w:t>.</w:t>
            </w:r>
          </w:p>
        </w:tc>
        <w:tc>
          <w:tcPr>
            <w:tcW w:w="1701" w:type="dxa"/>
          </w:tcPr>
          <w:p w:rsidR="00E31478" w:rsidRPr="00396166" w:rsidRDefault="00E31478" w:rsidP="000209ED">
            <w:pPr>
              <w:pStyle w:val="ListParagraph"/>
              <w:ind w:left="0"/>
              <w:jc w:val="center"/>
              <w:rPr>
                <w:rFonts w:ascii="Arial Narrow" w:hAnsi="Arial Narrow"/>
                <w:sz w:val="20"/>
                <w:szCs w:val="20"/>
              </w:rPr>
            </w:pPr>
            <w:r w:rsidRPr="00396166">
              <w:rPr>
                <w:rFonts w:ascii="Arial Narrow" w:hAnsi="Arial Narrow"/>
                <w:sz w:val="20"/>
                <w:szCs w:val="20"/>
              </w:rPr>
              <w:t>$</w:t>
            </w:r>
            <w:r w:rsidR="006A03D9">
              <w:rPr>
                <w:rFonts w:ascii="Arial Narrow" w:hAnsi="Arial Narrow"/>
                <w:noProof/>
                <w:color w:val="000000"/>
                <w:sz w:val="20"/>
                <w:szCs w:val="20"/>
                <w:highlight w:val="black"/>
              </w:rPr>
              <w:t>''''''''''''''''</w:t>
            </w:r>
          </w:p>
        </w:tc>
      </w:tr>
      <w:tr w:rsidR="00E31478" w:rsidRPr="00396166" w:rsidTr="00E31478">
        <w:tc>
          <w:tcPr>
            <w:tcW w:w="6662" w:type="dxa"/>
          </w:tcPr>
          <w:p w:rsidR="00E31478" w:rsidRPr="009E7B42" w:rsidRDefault="00E31478" w:rsidP="001B238F">
            <w:pPr>
              <w:pStyle w:val="ListParagraph"/>
              <w:ind w:left="0"/>
              <w:rPr>
                <w:rFonts w:ascii="Arial Narrow" w:hAnsi="Arial Narrow"/>
                <w:sz w:val="20"/>
                <w:szCs w:val="20"/>
              </w:rPr>
            </w:pPr>
            <w:r w:rsidRPr="009E7B42">
              <w:rPr>
                <w:rFonts w:ascii="Arial Narrow" w:hAnsi="Arial Narrow"/>
                <w:sz w:val="20"/>
                <w:szCs w:val="20"/>
              </w:rPr>
              <w:t>Pre-PBAC</w:t>
            </w:r>
            <w:r w:rsidR="00BA7A8B" w:rsidRPr="009E7B42">
              <w:rPr>
                <w:rFonts w:ascii="Arial Narrow" w:hAnsi="Arial Narrow"/>
                <w:sz w:val="20"/>
                <w:szCs w:val="20"/>
              </w:rPr>
              <w:t xml:space="preserve"> response</w:t>
            </w:r>
            <w:r w:rsidRPr="009E7B42">
              <w:rPr>
                <w:rFonts w:ascii="Arial Narrow" w:hAnsi="Arial Narrow"/>
                <w:sz w:val="20"/>
                <w:szCs w:val="20"/>
              </w:rPr>
              <w:t xml:space="preserve"> </w:t>
            </w:r>
            <w:r w:rsidR="006A03D9">
              <w:rPr>
                <w:rFonts w:ascii="Arial Narrow" w:hAnsi="Arial Narrow"/>
                <w:noProof/>
                <w:color w:val="000000"/>
                <w:sz w:val="20"/>
                <w:szCs w:val="20"/>
                <w:highlight w:val="black"/>
              </w:rPr>
              <w:t>''''''''''</w:t>
            </w:r>
            <w:r w:rsidRPr="009E7B42">
              <w:rPr>
                <w:rFonts w:ascii="Arial Narrow" w:hAnsi="Arial Narrow"/>
                <w:sz w:val="20"/>
                <w:szCs w:val="20"/>
              </w:rPr>
              <w:t>% price reduction of DPMQ to $</w:t>
            </w:r>
            <w:r w:rsidR="006A03D9">
              <w:rPr>
                <w:rFonts w:ascii="Arial Narrow" w:hAnsi="Arial Narrow"/>
                <w:noProof/>
                <w:color w:val="000000"/>
                <w:sz w:val="20"/>
                <w:szCs w:val="20"/>
                <w:highlight w:val="black"/>
              </w:rPr>
              <w:t>''''''''''''''</w:t>
            </w:r>
            <w:r w:rsidRPr="009E7B42">
              <w:rPr>
                <w:rFonts w:ascii="Arial Narrow" w:hAnsi="Arial Narrow"/>
                <w:sz w:val="20"/>
                <w:szCs w:val="20"/>
              </w:rPr>
              <w:t>.</w:t>
            </w:r>
          </w:p>
        </w:tc>
        <w:tc>
          <w:tcPr>
            <w:tcW w:w="1701" w:type="dxa"/>
          </w:tcPr>
          <w:p w:rsidR="00E31478" w:rsidRPr="00396166" w:rsidRDefault="00E31478" w:rsidP="000209ED">
            <w:pPr>
              <w:pStyle w:val="ListParagraph"/>
              <w:ind w:left="0"/>
              <w:jc w:val="center"/>
              <w:rPr>
                <w:rFonts w:ascii="Arial Narrow" w:hAnsi="Arial Narrow"/>
                <w:sz w:val="20"/>
                <w:szCs w:val="20"/>
              </w:rPr>
            </w:pPr>
            <w:r w:rsidRPr="00396166">
              <w:rPr>
                <w:rFonts w:ascii="Arial Narrow" w:hAnsi="Arial Narrow"/>
                <w:sz w:val="20"/>
                <w:szCs w:val="20"/>
              </w:rPr>
              <w:t>$</w:t>
            </w:r>
            <w:r w:rsidR="006A03D9">
              <w:rPr>
                <w:rFonts w:ascii="Arial Narrow" w:hAnsi="Arial Narrow"/>
                <w:noProof/>
                <w:color w:val="000000"/>
                <w:sz w:val="20"/>
                <w:szCs w:val="20"/>
                <w:highlight w:val="black"/>
              </w:rPr>
              <w:t>'''''''''''''''</w:t>
            </w:r>
          </w:p>
        </w:tc>
      </w:tr>
    </w:tbl>
    <w:p w:rsidR="00E31478" w:rsidRPr="00396166" w:rsidRDefault="005C5893" w:rsidP="00E31478">
      <w:pPr>
        <w:pStyle w:val="ListParagraph"/>
        <w:rPr>
          <w:rFonts w:ascii="Arial Narrow" w:hAnsi="Arial Narrow"/>
          <w:sz w:val="20"/>
          <w:szCs w:val="20"/>
        </w:rPr>
      </w:pPr>
      <w:r w:rsidRPr="00396166">
        <w:rPr>
          <w:rFonts w:ascii="Arial Narrow" w:hAnsi="Arial Narrow"/>
          <w:sz w:val="20"/>
          <w:szCs w:val="20"/>
        </w:rPr>
        <w:t>DPMQ= dispensed price for maximum quantity</w:t>
      </w:r>
    </w:p>
    <w:p w:rsidR="005C5893" w:rsidRPr="0016695A" w:rsidRDefault="005C5893" w:rsidP="00E31478">
      <w:pPr>
        <w:pStyle w:val="ListParagraph"/>
        <w:rPr>
          <w:rFonts w:ascii="Arial" w:hAnsi="Arial"/>
          <w:sz w:val="22"/>
        </w:rPr>
      </w:pPr>
    </w:p>
    <w:p w:rsidR="000209ED" w:rsidRPr="0016695A" w:rsidRDefault="000209ED" w:rsidP="00E31478">
      <w:pPr>
        <w:ind w:left="720"/>
        <w:jc w:val="both"/>
        <w:rPr>
          <w:rFonts w:ascii="Arial" w:hAnsi="Arial"/>
          <w:sz w:val="22"/>
        </w:rPr>
      </w:pPr>
    </w:p>
    <w:p w:rsidR="000209ED" w:rsidRPr="0016695A" w:rsidRDefault="000209ED" w:rsidP="00D1689E">
      <w:pPr>
        <w:pStyle w:val="Heading1"/>
      </w:pPr>
      <w:r w:rsidRPr="0016695A">
        <w:t>Current situation</w:t>
      </w:r>
    </w:p>
    <w:p w:rsidR="000209ED" w:rsidRPr="0016695A" w:rsidRDefault="000209ED" w:rsidP="00E31478">
      <w:pPr>
        <w:ind w:left="720"/>
        <w:jc w:val="both"/>
        <w:rPr>
          <w:rFonts w:ascii="Arial" w:hAnsi="Arial"/>
          <w:sz w:val="22"/>
        </w:rPr>
      </w:pPr>
    </w:p>
    <w:p w:rsidR="00DD4ACB" w:rsidRPr="0016695A" w:rsidRDefault="00BA7A8B" w:rsidP="00923088">
      <w:pPr>
        <w:numPr>
          <w:ilvl w:val="1"/>
          <w:numId w:val="25"/>
        </w:numPr>
        <w:jc w:val="both"/>
        <w:rPr>
          <w:rFonts w:ascii="Arial" w:hAnsi="Arial"/>
          <w:sz w:val="22"/>
        </w:rPr>
      </w:pPr>
      <w:r w:rsidRPr="0016695A">
        <w:rPr>
          <w:rFonts w:ascii="Arial" w:hAnsi="Arial"/>
          <w:sz w:val="22"/>
        </w:rPr>
        <w:t xml:space="preserve">During post-PBAC pricing negotiations between the Department and the sponsor, </w:t>
      </w:r>
      <w:proofErr w:type="spellStart"/>
      <w:r w:rsidRPr="0016695A">
        <w:rPr>
          <w:rFonts w:ascii="Arial" w:hAnsi="Arial"/>
          <w:sz w:val="22"/>
        </w:rPr>
        <w:t>Servier</w:t>
      </w:r>
      <w:proofErr w:type="spellEnd"/>
      <w:r w:rsidRPr="0016695A">
        <w:rPr>
          <w:rFonts w:ascii="Arial" w:hAnsi="Arial"/>
          <w:sz w:val="22"/>
        </w:rPr>
        <w:t xml:space="preserve"> advised that the pre-PBAC response offer of DPMQ $</w:t>
      </w:r>
      <w:r w:rsidR="006A03D9">
        <w:rPr>
          <w:rFonts w:ascii="Arial" w:hAnsi="Arial"/>
          <w:noProof/>
          <w:color w:val="000000"/>
          <w:sz w:val="22"/>
          <w:highlight w:val="black"/>
        </w:rPr>
        <w:t>'''''''''''''</w:t>
      </w:r>
      <w:r w:rsidRPr="0016695A">
        <w:rPr>
          <w:rFonts w:ascii="Arial" w:hAnsi="Arial"/>
          <w:sz w:val="22"/>
        </w:rPr>
        <w:t xml:space="preserve"> per pack of 28 sachets remains the</w:t>
      </w:r>
      <w:r w:rsidR="00166E8F" w:rsidRPr="0016695A">
        <w:rPr>
          <w:rFonts w:ascii="Arial" w:hAnsi="Arial"/>
          <w:sz w:val="22"/>
        </w:rPr>
        <w:t>ir</w:t>
      </w:r>
      <w:r w:rsidRPr="0016695A">
        <w:rPr>
          <w:rFonts w:ascii="Arial" w:hAnsi="Arial"/>
          <w:sz w:val="22"/>
        </w:rPr>
        <w:t xml:space="preserve"> best proposal.</w:t>
      </w:r>
      <w:r w:rsidR="00166E8F" w:rsidRPr="0016695A">
        <w:rPr>
          <w:rFonts w:ascii="Arial" w:hAnsi="Arial"/>
          <w:sz w:val="22"/>
        </w:rPr>
        <w:t xml:space="preserve"> </w:t>
      </w:r>
    </w:p>
    <w:p w:rsidR="00166E8F" w:rsidRPr="0016695A" w:rsidRDefault="00166E8F" w:rsidP="00166E8F">
      <w:pPr>
        <w:pStyle w:val="ListParagraph"/>
        <w:rPr>
          <w:rFonts w:ascii="Arial" w:hAnsi="Arial"/>
          <w:sz w:val="22"/>
        </w:rPr>
      </w:pPr>
    </w:p>
    <w:p w:rsidR="00166E8F" w:rsidRPr="0016695A" w:rsidRDefault="005C5893" w:rsidP="00166E8F">
      <w:pPr>
        <w:numPr>
          <w:ilvl w:val="1"/>
          <w:numId w:val="25"/>
        </w:numPr>
        <w:jc w:val="both"/>
        <w:rPr>
          <w:rFonts w:ascii="Arial" w:hAnsi="Arial"/>
          <w:sz w:val="22"/>
        </w:rPr>
      </w:pPr>
      <w:r w:rsidRPr="0016695A">
        <w:rPr>
          <w:rFonts w:ascii="Arial" w:hAnsi="Arial"/>
          <w:sz w:val="22"/>
        </w:rPr>
        <w:t>As this price results in an ICER that is not consistent with the PBAC recommendation, o</w:t>
      </w:r>
      <w:r w:rsidR="00166E8F" w:rsidRPr="0016695A">
        <w:rPr>
          <w:rFonts w:ascii="Arial" w:hAnsi="Arial"/>
          <w:sz w:val="22"/>
        </w:rPr>
        <w:t xml:space="preserve">n 17 September 2015, the Department notified the sponsor of the Minister’s </w:t>
      </w:r>
      <w:r w:rsidRPr="0016695A">
        <w:rPr>
          <w:rFonts w:ascii="Arial" w:hAnsi="Arial"/>
          <w:sz w:val="22"/>
        </w:rPr>
        <w:t>(through the Delegate)</w:t>
      </w:r>
      <w:r w:rsidR="00166E8F" w:rsidRPr="0016695A">
        <w:rPr>
          <w:rFonts w:ascii="Arial" w:hAnsi="Arial"/>
          <w:sz w:val="22"/>
        </w:rPr>
        <w:t xml:space="preserve"> intention to </w:t>
      </w:r>
      <w:r w:rsidRPr="0016695A">
        <w:rPr>
          <w:rFonts w:ascii="Arial" w:hAnsi="Arial"/>
          <w:sz w:val="22"/>
        </w:rPr>
        <w:t>consider revoking</w:t>
      </w:r>
      <w:r w:rsidR="00166E8F" w:rsidRPr="0016695A">
        <w:rPr>
          <w:rFonts w:ascii="Arial" w:hAnsi="Arial"/>
          <w:sz w:val="22"/>
        </w:rPr>
        <w:t xml:space="preserve"> the declaration that strontium is a drug to which Part VII of the Act applies. </w:t>
      </w:r>
      <w:r w:rsidR="000209ED" w:rsidRPr="0016695A">
        <w:rPr>
          <w:rFonts w:ascii="Arial" w:hAnsi="Arial"/>
          <w:sz w:val="22"/>
        </w:rPr>
        <w:t xml:space="preserve">The sponsor was also requested to provide any additional information for PBAC consideration </w:t>
      </w:r>
      <w:r w:rsidRPr="0016695A">
        <w:rPr>
          <w:rFonts w:ascii="Arial" w:hAnsi="Arial"/>
          <w:sz w:val="22"/>
        </w:rPr>
        <w:t xml:space="preserve">alongside the Minister’s </w:t>
      </w:r>
      <w:r w:rsidR="006A284C" w:rsidRPr="0016695A">
        <w:rPr>
          <w:rFonts w:ascii="Arial" w:hAnsi="Arial"/>
          <w:sz w:val="22"/>
        </w:rPr>
        <w:t>request for advice under Section 101(4AAB) of the Act.</w:t>
      </w:r>
    </w:p>
    <w:p w:rsidR="00734033" w:rsidRPr="0016695A" w:rsidRDefault="00734033" w:rsidP="00734033">
      <w:pPr>
        <w:pStyle w:val="ListParagraph"/>
        <w:rPr>
          <w:rFonts w:ascii="Arial" w:hAnsi="Arial"/>
          <w:sz w:val="22"/>
        </w:rPr>
      </w:pPr>
    </w:p>
    <w:p w:rsidR="00734033" w:rsidRPr="0016695A" w:rsidRDefault="006A284C" w:rsidP="00BE4B7F">
      <w:pPr>
        <w:numPr>
          <w:ilvl w:val="1"/>
          <w:numId w:val="25"/>
        </w:numPr>
        <w:jc w:val="both"/>
        <w:rPr>
          <w:rFonts w:ascii="Arial" w:hAnsi="Arial"/>
          <w:sz w:val="22"/>
        </w:rPr>
      </w:pPr>
      <w:proofErr w:type="spellStart"/>
      <w:r w:rsidRPr="0016695A">
        <w:rPr>
          <w:rFonts w:ascii="Arial" w:hAnsi="Arial"/>
          <w:sz w:val="22"/>
        </w:rPr>
        <w:t>Servier’s</w:t>
      </w:r>
      <w:proofErr w:type="spellEnd"/>
      <w:r w:rsidR="00734033" w:rsidRPr="0016695A">
        <w:rPr>
          <w:rFonts w:ascii="Arial" w:hAnsi="Arial"/>
          <w:sz w:val="22"/>
        </w:rPr>
        <w:t xml:space="preserve"> response </w:t>
      </w:r>
      <w:r w:rsidRPr="0016695A">
        <w:rPr>
          <w:rFonts w:ascii="Arial" w:hAnsi="Arial"/>
          <w:sz w:val="22"/>
        </w:rPr>
        <w:t xml:space="preserve">of 8 October 2015, </w:t>
      </w:r>
      <w:r w:rsidR="00734033" w:rsidRPr="0016695A">
        <w:rPr>
          <w:rFonts w:ascii="Arial" w:hAnsi="Arial"/>
          <w:sz w:val="22"/>
        </w:rPr>
        <w:t>noted that the July 2015 PBAC minutes regarding strontium indicate that</w:t>
      </w:r>
      <w:r w:rsidR="0040488D">
        <w:rPr>
          <w:rFonts w:ascii="Arial" w:hAnsi="Arial"/>
          <w:sz w:val="22"/>
        </w:rPr>
        <w:t>,</w:t>
      </w:r>
      <w:r w:rsidR="00734033" w:rsidRPr="0016695A">
        <w:rPr>
          <w:rFonts w:ascii="Arial" w:hAnsi="Arial"/>
          <w:sz w:val="22"/>
        </w:rPr>
        <w:t xml:space="preserve"> in a small and declining patient population, strontium is the only treatment option for severe osteoporosis. The response further reiterated the figures presented to the July 2015 PBAC (</w:t>
      </w:r>
      <w:r w:rsidR="00734033" w:rsidRPr="009E7B42">
        <w:rPr>
          <w:rFonts w:ascii="Arial" w:hAnsi="Arial"/>
          <w:sz w:val="22"/>
        </w:rPr>
        <w:t>DPMQ $</w:t>
      </w:r>
      <w:r w:rsidR="006A03D9">
        <w:rPr>
          <w:rFonts w:ascii="Arial" w:hAnsi="Arial"/>
          <w:noProof/>
          <w:color w:val="000000"/>
          <w:sz w:val="22"/>
          <w:highlight w:val="black"/>
        </w:rPr>
        <w:t>''''''''''''''</w:t>
      </w:r>
      <w:r w:rsidR="00734033" w:rsidRPr="0016695A">
        <w:rPr>
          <w:rFonts w:ascii="Arial" w:hAnsi="Arial"/>
          <w:sz w:val="22"/>
        </w:rPr>
        <w:t xml:space="preserve"> per pack of 28 sachets maintaining an ICER of</w:t>
      </w:r>
      <w:r w:rsidR="00DE6C24">
        <w:rPr>
          <w:rFonts w:ascii="Arial" w:hAnsi="Arial"/>
          <w:sz w:val="22"/>
        </w:rPr>
        <w:t xml:space="preserve"> </w:t>
      </w:r>
      <w:r w:rsidR="00BE4B7F" w:rsidRPr="00BE4B7F">
        <w:rPr>
          <w:rFonts w:ascii="Arial" w:hAnsi="Arial"/>
          <w:sz w:val="22"/>
        </w:rPr>
        <w:t>$45,000</w:t>
      </w:r>
      <w:r w:rsidR="00A73CD0">
        <w:rPr>
          <w:rFonts w:ascii="Arial" w:hAnsi="Arial"/>
          <w:sz w:val="22"/>
        </w:rPr>
        <w:t>/QALY</w:t>
      </w:r>
      <w:r w:rsidR="00BE4B7F" w:rsidRPr="00BE4B7F">
        <w:rPr>
          <w:rFonts w:ascii="Arial" w:hAnsi="Arial"/>
          <w:sz w:val="22"/>
        </w:rPr>
        <w:t xml:space="preserve"> – $75,000</w:t>
      </w:r>
      <w:r w:rsidR="00A73CD0">
        <w:rPr>
          <w:rFonts w:ascii="Arial" w:hAnsi="Arial"/>
          <w:sz w:val="22"/>
        </w:rPr>
        <w:t>/</w:t>
      </w:r>
      <w:r w:rsidR="00734033" w:rsidRPr="0016695A">
        <w:rPr>
          <w:rFonts w:ascii="Arial" w:hAnsi="Arial"/>
          <w:sz w:val="22"/>
        </w:rPr>
        <w:t xml:space="preserve">QALY) for the continued listing of strontium </w:t>
      </w:r>
      <w:proofErr w:type="spellStart"/>
      <w:r w:rsidR="00734033" w:rsidRPr="0016695A">
        <w:rPr>
          <w:rFonts w:ascii="Arial" w:hAnsi="Arial"/>
          <w:sz w:val="22"/>
        </w:rPr>
        <w:t>ranelate</w:t>
      </w:r>
      <w:proofErr w:type="spellEnd"/>
      <w:r w:rsidR="00734033" w:rsidRPr="0016695A">
        <w:rPr>
          <w:rFonts w:ascii="Arial" w:hAnsi="Arial"/>
          <w:sz w:val="22"/>
        </w:rPr>
        <w:t xml:space="preserve"> on the PBS.</w:t>
      </w:r>
    </w:p>
    <w:p w:rsidR="00734033" w:rsidRPr="0016695A" w:rsidRDefault="00734033" w:rsidP="00734033">
      <w:pPr>
        <w:pStyle w:val="ListParagraph"/>
        <w:rPr>
          <w:rFonts w:ascii="Arial" w:hAnsi="Arial"/>
          <w:sz w:val="22"/>
        </w:rPr>
      </w:pPr>
    </w:p>
    <w:p w:rsidR="00233084" w:rsidRPr="0016695A" w:rsidRDefault="00233084" w:rsidP="00233084">
      <w:pPr>
        <w:numPr>
          <w:ilvl w:val="1"/>
          <w:numId w:val="25"/>
        </w:numPr>
        <w:jc w:val="both"/>
        <w:rPr>
          <w:rFonts w:ascii="Arial" w:hAnsi="Arial"/>
          <w:sz w:val="22"/>
        </w:rPr>
      </w:pPr>
      <w:r w:rsidRPr="0016695A">
        <w:rPr>
          <w:rFonts w:ascii="Arial" w:hAnsi="Arial"/>
          <w:sz w:val="22"/>
        </w:rPr>
        <w:t>Medicare statistics for strontium have been compiled in the following tables</w:t>
      </w:r>
      <w:r w:rsidR="00734033" w:rsidRPr="0016695A">
        <w:rPr>
          <w:rFonts w:ascii="Arial" w:hAnsi="Arial"/>
          <w:sz w:val="22"/>
        </w:rPr>
        <w:t xml:space="preserve"> and </w:t>
      </w:r>
      <w:r w:rsidR="003165AF" w:rsidRPr="0016695A">
        <w:rPr>
          <w:rFonts w:ascii="Arial" w:hAnsi="Arial"/>
          <w:sz w:val="22"/>
        </w:rPr>
        <w:t>figures</w:t>
      </w:r>
      <w:r w:rsidRPr="0016695A">
        <w:rPr>
          <w:rFonts w:ascii="Arial" w:hAnsi="Arial"/>
          <w:sz w:val="22"/>
        </w:rPr>
        <w:t>.</w:t>
      </w:r>
    </w:p>
    <w:p w:rsidR="00233084" w:rsidRDefault="00233084" w:rsidP="00166E8F">
      <w:pPr>
        <w:pStyle w:val="ListParagraph"/>
        <w:rPr>
          <w:rFonts w:ascii="Arial" w:hAnsi="Arial"/>
        </w:rPr>
      </w:pPr>
    </w:p>
    <w:p w:rsidR="00233084" w:rsidRPr="00396166" w:rsidRDefault="00233084" w:rsidP="00233084">
      <w:pPr>
        <w:pStyle w:val="ListParagraph"/>
        <w:rPr>
          <w:rFonts w:ascii="Arial Narrow" w:hAnsi="Arial Narrow"/>
          <w:b/>
          <w:sz w:val="20"/>
        </w:rPr>
      </w:pPr>
      <w:r w:rsidRPr="00396166">
        <w:rPr>
          <w:rFonts w:ascii="Arial Narrow" w:hAnsi="Arial Narrow"/>
          <w:b/>
          <w:sz w:val="20"/>
        </w:rPr>
        <w:t>Table 2</w:t>
      </w:r>
      <w:r w:rsidR="003165AF" w:rsidRPr="00396166">
        <w:rPr>
          <w:rFonts w:ascii="Arial Narrow" w:hAnsi="Arial Narrow"/>
          <w:b/>
          <w:sz w:val="20"/>
        </w:rPr>
        <w:t xml:space="preserve"> and Figure 1</w:t>
      </w:r>
      <w:r w:rsidRPr="00396166">
        <w:rPr>
          <w:rFonts w:ascii="Arial Narrow" w:hAnsi="Arial Narrow"/>
          <w:b/>
          <w:sz w:val="20"/>
        </w:rPr>
        <w:t xml:space="preserve">: Medicare statistics - strontium </w:t>
      </w:r>
      <w:proofErr w:type="spellStart"/>
      <w:r w:rsidR="00734033" w:rsidRPr="00396166">
        <w:rPr>
          <w:rFonts w:ascii="Arial Narrow" w:hAnsi="Arial Narrow"/>
          <w:b/>
          <w:sz w:val="20"/>
        </w:rPr>
        <w:t>ranelate</w:t>
      </w:r>
      <w:proofErr w:type="spellEnd"/>
      <w:r w:rsidR="00734033" w:rsidRPr="00396166">
        <w:rPr>
          <w:rFonts w:ascii="Arial Narrow" w:hAnsi="Arial Narrow"/>
          <w:b/>
          <w:sz w:val="20"/>
        </w:rPr>
        <w:t xml:space="preserve"> </w:t>
      </w:r>
      <w:r w:rsidRPr="00396166">
        <w:rPr>
          <w:rFonts w:ascii="Arial Narrow" w:hAnsi="Arial Narrow"/>
          <w:b/>
          <w:sz w:val="20"/>
        </w:rPr>
        <w:t>services.</w:t>
      </w:r>
    </w:p>
    <w:tbl>
      <w:tblPr>
        <w:tblW w:w="8363" w:type="dxa"/>
        <w:tblInd w:w="817" w:type="dxa"/>
        <w:tblLook w:val="04A0" w:firstRow="1" w:lastRow="0" w:firstColumn="1" w:lastColumn="0" w:noHBand="0" w:noVBand="1"/>
      </w:tblPr>
      <w:tblGrid>
        <w:gridCol w:w="2268"/>
        <w:gridCol w:w="1985"/>
        <w:gridCol w:w="1984"/>
        <w:gridCol w:w="2126"/>
      </w:tblGrid>
      <w:tr w:rsidR="00233084" w:rsidRPr="00396166" w:rsidTr="007002BA">
        <w:trPr>
          <w:trHeight w:val="30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084" w:rsidRPr="00396166" w:rsidRDefault="00233084" w:rsidP="007002BA">
            <w:pPr>
              <w:rPr>
                <w:rFonts w:ascii="Arial Narrow" w:hAnsi="Arial Narrow"/>
                <w:b/>
                <w:sz w:val="20"/>
              </w:rPr>
            </w:pPr>
            <w:r w:rsidRPr="00396166">
              <w:rPr>
                <w:rFonts w:ascii="Arial Narrow" w:hAnsi="Arial Narrow"/>
                <w:b/>
                <w:sz w:val="20"/>
              </w:rPr>
              <w:t>3036T (services)</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233084" w:rsidRPr="00396166" w:rsidRDefault="00233084" w:rsidP="007002BA">
            <w:pPr>
              <w:jc w:val="center"/>
              <w:rPr>
                <w:rFonts w:ascii="Arial Narrow" w:hAnsi="Arial Narrow"/>
                <w:b/>
                <w:sz w:val="20"/>
              </w:rPr>
            </w:pPr>
            <w:r w:rsidRPr="00396166">
              <w:rPr>
                <w:rFonts w:ascii="Arial Narrow" w:hAnsi="Arial Narrow"/>
                <w:b/>
                <w:sz w:val="20"/>
              </w:rPr>
              <w:t>Year 2013</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233084" w:rsidRPr="00396166" w:rsidRDefault="00233084" w:rsidP="007002BA">
            <w:pPr>
              <w:jc w:val="center"/>
              <w:rPr>
                <w:rFonts w:ascii="Arial Narrow" w:hAnsi="Arial Narrow"/>
                <w:b/>
                <w:sz w:val="20"/>
              </w:rPr>
            </w:pPr>
            <w:r w:rsidRPr="00396166">
              <w:rPr>
                <w:rFonts w:ascii="Arial Narrow" w:hAnsi="Arial Narrow"/>
                <w:b/>
                <w:sz w:val="20"/>
              </w:rPr>
              <w:t>Year 2014</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233084" w:rsidRPr="00396166" w:rsidRDefault="00233084" w:rsidP="007002BA">
            <w:pPr>
              <w:jc w:val="center"/>
              <w:rPr>
                <w:rFonts w:ascii="Arial Narrow" w:hAnsi="Arial Narrow"/>
                <w:b/>
                <w:sz w:val="20"/>
              </w:rPr>
            </w:pPr>
            <w:r w:rsidRPr="00396166">
              <w:rPr>
                <w:rFonts w:ascii="Arial Narrow" w:hAnsi="Arial Narrow"/>
                <w:b/>
                <w:sz w:val="20"/>
              </w:rPr>
              <w:t>2015 Jan-Jun</w:t>
            </w:r>
          </w:p>
        </w:tc>
      </w:tr>
      <w:tr w:rsidR="00233084" w:rsidRPr="00396166" w:rsidTr="007002BA">
        <w:trPr>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233084" w:rsidRPr="00396166" w:rsidRDefault="00233084" w:rsidP="007002BA">
            <w:pPr>
              <w:rPr>
                <w:rFonts w:ascii="Arial Narrow" w:hAnsi="Arial Narrow"/>
                <w:b/>
                <w:sz w:val="20"/>
              </w:rPr>
            </w:pPr>
            <w:r w:rsidRPr="00396166">
              <w:rPr>
                <w:rFonts w:ascii="Arial Narrow" w:hAnsi="Arial Narrow"/>
                <w:b/>
                <w:sz w:val="20"/>
              </w:rPr>
              <w:t>General</w:t>
            </w:r>
          </w:p>
        </w:tc>
        <w:tc>
          <w:tcPr>
            <w:tcW w:w="1985" w:type="dxa"/>
            <w:tcBorders>
              <w:top w:val="nil"/>
              <w:left w:val="nil"/>
              <w:bottom w:val="single" w:sz="4" w:space="0" w:color="auto"/>
              <w:right w:val="single" w:sz="4" w:space="0" w:color="auto"/>
            </w:tcBorders>
            <w:shd w:val="clear" w:color="auto" w:fill="auto"/>
            <w:noWrap/>
            <w:vAlign w:val="bottom"/>
            <w:hideMark/>
          </w:tcPr>
          <w:p w:rsidR="00233084" w:rsidRPr="00396166" w:rsidRDefault="00233084" w:rsidP="007002BA">
            <w:pPr>
              <w:jc w:val="center"/>
              <w:rPr>
                <w:rFonts w:ascii="Arial Narrow" w:hAnsi="Arial Narrow"/>
                <w:sz w:val="20"/>
              </w:rPr>
            </w:pPr>
            <w:r w:rsidRPr="00396166">
              <w:rPr>
                <w:rFonts w:ascii="Arial Narrow" w:hAnsi="Arial Narrow"/>
                <w:sz w:val="20"/>
              </w:rPr>
              <w:t xml:space="preserve">40,605 </w:t>
            </w:r>
          </w:p>
        </w:tc>
        <w:tc>
          <w:tcPr>
            <w:tcW w:w="1984" w:type="dxa"/>
            <w:tcBorders>
              <w:top w:val="nil"/>
              <w:left w:val="nil"/>
              <w:bottom w:val="single" w:sz="4" w:space="0" w:color="auto"/>
              <w:right w:val="single" w:sz="4" w:space="0" w:color="auto"/>
            </w:tcBorders>
            <w:shd w:val="clear" w:color="auto" w:fill="auto"/>
            <w:noWrap/>
            <w:vAlign w:val="bottom"/>
            <w:hideMark/>
          </w:tcPr>
          <w:p w:rsidR="00233084" w:rsidRPr="00396166" w:rsidRDefault="00233084" w:rsidP="007002BA">
            <w:pPr>
              <w:jc w:val="center"/>
              <w:rPr>
                <w:rFonts w:ascii="Arial Narrow" w:hAnsi="Arial Narrow"/>
                <w:sz w:val="20"/>
              </w:rPr>
            </w:pPr>
            <w:r w:rsidRPr="00396166">
              <w:rPr>
                <w:rFonts w:ascii="Arial Narrow" w:hAnsi="Arial Narrow"/>
                <w:sz w:val="20"/>
              </w:rPr>
              <w:t xml:space="preserve">34,137 </w:t>
            </w:r>
          </w:p>
        </w:tc>
        <w:tc>
          <w:tcPr>
            <w:tcW w:w="2126" w:type="dxa"/>
            <w:tcBorders>
              <w:top w:val="nil"/>
              <w:left w:val="nil"/>
              <w:bottom w:val="single" w:sz="4" w:space="0" w:color="auto"/>
              <w:right w:val="single" w:sz="4" w:space="0" w:color="auto"/>
            </w:tcBorders>
            <w:shd w:val="clear" w:color="auto" w:fill="auto"/>
            <w:noWrap/>
            <w:vAlign w:val="bottom"/>
            <w:hideMark/>
          </w:tcPr>
          <w:p w:rsidR="00233084" w:rsidRPr="00396166" w:rsidRDefault="00233084" w:rsidP="007002BA">
            <w:pPr>
              <w:jc w:val="center"/>
              <w:rPr>
                <w:rFonts w:ascii="Arial Narrow" w:hAnsi="Arial Narrow"/>
                <w:sz w:val="20"/>
              </w:rPr>
            </w:pPr>
            <w:r w:rsidRPr="00396166">
              <w:rPr>
                <w:rFonts w:ascii="Arial Narrow" w:hAnsi="Arial Narrow"/>
                <w:sz w:val="20"/>
              </w:rPr>
              <w:t xml:space="preserve">8,806 </w:t>
            </w:r>
          </w:p>
        </w:tc>
      </w:tr>
      <w:tr w:rsidR="00233084" w:rsidRPr="00396166" w:rsidTr="007002BA">
        <w:trPr>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233084" w:rsidRPr="00396166" w:rsidRDefault="00233084" w:rsidP="007002BA">
            <w:pPr>
              <w:rPr>
                <w:rFonts w:ascii="Arial Narrow" w:hAnsi="Arial Narrow"/>
                <w:b/>
                <w:sz w:val="20"/>
              </w:rPr>
            </w:pPr>
            <w:r w:rsidRPr="00396166">
              <w:rPr>
                <w:rFonts w:ascii="Arial Narrow" w:hAnsi="Arial Narrow"/>
                <w:b/>
                <w:sz w:val="20"/>
              </w:rPr>
              <w:t>Concession</w:t>
            </w:r>
          </w:p>
        </w:tc>
        <w:tc>
          <w:tcPr>
            <w:tcW w:w="1985" w:type="dxa"/>
            <w:tcBorders>
              <w:top w:val="nil"/>
              <w:left w:val="nil"/>
              <w:bottom w:val="single" w:sz="4" w:space="0" w:color="auto"/>
              <w:right w:val="single" w:sz="4" w:space="0" w:color="auto"/>
            </w:tcBorders>
            <w:shd w:val="clear" w:color="auto" w:fill="auto"/>
            <w:noWrap/>
            <w:vAlign w:val="bottom"/>
            <w:hideMark/>
          </w:tcPr>
          <w:p w:rsidR="00233084" w:rsidRPr="00396166" w:rsidRDefault="00233084" w:rsidP="007002BA">
            <w:pPr>
              <w:jc w:val="center"/>
              <w:rPr>
                <w:rFonts w:ascii="Arial Narrow" w:hAnsi="Arial Narrow"/>
                <w:sz w:val="20"/>
              </w:rPr>
            </w:pPr>
            <w:r w:rsidRPr="00396166">
              <w:rPr>
                <w:rFonts w:ascii="Arial Narrow" w:hAnsi="Arial Narrow"/>
                <w:sz w:val="20"/>
              </w:rPr>
              <w:t xml:space="preserve">228,160 </w:t>
            </w:r>
          </w:p>
        </w:tc>
        <w:tc>
          <w:tcPr>
            <w:tcW w:w="1984" w:type="dxa"/>
            <w:tcBorders>
              <w:top w:val="nil"/>
              <w:left w:val="nil"/>
              <w:bottom w:val="single" w:sz="4" w:space="0" w:color="auto"/>
              <w:right w:val="single" w:sz="4" w:space="0" w:color="auto"/>
            </w:tcBorders>
            <w:shd w:val="clear" w:color="auto" w:fill="auto"/>
            <w:noWrap/>
            <w:vAlign w:val="bottom"/>
            <w:hideMark/>
          </w:tcPr>
          <w:p w:rsidR="00233084" w:rsidRPr="00396166" w:rsidRDefault="00233084" w:rsidP="007002BA">
            <w:pPr>
              <w:jc w:val="center"/>
              <w:rPr>
                <w:rFonts w:ascii="Arial Narrow" w:hAnsi="Arial Narrow"/>
                <w:sz w:val="20"/>
              </w:rPr>
            </w:pPr>
            <w:r w:rsidRPr="00396166">
              <w:rPr>
                <w:rFonts w:ascii="Arial Narrow" w:hAnsi="Arial Narrow"/>
                <w:sz w:val="20"/>
              </w:rPr>
              <w:t xml:space="preserve">188,368 </w:t>
            </w:r>
          </w:p>
        </w:tc>
        <w:tc>
          <w:tcPr>
            <w:tcW w:w="2126" w:type="dxa"/>
            <w:tcBorders>
              <w:top w:val="nil"/>
              <w:left w:val="nil"/>
              <w:bottom w:val="single" w:sz="4" w:space="0" w:color="auto"/>
              <w:right w:val="single" w:sz="4" w:space="0" w:color="auto"/>
            </w:tcBorders>
            <w:shd w:val="clear" w:color="auto" w:fill="auto"/>
            <w:noWrap/>
            <w:vAlign w:val="bottom"/>
            <w:hideMark/>
          </w:tcPr>
          <w:p w:rsidR="00233084" w:rsidRPr="00396166" w:rsidRDefault="00233084" w:rsidP="007002BA">
            <w:pPr>
              <w:jc w:val="center"/>
              <w:rPr>
                <w:rFonts w:ascii="Arial Narrow" w:hAnsi="Arial Narrow"/>
                <w:sz w:val="20"/>
              </w:rPr>
            </w:pPr>
            <w:r w:rsidRPr="00396166">
              <w:rPr>
                <w:rFonts w:ascii="Arial Narrow" w:hAnsi="Arial Narrow"/>
                <w:sz w:val="20"/>
              </w:rPr>
              <w:t xml:space="preserve">49,676 </w:t>
            </w:r>
          </w:p>
        </w:tc>
      </w:tr>
      <w:tr w:rsidR="00233084" w:rsidRPr="00396166" w:rsidTr="007002BA">
        <w:trPr>
          <w:trHeight w:val="31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233084" w:rsidRPr="00396166" w:rsidRDefault="00233084" w:rsidP="007002BA">
            <w:pPr>
              <w:rPr>
                <w:rFonts w:ascii="Arial Narrow" w:hAnsi="Arial Narrow"/>
                <w:b/>
                <w:sz w:val="20"/>
              </w:rPr>
            </w:pPr>
            <w:r w:rsidRPr="00396166">
              <w:rPr>
                <w:rFonts w:ascii="Arial Narrow" w:hAnsi="Arial Narrow"/>
                <w:b/>
                <w:sz w:val="20"/>
              </w:rPr>
              <w:t>RPBS</w:t>
            </w:r>
          </w:p>
        </w:tc>
        <w:tc>
          <w:tcPr>
            <w:tcW w:w="1985" w:type="dxa"/>
            <w:tcBorders>
              <w:top w:val="nil"/>
              <w:left w:val="nil"/>
              <w:bottom w:val="single" w:sz="4" w:space="0" w:color="auto"/>
              <w:right w:val="single" w:sz="4" w:space="0" w:color="auto"/>
            </w:tcBorders>
            <w:shd w:val="clear" w:color="auto" w:fill="auto"/>
            <w:noWrap/>
            <w:vAlign w:val="bottom"/>
            <w:hideMark/>
          </w:tcPr>
          <w:p w:rsidR="00233084" w:rsidRPr="00396166" w:rsidRDefault="00233084" w:rsidP="007002BA">
            <w:pPr>
              <w:jc w:val="center"/>
              <w:rPr>
                <w:rFonts w:ascii="Arial Narrow" w:hAnsi="Arial Narrow"/>
                <w:sz w:val="20"/>
              </w:rPr>
            </w:pPr>
            <w:r w:rsidRPr="00396166">
              <w:rPr>
                <w:rFonts w:ascii="Arial Narrow" w:hAnsi="Arial Narrow"/>
                <w:sz w:val="20"/>
              </w:rPr>
              <w:t xml:space="preserve">16,741 </w:t>
            </w:r>
          </w:p>
        </w:tc>
        <w:tc>
          <w:tcPr>
            <w:tcW w:w="1984" w:type="dxa"/>
            <w:tcBorders>
              <w:top w:val="nil"/>
              <w:left w:val="nil"/>
              <w:bottom w:val="single" w:sz="4" w:space="0" w:color="auto"/>
              <w:right w:val="single" w:sz="4" w:space="0" w:color="auto"/>
            </w:tcBorders>
            <w:shd w:val="clear" w:color="auto" w:fill="auto"/>
            <w:noWrap/>
            <w:vAlign w:val="bottom"/>
            <w:hideMark/>
          </w:tcPr>
          <w:p w:rsidR="00233084" w:rsidRPr="00396166" w:rsidRDefault="00233084" w:rsidP="007002BA">
            <w:pPr>
              <w:jc w:val="center"/>
              <w:rPr>
                <w:rFonts w:ascii="Arial Narrow" w:hAnsi="Arial Narrow"/>
                <w:sz w:val="20"/>
              </w:rPr>
            </w:pPr>
            <w:r w:rsidRPr="00396166">
              <w:rPr>
                <w:rFonts w:ascii="Arial Narrow" w:hAnsi="Arial Narrow"/>
                <w:sz w:val="20"/>
              </w:rPr>
              <w:t xml:space="preserve">12,539 </w:t>
            </w:r>
          </w:p>
        </w:tc>
        <w:tc>
          <w:tcPr>
            <w:tcW w:w="2126" w:type="dxa"/>
            <w:tcBorders>
              <w:top w:val="nil"/>
              <w:left w:val="nil"/>
              <w:bottom w:val="single" w:sz="4" w:space="0" w:color="auto"/>
              <w:right w:val="single" w:sz="4" w:space="0" w:color="auto"/>
            </w:tcBorders>
            <w:shd w:val="clear" w:color="auto" w:fill="auto"/>
            <w:noWrap/>
            <w:vAlign w:val="bottom"/>
            <w:hideMark/>
          </w:tcPr>
          <w:p w:rsidR="00233084" w:rsidRPr="00396166" w:rsidRDefault="00233084" w:rsidP="007002BA">
            <w:pPr>
              <w:jc w:val="center"/>
              <w:rPr>
                <w:rFonts w:ascii="Arial Narrow" w:hAnsi="Arial Narrow"/>
                <w:sz w:val="20"/>
              </w:rPr>
            </w:pPr>
            <w:r w:rsidRPr="00396166">
              <w:rPr>
                <w:rFonts w:ascii="Arial Narrow" w:hAnsi="Arial Narrow"/>
                <w:sz w:val="20"/>
              </w:rPr>
              <w:t xml:space="preserve">2,938 </w:t>
            </w:r>
          </w:p>
        </w:tc>
      </w:tr>
      <w:tr w:rsidR="00233084" w:rsidRPr="00396166" w:rsidTr="007002BA">
        <w:trPr>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233084" w:rsidRPr="00396166" w:rsidRDefault="00233084" w:rsidP="007002BA">
            <w:pPr>
              <w:rPr>
                <w:rFonts w:ascii="Arial Narrow" w:hAnsi="Arial Narrow"/>
                <w:b/>
                <w:sz w:val="20"/>
              </w:rPr>
            </w:pPr>
            <w:r w:rsidRPr="00396166">
              <w:rPr>
                <w:rFonts w:ascii="Arial Narrow" w:hAnsi="Arial Narrow"/>
                <w:b/>
                <w:sz w:val="20"/>
              </w:rPr>
              <w:t>Total services</w:t>
            </w:r>
          </w:p>
        </w:tc>
        <w:tc>
          <w:tcPr>
            <w:tcW w:w="1985" w:type="dxa"/>
            <w:tcBorders>
              <w:top w:val="nil"/>
              <w:left w:val="nil"/>
              <w:bottom w:val="single" w:sz="4" w:space="0" w:color="auto"/>
              <w:right w:val="single" w:sz="4" w:space="0" w:color="auto"/>
            </w:tcBorders>
            <w:shd w:val="clear" w:color="auto" w:fill="auto"/>
            <w:noWrap/>
            <w:vAlign w:val="bottom"/>
            <w:hideMark/>
          </w:tcPr>
          <w:p w:rsidR="00233084" w:rsidRPr="00396166" w:rsidRDefault="00233084" w:rsidP="007002BA">
            <w:pPr>
              <w:jc w:val="center"/>
              <w:rPr>
                <w:rFonts w:ascii="Arial Narrow" w:hAnsi="Arial Narrow"/>
                <w:b/>
                <w:sz w:val="20"/>
              </w:rPr>
            </w:pPr>
            <w:r w:rsidRPr="00396166">
              <w:rPr>
                <w:rFonts w:ascii="Arial Narrow" w:hAnsi="Arial Narrow"/>
                <w:b/>
                <w:sz w:val="20"/>
              </w:rPr>
              <w:t xml:space="preserve">285,506 </w:t>
            </w:r>
          </w:p>
        </w:tc>
        <w:tc>
          <w:tcPr>
            <w:tcW w:w="1984" w:type="dxa"/>
            <w:tcBorders>
              <w:top w:val="nil"/>
              <w:left w:val="nil"/>
              <w:bottom w:val="single" w:sz="4" w:space="0" w:color="auto"/>
              <w:right w:val="single" w:sz="4" w:space="0" w:color="auto"/>
            </w:tcBorders>
            <w:shd w:val="clear" w:color="auto" w:fill="auto"/>
            <w:noWrap/>
            <w:vAlign w:val="bottom"/>
            <w:hideMark/>
          </w:tcPr>
          <w:p w:rsidR="00233084" w:rsidRPr="00396166" w:rsidRDefault="00233084" w:rsidP="007002BA">
            <w:pPr>
              <w:jc w:val="center"/>
              <w:rPr>
                <w:rFonts w:ascii="Arial Narrow" w:hAnsi="Arial Narrow"/>
                <w:b/>
                <w:sz w:val="20"/>
              </w:rPr>
            </w:pPr>
            <w:r w:rsidRPr="00396166">
              <w:rPr>
                <w:rFonts w:ascii="Arial Narrow" w:hAnsi="Arial Narrow"/>
                <w:b/>
                <w:sz w:val="20"/>
              </w:rPr>
              <w:t xml:space="preserve">235,044 </w:t>
            </w:r>
          </w:p>
        </w:tc>
        <w:tc>
          <w:tcPr>
            <w:tcW w:w="2126" w:type="dxa"/>
            <w:tcBorders>
              <w:top w:val="nil"/>
              <w:left w:val="nil"/>
              <w:bottom w:val="single" w:sz="4" w:space="0" w:color="auto"/>
              <w:right w:val="single" w:sz="4" w:space="0" w:color="auto"/>
            </w:tcBorders>
            <w:shd w:val="clear" w:color="auto" w:fill="auto"/>
            <w:noWrap/>
            <w:vAlign w:val="bottom"/>
            <w:hideMark/>
          </w:tcPr>
          <w:p w:rsidR="00233084" w:rsidRPr="00396166" w:rsidRDefault="00233084" w:rsidP="007002BA">
            <w:pPr>
              <w:jc w:val="center"/>
              <w:rPr>
                <w:rFonts w:ascii="Arial Narrow" w:hAnsi="Arial Narrow"/>
                <w:b/>
                <w:sz w:val="20"/>
              </w:rPr>
            </w:pPr>
            <w:r w:rsidRPr="00396166">
              <w:rPr>
                <w:rFonts w:ascii="Arial Narrow" w:hAnsi="Arial Narrow"/>
                <w:b/>
                <w:sz w:val="20"/>
              </w:rPr>
              <w:t xml:space="preserve">61,420 </w:t>
            </w:r>
          </w:p>
        </w:tc>
      </w:tr>
    </w:tbl>
    <w:p w:rsidR="00233084" w:rsidRDefault="00233084" w:rsidP="00233084">
      <w:pPr>
        <w:rPr>
          <w:rFonts w:ascii="Arial" w:hAnsi="Arial"/>
        </w:rPr>
      </w:pPr>
    </w:p>
    <w:p w:rsidR="00734033" w:rsidRDefault="00734033" w:rsidP="00734033">
      <w:pPr>
        <w:ind w:left="709"/>
        <w:rPr>
          <w:rFonts w:ascii="Arial" w:hAnsi="Arial"/>
        </w:rPr>
      </w:pPr>
      <w:r>
        <w:rPr>
          <w:noProof/>
        </w:rPr>
        <w:lastRenderedPageBreak/>
        <w:drawing>
          <wp:inline distT="0" distB="0" distL="0" distR="0" wp14:anchorId="6F0311EA" wp14:editId="63D33345">
            <wp:extent cx="5295900" cy="3152775"/>
            <wp:effectExtent l="0" t="0" r="19050" b="9525"/>
            <wp:docPr id="6" name="Chart 6" title="Medicare statistics"/>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0" w:name="_GoBack"/>
      <w:bookmarkEnd w:id="0"/>
    </w:p>
    <w:p w:rsidR="00734033" w:rsidRDefault="00734033" w:rsidP="00233084">
      <w:pPr>
        <w:rPr>
          <w:rFonts w:ascii="Arial" w:hAnsi="Arial"/>
        </w:rPr>
      </w:pPr>
    </w:p>
    <w:p w:rsidR="00233084" w:rsidRPr="00396166" w:rsidRDefault="00233084" w:rsidP="00233084">
      <w:pPr>
        <w:pStyle w:val="ListParagraph"/>
        <w:rPr>
          <w:rFonts w:ascii="Arial Narrow" w:hAnsi="Arial Narrow"/>
          <w:b/>
          <w:sz w:val="20"/>
        </w:rPr>
      </w:pPr>
      <w:r w:rsidRPr="00396166">
        <w:rPr>
          <w:rFonts w:ascii="Arial Narrow" w:hAnsi="Arial Narrow"/>
          <w:b/>
          <w:sz w:val="20"/>
        </w:rPr>
        <w:t>Table 3</w:t>
      </w:r>
      <w:r w:rsidR="003165AF" w:rsidRPr="00396166">
        <w:rPr>
          <w:rFonts w:ascii="Arial Narrow" w:hAnsi="Arial Narrow"/>
          <w:b/>
          <w:sz w:val="20"/>
        </w:rPr>
        <w:t xml:space="preserve"> and Figure 2</w:t>
      </w:r>
      <w:r w:rsidRPr="00396166">
        <w:rPr>
          <w:rFonts w:ascii="Arial Narrow" w:hAnsi="Arial Narrow"/>
          <w:b/>
          <w:sz w:val="20"/>
        </w:rPr>
        <w:t xml:space="preserve">: Medicare statistics - strontium </w:t>
      </w:r>
      <w:proofErr w:type="spellStart"/>
      <w:r w:rsidR="00734033" w:rsidRPr="00396166">
        <w:rPr>
          <w:rFonts w:ascii="Arial Narrow" w:hAnsi="Arial Narrow"/>
          <w:b/>
          <w:sz w:val="20"/>
        </w:rPr>
        <w:t>ranelate</w:t>
      </w:r>
      <w:proofErr w:type="spellEnd"/>
      <w:r w:rsidR="00734033" w:rsidRPr="00396166">
        <w:rPr>
          <w:rFonts w:ascii="Arial Narrow" w:hAnsi="Arial Narrow"/>
          <w:b/>
          <w:sz w:val="20"/>
        </w:rPr>
        <w:t xml:space="preserve"> </w:t>
      </w:r>
      <w:r w:rsidRPr="00396166">
        <w:rPr>
          <w:rFonts w:ascii="Arial Narrow" w:hAnsi="Arial Narrow"/>
          <w:b/>
          <w:sz w:val="20"/>
        </w:rPr>
        <w:t>expenditure.</w:t>
      </w:r>
    </w:p>
    <w:tbl>
      <w:tblPr>
        <w:tblW w:w="8363" w:type="dxa"/>
        <w:tblInd w:w="817" w:type="dxa"/>
        <w:tblLook w:val="04A0" w:firstRow="1" w:lastRow="0" w:firstColumn="1" w:lastColumn="0" w:noHBand="0" w:noVBand="1"/>
      </w:tblPr>
      <w:tblGrid>
        <w:gridCol w:w="2268"/>
        <w:gridCol w:w="1985"/>
        <w:gridCol w:w="1984"/>
        <w:gridCol w:w="2126"/>
      </w:tblGrid>
      <w:tr w:rsidR="00233084" w:rsidRPr="00396166" w:rsidTr="007002BA">
        <w:trPr>
          <w:trHeight w:val="30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084" w:rsidRPr="00396166" w:rsidRDefault="00233084" w:rsidP="007002BA">
            <w:pPr>
              <w:rPr>
                <w:rFonts w:ascii="Arial Narrow" w:hAnsi="Arial Narrow"/>
                <w:b/>
                <w:sz w:val="20"/>
              </w:rPr>
            </w:pPr>
            <w:r w:rsidRPr="00396166">
              <w:rPr>
                <w:rFonts w:ascii="Arial Narrow" w:hAnsi="Arial Narrow"/>
                <w:b/>
                <w:sz w:val="20"/>
              </w:rPr>
              <w:t>3036T (expenditure)</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233084" w:rsidRPr="00396166" w:rsidRDefault="00233084" w:rsidP="007002BA">
            <w:pPr>
              <w:jc w:val="center"/>
              <w:rPr>
                <w:rFonts w:ascii="Arial Narrow" w:hAnsi="Arial Narrow"/>
                <w:b/>
                <w:sz w:val="20"/>
              </w:rPr>
            </w:pPr>
            <w:r w:rsidRPr="00396166">
              <w:rPr>
                <w:rFonts w:ascii="Arial Narrow" w:hAnsi="Arial Narrow"/>
                <w:b/>
                <w:sz w:val="20"/>
              </w:rPr>
              <w:t>Year 2013</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233084" w:rsidRPr="00396166" w:rsidRDefault="00233084" w:rsidP="007002BA">
            <w:pPr>
              <w:jc w:val="center"/>
              <w:rPr>
                <w:rFonts w:ascii="Arial Narrow" w:hAnsi="Arial Narrow"/>
                <w:b/>
                <w:sz w:val="20"/>
              </w:rPr>
            </w:pPr>
            <w:r w:rsidRPr="00396166">
              <w:rPr>
                <w:rFonts w:ascii="Arial Narrow" w:hAnsi="Arial Narrow"/>
                <w:b/>
                <w:sz w:val="20"/>
              </w:rPr>
              <w:t>Year 2014</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233084" w:rsidRPr="00396166" w:rsidRDefault="00233084" w:rsidP="007002BA">
            <w:pPr>
              <w:jc w:val="center"/>
              <w:rPr>
                <w:rFonts w:ascii="Arial Narrow" w:hAnsi="Arial Narrow"/>
                <w:b/>
                <w:sz w:val="20"/>
              </w:rPr>
            </w:pPr>
            <w:r w:rsidRPr="00396166">
              <w:rPr>
                <w:rFonts w:ascii="Arial Narrow" w:hAnsi="Arial Narrow"/>
                <w:b/>
                <w:sz w:val="20"/>
              </w:rPr>
              <w:t>2015 Jan-Jun</w:t>
            </w:r>
          </w:p>
        </w:tc>
      </w:tr>
      <w:tr w:rsidR="00233084" w:rsidRPr="00396166" w:rsidTr="007002BA">
        <w:trPr>
          <w:trHeight w:val="31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233084" w:rsidRPr="00396166" w:rsidRDefault="00233084" w:rsidP="007002BA">
            <w:pPr>
              <w:rPr>
                <w:rFonts w:ascii="Arial Narrow" w:hAnsi="Arial Narrow"/>
                <w:b/>
                <w:sz w:val="20"/>
              </w:rPr>
            </w:pPr>
            <w:r w:rsidRPr="00396166">
              <w:rPr>
                <w:rFonts w:ascii="Arial Narrow" w:hAnsi="Arial Narrow"/>
                <w:b/>
                <w:sz w:val="20"/>
              </w:rPr>
              <w:t>General</w:t>
            </w:r>
          </w:p>
        </w:tc>
        <w:tc>
          <w:tcPr>
            <w:tcW w:w="1985" w:type="dxa"/>
            <w:tcBorders>
              <w:top w:val="nil"/>
              <w:left w:val="nil"/>
              <w:bottom w:val="single" w:sz="4" w:space="0" w:color="auto"/>
              <w:right w:val="single" w:sz="4" w:space="0" w:color="auto"/>
            </w:tcBorders>
            <w:shd w:val="clear" w:color="auto" w:fill="auto"/>
            <w:noWrap/>
            <w:vAlign w:val="bottom"/>
            <w:hideMark/>
          </w:tcPr>
          <w:p w:rsidR="00233084" w:rsidRPr="00396166" w:rsidRDefault="00233084" w:rsidP="00734033">
            <w:pPr>
              <w:jc w:val="center"/>
              <w:rPr>
                <w:rFonts w:ascii="Arial Narrow" w:hAnsi="Arial Narrow"/>
                <w:sz w:val="20"/>
              </w:rPr>
            </w:pPr>
            <w:r w:rsidRPr="00396166">
              <w:rPr>
                <w:rFonts w:ascii="Arial Narrow" w:hAnsi="Arial Narrow"/>
                <w:sz w:val="20"/>
              </w:rPr>
              <w:t>$ 759,581</w:t>
            </w:r>
          </w:p>
        </w:tc>
        <w:tc>
          <w:tcPr>
            <w:tcW w:w="1984" w:type="dxa"/>
            <w:tcBorders>
              <w:top w:val="nil"/>
              <w:left w:val="nil"/>
              <w:bottom w:val="single" w:sz="4" w:space="0" w:color="auto"/>
              <w:right w:val="single" w:sz="4" w:space="0" w:color="auto"/>
            </w:tcBorders>
            <w:shd w:val="clear" w:color="auto" w:fill="auto"/>
            <w:noWrap/>
            <w:vAlign w:val="bottom"/>
            <w:hideMark/>
          </w:tcPr>
          <w:p w:rsidR="00233084" w:rsidRPr="00396166" w:rsidRDefault="00233084" w:rsidP="00734033">
            <w:pPr>
              <w:jc w:val="center"/>
              <w:rPr>
                <w:rFonts w:ascii="Arial Narrow" w:hAnsi="Arial Narrow"/>
                <w:sz w:val="20"/>
              </w:rPr>
            </w:pPr>
            <w:r w:rsidRPr="00396166">
              <w:rPr>
                <w:rFonts w:ascii="Arial Narrow" w:hAnsi="Arial Narrow"/>
                <w:sz w:val="20"/>
              </w:rPr>
              <w:t>$ 600,944</w:t>
            </w:r>
          </w:p>
        </w:tc>
        <w:tc>
          <w:tcPr>
            <w:tcW w:w="2126" w:type="dxa"/>
            <w:tcBorders>
              <w:top w:val="nil"/>
              <w:left w:val="nil"/>
              <w:bottom w:val="single" w:sz="4" w:space="0" w:color="auto"/>
              <w:right w:val="single" w:sz="4" w:space="0" w:color="auto"/>
            </w:tcBorders>
            <w:shd w:val="clear" w:color="auto" w:fill="auto"/>
            <w:noWrap/>
            <w:vAlign w:val="bottom"/>
            <w:hideMark/>
          </w:tcPr>
          <w:p w:rsidR="00233084" w:rsidRPr="00396166" w:rsidRDefault="00233084" w:rsidP="00734033">
            <w:pPr>
              <w:jc w:val="center"/>
              <w:rPr>
                <w:rFonts w:ascii="Arial Narrow" w:hAnsi="Arial Narrow"/>
                <w:sz w:val="20"/>
              </w:rPr>
            </w:pPr>
            <w:r w:rsidRPr="00396166">
              <w:rPr>
                <w:rFonts w:ascii="Arial Narrow" w:hAnsi="Arial Narrow"/>
                <w:sz w:val="20"/>
              </w:rPr>
              <w:t>$ 145,692</w:t>
            </w:r>
          </w:p>
        </w:tc>
      </w:tr>
      <w:tr w:rsidR="00233084" w:rsidRPr="00396166" w:rsidTr="007002BA">
        <w:trPr>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233084" w:rsidRPr="00396166" w:rsidRDefault="00233084" w:rsidP="007002BA">
            <w:pPr>
              <w:rPr>
                <w:rFonts w:ascii="Arial Narrow" w:hAnsi="Arial Narrow"/>
                <w:b/>
                <w:sz w:val="20"/>
              </w:rPr>
            </w:pPr>
            <w:r w:rsidRPr="00396166">
              <w:rPr>
                <w:rFonts w:ascii="Arial Narrow" w:hAnsi="Arial Narrow"/>
                <w:b/>
                <w:sz w:val="20"/>
              </w:rPr>
              <w:t>Concession</w:t>
            </w:r>
          </w:p>
        </w:tc>
        <w:tc>
          <w:tcPr>
            <w:tcW w:w="1985" w:type="dxa"/>
            <w:tcBorders>
              <w:top w:val="nil"/>
              <w:left w:val="nil"/>
              <w:bottom w:val="single" w:sz="4" w:space="0" w:color="auto"/>
              <w:right w:val="single" w:sz="4" w:space="0" w:color="auto"/>
            </w:tcBorders>
            <w:shd w:val="clear" w:color="auto" w:fill="auto"/>
            <w:noWrap/>
            <w:vAlign w:val="bottom"/>
            <w:hideMark/>
          </w:tcPr>
          <w:p w:rsidR="00233084" w:rsidRPr="00396166" w:rsidRDefault="00233084" w:rsidP="00734033">
            <w:pPr>
              <w:jc w:val="center"/>
              <w:rPr>
                <w:rFonts w:ascii="Arial Narrow" w:hAnsi="Arial Narrow"/>
                <w:sz w:val="20"/>
              </w:rPr>
            </w:pPr>
            <w:r w:rsidRPr="00396166">
              <w:rPr>
                <w:rFonts w:ascii="Arial Narrow" w:hAnsi="Arial Narrow"/>
                <w:sz w:val="20"/>
              </w:rPr>
              <w:t>$ 10,940,518</w:t>
            </w:r>
          </w:p>
        </w:tc>
        <w:tc>
          <w:tcPr>
            <w:tcW w:w="1984" w:type="dxa"/>
            <w:tcBorders>
              <w:top w:val="nil"/>
              <w:left w:val="nil"/>
              <w:bottom w:val="single" w:sz="4" w:space="0" w:color="auto"/>
              <w:right w:val="single" w:sz="4" w:space="0" w:color="auto"/>
            </w:tcBorders>
            <w:shd w:val="clear" w:color="auto" w:fill="auto"/>
            <w:noWrap/>
            <w:vAlign w:val="bottom"/>
            <w:hideMark/>
          </w:tcPr>
          <w:p w:rsidR="00233084" w:rsidRPr="00396166" w:rsidRDefault="00233084" w:rsidP="00734033">
            <w:pPr>
              <w:jc w:val="center"/>
              <w:rPr>
                <w:rFonts w:ascii="Arial Narrow" w:hAnsi="Arial Narrow"/>
                <w:sz w:val="20"/>
              </w:rPr>
            </w:pPr>
            <w:r w:rsidRPr="00396166">
              <w:rPr>
                <w:rFonts w:ascii="Arial Narrow" w:hAnsi="Arial Narrow"/>
                <w:sz w:val="20"/>
              </w:rPr>
              <w:t>$ 8,932,558</w:t>
            </w:r>
          </w:p>
        </w:tc>
        <w:tc>
          <w:tcPr>
            <w:tcW w:w="2126" w:type="dxa"/>
            <w:tcBorders>
              <w:top w:val="nil"/>
              <w:left w:val="nil"/>
              <w:bottom w:val="single" w:sz="4" w:space="0" w:color="auto"/>
              <w:right w:val="single" w:sz="4" w:space="0" w:color="auto"/>
            </w:tcBorders>
            <w:shd w:val="clear" w:color="auto" w:fill="auto"/>
            <w:noWrap/>
            <w:vAlign w:val="bottom"/>
            <w:hideMark/>
          </w:tcPr>
          <w:p w:rsidR="00233084" w:rsidRPr="00396166" w:rsidRDefault="00233084" w:rsidP="00734033">
            <w:pPr>
              <w:jc w:val="center"/>
              <w:rPr>
                <w:rFonts w:ascii="Arial Narrow" w:hAnsi="Arial Narrow"/>
                <w:sz w:val="20"/>
              </w:rPr>
            </w:pPr>
            <w:r w:rsidRPr="00396166">
              <w:rPr>
                <w:rFonts w:ascii="Arial Narrow" w:hAnsi="Arial Narrow"/>
                <w:sz w:val="20"/>
              </w:rPr>
              <w:t>$ 2,344,674</w:t>
            </w:r>
          </w:p>
        </w:tc>
      </w:tr>
      <w:tr w:rsidR="00233084" w:rsidRPr="00396166" w:rsidTr="007002BA">
        <w:trPr>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233084" w:rsidRPr="00396166" w:rsidRDefault="00233084" w:rsidP="007002BA">
            <w:pPr>
              <w:rPr>
                <w:rFonts w:ascii="Arial Narrow" w:hAnsi="Arial Narrow"/>
                <w:b/>
                <w:sz w:val="20"/>
              </w:rPr>
            </w:pPr>
            <w:r w:rsidRPr="00396166">
              <w:rPr>
                <w:rFonts w:ascii="Arial Narrow" w:hAnsi="Arial Narrow"/>
                <w:b/>
                <w:sz w:val="20"/>
              </w:rPr>
              <w:t>RPBS</w:t>
            </w:r>
          </w:p>
        </w:tc>
        <w:tc>
          <w:tcPr>
            <w:tcW w:w="1985" w:type="dxa"/>
            <w:tcBorders>
              <w:top w:val="nil"/>
              <w:left w:val="nil"/>
              <w:bottom w:val="single" w:sz="4" w:space="0" w:color="auto"/>
              <w:right w:val="single" w:sz="4" w:space="0" w:color="auto"/>
            </w:tcBorders>
            <w:shd w:val="clear" w:color="auto" w:fill="auto"/>
            <w:noWrap/>
            <w:vAlign w:val="bottom"/>
            <w:hideMark/>
          </w:tcPr>
          <w:p w:rsidR="00233084" w:rsidRPr="00396166" w:rsidRDefault="00233084" w:rsidP="00734033">
            <w:pPr>
              <w:jc w:val="center"/>
              <w:rPr>
                <w:rFonts w:ascii="Arial Narrow" w:hAnsi="Arial Narrow"/>
                <w:sz w:val="20"/>
              </w:rPr>
            </w:pPr>
            <w:r w:rsidRPr="00396166">
              <w:rPr>
                <w:rFonts w:ascii="Arial Narrow" w:hAnsi="Arial Narrow"/>
                <w:sz w:val="20"/>
              </w:rPr>
              <w:t>$ 799,386</w:t>
            </w:r>
          </w:p>
        </w:tc>
        <w:tc>
          <w:tcPr>
            <w:tcW w:w="1984" w:type="dxa"/>
            <w:tcBorders>
              <w:top w:val="nil"/>
              <w:left w:val="nil"/>
              <w:bottom w:val="single" w:sz="4" w:space="0" w:color="auto"/>
              <w:right w:val="single" w:sz="4" w:space="0" w:color="auto"/>
            </w:tcBorders>
            <w:shd w:val="clear" w:color="auto" w:fill="auto"/>
            <w:noWrap/>
            <w:vAlign w:val="bottom"/>
            <w:hideMark/>
          </w:tcPr>
          <w:p w:rsidR="00233084" w:rsidRPr="00396166" w:rsidRDefault="00233084" w:rsidP="00734033">
            <w:pPr>
              <w:jc w:val="center"/>
              <w:rPr>
                <w:rFonts w:ascii="Arial Narrow" w:hAnsi="Arial Narrow"/>
                <w:sz w:val="20"/>
              </w:rPr>
            </w:pPr>
            <w:r w:rsidRPr="00396166">
              <w:rPr>
                <w:rFonts w:ascii="Arial Narrow" w:hAnsi="Arial Narrow"/>
                <w:sz w:val="20"/>
              </w:rPr>
              <w:t>$ 592,265</w:t>
            </w:r>
          </w:p>
        </w:tc>
        <w:tc>
          <w:tcPr>
            <w:tcW w:w="2126" w:type="dxa"/>
            <w:tcBorders>
              <w:top w:val="nil"/>
              <w:left w:val="nil"/>
              <w:bottom w:val="single" w:sz="4" w:space="0" w:color="auto"/>
              <w:right w:val="single" w:sz="4" w:space="0" w:color="auto"/>
            </w:tcBorders>
            <w:shd w:val="clear" w:color="auto" w:fill="auto"/>
            <w:noWrap/>
            <w:vAlign w:val="bottom"/>
            <w:hideMark/>
          </w:tcPr>
          <w:p w:rsidR="00233084" w:rsidRPr="00396166" w:rsidRDefault="00233084" w:rsidP="00734033">
            <w:pPr>
              <w:jc w:val="center"/>
              <w:rPr>
                <w:rFonts w:ascii="Arial Narrow" w:hAnsi="Arial Narrow"/>
                <w:sz w:val="20"/>
              </w:rPr>
            </w:pPr>
            <w:r w:rsidRPr="00396166">
              <w:rPr>
                <w:rFonts w:ascii="Arial Narrow" w:hAnsi="Arial Narrow"/>
                <w:sz w:val="20"/>
              </w:rPr>
              <w:t>$ 138,342</w:t>
            </w:r>
          </w:p>
        </w:tc>
      </w:tr>
      <w:tr w:rsidR="00233084" w:rsidRPr="00396166" w:rsidTr="007002BA">
        <w:trPr>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233084" w:rsidRPr="00396166" w:rsidRDefault="00233084" w:rsidP="007002BA">
            <w:pPr>
              <w:rPr>
                <w:rFonts w:ascii="Arial Narrow" w:hAnsi="Arial Narrow"/>
                <w:b/>
                <w:sz w:val="20"/>
              </w:rPr>
            </w:pPr>
            <w:r w:rsidRPr="00396166">
              <w:rPr>
                <w:rFonts w:ascii="Arial Narrow" w:hAnsi="Arial Narrow"/>
                <w:b/>
                <w:sz w:val="20"/>
              </w:rPr>
              <w:t>Total expenditure</w:t>
            </w:r>
          </w:p>
        </w:tc>
        <w:tc>
          <w:tcPr>
            <w:tcW w:w="1985" w:type="dxa"/>
            <w:tcBorders>
              <w:top w:val="nil"/>
              <w:left w:val="nil"/>
              <w:bottom w:val="single" w:sz="4" w:space="0" w:color="auto"/>
              <w:right w:val="single" w:sz="4" w:space="0" w:color="auto"/>
            </w:tcBorders>
            <w:shd w:val="clear" w:color="auto" w:fill="auto"/>
            <w:noWrap/>
            <w:vAlign w:val="bottom"/>
            <w:hideMark/>
          </w:tcPr>
          <w:p w:rsidR="00233084" w:rsidRPr="00396166" w:rsidRDefault="00233084" w:rsidP="00734033">
            <w:pPr>
              <w:jc w:val="center"/>
              <w:rPr>
                <w:rFonts w:ascii="Arial Narrow" w:hAnsi="Arial Narrow"/>
                <w:b/>
                <w:sz w:val="20"/>
              </w:rPr>
            </w:pPr>
            <w:r w:rsidRPr="00396166">
              <w:rPr>
                <w:rFonts w:ascii="Arial Narrow" w:hAnsi="Arial Narrow"/>
                <w:b/>
                <w:sz w:val="20"/>
              </w:rPr>
              <w:t>$ 12,499,485</w:t>
            </w:r>
          </w:p>
        </w:tc>
        <w:tc>
          <w:tcPr>
            <w:tcW w:w="1984" w:type="dxa"/>
            <w:tcBorders>
              <w:top w:val="nil"/>
              <w:left w:val="nil"/>
              <w:bottom w:val="single" w:sz="4" w:space="0" w:color="auto"/>
              <w:right w:val="single" w:sz="4" w:space="0" w:color="auto"/>
            </w:tcBorders>
            <w:shd w:val="clear" w:color="auto" w:fill="auto"/>
            <w:noWrap/>
            <w:vAlign w:val="bottom"/>
            <w:hideMark/>
          </w:tcPr>
          <w:p w:rsidR="00233084" w:rsidRPr="00396166" w:rsidRDefault="00233084" w:rsidP="00734033">
            <w:pPr>
              <w:jc w:val="center"/>
              <w:rPr>
                <w:rFonts w:ascii="Arial Narrow" w:hAnsi="Arial Narrow"/>
                <w:b/>
                <w:sz w:val="20"/>
              </w:rPr>
            </w:pPr>
            <w:r w:rsidRPr="00396166">
              <w:rPr>
                <w:rFonts w:ascii="Arial Narrow" w:hAnsi="Arial Narrow"/>
                <w:b/>
                <w:sz w:val="20"/>
              </w:rPr>
              <w:t>$ 10,125,767</w:t>
            </w:r>
          </w:p>
        </w:tc>
        <w:tc>
          <w:tcPr>
            <w:tcW w:w="2126" w:type="dxa"/>
            <w:tcBorders>
              <w:top w:val="nil"/>
              <w:left w:val="nil"/>
              <w:bottom w:val="single" w:sz="4" w:space="0" w:color="auto"/>
              <w:right w:val="single" w:sz="4" w:space="0" w:color="auto"/>
            </w:tcBorders>
            <w:shd w:val="clear" w:color="auto" w:fill="auto"/>
            <w:noWrap/>
            <w:vAlign w:val="bottom"/>
            <w:hideMark/>
          </w:tcPr>
          <w:p w:rsidR="00233084" w:rsidRPr="00396166" w:rsidRDefault="00233084" w:rsidP="00734033">
            <w:pPr>
              <w:jc w:val="center"/>
              <w:rPr>
                <w:rFonts w:ascii="Arial Narrow" w:hAnsi="Arial Narrow"/>
                <w:b/>
                <w:sz w:val="20"/>
              </w:rPr>
            </w:pPr>
            <w:r w:rsidRPr="00396166">
              <w:rPr>
                <w:rFonts w:ascii="Arial Narrow" w:hAnsi="Arial Narrow"/>
                <w:b/>
                <w:sz w:val="20"/>
              </w:rPr>
              <w:t>$ 2,628,708</w:t>
            </w:r>
          </w:p>
        </w:tc>
      </w:tr>
    </w:tbl>
    <w:p w:rsidR="00233084" w:rsidRDefault="00734033" w:rsidP="00734033">
      <w:pPr>
        <w:ind w:left="709"/>
        <w:rPr>
          <w:rFonts w:ascii="Arial" w:hAnsi="Arial"/>
        </w:rPr>
      </w:pPr>
      <w:r>
        <w:rPr>
          <w:rFonts w:ascii="Arial" w:hAnsi="Arial"/>
        </w:rPr>
        <w:tab/>
      </w:r>
      <w:r>
        <w:rPr>
          <w:noProof/>
        </w:rPr>
        <w:drawing>
          <wp:inline distT="0" distB="0" distL="0" distR="0" wp14:anchorId="20145852" wp14:editId="478D176F">
            <wp:extent cx="5295900" cy="2857500"/>
            <wp:effectExtent l="0" t="0" r="19050" b="19050"/>
            <wp:docPr id="5" name="Chart 5" title="Medicare Statistics"/>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33084" w:rsidRPr="0087519F" w:rsidRDefault="00233084" w:rsidP="00233084">
      <w:pPr>
        <w:rPr>
          <w:rFonts w:ascii="Arial" w:hAnsi="Arial"/>
          <w:sz w:val="22"/>
        </w:rPr>
      </w:pPr>
    </w:p>
    <w:p w:rsidR="00E81079" w:rsidRPr="0087519F" w:rsidRDefault="00E81079" w:rsidP="009E7B42">
      <w:pPr>
        <w:spacing w:line="720" w:lineRule="auto"/>
        <w:rPr>
          <w:rFonts w:ascii="Arial" w:hAnsi="Arial"/>
          <w:sz w:val="22"/>
        </w:rPr>
      </w:pPr>
    </w:p>
    <w:p w:rsidR="0016695A" w:rsidRPr="0087519F" w:rsidRDefault="0016695A" w:rsidP="00D1689E">
      <w:pPr>
        <w:pStyle w:val="Heading1"/>
      </w:pPr>
      <w:r w:rsidRPr="0087519F">
        <w:lastRenderedPageBreak/>
        <w:t>PBAC Outcome</w:t>
      </w:r>
    </w:p>
    <w:p w:rsidR="0016695A" w:rsidRPr="0016695A" w:rsidRDefault="0016695A" w:rsidP="0016695A">
      <w:pPr>
        <w:jc w:val="both"/>
        <w:rPr>
          <w:rFonts w:ascii="Arial" w:hAnsi="Arial"/>
          <w:sz w:val="22"/>
        </w:rPr>
      </w:pPr>
    </w:p>
    <w:p w:rsidR="005B73BB" w:rsidRDefault="005B73BB" w:rsidP="0016695A">
      <w:pPr>
        <w:numPr>
          <w:ilvl w:val="1"/>
          <w:numId w:val="25"/>
        </w:numPr>
        <w:jc w:val="both"/>
        <w:rPr>
          <w:rFonts w:ascii="Arial" w:hAnsi="Arial"/>
          <w:sz w:val="22"/>
        </w:rPr>
      </w:pPr>
      <w:r>
        <w:rPr>
          <w:rFonts w:ascii="Arial" w:hAnsi="Arial"/>
          <w:sz w:val="22"/>
        </w:rPr>
        <w:t xml:space="preserve">The PBAC considered the sponsor’s submission of </w:t>
      </w:r>
      <w:r w:rsidR="00E949E5">
        <w:rPr>
          <w:rFonts w:ascii="Arial" w:hAnsi="Arial"/>
          <w:sz w:val="22"/>
        </w:rPr>
        <w:t>9 September 2015.</w:t>
      </w:r>
    </w:p>
    <w:p w:rsidR="00E949E5" w:rsidRDefault="00E949E5" w:rsidP="00E949E5">
      <w:pPr>
        <w:ind w:left="720"/>
        <w:jc w:val="both"/>
        <w:rPr>
          <w:rFonts w:ascii="Arial" w:hAnsi="Arial"/>
          <w:sz w:val="22"/>
        </w:rPr>
      </w:pPr>
    </w:p>
    <w:p w:rsidR="00356D14" w:rsidRDefault="00E949E5" w:rsidP="00BE4B7F">
      <w:pPr>
        <w:numPr>
          <w:ilvl w:val="1"/>
          <w:numId w:val="25"/>
        </w:numPr>
        <w:jc w:val="both"/>
        <w:rPr>
          <w:rFonts w:ascii="Arial" w:hAnsi="Arial"/>
          <w:sz w:val="22"/>
        </w:rPr>
      </w:pPr>
      <w:r>
        <w:rPr>
          <w:rFonts w:ascii="Arial" w:hAnsi="Arial"/>
          <w:sz w:val="22"/>
        </w:rPr>
        <w:t>The PBAC noted that the sponsor’</w:t>
      </w:r>
      <w:r w:rsidR="002B42F9">
        <w:rPr>
          <w:rFonts w:ascii="Arial" w:hAnsi="Arial"/>
          <w:sz w:val="22"/>
        </w:rPr>
        <w:t xml:space="preserve">s submission offered a </w:t>
      </w:r>
      <w:r w:rsidR="002B42F9" w:rsidRPr="009E7B42">
        <w:rPr>
          <w:rFonts w:ascii="Arial" w:hAnsi="Arial"/>
          <w:sz w:val="22"/>
        </w:rPr>
        <w:t xml:space="preserve">cumulative </w:t>
      </w:r>
      <w:r w:rsidR="006A03D9">
        <w:rPr>
          <w:rFonts w:ascii="Arial" w:hAnsi="Arial"/>
          <w:noProof/>
          <w:color w:val="000000"/>
          <w:sz w:val="22"/>
          <w:highlight w:val="black"/>
        </w:rPr>
        <w:t>''''''''''</w:t>
      </w:r>
      <w:r w:rsidR="002B42F9" w:rsidRPr="009E7B42">
        <w:rPr>
          <w:rFonts w:ascii="Arial" w:hAnsi="Arial"/>
          <w:sz w:val="22"/>
        </w:rPr>
        <w:t>%</w:t>
      </w:r>
      <w:r w:rsidR="002B42F9">
        <w:rPr>
          <w:rFonts w:ascii="Arial" w:hAnsi="Arial"/>
          <w:sz w:val="22"/>
        </w:rPr>
        <w:t xml:space="preserve"> price reduction consistent with the July 2015 Pre-PBAC Response</w:t>
      </w:r>
      <w:r w:rsidR="0040488D">
        <w:rPr>
          <w:rFonts w:ascii="Arial" w:hAnsi="Arial"/>
          <w:sz w:val="22"/>
        </w:rPr>
        <w:t>,</w:t>
      </w:r>
      <w:r w:rsidR="002B42F9">
        <w:rPr>
          <w:rFonts w:ascii="Arial" w:hAnsi="Arial"/>
          <w:sz w:val="22"/>
        </w:rPr>
        <w:t xml:space="preserve"> in addition to </w:t>
      </w:r>
      <w:r w:rsidR="0040488D">
        <w:rPr>
          <w:rFonts w:ascii="Arial" w:hAnsi="Arial"/>
          <w:sz w:val="22"/>
        </w:rPr>
        <w:t>the</w:t>
      </w:r>
      <w:r w:rsidR="002B42F9">
        <w:rPr>
          <w:rFonts w:ascii="Arial" w:hAnsi="Arial"/>
          <w:sz w:val="22"/>
        </w:rPr>
        <w:t xml:space="preserve"> 5% reduction occurring 1 April 2016. The Committee noted that </w:t>
      </w:r>
      <w:r w:rsidR="00356D14">
        <w:rPr>
          <w:rFonts w:ascii="Arial" w:hAnsi="Arial"/>
          <w:sz w:val="22"/>
        </w:rPr>
        <w:t xml:space="preserve">after accounting for both reductions the ICER remained significantly higher than the original ICER of </w:t>
      </w:r>
      <w:r w:rsidR="00BE4B7F" w:rsidRPr="009E7B42">
        <w:rPr>
          <w:rFonts w:ascii="Arial" w:hAnsi="Arial"/>
          <w:sz w:val="22"/>
        </w:rPr>
        <w:t>$15,000</w:t>
      </w:r>
      <w:r w:rsidR="00A73CD0">
        <w:rPr>
          <w:rFonts w:ascii="Arial" w:hAnsi="Arial"/>
          <w:sz w:val="22"/>
        </w:rPr>
        <w:t>/QALY</w:t>
      </w:r>
      <w:r w:rsidR="00BE4B7F" w:rsidRPr="009E7B42">
        <w:rPr>
          <w:rFonts w:ascii="Arial" w:hAnsi="Arial"/>
          <w:sz w:val="22"/>
        </w:rPr>
        <w:t xml:space="preserve"> - $45,000</w:t>
      </w:r>
      <w:r w:rsidR="00356D14">
        <w:rPr>
          <w:rFonts w:ascii="Arial" w:hAnsi="Arial"/>
          <w:sz w:val="22"/>
        </w:rPr>
        <w:t>/QALY which formed the basis for the PBAC’s listing recommendation in July 2015.</w:t>
      </w:r>
    </w:p>
    <w:p w:rsidR="00356D14" w:rsidRDefault="00356D14" w:rsidP="00356D14">
      <w:pPr>
        <w:pStyle w:val="ListParagraph"/>
        <w:rPr>
          <w:rFonts w:ascii="Arial" w:hAnsi="Arial"/>
          <w:sz w:val="22"/>
        </w:rPr>
      </w:pPr>
    </w:p>
    <w:p w:rsidR="002B42F9" w:rsidRDefault="002B42F9" w:rsidP="00BE4B7F">
      <w:pPr>
        <w:numPr>
          <w:ilvl w:val="1"/>
          <w:numId w:val="25"/>
        </w:numPr>
        <w:jc w:val="both"/>
        <w:rPr>
          <w:rFonts w:ascii="Arial" w:hAnsi="Arial"/>
          <w:sz w:val="22"/>
        </w:rPr>
      </w:pPr>
      <w:r w:rsidRPr="00C8496F">
        <w:rPr>
          <w:rFonts w:ascii="Arial" w:hAnsi="Arial"/>
          <w:sz w:val="22"/>
        </w:rPr>
        <w:t xml:space="preserve">The PBAC </w:t>
      </w:r>
      <w:r>
        <w:rPr>
          <w:rFonts w:ascii="Arial" w:hAnsi="Arial"/>
          <w:sz w:val="22"/>
        </w:rPr>
        <w:t xml:space="preserve">further </w:t>
      </w:r>
      <w:r w:rsidRPr="00C8496F">
        <w:rPr>
          <w:rFonts w:ascii="Arial" w:hAnsi="Arial"/>
          <w:sz w:val="22"/>
        </w:rPr>
        <w:t>noted that the Pre-PBAC Response of 8 October 2015 did not provid</w:t>
      </w:r>
      <w:r>
        <w:rPr>
          <w:rFonts w:ascii="Arial" w:hAnsi="Arial"/>
          <w:sz w:val="22"/>
        </w:rPr>
        <w:t xml:space="preserve">e any new evidence where an ICER of greater than </w:t>
      </w:r>
      <w:r w:rsidR="00BE4B7F" w:rsidRPr="00BE4B7F">
        <w:rPr>
          <w:rFonts w:ascii="Arial" w:hAnsi="Arial"/>
          <w:sz w:val="22"/>
        </w:rPr>
        <w:t>$15,000</w:t>
      </w:r>
      <w:r w:rsidR="00A73CD0">
        <w:rPr>
          <w:rFonts w:ascii="Arial" w:hAnsi="Arial"/>
          <w:sz w:val="22"/>
        </w:rPr>
        <w:t>/QALY</w:t>
      </w:r>
      <w:r w:rsidR="00BE4B7F" w:rsidRPr="00BE4B7F">
        <w:rPr>
          <w:rFonts w:ascii="Arial" w:hAnsi="Arial"/>
          <w:sz w:val="22"/>
        </w:rPr>
        <w:t xml:space="preserve"> - $45,000</w:t>
      </w:r>
      <w:r>
        <w:rPr>
          <w:rFonts w:ascii="Arial" w:hAnsi="Arial"/>
          <w:sz w:val="22"/>
        </w:rPr>
        <w:t>/QALY could be supported.</w:t>
      </w:r>
    </w:p>
    <w:p w:rsidR="002B42F9" w:rsidRDefault="002B42F9" w:rsidP="005B73BB">
      <w:pPr>
        <w:ind w:left="720"/>
        <w:jc w:val="both"/>
        <w:rPr>
          <w:rFonts w:ascii="Arial" w:hAnsi="Arial"/>
          <w:sz w:val="22"/>
        </w:rPr>
      </w:pPr>
    </w:p>
    <w:p w:rsidR="006A284C" w:rsidRDefault="0087519F" w:rsidP="00BE4B7F">
      <w:pPr>
        <w:numPr>
          <w:ilvl w:val="1"/>
          <w:numId w:val="25"/>
        </w:numPr>
        <w:jc w:val="both"/>
        <w:rPr>
          <w:rFonts w:ascii="Arial" w:hAnsi="Arial"/>
          <w:sz w:val="22"/>
        </w:rPr>
      </w:pPr>
      <w:r w:rsidRPr="0087519F">
        <w:rPr>
          <w:rFonts w:ascii="Arial" w:hAnsi="Arial"/>
          <w:sz w:val="22"/>
        </w:rPr>
        <w:t>The PBAC r</w:t>
      </w:r>
      <w:r w:rsidR="00BE1F29" w:rsidRPr="0087519F">
        <w:rPr>
          <w:rFonts w:ascii="Arial" w:hAnsi="Arial"/>
          <w:sz w:val="22"/>
        </w:rPr>
        <w:t>eaffirm</w:t>
      </w:r>
      <w:r w:rsidRPr="0087519F">
        <w:rPr>
          <w:rFonts w:ascii="Arial" w:hAnsi="Arial"/>
          <w:sz w:val="22"/>
        </w:rPr>
        <w:t xml:space="preserve">ed its previous </w:t>
      </w:r>
      <w:r w:rsidR="00356D14">
        <w:rPr>
          <w:rFonts w:ascii="Arial" w:hAnsi="Arial"/>
          <w:sz w:val="22"/>
        </w:rPr>
        <w:t>advice</w:t>
      </w:r>
      <w:r w:rsidRPr="0087519F">
        <w:rPr>
          <w:rFonts w:ascii="Arial" w:hAnsi="Arial"/>
          <w:sz w:val="22"/>
        </w:rPr>
        <w:t xml:space="preserve"> </w:t>
      </w:r>
      <w:r w:rsidR="00356D14">
        <w:rPr>
          <w:rFonts w:ascii="Arial" w:hAnsi="Arial"/>
          <w:sz w:val="22"/>
        </w:rPr>
        <w:t xml:space="preserve">of July 2015 </w:t>
      </w:r>
      <w:r w:rsidRPr="0087519F">
        <w:rPr>
          <w:rFonts w:ascii="Arial" w:hAnsi="Arial"/>
          <w:sz w:val="22"/>
        </w:rPr>
        <w:t>that</w:t>
      </w:r>
      <w:r>
        <w:rPr>
          <w:rFonts w:ascii="Arial" w:hAnsi="Arial"/>
          <w:sz w:val="22"/>
        </w:rPr>
        <w:t xml:space="preserve"> the</w:t>
      </w:r>
      <w:r w:rsidRPr="0087519F">
        <w:rPr>
          <w:rFonts w:ascii="Arial" w:hAnsi="Arial"/>
          <w:sz w:val="22"/>
        </w:rPr>
        <w:t xml:space="preserve"> continued listing of strontium on the PBS</w:t>
      </w:r>
      <w:r w:rsidR="00C8496F">
        <w:rPr>
          <w:rFonts w:ascii="Arial" w:hAnsi="Arial"/>
          <w:sz w:val="22"/>
        </w:rPr>
        <w:t>,</w:t>
      </w:r>
      <w:r w:rsidRPr="0087519F">
        <w:rPr>
          <w:rFonts w:ascii="Arial" w:hAnsi="Arial"/>
          <w:sz w:val="22"/>
        </w:rPr>
        <w:t xml:space="preserve"> for the treatment of severe established osteoporosis in patients unable to use other osteoporosis medications and without cardiovascular contraindications, </w:t>
      </w:r>
      <w:r w:rsidR="00BD5505">
        <w:rPr>
          <w:rFonts w:ascii="Arial" w:hAnsi="Arial"/>
          <w:sz w:val="22"/>
        </w:rPr>
        <w:t>be</w:t>
      </w:r>
      <w:r w:rsidRPr="0087519F">
        <w:rPr>
          <w:rFonts w:ascii="Arial" w:hAnsi="Arial"/>
          <w:sz w:val="22"/>
        </w:rPr>
        <w:t xml:space="preserve"> based on the condition that the price is reduced such that the ICER would be less than</w:t>
      </w:r>
      <w:r w:rsidR="00A73CD0" w:rsidRPr="00A73CD0">
        <w:rPr>
          <w:rFonts w:ascii="Arial" w:hAnsi="Arial"/>
          <w:sz w:val="22"/>
        </w:rPr>
        <w:t xml:space="preserve"> </w:t>
      </w:r>
      <w:r w:rsidR="00BE4B7F" w:rsidRPr="00BE4B7F">
        <w:rPr>
          <w:rFonts w:ascii="Arial" w:hAnsi="Arial"/>
          <w:sz w:val="22"/>
        </w:rPr>
        <w:t>$15,000</w:t>
      </w:r>
      <w:r w:rsidR="00A73CD0">
        <w:rPr>
          <w:rFonts w:ascii="Arial" w:hAnsi="Arial"/>
          <w:sz w:val="22"/>
        </w:rPr>
        <w:t>/QALY</w:t>
      </w:r>
      <w:r w:rsidR="00BE4B7F" w:rsidRPr="00BE4B7F">
        <w:rPr>
          <w:rFonts w:ascii="Arial" w:hAnsi="Arial"/>
          <w:sz w:val="22"/>
        </w:rPr>
        <w:t xml:space="preserve"> - $45,000</w:t>
      </w:r>
      <w:r w:rsidRPr="0087519F">
        <w:rPr>
          <w:rFonts w:ascii="Arial" w:hAnsi="Arial"/>
          <w:sz w:val="22"/>
        </w:rPr>
        <w:t xml:space="preserve">/QALY. </w:t>
      </w:r>
    </w:p>
    <w:p w:rsidR="00C8496F" w:rsidRDefault="00C8496F" w:rsidP="00C8496F">
      <w:pPr>
        <w:ind w:left="720"/>
        <w:jc w:val="both"/>
        <w:rPr>
          <w:rFonts w:ascii="Arial" w:hAnsi="Arial"/>
          <w:sz w:val="22"/>
        </w:rPr>
      </w:pPr>
    </w:p>
    <w:p w:rsidR="00BD5505" w:rsidRDefault="00356D14" w:rsidP="00B754B4">
      <w:pPr>
        <w:numPr>
          <w:ilvl w:val="1"/>
          <w:numId w:val="25"/>
        </w:numPr>
        <w:jc w:val="both"/>
        <w:rPr>
          <w:rFonts w:ascii="Arial" w:hAnsi="Arial"/>
          <w:sz w:val="22"/>
        </w:rPr>
      </w:pPr>
      <w:r>
        <w:rPr>
          <w:rFonts w:ascii="Arial" w:hAnsi="Arial"/>
          <w:sz w:val="22"/>
        </w:rPr>
        <w:t>The PBAC reaffirmed that at its current price, strontium is not cost-effective.</w:t>
      </w:r>
    </w:p>
    <w:p w:rsidR="00356D14" w:rsidRDefault="00356D14" w:rsidP="00BD5505">
      <w:pPr>
        <w:pStyle w:val="ListParagraph"/>
        <w:rPr>
          <w:rFonts w:ascii="Arial" w:hAnsi="Arial"/>
          <w:sz w:val="22"/>
        </w:rPr>
      </w:pPr>
    </w:p>
    <w:p w:rsidR="00356D14" w:rsidRDefault="00356D14" w:rsidP="00B754B4">
      <w:pPr>
        <w:numPr>
          <w:ilvl w:val="1"/>
          <w:numId w:val="25"/>
        </w:numPr>
        <w:jc w:val="both"/>
        <w:rPr>
          <w:rFonts w:ascii="Arial" w:hAnsi="Arial"/>
          <w:sz w:val="22"/>
        </w:rPr>
      </w:pPr>
      <w:r>
        <w:rPr>
          <w:rFonts w:ascii="Arial" w:hAnsi="Arial"/>
          <w:sz w:val="22"/>
        </w:rPr>
        <w:t>The PBAC recognised that the Minister may choose to delist strontium from the PBS unless an appropriate price offer is received from the sponsor.</w:t>
      </w:r>
    </w:p>
    <w:p w:rsidR="00B754B4" w:rsidRDefault="00B754B4" w:rsidP="00B754B4">
      <w:pPr>
        <w:pStyle w:val="ListParagraph"/>
        <w:rPr>
          <w:rFonts w:ascii="Arial" w:hAnsi="Arial"/>
          <w:sz w:val="22"/>
        </w:rPr>
      </w:pPr>
    </w:p>
    <w:p w:rsidR="00B754B4" w:rsidRDefault="00356D14" w:rsidP="00B754B4">
      <w:pPr>
        <w:numPr>
          <w:ilvl w:val="1"/>
          <w:numId w:val="25"/>
        </w:numPr>
        <w:jc w:val="both"/>
        <w:rPr>
          <w:rFonts w:ascii="Arial" w:hAnsi="Arial"/>
          <w:sz w:val="22"/>
        </w:rPr>
      </w:pPr>
      <w:r>
        <w:rPr>
          <w:rFonts w:ascii="Arial" w:hAnsi="Arial"/>
          <w:sz w:val="22"/>
        </w:rPr>
        <w:t>The PBAC considered that there were no reasons why the Minister should not delist strontium by revoking the declaration that strontium is a drug to which Part VII of the Act applies, if the sponsor of strontium does not agree to the price reduction sought following the July 1015 meeting of the PBAC.</w:t>
      </w:r>
    </w:p>
    <w:p w:rsidR="00B754B4" w:rsidRDefault="00B754B4" w:rsidP="00B754B4">
      <w:pPr>
        <w:pStyle w:val="ListParagraph"/>
        <w:rPr>
          <w:rFonts w:ascii="Arial" w:hAnsi="Arial"/>
          <w:sz w:val="22"/>
        </w:rPr>
      </w:pPr>
    </w:p>
    <w:p w:rsidR="00B754B4" w:rsidRDefault="00B754B4" w:rsidP="00B754B4">
      <w:pPr>
        <w:numPr>
          <w:ilvl w:val="1"/>
          <w:numId w:val="25"/>
        </w:numPr>
        <w:jc w:val="both"/>
        <w:rPr>
          <w:rFonts w:ascii="Arial" w:hAnsi="Arial"/>
          <w:sz w:val="22"/>
        </w:rPr>
      </w:pPr>
      <w:r>
        <w:rPr>
          <w:rFonts w:ascii="Arial" w:hAnsi="Arial"/>
          <w:sz w:val="22"/>
        </w:rPr>
        <w:t>The PBAC noted that, if delisting of strontium is to proceed, then for the few patients requiring treatment with this medicine, it remains accessible via the private and public hospital settings.</w:t>
      </w:r>
    </w:p>
    <w:p w:rsidR="00B754B4" w:rsidRDefault="00B754B4" w:rsidP="00B754B4">
      <w:pPr>
        <w:ind w:left="720"/>
        <w:jc w:val="both"/>
        <w:rPr>
          <w:rFonts w:ascii="Arial" w:hAnsi="Arial"/>
          <w:sz w:val="22"/>
        </w:rPr>
      </w:pPr>
    </w:p>
    <w:p w:rsidR="00B754B4" w:rsidRDefault="00B754B4" w:rsidP="00B754B4">
      <w:pPr>
        <w:numPr>
          <w:ilvl w:val="1"/>
          <w:numId w:val="25"/>
        </w:numPr>
        <w:jc w:val="both"/>
        <w:rPr>
          <w:rFonts w:ascii="Arial" w:hAnsi="Arial"/>
          <w:sz w:val="22"/>
        </w:rPr>
      </w:pPr>
      <w:r>
        <w:rPr>
          <w:rFonts w:ascii="Arial" w:hAnsi="Arial"/>
          <w:sz w:val="22"/>
        </w:rPr>
        <w:t>There were no other matters that the PBAC considered the Minister should take into account when considering whether or not to delist strontium from the PBS.</w:t>
      </w:r>
    </w:p>
    <w:p w:rsidR="00193F0B" w:rsidRDefault="00193F0B" w:rsidP="00193F0B">
      <w:pPr>
        <w:pStyle w:val="ListParagraph"/>
        <w:rPr>
          <w:rFonts w:ascii="Arial" w:hAnsi="Arial"/>
          <w:sz w:val="22"/>
        </w:rPr>
      </w:pPr>
    </w:p>
    <w:p w:rsidR="00D1689E" w:rsidRDefault="00D1689E" w:rsidP="00193F0B">
      <w:pPr>
        <w:pStyle w:val="ListParagraph"/>
        <w:rPr>
          <w:rFonts w:ascii="Arial" w:hAnsi="Arial"/>
          <w:sz w:val="22"/>
        </w:rPr>
      </w:pPr>
    </w:p>
    <w:p w:rsidR="00193F0B" w:rsidRDefault="00193F0B" w:rsidP="00D1689E">
      <w:pPr>
        <w:pStyle w:val="Heading1"/>
        <w:rPr>
          <w:rFonts w:eastAsia="SimSun"/>
          <w:lang w:eastAsia="en-US"/>
        </w:rPr>
      </w:pPr>
      <w:r>
        <w:rPr>
          <w:rFonts w:eastAsia="SimSun"/>
          <w:lang w:eastAsia="en-US"/>
        </w:rPr>
        <w:t>Context for Decision</w:t>
      </w:r>
    </w:p>
    <w:p w:rsidR="00193F0B" w:rsidRDefault="00193F0B" w:rsidP="00193F0B">
      <w:pPr>
        <w:ind w:left="720"/>
        <w:contextualSpacing/>
        <w:rPr>
          <w:b/>
        </w:rPr>
      </w:pPr>
    </w:p>
    <w:p w:rsidR="00193F0B" w:rsidRDefault="00193F0B" w:rsidP="00193F0B">
      <w:pPr>
        <w:ind w:left="720"/>
        <w:rPr>
          <w:rFonts w:ascii="Arial" w:hAnsi="Arial" w:cs="Arial"/>
          <w:bCs/>
          <w:snapToGrid w:val="0"/>
          <w:sz w:val="22"/>
          <w:szCs w:val="22"/>
        </w:rPr>
      </w:pPr>
      <w:r>
        <w:rPr>
          <w:rFonts w:ascii="Arial" w:hAnsi="Arial" w:cs="Arial"/>
          <w:bCs/>
          <w:snapToGrid w:val="0"/>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93F0B" w:rsidRDefault="00193F0B" w:rsidP="00193F0B"/>
    <w:p w:rsidR="00D1689E" w:rsidRDefault="00D1689E" w:rsidP="00193F0B"/>
    <w:p w:rsidR="00193F0B" w:rsidRDefault="00193F0B" w:rsidP="00D1689E">
      <w:pPr>
        <w:pStyle w:val="Heading1"/>
        <w:rPr>
          <w:rFonts w:eastAsia="SimSun"/>
          <w:lang w:eastAsia="en-US"/>
        </w:rPr>
      </w:pPr>
      <w:r>
        <w:rPr>
          <w:rFonts w:eastAsia="SimSun"/>
          <w:lang w:eastAsia="en-US"/>
        </w:rPr>
        <w:t>Sponsor’s Comment</w:t>
      </w:r>
    </w:p>
    <w:p w:rsidR="00193F0B" w:rsidRDefault="00193F0B" w:rsidP="00193F0B">
      <w:pPr>
        <w:ind w:left="720"/>
        <w:jc w:val="both"/>
        <w:rPr>
          <w:rFonts w:ascii="Arial" w:hAnsi="Arial"/>
          <w:sz w:val="22"/>
        </w:rPr>
      </w:pPr>
    </w:p>
    <w:p w:rsidR="00193F0B" w:rsidRPr="00B754B4" w:rsidRDefault="00193F0B" w:rsidP="00193F0B">
      <w:pPr>
        <w:ind w:left="720"/>
        <w:jc w:val="both"/>
        <w:rPr>
          <w:rFonts w:ascii="Arial" w:hAnsi="Arial"/>
          <w:sz w:val="22"/>
        </w:rPr>
      </w:pPr>
      <w:r>
        <w:rPr>
          <w:rFonts w:ascii="Arial" w:hAnsi="Arial"/>
          <w:sz w:val="22"/>
        </w:rPr>
        <w:t xml:space="preserve">The sponsor had no comment. </w:t>
      </w:r>
    </w:p>
    <w:sectPr w:rsidR="00193F0B" w:rsidRPr="00B754B4" w:rsidSect="0016695A">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3D9" w:rsidRDefault="006A03D9">
      <w:r>
        <w:separator/>
      </w:r>
    </w:p>
  </w:endnote>
  <w:endnote w:type="continuationSeparator" w:id="0">
    <w:p w:rsidR="006A03D9" w:rsidRDefault="006A0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71DB5" w:rsidTr="005A3173">
      <w:trPr>
        <w:trHeight w:val="151"/>
      </w:trPr>
      <w:tc>
        <w:tcPr>
          <w:tcW w:w="2250" w:type="pct"/>
          <w:tcBorders>
            <w:top w:val="nil"/>
            <w:left w:val="nil"/>
            <w:bottom w:val="single" w:sz="4" w:space="0" w:color="4F81BD"/>
            <w:right w:val="nil"/>
          </w:tcBorders>
        </w:tcPr>
        <w:p w:rsidR="00071DB5" w:rsidRPr="005A3173" w:rsidRDefault="00071DB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71DB5" w:rsidRPr="005A3173" w:rsidRDefault="00071DB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71DB5" w:rsidRPr="005A3173" w:rsidRDefault="00071DB5" w:rsidP="005A3173">
          <w:pPr>
            <w:pStyle w:val="Header"/>
            <w:spacing w:line="276" w:lineRule="auto"/>
            <w:rPr>
              <w:rFonts w:ascii="Calibri" w:eastAsia="MS Gothic" w:hAnsi="Calibri"/>
              <w:b/>
              <w:bCs/>
              <w:color w:val="4F81BD"/>
            </w:rPr>
          </w:pPr>
        </w:p>
      </w:tc>
    </w:tr>
    <w:tr w:rsidR="00071DB5" w:rsidTr="005A3173">
      <w:trPr>
        <w:trHeight w:val="150"/>
      </w:trPr>
      <w:tc>
        <w:tcPr>
          <w:tcW w:w="2250" w:type="pct"/>
          <w:tcBorders>
            <w:top w:val="single" w:sz="4" w:space="0" w:color="4F81BD"/>
            <w:left w:val="nil"/>
            <w:bottom w:val="nil"/>
            <w:right w:val="nil"/>
          </w:tcBorders>
        </w:tcPr>
        <w:p w:rsidR="00071DB5" w:rsidRPr="005A3173" w:rsidRDefault="00071DB5" w:rsidP="005A3173">
          <w:pPr>
            <w:pStyle w:val="Header"/>
            <w:spacing w:line="276" w:lineRule="auto"/>
            <w:rPr>
              <w:rFonts w:ascii="Calibri" w:eastAsia="MS Gothic" w:hAnsi="Calibri"/>
              <w:b/>
              <w:bCs/>
              <w:color w:val="4F81BD"/>
            </w:rPr>
          </w:pPr>
        </w:p>
      </w:tc>
      <w:tc>
        <w:tcPr>
          <w:tcW w:w="0" w:type="auto"/>
          <w:vMerge/>
          <w:vAlign w:val="center"/>
          <w:hideMark/>
        </w:tcPr>
        <w:p w:rsidR="00071DB5" w:rsidRPr="005A3173" w:rsidRDefault="00071DB5" w:rsidP="005A3173">
          <w:pPr>
            <w:rPr>
              <w:rFonts w:ascii="Calibri" w:hAnsi="Calibri"/>
              <w:color w:val="365F91"/>
              <w:sz w:val="22"/>
              <w:szCs w:val="22"/>
            </w:rPr>
          </w:pPr>
        </w:p>
      </w:tc>
      <w:tc>
        <w:tcPr>
          <w:tcW w:w="2250" w:type="pct"/>
          <w:tcBorders>
            <w:top w:val="single" w:sz="4" w:space="0" w:color="4F81BD"/>
            <w:left w:val="nil"/>
            <w:bottom w:val="nil"/>
            <w:right w:val="nil"/>
          </w:tcBorders>
        </w:tcPr>
        <w:p w:rsidR="00071DB5" w:rsidRPr="005A3173" w:rsidRDefault="00071DB5" w:rsidP="005A3173">
          <w:pPr>
            <w:pStyle w:val="Header"/>
            <w:spacing w:line="276" w:lineRule="auto"/>
            <w:rPr>
              <w:rFonts w:ascii="Calibri" w:eastAsia="MS Gothic" w:hAnsi="Calibri"/>
              <w:b/>
              <w:bCs/>
              <w:color w:val="4F81BD"/>
            </w:rPr>
          </w:pPr>
        </w:p>
      </w:tc>
    </w:tr>
  </w:tbl>
  <w:p w:rsidR="00071DB5" w:rsidRDefault="00071DB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71DB5" w:rsidRDefault="00071D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5763041"/>
      <w:docPartObj>
        <w:docPartGallery w:val="Page Numbers (Bottom of Page)"/>
        <w:docPartUnique/>
      </w:docPartObj>
    </w:sdtPr>
    <w:sdtEndPr>
      <w:rPr>
        <w:rFonts w:ascii="Arial" w:hAnsi="Arial" w:cs="Arial"/>
        <w:noProof/>
        <w:sz w:val="20"/>
        <w:szCs w:val="20"/>
      </w:rPr>
    </w:sdtEndPr>
    <w:sdtContent>
      <w:p w:rsidR="00C945A5" w:rsidRPr="00C945A5" w:rsidRDefault="00C945A5">
        <w:pPr>
          <w:pStyle w:val="Footer"/>
          <w:jc w:val="center"/>
          <w:rPr>
            <w:rFonts w:ascii="Arial" w:hAnsi="Arial" w:cs="Arial"/>
            <w:sz w:val="20"/>
            <w:szCs w:val="20"/>
          </w:rPr>
        </w:pPr>
        <w:r w:rsidRPr="00C945A5">
          <w:rPr>
            <w:rFonts w:ascii="Arial" w:hAnsi="Arial" w:cs="Arial"/>
            <w:sz w:val="20"/>
            <w:szCs w:val="20"/>
          </w:rPr>
          <w:fldChar w:fldCharType="begin"/>
        </w:r>
        <w:r w:rsidRPr="00C945A5">
          <w:rPr>
            <w:rFonts w:ascii="Arial" w:hAnsi="Arial" w:cs="Arial"/>
            <w:sz w:val="20"/>
            <w:szCs w:val="20"/>
          </w:rPr>
          <w:instrText xml:space="preserve"> PAGE   \* MERGEFORMAT </w:instrText>
        </w:r>
        <w:r w:rsidRPr="00C945A5">
          <w:rPr>
            <w:rFonts w:ascii="Arial" w:hAnsi="Arial" w:cs="Arial"/>
            <w:sz w:val="20"/>
            <w:szCs w:val="20"/>
          </w:rPr>
          <w:fldChar w:fldCharType="separate"/>
        </w:r>
        <w:r w:rsidR="00B17E28">
          <w:rPr>
            <w:rFonts w:ascii="Arial" w:hAnsi="Arial" w:cs="Arial"/>
            <w:noProof/>
            <w:sz w:val="20"/>
            <w:szCs w:val="20"/>
          </w:rPr>
          <w:t>3</w:t>
        </w:r>
        <w:r w:rsidRPr="00C945A5">
          <w:rPr>
            <w:rFonts w:ascii="Arial" w:hAnsi="Arial" w:cs="Arial"/>
            <w:noProof/>
            <w:sz w:val="20"/>
            <w:szCs w:val="20"/>
          </w:rPr>
          <w:fldChar w:fldCharType="end"/>
        </w:r>
      </w:p>
    </w:sdtContent>
  </w:sdt>
  <w:p w:rsidR="007827A3" w:rsidRDefault="007827A3" w:rsidP="007827A3">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071DB5" w:rsidTr="005A3173">
      <w:trPr>
        <w:trHeight w:val="151"/>
      </w:trPr>
      <w:tc>
        <w:tcPr>
          <w:tcW w:w="2250" w:type="pct"/>
          <w:tcBorders>
            <w:top w:val="nil"/>
            <w:left w:val="nil"/>
            <w:bottom w:val="single" w:sz="4" w:space="0" w:color="4F81BD"/>
            <w:right w:val="nil"/>
          </w:tcBorders>
        </w:tcPr>
        <w:p w:rsidR="00071DB5" w:rsidRPr="005A3173" w:rsidRDefault="00071DB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71DB5" w:rsidRPr="005A3173" w:rsidRDefault="00071DB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71DB5" w:rsidRPr="005A3173" w:rsidRDefault="00071DB5" w:rsidP="005A3173">
          <w:pPr>
            <w:pStyle w:val="Header"/>
            <w:spacing w:line="276" w:lineRule="auto"/>
            <w:rPr>
              <w:rFonts w:ascii="Calibri" w:eastAsia="MS Gothic" w:hAnsi="Calibri"/>
              <w:b/>
              <w:bCs/>
              <w:color w:val="4F81BD"/>
            </w:rPr>
          </w:pPr>
        </w:p>
      </w:tc>
    </w:tr>
    <w:tr w:rsidR="00071DB5" w:rsidTr="005A3173">
      <w:trPr>
        <w:trHeight w:val="150"/>
      </w:trPr>
      <w:tc>
        <w:tcPr>
          <w:tcW w:w="2250" w:type="pct"/>
          <w:tcBorders>
            <w:top w:val="single" w:sz="4" w:space="0" w:color="4F81BD"/>
            <w:left w:val="nil"/>
            <w:bottom w:val="nil"/>
            <w:right w:val="nil"/>
          </w:tcBorders>
        </w:tcPr>
        <w:p w:rsidR="00071DB5" w:rsidRPr="005A3173" w:rsidRDefault="00071DB5" w:rsidP="005A3173">
          <w:pPr>
            <w:pStyle w:val="Header"/>
            <w:spacing w:line="276" w:lineRule="auto"/>
            <w:rPr>
              <w:rFonts w:ascii="Calibri" w:eastAsia="MS Gothic" w:hAnsi="Calibri"/>
              <w:b/>
              <w:bCs/>
              <w:color w:val="4F81BD"/>
            </w:rPr>
          </w:pPr>
        </w:p>
      </w:tc>
      <w:tc>
        <w:tcPr>
          <w:tcW w:w="0" w:type="auto"/>
          <w:vMerge/>
          <w:vAlign w:val="center"/>
          <w:hideMark/>
        </w:tcPr>
        <w:p w:rsidR="00071DB5" w:rsidRPr="005A3173" w:rsidRDefault="00071DB5" w:rsidP="005A3173">
          <w:pPr>
            <w:rPr>
              <w:rFonts w:ascii="Calibri" w:hAnsi="Calibri"/>
              <w:color w:val="365F91"/>
              <w:sz w:val="22"/>
              <w:szCs w:val="22"/>
            </w:rPr>
          </w:pPr>
        </w:p>
      </w:tc>
      <w:tc>
        <w:tcPr>
          <w:tcW w:w="2250" w:type="pct"/>
          <w:tcBorders>
            <w:top w:val="single" w:sz="4" w:space="0" w:color="4F81BD"/>
            <w:left w:val="nil"/>
            <w:bottom w:val="nil"/>
            <w:right w:val="nil"/>
          </w:tcBorders>
        </w:tcPr>
        <w:p w:rsidR="00071DB5" w:rsidRPr="005A3173" w:rsidRDefault="00071DB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71DB5" w:rsidTr="005A3173">
      <w:trPr>
        <w:trHeight w:val="151"/>
      </w:trPr>
      <w:tc>
        <w:tcPr>
          <w:tcW w:w="2250" w:type="pct"/>
          <w:tcBorders>
            <w:top w:val="nil"/>
            <w:left w:val="nil"/>
            <w:bottom w:val="single" w:sz="4" w:space="0" w:color="4F81BD"/>
            <w:right w:val="nil"/>
          </w:tcBorders>
        </w:tcPr>
        <w:p w:rsidR="00071DB5" w:rsidRPr="005A3173" w:rsidRDefault="00071DB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71DB5" w:rsidRPr="005A3173" w:rsidRDefault="00071DB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71DB5" w:rsidRPr="005A3173" w:rsidRDefault="00071DB5" w:rsidP="005A3173">
          <w:pPr>
            <w:pStyle w:val="Header"/>
            <w:spacing w:line="276" w:lineRule="auto"/>
            <w:rPr>
              <w:rFonts w:ascii="Calibri" w:eastAsia="MS Gothic" w:hAnsi="Calibri"/>
              <w:b/>
              <w:bCs/>
              <w:color w:val="4F81BD"/>
            </w:rPr>
          </w:pPr>
        </w:p>
      </w:tc>
    </w:tr>
    <w:tr w:rsidR="00071DB5" w:rsidTr="005A3173">
      <w:trPr>
        <w:trHeight w:val="150"/>
      </w:trPr>
      <w:tc>
        <w:tcPr>
          <w:tcW w:w="2250" w:type="pct"/>
          <w:tcBorders>
            <w:top w:val="single" w:sz="4" w:space="0" w:color="4F81BD"/>
            <w:left w:val="nil"/>
            <w:bottom w:val="nil"/>
            <w:right w:val="nil"/>
          </w:tcBorders>
        </w:tcPr>
        <w:p w:rsidR="00071DB5" w:rsidRPr="005A3173" w:rsidRDefault="00071DB5" w:rsidP="005A3173">
          <w:pPr>
            <w:pStyle w:val="Header"/>
            <w:spacing w:line="276" w:lineRule="auto"/>
            <w:rPr>
              <w:rFonts w:ascii="Calibri" w:eastAsia="MS Gothic" w:hAnsi="Calibri"/>
              <w:b/>
              <w:bCs/>
              <w:color w:val="4F81BD"/>
            </w:rPr>
          </w:pPr>
        </w:p>
      </w:tc>
      <w:tc>
        <w:tcPr>
          <w:tcW w:w="0" w:type="auto"/>
          <w:vMerge/>
          <w:vAlign w:val="center"/>
          <w:hideMark/>
        </w:tcPr>
        <w:p w:rsidR="00071DB5" w:rsidRPr="005A3173" w:rsidRDefault="00071DB5" w:rsidP="005A3173">
          <w:pPr>
            <w:rPr>
              <w:rFonts w:ascii="Calibri" w:hAnsi="Calibri"/>
              <w:color w:val="365F91"/>
              <w:sz w:val="22"/>
              <w:szCs w:val="22"/>
            </w:rPr>
          </w:pPr>
        </w:p>
      </w:tc>
      <w:tc>
        <w:tcPr>
          <w:tcW w:w="2250" w:type="pct"/>
          <w:tcBorders>
            <w:top w:val="single" w:sz="4" w:space="0" w:color="4F81BD"/>
            <w:left w:val="nil"/>
            <w:bottom w:val="nil"/>
            <w:right w:val="nil"/>
          </w:tcBorders>
        </w:tcPr>
        <w:p w:rsidR="00071DB5" w:rsidRPr="005A3173" w:rsidRDefault="00071DB5" w:rsidP="005A3173">
          <w:pPr>
            <w:pStyle w:val="Header"/>
            <w:spacing w:line="276" w:lineRule="auto"/>
            <w:rPr>
              <w:rFonts w:ascii="Calibri" w:eastAsia="MS Gothic" w:hAnsi="Calibri"/>
              <w:b/>
              <w:bCs/>
              <w:color w:val="4F81BD"/>
            </w:rPr>
          </w:pPr>
        </w:p>
      </w:tc>
    </w:tr>
  </w:tbl>
  <w:p w:rsidR="00071DB5" w:rsidRPr="007C0F57" w:rsidRDefault="00071DB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71DB5" w:rsidRPr="007C0F57" w:rsidRDefault="00071DB5"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3D9" w:rsidRDefault="006A03D9">
      <w:r>
        <w:separator/>
      </w:r>
    </w:p>
  </w:footnote>
  <w:footnote w:type="continuationSeparator" w:id="0">
    <w:p w:rsidR="006A03D9" w:rsidRDefault="006A03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71DB5" w:rsidRPr="008E0D90" w:rsidTr="00A06225">
      <w:trPr>
        <w:trHeight w:val="151"/>
      </w:trPr>
      <w:tc>
        <w:tcPr>
          <w:tcW w:w="2389" w:type="pct"/>
          <w:tcBorders>
            <w:top w:val="nil"/>
            <w:left w:val="nil"/>
            <w:bottom w:val="single" w:sz="4" w:space="0" w:color="4F81BD"/>
            <w:right w:val="nil"/>
          </w:tcBorders>
        </w:tcPr>
        <w:p w:rsidR="00071DB5" w:rsidRPr="00A06225" w:rsidRDefault="00071DB5">
          <w:pPr>
            <w:pStyle w:val="Header"/>
            <w:spacing w:line="276" w:lineRule="auto"/>
            <w:rPr>
              <w:rFonts w:ascii="Cambria" w:eastAsia="MS Gothic" w:hAnsi="Cambria"/>
              <w:b/>
              <w:bCs/>
              <w:color w:val="4F81BD"/>
            </w:rPr>
          </w:pPr>
        </w:p>
      </w:tc>
      <w:tc>
        <w:tcPr>
          <w:tcW w:w="333" w:type="pct"/>
          <w:vMerge w:val="restart"/>
          <w:noWrap/>
          <w:vAlign w:val="center"/>
          <w:hideMark/>
        </w:tcPr>
        <w:p w:rsidR="00071DB5" w:rsidRPr="00A06225" w:rsidRDefault="00071DB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71DB5" w:rsidRPr="00A06225" w:rsidRDefault="00071DB5">
          <w:pPr>
            <w:pStyle w:val="Header"/>
            <w:spacing w:line="276" w:lineRule="auto"/>
            <w:rPr>
              <w:rFonts w:ascii="Cambria" w:eastAsia="MS Gothic" w:hAnsi="Cambria"/>
              <w:b/>
              <w:bCs/>
              <w:color w:val="4F81BD"/>
            </w:rPr>
          </w:pPr>
        </w:p>
      </w:tc>
    </w:tr>
    <w:tr w:rsidR="00071DB5" w:rsidRPr="008E0D90" w:rsidTr="00A06225">
      <w:trPr>
        <w:trHeight w:val="150"/>
      </w:trPr>
      <w:tc>
        <w:tcPr>
          <w:tcW w:w="2389" w:type="pct"/>
          <w:tcBorders>
            <w:top w:val="single" w:sz="4" w:space="0" w:color="4F81BD"/>
            <w:left w:val="nil"/>
            <w:bottom w:val="nil"/>
            <w:right w:val="nil"/>
          </w:tcBorders>
        </w:tcPr>
        <w:p w:rsidR="00071DB5" w:rsidRPr="00A06225" w:rsidRDefault="00071DB5">
          <w:pPr>
            <w:pStyle w:val="Header"/>
            <w:spacing w:line="276" w:lineRule="auto"/>
            <w:rPr>
              <w:rFonts w:ascii="Cambria" w:eastAsia="MS Gothic" w:hAnsi="Cambria"/>
              <w:b/>
              <w:bCs/>
              <w:color w:val="4F81BD"/>
            </w:rPr>
          </w:pPr>
        </w:p>
      </w:tc>
      <w:tc>
        <w:tcPr>
          <w:tcW w:w="0" w:type="auto"/>
          <w:vMerge/>
          <w:vAlign w:val="center"/>
          <w:hideMark/>
        </w:tcPr>
        <w:p w:rsidR="00071DB5" w:rsidRPr="00A06225" w:rsidRDefault="00071DB5">
          <w:pPr>
            <w:rPr>
              <w:rFonts w:ascii="Cambria" w:hAnsi="Cambria"/>
              <w:color w:val="4F81BD"/>
              <w:sz w:val="22"/>
              <w:szCs w:val="22"/>
            </w:rPr>
          </w:pPr>
        </w:p>
      </w:tc>
      <w:tc>
        <w:tcPr>
          <w:tcW w:w="2278" w:type="pct"/>
          <w:tcBorders>
            <w:top w:val="single" w:sz="4" w:space="0" w:color="4F81BD"/>
            <w:left w:val="nil"/>
            <w:bottom w:val="nil"/>
            <w:right w:val="nil"/>
          </w:tcBorders>
        </w:tcPr>
        <w:p w:rsidR="00071DB5" w:rsidRPr="00A06225" w:rsidRDefault="00071DB5">
          <w:pPr>
            <w:pStyle w:val="Header"/>
            <w:spacing w:line="276" w:lineRule="auto"/>
            <w:rPr>
              <w:rFonts w:ascii="Cambria" w:eastAsia="MS Gothic" w:hAnsi="Cambria"/>
              <w:b/>
              <w:bCs/>
              <w:color w:val="4F81BD"/>
            </w:rPr>
          </w:pPr>
        </w:p>
      </w:tc>
    </w:tr>
  </w:tbl>
  <w:p w:rsidR="00071DB5" w:rsidRDefault="00071D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B7F" w:rsidRPr="009E7B42" w:rsidRDefault="00BE4B7F" w:rsidP="00BE4B7F">
    <w:pPr>
      <w:pStyle w:val="Header"/>
      <w:jc w:val="center"/>
      <w:rPr>
        <w:rFonts w:ascii="Arial" w:hAnsi="Arial" w:cs="Arial"/>
        <w:i/>
        <w:color w:val="808080"/>
        <w:sz w:val="22"/>
      </w:rPr>
    </w:pPr>
    <w:r w:rsidRPr="009E7B42">
      <w:rPr>
        <w:rFonts w:ascii="Arial" w:hAnsi="Arial" w:cs="Arial"/>
        <w:i/>
        <w:color w:val="808080"/>
        <w:sz w:val="22"/>
      </w:rPr>
      <w:t>Public Summary Document – November 2015 PBAC Meeting</w:t>
    </w:r>
  </w:p>
  <w:p w:rsidR="0016695A" w:rsidRPr="0016695A" w:rsidRDefault="0016695A" w:rsidP="0016695A">
    <w:pPr>
      <w:pStyle w:val="Header"/>
      <w:rPr>
        <w:rFonts w:ascii="Arial" w:hAnsi="Arial" w:cs="Arial"/>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3D9" w:rsidRDefault="006A03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3">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4">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5">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6">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7">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9">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1">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2">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13">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14">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6">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7">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nsid w:val="59BC5196"/>
    <w:multiLevelType w:val="multilevel"/>
    <w:tmpl w:val="8C66A856"/>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21">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23">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4">
    <w:nsid w:val="73F9624D"/>
    <w:multiLevelType w:val="multilevel"/>
    <w:tmpl w:val="91E21E7C"/>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26">
    <w:nsid w:val="784D033C"/>
    <w:multiLevelType w:val="multilevel"/>
    <w:tmpl w:val="D0C6B83A"/>
    <w:lvl w:ilvl="0">
      <w:start w:val="1"/>
      <w:numFmt w:val="decimal"/>
      <w:pStyle w:val="Heading1"/>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13"/>
  </w:num>
  <w:num w:numId="4">
    <w:abstractNumId w:val="0"/>
  </w:num>
  <w:num w:numId="5">
    <w:abstractNumId w:val="3"/>
  </w:num>
  <w:num w:numId="6">
    <w:abstractNumId w:val="12"/>
  </w:num>
  <w:num w:numId="7">
    <w:abstractNumId w:val="10"/>
  </w:num>
  <w:num w:numId="8">
    <w:abstractNumId w:val="2"/>
  </w:num>
  <w:num w:numId="9">
    <w:abstractNumId w:val="5"/>
  </w:num>
  <w:num w:numId="10">
    <w:abstractNumId w:val="20"/>
  </w:num>
  <w:num w:numId="1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3"/>
  </w:num>
  <w:num w:numId="15">
    <w:abstractNumId w:val="17"/>
  </w:num>
  <w:num w:numId="16">
    <w:abstractNumId w:val="15"/>
  </w:num>
  <w:num w:numId="17">
    <w:abstractNumId w:val="25"/>
  </w:num>
  <w:num w:numId="18">
    <w:abstractNumId w:val="8"/>
  </w:num>
  <w:num w:numId="19">
    <w:abstractNumId w:val="11"/>
  </w:num>
  <w:num w:numId="20">
    <w:abstractNumId w:val="1"/>
  </w:num>
  <w:num w:numId="21">
    <w:abstractNumId w:val="19"/>
  </w:num>
  <w:num w:numId="22">
    <w:abstractNumId w:val="21"/>
  </w:num>
  <w:num w:numId="23">
    <w:abstractNumId w:val="27"/>
  </w:num>
  <w:num w:numId="24">
    <w:abstractNumId w:val="9"/>
  </w:num>
  <w:num w:numId="25">
    <w:abstractNumId w:val="26"/>
  </w:num>
  <w:num w:numId="26">
    <w:abstractNumId w:val="18"/>
  </w:num>
  <w:num w:numId="27">
    <w:abstractNumId w:val="7"/>
  </w:num>
  <w:num w:numId="28">
    <w:abstractNumId w:val="4"/>
  </w:num>
  <w:num w:numId="29">
    <w:abstractNumId w:val="16"/>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09ED"/>
    <w:rsid w:val="0003106B"/>
    <w:rsid w:val="000421A1"/>
    <w:rsid w:val="0004240E"/>
    <w:rsid w:val="00045E26"/>
    <w:rsid w:val="000514B5"/>
    <w:rsid w:val="00054153"/>
    <w:rsid w:val="000561FE"/>
    <w:rsid w:val="00060E64"/>
    <w:rsid w:val="00071DB5"/>
    <w:rsid w:val="000969AD"/>
    <w:rsid w:val="000A5B65"/>
    <w:rsid w:val="000B558D"/>
    <w:rsid w:val="000C200F"/>
    <w:rsid w:val="000C6996"/>
    <w:rsid w:val="000D23BA"/>
    <w:rsid w:val="000E681E"/>
    <w:rsid w:val="000F4E6A"/>
    <w:rsid w:val="001107BF"/>
    <w:rsid w:val="0012417C"/>
    <w:rsid w:val="00142395"/>
    <w:rsid w:val="00142714"/>
    <w:rsid w:val="001452ED"/>
    <w:rsid w:val="0016695A"/>
    <w:rsid w:val="00166E8F"/>
    <w:rsid w:val="00180C02"/>
    <w:rsid w:val="001830CE"/>
    <w:rsid w:val="00193F0B"/>
    <w:rsid w:val="00196307"/>
    <w:rsid w:val="00196BBD"/>
    <w:rsid w:val="001B017F"/>
    <w:rsid w:val="001B45AA"/>
    <w:rsid w:val="001B5129"/>
    <w:rsid w:val="001B66AB"/>
    <w:rsid w:val="001C1195"/>
    <w:rsid w:val="001C1E5C"/>
    <w:rsid w:val="001E4891"/>
    <w:rsid w:val="002037B1"/>
    <w:rsid w:val="00233084"/>
    <w:rsid w:val="00236EEB"/>
    <w:rsid w:val="0025105E"/>
    <w:rsid w:val="00262A65"/>
    <w:rsid w:val="00271BA1"/>
    <w:rsid w:val="00277505"/>
    <w:rsid w:val="0029458F"/>
    <w:rsid w:val="002A4171"/>
    <w:rsid w:val="002A4960"/>
    <w:rsid w:val="002B1AE6"/>
    <w:rsid w:val="002B30F8"/>
    <w:rsid w:val="002B42F9"/>
    <w:rsid w:val="002C212F"/>
    <w:rsid w:val="002C550B"/>
    <w:rsid w:val="002E4CD5"/>
    <w:rsid w:val="00301019"/>
    <w:rsid w:val="0031654A"/>
    <w:rsid w:val="003165AF"/>
    <w:rsid w:val="00326E79"/>
    <w:rsid w:val="003326AD"/>
    <w:rsid w:val="003367EF"/>
    <w:rsid w:val="00341AE4"/>
    <w:rsid w:val="00356D14"/>
    <w:rsid w:val="003824F0"/>
    <w:rsid w:val="00396166"/>
    <w:rsid w:val="003A5B4A"/>
    <w:rsid w:val="003B23C5"/>
    <w:rsid w:val="003B2A75"/>
    <w:rsid w:val="003D4AC4"/>
    <w:rsid w:val="003E468B"/>
    <w:rsid w:val="0040488D"/>
    <w:rsid w:val="00411A7B"/>
    <w:rsid w:val="00442A1A"/>
    <w:rsid w:val="00444C8C"/>
    <w:rsid w:val="00466ADA"/>
    <w:rsid w:val="004B5640"/>
    <w:rsid w:val="004C1BD7"/>
    <w:rsid w:val="004C691D"/>
    <w:rsid w:val="004E692D"/>
    <w:rsid w:val="00514CD7"/>
    <w:rsid w:val="00534E2E"/>
    <w:rsid w:val="00544552"/>
    <w:rsid w:val="005572DA"/>
    <w:rsid w:val="00581932"/>
    <w:rsid w:val="005A3173"/>
    <w:rsid w:val="005A3DA3"/>
    <w:rsid w:val="005A52C4"/>
    <w:rsid w:val="005B73BB"/>
    <w:rsid w:val="005C5893"/>
    <w:rsid w:val="005D03AB"/>
    <w:rsid w:val="005D5017"/>
    <w:rsid w:val="00601A91"/>
    <w:rsid w:val="00602BA3"/>
    <w:rsid w:val="00614159"/>
    <w:rsid w:val="00617C00"/>
    <w:rsid w:val="006263BF"/>
    <w:rsid w:val="00627A8F"/>
    <w:rsid w:val="00630A2C"/>
    <w:rsid w:val="00651169"/>
    <w:rsid w:val="00653D69"/>
    <w:rsid w:val="00660FDE"/>
    <w:rsid w:val="00670A76"/>
    <w:rsid w:val="006711AA"/>
    <w:rsid w:val="00672080"/>
    <w:rsid w:val="00675622"/>
    <w:rsid w:val="00680F9F"/>
    <w:rsid w:val="006906DB"/>
    <w:rsid w:val="0069168E"/>
    <w:rsid w:val="006A03D9"/>
    <w:rsid w:val="006A12A5"/>
    <w:rsid w:val="006A284C"/>
    <w:rsid w:val="006B0D94"/>
    <w:rsid w:val="006B485D"/>
    <w:rsid w:val="006D4150"/>
    <w:rsid w:val="006D6EC7"/>
    <w:rsid w:val="006D7CBC"/>
    <w:rsid w:val="006F5125"/>
    <w:rsid w:val="006F560C"/>
    <w:rsid w:val="007174BB"/>
    <w:rsid w:val="00734033"/>
    <w:rsid w:val="007753C2"/>
    <w:rsid w:val="007827A3"/>
    <w:rsid w:val="007838B8"/>
    <w:rsid w:val="007877AD"/>
    <w:rsid w:val="007B41A5"/>
    <w:rsid w:val="007C0F57"/>
    <w:rsid w:val="007C2832"/>
    <w:rsid w:val="007C40B6"/>
    <w:rsid w:val="007C729F"/>
    <w:rsid w:val="007D0AD3"/>
    <w:rsid w:val="007E1D28"/>
    <w:rsid w:val="007F2641"/>
    <w:rsid w:val="00806796"/>
    <w:rsid w:val="008129D8"/>
    <w:rsid w:val="00863E68"/>
    <w:rsid w:val="0087519F"/>
    <w:rsid w:val="00882085"/>
    <w:rsid w:val="00883188"/>
    <w:rsid w:val="00897D58"/>
    <w:rsid w:val="008A4937"/>
    <w:rsid w:val="008D3C82"/>
    <w:rsid w:val="008D447E"/>
    <w:rsid w:val="008E3680"/>
    <w:rsid w:val="008E5870"/>
    <w:rsid w:val="008F1434"/>
    <w:rsid w:val="008F2227"/>
    <w:rsid w:val="008F6981"/>
    <w:rsid w:val="008F7355"/>
    <w:rsid w:val="008F7A4A"/>
    <w:rsid w:val="009124A5"/>
    <w:rsid w:val="00923088"/>
    <w:rsid w:val="00930937"/>
    <w:rsid w:val="009323CA"/>
    <w:rsid w:val="009602C5"/>
    <w:rsid w:val="00974C21"/>
    <w:rsid w:val="009826DD"/>
    <w:rsid w:val="00993527"/>
    <w:rsid w:val="00995FEE"/>
    <w:rsid w:val="009C703C"/>
    <w:rsid w:val="009D071A"/>
    <w:rsid w:val="009D3CAA"/>
    <w:rsid w:val="009E7B42"/>
    <w:rsid w:val="009F5B65"/>
    <w:rsid w:val="00A06225"/>
    <w:rsid w:val="00A0638C"/>
    <w:rsid w:val="00A37C8D"/>
    <w:rsid w:val="00A5273B"/>
    <w:rsid w:val="00A62C1A"/>
    <w:rsid w:val="00A6426D"/>
    <w:rsid w:val="00A70622"/>
    <w:rsid w:val="00A70977"/>
    <w:rsid w:val="00A73CD0"/>
    <w:rsid w:val="00A8390C"/>
    <w:rsid w:val="00A90093"/>
    <w:rsid w:val="00A9664B"/>
    <w:rsid w:val="00AA4D1C"/>
    <w:rsid w:val="00AC5206"/>
    <w:rsid w:val="00AE11A5"/>
    <w:rsid w:val="00AF68CC"/>
    <w:rsid w:val="00B17E28"/>
    <w:rsid w:val="00B205AA"/>
    <w:rsid w:val="00B25F75"/>
    <w:rsid w:val="00B43E90"/>
    <w:rsid w:val="00B4695F"/>
    <w:rsid w:val="00B56118"/>
    <w:rsid w:val="00B754B4"/>
    <w:rsid w:val="00B854F3"/>
    <w:rsid w:val="00BA7A8B"/>
    <w:rsid w:val="00BB69F5"/>
    <w:rsid w:val="00BC4B9A"/>
    <w:rsid w:val="00BD5505"/>
    <w:rsid w:val="00BE1F29"/>
    <w:rsid w:val="00BE4B7F"/>
    <w:rsid w:val="00BF4CB6"/>
    <w:rsid w:val="00C12768"/>
    <w:rsid w:val="00C35996"/>
    <w:rsid w:val="00C40987"/>
    <w:rsid w:val="00C5342C"/>
    <w:rsid w:val="00C55A19"/>
    <w:rsid w:val="00C6256A"/>
    <w:rsid w:val="00C8496F"/>
    <w:rsid w:val="00C90B6E"/>
    <w:rsid w:val="00C91449"/>
    <w:rsid w:val="00C92D10"/>
    <w:rsid w:val="00C945A5"/>
    <w:rsid w:val="00CC72A7"/>
    <w:rsid w:val="00CE0752"/>
    <w:rsid w:val="00CE10C4"/>
    <w:rsid w:val="00CE27B5"/>
    <w:rsid w:val="00CE2C06"/>
    <w:rsid w:val="00CF532B"/>
    <w:rsid w:val="00D0321E"/>
    <w:rsid w:val="00D1689E"/>
    <w:rsid w:val="00D3280C"/>
    <w:rsid w:val="00D3406A"/>
    <w:rsid w:val="00D41C04"/>
    <w:rsid w:val="00D4416E"/>
    <w:rsid w:val="00D45B04"/>
    <w:rsid w:val="00D741EB"/>
    <w:rsid w:val="00D91271"/>
    <w:rsid w:val="00D958D2"/>
    <w:rsid w:val="00DA4BAC"/>
    <w:rsid w:val="00DB6EDB"/>
    <w:rsid w:val="00DD4ACB"/>
    <w:rsid w:val="00DE6C24"/>
    <w:rsid w:val="00DE6D27"/>
    <w:rsid w:val="00DF217D"/>
    <w:rsid w:val="00DF26A7"/>
    <w:rsid w:val="00E16910"/>
    <w:rsid w:val="00E31478"/>
    <w:rsid w:val="00E53644"/>
    <w:rsid w:val="00E5464F"/>
    <w:rsid w:val="00E65E54"/>
    <w:rsid w:val="00E727E1"/>
    <w:rsid w:val="00E80155"/>
    <w:rsid w:val="00E81079"/>
    <w:rsid w:val="00E848C0"/>
    <w:rsid w:val="00E91B96"/>
    <w:rsid w:val="00E941A1"/>
    <w:rsid w:val="00E949E5"/>
    <w:rsid w:val="00E95CE3"/>
    <w:rsid w:val="00EA2825"/>
    <w:rsid w:val="00EB5088"/>
    <w:rsid w:val="00EC68FF"/>
    <w:rsid w:val="00ED1644"/>
    <w:rsid w:val="00EE6D1F"/>
    <w:rsid w:val="00F050BD"/>
    <w:rsid w:val="00F25578"/>
    <w:rsid w:val="00F258E5"/>
    <w:rsid w:val="00F300BC"/>
    <w:rsid w:val="00F3334E"/>
    <w:rsid w:val="00F47B30"/>
    <w:rsid w:val="00F50EC4"/>
    <w:rsid w:val="00F575AC"/>
    <w:rsid w:val="00F57A6D"/>
    <w:rsid w:val="00F620CC"/>
    <w:rsid w:val="00F638CC"/>
    <w:rsid w:val="00F76190"/>
    <w:rsid w:val="00F8247A"/>
    <w:rsid w:val="00FA5883"/>
    <w:rsid w:val="00FA6055"/>
    <w:rsid w:val="00FB07F1"/>
    <w:rsid w:val="00FB322F"/>
    <w:rsid w:val="00FB442F"/>
    <w:rsid w:val="00FC1929"/>
    <w:rsid w:val="00FC2BD7"/>
    <w:rsid w:val="00FC5B46"/>
    <w:rsid w:val="00FD37C3"/>
    <w:rsid w:val="00FF1E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D1689E"/>
    <w:pPr>
      <w:numPr>
        <w:numId w:val="25"/>
      </w:numPr>
      <w:jc w:val="both"/>
      <w:outlineLvl w:val="0"/>
    </w:pPr>
    <w:rPr>
      <w:rFonts w:ascii="Arial" w:hAnsi="Arial"/>
      <w:b/>
      <w:sz w:val="22"/>
      <w:szCs w:val="22"/>
    </w:rPr>
  </w:style>
  <w:style w:type="paragraph" w:styleId="Heading2">
    <w:name w:val="heading 2"/>
    <w:basedOn w:val="Normal"/>
    <w:next w:val="Normal"/>
    <w:qFormat/>
    <w:pPr>
      <w:keepNext/>
      <w:outlineLvl w:val="1"/>
    </w:p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basedOn w:val="DefaultParagraphFont"/>
    <w:rsid w:val="00E5464F"/>
    <w:rPr>
      <w:sz w:val="16"/>
      <w:szCs w:val="16"/>
    </w:rPr>
  </w:style>
  <w:style w:type="paragraph" w:styleId="CommentText">
    <w:name w:val="annotation text"/>
    <w:basedOn w:val="Normal"/>
    <w:link w:val="CommentTextChar"/>
    <w:rsid w:val="00E5464F"/>
    <w:rPr>
      <w:sz w:val="20"/>
      <w:szCs w:val="20"/>
    </w:rPr>
  </w:style>
  <w:style w:type="character" w:customStyle="1" w:styleId="CommentTextChar">
    <w:name w:val="Comment Text Char"/>
    <w:basedOn w:val="DefaultParagraphFont"/>
    <w:link w:val="CommentText"/>
    <w:rsid w:val="00E5464F"/>
  </w:style>
  <w:style w:type="paragraph" w:styleId="CommentSubject">
    <w:name w:val="annotation subject"/>
    <w:basedOn w:val="CommentText"/>
    <w:next w:val="CommentText"/>
    <w:link w:val="CommentSubjectChar"/>
    <w:rsid w:val="00E5464F"/>
    <w:rPr>
      <w:b/>
      <w:bCs/>
    </w:rPr>
  </w:style>
  <w:style w:type="character" w:customStyle="1" w:styleId="CommentSubjectChar">
    <w:name w:val="Comment Subject Char"/>
    <w:basedOn w:val="CommentTextChar"/>
    <w:link w:val="CommentSubject"/>
    <w:rsid w:val="00E5464F"/>
    <w:rPr>
      <w:b/>
      <w:bCs/>
    </w:rPr>
  </w:style>
  <w:style w:type="paragraph" w:styleId="BodyText">
    <w:name w:val="Body Text"/>
    <w:basedOn w:val="Normal"/>
    <w:link w:val="BodyTextChar"/>
    <w:rsid w:val="00B4695F"/>
    <w:pPr>
      <w:spacing w:after="120"/>
    </w:pPr>
  </w:style>
  <w:style w:type="character" w:customStyle="1" w:styleId="BodyTextChar">
    <w:name w:val="Body Text Char"/>
    <w:basedOn w:val="DefaultParagraphFont"/>
    <w:link w:val="BodyText"/>
    <w:rsid w:val="00B4695F"/>
    <w:rPr>
      <w:sz w:val="24"/>
      <w:szCs w:val="24"/>
    </w:rPr>
  </w:style>
  <w:style w:type="paragraph" w:styleId="Title">
    <w:name w:val="Title"/>
    <w:basedOn w:val="Normal"/>
    <w:next w:val="Normal"/>
    <w:link w:val="TitleChar"/>
    <w:qFormat/>
    <w:rsid w:val="00D1689E"/>
    <w:pPr>
      <w:outlineLvl w:val="0"/>
    </w:pPr>
    <w:rPr>
      <w:rFonts w:ascii="Arial" w:hAnsi="Arial"/>
      <w:b/>
      <w:sz w:val="28"/>
      <w:szCs w:val="28"/>
    </w:rPr>
  </w:style>
  <w:style w:type="character" w:customStyle="1" w:styleId="TitleChar">
    <w:name w:val="Title Char"/>
    <w:basedOn w:val="DefaultParagraphFont"/>
    <w:link w:val="Title"/>
    <w:rsid w:val="00D1689E"/>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D1689E"/>
    <w:pPr>
      <w:numPr>
        <w:numId w:val="25"/>
      </w:numPr>
      <w:jc w:val="both"/>
      <w:outlineLvl w:val="0"/>
    </w:pPr>
    <w:rPr>
      <w:rFonts w:ascii="Arial" w:hAnsi="Arial"/>
      <w:b/>
      <w:sz w:val="22"/>
      <w:szCs w:val="22"/>
    </w:rPr>
  </w:style>
  <w:style w:type="paragraph" w:styleId="Heading2">
    <w:name w:val="heading 2"/>
    <w:basedOn w:val="Normal"/>
    <w:next w:val="Normal"/>
    <w:qFormat/>
    <w:pPr>
      <w:keepNext/>
      <w:outlineLvl w:val="1"/>
    </w:p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basedOn w:val="DefaultParagraphFont"/>
    <w:rsid w:val="00E5464F"/>
    <w:rPr>
      <w:sz w:val="16"/>
      <w:szCs w:val="16"/>
    </w:rPr>
  </w:style>
  <w:style w:type="paragraph" w:styleId="CommentText">
    <w:name w:val="annotation text"/>
    <w:basedOn w:val="Normal"/>
    <w:link w:val="CommentTextChar"/>
    <w:rsid w:val="00E5464F"/>
    <w:rPr>
      <w:sz w:val="20"/>
      <w:szCs w:val="20"/>
    </w:rPr>
  </w:style>
  <w:style w:type="character" w:customStyle="1" w:styleId="CommentTextChar">
    <w:name w:val="Comment Text Char"/>
    <w:basedOn w:val="DefaultParagraphFont"/>
    <w:link w:val="CommentText"/>
    <w:rsid w:val="00E5464F"/>
  </w:style>
  <w:style w:type="paragraph" w:styleId="CommentSubject">
    <w:name w:val="annotation subject"/>
    <w:basedOn w:val="CommentText"/>
    <w:next w:val="CommentText"/>
    <w:link w:val="CommentSubjectChar"/>
    <w:rsid w:val="00E5464F"/>
    <w:rPr>
      <w:b/>
      <w:bCs/>
    </w:rPr>
  </w:style>
  <w:style w:type="character" w:customStyle="1" w:styleId="CommentSubjectChar">
    <w:name w:val="Comment Subject Char"/>
    <w:basedOn w:val="CommentTextChar"/>
    <w:link w:val="CommentSubject"/>
    <w:rsid w:val="00E5464F"/>
    <w:rPr>
      <w:b/>
      <w:bCs/>
    </w:rPr>
  </w:style>
  <w:style w:type="paragraph" w:styleId="BodyText">
    <w:name w:val="Body Text"/>
    <w:basedOn w:val="Normal"/>
    <w:link w:val="BodyTextChar"/>
    <w:rsid w:val="00B4695F"/>
    <w:pPr>
      <w:spacing w:after="120"/>
    </w:pPr>
  </w:style>
  <w:style w:type="character" w:customStyle="1" w:styleId="BodyTextChar">
    <w:name w:val="Body Text Char"/>
    <w:basedOn w:val="DefaultParagraphFont"/>
    <w:link w:val="BodyText"/>
    <w:rsid w:val="00B4695F"/>
    <w:rPr>
      <w:sz w:val="24"/>
      <w:szCs w:val="24"/>
    </w:rPr>
  </w:style>
  <w:style w:type="paragraph" w:styleId="Title">
    <w:name w:val="Title"/>
    <w:basedOn w:val="Normal"/>
    <w:next w:val="Normal"/>
    <w:link w:val="TitleChar"/>
    <w:qFormat/>
    <w:rsid w:val="00D1689E"/>
    <w:pPr>
      <w:outlineLvl w:val="0"/>
    </w:pPr>
    <w:rPr>
      <w:rFonts w:ascii="Arial" w:hAnsi="Arial"/>
      <w:b/>
      <w:sz w:val="28"/>
      <w:szCs w:val="28"/>
    </w:rPr>
  </w:style>
  <w:style w:type="character" w:customStyle="1" w:styleId="TitleChar">
    <w:name w:val="Title Char"/>
    <w:basedOn w:val="DefaultParagraphFont"/>
    <w:link w:val="Title"/>
    <w:rsid w:val="00D1689E"/>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512836125">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2781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entral.health\dfsuserenv\users\User_28\yinjun\Desktop\strontium.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entral.health\dfsuserenv\users\User_28\yinjun\Desktop\strontiu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total services for </a:t>
            </a:r>
            <a:r>
              <a:rPr lang="en-AU" sz="1200" b="1" i="0" u="none" strike="noStrike" baseline="0">
                <a:effectLst/>
              </a:rPr>
              <a:t>3036T (Medicare stats)</a:t>
            </a:r>
            <a:r>
              <a:rPr lang="en-US" sz="1200"/>
              <a:t>
										</a:t>
            </a:r>
          </a:p>
        </c:rich>
      </c:tx>
      <c:layout/>
      <c:overlay val="0"/>
    </c:title>
    <c:autoTitleDeleted val="0"/>
    <c:plotArea>
      <c:layout>
        <c:manualLayout>
          <c:layoutTarget val="inner"/>
          <c:xMode val="edge"/>
          <c:yMode val="edge"/>
          <c:x val="9.6613214045918674E-2"/>
          <c:y val="0.13276989373462988"/>
          <c:w val="0.87214939867504371"/>
          <c:h val="0.70125818799870643"/>
        </c:manualLayout>
      </c:layout>
      <c:lineChart>
        <c:grouping val="standard"/>
        <c:varyColors val="0"/>
        <c:ser>
          <c:idx val="0"/>
          <c:order val="0"/>
          <c:tx>
            <c:v>total services</c:v>
          </c:tx>
          <c:marker>
            <c:symbol val="none"/>
          </c:marker>
          <c:cat>
            <c:strRef>
              <c:f>SUMMARY!$A$4:$B$33</c:f>
              <c:strCache>
                <c:ptCount val="30"/>
                <c:pt idx="0">
                  <c:v>Jan-13</c:v>
                </c:pt>
                <c:pt idx="1">
                  <c:v>Feb-13</c:v>
                </c:pt>
                <c:pt idx="2">
                  <c:v>Mar-13</c:v>
                </c:pt>
                <c:pt idx="3">
                  <c:v>Apr-13</c:v>
                </c:pt>
                <c:pt idx="4">
                  <c:v>May-13</c:v>
                </c:pt>
                <c:pt idx="5">
                  <c:v>Jun-13</c:v>
                </c:pt>
                <c:pt idx="6">
                  <c:v>Jul-13</c:v>
                </c:pt>
                <c:pt idx="7">
                  <c:v>Aug-13</c:v>
                </c:pt>
                <c:pt idx="8">
                  <c:v>Sep-13</c:v>
                </c:pt>
                <c:pt idx="9">
                  <c:v>Oct-13</c:v>
                </c:pt>
                <c:pt idx="10">
                  <c:v>Nov-13</c:v>
                </c:pt>
                <c:pt idx="11">
                  <c:v>Dec-13</c:v>
                </c:pt>
                <c:pt idx="12">
                  <c:v>Jan-14</c:v>
                </c:pt>
                <c:pt idx="13">
                  <c:v>Feb-14</c:v>
                </c:pt>
                <c:pt idx="14">
                  <c:v>Mar-14</c:v>
                </c:pt>
                <c:pt idx="15">
                  <c:v>Apr-14</c:v>
                </c:pt>
                <c:pt idx="16">
                  <c:v>May-14</c:v>
                </c:pt>
                <c:pt idx="17">
                  <c:v>Jun-14</c:v>
                </c:pt>
                <c:pt idx="18">
                  <c:v>Jul-14</c:v>
                </c:pt>
                <c:pt idx="19">
                  <c:v>Aug-14</c:v>
                </c:pt>
                <c:pt idx="20">
                  <c:v>Sep-14</c:v>
                </c:pt>
                <c:pt idx="21">
                  <c:v>Oct-14</c:v>
                </c:pt>
                <c:pt idx="22">
                  <c:v>Nov-14</c:v>
                </c:pt>
                <c:pt idx="23">
                  <c:v>Dec-14</c:v>
                </c:pt>
                <c:pt idx="24">
                  <c:v>Jan-15</c:v>
                </c:pt>
                <c:pt idx="25">
                  <c:v>Feb-15</c:v>
                </c:pt>
                <c:pt idx="26">
                  <c:v>Mar-15</c:v>
                </c:pt>
                <c:pt idx="27">
                  <c:v>Apr-15</c:v>
                </c:pt>
                <c:pt idx="28">
                  <c:v>May-15</c:v>
                </c:pt>
                <c:pt idx="29">
                  <c:v>Jun-15</c:v>
                </c:pt>
              </c:strCache>
            </c:strRef>
          </c:cat>
          <c:val>
            <c:numRef>
              <c:f>SUMMARY!$I$4:$I$33</c:f>
              <c:numCache>
                <c:formatCode>#,##0</c:formatCode>
                <c:ptCount val="30"/>
                <c:pt idx="0">
                  <c:v>33220</c:v>
                </c:pt>
                <c:pt idx="1">
                  <c:v>26776</c:v>
                </c:pt>
                <c:pt idx="2">
                  <c:v>20074</c:v>
                </c:pt>
                <c:pt idx="3">
                  <c:v>24922</c:v>
                </c:pt>
                <c:pt idx="4">
                  <c:v>26996</c:v>
                </c:pt>
                <c:pt idx="5">
                  <c:v>29993</c:v>
                </c:pt>
                <c:pt idx="6">
                  <c:v>23518</c:v>
                </c:pt>
                <c:pt idx="7">
                  <c:v>23489</c:v>
                </c:pt>
                <c:pt idx="8">
                  <c:v>22199</c:v>
                </c:pt>
                <c:pt idx="9">
                  <c:v>18457</c:v>
                </c:pt>
                <c:pt idx="10">
                  <c:v>17338</c:v>
                </c:pt>
                <c:pt idx="11">
                  <c:v>18524</c:v>
                </c:pt>
                <c:pt idx="12">
                  <c:v>18749</c:v>
                </c:pt>
                <c:pt idx="13">
                  <c:v>12385</c:v>
                </c:pt>
                <c:pt idx="14">
                  <c:v>39235</c:v>
                </c:pt>
                <c:pt idx="15">
                  <c:v>42921</c:v>
                </c:pt>
                <c:pt idx="16">
                  <c:v>25643</c:v>
                </c:pt>
                <c:pt idx="17">
                  <c:v>19540</c:v>
                </c:pt>
                <c:pt idx="18">
                  <c:v>14514</c:v>
                </c:pt>
                <c:pt idx="19">
                  <c:v>15293</c:v>
                </c:pt>
                <c:pt idx="20">
                  <c:v>12828</c:v>
                </c:pt>
                <c:pt idx="21">
                  <c:v>11695</c:v>
                </c:pt>
                <c:pt idx="22">
                  <c:v>12339</c:v>
                </c:pt>
                <c:pt idx="23">
                  <c:v>9902</c:v>
                </c:pt>
                <c:pt idx="24">
                  <c:v>10189</c:v>
                </c:pt>
                <c:pt idx="25">
                  <c:v>13203</c:v>
                </c:pt>
                <c:pt idx="26">
                  <c:v>9597</c:v>
                </c:pt>
                <c:pt idx="27">
                  <c:v>6862</c:v>
                </c:pt>
                <c:pt idx="28">
                  <c:v>13190</c:v>
                </c:pt>
                <c:pt idx="29">
                  <c:v>8379</c:v>
                </c:pt>
              </c:numCache>
            </c:numRef>
          </c:val>
          <c:smooth val="0"/>
        </c:ser>
        <c:ser>
          <c:idx val="1"/>
          <c:order val="1"/>
          <c:tx>
            <c:v>general services</c:v>
          </c:tx>
          <c:marker>
            <c:symbol val="none"/>
          </c:marker>
          <c:val>
            <c:numRef>
              <c:f>SUMMARY!$J$4:$J$33</c:f>
              <c:numCache>
                <c:formatCode>#,##0</c:formatCode>
                <c:ptCount val="30"/>
                <c:pt idx="0">
                  <c:v>4642</c:v>
                </c:pt>
                <c:pt idx="1">
                  <c:v>3775</c:v>
                </c:pt>
                <c:pt idx="2">
                  <c:v>2942</c:v>
                </c:pt>
                <c:pt idx="3">
                  <c:v>3470</c:v>
                </c:pt>
                <c:pt idx="4">
                  <c:v>3838</c:v>
                </c:pt>
                <c:pt idx="5">
                  <c:v>4301</c:v>
                </c:pt>
                <c:pt idx="6">
                  <c:v>3450</c:v>
                </c:pt>
                <c:pt idx="7">
                  <c:v>3171</c:v>
                </c:pt>
                <c:pt idx="8">
                  <c:v>3183</c:v>
                </c:pt>
                <c:pt idx="9">
                  <c:v>2659</c:v>
                </c:pt>
                <c:pt idx="10">
                  <c:v>2454</c:v>
                </c:pt>
                <c:pt idx="11">
                  <c:v>2720</c:v>
                </c:pt>
                <c:pt idx="12">
                  <c:v>2631</c:v>
                </c:pt>
                <c:pt idx="13">
                  <c:v>1777</c:v>
                </c:pt>
                <c:pt idx="14">
                  <c:v>5513</c:v>
                </c:pt>
                <c:pt idx="15">
                  <c:v>6201</c:v>
                </c:pt>
                <c:pt idx="16">
                  <c:v>3777</c:v>
                </c:pt>
                <c:pt idx="17">
                  <c:v>2933</c:v>
                </c:pt>
                <c:pt idx="18">
                  <c:v>2180</c:v>
                </c:pt>
                <c:pt idx="19">
                  <c:v>2254</c:v>
                </c:pt>
                <c:pt idx="20">
                  <c:v>1875</c:v>
                </c:pt>
                <c:pt idx="21">
                  <c:v>1689</c:v>
                </c:pt>
                <c:pt idx="22">
                  <c:v>1775</c:v>
                </c:pt>
                <c:pt idx="23">
                  <c:v>1532</c:v>
                </c:pt>
                <c:pt idx="24">
                  <c:v>1394</c:v>
                </c:pt>
                <c:pt idx="25">
                  <c:v>1906</c:v>
                </c:pt>
                <c:pt idx="26">
                  <c:v>1444</c:v>
                </c:pt>
                <c:pt idx="27">
                  <c:v>985</c:v>
                </c:pt>
                <c:pt idx="28">
                  <c:v>1885</c:v>
                </c:pt>
                <c:pt idx="29">
                  <c:v>1192</c:v>
                </c:pt>
              </c:numCache>
            </c:numRef>
          </c:val>
          <c:smooth val="0"/>
        </c:ser>
        <c:ser>
          <c:idx val="2"/>
          <c:order val="2"/>
          <c:tx>
            <c:v>concession services</c:v>
          </c:tx>
          <c:marker>
            <c:symbol val="none"/>
          </c:marker>
          <c:val>
            <c:numRef>
              <c:f>SUMMARY!$K$4:$K$33</c:f>
              <c:numCache>
                <c:formatCode>#,##0</c:formatCode>
                <c:ptCount val="30"/>
                <c:pt idx="0">
                  <c:v>26688</c:v>
                </c:pt>
                <c:pt idx="1">
                  <c:v>21325</c:v>
                </c:pt>
                <c:pt idx="2">
                  <c:v>15873</c:v>
                </c:pt>
                <c:pt idx="3">
                  <c:v>19929</c:v>
                </c:pt>
                <c:pt idx="4">
                  <c:v>21523</c:v>
                </c:pt>
                <c:pt idx="5">
                  <c:v>23995</c:v>
                </c:pt>
                <c:pt idx="6">
                  <c:v>18749</c:v>
                </c:pt>
                <c:pt idx="7">
                  <c:v>18901</c:v>
                </c:pt>
                <c:pt idx="8">
                  <c:v>17753</c:v>
                </c:pt>
                <c:pt idx="9">
                  <c:v>14723</c:v>
                </c:pt>
                <c:pt idx="10">
                  <c:v>13939</c:v>
                </c:pt>
                <c:pt idx="11">
                  <c:v>14762</c:v>
                </c:pt>
                <c:pt idx="12">
                  <c:v>15054</c:v>
                </c:pt>
                <c:pt idx="13">
                  <c:v>9934</c:v>
                </c:pt>
                <c:pt idx="14">
                  <c:v>31518</c:v>
                </c:pt>
                <c:pt idx="15">
                  <c:v>34390</c:v>
                </c:pt>
                <c:pt idx="16">
                  <c:v>20522</c:v>
                </c:pt>
                <c:pt idx="17">
                  <c:v>15595</c:v>
                </c:pt>
                <c:pt idx="18">
                  <c:v>11549</c:v>
                </c:pt>
                <c:pt idx="19">
                  <c:v>12274</c:v>
                </c:pt>
                <c:pt idx="20">
                  <c:v>10289</c:v>
                </c:pt>
                <c:pt idx="21">
                  <c:v>9415</c:v>
                </c:pt>
                <c:pt idx="22">
                  <c:v>9945</c:v>
                </c:pt>
                <c:pt idx="23">
                  <c:v>7883</c:v>
                </c:pt>
                <c:pt idx="24">
                  <c:v>8305</c:v>
                </c:pt>
                <c:pt idx="25">
                  <c:v>10641</c:v>
                </c:pt>
                <c:pt idx="26">
                  <c:v>7690</c:v>
                </c:pt>
                <c:pt idx="27">
                  <c:v>5569</c:v>
                </c:pt>
                <c:pt idx="28">
                  <c:v>10660</c:v>
                </c:pt>
                <c:pt idx="29">
                  <c:v>6811</c:v>
                </c:pt>
              </c:numCache>
            </c:numRef>
          </c:val>
          <c:smooth val="0"/>
        </c:ser>
        <c:ser>
          <c:idx val="3"/>
          <c:order val="3"/>
          <c:tx>
            <c:v>RPBS services</c:v>
          </c:tx>
          <c:marker>
            <c:symbol val="none"/>
          </c:marker>
          <c:val>
            <c:numRef>
              <c:f>SUMMARY!$L$4:$L$33</c:f>
              <c:numCache>
                <c:formatCode>General</c:formatCode>
                <c:ptCount val="30"/>
                <c:pt idx="0">
                  <c:v>1890</c:v>
                </c:pt>
                <c:pt idx="1">
                  <c:v>1676</c:v>
                </c:pt>
                <c:pt idx="2">
                  <c:v>1259</c:v>
                </c:pt>
                <c:pt idx="3">
                  <c:v>1523</c:v>
                </c:pt>
                <c:pt idx="4">
                  <c:v>1635</c:v>
                </c:pt>
                <c:pt idx="5">
                  <c:v>1697</c:v>
                </c:pt>
                <c:pt idx="6">
                  <c:v>1319</c:v>
                </c:pt>
                <c:pt idx="7">
                  <c:v>1417</c:v>
                </c:pt>
                <c:pt idx="8">
                  <c:v>1263</c:v>
                </c:pt>
                <c:pt idx="9">
                  <c:v>1075</c:v>
                </c:pt>
                <c:pt idx="10">
                  <c:v>945</c:v>
                </c:pt>
                <c:pt idx="11">
                  <c:v>1042</c:v>
                </c:pt>
                <c:pt idx="12">
                  <c:v>1064</c:v>
                </c:pt>
                <c:pt idx="13">
                  <c:v>674</c:v>
                </c:pt>
                <c:pt idx="14">
                  <c:v>2204</c:v>
                </c:pt>
                <c:pt idx="15">
                  <c:v>2330</c:v>
                </c:pt>
                <c:pt idx="16">
                  <c:v>1344</c:v>
                </c:pt>
                <c:pt idx="17">
                  <c:v>1012</c:v>
                </c:pt>
                <c:pt idx="18">
                  <c:v>785</c:v>
                </c:pt>
                <c:pt idx="19">
                  <c:v>765</c:v>
                </c:pt>
                <c:pt idx="20">
                  <c:v>664</c:v>
                </c:pt>
                <c:pt idx="21">
                  <c:v>591</c:v>
                </c:pt>
                <c:pt idx="22">
                  <c:v>619</c:v>
                </c:pt>
                <c:pt idx="23">
                  <c:v>487</c:v>
                </c:pt>
                <c:pt idx="24">
                  <c:v>490</c:v>
                </c:pt>
                <c:pt idx="25">
                  <c:v>656</c:v>
                </c:pt>
                <c:pt idx="26">
                  <c:v>463</c:v>
                </c:pt>
                <c:pt idx="27">
                  <c:v>308</c:v>
                </c:pt>
                <c:pt idx="28">
                  <c:v>645</c:v>
                </c:pt>
                <c:pt idx="29">
                  <c:v>376</c:v>
                </c:pt>
              </c:numCache>
            </c:numRef>
          </c:val>
          <c:smooth val="0"/>
        </c:ser>
        <c:dLbls>
          <c:showLegendKey val="0"/>
          <c:showVal val="0"/>
          <c:showCatName val="0"/>
          <c:showSerName val="0"/>
          <c:showPercent val="0"/>
          <c:showBubbleSize val="0"/>
        </c:dLbls>
        <c:marker val="1"/>
        <c:smooth val="0"/>
        <c:axId val="173724032"/>
        <c:axId val="173725568"/>
      </c:lineChart>
      <c:catAx>
        <c:axId val="173724032"/>
        <c:scaling>
          <c:orientation val="minMax"/>
        </c:scaling>
        <c:delete val="0"/>
        <c:axPos val="b"/>
        <c:majorTickMark val="out"/>
        <c:minorTickMark val="none"/>
        <c:tickLblPos val="nextTo"/>
        <c:crossAx val="173725568"/>
        <c:crosses val="autoZero"/>
        <c:auto val="1"/>
        <c:lblAlgn val="ctr"/>
        <c:lblOffset val="100"/>
        <c:noMultiLvlLbl val="0"/>
      </c:catAx>
      <c:valAx>
        <c:axId val="173725568"/>
        <c:scaling>
          <c:orientation val="minMax"/>
        </c:scaling>
        <c:delete val="0"/>
        <c:axPos val="l"/>
        <c:majorGridlines/>
        <c:numFmt formatCode="#,##0" sourceLinked="1"/>
        <c:majorTickMark val="out"/>
        <c:minorTickMark val="none"/>
        <c:tickLblPos val="nextTo"/>
        <c:crossAx val="173724032"/>
        <c:crosses val="autoZero"/>
        <c:crossBetween val="between"/>
        <c:majorUnit val="2000"/>
      </c:valAx>
    </c:plotArea>
    <c:legend>
      <c:legendPos val="r"/>
      <c:layout>
        <c:manualLayout>
          <c:xMode val="edge"/>
          <c:yMode val="edge"/>
          <c:x val="0.75810894511219551"/>
          <c:y val="1.7859213381459484E-4"/>
          <c:w val="0.24189105488780444"/>
          <c:h val="0.27665577947334896"/>
        </c:manualLayout>
      </c:layout>
      <c:overlay val="0"/>
      <c:txPr>
        <a:bodyPr/>
        <a:lstStyle/>
        <a:p>
          <a:pPr>
            <a:defRPr sz="800"/>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AU" sz="1200"/>
              <a:t>total expenditure for 3036T (Medicare stats)</a:t>
            </a:r>
          </a:p>
        </c:rich>
      </c:tx>
      <c:layout>
        <c:manualLayout>
          <c:xMode val="edge"/>
          <c:yMode val="edge"/>
          <c:x val="0.21329833770778653"/>
          <c:y val="1.2232415902140673E-2"/>
        </c:manualLayout>
      </c:layout>
      <c:overlay val="1"/>
    </c:title>
    <c:autoTitleDeleted val="0"/>
    <c:plotArea>
      <c:layout>
        <c:manualLayout>
          <c:layoutTarget val="inner"/>
          <c:xMode val="edge"/>
          <c:yMode val="edge"/>
          <c:x val="9.86296627002205E-2"/>
          <c:y val="0.11115638863726104"/>
          <c:w val="0.83055930059102323"/>
          <c:h val="0.71214685320298265"/>
        </c:manualLayout>
      </c:layout>
      <c:lineChart>
        <c:grouping val="standard"/>
        <c:varyColors val="0"/>
        <c:ser>
          <c:idx val="0"/>
          <c:order val="0"/>
          <c:tx>
            <c:v>Total $$</c:v>
          </c:tx>
          <c:marker>
            <c:symbol val="none"/>
          </c:marker>
          <c:cat>
            <c:strRef>
              <c:f>SUMMARY!$A$41:$B$70</c:f>
              <c:strCache>
                <c:ptCount val="30"/>
                <c:pt idx="0">
                  <c:v>Jan-13</c:v>
                </c:pt>
                <c:pt idx="1">
                  <c:v>Feb-13</c:v>
                </c:pt>
                <c:pt idx="2">
                  <c:v>Mar-13</c:v>
                </c:pt>
                <c:pt idx="3">
                  <c:v>Apr-13</c:v>
                </c:pt>
                <c:pt idx="4">
                  <c:v>May-13</c:v>
                </c:pt>
                <c:pt idx="5">
                  <c:v>Jun-13</c:v>
                </c:pt>
                <c:pt idx="6">
                  <c:v>Jul-13</c:v>
                </c:pt>
                <c:pt idx="7">
                  <c:v>Aug-13</c:v>
                </c:pt>
                <c:pt idx="8">
                  <c:v>Sep-13</c:v>
                </c:pt>
                <c:pt idx="9">
                  <c:v>Oct-13</c:v>
                </c:pt>
                <c:pt idx="10">
                  <c:v>Nov-13</c:v>
                </c:pt>
                <c:pt idx="11">
                  <c:v>Dec-13</c:v>
                </c:pt>
                <c:pt idx="12">
                  <c:v>Jan-14</c:v>
                </c:pt>
                <c:pt idx="13">
                  <c:v>Feb-14</c:v>
                </c:pt>
                <c:pt idx="14">
                  <c:v>Mar-14</c:v>
                </c:pt>
                <c:pt idx="15">
                  <c:v>Apr-14</c:v>
                </c:pt>
                <c:pt idx="16">
                  <c:v>May-14</c:v>
                </c:pt>
                <c:pt idx="17">
                  <c:v>Jun-14</c:v>
                </c:pt>
                <c:pt idx="18">
                  <c:v>Jul-14</c:v>
                </c:pt>
                <c:pt idx="19">
                  <c:v>Aug-14</c:v>
                </c:pt>
                <c:pt idx="20">
                  <c:v>Sep-14</c:v>
                </c:pt>
                <c:pt idx="21">
                  <c:v>Oct-14</c:v>
                </c:pt>
                <c:pt idx="22">
                  <c:v>Nov-14</c:v>
                </c:pt>
                <c:pt idx="23">
                  <c:v>Dec-14</c:v>
                </c:pt>
                <c:pt idx="24">
                  <c:v>Jan-15</c:v>
                </c:pt>
                <c:pt idx="25">
                  <c:v>Feb-15</c:v>
                </c:pt>
                <c:pt idx="26">
                  <c:v>Mar-15</c:v>
                </c:pt>
                <c:pt idx="27">
                  <c:v>Apr-15</c:v>
                </c:pt>
                <c:pt idx="28">
                  <c:v>May-15</c:v>
                </c:pt>
                <c:pt idx="29">
                  <c:v>Jun-15</c:v>
                </c:pt>
              </c:strCache>
            </c:strRef>
          </c:cat>
          <c:val>
            <c:numRef>
              <c:f>SUMMARY!$I$41:$I$70</c:f>
              <c:numCache>
                <c:formatCode>#,##0</c:formatCode>
                <c:ptCount val="30"/>
                <c:pt idx="0">
                  <c:v>1566783</c:v>
                </c:pt>
                <c:pt idx="1">
                  <c:v>1201477</c:v>
                </c:pt>
                <c:pt idx="2">
                  <c:v>875078</c:v>
                </c:pt>
                <c:pt idx="3">
                  <c:v>1084904</c:v>
                </c:pt>
                <c:pt idx="4">
                  <c:v>1154370</c:v>
                </c:pt>
                <c:pt idx="5">
                  <c:v>1268559</c:v>
                </c:pt>
                <c:pt idx="6">
                  <c:v>994399</c:v>
                </c:pt>
                <c:pt idx="7">
                  <c:v>1009803</c:v>
                </c:pt>
                <c:pt idx="8">
                  <c:v>957969</c:v>
                </c:pt>
                <c:pt idx="9">
                  <c:v>804071</c:v>
                </c:pt>
                <c:pt idx="10">
                  <c:v>763030</c:v>
                </c:pt>
                <c:pt idx="11">
                  <c:v>819041</c:v>
                </c:pt>
                <c:pt idx="12">
                  <c:v>840401</c:v>
                </c:pt>
                <c:pt idx="13">
                  <c:v>536740</c:v>
                </c:pt>
                <c:pt idx="14">
                  <c:v>1711593</c:v>
                </c:pt>
                <c:pt idx="15">
                  <c:v>1841290</c:v>
                </c:pt>
                <c:pt idx="16">
                  <c:v>1068913</c:v>
                </c:pt>
                <c:pt idx="17">
                  <c:v>818475</c:v>
                </c:pt>
                <c:pt idx="18">
                  <c:v>612122</c:v>
                </c:pt>
                <c:pt idx="19">
                  <c:v>653423</c:v>
                </c:pt>
                <c:pt idx="20">
                  <c:v>553061</c:v>
                </c:pt>
                <c:pt idx="21">
                  <c:v>509001</c:v>
                </c:pt>
                <c:pt idx="22">
                  <c:v>543616</c:v>
                </c:pt>
                <c:pt idx="23">
                  <c:v>437133</c:v>
                </c:pt>
                <c:pt idx="24">
                  <c:v>460211</c:v>
                </c:pt>
                <c:pt idx="25">
                  <c:v>574710</c:v>
                </c:pt>
                <c:pt idx="26">
                  <c:v>400896</c:v>
                </c:pt>
                <c:pt idx="27">
                  <c:v>287008</c:v>
                </c:pt>
                <c:pt idx="28">
                  <c:v>553033</c:v>
                </c:pt>
                <c:pt idx="29">
                  <c:v>352847</c:v>
                </c:pt>
              </c:numCache>
            </c:numRef>
          </c:val>
          <c:smooth val="0"/>
        </c:ser>
        <c:ser>
          <c:idx val="1"/>
          <c:order val="1"/>
          <c:tx>
            <c:v>General $$</c:v>
          </c:tx>
          <c:marker>
            <c:symbol val="none"/>
          </c:marker>
          <c:cat>
            <c:strRef>
              <c:f>SUMMARY!$A$41:$B$70</c:f>
              <c:strCache>
                <c:ptCount val="30"/>
                <c:pt idx="0">
                  <c:v>Jan-13</c:v>
                </c:pt>
                <c:pt idx="1">
                  <c:v>Feb-13</c:v>
                </c:pt>
                <c:pt idx="2">
                  <c:v>Mar-13</c:v>
                </c:pt>
                <c:pt idx="3">
                  <c:v>Apr-13</c:v>
                </c:pt>
                <c:pt idx="4">
                  <c:v>May-13</c:v>
                </c:pt>
                <c:pt idx="5">
                  <c:v>Jun-13</c:v>
                </c:pt>
                <c:pt idx="6">
                  <c:v>Jul-13</c:v>
                </c:pt>
                <c:pt idx="7">
                  <c:v>Aug-13</c:v>
                </c:pt>
                <c:pt idx="8">
                  <c:v>Sep-13</c:v>
                </c:pt>
                <c:pt idx="9">
                  <c:v>Oct-13</c:v>
                </c:pt>
                <c:pt idx="10">
                  <c:v>Nov-13</c:v>
                </c:pt>
                <c:pt idx="11">
                  <c:v>Dec-13</c:v>
                </c:pt>
                <c:pt idx="12">
                  <c:v>Jan-14</c:v>
                </c:pt>
                <c:pt idx="13">
                  <c:v>Feb-14</c:v>
                </c:pt>
                <c:pt idx="14">
                  <c:v>Mar-14</c:v>
                </c:pt>
                <c:pt idx="15">
                  <c:v>Apr-14</c:v>
                </c:pt>
                <c:pt idx="16">
                  <c:v>May-14</c:v>
                </c:pt>
                <c:pt idx="17">
                  <c:v>Jun-14</c:v>
                </c:pt>
                <c:pt idx="18">
                  <c:v>Jul-14</c:v>
                </c:pt>
                <c:pt idx="19">
                  <c:v>Aug-14</c:v>
                </c:pt>
                <c:pt idx="20">
                  <c:v>Sep-14</c:v>
                </c:pt>
                <c:pt idx="21">
                  <c:v>Oct-14</c:v>
                </c:pt>
                <c:pt idx="22">
                  <c:v>Nov-14</c:v>
                </c:pt>
                <c:pt idx="23">
                  <c:v>Dec-14</c:v>
                </c:pt>
                <c:pt idx="24">
                  <c:v>Jan-15</c:v>
                </c:pt>
                <c:pt idx="25">
                  <c:v>Feb-15</c:v>
                </c:pt>
                <c:pt idx="26">
                  <c:v>Mar-15</c:v>
                </c:pt>
                <c:pt idx="27">
                  <c:v>Apr-15</c:v>
                </c:pt>
                <c:pt idx="28">
                  <c:v>May-15</c:v>
                </c:pt>
                <c:pt idx="29">
                  <c:v>Jun-15</c:v>
                </c:pt>
              </c:strCache>
            </c:strRef>
          </c:cat>
          <c:val>
            <c:numRef>
              <c:f>SUMMARY!$J$41:$J$70</c:f>
              <c:numCache>
                <c:formatCode>#,##0</c:formatCode>
                <c:ptCount val="30"/>
                <c:pt idx="0">
                  <c:v>116528</c:v>
                </c:pt>
                <c:pt idx="1">
                  <c:v>76141</c:v>
                </c:pt>
                <c:pt idx="2">
                  <c:v>52718</c:v>
                </c:pt>
                <c:pt idx="3">
                  <c:v>61056</c:v>
                </c:pt>
                <c:pt idx="4">
                  <c:v>64688</c:v>
                </c:pt>
                <c:pt idx="5">
                  <c:v>69652</c:v>
                </c:pt>
                <c:pt idx="6">
                  <c:v>56854</c:v>
                </c:pt>
                <c:pt idx="7">
                  <c:v>53938</c:v>
                </c:pt>
                <c:pt idx="8">
                  <c:v>56710</c:v>
                </c:pt>
                <c:pt idx="9">
                  <c:v>49000</c:v>
                </c:pt>
                <c:pt idx="10">
                  <c:v>47712</c:v>
                </c:pt>
                <c:pt idx="11">
                  <c:v>54584</c:v>
                </c:pt>
                <c:pt idx="12">
                  <c:v>56708</c:v>
                </c:pt>
                <c:pt idx="13">
                  <c:v>33509</c:v>
                </c:pt>
                <c:pt idx="14">
                  <c:v>103807</c:v>
                </c:pt>
                <c:pt idx="15">
                  <c:v>108263</c:v>
                </c:pt>
                <c:pt idx="16">
                  <c:v>57752</c:v>
                </c:pt>
                <c:pt idx="17">
                  <c:v>45373</c:v>
                </c:pt>
                <c:pt idx="18">
                  <c:v>34014</c:v>
                </c:pt>
                <c:pt idx="19">
                  <c:v>36965</c:v>
                </c:pt>
                <c:pt idx="20">
                  <c:v>31479</c:v>
                </c:pt>
                <c:pt idx="21">
                  <c:v>29909</c:v>
                </c:pt>
                <c:pt idx="22">
                  <c:v>33119</c:v>
                </c:pt>
                <c:pt idx="23">
                  <c:v>30046</c:v>
                </c:pt>
                <c:pt idx="24">
                  <c:v>29248</c:v>
                </c:pt>
                <c:pt idx="25">
                  <c:v>35053</c:v>
                </c:pt>
                <c:pt idx="26">
                  <c:v>21606</c:v>
                </c:pt>
                <c:pt idx="27">
                  <c:v>14352</c:v>
                </c:pt>
                <c:pt idx="28">
                  <c:v>27765</c:v>
                </c:pt>
                <c:pt idx="29">
                  <c:v>17668</c:v>
                </c:pt>
              </c:numCache>
            </c:numRef>
          </c:val>
          <c:smooth val="0"/>
        </c:ser>
        <c:ser>
          <c:idx val="2"/>
          <c:order val="2"/>
          <c:tx>
            <c:v>concession $$</c:v>
          </c:tx>
          <c:marker>
            <c:symbol val="none"/>
          </c:marker>
          <c:cat>
            <c:strRef>
              <c:f>SUMMARY!$A$41:$B$70</c:f>
              <c:strCache>
                <c:ptCount val="30"/>
                <c:pt idx="0">
                  <c:v>Jan-13</c:v>
                </c:pt>
                <c:pt idx="1">
                  <c:v>Feb-13</c:v>
                </c:pt>
                <c:pt idx="2">
                  <c:v>Mar-13</c:v>
                </c:pt>
                <c:pt idx="3">
                  <c:v>Apr-13</c:v>
                </c:pt>
                <c:pt idx="4">
                  <c:v>May-13</c:v>
                </c:pt>
                <c:pt idx="5">
                  <c:v>Jun-13</c:v>
                </c:pt>
                <c:pt idx="6">
                  <c:v>Jul-13</c:v>
                </c:pt>
                <c:pt idx="7">
                  <c:v>Aug-13</c:v>
                </c:pt>
                <c:pt idx="8">
                  <c:v>Sep-13</c:v>
                </c:pt>
                <c:pt idx="9">
                  <c:v>Oct-13</c:v>
                </c:pt>
                <c:pt idx="10">
                  <c:v>Nov-13</c:v>
                </c:pt>
                <c:pt idx="11">
                  <c:v>Dec-13</c:v>
                </c:pt>
                <c:pt idx="12">
                  <c:v>Jan-14</c:v>
                </c:pt>
                <c:pt idx="13">
                  <c:v>Feb-14</c:v>
                </c:pt>
                <c:pt idx="14">
                  <c:v>Mar-14</c:v>
                </c:pt>
                <c:pt idx="15">
                  <c:v>Apr-14</c:v>
                </c:pt>
                <c:pt idx="16">
                  <c:v>May-14</c:v>
                </c:pt>
                <c:pt idx="17">
                  <c:v>Jun-14</c:v>
                </c:pt>
                <c:pt idx="18">
                  <c:v>Jul-14</c:v>
                </c:pt>
                <c:pt idx="19">
                  <c:v>Aug-14</c:v>
                </c:pt>
                <c:pt idx="20">
                  <c:v>Sep-14</c:v>
                </c:pt>
                <c:pt idx="21">
                  <c:v>Oct-14</c:v>
                </c:pt>
                <c:pt idx="22">
                  <c:v>Nov-14</c:v>
                </c:pt>
                <c:pt idx="23">
                  <c:v>Dec-14</c:v>
                </c:pt>
                <c:pt idx="24">
                  <c:v>Jan-15</c:v>
                </c:pt>
                <c:pt idx="25">
                  <c:v>Feb-15</c:v>
                </c:pt>
                <c:pt idx="26">
                  <c:v>Mar-15</c:v>
                </c:pt>
                <c:pt idx="27">
                  <c:v>Apr-15</c:v>
                </c:pt>
                <c:pt idx="28">
                  <c:v>May-15</c:v>
                </c:pt>
                <c:pt idx="29">
                  <c:v>Jun-15</c:v>
                </c:pt>
              </c:strCache>
            </c:strRef>
          </c:cat>
          <c:val>
            <c:numRef>
              <c:f>SUMMARY!$K$41:$K$70</c:f>
              <c:numCache>
                <c:formatCode>#,##0</c:formatCode>
                <c:ptCount val="30"/>
                <c:pt idx="0">
                  <c:v>1354425</c:v>
                </c:pt>
                <c:pt idx="1">
                  <c:v>1043763</c:v>
                </c:pt>
                <c:pt idx="2">
                  <c:v>761960</c:v>
                </c:pt>
                <c:pt idx="3">
                  <c:v>951270</c:v>
                </c:pt>
                <c:pt idx="4">
                  <c:v>1013335</c:v>
                </c:pt>
                <c:pt idx="5">
                  <c:v>1120163</c:v>
                </c:pt>
                <c:pt idx="6">
                  <c:v>876504</c:v>
                </c:pt>
                <c:pt idx="7">
                  <c:v>889365</c:v>
                </c:pt>
                <c:pt idx="8">
                  <c:v>841572</c:v>
                </c:pt>
                <c:pt idx="9">
                  <c:v>703896</c:v>
                </c:pt>
                <c:pt idx="10">
                  <c:v>670108</c:v>
                </c:pt>
                <c:pt idx="11">
                  <c:v>714157</c:v>
                </c:pt>
                <c:pt idx="12">
                  <c:v>732207</c:v>
                </c:pt>
                <c:pt idx="13">
                  <c:v>471282</c:v>
                </c:pt>
                <c:pt idx="14">
                  <c:v>1502822</c:v>
                </c:pt>
                <c:pt idx="15">
                  <c:v>1623317</c:v>
                </c:pt>
                <c:pt idx="16">
                  <c:v>949220</c:v>
                </c:pt>
                <c:pt idx="17">
                  <c:v>726401</c:v>
                </c:pt>
                <c:pt idx="18">
                  <c:v>541756</c:v>
                </c:pt>
                <c:pt idx="19">
                  <c:v>580597</c:v>
                </c:pt>
                <c:pt idx="20">
                  <c:v>490172</c:v>
                </c:pt>
                <c:pt idx="21">
                  <c:v>450803</c:v>
                </c:pt>
                <c:pt idx="22">
                  <c:v>480589</c:v>
                </c:pt>
                <c:pt idx="23">
                  <c:v>383392</c:v>
                </c:pt>
                <c:pt idx="24">
                  <c:v>406875</c:v>
                </c:pt>
                <c:pt idx="25">
                  <c:v>508344</c:v>
                </c:pt>
                <c:pt idx="26">
                  <c:v>357725</c:v>
                </c:pt>
                <c:pt idx="27">
                  <c:v>258434</c:v>
                </c:pt>
                <c:pt idx="28">
                  <c:v>495546</c:v>
                </c:pt>
                <c:pt idx="29">
                  <c:v>317750</c:v>
                </c:pt>
              </c:numCache>
            </c:numRef>
          </c:val>
          <c:smooth val="0"/>
        </c:ser>
        <c:ser>
          <c:idx val="3"/>
          <c:order val="3"/>
          <c:tx>
            <c:v>RPBS $$</c:v>
          </c:tx>
          <c:marker>
            <c:symbol val="none"/>
          </c:marker>
          <c:cat>
            <c:strRef>
              <c:f>SUMMARY!$A$41:$B$70</c:f>
              <c:strCache>
                <c:ptCount val="30"/>
                <c:pt idx="0">
                  <c:v>Jan-13</c:v>
                </c:pt>
                <c:pt idx="1">
                  <c:v>Feb-13</c:v>
                </c:pt>
                <c:pt idx="2">
                  <c:v>Mar-13</c:v>
                </c:pt>
                <c:pt idx="3">
                  <c:v>Apr-13</c:v>
                </c:pt>
                <c:pt idx="4">
                  <c:v>May-13</c:v>
                </c:pt>
                <c:pt idx="5">
                  <c:v>Jun-13</c:v>
                </c:pt>
                <c:pt idx="6">
                  <c:v>Jul-13</c:v>
                </c:pt>
                <c:pt idx="7">
                  <c:v>Aug-13</c:v>
                </c:pt>
                <c:pt idx="8">
                  <c:v>Sep-13</c:v>
                </c:pt>
                <c:pt idx="9">
                  <c:v>Oct-13</c:v>
                </c:pt>
                <c:pt idx="10">
                  <c:v>Nov-13</c:v>
                </c:pt>
                <c:pt idx="11">
                  <c:v>Dec-13</c:v>
                </c:pt>
                <c:pt idx="12">
                  <c:v>Jan-14</c:v>
                </c:pt>
                <c:pt idx="13">
                  <c:v>Feb-14</c:v>
                </c:pt>
                <c:pt idx="14">
                  <c:v>Mar-14</c:v>
                </c:pt>
                <c:pt idx="15">
                  <c:v>Apr-14</c:v>
                </c:pt>
                <c:pt idx="16">
                  <c:v>May-14</c:v>
                </c:pt>
                <c:pt idx="17">
                  <c:v>Jun-14</c:v>
                </c:pt>
                <c:pt idx="18">
                  <c:v>Jul-14</c:v>
                </c:pt>
                <c:pt idx="19">
                  <c:v>Aug-14</c:v>
                </c:pt>
                <c:pt idx="20">
                  <c:v>Sep-14</c:v>
                </c:pt>
                <c:pt idx="21">
                  <c:v>Oct-14</c:v>
                </c:pt>
                <c:pt idx="22">
                  <c:v>Nov-14</c:v>
                </c:pt>
                <c:pt idx="23">
                  <c:v>Dec-14</c:v>
                </c:pt>
                <c:pt idx="24">
                  <c:v>Jan-15</c:v>
                </c:pt>
                <c:pt idx="25">
                  <c:v>Feb-15</c:v>
                </c:pt>
                <c:pt idx="26">
                  <c:v>Mar-15</c:v>
                </c:pt>
                <c:pt idx="27">
                  <c:v>Apr-15</c:v>
                </c:pt>
                <c:pt idx="28">
                  <c:v>May-15</c:v>
                </c:pt>
                <c:pt idx="29">
                  <c:v>Jun-15</c:v>
                </c:pt>
              </c:strCache>
            </c:strRef>
          </c:cat>
          <c:val>
            <c:numRef>
              <c:f>SUMMARY!$L$41:$L$70</c:f>
              <c:numCache>
                <c:formatCode>#,##0</c:formatCode>
                <c:ptCount val="30"/>
                <c:pt idx="0">
                  <c:v>95830</c:v>
                </c:pt>
                <c:pt idx="1">
                  <c:v>81573</c:v>
                </c:pt>
                <c:pt idx="2">
                  <c:v>60399</c:v>
                </c:pt>
                <c:pt idx="3">
                  <c:v>72578</c:v>
                </c:pt>
                <c:pt idx="4">
                  <c:v>76346</c:v>
                </c:pt>
                <c:pt idx="5">
                  <c:v>78745</c:v>
                </c:pt>
                <c:pt idx="6">
                  <c:v>61042</c:v>
                </c:pt>
                <c:pt idx="7">
                  <c:v>66500</c:v>
                </c:pt>
                <c:pt idx="8">
                  <c:v>59688</c:v>
                </c:pt>
                <c:pt idx="9">
                  <c:v>51175</c:v>
                </c:pt>
                <c:pt idx="10">
                  <c:v>45209</c:v>
                </c:pt>
                <c:pt idx="11">
                  <c:v>50301</c:v>
                </c:pt>
                <c:pt idx="12">
                  <c:v>51486</c:v>
                </c:pt>
                <c:pt idx="13">
                  <c:v>31949</c:v>
                </c:pt>
                <c:pt idx="14">
                  <c:v>104964</c:v>
                </c:pt>
                <c:pt idx="15">
                  <c:v>109710</c:v>
                </c:pt>
                <c:pt idx="16">
                  <c:v>61941</c:v>
                </c:pt>
                <c:pt idx="17">
                  <c:v>46701</c:v>
                </c:pt>
                <c:pt idx="18">
                  <c:v>36352</c:v>
                </c:pt>
                <c:pt idx="19">
                  <c:v>35861</c:v>
                </c:pt>
                <c:pt idx="20">
                  <c:v>31410</c:v>
                </c:pt>
                <c:pt idx="21">
                  <c:v>28290</c:v>
                </c:pt>
                <c:pt idx="22">
                  <c:v>29907</c:v>
                </c:pt>
                <c:pt idx="23">
                  <c:v>23694</c:v>
                </c:pt>
                <c:pt idx="24">
                  <c:v>24089</c:v>
                </c:pt>
                <c:pt idx="25">
                  <c:v>31313</c:v>
                </c:pt>
                <c:pt idx="26">
                  <c:v>21566</c:v>
                </c:pt>
                <c:pt idx="27">
                  <c:v>14223</c:v>
                </c:pt>
                <c:pt idx="28">
                  <c:v>29721</c:v>
                </c:pt>
                <c:pt idx="29">
                  <c:v>17430</c:v>
                </c:pt>
              </c:numCache>
            </c:numRef>
          </c:val>
          <c:smooth val="0"/>
        </c:ser>
        <c:dLbls>
          <c:showLegendKey val="0"/>
          <c:showVal val="0"/>
          <c:showCatName val="0"/>
          <c:showSerName val="0"/>
          <c:showPercent val="0"/>
          <c:showBubbleSize val="0"/>
        </c:dLbls>
        <c:marker val="1"/>
        <c:smooth val="0"/>
        <c:axId val="34886016"/>
        <c:axId val="34887552"/>
      </c:lineChart>
      <c:catAx>
        <c:axId val="34886016"/>
        <c:scaling>
          <c:orientation val="minMax"/>
        </c:scaling>
        <c:delete val="0"/>
        <c:axPos val="b"/>
        <c:majorTickMark val="out"/>
        <c:minorTickMark val="none"/>
        <c:tickLblPos val="nextTo"/>
        <c:crossAx val="34887552"/>
        <c:crosses val="autoZero"/>
        <c:auto val="1"/>
        <c:lblAlgn val="ctr"/>
        <c:lblOffset val="100"/>
        <c:noMultiLvlLbl val="0"/>
      </c:catAx>
      <c:valAx>
        <c:axId val="34887552"/>
        <c:scaling>
          <c:orientation val="minMax"/>
        </c:scaling>
        <c:delete val="0"/>
        <c:axPos val="l"/>
        <c:majorGridlines/>
        <c:numFmt formatCode="#,##0" sourceLinked="1"/>
        <c:majorTickMark val="out"/>
        <c:minorTickMark val="none"/>
        <c:tickLblPos val="nextTo"/>
        <c:crossAx val="34886016"/>
        <c:crosses val="autoZero"/>
        <c:crossBetween val="between"/>
        <c:majorUnit val="100000"/>
      </c:valAx>
    </c:plotArea>
    <c:legend>
      <c:legendPos val="r"/>
      <c:layout>
        <c:manualLayout>
          <c:xMode val="edge"/>
          <c:yMode val="edge"/>
          <c:x val="0.7532102192261938"/>
          <c:y val="1.8721054363617514E-3"/>
          <c:w val="0.24321519558482863"/>
          <c:h val="0.29493028967709312"/>
        </c:manualLayout>
      </c:layout>
      <c:overlay val="0"/>
      <c:txPr>
        <a:bodyPr/>
        <a:lstStyle/>
        <a:p>
          <a:pPr>
            <a:defRPr sz="800"/>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8EBB5-E5DF-43F1-B255-405F74841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1171</Words>
  <Characters>6368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2016-02-25T22:17:00Z</dcterms:created>
  <dcterms:modified xsi:type="dcterms:W3CDTF">2016-02-26T04:32:00Z</dcterms:modified>
</cp:coreProperties>
</file>