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9C" w:rsidRPr="004A3973" w:rsidRDefault="00A6659C" w:rsidP="004A3973">
      <w:pPr>
        <w:pStyle w:val="Title"/>
      </w:pPr>
      <w:r w:rsidRPr="004A3973">
        <w:t>7.15</w:t>
      </w:r>
      <w:r w:rsidR="007C0F57" w:rsidRPr="004A3973">
        <w:tab/>
      </w:r>
      <w:r w:rsidRPr="004A3973">
        <w:t>SITAGLIPTIN</w:t>
      </w:r>
      <w:r w:rsidR="00AF345F" w:rsidRPr="004A3973">
        <w:t xml:space="preserve">, tablet, 100 mg, 50 mg, 25 mg, </w:t>
      </w:r>
      <w:proofErr w:type="spellStart"/>
      <w:r w:rsidR="00AF345F" w:rsidRPr="004A3973">
        <w:t>Januvia</w:t>
      </w:r>
      <w:proofErr w:type="spellEnd"/>
      <w:r w:rsidR="00AF345F" w:rsidRPr="004A3973">
        <w:t>®</w:t>
      </w:r>
    </w:p>
    <w:p w:rsidR="00A6659C" w:rsidRPr="004A3973" w:rsidRDefault="00A6659C" w:rsidP="004A3973">
      <w:pPr>
        <w:pStyle w:val="Title"/>
        <w:ind w:firstLine="0"/>
      </w:pPr>
      <w:r w:rsidRPr="004A3973">
        <w:t>SITAGLIPTIN and METFORMIN</w:t>
      </w:r>
      <w:r w:rsidR="00AF345F" w:rsidRPr="004A3973">
        <w:t xml:space="preserve">, tablet, 50/500mg, 50/850mg, 50/1000mg, </w:t>
      </w:r>
      <w:proofErr w:type="spellStart"/>
      <w:r w:rsidR="003167F0" w:rsidRPr="004A3973">
        <w:t>Janumet</w:t>
      </w:r>
      <w:proofErr w:type="spellEnd"/>
      <w:r w:rsidR="003167F0" w:rsidRPr="004A3973">
        <w:t>®</w:t>
      </w:r>
    </w:p>
    <w:p w:rsidR="00AF345F" w:rsidRPr="004A3973" w:rsidRDefault="00A6659C" w:rsidP="004A3973">
      <w:pPr>
        <w:pStyle w:val="Title"/>
        <w:ind w:firstLine="0"/>
      </w:pPr>
      <w:r w:rsidRPr="004A3973">
        <w:t>SITAGLIPTIN and METFORMIN XR</w:t>
      </w:r>
      <w:r w:rsidR="00AF345F" w:rsidRPr="004A3973">
        <w:t xml:space="preserve">, tablet, 50/1000mg, 100/1000mg, </w:t>
      </w:r>
      <w:proofErr w:type="spellStart"/>
      <w:r w:rsidRPr="004A3973">
        <w:t>Janumet</w:t>
      </w:r>
      <w:proofErr w:type="spellEnd"/>
      <w:r w:rsidRPr="004A3973">
        <w:t xml:space="preserve"> XR®</w:t>
      </w:r>
    </w:p>
    <w:p w:rsidR="00D3280C" w:rsidRPr="004A3973" w:rsidRDefault="00A6659C" w:rsidP="004A3973">
      <w:pPr>
        <w:pStyle w:val="Title"/>
        <w:ind w:firstLine="0"/>
      </w:pPr>
      <w:r w:rsidRPr="004A3973">
        <w:t xml:space="preserve">Merck Sharp &amp; </w:t>
      </w:r>
      <w:proofErr w:type="spellStart"/>
      <w:r w:rsidRPr="004A3973">
        <w:t>Dohme</w:t>
      </w:r>
      <w:proofErr w:type="spellEnd"/>
      <w:r w:rsidRPr="004A3973">
        <w:t xml:space="preserve"> (Australia) Pty Ltd</w:t>
      </w:r>
    </w:p>
    <w:p w:rsidR="00CE10C4" w:rsidRDefault="00CE10C4" w:rsidP="00C27B58">
      <w:pPr>
        <w:pStyle w:val="NoSpacing"/>
      </w:pPr>
    </w:p>
    <w:p w:rsidR="00C27B58" w:rsidRDefault="00C27B58" w:rsidP="00C27B58">
      <w:pPr>
        <w:pStyle w:val="NoSpacing"/>
      </w:pPr>
    </w:p>
    <w:p w:rsidR="00CE10C4" w:rsidRPr="00882085" w:rsidRDefault="00CE10C4" w:rsidP="004A3973">
      <w:pPr>
        <w:pStyle w:val="Heading1"/>
      </w:pPr>
      <w:r w:rsidRPr="00882085">
        <w:t xml:space="preserve">Purpose of </w:t>
      </w:r>
      <w:r w:rsidR="0004240E" w:rsidRPr="00882085">
        <w:t>Application</w:t>
      </w:r>
    </w:p>
    <w:p w:rsidR="006A12A5" w:rsidRPr="00882085" w:rsidRDefault="006A12A5" w:rsidP="00ED740F">
      <w:pPr>
        <w:jc w:val="both"/>
        <w:rPr>
          <w:rFonts w:ascii="Arial" w:hAnsi="Arial"/>
          <w:sz w:val="22"/>
          <w:szCs w:val="22"/>
        </w:rPr>
      </w:pPr>
    </w:p>
    <w:p w:rsidR="007D5ACD" w:rsidRDefault="00887215" w:rsidP="00ED740F">
      <w:pPr>
        <w:pStyle w:val="ListParagraph"/>
        <w:numPr>
          <w:ilvl w:val="1"/>
          <w:numId w:val="1"/>
        </w:numPr>
        <w:jc w:val="both"/>
        <w:rPr>
          <w:rFonts w:ascii="Arial" w:hAnsi="Arial"/>
          <w:sz w:val="22"/>
          <w:szCs w:val="22"/>
        </w:rPr>
      </w:pPr>
      <w:r w:rsidRPr="00887215">
        <w:rPr>
          <w:rFonts w:ascii="Arial" w:hAnsi="Arial"/>
          <w:sz w:val="22"/>
          <w:szCs w:val="22"/>
        </w:rPr>
        <w:t>The minor re-submission requested an</w:t>
      </w:r>
      <w:r w:rsidR="007D5ACD" w:rsidRPr="00887215">
        <w:rPr>
          <w:rFonts w:ascii="Arial" w:hAnsi="Arial"/>
          <w:sz w:val="22"/>
          <w:szCs w:val="22"/>
        </w:rPr>
        <w:t xml:space="preserve"> extension of the current Authority Required (STREAMLINED) listing</w:t>
      </w:r>
      <w:r>
        <w:rPr>
          <w:rFonts w:ascii="Arial" w:hAnsi="Arial"/>
          <w:sz w:val="22"/>
          <w:szCs w:val="22"/>
        </w:rPr>
        <w:t xml:space="preserve">s of the </w:t>
      </w:r>
      <w:proofErr w:type="spellStart"/>
      <w:r>
        <w:rPr>
          <w:rFonts w:ascii="Arial" w:hAnsi="Arial"/>
          <w:sz w:val="22"/>
          <w:szCs w:val="22"/>
        </w:rPr>
        <w:t>Januvia</w:t>
      </w:r>
      <w:proofErr w:type="spellEnd"/>
      <w:r>
        <w:rPr>
          <w:rFonts w:ascii="Arial" w:hAnsi="Arial"/>
          <w:sz w:val="22"/>
          <w:szCs w:val="22"/>
        </w:rPr>
        <w:t xml:space="preserve">®, </w:t>
      </w:r>
      <w:proofErr w:type="spellStart"/>
      <w:r>
        <w:rPr>
          <w:rFonts w:ascii="Arial" w:hAnsi="Arial"/>
          <w:sz w:val="22"/>
          <w:szCs w:val="22"/>
        </w:rPr>
        <w:t>Janumet</w:t>
      </w:r>
      <w:proofErr w:type="spellEnd"/>
      <w:r>
        <w:rPr>
          <w:rFonts w:ascii="Arial" w:hAnsi="Arial"/>
          <w:sz w:val="22"/>
          <w:szCs w:val="22"/>
        </w:rPr>
        <w:t xml:space="preserve">® and </w:t>
      </w:r>
      <w:proofErr w:type="spellStart"/>
      <w:r>
        <w:rPr>
          <w:rFonts w:ascii="Arial" w:hAnsi="Arial"/>
          <w:sz w:val="22"/>
          <w:szCs w:val="22"/>
        </w:rPr>
        <w:t>Janumet</w:t>
      </w:r>
      <w:proofErr w:type="spellEnd"/>
      <w:r>
        <w:rPr>
          <w:rFonts w:ascii="Arial" w:hAnsi="Arial"/>
          <w:sz w:val="22"/>
          <w:szCs w:val="22"/>
        </w:rPr>
        <w:t>®</w:t>
      </w:r>
      <w:r w:rsidR="0053400E">
        <w:rPr>
          <w:rFonts w:ascii="Arial" w:hAnsi="Arial"/>
          <w:sz w:val="22"/>
          <w:szCs w:val="22"/>
        </w:rPr>
        <w:t xml:space="preserve"> XR</w:t>
      </w:r>
      <w:r w:rsidR="007D5ACD" w:rsidRPr="00887215">
        <w:rPr>
          <w:rFonts w:ascii="Arial" w:hAnsi="Arial"/>
          <w:sz w:val="22"/>
          <w:szCs w:val="22"/>
        </w:rPr>
        <w:t xml:space="preserve"> for use in combination with insulin i</w:t>
      </w:r>
      <w:r w:rsidR="00006539">
        <w:rPr>
          <w:rFonts w:ascii="Arial" w:hAnsi="Arial"/>
          <w:sz w:val="22"/>
          <w:szCs w:val="22"/>
        </w:rPr>
        <w:t>n patients with type 2 diabetes</w:t>
      </w:r>
      <w:r w:rsidR="00B1480D">
        <w:rPr>
          <w:rFonts w:ascii="Arial" w:hAnsi="Arial"/>
          <w:sz w:val="22"/>
          <w:szCs w:val="22"/>
        </w:rPr>
        <w:t xml:space="preserve">, </w:t>
      </w:r>
      <w:r w:rsidR="00B1480D" w:rsidRPr="000A1108">
        <w:rPr>
          <w:rFonts w:ascii="Arial" w:hAnsi="Arial"/>
          <w:sz w:val="22"/>
          <w:szCs w:val="22"/>
        </w:rPr>
        <w:t>with or without metformin.</w:t>
      </w:r>
    </w:p>
    <w:p w:rsidR="006E57E3" w:rsidRDefault="006E57E3" w:rsidP="00ED740F">
      <w:pPr>
        <w:jc w:val="both"/>
        <w:rPr>
          <w:rFonts w:ascii="Arial" w:hAnsi="Arial"/>
          <w:sz w:val="22"/>
          <w:szCs w:val="22"/>
        </w:rPr>
      </w:pPr>
    </w:p>
    <w:p w:rsidR="006E57E3" w:rsidRPr="006E57E3" w:rsidRDefault="006E57E3" w:rsidP="00ED740F">
      <w:pPr>
        <w:jc w:val="both"/>
        <w:rPr>
          <w:rFonts w:ascii="Arial" w:hAnsi="Arial"/>
          <w:sz w:val="22"/>
          <w:szCs w:val="22"/>
        </w:rPr>
      </w:pPr>
    </w:p>
    <w:p w:rsidR="006E57E3" w:rsidRPr="00882085" w:rsidRDefault="006E57E3" w:rsidP="004A3973">
      <w:pPr>
        <w:pStyle w:val="Heading1"/>
      </w:pPr>
      <w:r w:rsidRPr="00F832B0">
        <w:t>Requested listing</w:t>
      </w:r>
    </w:p>
    <w:p w:rsidR="006E57E3" w:rsidRPr="00882085" w:rsidRDefault="006E57E3" w:rsidP="00ED740F">
      <w:pPr>
        <w:jc w:val="both"/>
        <w:rPr>
          <w:rFonts w:ascii="Arial" w:hAnsi="Arial"/>
          <w:b/>
          <w:sz w:val="22"/>
          <w:szCs w:val="22"/>
        </w:rPr>
      </w:pPr>
    </w:p>
    <w:p w:rsidR="006E57E3" w:rsidRPr="003A717C" w:rsidRDefault="006E57E3" w:rsidP="00ED740F">
      <w:pPr>
        <w:pStyle w:val="ListParagraph"/>
        <w:numPr>
          <w:ilvl w:val="1"/>
          <w:numId w:val="1"/>
        </w:numPr>
        <w:jc w:val="both"/>
        <w:rPr>
          <w:rFonts w:ascii="Arial" w:hAnsi="Arial"/>
          <w:sz w:val="22"/>
          <w:szCs w:val="22"/>
        </w:rPr>
      </w:pPr>
      <w:r w:rsidRPr="003A717C">
        <w:rPr>
          <w:rFonts w:ascii="Arial" w:hAnsi="Arial"/>
          <w:sz w:val="22"/>
          <w:szCs w:val="22"/>
        </w:rPr>
        <w:t xml:space="preserve">The July 2015 major submission requested the following new listing. </w:t>
      </w:r>
      <w:r w:rsidRPr="003A717C">
        <w:rPr>
          <w:rFonts w:ascii="Arial" w:hAnsi="Arial" w:cs="Arial"/>
          <w:sz w:val="22"/>
          <w:szCs w:val="22"/>
        </w:rPr>
        <w:t>Suggestions and additions proposed by the Secretariat to the requested listing are added in italics and suggested deletions are crossed out with strikethrough.</w:t>
      </w:r>
    </w:p>
    <w:p w:rsidR="006E57E3" w:rsidRDefault="006E57E3" w:rsidP="00ED740F">
      <w:pPr>
        <w:jc w:val="both"/>
      </w:pPr>
    </w:p>
    <w:tbl>
      <w:tblPr>
        <w:tblW w:w="8222"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851"/>
      </w:tblGrid>
      <w:tr w:rsidR="006E57E3" w:rsidRPr="00115A6D" w:rsidTr="006720EC">
        <w:trPr>
          <w:cantSplit/>
          <w:trHeight w:val="471"/>
        </w:trPr>
        <w:tc>
          <w:tcPr>
            <w:tcW w:w="4678" w:type="dxa"/>
            <w:tcBorders>
              <w:top w:val="nil"/>
              <w:left w:val="nil"/>
              <w:bottom w:val="single" w:sz="6" w:space="0" w:color="auto"/>
              <w:right w:val="nil"/>
            </w:tcBorders>
            <w:shd w:val="clear" w:color="auto" w:fill="auto"/>
          </w:tcPr>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Name, Restriction,</w:t>
            </w:r>
          </w:p>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 xml:space="preserve">Manner of administration </w:t>
            </w:r>
          </w:p>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and form</w:t>
            </w:r>
          </w:p>
        </w:tc>
        <w:tc>
          <w:tcPr>
            <w:tcW w:w="709" w:type="dxa"/>
            <w:tcBorders>
              <w:top w:val="nil"/>
              <w:left w:val="nil"/>
              <w:bottom w:val="single" w:sz="6" w:space="0" w:color="auto"/>
              <w:right w:val="nil"/>
            </w:tcBorders>
            <w:shd w:val="clear" w:color="auto" w:fill="auto"/>
          </w:tcPr>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Max.</w:t>
            </w:r>
          </w:p>
          <w:p w:rsidR="006E57E3" w:rsidRPr="00115A6D" w:rsidRDefault="006E57E3" w:rsidP="00ED740F">
            <w:pPr>
              <w:keepNext/>
              <w:ind w:left="-108"/>
              <w:jc w:val="both"/>
              <w:rPr>
                <w:rFonts w:ascii="Arial" w:hAnsi="Arial" w:cs="Arial"/>
                <w:b/>
                <w:snapToGrid w:val="0"/>
                <w:sz w:val="20"/>
                <w:szCs w:val="20"/>
                <w:lang w:eastAsia="en-US"/>
              </w:rPr>
            </w:pPr>
            <w:proofErr w:type="spellStart"/>
            <w:r w:rsidRPr="00115A6D">
              <w:rPr>
                <w:rFonts w:ascii="Arial" w:hAnsi="Arial" w:cs="Arial"/>
                <w:b/>
                <w:snapToGrid w:val="0"/>
                <w:sz w:val="20"/>
                <w:szCs w:val="20"/>
                <w:lang w:eastAsia="en-US"/>
              </w:rPr>
              <w:t>Qty</w:t>
            </w:r>
            <w:proofErr w:type="spellEnd"/>
          </w:p>
        </w:tc>
        <w:tc>
          <w:tcPr>
            <w:tcW w:w="708" w:type="dxa"/>
            <w:tcBorders>
              <w:top w:val="nil"/>
              <w:left w:val="nil"/>
              <w:bottom w:val="single" w:sz="6" w:space="0" w:color="auto"/>
              <w:right w:val="nil"/>
            </w:tcBorders>
            <w:shd w:val="clear" w:color="auto" w:fill="auto"/>
          </w:tcPr>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№.of</w:t>
            </w:r>
          </w:p>
          <w:p w:rsidR="006E57E3" w:rsidRPr="00115A6D" w:rsidRDefault="006E57E3" w:rsidP="00ED740F">
            <w:pPr>
              <w:keepNext/>
              <w:ind w:left="-108"/>
              <w:jc w:val="both"/>
              <w:rPr>
                <w:rFonts w:ascii="Arial" w:hAnsi="Arial" w:cs="Arial"/>
                <w:b/>
                <w:snapToGrid w:val="0"/>
                <w:sz w:val="20"/>
                <w:szCs w:val="20"/>
                <w:lang w:eastAsia="en-US"/>
              </w:rPr>
            </w:pPr>
            <w:r w:rsidRPr="00115A6D">
              <w:rPr>
                <w:rFonts w:ascii="Arial" w:hAnsi="Arial" w:cs="Arial"/>
                <w:b/>
                <w:snapToGrid w:val="0"/>
                <w:sz w:val="20"/>
                <w:szCs w:val="20"/>
                <w:lang w:eastAsia="en-US"/>
              </w:rPr>
              <w:t>Rpts</w:t>
            </w:r>
          </w:p>
        </w:tc>
        <w:tc>
          <w:tcPr>
            <w:tcW w:w="2127" w:type="dxa"/>
            <w:gridSpan w:val="2"/>
            <w:tcBorders>
              <w:top w:val="nil"/>
              <w:left w:val="nil"/>
              <w:bottom w:val="single" w:sz="6" w:space="0" w:color="auto"/>
              <w:right w:val="nil"/>
            </w:tcBorders>
            <w:shd w:val="clear" w:color="auto" w:fill="auto"/>
          </w:tcPr>
          <w:p w:rsidR="006E57E3" w:rsidRPr="00115A6D" w:rsidRDefault="006E57E3" w:rsidP="00ED740F">
            <w:pPr>
              <w:keepNext/>
              <w:jc w:val="both"/>
              <w:rPr>
                <w:rFonts w:ascii="Arial" w:hAnsi="Arial" w:cs="Arial"/>
                <w:b/>
                <w:snapToGrid w:val="0"/>
                <w:sz w:val="20"/>
                <w:szCs w:val="20"/>
                <w:lang w:val="fr-FR" w:eastAsia="en-US"/>
              </w:rPr>
            </w:pPr>
            <w:r w:rsidRPr="00115A6D">
              <w:rPr>
                <w:rFonts w:ascii="Arial" w:hAnsi="Arial" w:cs="Arial"/>
                <w:b/>
                <w:snapToGrid w:val="0"/>
                <w:sz w:val="20"/>
                <w:szCs w:val="20"/>
                <w:lang w:eastAsia="en-US"/>
              </w:rPr>
              <w:t>Proprietary Name and Manufacturer</w:t>
            </w:r>
          </w:p>
        </w:tc>
      </w:tr>
      <w:tr w:rsidR="006E57E3" w:rsidRPr="00115A6D" w:rsidTr="006720EC">
        <w:trPr>
          <w:cantSplit/>
          <w:trHeight w:val="471"/>
        </w:trPr>
        <w:tc>
          <w:tcPr>
            <w:tcW w:w="4678" w:type="dxa"/>
            <w:tcBorders>
              <w:top w:val="single" w:sz="6" w:space="0" w:color="auto"/>
              <w:left w:val="nil"/>
              <w:bottom w:val="nil"/>
              <w:right w:val="nil"/>
            </w:tcBorders>
            <w:shd w:val="clear" w:color="auto" w:fill="auto"/>
            <w:vAlign w:val="center"/>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SITAGLIPTIN</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25 mg tablet, 28</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50 mg tablet, 28</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100 mg tablet, 28</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SITAGLIPTIN + METFORMIN</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50 mg + metformin hydrochloride 500 mg tablet, 56</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50 mg + metformin hydrochloride 850 mg tablet, 56</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50 mg + metformin hydrochloride 1 g tablet, 56</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SITAGLIPTIN + METFORMIN</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50 mg + metformin hydrochloride 1 g tablet: modified release, 56</w:t>
            </w:r>
          </w:p>
          <w:p w:rsidR="006E57E3" w:rsidRPr="00115A6D" w:rsidRDefault="006E57E3" w:rsidP="00ED740F">
            <w:pPr>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sitagliptin</w:t>
            </w:r>
            <w:proofErr w:type="spellEnd"/>
            <w:r w:rsidRPr="00115A6D">
              <w:rPr>
                <w:rFonts w:ascii="Arial Narrow" w:hAnsi="Arial Narrow" w:cs="Arial"/>
                <w:snapToGrid w:val="0"/>
                <w:sz w:val="20"/>
                <w:szCs w:val="20"/>
                <w:lang w:eastAsia="en-US"/>
              </w:rPr>
              <w:t xml:space="preserve"> 100 mg + metformin hydrochloride 1 g tablet: modified release, 28</w:t>
            </w:r>
          </w:p>
        </w:tc>
        <w:tc>
          <w:tcPr>
            <w:tcW w:w="709" w:type="dxa"/>
            <w:tcBorders>
              <w:top w:val="single" w:sz="6" w:space="0" w:color="auto"/>
              <w:left w:val="nil"/>
              <w:bottom w:val="nil"/>
              <w:right w:val="nil"/>
            </w:tcBorders>
            <w:shd w:val="clear" w:color="auto" w:fill="auto"/>
          </w:tcPr>
          <w:p w:rsidR="006E57E3" w:rsidRPr="00115A6D" w:rsidRDefault="006E57E3" w:rsidP="00ED740F">
            <w:pPr>
              <w:keepNext/>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1</w:t>
            </w:r>
            <w:bookmarkStart w:id="0" w:name="_GoBack"/>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bookmarkEnd w:id="0"/>
          <w:p w:rsidR="006E57E3" w:rsidRPr="00115A6D" w:rsidRDefault="006E57E3" w:rsidP="00ED740F">
            <w:pPr>
              <w:keepNext/>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1</w:t>
            </w: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1</w:t>
            </w:r>
          </w:p>
        </w:tc>
        <w:tc>
          <w:tcPr>
            <w:tcW w:w="708" w:type="dxa"/>
            <w:tcBorders>
              <w:top w:val="single" w:sz="6" w:space="0" w:color="auto"/>
              <w:left w:val="nil"/>
              <w:bottom w:val="nil"/>
              <w:right w:val="nil"/>
            </w:tcBorders>
            <w:shd w:val="clear" w:color="auto" w:fill="auto"/>
          </w:tcPr>
          <w:p w:rsidR="006E57E3" w:rsidRPr="00115A6D" w:rsidRDefault="006E57E3" w:rsidP="00ED740F">
            <w:pPr>
              <w:keepNext/>
              <w:ind w:left="-108"/>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5</w:t>
            </w: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5</w:t>
            </w: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p>
          <w:p w:rsidR="006E57E3" w:rsidRPr="00115A6D" w:rsidRDefault="006E57E3" w:rsidP="00ED740F">
            <w:pPr>
              <w:keepNext/>
              <w:ind w:left="-108"/>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5</w:t>
            </w:r>
          </w:p>
        </w:tc>
        <w:tc>
          <w:tcPr>
            <w:tcW w:w="1276" w:type="dxa"/>
            <w:tcBorders>
              <w:top w:val="single" w:sz="6" w:space="0" w:color="auto"/>
              <w:left w:val="nil"/>
              <w:bottom w:val="nil"/>
              <w:right w:val="nil"/>
            </w:tcBorders>
            <w:shd w:val="clear" w:color="auto" w:fill="auto"/>
          </w:tcPr>
          <w:p w:rsidR="006E57E3" w:rsidRPr="00115A6D" w:rsidRDefault="006E57E3" w:rsidP="00ED740F">
            <w:pPr>
              <w:keepNext/>
              <w:jc w:val="both"/>
              <w:rPr>
                <w:rFonts w:ascii="Arial Narrow" w:hAnsi="Arial Narrow" w:cs="Arial"/>
                <w:snapToGrid w:val="0"/>
                <w:sz w:val="20"/>
                <w:szCs w:val="20"/>
                <w:vertAlign w:val="superscript"/>
                <w:lang w:eastAsia="en-US"/>
              </w:rPr>
            </w:pPr>
            <w:proofErr w:type="spellStart"/>
            <w:r w:rsidRPr="00115A6D">
              <w:rPr>
                <w:rFonts w:ascii="Arial Narrow" w:hAnsi="Arial Narrow" w:cs="Arial"/>
                <w:snapToGrid w:val="0"/>
                <w:sz w:val="20"/>
                <w:szCs w:val="20"/>
                <w:lang w:eastAsia="en-US"/>
              </w:rPr>
              <w:t>Januvia</w:t>
            </w:r>
            <w:proofErr w:type="spellEnd"/>
            <w:r w:rsidRPr="00115A6D">
              <w:rPr>
                <w:rFonts w:ascii="Arial Narrow" w:hAnsi="Arial Narrow" w:cs="Arial"/>
                <w:snapToGrid w:val="0"/>
                <w:sz w:val="20"/>
                <w:szCs w:val="20"/>
                <w:vertAlign w:val="superscript"/>
                <w:lang w:eastAsia="en-US"/>
              </w:rPr>
              <w:t>®</w:t>
            </w: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Janumet</w:t>
            </w:r>
            <w:proofErr w:type="spellEnd"/>
            <w:r w:rsidRPr="00115A6D">
              <w:rPr>
                <w:rFonts w:ascii="Arial Narrow" w:hAnsi="Arial Narrow" w:cs="Arial"/>
                <w:snapToGrid w:val="0"/>
                <w:sz w:val="20"/>
                <w:szCs w:val="20"/>
                <w:vertAlign w:val="superscript"/>
                <w:lang w:eastAsia="en-US"/>
              </w:rPr>
              <w:t>®</w:t>
            </w:r>
            <w:r w:rsidRPr="00115A6D">
              <w:rPr>
                <w:rFonts w:ascii="Arial Narrow" w:hAnsi="Arial Narrow" w:cs="Arial"/>
                <w:snapToGrid w:val="0"/>
                <w:sz w:val="20"/>
                <w:szCs w:val="20"/>
                <w:lang w:eastAsia="en-US"/>
              </w:rPr>
              <w:t xml:space="preserve"> </w:t>
            </w: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roofErr w:type="spellStart"/>
            <w:r w:rsidRPr="00115A6D">
              <w:rPr>
                <w:rFonts w:ascii="Arial Narrow" w:hAnsi="Arial Narrow" w:cs="Arial"/>
                <w:snapToGrid w:val="0"/>
                <w:sz w:val="20"/>
                <w:szCs w:val="20"/>
                <w:lang w:eastAsia="en-US"/>
              </w:rPr>
              <w:t>Janumet</w:t>
            </w:r>
            <w:proofErr w:type="spellEnd"/>
            <w:r w:rsidRPr="00115A6D">
              <w:rPr>
                <w:rFonts w:ascii="Arial Narrow" w:hAnsi="Arial Narrow" w:cs="Arial"/>
                <w:snapToGrid w:val="0"/>
                <w:sz w:val="20"/>
                <w:szCs w:val="20"/>
                <w:lang w:eastAsia="en-US"/>
              </w:rPr>
              <w:t xml:space="preserve"> XR</w:t>
            </w:r>
            <w:r w:rsidRPr="00115A6D">
              <w:rPr>
                <w:rFonts w:ascii="Arial Narrow" w:hAnsi="Arial Narrow" w:cs="Arial"/>
                <w:snapToGrid w:val="0"/>
                <w:sz w:val="20"/>
                <w:szCs w:val="20"/>
                <w:vertAlign w:val="superscript"/>
                <w:lang w:eastAsia="en-US"/>
              </w:rPr>
              <w:t>®</w:t>
            </w:r>
            <w:r w:rsidRPr="00115A6D">
              <w:rPr>
                <w:rFonts w:ascii="Arial Narrow" w:hAnsi="Arial Narrow" w:cs="Arial"/>
                <w:snapToGrid w:val="0"/>
                <w:sz w:val="20"/>
                <w:szCs w:val="20"/>
                <w:lang w:eastAsia="en-US"/>
              </w:rPr>
              <w:t xml:space="preserve">  </w:t>
            </w:r>
          </w:p>
        </w:tc>
        <w:tc>
          <w:tcPr>
            <w:tcW w:w="851" w:type="dxa"/>
            <w:tcBorders>
              <w:top w:val="single" w:sz="6" w:space="0" w:color="auto"/>
              <w:left w:val="nil"/>
              <w:bottom w:val="nil"/>
              <w:right w:val="nil"/>
            </w:tcBorders>
            <w:shd w:val="clear" w:color="auto" w:fill="auto"/>
          </w:tcPr>
          <w:p w:rsidR="006E57E3" w:rsidRPr="00115A6D" w:rsidRDefault="006E57E3" w:rsidP="00ED740F">
            <w:pPr>
              <w:keepNext/>
              <w:jc w:val="both"/>
              <w:rPr>
                <w:rFonts w:ascii="Arial Narrow" w:hAnsi="Arial Narrow" w:cs="Arial"/>
                <w:snapToGrid w:val="0"/>
                <w:sz w:val="20"/>
                <w:szCs w:val="20"/>
                <w:lang w:eastAsia="en-US"/>
              </w:rPr>
            </w:pPr>
            <w:r>
              <w:rPr>
                <w:rFonts w:ascii="Arial Narrow" w:hAnsi="Arial Narrow" w:cs="Arial"/>
                <w:snapToGrid w:val="0"/>
                <w:sz w:val="20"/>
                <w:szCs w:val="20"/>
                <w:lang w:eastAsia="en-US"/>
              </w:rPr>
              <w:t>MSD</w:t>
            </w: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r>
              <w:rPr>
                <w:rFonts w:ascii="Arial Narrow" w:hAnsi="Arial Narrow" w:cs="Arial"/>
                <w:snapToGrid w:val="0"/>
                <w:sz w:val="20"/>
                <w:szCs w:val="20"/>
                <w:lang w:eastAsia="en-US"/>
              </w:rPr>
              <w:t>MSD</w:t>
            </w: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p>
          <w:p w:rsidR="006E57E3" w:rsidRPr="00115A6D" w:rsidRDefault="006E57E3" w:rsidP="00ED740F">
            <w:pPr>
              <w:keepNext/>
              <w:jc w:val="both"/>
              <w:rPr>
                <w:rFonts w:ascii="Arial Narrow" w:hAnsi="Arial Narrow" w:cs="Arial"/>
                <w:snapToGrid w:val="0"/>
                <w:sz w:val="20"/>
                <w:szCs w:val="20"/>
                <w:lang w:eastAsia="en-US"/>
              </w:rPr>
            </w:pPr>
            <w:r>
              <w:rPr>
                <w:rFonts w:ascii="Arial Narrow" w:hAnsi="Arial Narrow" w:cs="Arial"/>
                <w:snapToGrid w:val="0"/>
                <w:sz w:val="20"/>
                <w:szCs w:val="20"/>
                <w:lang w:eastAsia="en-US"/>
              </w:rPr>
              <w:t>MSD</w:t>
            </w:r>
          </w:p>
          <w:p w:rsidR="006E57E3" w:rsidRPr="00115A6D" w:rsidRDefault="006E57E3" w:rsidP="00ED740F">
            <w:pPr>
              <w:keepNext/>
              <w:jc w:val="both"/>
              <w:rPr>
                <w:rFonts w:ascii="Arial Narrow" w:hAnsi="Arial Narrow" w:cs="Arial"/>
                <w:snapToGrid w:val="0"/>
                <w:sz w:val="20"/>
                <w:szCs w:val="20"/>
                <w:lang w:eastAsia="en-US"/>
              </w:rPr>
            </w:pPr>
          </w:p>
        </w:tc>
      </w:tr>
    </w:tbl>
    <w:p w:rsidR="006E57E3" w:rsidRDefault="006E57E3" w:rsidP="00ED740F">
      <w:pPr>
        <w:pStyle w:val="ListParagraph"/>
        <w:jc w:val="both"/>
        <w:rPr>
          <w:rFonts w:ascii="Arial" w:hAnsi="Arial"/>
          <w:sz w:val="22"/>
          <w:szCs w:val="22"/>
        </w:rPr>
      </w:pPr>
      <w:r>
        <w:rPr>
          <w:rFonts w:ascii="Arial" w:hAnsi="Arial"/>
          <w:sz w:val="22"/>
          <w:szCs w:val="22"/>
        </w:rPr>
        <w:t xml:space="preserve">  </w:t>
      </w:r>
    </w:p>
    <w:tbl>
      <w:tblPr>
        <w:tblW w:w="8222" w:type="dxa"/>
        <w:tblInd w:w="817" w:type="dxa"/>
        <w:tblLayout w:type="fixed"/>
        <w:tblLook w:val="0000" w:firstRow="0" w:lastRow="0" w:firstColumn="0" w:lastColumn="0" w:noHBand="0" w:noVBand="0"/>
      </w:tblPr>
      <w:tblGrid>
        <w:gridCol w:w="1984"/>
        <w:gridCol w:w="6238"/>
      </w:tblGrid>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t>Category / Program</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GENERAL – General Schedule (GE)</w:t>
            </w: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t>Prescriber type:</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115A6D">
              <w:rPr>
                <w:rFonts w:ascii="Arial Narrow" w:hAnsi="Arial Narrow" w:cs="Arial"/>
                <w:snapToGrid w:val="0"/>
                <w:sz w:val="20"/>
                <w:szCs w:val="20"/>
                <w:lang w:eastAsia="en-US"/>
              </w:rPr>
              <w:instrText xml:space="preserve"> FORMCHECKBOX </w:instrText>
            </w:r>
            <w:r w:rsidR="002434D5">
              <w:rPr>
                <w:rFonts w:ascii="Arial Narrow" w:hAnsi="Arial Narrow" w:cs="Arial"/>
                <w:snapToGrid w:val="0"/>
                <w:sz w:val="20"/>
                <w:szCs w:val="20"/>
                <w:lang w:eastAsia="en-US"/>
              </w:rPr>
            </w:r>
            <w:r w:rsidR="002434D5">
              <w:rPr>
                <w:rFonts w:ascii="Arial Narrow" w:hAnsi="Arial Narrow" w:cs="Arial"/>
                <w:snapToGrid w:val="0"/>
                <w:sz w:val="20"/>
                <w:szCs w:val="20"/>
                <w:lang w:eastAsia="en-US"/>
              </w:rPr>
              <w:fldChar w:fldCharType="separate"/>
            </w:r>
            <w:r w:rsidRPr="00115A6D">
              <w:rPr>
                <w:rFonts w:ascii="Arial Narrow" w:hAnsi="Arial Narrow" w:cs="Arial"/>
                <w:snapToGrid w:val="0"/>
                <w:sz w:val="20"/>
                <w:szCs w:val="20"/>
                <w:lang w:eastAsia="en-US"/>
              </w:rPr>
              <w:fldChar w:fldCharType="end"/>
            </w:r>
            <w:r w:rsidRPr="00115A6D">
              <w:rPr>
                <w:rFonts w:ascii="Arial Narrow" w:hAnsi="Arial Narrow" w:cs="Arial"/>
                <w:snapToGrid w:val="0"/>
                <w:sz w:val="20"/>
                <w:szCs w:val="20"/>
                <w:lang w:eastAsia="en-US"/>
              </w:rPr>
              <w:t xml:space="preserve">Medical Practitioners  </w:t>
            </w:r>
            <w:r w:rsidRPr="00115A6D">
              <w:rPr>
                <w:rFonts w:ascii="Arial Narrow" w:hAnsi="Arial Narrow" w:cs="Arial"/>
                <w:snapToGrid w:val="0"/>
                <w:sz w:val="20"/>
                <w:szCs w:val="20"/>
                <w:lang w:eastAsia="en-US"/>
              </w:rPr>
              <w:fldChar w:fldCharType="begin">
                <w:ffData>
                  <w:name w:val="Check3"/>
                  <w:enabled/>
                  <w:calcOnExit w:val="0"/>
                  <w:checkBox>
                    <w:sizeAuto/>
                    <w:default w:val="1"/>
                  </w:checkBox>
                </w:ffData>
              </w:fldChar>
            </w:r>
            <w:r w:rsidRPr="00115A6D">
              <w:rPr>
                <w:rFonts w:ascii="Arial Narrow" w:hAnsi="Arial Narrow" w:cs="Arial"/>
                <w:snapToGrid w:val="0"/>
                <w:sz w:val="20"/>
                <w:szCs w:val="20"/>
                <w:lang w:eastAsia="en-US"/>
              </w:rPr>
              <w:instrText xml:space="preserve"> FORMCHECKBOX </w:instrText>
            </w:r>
            <w:r w:rsidR="002434D5">
              <w:rPr>
                <w:rFonts w:ascii="Arial Narrow" w:hAnsi="Arial Narrow" w:cs="Arial"/>
                <w:snapToGrid w:val="0"/>
                <w:sz w:val="20"/>
                <w:szCs w:val="20"/>
                <w:lang w:eastAsia="en-US"/>
              </w:rPr>
            </w:r>
            <w:r w:rsidR="002434D5">
              <w:rPr>
                <w:rFonts w:ascii="Arial Narrow" w:hAnsi="Arial Narrow" w:cs="Arial"/>
                <w:snapToGrid w:val="0"/>
                <w:sz w:val="20"/>
                <w:szCs w:val="20"/>
                <w:lang w:eastAsia="en-US"/>
              </w:rPr>
              <w:fldChar w:fldCharType="separate"/>
            </w:r>
            <w:r w:rsidRPr="00115A6D">
              <w:rPr>
                <w:rFonts w:ascii="Arial Narrow" w:hAnsi="Arial Narrow" w:cs="Arial"/>
                <w:snapToGrid w:val="0"/>
                <w:sz w:val="20"/>
                <w:szCs w:val="20"/>
                <w:lang w:eastAsia="en-US"/>
              </w:rPr>
              <w:fldChar w:fldCharType="end"/>
            </w:r>
            <w:r w:rsidRPr="00115A6D">
              <w:rPr>
                <w:rFonts w:ascii="Arial Narrow" w:hAnsi="Arial Narrow" w:cs="Arial"/>
                <w:snapToGrid w:val="0"/>
                <w:sz w:val="20"/>
                <w:szCs w:val="20"/>
                <w:lang w:eastAsia="en-US"/>
              </w:rPr>
              <w:t xml:space="preserve">Nurse practitioners  </w:t>
            </w: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t>Condition:</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Diabetes mellitus type 2</w:t>
            </w: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t>PBS Indication:</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Diabetes mellitus type 2</w:t>
            </w: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b/>
                <w:snapToGrid w:val="0"/>
                <w:sz w:val="20"/>
                <w:szCs w:val="20"/>
                <w:lang w:eastAsia="en-US"/>
              </w:rPr>
              <w:t>Restriction Level / Method:</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Authority required (Streamlined)</w:t>
            </w: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lastRenderedPageBreak/>
              <w:t>Clinical criteria:</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The treatment must be in combination insulin</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AND</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i/>
                <w:snapToGrid w:val="0"/>
                <w:sz w:val="20"/>
                <w:szCs w:val="20"/>
                <w:lang w:eastAsia="en-US"/>
              </w:rPr>
            </w:pPr>
            <w:r w:rsidRPr="00115A6D">
              <w:rPr>
                <w:rFonts w:ascii="Arial Narrow" w:hAnsi="Arial Narrow" w:cs="Arial"/>
                <w:snapToGrid w:val="0"/>
                <w:sz w:val="20"/>
                <w:szCs w:val="20"/>
                <w:lang w:eastAsia="en-US"/>
              </w:rPr>
              <w:t xml:space="preserve">Patient must have, or have had, a HbA1c measurement greater than 7% prior to the initiation of a </w:t>
            </w:r>
            <w:proofErr w:type="spellStart"/>
            <w:r w:rsidRPr="00115A6D">
              <w:rPr>
                <w:rFonts w:ascii="Arial Narrow" w:hAnsi="Arial Narrow" w:cs="Arial"/>
                <w:snapToGrid w:val="0"/>
                <w:sz w:val="20"/>
                <w:szCs w:val="20"/>
                <w:lang w:eastAsia="en-US"/>
              </w:rPr>
              <w:t>dipeptidyl</w:t>
            </w:r>
            <w:proofErr w:type="spellEnd"/>
            <w:r w:rsidRPr="00115A6D">
              <w:rPr>
                <w:rFonts w:ascii="Arial Narrow" w:hAnsi="Arial Narrow" w:cs="Arial"/>
                <w:snapToGrid w:val="0"/>
                <w:sz w:val="20"/>
                <w:szCs w:val="20"/>
                <w:lang w:eastAsia="en-US"/>
              </w:rPr>
              <w:t xml:space="preserve"> peptidase 4 inhibitor (gliptin), a thiazolidinedione (</w:t>
            </w:r>
            <w:proofErr w:type="spellStart"/>
            <w:r w:rsidRPr="00115A6D">
              <w:rPr>
                <w:rFonts w:ascii="Arial Narrow" w:hAnsi="Arial Narrow" w:cs="Arial"/>
                <w:snapToGrid w:val="0"/>
                <w:sz w:val="20"/>
                <w:szCs w:val="20"/>
                <w:lang w:eastAsia="en-US"/>
              </w:rPr>
              <w:t>glitazone</w:t>
            </w:r>
            <w:proofErr w:type="spellEnd"/>
            <w:r w:rsidRPr="00115A6D">
              <w:rPr>
                <w:rFonts w:ascii="Arial Narrow" w:hAnsi="Arial Narrow" w:cs="Arial"/>
                <w:snapToGrid w:val="0"/>
                <w:sz w:val="20"/>
                <w:szCs w:val="20"/>
                <w:lang w:eastAsia="en-US"/>
              </w:rPr>
              <w:t xml:space="preserve">), a glucagon-like peptide-1 or a sodium-glucose co-transporter 2 (SGLT2) inhibitor despite treatment with </w:t>
            </w:r>
            <w:r w:rsidRPr="00115A6D">
              <w:rPr>
                <w:rFonts w:ascii="Arial Narrow" w:hAnsi="Arial Narrow" w:cs="Arial"/>
                <w:strike/>
                <w:snapToGrid w:val="0"/>
                <w:sz w:val="20"/>
                <w:szCs w:val="20"/>
                <w:lang w:eastAsia="en-US"/>
              </w:rPr>
              <w:t xml:space="preserve">insulin with or without other oral antidiabetic agents </w:t>
            </w:r>
            <w:r w:rsidRPr="00115A6D">
              <w:rPr>
                <w:rFonts w:ascii="Arial Narrow" w:hAnsi="Arial Narrow" w:cs="Arial"/>
                <w:i/>
                <w:snapToGrid w:val="0"/>
                <w:sz w:val="20"/>
                <w:szCs w:val="20"/>
                <w:lang w:eastAsia="en-US"/>
              </w:rPr>
              <w:t>insulin and oral antidiabetic agents, or insulin alone where metformin is contraindicated;</w:t>
            </w:r>
          </w:p>
          <w:p w:rsidR="006E57E3" w:rsidRPr="00115A6D" w:rsidRDefault="006E57E3" w:rsidP="00ED740F">
            <w:pPr>
              <w:jc w:val="both"/>
              <w:rPr>
                <w:rFonts w:ascii="Arial Narrow" w:hAnsi="Arial Narrow" w:cs="Arial"/>
                <w:snapToGrid w:val="0"/>
                <w:color w:val="FF000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OR</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color w:val="FF0000"/>
                <w:sz w:val="20"/>
                <w:szCs w:val="20"/>
                <w:lang w:eastAsia="en-US"/>
              </w:rPr>
            </w:pPr>
            <w:r w:rsidRPr="00115A6D">
              <w:rPr>
                <w:rFonts w:ascii="Arial Narrow" w:hAnsi="Arial Narrow" w:cs="Arial"/>
                <w:snapToGrid w:val="0"/>
                <w:sz w:val="20"/>
                <w:szCs w:val="20"/>
                <w:lang w:eastAsia="en-US"/>
              </w:rPr>
              <w:t xml:space="preserve">Patient must have, or have had, where HbA1c measurement is clinically inappropriate, blood glucose levels greater than 10 </w:t>
            </w:r>
            <w:proofErr w:type="spellStart"/>
            <w:r w:rsidRPr="00115A6D">
              <w:rPr>
                <w:rFonts w:ascii="Arial Narrow" w:hAnsi="Arial Narrow" w:cs="Arial"/>
                <w:snapToGrid w:val="0"/>
                <w:sz w:val="20"/>
                <w:szCs w:val="20"/>
                <w:lang w:eastAsia="en-US"/>
              </w:rPr>
              <w:t>mmol</w:t>
            </w:r>
            <w:proofErr w:type="spellEnd"/>
            <w:r w:rsidRPr="00115A6D">
              <w:rPr>
                <w:rFonts w:ascii="Arial Narrow" w:hAnsi="Arial Narrow" w:cs="Arial"/>
                <w:snapToGrid w:val="0"/>
                <w:sz w:val="20"/>
                <w:szCs w:val="20"/>
                <w:lang w:eastAsia="en-US"/>
              </w:rPr>
              <w:t xml:space="preserve"> per L in more than 20% of tests over a 2 week period prior to initiation with a gliptin, a </w:t>
            </w:r>
            <w:proofErr w:type="spellStart"/>
            <w:r w:rsidRPr="00115A6D">
              <w:rPr>
                <w:rFonts w:ascii="Arial Narrow" w:hAnsi="Arial Narrow" w:cs="Arial"/>
                <w:snapToGrid w:val="0"/>
                <w:sz w:val="20"/>
                <w:szCs w:val="20"/>
                <w:lang w:eastAsia="en-US"/>
              </w:rPr>
              <w:t>glitazone</w:t>
            </w:r>
            <w:proofErr w:type="spellEnd"/>
            <w:r w:rsidRPr="00115A6D">
              <w:rPr>
                <w:rFonts w:ascii="Arial Narrow" w:hAnsi="Arial Narrow" w:cs="Arial"/>
                <w:snapToGrid w:val="0"/>
                <w:sz w:val="20"/>
                <w:szCs w:val="20"/>
                <w:lang w:eastAsia="en-US"/>
              </w:rPr>
              <w:t xml:space="preserve">, a glucagon-like peptide-1 or an SGLT2 inhibitor despite treatment with </w:t>
            </w:r>
            <w:r w:rsidRPr="00115A6D">
              <w:rPr>
                <w:rFonts w:ascii="Arial Narrow" w:hAnsi="Arial Narrow" w:cs="Arial"/>
                <w:strike/>
                <w:snapToGrid w:val="0"/>
                <w:sz w:val="20"/>
                <w:szCs w:val="20"/>
                <w:lang w:eastAsia="en-US"/>
              </w:rPr>
              <w:t>insulin with or without other oral antidiabetic agents.</w:t>
            </w:r>
            <w:r w:rsidRPr="00115A6D">
              <w:rPr>
                <w:rFonts w:ascii="Arial Narrow" w:hAnsi="Arial Narrow" w:cs="Arial"/>
                <w:snapToGrid w:val="0"/>
                <w:color w:val="FF0000"/>
                <w:sz w:val="20"/>
                <w:szCs w:val="20"/>
                <w:lang w:eastAsia="en-US"/>
              </w:rPr>
              <w:t xml:space="preserve"> </w:t>
            </w:r>
            <w:r w:rsidRPr="00115A6D">
              <w:rPr>
                <w:rFonts w:ascii="Arial Narrow" w:hAnsi="Arial Narrow" w:cs="Arial"/>
                <w:i/>
                <w:snapToGrid w:val="0"/>
                <w:sz w:val="20"/>
                <w:szCs w:val="20"/>
                <w:lang w:eastAsia="en-US"/>
              </w:rPr>
              <w:t>insulin and oral antidiabetic agents, or insulin alone where metformin is contraindicated;</w:t>
            </w:r>
          </w:p>
          <w:p w:rsidR="006E57E3" w:rsidRPr="00115A6D" w:rsidRDefault="006E57E3" w:rsidP="00ED740F">
            <w:pPr>
              <w:jc w:val="both"/>
              <w:rPr>
                <w:rFonts w:ascii="Arial Narrow" w:hAnsi="Arial Narrow" w:cs="Arial"/>
                <w:snapToGrid w:val="0"/>
                <w:sz w:val="20"/>
                <w:szCs w:val="20"/>
                <w:lang w:eastAsia="en-US"/>
              </w:rPr>
            </w:pP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b/>
                <w:snapToGrid w:val="0"/>
                <w:sz w:val="20"/>
                <w:szCs w:val="20"/>
                <w:lang w:eastAsia="en-US"/>
              </w:rPr>
              <w:t>Prescriber Instructions</w:t>
            </w:r>
          </w:p>
        </w:tc>
        <w:tc>
          <w:tcPr>
            <w:tcW w:w="6238"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 xml:space="preserve">The date and level of the qualifying HbA1c measurement must be, or must have been, documented in the patient's medical records at the time treatment with a gliptin, a </w:t>
            </w:r>
            <w:proofErr w:type="spellStart"/>
            <w:r w:rsidRPr="00115A6D">
              <w:rPr>
                <w:rFonts w:ascii="Arial Narrow" w:hAnsi="Arial Narrow" w:cs="Arial"/>
                <w:snapToGrid w:val="0"/>
                <w:sz w:val="20"/>
                <w:szCs w:val="20"/>
                <w:lang w:eastAsia="en-US"/>
              </w:rPr>
              <w:t>glitazone</w:t>
            </w:r>
            <w:proofErr w:type="spellEnd"/>
            <w:r w:rsidRPr="00115A6D">
              <w:rPr>
                <w:rFonts w:ascii="Arial Narrow" w:hAnsi="Arial Narrow" w:cs="Arial"/>
                <w:snapToGrid w:val="0"/>
                <w:sz w:val="20"/>
                <w:szCs w:val="20"/>
                <w:lang w:eastAsia="en-US"/>
              </w:rPr>
              <w:t>, a glucagon-like peptide-1 or an SGLT2 inhibitor is initiated.</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 xml:space="preserve">The HbA1c must be no more than 4 months old at the time treatment with a gliptin, a </w:t>
            </w:r>
            <w:proofErr w:type="spellStart"/>
            <w:r w:rsidRPr="00115A6D">
              <w:rPr>
                <w:rFonts w:ascii="Arial Narrow" w:hAnsi="Arial Narrow" w:cs="Arial"/>
                <w:snapToGrid w:val="0"/>
                <w:sz w:val="20"/>
                <w:szCs w:val="20"/>
                <w:lang w:eastAsia="en-US"/>
              </w:rPr>
              <w:t>glitazone</w:t>
            </w:r>
            <w:proofErr w:type="spellEnd"/>
            <w:r w:rsidRPr="00115A6D">
              <w:rPr>
                <w:rFonts w:ascii="Arial Narrow" w:hAnsi="Arial Narrow" w:cs="Arial"/>
                <w:snapToGrid w:val="0"/>
                <w:sz w:val="20"/>
                <w:szCs w:val="20"/>
                <w:lang w:eastAsia="en-US"/>
              </w:rPr>
              <w:t>, a glucagon-like peptide-1 or an SGLT2 inhibitor was initiated.</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Blood glucose monitoring may be used as an alternative assessment to HbA1c levels in the following circumstances:</w:t>
            </w: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 xml:space="preserve">(a) A clinical condition with reduced red blood cell survival, including haemolytic anaemias and </w:t>
            </w:r>
            <w:proofErr w:type="spellStart"/>
            <w:r w:rsidRPr="00115A6D">
              <w:rPr>
                <w:rFonts w:ascii="Arial Narrow" w:hAnsi="Arial Narrow" w:cs="Arial"/>
                <w:snapToGrid w:val="0"/>
                <w:sz w:val="20"/>
                <w:szCs w:val="20"/>
                <w:lang w:eastAsia="en-US"/>
              </w:rPr>
              <w:t>haemoglobinopathies</w:t>
            </w:r>
            <w:proofErr w:type="spellEnd"/>
            <w:r w:rsidRPr="00115A6D">
              <w:rPr>
                <w:rFonts w:ascii="Arial Narrow" w:hAnsi="Arial Narrow" w:cs="Arial"/>
                <w:snapToGrid w:val="0"/>
                <w:sz w:val="20"/>
                <w:szCs w:val="20"/>
                <w:lang w:eastAsia="en-US"/>
              </w:rPr>
              <w:t>; and/or</w:t>
            </w: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(b) Had red cell transfusion within the previous 3 months.</w:t>
            </w:r>
          </w:p>
          <w:p w:rsidR="006E57E3" w:rsidRPr="00115A6D" w:rsidRDefault="006E57E3" w:rsidP="00ED740F">
            <w:pPr>
              <w:jc w:val="both"/>
              <w:rPr>
                <w:rFonts w:ascii="Arial Narrow" w:hAnsi="Arial Narrow" w:cs="Arial"/>
                <w:snapToGrid w:val="0"/>
                <w:sz w:val="20"/>
                <w:szCs w:val="20"/>
                <w:lang w:eastAsia="en-US"/>
              </w:rPr>
            </w:pPr>
          </w:p>
          <w:p w:rsidR="006E57E3" w:rsidRPr="00115A6D" w:rsidRDefault="006E57E3" w:rsidP="00ED740F">
            <w:pPr>
              <w:jc w:val="both"/>
              <w:rPr>
                <w:rFonts w:ascii="Arial Narrow" w:hAnsi="Arial Narrow" w:cs="Arial"/>
                <w:snapToGrid w:val="0"/>
                <w:sz w:val="20"/>
                <w:szCs w:val="20"/>
                <w:lang w:eastAsia="en-US"/>
              </w:rPr>
            </w:pPr>
            <w:r w:rsidRPr="00115A6D">
              <w:rPr>
                <w:rFonts w:ascii="Arial Narrow" w:hAnsi="Arial Narrow" w:cs="Arial"/>
                <w:snapToGrid w:val="0"/>
                <w:sz w:val="20"/>
                <w:szCs w:val="20"/>
                <w:lang w:eastAsia="en-US"/>
              </w:rPr>
              <w:t xml:space="preserve">The results of the blood glucose monitoring, which must be no more than 4 months old at the time of initiation of treatment with a gliptin, a </w:t>
            </w:r>
            <w:proofErr w:type="spellStart"/>
            <w:r w:rsidRPr="00115A6D">
              <w:rPr>
                <w:rFonts w:ascii="Arial Narrow" w:hAnsi="Arial Narrow" w:cs="Arial"/>
                <w:snapToGrid w:val="0"/>
                <w:sz w:val="20"/>
                <w:szCs w:val="20"/>
                <w:lang w:eastAsia="en-US"/>
              </w:rPr>
              <w:t>glitazone</w:t>
            </w:r>
            <w:proofErr w:type="spellEnd"/>
            <w:r w:rsidRPr="00115A6D">
              <w:rPr>
                <w:rFonts w:ascii="Arial Narrow" w:hAnsi="Arial Narrow" w:cs="Arial"/>
                <w:snapToGrid w:val="0"/>
                <w:sz w:val="20"/>
                <w:szCs w:val="20"/>
                <w:lang w:eastAsia="en-US"/>
              </w:rPr>
              <w:t>, a glucagon-like peptide-1 or an SGLT2 inhibitor, must be documented in the patient's medical records.</w:t>
            </w:r>
          </w:p>
          <w:p w:rsidR="006E57E3" w:rsidRPr="00115A6D" w:rsidRDefault="006E57E3" w:rsidP="00ED740F">
            <w:pPr>
              <w:jc w:val="both"/>
              <w:rPr>
                <w:rFonts w:ascii="Arial Narrow" w:hAnsi="Arial Narrow" w:cs="Arial"/>
                <w:snapToGrid w:val="0"/>
                <w:sz w:val="20"/>
                <w:szCs w:val="20"/>
                <w:lang w:eastAsia="en-US"/>
              </w:rPr>
            </w:pPr>
          </w:p>
        </w:tc>
      </w:tr>
      <w:tr w:rsidR="006E57E3" w:rsidRPr="00115A6D" w:rsidTr="006720EC">
        <w:trPr>
          <w:cantSplit/>
          <w:trHeight w:val="360"/>
        </w:trPr>
        <w:tc>
          <w:tcPr>
            <w:tcW w:w="1984" w:type="dxa"/>
            <w:tcBorders>
              <w:top w:val="single" w:sz="4" w:space="0" w:color="auto"/>
              <w:left w:val="single" w:sz="4" w:space="0" w:color="auto"/>
              <w:bottom w:val="single" w:sz="4" w:space="0" w:color="auto"/>
              <w:right w:val="single" w:sz="4" w:space="0" w:color="auto"/>
            </w:tcBorders>
          </w:tcPr>
          <w:p w:rsidR="006E57E3" w:rsidRPr="00115A6D" w:rsidRDefault="006E57E3" w:rsidP="00ED740F">
            <w:pPr>
              <w:jc w:val="both"/>
              <w:rPr>
                <w:rFonts w:ascii="Arial Narrow" w:hAnsi="Arial Narrow" w:cs="Arial"/>
                <w:b/>
                <w:snapToGrid w:val="0"/>
                <w:sz w:val="20"/>
                <w:szCs w:val="20"/>
                <w:lang w:eastAsia="en-US"/>
              </w:rPr>
            </w:pPr>
            <w:r w:rsidRPr="00115A6D">
              <w:rPr>
                <w:rFonts w:ascii="Arial Narrow" w:hAnsi="Arial Narrow" w:cs="Arial"/>
                <w:b/>
                <w:snapToGrid w:val="0"/>
                <w:sz w:val="20"/>
                <w:szCs w:val="20"/>
                <w:lang w:eastAsia="en-US"/>
              </w:rPr>
              <w:t>Administrative Advice</w:t>
            </w:r>
          </w:p>
          <w:p w:rsidR="006E57E3" w:rsidRPr="00115A6D" w:rsidRDefault="006E57E3" w:rsidP="00ED740F">
            <w:pPr>
              <w:jc w:val="both"/>
              <w:rPr>
                <w:rFonts w:ascii="Arial Narrow" w:hAnsi="Arial Narrow" w:cs="Arial"/>
                <w:i/>
                <w:snapToGrid w:val="0"/>
                <w:sz w:val="20"/>
                <w:szCs w:val="20"/>
                <w:lang w:eastAsia="en-US"/>
              </w:rPr>
            </w:pPr>
          </w:p>
        </w:tc>
        <w:tc>
          <w:tcPr>
            <w:tcW w:w="6238" w:type="dxa"/>
            <w:tcBorders>
              <w:top w:val="single" w:sz="4" w:space="0" w:color="auto"/>
              <w:left w:val="single" w:sz="4" w:space="0" w:color="auto"/>
              <w:bottom w:val="single" w:sz="4" w:space="0" w:color="auto"/>
              <w:right w:val="single" w:sz="4" w:space="0" w:color="auto"/>
            </w:tcBorders>
          </w:tcPr>
          <w:p w:rsidR="006E57E3" w:rsidRPr="00F5710E" w:rsidRDefault="006E57E3" w:rsidP="00ED740F">
            <w:pPr>
              <w:jc w:val="both"/>
              <w:rPr>
                <w:rFonts w:ascii="Arial Narrow" w:hAnsi="Arial Narrow" w:cs="Arial"/>
                <w:b/>
                <w:i/>
                <w:snapToGrid w:val="0"/>
                <w:sz w:val="20"/>
                <w:szCs w:val="20"/>
                <w:u w:val="single"/>
                <w:lang w:eastAsia="en-US"/>
              </w:rPr>
            </w:pPr>
            <w:r w:rsidRPr="00F5710E">
              <w:rPr>
                <w:rFonts w:ascii="Arial Narrow" w:hAnsi="Arial Narrow" w:cs="Arial"/>
                <w:b/>
                <w:i/>
                <w:snapToGrid w:val="0"/>
                <w:sz w:val="20"/>
                <w:szCs w:val="20"/>
                <w:u w:val="single"/>
                <w:lang w:eastAsia="en-US"/>
              </w:rPr>
              <w:t>Note:</w:t>
            </w:r>
          </w:p>
          <w:p w:rsidR="006E57E3" w:rsidRPr="00F5710E" w:rsidRDefault="006E57E3" w:rsidP="00ED740F">
            <w:pPr>
              <w:jc w:val="both"/>
              <w:rPr>
                <w:rFonts w:ascii="Arial Narrow" w:hAnsi="Arial Narrow" w:cs="Arial"/>
                <w:b/>
                <w:i/>
                <w:snapToGrid w:val="0"/>
                <w:sz w:val="20"/>
                <w:szCs w:val="20"/>
                <w:lang w:eastAsia="en-US"/>
              </w:rPr>
            </w:pPr>
            <w:r w:rsidRPr="00F5710E">
              <w:rPr>
                <w:rFonts w:ascii="Arial Narrow" w:hAnsi="Arial Narrow" w:cs="Arial"/>
                <w:b/>
                <w:i/>
                <w:snapToGrid w:val="0"/>
                <w:sz w:val="20"/>
                <w:szCs w:val="20"/>
                <w:lang w:eastAsia="en-US"/>
              </w:rPr>
              <w:t>Continuing Therapy Only:</w:t>
            </w:r>
          </w:p>
          <w:p w:rsidR="006E57E3" w:rsidRPr="00F5710E" w:rsidRDefault="006E57E3" w:rsidP="00ED740F">
            <w:pPr>
              <w:jc w:val="both"/>
              <w:rPr>
                <w:rFonts w:ascii="Arial Narrow" w:hAnsi="Arial Narrow" w:cs="Arial"/>
                <w:i/>
                <w:snapToGrid w:val="0"/>
                <w:sz w:val="20"/>
                <w:szCs w:val="20"/>
                <w:lang w:eastAsia="en-US"/>
              </w:rPr>
            </w:pPr>
            <w:r w:rsidRPr="00F5710E">
              <w:rPr>
                <w:rFonts w:ascii="Arial Narrow" w:hAnsi="Arial Narrow" w:cs="Arial"/>
                <w:i/>
                <w:snapToGrid w:val="0"/>
                <w:sz w:val="20"/>
                <w:szCs w:val="20"/>
                <w:lang w:eastAsia="en-US"/>
              </w:rPr>
              <w:t>For prescribing by nurse practitioners as continuing therapy only, where the treatment of, and prescribing of medicine for, a patient has been initiated by a medical practitioner.</w:t>
            </w:r>
          </w:p>
          <w:p w:rsidR="006E57E3" w:rsidRPr="00F5710E" w:rsidRDefault="006E57E3" w:rsidP="00ED740F">
            <w:pPr>
              <w:jc w:val="both"/>
              <w:rPr>
                <w:rFonts w:ascii="Arial Narrow" w:hAnsi="Arial Narrow" w:cs="Arial"/>
                <w:i/>
                <w:snapToGrid w:val="0"/>
                <w:sz w:val="20"/>
                <w:szCs w:val="20"/>
                <w:lang w:eastAsia="en-US"/>
              </w:rPr>
            </w:pPr>
            <w:r w:rsidRPr="00F5710E">
              <w:rPr>
                <w:rFonts w:ascii="Arial Narrow" w:hAnsi="Arial Narrow" w:cs="Arial"/>
                <w:i/>
                <w:snapToGrid w:val="0"/>
                <w:sz w:val="20"/>
                <w:szCs w:val="20"/>
                <w:lang w:eastAsia="en-US"/>
              </w:rPr>
              <w:t>Further information can be found in the Explanatory Notes for Nurse Practitioners.</w:t>
            </w:r>
          </w:p>
          <w:p w:rsidR="006E57E3" w:rsidRDefault="006E57E3" w:rsidP="00ED740F">
            <w:pPr>
              <w:jc w:val="both"/>
              <w:rPr>
                <w:rFonts w:ascii="Arial Narrow" w:hAnsi="Arial Narrow" w:cs="Arial"/>
                <w:b/>
                <w:i/>
                <w:snapToGrid w:val="0"/>
                <w:sz w:val="20"/>
                <w:szCs w:val="20"/>
                <w:u w:val="single"/>
                <w:lang w:eastAsia="en-US"/>
              </w:rPr>
            </w:pPr>
          </w:p>
          <w:p w:rsidR="006E57E3" w:rsidRPr="00115A6D" w:rsidRDefault="006E57E3" w:rsidP="00ED740F">
            <w:pPr>
              <w:jc w:val="both"/>
              <w:rPr>
                <w:rFonts w:ascii="Arial Narrow" w:hAnsi="Arial Narrow" w:cs="Arial"/>
                <w:b/>
                <w:i/>
                <w:snapToGrid w:val="0"/>
                <w:sz w:val="20"/>
                <w:szCs w:val="20"/>
                <w:u w:val="single"/>
                <w:lang w:eastAsia="en-US"/>
              </w:rPr>
            </w:pPr>
            <w:r w:rsidRPr="00115A6D">
              <w:rPr>
                <w:rFonts w:ascii="Arial Narrow" w:hAnsi="Arial Narrow" w:cs="Arial"/>
                <w:b/>
                <w:i/>
                <w:snapToGrid w:val="0"/>
                <w:sz w:val="20"/>
                <w:szCs w:val="20"/>
                <w:u w:val="single"/>
                <w:lang w:eastAsia="en-US"/>
              </w:rPr>
              <w:t>Note</w:t>
            </w:r>
          </w:p>
          <w:p w:rsidR="006E57E3" w:rsidRPr="00115A6D" w:rsidRDefault="006E57E3" w:rsidP="00ED740F">
            <w:pPr>
              <w:spacing w:before="75" w:after="75"/>
              <w:ind w:right="75"/>
              <w:jc w:val="both"/>
              <w:rPr>
                <w:rFonts w:ascii="Arial Narrow" w:hAnsi="Arial Narrow" w:cs="Arial"/>
                <w:i/>
                <w:snapToGrid w:val="0"/>
                <w:sz w:val="20"/>
                <w:szCs w:val="20"/>
                <w:lang w:eastAsia="en-US"/>
              </w:rPr>
            </w:pPr>
            <w:r w:rsidRPr="00115A6D">
              <w:rPr>
                <w:rFonts w:ascii="Arial Narrow" w:hAnsi="Arial Narrow" w:cs="Arial"/>
                <w:i/>
                <w:snapToGrid w:val="0"/>
                <w:sz w:val="20"/>
                <w:szCs w:val="20"/>
                <w:lang w:eastAsia="en-US"/>
              </w:rPr>
              <w:t>This drug is not PBS-subsidised for use as monotherapy or in combination with a thiazolidinedione (</w:t>
            </w:r>
            <w:proofErr w:type="spellStart"/>
            <w:r w:rsidRPr="00115A6D">
              <w:rPr>
                <w:rFonts w:ascii="Arial Narrow" w:hAnsi="Arial Narrow" w:cs="Arial"/>
                <w:i/>
                <w:snapToGrid w:val="0"/>
                <w:sz w:val="20"/>
                <w:szCs w:val="20"/>
                <w:lang w:eastAsia="en-US"/>
              </w:rPr>
              <w:t>glitazone</w:t>
            </w:r>
            <w:proofErr w:type="spellEnd"/>
            <w:r w:rsidRPr="00115A6D">
              <w:rPr>
                <w:rFonts w:ascii="Arial Narrow" w:hAnsi="Arial Narrow" w:cs="Arial"/>
                <w:i/>
                <w:snapToGrid w:val="0"/>
                <w:sz w:val="20"/>
                <w:szCs w:val="20"/>
                <w:lang w:eastAsia="en-US"/>
              </w:rPr>
              <w:t>), a glucagon-like peptide-1 or an SGLT2 inhibitor.</w:t>
            </w:r>
          </w:p>
        </w:tc>
      </w:tr>
    </w:tbl>
    <w:p w:rsidR="006E57E3" w:rsidRDefault="006E57E3" w:rsidP="00ED740F">
      <w:pPr>
        <w:pStyle w:val="ListParagraph"/>
        <w:jc w:val="both"/>
        <w:rPr>
          <w:rFonts w:ascii="Arial" w:hAnsi="Arial"/>
          <w:sz w:val="22"/>
          <w:szCs w:val="22"/>
        </w:rPr>
      </w:pPr>
    </w:p>
    <w:p w:rsidR="00BA3B68" w:rsidRPr="00882085" w:rsidRDefault="00BA3B68" w:rsidP="00ED740F">
      <w:pPr>
        <w:jc w:val="both"/>
        <w:rPr>
          <w:rFonts w:ascii="Arial" w:hAnsi="Arial"/>
          <w:b/>
          <w:sz w:val="22"/>
          <w:szCs w:val="22"/>
        </w:rPr>
      </w:pPr>
    </w:p>
    <w:p w:rsidR="00BA3B68" w:rsidRPr="00F714F5" w:rsidRDefault="00BA3B68" w:rsidP="004A3973">
      <w:pPr>
        <w:pStyle w:val="Heading1"/>
      </w:pPr>
      <w:r w:rsidRPr="00281096">
        <w:t>Background</w:t>
      </w:r>
    </w:p>
    <w:p w:rsidR="00BA3B68" w:rsidRPr="00281096" w:rsidRDefault="00BA3B68" w:rsidP="00ED740F">
      <w:pPr>
        <w:jc w:val="both"/>
        <w:rPr>
          <w:rFonts w:ascii="Arial" w:hAnsi="Arial"/>
          <w:sz w:val="22"/>
          <w:szCs w:val="22"/>
        </w:rPr>
      </w:pPr>
    </w:p>
    <w:p w:rsidR="00FC51E9" w:rsidRPr="00AD6E94" w:rsidRDefault="00281096" w:rsidP="00ED740F">
      <w:pPr>
        <w:pStyle w:val="ListParagraph"/>
        <w:numPr>
          <w:ilvl w:val="1"/>
          <w:numId w:val="1"/>
        </w:numPr>
        <w:jc w:val="both"/>
        <w:rPr>
          <w:rFonts w:ascii="Arial" w:hAnsi="Arial"/>
          <w:sz w:val="22"/>
          <w:szCs w:val="22"/>
        </w:rPr>
      </w:pPr>
      <w:r w:rsidRPr="00AD6E94">
        <w:rPr>
          <w:rFonts w:ascii="Arial" w:hAnsi="Arial"/>
          <w:sz w:val="22"/>
          <w:szCs w:val="22"/>
        </w:rPr>
        <w:t>The requested listing was previously considered as a major submission by the PBAC in July 2015</w:t>
      </w:r>
      <w:r w:rsidR="00FC51E9" w:rsidRPr="00AD6E94">
        <w:rPr>
          <w:rFonts w:ascii="Arial" w:hAnsi="Arial"/>
          <w:sz w:val="22"/>
          <w:szCs w:val="22"/>
        </w:rPr>
        <w:t xml:space="preserve">. </w:t>
      </w:r>
    </w:p>
    <w:p w:rsidR="00C8347B" w:rsidRPr="00446974" w:rsidRDefault="00C8347B" w:rsidP="00ED740F">
      <w:pPr>
        <w:pStyle w:val="ListParagraph"/>
        <w:jc w:val="both"/>
        <w:rPr>
          <w:rFonts w:ascii="Arial" w:hAnsi="Arial"/>
          <w:i/>
          <w:sz w:val="22"/>
          <w:szCs w:val="22"/>
        </w:rPr>
      </w:pPr>
    </w:p>
    <w:p w:rsidR="00FC51E9" w:rsidRDefault="00C8347B" w:rsidP="00ED740F">
      <w:pPr>
        <w:pStyle w:val="ListParagraph"/>
        <w:numPr>
          <w:ilvl w:val="1"/>
          <w:numId w:val="1"/>
        </w:numPr>
        <w:jc w:val="both"/>
        <w:rPr>
          <w:rFonts w:ascii="Arial" w:hAnsi="Arial"/>
          <w:sz w:val="22"/>
          <w:szCs w:val="22"/>
        </w:rPr>
      </w:pPr>
      <w:r w:rsidRPr="001C6D2A">
        <w:rPr>
          <w:rFonts w:ascii="Arial" w:hAnsi="Arial"/>
          <w:sz w:val="22"/>
          <w:szCs w:val="22"/>
        </w:rPr>
        <w:t>The major submission was rejected on the basis the PBAC considered that the clinical need and place of therapy were not well defined and the clinical effectiveness (in terms of reduction in mean daily insulin dose) was uncertain.</w:t>
      </w:r>
    </w:p>
    <w:p w:rsidR="00144139" w:rsidRPr="00144139" w:rsidRDefault="00144139" w:rsidP="00ED740F">
      <w:pPr>
        <w:pStyle w:val="ListParagraph"/>
        <w:jc w:val="both"/>
        <w:rPr>
          <w:rFonts w:ascii="Arial" w:hAnsi="Arial"/>
          <w:sz w:val="22"/>
          <w:szCs w:val="22"/>
        </w:rPr>
      </w:pPr>
    </w:p>
    <w:p w:rsidR="00144139" w:rsidRDefault="00144139" w:rsidP="00ED740F">
      <w:pPr>
        <w:pStyle w:val="ListParagraph"/>
        <w:numPr>
          <w:ilvl w:val="1"/>
          <w:numId w:val="1"/>
        </w:numPr>
        <w:jc w:val="both"/>
        <w:rPr>
          <w:rFonts w:ascii="Arial" w:hAnsi="Arial"/>
          <w:sz w:val="22"/>
          <w:szCs w:val="22"/>
        </w:rPr>
      </w:pPr>
      <w:r w:rsidRPr="00144139">
        <w:rPr>
          <w:rFonts w:ascii="Arial" w:hAnsi="Arial"/>
          <w:sz w:val="22"/>
          <w:szCs w:val="22"/>
        </w:rPr>
        <w:t xml:space="preserve">Specifically, from the July 2015 </w:t>
      </w:r>
      <w:r>
        <w:rPr>
          <w:rFonts w:ascii="Arial" w:hAnsi="Arial"/>
          <w:sz w:val="22"/>
          <w:szCs w:val="22"/>
        </w:rPr>
        <w:t>PBAC M</w:t>
      </w:r>
      <w:r w:rsidRPr="00144139">
        <w:rPr>
          <w:rFonts w:ascii="Arial" w:hAnsi="Arial"/>
          <w:sz w:val="22"/>
          <w:szCs w:val="22"/>
        </w:rPr>
        <w:t>inutes:</w:t>
      </w:r>
    </w:p>
    <w:p w:rsidR="00C8347B" w:rsidRPr="00144139" w:rsidRDefault="00405A59" w:rsidP="00ED740F">
      <w:pPr>
        <w:pStyle w:val="ListParagraph"/>
        <w:numPr>
          <w:ilvl w:val="1"/>
          <w:numId w:val="3"/>
        </w:numPr>
        <w:ind w:left="1418" w:hanging="709"/>
        <w:jc w:val="both"/>
        <w:rPr>
          <w:rFonts w:ascii="Arial" w:hAnsi="Arial"/>
          <w:sz w:val="22"/>
          <w:szCs w:val="22"/>
        </w:rPr>
      </w:pPr>
      <w:r>
        <w:rPr>
          <w:rFonts w:ascii="Arial" w:hAnsi="Arial"/>
          <w:sz w:val="22"/>
          <w:szCs w:val="22"/>
        </w:rPr>
        <w:t xml:space="preserve"> </w:t>
      </w:r>
      <w:r w:rsidR="00C3513E">
        <w:rPr>
          <w:rFonts w:ascii="Arial" w:hAnsi="Arial"/>
          <w:sz w:val="22"/>
          <w:szCs w:val="22"/>
        </w:rPr>
        <w:t>[</w:t>
      </w:r>
      <w:r w:rsidR="00144139" w:rsidRPr="00144139">
        <w:rPr>
          <w:rFonts w:ascii="Arial" w:hAnsi="Arial"/>
          <w:sz w:val="22"/>
          <w:szCs w:val="22"/>
        </w:rPr>
        <w:t>T</w:t>
      </w:r>
      <w:r w:rsidR="00C3513E">
        <w:rPr>
          <w:rFonts w:ascii="Arial" w:hAnsi="Arial"/>
          <w:sz w:val="22"/>
          <w:szCs w:val="22"/>
        </w:rPr>
        <w:t>]</w:t>
      </w:r>
      <w:r w:rsidR="00144139" w:rsidRPr="00144139">
        <w:rPr>
          <w:rFonts w:ascii="Arial" w:hAnsi="Arial"/>
          <w:sz w:val="22"/>
          <w:szCs w:val="22"/>
        </w:rPr>
        <w:t>he PBAC, did</w:t>
      </w:r>
      <w:r w:rsidR="00C8347B" w:rsidRPr="00144139">
        <w:rPr>
          <w:rFonts w:ascii="Arial" w:hAnsi="Arial"/>
          <w:sz w:val="22"/>
          <w:szCs w:val="22"/>
        </w:rPr>
        <w:t xml:space="preserve"> not accept that there was a clinical place in therapy for </w:t>
      </w:r>
      <w:proofErr w:type="spellStart"/>
      <w:r w:rsidR="00C8347B" w:rsidRPr="00144139">
        <w:rPr>
          <w:rFonts w:ascii="Arial" w:hAnsi="Arial"/>
          <w:sz w:val="22"/>
          <w:szCs w:val="22"/>
        </w:rPr>
        <w:t>sitagliptin</w:t>
      </w:r>
      <w:proofErr w:type="spellEnd"/>
      <w:r w:rsidR="00C8347B" w:rsidRPr="00144139">
        <w:rPr>
          <w:rFonts w:ascii="Arial" w:hAnsi="Arial"/>
          <w:sz w:val="22"/>
          <w:szCs w:val="22"/>
        </w:rPr>
        <w:t xml:space="preserve"> in combination with insulin. In making this decision, the PBAC noted that while </w:t>
      </w:r>
      <w:proofErr w:type="spellStart"/>
      <w:r w:rsidR="00C8347B" w:rsidRPr="00144139">
        <w:rPr>
          <w:rFonts w:ascii="Arial" w:hAnsi="Arial"/>
          <w:sz w:val="22"/>
          <w:szCs w:val="22"/>
        </w:rPr>
        <w:t>sitagliptin</w:t>
      </w:r>
      <w:proofErr w:type="spellEnd"/>
      <w:r w:rsidR="00C8347B" w:rsidRPr="00144139">
        <w:rPr>
          <w:rFonts w:ascii="Arial" w:hAnsi="Arial"/>
          <w:sz w:val="22"/>
          <w:szCs w:val="22"/>
        </w:rPr>
        <w:t xml:space="preserve"> resulted in a small statistically significant decrease in HbA1c, the addition of </w:t>
      </w:r>
      <w:proofErr w:type="spellStart"/>
      <w:r w:rsidR="00C8347B" w:rsidRPr="00144139">
        <w:rPr>
          <w:rFonts w:ascii="Arial" w:hAnsi="Arial"/>
          <w:sz w:val="22"/>
          <w:szCs w:val="22"/>
        </w:rPr>
        <w:t>sitagliptin</w:t>
      </w:r>
      <w:proofErr w:type="spellEnd"/>
      <w:r w:rsidR="00C8347B" w:rsidRPr="00144139">
        <w:rPr>
          <w:rFonts w:ascii="Arial" w:hAnsi="Arial"/>
          <w:sz w:val="22"/>
          <w:szCs w:val="22"/>
        </w:rPr>
        <w:t xml:space="preserve"> to insulin regimens resulted in an increased mean daily insulin dose. The PBAC considered that clinicians would be unlikely to prescribe a drug that resulted in increased insulin use</w:t>
      </w:r>
      <w:r w:rsidR="00B116F2">
        <w:rPr>
          <w:rFonts w:ascii="Arial" w:hAnsi="Arial"/>
          <w:sz w:val="22"/>
          <w:szCs w:val="22"/>
        </w:rPr>
        <w:t>. (Para 7.2)</w:t>
      </w:r>
    </w:p>
    <w:p w:rsidR="00C8347B" w:rsidRPr="00144139" w:rsidRDefault="00C8347B" w:rsidP="00ED740F">
      <w:pPr>
        <w:pStyle w:val="ListParagraph"/>
        <w:numPr>
          <w:ilvl w:val="1"/>
          <w:numId w:val="3"/>
        </w:numPr>
        <w:ind w:left="1418" w:hanging="709"/>
        <w:jc w:val="both"/>
        <w:rPr>
          <w:rFonts w:ascii="Arial" w:hAnsi="Arial"/>
          <w:sz w:val="22"/>
          <w:szCs w:val="22"/>
        </w:rPr>
      </w:pPr>
      <w:r w:rsidRPr="00144139">
        <w:rPr>
          <w:rFonts w:ascii="Arial" w:hAnsi="Arial"/>
          <w:sz w:val="22"/>
          <w:szCs w:val="22"/>
        </w:rPr>
        <w:t xml:space="preserve">The PBAC considered that the clinical trials presented in the submission did not provide adequate data to support the clinical claim that </w:t>
      </w:r>
      <w:proofErr w:type="spellStart"/>
      <w:r w:rsidRPr="00144139">
        <w:rPr>
          <w:rFonts w:ascii="Arial" w:hAnsi="Arial"/>
          <w:sz w:val="22"/>
          <w:szCs w:val="22"/>
        </w:rPr>
        <w:t>sitagliptin</w:t>
      </w:r>
      <w:proofErr w:type="spellEnd"/>
      <w:r w:rsidRPr="00144139">
        <w:rPr>
          <w:rFonts w:ascii="Arial" w:hAnsi="Arial"/>
          <w:sz w:val="22"/>
          <w:szCs w:val="22"/>
        </w:rPr>
        <w:t xml:space="preserve"> is non-inferior in terms of comparative effectiveness (as measured by reduction in HbA1c) and similar in terms of reduction in mean daily insulin dose compared to dapagliflozin. </w:t>
      </w:r>
    </w:p>
    <w:p w:rsidR="00C8347B" w:rsidRPr="00144139" w:rsidRDefault="00C8347B" w:rsidP="00ED740F">
      <w:pPr>
        <w:pStyle w:val="ListParagraph"/>
        <w:numPr>
          <w:ilvl w:val="1"/>
          <w:numId w:val="4"/>
        </w:numPr>
        <w:ind w:left="1843" w:hanging="425"/>
        <w:jc w:val="both"/>
        <w:rPr>
          <w:rFonts w:ascii="Arial" w:hAnsi="Arial"/>
          <w:sz w:val="22"/>
          <w:szCs w:val="22"/>
        </w:rPr>
      </w:pPr>
      <w:r w:rsidRPr="00144139">
        <w:rPr>
          <w:rFonts w:ascii="Arial" w:hAnsi="Arial"/>
          <w:sz w:val="22"/>
          <w:szCs w:val="22"/>
        </w:rPr>
        <w:t xml:space="preserve">The PBAC considered that it was not appropriate to include trial P051 in the indirect analysis assessing change from baseline in HbA1c, as the insulin dose was unable to be titrated. The PBAC noted this was not consistent with clinical practice. </w:t>
      </w:r>
    </w:p>
    <w:p w:rsidR="00C8347B" w:rsidRPr="00144139" w:rsidRDefault="00C8347B" w:rsidP="00ED740F">
      <w:pPr>
        <w:pStyle w:val="ListParagraph"/>
        <w:numPr>
          <w:ilvl w:val="1"/>
          <w:numId w:val="4"/>
        </w:numPr>
        <w:ind w:left="1843" w:hanging="425"/>
        <w:jc w:val="both"/>
        <w:rPr>
          <w:rFonts w:ascii="Arial" w:hAnsi="Arial"/>
          <w:sz w:val="22"/>
          <w:szCs w:val="22"/>
        </w:rPr>
      </w:pPr>
      <w:r w:rsidRPr="00144139">
        <w:rPr>
          <w:rFonts w:ascii="Arial" w:hAnsi="Arial"/>
          <w:sz w:val="22"/>
          <w:szCs w:val="22"/>
        </w:rPr>
        <w:t xml:space="preserve">The PBAC agreed with the ESC that trials P260 and Wilding 2012 were not comparable in terms of reduction in mean daily insulin dose due to substantial differences in baseline insulin doses and insulin management regimens. However, the addition of </w:t>
      </w:r>
      <w:proofErr w:type="spellStart"/>
      <w:r w:rsidRPr="00144139">
        <w:rPr>
          <w:rFonts w:ascii="Arial" w:hAnsi="Arial"/>
          <w:sz w:val="22"/>
          <w:szCs w:val="22"/>
        </w:rPr>
        <w:t>sitagliptin</w:t>
      </w:r>
      <w:proofErr w:type="spellEnd"/>
      <w:r w:rsidRPr="00144139">
        <w:rPr>
          <w:rFonts w:ascii="Arial" w:hAnsi="Arial"/>
          <w:sz w:val="22"/>
          <w:szCs w:val="22"/>
        </w:rPr>
        <w:t xml:space="preserve"> to insulin regimens resulted in an increased mean daily insulin dose while the addition of dapagliflozin resulted in a r</w:t>
      </w:r>
      <w:r w:rsidR="00144139" w:rsidRPr="00144139">
        <w:rPr>
          <w:rFonts w:ascii="Arial" w:hAnsi="Arial"/>
          <w:sz w:val="22"/>
          <w:szCs w:val="22"/>
        </w:rPr>
        <w:t>educed mean daily insulin dose</w:t>
      </w:r>
      <w:r w:rsidRPr="00144139">
        <w:rPr>
          <w:rFonts w:ascii="Arial" w:hAnsi="Arial"/>
          <w:sz w:val="22"/>
          <w:szCs w:val="22"/>
        </w:rPr>
        <w:t>.</w:t>
      </w:r>
      <w:r w:rsidR="00B116F2">
        <w:rPr>
          <w:rFonts w:ascii="Arial" w:hAnsi="Arial"/>
          <w:sz w:val="22"/>
          <w:szCs w:val="22"/>
        </w:rPr>
        <w:t xml:space="preserve"> (Para 7.5)</w:t>
      </w:r>
    </w:p>
    <w:p w:rsidR="00144139" w:rsidRPr="00144139" w:rsidRDefault="00C8347B" w:rsidP="00ED740F">
      <w:pPr>
        <w:pStyle w:val="ListParagraph"/>
        <w:numPr>
          <w:ilvl w:val="1"/>
          <w:numId w:val="3"/>
        </w:numPr>
        <w:ind w:left="1418" w:hanging="709"/>
        <w:jc w:val="both"/>
        <w:rPr>
          <w:rFonts w:ascii="Arial" w:hAnsi="Arial"/>
          <w:sz w:val="22"/>
          <w:szCs w:val="22"/>
        </w:rPr>
      </w:pPr>
      <w:r w:rsidRPr="00144139">
        <w:rPr>
          <w:rFonts w:ascii="Arial" w:hAnsi="Arial"/>
          <w:sz w:val="22"/>
          <w:szCs w:val="22"/>
        </w:rPr>
        <w:t xml:space="preserve">The PBAC did not accept the sponsor’s argument in the pre-PBAC response that </w:t>
      </w:r>
      <w:proofErr w:type="spellStart"/>
      <w:r w:rsidRPr="00144139">
        <w:rPr>
          <w:rFonts w:ascii="Arial" w:hAnsi="Arial"/>
          <w:sz w:val="22"/>
          <w:szCs w:val="22"/>
        </w:rPr>
        <w:t>sitagliptin</w:t>
      </w:r>
      <w:proofErr w:type="spellEnd"/>
      <w:r w:rsidRPr="00144139">
        <w:rPr>
          <w:rFonts w:ascii="Arial" w:hAnsi="Arial"/>
          <w:sz w:val="22"/>
          <w:szCs w:val="22"/>
        </w:rPr>
        <w:t xml:space="preserve"> would result in insulin up-titration avoided of between 26.5IU and 28.2IU</w:t>
      </w:r>
      <w:r w:rsidR="00405A59">
        <w:rPr>
          <w:rFonts w:ascii="Arial" w:hAnsi="Arial"/>
          <w:sz w:val="22"/>
          <w:szCs w:val="22"/>
        </w:rPr>
        <w:t>.</w:t>
      </w:r>
      <w:r w:rsidR="00B116F2">
        <w:rPr>
          <w:rFonts w:ascii="Arial" w:hAnsi="Arial"/>
          <w:sz w:val="22"/>
          <w:szCs w:val="22"/>
        </w:rPr>
        <w:t xml:space="preserve"> (Para 7.6)</w:t>
      </w:r>
    </w:p>
    <w:p w:rsidR="00144139" w:rsidRPr="00144139" w:rsidRDefault="00C8347B" w:rsidP="00ED740F">
      <w:pPr>
        <w:pStyle w:val="ListParagraph"/>
        <w:numPr>
          <w:ilvl w:val="1"/>
          <w:numId w:val="3"/>
        </w:numPr>
        <w:ind w:left="1418" w:hanging="709"/>
        <w:jc w:val="both"/>
        <w:rPr>
          <w:rFonts w:ascii="Arial" w:hAnsi="Arial"/>
          <w:sz w:val="22"/>
          <w:szCs w:val="22"/>
        </w:rPr>
      </w:pPr>
      <w:r w:rsidRPr="00144139">
        <w:rPr>
          <w:rFonts w:ascii="Arial" w:hAnsi="Arial"/>
          <w:sz w:val="22"/>
          <w:szCs w:val="22"/>
        </w:rPr>
        <w:t xml:space="preserve">The PBAC noted that the increased daily insulin dose accompanying </w:t>
      </w:r>
      <w:proofErr w:type="spellStart"/>
      <w:r w:rsidRPr="00144139">
        <w:rPr>
          <w:rFonts w:ascii="Arial" w:hAnsi="Arial"/>
          <w:sz w:val="22"/>
          <w:szCs w:val="22"/>
        </w:rPr>
        <w:t>sitagliptin</w:t>
      </w:r>
      <w:proofErr w:type="spellEnd"/>
      <w:r w:rsidRPr="00144139">
        <w:rPr>
          <w:rFonts w:ascii="Arial" w:hAnsi="Arial"/>
          <w:sz w:val="22"/>
          <w:szCs w:val="22"/>
        </w:rPr>
        <w:t xml:space="preserve"> treatment (+19.0IU/day, compared with -1.18IU/day for dapagliflozin) was not factored into the cost-minimisation analysis. If the PBAC accepted that </w:t>
      </w:r>
      <w:proofErr w:type="spellStart"/>
      <w:r w:rsidRPr="00144139">
        <w:rPr>
          <w:rFonts w:ascii="Arial" w:hAnsi="Arial"/>
          <w:sz w:val="22"/>
          <w:szCs w:val="22"/>
        </w:rPr>
        <w:t>sitagliptin</w:t>
      </w:r>
      <w:proofErr w:type="spellEnd"/>
      <w:r w:rsidRPr="00144139">
        <w:rPr>
          <w:rFonts w:ascii="Arial" w:hAnsi="Arial"/>
          <w:sz w:val="22"/>
          <w:szCs w:val="22"/>
        </w:rPr>
        <w:t xml:space="preserve"> with insulin and dapagliflozin with insulin were non-inferior in terms of reduction in HbA1c, the cost of this outcome would be greater for patients on </w:t>
      </w:r>
      <w:proofErr w:type="spellStart"/>
      <w:r w:rsidRPr="00144139">
        <w:rPr>
          <w:rFonts w:ascii="Arial" w:hAnsi="Arial"/>
          <w:sz w:val="22"/>
          <w:szCs w:val="22"/>
        </w:rPr>
        <w:t>sitagliptin</w:t>
      </w:r>
      <w:proofErr w:type="spellEnd"/>
      <w:r w:rsidRPr="00144139">
        <w:rPr>
          <w:rFonts w:ascii="Arial" w:hAnsi="Arial"/>
          <w:sz w:val="22"/>
          <w:szCs w:val="22"/>
        </w:rPr>
        <w:t xml:space="preserve"> with insulin given the greater dose of insulin required. The PBAC considered that this cost should have been factored into the cost-minimisation analysis.</w:t>
      </w:r>
      <w:r w:rsidR="00405A59">
        <w:rPr>
          <w:rFonts w:ascii="Arial" w:hAnsi="Arial"/>
          <w:sz w:val="22"/>
          <w:szCs w:val="22"/>
        </w:rPr>
        <w:t xml:space="preserve"> </w:t>
      </w:r>
      <w:r w:rsidR="00B116F2">
        <w:rPr>
          <w:rFonts w:ascii="Arial" w:hAnsi="Arial"/>
          <w:sz w:val="22"/>
          <w:szCs w:val="22"/>
        </w:rPr>
        <w:t>(Para 7.8)</w:t>
      </w:r>
    </w:p>
    <w:p w:rsidR="00144139" w:rsidRPr="00144139" w:rsidRDefault="00144139" w:rsidP="00ED740F">
      <w:pPr>
        <w:jc w:val="both"/>
        <w:rPr>
          <w:rFonts w:ascii="Arial" w:hAnsi="Arial"/>
          <w:sz w:val="22"/>
          <w:szCs w:val="22"/>
        </w:rPr>
      </w:pPr>
    </w:p>
    <w:p w:rsidR="00BA3B68" w:rsidRPr="00405A59" w:rsidRDefault="00E3389F" w:rsidP="00ED740F">
      <w:pPr>
        <w:pStyle w:val="ListParagraph"/>
        <w:numPr>
          <w:ilvl w:val="1"/>
          <w:numId w:val="1"/>
        </w:numPr>
        <w:jc w:val="both"/>
        <w:rPr>
          <w:rFonts w:ascii="Arial" w:hAnsi="Arial"/>
          <w:b/>
          <w:sz w:val="22"/>
          <w:szCs w:val="22"/>
        </w:rPr>
      </w:pPr>
      <w:r>
        <w:rPr>
          <w:rFonts w:ascii="Arial" w:hAnsi="Arial"/>
          <w:sz w:val="22"/>
          <w:szCs w:val="22"/>
        </w:rPr>
        <w:t xml:space="preserve">The sponsor elected to </w:t>
      </w:r>
      <w:r w:rsidR="00C8347B" w:rsidRPr="00405A59">
        <w:rPr>
          <w:rFonts w:ascii="Arial" w:hAnsi="Arial"/>
          <w:sz w:val="22"/>
          <w:szCs w:val="22"/>
        </w:rPr>
        <w:t>clari</w:t>
      </w:r>
      <w:r>
        <w:rPr>
          <w:rFonts w:ascii="Arial" w:hAnsi="Arial"/>
          <w:sz w:val="22"/>
          <w:szCs w:val="22"/>
        </w:rPr>
        <w:t>f</w:t>
      </w:r>
      <w:r w:rsidR="00C8347B" w:rsidRPr="00405A59">
        <w:rPr>
          <w:rFonts w:ascii="Arial" w:hAnsi="Arial"/>
          <w:sz w:val="22"/>
          <w:szCs w:val="22"/>
        </w:rPr>
        <w:t>y the design and outcomes of trial P260 (treat-to-target trial) and the relationship of this trial to P051 and Wilding through a minor re-submission.</w:t>
      </w:r>
    </w:p>
    <w:p w:rsidR="00405A59" w:rsidRPr="00686688" w:rsidRDefault="00405A59" w:rsidP="00ED740F">
      <w:pPr>
        <w:jc w:val="both"/>
        <w:rPr>
          <w:rFonts w:ascii="Arial" w:hAnsi="Arial"/>
          <w:sz w:val="22"/>
          <w:szCs w:val="22"/>
        </w:rPr>
      </w:pPr>
    </w:p>
    <w:p w:rsidR="00F714F5" w:rsidRPr="00882085" w:rsidRDefault="00F714F5" w:rsidP="00ED740F">
      <w:pPr>
        <w:jc w:val="both"/>
        <w:rPr>
          <w:rFonts w:ascii="Arial" w:hAnsi="Arial"/>
          <w:b/>
          <w:sz w:val="22"/>
          <w:szCs w:val="22"/>
        </w:rPr>
      </w:pPr>
    </w:p>
    <w:p w:rsidR="00BA3B68" w:rsidRPr="00293327" w:rsidRDefault="00BA3B68" w:rsidP="004A3973">
      <w:pPr>
        <w:pStyle w:val="Heading1"/>
      </w:pPr>
      <w:r w:rsidRPr="00293327">
        <w:t>Clinical place for the proposed therapy</w:t>
      </w:r>
    </w:p>
    <w:p w:rsidR="00BA3B68" w:rsidRPr="00293327" w:rsidRDefault="00BA3B68" w:rsidP="00ED740F">
      <w:pPr>
        <w:jc w:val="both"/>
        <w:rPr>
          <w:rFonts w:ascii="Arial" w:hAnsi="Arial"/>
          <w:sz w:val="22"/>
          <w:szCs w:val="22"/>
        </w:rPr>
      </w:pPr>
    </w:p>
    <w:p w:rsidR="00BA3B68" w:rsidRPr="00293327" w:rsidRDefault="00E3389F" w:rsidP="00ED740F">
      <w:pPr>
        <w:pStyle w:val="ListParagraph"/>
        <w:numPr>
          <w:ilvl w:val="1"/>
          <w:numId w:val="1"/>
        </w:numPr>
        <w:jc w:val="both"/>
        <w:rPr>
          <w:rFonts w:ascii="Arial" w:hAnsi="Arial"/>
          <w:sz w:val="22"/>
          <w:szCs w:val="22"/>
        </w:rPr>
      </w:pPr>
      <w:r>
        <w:rPr>
          <w:rFonts w:ascii="Arial" w:hAnsi="Arial"/>
          <w:sz w:val="22"/>
          <w:szCs w:val="22"/>
        </w:rPr>
        <w:t>The clinical place in therapy was unchanged from the July 2015 major submission</w:t>
      </w:r>
    </w:p>
    <w:p w:rsidR="00BA3B68" w:rsidRDefault="00BA3B68" w:rsidP="00817657">
      <w:pPr>
        <w:pStyle w:val="Header"/>
        <w:tabs>
          <w:tab w:val="clear" w:pos="4153"/>
          <w:tab w:val="clear" w:pos="8306"/>
        </w:tabs>
        <w:spacing w:line="720" w:lineRule="auto"/>
        <w:jc w:val="both"/>
        <w:rPr>
          <w:rFonts w:ascii="Arial" w:hAnsi="Arial"/>
          <w:sz w:val="22"/>
          <w:szCs w:val="22"/>
        </w:rPr>
      </w:pPr>
    </w:p>
    <w:p w:rsidR="00613D46" w:rsidRPr="00613D46" w:rsidRDefault="00613D46" w:rsidP="00ED740F">
      <w:pPr>
        <w:pStyle w:val="Header"/>
        <w:tabs>
          <w:tab w:val="clear" w:pos="4153"/>
          <w:tab w:val="clear" w:pos="8306"/>
        </w:tabs>
        <w:jc w:val="both"/>
        <w:rPr>
          <w:rFonts w:ascii="Arial" w:hAnsi="Arial"/>
          <w:sz w:val="22"/>
          <w:szCs w:val="22"/>
        </w:rPr>
      </w:pPr>
    </w:p>
    <w:p w:rsidR="00BA3B68" w:rsidRPr="00613D46" w:rsidRDefault="00BA3B68" w:rsidP="004A3973">
      <w:pPr>
        <w:pStyle w:val="Heading1"/>
      </w:pPr>
      <w:r w:rsidRPr="00613D46">
        <w:t>Comparator</w:t>
      </w:r>
    </w:p>
    <w:p w:rsidR="00BA3B68" w:rsidRPr="00613D46" w:rsidRDefault="00BA3B68" w:rsidP="00ED740F">
      <w:pPr>
        <w:pStyle w:val="Header"/>
        <w:tabs>
          <w:tab w:val="clear" w:pos="4153"/>
          <w:tab w:val="clear" w:pos="8306"/>
        </w:tabs>
        <w:jc w:val="both"/>
        <w:rPr>
          <w:rFonts w:ascii="Arial" w:hAnsi="Arial"/>
          <w:b/>
          <w:sz w:val="22"/>
          <w:szCs w:val="22"/>
        </w:rPr>
      </w:pPr>
    </w:p>
    <w:p w:rsidR="00BA3B68" w:rsidRPr="00BF7E72" w:rsidRDefault="00BA3B68" w:rsidP="00ED740F">
      <w:pPr>
        <w:pStyle w:val="ListParagraph"/>
        <w:numPr>
          <w:ilvl w:val="1"/>
          <w:numId w:val="1"/>
        </w:numPr>
        <w:jc w:val="both"/>
        <w:rPr>
          <w:rFonts w:ascii="Arial" w:hAnsi="Arial" w:cs="Arial"/>
          <w:sz w:val="22"/>
          <w:szCs w:val="22"/>
        </w:rPr>
      </w:pPr>
      <w:r w:rsidRPr="00DB6D60">
        <w:rPr>
          <w:rFonts w:ascii="Arial" w:hAnsi="Arial"/>
          <w:sz w:val="22"/>
          <w:szCs w:val="22"/>
        </w:rPr>
        <w:t xml:space="preserve">The previous major submission considered by the PBAC in </w:t>
      </w:r>
      <w:r w:rsidR="00102783" w:rsidRPr="00DB6D60">
        <w:rPr>
          <w:rFonts w:ascii="Arial" w:hAnsi="Arial"/>
          <w:sz w:val="22"/>
          <w:szCs w:val="22"/>
        </w:rPr>
        <w:t>July 2015</w:t>
      </w:r>
      <w:r w:rsidRPr="00DB6D60">
        <w:rPr>
          <w:rFonts w:ascii="Arial" w:hAnsi="Arial"/>
          <w:sz w:val="22"/>
          <w:szCs w:val="22"/>
        </w:rPr>
        <w:t xml:space="preserve"> nominated </w:t>
      </w:r>
      <w:r w:rsidR="00D70BE8" w:rsidRPr="00DB6D60">
        <w:rPr>
          <w:rFonts w:ascii="Arial" w:hAnsi="Arial"/>
          <w:sz w:val="22"/>
          <w:szCs w:val="22"/>
        </w:rPr>
        <w:t>dapagliflozin</w:t>
      </w:r>
      <w:r w:rsidR="00DB6D60" w:rsidRPr="00DB6D60">
        <w:rPr>
          <w:rFonts w:ascii="Arial" w:hAnsi="Arial"/>
          <w:sz w:val="22"/>
          <w:szCs w:val="22"/>
        </w:rPr>
        <w:t xml:space="preserve"> as the comparator</w:t>
      </w:r>
      <w:r w:rsidR="00140DD4" w:rsidRPr="00DB6D60">
        <w:rPr>
          <w:rFonts w:ascii="Arial" w:hAnsi="Arial"/>
          <w:sz w:val="22"/>
          <w:szCs w:val="22"/>
        </w:rPr>
        <w:t>.</w:t>
      </w:r>
      <w:r w:rsidR="00D70BE8" w:rsidRPr="00DB6D60">
        <w:rPr>
          <w:rFonts w:ascii="Arial" w:hAnsi="Arial"/>
          <w:sz w:val="22"/>
          <w:szCs w:val="22"/>
        </w:rPr>
        <w:t xml:space="preserve"> This was unchanged in the minor re-submission as </w:t>
      </w:r>
      <w:r w:rsidR="00D70BE8" w:rsidRPr="00BF7E72">
        <w:rPr>
          <w:rFonts w:ascii="Arial" w:hAnsi="Arial" w:cs="Arial"/>
          <w:sz w:val="22"/>
          <w:szCs w:val="22"/>
        </w:rPr>
        <w:t>the PBAC had considered it appropriate</w:t>
      </w:r>
      <w:r w:rsidR="00DB6D60" w:rsidRPr="00BF7E72">
        <w:rPr>
          <w:rFonts w:ascii="Arial" w:hAnsi="Arial" w:cs="Arial"/>
          <w:sz w:val="22"/>
          <w:szCs w:val="22"/>
        </w:rPr>
        <w:t xml:space="preserve">. The PBAC had also noted that </w:t>
      </w:r>
      <w:proofErr w:type="spellStart"/>
      <w:r w:rsidR="00DB6D60" w:rsidRPr="00BF7E72">
        <w:rPr>
          <w:rFonts w:ascii="Arial" w:hAnsi="Arial" w:cs="Arial"/>
          <w:sz w:val="22"/>
          <w:szCs w:val="22"/>
        </w:rPr>
        <w:t>exenatide</w:t>
      </w:r>
      <w:proofErr w:type="spellEnd"/>
      <w:r w:rsidR="00DB6D60" w:rsidRPr="00BF7E72">
        <w:rPr>
          <w:rFonts w:ascii="Arial" w:hAnsi="Arial" w:cs="Arial"/>
          <w:sz w:val="22"/>
          <w:szCs w:val="22"/>
        </w:rPr>
        <w:t xml:space="preserve"> and insulin up-titration would have been appropriate secondary comparators but were not considered in the submission.</w:t>
      </w:r>
    </w:p>
    <w:p w:rsidR="00BA3B68" w:rsidRPr="00BF7E72" w:rsidRDefault="00BA3B68" w:rsidP="00ED740F">
      <w:pPr>
        <w:jc w:val="both"/>
        <w:rPr>
          <w:rFonts w:ascii="Arial" w:hAnsi="Arial" w:cs="Arial"/>
          <w:sz w:val="22"/>
          <w:szCs w:val="22"/>
        </w:rPr>
      </w:pPr>
    </w:p>
    <w:p w:rsidR="00613D46" w:rsidRPr="00BF7E72" w:rsidRDefault="00613D46" w:rsidP="00ED740F">
      <w:pPr>
        <w:jc w:val="both"/>
        <w:rPr>
          <w:rFonts w:ascii="Arial" w:hAnsi="Arial" w:cs="Arial"/>
          <w:sz w:val="22"/>
          <w:szCs w:val="22"/>
        </w:rPr>
      </w:pPr>
    </w:p>
    <w:p w:rsidR="00BA3B68" w:rsidRPr="00BF7E72" w:rsidRDefault="00BA3B68" w:rsidP="004A3973">
      <w:pPr>
        <w:pStyle w:val="Heading1"/>
      </w:pPr>
      <w:r w:rsidRPr="00BF7E72">
        <w:t>Consideration of the evidence</w:t>
      </w:r>
    </w:p>
    <w:p w:rsidR="00BA3B68" w:rsidRPr="00BF7E72" w:rsidRDefault="00BA3B68" w:rsidP="00ED740F">
      <w:pPr>
        <w:jc w:val="both"/>
        <w:rPr>
          <w:rFonts w:ascii="Arial" w:hAnsi="Arial" w:cs="Arial"/>
          <w:sz w:val="22"/>
          <w:szCs w:val="22"/>
        </w:rPr>
      </w:pPr>
    </w:p>
    <w:p w:rsidR="00BF7E72" w:rsidRPr="000F6A99" w:rsidRDefault="00BF7E72" w:rsidP="004A3973">
      <w:pPr>
        <w:pStyle w:val="Heading2"/>
      </w:pPr>
      <w:r w:rsidRPr="000F6A99">
        <w:t>Sponsor hearing</w:t>
      </w:r>
    </w:p>
    <w:p w:rsidR="00BF7E72" w:rsidRPr="00BF7E72" w:rsidRDefault="00BF7E72" w:rsidP="00ED740F">
      <w:pPr>
        <w:widowControl w:val="0"/>
        <w:numPr>
          <w:ilvl w:val="1"/>
          <w:numId w:val="5"/>
        </w:numPr>
        <w:contextualSpacing/>
        <w:jc w:val="both"/>
        <w:rPr>
          <w:rFonts w:ascii="Arial" w:hAnsi="Arial" w:cs="Arial"/>
          <w:bCs/>
          <w:snapToGrid w:val="0"/>
          <w:sz w:val="22"/>
          <w:szCs w:val="22"/>
          <w:lang w:eastAsia="en-US"/>
        </w:rPr>
      </w:pPr>
      <w:r w:rsidRPr="00BF7E72">
        <w:rPr>
          <w:rFonts w:ascii="Arial" w:hAnsi="Arial" w:cs="Arial"/>
          <w:bCs/>
          <w:snapToGrid w:val="0"/>
          <w:sz w:val="22"/>
          <w:szCs w:val="22"/>
          <w:lang w:eastAsia="en-US"/>
        </w:rPr>
        <w:t>There was no hearing for this item</w:t>
      </w:r>
      <w:r>
        <w:rPr>
          <w:rFonts w:ascii="Arial" w:hAnsi="Arial" w:cs="Arial"/>
          <w:bCs/>
          <w:snapToGrid w:val="0"/>
          <w:sz w:val="22"/>
          <w:szCs w:val="22"/>
          <w:lang w:eastAsia="en-US"/>
        </w:rPr>
        <w:t xml:space="preserve"> as it was a minor submission</w:t>
      </w:r>
      <w:r w:rsidRPr="00BF7E72">
        <w:rPr>
          <w:rFonts w:ascii="Arial" w:hAnsi="Arial" w:cs="Arial"/>
          <w:bCs/>
          <w:snapToGrid w:val="0"/>
          <w:sz w:val="22"/>
          <w:szCs w:val="22"/>
          <w:lang w:eastAsia="en-US"/>
        </w:rPr>
        <w:t>.</w:t>
      </w:r>
    </w:p>
    <w:p w:rsidR="00BF7E72" w:rsidRPr="00BF7E72" w:rsidRDefault="00BF7E72" w:rsidP="00ED740F">
      <w:pPr>
        <w:jc w:val="both"/>
        <w:rPr>
          <w:rFonts w:ascii="Arial" w:hAnsi="Arial" w:cs="Arial"/>
          <w:bCs/>
          <w:snapToGrid w:val="0"/>
          <w:sz w:val="22"/>
          <w:szCs w:val="22"/>
          <w:highlight w:val="yellow"/>
          <w:lang w:eastAsia="en-US"/>
        </w:rPr>
      </w:pPr>
    </w:p>
    <w:p w:rsidR="00BF7E72" w:rsidRPr="000F6A99" w:rsidRDefault="00BF7E72" w:rsidP="004A3973">
      <w:pPr>
        <w:pStyle w:val="Heading2"/>
      </w:pPr>
      <w:r w:rsidRPr="000F6A99">
        <w:t>Consumer comments</w:t>
      </w:r>
    </w:p>
    <w:p w:rsidR="00BF7E72" w:rsidRPr="00BF7E72" w:rsidRDefault="00BF7E72" w:rsidP="00ED740F">
      <w:pPr>
        <w:widowControl w:val="0"/>
        <w:numPr>
          <w:ilvl w:val="1"/>
          <w:numId w:val="5"/>
        </w:numPr>
        <w:contextualSpacing/>
        <w:jc w:val="both"/>
        <w:rPr>
          <w:rFonts w:ascii="Arial" w:hAnsi="Arial" w:cs="Arial"/>
          <w:bCs/>
          <w:snapToGrid w:val="0"/>
          <w:sz w:val="22"/>
          <w:szCs w:val="22"/>
          <w:lang w:eastAsia="en-US"/>
        </w:rPr>
      </w:pPr>
      <w:r w:rsidRPr="00BF7E72">
        <w:rPr>
          <w:rFonts w:ascii="Arial" w:hAnsi="Arial" w:cs="Arial"/>
          <w:bCs/>
          <w:snapToGrid w:val="0"/>
          <w:sz w:val="22"/>
          <w:szCs w:val="22"/>
          <w:lang w:eastAsia="en-US"/>
        </w:rPr>
        <w:t>The PBAC noted that no consumer comments were received for this item.</w:t>
      </w:r>
    </w:p>
    <w:p w:rsidR="00BF7E72" w:rsidRPr="00BF7E72" w:rsidRDefault="00BF7E72" w:rsidP="00ED740F">
      <w:pPr>
        <w:jc w:val="both"/>
        <w:rPr>
          <w:rFonts w:ascii="Arial" w:hAnsi="Arial" w:cs="Arial"/>
          <w:sz w:val="22"/>
          <w:szCs w:val="22"/>
        </w:rPr>
      </w:pPr>
    </w:p>
    <w:p w:rsidR="00BA3B68" w:rsidRPr="000F6A99" w:rsidRDefault="00BA3B68" w:rsidP="004A3973">
      <w:pPr>
        <w:pStyle w:val="Heading2"/>
      </w:pPr>
      <w:r w:rsidRPr="000F6A99">
        <w:t>Clinical trials</w:t>
      </w:r>
    </w:p>
    <w:p w:rsidR="00BA3B68" w:rsidRPr="00BF7E72" w:rsidRDefault="00BA3B68" w:rsidP="00ED740F">
      <w:pPr>
        <w:jc w:val="both"/>
        <w:rPr>
          <w:rFonts w:ascii="Arial" w:hAnsi="Arial" w:cs="Arial"/>
          <w:sz w:val="22"/>
          <w:szCs w:val="22"/>
        </w:rPr>
      </w:pPr>
    </w:p>
    <w:p w:rsidR="00BA3B68" w:rsidRPr="00BF7E72" w:rsidRDefault="00BA3B68" w:rsidP="00ED740F">
      <w:pPr>
        <w:pStyle w:val="ListParagraph"/>
        <w:numPr>
          <w:ilvl w:val="1"/>
          <w:numId w:val="1"/>
        </w:numPr>
        <w:jc w:val="both"/>
        <w:rPr>
          <w:rFonts w:ascii="Arial" w:hAnsi="Arial" w:cs="Arial"/>
          <w:sz w:val="22"/>
          <w:szCs w:val="22"/>
        </w:rPr>
      </w:pPr>
      <w:r w:rsidRPr="00BF7E72">
        <w:rPr>
          <w:rFonts w:ascii="Arial" w:hAnsi="Arial" w:cs="Arial"/>
          <w:sz w:val="22"/>
          <w:szCs w:val="22"/>
        </w:rPr>
        <w:t xml:space="preserve">As a minor submission, no </w:t>
      </w:r>
      <w:r w:rsidR="008C2914" w:rsidRPr="00BF7E72">
        <w:rPr>
          <w:rFonts w:ascii="Arial" w:hAnsi="Arial" w:cs="Arial"/>
          <w:sz w:val="22"/>
          <w:szCs w:val="22"/>
        </w:rPr>
        <w:t>new</w:t>
      </w:r>
      <w:r w:rsidRPr="00BF7E72">
        <w:rPr>
          <w:rFonts w:ascii="Arial" w:hAnsi="Arial" w:cs="Arial"/>
          <w:sz w:val="22"/>
          <w:szCs w:val="22"/>
        </w:rPr>
        <w:t xml:space="preserve"> clinica</w:t>
      </w:r>
      <w:r w:rsidR="008C2914" w:rsidRPr="00BF7E72">
        <w:rPr>
          <w:rFonts w:ascii="Arial" w:hAnsi="Arial" w:cs="Arial"/>
          <w:sz w:val="22"/>
          <w:szCs w:val="22"/>
        </w:rPr>
        <w:t>l trials were presented in the re</w:t>
      </w:r>
      <w:r w:rsidRPr="00BF7E72">
        <w:rPr>
          <w:rFonts w:ascii="Arial" w:hAnsi="Arial" w:cs="Arial"/>
          <w:sz w:val="22"/>
          <w:szCs w:val="22"/>
        </w:rPr>
        <w:t>-submission.</w:t>
      </w:r>
    </w:p>
    <w:p w:rsidR="00BA3B68" w:rsidRPr="00BF7E72" w:rsidRDefault="00BA3B68" w:rsidP="00ED740F">
      <w:pPr>
        <w:pStyle w:val="ListParagraph"/>
        <w:ind w:left="709"/>
        <w:jc w:val="both"/>
        <w:rPr>
          <w:rFonts w:ascii="Arial" w:hAnsi="Arial" w:cs="Arial"/>
          <w:color w:val="FF00FF"/>
          <w:sz w:val="22"/>
          <w:szCs w:val="22"/>
        </w:rPr>
      </w:pPr>
    </w:p>
    <w:p w:rsidR="00BA3B68" w:rsidRDefault="00BA3B68" w:rsidP="00ED740F">
      <w:pPr>
        <w:pStyle w:val="ListParagraph"/>
        <w:numPr>
          <w:ilvl w:val="1"/>
          <w:numId w:val="1"/>
        </w:numPr>
        <w:jc w:val="both"/>
        <w:rPr>
          <w:rFonts w:ascii="Arial" w:hAnsi="Arial" w:cs="Arial"/>
          <w:sz w:val="22"/>
          <w:szCs w:val="22"/>
        </w:rPr>
      </w:pPr>
      <w:r w:rsidRPr="00BF7E72">
        <w:rPr>
          <w:rFonts w:ascii="Arial" w:hAnsi="Arial" w:cs="Arial"/>
          <w:sz w:val="22"/>
          <w:szCs w:val="22"/>
        </w:rPr>
        <w:t>The basis of the minor submission’s request was</w:t>
      </w:r>
      <w:r w:rsidR="008C2914" w:rsidRPr="00BF7E72">
        <w:rPr>
          <w:rFonts w:ascii="Arial" w:hAnsi="Arial" w:cs="Arial"/>
          <w:sz w:val="22"/>
          <w:szCs w:val="22"/>
        </w:rPr>
        <w:t xml:space="preserve"> to review and </w:t>
      </w:r>
      <w:r w:rsidR="005E7AA4" w:rsidRPr="00BF7E72">
        <w:rPr>
          <w:rFonts w:ascii="Arial" w:hAnsi="Arial" w:cs="Arial"/>
          <w:sz w:val="22"/>
          <w:szCs w:val="22"/>
        </w:rPr>
        <w:t>better</w:t>
      </w:r>
      <w:r w:rsidR="008C2914" w:rsidRPr="00BF7E72">
        <w:rPr>
          <w:rFonts w:ascii="Arial" w:hAnsi="Arial" w:cs="Arial"/>
          <w:sz w:val="22"/>
          <w:szCs w:val="22"/>
        </w:rPr>
        <w:t xml:space="preserve"> describe the clinical evidence as presented in the previous major submission.</w:t>
      </w:r>
    </w:p>
    <w:p w:rsidR="00420F96" w:rsidRPr="00420F96" w:rsidRDefault="00420F96" w:rsidP="00ED740F">
      <w:pPr>
        <w:pStyle w:val="ListParagraph"/>
        <w:jc w:val="both"/>
        <w:rPr>
          <w:rFonts w:ascii="Arial" w:hAnsi="Arial" w:cs="Arial"/>
          <w:sz w:val="22"/>
          <w:szCs w:val="22"/>
        </w:rPr>
      </w:pPr>
    </w:p>
    <w:p w:rsidR="00420F96" w:rsidRPr="000F6A99" w:rsidRDefault="00420F96" w:rsidP="00ED740F">
      <w:pPr>
        <w:pStyle w:val="ListParagraph"/>
        <w:numPr>
          <w:ilvl w:val="1"/>
          <w:numId w:val="1"/>
        </w:numPr>
        <w:jc w:val="both"/>
        <w:rPr>
          <w:rFonts w:ascii="Arial" w:hAnsi="Arial" w:cs="Arial"/>
          <w:sz w:val="22"/>
          <w:szCs w:val="22"/>
        </w:rPr>
      </w:pPr>
      <w:r w:rsidRPr="000F6A99">
        <w:rPr>
          <w:rFonts w:ascii="Arial" w:hAnsi="Arial" w:cs="Arial"/>
          <w:sz w:val="22"/>
          <w:szCs w:val="22"/>
        </w:rPr>
        <w:t xml:space="preserve">The PBAC noted that the minor resubmission took the position that the Committee should disregard the comparison between trials P260 and Wilding.  The PBAC recalled its July 2015 conclusion </w:t>
      </w:r>
      <w:r w:rsidRPr="000F6A99">
        <w:rPr>
          <w:rFonts w:ascii="Arial" w:hAnsi="Arial" w:cs="Arial"/>
          <w:sz w:val="22"/>
          <w:szCs w:val="22"/>
          <w:lang w:val="en-GB"/>
        </w:rPr>
        <w:t xml:space="preserve">the addition of </w:t>
      </w:r>
      <w:proofErr w:type="spellStart"/>
      <w:r w:rsidRPr="000F6A99">
        <w:rPr>
          <w:rFonts w:ascii="Arial" w:hAnsi="Arial" w:cs="Arial"/>
          <w:sz w:val="22"/>
          <w:szCs w:val="22"/>
          <w:lang w:val="en-GB"/>
        </w:rPr>
        <w:t>sitagliptin</w:t>
      </w:r>
      <w:proofErr w:type="spellEnd"/>
      <w:r w:rsidRPr="000F6A99">
        <w:rPr>
          <w:rFonts w:ascii="Arial" w:hAnsi="Arial" w:cs="Arial"/>
          <w:sz w:val="22"/>
          <w:szCs w:val="22"/>
          <w:lang w:val="en-GB"/>
        </w:rPr>
        <w:t xml:space="preserve"> to insulin regimens resulted in an increased mean daily insulin dose while the addition of dapagliflozin resulted in a reduced mean daily insulin dose.</w:t>
      </w:r>
    </w:p>
    <w:p w:rsidR="00BA3B68" w:rsidRDefault="00BA3B68" w:rsidP="00ED740F">
      <w:pPr>
        <w:jc w:val="both"/>
        <w:rPr>
          <w:rFonts w:ascii="Arial" w:hAnsi="Arial" w:cs="Arial"/>
          <w:sz w:val="22"/>
          <w:szCs w:val="22"/>
        </w:rPr>
      </w:pPr>
    </w:p>
    <w:p w:rsidR="00BA3B68" w:rsidRPr="000F6A99" w:rsidRDefault="00BA3B68" w:rsidP="004A3973">
      <w:pPr>
        <w:pStyle w:val="Heading2"/>
      </w:pPr>
      <w:r w:rsidRPr="000F6A99">
        <w:t>Comparative effectiveness</w:t>
      </w:r>
    </w:p>
    <w:p w:rsidR="00BA3B68" w:rsidRPr="00BF7E72" w:rsidRDefault="00BA3B68" w:rsidP="00ED740F">
      <w:pPr>
        <w:jc w:val="both"/>
        <w:rPr>
          <w:rFonts w:ascii="Arial" w:hAnsi="Arial" w:cs="Arial"/>
          <w:sz w:val="22"/>
          <w:szCs w:val="22"/>
        </w:rPr>
      </w:pPr>
    </w:p>
    <w:p w:rsidR="00BF7E72" w:rsidRPr="00BF7E72" w:rsidRDefault="00BA3B68" w:rsidP="00ED740F">
      <w:pPr>
        <w:pStyle w:val="ListParagraph"/>
        <w:numPr>
          <w:ilvl w:val="1"/>
          <w:numId w:val="1"/>
        </w:numPr>
        <w:jc w:val="both"/>
        <w:rPr>
          <w:rFonts w:ascii="Arial" w:hAnsi="Arial" w:cs="Arial"/>
          <w:color w:val="FF00FF"/>
          <w:sz w:val="22"/>
          <w:szCs w:val="22"/>
        </w:rPr>
      </w:pPr>
      <w:r w:rsidRPr="00BF7E72">
        <w:rPr>
          <w:rFonts w:ascii="Arial" w:hAnsi="Arial" w:cs="Arial"/>
          <w:sz w:val="22"/>
          <w:szCs w:val="22"/>
        </w:rPr>
        <w:t>The trial results remain</w:t>
      </w:r>
      <w:r w:rsidR="00BF7E72" w:rsidRPr="00BF7E72">
        <w:rPr>
          <w:rFonts w:ascii="Arial" w:hAnsi="Arial" w:cs="Arial"/>
          <w:sz w:val="22"/>
          <w:szCs w:val="22"/>
        </w:rPr>
        <w:t>ed</w:t>
      </w:r>
      <w:r w:rsidRPr="00BF7E72">
        <w:rPr>
          <w:rFonts w:ascii="Arial" w:hAnsi="Arial" w:cs="Arial"/>
          <w:sz w:val="22"/>
          <w:szCs w:val="22"/>
        </w:rPr>
        <w:t xml:space="preserve"> unchanged from the previous major submission considered in </w:t>
      </w:r>
      <w:r w:rsidR="002F4A33" w:rsidRPr="00BF7E72">
        <w:rPr>
          <w:rFonts w:ascii="Arial" w:hAnsi="Arial" w:cs="Arial"/>
          <w:sz w:val="22"/>
          <w:szCs w:val="22"/>
        </w:rPr>
        <w:t>July 2015.</w:t>
      </w:r>
      <w:r w:rsidR="00BF7E72" w:rsidRPr="00BF7E72">
        <w:rPr>
          <w:rFonts w:ascii="Arial" w:hAnsi="Arial" w:cs="Arial"/>
          <w:sz w:val="22"/>
          <w:szCs w:val="22"/>
        </w:rPr>
        <w:t xml:space="preserve">  The minor re-submission summarised its approach to previous PBAC concerns as per Table 1.</w:t>
      </w:r>
    </w:p>
    <w:p w:rsidR="00817657" w:rsidRDefault="00817657">
      <w:pPr>
        <w:rPr>
          <w:rFonts w:ascii="Arial" w:hAnsi="Arial"/>
          <w:b/>
          <w:sz w:val="22"/>
          <w:szCs w:val="22"/>
        </w:rPr>
      </w:pPr>
      <w:r>
        <w:rPr>
          <w:rFonts w:ascii="Arial" w:hAnsi="Arial"/>
          <w:b/>
          <w:sz w:val="22"/>
          <w:szCs w:val="22"/>
        </w:rPr>
        <w:br w:type="page"/>
      </w:r>
    </w:p>
    <w:p w:rsidR="00BF7E72" w:rsidRPr="009C6932" w:rsidRDefault="00BF7E72" w:rsidP="00ED740F">
      <w:pPr>
        <w:pStyle w:val="ListParagraph"/>
        <w:jc w:val="both"/>
        <w:rPr>
          <w:rFonts w:ascii="Arial Narrow" w:hAnsi="Arial Narrow"/>
          <w:color w:val="00B0F0"/>
          <w:sz w:val="22"/>
          <w:szCs w:val="22"/>
        </w:rPr>
      </w:pPr>
      <w:bookmarkStart w:id="1" w:name="_Ref427833403"/>
      <w:bookmarkStart w:id="2" w:name="_Toc427928887"/>
      <w:r w:rsidRPr="009C6932">
        <w:rPr>
          <w:rFonts w:ascii="Arial Narrow" w:hAnsi="Arial Narrow"/>
          <w:b/>
          <w:bCs/>
          <w:sz w:val="20"/>
          <w:szCs w:val="20"/>
          <w:lang w:eastAsia="en-GB"/>
        </w:rPr>
        <w:lastRenderedPageBreak/>
        <w:t xml:space="preserve">Table </w:t>
      </w:r>
      <w:bookmarkEnd w:id="1"/>
      <w:r w:rsidRPr="009C6932">
        <w:rPr>
          <w:rFonts w:ascii="Arial Narrow" w:hAnsi="Arial Narrow"/>
          <w:b/>
          <w:bCs/>
          <w:sz w:val="20"/>
          <w:szCs w:val="20"/>
          <w:lang w:eastAsia="en-GB"/>
        </w:rPr>
        <w:t xml:space="preserve">1: </w:t>
      </w:r>
      <w:r w:rsidR="00450A59">
        <w:rPr>
          <w:rFonts w:ascii="Arial Narrow" w:hAnsi="Arial Narrow"/>
          <w:b/>
          <w:bCs/>
          <w:sz w:val="20"/>
          <w:szCs w:val="20"/>
          <w:lang w:eastAsia="en-GB"/>
        </w:rPr>
        <w:t>Minor resubmission’s s</w:t>
      </w:r>
      <w:r w:rsidRPr="009C6932">
        <w:rPr>
          <w:rFonts w:ascii="Arial Narrow" w:hAnsi="Arial Narrow"/>
          <w:b/>
          <w:bCs/>
          <w:sz w:val="20"/>
          <w:szCs w:val="20"/>
          <w:lang w:eastAsia="en-GB"/>
        </w:rPr>
        <w:t>ummary of key issues, approach to address the issue and summary of outcomes</w:t>
      </w:r>
      <w:bookmarkEnd w:id="2"/>
    </w:p>
    <w:tbl>
      <w:tblPr>
        <w:tblStyle w:val="TableGrid"/>
        <w:tblW w:w="8443" w:type="dxa"/>
        <w:tblInd w:w="817" w:type="dxa"/>
        <w:tblLook w:val="04A0" w:firstRow="1" w:lastRow="0" w:firstColumn="1" w:lastColumn="0" w:noHBand="0" w:noVBand="1"/>
        <w:tblCaption w:val="Minor resubmission’s summary of key issues"/>
      </w:tblPr>
      <w:tblGrid>
        <w:gridCol w:w="2258"/>
        <w:gridCol w:w="2618"/>
        <w:gridCol w:w="3567"/>
      </w:tblGrid>
      <w:tr w:rsidR="00BF7E72" w:rsidRPr="00C83AFD" w:rsidTr="006720EC">
        <w:trPr>
          <w:cantSplit/>
          <w:tblHeader/>
        </w:trPr>
        <w:tc>
          <w:tcPr>
            <w:tcW w:w="2258" w:type="dxa"/>
          </w:tcPr>
          <w:p w:rsidR="00BF7E72" w:rsidRPr="00C83AFD" w:rsidRDefault="00BF7E72" w:rsidP="00ED740F">
            <w:pPr>
              <w:spacing w:before="40" w:after="20"/>
              <w:jc w:val="both"/>
              <w:rPr>
                <w:rFonts w:ascii="Arial Narrow" w:hAnsi="Arial Narrow"/>
                <w:b/>
                <w:bCs/>
                <w:sz w:val="20"/>
                <w:szCs w:val="20"/>
                <w:lang w:eastAsia="en-US"/>
              </w:rPr>
            </w:pPr>
            <w:r w:rsidRPr="00C83AFD">
              <w:rPr>
                <w:rFonts w:ascii="Arial Narrow" w:hAnsi="Arial Narrow"/>
                <w:b/>
                <w:bCs/>
                <w:sz w:val="20"/>
                <w:szCs w:val="20"/>
                <w:lang w:eastAsia="en-US"/>
              </w:rPr>
              <w:t>Issue</w:t>
            </w:r>
          </w:p>
        </w:tc>
        <w:tc>
          <w:tcPr>
            <w:tcW w:w="2618" w:type="dxa"/>
          </w:tcPr>
          <w:p w:rsidR="00BF7E72" w:rsidRPr="00C83AFD" w:rsidRDefault="00BF7E72" w:rsidP="00ED740F">
            <w:pPr>
              <w:spacing w:before="40" w:after="20"/>
              <w:jc w:val="both"/>
              <w:rPr>
                <w:rFonts w:ascii="Arial Narrow" w:hAnsi="Arial Narrow"/>
                <w:b/>
                <w:bCs/>
                <w:sz w:val="20"/>
                <w:szCs w:val="20"/>
                <w:lang w:eastAsia="en-US"/>
              </w:rPr>
            </w:pPr>
            <w:r w:rsidRPr="00C83AFD">
              <w:rPr>
                <w:rFonts w:ascii="Arial Narrow" w:hAnsi="Arial Narrow"/>
                <w:b/>
                <w:bCs/>
                <w:sz w:val="20"/>
                <w:szCs w:val="20"/>
                <w:lang w:eastAsia="en-US"/>
              </w:rPr>
              <w:t>Approach</w:t>
            </w:r>
          </w:p>
        </w:tc>
        <w:tc>
          <w:tcPr>
            <w:tcW w:w="3567" w:type="dxa"/>
          </w:tcPr>
          <w:p w:rsidR="00BF7E72" w:rsidRPr="00C83AFD" w:rsidRDefault="00BF7E72" w:rsidP="00ED740F">
            <w:pPr>
              <w:spacing w:before="40" w:after="20"/>
              <w:jc w:val="both"/>
              <w:rPr>
                <w:rFonts w:ascii="Arial Narrow" w:hAnsi="Arial Narrow"/>
                <w:b/>
                <w:bCs/>
                <w:sz w:val="20"/>
                <w:szCs w:val="20"/>
                <w:lang w:eastAsia="en-US"/>
              </w:rPr>
            </w:pPr>
            <w:r w:rsidRPr="00C83AFD">
              <w:rPr>
                <w:rFonts w:ascii="Arial Narrow" w:hAnsi="Arial Narrow"/>
                <w:b/>
                <w:bCs/>
                <w:sz w:val="20"/>
                <w:szCs w:val="20"/>
                <w:lang w:eastAsia="en-US"/>
              </w:rPr>
              <w:t>[Sponsor’s] Conclusion</w:t>
            </w:r>
          </w:p>
        </w:tc>
      </w:tr>
      <w:tr w:rsidR="00BF7E72" w:rsidRPr="00C83AFD" w:rsidTr="006720EC">
        <w:trPr>
          <w:cantSplit/>
        </w:trPr>
        <w:tc>
          <w:tcPr>
            <w:tcW w:w="2258" w:type="dxa"/>
          </w:tcPr>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t>The PBAC considered that it was not appropriate to include trial P051 in the indirect analysis assessing change from baseline in HbA1c, as the insulin dose was unable to be titrated.</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t>(PBAC Minutes, para 7.5)</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after="240" w:line="360" w:lineRule="auto"/>
              <w:jc w:val="both"/>
              <w:rPr>
                <w:rFonts w:ascii="Arial Narrow" w:hAnsi="Arial Narrow"/>
                <w:b/>
                <w:sz w:val="20"/>
                <w:szCs w:val="20"/>
                <w:lang w:eastAsia="en-US"/>
              </w:rPr>
            </w:pPr>
            <w:r w:rsidRPr="00C83AFD">
              <w:rPr>
                <w:rFonts w:ascii="Arial Narrow" w:hAnsi="Arial Narrow"/>
                <w:b/>
                <w:sz w:val="20"/>
                <w:szCs w:val="20"/>
                <w:lang w:eastAsia="en-US"/>
              </w:rPr>
              <w:t>See Section D.1 of minor re-submission</w:t>
            </w:r>
          </w:p>
        </w:tc>
        <w:tc>
          <w:tcPr>
            <w:tcW w:w="2618" w:type="dxa"/>
          </w:tcPr>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comparability of the key trial characteristics of P051 and Wilding including the insulin dosing management</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relevance of a stable insulin dose in both trials to decision making</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Summary of key outcomes from both trials and analysis of non-inferiority based on mean change in HbA1c</w:t>
            </w:r>
          </w:p>
          <w:p w:rsidR="00BF7E72" w:rsidRPr="00C83AFD" w:rsidRDefault="00BF7E72" w:rsidP="00ED740F">
            <w:pPr>
              <w:keepNext/>
              <w:tabs>
                <w:tab w:val="left" w:pos="216"/>
              </w:tabs>
              <w:spacing w:before="40" w:after="40"/>
              <w:jc w:val="both"/>
              <w:rPr>
                <w:rFonts w:ascii="Arial Narrow" w:hAnsi="Arial Narrow" w:cs="Arial Narrow"/>
                <w:sz w:val="20"/>
                <w:szCs w:val="20"/>
                <w:lang w:eastAsia="en-US"/>
              </w:rPr>
            </w:pPr>
          </w:p>
        </w:tc>
        <w:tc>
          <w:tcPr>
            <w:tcW w:w="3567" w:type="dxa"/>
          </w:tcPr>
          <w:p w:rsidR="00BF7E72" w:rsidRPr="00C83AFD" w:rsidRDefault="00BF7E72" w:rsidP="00ED740F">
            <w:pPr>
              <w:spacing w:before="40" w:after="20"/>
              <w:jc w:val="both"/>
              <w:rPr>
                <w:rFonts w:ascii="Arial Narrow" w:hAnsi="Arial Narrow"/>
                <w:b/>
                <w:bCs/>
                <w:sz w:val="20"/>
                <w:szCs w:val="20"/>
                <w:lang w:eastAsia="en-US"/>
              </w:rPr>
            </w:pPr>
            <w:r w:rsidRPr="00C83AFD">
              <w:rPr>
                <w:rFonts w:ascii="Arial Narrow" w:hAnsi="Arial Narrow"/>
                <w:b/>
                <w:bCs/>
                <w:sz w:val="20"/>
                <w:szCs w:val="20"/>
                <w:lang w:eastAsia="en-US"/>
              </w:rPr>
              <w:t xml:space="preserve">P051 is the appropriate key trial to compare with Wilding </w:t>
            </w:r>
          </w:p>
          <w:p w:rsidR="00BF7E72" w:rsidRPr="00C83AFD" w:rsidRDefault="00BF7E72" w:rsidP="00ED740F">
            <w:pPr>
              <w:spacing w:before="40" w:after="20"/>
              <w:jc w:val="both"/>
              <w:rPr>
                <w:rFonts w:ascii="Arial Narrow" w:hAnsi="Arial Narrow"/>
                <w:b/>
                <w:bCs/>
                <w:sz w:val="20"/>
                <w:szCs w:val="20"/>
                <w:lang w:eastAsia="en-US"/>
              </w:rPr>
            </w:pPr>
          </w:p>
          <w:p w:rsidR="00BF7E72" w:rsidRPr="00C83AFD" w:rsidRDefault="00BF7E72" w:rsidP="00ED740F">
            <w:pPr>
              <w:spacing w:before="40" w:after="20"/>
              <w:jc w:val="both"/>
              <w:rPr>
                <w:rFonts w:ascii="Arial Narrow" w:hAnsi="Arial Narrow"/>
                <w:sz w:val="20"/>
                <w:szCs w:val="20"/>
                <w:lang w:eastAsia="en-US"/>
              </w:rPr>
            </w:pPr>
            <w:r w:rsidRPr="00C83AFD">
              <w:rPr>
                <w:rFonts w:ascii="Arial Narrow" w:hAnsi="Arial Narrow"/>
                <w:b/>
                <w:bCs/>
                <w:sz w:val="20"/>
                <w:szCs w:val="20"/>
                <w:lang w:eastAsia="en-US"/>
              </w:rPr>
              <w:t>The indirect analysis of P051 to Wilding supports the non-inferiority claims presented in the submission</w:t>
            </w:r>
          </w:p>
          <w:p w:rsidR="00BF7E72" w:rsidRPr="00C83AFD" w:rsidRDefault="00BF7E72" w:rsidP="00ED740F">
            <w:pPr>
              <w:spacing w:before="40" w:after="20"/>
              <w:jc w:val="both"/>
              <w:rPr>
                <w:rFonts w:ascii="Arial Narrow" w:hAnsi="Arial Narrow"/>
                <w:b/>
                <w:bCs/>
                <w:sz w:val="20"/>
                <w:szCs w:val="20"/>
                <w:lang w:eastAsia="en-US"/>
              </w:rPr>
            </w:pP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All key trial characteristics of P051 and Wilding are the same and comparable including the insulin dosing requirements. </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Both trials are registration studies. Regulatory guidelines require the insulin dose to be held steady (+/-10%) to allow the incremental benefit of adding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or dapagliflozin to insulin to be demonstrated</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PBAC has previously accepted that trials with stable insulin doses are suitable for decision making, e.g. Wilding formed the basis of the dapagliflozin positive recommendation.</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The indirect analysis met the test for non-inferiority</w:t>
            </w:r>
          </w:p>
        </w:tc>
      </w:tr>
      <w:tr w:rsidR="00BF7E72" w:rsidRPr="00C83AFD" w:rsidTr="006720EC">
        <w:trPr>
          <w:cantSplit/>
        </w:trPr>
        <w:tc>
          <w:tcPr>
            <w:tcW w:w="2258" w:type="dxa"/>
          </w:tcPr>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t xml:space="preserve">The addition of </w:t>
            </w:r>
            <w:proofErr w:type="spellStart"/>
            <w:r w:rsidRPr="00C83AFD">
              <w:rPr>
                <w:rFonts w:ascii="Arial Narrow" w:hAnsi="Arial Narrow"/>
                <w:sz w:val="20"/>
                <w:szCs w:val="20"/>
                <w:lang w:eastAsia="en-US"/>
              </w:rPr>
              <w:t>sitagliptin</w:t>
            </w:r>
            <w:proofErr w:type="spellEnd"/>
            <w:r w:rsidRPr="00C83AFD">
              <w:rPr>
                <w:rFonts w:ascii="Arial Narrow" w:hAnsi="Arial Narrow"/>
                <w:sz w:val="20"/>
                <w:szCs w:val="20"/>
                <w:lang w:eastAsia="en-US"/>
              </w:rPr>
              <w:t xml:space="preserve"> to insulin regimens resulted in an increased mean daily insulin dose.</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t>(PBAC Minutes, para 7.2)</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after="240" w:line="360" w:lineRule="auto"/>
              <w:jc w:val="both"/>
              <w:rPr>
                <w:rFonts w:ascii="Arial Narrow" w:hAnsi="Arial Narrow"/>
                <w:b/>
                <w:sz w:val="20"/>
                <w:szCs w:val="20"/>
                <w:lang w:eastAsia="en-US"/>
              </w:rPr>
            </w:pPr>
          </w:p>
        </w:tc>
        <w:tc>
          <w:tcPr>
            <w:tcW w:w="2618" w:type="dxa"/>
          </w:tcPr>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insulin dose changes in pivotal P051 and Wilding trials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trial design and results of P260</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Describe difference in trial design between P260 treat-to-target trial and the registration studies of P051 and Wilding</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Compare the key outcomes from P260 to P051 and Wilding</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tc>
        <w:tc>
          <w:tcPr>
            <w:tcW w:w="3567" w:type="dxa"/>
          </w:tcPr>
          <w:p w:rsidR="00BF7E72" w:rsidRPr="00C83AFD" w:rsidRDefault="00BF7E72" w:rsidP="00ED740F">
            <w:pPr>
              <w:spacing w:before="40" w:after="20"/>
              <w:jc w:val="both"/>
              <w:rPr>
                <w:rFonts w:ascii="Arial Narrow" w:hAnsi="Arial Narrow"/>
                <w:b/>
                <w:bCs/>
                <w:sz w:val="20"/>
                <w:szCs w:val="20"/>
                <w:lang w:eastAsia="en-US"/>
              </w:rPr>
            </w:pPr>
            <w:proofErr w:type="spellStart"/>
            <w:r w:rsidRPr="00C83AFD">
              <w:rPr>
                <w:rFonts w:ascii="Arial Narrow" w:hAnsi="Arial Narrow"/>
                <w:b/>
                <w:bCs/>
                <w:sz w:val="20"/>
                <w:szCs w:val="20"/>
                <w:lang w:eastAsia="en-US"/>
              </w:rPr>
              <w:t>Sitagliptin</w:t>
            </w:r>
            <w:proofErr w:type="spellEnd"/>
            <w:r w:rsidRPr="00C83AFD">
              <w:rPr>
                <w:rFonts w:ascii="Arial Narrow" w:hAnsi="Arial Narrow"/>
                <w:b/>
                <w:bCs/>
                <w:sz w:val="20"/>
                <w:szCs w:val="20"/>
                <w:lang w:eastAsia="en-US"/>
              </w:rPr>
              <w:t xml:space="preserve"> does not result in an increased mean daily insulin dose</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There was no significant increase in insulin dose between the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and placebo arm of P051.</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The insulin dose changes in P051 and Wilding were comparable</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P260 is a treat-to-target trial with a forced insulin titration schedule</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Patients in both study arms were required to increase their insulin dose to reach a set glycaemic target </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In P260, patients in the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 insulin titration arm had significantly better glycaemic control than patients in the insulin up-titration only arm</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Patients in the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arm used </w:t>
            </w:r>
            <w:r w:rsidRPr="00C83AFD">
              <w:rPr>
                <w:rFonts w:ascii="Arial Narrow" w:hAnsi="Arial Narrow" w:cs="Arial Narrow"/>
                <w:sz w:val="20"/>
                <w:szCs w:val="20"/>
                <w:u w:val="single"/>
                <w:lang w:eastAsia="en-US"/>
              </w:rPr>
              <w:t>less insulin</w:t>
            </w:r>
            <w:r w:rsidRPr="00C83AFD">
              <w:rPr>
                <w:rFonts w:ascii="Arial Narrow" w:hAnsi="Arial Narrow" w:cs="Arial Narrow"/>
                <w:sz w:val="20"/>
                <w:szCs w:val="20"/>
                <w:lang w:eastAsia="en-US"/>
              </w:rPr>
              <w:t>, not more, than patients in the placebo arm and experienced significantly less hypoglycaemia and less weight gain</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The reduction in HbA1c in the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arm of P260 was significantly better than the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arm of P051 or the dapagliflozin arm of Wilding. </w:t>
            </w:r>
          </w:p>
        </w:tc>
      </w:tr>
      <w:tr w:rsidR="00BF7E72" w:rsidRPr="00C83AFD" w:rsidTr="006720EC">
        <w:trPr>
          <w:cantSplit/>
        </w:trPr>
        <w:tc>
          <w:tcPr>
            <w:tcW w:w="2258" w:type="dxa"/>
          </w:tcPr>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lastRenderedPageBreak/>
              <w:t xml:space="preserve">Clinical need and place in therapy of </w:t>
            </w:r>
            <w:proofErr w:type="spellStart"/>
            <w:r w:rsidRPr="00C83AFD">
              <w:rPr>
                <w:rFonts w:ascii="Arial Narrow" w:hAnsi="Arial Narrow"/>
                <w:sz w:val="20"/>
                <w:szCs w:val="20"/>
                <w:lang w:eastAsia="en-US"/>
              </w:rPr>
              <w:t>sitagliptin</w:t>
            </w:r>
            <w:proofErr w:type="spellEnd"/>
            <w:r w:rsidRPr="00C83AFD">
              <w:rPr>
                <w:rFonts w:ascii="Arial Narrow" w:hAnsi="Arial Narrow"/>
                <w:sz w:val="20"/>
                <w:szCs w:val="20"/>
                <w:lang w:eastAsia="en-US"/>
              </w:rPr>
              <w:t xml:space="preserve"> in combination with insulin</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r w:rsidRPr="00C83AFD">
              <w:rPr>
                <w:rFonts w:ascii="Arial Narrow" w:hAnsi="Arial Narrow"/>
                <w:sz w:val="20"/>
                <w:szCs w:val="20"/>
                <w:lang w:eastAsia="en-US"/>
              </w:rPr>
              <w:t>(PBAC Minutes, para 7.1)</w:t>
            </w: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before="40" w:after="20"/>
              <w:jc w:val="both"/>
              <w:rPr>
                <w:rFonts w:ascii="Arial Narrow" w:hAnsi="Arial Narrow"/>
                <w:sz w:val="20"/>
                <w:szCs w:val="20"/>
                <w:lang w:eastAsia="en-US"/>
              </w:rPr>
            </w:pPr>
          </w:p>
          <w:p w:rsidR="00BF7E72" w:rsidRPr="00C83AFD" w:rsidRDefault="00BF7E72" w:rsidP="00ED740F">
            <w:pPr>
              <w:tabs>
                <w:tab w:val="left" w:pos="416"/>
                <w:tab w:val="left" w:pos="582"/>
              </w:tabs>
              <w:spacing w:after="240" w:line="360" w:lineRule="auto"/>
              <w:jc w:val="both"/>
              <w:rPr>
                <w:rFonts w:ascii="Arial Narrow" w:hAnsi="Arial Narrow"/>
                <w:b/>
                <w:sz w:val="20"/>
                <w:szCs w:val="20"/>
                <w:lang w:eastAsia="en-US"/>
              </w:rPr>
            </w:pPr>
          </w:p>
        </w:tc>
        <w:tc>
          <w:tcPr>
            <w:tcW w:w="2618" w:type="dxa"/>
          </w:tcPr>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clinical implications of P260 results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Review safety profile including current TGA warnings relating to SGLT-2 inhibitors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Review clinical benefits of </w:t>
            </w:r>
            <w:proofErr w:type="spellStart"/>
            <w:r w:rsidRPr="00C83AFD">
              <w:rPr>
                <w:rFonts w:ascii="Arial Narrow" w:hAnsi="Arial Narrow" w:cs="Arial Narrow"/>
                <w:sz w:val="20"/>
                <w:szCs w:val="20"/>
                <w:lang w:eastAsia="en-US"/>
              </w:rPr>
              <w:t>sitagliptin</w:t>
            </w:r>
            <w:proofErr w:type="spellEnd"/>
            <w:r w:rsidRPr="00C83AFD">
              <w:rPr>
                <w:rFonts w:ascii="Arial Narrow" w:hAnsi="Arial Narrow" w:cs="Arial Narrow"/>
                <w:sz w:val="20"/>
                <w:szCs w:val="20"/>
                <w:lang w:eastAsia="en-US"/>
              </w:rPr>
              <w:t xml:space="preserve"> in this context</w:t>
            </w:r>
          </w:p>
          <w:p w:rsidR="00BF7E72" w:rsidRPr="00C83AFD" w:rsidRDefault="00BF7E72" w:rsidP="00ED740F">
            <w:pPr>
              <w:keepNext/>
              <w:tabs>
                <w:tab w:val="left" w:pos="216"/>
              </w:tabs>
              <w:spacing w:before="40" w:after="40"/>
              <w:ind w:left="216"/>
              <w:jc w:val="both"/>
              <w:rPr>
                <w:rFonts w:ascii="Arial Narrow" w:hAnsi="Arial Narrow" w:cs="Arial Narrow"/>
                <w:sz w:val="20"/>
                <w:szCs w:val="20"/>
                <w:lang w:eastAsia="en-US"/>
              </w:rPr>
            </w:pPr>
          </w:p>
        </w:tc>
        <w:tc>
          <w:tcPr>
            <w:tcW w:w="3567" w:type="dxa"/>
          </w:tcPr>
          <w:p w:rsidR="00BF7E72" w:rsidRPr="00C83AFD" w:rsidRDefault="00BF7E72" w:rsidP="00ED740F">
            <w:pPr>
              <w:spacing w:before="40" w:after="20"/>
              <w:jc w:val="both"/>
              <w:rPr>
                <w:rFonts w:ascii="Arial Narrow" w:hAnsi="Arial Narrow"/>
                <w:b/>
                <w:bCs/>
                <w:sz w:val="20"/>
                <w:szCs w:val="20"/>
                <w:lang w:eastAsia="en-US"/>
              </w:rPr>
            </w:pPr>
            <w:r w:rsidRPr="00C83AFD">
              <w:rPr>
                <w:rFonts w:ascii="Arial Narrow" w:hAnsi="Arial Narrow"/>
                <w:b/>
                <w:bCs/>
                <w:sz w:val="20"/>
                <w:szCs w:val="20"/>
                <w:lang w:eastAsia="en-US"/>
              </w:rPr>
              <w:t xml:space="preserve">There is a high clinical need for </w:t>
            </w:r>
            <w:proofErr w:type="spellStart"/>
            <w:r w:rsidRPr="00C83AFD">
              <w:rPr>
                <w:rFonts w:ascii="Arial Narrow" w:hAnsi="Arial Narrow"/>
                <w:b/>
                <w:bCs/>
                <w:sz w:val="20"/>
                <w:szCs w:val="20"/>
                <w:lang w:eastAsia="en-US"/>
              </w:rPr>
              <w:t>sitagliptin</w:t>
            </w:r>
            <w:proofErr w:type="spellEnd"/>
            <w:r w:rsidRPr="00C83AFD">
              <w:rPr>
                <w:rFonts w:ascii="Arial Narrow" w:hAnsi="Arial Narrow"/>
                <w:b/>
                <w:bCs/>
                <w:sz w:val="20"/>
                <w:szCs w:val="20"/>
                <w:lang w:eastAsia="en-US"/>
              </w:rPr>
              <w:t xml:space="preserve"> use in combination with insulin</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There is significant clinical need for diabetes therapies that reduce the harms associated with insulin up-titration while improving glycaemic control.</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 xml:space="preserve">This need is matched by the clinical profile of </w:t>
            </w:r>
            <w:proofErr w:type="spellStart"/>
            <w:r w:rsidRPr="00C83AFD">
              <w:rPr>
                <w:rFonts w:ascii="Arial Narrow" w:hAnsi="Arial Narrow" w:cs="Arial Narrow"/>
                <w:sz w:val="20"/>
                <w:szCs w:val="20"/>
                <w:lang w:eastAsia="en-US"/>
              </w:rPr>
              <w:t>sitagliptin</w:t>
            </w:r>
            <w:proofErr w:type="spellEnd"/>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Clinicians desire options for treating patients with insulin</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Importantly SGLT-2 inhibitors are not suitable for all patients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The efficacy of SGLT-2 drugs declines as renal insufficiency increases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Not all patients can tolerate SGLT-2 inhibitors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SGLT-2 inhibitors are associated with genital infections</w:t>
            </w:r>
          </w:p>
          <w:p w:rsidR="00BF7E72" w:rsidRPr="00C83AFD" w:rsidRDefault="00BF7E72" w:rsidP="00ED740F">
            <w:pPr>
              <w:keepNext/>
              <w:tabs>
                <w:tab w:val="left" w:pos="216"/>
                <w:tab w:val="num" w:pos="360"/>
              </w:tabs>
              <w:spacing w:before="40" w:after="40"/>
              <w:ind w:left="216" w:hanging="216"/>
              <w:jc w:val="both"/>
              <w:rPr>
                <w:rFonts w:ascii="Arial Narrow" w:hAnsi="Arial Narrow" w:cs="Arial Narrow"/>
                <w:sz w:val="20"/>
                <w:szCs w:val="20"/>
                <w:lang w:eastAsia="en-US"/>
              </w:rPr>
            </w:pPr>
            <w:r w:rsidRPr="00C83AFD">
              <w:rPr>
                <w:rFonts w:ascii="Arial Narrow" w:hAnsi="Arial Narrow" w:cs="Arial Narrow"/>
                <w:sz w:val="20"/>
                <w:szCs w:val="20"/>
                <w:lang w:eastAsia="en-US"/>
              </w:rPr>
              <w:t>TGA has issued a warning that SGLT-2 inhibitors are associated with serious cases of ketoacidosis</w:t>
            </w:r>
          </w:p>
          <w:p w:rsidR="00BF7E72" w:rsidRPr="00C83AFD" w:rsidRDefault="00BF7E72" w:rsidP="00ED740F">
            <w:pPr>
              <w:keepNext/>
              <w:tabs>
                <w:tab w:val="left" w:pos="216"/>
              </w:tabs>
              <w:spacing w:before="40" w:after="40"/>
              <w:ind w:left="216"/>
              <w:jc w:val="both"/>
              <w:rPr>
                <w:rFonts w:ascii="Arial Narrow" w:hAnsi="Arial Narrow" w:cs="Arial Narrow"/>
                <w:sz w:val="20"/>
                <w:szCs w:val="20"/>
                <w:lang w:eastAsia="en-US"/>
              </w:rPr>
            </w:pPr>
          </w:p>
        </w:tc>
      </w:tr>
    </w:tbl>
    <w:p w:rsidR="00BF7E72" w:rsidRPr="0043330D" w:rsidRDefault="00BF7E72" w:rsidP="00ED740F">
      <w:pPr>
        <w:ind w:firstLine="720"/>
        <w:jc w:val="both"/>
        <w:rPr>
          <w:rFonts w:ascii="Arial Narrow" w:hAnsi="Arial Narrow"/>
          <w:sz w:val="18"/>
          <w:szCs w:val="18"/>
        </w:rPr>
      </w:pPr>
      <w:r w:rsidRPr="000D722F">
        <w:rPr>
          <w:rFonts w:ascii="Arial Narrow" w:hAnsi="Arial Narrow"/>
          <w:sz w:val="18"/>
          <w:szCs w:val="18"/>
        </w:rPr>
        <w:t xml:space="preserve">Source: Minor </w:t>
      </w:r>
      <w:r w:rsidR="00450A59">
        <w:rPr>
          <w:rFonts w:ascii="Arial Narrow" w:hAnsi="Arial Narrow"/>
          <w:sz w:val="18"/>
          <w:szCs w:val="18"/>
        </w:rPr>
        <w:t>re</w:t>
      </w:r>
      <w:r w:rsidRPr="000D722F">
        <w:rPr>
          <w:rFonts w:ascii="Arial Narrow" w:hAnsi="Arial Narrow"/>
          <w:sz w:val="18"/>
          <w:szCs w:val="18"/>
        </w:rPr>
        <w:t>submission, pp7-8.</w:t>
      </w:r>
    </w:p>
    <w:p w:rsidR="00BF7E72" w:rsidRPr="00EF1E35" w:rsidRDefault="00BF7E72" w:rsidP="00ED740F">
      <w:pPr>
        <w:pStyle w:val="ListParagraph"/>
        <w:jc w:val="both"/>
        <w:rPr>
          <w:rFonts w:ascii="Arial" w:hAnsi="Arial"/>
          <w:color w:val="FF00FF"/>
          <w:sz w:val="22"/>
          <w:szCs w:val="22"/>
        </w:rPr>
      </w:pPr>
    </w:p>
    <w:p w:rsidR="000D4351" w:rsidRDefault="000D4351" w:rsidP="00ED740F">
      <w:pPr>
        <w:pStyle w:val="ListParagraph"/>
        <w:numPr>
          <w:ilvl w:val="1"/>
          <w:numId w:val="1"/>
        </w:numPr>
        <w:spacing w:after="240"/>
        <w:jc w:val="both"/>
        <w:rPr>
          <w:rFonts w:ascii="Arial" w:hAnsi="Arial"/>
          <w:sz w:val="22"/>
          <w:szCs w:val="22"/>
        </w:rPr>
      </w:pPr>
      <w:r>
        <w:rPr>
          <w:rFonts w:ascii="Arial" w:hAnsi="Arial"/>
          <w:sz w:val="22"/>
          <w:szCs w:val="22"/>
        </w:rPr>
        <w:t xml:space="preserve">The PBAC noted the minor resubmission’s claim that the reduction in HbA1c in the </w:t>
      </w:r>
      <w:proofErr w:type="spellStart"/>
      <w:r>
        <w:rPr>
          <w:rFonts w:ascii="Arial" w:hAnsi="Arial"/>
          <w:sz w:val="22"/>
          <w:szCs w:val="22"/>
        </w:rPr>
        <w:t>sitagliptin</w:t>
      </w:r>
      <w:proofErr w:type="spellEnd"/>
      <w:r>
        <w:rPr>
          <w:rFonts w:ascii="Arial" w:hAnsi="Arial"/>
          <w:sz w:val="22"/>
          <w:szCs w:val="22"/>
        </w:rPr>
        <w:t xml:space="preserve"> arm of P260 was significantly better than the </w:t>
      </w:r>
      <w:proofErr w:type="spellStart"/>
      <w:r>
        <w:rPr>
          <w:rFonts w:ascii="Arial" w:hAnsi="Arial"/>
          <w:sz w:val="22"/>
          <w:szCs w:val="22"/>
        </w:rPr>
        <w:t>sitagliptin</w:t>
      </w:r>
      <w:proofErr w:type="spellEnd"/>
      <w:r>
        <w:rPr>
          <w:rFonts w:ascii="Arial" w:hAnsi="Arial"/>
          <w:sz w:val="22"/>
          <w:szCs w:val="22"/>
        </w:rPr>
        <w:t xml:space="preserve"> arm of P051 or the dapagliflozin arm of Wilding.  The PBAC noted the comparison the across these three trials in table 2 below (reproduced from the July 2015 PBAC Minutes):</w:t>
      </w:r>
    </w:p>
    <w:p w:rsidR="000D4351" w:rsidRPr="00E570EA" w:rsidRDefault="000D4351" w:rsidP="00ED740F">
      <w:pPr>
        <w:keepNext/>
        <w:ind w:firstLine="720"/>
        <w:jc w:val="both"/>
        <w:rPr>
          <w:rFonts w:ascii="Arial Narrow" w:hAnsi="Arial Narrow" w:cs="Arial"/>
          <w:b/>
          <w:snapToGrid w:val="0"/>
          <w:sz w:val="20"/>
          <w:szCs w:val="16"/>
          <w:lang w:eastAsia="en-US"/>
        </w:rPr>
      </w:pPr>
      <w:r w:rsidRPr="00E570EA">
        <w:rPr>
          <w:rFonts w:ascii="Arial Narrow" w:hAnsi="Arial Narrow" w:cs="Arial"/>
          <w:b/>
          <w:snapToGrid w:val="0"/>
          <w:sz w:val="20"/>
          <w:szCs w:val="16"/>
          <w:lang w:eastAsia="en-US"/>
        </w:rPr>
        <w:t xml:space="preserve">Table </w:t>
      </w:r>
      <w:r>
        <w:rPr>
          <w:rFonts w:ascii="Arial Narrow" w:hAnsi="Arial Narrow" w:cs="Arial"/>
          <w:b/>
          <w:snapToGrid w:val="0"/>
          <w:sz w:val="20"/>
          <w:szCs w:val="16"/>
          <w:lang w:eastAsia="en-US"/>
        </w:rPr>
        <w:t>2</w:t>
      </w:r>
      <w:r w:rsidRPr="00E570EA">
        <w:rPr>
          <w:rFonts w:ascii="Arial Narrow" w:hAnsi="Arial Narrow" w:cs="Arial"/>
          <w:b/>
          <w:snapToGrid w:val="0"/>
          <w:sz w:val="20"/>
          <w:szCs w:val="16"/>
          <w:lang w:eastAsia="en-US"/>
        </w:rPr>
        <w:t xml:space="preserve">: Mean change in HbA1c from baseline </w:t>
      </w:r>
      <w:r w:rsidRPr="00E570EA">
        <w:rPr>
          <w:rFonts w:ascii="Arial Narrow" w:hAnsi="Arial Narrow" w:cs="Arial"/>
          <w:b/>
          <w:snapToGrid w:val="0"/>
          <w:sz w:val="20"/>
          <w:szCs w:val="20"/>
          <w:lang w:eastAsia="en-US"/>
        </w:rPr>
        <w:t>to end point, indirect comparison between treatments</w:t>
      </w:r>
      <w:r w:rsidRPr="00E570EA">
        <w:rPr>
          <w:rFonts w:ascii="Arial Narrow" w:hAnsi="Arial Narrow" w:cs="Arial"/>
          <w:b/>
          <w:snapToGrid w:val="0"/>
          <w:sz w:val="20"/>
          <w:szCs w:val="16"/>
          <w:lang w:eastAsia="en-US"/>
        </w:rPr>
        <w:t xml:space="preserve"> </w:t>
      </w:r>
    </w:p>
    <w:tbl>
      <w:tblPr>
        <w:tblStyle w:val="TableGrid"/>
        <w:tblW w:w="0" w:type="auto"/>
        <w:tblInd w:w="817" w:type="dxa"/>
        <w:tblLook w:val="04A0" w:firstRow="1" w:lastRow="0" w:firstColumn="1" w:lastColumn="0" w:noHBand="0" w:noVBand="1"/>
        <w:tblCaption w:val="Table 2: Comparative effectiveness - mean change in HbA1c from baseline to end point"/>
      </w:tblPr>
      <w:tblGrid>
        <w:gridCol w:w="1276"/>
        <w:gridCol w:w="879"/>
        <w:gridCol w:w="1134"/>
        <w:gridCol w:w="1134"/>
        <w:gridCol w:w="1956"/>
        <w:gridCol w:w="1984"/>
      </w:tblGrid>
      <w:tr w:rsidR="000D4351" w:rsidRPr="00E570EA" w:rsidTr="00686688">
        <w:trPr>
          <w:trHeight w:val="351"/>
          <w:tblHeader/>
        </w:trPr>
        <w:tc>
          <w:tcPr>
            <w:tcW w:w="2155" w:type="dxa"/>
            <w:gridSpan w:val="2"/>
            <w:vAlign w:val="bottom"/>
          </w:tcPr>
          <w:p w:rsidR="000D4351" w:rsidRPr="00E570EA" w:rsidRDefault="000D4351" w:rsidP="00ED740F">
            <w:pPr>
              <w:keepNext/>
              <w:keepLines/>
              <w:ind w:left="-80"/>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Treatment group</w:t>
            </w:r>
          </w:p>
        </w:tc>
        <w:tc>
          <w:tcPr>
            <w:tcW w:w="1134" w:type="dxa"/>
            <w:vAlign w:val="center"/>
          </w:tcPr>
          <w:p w:rsidR="000D4351" w:rsidRPr="00E570EA" w:rsidRDefault="000D4351" w:rsidP="00ED740F">
            <w:pPr>
              <w:keepNext/>
              <w:keepLines/>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 xml:space="preserve">Baseline HbA1c </w:t>
            </w:r>
          </w:p>
          <w:p w:rsidR="000D4351" w:rsidRPr="00E570EA" w:rsidRDefault="000D4351" w:rsidP="00ED740F">
            <w:pPr>
              <w:keepNext/>
              <w:keepLines/>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Mean (SD)</w:t>
            </w:r>
          </w:p>
        </w:tc>
        <w:tc>
          <w:tcPr>
            <w:tcW w:w="1134" w:type="dxa"/>
            <w:vAlign w:val="center"/>
          </w:tcPr>
          <w:p w:rsidR="000D4351" w:rsidRPr="00E570EA" w:rsidRDefault="000D4351" w:rsidP="00ED740F">
            <w:pPr>
              <w:keepNext/>
              <w:keepLines/>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Week 24 HbA1c</w:t>
            </w:r>
          </w:p>
          <w:p w:rsidR="000D4351" w:rsidRPr="00E570EA" w:rsidRDefault="000D4351" w:rsidP="00ED740F">
            <w:pPr>
              <w:keepNext/>
              <w:keepLines/>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Mean (SD)</w:t>
            </w:r>
          </w:p>
        </w:tc>
        <w:tc>
          <w:tcPr>
            <w:tcW w:w="1956" w:type="dxa"/>
            <w:vAlign w:val="center"/>
          </w:tcPr>
          <w:p w:rsidR="000D4351" w:rsidRPr="00E570EA" w:rsidRDefault="000D4351" w:rsidP="00ED740F">
            <w:pPr>
              <w:keepNext/>
              <w:keepLines/>
              <w:ind w:left="-65" w:right="-66"/>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LS mean change from baseline HbA1c</w:t>
            </w:r>
          </w:p>
          <w:p w:rsidR="000D4351" w:rsidRPr="00E570EA" w:rsidRDefault="000D4351" w:rsidP="00ED740F">
            <w:pPr>
              <w:keepNext/>
              <w:keepLines/>
              <w:ind w:left="-65" w:right="-66"/>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(95% CI)</w:t>
            </w:r>
          </w:p>
        </w:tc>
        <w:tc>
          <w:tcPr>
            <w:tcW w:w="1984" w:type="dxa"/>
            <w:vAlign w:val="center"/>
          </w:tcPr>
          <w:p w:rsidR="000D4351" w:rsidRPr="00E570EA" w:rsidRDefault="000D4351" w:rsidP="00ED740F">
            <w:pPr>
              <w:keepNext/>
              <w:keepLines/>
              <w:ind w:left="-65" w:right="-66"/>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Difference in LS mean change in HbA1c</w:t>
            </w:r>
          </w:p>
          <w:p w:rsidR="000D4351" w:rsidRPr="00E570EA" w:rsidRDefault="000D4351" w:rsidP="00ED740F">
            <w:pPr>
              <w:keepNext/>
              <w:keepLines/>
              <w:ind w:left="-65" w:right="-66"/>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(95% CI)</w:t>
            </w:r>
          </w:p>
        </w:tc>
      </w:tr>
      <w:tr w:rsidR="000D4351" w:rsidRPr="00E570EA" w:rsidTr="00763453">
        <w:tc>
          <w:tcPr>
            <w:tcW w:w="8363" w:type="dxa"/>
            <w:gridSpan w:val="6"/>
          </w:tcPr>
          <w:p w:rsidR="000D4351" w:rsidRPr="00E570EA" w:rsidRDefault="000D4351" w:rsidP="00ED740F">
            <w:pPr>
              <w:keepNext/>
              <w:ind w:left="-80"/>
              <w:jc w:val="both"/>
              <w:rPr>
                <w:rFonts w:ascii="Arial Narrow" w:hAnsi="Arial Narrow" w:cs="Arial"/>
                <w:b/>
                <w:snapToGrid w:val="0"/>
                <w:sz w:val="20"/>
                <w:szCs w:val="20"/>
                <w:lang w:eastAsia="en-US"/>
              </w:rPr>
            </w:pPr>
            <w:r w:rsidRPr="00E570EA">
              <w:rPr>
                <w:rFonts w:ascii="Arial Narrow" w:hAnsi="Arial Narrow" w:cs="Arial"/>
                <w:b/>
                <w:snapToGrid w:val="0"/>
                <w:sz w:val="20"/>
                <w:szCs w:val="20"/>
                <w:lang w:eastAsia="en-US"/>
              </w:rPr>
              <w:t>P051 (primary outcome)</w:t>
            </w:r>
          </w:p>
        </w:tc>
      </w:tr>
      <w:tr w:rsidR="000D4351" w:rsidRPr="00E570EA" w:rsidTr="00763453">
        <w:tc>
          <w:tcPr>
            <w:tcW w:w="2155" w:type="dxa"/>
            <w:gridSpan w:val="2"/>
          </w:tcPr>
          <w:p w:rsidR="000D4351" w:rsidRPr="00E570EA" w:rsidRDefault="000D4351" w:rsidP="00ED740F">
            <w:pPr>
              <w:keepNext/>
              <w:ind w:left="-80"/>
              <w:jc w:val="both"/>
              <w:rPr>
                <w:rFonts w:ascii="Arial Narrow" w:hAnsi="Arial Narrow"/>
                <w:snapToGrid w:val="0"/>
                <w:sz w:val="20"/>
                <w:szCs w:val="20"/>
                <w:lang w:eastAsia="en-US"/>
              </w:rPr>
            </w:pPr>
            <w:proofErr w:type="spellStart"/>
            <w:r w:rsidRPr="00E570EA">
              <w:rPr>
                <w:rFonts w:ascii="Arial Narrow" w:hAnsi="Arial Narrow"/>
                <w:snapToGrid w:val="0"/>
                <w:sz w:val="20"/>
                <w:szCs w:val="20"/>
                <w:lang w:eastAsia="en-US"/>
              </w:rPr>
              <w:t>Sitagliptin</w:t>
            </w:r>
            <w:proofErr w:type="spellEnd"/>
            <w:r w:rsidRPr="00E570EA">
              <w:rPr>
                <w:rFonts w:ascii="Arial Narrow" w:hAnsi="Arial Narrow"/>
                <w:snapToGrid w:val="0"/>
                <w:sz w:val="20"/>
                <w:szCs w:val="20"/>
                <w:lang w:eastAsia="en-US"/>
              </w:rPr>
              <w:t xml:space="preserve"> 100mg (n=305)</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8.72 (0.88)</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8.07 (1.04)</w:t>
            </w:r>
          </w:p>
        </w:tc>
        <w:tc>
          <w:tcPr>
            <w:tcW w:w="1956"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-0.</w:t>
            </w:r>
            <w:r w:rsidRPr="00E570EA">
              <w:rPr>
                <w:rFonts w:ascii="Arial Narrow" w:hAnsi="Arial Narrow" w:cs="Arial"/>
                <w:bCs/>
                <w:snapToGrid w:val="0"/>
                <w:sz w:val="20"/>
                <w:szCs w:val="20"/>
                <w:lang w:eastAsia="en-US"/>
              </w:rPr>
              <w:t>59</w:t>
            </w:r>
            <w:r w:rsidRPr="00E570EA">
              <w:rPr>
                <w:rFonts w:ascii="Arial Narrow" w:hAnsi="Arial Narrow" w:cs="Arial"/>
                <w:snapToGrid w:val="0"/>
                <w:sz w:val="20"/>
                <w:szCs w:val="20"/>
                <w:lang w:eastAsia="en-US"/>
              </w:rPr>
              <w:t xml:space="preserve"> (-0.7, -0.</w:t>
            </w:r>
            <w:r w:rsidRPr="00E570EA">
              <w:rPr>
                <w:rFonts w:ascii="Arial Narrow" w:hAnsi="Arial Narrow" w:cs="Arial"/>
                <w:bCs/>
                <w:snapToGrid w:val="0"/>
                <w:sz w:val="20"/>
                <w:szCs w:val="20"/>
                <w:lang w:eastAsia="en-US"/>
              </w:rPr>
              <w:t>48</w:t>
            </w:r>
            <w:r w:rsidRPr="00E570EA">
              <w:rPr>
                <w:rFonts w:ascii="Arial Narrow" w:hAnsi="Arial Narrow" w:cs="Arial"/>
                <w:snapToGrid w:val="0"/>
                <w:sz w:val="20"/>
                <w:szCs w:val="20"/>
                <w:lang w:eastAsia="en-US"/>
              </w:rPr>
              <w:t>)</w:t>
            </w:r>
          </w:p>
        </w:tc>
        <w:tc>
          <w:tcPr>
            <w:tcW w:w="1984" w:type="dxa"/>
            <w:vMerge w:val="restart"/>
            <w:vAlign w:val="center"/>
          </w:tcPr>
          <w:p w:rsidR="000D4351" w:rsidRPr="00E570EA" w:rsidRDefault="000D4351" w:rsidP="00ED740F">
            <w:pPr>
              <w:keepNext/>
              <w:tabs>
                <w:tab w:val="left" w:pos="416"/>
                <w:tab w:val="left" w:pos="582"/>
              </w:tabs>
              <w:spacing w:before="40" w:after="20"/>
              <w:jc w:val="both"/>
              <w:rPr>
                <w:rFonts w:ascii="Arial Narrow" w:hAnsi="Arial Narrow"/>
                <w:b/>
                <w:snapToGrid w:val="0"/>
                <w:sz w:val="20"/>
                <w:szCs w:val="20"/>
                <w:lang w:eastAsia="en-US"/>
              </w:rPr>
            </w:pPr>
            <w:r w:rsidRPr="00E570EA">
              <w:rPr>
                <w:rFonts w:ascii="Arial Narrow" w:hAnsi="Arial Narrow" w:cs="Arial"/>
                <w:b/>
                <w:snapToGrid w:val="0"/>
                <w:sz w:val="20"/>
                <w:szCs w:val="20"/>
                <w:lang w:eastAsia="en-US"/>
              </w:rPr>
              <w:t>-0.</w:t>
            </w:r>
            <w:r w:rsidRPr="00E570EA">
              <w:rPr>
                <w:rFonts w:ascii="Arial Narrow" w:hAnsi="Arial Narrow" w:cs="Arial"/>
                <w:b/>
                <w:bCs/>
                <w:snapToGrid w:val="0"/>
                <w:sz w:val="20"/>
                <w:szCs w:val="20"/>
                <w:lang w:eastAsia="en-US"/>
              </w:rPr>
              <w:t>56</w:t>
            </w:r>
            <w:r w:rsidRPr="00E570EA">
              <w:rPr>
                <w:rFonts w:ascii="Arial Narrow" w:hAnsi="Arial Narrow" w:cs="Arial"/>
                <w:b/>
                <w:snapToGrid w:val="0"/>
                <w:sz w:val="20"/>
                <w:szCs w:val="20"/>
                <w:lang w:eastAsia="en-US"/>
              </w:rPr>
              <w:t xml:space="preserve"> (-0.7, -0.</w:t>
            </w:r>
            <w:r w:rsidRPr="00E570EA">
              <w:rPr>
                <w:rFonts w:ascii="Arial Narrow" w:hAnsi="Arial Narrow" w:cs="Arial"/>
                <w:b/>
                <w:bCs/>
                <w:snapToGrid w:val="0"/>
                <w:sz w:val="20"/>
                <w:szCs w:val="20"/>
                <w:lang w:eastAsia="en-US"/>
              </w:rPr>
              <w:t>42</w:t>
            </w:r>
            <w:r w:rsidRPr="00E570EA">
              <w:rPr>
                <w:rFonts w:ascii="Arial Narrow" w:hAnsi="Arial Narrow" w:cs="Arial"/>
                <w:b/>
                <w:snapToGrid w:val="0"/>
                <w:sz w:val="20"/>
                <w:szCs w:val="20"/>
                <w:lang w:eastAsia="en-US"/>
              </w:rPr>
              <w:t xml:space="preserve">) </w:t>
            </w:r>
          </w:p>
        </w:tc>
      </w:tr>
      <w:tr w:rsidR="000D4351" w:rsidRPr="00E570EA" w:rsidTr="00763453">
        <w:tc>
          <w:tcPr>
            <w:tcW w:w="2155" w:type="dxa"/>
            <w:gridSpan w:val="2"/>
          </w:tcPr>
          <w:p w:rsidR="000D4351" w:rsidRPr="00E570EA" w:rsidRDefault="000D4351" w:rsidP="00ED740F">
            <w:pPr>
              <w:keepNext/>
              <w:ind w:left="-80"/>
              <w:jc w:val="both"/>
              <w:rPr>
                <w:rFonts w:ascii="Arial Narrow" w:hAnsi="Arial Narrow"/>
                <w:snapToGrid w:val="0"/>
                <w:sz w:val="20"/>
                <w:szCs w:val="20"/>
                <w:lang w:eastAsia="en-US"/>
              </w:rPr>
            </w:pPr>
            <w:r w:rsidRPr="00E570EA">
              <w:rPr>
                <w:rFonts w:ascii="Arial Narrow" w:hAnsi="Arial Narrow"/>
                <w:snapToGrid w:val="0"/>
                <w:sz w:val="20"/>
                <w:szCs w:val="20"/>
                <w:lang w:eastAsia="en-US"/>
              </w:rPr>
              <w:t>Placebo (n=312)</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8.64 (0.95)</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8.58 (1.17)</w:t>
            </w:r>
          </w:p>
        </w:tc>
        <w:tc>
          <w:tcPr>
            <w:tcW w:w="1956"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bCs/>
                <w:snapToGrid w:val="0"/>
                <w:sz w:val="20"/>
                <w:szCs w:val="20"/>
                <w:lang w:eastAsia="en-US"/>
              </w:rPr>
              <w:t>-0.03 (-0.14,0.08)</w:t>
            </w:r>
          </w:p>
        </w:tc>
        <w:tc>
          <w:tcPr>
            <w:tcW w:w="1984" w:type="dxa"/>
            <w:vMerge/>
          </w:tcPr>
          <w:p w:rsidR="000D4351" w:rsidRPr="00E570EA" w:rsidRDefault="000D4351" w:rsidP="00ED740F">
            <w:pPr>
              <w:keepNext/>
              <w:jc w:val="both"/>
              <w:rPr>
                <w:rFonts w:ascii="Arial Narrow" w:hAnsi="Arial Narrow"/>
                <w:snapToGrid w:val="0"/>
                <w:sz w:val="20"/>
                <w:szCs w:val="20"/>
                <w:lang w:eastAsia="en-US"/>
              </w:rPr>
            </w:pPr>
          </w:p>
        </w:tc>
      </w:tr>
      <w:tr w:rsidR="000D4351" w:rsidRPr="00E570EA" w:rsidTr="00763453">
        <w:tc>
          <w:tcPr>
            <w:tcW w:w="8363" w:type="dxa"/>
            <w:gridSpan w:val="6"/>
          </w:tcPr>
          <w:p w:rsidR="000D4351" w:rsidRPr="00E570EA" w:rsidRDefault="000D4351" w:rsidP="00ED740F">
            <w:pPr>
              <w:keepNext/>
              <w:ind w:left="-80"/>
              <w:jc w:val="both"/>
              <w:rPr>
                <w:rFonts w:ascii="Arial Narrow" w:hAnsi="Arial Narrow"/>
                <w:b/>
                <w:snapToGrid w:val="0"/>
                <w:sz w:val="20"/>
                <w:szCs w:val="20"/>
                <w:lang w:eastAsia="en-US"/>
              </w:rPr>
            </w:pPr>
            <w:r w:rsidRPr="00E570EA">
              <w:rPr>
                <w:rFonts w:ascii="Arial Narrow" w:hAnsi="Arial Narrow"/>
                <w:b/>
                <w:snapToGrid w:val="0"/>
                <w:sz w:val="20"/>
                <w:szCs w:val="20"/>
                <w:lang w:eastAsia="en-US"/>
              </w:rPr>
              <w:t>P260 (secondary outcome)</w:t>
            </w:r>
          </w:p>
        </w:tc>
      </w:tr>
      <w:tr w:rsidR="000D4351" w:rsidRPr="00E570EA" w:rsidTr="00763453">
        <w:tc>
          <w:tcPr>
            <w:tcW w:w="2155" w:type="dxa"/>
            <w:gridSpan w:val="2"/>
          </w:tcPr>
          <w:p w:rsidR="000D4351" w:rsidRPr="00E570EA" w:rsidRDefault="000D4351" w:rsidP="00ED740F">
            <w:pPr>
              <w:keepNext/>
              <w:ind w:left="-80"/>
              <w:jc w:val="both"/>
              <w:rPr>
                <w:rFonts w:ascii="Arial Narrow" w:hAnsi="Arial Narrow"/>
                <w:snapToGrid w:val="0"/>
                <w:sz w:val="20"/>
                <w:szCs w:val="20"/>
                <w:lang w:eastAsia="en-US"/>
              </w:rPr>
            </w:pPr>
            <w:proofErr w:type="spellStart"/>
            <w:r w:rsidRPr="00E570EA">
              <w:rPr>
                <w:rFonts w:ascii="Arial Narrow" w:hAnsi="Arial Narrow"/>
                <w:snapToGrid w:val="0"/>
                <w:sz w:val="20"/>
                <w:szCs w:val="20"/>
                <w:lang w:eastAsia="en-US"/>
              </w:rPr>
              <w:t>Sitagliptin</w:t>
            </w:r>
            <w:proofErr w:type="spellEnd"/>
            <w:r w:rsidRPr="00E570EA">
              <w:rPr>
                <w:rFonts w:ascii="Arial Narrow" w:hAnsi="Arial Narrow"/>
                <w:snapToGrid w:val="0"/>
                <w:sz w:val="20"/>
                <w:szCs w:val="20"/>
                <w:lang w:eastAsia="en-US"/>
              </w:rPr>
              <w:t xml:space="preserve"> 100mg (n=329)</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8.66 (0.98)</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7.34 (1.08)</w:t>
            </w:r>
          </w:p>
        </w:tc>
        <w:tc>
          <w:tcPr>
            <w:tcW w:w="1956"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-1.31 (-1.43, -1.20)</w:t>
            </w:r>
          </w:p>
        </w:tc>
        <w:tc>
          <w:tcPr>
            <w:tcW w:w="1984" w:type="dxa"/>
            <w:vMerge w:val="restart"/>
            <w:vAlign w:val="center"/>
          </w:tcPr>
          <w:p w:rsidR="000D4351" w:rsidRPr="00E570EA" w:rsidRDefault="000D4351" w:rsidP="00ED740F">
            <w:pPr>
              <w:keepNext/>
              <w:tabs>
                <w:tab w:val="left" w:pos="416"/>
                <w:tab w:val="left" w:pos="582"/>
              </w:tabs>
              <w:spacing w:before="40" w:after="20"/>
              <w:jc w:val="both"/>
              <w:rPr>
                <w:rFonts w:ascii="Arial Narrow" w:hAnsi="Arial Narrow"/>
                <w:b/>
                <w:snapToGrid w:val="0"/>
                <w:sz w:val="20"/>
                <w:szCs w:val="20"/>
                <w:lang w:eastAsia="en-US"/>
              </w:rPr>
            </w:pPr>
            <w:r w:rsidRPr="00E570EA">
              <w:rPr>
                <w:rFonts w:ascii="Arial Narrow" w:hAnsi="Arial Narrow" w:cs="Arial"/>
                <w:b/>
                <w:snapToGrid w:val="0"/>
                <w:sz w:val="20"/>
                <w:szCs w:val="20"/>
                <w:lang w:eastAsia="en-US"/>
              </w:rPr>
              <w:t>-0.45 (-0.60, -0.29)</w:t>
            </w:r>
          </w:p>
        </w:tc>
      </w:tr>
      <w:tr w:rsidR="000D4351" w:rsidRPr="00E570EA" w:rsidTr="00763453">
        <w:tc>
          <w:tcPr>
            <w:tcW w:w="2155" w:type="dxa"/>
            <w:gridSpan w:val="2"/>
          </w:tcPr>
          <w:p w:rsidR="000D4351" w:rsidRPr="00E570EA" w:rsidRDefault="000D4351" w:rsidP="00ED740F">
            <w:pPr>
              <w:keepNext/>
              <w:ind w:left="-80"/>
              <w:jc w:val="both"/>
              <w:rPr>
                <w:rFonts w:ascii="Arial Narrow" w:hAnsi="Arial Narrow"/>
                <w:snapToGrid w:val="0"/>
                <w:sz w:val="20"/>
                <w:szCs w:val="20"/>
                <w:lang w:eastAsia="en-US"/>
              </w:rPr>
            </w:pPr>
            <w:r w:rsidRPr="00E570EA">
              <w:rPr>
                <w:rFonts w:ascii="Arial Narrow" w:hAnsi="Arial Narrow"/>
                <w:snapToGrid w:val="0"/>
                <w:sz w:val="20"/>
                <w:szCs w:val="20"/>
                <w:lang w:eastAsia="en-US"/>
              </w:rPr>
              <w:t>Placebo (n=329)</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8.81 (1.03)</w:t>
            </w:r>
          </w:p>
        </w:tc>
        <w:tc>
          <w:tcPr>
            <w:tcW w:w="113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 xml:space="preserve">7.90 (1.21) </w:t>
            </w:r>
          </w:p>
        </w:tc>
        <w:tc>
          <w:tcPr>
            <w:tcW w:w="1956"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-0.87 (-0.98, -0.75)</w:t>
            </w:r>
          </w:p>
        </w:tc>
        <w:tc>
          <w:tcPr>
            <w:tcW w:w="1984" w:type="dxa"/>
            <w:vMerge/>
          </w:tcPr>
          <w:p w:rsidR="000D4351" w:rsidRPr="00E570EA" w:rsidRDefault="000D4351" w:rsidP="00ED740F">
            <w:pPr>
              <w:keepNext/>
              <w:jc w:val="both"/>
              <w:rPr>
                <w:rFonts w:ascii="Arial Narrow" w:hAnsi="Arial Narrow"/>
                <w:snapToGrid w:val="0"/>
                <w:sz w:val="20"/>
                <w:szCs w:val="20"/>
                <w:lang w:eastAsia="en-US"/>
              </w:rPr>
            </w:pPr>
          </w:p>
        </w:tc>
      </w:tr>
      <w:tr w:rsidR="000D4351" w:rsidRPr="00E570EA" w:rsidTr="00763453">
        <w:tc>
          <w:tcPr>
            <w:tcW w:w="8363" w:type="dxa"/>
            <w:gridSpan w:val="6"/>
          </w:tcPr>
          <w:p w:rsidR="000D4351" w:rsidRPr="00E570EA" w:rsidRDefault="000D4351" w:rsidP="00ED740F">
            <w:pPr>
              <w:keepNext/>
              <w:ind w:left="-80"/>
              <w:jc w:val="both"/>
              <w:rPr>
                <w:rFonts w:ascii="Arial Narrow" w:hAnsi="Arial Narrow"/>
                <w:b/>
                <w:snapToGrid w:val="0"/>
                <w:sz w:val="20"/>
                <w:szCs w:val="20"/>
                <w:lang w:eastAsia="en-US"/>
              </w:rPr>
            </w:pPr>
            <w:r w:rsidRPr="00E570EA">
              <w:rPr>
                <w:rFonts w:ascii="Arial Narrow" w:hAnsi="Arial Narrow"/>
                <w:b/>
                <w:snapToGrid w:val="0"/>
                <w:sz w:val="20"/>
                <w:szCs w:val="20"/>
                <w:lang w:eastAsia="en-US"/>
              </w:rPr>
              <w:t>Wilding 2012 (primary outcome)</w:t>
            </w:r>
          </w:p>
        </w:tc>
      </w:tr>
      <w:tr w:rsidR="000D4351" w:rsidRPr="00E570EA" w:rsidTr="00763453">
        <w:tc>
          <w:tcPr>
            <w:tcW w:w="2155" w:type="dxa"/>
            <w:gridSpan w:val="2"/>
            <w:tcBorders>
              <w:bottom w:val="single" w:sz="4" w:space="0" w:color="auto"/>
            </w:tcBorders>
          </w:tcPr>
          <w:p w:rsidR="000D4351" w:rsidRPr="00E570EA" w:rsidRDefault="000D4351" w:rsidP="00ED740F">
            <w:pPr>
              <w:keepNext/>
              <w:ind w:left="-80"/>
              <w:jc w:val="both"/>
              <w:rPr>
                <w:rFonts w:ascii="Arial Narrow" w:hAnsi="Arial Narrow"/>
                <w:snapToGrid w:val="0"/>
                <w:sz w:val="20"/>
                <w:szCs w:val="20"/>
                <w:lang w:eastAsia="en-US"/>
              </w:rPr>
            </w:pPr>
            <w:r w:rsidRPr="00E570EA">
              <w:rPr>
                <w:rFonts w:ascii="Arial Narrow" w:hAnsi="Arial Narrow"/>
                <w:snapToGrid w:val="0"/>
                <w:sz w:val="20"/>
                <w:szCs w:val="20"/>
                <w:lang w:eastAsia="en-US"/>
              </w:rPr>
              <w:t>Dapagliflozin 10mg (n=173)</w:t>
            </w:r>
          </w:p>
        </w:tc>
        <w:tc>
          <w:tcPr>
            <w:tcW w:w="1134" w:type="dxa"/>
            <w:tcBorders>
              <w:bottom w:val="sing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8.57 (0.82)</w:t>
            </w:r>
          </w:p>
        </w:tc>
        <w:tc>
          <w:tcPr>
            <w:tcW w:w="1134" w:type="dxa"/>
            <w:tcBorders>
              <w:bottom w:val="sing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NR</w:t>
            </w:r>
          </w:p>
        </w:tc>
        <w:tc>
          <w:tcPr>
            <w:tcW w:w="1956" w:type="dxa"/>
            <w:tcBorders>
              <w:bottom w:val="sing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-0.96 (NR)</w:t>
            </w:r>
          </w:p>
        </w:tc>
        <w:tc>
          <w:tcPr>
            <w:tcW w:w="1984" w:type="dxa"/>
            <w:vMerge w:val="restart"/>
            <w:tcBorders>
              <w:bottom w:val="double" w:sz="4" w:space="0" w:color="auto"/>
            </w:tcBorders>
            <w:vAlign w:val="center"/>
          </w:tcPr>
          <w:p w:rsidR="000D4351" w:rsidRPr="00E570EA" w:rsidRDefault="000D4351" w:rsidP="00ED740F">
            <w:pPr>
              <w:keepNext/>
              <w:tabs>
                <w:tab w:val="left" w:pos="416"/>
                <w:tab w:val="left" w:pos="582"/>
              </w:tabs>
              <w:spacing w:before="40" w:after="20"/>
              <w:jc w:val="both"/>
              <w:rPr>
                <w:rFonts w:ascii="Arial Narrow" w:hAnsi="Arial Narrow"/>
                <w:b/>
                <w:snapToGrid w:val="0"/>
                <w:sz w:val="20"/>
                <w:szCs w:val="20"/>
                <w:lang w:eastAsia="en-US"/>
              </w:rPr>
            </w:pPr>
            <w:r w:rsidRPr="00E570EA">
              <w:rPr>
                <w:rFonts w:ascii="Arial Narrow" w:hAnsi="Arial Narrow"/>
                <w:b/>
                <w:snapToGrid w:val="0"/>
                <w:sz w:val="20"/>
                <w:szCs w:val="20"/>
                <w:lang w:eastAsia="en-US"/>
              </w:rPr>
              <w:t>-0.57 (-0.72, -0.42)</w:t>
            </w:r>
          </w:p>
        </w:tc>
      </w:tr>
      <w:tr w:rsidR="000D4351" w:rsidRPr="00E570EA" w:rsidTr="00763453">
        <w:tc>
          <w:tcPr>
            <w:tcW w:w="2155" w:type="dxa"/>
            <w:gridSpan w:val="2"/>
            <w:tcBorders>
              <w:bottom w:val="double" w:sz="4" w:space="0" w:color="auto"/>
            </w:tcBorders>
          </w:tcPr>
          <w:p w:rsidR="000D4351" w:rsidRPr="00E570EA" w:rsidRDefault="000D4351" w:rsidP="00ED740F">
            <w:pPr>
              <w:keepNext/>
              <w:ind w:left="-80"/>
              <w:jc w:val="both"/>
              <w:rPr>
                <w:rFonts w:ascii="Arial Narrow" w:hAnsi="Arial Narrow"/>
                <w:snapToGrid w:val="0"/>
                <w:sz w:val="20"/>
                <w:szCs w:val="20"/>
                <w:lang w:eastAsia="en-US"/>
              </w:rPr>
            </w:pPr>
            <w:r w:rsidRPr="00E570EA">
              <w:rPr>
                <w:rFonts w:ascii="Arial Narrow" w:hAnsi="Arial Narrow"/>
                <w:snapToGrid w:val="0"/>
                <w:sz w:val="20"/>
                <w:szCs w:val="20"/>
                <w:lang w:eastAsia="en-US"/>
              </w:rPr>
              <w:t>Placebo (n=166)</w:t>
            </w:r>
          </w:p>
        </w:tc>
        <w:tc>
          <w:tcPr>
            <w:tcW w:w="1134" w:type="dxa"/>
            <w:tcBorders>
              <w:bottom w:val="doub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8.47 (0.77)</w:t>
            </w:r>
          </w:p>
        </w:tc>
        <w:tc>
          <w:tcPr>
            <w:tcW w:w="1134" w:type="dxa"/>
            <w:tcBorders>
              <w:bottom w:val="doub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NR</w:t>
            </w:r>
          </w:p>
        </w:tc>
        <w:tc>
          <w:tcPr>
            <w:tcW w:w="1956" w:type="dxa"/>
            <w:tcBorders>
              <w:bottom w:val="doub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snapToGrid w:val="0"/>
                <w:sz w:val="20"/>
                <w:szCs w:val="20"/>
                <w:lang w:eastAsia="en-US"/>
              </w:rPr>
              <w:t>-0.39 (NR)</w:t>
            </w:r>
          </w:p>
        </w:tc>
        <w:tc>
          <w:tcPr>
            <w:tcW w:w="1984" w:type="dxa"/>
            <w:vMerge/>
            <w:tcBorders>
              <w:bottom w:val="double" w:sz="4" w:space="0" w:color="auto"/>
            </w:tcBorders>
          </w:tcPr>
          <w:p w:rsidR="000D4351" w:rsidRPr="00E570EA" w:rsidRDefault="000D4351" w:rsidP="00ED740F">
            <w:pPr>
              <w:keepNext/>
              <w:jc w:val="both"/>
              <w:rPr>
                <w:rFonts w:ascii="Arial Narrow" w:hAnsi="Arial Narrow"/>
                <w:snapToGrid w:val="0"/>
                <w:sz w:val="20"/>
                <w:szCs w:val="20"/>
                <w:lang w:eastAsia="en-US"/>
              </w:rPr>
            </w:pPr>
          </w:p>
        </w:tc>
      </w:tr>
      <w:tr w:rsidR="000D4351" w:rsidRPr="00E570EA" w:rsidTr="00763453">
        <w:tc>
          <w:tcPr>
            <w:tcW w:w="1276" w:type="dxa"/>
            <w:vMerge w:val="restart"/>
            <w:tcBorders>
              <w:top w:val="double" w:sz="4" w:space="0" w:color="auto"/>
              <w:right w:val="nil"/>
            </w:tcBorders>
          </w:tcPr>
          <w:p w:rsidR="000D4351" w:rsidRPr="00E570EA" w:rsidRDefault="000D4351" w:rsidP="00ED740F">
            <w:pPr>
              <w:keepNext/>
              <w:jc w:val="both"/>
              <w:rPr>
                <w:rFonts w:ascii="Arial Narrow" w:hAnsi="Arial Narrow"/>
                <w:b/>
                <w:snapToGrid w:val="0"/>
                <w:sz w:val="20"/>
                <w:szCs w:val="20"/>
                <w:lang w:eastAsia="en-US"/>
              </w:rPr>
            </w:pPr>
            <w:r w:rsidRPr="00E570EA">
              <w:rPr>
                <w:rFonts w:ascii="Arial Narrow" w:hAnsi="Arial Narrow"/>
                <w:b/>
                <w:snapToGrid w:val="0"/>
                <w:sz w:val="20"/>
                <w:szCs w:val="20"/>
                <w:lang w:eastAsia="en-US"/>
              </w:rPr>
              <w:t>Indirect comparisons</w:t>
            </w:r>
          </w:p>
        </w:tc>
        <w:tc>
          <w:tcPr>
            <w:tcW w:w="5103" w:type="dxa"/>
            <w:gridSpan w:val="4"/>
            <w:tcBorders>
              <w:top w:val="double" w:sz="4" w:space="0" w:color="auto"/>
              <w:left w:val="nil"/>
              <w:bottom w:val="nil"/>
            </w:tcBorders>
          </w:tcPr>
          <w:p w:rsidR="000D4351" w:rsidRPr="00E570EA" w:rsidRDefault="000D4351" w:rsidP="00ED740F">
            <w:pPr>
              <w:keepNext/>
              <w:jc w:val="both"/>
              <w:rPr>
                <w:rFonts w:ascii="Arial Narrow" w:hAnsi="Arial Narrow"/>
                <w:snapToGrid w:val="0"/>
                <w:sz w:val="20"/>
                <w:szCs w:val="20"/>
                <w:lang w:eastAsia="en-US"/>
              </w:rPr>
            </w:pPr>
            <w:proofErr w:type="spellStart"/>
            <w:r w:rsidRPr="00E570EA">
              <w:rPr>
                <w:rFonts w:ascii="Arial Narrow" w:hAnsi="Arial Narrow"/>
                <w:snapToGrid w:val="0"/>
                <w:sz w:val="20"/>
                <w:szCs w:val="20"/>
                <w:lang w:eastAsia="en-US"/>
              </w:rPr>
              <w:t>Sitagliptin</w:t>
            </w:r>
            <w:proofErr w:type="spellEnd"/>
            <w:r w:rsidRPr="00E570EA">
              <w:rPr>
                <w:rFonts w:ascii="Arial Narrow" w:hAnsi="Arial Narrow"/>
                <w:snapToGrid w:val="0"/>
                <w:sz w:val="20"/>
                <w:szCs w:val="20"/>
                <w:lang w:eastAsia="en-US"/>
              </w:rPr>
              <w:t xml:space="preserve"> 100mg (P051) versus dapagliflozin 10mg (Wilding 2012)</w:t>
            </w:r>
          </w:p>
        </w:tc>
        <w:tc>
          <w:tcPr>
            <w:tcW w:w="1984" w:type="dxa"/>
            <w:tcBorders>
              <w:top w:val="double" w:sz="4" w:space="0" w:color="auto"/>
            </w:tcBorders>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0.01 (-0.195; 0.215)</w:t>
            </w:r>
          </w:p>
        </w:tc>
      </w:tr>
      <w:tr w:rsidR="000D4351" w:rsidRPr="00E570EA" w:rsidTr="00763453">
        <w:tc>
          <w:tcPr>
            <w:tcW w:w="1276" w:type="dxa"/>
            <w:vMerge/>
            <w:tcBorders>
              <w:right w:val="nil"/>
            </w:tcBorders>
          </w:tcPr>
          <w:p w:rsidR="000D4351" w:rsidRPr="00E570EA" w:rsidRDefault="000D4351" w:rsidP="00ED740F">
            <w:pPr>
              <w:keepNext/>
              <w:jc w:val="both"/>
              <w:rPr>
                <w:rFonts w:ascii="Arial Narrow" w:hAnsi="Arial Narrow"/>
                <w:snapToGrid w:val="0"/>
                <w:sz w:val="20"/>
                <w:szCs w:val="20"/>
                <w:lang w:eastAsia="en-US"/>
              </w:rPr>
            </w:pPr>
          </w:p>
        </w:tc>
        <w:tc>
          <w:tcPr>
            <w:tcW w:w="5103" w:type="dxa"/>
            <w:gridSpan w:val="4"/>
            <w:tcBorders>
              <w:top w:val="nil"/>
              <w:left w:val="nil"/>
            </w:tcBorders>
          </w:tcPr>
          <w:p w:rsidR="000D4351" w:rsidRPr="00E570EA" w:rsidRDefault="000D4351" w:rsidP="00ED740F">
            <w:pPr>
              <w:keepNext/>
              <w:jc w:val="both"/>
              <w:rPr>
                <w:rFonts w:ascii="Arial Narrow" w:hAnsi="Arial Narrow"/>
                <w:snapToGrid w:val="0"/>
                <w:sz w:val="20"/>
                <w:szCs w:val="20"/>
                <w:lang w:eastAsia="en-US"/>
              </w:rPr>
            </w:pPr>
            <w:proofErr w:type="spellStart"/>
            <w:r w:rsidRPr="00E570EA">
              <w:rPr>
                <w:rFonts w:ascii="Arial Narrow" w:hAnsi="Arial Narrow"/>
                <w:snapToGrid w:val="0"/>
                <w:sz w:val="20"/>
                <w:szCs w:val="20"/>
                <w:lang w:eastAsia="en-US"/>
              </w:rPr>
              <w:t>Sitagliptin</w:t>
            </w:r>
            <w:proofErr w:type="spellEnd"/>
            <w:r w:rsidRPr="00E570EA">
              <w:rPr>
                <w:rFonts w:ascii="Arial Narrow" w:hAnsi="Arial Narrow"/>
                <w:snapToGrid w:val="0"/>
                <w:sz w:val="20"/>
                <w:szCs w:val="20"/>
                <w:lang w:eastAsia="en-US"/>
              </w:rPr>
              <w:t xml:space="preserve"> 100mg (P260) versus dapagliflozin 10mg (Wilding 2012)</w:t>
            </w:r>
          </w:p>
        </w:tc>
        <w:tc>
          <w:tcPr>
            <w:tcW w:w="1984" w:type="dxa"/>
            <w:vAlign w:val="center"/>
          </w:tcPr>
          <w:p w:rsidR="000D4351" w:rsidRPr="00E570EA" w:rsidRDefault="000D4351" w:rsidP="00ED740F">
            <w:pPr>
              <w:keepNext/>
              <w:jc w:val="both"/>
              <w:rPr>
                <w:rFonts w:ascii="Arial Narrow" w:hAnsi="Arial Narrow"/>
                <w:snapToGrid w:val="0"/>
                <w:sz w:val="20"/>
                <w:szCs w:val="20"/>
                <w:lang w:eastAsia="en-US"/>
              </w:rPr>
            </w:pPr>
            <w:r w:rsidRPr="00E570EA">
              <w:rPr>
                <w:rFonts w:ascii="Arial Narrow" w:hAnsi="Arial Narrow" w:cs="Arial"/>
                <w:snapToGrid w:val="0"/>
                <w:sz w:val="20"/>
                <w:szCs w:val="20"/>
                <w:lang w:eastAsia="en-US"/>
              </w:rPr>
              <w:t>0.12 (-0.096; 0.336)</w:t>
            </w:r>
          </w:p>
        </w:tc>
      </w:tr>
    </w:tbl>
    <w:p w:rsidR="000D4351" w:rsidRPr="00E570EA" w:rsidRDefault="000D4351" w:rsidP="00ED740F">
      <w:pPr>
        <w:keepNext/>
        <w:ind w:left="709"/>
        <w:jc w:val="both"/>
        <w:rPr>
          <w:rFonts w:ascii="Arial Narrow" w:hAnsi="Arial Narrow" w:cs="Arial"/>
          <w:snapToGrid w:val="0"/>
          <w:sz w:val="18"/>
          <w:szCs w:val="18"/>
          <w:lang w:eastAsia="en-US"/>
        </w:rPr>
      </w:pPr>
      <w:r w:rsidRPr="00E570EA">
        <w:rPr>
          <w:rFonts w:ascii="Arial Narrow" w:hAnsi="Arial Narrow" w:cs="Arial"/>
          <w:snapToGrid w:val="0"/>
          <w:sz w:val="18"/>
          <w:szCs w:val="18"/>
          <w:lang w:eastAsia="en-US"/>
        </w:rPr>
        <w:t>Source: Tables B.6-1, p.88, Table B.6-5, p.95, Table B.6-8 p.97 and Table B.6-9, p.100 of the submission.</w:t>
      </w:r>
    </w:p>
    <w:p w:rsidR="000D4351" w:rsidRPr="00E570EA" w:rsidRDefault="000D4351" w:rsidP="00ED740F">
      <w:pPr>
        <w:keepNext/>
        <w:ind w:left="709"/>
        <w:jc w:val="both"/>
        <w:rPr>
          <w:rFonts w:ascii="Arial Narrow" w:hAnsi="Arial Narrow" w:cs="Arial"/>
          <w:snapToGrid w:val="0"/>
          <w:sz w:val="18"/>
          <w:szCs w:val="18"/>
          <w:lang w:eastAsia="en-US"/>
        </w:rPr>
      </w:pPr>
      <w:r w:rsidRPr="00E570EA">
        <w:rPr>
          <w:rFonts w:ascii="Arial Narrow" w:hAnsi="Arial Narrow" w:cs="Arial"/>
          <w:snapToGrid w:val="0"/>
          <w:sz w:val="18"/>
          <w:szCs w:val="18"/>
          <w:lang w:eastAsia="en-US"/>
        </w:rPr>
        <w:t>Abbreviations: SD standard deviation; LS least squares; CI confidence interval; NR not reported.</w:t>
      </w:r>
    </w:p>
    <w:p w:rsidR="000D4351" w:rsidRPr="00E570EA" w:rsidRDefault="000D4351" w:rsidP="00ED740F">
      <w:pPr>
        <w:ind w:left="709"/>
        <w:jc w:val="both"/>
        <w:rPr>
          <w:rFonts w:ascii="Arial Narrow" w:hAnsi="Arial Narrow" w:cs="Arial"/>
          <w:snapToGrid w:val="0"/>
          <w:sz w:val="18"/>
          <w:szCs w:val="18"/>
          <w:lang w:eastAsia="en-US"/>
        </w:rPr>
      </w:pPr>
      <w:r w:rsidRPr="00E570EA">
        <w:rPr>
          <w:rFonts w:ascii="Arial Narrow" w:hAnsi="Arial Narrow" w:cs="Arial"/>
          <w:snapToGrid w:val="0"/>
          <w:sz w:val="18"/>
          <w:szCs w:val="18"/>
          <w:lang w:eastAsia="en-US"/>
        </w:rPr>
        <w:t>Note: Statistically significant results in bold.</w:t>
      </w:r>
    </w:p>
    <w:p w:rsidR="000D4351" w:rsidRDefault="000D4351" w:rsidP="00ED740F">
      <w:pPr>
        <w:pStyle w:val="ListParagraph"/>
        <w:spacing w:after="240"/>
        <w:jc w:val="both"/>
        <w:rPr>
          <w:rFonts w:ascii="Arial" w:hAnsi="Arial"/>
          <w:sz w:val="22"/>
          <w:szCs w:val="22"/>
        </w:rPr>
      </w:pPr>
    </w:p>
    <w:p w:rsidR="000D4351" w:rsidRPr="00B33540" w:rsidRDefault="000D4351" w:rsidP="00ED740F">
      <w:pPr>
        <w:pStyle w:val="ListParagraph"/>
        <w:numPr>
          <w:ilvl w:val="1"/>
          <w:numId w:val="1"/>
        </w:numPr>
        <w:spacing w:after="240"/>
        <w:jc w:val="both"/>
        <w:rPr>
          <w:rFonts w:ascii="Arial" w:hAnsi="Arial"/>
          <w:sz w:val="22"/>
          <w:szCs w:val="22"/>
        </w:rPr>
      </w:pPr>
      <w:r>
        <w:rPr>
          <w:rFonts w:ascii="Arial" w:hAnsi="Arial"/>
          <w:sz w:val="22"/>
          <w:szCs w:val="22"/>
        </w:rPr>
        <w:t xml:space="preserve">The PBAC noted that </w:t>
      </w:r>
      <w:r w:rsidR="00B33540">
        <w:rPr>
          <w:rFonts w:ascii="Arial" w:hAnsi="Arial"/>
          <w:sz w:val="22"/>
          <w:szCs w:val="22"/>
        </w:rPr>
        <w:t>despite</w:t>
      </w:r>
      <w:r>
        <w:rPr>
          <w:rFonts w:ascii="Arial" w:hAnsi="Arial"/>
          <w:sz w:val="22"/>
          <w:szCs w:val="22"/>
        </w:rPr>
        <w:t xml:space="preserve"> the sponsor’s claim that HbA1c reduction was significantly better in the </w:t>
      </w:r>
      <w:proofErr w:type="spellStart"/>
      <w:r w:rsidRPr="00B33540">
        <w:rPr>
          <w:rFonts w:ascii="Arial" w:hAnsi="Arial"/>
          <w:sz w:val="22"/>
          <w:szCs w:val="22"/>
        </w:rPr>
        <w:t>sitagliptin</w:t>
      </w:r>
      <w:proofErr w:type="spellEnd"/>
      <w:r w:rsidRPr="00B33540">
        <w:rPr>
          <w:rFonts w:ascii="Arial" w:hAnsi="Arial"/>
          <w:sz w:val="22"/>
          <w:szCs w:val="22"/>
        </w:rPr>
        <w:t xml:space="preserve"> arm of P260, the difference in LS mean change in HbA1c</w:t>
      </w:r>
      <w:r w:rsidR="00B33540" w:rsidRPr="00B33540">
        <w:rPr>
          <w:rFonts w:ascii="Arial" w:hAnsi="Arial"/>
          <w:sz w:val="22"/>
          <w:szCs w:val="22"/>
        </w:rPr>
        <w:t xml:space="preserve"> for </w:t>
      </w:r>
      <w:r w:rsidR="00B33540">
        <w:rPr>
          <w:rFonts w:ascii="Arial" w:hAnsi="Arial"/>
          <w:sz w:val="22"/>
          <w:szCs w:val="22"/>
        </w:rPr>
        <w:t xml:space="preserve">the </w:t>
      </w:r>
      <w:proofErr w:type="spellStart"/>
      <w:r w:rsidR="00B33540">
        <w:rPr>
          <w:rFonts w:ascii="Arial" w:hAnsi="Arial"/>
          <w:sz w:val="22"/>
          <w:szCs w:val="22"/>
        </w:rPr>
        <w:t>sitagliptin</w:t>
      </w:r>
      <w:proofErr w:type="spellEnd"/>
      <w:r w:rsidR="00B33540">
        <w:rPr>
          <w:rFonts w:ascii="Arial" w:hAnsi="Arial"/>
          <w:sz w:val="22"/>
          <w:szCs w:val="22"/>
        </w:rPr>
        <w:t xml:space="preserve"> arm in </w:t>
      </w:r>
      <w:r w:rsidR="00B33540" w:rsidRPr="00B33540">
        <w:rPr>
          <w:rFonts w:ascii="Arial" w:hAnsi="Arial"/>
          <w:sz w:val="22"/>
          <w:szCs w:val="22"/>
        </w:rPr>
        <w:t xml:space="preserve">P260 [-0.45 (-0.60, -0.29)] was lower than for the </w:t>
      </w:r>
      <w:proofErr w:type="spellStart"/>
      <w:r w:rsidR="00B33540" w:rsidRPr="00B33540">
        <w:rPr>
          <w:rFonts w:ascii="Arial" w:hAnsi="Arial"/>
          <w:sz w:val="22"/>
          <w:szCs w:val="22"/>
        </w:rPr>
        <w:lastRenderedPageBreak/>
        <w:t>sitagliptin</w:t>
      </w:r>
      <w:proofErr w:type="spellEnd"/>
      <w:r w:rsidR="00B33540" w:rsidRPr="00B33540">
        <w:rPr>
          <w:rFonts w:ascii="Arial" w:hAnsi="Arial"/>
          <w:sz w:val="22"/>
          <w:szCs w:val="22"/>
        </w:rPr>
        <w:t xml:space="preserve"> arm of P051 [-0.</w:t>
      </w:r>
      <w:r w:rsidR="00B33540" w:rsidRPr="00B33540">
        <w:rPr>
          <w:rFonts w:ascii="Arial" w:hAnsi="Arial"/>
          <w:bCs/>
          <w:sz w:val="22"/>
          <w:szCs w:val="22"/>
        </w:rPr>
        <w:t>56</w:t>
      </w:r>
      <w:r w:rsidR="00B33540" w:rsidRPr="00B33540">
        <w:rPr>
          <w:rFonts w:ascii="Arial" w:hAnsi="Arial"/>
          <w:sz w:val="22"/>
          <w:szCs w:val="22"/>
        </w:rPr>
        <w:t xml:space="preserve"> (-0.7, -0.</w:t>
      </w:r>
      <w:r w:rsidR="00B33540" w:rsidRPr="00B33540">
        <w:rPr>
          <w:rFonts w:ascii="Arial" w:hAnsi="Arial"/>
          <w:bCs/>
          <w:sz w:val="22"/>
          <w:szCs w:val="22"/>
        </w:rPr>
        <w:t>42</w:t>
      </w:r>
      <w:r w:rsidR="00B33540" w:rsidRPr="00B33540">
        <w:rPr>
          <w:rFonts w:ascii="Arial" w:hAnsi="Arial"/>
          <w:sz w:val="22"/>
          <w:szCs w:val="22"/>
        </w:rPr>
        <w:t>)] and for the dapagliflozin 10mg arm of Wilding [-0.57 (-0.72, -0.42)].</w:t>
      </w:r>
    </w:p>
    <w:p w:rsidR="000D4351" w:rsidRPr="000F6A99" w:rsidRDefault="000D4351" w:rsidP="004A3973">
      <w:pPr>
        <w:pStyle w:val="Heading2"/>
      </w:pPr>
      <w:r w:rsidRPr="000F6A99">
        <w:t>Comparative harms</w:t>
      </w:r>
    </w:p>
    <w:p w:rsidR="000D4351" w:rsidRDefault="000D4351" w:rsidP="00ED740F">
      <w:pPr>
        <w:pStyle w:val="ListParagraph"/>
        <w:spacing w:after="240"/>
        <w:jc w:val="both"/>
        <w:rPr>
          <w:rFonts w:ascii="Arial" w:hAnsi="Arial"/>
          <w:sz w:val="22"/>
          <w:szCs w:val="22"/>
        </w:rPr>
      </w:pPr>
    </w:p>
    <w:p w:rsidR="00BA3B68" w:rsidRDefault="002F4A33" w:rsidP="00ED740F">
      <w:pPr>
        <w:pStyle w:val="ListParagraph"/>
        <w:numPr>
          <w:ilvl w:val="1"/>
          <w:numId w:val="1"/>
        </w:numPr>
        <w:spacing w:after="240"/>
        <w:jc w:val="both"/>
        <w:rPr>
          <w:rFonts w:ascii="Arial" w:hAnsi="Arial"/>
          <w:sz w:val="22"/>
          <w:szCs w:val="22"/>
        </w:rPr>
      </w:pPr>
      <w:r w:rsidRPr="00AA7A3E">
        <w:rPr>
          <w:rFonts w:ascii="Arial" w:hAnsi="Arial"/>
          <w:sz w:val="22"/>
          <w:szCs w:val="22"/>
        </w:rPr>
        <w:t xml:space="preserve">The comparative safety profile of </w:t>
      </w:r>
      <w:proofErr w:type="spellStart"/>
      <w:r w:rsidRPr="00AA7A3E">
        <w:rPr>
          <w:rFonts w:ascii="Arial" w:hAnsi="Arial"/>
          <w:sz w:val="22"/>
          <w:szCs w:val="22"/>
        </w:rPr>
        <w:t>sitagliptin</w:t>
      </w:r>
      <w:proofErr w:type="spellEnd"/>
      <w:r w:rsidRPr="00AA7A3E">
        <w:rPr>
          <w:rFonts w:ascii="Arial" w:hAnsi="Arial"/>
          <w:sz w:val="22"/>
          <w:szCs w:val="22"/>
        </w:rPr>
        <w:t xml:space="preserve"> remains unchanged from the previous major submission considered in July 2015. The PBAC previously considered that </w:t>
      </w:r>
      <w:proofErr w:type="spellStart"/>
      <w:r w:rsidRPr="00AA7A3E">
        <w:rPr>
          <w:rFonts w:ascii="Arial" w:hAnsi="Arial"/>
          <w:sz w:val="22"/>
          <w:szCs w:val="22"/>
        </w:rPr>
        <w:t>sitagliptin</w:t>
      </w:r>
      <w:proofErr w:type="spellEnd"/>
      <w:r w:rsidRPr="00AA7A3E">
        <w:rPr>
          <w:rFonts w:ascii="Arial" w:hAnsi="Arial"/>
          <w:sz w:val="22"/>
          <w:szCs w:val="22"/>
        </w:rPr>
        <w:t xml:space="preserve"> has a different, but not worse, safety profile than dapagliflozin as measured by the occurrence of adverse events, significant adverse events and discontinuations due to adverse events. </w:t>
      </w:r>
    </w:p>
    <w:p w:rsidR="00B056DC" w:rsidRDefault="00B056DC" w:rsidP="00ED740F">
      <w:pPr>
        <w:pStyle w:val="ListParagraph"/>
        <w:spacing w:after="240"/>
        <w:jc w:val="both"/>
        <w:rPr>
          <w:rFonts w:ascii="Arial" w:hAnsi="Arial"/>
          <w:sz w:val="22"/>
          <w:szCs w:val="22"/>
        </w:rPr>
      </w:pPr>
    </w:p>
    <w:p w:rsidR="00A628CA" w:rsidRPr="00A628CA" w:rsidRDefault="00B056DC" w:rsidP="00ED740F">
      <w:pPr>
        <w:pStyle w:val="ListParagraph"/>
        <w:numPr>
          <w:ilvl w:val="1"/>
          <w:numId w:val="1"/>
        </w:numPr>
        <w:spacing w:after="240"/>
        <w:jc w:val="both"/>
        <w:rPr>
          <w:rFonts w:ascii="Arial" w:hAnsi="Arial"/>
          <w:b/>
          <w:i/>
          <w:sz w:val="22"/>
          <w:szCs w:val="22"/>
        </w:rPr>
      </w:pPr>
      <w:r w:rsidRPr="006720EC">
        <w:rPr>
          <w:rFonts w:ascii="Arial" w:hAnsi="Arial"/>
          <w:sz w:val="22"/>
          <w:szCs w:val="22"/>
        </w:rPr>
        <w:t xml:space="preserve">The PBAC noted the sponsor’s assertion that </w:t>
      </w:r>
      <w:r w:rsidRPr="006720EC">
        <w:rPr>
          <w:rFonts w:ascii="Arial" w:hAnsi="Arial"/>
          <w:i/>
          <w:sz w:val="22"/>
          <w:szCs w:val="22"/>
        </w:rPr>
        <w:t>“</w:t>
      </w:r>
      <w:r w:rsidR="006720EC" w:rsidRPr="006720EC">
        <w:rPr>
          <w:rFonts w:ascii="Arial" w:hAnsi="Arial"/>
          <w:i/>
          <w:sz w:val="22"/>
          <w:szCs w:val="22"/>
        </w:rPr>
        <w:t>… [</w:t>
      </w:r>
      <w:r w:rsidRPr="006720EC">
        <w:rPr>
          <w:rFonts w:ascii="Arial" w:hAnsi="Arial"/>
          <w:i/>
          <w:sz w:val="22"/>
          <w:szCs w:val="22"/>
        </w:rPr>
        <w:t>p]</w:t>
      </w:r>
      <w:proofErr w:type="spellStart"/>
      <w:r w:rsidRPr="006720EC">
        <w:rPr>
          <w:rFonts w:ascii="Arial" w:hAnsi="Arial"/>
          <w:i/>
          <w:sz w:val="22"/>
          <w:szCs w:val="22"/>
        </w:rPr>
        <w:t>atients</w:t>
      </w:r>
      <w:proofErr w:type="spellEnd"/>
      <w:r w:rsidRPr="006720EC">
        <w:rPr>
          <w:rFonts w:ascii="Arial" w:hAnsi="Arial"/>
          <w:i/>
          <w:sz w:val="22"/>
          <w:szCs w:val="22"/>
        </w:rPr>
        <w:t xml:space="preserve"> in the </w:t>
      </w:r>
      <w:proofErr w:type="spellStart"/>
      <w:r w:rsidRPr="006720EC">
        <w:rPr>
          <w:rFonts w:ascii="Arial" w:hAnsi="Arial"/>
          <w:i/>
          <w:sz w:val="22"/>
          <w:szCs w:val="22"/>
        </w:rPr>
        <w:t>sitagliptin</w:t>
      </w:r>
      <w:proofErr w:type="spellEnd"/>
      <w:r w:rsidRPr="006720EC">
        <w:rPr>
          <w:rFonts w:ascii="Arial" w:hAnsi="Arial"/>
          <w:i/>
          <w:sz w:val="22"/>
          <w:szCs w:val="22"/>
        </w:rPr>
        <w:t xml:space="preserve"> arm</w:t>
      </w:r>
      <w:r w:rsidR="006720EC" w:rsidRPr="006720EC">
        <w:rPr>
          <w:rFonts w:ascii="Arial" w:hAnsi="Arial"/>
          <w:i/>
          <w:sz w:val="22"/>
          <w:szCs w:val="22"/>
        </w:rPr>
        <w:t>… experienced</w:t>
      </w:r>
      <w:r w:rsidRPr="006720EC">
        <w:rPr>
          <w:rFonts w:ascii="Arial" w:hAnsi="Arial"/>
          <w:i/>
          <w:sz w:val="22"/>
          <w:szCs w:val="22"/>
        </w:rPr>
        <w:t xml:space="preserve"> significantly less hypoglycaemia and less weight gain</w:t>
      </w:r>
      <w:r w:rsidR="006720EC">
        <w:rPr>
          <w:rFonts w:ascii="Arial" w:hAnsi="Arial"/>
          <w:i/>
          <w:sz w:val="22"/>
          <w:szCs w:val="22"/>
        </w:rPr>
        <w:t>…”</w:t>
      </w:r>
      <w:r w:rsidRPr="006720EC">
        <w:rPr>
          <w:rFonts w:ascii="Arial" w:hAnsi="Arial"/>
          <w:i/>
          <w:sz w:val="22"/>
          <w:szCs w:val="22"/>
        </w:rPr>
        <w:t xml:space="preserve"> </w:t>
      </w:r>
      <w:r w:rsidRPr="006720EC">
        <w:rPr>
          <w:rFonts w:ascii="Arial" w:hAnsi="Arial"/>
          <w:sz w:val="22"/>
          <w:szCs w:val="22"/>
        </w:rPr>
        <w:t>than patients in the placebo arm</w:t>
      </w:r>
      <w:r w:rsidR="006720EC" w:rsidRPr="006720EC">
        <w:rPr>
          <w:rFonts w:ascii="Arial" w:hAnsi="Arial"/>
          <w:sz w:val="22"/>
          <w:szCs w:val="22"/>
        </w:rPr>
        <w:t>.</w:t>
      </w:r>
    </w:p>
    <w:p w:rsidR="00A628CA" w:rsidRPr="00A628CA" w:rsidRDefault="00A628CA" w:rsidP="00ED740F">
      <w:pPr>
        <w:pStyle w:val="ListParagraph"/>
        <w:jc w:val="both"/>
        <w:rPr>
          <w:rFonts w:ascii="Arial" w:hAnsi="Arial"/>
          <w:sz w:val="22"/>
          <w:szCs w:val="22"/>
        </w:rPr>
      </w:pPr>
    </w:p>
    <w:p w:rsidR="006720EC" w:rsidRPr="00A628CA" w:rsidRDefault="006720EC" w:rsidP="00ED740F">
      <w:pPr>
        <w:pStyle w:val="ListParagraph"/>
        <w:numPr>
          <w:ilvl w:val="1"/>
          <w:numId w:val="1"/>
        </w:numPr>
        <w:spacing w:after="240"/>
        <w:jc w:val="both"/>
        <w:rPr>
          <w:rFonts w:ascii="Arial" w:hAnsi="Arial"/>
          <w:b/>
          <w:i/>
          <w:sz w:val="22"/>
          <w:szCs w:val="22"/>
        </w:rPr>
      </w:pPr>
      <w:r>
        <w:rPr>
          <w:rFonts w:ascii="Arial" w:hAnsi="Arial"/>
          <w:sz w:val="22"/>
          <w:szCs w:val="22"/>
        </w:rPr>
        <w:t xml:space="preserve">The PBAC noted that in trial P051, </w:t>
      </w:r>
      <w:r w:rsidRPr="006720EC">
        <w:rPr>
          <w:rFonts w:ascii="Arial" w:hAnsi="Arial"/>
          <w:i/>
          <w:sz w:val="22"/>
          <w:szCs w:val="22"/>
        </w:rPr>
        <w:t xml:space="preserve">“…the incidence of symptomatic hypoglycaemia was significantly (p=0.003) increased in patients treated with </w:t>
      </w:r>
      <w:proofErr w:type="spellStart"/>
      <w:r w:rsidRPr="006720EC">
        <w:rPr>
          <w:rFonts w:ascii="Arial" w:hAnsi="Arial"/>
          <w:i/>
          <w:sz w:val="22"/>
          <w:szCs w:val="22"/>
        </w:rPr>
        <w:t>sitagliptin</w:t>
      </w:r>
      <w:proofErr w:type="spellEnd"/>
      <w:r w:rsidRPr="006720EC">
        <w:rPr>
          <w:rFonts w:ascii="Arial" w:hAnsi="Arial"/>
          <w:i/>
          <w:sz w:val="22"/>
          <w:szCs w:val="22"/>
        </w:rPr>
        <w:t xml:space="preserve"> [16% (50/322)] compared with those treated with placebo [8% (25/319)].”</w:t>
      </w:r>
      <w:r>
        <w:rPr>
          <w:rFonts w:ascii="Arial" w:hAnsi="Arial"/>
          <w:i/>
          <w:sz w:val="22"/>
          <w:szCs w:val="22"/>
        </w:rPr>
        <w:t xml:space="preserve">  </w:t>
      </w:r>
      <w:r>
        <w:rPr>
          <w:rFonts w:ascii="Arial" w:hAnsi="Arial"/>
          <w:sz w:val="22"/>
          <w:szCs w:val="22"/>
        </w:rPr>
        <w:t xml:space="preserve">The PBAC also noted that trial P051 reported that the, </w:t>
      </w:r>
      <w:r w:rsidRPr="006720EC">
        <w:rPr>
          <w:rFonts w:ascii="Arial" w:hAnsi="Arial"/>
          <w:i/>
          <w:sz w:val="22"/>
          <w:szCs w:val="22"/>
        </w:rPr>
        <w:t xml:space="preserve">“…addition of </w:t>
      </w:r>
      <w:proofErr w:type="spellStart"/>
      <w:r w:rsidRPr="006720EC">
        <w:rPr>
          <w:rFonts w:ascii="Arial" w:hAnsi="Arial"/>
          <w:i/>
          <w:sz w:val="22"/>
          <w:szCs w:val="22"/>
        </w:rPr>
        <w:t>sitagliptin</w:t>
      </w:r>
      <w:proofErr w:type="spellEnd"/>
      <w:r w:rsidRPr="006720EC">
        <w:rPr>
          <w:rFonts w:ascii="Arial" w:hAnsi="Arial"/>
          <w:i/>
          <w:sz w:val="22"/>
          <w:szCs w:val="22"/>
        </w:rPr>
        <w:t xml:space="preserve"> to ongoing insulin therapy did not result in a significant change in body weight compared with placebo.”</w:t>
      </w:r>
      <w:r>
        <w:rPr>
          <w:rFonts w:ascii="Arial" w:hAnsi="Arial"/>
          <w:sz w:val="22"/>
          <w:szCs w:val="22"/>
        </w:rPr>
        <w:t xml:space="preserve">  The LS mean changes in body weight at week 24 from baseline were 0.1kg (-0.2, 0.4) for </w:t>
      </w:r>
      <w:proofErr w:type="spellStart"/>
      <w:r>
        <w:rPr>
          <w:rFonts w:ascii="Arial" w:hAnsi="Arial"/>
          <w:sz w:val="22"/>
          <w:szCs w:val="22"/>
        </w:rPr>
        <w:t>sitagliptin</w:t>
      </w:r>
      <w:proofErr w:type="spellEnd"/>
      <w:r>
        <w:rPr>
          <w:rFonts w:ascii="Arial" w:hAnsi="Arial"/>
          <w:sz w:val="22"/>
          <w:szCs w:val="22"/>
        </w:rPr>
        <w:t xml:space="preserve"> and 0.1kg (-0.3, 0.4) for placebo</w:t>
      </w:r>
      <w:r w:rsidR="00A628CA">
        <w:rPr>
          <w:rFonts w:ascii="Arial" w:hAnsi="Arial"/>
          <w:sz w:val="22"/>
          <w:szCs w:val="22"/>
        </w:rPr>
        <w:t>.</w:t>
      </w:r>
    </w:p>
    <w:p w:rsidR="00A628CA" w:rsidRPr="00A628CA" w:rsidRDefault="00A628CA" w:rsidP="00ED740F">
      <w:pPr>
        <w:pStyle w:val="ListParagraph"/>
        <w:jc w:val="both"/>
        <w:rPr>
          <w:rFonts w:ascii="Arial" w:hAnsi="Arial"/>
          <w:b/>
          <w:i/>
          <w:sz w:val="22"/>
          <w:szCs w:val="22"/>
        </w:rPr>
      </w:pPr>
    </w:p>
    <w:p w:rsidR="00A628CA" w:rsidRPr="006720EC" w:rsidRDefault="00A628CA" w:rsidP="00ED740F">
      <w:pPr>
        <w:pStyle w:val="ListParagraph"/>
        <w:numPr>
          <w:ilvl w:val="1"/>
          <w:numId w:val="1"/>
        </w:numPr>
        <w:spacing w:after="240"/>
        <w:jc w:val="both"/>
        <w:rPr>
          <w:rFonts w:ascii="Arial" w:hAnsi="Arial"/>
          <w:b/>
          <w:i/>
          <w:sz w:val="22"/>
          <w:szCs w:val="22"/>
        </w:rPr>
      </w:pPr>
      <w:r>
        <w:rPr>
          <w:rFonts w:ascii="Arial" w:hAnsi="Arial"/>
          <w:sz w:val="22"/>
          <w:szCs w:val="22"/>
        </w:rPr>
        <w:t xml:space="preserve">In contrast to the results of trial P051, the incidence of hypoglycaemia in P260 was lower in patients treated with </w:t>
      </w:r>
      <w:proofErr w:type="spellStart"/>
      <w:r>
        <w:rPr>
          <w:rFonts w:ascii="Arial" w:hAnsi="Arial"/>
          <w:sz w:val="22"/>
          <w:szCs w:val="22"/>
        </w:rPr>
        <w:t>sitagliptin</w:t>
      </w:r>
      <w:proofErr w:type="spellEnd"/>
      <w:r>
        <w:rPr>
          <w:rFonts w:ascii="Arial" w:hAnsi="Arial"/>
          <w:sz w:val="22"/>
          <w:szCs w:val="22"/>
        </w:rPr>
        <w:t xml:space="preserve"> (93, 28.3%) compared with placebo (144, (43.8%).  </w:t>
      </w:r>
      <w:r w:rsidR="00D254AE">
        <w:rPr>
          <w:rFonts w:ascii="Arial" w:hAnsi="Arial"/>
          <w:sz w:val="22"/>
          <w:szCs w:val="22"/>
        </w:rPr>
        <w:t xml:space="preserve">The PBAC noted that no definition of hypoglycaemic events was given in P260.  </w:t>
      </w:r>
      <w:r>
        <w:rPr>
          <w:rFonts w:ascii="Arial" w:hAnsi="Arial"/>
          <w:sz w:val="22"/>
          <w:szCs w:val="22"/>
        </w:rPr>
        <w:t>For change in body weight from baseline at week 24</w:t>
      </w:r>
      <w:r w:rsidR="00D254AE">
        <w:rPr>
          <w:rFonts w:ascii="Arial" w:hAnsi="Arial"/>
          <w:sz w:val="22"/>
          <w:szCs w:val="22"/>
        </w:rPr>
        <w:t>, trial P260 reported that, “…small increases in body weight were observed in both treatment groups, with a slightly greater increase in the placebo group, but with the 95% CI around the between-group difference including ‘0’”.</w:t>
      </w:r>
    </w:p>
    <w:p w:rsidR="006720EC" w:rsidRPr="006720EC" w:rsidRDefault="006720EC" w:rsidP="00ED740F">
      <w:pPr>
        <w:pStyle w:val="ListParagraph"/>
        <w:jc w:val="both"/>
        <w:rPr>
          <w:rFonts w:ascii="Arial" w:hAnsi="Arial"/>
          <w:sz w:val="22"/>
          <w:szCs w:val="22"/>
        </w:rPr>
      </w:pPr>
    </w:p>
    <w:p w:rsidR="006720EC" w:rsidRPr="006720EC" w:rsidRDefault="00A628CA" w:rsidP="00ED740F">
      <w:pPr>
        <w:pStyle w:val="ListParagraph"/>
        <w:numPr>
          <w:ilvl w:val="1"/>
          <w:numId w:val="1"/>
        </w:numPr>
        <w:spacing w:after="240"/>
        <w:jc w:val="both"/>
        <w:rPr>
          <w:rFonts w:ascii="Arial" w:hAnsi="Arial"/>
          <w:b/>
          <w:i/>
          <w:sz w:val="22"/>
          <w:szCs w:val="22"/>
        </w:rPr>
      </w:pPr>
      <w:r>
        <w:rPr>
          <w:rFonts w:ascii="Arial" w:hAnsi="Arial"/>
          <w:sz w:val="22"/>
          <w:szCs w:val="22"/>
        </w:rPr>
        <w:t>Overall, t</w:t>
      </w:r>
      <w:r w:rsidR="006720EC">
        <w:rPr>
          <w:rFonts w:ascii="Arial" w:hAnsi="Arial"/>
          <w:sz w:val="22"/>
          <w:szCs w:val="22"/>
        </w:rPr>
        <w:t xml:space="preserve">he PBAC </w:t>
      </w:r>
      <w:r w:rsidR="00D254AE">
        <w:rPr>
          <w:rFonts w:ascii="Arial" w:hAnsi="Arial"/>
          <w:sz w:val="22"/>
          <w:szCs w:val="22"/>
        </w:rPr>
        <w:t xml:space="preserve">considered that the safety benefits of </w:t>
      </w:r>
      <w:proofErr w:type="spellStart"/>
      <w:r w:rsidR="00D254AE">
        <w:rPr>
          <w:rFonts w:ascii="Arial" w:hAnsi="Arial"/>
          <w:sz w:val="22"/>
          <w:szCs w:val="22"/>
        </w:rPr>
        <w:t>sitagliptin</w:t>
      </w:r>
      <w:proofErr w:type="spellEnd"/>
      <w:r w:rsidR="00D254AE">
        <w:rPr>
          <w:rFonts w:ascii="Arial" w:hAnsi="Arial"/>
          <w:sz w:val="22"/>
          <w:szCs w:val="22"/>
        </w:rPr>
        <w:t xml:space="preserve"> with regard to hypoglycaemia and weight gain were not consistent across the presented trials.</w:t>
      </w:r>
    </w:p>
    <w:p w:rsidR="006720EC" w:rsidRPr="006720EC" w:rsidRDefault="006720EC" w:rsidP="00ED740F">
      <w:pPr>
        <w:pStyle w:val="ListParagraph"/>
        <w:jc w:val="both"/>
        <w:rPr>
          <w:rFonts w:ascii="Arial" w:hAnsi="Arial"/>
          <w:b/>
          <w:i/>
          <w:sz w:val="22"/>
          <w:szCs w:val="22"/>
        </w:rPr>
      </w:pPr>
    </w:p>
    <w:p w:rsidR="00BA3B68" w:rsidRPr="000F6A99" w:rsidRDefault="00BA3B68" w:rsidP="004A3973">
      <w:pPr>
        <w:pStyle w:val="Heading2"/>
      </w:pPr>
      <w:r w:rsidRPr="000F6A99">
        <w:t>Clinical claim</w:t>
      </w:r>
    </w:p>
    <w:p w:rsidR="00BA3B68" w:rsidRPr="00B1480D" w:rsidRDefault="00BA3B68" w:rsidP="00ED740F">
      <w:pPr>
        <w:ind w:left="720" w:hanging="720"/>
        <w:jc w:val="both"/>
        <w:rPr>
          <w:rFonts w:ascii="Arial" w:hAnsi="Arial"/>
          <w:sz w:val="22"/>
          <w:szCs w:val="22"/>
        </w:rPr>
      </w:pPr>
    </w:p>
    <w:p w:rsidR="00D809E4" w:rsidRPr="00D809E4" w:rsidRDefault="00BA3B68" w:rsidP="00ED740F">
      <w:pPr>
        <w:pStyle w:val="ListParagraph"/>
        <w:numPr>
          <w:ilvl w:val="1"/>
          <w:numId w:val="1"/>
        </w:numPr>
        <w:spacing w:after="240"/>
        <w:jc w:val="both"/>
        <w:rPr>
          <w:rFonts w:ascii="Arial" w:hAnsi="Arial"/>
          <w:b/>
          <w:i/>
          <w:sz w:val="22"/>
          <w:szCs w:val="22"/>
        </w:rPr>
      </w:pPr>
      <w:r w:rsidRPr="00901225">
        <w:rPr>
          <w:rFonts w:ascii="Arial" w:hAnsi="Arial"/>
          <w:sz w:val="22"/>
          <w:szCs w:val="22"/>
        </w:rPr>
        <w:t>The</w:t>
      </w:r>
      <w:r w:rsidR="002F4A33" w:rsidRPr="00901225">
        <w:rPr>
          <w:rFonts w:ascii="Arial" w:hAnsi="Arial"/>
          <w:sz w:val="22"/>
          <w:szCs w:val="22"/>
        </w:rPr>
        <w:t xml:space="preserve"> clinical claim remain</w:t>
      </w:r>
      <w:r w:rsidR="00D809E4">
        <w:rPr>
          <w:rFonts w:ascii="Arial" w:hAnsi="Arial"/>
          <w:sz w:val="22"/>
          <w:szCs w:val="22"/>
        </w:rPr>
        <w:t>ed</w:t>
      </w:r>
      <w:r w:rsidR="002F4A33" w:rsidRPr="00901225">
        <w:rPr>
          <w:rFonts w:ascii="Arial" w:hAnsi="Arial"/>
          <w:sz w:val="22"/>
          <w:szCs w:val="22"/>
        </w:rPr>
        <w:t xml:space="preserve"> unchanged from the previous major submission considered in July 2015. The previous</w:t>
      </w:r>
      <w:r w:rsidRPr="00901225">
        <w:rPr>
          <w:rFonts w:ascii="Arial" w:hAnsi="Arial"/>
          <w:sz w:val="22"/>
          <w:szCs w:val="22"/>
        </w:rPr>
        <w:t xml:space="preserve"> submission claimed non-inferior comparative effectiveness and </w:t>
      </w:r>
      <w:r w:rsidR="002F4A33" w:rsidRPr="00901225">
        <w:rPr>
          <w:rFonts w:ascii="Arial" w:hAnsi="Arial"/>
          <w:sz w:val="22"/>
          <w:szCs w:val="22"/>
        </w:rPr>
        <w:t>similar</w:t>
      </w:r>
      <w:r w:rsidRPr="00901225">
        <w:rPr>
          <w:rFonts w:ascii="Arial" w:hAnsi="Arial"/>
          <w:sz w:val="22"/>
          <w:szCs w:val="22"/>
        </w:rPr>
        <w:t xml:space="preserve"> comparative safety of </w:t>
      </w:r>
      <w:proofErr w:type="spellStart"/>
      <w:r w:rsidR="002F4A33" w:rsidRPr="00901225">
        <w:rPr>
          <w:rFonts w:ascii="Arial" w:hAnsi="Arial"/>
          <w:sz w:val="22"/>
          <w:szCs w:val="22"/>
        </w:rPr>
        <w:t>sitagliptin</w:t>
      </w:r>
      <w:proofErr w:type="spellEnd"/>
      <w:r w:rsidRPr="00901225">
        <w:rPr>
          <w:rFonts w:ascii="Arial" w:hAnsi="Arial"/>
          <w:i/>
          <w:sz w:val="22"/>
          <w:szCs w:val="22"/>
        </w:rPr>
        <w:t xml:space="preserve"> </w:t>
      </w:r>
      <w:r w:rsidRPr="00901225">
        <w:rPr>
          <w:rFonts w:ascii="Arial" w:hAnsi="Arial"/>
          <w:sz w:val="22"/>
          <w:szCs w:val="22"/>
        </w:rPr>
        <w:t>compared with</w:t>
      </w:r>
      <w:r w:rsidR="002F4A33" w:rsidRPr="00901225">
        <w:rPr>
          <w:rFonts w:ascii="Arial" w:hAnsi="Arial"/>
          <w:sz w:val="22"/>
          <w:szCs w:val="22"/>
        </w:rPr>
        <w:t xml:space="preserve"> dapagliflozin. </w:t>
      </w:r>
    </w:p>
    <w:p w:rsidR="00D809E4" w:rsidRPr="00D809E4" w:rsidRDefault="00D809E4" w:rsidP="00ED740F">
      <w:pPr>
        <w:pStyle w:val="ListParagraph"/>
        <w:spacing w:after="240"/>
        <w:jc w:val="both"/>
        <w:rPr>
          <w:rFonts w:ascii="Arial" w:hAnsi="Arial"/>
          <w:b/>
          <w:i/>
          <w:sz w:val="22"/>
          <w:szCs w:val="22"/>
        </w:rPr>
      </w:pPr>
    </w:p>
    <w:p w:rsidR="00901225" w:rsidRPr="00817657" w:rsidRDefault="002F4A33" w:rsidP="00ED740F">
      <w:pPr>
        <w:pStyle w:val="ListParagraph"/>
        <w:numPr>
          <w:ilvl w:val="1"/>
          <w:numId w:val="1"/>
        </w:numPr>
        <w:spacing w:after="240"/>
        <w:jc w:val="both"/>
        <w:rPr>
          <w:rFonts w:ascii="Arial" w:hAnsi="Arial"/>
          <w:b/>
          <w:i/>
          <w:sz w:val="22"/>
          <w:szCs w:val="22"/>
        </w:rPr>
      </w:pPr>
      <w:r w:rsidRPr="00901225">
        <w:rPr>
          <w:rFonts w:ascii="Arial" w:hAnsi="Arial"/>
          <w:sz w:val="22"/>
          <w:szCs w:val="22"/>
        </w:rPr>
        <w:t xml:space="preserve">The PBAC considered </w:t>
      </w:r>
      <w:r w:rsidR="00D809E4">
        <w:rPr>
          <w:rFonts w:ascii="Arial" w:hAnsi="Arial"/>
          <w:sz w:val="22"/>
          <w:szCs w:val="22"/>
        </w:rPr>
        <w:t xml:space="preserve">in July 2015 </w:t>
      </w:r>
      <w:r w:rsidRPr="00901225">
        <w:rPr>
          <w:rFonts w:ascii="Arial" w:hAnsi="Arial"/>
          <w:sz w:val="22"/>
          <w:szCs w:val="22"/>
        </w:rPr>
        <w:t xml:space="preserve">that the clinical trials presented in the submission did not provide adequate data to support the clinical claim that </w:t>
      </w:r>
      <w:proofErr w:type="spellStart"/>
      <w:r w:rsidRPr="00901225">
        <w:rPr>
          <w:rFonts w:ascii="Arial" w:hAnsi="Arial"/>
          <w:sz w:val="22"/>
          <w:szCs w:val="22"/>
        </w:rPr>
        <w:t>sitagliptin</w:t>
      </w:r>
      <w:proofErr w:type="spellEnd"/>
      <w:r w:rsidRPr="00901225">
        <w:rPr>
          <w:rFonts w:ascii="Arial" w:hAnsi="Arial"/>
          <w:sz w:val="22"/>
          <w:szCs w:val="22"/>
        </w:rPr>
        <w:t xml:space="preserve"> is non-inferior in terms of comparative effectiveness (as measured by reduction in HbA1c) and similar in terms of reduction in mean daily insulin dose compared to dapagliflozin. </w:t>
      </w:r>
    </w:p>
    <w:p w:rsidR="00817657" w:rsidRPr="00817657" w:rsidRDefault="00817657" w:rsidP="00817657">
      <w:pPr>
        <w:pStyle w:val="ListParagraph"/>
        <w:spacing w:line="1440" w:lineRule="auto"/>
        <w:rPr>
          <w:rFonts w:ascii="Arial" w:hAnsi="Arial"/>
          <w:b/>
          <w:i/>
          <w:sz w:val="22"/>
          <w:szCs w:val="22"/>
        </w:rPr>
      </w:pPr>
    </w:p>
    <w:p w:rsidR="00BA3B68" w:rsidRPr="000F6A99" w:rsidRDefault="00BA3B68" w:rsidP="004A3973">
      <w:pPr>
        <w:pStyle w:val="Heading2"/>
      </w:pPr>
      <w:r w:rsidRPr="000F6A99">
        <w:lastRenderedPageBreak/>
        <w:t>Economic analysis</w:t>
      </w:r>
    </w:p>
    <w:p w:rsidR="00607B4A" w:rsidRPr="00607B4A" w:rsidRDefault="00BA3B68" w:rsidP="00ED740F">
      <w:pPr>
        <w:pStyle w:val="ListParagraph"/>
        <w:numPr>
          <w:ilvl w:val="1"/>
          <w:numId w:val="1"/>
        </w:numPr>
        <w:jc w:val="both"/>
        <w:rPr>
          <w:rFonts w:ascii="Arial" w:hAnsi="Arial"/>
          <w:sz w:val="22"/>
          <w:szCs w:val="22"/>
        </w:rPr>
      </w:pPr>
      <w:r w:rsidRPr="00242A6B">
        <w:rPr>
          <w:rFonts w:ascii="Arial" w:hAnsi="Arial"/>
          <w:sz w:val="22"/>
          <w:szCs w:val="22"/>
        </w:rPr>
        <w:t xml:space="preserve">In the previous major submission considered by PBAC in </w:t>
      </w:r>
      <w:r w:rsidR="00242A6B" w:rsidRPr="00242A6B">
        <w:rPr>
          <w:rFonts w:ascii="Arial" w:hAnsi="Arial"/>
          <w:sz w:val="22"/>
          <w:szCs w:val="22"/>
        </w:rPr>
        <w:t>July 2015,</w:t>
      </w:r>
      <w:r w:rsidRPr="00242A6B">
        <w:rPr>
          <w:rFonts w:ascii="Arial" w:hAnsi="Arial"/>
          <w:sz w:val="22"/>
          <w:szCs w:val="22"/>
        </w:rPr>
        <w:t xml:space="preserve"> the submission present</w:t>
      </w:r>
      <w:r w:rsidR="00242A6B" w:rsidRPr="00242A6B">
        <w:rPr>
          <w:rFonts w:ascii="Arial" w:hAnsi="Arial"/>
          <w:sz w:val="22"/>
          <w:szCs w:val="22"/>
        </w:rPr>
        <w:t>ed a cost-minimisation analysis</w:t>
      </w:r>
      <w:r w:rsidRPr="00242A6B">
        <w:rPr>
          <w:rFonts w:ascii="Arial" w:hAnsi="Arial"/>
          <w:sz w:val="22"/>
          <w:szCs w:val="22"/>
        </w:rPr>
        <w:t xml:space="preserve"> against </w:t>
      </w:r>
      <w:r w:rsidR="00242A6B" w:rsidRPr="00242A6B">
        <w:rPr>
          <w:rFonts w:ascii="Arial" w:hAnsi="Arial"/>
          <w:sz w:val="22"/>
          <w:szCs w:val="22"/>
        </w:rPr>
        <w:t>dapagliflozin</w:t>
      </w:r>
      <w:r w:rsidR="00607B4A">
        <w:rPr>
          <w:rFonts w:ascii="Arial" w:hAnsi="Arial"/>
          <w:sz w:val="22"/>
          <w:szCs w:val="22"/>
        </w:rPr>
        <w:t xml:space="preserve">. </w:t>
      </w:r>
      <w:r w:rsidR="00607B4A" w:rsidRPr="00607B4A">
        <w:rPr>
          <w:rFonts w:ascii="Arial" w:hAnsi="Arial"/>
          <w:sz w:val="22"/>
          <w:szCs w:val="22"/>
        </w:rPr>
        <w:t xml:space="preserve">The </w:t>
      </w:r>
      <w:proofErr w:type="spellStart"/>
      <w:r w:rsidR="00607B4A" w:rsidRPr="00607B4A">
        <w:rPr>
          <w:rFonts w:ascii="Arial" w:hAnsi="Arial"/>
          <w:sz w:val="22"/>
          <w:szCs w:val="22"/>
        </w:rPr>
        <w:t>equi</w:t>
      </w:r>
      <w:proofErr w:type="spellEnd"/>
      <w:r w:rsidR="00607B4A" w:rsidRPr="00607B4A">
        <w:rPr>
          <w:rFonts w:ascii="Arial" w:hAnsi="Arial"/>
          <w:sz w:val="22"/>
          <w:szCs w:val="22"/>
        </w:rPr>
        <w:t xml:space="preserve">-effective doses were </w:t>
      </w:r>
      <w:proofErr w:type="spellStart"/>
      <w:r w:rsidR="00607B4A" w:rsidRPr="00607B4A">
        <w:rPr>
          <w:rFonts w:ascii="Arial" w:hAnsi="Arial"/>
          <w:sz w:val="22"/>
          <w:szCs w:val="22"/>
        </w:rPr>
        <w:t>sitagliptin</w:t>
      </w:r>
      <w:proofErr w:type="spellEnd"/>
      <w:r w:rsidR="00607B4A" w:rsidRPr="00607B4A">
        <w:rPr>
          <w:rFonts w:ascii="Arial" w:hAnsi="Arial"/>
          <w:sz w:val="22"/>
          <w:szCs w:val="22"/>
        </w:rPr>
        <w:t xml:space="preserve"> 100mg once daily and dapagliflozin 10mg daily. The PBAC noted </w:t>
      </w:r>
      <w:r w:rsidR="00607B4A">
        <w:rPr>
          <w:rFonts w:ascii="Arial" w:hAnsi="Arial"/>
          <w:sz w:val="22"/>
          <w:szCs w:val="22"/>
        </w:rPr>
        <w:t>“</w:t>
      </w:r>
      <w:r w:rsidR="00450A59">
        <w:rPr>
          <w:rFonts w:ascii="Arial" w:hAnsi="Arial"/>
          <w:sz w:val="22"/>
          <w:szCs w:val="22"/>
        </w:rPr>
        <w:t>…</w:t>
      </w:r>
      <w:r w:rsidR="00607B4A" w:rsidRPr="00607B4A">
        <w:rPr>
          <w:rFonts w:ascii="Arial" w:hAnsi="Arial"/>
          <w:sz w:val="22"/>
          <w:szCs w:val="22"/>
        </w:rPr>
        <w:t xml:space="preserve">that the increased daily insulin dose accompanying </w:t>
      </w:r>
      <w:proofErr w:type="spellStart"/>
      <w:r w:rsidR="00607B4A" w:rsidRPr="00607B4A">
        <w:rPr>
          <w:rFonts w:ascii="Arial" w:hAnsi="Arial"/>
          <w:sz w:val="22"/>
          <w:szCs w:val="22"/>
        </w:rPr>
        <w:t>sitagliptin</w:t>
      </w:r>
      <w:proofErr w:type="spellEnd"/>
      <w:r w:rsidR="00607B4A" w:rsidRPr="00607B4A">
        <w:rPr>
          <w:rFonts w:ascii="Arial" w:hAnsi="Arial"/>
          <w:sz w:val="22"/>
          <w:szCs w:val="22"/>
        </w:rPr>
        <w:t xml:space="preserve"> treatment (+19.0IU/day, compared with -1.18IU/day for dapagliflozin) was not factored into the cost-minimisation analysis. If the PBAC accepted that </w:t>
      </w:r>
      <w:proofErr w:type="spellStart"/>
      <w:r w:rsidR="00607B4A" w:rsidRPr="00607B4A">
        <w:rPr>
          <w:rFonts w:ascii="Arial" w:hAnsi="Arial"/>
          <w:sz w:val="22"/>
          <w:szCs w:val="22"/>
        </w:rPr>
        <w:t>sitagliptin</w:t>
      </w:r>
      <w:proofErr w:type="spellEnd"/>
      <w:r w:rsidR="00607B4A" w:rsidRPr="00607B4A">
        <w:rPr>
          <w:rFonts w:ascii="Arial" w:hAnsi="Arial"/>
          <w:sz w:val="22"/>
          <w:szCs w:val="22"/>
        </w:rPr>
        <w:t xml:space="preserve"> with insulin and dapagliflozin with insulin were non-inferior in terms of reduction in HbA1c, the cost of this outcome would be greater for patients on </w:t>
      </w:r>
      <w:proofErr w:type="spellStart"/>
      <w:r w:rsidR="00607B4A" w:rsidRPr="00607B4A">
        <w:rPr>
          <w:rFonts w:ascii="Arial" w:hAnsi="Arial"/>
          <w:sz w:val="22"/>
          <w:szCs w:val="22"/>
        </w:rPr>
        <w:t>sitagliptin</w:t>
      </w:r>
      <w:proofErr w:type="spellEnd"/>
      <w:r w:rsidR="00607B4A" w:rsidRPr="00607B4A">
        <w:rPr>
          <w:rFonts w:ascii="Arial" w:hAnsi="Arial"/>
          <w:sz w:val="22"/>
          <w:szCs w:val="22"/>
        </w:rPr>
        <w:t xml:space="preserve"> with insulin given the greater dose of insulin required. The PBAC considered that this cost should have been factored into the cost-minimisation analysis</w:t>
      </w:r>
      <w:r w:rsidR="00607B4A">
        <w:rPr>
          <w:rFonts w:ascii="Arial" w:hAnsi="Arial"/>
          <w:sz w:val="22"/>
          <w:szCs w:val="22"/>
        </w:rPr>
        <w:t>”</w:t>
      </w:r>
      <w:r w:rsidR="00607B4A" w:rsidRPr="00607B4A">
        <w:rPr>
          <w:rFonts w:ascii="Arial" w:hAnsi="Arial"/>
          <w:sz w:val="22"/>
          <w:szCs w:val="22"/>
        </w:rPr>
        <w:t xml:space="preserve">. </w:t>
      </w:r>
      <w:r w:rsidR="00607B4A">
        <w:rPr>
          <w:rFonts w:ascii="Arial" w:hAnsi="Arial"/>
          <w:sz w:val="22"/>
          <w:szCs w:val="22"/>
        </w:rPr>
        <w:t>(PBAC July 2015 Minutes, para 7.8).</w:t>
      </w:r>
    </w:p>
    <w:p w:rsidR="00607B4A" w:rsidRDefault="00607B4A" w:rsidP="00ED740F">
      <w:pPr>
        <w:pStyle w:val="ListParagraph"/>
        <w:jc w:val="both"/>
        <w:rPr>
          <w:rFonts w:ascii="Arial" w:hAnsi="Arial"/>
          <w:sz w:val="22"/>
          <w:szCs w:val="22"/>
        </w:rPr>
      </w:pPr>
    </w:p>
    <w:p w:rsidR="00C62F1E" w:rsidRPr="00607B4A" w:rsidRDefault="00BA3B68" w:rsidP="00ED740F">
      <w:pPr>
        <w:pStyle w:val="ListParagraph"/>
        <w:numPr>
          <w:ilvl w:val="1"/>
          <w:numId w:val="1"/>
        </w:numPr>
        <w:jc w:val="both"/>
        <w:rPr>
          <w:rFonts w:ascii="Arial" w:hAnsi="Arial"/>
          <w:sz w:val="22"/>
          <w:szCs w:val="22"/>
        </w:rPr>
      </w:pPr>
      <w:r w:rsidRPr="00607B4A">
        <w:rPr>
          <w:rFonts w:ascii="Arial" w:hAnsi="Arial"/>
          <w:sz w:val="22"/>
          <w:szCs w:val="22"/>
        </w:rPr>
        <w:t xml:space="preserve">The minor re-submission did not alter the economic </w:t>
      </w:r>
      <w:r w:rsidR="00D809E4">
        <w:rPr>
          <w:rFonts w:ascii="Arial" w:hAnsi="Arial"/>
          <w:sz w:val="22"/>
          <w:szCs w:val="22"/>
        </w:rPr>
        <w:t>analysis</w:t>
      </w:r>
      <w:r w:rsidRPr="00607B4A">
        <w:rPr>
          <w:rFonts w:ascii="Arial" w:hAnsi="Arial"/>
          <w:sz w:val="22"/>
          <w:szCs w:val="22"/>
        </w:rPr>
        <w:t xml:space="preserve"> from </w:t>
      </w:r>
      <w:r w:rsidR="00242A6B" w:rsidRPr="00607B4A">
        <w:rPr>
          <w:rFonts w:ascii="Arial" w:hAnsi="Arial"/>
          <w:sz w:val="22"/>
          <w:szCs w:val="22"/>
        </w:rPr>
        <w:t>July 2015, but updated the analysis with the most current DPMQ prices for both drugs.</w:t>
      </w:r>
    </w:p>
    <w:p w:rsidR="00BA3B68" w:rsidRDefault="00BA3B68" w:rsidP="00ED740F">
      <w:pPr>
        <w:jc w:val="both"/>
        <w:rPr>
          <w:rFonts w:ascii="Arial" w:hAnsi="Arial"/>
          <w:sz w:val="22"/>
          <w:szCs w:val="22"/>
        </w:rPr>
      </w:pPr>
    </w:p>
    <w:p w:rsidR="00BA3B68" w:rsidRPr="000F6A99" w:rsidRDefault="00BA3B68" w:rsidP="004A3973">
      <w:pPr>
        <w:pStyle w:val="Heading2"/>
      </w:pPr>
      <w:r w:rsidRPr="000F6A99">
        <w:t>D</w:t>
      </w:r>
      <w:r w:rsidR="00263F6C" w:rsidRPr="000F6A99">
        <w:t>rug cost/patient/year</w:t>
      </w:r>
    </w:p>
    <w:p w:rsidR="00BA3B68" w:rsidRPr="00A55FEE" w:rsidRDefault="00BA3B68" w:rsidP="00ED740F">
      <w:pPr>
        <w:ind w:left="720" w:hanging="720"/>
        <w:jc w:val="both"/>
        <w:rPr>
          <w:rFonts w:ascii="Arial" w:hAnsi="Arial"/>
          <w:b/>
          <w:i/>
          <w:sz w:val="22"/>
          <w:szCs w:val="22"/>
        </w:rPr>
      </w:pPr>
    </w:p>
    <w:p w:rsidR="00263F6C" w:rsidRPr="00263F6C" w:rsidRDefault="00263F6C" w:rsidP="00ED740F">
      <w:pPr>
        <w:pStyle w:val="ListParagraph"/>
        <w:numPr>
          <w:ilvl w:val="1"/>
          <w:numId w:val="1"/>
        </w:numPr>
        <w:jc w:val="both"/>
        <w:rPr>
          <w:rFonts w:ascii="Arial" w:hAnsi="Arial"/>
          <w:sz w:val="22"/>
          <w:szCs w:val="22"/>
        </w:rPr>
      </w:pPr>
      <w:r>
        <w:rPr>
          <w:rFonts w:ascii="Arial" w:hAnsi="Arial"/>
          <w:sz w:val="22"/>
          <w:szCs w:val="22"/>
        </w:rPr>
        <w:t xml:space="preserve">At </w:t>
      </w:r>
      <w:r w:rsidRPr="00263F6C">
        <w:rPr>
          <w:rFonts w:ascii="Arial" w:hAnsi="Arial"/>
          <w:sz w:val="22"/>
          <w:szCs w:val="22"/>
        </w:rPr>
        <w:t xml:space="preserve">the </w:t>
      </w:r>
      <w:r>
        <w:rPr>
          <w:rFonts w:ascii="Arial" w:hAnsi="Arial"/>
          <w:sz w:val="22"/>
          <w:szCs w:val="22"/>
        </w:rPr>
        <w:t xml:space="preserve">updated </w:t>
      </w:r>
      <w:r w:rsidRPr="00263F6C">
        <w:rPr>
          <w:rFonts w:ascii="Arial" w:hAnsi="Arial"/>
          <w:sz w:val="22"/>
          <w:szCs w:val="22"/>
        </w:rPr>
        <w:t>requested DPMQ of $</w:t>
      </w:r>
      <w:r w:rsidR="0090025C">
        <w:rPr>
          <w:rFonts w:ascii="Arial" w:hAnsi="Arial"/>
          <w:noProof/>
          <w:color w:val="000000"/>
          <w:sz w:val="22"/>
          <w:szCs w:val="22"/>
          <w:highlight w:val="black"/>
        </w:rPr>
        <w:t>''''''''''''''</w:t>
      </w:r>
      <w:r>
        <w:rPr>
          <w:rFonts w:ascii="Arial" w:hAnsi="Arial"/>
          <w:sz w:val="22"/>
          <w:szCs w:val="22"/>
        </w:rPr>
        <w:t xml:space="preserve"> </w:t>
      </w:r>
      <w:r w:rsidRPr="00263F6C">
        <w:rPr>
          <w:rFonts w:ascii="Arial" w:hAnsi="Arial"/>
          <w:sz w:val="22"/>
          <w:szCs w:val="22"/>
        </w:rPr>
        <w:t xml:space="preserve">for a 28 tablet pack of 25 mg, 50 mg or 100 mg </w:t>
      </w:r>
      <w:proofErr w:type="spellStart"/>
      <w:r w:rsidRPr="00263F6C">
        <w:rPr>
          <w:rFonts w:ascii="Arial" w:hAnsi="Arial"/>
          <w:sz w:val="22"/>
          <w:szCs w:val="22"/>
        </w:rPr>
        <w:t>sitagliptin</w:t>
      </w:r>
      <w:proofErr w:type="spellEnd"/>
      <w:r w:rsidRPr="00263F6C">
        <w:rPr>
          <w:rFonts w:ascii="Arial" w:hAnsi="Arial"/>
          <w:sz w:val="22"/>
          <w:szCs w:val="22"/>
        </w:rPr>
        <w:t>, the drug cost/patient/year was $</w:t>
      </w:r>
      <w:r w:rsidR="0090025C">
        <w:rPr>
          <w:rFonts w:ascii="Arial" w:hAnsi="Arial"/>
          <w:noProof/>
          <w:color w:val="000000"/>
          <w:sz w:val="22"/>
          <w:szCs w:val="22"/>
          <w:highlight w:val="black"/>
        </w:rPr>
        <w:t>'''''''''''''''</w:t>
      </w:r>
      <w:r w:rsidRPr="00263F6C">
        <w:rPr>
          <w:rFonts w:ascii="Arial" w:hAnsi="Arial"/>
          <w:sz w:val="22"/>
          <w:szCs w:val="22"/>
        </w:rPr>
        <w:t xml:space="preserve"> (assuming 13.04 packs per year). The drug cost/patient/year for the </w:t>
      </w:r>
      <w:proofErr w:type="spellStart"/>
      <w:r w:rsidRPr="00263F6C">
        <w:rPr>
          <w:rFonts w:ascii="Arial" w:hAnsi="Arial"/>
          <w:sz w:val="22"/>
          <w:szCs w:val="22"/>
        </w:rPr>
        <w:t>sitagliptin+metformin</w:t>
      </w:r>
      <w:proofErr w:type="spellEnd"/>
      <w:r w:rsidRPr="00263F6C">
        <w:rPr>
          <w:rFonts w:ascii="Arial" w:hAnsi="Arial"/>
          <w:sz w:val="22"/>
          <w:szCs w:val="22"/>
        </w:rPr>
        <w:t xml:space="preserve"> fixed dose combinations ranged from $</w:t>
      </w:r>
      <w:r w:rsidR="0090025C">
        <w:rPr>
          <w:rFonts w:ascii="Arial" w:hAnsi="Arial"/>
          <w:noProof/>
          <w:color w:val="000000"/>
          <w:sz w:val="22"/>
          <w:szCs w:val="22"/>
          <w:highlight w:val="black"/>
        </w:rPr>
        <w:t>''''''''''''''''</w:t>
      </w:r>
      <w:r w:rsidRPr="00263F6C">
        <w:rPr>
          <w:rFonts w:ascii="Arial" w:hAnsi="Arial"/>
          <w:sz w:val="22"/>
          <w:szCs w:val="22"/>
        </w:rPr>
        <w:t xml:space="preserve"> to $</w:t>
      </w:r>
      <w:r w:rsidR="0090025C">
        <w:rPr>
          <w:rFonts w:ascii="Arial" w:hAnsi="Arial"/>
          <w:noProof/>
          <w:color w:val="000000"/>
          <w:sz w:val="22"/>
          <w:szCs w:val="22"/>
          <w:highlight w:val="black"/>
        </w:rPr>
        <w:t>''''''''''''''''''</w:t>
      </w:r>
      <w:r w:rsidRPr="00263F6C">
        <w:rPr>
          <w:rFonts w:ascii="Arial" w:hAnsi="Arial"/>
          <w:sz w:val="22"/>
          <w:szCs w:val="22"/>
        </w:rPr>
        <w:t xml:space="preserve"> (with requested DPMQs ranging from $</w:t>
      </w:r>
      <w:r w:rsidR="0090025C">
        <w:rPr>
          <w:rFonts w:ascii="Arial" w:hAnsi="Arial"/>
          <w:noProof/>
          <w:color w:val="000000"/>
          <w:sz w:val="22"/>
          <w:szCs w:val="22"/>
          <w:highlight w:val="black"/>
        </w:rPr>
        <w:t>'''''''''''''</w:t>
      </w:r>
      <w:r w:rsidRPr="00263F6C">
        <w:rPr>
          <w:rFonts w:ascii="Arial" w:hAnsi="Arial"/>
          <w:sz w:val="22"/>
          <w:szCs w:val="22"/>
        </w:rPr>
        <w:t xml:space="preserve"> to $</w:t>
      </w:r>
      <w:r w:rsidR="0090025C">
        <w:rPr>
          <w:rFonts w:ascii="Arial" w:hAnsi="Arial"/>
          <w:noProof/>
          <w:color w:val="000000"/>
          <w:sz w:val="22"/>
          <w:szCs w:val="22"/>
          <w:highlight w:val="black"/>
        </w:rPr>
        <w:t>'''''''''''''''</w:t>
      </w:r>
      <w:r w:rsidRPr="00263F6C">
        <w:rPr>
          <w:rFonts w:ascii="Arial" w:hAnsi="Arial"/>
          <w:sz w:val="22"/>
          <w:szCs w:val="22"/>
        </w:rPr>
        <w:t>, depending on combination dose strengths, and assuming 13.04 packs per year). By comparison, the drug cost/patient/year for a 28 tablet pack of dapagliflozin 10 mg was $</w:t>
      </w:r>
      <w:r w:rsidR="0090025C">
        <w:rPr>
          <w:rFonts w:ascii="Arial" w:hAnsi="Arial"/>
          <w:noProof/>
          <w:color w:val="000000"/>
          <w:sz w:val="22"/>
          <w:szCs w:val="22"/>
          <w:highlight w:val="black"/>
        </w:rPr>
        <w:t>''''''''''''''''</w:t>
      </w:r>
      <w:r w:rsidRPr="00263F6C">
        <w:rPr>
          <w:rFonts w:ascii="Arial" w:hAnsi="Arial"/>
          <w:sz w:val="22"/>
          <w:szCs w:val="22"/>
        </w:rPr>
        <w:t xml:space="preserve"> (at the DPMQ of $</w:t>
      </w:r>
      <w:r w:rsidR="0090025C">
        <w:rPr>
          <w:rFonts w:ascii="Arial" w:hAnsi="Arial"/>
          <w:noProof/>
          <w:color w:val="000000"/>
          <w:sz w:val="22"/>
          <w:szCs w:val="22"/>
          <w:highlight w:val="black"/>
        </w:rPr>
        <w:t>'''''''''''''</w:t>
      </w:r>
      <w:r w:rsidRPr="00263F6C">
        <w:rPr>
          <w:rFonts w:ascii="Arial" w:hAnsi="Arial"/>
          <w:sz w:val="22"/>
          <w:szCs w:val="22"/>
        </w:rPr>
        <w:t xml:space="preserve">, assuming 13.04 packs per year). The difference in price between </w:t>
      </w:r>
      <w:proofErr w:type="spellStart"/>
      <w:r w:rsidRPr="00263F6C">
        <w:rPr>
          <w:rFonts w:ascii="Arial" w:hAnsi="Arial"/>
          <w:sz w:val="22"/>
          <w:szCs w:val="22"/>
        </w:rPr>
        <w:t>sitagliptin</w:t>
      </w:r>
      <w:proofErr w:type="spellEnd"/>
      <w:r w:rsidRPr="00263F6C">
        <w:rPr>
          <w:rFonts w:ascii="Arial" w:hAnsi="Arial"/>
          <w:sz w:val="22"/>
          <w:szCs w:val="22"/>
        </w:rPr>
        <w:t xml:space="preserve"> and dapagliflozin ($</w:t>
      </w:r>
      <w:r w:rsidR="0090025C">
        <w:rPr>
          <w:rFonts w:ascii="Arial" w:hAnsi="Arial"/>
          <w:noProof/>
          <w:color w:val="000000"/>
          <w:sz w:val="22"/>
          <w:szCs w:val="22"/>
          <w:highlight w:val="black"/>
        </w:rPr>
        <w:t>''''''''''</w:t>
      </w:r>
      <w:r w:rsidRPr="00263F6C">
        <w:rPr>
          <w:rFonts w:ascii="Arial" w:hAnsi="Arial"/>
          <w:sz w:val="22"/>
          <w:szCs w:val="22"/>
        </w:rPr>
        <w:t xml:space="preserve"> at ex manufacturer prices) is due to the cost associated with monitoring and treating higher rates of adverse events such as genital </w:t>
      </w:r>
      <w:proofErr w:type="spellStart"/>
      <w:r w:rsidRPr="00263F6C">
        <w:rPr>
          <w:rFonts w:ascii="Arial" w:hAnsi="Arial"/>
          <w:sz w:val="22"/>
          <w:szCs w:val="22"/>
        </w:rPr>
        <w:t>mycotic</w:t>
      </w:r>
      <w:proofErr w:type="spellEnd"/>
      <w:r w:rsidRPr="00263F6C">
        <w:rPr>
          <w:rFonts w:ascii="Arial" w:hAnsi="Arial"/>
          <w:sz w:val="22"/>
          <w:szCs w:val="22"/>
        </w:rPr>
        <w:t xml:space="preserve"> infections and urinary tract infections with dapagliflozin.</w:t>
      </w:r>
    </w:p>
    <w:p w:rsidR="00BA3B68" w:rsidRPr="00263F6C" w:rsidRDefault="00BA3B68" w:rsidP="00ED740F">
      <w:pPr>
        <w:pStyle w:val="ListParagraph"/>
        <w:jc w:val="both"/>
        <w:rPr>
          <w:rFonts w:ascii="Arial" w:hAnsi="Arial"/>
          <w:b/>
          <w:i/>
          <w:sz w:val="22"/>
          <w:szCs w:val="22"/>
        </w:rPr>
      </w:pPr>
    </w:p>
    <w:p w:rsidR="00BA3B68" w:rsidRPr="000F6A99" w:rsidRDefault="00BA3B68" w:rsidP="004A3973">
      <w:pPr>
        <w:pStyle w:val="Heading2"/>
      </w:pPr>
      <w:r w:rsidRPr="000F6A99">
        <w:t>Estimated PBS usage &amp; financial implications</w:t>
      </w:r>
    </w:p>
    <w:p w:rsidR="00BA3B68" w:rsidRPr="00882085" w:rsidRDefault="00BA3B68" w:rsidP="00ED740F">
      <w:pPr>
        <w:ind w:left="720" w:hanging="720"/>
        <w:jc w:val="both"/>
        <w:rPr>
          <w:rFonts w:ascii="Arial" w:hAnsi="Arial"/>
          <w:b/>
          <w:i/>
          <w:sz w:val="22"/>
          <w:szCs w:val="22"/>
        </w:rPr>
      </w:pPr>
    </w:p>
    <w:p w:rsidR="00BF7E72" w:rsidRPr="0064696D" w:rsidRDefault="00BF7E72" w:rsidP="00ED740F">
      <w:pPr>
        <w:pStyle w:val="ListParagraph"/>
        <w:numPr>
          <w:ilvl w:val="1"/>
          <w:numId w:val="1"/>
        </w:numPr>
        <w:jc w:val="both"/>
        <w:rPr>
          <w:rFonts w:ascii="Arial" w:hAnsi="Arial" w:cs="Arial"/>
          <w:sz w:val="22"/>
        </w:rPr>
      </w:pPr>
      <w:r w:rsidRPr="0064696D">
        <w:rPr>
          <w:rFonts w:ascii="Arial" w:hAnsi="Arial" w:cs="Arial"/>
          <w:sz w:val="22"/>
        </w:rPr>
        <w:t xml:space="preserve">In addition to the review of clinical evidence outlined above in Table 1, the sponsor noted that the PBAC had raised concerns about various assumptions used in the previous major </w:t>
      </w:r>
      <w:proofErr w:type="gramStart"/>
      <w:r w:rsidRPr="0064696D">
        <w:rPr>
          <w:rFonts w:ascii="Arial" w:hAnsi="Arial" w:cs="Arial"/>
          <w:sz w:val="22"/>
        </w:rPr>
        <w:t>submission’s</w:t>
      </w:r>
      <w:proofErr w:type="gramEnd"/>
      <w:r w:rsidRPr="0064696D">
        <w:rPr>
          <w:rFonts w:ascii="Arial" w:hAnsi="Arial" w:cs="Arial"/>
          <w:sz w:val="22"/>
        </w:rPr>
        <w:t xml:space="preserve"> ‘Estimated PBS usage &amp; financial implications. [See PBAC July 2015 Minutes, paragraphs 6.32-6.37 for more detail]. In the minor submission</w:t>
      </w:r>
      <w:r>
        <w:rPr>
          <w:rFonts w:ascii="Arial" w:hAnsi="Arial" w:cs="Arial"/>
          <w:sz w:val="22"/>
        </w:rPr>
        <w:t xml:space="preserve"> </w:t>
      </w:r>
      <w:r w:rsidRPr="0064696D">
        <w:rPr>
          <w:rFonts w:ascii="Arial" w:hAnsi="Arial" w:cs="Arial"/>
          <w:sz w:val="22"/>
        </w:rPr>
        <w:t xml:space="preserve">the </w:t>
      </w:r>
      <w:r>
        <w:rPr>
          <w:rFonts w:ascii="Arial" w:hAnsi="Arial" w:cs="Arial"/>
          <w:sz w:val="22"/>
        </w:rPr>
        <w:t>sponsor stated</w:t>
      </w:r>
      <w:r w:rsidRPr="0064696D">
        <w:rPr>
          <w:rFonts w:ascii="Arial" w:hAnsi="Arial" w:cs="Arial"/>
          <w:sz w:val="22"/>
        </w:rPr>
        <w:t xml:space="preserve"> that some assumptions have been updated, and “[t]he additional data provides a more accurate representation of the expected financial impact”.</w:t>
      </w:r>
    </w:p>
    <w:p w:rsidR="00BF7E72" w:rsidRPr="00BF7E72" w:rsidRDefault="00BF7E72" w:rsidP="00ED740F">
      <w:pPr>
        <w:jc w:val="both"/>
        <w:rPr>
          <w:rFonts w:ascii="Arial" w:hAnsi="Arial"/>
          <w:sz w:val="22"/>
          <w:szCs w:val="22"/>
        </w:rPr>
      </w:pPr>
    </w:p>
    <w:p w:rsidR="00BA3B68" w:rsidRDefault="00BA3B68" w:rsidP="00640E88">
      <w:pPr>
        <w:pStyle w:val="ListParagraph"/>
        <w:numPr>
          <w:ilvl w:val="1"/>
          <w:numId w:val="1"/>
        </w:numPr>
        <w:jc w:val="both"/>
        <w:rPr>
          <w:rFonts w:ascii="Arial" w:hAnsi="Arial"/>
          <w:sz w:val="22"/>
          <w:szCs w:val="22"/>
        </w:rPr>
      </w:pPr>
      <w:r w:rsidRPr="006031E2">
        <w:rPr>
          <w:rFonts w:ascii="Arial" w:hAnsi="Arial"/>
          <w:sz w:val="22"/>
          <w:szCs w:val="22"/>
        </w:rPr>
        <w:t>The minor submission estimated</w:t>
      </w:r>
      <w:r w:rsidR="00B41F8F" w:rsidRPr="006031E2">
        <w:rPr>
          <w:rFonts w:ascii="Arial" w:hAnsi="Arial"/>
          <w:sz w:val="22"/>
          <w:szCs w:val="22"/>
        </w:rPr>
        <w:t xml:space="preserve"> a net cost </w:t>
      </w:r>
      <w:r w:rsidRPr="006031E2">
        <w:rPr>
          <w:rFonts w:ascii="Arial" w:hAnsi="Arial"/>
          <w:sz w:val="22"/>
          <w:szCs w:val="22"/>
        </w:rPr>
        <w:t>to the PBS of $</w:t>
      </w:r>
      <w:r w:rsidR="0090025C">
        <w:rPr>
          <w:rFonts w:ascii="Arial" w:hAnsi="Arial"/>
          <w:noProof/>
          <w:color w:val="000000"/>
          <w:sz w:val="22"/>
          <w:szCs w:val="22"/>
          <w:highlight w:val="black"/>
        </w:rPr>
        <w:t>''''''''''''''''''''</w:t>
      </w:r>
      <w:r w:rsidR="00B41F8F" w:rsidRPr="006031E2">
        <w:rPr>
          <w:rFonts w:ascii="Arial" w:hAnsi="Arial"/>
          <w:sz w:val="22"/>
          <w:szCs w:val="22"/>
        </w:rPr>
        <w:t xml:space="preserve"> </w:t>
      </w:r>
      <w:r w:rsidRPr="006031E2">
        <w:rPr>
          <w:rFonts w:ascii="Arial" w:hAnsi="Arial"/>
          <w:sz w:val="22"/>
          <w:szCs w:val="22"/>
        </w:rPr>
        <w:t>in Year 5 of listing, with a tota</w:t>
      </w:r>
      <w:r w:rsidR="006031E2" w:rsidRPr="006031E2">
        <w:rPr>
          <w:rFonts w:ascii="Arial" w:hAnsi="Arial"/>
          <w:sz w:val="22"/>
          <w:szCs w:val="22"/>
        </w:rPr>
        <w:t>l net cost to the PBS of $</w:t>
      </w:r>
      <w:r w:rsidR="0090025C">
        <w:rPr>
          <w:rFonts w:ascii="Arial" w:hAnsi="Arial"/>
          <w:noProof/>
          <w:color w:val="000000"/>
          <w:sz w:val="22"/>
          <w:szCs w:val="22"/>
          <w:highlight w:val="black"/>
        </w:rPr>
        <w:t>'''''''''''''''''''''''''</w:t>
      </w:r>
      <w:r w:rsidRPr="006031E2">
        <w:rPr>
          <w:rFonts w:ascii="Arial" w:hAnsi="Arial"/>
          <w:sz w:val="22"/>
          <w:szCs w:val="22"/>
        </w:rPr>
        <w:t xml:space="preserve"> </w:t>
      </w:r>
      <w:r w:rsidR="00640E88" w:rsidRPr="00640E88">
        <w:rPr>
          <w:rFonts w:ascii="Arial" w:hAnsi="Arial"/>
          <w:sz w:val="22"/>
          <w:szCs w:val="22"/>
        </w:rPr>
        <w:t xml:space="preserve">less than $10 million </w:t>
      </w:r>
      <w:r w:rsidRPr="006031E2">
        <w:rPr>
          <w:rFonts w:ascii="Arial" w:hAnsi="Arial"/>
          <w:sz w:val="22"/>
          <w:szCs w:val="22"/>
        </w:rPr>
        <w:t>over the first 5 years of listing</w:t>
      </w:r>
      <w:r w:rsidRPr="000E68BC">
        <w:rPr>
          <w:rFonts w:ascii="Arial" w:hAnsi="Arial"/>
          <w:sz w:val="22"/>
          <w:szCs w:val="22"/>
        </w:rPr>
        <w:t xml:space="preserve">. </w:t>
      </w:r>
      <w:r w:rsidR="00CD5077">
        <w:rPr>
          <w:rFonts w:ascii="Arial" w:hAnsi="Arial"/>
          <w:sz w:val="22"/>
          <w:szCs w:val="22"/>
        </w:rPr>
        <w:t>Table 2 below outlines the expected PBS costs.</w:t>
      </w:r>
      <w:r w:rsidRPr="000E68BC">
        <w:rPr>
          <w:rFonts w:ascii="Arial" w:hAnsi="Arial"/>
          <w:sz w:val="22"/>
          <w:szCs w:val="22"/>
        </w:rPr>
        <w:t xml:space="preserve">  </w:t>
      </w:r>
      <w:r w:rsidR="00A003AD">
        <w:rPr>
          <w:rFonts w:ascii="Arial" w:hAnsi="Arial"/>
          <w:sz w:val="22"/>
          <w:szCs w:val="22"/>
        </w:rPr>
        <w:t xml:space="preserve">In the re-submission, </w:t>
      </w:r>
      <w:r w:rsidR="00C110B6">
        <w:rPr>
          <w:rFonts w:ascii="Arial" w:hAnsi="Arial"/>
          <w:sz w:val="22"/>
          <w:szCs w:val="22"/>
        </w:rPr>
        <w:t>the following</w:t>
      </w:r>
      <w:r w:rsidR="00A003AD" w:rsidRPr="00A003AD">
        <w:rPr>
          <w:rFonts w:ascii="Arial" w:hAnsi="Arial"/>
          <w:sz w:val="22"/>
          <w:szCs w:val="22"/>
        </w:rPr>
        <w:t xml:space="preserve"> assumptions have been updated to address concerns raised in the </w:t>
      </w:r>
      <w:r w:rsidR="00C110B6">
        <w:rPr>
          <w:rFonts w:ascii="Arial" w:hAnsi="Arial"/>
          <w:sz w:val="22"/>
          <w:szCs w:val="22"/>
        </w:rPr>
        <w:t>July major submission:</w:t>
      </w:r>
    </w:p>
    <w:p w:rsidR="00C110B6" w:rsidRPr="00C110B6" w:rsidRDefault="00291C84" w:rsidP="00ED740F">
      <w:pPr>
        <w:pStyle w:val="ListParagraph"/>
        <w:numPr>
          <w:ilvl w:val="1"/>
          <w:numId w:val="2"/>
        </w:numPr>
        <w:ind w:left="1134" w:hanging="425"/>
        <w:jc w:val="both"/>
        <w:rPr>
          <w:rFonts w:ascii="Arial" w:hAnsi="Arial"/>
          <w:sz w:val="22"/>
          <w:szCs w:val="22"/>
        </w:rPr>
      </w:pPr>
      <w:r>
        <w:rPr>
          <w:rFonts w:ascii="Arial" w:hAnsi="Arial"/>
          <w:sz w:val="22"/>
          <w:szCs w:val="22"/>
        </w:rPr>
        <w:t>“</w:t>
      </w:r>
      <w:r w:rsidR="00C110B6" w:rsidRPr="00C110B6">
        <w:rPr>
          <w:rFonts w:ascii="Arial" w:hAnsi="Arial"/>
          <w:sz w:val="22"/>
          <w:szCs w:val="22"/>
        </w:rPr>
        <w:t xml:space="preserve">Amending </w:t>
      </w:r>
      <w:proofErr w:type="spellStart"/>
      <w:r w:rsidR="00C110B6" w:rsidRPr="00C110B6">
        <w:rPr>
          <w:rFonts w:ascii="Arial" w:hAnsi="Arial"/>
          <w:sz w:val="22"/>
          <w:szCs w:val="22"/>
        </w:rPr>
        <w:t>Sitagliptin</w:t>
      </w:r>
      <w:proofErr w:type="spellEnd"/>
      <w:r w:rsidR="00C110B6" w:rsidRPr="00C110B6">
        <w:rPr>
          <w:rFonts w:ascii="Arial" w:hAnsi="Arial"/>
          <w:sz w:val="22"/>
          <w:szCs w:val="22"/>
        </w:rPr>
        <w:t xml:space="preserve"> and Dapagliflozin Dispensed Prices</w:t>
      </w:r>
      <w:r w:rsidR="00C110B6">
        <w:rPr>
          <w:rFonts w:ascii="Arial" w:hAnsi="Arial"/>
          <w:sz w:val="22"/>
          <w:szCs w:val="22"/>
        </w:rPr>
        <w:t xml:space="preserve"> </w:t>
      </w:r>
      <w:r w:rsidR="00C110B6" w:rsidRPr="00C110B6">
        <w:rPr>
          <w:rFonts w:ascii="Arial" w:hAnsi="Arial"/>
          <w:sz w:val="22"/>
          <w:szCs w:val="22"/>
        </w:rPr>
        <w:t>following</w:t>
      </w:r>
      <w:r w:rsidR="00C110B6">
        <w:rPr>
          <w:rFonts w:ascii="Arial" w:hAnsi="Arial"/>
          <w:sz w:val="22"/>
          <w:szCs w:val="22"/>
        </w:rPr>
        <w:t xml:space="preserve"> </w:t>
      </w:r>
      <w:r w:rsidR="00C110B6" w:rsidRPr="00C110B6">
        <w:rPr>
          <w:rFonts w:ascii="Arial" w:hAnsi="Arial"/>
          <w:sz w:val="22"/>
          <w:szCs w:val="22"/>
        </w:rPr>
        <w:t>the implementation of the 6th Community Pharmacy Agreement. They reflect the new pharmacy margins and dispensing fee taking effect from July 1st 2015</w:t>
      </w:r>
      <w:r w:rsidR="00C110B6">
        <w:rPr>
          <w:rFonts w:ascii="Arial" w:hAnsi="Arial"/>
          <w:sz w:val="22"/>
          <w:szCs w:val="22"/>
        </w:rPr>
        <w:t>.</w:t>
      </w:r>
    </w:p>
    <w:p w:rsidR="00C110B6" w:rsidRPr="00547A82" w:rsidRDefault="00C110B6" w:rsidP="00ED740F">
      <w:pPr>
        <w:pStyle w:val="ListParagraph"/>
        <w:numPr>
          <w:ilvl w:val="1"/>
          <w:numId w:val="2"/>
        </w:numPr>
        <w:ind w:left="1134" w:hanging="425"/>
        <w:jc w:val="both"/>
        <w:rPr>
          <w:rFonts w:ascii="Arial" w:hAnsi="Arial"/>
          <w:sz w:val="22"/>
          <w:szCs w:val="22"/>
        </w:rPr>
      </w:pPr>
      <w:r w:rsidRPr="00C110B6">
        <w:rPr>
          <w:rFonts w:ascii="Arial" w:hAnsi="Arial"/>
          <w:sz w:val="22"/>
          <w:szCs w:val="22"/>
        </w:rPr>
        <w:lastRenderedPageBreak/>
        <w:t xml:space="preserve">Raw data </w:t>
      </w:r>
      <w:r w:rsidR="00A30019">
        <w:rPr>
          <w:rFonts w:ascii="Arial" w:hAnsi="Arial"/>
          <w:sz w:val="22"/>
          <w:szCs w:val="22"/>
        </w:rPr>
        <w:t>have</w:t>
      </w:r>
      <w:r w:rsidRPr="00C110B6">
        <w:rPr>
          <w:rFonts w:ascii="Arial" w:hAnsi="Arial"/>
          <w:sz w:val="22"/>
          <w:szCs w:val="22"/>
        </w:rPr>
        <w:t xml:space="preserve"> been updated for patients 1) on SITA+INS (± MET), 2) on INS (± MET) and 3) Moved from INS (± MET). The Medicare 10% sample has been updated with data to September 2014 to reflect newer actual data from the sample. Linear forecasts from 2014 onwards are updated from the new baseline values</w:t>
      </w:r>
      <w:r>
        <w:rPr>
          <w:rFonts w:ascii="Arial" w:hAnsi="Arial"/>
          <w:sz w:val="22"/>
          <w:szCs w:val="22"/>
        </w:rPr>
        <w:t>.</w:t>
      </w:r>
      <w:r w:rsidR="00291C84">
        <w:rPr>
          <w:rFonts w:ascii="Arial" w:hAnsi="Arial"/>
          <w:sz w:val="22"/>
          <w:szCs w:val="22"/>
        </w:rPr>
        <w:t>”</w:t>
      </w:r>
    </w:p>
    <w:p w:rsidR="00CD5077" w:rsidRPr="00ED740F" w:rsidRDefault="00CD5077" w:rsidP="00ED740F">
      <w:pPr>
        <w:jc w:val="both"/>
        <w:rPr>
          <w:rFonts w:ascii="Arial Narrow" w:hAnsi="Arial Narrow"/>
          <w:b/>
          <w:sz w:val="20"/>
          <w:szCs w:val="20"/>
        </w:rPr>
      </w:pPr>
    </w:p>
    <w:p w:rsidR="001E0436" w:rsidRPr="00CD5077" w:rsidRDefault="00C83AFD" w:rsidP="00ED740F">
      <w:pPr>
        <w:pStyle w:val="ListParagraph"/>
        <w:jc w:val="both"/>
        <w:rPr>
          <w:rFonts w:ascii="Arial Narrow" w:hAnsi="Arial Narrow"/>
          <w:b/>
          <w:sz w:val="20"/>
          <w:szCs w:val="20"/>
        </w:rPr>
      </w:pPr>
      <w:r w:rsidRPr="00CD5077">
        <w:rPr>
          <w:rFonts w:ascii="Arial Narrow" w:hAnsi="Arial Narrow"/>
          <w:b/>
          <w:sz w:val="20"/>
          <w:szCs w:val="20"/>
        </w:rPr>
        <w:t>Table</w:t>
      </w:r>
      <w:r w:rsidR="000F6A99">
        <w:rPr>
          <w:rFonts w:ascii="Arial Narrow" w:hAnsi="Arial Narrow"/>
          <w:b/>
          <w:sz w:val="20"/>
          <w:szCs w:val="20"/>
        </w:rPr>
        <w:t xml:space="preserve"> 3</w:t>
      </w:r>
      <w:r w:rsidR="00CD5077">
        <w:rPr>
          <w:rFonts w:ascii="Arial Narrow" w:hAnsi="Arial Narrow"/>
          <w:b/>
          <w:sz w:val="20"/>
          <w:szCs w:val="20"/>
        </w:rPr>
        <w:t xml:space="preserve">: Change in PBS costs expected as a result of listing </w:t>
      </w:r>
      <w:proofErr w:type="spellStart"/>
      <w:r w:rsidR="00CD5077">
        <w:rPr>
          <w:rFonts w:ascii="Arial Narrow" w:hAnsi="Arial Narrow"/>
          <w:b/>
          <w:sz w:val="20"/>
          <w:szCs w:val="20"/>
        </w:rPr>
        <w:t>sitagliptin</w:t>
      </w:r>
      <w:proofErr w:type="spellEnd"/>
      <w:r w:rsidR="00CD5077">
        <w:rPr>
          <w:rFonts w:ascii="Arial Narrow" w:hAnsi="Arial Narrow"/>
          <w:b/>
          <w:sz w:val="20"/>
          <w:szCs w:val="20"/>
        </w:rPr>
        <w:t xml:space="preserve">, </w:t>
      </w:r>
      <w:proofErr w:type="spellStart"/>
      <w:r w:rsidR="00CD5077">
        <w:rPr>
          <w:rFonts w:ascii="Arial Narrow" w:hAnsi="Arial Narrow"/>
          <w:b/>
          <w:sz w:val="20"/>
          <w:szCs w:val="20"/>
        </w:rPr>
        <w:t>sitagliptin</w:t>
      </w:r>
      <w:proofErr w:type="spellEnd"/>
      <w:r w:rsidR="00CD5077">
        <w:rPr>
          <w:rFonts w:ascii="Arial Narrow" w:hAnsi="Arial Narrow"/>
          <w:b/>
          <w:sz w:val="20"/>
          <w:szCs w:val="20"/>
        </w:rPr>
        <w:t xml:space="preserve">/metformin and </w:t>
      </w:r>
      <w:proofErr w:type="spellStart"/>
      <w:r w:rsidR="00CD5077">
        <w:rPr>
          <w:rFonts w:ascii="Arial Narrow" w:hAnsi="Arial Narrow"/>
          <w:b/>
          <w:sz w:val="20"/>
          <w:szCs w:val="20"/>
        </w:rPr>
        <w:t>sitagliptin</w:t>
      </w:r>
      <w:proofErr w:type="spellEnd"/>
      <w:r w:rsidR="00CD5077">
        <w:rPr>
          <w:rFonts w:ascii="Arial Narrow" w:hAnsi="Arial Narrow"/>
          <w:b/>
          <w:sz w:val="20"/>
          <w:szCs w:val="20"/>
        </w:rPr>
        <w:t>/metformin XR (DPMQ less patient co-payments).</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126"/>
        <w:gridCol w:w="1293"/>
        <w:gridCol w:w="1221"/>
        <w:gridCol w:w="1293"/>
        <w:gridCol w:w="1293"/>
      </w:tblGrid>
      <w:tr w:rsidR="00CD5077" w:rsidRPr="00CD5077" w:rsidTr="00ED740F">
        <w:trPr>
          <w:trHeight w:val="304"/>
        </w:trPr>
        <w:tc>
          <w:tcPr>
            <w:tcW w:w="2136" w:type="dxa"/>
            <w:shd w:val="clear" w:color="auto" w:fill="auto"/>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p>
        </w:tc>
        <w:tc>
          <w:tcPr>
            <w:tcW w:w="1126" w:type="dxa"/>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r w:rsidRPr="00CD5077">
              <w:rPr>
                <w:rFonts w:ascii="Arial Narrow" w:hAnsi="Arial Narrow"/>
                <w:b/>
                <w:sz w:val="20"/>
                <w:szCs w:val="20"/>
                <w:lang w:eastAsia="en-US"/>
              </w:rPr>
              <w:t>Year 1</w:t>
            </w:r>
          </w:p>
        </w:tc>
        <w:tc>
          <w:tcPr>
            <w:tcW w:w="1293" w:type="dxa"/>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r w:rsidRPr="00CD5077">
              <w:rPr>
                <w:rFonts w:ascii="Arial Narrow" w:hAnsi="Arial Narrow"/>
                <w:b/>
                <w:sz w:val="20"/>
                <w:szCs w:val="20"/>
                <w:lang w:eastAsia="en-US"/>
              </w:rPr>
              <w:t>Year 2</w:t>
            </w:r>
          </w:p>
        </w:tc>
        <w:tc>
          <w:tcPr>
            <w:tcW w:w="1221" w:type="dxa"/>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r w:rsidRPr="00CD5077">
              <w:rPr>
                <w:rFonts w:ascii="Arial Narrow" w:hAnsi="Arial Narrow"/>
                <w:b/>
                <w:sz w:val="20"/>
                <w:szCs w:val="20"/>
                <w:lang w:eastAsia="en-US"/>
              </w:rPr>
              <w:t>Year 3</w:t>
            </w:r>
          </w:p>
        </w:tc>
        <w:tc>
          <w:tcPr>
            <w:tcW w:w="1293" w:type="dxa"/>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r w:rsidRPr="00CD5077">
              <w:rPr>
                <w:rFonts w:ascii="Arial Narrow" w:hAnsi="Arial Narrow"/>
                <w:b/>
                <w:sz w:val="20"/>
                <w:szCs w:val="20"/>
                <w:lang w:eastAsia="en-US"/>
              </w:rPr>
              <w:t>Year 4</w:t>
            </w:r>
          </w:p>
        </w:tc>
        <w:tc>
          <w:tcPr>
            <w:tcW w:w="1293" w:type="dxa"/>
          </w:tcPr>
          <w:p w:rsidR="00CD5077" w:rsidRPr="00CD5077" w:rsidRDefault="00CD5077" w:rsidP="00ED740F">
            <w:pPr>
              <w:keepNext/>
              <w:keepLines/>
              <w:tabs>
                <w:tab w:val="left" w:pos="416"/>
                <w:tab w:val="left" w:pos="582"/>
              </w:tabs>
              <w:spacing w:before="40" w:after="20"/>
              <w:jc w:val="both"/>
              <w:rPr>
                <w:rFonts w:ascii="Arial Narrow" w:hAnsi="Arial Narrow"/>
                <w:b/>
                <w:sz w:val="20"/>
                <w:szCs w:val="20"/>
                <w:lang w:eastAsia="en-US"/>
              </w:rPr>
            </w:pPr>
            <w:r w:rsidRPr="00CD5077">
              <w:rPr>
                <w:rFonts w:ascii="Arial Narrow" w:hAnsi="Arial Narrow"/>
                <w:b/>
                <w:sz w:val="20"/>
                <w:szCs w:val="20"/>
                <w:lang w:eastAsia="en-US"/>
              </w:rPr>
              <w:t>Year 5</w:t>
            </w:r>
          </w:p>
        </w:tc>
      </w:tr>
      <w:tr w:rsidR="00CD5077" w:rsidRPr="00CD5077" w:rsidTr="00ED740F">
        <w:trPr>
          <w:trHeight w:val="304"/>
        </w:trPr>
        <w:tc>
          <w:tcPr>
            <w:tcW w:w="2136" w:type="dxa"/>
            <w:shd w:val="clear" w:color="auto" w:fill="auto"/>
            <w:vAlign w:val="bottom"/>
          </w:tcPr>
          <w:p w:rsidR="00CD5077" w:rsidRPr="00CD5077" w:rsidRDefault="00CD5077" w:rsidP="00ED740F">
            <w:pPr>
              <w:keepNext/>
              <w:keepLines/>
              <w:tabs>
                <w:tab w:val="left" w:pos="416"/>
                <w:tab w:val="left" w:pos="582"/>
              </w:tabs>
              <w:spacing w:before="40" w:after="20"/>
              <w:jc w:val="both"/>
              <w:rPr>
                <w:rFonts w:ascii="Arial Narrow" w:hAnsi="Arial Narrow"/>
                <w:sz w:val="20"/>
                <w:szCs w:val="20"/>
                <w:lang w:eastAsia="en-US"/>
              </w:rPr>
            </w:pPr>
            <w:r w:rsidRPr="00CD5077">
              <w:rPr>
                <w:rFonts w:ascii="Arial Narrow" w:hAnsi="Arial Narrow"/>
                <w:sz w:val="20"/>
                <w:szCs w:val="20"/>
                <w:lang w:eastAsia="en-US"/>
              </w:rPr>
              <w:t xml:space="preserve">Increased use of SITA </w:t>
            </w:r>
          </w:p>
        </w:tc>
        <w:tc>
          <w:tcPr>
            <w:tcW w:w="1126"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21"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r>
      <w:tr w:rsidR="00CD5077" w:rsidRPr="00CD5077" w:rsidTr="00ED740F">
        <w:trPr>
          <w:trHeight w:val="540"/>
        </w:trPr>
        <w:tc>
          <w:tcPr>
            <w:tcW w:w="2136" w:type="dxa"/>
            <w:shd w:val="clear" w:color="auto" w:fill="auto"/>
            <w:vAlign w:val="bottom"/>
          </w:tcPr>
          <w:p w:rsidR="00CD5077" w:rsidRPr="00CD5077" w:rsidRDefault="00CD5077" w:rsidP="00ED740F">
            <w:pPr>
              <w:keepNext/>
              <w:keepLines/>
              <w:tabs>
                <w:tab w:val="left" w:pos="416"/>
                <w:tab w:val="left" w:pos="582"/>
              </w:tabs>
              <w:spacing w:before="40" w:after="20"/>
              <w:jc w:val="both"/>
              <w:rPr>
                <w:rFonts w:ascii="Arial Narrow" w:hAnsi="Arial Narrow"/>
                <w:sz w:val="20"/>
                <w:szCs w:val="20"/>
                <w:lang w:eastAsia="en-US"/>
              </w:rPr>
            </w:pPr>
            <w:r w:rsidRPr="00CD5077">
              <w:rPr>
                <w:rFonts w:ascii="Arial Narrow" w:hAnsi="Arial Narrow"/>
                <w:sz w:val="20"/>
                <w:szCs w:val="20"/>
                <w:lang w:eastAsia="en-US"/>
              </w:rPr>
              <w:t>Decreased use of DAPA</w:t>
            </w:r>
          </w:p>
        </w:tc>
        <w:tc>
          <w:tcPr>
            <w:tcW w:w="1126"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366,261</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734,314</w:t>
            </w:r>
          </w:p>
        </w:tc>
        <w:tc>
          <w:tcPr>
            <w:tcW w:w="1221"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1,136,479</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1,572,756</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2,043,147</w:t>
            </w:r>
          </w:p>
        </w:tc>
      </w:tr>
      <w:tr w:rsidR="00CD5077" w:rsidRPr="00CD5077" w:rsidTr="00ED740F">
        <w:trPr>
          <w:trHeight w:val="540"/>
        </w:trPr>
        <w:tc>
          <w:tcPr>
            <w:tcW w:w="2136" w:type="dxa"/>
            <w:shd w:val="clear" w:color="auto" w:fill="auto"/>
            <w:vAlign w:val="bottom"/>
          </w:tcPr>
          <w:p w:rsidR="00CD5077" w:rsidRPr="00CD5077" w:rsidRDefault="00CD5077" w:rsidP="00ED740F">
            <w:pPr>
              <w:keepNext/>
              <w:keepLines/>
              <w:tabs>
                <w:tab w:val="left" w:pos="416"/>
                <w:tab w:val="left" w:pos="582"/>
              </w:tabs>
              <w:spacing w:before="40" w:after="20"/>
              <w:jc w:val="both"/>
              <w:rPr>
                <w:rFonts w:ascii="Arial Narrow" w:hAnsi="Arial Narrow"/>
                <w:sz w:val="20"/>
                <w:szCs w:val="20"/>
                <w:lang w:eastAsia="en-US"/>
              </w:rPr>
            </w:pPr>
            <w:r w:rsidRPr="00CD5077">
              <w:rPr>
                <w:rFonts w:ascii="Arial Narrow" w:hAnsi="Arial Narrow"/>
                <w:sz w:val="20"/>
                <w:szCs w:val="20"/>
                <w:lang w:eastAsia="en-US"/>
              </w:rPr>
              <w:t>Decreased use of MET</w:t>
            </w:r>
          </w:p>
        </w:tc>
        <w:tc>
          <w:tcPr>
            <w:tcW w:w="1126"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29,656</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59,458</w:t>
            </w:r>
          </w:p>
        </w:tc>
        <w:tc>
          <w:tcPr>
            <w:tcW w:w="1221"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92,021</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127,347</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Pr="00817657">
              <w:rPr>
                <w:rFonts w:ascii="Arial Narrow" w:hAnsi="Arial Narrow" w:cs="Arial"/>
                <w:sz w:val="20"/>
                <w:szCs w:val="20"/>
                <w:lang w:eastAsia="en-US"/>
              </w:rPr>
              <w:t>165,435</w:t>
            </w:r>
          </w:p>
        </w:tc>
      </w:tr>
      <w:tr w:rsidR="00CD5077" w:rsidRPr="00CD5077" w:rsidTr="00ED740F">
        <w:trPr>
          <w:trHeight w:val="552"/>
        </w:trPr>
        <w:tc>
          <w:tcPr>
            <w:tcW w:w="2136" w:type="dxa"/>
            <w:shd w:val="clear" w:color="auto" w:fill="auto"/>
            <w:vAlign w:val="bottom"/>
          </w:tcPr>
          <w:p w:rsidR="00CD5077" w:rsidRPr="00CD5077" w:rsidRDefault="00CD5077" w:rsidP="00ED740F">
            <w:pPr>
              <w:keepNext/>
              <w:keepLines/>
              <w:tabs>
                <w:tab w:val="left" w:pos="416"/>
                <w:tab w:val="left" w:pos="582"/>
              </w:tabs>
              <w:spacing w:before="40" w:after="20"/>
              <w:jc w:val="both"/>
              <w:rPr>
                <w:rFonts w:ascii="Arial Narrow" w:hAnsi="Arial Narrow"/>
                <w:sz w:val="20"/>
                <w:szCs w:val="20"/>
                <w:lang w:eastAsia="en-US"/>
              </w:rPr>
            </w:pPr>
            <w:r w:rsidRPr="00CD5077">
              <w:rPr>
                <w:rFonts w:ascii="Arial Narrow" w:hAnsi="Arial Narrow"/>
                <w:sz w:val="20"/>
                <w:szCs w:val="20"/>
                <w:lang w:eastAsia="en-US"/>
              </w:rPr>
              <w:t>Total cost of drugs with decreased use</w:t>
            </w:r>
          </w:p>
        </w:tc>
        <w:tc>
          <w:tcPr>
            <w:tcW w:w="1126"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$395,917</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$793,771</w:t>
            </w:r>
          </w:p>
        </w:tc>
        <w:tc>
          <w:tcPr>
            <w:tcW w:w="1221"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$1,228,500</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$1,700,103</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$2,208,581</w:t>
            </w:r>
          </w:p>
        </w:tc>
      </w:tr>
      <w:tr w:rsidR="00CD5077" w:rsidRPr="00CD5077" w:rsidTr="00ED740F">
        <w:trPr>
          <w:trHeight w:val="552"/>
        </w:trPr>
        <w:tc>
          <w:tcPr>
            <w:tcW w:w="2136" w:type="dxa"/>
            <w:shd w:val="clear" w:color="auto" w:fill="auto"/>
            <w:vAlign w:val="bottom"/>
          </w:tcPr>
          <w:p w:rsidR="00CD5077" w:rsidRPr="00CD5077" w:rsidRDefault="00CD5077" w:rsidP="00ED740F">
            <w:pPr>
              <w:keepNext/>
              <w:keepLines/>
              <w:tabs>
                <w:tab w:val="left" w:pos="416"/>
                <w:tab w:val="left" w:pos="582"/>
              </w:tabs>
              <w:spacing w:before="40" w:after="20"/>
              <w:jc w:val="both"/>
              <w:rPr>
                <w:rFonts w:ascii="Arial Narrow" w:hAnsi="Arial Narrow"/>
                <w:sz w:val="20"/>
                <w:szCs w:val="20"/>
                <w:lang w:eastAsia="en-US"/>
              </w:rPr>
            </w:pPr>
            <w:r w:rsidRPr="00CD5077">
              <w:rPr>
                <w:rFonts w:ascii="Arial Narrow" w:hAnsi="Arial Narrow"/>
                <w:sz w:val="20"/>
                <w:szCs w:val="20"/>
                <w:lang w:eastAsia="en-US"/>
              </w:rPr>
              <w:t xml:space="preserve">Net change (increased – decreased) </w:t>
            </w:r>
          </w:p>
        </w:tc>
        <w:tc>
          <w:tcPr>
            <w:tcW w:w="1126"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21"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c>
          <w:tcPr>
            <w:tcW w:w="1293" w:type="dxa"/>
            <w:vAlign w:val="bottom"/>
          </w:tcPr>
          <w:p w:rsidR="00CD5077" w:rsidRPr="00CD5077" w:rsidRDefault="00CD5077" w:rsidP="00ED740F">
            <w:pPr>
              <w:keepNext/>
              <w:keepLines/>
              <w:tabs>
                <w:tab w:val="left" w:pos="416"/>
                <w:tab w:val="left" w:pos="582"/>
              </w:tabs>
              <w:spacing w:before="40" w:after="20"/>
              <w:jc w:val="both"/>
              <w:rPr>
                <w:rFonts w:ascii="Arial Narrow" w:hAnsi="Arial Narrow" w:cs="Arial"/>
                <w:sz w:val="20"/>
                <w:szCs w:val="20"/>
                <w:lang w:eastAsia="en-US"/>
              </w:rPr>
            </w:pPr>
            <w:r w:rsidRPr="00CD5077">
              <w:rPr>
                <w:rFonts w:ascii="Arial Narrow" w:hAnsi="Arial Narrow" w:cs="Arial"/>
                <w:sz w:val="20"/>
                <w:szCs w:val="20"/>
                <w:lang w:eastAsia="en-US"/>
              </w:rPr>
              <w:t>$</w:t>
            </w:r>
            <w:r w:rsidR="0090025C">
              <w:rPr>
                <w:rFonts w:ascii="Arial Narrow" w:hAnsi="Arial Narrow" w:cs="Arial"/>
                <w:noProof/>
                <w:color w:val="000000"/>
                <w:sz w:val="20"/>
                <w:szCs w:val="20"/>
                <w:highlight w:val="black"/>
                <w:lang w:eastAsia="en-US"/>
              </w:rPr>
              <w:t>''''''''''''''''''''</w:t>
            </w:r>
          </w:p>
        </w:tc>
      </w:tr>
    </w:tbl>
    <w:p w:rsidR="001E0436" w:rsidRDefault="00CD5077" w:rsidP="00ED740F">
      <w:pPr>
        <w:pStyle w:val="ListParagraph"/>
        <w:jc w:val="both"/>
        <w:rPr>
          <w:rFonts w:ascii="Arial" w:hAnsi="Arial"/>
          <w:sz w:val="22"/>
          <w:szCs w:val="22"/>
        </w:rPr>
      </w:pPr>
      <w:r w:rsidRPr="00CD5077">
        <w:rPr>
          <w:rFonts w:ascii="Arial Narrow" w:hAnsi="Arial Narrow"/>
          <w:sz w:val="20"/>
          <w:szCs w:val="20"/>
        </w:rPr>
        <w:t>Source:</w:t>
      </w:r>
      <w:r>
        <w:rPr>
          <w:rFonts w:ascii="Arial Narrow" w:hAnsi="Arial Narrow"/>
          <w:sz w:val="20"/>
          <w:szCs w:val="20"/>
        </w:rPr>
        <w:t xml:space="preserve"> Table F-3, p24 of the minor re-submission.</w:t>
      </w:r>
    </w:p>
    <w:p w:rsidR="001E0436" w:rsidRDefault="001E0436" w:rsidP="00ED740F">
      <w:pPr>
        <w:pStyle w:val="ListParagraph"/>
        <w:jc w:val="both"/>
        <w:rPr>
          <w:rFonts w:ascii="Arial" w:hAnsi="Arial"/>
          <w:sz w:val="22"/>
          <w:szCs w:val="22"/>
        </w:rPr>
      </w:pPr>
    </w:p>
    <w:p w:rsidR="00A628CA" w:rsidRPr="00ED740F" w:rsidRDefault="00A628CA" w:rsidP="00ED740F">
      <w:pPr>
        <w:pStyle w:val="ListParagraph"/>
        <w:ind w:left="709"/>
        <w:jc w:val="both"/>
        <w:rPr>
          <w:rFonts w:ascii="Arial" w:hAnsi="Arial" w:cs="Arial"/>
          <w:i/>
          <w:sz w:val="22"/>
          <w:szCs w:val="22"/>
        </w:rPr>
      </w:pPr>
      <w:r w:rsidRPr="00ED740F">
        <w:rPr>
          <w:rFonts w:ascii="Arial" w:hAnsi="Arial" w:cs="Arial"/>
          <w:i/>
          <w:sz w:val="22"/>
          <w:szCs w:val="22"/>
        </w:rPr>
        <w:t>For more detail on PBAC’s view, see section 7 “PBAC outcome”</w:t>
      </w:r>
      <w:r w:rsidR="00ED740F">
        <w:rPr>
          <w:rFonts w:ascii="Arial" w:hAnsi="Arial" w:cs="Arial"/>
          <w:i/>
          <w:sz w:val="22"/>
          <w:szCs w:val="22"/>
        </w:rPr>
        <w:t>.</w:t>
      </w:r>
    </w:p>
    <w:p w:rsidR="00D809E4" w:rsidRDefault="00D809E4" w:rsidP="00ED740F">
      <w:pPr>
        <w:pStyle w:val="ListParagraph"/>
        <w:jc w:val="both"/>
        <w:rPr>
          <w:rFonts w:ascii="Arial" w:hAnsi="Arial"/>
          <w:sz w:val="22"/>
          <w:szCs w:val="22"/>
        </w:rPr>
      </w:pPr>
    </w:p>
    <w:p w:rsidR="00D809E4" w:rsidRPr="00D809E4" w:rsidRDefault="00D809E4" w:rsidP="00ED740F">
      <w:pPr>
        <w:jc w:val="both"/>
        <w:rPr>
          <w:rFonts w:ascii="Arial" w:hAnsi="Arial" w:cs="Arial"/>
          <w:sz w:val="22"/>
          <w:szCs w:val="22"/>
        </w:rPr>
      </w:pPr>
    </w:p>
    <w:p w:rsidR="00D809E4" w:rsidRPr="00D809E4" w:rsidRDefault="00D809E4" w:rsidP="004A3973">
      <w:pPr>
        <w:pStyle w:val="Heading1"/>
      </w:pPr>
      <w:r w:rsidRPr="00D809E4">
        <w:t>PBAC Outcome</w:t>
      </w:r>
    </w:p>
    <w:p w:rsidR="00D809E4" w:rsidRPr="00D809E4" w:rsidRDefault="00D809E4" w:rsidP="00ED740F">
      <w:pPr>
        <w:contextualSpacing/>
        <w:jc w:val="both"/>
        <w:rPr>
          <w:rFonts w:ascii="Arial" w:hAnsi="Arial" w:cs="Arial"/>
          <w:bCs/>
          <w:sz w:val="22"/>
          <w:szCs w:val="22"/>
          <w:highlight w:val="yellow"/>
          <w:lang w:val="en-GB"/>
        </w:rPr>
      </w:pPr>
    </w:p>
    <w:p w:rsidR="00D809E4" w:rsidRPr="000F6A99" w:rsidRDefault="00D809E4" w:rsidP="00ED740F">
      <w:pPr>
        <w:widowControl w:val="0"/>
        <w:numPr>
          <w:ilvl w:val="1"/>
          <w:numId w:val="1"/>
        </w:numPr>
        <w:contextualSpacing/>
        <w:jc w:val="both"/>
        <w:rPr>
          <w:rFonts w:ascii="Arial" w:hAnsi="Arial" w:cs="Arial"/>
          <w:bCs/>
          <w:sz w:val="22"/>
          <w:szCs w:val="22"/>
          <w:lang w:val="en-GB"/>
        </w:rPr>
      </w:pPr>
      <w:r w:rsidRPr="00D809E4">
        <w:rPr>
          <w:rFonts w:ascii="Arial" w:hAnsi="Arial" w:cs="Arial"/>
          <w:bCs/>
          <w:sz w:val="22"/>
          <w:szCs w:val="22"/>
          <w:lang w:val="en-GB"/>
        </w:rPr>
        <w:t xml:space="preserve">The PBAC rejected the minor resubmission to extend the PBS listing for </w:t>
      </w:r>
      <w:proofErr w:type="spellStart"/>
      <w:r w:rsidRPr="00D809E4">
        <w:rPr>
          <w:rFonts w:ascii="Arial" w:hAnsi="Arial" w:cs="Arial"/>
          <w:bCs/>
          <w:sz w:val="22"/>
          <w:szCs w:val="22"/>
          <w:lang w:val="en-GB"/>
        </w:rPr>
        <w:t>sitagliptin</w:t>
      </w:r>
      <w:proofErr w:type="spellEnd"/>
      <w:r w:rsidRPr="00D809E4">
        <w:rPr>
          <w:rFonts w:ascii="Arial" w:hAnsi="Arial" w:cs="Arial"/>
          <w:sz w:val="22"/>
          <w:szCs w:val="22"/>
        </w:rPr>
        <w:t xml:space="preserve"> </w:t>
      </w:r>
      <w:r w:rsidRPr="00D809E4">
        <w:rPr>
          <w:rFonts w:ascii="Arial" w:hAnsi="Arial" w:cs="Arial"/>
          <w:bCs/>
          <w:sz w:val="22"/>
          <w:szCs w:val="22"/>
        </w:rPr>
        <w:t>for use in combination with insulin in patients with type 2 diabetes, with or without metformin.</w:t>
      </w:r>
      <w:r w:rsidR="00450A59">
        <w:rPr>
          <w:rFonts w:ascii="Arial" w:hAnsi="Arial" w:cs="Arial"/>
          <w:bCs/>
          <w:sz w:val="22"/>
          <w:szCs w:val="22"/>
        </w:rPr>
        <w:t xml:space="preserve">  </w:t>
      </w:r>
      <w:r w:rsidR="00420F96" w:rsidRPr="000F6A99">
        <w:rPr>
          <w:rFonts w:ascii="Arial" w:hAnsi="Arial" w:cs="Arial"/>
          <w:bCs/>
          <w:sz w:val="22"/>
          <w:szCs w:val="22"/>
        </w:rPr>
        <w:t xml:space="preserve">The PBAC </w:t>
      </w:r>
      <w:r w:rsidR="00A72452" w:rsidRPr="000F6A99">
        <w:rPr>
          <w:rFonts w:ascii="Arial" w:hAnsi="Arial" w:cs="Arial"/>
          <w:bCs/>
          <w:sz w:val="22"/>
          <w:szCs w:val="22"/>
        </w:rPr>
        <w:t>noted the sponsor’s arguments regarding the differences in trial design b</w:t>
      </w:r>
      <w:r w:rsidR="00420F96" w:rsidRPr="000F6A99">
        <w:rPr>
          <w:rFonts w:ascii="Arial" w:hAnsi="Arial" w:cs="Arial"/>
          <w:bCs/>
          <w:sz w:val="22"/>
          <w:szCs w:val="22"/>
        </w:rPr>
        <w:t>etween trial P260 and Wilding</w:t>
      </w:r>
      <w:r w:rsidR="00A72452" w:rsidRPr="000F6A99">
        <w:rPr>
          <w:rFonts w:ascii="Arial" w:hAnsi="Arial" w:cs="Arial"/>
          <w:bCs/>
          <w:sz w:val="22"/>
          <w:szCs w:val="22"/>
        </w:rPr>
        <w:t>.  However, the PBAC did not consider that these arguments would support a posi</w:t>
      </w:r>
      <w:r w:rsidR="00ED740F" w:rsidRPr="000F6A99">
        <w:rPr>
          <w:rFonts w:ascii="Arial" w:hAnsi="Arial" w:cs="Arial"/>
          <w:bCs/>
          <w:sz w:val="22"/>
          <w:szCs w:val="22"/>
        </w:rPr>
        <w:t>tion that a comparison between P</w:t>
      </w:r>
      <w:r w:rsidR="00A72452" w:rsidRPr="000F6A99">
        <w:rPr>
          <w:rFonts w:ascii="Arial" w:hAnsi="Arial" w:cs="Arial"/>
          <w:bCs/>
          <w:sz w:val="22"/>
          <w:szCs w:val="22"/>
        </w:rPr>
        <w:t>260 and Wilding</w:t>
      </w:r>
      <w:r w:rsidR="00420F96" w:rsidRPr="000F6A99">
        <w:rPr>
          <w:rFonts w:ascii="Arial" w:hAnsi="Arial" w:cs="Arial"/>
          <w:bCs/>
          <w:sz w:val="22"/>
          <w:szCs w:val="22"/>
        </w:rPr>
        <w:t xml:space="preserve"> should be disregarded in assessing the clinical effectiveness of </w:t>
      </w:r>
      <w:proofErr w:type="spellStart"/>
      <w:r w:rsidR="00420F96" w:rsidRPr="000F6A99">
        <w:rPr>
          <w:rFonts w:ascii="Arial" w:hAnsi="Arial" w:cs="Arial"/>
          <w:bCs/>
          <w:sz w:val="22"/>
          <w:szCs w:val="22"/>
        </w:rPr>
        <w:t>sitagliptin</w:t>
      </w:r>
      <w:proofErr w:type="spellEnd"/>
      <w:r w:rsidR="00420F96" w:rsidRPr="000F6A99">
        <w:rPr>
          <w:rFonts w:ascii="Arial" w:hAnsi="Arial" w:cs="Arial"/>
          <w:bCs/>
          <w:sz w:val="22"/>
          <w:szCs w:val="22"/>
        </w:rPr>
        <w:t xml:space="preserve"> in combination with insulin.</w:t>
      </w:r>
    </w:p>
    <w:p w:rsidR="00450A59" w:rsidRPr="00450A59" w:rsidRDefault="00450A59" w:rsidP="00ED740F">
      <w:pPr>
        <w:widowControl w:val="0"/>
        <w:ind w:left="720"/>
        <w:contextualSpacing/>
        <w:jc w:val="both"/>
        <w:rPr>
          <w:rFonts w:ascii="Arial" w:hAnsi="Arial" w:cs="Arial"/>
          <w:bCs/>
          <w:sz w:val="22"/>
          <w:szCs w:val="22"/>
          <w:lang w:val="en-GB"/>
        </w:rPr>
      </w:pPr>
    </w:p>
    <w:p w:rsidR="00450A59" w:rsidRPr="00A628CA" w:rsidRDefault="00450A59" w:rsidP="00ED740F">
      <w:pPr>
        <w:widowControl w:val="0"/>
        <w:numPr>
          <w:ilvl w:val="1"/>
          <w:numId w:val="1"/>
        </w:numPr>
        <w:contextualSpacing/>
        <w:jc w:val="both"/>
        <w:rPr>
          <w:rFonts w:ascii="Arial" w:hAnsi="Arial" w:cs="Arial"/>
          <w:bCs/>
          <w:sz w:val="22"/>
          <w:szCs w:val="22"/>
        </w:rPr>
      </w:pPr>
      <w:r>
        <w:rPr>
          <w:rFonts w:ascii="Arial" w:hAnsi="Arial" w:cs="Arial"/>
          <w:bCs/>
          <w:sz w:val="22"/>
          <w:szCs w:val="22"/>
        </w:rPr>
        <w:t xml:space="preserve">The PBAC noted the resubmission’s claim that trial </w:t>
      </w:r>
      <w:r w:rsidRPr="00450A59">
        <w:rPr>
          <w:rFonts w:ascii="Arial" w:hAnsi="Arial" w:cs="Arial"/>
          <w:bCs/>
          <w:sz w:val="22"/>
          <w:szCs w:val="22"/>
        </w:rPr>
        <w:t xml:space="preserve">P051 </w:t>
      </w:r>
      <w:r w:rsidRPr="00450A59">
        <w:rPr>
          <w:rFonts w:ascii="Arial" w:hAnsi="Arial" w:cs="Arial"/>
          <w:bCs/>
          <w:i/>
          <w:sz w:val="22"/>
          <w:szCs w:val="22"/>
        </w:rPr>
        <w:t>“…is the appropriate key trial to compare with Wilding [and that]… [t]he indirect analysis of P051 to Wilding supports the non-inferiority claims presented in the submission.”</w:t>
      </w:r>
    </w:p>
    <w:p w:rsidR="00A628CA" w:rsidRPr="00450A59" w:rsidRDefault="00A628CA" w:rsidP="00ED740F">
      <w:pPr>
        <w:widowControl w:val="0"/>
        <w:contextualSpacing/>
        <w:jc w:val="both"/>
        <w:rPr>
          <w:rFonts w:ascii="Arial" w:hAnsi="Arial" w:cs="Arial"/>
          <w:bCs/>
          <w:sz w:val="22"/>
          <w:szCs w:val="22"/>
        </w:rPr>
      </w:pPr>
    </w:p>
    <w:p w:rsidR="00450A59" w:rsidRDefault="0066739E"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The PBAC noted that the design o</w:t>
      </w:r>
      <w:r w:rsidR="00441BF3">
        <w:rPr>
          <w:rFonts w:ascii="Arial" w:hAnsi="Arial" w:cs="Arial"/>
          <w:bCs/>
          <w:sz w:val="22"/>
          <w:szCs w:val="22"/>
          <w:lang w:val="en-GB"/>
        </w:rPr>
        <w:t>f P051 required the insulin dose to remain stable through the course of the trial</w:t>
      </w:r>
      <w:r>
        <w:rPr>
          <w:rFonts w:ascii="Arial" w:hAnsi="Arial" w:cs="Arial"/>
          <w:bCs/>
          <w:sz w:val="22"/>
          <w:szCs w:val="22"/>
          <w:lang w:val="en-GB"/>
        </w:rPr>
        <w:t xml:space="preserve">, </w:t>
      </w:r>
      <w:r w:rsidR="00441BF3">
        <w:rPr>
          <w:rFonts w:ascii="Arial" w:hAnsi="Arial" w:cs="Arial"/>
          <w:bCs/>
          <w:sz w:val="22"/>
          <w:szCs w:val="22"/>
          <w:lang w:val="en-GB"/>
        </w:rPr>
        <w:t xml:space="preserve">except for reductions to allow for hypoglycaemia and </w:t>
      </w:r>
      <w:r w:rsidR="00455EF2">
        <w:rPr>
          <w:rFonts w:ascii="Arial" w:hAnsi="Arial" w:cs="Arial"/>
          <w:bCs/>
          <w:sz w:val="22"/>
          <w:szCs w:val="22"/>
          <w:lang w:val="en-GB"/>
        </w:rPr>
        <w:t xml:space="preserve">insulin dose adjustments </w:t>
      </w:r>
      <w:r w:rsidR="00441BF3">
        <w:rPr>
          <w:rFonts w:ascii="Arial" w:hAnsi="Arial" w:cs="Arial"/>
          <w:bCs/>
          <w:sz w:val="22"/>
          <w:szCs w:val="22"/>
          <w:lang w:val="en-GB"/>
        </w:rPr>
        <w:t>for rescue therapy where progressively stricter glycaemic goals were not met.  A</w:t>
      </w:r>
      <w:r>
        <w:rPr>
          <w:rFonts w:ascii="Arial" w:hAnsi="Arial" w:cs="Arial"/>
          <w:bCs/>
          <w:sz w:val="22"/>
          <w:szCs w:val="22"/>
          <w:lang w:val="en-GB"/>
        </w:rPr>
        <w:t xml:space="preserve">t the end of the trial, </w:t>
      </w:r>
      <w:r w:rsidRPr="0066739E">
        <w:rPr>
          <w:rFonts w:ascii="Arial" w:hAnsi="Arial" w:cs="Arial"/>
          <w:bCs/>
          <w:i/>
          <w:sz w:val="22"/>
          <w:szCs w:val="22"/>
          <w:lang w:val="en-GB"/>
        </w:rPr>
        <w:t>“…the overall mean change (±</w:t>
      </w:r>
      <w:proofErr w:type="spellStart"/>
      <w:r w:rsidRPr="0066739E">
        <w:rPr>
          <w:rFonts w:ascii="Arial" w:hAnsi="Arial" w:cs="Arial"/>
          <w:bCs/>
          <w:i/>
          <w:sz w:val="22"/>
          <w:szCs w:val="22"/>
          <w:lang w:val="en-GB"/>
        </w:rPr>
        <w:t>s.d.</w:t>
      </w:r>
      <w:proofErr w:type="spellEnd"/>
      <w:r w:rsidRPr="0066739E">
        <w:rPr>
          <w:rFonts w:ascii="Arial" w:hAnsi="Arial" w:cs="Arial"/>
          <w:bCs/>
          <w:i/>
          <w:sz w:val="22"/>
          <w:szCs w:val="22"/>
          <w:lang w:val="en-GB"/>
        </w:rPr>
        <w:t xml:space="preserve">) in insulin dose from baseline was minimal, 0 IU (5.8) in the </w:t>
      </w:r>
      <w:proofErr w:type="spellStart"/>
      <w:r w:rsidRPr="0066739E">
        <w:rPr>
          <w:rFonts w:ascii="Arial" w:hAnsi="Arial" w:cs="Arial"/>
          <w:bCs/>
          <w:i/>
          <w:sz w:val="22"/>
          <w:szCs w:val="22"/>
          <w:lang w:val="en-GB"/>
        </w:rPr>
        <w:t>sitagliptin</w:t>
      </w:r>
      <w:proofErr w:type="spellEnd"/>
      <w:r w:rsidRPr="0066739E">
        <w:rPr>
          <w:rFonts w:ascii="Arial" w:hAnsi="Arial" w:cs="Arial"/>
          <w:bCs/>
          <w:i/>
          <w:sz w:val="22"/>
          <w:szCs w:val="22"/>
          <w:lang w:val="en-GB"/>
        </w:rPr>
        <w:t xml:space="preserve"> group and 1.6 IU (7.0) in the placebo.”</w:t>
      </w:r>
      <w:r w:rsidR="00441BF3">
        <w:rPr>
          <w:rFonts w:ascii="Arial" w:hAnsi="Arial" w:cs="Arial"/>
          <w:bCs/>
          <w:i/>
          <w:sz w:val="22"/>
          <w:szCs w:val="22"/>
          <w:lang w:val="en-GB"/>
        </w:rPr>
        <w:t xml:space="preserve"> </w:t>
      </w:r>
      <w:r w:rsidR="00441BF3">
        <w:rPr>
          <w:rFonts w:ascii="Arial" w:hAnsi="Arial" w:cs="Arial"/>
          <w:bCs/>
          <w:sz w:val="22"/>
          <w:szCs w:val="22"/>
          <w:lang w:val="en-GB"/>
        </w:rPr>
        <w:t>(</w:t>
      </w:r>
      <w:proofErr w:type="spellStart"/>
      <w:r w:rsidR="00441BF3">
        <w:rPr>
          <w:rFonts w:ascii="Arial" w:hAnsi="Arial" w:cs="Arial"/>
          <w:bCs/>
          <w:sz w:val="22"/>
          <w:szCs w:val="22"/>
          <w:lang w:val="en-GB"/>
        </w:rPr>
        <w:t>Vilsboll</w:t>
      </w:r>
      <w:proofErr w:type="spellEnd"/>
      <w:r w:rsidR="00441BF3">
        <w:rPr>
          <w:rFonts w:ascii="Arial" w:hAnsi="Arial" w:cs="Arial"/>
          <w:bCs/>
          <w:sz w:val="22"/>
          <w:szCs w:val="22"/>
          <w:lang w:val="en-GB"/>
        </w:rPr>
        <w:t xml:space="preserve"> 2010, P051, </w:t>
      </w:r>
      <w:r w:rsidR="00441BF3" w:rsidRPr="00441BF3">
        <w:rPr>
          <w:rFonts w:ascii="Arial" w:hAnsi="Arial" w:cs="Arial"/>
          <w:bCs/>
          <w:sz w:val="22"/>
          <w:szCs w:val="22"/>
          <w:lang w:val="en-GB"/>
        </w:rPr>
        <w:t xml:space="preserve">Diabetes, Obesity and Metabolism 12: p170). </w:t>
      </w:r>
    </w:p>
    <w:p w:rsidR="00455EF2" w:rsidRDefault="00455EF2" w:rsidP="00ED740F">
      <w:pPr>
        <w:widowControl w:val="0"/>
        <w:ind w:left="720"/>
        <w:contextualSpacing/>
        <w:jc w:val="both"/>
        <w:rPr>
          <w:rFonts w:ascii="Arial" w:hAnsi="Arial" w:cs="Arial"/>
          <w:bCs/>
          <w:sz w:val="22"/>
          <w:szCs w:val="22"/>
          <w:lang w:val="en-GB"/>
        </w:rPr>
      </w:pPr>
    </w:p>
    <w:p w:rsidR="00455EF2" w:rsidRDefault="00455EF2"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With regard to HbA1c improvement demonstrated in P051</w:t>
      </w:r>
      <w:r w:rsidR="0029672F">
        <w:rPr>
          <w:rFonts w:ascii="Arial" w:hAnsi="Arial" w:cs="Arial"/>
          <w:bCs/>
          <w:sz w:val="22"/>
          <w:szCs w:val="22"/>
          <w:lang w:val="en-GB"/>
        </w:rPr>
        <w:t>,</w:t>
      </w:r>
      <w:r>
        <w:rPr>
          <w:rFonts w:ascii="Arial" w:hAnsi="Arial" w:cs="Arial"/>
          <w:bCs/>
          <w:sz w:val="22"/>
          <w:szCs w:val="22"/>
          <w:lang w:val="en-GB"/>
        </w:rPr>
        <w:t xml:space="preserve"> the PBAC noted that patients on </w:t>
      </w:r>
      <w:proofErr w:type="spellStart"/>
      <w:r>
        <w:rPr>
          <w:rFonts w:ascii="Arial" w:hAnsi="Arial" w:cs="Arial"/>
          <w:bCs/>
          <w:sz w:val="22"/>
          <w:szCs w:val="22"/>
          <w:lang w:val="en-GB"/>
        </w:rPr>
        <w:t>sitagliptin</w:t>
      </w:r>
      <w:proofErr w:type="spellEnd"/>
      <w:r>
        <w:rPr>
          <w:rFonts w:ascii="Arial" w:hAnsi="Arial" w:cs="Arial"/>
          <w:bCs/>
          <w:sz w:val="22"/>
          <w:szCs w:val="22"/>
          <w:lang w:val="en-GB"/>
        </w:rPr>
        <w:t xml:space="preserve"> achieved </w:t>
      </w:r>
      <w:r w:rsidR="00DB59B3">
        <w:rPr>
          <w:rFonts w:ascii="Arial" w:hAnsi="Arial" w:cs="Arial"/>
          <w:bCs/>
          <w:sz w:val="22"/>
          <w:szCs w:val="22"/>
          <w:lang w:val="en-GB"/>
        </w:rPr>
        <w:t xml:space="preserve">a </w:t>
      </w:r>
      <w:r>
        <w:rPr>
          <w:rFonts w:ascii="Arial" w:hAnsi="Arial" w:cs="Arial"/>
          <w:bCs/>
          <w:sz w:val="22"/>
          <w:szCs w:val="22"/>
          <w:lang w:val="en-GB"/>
        </w:rPr>
        <w:t>difference in least squares (LS) mean change of</w:t>
      </w:r>
      <w:r w:rsidR="00686688">
        <w:rPr>
          <w:rFonts w:ascii="Arial" w:hAnsi="Arial" w:cs="Arial"/>
          <w:bCs/>
          <w:sz w:val="22"/>
          <w:szCs w:val="22"/>
          <w:lang w:val="en-GB"/>
        </w:rPr>
        <w:t xml:space="preserve"> </w:t>
      </w:r>
      <w:r>
        <w:rPr>
          <w:rFonts w:ascii="Arial" w:hAnsi="Arial" w:cs="Arial"/>
          <w:bCs/>
          <w:sz w:val="22"/>
          <w:szCs w:val="22"/>
          <w:lang w:val="en-GB"/>
        </w:rPr>
        <w:t>-</w:t>
      </w:r>
      <w:r w:rsidR="00DB59B3">
        <w:rPr>
          <w:rFonts w:ascii="Arial" w:hAnsi="Arial" w:cs="Arial"/>
          <w:bCs/>
          <w:sz w:val="22"/>
          <w:szCs w:val="22"/>
          <w:lang w:val="en-GB"/>
        </w:rPr>
        <w:t>0</w:t>
      </w:r>
      <w:r>
        <w:rPr>
          <w:rFonts w:ascii="Arial" w:hAnsi="Arial" w:cs="Arial"/>
          <w:bCs/>
          <w:sz w:val="22"/>
          <w:szCs w:val="22"/>
          <w:lang w:val="en-GB"/>
        </w:rPr>
        <w:t>.6 (-0.7, -0.4) compared with patients on placebo (</w:t>
      </w:r>
      <w:proofErr w:type="spellStart"/>
      <w:r>
        <w:rPr>
          <w:rFonts w:ascii="Arial" w:hAnsi="Arial" w:cs="Arial"/>
          <w:bCs/>
          <w:sz w:val="22"/>
          <w:szCs w:val="22"/>
          <w:lang w:val="en-GB"/>
        </w:rPr>
        <w:t>Vilsboll</w:t>
      </w:r>
      <w:proofErr w:type="spellEnd"/>
      <w:r>
        <w:rPr>
          <w:rFonts w:ascii="Arial" w:hAnsi="Arial" w:cs="Arial"/>
          <w:bCs/>
          <w:sz w:val="22"/>
          <w:szCs w:val="22"/>
          <w:lang w:val="en-GB"/>
        </w:rPr>
        <w:t xml:space="preserve"> 2010, P051, </w:t>
      </w:r>
      <w:r w:rsidRPr="00441BF3">
        <w:rPr>
          <w:rFonts w:ascii="Arial" w:hAnsi="Arial" w:cs="Arial"/>
          <w:bCs/>
          <w:sz w:val="22"/>
          <w:szCs w:val="22"/>
          <w:lang w:val="en-GB"/>
        </w:rPr>
        <w:t>Diabetes, Obesity and Metabolism 12: p17</w:t>
      </w:r>
      <w:r>
        <w:rPr>
          <w:rFonts w:ascii="Arial" w:hAnsi="Arial" w:cs="Arial"/>
          <w:bCs/>
          <w:sz w:val="22"/>
          <w:szCs w:val="22"/>
          <w:lang w:val="en-GB"/>
        </w:rPr>
        <w:t>2</w:t>
      </w:r>
      <w:r w:rsidRPr="00441BF3">
        <w:rPr>
          <w:rFonts w:ascii="Arial" w:hAnsi="Arial" w:cs="Arial"/>
          <w:bCs/>
          <w:sz w:val="22"/>
          <w:szCs w:val="22"/>
          <w:lang w:val="en-GB"/>
        </w:rPr>
        <w:t>)</w:t>
      </w:r>
      <w:r>
        <w:rPr>
          <w:rFonts w:ascii="Arial" w:hAnsi="Arial" w:cs="Arial"/>
          <w:bCs/>
          <w:sz w:val="22"/>
          <w:szCs w:val="22"/>
          <w:lang w:val="en-GB"/>
        </w:rPr>
        <w:t>.</w:t>
      </w:r>
    </w:p>
    <w:p w:rsidR="001659FC" w:rsidRDefault="001659FC" w:rsidP="00ED740F">
      <w:pPr>
        <w:pStyle w:val="ListParagraph"/>
        <w:jc w:val="both"/>
        <w:rPr>
          <w:rFonts w:ascii="Arial" w:hAnsi="Arial" w:cs="Arial"/>
          <w:bCs/>
          <w:sz w:val="22"/>
          <w:szCs w:val="22"/>
          <w:lang w:val="en-GB"/>
        </w:rPr>
      </w:pPr>
    </w:p>
    <w:p w:rsidR="001659FC" w:rsidRDefault="001659FC"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lastRenderedPageBreak/>
        <w:t xml:space="preserve">The PBAC noted that P260 was designed to evaluate the difference in the change from baseline in insulin dose between </w:t>
      </w:r>
      <w:proofErr w:type="spellStart"/>
      <w:r>
        <w:rPr>
          <w:rFonts w:ascii="Arial" w:hAnsi="Arial" w:cs="Arial"/>
          <w:bCs/>
          <w:sz w:val="22"/>
          <w:szCs w:val="22"/>
          <w:lang w:val="en-GB"/>
        </w:rPr>
        <w:t>sitagliptin</w:t>
      </w:r>
      <w:proofErr w:type="spellEnd"/>
      <w:r>
        <w:rPr>
          <w:rFonts w:ascii="Arial" w:hAnsi="Arial" w:cs="Arial"/>
          <w:bCs/>
          <w:sz w:val="22"/>
          <w:szCs w:val="22"/>
          <w:lang w:val="en-GB"/>
        </w:rPr>
        <w:t xml:space="preserve"> and placebo, with the primary efficacy endpoint being the change from baseline in daily insulin dose at 24 weeks.</w:t>
      </w:r>
    </w:p>
    <w:p w:rsidR="001659FC" w:rsidRDefault="001659FC" w:rsidP="00ED740F">
      <w:pPr>
        <w:pStyle w:val="ListParagraph"/>
        <w:jc w:val="both"/>
        <w:rPr>
          <w:rFonts w:ascii="Arial" w:hAnsi="Arial" w:cs="Arial"/>
          <w:bCs/>
          <w:sz w:val="22"/>
          <w:szCs w:val="22"/>
          <w:lang w:val="en-GB"/>
        </w:rPr>
      </w:pPr>
    </w:p>
    <w:p w:rsidR="00DB59B3" w:rsidRDefault="001659FC"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With regard to change in daily insulin dose </w:t>
      </w:r>
      <w:r w:rsidR="00DB59B3">
        <w:rPr>
          <w:rFonts w:ascii="Arial" w:hAnsi="Arial" w:cs="Arial"/>
          <w:bCs/>
          <w:sz w:val="22"/>
          <w:szCs w:val="22"/>
          <w:lang w:val="en-GB"/>
        </w:rPr>
        <w:t xml:space="preserve">at week 24 </w:t>
      </w:r>
      <w:r>
        <w:rPr>
          <w:rFonts w:ascii="Arial" w:hAnsi="Arial" w:cs="Arial"/>
          <w:bCs/>
          <w:sz w:val="22"/>
          <w:szCs w:val="22"/>
          <w:lang w:val="en-GB"/>
        </w:rPr>
        <w:t xml:space="preserve">from baseline </w:t>
      </w:r>
      <w:r w:rsidR="00DB59B3">
        <w:rPr>
          <w:rFonts w:ascii="Arial" w:hAnsi="Arial" w:cs="Arial"/>
          <w:bCs/>
          <w:sz w:val="22"/>
          <w:szCs w:val="22"/>
          <w:lang w:val="en-GB"/>
        </w:rPr>
        <w:t>demonstrated in P260 the PBAC noted</w:t>
      </w:r>
      <w:r w:rsidR="00DB59B3" w:rsidRPr="00DB59B3">
        <w:rPr>
          <w:rFonts w:ascii="Arial" w:hAnsi="Arial" w:cs="Arial"/>
          <w:bCs/>
          <w:sz w:val="22"/>
          <w:szCs w:val="22"/>
          <w:lang w:val="en-GB"/>
        </w:rPr>
        <w:t xml:space="preserve"> patients on </w:t>
      </w:r>
      <w:proofErr w:type="spellStart"/>
      <w:r w:rsidR="00DB59B3" w:rsidRPr="00DB59B3">
        <w:rPr>
          <w:rFonts w:ascii="Arial" w:hAnsi="Arial" w:cs="Arial"/>
          <w:bCs/>
          <w:sz w:val="22"/>
          <w:szCs w:val="22"/>
          <w:lang w:val="en-GB"/>
        </w:rPr>
        <w:t>sitagliptin</w:t>
      </w:r>
      <w:proofErr w:type="spellEnd"/>
      <w:r w:rsidR="00DB59B3" w:rsidRPr="00DB59B3">
        <w:rPr>
          <w:rFonts w:ascii="Arial" w:hAnsi="Arial" w:cs="Arial"/>
          <w:bCs/>
          <w:sz w:val="22"/>
          <w:szCs w:val="22"/>
          <w:lang w:val="en-GB"/>
        </w:rPr>
        <w:t xml:space="preserve"> </w:t>
      </w:r>
      <w:r w:rsidR="00836D4E">
        <w:rPr>
          <w:rFonts w:ascii="Arial" w:hAnsi="Arial" w:cs="Arial"/>
          <w:bCs/>
          <w:sz w:val="22"/>
          <w:szCs w:val="22"/>
          <w:lang w:val="en-GB"/>
        </w:rPr>
        <w:t>had an</w:t>
      </w:r>
      <w:r w:rsidR="00DB59B3" w:rsidRPr="00DB59B3">
        <w:rPr>
          <w:rFonts w:ascii="Arial" w:hAnsi="Arial" w:cs="Arial"/>
          <w:bCs/>
          <w:sz w:val="22"/>
          <w:szCs w:val="22"/>
          <w:lang w:val="en-GB"/>
        </w:rPr>
        <w:t xml:space="preserve"> LS mean change of </w:t>
      </w:r>
      <w:r w:rsidR="00DB59B3">
        <w:rPr>
          <w:rFonts w:ascii="Arial" w:hAnsi="Arial" w:cs="Arial"/>
          <w:bCs/>
          <w:sz w:val="22"/>
          <w:szCs w:val="22"/>
          <w:lang w:val="en-GB"/>
        </w:rPr>
        <w:t>19.0 IU</w:t>
      </w:r>
      <w:r w:rsidR="00DB59B3" w:rsidRPr="00DB59B3">
        <w:rPr>
          <w:rFonts w:ascii="Arial" w:hAnsi="Arial" w:cs="Arial"/>
          <w:bCs/>
          <w:sz w:val="22"/>
          <w:szCs w:val="22"/>
          <w:lang w:val="en-GB"/>
        </w:rPr>
        <w:t xml:space="preserve"> (</w:t>
      </w:r>
      <w:r w:rsidR="00DB59B3">
        <w:rPr>
          <w:rFonts w:ascii="Arial" w:hAnsi="Arial" w:cs="Arial"/>
          <w:bCs/>
          <w:sz w:val="22"/>
          <w:szCs w:val="22"/>
          <w:lang w:val="en-GB"/>
        </w:rPr>
        <w:t>16.5, 21.6) compared with 23.8 (21.3, 26.3) for</w:t>
      </w:r>
      <w:r w:rsidR="00DB59B3" w:rsidRPr="00DB59B3">
        <w:rPr>
          <w:rFonts w:ascii="Arial" w:hAnsi="Arial" w:cs="Arial"/>
          <w:bCs/>
          <w:sz w:val="22"/>
          <w:szCs w:val="22"/>
          <w:lang w:val="en-GB"/>
        </w:rPr>
        <w:t xml:space="preserve"> patients on placebo</w:t>
      </w:r>
      <w:r w:rsidR="00DB59B3">
        <w:rPr>
          <w:rFonts w:ascii="Arial" w:hAnsi="Arial" w:cs="Arial"/>
          <w:bCs/>
          <w:sz w:val="22"/>
          <w:szCs w:val="22"/>
          <w:lang w:val="en-GB"/>
        </w:rPr>
        <w:t xml:space="preserve"> (P260 Clinical Study Report).  For the secondary outcome of change from baseline HbA1c, the PBAC noted a difference in LS mean of -0.45 (-0.60, -0.29).</w:t>
      </w:r>
    </w:p>
    <w:p w:rsidR="00DB59B3" w:rsidRDefault="00DB59B3" w:rsidP="00ED740F">
      <w:pPr>
        <w:pStyle w:val="ListParagraph"/>
        <w:jc w:val="both"/>
        <w:rPr>
          <w:rFonts w:ascii="Arial" w:hAnsi="Arial" w:cs="Arial"/>
          <w:bCs/>
          <w:sz w:val="22"/>
          <w:szCs w:val="22"/>
          <w:lang w:val="en-GB"/>
        </w:rPr>
      </w:pPr>
    </w:p>
    <w:p w:rsidR="0029672F" w:rsidRDefault="00DB59B3"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The PBAC noted that the trial design of </w:t>
      </w:r>
      <w:r w:rsidR="0029672F">
        <w:rPr>
          <w:rFonts w:ascii="Arial" w:hAnsi="Arial" w:cs="Arial"/>
          <w:bCs/>
          <w:sz w:val="22"/>
          <w:szCs w:val="22"/>
          <w:lang w:val="en-GB"/>
        </w:rPr>
        <w:t>Wilding 2012, comparing dapagliflozin with placebo,</w:t>
      </w:r>
      <w:r>
        <w:rPr>
          <w:rFonts w:ascii="Arial" w:hAnsi="Arial" w:cs="Arial"/>
          <w:bCs/>
          <w:sz w:val="22"/>
          <w:szCs w:val="22"/>
          <w:lang w:val="en-GB"/>
        </w:rPr>
        <w:t xml:space="preserve"> held daily insulin doses constant (within 10% of baseline dose), with up-</w:t>
      </w:r>
      <w:r w:rsidR="0029672F">
        <w:rPr>
          <w:rFonts w:ascii="Arial" w:hAnsi="Arial" w:cs="Arial"/>
          <w:bCs/>
          <w:sz w:val="22"/>
          <w:szCs w:val="22"/>
          <w:lang w:val="en-GB"/>
        </w:rPr>
        <w:t xml:space="preserve"> and down-</w:t>
      </w:r>
      <w:r>
        <w:rPr>
          <w:rFonts w:ascii="Arial" w:hAnsi="Arial" w:cs="Arial"/>
          <w:bCs/>
          <w:sz w:val="22"/>
          <w:szCs w:val="22"/>
          <w:lang w:val="en-GB"/>
        </w:rPr>
        <w:t xml:space="preserve">titration of insulin dose permitted </w:t>
      </w:r>
      <w:r w:rsidR="0029672F">
        <w:rPr>
          <w:rFonts w:ascii="Arial" w:hAnsi="Arial" w:cs="Arial"/>
          <w:bCs/>
          <w:sz w:val="22"/>
          <w:szCs w:val="22"/>
          <w:lang w:val="en-GB"/>
        </w:rPr>
        <w:t>for patient wellbeing (based on HbA1c and fasting blood glucose levels)</w:t>
      </w:r>
      <w:r w:rsidR="00F64954" w:rsidRPr="00F64954">
        <w:rPr>
          <w:rFonts w:ascii="Arial" w:hAnsi="Arial" w:cs="Arial"/>
          <w:bCs/>
          <w:sz w:val="22"/>
          <w:szCs w:val="22"/>
          <w:lang w:val="en-GB"/>
        </w:rPr>
        <w:t xml:space="preserve"> </w:t>
      </w:r>
      <w:r w:rsidR="00F64954">
        <w:rPr>
          <w:rFonts w:ascii="Arial" w:hAnsi="Arial" w:cs="Arial"/>
          <w:bCs/>
          <w:sz w:val="22"/>
          <w:szCs w:val="22"/>
          <w:lang w:val="en-GB"/>
        </w:rPr>
        <w:t>(Wilding 2012, Annals of Internal Medicine, 20 March 2012)</w:t>
      </w:r>
      <w:r w:rsidR="0029672F">
        <w:rPr>
          <w:rFonts w:ascii="Arial" w:hAnsi="Arial" w:cs="Arial"/>
          <w:bCs/>
          <w:sz w:val="22"/>
          <w:szCs w:val="22"/>
          <w:lang w:val="en-GB"/>
        </w:rPr>
        <w:t>.</w:t>
      </w:r>
    </w:p>
    <w:p w:rsidR="0029672F" w:rsidRDefault="0029672F" w:rsidP="00ED740F">
      <w:pPr>
        <w:pStyle w:val="ListParagraph"/>
        <w:jc w:val="both"/>
        <w:rPr>
          <w:rFonts w:ascii="Arial" w:hAnsi="Arial" w:cs="Arial"/>
          <w:bCs/>
          <w:sz w:val="22"/>
          <w:szCs w:val="22"/>
          <w:lang w:val="en-GB"/>
        </w:rPr>
      </w:pPr>
    </w:p>
    <w:p w:rsidR="001659FC" w:rsidRDefault="0029672F"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With regard to HbA1c improvement demonstrated in Wilding, the PBAC</w:t>
      </w:r>
      <w:r w:rsidR="00DB59B3">
        <w:rPr>
          <w:rFonts w:ascii="Arial" w:hAnsi="Arial" w:cs="Arial"/>
          <w:bCs/>
          <w:sz w:val="22"/>
          <w:szCs w:val="22"/>
          <w:lang w:val="en-GB"/>
        </w:rPr>
        <w:t xml:space="preserve"> </w:t>
      </w:r>
      <w:r>
        <w:rPr>
          <w:rFonts w:ascii="Arial" w:hAnsi="Arial" w:cs="Arial"/>
          <w:bCs/>
          <w:sz w:val="22"/>
          <w:szCs w:val="22"/>
          <w:lang w:val="en-GB"/>
        </w:rPr>
        <w:t xml:space="preserve">noted that patients on dapagliflozin 10mg achieved a change in HbA1c of -0.57% (-0.72%, -0.42%) compared with placebo.  The PBAC also noted that patients on dapagliflozin achieved a </w:t>
      </w:r>
      <w:r w:rsidR="00FC5A21">
        <w:rPr>
          <w:rFonts w:ascii="Arial" w:hAnsi="Arial" w:cs="Arial"/>
          <w:bCs/>
          <w:sz w:val="22"/>
          <w:szCs w:val="22"/>
          <w:lang w:val="en-GB"/>
        </w:rPr>
        <w:t xml:space="preserve">change in body </w:t>
      </w:r>
      <w:r>
        <w:rPr>
          <w:rFonts w:ascii="Arial" w:hAnsi="Arial" w:cs="Arial"/>
          <w:bCs/>
          <w:sz w:val="22"/>
          <w:szCs w:val="22"/>
          <w:lang w:val="en-GB"/>
        </w:rPr>
        <w:t>weight of</w:t>
      </w:r>
      <w:r w:rsidR="00FC5A21">
        <w:rPr>
          <w:rFonts w:ascii="Arial" w:hAnsi="Arial" w:cs="Arial"/>
          <w:bCs/>
          <w:sz w:val="22"/>
          <w:szCs w:val="22"/>
          <w:lang w:val="en-GB"/>
        </w:rPr>
        <w:t xml:space="preserve"> -2.04 (-2.59, -1.48) compared with an increase of 0.43kg on placebo.</w:t>
      </w:r>
    </w:p>
    <w:p w:rsidR="000D4E76" w:rsidRDefault="000D4E76" w:rsidP="00ED740F">
      <w:pPr>
        <w:pStyle w:val="ListParagraph"/>
        <w:jc w:val="both"/>
        <w:rPr>
          <w:rFonts w:ascii="Arial" w:hAnsi="Arial" w:cs="Arial"/>
          <w:bCs/>
          <w:sz w:val="22"/>
          <w:szCs w:val="22"/>
          <w:lang w:val="en-GB"/>
        </w:rPr>
      </w:pPr>
    </w:p>
    <w:p w:rsidR="000D4E76" w:rsidRDefault="000D4E76"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With regard to the </w:t>
      </w:r>
      <w:r w:rsidR="00F37883">
        <w:rPr>
          <w:rFonts w:ascii="Arial" w:hAnsi="Arial" w:cs="Arial"/>
          <w:bCs/>
          <w:sz w:val="22"/>
          <w:szCs w:val="22"/>
          <w:lang w:val="en-GB"/>
        </w:rPr>
        <w:t xml:space="preserve">adjusted mean change from baseline in daily insulin dose </w:t>
      </w:r>
      <w:r>
        <w:rPr>
          <w:rFonts w:ascii="Arial" w:hAnsi="Arial" w:cs="Arial"/>
          <w:bCs/>
          <w:sz w:val="22"/>
          <w:szCs w:val="22"/>
          <w:lang w:val="en-GB"/>
        </w:rPr>
        <w:t xml:space="preserve">in Wilding, the PBAC noted </w:t>
      </w:r>
      <w:r w:rsidR="00F37883">
        <w:rPr>
          <w:rFonts w:ascii="Arial" w:hAnsi="Arial" w:cs="Arial"/>
          <w:bCs/>
          <w:sz w:val="22"/>
          <w:szCs w:val="22"/>
          <w:lang w:val="en-GB"/>
        </w:rPr>
        <w:t>a reduction of 1.18 IU</w:t>
      </w:r>
      <w:r>
        <w:rPr>
          <w:rFonts w:ascii="Arial" w:hAnsi="Arial" w:cs="Arial"/>
          <w:bCs/>
          <w:sz w:val="22"/>
          <w:szCs w:val="22"/>
          <w:lang w:val="en-GB"/>
        </w:rPr>
        <w:t xml:space="preserve"> at 24 weeks in the dapagliflozin </w:t>
      </w:r>
      <w:r w:rsidR="00F37883">
        <w:rPr>
          <w:rFonts w:ascii="Arial" w:hAnsi="Arial" w:cs="Arial"/>
          <w:bCs/>
          <w:sz w:val="22"/>
          <w:szCs w:val="22"/>
          <w:lang w:val="en-GB"/>
        </w:rPr>
        <w:t xml:space="preserve">10mg group, compared with an increase of 5.65 in the placebo group.  At </w:t>
      </w:r>
      <w:r>
        <w:rPr>
          <w:rFonts w:ascii="Arial" w:hAnsi="Arial" w:cs="Arial"/>
          <w:bCs/>
          <w:sz w:val="22"/>
          <w:szCs w:val="22"/>
          <w:lang w:val="en-GB"/>
        </w:rPr>
        <w:t xml:space="preserve">48 weeks, </w:t>
      </w:r>
      <w:r w:rsidR="00F37883">
        <w:rPr>
          <w:rFonts w:ascii="Arial" w:hAnsi="Arial" w:cs="Arial"/>
          <w:bCs/>
          <w:sz w:val="22"/>
          <w:szCs w:val="22"/>
          <w:lang w:val="en-GB"/>
        </w:rPr>
        <w:t>the mean change was a reduction of 0.70 IU for dapagliflozin compared with an increase of 10.54 IU for placebo.  The PBAC considered that the absolute and relative decreases in insulin dose, although small, were relevant.</w:t>
      </w:r>
      <w:r>
        <w:rPr>
          <w:rFonts w:ascii="Arial" w:hAnsi="Arial" w:cs="Arial"/>
          <w:bCs/>
          <w:sz w:val="22"/>
          <w:szCs w:val="22"/>
          <w:lang w:val="en-GB"/>
        </w:rPr>
        <w:t xml:space="preserve"> </w:t>
      </w:r>
    </w:p>
    <w:p w:rsidR="00F64954" w:rsidRDefault="00F64954" w:rsidP="00ED740F">
      <w:pPr>
        <w:pStyle w:val="ListParagraph"/>
        <w:jc w:val="both"/>
        <w:rPr>
          <w:rFonts w:ascii="Arial" w:hAnsi="Arial" w:cs="Arial"/>
          <w:bCs/>
          <w:sz w:val="22"/>
          <w:szCs w:val="22"/>
          <w:lang w:val="en-GB"/>
        </w:rPr>
      </w:pPr>
    </w:p>
    <w:p w:rsidR="00F64954" w:rsidRDefault="00F64954" w:rsidP="00ED740F">
      <w:pPr>
        <w:widowControl w:val="0"/>
        <w:numPr>
          <w:ilvl w:val="1"/>
          <w:numId w:val="1"/>
        </w:numPr>
        <w:contextualSpacing/>
        <w:jc w:val="both"/>
        <w:rPr>
          <w:rFonts w:ascii="Arial" w:hAnsi="Arial" w:cs="Arial"/>
          <w:bCs/>
          <w:sz w:val="22"/>
          <w:szCs w:val="22"/>
          <w:lang w:val="en-GB"/>
        </w:rPr>
      </w:pPr>
      <w:r>
        <w:rPr>
          <w:rFonts w:ascii="Arial" w:hAnsi="Arial" w:cs="Arial"/>
          <w:bCs/>
          <w:sz w:val="22"/>
          <w:szCs w:val="22"/>
          <w:lang w:val="en-GB"/>
        </w:rPr>
        <w:t xml:space="preserve">The PBAC noted the sponsor’s assertion that </w:t>
      </w:r>
      <w:proofErr w:type="spellStart"/>
      <w:r>
        <w:rPr>
          <w:rFonts w:ascii="Arial" w:hAnsi="Arial" w:cs="Arial"/>
          <w:bCs/>
          <w:sz w:val="22"/>
          <w:szCs w:val="22"/>
          <w:lang w:val="en-GB"/>
        </w:rPr>
        <w:t>sitagliptin</w:t>
      </w:r>
      <w:proofErr w:type="spellEnd"/>
      <w:r>
        <w:rPr>
          <w:rFonts w:ascii="Arial" w:hAnsi="Arial" w:cs="Arial"/>
          <w:bCs/>
          <w:sz w:val="22"/>
          <w:szCs w:val="22"/>
          <w:lang w:val="en-GB"/>
        </w:rPr>
        <w:t xml:space="preserve"> does not result in an increased mean daily insulin dose.  In support of this position the sponsor offered the following arguments:</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 xml:space="preserve">There was no significant increase in insulin dose between the </w:t>
      </w:r>
      <w:proofErr w:type="spellStart"/>
      <w:r w:rsidRPr="00F64954">
        <w:rPr>
          <w:rFonts w:ascii="Arial" w:hAnsi="Arial" w:cs="Arial"/>
          <w:bCs/>
          <w:sz w:val="22"/>
          <w:szCs w:val="22"/>
          <w:lang w:val="en-GB"/>
        </w:rPr>
        <w:t>sita</w:t>
      </w:r>
      <w:r>
        <w:rPr>
          <w:rFonts w:ascii="Arial" w:hAnsi="Arial" w:cs="Arial"/>
          <w:bCs/>
          <w:sz w:val="22"/>
          <w:szCs w:val="22"/>
          <w:lang w:val="en-GB"/>
        </w:rPr>
        <w:t>gliptin</w:t>
      </w:r>
      <w:proofErr w:type="spellEnd"/>
      <w:r>
        <w:rPr>
          <w:rFonts w:ascii="Arial" w:hAnsi="Arial" w:cs="Arial"/>
          <w:bCs/>
          <w:sz w:val="22"/>
          <w:szCs w:val="22"/>
          <w:lang w:val="en-GB"/>
        </w:rPr>
        <w:t xml:space="preserve"> and placebo arm of P051;</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The insulin dose changes in P051 and Wilding were comparable</w:t>
      </w:r>
      <w:r>
        <w:rPr>
          <w:rFonts w:ascii="Arial" w:hAnsi="Arial" w:cs="Arial"/>
          <w:bCs/>
          <w:sz w:val="22"/>
          <w:szCs w:val="22"/>
          <w:lang w:val="en-GB"/>
        </w:rPr>
        <w:t>;</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P260 is a treat-to-target trial with a forced insulin titration schedule</w:t>
      </w:r>
      <w:r>
        <w:rPr>
          <w:rFonts w:ascii="Arial" w:hAnsi="Arial" w:cs="Arial"/>
          <w:bCs/>
          <w:sz w:val="22"/>
          <w:szCs w:val="22"/>
          <w:lang w:val="en-GB"/>
        </w:rPr>
        <w:t>;</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Patients in both study arms were required to increase their insulin dose to reach a set glycaemic target</w:t>
      </w:r>
      <w:r>
        <w:rPr>
          <w:rFonts w:ascii="Arial" w:hAnsi="Arial" w:cs="Arial"/>
          <w:bCs/>
          <w:sz w:val="22"/>
          <w:szCs w:val="22"/>
          <w:lang w:val="en-GB"/>
        </w:rPr>
        <w:t>;</w:t>
      </w:r>
      <w:r w:rsidRPr="00F64954">
        <w:rPr>
          <w:rFonts w:ascii="Arial" w:hAnsi="Arial" w:cs="Arial"/>
          <w:bCs/>
          <w:sz w:val="22"/>
          <w:szCs w:val="22"/>
          <w:lang w:val="en-GB"/>
        </w:rPr>
        <w:t xml:space="preserve"> </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 xml:space="preserve">In P260, patients in the </w:t>
      </w:r>
      <w:proofErr w:type="spellStart"/>
      <w:r w:rsidRPr="00F64954">
        <w:rPr>
          <w:rFonts w:ascii="Arial" w:hAnsi="Arial" w:cs="Arial"/>
          <w:bCs/>
          <w:sz w:val="22"/>
          <w:szCs w:val="22"/>
          <w:lang w:val="en-GB"/>
        </w:rPr>
        <w:t>sitagliptin</w:t>
      </w:r>
      <w:proofErr w:type="spellEnd"/>
      <w:r w:rsidRPr="00F64954">
        <w:rPr>
          <w:rFonts w:ascii="Arial" w:hAnsi="Arial" w:cs="Arial"/>
          <w:bCs/>
          <w:sz w:val="22"/>
          <w:szCs w:val="22"/>
          <w:lang w:val="en-GB"/>
        </w:rPr>
        <w:t xml:space="preserve"> + insulin titration arm had significantly better glycaemic control than patients in the insulin up-titration only arm</w:t>
      </w:r>
      <w:r>
        <w:rPr>
          <w:rFonts w:ascii="Arial" w:hAnsi="Arial" w:cs="Arial"/>
          <w:bCs/>
          <w:sz w:val="22"/>
          <w:szCs w:val="22"/>
          <w:lang w:val="en-GB"/>
        </w:rPr>
        <w:t>;</w:t>
      </w:r>
    </w:p>
    <w:p w:rsid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 xml:space="preserve">Patients in the </w:t>
      </w:r>
      <w:proofErr w:type="spellStart"/>
      <w:r w:rsidRPr="00F64954">
        <w:rPr>
          <w:rFonts w:ascii="Arial" w:hAnsi="Arial" w:cs="Arial"/>
          <w:bCs/>
          <w:sz w:val="22"/>
          <w:szCs w:val="22"/>
          <w:lang w:val="en-GB"/>
        </w:rPr>
        <w:t>sitagliptin</w:t>
      </w:r>
      <w:proofErr w:type="spellEnd"/>
      <w:r w:rsidRPr="00F64954">
        <w:rPr>
          <w:rFonts w:ascii="Arial" w:hAnsi="Arial" w:cs="Arial"/>
          <w:bCs/>
          <w:sz w:val="22"/>
          <w:szCs w:val="22"/>
          <w:lang w:val="en-GB"/>
        </w:rPr>
        <w:t xml:space="preserve"> arm used less insulin, not more, than patients in the placebo arm and experienced significantly less hypoglycaemia and less weight gain</w:t>
      </w:r>
      <w:r>
        <w:rPr>
          <w:rFonts w:ascii="Arial" w:hAnsi="Arial" w:cs="Arial"/>
          <w:bCs/>
          <w:sz w:val="22"/>
          <w:szCs w:val="22"/>
          <w:lang w:val="en-GB"/>
        </w:rPr>
        <w:t>;</w:t>
      </w:r>
    </w:p>
    <w:p w:rsidR="00F64954" w:rsidRPr="00F64954" w:rsidRDefault="00F64954" w:rsidP="00ED740F">
      <w:pPr>
        <w:pStyle w:val="ListParagraph"/>
        <w:numPr>
          <w:ilvl w:val="0"/>
          <w:numId w:val="9"/>
        </w:numPr>
        <w:jc w:val="both"/>
        <w:rPr>
          <w:rFonts w:ascii="Arial" w:hAnsi="Arial" w:cs="Arial"/>
          <w:bCs/>
          <w:sz w:val="22"/>
          <w:szCs w:val="22"/>
          <w:lang w:val="en-GB"/>
        </w:rPr>
      </w:pPr>
      <w:r w:rsidRPr="00F64954">
        <w:rPr>
          <w:rFonts w:ascii="Arial" w:hAnsi="Arial" w:cs="Arial"/>
          <w:bCs/>
          <w:sz w:val="22"/>
          <w:szCs w:val="22"/>
          <w:lang w:val="en-GB"/>
        </w:rPr>
        <w:t xml:space="preserve">The reduction in HbA1c in the </w:t>
      </w:r>
      <w:proofErr w:type="spellStart"/>
      <w:r w:rsidRPr="00F64954">
        <w:rPr>
          <w:rFonts w:ascii="Arial" w:hAnsi="Arial" w:cs="Arial"/>
          <w:bCs/>
          <w:sz w:val="22"/>
          <w:szCs w:val="22"/>
          <w:lang w:val="en-GB"/>
        </w:rPr>
        <w:t>sitagliptin</w:t>
      </w:r>
      <w:proofErr w:type="spellEnd"/>
      <w:r w:rsidRPr="00F64954">
        <w:rPr>
          <w:rFonts w:ascii="Arial" w:hAnsi="Arial" w:cs="Arial"/>
          <w:bCs/>
          <w:sz w:val="22"/>
          <w:szCs w:val="22"/>
          <w:lang w:val="en-GB"/>
        </w:rPr>
        <w:t xml:space="preserve"> arm of P260 was significantly better than the </w:t>
      </w:r>
      <w:proofErr w:type="spellStart"/>
      <w:r w:rsidRPr="00F64954">
        <w:rPr>
          <w:rFonts w:ascii="Arial" w:hAnsi="Arial" w:cs="Arial"/>
          <w:bCs/>
          <w:sz w:val="22"/>
          <w:szCs w:val="22"/>
          <w:lang w:val="en-GB"/>
        </w:rPr>
        <w:t>sitagliptin</w:t>
      </w:r>
      <w:proofErr w:type="spellEnd"/>
      <w:r w:rsidRPr="00F64954">
        <w:rPr>
          <w:rFonts w:ascii="Arial" w:hAnsi="Arial" w:cs="Arial"/>
          <w:bCs/>
          <w:sz w:val="22"/>
          <w:szCs w:val="22"/>
          <w:lang w:val="en-GB"/>
        </w:rPr>
        <w:t xml:space="preserve"> arm of P051 or the dapagliflozin arm of Wilding.</w:t>
      </w:r>
    </w:p>
    <w:p w:rsidR="00D809E4" w:rsidRPr="00D809E4" w:rsidRDefault="00D809E4" w:rsidP="00ED740F">
      <w:pPr>
        <w:widowControl w:val="0"/>
        <w:ind w:left="720"/>
        <w:contextualSpacing/>
        <w:jc w:val="both"/>
        <w:rPr>
          <w:rFonts w:ascii="Arial" w:hAnsi="Arial" w:cs="Arial"/>
          <w:bCs/>
          <w:sz w:val="22"/>
          <w:szCs w:val="22"/>
          <w:lang w:val="en-GB"/>
        </w:rPr>
      </w:pPr>
    </w:p>
    <w:p w:rsidR="00836D4E" w:rsidRDefault="00836D4E" w:rsidP="00ED740F">
      <w:pPr>
        <w:pStyle w:val="ListParagraph"/>
        <w:numPr>
          <w:ilvl w:val="1"/>
          <w:numId w:val="1"/>
        </w:numPr>
        <w:ind w:left="709" w:hanging="709"/>
        <w:jc w:val="both"/>
        <w:rPr>
          <w:rFonts w:ascii="Arial" w:hAnsi="Arial" w:cs="Arial"/>
          <w:bCs/>
          <w:sz w:val="22"/>
          <w:szCs w:val="22"/>
        </w:rPr>
      </w:pPr>
      <w:r>
        <w:rPr>
          <w:rFonts w:ascii="Arial" w:hAnsi="Arial" w:cs="Arial"/>
          <w:bCs/>
          <w:sz w:val="22"/>
          <w:szCs w:val="22"/>
        </w:rPr>
        <w:t>The PBAC made the following observations on the sponsor’s arguments:</w:t>
      </w:r>
    </w:p>
    <w:p w:rsidR="00836D4E" w:rsidRDefault="00836D4E" w:rsidP="00ED740F">
      <w:pPr>
        <w:pStyle w:val="ListParagraph"/>
        <w:numPr>
          <w:ilvl w:val="0"/>
          <w:numId w:val="11"/>
        </w:numPr>
        <w:jc w:val="both"/>
        <w:rPr>
          <w:rFonts w:ascii="Arial" w:hAnsi="Arial" w:cs="Arial"/>
          <w:bCs/>
          <w:sz w:val="22"/>
          <w:szCs w:val="22"/>
        </w:rPr>
      </w:pPr>
      <w:r>
        <w:rPr>
          <w:rFonts w:ascii="Arial" w:hAnsi="Arial" w:cs="Arial"/>
          <w:bCs/>
          <w:sz w:val="22"/>
          <w:szCs w:val="22"/>
        </w:rPr>
        <w:t>Increases in insulin dose in P051 were not permitted by the trial design</w:t>
      </w:r>
      <w:r w:rsidR="00A628CA">
        <w:rPr>
          <w:rFonts w:ascii="Arial" w:hAnsi="Arial" w:cs="Arial"/>
          <w:bCs/>
          <w:sz w:val="22"/>
          <w:szCs w:val="22"/>
        </w:rPr>
        <w:t xml:space="preserve">, therefore </w:t>
      </w:r>
      <w:r w:rsidR="004E0465">
        <w:rPr>
          <w:rFonts w:ascii="Arial" w:hAnsi="Arial" w:cs="Arial"/>
          <w:bCs/>
          <w:sz w:val="22"/>
          <w:szCs w:val="22"/>
        </w:rPr>
        <w:t>a</w:t>
      </w:r>
      <w:r w:rsidR="00A628CA">
        <w:rPr>
          <w:rFonts w:ascii="Arial" w:hAnsi="Arial" w:cs="Arial"/>
          <w:bCs/>
          <w:sz w:val="22"/>
          <w:szCs w:val="22"/>
        </w:rPr>
        <w:t xml:space="preserve"> claim </w:t>
      </w:r>
      <w:r w:rsidR="004E0465">
        <w:rPr>
          <w:rFonts w:ascii="Arial" w:hAnsi="Arial" w:cs="Arial"/>
          <w:bCs/>
          <w:sz w:val="22"/>
          <w:szCs w:val="22"/>
        </w:rPr>
        <w:t>of</w:t>
      </w:r>
      <w:r w:rsidR="00A628CA">
        <w:rPr>
          <w:rFonts w:ascii="Arial" w:hAnsi="Arial" w:cs="Arial"/>
          <w:bCs/>
          <w:sz w:val="22"/>
          <w:szCs w:val="22"/>
        </w:rPr>
        <w:t xml:space="preserve"> no significant </w:t>
      </w:r>
      <w:r w:rsidR="00E4363F">
        <w:rPr>
          <w:rFonts w:ascii="Arial" w:hAnsi="Arial" w:cs="Arial"/>
          <w:bCs/>
          <w:sz w:val="22"/>
          <w:szCs w:val="22"/>
        </w:rPr>
        <w:t xml:space="preserve">dose </w:t>
      </w:r>
      <w:r w:rsidR="00A628CA">
        <w:rPr>
          <w:rFonts w:ascii="Arial" w:hAnsi="Arial" w:cs="Arial"/>
          <w:bCs/>
          <w:sz w:val="22"/>
          <w:szCs w:val="22"/>
        </w:rPr>
        <w:t>increase was not valid</w:t>
      </w:r>
      <w:r>
        <w:rPr>
          <w:rFonts w:ascii="Arial" w:hAnsi="Arial" w:cs="Arial"/>
          <w:bCs/>
          <w:sz w:val="22"/>
          <w:szCs w:val="22"/>
        </w:rPr>
        <w:t>;</w:t>
      </w:r>
    </w:p>
    <w:p w:rsidR="00836D4E" w:rsidRDefault="00AD2955" w:rsidP="00ED740F">
      <w:pPr>
        <w:pStyle w:val="ListParagraph"/>
        <w:numPr>
          <w:ilvl w:val="0"/>
          <w:numId w:val="11"/>
        </w:numPr>
        <w:jc w:val="both"/>
        <w:rPr>
          <w:rFonts w:ascii="Arial" w:hAnsi="Arial" w:cs="Arial"/>
          <w:bCs/>
          <w:sz w:val="22"/>
          <w:szCs w:val="22"/>
        </w:rPr>
      </w:pPr>
      <w:r>
        <w:rPr>
          <w:rFonts w:ascii="Arial" w:hAnsi="Arial" w:cs="Arial"/>
          <w:bCs/>
          <w:sz w:val="22"/>
          <w:szCs w:val="22"/>
        </w:rPr>
        <w:lastRenderedPageBreak/>
        <w:t xml:space="preserve">A mean increase from baseline </w:t>
      </w:r>
      <w:r w:rsidR="00836D4E">
        <w:rPr>
          <w:rFonts w:ascii="Arial" w:hAnsi="Arial" w:cs="Arial"/>
          <w:bCs/>
          <w:sz w:val="22"/>
          <w:szCs w:val="22"/>
        </w:rPr>
        <w:t>of 19 IU in daily insulin dose</w:t>
      </w:r>
      <w:r>
        <w:rPr>
          <w:rFonts w:ascii="Arial" w:hAnsi="Arial" w:cs="Arial"/>
          <w:bCs/>
          <w:sz w:val="22"/>
          <w:szCs w:val="22"/>
        </w:rPr>
        <w:t xml:space="preserve"> for the </w:t>
      </w:r>
      <w:proofErr w:type="spellStart"/>
      <w:r>
        <w:rPr>
          <w:rFonts w:ascii="Arial" w:hAnsi="Arial" w:cs="Arial"/>
          <w:bCs/>
          <w:sz w:val="22"/>
          <w:szCs w:val="22"/>
        </w:rPr>
        <w:t>sitagliptin</w:t>
      </w:r>
      <w:proofErr w:type="spellEnd"/>
      <w:r>
        <w:rPr>
          <w:rFonts w:ascii="Arial" w:hAnsi="Arial" w:cs="Arial"/>
          <w:bCs/>
          <w:sz w:val="22"/>
          <w:szCs w:val="22"/>
        </w:rPr>
        <w:t xml:space="preserve"> arm of P260 could not reasonably be interpreted as using “less insulin”, particularly </w:t>
      </w:r>
      <w:r w:rsidR="005320C7">
        <w:rPr>
          <w:rFonts w:ascii="Arial" w:hAnsi="Arial" w:cs="Arial"/>
          <w:bCs/>
          <w:sz w:val="22"/>
          <w:szCs w:val="22"/>
        </w:rPr>
        <w:t>as the comparator, dapagliflozin, demonstrated absolute and relative decreas</w:t>
      </w:r>
      <w:r w:rsidR="00A628CA">
        <w:rPr>
          <w:rFonts w:ascii="Arial" w:hAnsi="Arial" w:cs="Arial"/>
          <w:bCs/>
          <w:sz w:val="22"/>
          <w:szCs w:val="22"/>
        </w:rPr>
        <w:t>es in daily insulin dose;</w:t>
      </w:r>
    </w:p>
    <w:p w:rsidR="00A628CA" w:rsidRDefault="004E0465" w:rsidP="00ED740F">
      <w:pPr>
        <w:pStyle w:val="ListParagraph"/>
        <w:numPr>
          <w:ilvl w:val="0"/>
          <w:numId w:val="11"/>
        </w:numPr>
        <w:jc w:val="both"/>
        <w:rPr>
          <w:rFonts w:ascii="Arial" w:hAnsi="Arial" w:cs="Arial"/>
          <w:bCs/>
          <w:sz w:val="22"/>
          <w:szCs w:val="22"/>
        </w:rPr>
      </w:pPr>
      <w:r>
        <w:rPr>
          <w:rFonts w:ascii="Arial" w:hAnsi="Arial" w:cs="Arial"/>
          <w:bCs/>
          <w:sz w:val="22"/>
          <w:szCs w:val="22"/>
        </w:rPr>
        <w:t>The trial data from P051 and P260 were inconsistent with regard to the incidence of hypoglycaemia and weight gain</w:t>
      </w:r>
      <w:r w:rsidR="00E4363F">
        <w:rPr>
          <w:rFonts w:ascii="Arial" w:hAnsi="Arial" w:cs="Arial"/>
          <w:bCs/>
          <w:sz w:val="22"/>
          <w:szCs w:val="22"/>
        </w:rPr>
        <w:t xml:space="preserve">, therefore it was not possible to conclude that the incidence of these adverse events would be lower with </w:t>
      </w:r>
      <w:proofErr w:type="spellStart"/>
      <w:r w:rsidR="00E4363F">
        <w:rPr>
          <w:rFonts w:ascii="Arial" w:hAnsi="Arial" w:cs="Arial"/>
          <w:bCs/>
          <w:sz w:val="22"/>
          <w:szCs w:val="22"/>
        </w:rPr>
        <w:t>sitagliptin</w:t>
      </w:r>
      <w:proofErr w:type="spellEnd"/>
      <w:r w:rsidR="00E4363F">
        <w:rPr>
          <w:rFonts w:ascii="Arial" w:hAnsi="Arial" w:cs="Arial"/>
          <w:bCs/>
          <w:sz w:val="22"/>
          <w:szCs w:val="22"/>
        </w:rPr>
        <w:t xml:space="preserve"> compared with placebo</w:t>
      </w:r>
      <w:r>
        <w:rPr>
          <w:rFonts w:ascii="Arial" w:hAnsi="Arial" w:cs="Arial"/>
          <w:bCs/>
          <w:sz w:val="22"/>
          <w:szCs w:val="22"/>
        </w:rPr>
        <w:t xml:space="preserve">; </w:t>
      </w:r>
    </w:p>
    <w:p w:rsidR="00B33540" w:rsidRDefault="00B33540" w:rsidP="00ED740F">
      <w:pPr>
        <w:pStyle w:val="ListParagraph"/>
        <w:numPr>
          <w:ilvl w:val="0"/>
          <w:numId w:val="11"/>
        </w:numPr>
        <w:jc w:val="both"/>
        <w:rPr>
          <w:rFonts w:ascii="Arial" w:hAnsi="Arial" w:cs="Arial"/>
          <w:bCs/>
          <w:sz w:val="22"/>
          <w:szCs w:val="22"/>
        </w:rPr>
      </w:pPr>
      <w:r>
        <w:rPr>
          <w:rFonts w:ascii="Arial" w:hAnsi="Arial" w:cs="Arial"/>
          <w:bCs/>
          <w:sz w:val="22"/>
          <w:szCs w:val="22"/>
        </w:rPr>
        <w:t xml:space="preserve">The comparison of </w:t>
      </w:r>
      <w:r w:rsidRPr="00B33540">
        <w:rPr>
          <w:rFonts w:ascii="Arial" w:hAnsi="Arial"/>
          <w:sz w:val="22"/>
          <w:szCs w:val="22"/>
        </w:rPr>
        <w:t>LS mean change in HbA1c</w:t>
      </w:r>
      <w:r>
        <w:rPr>
          <w:rFonts w:ascii="Arial" w:hAnsi="Arial"/>
          <w:sz w:val="22"/>
          <w:szCs w:val="22"/>
        </w:rPr>
        <w:t xml:space="preserve"> across P260, P051 and Wilding showed that the reduction in the </w:t>
      </w:r>
      <w:proofErr w:type="spellStart"/>
      <w:r>
        <w:rPr>
          <w:rFonts w:ascii="Arial" w:hAnsi="Arial"/>
          <w:sz w:val="22"/>
          <w:szCs w:val="22"/>
        </w:rPr>
        <w:t>sitagliptin</w:t>
      </w:r>
      <w:proofErr w:type="spellEnd"/>
      <w:r>
        <w:rPr>
          <w:rFonts w:ascii="Arial" w:hAnsi="Arial"/>
          <w:sz w:val="22"/>
          <w:szCs w:val="22"/>
        </w:rPr>
        <w:t xml:space="preserve"> arm of P260 was lower than both the </w:t>
      </w:r>
      <w:proofErr w:type="spellStart"/>
      <w:r>
        <w:rPr>
          <w:rFonts w:ascii="Arial" w:hAnsi="Arial"/>
          <w:sz w:val="22"/>
          <w:szCs w:val="22"/>
        </w:rPr>
        <w:t>sitagliptin</w:t>
      </w:r>
      <w:proofErr w:type="spellEnd"/>
      <w:r>
        <w:rPr>
          <w:rFonts w:ascii="Arial" w:hAnsi="Arial"/>
          <w:sz w:val="22"/>
          <w:szCs w:val="22"/>
        </w:rPr>
        <w:t xml:space="preserve"> arm of P051 and the </w:t>
      </w:r>
      <w:proofErr w:type="spellStart"/>
      <w:r>
        <w:rPr>
          <w:rFonts w:ascii="Arial" w:hAnsi="Arial"/>
          <w:sz w:val="22"/>
          <w:szCs w:val="22"/>
        </w:rPr>
        <w:t>dapaglifozin</w:t>
      </w:r>
      <w:proofErr w:type="spellEnd"/>
      <w:r>
        <w:rPr>
          <w:rFonts w:ascii="Arial" w:hAnsi="Arial"/>
          <w:sz w:val="22"/>
          <w:szCs w:val="22"/>
        </w:rPr>
        <w:t xml:space="preserve"> arm of Wilding.</w:t>
      </w:r>
    </w:p>
    <w:p w:rsidR="00836D4E" w:rsidRPr="00E4363F" w:rsidRDefault="00836D4E" w:rsidP="00ED740F">
      <w:pPr>
        <w:jc w:val="both"/>
        <w:rPr>
          <w:rFonts w:ascii="Arial" w:hAnsi="Arial" w:cs="Arial"/>
          <w:bCs/>
          <w:sz w:val="22"/>
          <w:szCs w:val="22"/>
        </w:rPr>
      </w:pPr>
    </w:p>
    <w:p w:rsidR="00A72452" w:rsidRPr="00A72452" w:rsidRDefault="00E50A1F" w:rsidP="00ED740F">
      <w:pPr>
        <w:pStyle w:val="ListParagraph"/>
        <w:numPr>
          <w:ilvl w:val="1"/>
          <w:numId w:val="1"/>
        </w:numPr>
        <w:ind w:left="709" w:hanging="709"/>
        <w:jc w:val="both"/>
        <w:rPr>
          <w:rFonts w:ascii="Arial" w:hAnsi="Arial" w:cs="Arial"/>
          <w:bCs/>
          <w:sz w:val="22"/>
          <w:szCs w:val="22"/>
        </w:rPr>
      </w:pPr>
      <w:r>
        <w:rPr>
          <w:rFonts w:ascii="Arial" w:hAnsi="Arial" w:cs="Arial"/>
          <w:bCs/>
          <w:sz w:val="22"/>
          <w:szCs w:val="22"/>
        </w:rPr>
        <w:t xml:space="preserve">The PBAC recalled its July 2015 conclusion </w:t>
      </w:r>
      <w:r w:rsidRPr="00E4363F">
        <w:rPr>
          <w:rFonts w:ascii="Arial" w:hAnsi="Arial" w:cs="Arial"/>
          <w:bCs/>
          <w:sz w:val="22"/>
          <w:szCs w:val="22"/>
          <w:lang w:val="en-GB"/>
        </w:rPr>
        <w:t xml:space="preserve">that the </w:t>
      </w:r>
      <w:r w:rsidRPr="00E50A1F">
        <w:rPr>
          <w:rFonts w:ascii="Arial" w:hAnsi="Arial" w:cs="Arial"/>
          <w:bCs/>
          <w:sz w:val="22"/>
          <w:szCs w:val="22"/>
          <w:lang w:val="en-GB"/>
        </w:rPr>
        <w:t xml:space="preserve">clinical </w:t>
      </w:r>
      <w:r>
        <w:rPr>
          <w:rFonts w:ascii="Arial" w:hAnsi="Arial" w:cs="Arial"/>
          <w:bCs/>
          <w:sz w:val="22"/>
          <w:szCs w:val="22"/>
          <w:lang w:val="en-GB"/>
        </w:rPr>
        <w:t>data</w:t>
      </w:r>
      <w:r w:rsidRPr="00E50A1F">
        <w:rPr>
          <w:rFonts w:ascii="Arial" w:hAnsi="Arial" w:cs="Arial"/>
          <w:bCs/>
          <w:sz w:val="22"/>
          <w:szCs w:val="22"/>
          <w:lang w:val="en-GB"/>
        </w:rPr>
        <w:t xml:space="preserve"> presented </w:t>
      </w:r>
      <w:r>
        <w:rPr>
          <w:rFonts w:ascii="Arial" w:hAnsi="Arial" w:cs="Arial"/>
          <w:bCs/>
          <w:sz w:val="22"/>
          <w:szCs w:val="22"/>
          <w:lang w:val="en-GB"/>
        </w:rPr>
        <w:t xml:space="preserve">were not </w:t>
      </w:r>
      <w:r w:rsidRPr="00E50A1F">
        <w:rPr>
          <w:rFonts w:ascii="Arial" w:hAnsi="Arial" w:cs="Arial"/>
          <w:bCs/>
          <w:sz w:val="22"/>
          <w:szCs w:val="22"/>
          <w:lang w:val="en-GB"/>
        </w:rPr>
        <w:t xml:space="preserve">adequate to support </w:t>
      </w:r>
      <w:r>
        <w:rPr>
          <w:rFonts w:ascii="Arial" w:hAnsi="Arial" w:cs="Arial"/>
          <w:bCs/>
          <w:sz w:val="22"/>
          <w:szCs w:val="22"/>
        </w:rPr>
        <w:t>a</w:t>
      </w:r>
      <w:r w:rsidRPr="00E50A1F">
        <w:rPr>
          <w:rFonts w:ascii="Arial" w:hAnsi="Arial" w:cs="Arial"/>
          <w:bCs/>
          <w:sz w:val="22"/>
          <w:szCs w:val="22"/>
          <w:lang w:val="en-GB"/>
        </w:rPr>
        <w:t xml:space="preserve"> claim </w:t>
      </w:r>
      <w:r>
        <w:rPr>
          <w:rFonts w:ascii="Arial" w:hAnsi="Arial" w:cs="Arial"/>
          <w:bCs/>
          <w:sz w:val="22"/>
          <w:szCs w:val="22"/>
          <w:lang w:val="en-GB"/>
        </w:rPr>
        <w:t>of</w:t>
      </w:r>
      <w:r w:rsidRPr="00E50A1F">
        <w:rPr>
          <w:rFonts w:ascii="Arial" w:hAnsi="Arial" w:cs="Arial"/>
          <w:bCs/>
          <w:sz w:val="22"/>
          <w:szCs w:val="22"/>
        </w:rPr>
        <w:t xml:space="preserve"> non-inferior comparative effectiveness (as measured by reduction in HbA1c) and similar reduction in mean daily insulin dose </w:t>
      </w:r>
      <w:r>
        <w:rPr>
          <w:rFonts w:ascii="Arial" w:hAnsi="Arial" w:cs="Arial"/>
          <w:bCs/>
          <w:sz w:val="22"/>
          <w:szCs w:val="22"/>
        </w:rPr>
        <w:t xml:space="preserve">for </w:t>
      </w:r>
      <w:proofErr w:type="spellStart"/>
      <w:r>
        <w:rPr>
          <w:rFonts w:ascii="Arial" w:hAnsi="Arial" w:cs="Arial"/>
          <w:bCs/>
          <w:sz w:val="22"/>
          <w:szCs w:val="22"/>
        </w:rPr>
        <w:t>sitagliptin</w:t>
      </w:r>
      <w:proofErr w:type="spellEnd"/>
      <w:r>
        <w:rPr>
          <w:rFonts w:ascii="Arial" w:hAnsi="Arial" w:cs="Arial"/>
          <w:bCs/>
          <w:sz w:val="22"/>
          <w:szCs w:val="22"/>
        </w:rPr>
        <w:t xml:space="preserve"> </w:t>
      </w:r>
      <w:r w:rsidRPr="00E50A1F">
        <w:rPr>
          <w:rFonts w:ascii="Arial" w:hAnsi="Arial" w:cs="Arial"/>
          <w:bCs/>
          <w:sz w:val="22"/>
          <w:szCs w:val="22"/>
        </w:rPr>
        <w:t>compared to dapagliflozin</w:t>
      </w:r>
      <w:r w:rsidRPr="00E50A1F">
        <w:rPr>
          <w:rFonts w:ascii="Arial" w:hAnsi="Arial" w:cs="Arial"/>
          <w:bCs/>
          <w:sz w:val="22"/>
          <w:szCs w:val="22"/>
          <w:lang w:val="en-GB"/>
        </w:rPr>
        <w:t xml:space="preserve">. </w:t>
      </w:r>
    </w:p>
    <w:p w:rsidR="00A72452" w:rsidRPr="00A72452" w:rsidRDefault="00A72452" w:rsidP="00ED740F">
      <w:pPr>
        <w:pStyle w:val="ListParagraph"/>
        <w:ind w:left="709"/>
        <w:jc w:val="both"/>
        <w:rPr>
          <w:rFonts w:ascii="Arial" w:hAnsi="Arial" w:cs="Arial"/>
          <w:bCs/>
          <w:sz w:val="22"/>
          <w:szCs w:val="22"/>
        </w:rPr>
      </w:pPr>
    </w:p>
    <w:p w:rsidR="00E4363F" w:rsidRPr="000F6A99" w:rsidRDefault="00A72452" w:rsidP="00ED740F">
      <w:pPr>
        <w:pStyle w:val="ListParagraph"/>
        <w:numPr>
          <w:ilvl w:val="1"/>
          <w:numId w:val="1"/>
        </w:numPr>
        <w:ind w:left="709" w:hanging="709"/>
        <w:jc w:val="both"/>
        <w:rPr>
          <w:rFonts w:ascii="Arial" w:hAnsi="Arial" w:cs="Arial"/>
          <w:bCs/>
          <w:sz w:val="22"/>
          <w:szCs w:val="22"/>
        </w:rPr>
      </w:pPr>
      <w:r w:rsidRPr="000F6A99">
        <w:rPr>
          <w:rFonts w:ascii="Arial" w:hAnsi="Arial" w:cs="Arial"/>
          <w:bCs/>
          <w:sz w:val="22"/>
          <w:szCs w:val="22"/>
          <w:lang w:val="en-GB"/>
        </w:rPr>
        <w:t xml:space="preserve">With regard to the effect of </w:t>
      </w:r>
      <w:proofErr w:type="spellStart"/>
      <w:r w:rsidRPr="000F6A99">
        <w:rPr>
          <w:rFonts w:ascii="Arial" w:hAnsi="Arial" w:cs="Arial"/>
          <w:bCs/>
          <w:sz w:val="22"/>
          <w:szCs w:val="22"/>
          <w:lang w:val="en-GB"/>
        </w:rPr>
        <w:t>sitagliptin</w:t>
      </w:r>
      <w:proofErr w:type="spellEnd"/>
      <w:r w:rsidRPr="000F6A99">
        <w:rPr>
          <w:rFonts w:ascii="Arial" w:hAnsi="Arial" w:cs="Arial"/>
          <w:bCs/>
          <w:sz w:val="22"/>
          <w:szCs w:val="22"/>
          <w:lang w:val="en-GB"/>
        </w:rPr>
        <w:t xml:space="preserve"> on HbA1c, the PBAC considered that </w:t>
      </w:r>
      <w:proofErr w:type="spellStart"/>
      <w:r w:rsidRPr="000F6A99">
        <w:rPr>
          <w:rFonts w:ascii="Arial" w:hAnsi="Arial" w:cs="Arial"/>
          <w:bCs/>
          <w:sz w:val="22"/>
          <w:szCs w:val="22"/>
          <w:lang w:val="en-GB"/>
        </w:rPr>
        <w:t>sitagliptin</w:t>
      </w:r>
      <w:proofErr w:type="spellEnd"/>
      <w:r w:rsidRPr="000F6A99">
        <w:rPr>
          <w:rFonts w:ascii="Arial" w:hAnsi="Arial" w:cs="Arial"/>
          <w:bCs/>
          <w:sz w:val="22"/>
          <w:szCs w:val="22"/>
          <w:lang w:val="en-GB"/>
        </w:rPr>
        <w:t xml:space="preserve"> is effective in reducing HbA1c in combination with insulin.  The PBAC noted the limitations on the available data, however concluded that </w:t>
      </w:r>
      <w:proofErr w:type="spellStart"/>
      <w:r w:rsidRPr="000F6A99">
        <w:rPr>
          <w:rFonts w:ascii="Arial" w:hAnsi="Arial" w:cs="Arial"/>
          <w:bCs/>
          <w:sz w:val="22"/>
          <w:szCs w:val="22"/>
          <w:lang w:val="en-GB"/>
        </w:rPr>
        <w:t>sitagliptin</w:t>
      </w:r>
      <w:proofErr w:type="spellEnd"/>
      <w:r w:rsidRPr="000F6A99">
        <w:rPr>
          <w:rFonts w:ascii="Arial" w:hAnsi="Arial" w:cs="Arial"/>
          <w:bCs/>
          <w:sz w:val="22"/>
          <w:szCs w:val="22"/>
          <w:lang w:val="en-GB"/>
        </w:rPr>
        <w:t xml:space="preserve"> is likely to be non-inferior to dapagliflozin in this regard. </w:t>
      </w:r>
    </w:p>
    <w:p w:rsidR="00B33540" w:rsidRPr="00B33540" w:rsidRDefault="00B33540" w:rsidP="00ED740F">
      <w:pPr>
        <w:pStyle w:val="ListParagraph"/>
        <w:ind w:left="709"/>
        <w:jc w:val="both"/>
        <w:rPr>
          <w:rFonts w:ascii="Arial" w:hAnsi="Arial" w:cs="Arial"/>
          <w:bCs/>
          <w:sz w:val="22"/>
          <w:szCs w:val="22"/>
        </w:rPr>
      </w:pPr>
    </w:p>
    <w:p w:rsidR="00B33540" w:rsidRPr="00E50A1F" w:rsidRDefault="00B33540" w:rsidP="00ED740F">
      <w:pPr>
        <w:pStyle w:val="ListParagraph"/>
        <w:numPr>
          <w:ilvl w:val="1"/>
          <w:numId w:val="1"/>
        </w:numPr>
        <w:ind w:left="709" w:hanging="709"/>
        <w:jc w:val="both"/>
        <w:rPr>
          <w:rFonts w:ascii="Arial" w:hAnsi="Arial" w:cs="Arial"/>
          <w:bCs/>
          <w:sz w:val="22"/>
          <w:szCs w:val="22"/>
        </w:rPr>
      </w:pPr>
      <w:r>
        <w:rPr>
          <w:rFonts w:ascii="Arial" w:hAnsi="Arial" w:cs="Arial"/>
          <w:bCs/>
          <w:sz w:val="22"/>
          <w:szCs w:val="22"/>
          <w:lang w:val="en-GB"/>
        </w:rPr>
        <w:t xml:space="preserve">The PBAC reiterated its view </w:t>
      </w:r>
      <w:r w:rsidRPr="00B33540">
        <w:rPr>
          <w:rFonts w:ascii="Arial" w:hAnsi="Arial" w:cs="Arial"/>
          <w:bCs/>
          <w:sz w:val="22"/>
          <w:szCs w:val="22"/>
        </w:rPr>
        <w:t xml:space="preserve">that the increased daily insulin dose accompanying </w:t>
      </w:r>
      <w:proofErr w:type="spellStart"/>
      <w:r w:rsidRPr="00B33540">
        <w:rPr>
          <w:rFonts w:ascii="Arial" w:hAnsi="Arial" w:cs="Arial"/>
          <w:bCs/>
          <w:sz w:val="22"/>
          <w:szCs w:val="22"/>
        </w:rPr>
        <w:t>sitagliptin</w:t>
      </w:r>
      <w:proofErr w:type="spellEnd"/>
      <w:r w:rsidRPr="00B33540">
        <w:rPr>
          <w:rFonts w:ascii="Arial" w:hAnsi="Arial" w:cs="Arial"/>
          <w:bCs/>
          <w:sz w:val="22"/>
          <w:szCs w:val="22"/>
        </w:rPr>
        <w:t xml:space="preserve"> treatment </w:t>
      </w:r>
      <w:r>
        <w:rPr>
          <w:rFonts w:ascii="Arial" w:hAnsi="Arial" w:cs="Arial"/>
          <w:bCs/>
          <w:sz w:val="22"/>
          <w:szCs w:val="22"/>
        </w:rPr>
        <w:t xml:space="preserve">should be taken into account in </w:t>
      </w:r>
      <w:r w:rsidRPr="00B33540">
        <w:rPr>
          <w:rFonts w:ascii="Arial" w:hAnsi="Arial" w:cs="Arial"/>
          <w:bCs/>
          <w:sz w:val="22"/>
          <w:szCs w:val="22"/>
        </w:rPr>
        <w:t>the cost-minimisation analysis</w:t>
      </w:r>
      <w:r>
        <w:rPr>
          <w:rFonts w:ascii="Arial" w:hAnsi="Arial" w:cs="Arial"/>
          <w:bCs/>
          <w:sz w:val="22"/>
          <w:szCs w:val="22"/>
        </w:rPr>
        <w:t xml:space="preserve"> of any future resubmission</w:t>
      </w:r>
      <w:r w:rsidR="00686688">
        <w:rPr>
          <w:rFonts w:ascii="Arial" w:hAnsi="Arial" w:cs="Arial"/>
          <w:bCs/>
          <w:sz w:val="22"/>
          <w:szCs w:val="22"/>
        </w:rPr>
        <w:t>.</w:t>
      </w:r>
    </w:p>
    <w:p w:rsidR="000D4351" w:rsidRPr="00E4363F" w:rsidRDefault="000D4351" w:rsidP="00ED740F">
      <w:pPr>
        <w:pStyle w:val="ListParagraph"/>
        <w:ind w:left="709"/>
        <w:jc w:val="both"/>
        <w:rPr>
          <w:rFonts w:ascii="Arial" w:hAnsi="Arial" w:cs="Arial"/>
          <w:bCs/>
          <w:sz w:val="22"/>
          <w:szCs w:val="22"/>
        </w:rPr>
      </w:pPr>
    </w:p>
    <w:p w:rsidR="00D809E4" w:rsidRPr="00D809E4" w:rsidRDefault="00D809E4" w:rsidP="00ED740F">
      <w:pPr>
        <w:pStyle w:val="ListParagraph"/>
        <w:numPr>
          <w:ilvl w:val="1"/>
          <w:numId w:val="1"/>
        </w:numPr>
        <w:ind w:left="709" w:hanging="709"/>
        <w:jc w:val="both"/>
        <w:rPr>
          <w:rFonts w:ascii="Arial" w:hAnsi="Arial" w:cs="Arial"/>
          <w:bCs/>
          <w:sz w:val="22"/>
          <w:szCs w:val="22"/>
        </w:rPr>
      </w:pPr>
      <w:r w:rsidRPr="00D809E4">
        <w:rPr>
          <w:rFonts w:ascii="Arial" w:hAnsi="Arial" w:cs="Arial"/>
          <w:sz w:val="22"/>
          <w:szCs w:val="22"/>
        </w:rPr>
        <w:t>The PBAC noted that this submission is eligible for an Independent Review.</w:t>
      </w:r>
    </w:p>
    <w:p w:rsidR="00D809E4" w:rsidRPr="00D809E4" w:rsidRDefault="00D809E4" w:rsidP="00ED740F">
      <w:pPr>
        <w:jc w:val="both"/>
        <w:rPr>
          <w:rFonts w:ascii="Arial" w:hAnsi="Arial" w:cs="Arial"/>
          <w:b/>
          <w:bCs/>
          <w:sz w:val="22"/>
          <w:szCs w:val="22"/>
          <w:lang w:val="en-GB"/>
        </w:rPr>
      </w:pPr>
    </w:p>
    <w:p w:rsidR="002C5A98" w:rsidRDefault="002C5A98" w:rsidP="00ED740F">
      <w:pPr>
        <w:jc w:val="both"/>
        <w:rPr>
          <w:rFonts w:ascii="Arial" w:hAnsi="Arial" w:cs="Arial"/>
          <w:b/>
          <w:bCs/>
          <w:sz w:val="22"/>
          <w:szCs w:val="22"/>
          <w:lang w:val="en-GB"/>
        </w:rPr>
      </w:pPr>
    </w:p>
    <w:p w:rsidR="00D809E4" w:rsidRPr="00D809E4" w:rsidRDefault="00D809E4" w:rsidP="004A3973">
      <w:pPr>
        <w:pStyle w:val="Heading2"/>
        <w:rPr>
          <w:lang w:val="en-GB"/>
        </w:rPr>
      </w:pPr>
      <w:r w:rsidRPr="00D809E4">
        <w:rPr>
          <w:lang w:val="en-GB"/>
        </w:rPr>
        <w:t>Outcome:</w:t>
      </w:r>
    </w:p>
    <w:p w:rsidR="00D809E4" w:rsidRPr="00D809E4" w:rsidRDefault="00D809E4" w:rsidP="00ED740F">
      <w:pPr>
        <w:jc w:val="both"/>
        <w:rPr>
          <w:rFonts w:ascii="Arial" w:hAnsi="Arial" w:cs="Arial"/>
          <w:bCs/>
          <w:sz w:val="22"/>
          <w:szCs w:val="22"/>
          <w:lang w:val="en-GB"/>
        </w:rPr>
      </w:pPr>
      <w:r w:rsidRPr="00D809E4">
        <w:rPr>
          <w:rFonts w:ascii="Arial" w:hAnsi="Arial" w:cs="Arial"/>
          <w:bCs/>
          <w:sz w:val="22"/>
          <w:szCs w:val="22"/>
          <w:lang w:val="en-GB"/>
        </w:rPr>
        <w:t>Rejected</w:t>
      </w:r>
    </w:p>
    <w:p w:rsidR="00D809E4" w:rsidRPr="00D809E4" w:rsidRDefault="00D809E4" w:rsidP="00ED740F">
      <w:pPr>
        <w:jc w:val="both"/>
        <w:rPr>
          <w:rFonts w:ascii="Arial" w:hAnsi="Arial" w:cs="Arial"/>
          <w:bCs/>
          <w:sz w:val="22"/>
          <w:szCs w:val="22"/>
          <w:highlight w:val="yellow"/>
          <w:lang w:val="en-GB"/>
        </w:rPr>
      </w:pPr>
    </w:p>
    <w:p w:rsidR="009C4341" w:rsidRPr="007869EC" w:rsidRDefault="009C4341" w:rsidP="004A3973">
      <w:pPr>
        <w:pStyle w:val="Heading1"/>
        <w:rPr>
          <w:rFonts w:eastAsia="SimSun"/>
          <w:snapToGrid w:val="0"/>
          <w:lang w:eastAsia="en-US"/>
        </w:rPr>
      </w:pPr>
      <w:r w:rsidRPr="007869EC">
        <w:rPr>
          <w:rFonts w:eastAsia="SimSun"/>
          <w:snapToGrid w:val="0"/>
          <w:lang w:eastAsia="en-US"/>
        </w:rPr>
        <w:t>Context for Decision</w:t>
      </w:r>
    </w:p>
    <w:p w:rsidR="009C4341" w:rsidRPr="007869EC" w:rsidRDefault="009C4341" w:rsidP="009C4341">
      <w:pPr>
        <w:widowControl w:val="0"/>
        <w:ind w:left="720"/>
        <w:contextualSpacing/>
        <w:jc w:val="both"/>
        <w:rPr>
          <w:b/>
          <w:snapToGrid w:val="0"/>
        </w:rPr>
      </w:pPr>
    </w:p>
    <w:p w:rsidR="009C4341" w:rsidRPr="007869EC" w:rsidRDefault="009C4341" w:rsidP="009C4341">
      <w:pPr>
        <w:widowControl w:val="0"/>
        <w:ind w:left="720"/>
        <w:jc w:val="both"/>
        <w:rPr>
          <w:rFonts w:ascii="Arial" w:hAnsi="Arial" w:cs="Arial"/>
          <w:bCs/>
          <w:snapToGrid w:val="0"/>
          <w:sz w:val="22"/>
          <w:szCs w:val="22"/>
          <w:lang w:eastAsia="en-US"/>
        </w:rPr>
      </w:pPr>
      <w:r w:rsidRPr="007869EC">
        <w:rPr>
          <w:rFonts w:ascii="Arial" w:hAnsi="Arial" w:cs="Arial"/>
          <w:bCs/>
          <w:snapToGrid w:val="0"/>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C4341" w:rsidRPr="007869EC" w:rsidRDefault="009C4341" w:rsidP="009C4341">
      <w:pPr>
        <w:widowControl w:val="0"/>
        <w:jc w:val="both"/>
        <w:rPr>
          <w:lang w:eastAsia="en-US"/>
        </w:rPr>
      </w:pPr>
    </w:p>
    <w:p w:rsidR="009C4341" w:rsidRPr="007869EC" w:rsidRDefault="009C4341" w:rsidP="004A3973">
      <w:pPr>
        <w:pStyle w:val="Heading1"/>
        <w:rPr>
          <w:rFonts w:eastAsia="SimSun"/>
          <w:snapToGrid w:val="0"/>
          <w:lang w:eastAsia="en-US"/>
        </w:rPr>
      </w:pPr>
      <w:r w:rsidRPr="007869EC">
        <w:rPr>
          <w:rFonts w:eastAsia="SimSun"/>
          <w:snapToGrid w:val="0"/>
          <w:lang w:eastAsia="en-US"/>
        </w:rPr>
        <w:t>Sponsor’s Comment</w:t>
      </w:r>
    </w:p>
    <w:p w:rsidR="009C4341" w:rsidRPr="001B00A4" w:rsidRDefault="009C4341" w:rsidP="009C4341">
      <w:pPr>
        <w:widowControl w:val="0"/>
        <w:jc w:val="both"/>
        <w:rPr>
          <w:rFonts w:ascii="Arial" w:hAnsi="Arial" w:cs="Arial"/>
          <w:b/>
          <w:bCs/>
          <w:snapToGrid w:val="0"/>
          <w:sz w:val="22"/>
          <w:szCs w:val="22"/>
          <w:lang w:eastAsia="en-US"/>
        </w:rPr>
      </w:pPr>
    </w:p>
    <w:p w:rsidR="00E50A1F" w:rsidRPr="00686688" w:rsidRDefault="00686688" w:rsidP="00686688">
      <w:pPr>
        <w:widowControl w:val="0"/>
        <w:ind w:left="720"/>
        <w:jc w:val="both"/>
        <w:rPr>
          <w:rFonts w:ascii="Arial" w:hAnsi="Arial" w:cs="Arial"/>
          <w:bCs/>
          <w:snapToGrid w:val="0"/>
          <w:sz w:val="22"/>
          <w:szCs w:val="22"/>
          <w:lang w:eastAsia="en-US"/>
        </w:rPr>
      </w:pPr>
      <w:r>
        <w:rPr>
          <w:rFonts w:ascii="Arial" w:hAnsi="Arial" w:cs="Arial"/>
          <w:bCs/>
          <w:snapToGrid w:val="0"/>
          <w:sz w:val="22"/>
          <w:szCs w:val="22"/>
          <w:lang w:eastAsia="en-US"/>
        </w:rPr>
        <w:t>The sponsor had no comment.</w:t>
      </w:r>
    </w:p>
    <w:sectPr w:rsidR="00E50A1F" w:rsidRPr="00686688" w:rsidSect="00780E0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5C" w:rsidRDefault="0090025C">
      <w:r>
        <w:separator/>
      </w:r>
    </w:p>
    <w:p w:rsidR="0090025C" w:rsidRDefault="0090025C"/>
  </w:endnote>
  <w:endnote w:type="continuationSeparator" w:id="0">
    <w:p w:rsidR="0090025C" w:rsidRDefault="0090025C">
      <w:r>
        <w:continuationSeparator/>
      </w:r>
    </w:p>
    <w:p w:rsidR="0090025C" w:rsidRDefault="00900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20EC" w:rsidTr="005A3173">
      <w:trPr>
        <w:trHeight w:val="151"/>
      </w:trPr>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20EC" w:rsidRPr="005A3173" w:rsidRDefault="006720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r>
    <w:tr w:rsidR="006720EC" w:rsidTr="005A3173">
      <w:trPr>
        <w:trHeight w:val="150"/>
      </w:trPr>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0" w:type="auto"/>
          <w:vMerge/>
          <w:vAlign w:val="center"/>
          <w:hideMark/>
        </w:tcPr>
        <w:p w:rsidR="006720EC" w:rsidRPr="005A3173" w:rsidRDefault="006720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r>
  </w:tbl>
  <w:p w:rsidR="006720EC" w:rsidRDefault="006720E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20EC" w:rsidRDefault="006720EC">
    <w:pPr>
      <w:pStyle w:val="Footer"/>
    </w:pPr>
  </w:p>
  <w:p w:rsidR="006720EC" w:rsidRDefault="006720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8457"/>
      <w:docPartObj>
        <w:docPartGallery w:val="Page Numbers (Bottom of Page)"/>
        <w:docPartUnique/>
      </w:docPartObj>
    </w:sdtPr>
    <w:sdtEndPr>
      <w:rPr>
        <w:noProof/>
      </w:rPr>
    </w:sdtEndPr>
    <w:sdtContent>
      <w:p w:rsidR="00CE28A5" w:rsidRDefault="00CE28A5">
        <w:pPr>
          <w:pStyle w:val="Footer"/>
          <w:jc w:val="center"/>
        </w:pPr>
        <w:r>
          <w:fldChar w:fldCharType="begin"/>
        </w:r>
        <w:r>
          <w:instrText xml:space="preserve"> PAGE   \* MERGEFORMAT </w:instrText>
        </w:r>
        <w:r>
          <w:fldChar w:fldCharType="separate"/>
        </w:r>
        <w:r w:rsidR="002434D5">
          <w:rPr>
            <w:noProof/>
          </w:rPr>
          <w:t>1</w:t>
        </w:r>
        <w:r>
          <w:rPr>
            <w:noProof/>
          </w:rPr>
          <w:fldChar w:fldCharType="end"/>
        </w:r>
      </w:p>
    </w:sdtContent>
  </w:sdt>
  <w:p w:rsidR="006720EC" w:rsidRDefault="006720EC"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720EC" w:rsidTr="005A3173">
      <w:trPr>
        <w:trHeight w:val="151"/>
      </w:trPr>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20EC" w:rsidRPr="005A3173" w:rsidRDefault="006720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r>
    <w:tr w:rsidR="006720EC" w:rsidTr="005A3173">
      <w:trPr>
        <w:trHeight w:val="150"/>
      </w:trPr>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0" w:type="auto"/>
          <w:vMerge/>
          <w:vAlign w:val="center"/>
          <w:hideMark/>
        </w:tcPr>
        <w:p w:rsidR="006720EC" w:rsidRPr="005A3173" w:rsidRDefault="006720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20EC" w:rsidTr="005A3173">
      <w:trPr>
        <w:trHeight w:val="151"/>
      </w:trPr>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720EC" w:rsidRPr="005A3173" w:rsidRDefault="006720E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720EC" w:rsidRPr="005A3173" w:rsidRDefault="006720EC" w:rsidP="005A3173">
          <w:pPr>
            <w:pStyle w:val="Header"/>
            <w:spacing w:line="276" w:lineRule="auto"/>
            <w:rPr>
              <w:rFonts w:ascii="Calibri" w:eastAsia="MS Gothic" w:hAnsi="Calibri"/>
              <w:b/>
              <w:bCs/>
              <w:color w:val="4F81BD"/>
            </w:rPr>
          </w:pPr>
        </w:p>
      </w:tc>
    </w:tr>
    <w:tr w:rsidR="006720EC" w:rsidTr="005A3173">
      <w:trPr>
        <w:trHeight w:val="150"/>
      </w:trPr>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c>
        <w:tcPr>
          <w:tcW w:w="0" w:type="auto"/>
          <w:vMerge/>
          <w:vAlign w:val="center"/>
          <w:hideMark/>
        </w:tcPr>
        <w:p w:rsidR="006720EC" w:rsidRPr="005A3173" w:rsidRDefault="006720EC" w:rsidP="005A3173">
          <w:pPr>
            <w:rPr>
              <w:rFonts w:ascii="Calibri" w:hAnsi="Calibri"/>
              <w:color w:val="365F91"/>
              <w:sz w:val="22"/>
              <w:szCs w:val="22"/>
            </w:rPr>
          </w:pPr>
        </w:p>
      </w:tc>
      <w:tc>
        <w:tcPr>
          <w:tcW w:w="2250" w:type="pct"/>
          <w:tcBorders>
            <w:top w:val="single" w:sz="4" w:space="0" w:color="4F81BD"/>
            <w:left w:val="nil"/>
            <w:bottom w:val="nil"/>
            <w:right w:val="nil"/>
          </w:tcBorders>
        </w:tcPr>
        <w:p w:rsidR="006720EC" w:rsidRPr="005A3173" w:rsidRDefault="006720EC" w:rsidP="005A3173">
          <w:pPr>
            <w:pStyle w:val="Header"/>
            <w:spacing w:line="276" w:lineRule="auto"/>
            <w:rPr>
              <w:rFonts w:ascii="Calibri" w:eastAsia="MS Gothic" w:hAnsi="Calibri"/>
              <w:b/>
              <w:bCs/>
              <w:color w:val="4F81BD"/>
            </w:rPr>
          </w:pPr>
        </w:p>
      </w:tc>
    </w:tr>
  </w:tbl>
  <w:p w:rsidR="006720EC" w:rsidRPr="007C0F57" w:rsidRDefault="006720E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720EC" w:rsidRPr="007C0F57" w:rsidRDefault="006720EC" w:rsidP="007C0F57">
    <w:pPr>
      <w:pStyle w:val="Footer"/>
      <w:jc w:val="center"/>
      <w:rPr>
        <w:b/>
        <w:i/>
        <w:sz w:val="20"/>
        <w:szCs w:val="20"/>
      </w:rPr>
    </w:pPr>
    <w:r w:rsidRPr="007C0F57">
      <w:rPr>
        <w:b/>
        <w:i/>
        <w:sz w:val="20"/>
        <w:szCs w:val="20"/>
      </w:rPr>
      <w:t>Commercial-in-Confidence</w:t>
    </w:r>
  </w:p>
  <w:p w:rsidR="006720EC" w:rsidRDefault="006720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5C" w:rsidRDefault="0090025C">
      <w:r>
        <w:separator/>
      </w:r>
    </w:p>
    <w:p w:rsidR="0090025C" w:rsidRDefault="0090025C"/>
  </w:footnote>
  <w:footnote w:type="continuationSeparator" w:id="0">
    <w:p w:rsidR="0090025C" w:rsidRDefault="0090025C">
      <w:r>
        <w:continuationSeparator/>
      </w:r>
    </w:p>
    <w:p w:rsidR="0090025C" w:rsidRDefault="009002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720EC" w:rsidRPr="008E0D90" w:rsidTr="00A06225">
      <w:trPr>
        <w:trHeight w:val="151"/>
      </w:trPr>
      <w:tc>
        <w:tcPr>
          <w:tcW w:w="2389" w:type="pct"/>
          <w:tcBorders>
            <w:top w:val="nil"/>
            <w:left w:val="nil"/>
            <w:bottom w:val="single" w:sz="4" w:space="0" w:color="4F81BD"/>
            <w:right w:val="nil"/>
          </w:tcBorders>
        </w:tcPr>
        <w:p w:rsidR="006720EC" w:rsidRPr="00A06225" w:rsidRDefault="006720EC">
          <w:pPr>
            <w:pStyle w:val="Header"/>
            <w:spacing w:line="276" w:lineRule="auto"/>
            <w:rPr>
              <w:rFonts w:ascii="Cambria" w:eastAsia="MS Gothic" w:hAnsi="Cambria"/>
              <w:b/>
              <w:bCs/>
              <w:color w:val="4F81BD"/>
            </w:rPr>
          </w:pPr>
        </w:p>
      </w:tc>
      <w:tc>
        <w:tcPr>
          <w:tcW w:w="333" w:type="pct"/>
          <w:vMerge w:val="restart"/>
          <w:noWrap/>
          <w:vAlign w:val="center"/>
          <w:hideMark/>
        </w:tcPr>
        <w:p w:rsidR="006720EC" w:rsidRPr="00A06225" w:rsidRDefault="006720E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720EC" w:rsidRPr="00A06225" w:rsidRDefault="006720EC">
          <w:pPr>
            <w:pStyle w:val="Header"/>
            <w:spacing w:line="276" w:lineRule="auto"/>
            <w:rPr>
              <w:rFonts w:ascii="Cambria" w:eastAsia="MS Gothic" w:hAnsi="Cambria"/>
              <w:b/>
              <w:bCs/>
              <w:color w:val="4F81BD"/>
            </w:rPr>
          </w:pPr>
        </w:p>
      </w:tc>
    </w:tr>
    <w:tr w:rsidR="006720EC" w:rsidRPr="008E0D90" w:rsidTr="00A06225">
      <w:trPr>
        <w:trHeight w:val="150"/>
      </w:trPr>
      <w:tc>
        <w:tcPr>
          <w:tcW w:w="2389" w:type="pct"/>
          <w:tcBorders>
            <w:top w:val="single" w:sz="4" w:space="0" w:color="4F81BD"/>
            <w:left w:val="nil"/>
            <w:bottom w:val="nil"/>
            <w:right w:val="nil"/>
          </w:tcBorders>
        </w:tcPr>
        <w:p w:rsidR="006720EC" w:rsidRPr="00A06225" w:rsidRDefault="006720EC">
          <w:pPr>
            <w:pStyle w:val="Header"/>
            <w:spacing w:line="276" w:lineRule="auto"/>
            <w:rPr>
              <w:rFonts w:ascii="Cambria" w:eastAsia="MS Gothic" w:hAnsi="Cambria"/>
              <w:b/>
              <w:bCs/>
              <w:color w:val="4F81BD"/>
            </w:rPr>
          </w:pPr>
        </w:p>
      </w:tc>
      <w:tc>
        <w:tcPr>
          <w:tcW w:w="0" w:type="auto"/>
          <w:vMerge/>
          <w:vAlign w:val="center"/>
          <w:hideMark/>
        </w:tcPr>
        <w:p w:rsidR="006720EC" w:rsidRPr="00A06225" w:rsidRDefault="006720EC">
          <w:pPr>
            <w:rPr>
              <w:rFonts w:ascii="Cambria" w:hAnsi="Cambria"/>
              <w:color w:val="4F81BD"/>
              <w:sz w:val="22"/>
              <w:szCs w:val="22"/>
            </w:rPr>
          </w:pPr>
        </w:p>
      </w:tc>
      <w:tc>
        <w:tcPr>
          <w:tcW w:w="2278" w:type="pct"/>
          <w:tcBorders>
            <w:top w:val="single" w:sz="4" w:space="0" w:color="4F81BD"/>
            <w:left w:val="nil"/>
            <w:bottom w:val="nil"/>
            <w:right w:val="nil"/>
          </w:tcBorders>
        </w:tcPr>
        <w:p w:rsidR="006720EC" w:rsidRPr="00A06225" w:rsidRDefault="006720EC">
          <w:pPr>
            <w:pStyle w:val="Header"/>
            <w:spacing w:line="276" w:lineRule="auto"/>
            <w:rPr>
              <w:rFonts w:ascii="Cambria" w:eastAsia="MS Gothic" w:hAnsi="Cambria"/>
              <w:b/>
              <w:bCs/>
              <w:color w:val="4F81BD"/>
            </w:rPr>
          </w:pPr>
        </w:p>
      </w:tc>
    </w:tr>
  </w:tbl>
  <w:p w:rsidR="006720EC" w:rsidRDefault="006720EC">
    <w:pPr>
      <w:pStyle w:val="Header"/>
    </w:pPr>
  </w:p>
  <w:p w:rsidR="006720EC" w:rsidRDefault="006720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57" w:rsidRPr="00DF217D" w:rsidRDefault="00817657" w:rsidP="00817657">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720EC" w:rsidRPr="005F76D9" w:rsidRDefault="006720EC"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5C" w:rsidRDefault="009002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543"/>
    <w:multiLevelType w:val="hybridMultilevel"/>
    <w:tmpl w:val="5EF445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80B01BE"/>
    <w:multiLevelType w:val="multilevel"/>
    <w:tmpl w:val="0016A85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25234D"/>
    <w:multiLevelType w:val="multilevel"/>
    <w:tmpl w:val="F24834F6"/>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2A3F15"/>
    <w:multiLevelType w:val="hybridMultilevel"/>
    <w:tmpl w:val="7CB6D1A4"/>
    <w:lvl w:ilvl="0" w:tplc="17A8F9C2">
      <w:start w:val="1"/>
      <w:numFmt w:val="bullet"/>
      <w:lvlText w:val="•"/>
      <w:lvlJc w:val="left"/>
      <w:pPr>
        <w:tabs>
          <w:tab w:val="num" w:pos="720"/>
        </w:tabs>
        <w:ind w:left="720" w:hanging="360"/>
      </w:pPr>
      <w:rPr>
        <w:rFonts w:ascii="Arial" w:hAnsi="Arial" w:hint="default"/>
      </w:rPr>
    </w:lvl>
    <w:lvl w:ilvl="1" w:tplc="266C567A" w:tentative="1">
      <w:start w:val="1"/>
      <w:numFmt w:val="bullet"/>
      <w:lvlText w:val="•"/>
      <w:lvlJc w:val="left"/>
      <w:pPr>
        <w:tabs>
          <w:tab w:val="num" w:pos="1440"/>
        </w:tabs>
        <w:ind w:left="1440" w:hanging="360"/>
      </w:pPr>
      <w:rPr>
        <w:rFonts w:ascii="Arial" w:hAnsi="Arial" w:hint="default"/>
      </w:rPr>
    </w:lvl>
    <w:lvl w:ilvl="2" w:tplc="E9BC7F92" w:tentative="1">
      <w:start w:val="1"/>
      <w:numFmt w:val="bullet"/>
      <w:lvlText w:val="•"/>
      <w:lvlJc w:val="left"/>
      <w:pPr>
        <w:tabs>
          <w:tab w:val="num" w:pos="2160"/>
        </w:tabs>
        <w:ind w:left="2160" w:hanging="360"/>
      </w:pPr>
      <w:rPr>
        <w:rFonts w:ascii="Arial" w:hAnsi="Arial" w:hint="default"/>
      </w:rPr>
    </w:lvl>
    <w:lvl w:ilvl="3" w:tplc="9AECF33A" w:tentative="1">
      <w:start w:val="1"/>
      <w:numFmt w:val="bullet"/>
      <w:lvlText w:val="•"/>
      <w:lvlJc w:val="left"/>
      <w:pPr>
        <w:tabs>
          <w:tab w:val="num" w:pos="2880"/>
        </w:tabs>
        <w:ind w:left="2880" w:hanging="360"/>
      </w:pPr>
      <w:rPr>
        <w:rFonts w:ascii="Arial" w:hAnsi="Arial" w:hint="default"/>
      </w:rPr>
    </w:lvl>
    <w:lvl w:ilvl="4" w:tplc="8FC05ABC" w:tentative="1">
      <w:start w:val="1"/>
      <w:numFmt w:val="bullet"/>
      <w:lvlText w:val="•"/>
      <w:lvlJc w:val="left"/>
      <w:pPr>
        <w:tabs>
          <w:tab w:val="num" w:pos="3600"/>
        </w:tabs>
        <w:ind w:left="3600" w:hanging="360"/>
      </w:pPr>
      <w:rPr>
        <w:rFonts w:ascii="Arial" w:hAnsi="Arial" w:hint="default"/>
      </w:rPr>
    </w:lvl>
    <w:lvl w:ilvl="5" w:tplc="617AEA2E" w:tentative="1">
      <w:start w:val="1"/>
      <w:numFmt w:val="bullet"/>
      <w:lvlText w:val="•"/>
      <w:lvlJc w:val="left"/>
      <w:pPr>
        <w:tabs>
          <w:tab w:val="num" w:pos="4320"/>
        </w:tabs>
        <w:ind w:left="4320" w:hanging="360"/>
      </w:pPr>
      <w:rPr>
        <w:rFonts w:ascii="Arial" w:hAnsi="Arial" w:hint="default"/>
      </w:rPr>
    </w:lvl>
    <w:lvl w:ilvl="6" w:tplc="9120E1B0" w:tentative="1">
      <w:start w:val="1"/>
      <w:numFmt w:val="bullet"/>
      <w:lvlText w:val="•"/>
      <w:lvlJc w:val="left"/>
      <w:pPr>
        <w:tabs>
          <w:tab w:val="num" w:pos="5040"/>
        </w:tabs>
        <w:ind w:left="5040" w:hanging="360"/>
      </w:pPr>
      <w:rPr>
        <w:rFonts w:ascii="Arial" w:hAnsi="Arial" w:hint="default"/>
      </w:rPr>
    </w:lvl>
    <w:lvl w:ilvl="7" w:tplc="B0DED122" w:tentative="1">
      <w:start w:val="1"/>
      <w:numFmt w:val="bullet"/>
      <w:lvlText w:val="•"/>
      <w:lvlJc w:val="left"/>
      <w:pPr>
        <w:tabs>
          <w:tab w:val="num" w:pos="5760"/>
        </w:tabs>
        <w:ind w:left="5760" w:hanging="360"/>
      </w:pPr>
      <w:rPr>
        <w:rFonts w:ascii="Arial" w:hAnsi="Arial" w:hint="default"/>
      </w:rPr>
    </w:lvl>
    <w:lvl w:ilvl="8" w:tplc="99EC8E06" w:tentative="1">
      <w:start w:val="1"/>
      <w:numFmt w:val="bullet"/>
      <w:lvlText w:val="•"/>
      <w:lvlJc w:val="left"/>
      <w:pPr>
        <w:tabs>
          <w:tab w:val="num" w:pos="6480"/>
        </w:tabs>
        <w:ind w:left="6480" w:hanging="360"/>
      </w:pPr>
      <w:rPr>
        <w:rFonts w:ascii="Arial" w:hAnsi="Arial" w:hint="default"/>
      </w:rPr>
    </w:lvl>
  </w:abstractNum>
  <w:abstractNum w:abstractNumId="4">
    <w:nsid w:val="25097A38"/>
    <w:multiLevelType w:val="hybridMultilevel"/>
    <w:tmpl w:val="07E8D4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25AB50F1"/>
    <w:multiLevelType w:val="hybridMultilevel"/>
    <w:tmpl w:val="C5BC4AA2"/>
    <w:lvl w:ilvl="0" w:tplc="B9B27FEE">
      <w:start w:val="1"/>
      <w:numFmt w:val="bullet"/>
      <w:lvlText w:val=" "/>
      <w:lvlJc w:val="left"/>
      <w:pPr>
        <w:tabs>
          <w:tab w:val="num" w:pos="720"/>
        </w:tabs>
        <w:ind w:left="720" w:hanging="360"/>
      </w:pPr>
      <w:rPr>
        <w:rFonts w:ascii="Calibri" w:hAnsi="Calibri" w:hint="default"/>
      </w:rPr>
    </w:lvl>
    <w:lvl w:ilvl="1" w:tplc="39F4B0F4" w:tentative="1">
      <w:start w:val="1"/>
      <w:numFmt w:val="bullet"/>
      <w:lvlText w:val=" "/>
      <w:lvlJc w:val="left"/>
      <w:pPr>
        <w:tabs>
          <w:tab w:val="num" w:pos="1440"/>
        </w:tabs>
        <w:ind w:left="1440" w:hanging="360"/>
      </w:pPr>
      <w:rPr>
        <w:rFonts w:ascii="Calibri" w:hAnsi="Calibri" w:hint="default"/>
      </w:rPr>
    </w:lvl>
    <w:lvl w:ilvl="2" w:tplc="36328B28" w:tentative="1">
      <w:start w:val="1"/>
      <w:numFmt w:val="bullet"/>
      <w:lvlText w:val=" "/>
      <w:lvlJc w:val="left"/>
      <w:pPr>
        <w:tabs>
          <w:tab w:val="num" w:pos="2160"/>
        </w:tabs>
        <w:ind w:left="2160" w:hanging="360"/>
      </w:pPr>
      <w:rPr>
        <w:rFonts w:ascii="Calibri" w:hAnsi="Calibri" w:hint="default"/>
      </w:rPr>
    </w:lvl>
    <w:lvl w:ilvl="3" w:tplc="F2924DCA" w:tentative="1">
      <w:start w:val="1"/>
      <w:numFmt w:val="bullet"/>
      <w:lvlText w:val=" "/>
      <w:lvlJc w:val="left"/>
      <w:pPr>
        <w:tabs>
          <w:tab w:val="num" w:pos="2880"/>
        </w:tabs>
        <w:ind w:left="2880" w:hanging="360"/>
      </w:pPr>
      <w:rPr>
        <w:rFonts w:ascii="Calibri" w:hAnsi="Calibri" w:hint="default"/>
      </w:rPr>
    </w:lvl>
    <w:lvl w:ilvl="4" w:tplc="92CE8D7A" w:tentative="1">
      <w:start w:val="1"/>
      <w:numFmt w:val="bullet"/>
      <w:lvlText w:val=" "/>
      <w:lvlJc w:val="left"/>
      <w:pPr>
        <w:tabs>
          <w:tab w:val="num" w:pos="3600"/>
        </w:tabs>
        <w:ind w:left="3600" w:hanging="360"/>
      </w:pPr>
      <w:rPr>
        <w:rFonts w:ascii="Calibri" w:hAnsi="Calibri" w:hint="default"/>
      </w:rPr>
    </w:lvl>
    <w:lvl w:ilvl="5" w:tplc="1A42BE74" w:tentative="1">
      <w:start w:val="1"/>
      <w:numFmt w:val="bullet"/>
      <w:lvlText w:val=" "/>
      <w:lvlJc w:val="left"/>
      <w:pPr>
        <w:tabs>
          <w:tab w:val="num" w:pos="4320"/>
        </w:tabs>
        <w:ind w:left="4320" w:hanging="360"/>
      </w:pPr>
      <w:rPr>
        <w:rFonts w:ascii="Calibri" w:hAnsi="Calibri" w:hint="default"/>
      </w:rPr>
    </w:lvl>
    <w:lvl w:ilvl="6" w:tplc="0AA2253A" w:tentative="1">
      <w:start w:val="1"/>
      <w:numFmt w:val="bullet"/>
      <w:lvlText w:val=" "/>
      <w:lvlJc w:val="left"/>
      <w:pPr>
        <w:tabs>
          <w:tab w:val="num" w:pos="5040"/>
        </w:tabs>
        <w:ind w:left="5040" w:hanging="360"/>
      </w:pPr>
      <w:rPr>
        <w:rFonts w:ascii="Calibri" w:hAnsi="Calibri" w:hint="default"/>
      </w:rPr>
    </w:lvl>
    <w:lvl w:ilvl="7" w:tplc="6C520D3C" w:tentative="1">
      <w:start w:val="1"/>
      <w:numFmt w:val="bullet"/>
      <w:lvlText w:val=" "/>
      <w:lvlJc w:val="left"/>
      <w:pPr>
        <w:tabs>
          <w:tab w:val="num" w:pos="5760"/>
        </w:tabs>
        <w:ind w:left="5760" w:hanging="360"/>
      </w:pPr>
      <w:rPr>
        <w:rFonts w:ascii="Calibri" w:hAnsi="Calibri" w:hint="default"/>
      </w:rPr>
    </w:lvl>
    <w:lvl w:ilvl="8" w:tplc="0EBC981C" w:tentative="1">
      <w:start w:val="1"/>
      <w:numFmt w:val="bullet"/>
      <w:lvlText w:val=" "/>
      <w:lvlJc w:val="left"/>
      <w:pPr>
        <w:tabs>
          <w:tab w:val="num" w:pos="6480"/>
        </w:tabs>
        <w:ind w:left="6480" w:hanging="360"/>
      </w:pPr>
      <w:rPr>
        <w:rFonts w:ascii="Calibri" w:hAnsi="Calibri" w:hint="default"/>
      </w:rPr>
    </w:lvl>
  </w:abstractNum>
  <w:abstractNum w:abstractNumId="6">
    <w:nsid w:val="2D4F6717"/>
    <w:multiLevelType w:val="hybridMultilevel"/>
    <w:tmpl w:val="6C64A6F4"/>
    <w:lvl w:ilvl="0" w:tplc="6EAE79E2">
      <w:start w:val="1"/>
      <w:numFmt w:val="bullet"/>
      <w:lvlText w:val="•"/>
      <w:lvlJc w:val="left"/>
      <w:pPr>
        <w:tabs>
          <w:tab w:val="num" w:pos="720"/>
        </w:tabs>
        <w:ind w:left="720" w:hanging="360"/>
      </w:pPr>
      <w:rPr>
        <w:rFonts w:ascii="Arial" w:hAnsi="Arial" w:hint="default"/>
      </w:rPr>
    </w:lvl>
    <w:lvl w:ilvl="1" w:tplc="56DA4BBA">
      <w:start w:val="893"/>
      <w:numFmt w:val="bullet"/>
      <w:lvlText w:val="•"/>
      <w:lvlJc w:val="left"/>
      <w:pPr>
        <w:tabs>
          <w:tab w:val="num" w:pos="1440"/>
        </w:tabs>
        <w:ind w:left="1440" w:hanging="360"/>
      </w:pPr>
      <w:rPr>
        <w:rFonts w:ascii="Arial" w:hAnsi="Arial" w:hint="default"/>
      </w:rPr>
    </w:lvl>
    <w:lvl w:ilvl="2" w:tplc="A6D25E8C" w:tentative="1">
      <w:start w:val="1"/>
      <w:numFmt w:val="bullet"/>
      <w:lvlText w:val="•"/>
      <w:lvlJc w:val="left"/>
      <w:pPr>
        <w:tabs>
          <w:tab w:val="num" w:pos="2160"/>
        </w:tabs>
        <w:ind w:left="2160" w:hanging="360"/>
      </w:pPr>
      <w:rPr>
        <w:rFonts w:ascii="Arial" w:hAnsi="Arial" w:hint="default"/>
      </w:rPr>
    </w:lvl>
    <w:lvl w:ilvl="3" w:tplc="78A28434" w:tentative="1">
      <w:start w:val="1"/>
      <w:numFmt w:val="bullet"/>
      <w:lvlText w:val="•"/>
      <w:lvlJc w:val="left"/>
      <w:pPr>
        <w:tabs>
          <w:tab w:val="num" w:pos="2880"/>
        </w:tabs>
        <w:ind w:left="2880" w:hanging="360"/>
      </w:pPr>
      <w:rPr>
        <w:rFonts w:ascii="Arial" w:hAnsi="Arial" w:hint="default"/>
      </w:rPr>
    </w:lvl>
    <w:lvl w:ilvl="4" w:tplc="2A56A740" w:tentative="1">
      <w:start w:val="1"/>
      <w:numFmt w:val="bullet"/>
      <w:lvlText w:val="•"/>
      <w:lvlJc w:val="left"/>
      <w:pPr>
        <w:tabs>
          <w:tab w:val="num" w:pos="3600"/>
        </w:tabs>
        <w:ind w:left="3600" w:hanging="360"/>
      </w:pPr>
      <w:rPr>
        <w:rFonts w:ascii="Arial" w:hAnsi="Arial" w:hint="default"/>
      </w:rPr>
    </w:lvl>
    <w:lvl w:ilvl="5" w:tplc="D332BEE4" w:tentative="1">
      <w:start w:val="1"/>
      <w:numFmt w:val="bullet"/>
      <w:lvlText w:val="•"/>
      <w:lvlJc w:val="left"/>
      <w:pPr>
        <w:tabs>
          <w:tab w:val="num" w:pos="4320"/>
        </w:tabs>
        <w:ind w:left="4320" w:hanging="360"/>
      </w:pPr>
      <w:rPr>
        <w:rFonts w:ascii="Arial" w:hAnsi="Arial" w:hint="default"/>
      </w:rPr>
    </w:lvl>
    <w:lvl w:ilvl="6" w:tplc="E3721C3C" w:tentative="1">
      <w:start w:val="1"/>
      <w:numFmt w:val="bullet"/>
      <w:lvlText w:val="•"/>
      <w:lvlJc w:val="left"/>
      <w:pPr>
        <w:tabs>
          <w:tab w:val="num" w:pos="5040"/>
        </w:tabs>
        <w:ind w:left="5040" w:hanging="360"/>
      </w:pPr>
      <w:rPr>
        <w:rFonts w:ascii="Arial" w:hAnsi="Arial" w:hint="default"/>
      </w:rPr>
    </w:lvl>
    <w:lvl w:ilvl="7" w:tplc="8A9051EA" w:tentative="1">
      <w:start w:val="1"/>
      <w:numFmt w:val="bullet"/>
      <w:lvlText w:val="•"/>
      <w:lvlJc w:val="left"/>
      <w:pPr>
        <w:tabs>
          <w:tab w:val="num" w:pos="5760"/>
        </w:tabs>
        <w:ind w:left="5760" w:hanging="360"/>
      </w:pPr>
      <w:rPr>
        <w:rFonts w:ascii="Arial" w:hAnsi="Arial" w:hint="default"/>
      </w:rPr>
    </w:lvl>
    <w:lvl w:ilvl="8" w:tplc="0DCCAE66" w:tentative="1">
      <w:start w:val="1"/>
      <w:numFmt w:val="bullet"/>
      <w:lvlText w:val="•"/>
      <w:lvlJc w:val="left"/>
      <w:pPr>
        <w:tabs>
          <w:tab w:val="num" w:pos="6480"/>
        </w:tabs>
        <w:ind w:left="6480" w:hanging="360"/>
      </w:pPr>
      <w:rPr>
        <w:rFonts w:ascii="Arial" w:hAnsi="Arial" w:hint="default"/>
      </w:rPr>
    </w:lvl>
  </w:abstractNum>
  <w:abstractNum w:abstractNumId="7">
    <w:nsid w:val="36B166BF"/>
    <w:multiLevelType w:val="multilevel"/>
    <w:tmpl w:val="0BFC19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6B7982"/>
    <w:multiLevelType w:val="hybridMultilevel"/>
    <w:tmpl w:val="92B224F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9">
    <w:nsid w:val="784D033C"/>
    <w:multiLevelType w:val="multilevel"/>
    <w:tmpl w:val="824AE1F0"/>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3"/>
  </w:num>
  <w:num w:numId="9">
    <w:abstractNumId w:val="0"/>
  </w:num>
  <w:num w:numId="10">
    <w:abstractNumId w:val="4"/>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539"/>
    <w:rsid w:val="00014921"/>
    <w:rsid w:val="0002464A"/>
    <w:rsid w:val="00030C47"/>
    <w:rsid w:val="0003106B"/>
    <w:rsid w:val="000326D0"/>
    <w:rsid w:val="00032AC6"/>
    <w:rsid w:val="00034629"/>
    <w:rsid w:val="00040DFE"/>
    <w:rsid w:val="000421A1"/>
    <w:rsid w:val="0004240E"/>
    <w:rsid w:val="00043EAA"/>
    <w:rsid w:val="00045E26"/>
    <w:rsid w:val="000514B5"/>
    <w:rsid w:val="00060E64"/>
    <w:rsid w:val="00063838"/>
    <w:rsid w:val="00066755"/>
    <w:rsid w:val="000969AD"/>
    <w:rsid w:val="000A1108"/>
    <w:rsid w:val="000B558D"/>
    <w:rsid w:val="000C6996"/>
    <w:rsid w:val="000D23BA"/>
    <w:rsid w:val="000D4351"/>
    <w:rsid w:val="000D4E76"/>
    <w:rsid w:val="000D722F"/>
    <w:rsid w:val="000E2A9B"/>
    <w:rsid w:val="000E681E"/>
    <w:rsid w:val="000E68BC"/>
    <w:rsid w:val="000E74B5"/>
    <w:rsid w:val="000F4E6A"/>
    <w:rsid w:val="000F6A99"/>
    <w:rsid w:val="00102783"/>
    <w:rsid w:val="001107BF"/>
    <w:rsid w:val="00115A6D"/>
    <w:rsid w:val="0012417C"/>
    <w:rsid w:val="001276A5"/>
    <w:rsid w:val="00130C99"/>
    <w:rsid w:val="00140DD4"/>
    <w:rsid w:val="00142395"/>
    <w:rsid w:val="00142714"/>
    <w:rsid w:val="00144139"/>
    <w:rsid w:val="001452ED"/>
    <w:rsid w:val="001659FC"/>
    <w:rsid w:val="00177BD9"/>
    <w:rsid w:val="001830CE"/>
    <w:rsid w:val="00196307"/>
    <w:rsid w:val="001B017F"/>
    <w:rsid w:val="001B5129"/>
    <w:rsid w:val="001B6D0F"/>
    <w:rsid w:val="001C1195"/>
    <w:rsid w:val="001C2B2A"/>
    <w:rsid w:val="001C6D2A"/>
    <w:rsid w:val="001D0DBC"/>
    <w:rsid w:val="001E0436"/>
    <w:rsid w:val="001E3639"/>
    <w:rsid w:val="001E5635"/>
    <w:rsid w:val="00213805"/>
    <w:rsid w:val="00213CFB"/>
    <w:rsid w:val="00225875"/>
    <w:rsid w:val="00242A6B"/>
    <w:rsid w:val="002434D5"/>
    <w:rsid w:val="00263F6C"/>
    <w:rsid w:val="00264DE7"/>
    <w:rsid w:val="00271BA1"/>
    <w:rsid w:val="00277505"/>
    <w:rsid w:val="00281096"/>
    <w:rsid w:val="00291C84"/>
    <w:rsid w:val="00293327"/>
    <w:rsid w:val="0029458F"/>
    <w:rsid w:val="0029672F"/>
    <w:rsid w:val="002A104C"/>
    <w:rsid w:val="002A4960"/>
    <w:rsid w:val="002B1AE6"/>
    <w:rsid w:val="002B30F8"/>
    <w:rsid w:val="002C1974"/>
    <w:rsid w:val="002C212F"/>
    <w:rsid w:val="002C5A98"/>
    <w:rsid w:val="002E17A0"/>
    <w:rsid w:val="002E3153"/>
    <w:rsid w:val="002E42E8"/>
    <w:rsid w:val="002E72CA"/>
    <w:rsid w:val="002F4A33"/>
    <w:rsid w:val="003167F0"/>
    <w:rsid w:val="00326B4D"/>
    <w:rsid w:val="00326E79"/>
    <w:rsid w:val="003367EF"/>
    <w:rsid w:val="0033795F"/>
    <w:rsid w:val="00341AE4"/>
    <w:rsid w:val="0038558F"/>
    <w:rsid w:val="003872CF"/>
    <w:rsid w:val="00396F75"/>
    <w:rsid w:val="0039782C"/>
    <w:rsid w:val="003A5B4A"/>
    <w:rsid w:val="003A717C"/>
    <w:rsid w:val="003B23C5"/>
    <w:rsid w:val="003B2A75"/>
    <w:rsid w:val="003C250C"/>
    <w:rsid w:val="003C70E7"/>
    <w:rsid w:val="003C7D0A"/>
    <w:rsid w:val="003D4AC4"/>
    <w:rsid w:val="003D63B7"/>
    <w:rsid w:val="003E468B"/>
    <w:rsid w:val="003F5C8C"/>
    <w:rsid w:val="00405A59"/>
    <w:rsid w:val="00420F96"/>
    <w:rsid w:val="0043330D"/>
    <w:rsid w:val="00441BF3"/>
    <w:rsid w:val="004465BD"/>
    <w:rsid w:val="00446974"/>
    <w:rsid w:val="00450A59"/>
    <w:rsid w:val="00455EF2"/>
    <w:rsid w:val="00466ADA"/>
    <w:rsid w:val="0047312B"/>
    <w:rsid w:val="00475667"/>
    <w:rsid w:val="00476245"/>
    <w:rsid w:val="00485940"/>
    <w:rsid w:val="004A3973"/>
    <w:rsid w:val="004A5A85"/>
    <w:rsid w:val="004A63CF"/>
    <w:rsid w:val="004B5640"/>
    <w:rsid w:val="004C1BD7"/>
    <w:rsid w:val="004C691D"/>
    <w:rsid w:val="004E0465"/>
    <w:rsid w:val="004E692D"/>
    <w:rsid w:val="005009C2"/>
    <w:rsid w:val="00501554"/>
    <w:rsid w:val="005115B5"/>
    <w:rsid w:val="005149DD"/>
    <w:rsid w:val="00514CD7"/>
    <w:rsid w:val="0052033D"/>
    <w:rsid w:val="00525F82"/>
    <w:rsid w:val="00530726"/>
    <w:rsid w:val="005319B2"/>
    <w:rsid w:val="005320C7"/>
    <w:rsid w:val="00532C74"/>
    <w:rsid w:val="0053400E"/>
    <w:rsid w:val="00534E2E"/>
    <w:rsid w:val="00544552"/>
    <w:rsid w:val="00547A82"/>
    <w:rsid w:val="00550875"/>
    <w:rsid w:val="00581932"/>
    <w:rsid w:val="00591743"/>
    <w:rsid w:val="005963BB"/>
    <w:rsid w:val="005A3173"/>
    <w:rsid w:val="005A3223"/>
    <w:rsid w:val="005A3DA3"/>
    <w:rsid w:val="005A52C4"/>
    <w:rsid w:val="005D03AB"/>
    <w:rsid w:val="005D5017"/>
    <w:rsid w:val="005E2D2D"/>
    <w:rsid w:val="005E7AA4"/>
    <w:rsid w:val="005F76D9"/>
    <w:rsid w:val="00601A91"/>
    <w:rsid w:val="00602BA3"/>
    <w:rsid w:val="006031E2"/>
    <w:rsid w:val="00607B4A"/>
    <w:rsid w:val="00613D46"/>
    <w:rsid w:val="00614159"/>
    <w:rsid w:val="00615C61"/>
    <w:rsid w:val="00617C00"/>
    <w:rsid w:val="006263BF"/>
    <w:rsid w:val="0062748A"/>
    <w:rsid w:val="00630A2C"/>
    <w:rsid w:val="00640E88"/>
    <w:rsid w:val="0064696D"/>
    <w:rsid w:val="00651169"/>
    <w:rsid w:val="00653D69"/>
    <w:rsid w:val="0066739E"/>
    <w:rsid w:val="00670A76"/>
    <w:rsid w:val="006711AA"/>
    <w:rsid w:val="006720EC"/>
    <w:rsid w:val="00672B57"/>
    <w:rsid w:val="00675622"/>
    <w:rsid w:val="00686688"/>
    <w:rsid w:val="006906DB"/>
    <w:rsid w:val="006A12A5"/>
    <w:rsid w:val="006B0D94"/>
    <w:rsid w:val="006B485D"/>
    <w:rsid w:val="006C708E"/>
    <w:rsid w:val="006C7444"/>
    <w:rsid w:val="006D5F3B"/>
    <w:rsid w:val="006D6EC7"/>
    <w:rsid w:val="006E57E3"/>
    <w:rsid w:val="006F4EC7"/>
    <w:rsid w:val="006F5125"/>
    <w:rsid w:val="006F7C7B"/>
    <w:rsid w:val="00704205"/>
    <w:rsid w:val="007174BB"/>
    <w:rsid w:val="00736406"/>
    <w:rsid w:val="007557A7"/>
    <w:rsid w:val="00755DAD"/>
    <w:rsid w:val="0076420C"/>
    <w:rsid w:val="00772F44"/>
    <w:rsid w:val="007753C2"/>
    <w:rsid w:val="00780E06"/>
    <w:rsid w:val="007838B8"/>
    <w:rsid w:val="0079351F"/>
    <w:rsid w:val="00793FAD"/>
    <w:rsid w:val="007A391C"/>
    <w:rsid w:val="007C0F57"/>
    <w:rsid w:val="007C40B6"/>
    <w:rsid w:val="007C729F"/>
    <w:rsid w:val="007D5ACD"/>
    <w:rsid w:val="007E1D28"/>
    <w:rsid w:val="007F2641"/>
    <w:rsid w:val="007F7C36"/>
    <w:rsid w:val="00806796"/>
    <w:rsid w:val="00817657"/>
    <w:rsid w:val="00826F6D"/>
    <w:rsid w:val="00836D4E"/>
    <w:rsid w:val="00856DDD"/>
    <w:rsid w:val="00863E68"/>
    <w:rsid w:val="0087368A"/>
    <w:rsid w:val="00875F91"/>
    <w:rsid w:val="00882085"/>
    <w:rsid w:val="00883188"/>
    <w:rsid w:val="00886FFA"/>
    <w:rsid w:val="00887215"/>
    <w:rsid w:val="00897D58"/>
    <w:rsid w:val="008A06B9"/>
    <w:rsid w:val="008A1956"/>
    <w:rsid w:val="008A4224"/>
    <w:rsid w:val="008A4937"/>
    <w:rsid w:val="008C2914"/>
    <w:rsid w:val="008D3C82"/>
    <w:rsid w:val="008D447E"/>
    <w:rsid w:val="008D7A41"/>
    <w:rsid w:val="008E3680"/>
    <w:rsid w:val="008E3DD6"/>
    <w:rsid w:val="008E5870"/>
    <w:rsid w:val="008F1434"/>
    <w:rsid w:val="008F7355"/>
    <w:rsid w:val="0090025C"/>
    <w:rsid w:val="00901225"/>
    <w:rsid w:val="009067B7"/>
    <w:rsid w:val="00927B37"/>
    <w:rsid w:val="00930937"/>
    <w:rsid w:val="00933E6C"/>
    <w:rsid w:val="0094017E"/>
    <w:rsid w:val="00942160"/>
    <w:rsid w:val="009602C5"/>
    <w:rsid w:val="00964C23"/>
    <w:rsid w:val="00974C21"/>
    <w:rsid w:val="00987AB6"/>
    <w:rsid w:val="00993D2F"/>
    <w:rsid w:val="009B0F67"/>
    <w:rsid w:val="009C4341"/>
    <w:rsid w:val="009C6932"/>
    <w:rsid w:val="009C703C"/>
    <w:rsid w:val="009D3CAA"/>
    <w:rsid w:val="009E76FA"/>
    <w:rsid w:val="009F4E46"/>
    <w:rsid w:val="009F5B65"/>
    <w:rsid w:val="009F5F2E"/>
    <w:rsid w:val="00A003AD"/>
    <w:rsid w:val="00A06225"/>
    <w:rsid w:val="00A06ACB"/>
    <w:rsid w:val="00A128E6"/>
    <w:rsid w:val="00A12F7A"/>
    <w:rsid w:val="00A22B58"/>
    <w:rsid w:val="00A30019"/>
    <w:rsid w:val="00A37C8D"/>
    <w:rsid w:val="00A5273B"/>
    <w:rsid w:val="00A53A9D"/>
    <w:rsid w:val="00A55FEE"/>
    <w:rsid w:val="00A628CA"/>
    <w:rsid w:val="00A62C1A"/>
    <w:rsid w:val="00A6426D"/>
    <w:rsid w:val="00A64344"/>
    <w:rsid w:val="00A6659C"/>
    <w:rsid w:val="00A70622"/>
    <w:rsid w:val="00A70977"/>
    <w:rsid w:val="00A72452"/>
    <w:rsid w:val="00A75873"/>
    <w:rsid w:val="00A8390C"/>
    <w:rsid w:val="00A928BD"/>
    <w:rsid w:val="00AA1017"/>
    <w:rsid w:val="00AA36DC"/>
    <w:rsid w:val="00AA4D1C"/>
    <w:rsid w:val="00AA7A3E"/>
    <w:rsid w:val="00AB279C"/>
    <w:rsid w:val="00AB7D4C"/>
    <w:rsid w:val="00AC5206"/>
    <w:rsid w:val="00AD2955"/>
    <w:rsid w:val="00AD413B"/>
    <w:rsid w:val="00AD6E94"/>
    <w:rsid w:val="00AE11A5"/>
    <w:rsid w:val="00AE13E2"/>
    <w:rsid w:val="00AF345F"/>
    <w:rsid w:val="00AF68CC"/>
    <w:rsid w:val="00B056DC"/>
    <w:rsid w:val="00B116F2"/>
    <w:rsid w:val="00B1480D"/>
    <w:rsid w:val="00B205AA"/>
    <w:rsid w:val="00B22E84"/>
    <w:rsid w:val="00B25F75"/>
    <w:rsid w:val="00B33540"/>
    <w:rsid w:val="00B351B2"/>
    <w:rsid w:val="00B41F8F"/>
    <w:rsid w:val="00B43E90"/>
    <w:rsid w:val="00B46A96"/>
    <w:rsid w:val="00B56118"/>
    <w:rsid w:val="00B6773F"/>
    <w:rsid w:val="00B801BA"/>
    <w:rsid w:val="00BA3AD9"/>
    <w:rsid w:val="00BA3B68"/>
    <w:rsid w:val="00BB59D4"/>
    <w:rsid w:val="00BB69F5"/>
    <w:rsid w:val="00BB7EC3"/>
    <w:rsid w:val="00BC4B9A"/>
    <w:rsid w:val="00BD784C"/>
    <w:rsid w:val="00BF4CB6"/>
    <w:rsid w:val="00BF7E72"/>
    <w:rsid w:val="00C00DA7"/>
    <w:rsid w:val="00C01C4C"/>
    <w:rsid w:val="00C110B6"/>
    <w:rsid w:val="00C12768"/>
    <w:rsid w:val="00C27B58"/>
    <w:rsid w:val="00C30000"/>
    <w:rsid w:val="00C3513E"/>
    <w:rsid w:val="00C35996"/>
    <w:rsid w:val="00C43ABE"/>
    <w:rsid w:val="00C51B8D"/>
    <w:rsid w:val="00C5342C"/>
    <w:rsid w:val="00C55014"/>
    <w:rsid w:val="00C6256A"/>
    <w:rsid w:val="00C62F1E"/>
    <w:rsid w:val="00C8347B"/>
    <w:rsid w:val="00C83AFD"/>
    <w:rsid w:val="00C91449"/>
    <w:rsid w:val="00C92D10"/>
    <w:rsid w:val="00CA0085"/>
    <w:rsid w:val="00CA5BCE"/>
    <w:rsid w:val="00CC2E8F"/>
    <w:rsid w:val="00CD5077"/>
    <w:rsid w:val="00CE10C4"/>
    <w:rsid w:val="00CE27B5"/>
    <w:rsid w:val="00CE28A5"/>
    <w:rsid w:val="00CE7B61"/>
    <w:rsid w:val="00D0321E"/>
    <w:rsid w:val="00D1455A"/>
    <w:rsid w:val="00D21EA3"/>
    <w:rsid w:val="00D254AE"/>
    <w:rsid w:val="00D3280C"/>
    <w:rsid w:val="00D3406A"/>
    <w:rsid w:val="00D469B2"/>
    <w:rsid w:val="00D47349"/>
    <w:rsid w:val="00D553A8"/>
    <w:rsid w:val="00D70BE8"/>
    <w:rsid w:val="00D741EB"/>
    <w:rsid w:val="00D809E4"/>
    <w:rsid w:val="00D84934"/>
    <w:rsid w:val="00D91271"/>
    <w:rsid w:val="00DA15DE"/>
    <w:rsid w:val="00DA2CB5"/>
    <w:rsid w:val="00DA4BAC"/>
    <w:rsid w:val="00DB3CEB"/>
    <w:rsid w:val="00DB59B3"/>
    <w:rsid w:val="00DB6D60"/>
    <w:rsid w:val="00DC2A61"/>
    <w:rsid w:val="00DC2A9B"/>
    <w:rsid w:val="00DE316D"/>
    <w:rsid w:val="00DE6D27"/>
    <w:rsid w:val="00DE7E46"/>
    <w:rsid w:val="00DF217D"/>
    <w:rsid w:val="00DF26A7"/>
    <w:rsid w:val="00E05A22"/>
    <w:rsid w:val="00E107D7"/>
    <w:rsid w:val="00E164B3"/>
    <w:rsid w:val="00E16910"/>
    <w:rsid w:val="00E16BEF"/>
    <w:rsid w:val="00E21272"/>
    <w:rsid w:val="00E23200"/>
    <w:rsid w:val="00E242D8"/>
    <w:rsid w:val="00E3389F"/>
    <w:rsid w:val="00E4363F"/>
    <w:rsid w:val="00E4641D"/>
    <w:rsid w:val="00E50A1F"/>
    <w:rsid w:val="00E65E54"/>
    <w:rsid w:val="00E80155"/>
    <w:rsid w:val="00E848C0"/>
    <w:rsid w:val="00E91B96"/>
    <w:rsid w:val="00E941A1"/>
    <w:rsid w:val="00E95CE3"/>
    <w:rsid w:val="00EA2825"/>
    <w:rsid w:val="00EA5195"/>
    <w:rsid w:val="00EB5088"/>
    <w:rsid w:val="00EC3715"/>
    <w:rsid w:val="00ED1644"/>
    <w:rsid w:val="00ED3D41"/>
    <w:rsid w:val="00ED6EA2"/>
    <w:rsid w:val="00ED740F"/>
    <w:rsid w:val="00EE46CD"/>
    <w:rsid w:val="00EF1E35"/>
    <w:rsid w:val="00EF44A0"/>
    <w:rsid w:val="00EF4FED"/>
    <w:rsid w:val="00F050BD"/>
    <w:rsid w:val="00F05657"/>
    <w:rsid w:val="00F0778B"/>
    <w:rsid w:val="00F25578"/>
    <w:rsid w:val="00F258E5"/>
    <w:rsid w:val="00F300BC"/>
    <w:rsid w:val="00F3334E"/>
    <w:rsid w:val="00F37883"/>
    <w:rsid w:val="00F47154"/>
    <w:rsid w:val="00F50EC4"/>
    <w:rsid w:val="00F5710E"/>
    <w:rsid w:val="00F57A6D"/>
    <w:rsid w:val="00F638CC"/>
    <w:rsid w:val="00F64954"/>
    <w:rsid w:val="00F64CC1"/>
    <w:rsid w:val="00F714F5"/>
    <w:rsid w:val="00F8247A"/>
    <w:rsid w:val="00F832B0"/>
    <w:rsid w:val="00F9629A"/>
    <w:rsid w:val="00FA5883"/>
    <w:rsid w:val="00FA6055"/>
    <w:rsid w:val="00FB322F"/>
    <w:rsid w:val="00FB442F"/>
    <w:rsid w:val="00FB7AEC"/>
    <w:rsid w:val="00FB7C54"/>
    <w:rsid w:val="00FC0BF7"/>
    <w:rsid w:val="00FC1929"/>
    <w:rsid w:val="00FC51E9"/>
    <w:rsid w:val="00FC533B"/>
    <w:rsid w:val="00FC5A21"/>
    <w:rsid w:val="00FC5B46"/>
    <w:rsid w:val="00FD7B3B"/>
    <w:rsid w:val="00FE005E"/>
    <w:rsid w:val="00FF00BD"/>
    <w:rsid w:val="00FF1ED4"/>
    <w:rsid w:val="00FF2801"/>
    <w:rsid w:val="00FF3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A3973"/>
    <w:pPr>
      <w:numPr>
        <w:numId w:val="1"/>
      </w:numPr>
      <w:jc w:val="both"/>
      <w:outlineLvl w:val="0"/>
    </w:pPr>
    <w:rPr>
      <w:rFonts w:ascii="Arial" w:hAnsi="Arial"/>
      <w:b/>
      <w:sz w:val="22"/>
      <w:szCs w:val="22"/>
    </w:rPr>
  </w:style>
  <w:style w:type="paragraph" w:styleId="Heading2">
    <w:name w:val="heading 2"/>
    <w:basedOn w:val="Normal"/>
    <w:next w:val="Normal"/>
    <w:qFormat/>
    <w:rsid w:val="004A3973"/>
    <w:pPr>
      <w:spacing w:after="200" w:line="276" w:lineRule="auto"/>
      <w:jc w:val="both"/>
      <w:outlineLvl w:val="1"/>
    </w:pPr>
    <w:rPr>
      <w:rFonts w:ascii="Arial" w:hAnsi="Arial" w:cs="Arial"/>
      <w:b/>
      <w:bCs/>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F47154"/>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F47154"/>
    <w:rPr>
      <w:sz w:val="24"/>
      <w:szCs w:val="24"/>
    </w:rPr>
  </w:style>
  <w:style w:type="paragraph" w:customStyle="1" w:styleId="TableText2">
    <w:name w:val="Table Text 2"/>
    <w:basedOn w:val="Normal"/>
    <w:next w:val="Tabletext"/>
    <w:link w:val="TableText2Char"/>
    <w:qFormat/>
    <w:rsid w:val="00C62F1E"/>
    <w:pPr>
      <w:spacing w:before="40" w:after="20"/>
    </w:pPr>
    <w:rPr>
      <w:rFonts w:ascii="Arial" w:hAnsi="Arial"/>
      <w:b/>
      <w:bCs/>
      <w:sz w:val="18"/>
      <w:szCs w:val="20"/>
      <w:lang w:eastAsia="en-US"/>
    </w:rPr>
  </w:style>
  <w:style w:type="character" w:customStyle="1" w:styleId="TableText2Char">
    <w:name w:val="Table Text 2 Char"/>
    <w:link w:val="TableText2"/>
    <w:rsid w:val="00C62F1E"/>
    <w:rPr>
      <w:rFonts w:ascii="Arial" w:hAnsi="Arial"/>
      <w:b/>
      <w:bCs/>
      <w:sz w:val="18"/>
      <w:lang w:eastAsia="en-US"/>
    </w:rPr>
  </w:style>
  <w:style w:type="character" w:customStyle="1" w:styleId="TabletextChar">
    <w:name w:val="Table text Char"/>
    <w:link w:val="Tabletext"/>
    <w:locked/>
    <w:rsid w:val="00C62F1E"/>
    <w:rPr>
      <w:rFonts w:ascii="Arial" w:hAnsi="Arial"/>
      <w:lang w:eastAsia="en-US"/>
    </w:rPr>
  </w:style>
  <w:style w:type="paragraph" w:styleId="BodyText">
    <w:name w:val="Body Text"/>
    <w:basedOn w:val="Normal"/>
    <w:link w:val="BodyTextChar"/>
    <w:rsid w:val="00115A6D"/>
    <w:pPr>
      <w:spacing w:after="120"/>
    </w:pPr>
  </w:style>
  <w:style w:type="character" w:customStyle="1" w:styleId="BodyTextChar">
    <w:name w:val="Body Text Char"/>
    <w:basedOn w:val="DefaultParagraphFont"/>
    <w:link w:val="BodyText"/>
    <w:rsid w:val="00115A6D"/>
    <w:rPr>
      <w:sz w:val="24"/>
      <w:szCs w:val="24"/>
    </w:rPr>
  </w:style>
  <w:style w:type="paragraph" w:styleId="Revision">
    <w:name w:val="Revision"/>
    <w:hidden/>
    <w:uiPriority w:val="71"/>
    <w:rsid w:val="000E68BC"/>
    <w:rPr>
      <w:sz w:val="24"/>
      <w:szCs w:val="24"/>
    </w:rPr>
  </w:style>
  <w:style w:type="paragraph" w:styleId="ListBullet">
    <w:name w:val="List Bullet"/>
    <w:basedOn w:val="Normal"/>
    <w:autoRedefine/>
    <w:rsid w:val="0052033D"/>
    <w:rPr>
      <w:rFonts w:ascii="Arial" w:hAnsi="Arial" w:cs="Arial"/>
      <w:snapToGrid w:val="0"/>
      <w:sz w:val="20"/>
      <w:szCs w:val="20"/>
      <w:lang w:eastAsia="en-US"/>
    </w:rPr>
  </w:style>
  <w:style w:type="character" w:styleId="Hyperlink">
    <w:name w:val="Hyperlink"/>
    <w:rsid w:val="0052033D"/>
    <w:rPr>
      <w:color w:val="0000FF"/>
      <w:u w:val="single"/>
    </w:rPr>
  </w:style>
  <w:style w:type="paragraph" w:styleId="Title">
    <w:name w:val="Title"/>
    <w:basedOn w:val="Normal"/>
    <w:next w:val="Normal"/>
    <w:link w:val="TitleChar"/>
    <w:qFormat/>
    <w:rsid w:val="004A3973"/>
    <w:pPr>
      <w:ind w:left="709" w:hanging="709"/>
      <w:outlineLvl w:val="0"/>
    </w:pPr>
    <w:rPr>
      <w:rFonts w:ascii="Arial" w:hAnsi="Arial"/>
      <w:b/>
      <w:sz w:val="28"/>
      <w:szCs w:val="28"/>
    </w:rPr>
  </w:style>
  <w:style w:type="character" w:customStyle="1" w:styleId="TitleChar">
    <w:name w:val="Title Char"/>
    <w:basedOn w:val="DefaultParagraphFont"/>
    <w:link w:val="Title"/>
    <w:rsid w:val="004A3973"/>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4A3973"/>
    <w:pPr>
      <w:numPr>
        <w:numId w:val="1"/>
      </w:numPr>
      <w:jc w:val="both"/>
      <w:outlineLvl w:val="0"/>
    </w:pPr>
    <w:rPr>
      <w:rFonts w:ascii="Arial" w:hAnsi="Arial"/>
      <w:b/>
      <w:sz w:val="22"/>
      <w:szCs w:val="22"/>
    </w:rPr>
  </w:style>
  <w:style w:type="paragraph" w:styleId="Heading2">
    <w:name w:val="heading 2"/>
    <w:basedOn w:val="Normal"/>
    <w:next w:val="Normal"/>
    <w:qFormat/>
    <w:rsid w:val="004A3973"/>
    <w:pPr>
      <w:spacing w:after="200" w:line="276" w:lineRule="auto"/>
      <w:jc w:val="both"/>
      <w:outlineLvl w:val="1"/>
    </w:pPr>
    <w:rPr>
      <w:rFonts w:ascii="Arial" w:hAnsi="Arial" w:cs="Arial"/>
      <w:b/>
      <w:bCs/>
      <w:snapToGrid w:val="0"/>
      <w:sz w:val="22"/>
      <w:szCs w:val="22"/>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PBACHeading1">
    <w:name w:val="PBAC Heading 1"/>
    <w:qFormat/>
    <w:rsid w:val="00F47154"/>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F47154"/>
    <w:rPr>
      <w:sz w:val="24"/>
      <w:szCs w:val="24"/>
    </w:rPr>
  </w:style>
  <w:style w:type="paragraph" w:customStyle="1" w:styleId="TableText2">
    <w:name w:val="Table Text 2"/>
    <w:basedOn w:val="Normal"/>
    <w:next w:val="Tabletext"/>
    <w:link w:val="TableText2Char"/>
    <w:qFormat/>
    <w:rsid w:val="00C62F1E"/>
    <w:pPr>
      <w:spacing w:before="40" w:after="20"/>
    </w:pPr>
    <w:rPr>
      <w:rFonts w:ascii="Arial" w:hAnsi="Arial"/>
      <w:b/>
      <w:bCs/>
      <w:sz w:val="18"/>
      <w:szCs w:val="20"/>
      <w:lang w:eastAsia="en-US"/>
    </w:rPr>
  </w:style>
  <w:style w:type="character" w:customStyle="1" w:styleId="TableText2Char">
    <w:name w:val="Table Text 2 Char"/>
    <w:link w:val="TableText2"/>
    <w:rsid w:val="00C62F1E"/>
    <w:rPr>
      <w:rFonts w:ascii="Arial" w:hAnsi="Arial"/>
      <w:b/>
      <w:bCs/>
      <w:sz w:val="18"/>
      <w:lang w:eastAsia="en-US"/>
    </w:rPr>
  </w:style>
  <w:style w:type="character" w:customStyle="1" w:styleId="TabletextChar">
    <w:name w:val="Table text Char"/>
    <w:link w:val="Tabletext"/>
    <w:locked/>
    <w:rsid w:val="00C62F1E"/>
    <w:rPr>
      <w:rFonts w:ascii="Arial" w:hAnsi="Arial"/>
      <w:lang w:eastAsia="en-US"/>
    </w:rPr>
  </w:style>
  <w:style w:type="paragraph" w:styleId="BodyText">
    <w:name w:val="Body Text"/>
    <w:basedOn w:val="Normal"/>
    <w:link w:val="BodyTextChar"/>
    <w:rsid w:val="00115A6D"/>
    <w:pPr>
      <w:spacing w:after="120"/>
    </w:pPr>
  </w:style>
  <w:style w:type="character" w:customStyle="1" w:styleId="BodyTextChar">
    <w:name w:val="Body Text Char"/>
    <w:basedOn w:val="DefaultParagraphFont"/>
    <w:link w:val="BodyText"/>
    <w:rsid w:val="00115A6D"/>
    <w:rPr>
      <w:sz w:val="24"/>
      <w:szCs w:val="24"/>
    </w:rPr>
  </w:style>
  <w:style w:type="paragraph" w:styleId="Revision">
    <w:name w:val="Revision"/>
    <w:hidden/>
    <w:uiPriority w:val="71"/>
    <w:rsid w:val="000E68BC"/>
    <w:rPr>
      <w:sz w:val="24"/>
      <w:szCs w:val="24"/>
    </w:rPr>
  </w:style>
  <w:style w:type="paragraph" w:styleId="ListBullet">
    <w:name w:val="List Bullet"/>
    <w:basedOn w:val="Normal"/>
    <w:autoRedefine/>
    <w:rsid w:val="0052033D"/>
    <w:rPr>
      <w:rFonts w:ascii="Arial" w:hAnsi="Arial" w:cs="Arial"/>
      <w:snapToGrid w:val="0"/>
      <w:sz w:val="20"/>
      <w:szCs w:val="20"/>
      <w:lang w:eastAsia="en-US"/>
    </w:rPr>
  </w:style>
  <w:style w:type="character" w:styleId="Hyperlink">
    <w:name w:val="Hyperlink"/>
    <w:rsid w:val="0052033D"/>
    <w:rPr>
      <w:color w:val="0000FF"/>
      <w:u w:val="single"/>
    </w:rPr>
  </w:style>
  <w:style w:type="paragraph" w:styleId="Title">
    <w:name w:val="Title"/>
    <w:basedOn w:val="Normal"/>
    <w:next w:val="Normal"/>
    <w:link w:val="TitleChar"/>
    <w:qFormat/>
    <w:rsid w:val="004A3973"/>
    <w:pPr>
      <w:ind w:left="709" w:hanging="709"/>
      <w:outlineLvl w:val="0"/>
    </w:pPr>
    <w:rPr>
      <w:rFonts w:ascii="Arial" w:hAnsi="Arial"/>
      <w:b/>
      <w:sz w:val="28"/>
      <w:szCs w:val="28"/>
    </w:rPr>
  </w:style>
  <w:style w:type="character" w:customStyle="1" w:styleId="TitleChar">
    <w:name w:val="Title Char"/>
    <w:basedOn w:val="DefaultParagraphFont"/>
    <w:link w:val="Title"/>
    <w:rsid w:val="004A3973"/>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17364979">
      <w:bodyDiv w:val="1"/>
      <w:marLeft w:val="0"/>
      <w:marRight w:val="0"/>
      <w:marTop w:val="0"/>
      <w:marBottom w:val="0"/>
      <w:divBdr>
        <w:top w:val="none" w:sz="0" w:space="0" w:color="auto"/>
        <w:left w:val="none" w:sz="0" w:space="0" w:color="auto"/>
        <w:bottom w:val="none" w:sz="0" w:space="0" w:color="auto"/>
        <w:right w:val="none" w:sz="0" w:space="0" w:color="auto"/>
      </w:divBdr>
      <w:divsChild>
        <w:div w:id="1138230595">
          <w:marLeft w:val="446"/>
          <w:marRight w:val="0"/>
          <w:marTop w:val="240"/>
          <w:marBottom w:val="40"/>
          <w:divBdr>
            <w:top w:val="none" w:sz="0" w:space="0" w:color="auto"/>
            <w:left w:val="none" w:sz="0" w:space="0" w:color="auto"/>
            <w:bottom w:val="none" w:sz="0" w:space="0" w:color="auto"/>
            <w:right w:val="none" w:sz="0" w:space="0" w:color="auto"/>
          </w:divBdr>
        </w:div>
        <w:div w:id="920289181">
          <w:marLeft w:val="446"/>
          <w:marRight w:val="0"/>
          <w:marTop w:val="240"/>
          <w:marBottom w:val="40"/>
          <w:divBdr>
            <w:top w:val="none" w:sz="0" w:space="0" w:color="auto"/>
            <w:left w:val="none" w:sz="0" w:space="0" w:color="auto"/>
            <w:bottom w:val="none" w:sz="0" w:space="0" w:color="auto"/>
            <w:right w:val="none" w:sz="0" w:space="0" w:color="auto"/>
          </w:divBdr>
        </w:div>
        <w:div w:id="1437825165">
          <w:marLeft w:val="446"/>
          <w:marRight w:val="0"/>
          <w:marTop w:val="240"/>
          <w:marBottom w:val="40"/>
          <w:divBdr>
            <w:top w:val="none" w:sz="0" w:space="0" w:color="auto"/>
            <w:left w:val="none" w:sz="0" w:space="0" w:color="auto"/>
            <w:bottom w:val="none" w:sz="0" w:space="0" w:color="auto"/>
            <w:right w:val="none" w:sz="0" w:space="0" w:color="auto"/>
          </w:divBdr>
        </w:div>
        <w:div w:id="770201738">
          <w:marLeft w:val="446"/>
          <w:marRight w:val="0"/>
          <w:marTop w:val="240"/>
          <w:marBottom w:val="40"/>
          <w:divBdr>
            <w:top w:val="none" w:sz="0" w:space="0" w:color="auto"/>
            <w:left w:val="none" w:sz="0" w:space="0" w:color="auto"/>
            <w:bottom w:val="none" w:sz="0" w:space="0" w:color="auto"/>
            <w:right w:val="none" w:sz="0" w:space="0" w:color="auto"/>
          </w:divBdr>
        </w:div>
        <w:div w:id="2049404928">
          <w:marLeft w:val="446"/>
          <w:marRight w:val="0"/>
          <w:marTop w:val="240"/>
          <w:marBottom w:val="40"/>
          <w:divBdr>
            <w:top w:val="none" w:sz="0" w:space="0" w:color="auto"/>
            <w:left w:val="none" w:sz="0" w:space="0" w:color="auto"/>
            <w:bottom w:val="none" w:sz="0" w:space="0" w:color="auto"/>
            <w:right w:val="none" w:sz="0" w:space="0" w:color="auto"/>
          </w:divBdr>
        </w:div>
        <w:div w:id="1994599205">
          <w:marLeft w:val="446"/>
          <w:marRight w:val="0"/>
          <w:marTop w:val="240"/>
          <w:marBottom w:val="40"/>
          <w:divBdr>
            <w:top w:val="none" w:sz="0" w:space="0" w:color="auto"/>
            <w:left w:val="none" w:sz="0" w:space="0" w:color="auto"/>
            <w:bottom w:val="none" w:sz="0" w:space="0" w:color="auto"/>
            <w:right w:val="none" w:sz="0" w:space="0" w:color="auto"/>
          </w:divBdr>
        </w:div>
        <w:div w:id="1085759289">
          <w:marLeft w:val="446"/>
          <w:marRight w:val="0"/>
          <w:marTop w:val="240"/>
          <w:marBottom w:val="4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58007829">
      <w:bodyDiv w:val="1"/>
      <w:marLeft w:val="0"/>
      <w:marRight w:val="0"/>
      <w:marTop w:val="0"/>
      <w:marBottom w:val="0"/>
      <w:divBdr>
        <w:top w:val="none" w:sz="0" w:space="0" w:color="auto"/>
        <w:left w:val="none" w:sz="0" w:space="0" w:color="auto"/>
        <w:bottom w:val="none" w:sz="0" w:space="0" w:color="auto"/>
        <w:right w:val="none" w:sz="0" w:space="0" w:color="auto"/>
      </w:divBdr>
      <w:divsChild>
        <w:div w:id="2030332174">
          <w:marLeft w:val="446"/>
          <w:marRight w:val="0"/>
          <w:marTop w:val="0"/>
          <w:marBottom w:val="0"/>
          <w:divBdr>
            <w:top w:val="none" w:sz="0" w:space="0" w:color="auto"/>
            <w:left w:val="none" w:sz="0" w:space="0" w:color="auto"/>
            <w:bottom w:val="none" w:sz="0" w:space="0" w:color="auto"/>
            <w:right w:val="none" w:sz="0" w:space="0" w:color="auto"/>
          </w:divBdr>
        </w:div>
        <w:div w:id="1725713845">
          <w:marLeft w:val="446"/>
          <w:marRight w:val="0"/>
          <w:marTop w:val="0"/>
          <w:marBottom w:val="0"/>
          <w:divBdr>
            <w:top w:val="none" w:sz="0" w:space="0" w:color="auto"/>
            <w:left w:val="none" w:sz="0" w:space="0" w:color="auto"/>
            <w:bottom w:val="none" w:sz="0" w:space="0" w:color="auto"/>
            <w:right w:val="none" w:sz="0" w:space="0" w:color="auto"/>
          </w:divBdr>
        </w:div>
        <w:div w:id="621109885">
          <w:marLeft w:val="1166"/>
          <w:marRight w:val="0"/>
          <w:marTop w:val="0"/>
          <w:marBottom w:val="0"/>
          <w:divBdr>
            <w:top w:val="none" w:sz="0" w:space="0" w:color="auto"/>
            <w:left w:val="none" w:sz="0" w:space="0" w:color="auto"/>
            <w:bottom w:val="none" w:sz="0" w:space="0" w:color="auto"/>
            <w:right w:val="none" w:sz="0" w:space="0" w:color="auto"/>
          </w:divBdr>
        </w:div>
        <w:div w:id="1278947529">
          <w:marLeft w:val="446"/>
          <w:marRight w:val="0"/>
          <w:marTop w:val="0"/>
          <w:marBottom w:val="0"/>
          <w:divBdr>
            <w:top w:val="none" w:sz="0" w:space="0" w:color="auto"/>
            <w:left w:val="none" w:sz="0" w:space="0" w:color="auto"/>
            <w:bottom w:val="none" w:sz="0" w:space="0" w:color="auto"/>
            <w:right w:val="none" w:sz="0" w:space="0" w:color="auto"/>
          </w:divBdr>
        </w:div>
        <w:div w:id="1729566653">
          <w:marLeft w:val="1166"/>
          <w:marRight w:val="0"/>
          <w:marTop w:val="0"/>
          <w:marBottom w:val="0"/>
          <w:divBdr>
            <w:top w:val="none" w:sz="0" w:space="0" w:color="auto"/>
            <w:left w:val="none" w:sz="0" w:space="0" w:color="auto"/>
            <w:bottom w:val="none" w:sz="0" w:space="0" w:color="auto"/>
            <w:right w:val="none" w:sz="0" w:space="0" w:color="auto"/>
          </w:divBdr>
        </w:div>
        <w:div w:id="378087661">
          <w:marLeft w:val="1166"/>
          <w:marRight w:val="0"/>
          <w:marTop w:val="0"/>
          <w:marBottom w:val="0"/>
          <w:divBdr>
            <w:top w:val="none" w:sz="0" w:space="0" w:color="auto"/>
            <w:left w:val="none" w:sz="0" w:space="0" w:color="auto"/>
            <w:bottom w:val="none" w:sz="0" w:space="0" w:color="auto"/>
            <w:right w:val="none" w:sz="0" w:space="0" w:color="auto"/>
          </w:divBdr>
        </w:div>
        <w:div w:id="1841193244">
          <w:marLeft w:val="446"/>
          <w:marRight w:val="0"/>
          <w:marTop w:val="0"/>
          <w:marBottom w:val="0"/>
          <w:divBdr>
            <w:top w:val="none" w:sz="0" w:space="0" w:color="auto"/>
            <w:left w:val="none" w:sz="0" w:space="0" w:color="auto"/>
            <w:bottom w:val="none" w:sz="0" w:space="0" w:color="auto"/>
            <w:right w:val="none" w:sz="0" w:space="0" w:color="auto"/>
          </w:divBdr>
        </w:div>
        <w:div w:id="1776171858">
          <w:marLeft w:val="446"/>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84639448">
      <w:bodyDiv w:val="1"/>
      <w:marLeft w:val="0"/>
      <w:marRight w:val="0"/>
      <w:marTop w:val="0"/>
      <w:marBottom w:val="0"/>
      <w:divBdr>
        <w:top w:val="none" w:sz="0" w:space="0" w:color="auto"/>
        <w:left w:val="none" w:sz="0" w:space="0" w:color="auto"/>
        <w:bottom w:val="none" w:sz="0" w:space="0" w:color="auto"/>
        <w:right w:val="none" w:sz="0" w:space="0" w:color="auto"/>
      </w:divBdr>
      <w:divsChild>
        <w:div w:id="216478107">
          <w:marLeft w:val="144"/>
          <w:marRight w:val="0"/>
          <w:marTop w:val="240"/>
          <w:marBottom w:val="40"/>
          <w:divBdr>
            <w:top w:val="none" w:sz="0" w:space="0" w:color="auto"/>
            <w:left w:val="none" w:sz="0" w:space="0" w:color="auto"/>
            <w:bottom w:val="none" w:sz="0" w:space="0" w:color="auto"/>
            <w:right w:val="none" w:sz="0" w:space="0" w:color="auto"/>
          </w:divBdr>
        </w:div>
        <w:div w:id="437718737">
          <w:marLeft w:val="144"/>
          <w:marRight w:val="0"/>
          <w:marTop w:val="240"/>
          <w:marBottom w:val="40"/>
          <w:divBdr>
            <w:top w:val="none" w:sz="0" w:space="0" w:color="auto"/>
            <w:left w:val="none" w:sz="0" w:space="0" w:color="auto"/>
            <w:bottom w:val="none" w:sz="0" w:space="0" w:color="auto"/>
            <w:right w:val="none" w:sz="0" w:space="0" w:color="auto"/>
          </w:divBdr>
        </w:div>
        <w:div w:id="172111545">
          <w:marLeft w:val="144"/>
          <w:marRight w:val="0"/>
          <w:marTop w:val="240"/>
          <w:marBottom w:val="40"/>
          <w:divBdr>
            <w:top w:val="none" w:sz="0" w:space="0" w:color="auto"/>
            <w:left w:val="none" w:sz="0" w:space="0" w:color="auto"/>
            <w:bottom w:val="none" w:sz="0" w:space="0" w:color="auto"/>
            <w:right w:val="none" w:sz="0" w:space="0" w:color="auto"/>
          </w:divBdr>
        </w:div>
        <w:div w:id="280233081">
          <w:marLeft w:val="144"/>
          <w:marRight w:val="0"/>
          <w:marTop w:val="240"/>
          <w:marBottom w:val="40"/>
          <w:divBdr>
            <w:top w:val="none" w:sz="0" w:space="0" w:color="auto"/>
            <w:left w:val="none" w:sz="0" w:space="0" w:color="auto"/>
            <w:bottom w:val="none" w:sz="0" w:space="0" w:color="auto"/>
            <w:right w:val="none" w:sz="0" w:space="0" w:color="auto"/>
          </w:divBdr>
        </w:div>
        <w:div w:id="30040375">
          <w:marLeft w:val="144"/>
          <w:marRight w:val="0"/>
          <w:marTop w:val="240"/>
          <w:marBottom w:val="40"/>
          <w:divBdr>
            <w:top w:val="none" w:sz="0" w:space="0" w:color="auto"/>
            <w:left w:val="none" w:sz="0" w:space="0" w:color="auto"/>
            <w:bottom w:val="none" w:sz="0" w:space="0" w:color="auto"/>
            <w:right w:val="none" w:sz="0" w:space="0" w:color="auto"/>
          </w:divBdr>
        </w:div>
        <w:div w:id="1503468427">
          <w:marLeft w:val="144"/>
          <w:marRight w:val="0"/>
          <w:marTop w:val="240"/>
          <w:marBottom w:val="40"/>
          <w:divBdr>
            <w:top w:val="none" w:sz="0" w:space="0" w:color="auto"/>
            <w:left w:val="none" w:sz="0" w:space="0" w:color="auto"/>
            <w:bottom w:val="none" w:sz="0" w:space="0" w:color="auto"/>
            <w:right w:val="none" w:sz="0" w:space="0" w:color="auto"/>
          </w:divBdr>
        </w:div>
        <w:div w:id="782916854">
          <w:marLeft w:val="446"/>
          <w:marRight w:val="0"/>
          <w:marTop w:val="240"/>
          <w:marBottom w:val="40"/>
          <w:divBdr>
            <w:top w:val="none" w:sz="0" w:space="0" w:color="auto"/>
            <w:left w:val="none" w:sz="0" w:space="0" w:color="auto"/>
            <w:bottom w:val="none" w:sz="0" w:space="0" w:color="auto"/>
            <w:right w:val="none" w:sz="0" w:space="0" w:color="auto"/>
          </w:divBdr>
        </w:div>
        <w:div w:id="509953065">
          <w:marLeft w:val="446"/>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736C-DCA3-4890-8748-40487326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4181</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2016-02-25T05:29:00Z</dcterms:created>
  <dcterms:modified xsi:type="dcterms:W3CDTF">2016-02-26T04:16:00Z</dcterms:modified>
</cp:coreProperties>
</file>